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1B2D53" w:rsidRPr="00025B9C" w:rsidRDefault="001B2D53" w:rsidP="00D665D9">
      <w:pPr>
        <w:jc w:val="center"/>
        <w:rPr>
          <w:rFonts w:asciiTheme="minorHAnsi" w:hAnsiTheme="minorHAnsi" w:cstheme="minorHAnsi"/>
          <w:b/>
        </w:rPr>
      </w:pPr>
    </w:p>
    <w:p w:rsidR="00D51141" w:rsidRDefault="00D51141" w:rsidP="00D665D9">
      <w:pPr>
        <w:jc w:val="center"/>
        <w:rPr>
          <w:rFonts w:asciiTheme="minorHAnsi" w:hAnsiTheme="minorHAnsi" w:cstheme="minorHAnsi"/>
          <w:b/>
        </w:rPr>
      </w:pPr>
      <w:r w:rsidRPr="00025B9C">
        <w:rPr>
          <w:rFonts w:asciiTheme="minorHAnsi" w:hAnsiTheme="minorHAnsi" w:cstheme="minorHAnsi"/>
          <w:b/>
        </w:rPr>
        <w:t xml:space="preserve">Explanations for Corporate Governance Non-Compliance: </w:t>
      </w:r>
      <w:r w:rsidR="00C87290" w:rsidRPr="00025B9C">
        <w:rPr>
          <w:rFonts w:asciiTheme="minorHAnsi" w:hAnsiTheme="minorHAnsi" w:cstheme="minorHAnsi"/>
          <w:b/>
        </w:rPr>
        <w:t>A Rhetorical Analysis</w:t>
      </w:r>
    </w:p>
    <w:p w:rsidR="005E28F9" w:rsidRDefault="005E28F9" w:rsidP="00D665D9">
      <w:pPr>
        <w:jc w:val="center"/>
        <w:rPr>
          <w:rFonts w:asciiTheme="minorHAnsi" w:hAnsiTheme="minorHAnsi" w:cstheme="minorHAnsi"/>
          <w:b/>
        </w:rPr>
      </w:pPr>
    </w:p>
    <w:p w:rsidR="005E28F9" w:rsidRDefault="005E28F9" w:rsidP="00D665D9">
      <w:pPr>
        <w:jc w:val="center"/>
        <w:rPr>
          <w:rFonts w:asciiTheme="minorHAnsi" w:hAnsiTheme="minorHAnsi" w:cstheme="minorHAnsi"/>
          <w:b/>
        </w:rPr>
      </w:pPr>
    </w:p>
    <w:p w:rsidR="00587143" w:rsidRDefault="00587143" w:rsidP="00D665D9">
      <w:pPr>
        <w:jc w:val="center"/>
        <w:rPr>
          <w:rFonts w:asciiTheme="minorHAnsi" w:hAnsiTheme="minorHAnsi" w:cstheme="minorHAnsi"/>
          <w:b/>
        </w:rPr>
      </w:pPr>
      <w:r>
        <w:rPr>
          <w:rFonts w:asciiTheme="minorHAnsi" w:hAnsiTheme="minorHAnsi" w:cstheme="minorHAnsi"/>
          <w:b/>
        </w:rPr>
        <w:t>Philip J Shrives, Newcastle Business School, Northumbria University</w:t>
      </w:r>
    </w:p>
    <w:p w:rsidR="00587143" w:rsidRDefault="00587143" w:rsidP="00D665D9">
      <w:pPr>
        <w:jc w:val="center"/>
        <w:rPr>
          <w:rFonts w:asciiTheme="minorHAnsi" w:hAnsiTheme="minorHAnsi" w:cstheme="minorHAnsi"/>
          <w:b/>
        </w:rPr>
      </w:pPr>
      <w:r>
        <w:rPr>
          <w:rFonts w:asciiTheme="minorHAnsi" w:hAnsiTheme="minorHAnsi" w:cstheme="minorHAnsi"/>
          <w:b/>
        </w:rPr>
        <w:t xml:space="preserve">and </w:t>
      </w:r>
    </w:p>
    <w:p w:rsidR="00587143" w:rsidRDefault="00587143" w:rsidP="00D665D9">
      <w:pPr>
        <w:jc w:val="center"/>
        <w:rPr>
          <w:rFonts w:asciiTheme="minorHAnsi" w:hAnsiTheme="minorHAnsi" w:cstheme="minorHAnsi"/>
          <w:b/>
        </w:rPr>
      </w:pPr>
      <w:r>
        <w:rPr>
          <w:rFonts w:asciiTheme="minorHAnsi" w:hAnsiTheme="minorHAnsi" w:cstheme="minorHAnsi"/>
          <w:b/>
        </w:rPr>
        <w:t>Niamh M Brennan, University College Dublin</w:t>
      </w:r>
    </w:p>
    <w:p w:rsidR="00587143" w:rsidRDefault="00587143" w:rsidP="00D665D9">
      <w:pPr>
        <w:jc w:val="center"/>
        <w:rPr>
          <w:rFonts w:asciiTheme="minorHAnsi" w:hAnsiTheme="minorHAnsi" w:cstheme="minorHAnsi"/>
          <w:b/>
        </w:rPr>
      </w:pPr>
    </w:p>
    <w:p w:rsidR="00587143" w:rsidRPr="00025B9C" w:rsidRDefault="00587143" w:rsidP="00D665D9">
      <w:pPr>
        <w:jc w:val="center"/>
        <w:rPr>
          <w:rFonts w:asciiTheme="minorHAnsi" w:hAnsiTheme="minorHAnsi" w:cstheme="minorHAnsi"/>
          <w:b/>
        </w:rPr>
      </w:pPr>
    </w:p>
    <w:p w:rsidR="00897FC2" w:rsidRPr="00025B9C" w:rsidRDefault="00897FC2" w:rsidP="00D665D9">
      <w:pPr>
        <w:jc w:val="center"/>
        <w:rPr>
          <w:rFonts w:asciiTheme="minorHAnsi" w:hAnsiTheme="minorHAnsi" w:cstheme="minorHAnsi"/>
          <w:b/>
        </w:rPr>
      </w:pPr>
    </w:p>
    <w:p w:rsidR="00713608" w:rsidRPr="00025B9C" w:rsidRDefault="00713608" w:rsidP="00D665D9">
      <w:pPr>
        <w:jc w:val="center"/>
        <w:rPr>
          <w:rFonts w:asciiTheme="minorHAnsi" w:hAnsiTheme="minorHAnsi" w:cstheme="minorHAnsi"/>
          <w:b/>
        </w:rPr>
      </w:pPr>
    </w:p>
    <w:p w:rsidR="00713608" w:rsidRPr="00025B9C" w:rsidRDefault="00713608" w:rsidP="00D665D9">
      <w:pPr>
        <w:jc w:val="center"/>
        <w:rPr>
          <w:rFonts w:asciiTheme="minorHAnsi" w:hAnsiTheme="minorHAnsi" w:cstheme="minorHAnsi"/>
          <w:b/>
        </w:rPr>
      </w:pPr>
    </w:p>
    <w:p w:rsidR="00713608" w:rsidRPr="00025B9C" w:rsidRDefault="00713608" w:rsidP="00D665D9">
      <w:pPr>
        <w:jc w:val="center"/>
        <w:rPr>
          <w:rFonts w:asciiTheme="minorHAnsi" w:hAnsiTheme="minorHAnsi" w:cstheme="minorHAnsi"/>
          <w:b/>
        </w:rPr>
      </w:pPr>
    </w:p>
    <w:p w:rsidR="00713608" w:rsidRPr="00025B9C" w:rsidRDefault="00713608"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942BD3" w:rsidRPr="00025B9C" w:rsidRDefault="00942BD3" w:rsidP="00D665D9">
      <w:pPr>
        <w:jc w:val="center"/>
        <w:rPr>
          <w:rFonts w:asciiTheme="minorHAnsi" w:hAnsiTheme="minorHAnsi" w:cstheme="minorHAnsi"/>
        </w:rPr>
      </w:pPr>
    </w:p>
    <w:p w:rsidR="00713608" w:rsidRPr="00025B9C" w:rsidRDefault="00713608" w:rsidP="00D665D9">
      <w:pPr>
        <w:rPr>
          <w:rFonts w:asciiTheme="minorHAnsi" w:hAnsiTheme="minorHAnsi" w:cstheme="minorHAnsi"/>
        </w:rPr>
      </w:pPr>
      <w:r w:rsidRPr="00025B9C">
        <w:rPr>
          <w:rFonts w:asciiTheme="minorHAnsi" w:hAnsiTheme="minorHAnsi" w:cstheme="minorHAnsi"/>
        </w:rPr>
        <w:t xml:space="preserve">Address for correspondence: </w:t>
      </w:r>
      <w:r w:rsidR="00F97078" w:rsidRPr="00025B9C">
        <w:rPr>
          <w:rFonts w:asciiTheme="minorHAnsi" w:hAnsiTheme="minorHAnsi"/>
          <w:lang w:val="it-IT"/>
        </w:rPr>
        <w:t>Philip.Shrives@northumbria.ac.uk</w:t>
      </w:r>
    </w:p>
    <w:p w:rsidR="00713608" w:rsidRPr="00025B9C" w:rsidRDefault="00713608" w:rsidP="00D665D9">
      <w:pPr>
        <w:rPr>
          <w:rFonts w:asciiTheme="minorHAnsi" w:hAnsiTheme="minorHAnsi" w:cstheme="minorHAnsi"/>
          <w:lang w:val="en-IE"/>
        </w:rPr>
      </w:pPr>
    </w:p>
    <w:p w:rsidR="00C113A4" w:rsidRPr="00025B9C" w:rsidRDefault="00845046" w:rsidP="00D665D9">
      <w:pPr>
        <w:jc w:val="both"/>
        <w:rPr>
          <w:rFonts w:asciiTheme="minorHAnsi" w:hAnsiTheme="minorHAnsi" w:cstheme="minorHAnsi"/>
          <w:bCs/>
        </w:rPr>
      </w:pPr>
      <w:r w:rsidRPr="00025B9C">
        <w:rPr>
          <w:rFonts w:asciiTheme="minorHAnsi" w:hAnsiTheme="minorHAnsi" w:cstheme="minorHAnsi"/>
          <w:lang w:val="en-IE"/>
        </w:rPr>
        <w:t xml:space="preserve">Acknowledgements: </w:t>
      </w:r>
      <w:r w:rsidR="00D755A5" w:rsidRPr="00025B9C">
        <w:rPr>
          <w:rFonts w:asciiTheme="minorHAnsi" w:hAnsiTheme="minorHAnsi" w:cstheme="minorHAnsi"/>
          <w:lang w:val="en-IE"/>
        </w:rPr>
        <w:t xml:space="preserve">We thank Doris </w:t>
      </w:r>
      <w:proofErr w:type="spellStart"/>
      <w:r w:rsidR="00D755A5" w:rsidRPr="00025B9C">
        <w:rPr>
          <w:rFonts w:asciiTheme="minorHAnsi" w:hAnsiTheme="minorHAnsi" w:cstheme="minorHAnsi"/>
          <w:lang w:val="en-IE"/>
        </w:rPr>
        <w:t>Merkl</w:t>
      </w:r>
      <w:proofErr w:type="spellEnd"/>
      <w:r w:rsidR="00D755A5" w:rsidRPr="00025B9C">
        <w:rPr>
          <w:rFonts w:asciiTheme="minorHAnsi" w:hAnsiTheme="minorHAnsi" w:cstheme="minorHAnsi"/>
          <w:lang w:val="en-IE"/>
        </w:rPr>
        <w:t>-Davies</w:t>
      </w:r>
      <w:r w:rsidR="008F429D" w:rsidRPr="00025B9C">
        <w:rPr>
          <w:rFonts w:asciiTheme="minorHAnsi" w:hAnsiTheme="minorHAnsi" w:cstheme="minorHAnsi"/>
          <w:lang w:val="en-IE"/>
        </w:rPr>
        <w:t xml:space="preserve">, </w:t>
      </w:r>
      <w:r w:rsidR="00962C3E" w:rsidRPr="00025B9C">
        <w:rPr>
          <w:rFonts w:asciiTheme="minorHAnsi" w:hAnsiTheme="minorHAnsi" w:cstheme="minorHAnsi"/>
          <w:lang w:val="en-IE"/>
        </w:rPr>
        <w:t>Victoria Clout</w:t>
      </w:r>
      <w:r w:rsidR="008F429D" w:rsidRPr="00025B9C">
        <w:rPr>
          <w:rFonts w:asciiTheme="minorHAnsi" w:hAnsiTheme="minorHAnsi" w:cstheme="minorHAnsi"/>
          <w:lang w:val="en-IE"/>
        </w:rPr>
        <w:t xml:space="preserve"> and Anthony Devine</w:t>
      </w:r>
      <w:r w:rsidR="00962C3E" w:rsidRPr="00025B9C">
        <w:rPr>
          <w:rFonts w:asciiTheme="minorHAnsi" w:hAnsiTheme="minorHAnsi" w:cstheme="minorHAnsi"/>
          <w:lang w:val="en-IE"/>
        </w:rPr>
        <w:t xml:space="preserve"> </w:t>
      </w:r>
      <w:r w:rsidR="00D755A5" w:rsidRPr="00025B9C">
        <w:rPr>
          <w:rFonts w:asciiTheme="minorHAnsi" w:hAnsiTheme="minorHAnsi" w:cstheme="minorHAnsi"/>
          <w:lang w:val="en-IE"/>
        </w:rPr>
        <w:t xml:space="preserve">for </w:t>
      </w:r>
      <w:r w:rsidR="00962C3E" w:rsidRPr="00025B9C">
        <w:rPr>
          <w:rFonts w:asciiTheme="minorHAnsi" w:hAnsiTheme="minorHAnsi" w:cstheme="minorHAnsi"/>
          <w:lang w:val="en-IE"/>
        </w:rPr>
        <w:t xml:space="preserve">their </w:t>
      </w:r>
      <w:r w:rsidR="00D755A5" w:rsidRPr="00025B9C">
        <w:rPr>
          <w:rFonts w:asciiTheme="minorHAnsi" w:hAnsiTheme="minorHAnsi" w:cstheme="minorHAnsi"/>
          <w:lang w:val="en-IE"/>
        </w:rPr>
        <w:t>comments and suggestions on the paper. E</w:t>
      </w:r>
      <w:r w:rsidRPr="00025B9C">
        <w:rPr>
          <w:rFonts w:asciiTheme="minorHAnsi" w:hAnsiTheme="minorHAnsi" w:cstheme="minorHAnsi"/>
          <w:lang w:val="en-IE"/>
        </w:rPr>
        <w:t>arlier drafts of the paper</w:t>
      </w:r>
      <w:r w:rsidR="00D755A5" w:rsidRPr="00025B9C">
        <w:rPr>
          <w:rFonts w:asciiTheme="minorHAnsi" w:hAnsiTheme="minorHAnsi" w:cstheme="minorHAnsi"/>
          <w:lang w:val="en-IE"/>
        </w:rPr>
        <w:t xml:space="preserve"> were presented</w:t>
      </w:r>
      <w:r w:rsidRPr="00025B9C">
        <w:rPr>
          <w:rFonts w:asciiTheme="minorHAnsi" w:hAnsiTheme="minorHAnsi" w:cstheme="minorHAnsi"/>
          <w:lang w:val="en-IE"/>
        </w:rPr>
        <w:t xml:space="preserve"> at the following conferences/seminars: </w:t>
      </w:r>
      <w:r w:rsidR="00044D56" w:rsidRPr="00025B9C">
        <w:rPr>
          <w:rFonts w:asciiTheme="minorHAnsi" w:hAnsiTheme="minorHAnsi" w:cstheme="minorHAnsi"/>
        </w:rPr>
        <w:t>17</w:t>
      </w:r>
      <w:r w:rsidR="00044D56" w:rsidRPr="00025B9C">
        <w:rPr>
          <w:rFonts w:asciiTheme="minorHAnsi" w:hAnsiTheme="minorHAnsi" w:cstheme="minorHAnsi"/>
          <w:vertAlign w:val="superscript"/>
        </w:rPr>
        <w:t>th</w:t>
      </w:r>
      <w:r w:rsidR="00044D56" w:rsidRPr="00025B9C">
        <w:rPr>
          <w:rFonts w:asciiTheme="minorHAnsi" w:hAnsiTheme="minorHAnsi" w:cstheme="minorHAnsi"/>
        </w:rPr>
        <w:t xml:space="preserve"> </w:t>
      </w:r>
      <w:r w:rsidRPr="00025B9C">
        <w:rPr>
          <w:rFonts w:asciiTheme="minorHAnsi" w:hAnsiTheme="minorHAnsi" w:cstheme="minorHAnsi"/>
        </w:rPr>
        <w:t>Financial Reporting and Business Communication Annual Conference, Ju</w:t>
      </w:r>
      <w:r w:rsidR="00044D56" w:rsidRPr="00025B9C">
        <w:rPr>
          <w:rFonts w:asciiTheme="minorHAnsi" w:hAnsiTheme="minorHAnsi" w:cstheme="minorHAnsi"/>
        </w:rPr>
        <w:t>ly 2013, 38</w:t>
      </w:r>
      <w:r w:rsidR="00044D56" w:rsidRPr="00025B9C">
        <w:rPr>
          <w:rFonts w:asciiTheme="minorHAnsi" w:hAnsiTheme="minorHAnsi" w:cstheme="minorHAnsi"/>
          <w:vertAlign w:val="superscript"/>
        </w:rPr>
        <w:t>th</w:t>
      </w:r>
      <w:r w:rsidR="00044D56" w:rsidRPr="00025B9C">
        <w:rPr>
          <w:rFonts w:asciiTheme="minorHAnsi" w:hAnsiTheme="minorHAnsi" w:cstheme="minorHAnsi"/>
        </w:rPr>
        <w:t xml:space="preserve"> </w:t>
      </w:r>
      <w:r w:rsidR="00044D56" w:rsidRPr="00025B9C">
        <w:rPr>
          <w:rFonts w:asciiTheme="minorHAnsi" w:hAnsiTheme="minorHAnsi" w:cstheme="minorHAnsi"/>
          <w:bCs/>
        </w:rPr>
        <w:t>European Accounting Association Annual Congress, April 2015</w:t>
      </w:r>
      <w:r w:rsidR="00D755A5" w:rsidRPr="00025B9C">
        <w:rPr>
          <w:rFonts w:asciiTheme="minorHAnsi" w:hAnsiTheme="minorHAnsi" w:cstheme="minorHAnsi"/>
          <w:bCs/>
        </w:rPr>
        <w:t>,</w:t>
      </w:r>
      <w:r w:rsidR="00044D56" w:rsidRPr="00025B9C">
        <w:rPr>
          <w:rFonts w:asciiTheme="minorHAnsi" w:hAnsiTheme="minorHAnsi" w:cstheme="minorHAnsi"/>
          <w:bCs/>
        </w:rPr>
        <w:t xml:space="preserve"> the </w:t>
      </w:r>
      <w:r w:rsidR="00044D56" w:rsidRPr="00025B9C">
        <w:rPr>
          <w:rFonts w:asciiTheme="minorHAnsi" w:hAnsiTheme="minorHAnsi" w:cstheme="minorHAnsi"/>
        </w:rPr>
        <w:t>36</w:t>
      </w:r>
      <w:r w:rsidR="00044D56" w:rsidRPr="00025B9C">
        <w:rPr>
          <w:rFonts w:asciiTheme="minorHAnsi" w:hAnsiTheme="minorHAnsi" w:cstheme="minorHAnsi"/>
          <w:vertAlign w:val="superscript"/>
        </w:rPr>
        <w:t>e</w:t>
      </w:r>
      <w:r w:rsidR="00044D56" w:rsidRPr="00025B9C">
        <w:rPr>
          <w:rFonts w:asciiTheme="minorHAnsi" w:hAnsiTheme="minorHAnsi" w:cstheme="minorHAnsi"/>
          <w:bCs/>
        </w:rPr>
        <w:t xml:space="preserve"> </w:t>
      </w:r>
      <w:proofErr w:type="spellStart"/>
      <w:r w:rsidR="00044D56" w:rsidRPr="00025B9C">
        <w:rPr>
          <w:rFonts w:asciiTheme="minorHAnsi" w:hAnsiTheme="minorHAnsi" w:cstheme="minorHAnsi"/>
          <w:bCs/>
        </w:rPr>
        <w:t>Congrès</w:t>
      </w:r>
      <w:proofErr w:type="spellEnd"/>
      <w:r w:rsidR="00044D56" w:rsidRPr="00025B9C">
        <w:rPr>
          <w:rFonts w:asciiTheme="minorHAnsi" w:hAnsiTheme="minorHAnsi" w:cstheme="minorHAnsi"/>
          <w:bCs/>
        </w:rPr>
        <w:t xml:space="preserve">, Association Francophone de </w:t>
      </w:r>
      <w:proofErr w:type="spellStart"/>
      <w:r w:rsidR="00044D56" w:rsidRPr="00025B9C">
        <w:rPr>
          <w:rFonts w:asciiTheme="minorHAnsi" w:hAnsiTheme="minorHAnsi" w:cstheme="minorHAnsi"/>
          <w:bCs/>
        </w:rPr>
        <w:t>Comptabilité</w:t>
      </w:r>
      <w:proofErr w:type="spellEnd"/>
      <w:r w:rsidR="00044D56" w:rsidRPr="00025B9C">
        <w:rPr>
          <w:rFonts w:asciiTheme="minorHAnsi" w:hAnsiTheme="minorHAnsi" w:cstheme="minorHAnsi"/>
          <w:bCs/>
        </w:rPr>
        <w:t>, May 2015</w:t>
      </w:r>
      <w:r w:rsidR="00D755A5" w:rsidRPr="00025B9C">
        <w:rPr>
          <w:rFonts w:asciiTheme="minorHAnsi" w:hAnsiTheme="minorHAnsi" w:cstheme="minorHAnsi"/>
          <w:bCs/>
        </w:rPr>
        <w:t>, the 8</w:t>
      </w:r>
      <w:r w:rsidR="00D755A5" w:rsidRPr="00025B9C">
        <w:rPr>
          <w:rFonts w:asciiTheme="minorHAnsi" w:hAnsiTheme="minorHAnsi" w:cstheme="minorHAnsi"/>
          <w:bCs/>
          <w:vertAlign w:val="superscript"/>
        </w:rPr>
        <w:t>th</w:t>
      </w:r>
      <w:r w:rsidR="00D755A5" w:rsidRPr="00025B9C">
        <w:rPr>
          <w:rFonts w:asciiTheme="minorHAnsi" w:hAnsiTheme="minorHAnsi" w:cstheme="minorHAnsi"/>
          <w:bCs/>
        </w:rPr>
        <w:t xml:space="preserve"> Asia-Pacific Interdisciplinary </w:t>
      </w:r>
      <w:r w:rsidR="00D755A5" w:rsidRPr="00025B9C">
        <w:rPr>
          <w:rFonts w:asciiTheme="minorHAnsi" w:hAnsiTheme="minorHAnsi" w:cstheme="minorHAnsi"/>
          <w:bCs/>
          <w:lang w:val="en-IE"/>
        </w:rPr>
        <w:t xml:space="preserve">Research in </w:t>
      </w:r>
      <w:r w:rsidR="00D755A5" w:rsidRPr="00025B9C">
        <w:rPr>
          <w:rFonts w:asciiTheme="minorHAnsi" w:hAnsiTheme="minorHAnsi" w:cstheme="minorHAnsi"/>
          <w:bCs/>
        </w:rPr>
        <w:t>Accounting (APIRA) conference, July 2016</w:t>
      </w:r>
      <w:r w:rsidR="00962C3E" w:rsidRPr="00025B9C">
        <w:rPr>
          <w:rFonts w:asciiTheme="minorHAnsi" w:hAnsiTheme="minorHAnsi" w:cstheme="minorHAnsi"/>
          <w:bCs/>
        </w:rPr>
        <w:t xml:space="preserve"> and the 57</w:t>
      </w:r>
      <w:r w:rsidR="00962C3E" w:rsidRPr="00025B9C">
        <w:rPr>
          <w:rFonts w:asciiTheme="minorHAnsi" w:hAnsiTheme="minorHAnsi" w:cstheme="minorHAnsi"/>
          <w:bCs/>
          <w:vertAlign w:val="superscript"/>
        </w:rPr>
        <w:t>th</w:t>
      </w:r>
      <w:r w:rsidR="00962C3E" w:rsidRPr="00025B9C">
        <w:rPr>
          <w:rFonts w:asciiTheme="minorHAnsi" w:hAnsiTheme="minorHAnsi" w:cstheme="minorHAnsi"/>
          <w:bCs/>
        </w:rPr>
        <w:t xml:space="preserve"> Accounting &amp; Finance Conference of Australia and New Zealand (AFAANZ)</w:t>
      </w:r>
      <w:r w:rsidR="005D06AD" w:rsidRPr="00025B9C">
        <w:rPr>
          <w:rFonts w:asciiTheme="minorHAnsi" w:hAnsiTheme="minorHAnsi" w:cstheme="minorHAnsi"/>
          <w:bCs/>
        </w:rPr>
        <w:t>, July 2017</w:t>
      </w:r>
      <w:r w:rsidR="00044D56" w:rsidRPr="00025B9C">
        <w:rPr>
          <w:rFonts w:asciiTheme="minorHAnsi" w:hAnsiTheme="minorHAnsi" w:cstheme="minorHAnsi"/>
          <w:bCs/>
        </w:rPr>
        <w:t>.</w:t>
      </w:r>
      <w:r w:rsidR="00CB112B" w:rsidRPr="00025B9C">
        <w:rPr>
          <w:rFonts w:asciiTheme="minorHAnsi" w:hAnsiTheme="minorHAnsi" w:cstheme="minorHAnsi"/>
          <w:bCs/>
        </w:rPr>
        <w:t xml:space="preserve"> In addition</w:t>
      </w:r>
      <w:r w:rsidR="00153C4E" w:rsidRPr="00025B9C">
        <w:rPr>
          <w:rFonts w:asciiTheme="minorHAnsi" w:hAnsiTheme="minorHAnsi" w:cstheme="minorHAnsi"/>
          <w:bCs/>
        </w:rPr>
        <w:t>,</w:t>
      </w:r>
      <w:r w:rsidR="00CB112B" w:rsidRPr="00025B9C">
        <w:rPr>
          <w:rFonts w:asciiTheme="minorHAnsi" w:hAnsiTheme="minorHAnsi" w:cstheme="minorHAnsi"/>
          <w:bCs/>
        </w:rPr>
        <w:t xml:space="preserve"> we thank the two anonymous reviewers </w:t>
      </w:r>
      <w:r w:rsidR="00DA59FF" w:rsidRPr="00025B9C">
        <w:rPr>
          <w:rFonts w:asciiTheme="minorHAnsi" w:hAnsiTheme="minorHAnsi" w:cstheme="minorHAnsi"/>
          <w:bCs/>
        </w:rPr>
        <w:t xml:space="preserve">and the editor for helping us to improve </w:t>
      </w:r>
      <w:r w:rsidR="00CB112B" w:rsidRPr="00025B9C">
        <w:rPr>
          <w:rFonts w:asciiTheme="minorHAnsi" w:hAnsiTheme="minorHAnsi" w:cstheme="minorHAnsi"/>
          <w:bCs/>
        </w:rPr>
        <w:t>the quality of our paper.</w:t>
      </w:r>
      <w:r w:rsidR="00C113A4" w:rsidRPr="00025B9C">
        <w:rPr>
          <w:rFonts w:asciiTheme="minorHAnsi" w:hAnsiTheme="minorHAnsi" w:cstheme="minorHAnsi"/>
          <w:bCs/>
        </w:rPr>
        <w:t xml:space="preserve"> </w:t>
      </w:r>
    </w:p>
    <w:p w:rsidR="00C113A4" w:rsidRPr="00025B9C" w:rsidRDefault="00C113A4" w:rsidP="00D665D9">
      <w:pPr>
        <w:jc w:val="both"/>
        <w:rPr>
          <w:rFonts w:asciiTheme="minorHAnsi" w:hAnsiTheme="minorHAnsi" w:cstheme="minorHAnsi"/>
          <w:bCs/>
        </w:rPr>
      </w:pPr>
    </w:p>
    <w:p w:rsidR="00845046" w:rsidRDefault="00C113A4" w:rsidP="00D665D9">
      <w:pPr>
        <w:jc w:val="both"/>
        <w:rPr>
          <w:rFonts w:asciiTheme="minorHAnsi" w:hAnsiTheme="minorHAnsi" w:cstheme="minorHAnsi"/>
          <w:b/>
          <w:bCs/>
        </w:rPr>
      </w:pPr>
      <w:r w:rsidRPr="00587143">
        <w:rPr>
          <w:rFonts w:asciiTheme="minorHAnsi" w:hAnsiTheme="minorHAnsi" w:cstheme="minorHAnsi"/>
          <w:b/>
          <w:bCs/>
        </w:rPr>
        <w:t xml:space="preserve">In memoriam: This paper is dedicated to the memory of Professor David J. Campbell 1963-2017, a great colleague and friend. </w:t>
      </w:r>
    </w:p>
    <w:p w:rsidR="001E083E" w:rsidRDefault="001E083E" w:rsidP="00D665D9">
      <w:pPr>
        <w:jc w:val="both"/>
        <w:rPr>
          <w:rFonts w:asciiTheme="minorHAnsi" w:hAnsiTheme="minorHAnsi" w:cstheme="minorHAnsi"/>
          <w:b/>
          <w:bCs/>
        </w:rPr>
      </w:pPr>
    </w:p>
    <w:p w:rsidR="001E083E" w:rsidRDefault="001E083E" w:rsidP="00D665D9">
      <w:pPr>
        <w:jc w:val="both"/>
        <w:rPr>
          <w:rFonts w:asciiTheme="minorHAnsi" w:hAnsiTheme="minorHAnsi" w:cstheme="minorHAnsi"/>
          <w:b/>
          <w:bCs/>
        </w:rPr>
      </w:pPr>
      <w:r>
        <w:rPr>
          <w:rFonts w:asciiTheme="minorHAnsi" w:hAnsiTheme="minorHAnsi" w:cstheme="minorHAnsi"/>
          <w:b/>
          <w:bCs/>
        </w:rPr>
        <w:t xml:space="preserve"> Please note: The final version of this article is as in Critical Perspectives on Accounting journal.</w:t>
      </w:r>
    </w:p>
    <w:p w:rsidR="001E083E" w:rsidRDefault="001E083E" w:rsidP="00D665D9">
      <w:pPr>
        <w:jc w:val="both"/>
        <w:rPr>
          <w:rFonts w:asciiTheme="minorHAnsi" w:hAnsiTheme="minorHAnsi" w:cstheme="minorHAnsi"/>
          <w:b/>
          <w:bCs/>
        </w:rPr>
      </w:pPr>
    </w:p>
    <w:p w:rsidR="006E644D" w:rsidRPr="00025B9C" w:rsidRDefault="00477194" w:rsidP="00D665D9">
      <w:pPr>
        <w:spacing w:line="480" w:lineRule="auto"/>
        <w:jc w:val="both"/>
        <w:rPr>
          <w:rFonts w:asciiTheme="minorHAnsi" w:hAnsiTheme="minorHAnsi" w:cstheme="minorHAnsi"/>
          <w:b/>
        </w:rPr>
      </w:pPr>
      <w:r w:rsidRPr="00025B9C">
        <w:rPr>
          <w:rFonts w:asciiTheme="minorHAnsi" w:hAnsiTheme="minorHAnsi" w:cstheme="minorHAnsi"/>
          <w:b/>
        </w:rPr>
        <w:t>Abstract</w:t>
      </w:r>
    </w:p>
    <w:p w:rsidR="00187018" w:rsidRPr="00025B9C" w:rsidRDefault="00CD1D2F" w:rsidP="00D665D9">
      <w:pPr>
        <w:jc w:val="both"/>
        <w:rPr>
          <w:rFonts w:asciiTheme="minorHAnsi" w:hAnsiTheme="minorHAnsi" w:cstheme="minorHAnsi"/>
        </w:rPr>
      </w:pPr>
      <w:r w:rsidRPr="00025B9C">
        <w:rPr>
          <w:rFonts w:asciiTheme="minorHAnsi" w:hAnsiTheme="minorHAnsi" w:cstheme="minorHAnsi"/>
          <w:lang w:eastAsia="en-IE"/>
        </w:rPr>
        <w:t xml:space="preserve">A central </w:t>
      </w:r>
      <w:r w:rsidR="00FB74BA" w:rsidRPr="00025B9C">
        <w:rPr>
          <w:rFonts w:asciiTheme="minorHAnsi" w:hAnsiTheme="minorHAnsi" w:cstheme="minorHAnsi"/>
          <w:lang w:eastAsia="en-IE"/>
        </w:rPr>
        <w:t xml:space="preserve">element </w:t>
      </w:r>
      <w:r w:rsidRPr="00025B9C">
        <w:rPr>
          <w:rFonts w:asciiTheme="minorHAnsi" w:hAnsiTheme="minorHAnsi" w:cstheme="minorHAnsi"/>
          <w:lang w:eastAsia="en-IE"/>
        </w:rPr>
        <w:t xml:space="preserve">of many corporate governance </w:t>
      </w:r>
      <w:r w:rsidR="00B4469F" w:rsidRPr="00025B9C">
        <w:rPr>
          <w:rFonts w:asciiTheme="minorHAnsi" w:hAnsiTheme="minorHAnsi" w:cstheme="minorHAnsi"/>
          <w:lang w:eastAsia="en-IE"/>
        </w:rPr>
        <w:t>codes</w:t>
      </w:r>
      <w:r w:rsidRPr="00025B9C">
        <w:rPr>
          <w:rFonts w:asciiTheme="minorHAnsi" w:hAnsiTheme="minorHAnsi" w:cstheme="minorHAnsi"/>
          <w:lang w:eastAsia="en-IE"/>
        </w:rPr>
        <w:t xml:space="preserve"> is </w:t>
      </w:r>
      <w:r w:rsidR="001176A5" w:rsidRPr="00025B9C">
        <w:rPr>
          <w:rFonts w:asciiTheme="minorHAnsi" w:hAnsiTheme="minorHAnsi" w:cstheme="minorHAnsi"/>
        </w:rPr>
        <w:t xml:space="preserve">the </w:t>
      </w:r>
      <w:r w:rsidR="00993D81" w:rsidRPr="00025B9C">
        <w:rPr>
          <w:rFonts w:asciiTheme="minorHAnsi" w:hAnsiTheme="minorHAnsi" w:cstheme="minorHAnsi"/>
        </w:rPr>
        <w:t>‘</w:t>
      </w:r>
      <w:r w:rsidR="006A6A5E" w:rsidRPr="00025B9C">
        <w:rPr>
          <w:rFonts w:asciiTheme="minorHAnsi" w:hAnsiTheme="minorHAnsi" w:cstheme="minorHAnsi"/>
        </w:rPr>
        <w:t>comply-or-explain</w:t>
      </w:r>
      <w:r w:rsidR="00993D81" w:rsidRPr="00025B9C">
        <w:rPr>
          <w:rFonts w:asciiTheme="minorHAnsi" w:hAnsiTheme="minorHAnsi" w:cstheme="minorHAnsi"/>
        </w:rPr>
        <w:t>’</w:t>
      </w:r>
      <w:r w:rsidR="001176A5" w:rsidRPr="00025B9C">
        <w:rPr>
          <w:rFonts w:asciiTheme="minorHAnsi" w:hAnsiTheme="minorHAnsi" w:cstheme="minorHAnsi"/>
        </w:rPr>
        <w:t xml:space="preserve"> system, </w:t>
      </w:r>
      <w:r w:rsidRPr="00025B9C">
        <w:rPr>
          <w:rFonts w:asciiTheme="minorHAnsi" w:hAnsiTheme="minorHAnsi" w:cstheme="minorHAnsi"/>
        </w:rPr>
        <w:t xml:space="preserve">whereby </w:t>
      </w:r>
      <w:r w:rsidR="001176A5" w:rsidRPr="00025B9C">
        <w:rPr>
          <w:rFonts w:asciiTheme="minorHAnsi" w:hAnsiTheme="minorHAnsi" w:cstheme="minorHAnsi"/>
        </w:rPr>
        <w:t>companies not complying with corporate governance codes are required</w:t>
      </w:r>
      <w:r w:rsidR="001B2D53" w:rsidRPr="00025B9C">
        <w:rPr>
          <w:rFonts w:asciiTheme="minorHAnsi" w:hAnsiTheme="minorHAnsi" w:cstheme="minorHAnsi"/>
        </w:rPr>
        <w:t xml:space="preserve"> </w:t>
      </w:r>
      <w:r w:rsidR="001176A5" w:rsidRPr="00025B9C">
        <w:rPr>
          <w:rFonts w:asciiTheme="minorHAnsi" w:hAnsiTheme="minorHAnsi" w:cstheme="minorHAnsi"/>
        </w:rPr>
        <w:t>to provide explanations for each item of non-compliance. This paper</w:t>
      </w:r>
      <w:r w:rsidR="001B2D53" w:rsidRPr="00025B9C">
        <w:rPr>
          <w:rFonts w:asciiTheme="minorHAnsi" w:hAnsiTheme="minorHAnsi" w:cstheme="minorHAnsi"/>
        </w:rPr>
        <w:t xml:space="preserve"> </w:t>
      </w:r>
      <w:r w:rsidR="00A33533" w:rsidRPr="00025B9C">
        <w:rPr>
          <w:rFonts w:asciiTheme="minorHAnsi" w:hAnsiTheme="minorHAnsi" w:cstheme="minorHAnsi"/>
        </w:rPr>
        <w:t xml:space="preserve">develops </w:t>
      </w:r>
      <w:r w:rsidR="00C37A21" w:rsidRPr="00025B9C">
        <w:rPr>
          <w:rFonts w:asciiTheme="minorHAnsi" w:hAnsiTheme="minorHAnsi" w:cstheme="minorHAnsi"/>
        </w:rPr>
        <w:t xml:space="preserve">a typology </w:t>
      </w:r>
      <w:r w:rsidR="0043600A" w:rsidRPr="00025B9C">
        <w:rPr>
          <w:rFonts w:asciiTheme="minorHAnsi" w:hAnsiTheme="minorHAnsi" w:cstheme="minorHAnsi"/>
        </w:rPr>
        <w:t>for examining the rhetorical strategies companies use to persuade audiences of the need to explain rather than comply</w:t>
      </w:r>
      <w:r w:rsidR="001176A5" w:rsidRPr="00025B9C">
        <w:rPr>
          <w:rFonts w:asciiTheme="minorHAnsi" w:hAnsiTheme="minorHAnsi" w:cstheme="minorHAnsi"/>
        </w:rPr>
        <w:t xml:space="preserve">. </w:t>
      </w:r>
      <w:r w:rsidR="00D45B86" w:rsidRPr="00025B9C">
        <w:rPr>
          <w:rFonts w:asciiTheme="minorHAnsi" w:hAnsiTheme="minorHAnsi" w:cstheme="minorHAnsi"/>
          <w:lang w:eastAsia="en-IE"/>
        </w:rPr>
        <w:t>E</w:t>
      </w:r>
      <w:r w:rsidR="00C37A21" w:rsidRPr="00025B9C">
        <w:rPr>
          <w:rFonts w:asciiTheme="minorHAnsi" w:hAnsiTheme="minorHAnsi" w:cstheme="minorHAnsi"/>
          <w:lang w:eastAsia="en-IE"/>
        </w:rPr>
        <w:t xml:space="preserve">mploying a </w:t>
      </w:r>
      <w:r w:rsidR="00187018" w:rsidRPr="00025B9C">
        <w:rPr>
          <w:rFonts w:asciiTheme="minorHAnsi" w:hAnsiTheme="minorHAnsi" w:cstheme="minorHAnsi"/>
          <w:lang w:eastAsia="en-IE"/>
        </w:rPr>
        <w:t>meaning-oriented content analysis</w:t>
      </w:r>
      <w:r w:rsidR="00C37A21" w:rsidRPr="00025B9C">
        <w:rPr>
          <w:rFonts w:asciiTheme="minorHAnsi" w:hAnsiTheme="minorHAnsi" w:cstheme="minorHAnsi"/>
          <w:lang w:eastAsia="en-IE"/>
        </w:rPr>
        <w:t xml:space="preserve"> approach</w:t>
      </w:r>
      <w:r w:rsidR="00187018" w:rsidRPr="00025B9C">
        <w:rPr>
          <w:rFonts w:asciiTheme="minorHAnsi" w:hAnsiTheme="minorHAnsi" w:cstheme="minorHAnsi"/>
          <w:lang w:eastAsia="en-IE"/>
        </w:rPr>
        <w:t xml:space="preserve">, </w:t>
      </w:r>
      <w:r w:rsidR="005C4225" w:rsidRPr="00025B9C">
        <w:rPr>
          <w:rFonts w:asciiTheme="minorHAnsi" w:hAnsiTheme="minorHAnsi" w:cstheme="minorHAnsi"/>
        </w:rPr>
        <w:t xml:space="preserve">the typology is applied </w:t>
      </w:r>
      <w:r w:rsidR="005C4225" w:rsidRPr="00025B9C">
        <w:rPr>
          <w:rFonts w:asciiTheme="minorHAnsi" w:hAnsiTheme="minorHAnsi" w:cstheme="minorHAnsi"/>
          <w:lang w:eastAsia="en-IE"/>
        </w:rPr>
        <w:t>to analyse explanations</w:t>
      </w:r>
      <w:r w:rsidR="00187018" w:rsidRPr="00025B9C">
        <w:rPr>
          <w:rFonts w:asciiTheme="minorHAnsi" w:hAnsiTheme="minorHAnsi" w:cstheme="minorHAnsi"/>
        </w:rPr>
        <w:t xml:space="preserve"> for non-compliance </w:t>
      </w:r>
      <w:r w:rsidR="00C37A21" w:rsidRPr="00025B9C">
        <w:rPr>
          <w:rFonts w:asciiTheme="minorHAnsi" w:hAnsiTheme="minorHAnsi" w:cstheme="minorHAnsi"/>
        </w:rPr>
        <w:t>with the UK’s Corporate Governance Code</w:t>
      </w:r>
      <w:r w:rsidR="00187018" w:rsidRPr="00025B9C">
        <w:rPr>
          <w:rFonts w:asciiTheme="minorHAnsi" w:hAnsiTheme="minorHAnsi" w:cstheme="minorHAnsi"/>
        </w:rPr>
        <w:t xml:space="preserve">. The sample comprises non-compliance explanations of UK FTSE 100 companies over two periods (2004/05 and 2011/12). These periods were chosen as they follow substantial changes made in the UK’s 2003 Code and 2010 Code. </w:t>
      </w:r>
    </w:p>
    <w:p w:rsidR="00655A1F" w:rsidRPr="00025B9C" w:rsidRDefault="00655A1F" w:rsidP="00D665D9">
      <w:pPr>
        <w:shd w:val="clear" w:color="auto" w:fill="FFFFFF"/>
        <w:jc w:val="both"/>
        <w:rPr>
          <w:rFonts w:asciiTheme="minorHAnsi" w:hAnsiTheme="minorHAnsi" w:cstheme="minorHAnsi"/>
          <w:lang w:eastAsia="en-IE"/>
        </w:rPr>
      </w:pPr>
    </w:p>
    <w:p w:rsidR="001176A5" w:rsidRPr="00025B9C" w:rsidRDefault="00D67A31" w:rsidP="00D665D9">
      <w:pPr>
        <w:shd w:val="clear" w:color="auto" w:fill="FFFFFF"/>
        <w:jc w:val="both"/>
        <w:rPr>
          <w:rFonts w:asciiTheme="minorHAnsi" w:hAnsiTheme="minorHAnsi" w:cstheme="minorHAnsi"/>
          <w:lang w:eastAsia="en-IE"/>
        </w:rPr>
      </w:pPr>
      <w:r w:rsidRPr="00025B9C">
        <w:rPr>
          <w:rFonts w:asciiTheme="minorHAnsi" w:hAnsiTheme="minorHAnsi" w:cstheme="minorHAnsi"/>
        </w:rPr>
        <w:t xml:space="preserve">There were </w:t>
      </w:r>
      <w:r w:rsidR="00821817" w:rsidRPr="00025B9C">
        <w:rPr>
          <w:rFonts w:asciiTheme="minorHAnsi" w:hAnsiTheme="minorHAnsi" w:cstheme="minorHAnsi"/>
        </w:rPr>
        <w:t xml:space="preserve">63 (43) </w:t>
      </w:r>
      <w:r w:rsidR="005A6B5C" w:rsidRPr="00025B9C">
        <w:rPr>
          <w:rFonts w:asciiTheme="minorHAnsi" w:hAnsiTheme="minorHAnsi" w:cstheme="minorHAnsi"/>
        </w:rPr>
        <w:t>(2004/</w:t>
      </w:r>
      <w:r w:rsidR="00DA2B3F" w:rsidRPr="00025B9C">
        <w:rPr>
          <w:rFonts w:asciiTheme="minorHAnsi" w:hAnsiTheme="minorHAnsi" w:cstheme="minorHAnsi"/>
        </w:rPr>
        <w:t>0</w:t>
      </w:r>
      <w:r w:rsidR="005A6B5C" w:rsidRPr="00025B9C">
        <w:rPr>
          <w:rFonts w:asciiTheme="minorHAnsi" w:hAnsiTheme="minorHAnsi" w:cstheme="minorHAnsi"/>
        </w:rPr>
        <w:t xml:space="preserve">5 with 2011/12 in brackets) </w:t>
      </w:r>
      <w:r w:rsidRPr="00025B9C">
        <w:rPr>
          <w:rFonts w:asciiTheme="minorHAnsi" w:hAnsiTheme="minorHAnsi" w:cstheme="minorHAnsi"/>
        </w:rPr>
        <w:t>companies not complying with one or more provisions of the Code and 146 (71) explanations for non-compliance.</w:t>
      </w:r>
      <w:r w:rsidR="001B2D53" w:rsidRPr="00025B9C">
        <w:rPr>
          <w:rFonts w:asciiTheme="minorHAnsi" w:hAnsiTheme="minorHAnsi" w:cstheme="minorHAnsi"/>
        </w:rPr>
        <w:t xml:space="preserve"> </w:t>
      </w:r>
      <w:r w:rsidR="001176A5" w:rsidRPr="00025B9C">
        <w:rPr>
          <w:rFonts w:asciiTheme="minorHAnsi" w:hAnsiTheme="minorHAnsi" w:cstheme="minorHAnsi"/>
        </w:rPr>
        <w:t xml:space="preserve">Key </w:t>
      </w:r>
      <w:r w:rsidR="005C4225" w:rsidRPr="00025B9C">
        <w:rPr>
          <w:rFonts w:asciiTheme="minorHAnsi" w:hAnsiTheme="minorHAnsi" w:cstheme="minorHAnsi"/>
        </w:rPr>
        <w:t xml:space="preserve">rhetorical </w:t>
      </w:r>
      <w:r w:rsidR="001176A5" w:rsidRPr="00025B9C">
        <w:rPr>
          <w:rFonts w:asciiTheme="minorHAnsi" w:hAnsiTheme="minorHAnsi" w:cstheme="minorHAnsi"/>
        </w:rPr>
        <w:t>strategies identified</w:t>
      </w:r>
      <w:r w:rsidR="001B2D53" w:rsidRPr="00025B9C">
        <w:rPr>
          <w:rFonts w:asciiTheme="minorHAnsi" w:hAnsiTheme="minorHAnsi" w:cstheme="minorHAnsi"/>
        </w:rPr>
        <w:t xml:space="preserve"> </w:t>
      </w:r>
      <w:r w:rsidR="00CD1D2F" w:rsidRPr="00025B9C">
        <w:rPr>
          <w:rFonts w:asciiTheme="minorHAnsi" w:hAnsiTheme="minorHAnsi" w:cstheme="minorHAnsi"/>
        </w:rPr>
        <w:t xml:space="preserve">in non-compliance explanations </w:t>
      </w:r>
      <w:r w:rsidR="00224EAB" w:rsidRPr="00025B9C">
        <w:rPr>
          <w:rFonts w:asciiTheme="minorHAnsi" w:hAnsiTheme="minorHAnsi" w:cstheme="minorHAnsi"/>
        </w:rPr>
        <w:t xml:space="preserve">include </w:t>
      </w:r>
      <w:r w:rsidR="00993D81" w:rsidRPr="00025B9C">
        <w:rPr>
          <w:rFonts w:asciiTheme="minorHAnsi" w:hAnsiTheme="minorHAnsi" w:cstheme="minorHAnsi"/>
        </w:rPr>
        <w:t>‘</w:t>
      </w:r>
      <w:r w:rsidR="00F57B34" w:rsidRPr="00025B9C">
        <w:rPr>
          <w:rFonts w:asciiTheme="minorHAnsi" w:hAnsiTheme="minorHAnsi" w:cstheme="minorHAnsi"/>
        </w:rPr>
        <w:t>minimization</w:t>
      </w:r>
      <w:r w:rsidR="001176A5" w:rsidRPr="00025B9C">
        <w:rPr>
          <w:rFonts w:asciiTheme="minorHAnsi" w:hAnsiTheme="minorHAnsi" w:cstheme="minorHAnsi"/>
        </w:rPr>
        <w:t xml:space="preserve"> of negative feeling</w:t>
      </w:r>
      <w:r w:rsidR="00DF3EE6" w:rsidRPr="00025B9C">
        <w:rPr>
          <w:rFonts w:asciiTheme="minorHAnsi" w:hAnsiTheme="minorHAnsi" w:cstheme="minorHAnsi"/>
        </w:rPr>
        <w:t>s</w:t>
      </w:r>
      <w:r w:rsidR="00993D81" w:rsidRPr="00025B9C">
        <w:rPr>
          <w:rFonts w:asciiTheme="minorHAnsi" w:hAnsiTheme="minorHAnsi" w:cstheme="minorHAnsi"/>
        </w:rPr>
        <w:t>’</w:t>
      </w:r>
      <w:r w:rsidR="001176A5" w:rsidRPr="00025B9C">
        <w:rPr>
          <w:rFonts w:asciiTheme="minorHAnsi" w:hAnsiTheme="minorHAnsi" w:cstheme="minorHAnsi"/>
        </w:rPr>
        <w:t xml:space="preserve"> (the damage is not too serious), the use of </w:t>
      </w:r>
      <w:r w:rsidR="00993D81" w:rsidRPr="00025B9C">
        <w:rPr>
          <w:rFonts w:asciiTheme="minorHAnsi" w:hAnsiTheme="minorHAnsi" w:cstheme="minorHAnsi"/>
        </w:rPr>
        <w:t>‘</w:t>
      </w:r>
      <w:r w:rsidR="001176A5" w:rsidRPr="00025B9C">
        <w:rPr>
          <w:rFonts w:asciiTheme="minorHAnsi" w:hAnsiTheme="minorHAnsi" w:cstheme="minorHAnsi"/>
        </w:rPr>
        <w:t>weasel words</w:t>
      </w:r>
      <w:r w:rsidR="00993D81" w:rsidRPr="00025B9C">
        <w:rPr>
          <w:rFonts w:asciiTheme="minorHAnsi" w:hAnsiTheme="minorHAnsi" w:cstheme="minorHAnsi"/>
        </w:rPr>
        <w:t>’</w:t>
      </w:r>
      <w:r w:rsidR="001176A5" w:rsidRPr="00025B9C">
        <w:rPr>
          <w:rFonts w:asciiTheme="minorHAnsi" w:hAnsiTheme="minorHAnsi" w:cstheme="minorHAnsi"/>
        </w:rPr>
        <w:t xml:space="preserve"> which </w:t>
      </w:r>
      <w:r w:rsidR="005D1848" w:rsidRPr="00025B9C">
        <w:rPr>
          <w:rFonts w:asciiTheme="minorHAnsi" w:hAnsiTheme="minorHAnsi" w:cstheme="minorHAnsi"/>
        </w:rPr>
        <w:t>disguise</w:t>
      </w:r>
      <w:r w:rsidR="001176A5" w:rsidRPr="00025B9C">
        <w:rPr>
          <w:rFonts w:asciiTheme="minorHAnsi" w:hAnsiTheme="minorHAnsi" w:cstheme="minorHAnsi"/>
        </w:rPr>
        <w:t xml:space="preserve"> non-compliance and </w:t>
      </w:r>
      <w:r w:rsidR="00C3451C" w:rsidRPr="00025B9C">
        <w:rPr>
          <w:rFonts w:asciiTheme="minorHAnsi" w:hAnsiTheme="minorHAnsi" w:cstheme="minorHAnsi"/>
        </w:rPr>
        <w:t>‘</w:t>
      </w:r>
      <w:r w:rsidR="001176A5" w:rsidRPr="00025B9C">
        <w:rPr>
          <w:rFonts w:asciiTheme="minorHAnsi" w:hAnsiTheme="minorHAnsi" w:cstheme="minorHAnsi"/>
        </w:rPr>
        <w:t>transcendence</w:t>
      </w:r>
      <w:r w:rsidR="00C3451C" w:rsidRPr="00025B9C">
        <w:rPr>
          <w:rFonts w:asciiTheme="minorHAnsi" w:hAnsiTheme="minorHAnsi" w:cstheme="minorHAnsi"/>
        </w:rPr>
        <w:t>’</w:t>
      </w:r>
      <w:r w:rsidR="001176A5" w:rsidRPr="00025B9C">
        <w:rPr>
          <w:rFonts w:asciiTheme="minorHAnsi" w:hAnsiTheme="minorHAnsi" w:cstheme="minorHAnsi"/>
        </w:rPr>
        <w:t xml:space="preserve"> (ends justify means).</w:t>
      </w:r>
      <w:r w:rsidRPr="00025B9C">
        <w:rPr>
          <w:rFonts w:asciiTheme="minorHAnsi" w:hAnsiTheme="minorHAnsi" w:cstheme="minorHAnsi"/>
        </w:rPr>
        <w:t xml:space="preserve"> </w:t>
      </w:r>
      <w:r w:rsidR="00ED52F5" w:rsidRPr="00025B9C">
        <w:rPr>
          <w:rFonts w:asciiTheme="minorHAnsi" w:hAnsiTheme="minorHAnsi" w:cstheme="minorHAnsi"/>
        </w:rPr>
        <w:t xml:space="preserve">The research shows there is increased </w:t>
      </w:r>
      <w:r w:rsidR="00EC04BB" w:rsidRPr="00025B9C">
        <w:rPr>
          <w:rFonts w:asciiTheme="minorHAnsi" w:hAnsiTheme="minorHAnsi" w:cstheme="minorHAnsi"/>
        </w:rPr>
        <w:t xml:space="preserve">use of rhetorical strategies </w:t>
      </w:r>
      <w:r w:rsidR="00ED52F5" w:rsidRPr="00025B9C">
        <w:rPr>
          <w:rFonts w:asciiTheme="minorHAnsi" w:hAnsiTheme="minorHAnsi" w:cstheme="minorHAnsi"/>
        </w:rPr>
        <w:t>in non-compliance explanations in 2011/12 compared with 2004/05</w:t>
      </w:r>
      <w:r w:rsidR="006046A2" w:rsidRPr="00025B9C">
        <w:rPr>
          <w:rFonts w:asciiTheme="minorHAnsi" w:hAnsiTheme="minorHAnsi" w:cstheme="minorHAnsi"/>
        </w:rPr>
        <w:t xml:space="preserve">, and the strategies found seem more orientated towards misleading explanations than </w:t>
      </w:r>
      <w:r w:rsidR="00CD2A3C" w:rsidRPr="00025B9C">
        <w:rPr>
          <w:rFonts w:asciiTheme="minorHAnsi" w:hAnsiTheme="minorHAnsi" w:cstheme="minorHAnsi"/>
        </w:rPr>
        <w:t xml:space="preserve">meaningful </w:t>
      </w:r>
      <w:r w:rsidR="006046A2" w:rsidRPr="00025B9C">
        <w:rPr>
          <w:rFonts w:asciiTheme="minorHAnsi" w:hAnsiTheme="minorHAnsi" w:cstheme="minorHAnsi"/>
        </w:rPr>
        <w:t>convincing rationales</w:t>
      </w:r>
      <w:r w:rsidR="00ED52F5" w:rsidRPr="00025B9C">
        <w:rPr>
          <w:rFonts w:asciiTheme="minorHAnsi" w:hAnsiTheme="minorHAnsi" w:cstheme="minorHAnsi"/>
        </w:rPr>
        <w:t xml:space="preserve">. </w:t>
      </w:r>
      <w:r w:rsidR="008B2D4F" w:rsidRPr="00025B9C">
        <w:rPr>
          <w:rFonts w:asciiTheme="minorHAnsi" w:hAnsiTheme="minorHAnsi" w:cstheme="minorHAnsi"/>
        </w:rPr>
        <w:t xml:space="preserve">The use of such strategies may lead to mistrust by the market or may damage the </w:t>
      </w:r>
      <w:r w:rsidR="00993D81" w:rsidRPr="00025B9C">
        <w:rPr>
          <w:rFonts w:asciiTheme="minorHAnsi" w:hAnsiTheme="minorHAnsi" w:cstheme="minorHAnsi"/>
        </w:rPr>
        <w:t>‘</w:t>
      </w:r>
      <w:r w:rsidR="008B2D4F" w:rsidRPr="00025B9C">
        <w:rPr>
          <w:rFonts w:asciiTheme="minorHAnsi" w:hAnsiTheme="minorHAnsi" w:cstheme="minorHAnsi"/>
        </w:rPr>
        <w:t>comply-or-explain</w:t>
      </w:r>
      <w:r w:rsidR="00993D81" w:rsidRPr="00025B9C">
        <w:rPr>
          <w:rFonts w:asciiTheme="minorHAnsi" w:hAnsiTheme="minorHAnsi" w:cstheme="minorHAnsi"/>
        </w:rPr>
        <w:t>’</w:t>
      </w:r>
      <w:r w:rsidR="008B2D4F" w:rsidRPr="00025B9C">
        <w:rPr>
          <w:rFonts w:asciiTheme="minorHAnsi" w:hAnsiTheme="minorHAnsi" w:cstheme="minorHAnsi"/>
        </w:rPr>
        <w:t xml:space="preserve"> system itself. </w:t>
      </w:r>
      <w:r w:rsidR="003D314A" w:rsidRPr="00025B9C">
        <w:rPr>
          <w:rFonts w:asciiTheme="minorHAnsi" w:hAnsiTheme="minorHAnsi" w:cstheme="minorHAnsi"/>
          <w:lang w:eastAsia="en-IE"/>
        </w:rPr>
        <w:t xml:space="preserve">This is the first study of </w:t>
      </w:r>
      <w:r w:rsidR="00EC04BB" w:rsidRPr="00025B9C">
        <w:rPr>
          <w:rFonts w:asciiTheme="minorHAnsi" w:hAnsiTheme="minorHAnsi" w:cstheme="minorHAnsi"/>
          <w:lang w:eastAsia="en-IE"/>
        </w:rPr>
        <w:t>the use of rhetoric</w:t>
      </w:r>
      <w:r w:rsidR="003D314A" w:rsidRPr="00025B9C">
        <w:rPr>
          <w:rFonts w:asciiTheme="minorHAnsi" w:hAnsiTheme="minorHAnsi" w:cstheme="minorHAnsi"/>
          <w:lang w:eastAsia="en-IE"/>
        </w:rPr>
        <w:t xml:space="preserve"> in corporate governance non-compliance explanations. </w:t>
      </w:r>
      <w:r w:rsidR="0020156B" w:rsidRPr="00025B9C">
        <w:rPr>
          <w:rFonts w:asciiTheme="minorHAnsi" w:hAnsiTheme="minorHAnsi" w:cstheme="minorHAnsi"/>
          <w:lang w:eastAsia="en-IE"/>
        </w:rPr>
        <w:t xml:space="preserve">Valid explanations are critical to the working of the </w:t>
      </w:r>
      <w:r w:rsidR="00993D81" w:rsidRPr="00025B9C">
        <w:rPr>
          <w:rFonts w:asciiTheme="minorHAnsi" w:hAnsiTheme="minorHAnsi" w:cstheme="minorHAnsi"/>
          <w:lang w:eastAsia="en-IE"/>
        </w:rPr>
        <w:t>‘</w:t>
      </w:r>
      <w:r w:rsidR="006A6A5E" w:rsidRPr="00025B9C">
        <w:rPr>
          <w:rFonts w:asciiTheme="minorHAnsi" w:hAnsiTheme="minorHAnsi" w:cstheme="minorHAnsi"/>
          <w:lang w:eastAsia="en-IE"/>
        </w:rPr>
        <w:t>comply-or-explain</w:t>
      </w:r>
      <w:r w:rsidR="00993D81" w:rsidRPr="00025B9C">
        <w:rPr>
          <w:rFonts w:asciiTheme="minorHAnsi" w:hAnsiTheme="minorHAnsi" w:cstheme="minorHAnsi"/>
          <w:lang w:eastAsia="en-IE"/>
        </w:rPr>
        <w:t>’</w:t>
      </w:r>
      <w:r w:rsidR="0020156B" w:rsidRPr="00025B9C">
        <w:rPr>
          <w:rFonts w:asciiTheme="minorHAnsi" w:hAnsiTheme="minorHAnsi" w:cstheme="minorHAnsi"/>
          <w:lang w:eastAsia="en-IE"/>
        </w:rPr>
        <w:t xml:space="preserve"> system</w:t>
      </w:r>
      <w:r w:rsidR="00CD2A3C" w:rsidRPr="00025B9C">
        <w:rPr>
          <w:rFonts w:asciiTheme="minorHAnsi" w:hAnsiTheme="minorHAnsi" w:cstheme="minorHAnsi"/>
          <w:lang w:eastAsia="en-IE"/>
        </w:rPr>
        <w:t>.</w:t>
      </w:r>
      <w:r w:rsidR="0020156B" w:rsidRPr="00025B9C">
        <w:rPr>
          <w:rFonts w:asciiTheme="minorHAnsi" w:hAnsiTheme="minorHAnsi" w:cstheme="minorHAnsi"/>
          <w:lang w:eastAsia="en-IE"/>
        </w:rPr>
        <w:t xml:space="preserve"> </w:t>
      </w:r>
      <w:r w:rsidR="00CD2A3C" w:rsidRPr="00025B9C">
        <w:rPr>
          <w:rFonts w:asciiTheme="minorHAnsi" w:hAnsiTheme="minorHAnsi" w:cstheme="minorHAnsi"/>
          <w:lang w:eastAsia="en-IE"/>
        </w:rPr>
        <w:t>U</w:t>
      </w:r>
      <w:r w:rsidR="0020156B" w:rsidRPr="00025B9C">
        <w:rPr>
          <w:rFonts w:asciiTheme="minorHAnsi" w:hAnsiTheme="minorHAnsi" w:cstheme="minorHAnsi"/>
          <w:lang w:eastAsia="en-IE"/>
        </w:rPr>
        <w:t xml:space="preserve">nderstanding the use of rhetoric can be helpful in assessing those explanations. </w:t>
      </w:r>
      <w:r w:rsidR="003D314A" w:rsidRPr="00025B9C">
        <w:rPr>
          <w:rFonts w:asciiTheme="minorHAnsi" w:hAnsiTheme="minorHAnsi" w:cstheme="minorHAnsi"/>
          <w:lang w:eastAsia="en-IE"/>
        </w:rPr>
        <w:t xml:space="preserve">The typology of </w:t>
      </w:r>
      <w:r w:rsidR="0021467B" w:rsidRPr="00025B9C">
        <w:rPr>
          <w:rFonts w:asciiTheme="minorHAnsi" w:hAnsiTheme="minorHAnsi" w:cstheme="minorHAnsi"/>
          <w:lang w:eastAsia="en-IE"/>
        </w:rPr>
        <w:t>rhetorical strategies</w:t>
      </w:r>
      <w:r w:rsidR="003D314A" w:rsidRPr="00025B9C">
        <w:rPr>
          <w:rFonts w:asciiTheme="minorHAnsi" w:hAnsiTheme="minorHAnsi" w:cstheme="minorHAnsi"/>
          <w:lang w:eastAsia="en-IE"/>
        </w:rPr>
        <w:t xml:space="preserve"> developed in the paper is </w:t>
      </w:r>
      <w:r w:rsidR="0020156B" w:rsidRPr="00025B9C">
        <w:rPr>
          <w:rFonts w:asciiTheme="minorHAnsi" w:hAnsiTheme="minorHAnsi" w:cstheme="minorHAnsi"/>
          <w:lang w:eastAsia="en-IE"/>
        </w:rPr>
        <w:t xml:space="preserve">also </w:t>
      </w:r>
      <w:r w:rsidR="003D314A" w:rsidRPr="00025B9C">
        <w:rPr>
          <w:rFonts w:asciiTheme="minorHAnsi" w:hAnsiTheme="minorHAnsi" w:cstheme="minorHAnsi"/>
          <w:lang w:eastAsia="en-IE"/>
        </w:rPr>
        <w:t>applicable to other corporate situations requiring companies to</w:t>
      </w:r>
      <w:r w:rsidR="00C37A21" w:rsidRPr="00025B9C">
        <w:rPr>
          <w:rFonts w:asciiTheme="minorHAnsi" w:hAnsiTheme="minorHAnsi" w:cstheme="minorHAnsi"/>
          <w:lang w:eastAsia="en-IE"/>
        </w:rPr>
        <w:t xml:space="preserve"> </w:t>
      </w:r>
      <w:r w:rsidR="00DF3EE6" w:rsidRPr="00025B9C">
        <w:rPr>
          <w:rFonts w:asciiTheme="minorHAnsi" w:hAnsiTheme="minorHAnsi" w:cstheme="minorHAnsi"/>
          <w:lang w:eastAsia="en-IE"/>
        </w:rPr>
        <w:t xml:space="preserve">provide </w:t>
      </w:r>
      <w:r w:rsidR="00C37A21" w:rsidRPr="00025B9C">
        <w:rPr>
          <w:rFonts w:asciiTheme="minorHAnsi" w:hAnsiTheme="minorHAnsi" w:cstheme="minorHAnsi"/>
          <w:lang w:eastAsia="en-IE"/>
        </w:rPr>
        <w:t>reasons f</w:t>
      </w:r>
      <w:r w:rsidR="00DF3EE6" w:rsidRPr="00025B9C">
        <w:rPr>
          <w:rFonts w:asciiTheme="minorHAnsi" w:hAnsiTheme="minorHAnsi" w:cstheme="minorHAnsi"/>
          <w:lang w:eastAsia="en-IE"/>
        </w:rPr>
        <w:t>o</w:t>
      </w:r>
      <w:r w:rsidR="00C37A21" w:rsidRPr="00025B9C">
        <w:rPr>
          <w:rFonts w:asciiTheme="minorHAnsi" w:hAnsiTheme="minorHAnsi" w:cstheme="minorHAnsi"/>
          <w:lang w:eastAsia="en-IE"/>
        </w:rPr>
        <w:t>r non-compliance with principles or rules</w:t>
      </w:r>
      <w:r w:rsidR="003D314A" w:rsidRPr="00025B9C">
        <w:rPr>
          <w:rFonts w:asciiTheme="minorHAnsi" w:hAnsiTheme="minorHAnsi" w:cstheme="minorHAnsi"/>
          <w:lang w:eastAsia="en-IE"/>
        </w:rPr>
        <w:t>.</w:t>
      </w:r>
    </w:p>
    <w:p w:rsidR="00655A1F" w:rsidRPr="00025B9C" w:rsidRDefault="00655A1F" w:rsidP="00D665D9">
      <w:pPr>
        <w:jc w:val="both"/>
        <w:rPr>
          <w:rFonts w:asciiTheme="minorHAnsi" w:hAnsiTheme="minorHAnsi" w:cstheme="minorHAnsi"/>
          <w:lang w:eastAsia="en-IE"/>
        </w:rPr>
      </w:pPr>
    </w:p>
    <w:p w:rsidR="009918B2" w:rsidRPr="00025B9C" w:rsidRDefault="00D21015" w:rsidP="00D665D9">
      <w:pPr>
        <w:jc w:val="both"/>
        <w:rPr>
          <w:rFonts w:asciiTheme="minorHAnsi" w:hAnsiTheme="minorHAnsi" w:cstheme="minorHAnsi"/>
          <w:b/>
        </w:rPr>
      </w:pPr>
      <w:r w:rsidRPr="00025B9C">
        <w:rPr>
          <w:rFonts w:asciiTheme="minorHAnsi" w:hAnsiTheme="minorHAnsi" w:cstheme="minorHAnsi"/>
          <w:b/>
        </w:rPr>
        <w:t>Keywords</w:t>
      </w:r>
      <w:r w:rsidR="009918B2" w:rsidRPr="00025B9C">
        <w:rPr>
          <w:rFonts w:asciiTheme="minorHAnsi" w:hAnsiTheme="minorHAnsi" w:cstheme="minorHAnsi"/>
          <w:b/>
        </w:rPr>
        <w:t>:</w:t>
      </w:r>
    </w:p>
    <w:p w:rsidR="009918B2" w:rsidRPr="00025B9C" w:rsidRDefault="00D67A31" w:rsidP="00D665D9">
      <w:pPr>
        <w:jc w:val="both"/>
        <w:rPr>
          <w:rFonts w:asciiTheme="minorHAnsi" w:hAnsiTheme="minorHAnsi" w:cstheme="minorHAnsi"/>
        </w:rPr>
      </w:pPr>
      <w:r w:rsidRPr="00025B9C">
        <w:rPr>
          <w:rFonts w:asciiTheme="minorHAnsi" w:hAnsiTheme="minorHAnsi" w:cstheme="minorHAnsi"/>
        </w:rPr>
        <w:t>C</w:t>
      </w:r>
      <w:r w:rsidR="00D631F3" w:rsidRPr="00025B9C">
        <w:rPr>
          <w:rFonts w:asciiTheme="minorHAnsi" w:hAnsiTheme="minorHAnsi" w:cstheme="minorHAnsi"/>
        </w:rPr>
        <w:t>orporate governance</w:t>
      </w:r>
      <w:r w:rsidRPr="00025B9C">
        <w:rPr>
          <w:rFonts w:asciiTheme="minorHAnsi" w:hAnsiTheme="minorHAnsi" w:cstheme="minorHAnsi"/>
        </w:rPr>
        <w:t xml:space="preserve"> Code</w:t>
      </w:r>
    </w:p>
    <w:p w:rsidR="009918B2" w:rsidRPr="00025B9C" w:rsidRDefault="009918B2" w:rsidP="00D665D9">
      <w:pPr>
        <w:jc w:val="both"/>
        <w:rPr>
          <w:rFonts w:asciiTheme="minorHAnsi" w:hAnsiTheme="minorHAnsi" w:cstheme="minorHAnsi"/>
        </w:rPr>
      </w:pPr>
      <w:r w:rsidRPr="00025B9C">
        <w:rPr>
          <w:rFonts w:asciiTheme="minorHAnsi" w:hAnsiTheme="minorHAnsi" w:cstheme="minorHAnsi"/>
        </w:rPr>
        <w:t>C</w:t>
      </w:r>
      <w:r w:rsidR="00D423C8" w:rsidRPr="00025B9C">
        <w:rPr>
          <w:rFonts w:asciiTheme="minorHAnsi" w:hAnsiTheme="minorHAnsi" w:cstheme="minorHAnsi"/>
        </w:rPr>
        <w:t>omply-or-</w:t>
      </w:r>
      <w:r w:rsidR="00D25ED2" w:rsidRPr="00025B9C">
        <w:rPr>
          <w:rFonts w:asciiTheme="minorHAnsi" w:hAnsiTheme="minorHAnsi" w:cstheme="minorHAnsi"/>
        </w:rPr>
        <w:t>e</w:t>
      </w:r>
      <w:r w:rsidR="00D423C8" w:rsidRPr="00025B9C">
        <w:rPr>
          <w:rFonts w:asciiTheme="minorHAnsi" w:hAnsiTheme="minorHAnsi" w:cstheme="minorHAnsi"/>
        </w:rPr>
        <w:t>xplain</w:t>
      </w:r>
    </w:p>
    <w:p w:rsidR="009918B2" w:rsidRPr="00025B9C" w:rsidRDefault="009918B2" w:rsidP="00D665D9">
      <w:pPr>
        <w:jc w:val="both"/>
        <w:rPr>
          <w:rFonts w:asciiTheme="minorHAnsi" w:hAnsiTheme="minorHAnsi" w:cstheme="minorHAnsi"/>
        </w:rPr>
      </w:pPr>
      <w:r w:rsidRPr="00025B9C">
        <w:rPr>
          <w:rFonts w:asciiTheme="minorHAnsi" w:hAnsiTheme="minorHAnsi" w:cstheme="minorHAnsi"/>
        </w:rPr>
        <w:t>N</w:t>
      </w:r>
      <w:r w:rsidR="00D21015" w:rsidRPr="00025B9C">
        <w:rPr>
          <w:rFonts w:asciiTheme="minorHAnsi" w:hAnsiTheme="minorHAnsi" w:cstheme="minorHAnsi"/>
        </w:rPr>
        <w:t>on-compliance</w:t>
      </w:r>
    </w:p>
    <w:p w:rsidR="009918B2" w:rsidRPr="00025B9C" w:rsidRDefault="009918B2" w:rsidP="00D665D9">
      <w:pPr>
        <w:jc w:val="both"/>
        <w:rPr>
          <w:rFonts w:asciiTheme="minorHAnsi" w:hAnsiTheme="minorHAnsi" w:cstheme="minorHAnsi"/>
        </w:rPr>
      </w:pPr>
      <w:r w:rsidRPr="00025B9C">
        <w:rPr>
          <w:rFonts w:asciiTheme="minorHAnsi" w:hAnsiTheme="minorHAnsi" w:cstheme="minorHAnsi"/>
        </w:rPr>
        <w:t>E</w:t>
      </w:r>
      <w:r w:rsidR="00D21015" w:rsidRPr="00025B9C">
        <w:rPr>
          <w:rFonts w:asciiTheme="minorHAnsi" w:hAnsiTheme="minorHAnsi" w:cstheme="minorHAnsi"/>
        </w:rPr>
        <w:t>xplanation</w:t>
      </w:r>
      <w:r w:rsidR="001300D1" w:rsidRPr="00025B9C">
        <w:rPr>
          <w:rFonts w:asciiTheme="minorHAnsi" w:hAnsiTheme="minorHAnsi" w:cstheme="minorHAnsi"/>
        </w:rPr>
        <w:t xml:space="preserve"> </w:t>
      </w:r>
    </w:p>
    <w:p w:rsidR="00C87290" w:rsidRPr="00025B9C" w:rsidRDefault="00105D6F" w:rsidP="00D665D9">
      <w:pPr>
        <w:jc w:val="both"/>
        <w:rPr>
          <w:rFonts w:asciiTheme="minorHAnsi" w:hAnsiTheme="minorHAnsi" w:cstheme="minorHAnsi"/>
        </w:rPr>
      </w:pPr>
      <w:r w:rsidRPr="00025B9C">
        <w:rPr>
          <w:rFonts w:asciiTheme="minorHAnsi" w:hAnsiTheme="minorHAnsi" w:cstheme="minorHAnsi"/>
        </w:rPr>
        <w:t>Rhetoric</w:t>
      </w:r>
    </w:p>
    <w:p w:rsidR="001176A5" w:rsidRPr="00025B9C" w:rsidRDefault="009918B2" w:rsidP="00D665D9">
      <w:pPr>
        <w:jc w:val="both"/>
        <w:rPr>
          <w:rFonts w:asciiTheme="minorHAnsi" w:hAnsiTheme="minorHAnsi" w:cstheme="minorHAnsi"/>
        </w:rPr>
      </w:pPr>
      <w:r w:rsidRPr="00025B9C">
        <w:rPr>
          <w:rFonts w:asciiTheme="minorHAnsi" w:hAnsiTheme="minorHAnsi" w:cstheme="minorHAnsi"/>
        </w:rPr>
        <w:t>T</w:t>
      </w:r>
      <w:r w:rsidR="00D21015" w:rsidRPr="00025B9C">
        <w:rPr>
          <w:rFonts w:asciiTheme="minorHAnsi" w:hAnsiTheme="minorHAnsi" w:cstheme="minorHAnsi"/>
        </w:rPr>
        <w:t>ypology</w:t>
      </w:r>
    </w:p>
    <w:p w:rsidR="00942BD3" w:rsidRPr="00025B9C" w:rsidRDefault="00942BD3" w:rsidP="00D665D9">
      <w:pPr>
        <w:jc w:val="both"/>
        <w:rPr>
          <w:rFonts w:asciiTheme="minorHAnsi" w:hAnsiTheme="minorHAnsi" w:cstheme="minorHAnsi"/>
        </w:rPr>
      </w:pPr>
    </w:p>
    <w:p w:rsidR="00144EFB" w:rsidRPr="00025B9C" w:rsidRDefault="00144EFB" w:rsidP="00D665D9">
      <w:pPr>
        <w:jc w:val="both"/>
        <w:rPr>
          <w:rFonts w:asciiTheme="minorHAnsi" w:hAnsiTheme="minorHAnsi" w:cstheme="minorHAnsi"/>
          <w:b/>
        </w:rPr>
        <w:sectPr w:rsidR="00144EFB" w:rsidRPr="00025B9C" w:rsidSect="00144EFB">
          <w:footerReference w:type="default" r:id="rId8"/>
          <w:pgSz w:w="11906" w:h="16838"/>
          <w:pgMar w:top="1440" w:right="1440" w:bottom="1440" w:left="1440" w:header="709" w:footer="709" w:gutter="0"/>
          <w:pgNumType w:fmt="lowerRoman" w:start="1"/>
          <w:cols w:space="708"/>
          <w:docGrid w:linePitch="360"/>
        </w:sectPr>
      </w:pPr>
    </w:p>
    <w:p w:rsidR="0043600A" w:rsidRPr="00025B9C" w:rsidRDefault="008D009A" w:rsidP="00D665D9">
      <w:pPr>
        <w:spacing w:line="360" w:lineRule="auto"/>
        <w:jc w:val="both"/>
        <w:rPr>
          <w:rFonts w:asciiTheme="minorHAnsi" w:hAnsiTheme="minorHAnsi" w:cstheme="minorHAnsi"/>
          <w:b/>
        </w:rPr>
      </w:pPr>
      <w:r w:rsidRPr="00025B9C">
        <w:rPr>
          <w:rFonts w:asciiTheme="minorHAnsi" w:hAnsiTheme="minorHAnsi" w:cstheme="minorHAnsi"/>
          <w:b/>
        </w:rPr>
        <w:t xml:space="preserve">1. </w:t>
      </w:r>
      <w:r w:rsidR="00CE6991" w:rsidRPr="00025B9C">
        <w:rPr>
          <w:rFonts w:asciiTheme="minorHAnsi" w:hAnsiTheme="minorHAnsi" w:cstheme="minorHAnsi"/>
          <w:b/>
        </w:rPr>
        <w:t>Introduction</w:t>
      </w:r>
    </w:p>
    <w:p w:rsidR="008B05AA" w:rsidRPr="00025B9C" w:rsidRDefault="00F44A88" w:rsidP="00D665D9">
      <w:pPr>
        <w:spacing w:line="360" w:lineRule="auto"/>
        <w:jc w:val="both"/>
        <w:rPr>
          <w:rFonts w:asciiTheme="minorHAnsi" w:hAnsiTheme="minorHAnsi" w:cstheme="minorHAnsi"/>
        </w:rPr>
      </w:pPr>
      <w:r w:rsidRPr="00025B9C">
        <w:rPr>
          <w:rFonts w:asciiTheme="minorHAnsi" w:hAnsiTheme="minorHAnsi" w:cstheme="minorHAnsi"/>
        </w:rPr>
        <w:t xml:space="preserve">The </w:t>
      </w:r>
      <w:r w:rsidR="00634A79" w:rsidRPr="00025B9C">
        <w:rPr>
          <w:rFonts w:asciiTheme="minorHAnsi" w:hAnsiTheme="minorHAnsi" w:cstheme="minorHAnsi"/>
        </w:rPr>
        <w:t>‘</w:t>
      </w:r>
      <w:r w:rsidRPr="00025B9C">
        <w:rPr>
          <w:rFonts w:asciiTheme="minorHAnsi" w:hAnsiTheme="minorHAnsi" w:cstheme="minorHAnsi"/>
        </w:rPr>
        <w:t>comply-or-explain</w:t>
      </w:r>
      <w:r w:rsidR="00634A79" w:rsidRPr="00025B9C">
        <w:rPr>
          <w:rFonts w:asciiTheme="minorHAnsi" w:hAnsiTheme="minorHAnsi" w:cstheme="minorHAnsi"/>
        </w:rPr>
        <w:t>’</w:t>
      </w:r>
      <w:r w:rsidRPr="00025B9C">
        <w:rPr>
          <w:rFonts w:asciiTheme="minorHAnsi" w:hAnsiTheme="minorHAnsi" w:cstheme="minorHAnsi"/>
        </w:rPr>
        <w:t xml:space="preserve"> system is premised on the inflexibility of a </w:t>
      </w:r>
      <w:r w:rsidR="00476312" w:rsidRPr="00025B9C">
        <w:rPr>
          <w:rFonts w:asciiTheme="minorHAnsi" w:hAnsiTheme="minorHAnsi" w:cstheme="minorHAnsi"/>
        </w:rPr>
        <w:t>‘</w:t>
      </w:r>
      <w:r w:rsidRPr="00025B9C">
        <w:rPr>
          <w:rFonts w:asciiTheme="minorHAnsi" w:hAnsiTheme="minorHAnsi" w:cstheme="minorHAnsi"/>
        </w:rPr>
        <w:t>one-size-fits-all</w:t>
      </w:r>
      <w:r w:rsidR="00476312" w:rsidRPr="00025B9C">
        <w:rPr>
          <w:rFonts w:asciiTheme="minorHAnsi" w:hAnsiTheme="minorHAnsi" w:cstheme="minorHAnsi"/>
        </w:rPr>
        <w:t>’</w:t>
      </w:r>
      <w:r w:rsidRPr="00025B9C">
        <w:rPr>
          <w:rFonts w:asciiTheme="minorHAnsi" w:hAnsiTheme="minorHAnsi" w:cstheme="minorHAnsi"/>
        </w:rPr>
        <w:t xml:space="preserve"> approach. </w:t>
      </w:r>
      <w:r w:rsidR="0043600A" w:rsidRPr="00025B9C">
        <w:rPr>
          <w:rFonts w:asciiTheme="minorHAnsi" w:hAnsiTheme="minorHAnsi" w:cstheme="minorHAnsi"/>
        </w:rPr>
        <w:t>U</w:t>
      </w:r>
      <w:r w:rsidR="00FE6328" w:rsidRPr="00025B9C">
        <w:rPr>
          <w:rFonts w:asciiTheme="minorHAnsi" w:hAnsiTheme="minorHAnsi" w:cstheme="minorHAnsi"/>
        </w:rPr>
        <w:t xml:space="preserve">nder the </w:t>
      </w:r>
      <w:r w:rsidR="00476312" w:rsidRPr="00025B9C">
        <w:rPr>
          <w:rFonts w:asciiTheme="minorHAnsi" w:hAnsiTheme="minorHAnsi" w:cstheme="minorHAnsi"/>
        </w:rPr>
        <w:t>‘comply-or-explain’</w:t>
      </w:r>
      <w:r w:rsidR="00FE6328" w:rsidRPr="00025B9C">
        <w:rPr>
          <w:rFonts w:asciiTheme="minorHAnsi" w:hAnsiTheme="minorHAnsi" w:cstheme="minorHAnsi"/>
        </w:rPr>
        <w:t xml:space="preserve"> system</w:t>
      </w:r>
      <w:r w:rsidRPr="00025B9C">
        <w:rPr>
          <w:rStyle w:val="FootnoteReference"/>
          <w:rFonts w:asciiTheme="minorHAnsi" w:hAnsiTheme="minorHAnsi" w:cstheme="minorHAnsi"/>
        </w:rPr>
        <w:footnoteReference w:id="1"/>
      </w:r>
      <w:r w:rsidR="00FE6328" w:rsidRPr="00025B9C">
        <w:rPr>
          <w:rFonts w:asciiTheme="minorHAnsi" w:hAnsiTheme="minorHAnsi" w:cstheme="minorHAnsi"/>
        </w:rPr>
        <w:t>, c</w:t>
      </w:r>
      <w:r w:rsidR="00A22C61" w:rsidRPr="00025B9C">
        <w:rPr>
          <w:rFonts w:asciiTheme="minorHAnsi" w:hAnsiTheme="minorHAnsi" w:cstheme="minorHAnsi"/>
        </w:rPr>
        <w:t xml:space="preserve">ompanies not complying with </w:t>
      </w:r>
      <w:r w:rsidR="00FE6328" w:rsidRPr="00025B9C">
        <w:rPr>
          <w:rFonts w:asciiTheme="minorHAnsi" w:hAnsiTheme="minorHAnsi" w:cstheme="minorHAnsi"/>
        </w:rPr>
        <w:t>corporate governance c</w:t>
      </w:r>
      <w:r w:rsidR="00B06947" w:rsidRPr="00025B9C">
        <w:rPr>
          <w:rFonts w:asciiTheme="minorHAnsi" w:hAnsiTheme="minorHAnsi" w:cstheme="minorHAnsi"/>
        </w:rPr>
        <w:t>ode</w:t>
      </w:r>
      <w:r w:rsidR="00D67A31" w:rsidRPr="00025B9C">
        <w:rPr>
          <w:rFonts w:asciiTheme="minorHAnsi" w:hAnsiTheme="minorHAnsi" w:cstheme="minorHAnsi"/>
        </w:rPr>
        <w:t xml:space="preserve"> provisions</w:t>
      </w:r>
      <w:r w:rsidR="001B2D53" w:rsidRPr="00025B9C">
        <w:rPr>
          <w:rFonts w:asciiTheme="minorHAnsi" w:hAnsiTheme="minorHAnsi" w:cstheme="minorHAnsi"/>
        </w:rPr>
        <w:t xml:space="preserve"> </w:t>
      </w:r>
      <w:r w:rsidR="00FE6328" w:rsidRPr="00025B9C">
        <w:rPr>
          <w:rFonts w:asciiTheme="minorHAnsi" w:hAnsiTheme="minorHAnsi" w:cstheme="minorHAnsi"/>
        </w:rPr>
        <w:t xml:space="preserve">are required to </w:t>
      </w:r>
      <w:r w:rsidR="004C32F4" w:rsidRPr="00025B9C">
        <w:rPr>
          <w:rFonts w:asciiTheme="minorHAnsi" w:hAnsiTheme="minorHAnsi" w:cstheme="minorHAnsi"/>
        </w:rPr>
        <w:t>provide explanation</w:t>
      </w:r>
      <w:r w:rsidR="00D67A31" w:rsidRPr="00025B9C">
        <w:rPr>
          <w:rFonts w:asciiTheme="minorHAnsi" w:hAnsiTheme="minorHAnsi" w:cstheme="minorHAnsi"/>
        </w:rPr>
        <w:t>s</w:t>
      </w:r>
      <w:r w:rsidR="00E6038B" w:rsidRPr="00025B9C">
        <w:rPr>
          <w:rFonts w:asciiTheme="minorHAnsi" w:hAnsiTheme="minorHAnsi" w:cstheme="minorHAnsi"/>
        </w:rPr>
        <w:t>.</w:t>
      </w:r>
      <w:r w:rsidR="00C41457" w:rsidRPr="00025B9C">
        <w:rPr>
          <w:rFonts w:asciiTheme="minorHAnsi" w:hAnsiTheme="minorHAnsi" w:cstheme="minorHAnsi"/>
        </w:rPr>
        <w:t xml:space="preserve"> </w:t>
      </w:r>
      <w:r w:rsidR="00EC4950" w:rsidRPr="00025B9C">
        <w:rPr>
          <w:rFonts w:asciiTheme="minorHAnsi" w:hAnsiTheme="minorHAnsi" w:cstheme="minorHAnsi"/>
        </w:rPr>
        <w:t xml:space="preserve">The </w:t>
      </w:r>
      <w:r w:rsidR="00476312" w:rsidRPr="00025B9C">
        <w:rPr>
          <w:rFonts w:asciiTheme="minorHAnsi" w:hAnsiTheme="minorHAnsi" w:cstheme="minorHAnsi"/>
        </w:rPr>
        <w:t>‘comply-or-explain’</w:t>
      </w:r>
      <w:r w:rsidR="00EC4950" w:rsidRPr="00025B9C">
        <w:rPr>
          <w:rFonts w:asciiTheme="minorHAnsi" w:hAnsiTheme="minorHAnsi" w:cstheme="minorHAnsi"/>
        </w:rPr>
        <w:t xml:space="preserve"> system introduces some flexibil</w:t>
      </w:r>
      <w:r w:rsidR="00092D5E" w:rsidRPr="00025B9C">
        <w:rPr>
          <w:rFonts w:asciiTheme="minorHAnsi" w:hAnsiTheme="minorHAnsi" w:cstheme="minorHAnsi"/>
        </w:rPr>
        <w:t>ity for companies (Roberts, 2012</w:t>
      </w:r>
      <w:r w:rsidR="00EC4950" w:rsidRPr="00025B9C">
        <w:rPr>
          <w:rFonts w:asciiTheme="minorHAnsi" w:hAnsiTheme="minorHAnsi" w:cstheme="minorHAnsi"/>
        </w:rPr>
        <w:t>)</w:t>
      </w:r>
      <w:r w:rsidR="00B4469F" w:rsidRPr="00025B9C">
        <w:rPr>
          <w:rFonts w:asciiTheme="minorHAnsi" w:hAnsiTheme="minorHAnsi" w:cstheme="minorHAnsi"/>
        </w:rPr>
        <w:t xml:space="preserve"> </w:t>
      </w:r>
      <w:r w:rsidR="00E26AF1" w:rsidRPr="00025B9C">
        <w:rPr>
          <w:rFonts w:asciiTheme="minorHAnsi" w:hAnsiTheme="minorHAnsi" w:cstheme="minorHAnsi"/>
        </w:rPr>
        <w:t xml:space="preserve">or what </w:t>
      </w:r>
      <w:proofErr w:type="spellStart"/>
      <w:r w:rsidR="00E26AF1" w:rsidRPr="00025B9C">
        <w:rPr>
          <w:rFonts w:asciiTheme="minorHAnsi" w:hAnsiTheme="minorHAnsi" w:cstheme="minorHAnsi"/>
        </w:rPr>
        <w:t>Veldman</w:t>
      </w:r>
      <w:proofErr w:type="spellEnd"/>
      <w:r w:rsidR="00E26AF1" w:rsidRPr="00025B9C">
        <w:rPr>
          <w:rFonts w:asciiTheme="minorHAnsi" w:hAnsiTheme="minorHAnsi" w:cstheme="minorHAnsi"/>
        </w:rPr>
        <w:t xml:space="preserve"> </w:t>
      </w:r>
      <w:r w:rsidR="00476312" w:rsidRPr="00025B9C">
        <w:rPr>
          <w:rFonts w:asciiTheme="minorHAnsi" w:hAnsiTheme="minorHAnsi" w:cstheme="minorHAnsi"/>
        </w:rPr>
        <w:t>and</w:t>
      </w:r>
      <w:r w:rsidR="00E26AF1" w:rsidRPr="00025B9C">
        <w:rPr>
          <w:rFonts w:asciiTheme="minorHAnsi" w:hAnsiTheme="minorHAnsi" w:cstheme="minorHAnsi"/>
        </w:rPr>
        <w:t xml:space="preserve"> Willmott (2016</w:t>
      </w:r>
      <w:r w:rsidR="00B4469F" w:rsidRPr="00025B9C">
        <w:rPr>
          <w:rFonts w:asciiTheme="minorHAnsi" w:hAnsiTheme="minorHAnsi" w:cstheme="minorHAnsi"/>
        </w:rPr>
        <w:t xml:space="preserve">) </w:t>
      </w:r>
      <w:r w:rsidR="00283B4F" w:rsidRPr="00025B9C">
        <w:rPr>
          <w:rFonts w:asciiTheme="minorHAnsi" w:hAnsiTheme="minorHAnsi" w:cstheme="minorHAnsi"/>
        </w:rPr>
        <w:t>term</w:t>
      </w:r>
      <w:r w:rsidR="00630389" w:rsidRPr="00025B9C">
        <w:rPr>
          <w:rFonts w:asciiTheme="minorHAnsi" w:hAnsiTheme="minorHAnsi" w:cstheme="minorHAnsi"/>
        </w:rPr>
        <w:t xml:space="preserve"> </w:t>
      </w:r>
      <w:r w:rsidR="00990D57" w:rsidRPr="00025B9C">
        <w:rPr>
          <w:rFonts w:asciiTheme="minorHAnsi" w:hAnsiTheme="minorHAnsi" w:cstheme="minorHAnsi"/>
        </w:rPr>
        <w:t>“</w:t>
      </w:r>
      <w:r w:rsidR="00B4469F" w:rsidRPr="00025B9C">
        <w:rPr>
          <w:rFonts w:asciiTheme="minorHAnsi" w:hAnsiTheme="minorHAnsi" w:cstheme="minorHAnsi"/>
        </w:rPr>
        <w:t>reflexivity</w:t>
      </w:r>
      <w:r w:rsidR="00990D57" w:rsidRPr="00025B9C">
        <w:rPr>
          <w:rFonts w:asciiTheme="minorHAnsi" w:hAnsiTheme="minorHAnsi" w:cstheme="minorHAnsi"/>
        </w:rPr>
        <w:t>”</w:t>
      </w:r>
      <w:r w:rsidR="00B4469F" w:rsidRPr="00025B9C">
        <w:rPr>
          <w:rFonts w:asciiTheme="minorHAnsi" w:hAnsiTheme="minorHAnsi" w:cstheme="minorHAnsi"/>
        </w:rPr>
        <w:t xml:space="preserve"> – continuous, self-organizing improvement of regulatory practice</w:t>
      </w:r>
      <w:r w:rsidRPr="00025B9C">
        <w:rPr>
          <w:rFonts w:asciiTheme="minorHAnsi" w:hAnsiTheme="minorHAnsi" w:cstheme="minorHAnsi"/>
        </w:rPr>
        <w:t xml:space="preserve">. </w:t>
      </w:r>
      <w:r w:rsidR="00E40FB2" w:rsidRPr="00025B9C">
        <w:rPr>
          <w:rFonts w:asciiTheme="minorHAnsi" w:hAnsiTheme="minorHAnsi" w:cstheme="minorHAnsi"/>
        </w:rPr>
        <w:t xml:space="preserve">As </w:t>
      </w:r>
      <w:proofErr w:type="spellStart"/>
      <w:r w:rsidR="00E40FB2" w:rsidRPr="00025B9C">
        <w:rPr>
          <w:rFonts w:asciiTheme="minorHAnsi" w:hAnsiTheme="minorHAnsi" w:cstheme="minorHAnsi"/>
        </w:rPr>
        <w:t>Haxhi</w:t>
      </w:r>
      <w:proofErr w:type="spellEnd"/>
      <w:r w:rsidR="00E40FB2" w:rsidRPr="00025B9C">
        <w:rPr>
          <w:rFonts w:asciiTheme="minorHAnsi" w:hAnsiTheme="minorHAnsi" w:cstheme="minorHAnsi"/>
        </w:rPr>
        <w:t xml:space="preserve"> </w:t>
      </w:r>
      <w:r w:rsidR="00476312" w:rsidRPr="00025B9C">
        <w:rPr>
          <w:rFonts w:asciiTheme="minorHAnsi" w:hAnsiTheme="minorHAnsi" w:cstheme="minorHAnsi"/>
        </w:rPr>
        <w:t>and</w:t>
      </w:r>
      <w:r w:rsidR="00E40FB2" w:rsidRPr="00025B9C">
        <w:rPr>
          <w:rFonts w:asciiTheme="minorHAnsi" w:hAnsiTheme="minorHAnsi" w:cstheme="minorHAnsi"/>
        </w:rPr>
        <w:t xml:space="preserve"> van </w:t>
      </w:r>
      <w:proofErr w:type="spellStart"/>
      <w:r w:rsidR="00E40FB2" w:rsidRPr="00025B9C">
        <w:rPr>
          <w:rFonts w:asciiTheme="minorHAnsi" w:hAnsiTheme="minorHAnsi" w:cstheme="minorHAnsi"/>
        </w:rPr>
        <w:t>Ees</w:t>
      </w:r>
      <w:proofErr w:type="spellEnd"/>
      <w:r w:rsidR="00E40FB2" w:rsidRPr="00025B9C">
        <w:rPr>
          <w:rFonts w:asciiTheme="minorHAnsi" w:hAnsiTheme="minorHAnsi" w:cstheme="minorHAnsi"/>
        </w:rPr>
        <w:t xml:space="preserve"> </w:t>
      </w:r>
      <w:r w:rsidR="00FF1E0E" w:rsidRPr="00025B9C">
        <w:rPr>
          <w:rFonts w:asciiTheme="minorHAnsi" w:hAnsiTheme="minorHAnsi" w:cstheme="minorHAnsi"/>
        </w:rPr>
        <w:t xml:space="preserve">(2010) </w:t>
      </w:r>
      <w:r w:rsidR="002E2D2A" w:rsidRPr="00025B9C">
        <w:rPr>
          <w:rFonts w:asciiTheme="minorHAnsi" w:hAnsiTheme="minorHAnsi" w:cstheme="minorHAnsi"/>
        </w:rPr>
        <w:t>observe</w:t>
      </w:r>
      <w:r w:rsidR="00E40FB2" w:rsidRPr="00025B9C">
        <w:rPr>
          <w:rFonts w:asciiTheme="minorHAnsi" w:hAnsiTheme="minorHAnsi" w:cstheme="minorHAnsi"/>
        </w:rPr>
        <w:t>, an explanation is more than disclosure of non-compliance</w:t>
      </w:r>
      <w:r w:rsidR="00BA5125" w:rsidRPr="00025B9C">
        <w:rPr>
          <w:rFonts w:asciiTheme="minorHAnsi" w:hAnsiTheme="minorHAnsi" w:cstheme="minorHAnsi"/>
        </w:rPr>
        <w:t>, highlighting that German soft</w:t>
      </w:r>
      <w:r w:rsidR="008345DA" w:rsidRPr="00025B9C">
        <w:rPr>
          <w:rFonts w:asciiTheme="minorHAnsi" w:hAnsiTheme="minorHAnsi" w:cstheme="minorHAnsi"/>
        </w:rPr>
        <w:t xml:space="preserve"> </w:t>
      </w:r>
      <w:r w:rsidR="00E40FB2" w:rsidRPr="00025B9C">
        <w:rPr>
          <w:rFonts w:asciiTheme="minorHAnsi" w:hAnsiTheme="minorHAnsi" w:cstheme="minorHAnsi"/>
        </w:rPr>
        <w:t xml:space="preserve">law codes only require disclosure of non-compliance without motivation, compared with the Netherlands and the UK which require </w:t>
      </w:r>
      <w:r w:rsidR="001070FA" w:rsidRPr="00025B9C">
        <w:rPr>
          <w:rFonts w:asciiTheme="minorHAnsi" w:hAnsiTheme="minorHAnsi" w:cstheme="minorHAnsi"/>
        </w:rPr>
        <w:t xml:space="preserve">disclosure to be accompanied by </w:t>
      </w:r>
      <w:r w:rsidR="00E40FB2" w:rsidRPr="00025B9C">
        <w:rPr>
          <w:rFonts w:asciiTheme="minorHAnsi" w:hAnsiTheme="minorHAnsi" w:cstheme="minorHAnsi"/>
        </w:rPr>
        <w:t>an explanation.</w:t>
      </w:r>
      <w:r w:rsidR="00EF5DD6" w:rsidRPr="00025B9C">
        <w:rPr>
          <w:rFonts w:asciiTheme="minorHAnsi" w:hAnsiTheme="minorHAnsi" w:cstheme="minorHAnsi"/>
        </w:rPr>
        <w:t xml:space="preserve"> </w:t>
      </w:r>
      <w:r w:rsidR="00C23E4D" w:rsidRPr="00025B9C">
        <w:rPr>
          <w:rFonts w:asciiTheme="minorHAnsi" w:hAnsiTheme="minorHAnsi" w:cstheme="minorHAnsi"/>
        </w:rPr>
        <w:t xml:space="preserve">Explanations are key to the ‘comply-or-explain’ system and thus are worthy of careful examination. However, the system is only as good as the explanations provided by companies. </w:t>
      </w:r>
    </w:p>
    <w:p w:rsidR="008B05AA" w:rsidRPr="00025B9C" w:rsidRDefault="008B05AA" w:rsidP="00D665D9">
      <w:pPr>
        <w:spacing w:line="360" w:lineRule="auto"/>
        <w:jc w:val="both"/>
        <w:rPr>
          <w:rFonts w:asciiTheme="minorHAnsi" w:hAnsiTheme="minorHAnsi" w:cstheme="minorHAnsi"/>
        </w:rPr>
      </w:pPr>
    </w:p>
    <w:p w:rsidR="008345DA" w:rsidRPr="00025B9C" w:rsidRDefault="00EF5DD6" w:rsidP="00D665D9">
      <w:pPr>
        <w:spacing w:line="360" w:lineRule="auto"/>
        <w:jc w:val="both"/>
        <w:rPr>
          <w:rFonts w:asciiTheme="minorHAnsi" w:hAnsiTheme="minorHAnsi" w:cstheme="minorHAnsi"/>
        </w:rPr>
      </w:pPr>
      <w:r w:rsidRPr="00025B9C">
        <w:rPr>
          <w:rFonts w:asciiTheme="minorHAnsi" w:hAnsiTheme="minorHAnsi" w:cstheme="minorHAnsi"/>
        </w:rPr>
        <w:t xml:space="preserve">Study of non-compliance explanations is important in judging the effectiveness of the </w:t>
      </w:r>
      <w:r w:rsidR="00476312" w:rsidRPr="00025B9C">
        <w:rPr>
          <w:rFonts w:asciiTheme="minorHAnsi" w:hAnsiTheme="minorHAnsi" w:cstheme="minorHAnsi"/>
        </w:rPr>
        <w:t>‘comply-or-explain’</w:t>
      </w:r>
      <w:r w:rsidR="00CD4BFA" w:rsidRPr="00025B9C">
        <w:rPr>
          <w:rFonts w:asciiTheme="minorHAnsi" w:hAnsiTheme="minorHAnsi" w:cstheme="minorHAnsi"/>
        </w:rPr>
        <w:t xml:space="preserve"> </w:t>
      </w:r>
      <w:r w:rsidRPr="00025B9C">
        <w:rPr>
          <w:rFonts w:asciiTheme="minorHAnsi" w:hAnsiTheme="minorHAnsi" w:cstheme="minorHAnsi"/>
        </w:rPr>
        <w:t xml:space="preserve">system, </w:t>
      </w:r>
      <w:r w:rsidR="00CD4BFA" w:rsidRPr="00025B9C">
        <w:rPr>
          <w:rFonts w:asciiTheme="minorHAnsi" w:hAnsiTheme="minorHAnsi" w:cstheme="minorHAnsi"/>
        </w:rPr>
        <w:t xml:space="preserve">given the continuing </w:t>
      </w:r>
      <w:r w:rsidRPr="00025B9C">
        <w:rPr>
          <w:rFonts w:asciiTheme="minorHAnsi" w:hAnsiTheme="minorHAnsi" w:cstheme="minorHAnsi"/>
        </w:rPr>
        <w:t xml:space="preserve">debate as to whether </w:t>
      </w:r>
      <w:r w:rsidR="00CD4BFA" w:rsidRPr="00025B9C">
        <w:rPr>
          <w:rFonts w:asciiTheme="minorHAnsi" w:hAnsiTheme="minorHAnsi" w:cstheme="minorHAnsi"/>
        </w:rPr>
        <w:t>the voluntary nature of the system really works</w:t>
      </w:r>
      <w:r w:rsidR="00D2549E" w:rsidRPr="00025B9C">
        <w:rPr>
          <w:rFonts w:asciiTheme="minorHAnsi" w:hAnsiTheme="minorHAnsi" w:cstheme="minorHAnsi"/>
        </w:rPr>
        <w:t xml:space="preserve"> and criticism of the quality of explanations as being “perfunctory”, “incomplete” or even “inexistent” (</w:t>
      </w:r>
      <w:proofErr w:type="spellStart"/>
      <w:r w:rsidR="00D2549E" w:rsidRPr="00025B9C">
        <w:rPr>
          <w:rFonts w:asciiTheme="minorHAnsi" w:hAnsiTheme="minorHAnsi" w:cstheme="minorHAnsi"/>
        </w:rPr>
        <w:t>Sergakis</w:t>
      </w:r>
      <w:proofErr w:type="spellEnd"/>
      <w:r w:rsidR="00D2549E" w:rsidRPr="00025B9C">
        <w:rPr>
          <w:rFonts w:asciiTheme="minorHAnsi" w:hAnsiTheme="minorHAnsi" w:cstheme="minorHAnsi"/>
        </w:rPr>
        <w:t>, 2013, p. 397)</w:t>
      </w:r>
      <w:r w:rsidRPr="00025B9C">
        <w:rPr>
          <w:rFonts w:asciiTheme="minorHAnsi" w:hAnsiTheme="minorHAnsi" w:cstheme="minorHAnsi"/>
        </w:rPr>
        <w:t xml:space="preserve">. </w:t>
      </w:r>
      <w:proofErr w:type="spellStart"/>
      <w:r w:rsidR="00BD28B7" w:rsidRPr="00025B9C">
        <w:rPr>
          <w:rFonts w:asciiTheme="minorHAnsi" w:hAnsiTheme="minorHAnsi" w:cstheme="minorHAnsi"/>
        </w:rPr>
        <w:t>Merkl</w:t>
      </w:r>
      <w:proofErr w:type="spellEnd"/>
      <w:r w:rsidR="00BD28B7" w:rsidRPr="00025B9C">
        <w:rPr>
          <w:rFonts w:asciiTheme="minorHAnsi" w:hAnsiTheme="minorHAnsi" w:cstheme="minorHAnsi"/>
        </w:rPr>
        <w:t xml:space="preserve">-Davies and Brennan (2017) comment that </w:t>
      </w:r>
      <w:r w:rsidR="00BD28B7" w:rsidRPr="00025B9C">
        <w:rPr>
          <w:rFonts w:asciiTheme="minorHAnsi" w:eastAsia="Arial Unicode MS" w:hAnsiTheme="minorHAnsi" w:cstheme="minorHAnsi"/>
        </w:rPr>
        <w:t xml:space="preserve">silence may be a particular tactic in relation to soft-law disclosures, where there is little or no oversight by regulators. For example, not providing an explanation of non-compliance under the </w:t>
      </w:r>
      <w:r w:rsidR="00634A79" w:rsidRPr="00025B9C">
        <w:rPr>
          <w:rFonts w:asciiTheme="minorHAnsi" w:eastAsia="Arial Unicode MS" w:hAnsiTheme="minorHAnsi" w:cstheme="minorHAnsi"/>
        </w:rPr>
        <w:t>‘</w:t>
      </w:r>
      <w:r w:rsidR="00BD28B7" w:rsidRPr="00025B9C">
        <w:rPr>
          <w:rFonts w:asciiTheme="minorHAnsi" w:eastAsia="Arial Unicode MS" w:hAnsiTheme="minorHAnsi" w:cstheme="minorHAnsi"/>
        </w:rPr>
        <w:t>comply-or-explain</w:t>
      </w:r>
      <w:r w:rsidR="00634A79" w:rsidRPr="00025B9C">
        <w:rPr>
          <w:rFonts w:asciiTheme="minorHAnsi" w:eastAsia="Arial Unicode MS" w:hAnsiTheme="minorHAnsi" w:cstheme="minorHAnsi"/>
        </w:rPr>
        <w:t>’</w:t>
      </w:r>
      <w:r w:rsidR="00BD28B7" w:rsidRPr="00025B9C">
        <w:rPr>
          <w:rFonts w:asciiTheme="minorHAnsi" w:eastAsia="Arial Unicode MS" w:hAnsiTheme="minorHAnsi" w:cstheme="minorHAnsi"/>
        </w:rPr>
        <w:t xml:space="preserve"> provisions of corporate governance codes (i.e., </w:t>
      </w:r>
      <w:r w:rsidR="00737F21" w:rsidRPr="00025B9C">
        <w:rPr>
          <w:rFonts w:asciiTheme="minorHAnsi" w:eastAsia="Arial Unicode MS" w:hAnsiTheme="minorHAnsi" w:cstheme="minorHAnsi"/>
        </w:rPr>
        <w:t xml:space="preserve">the rhetoric of </w:t>
      </w:r>
      <w:r w:rsidR="00BD28B7" w:rsidRPr="00025B9C">
        <w:rPr>
          <w:rFonts w:asciiTheme="minorHAnsi" w:eastAsia="Arial Unicode MS" w:hAnsiTheme="minorHAnsi" w:cstheme="minorHAnsi"/>
        </w:rPr>
        <w:t xml:space="preserve">silence) may create the impression of compliance. </w:t>
      </w:r>
      <w:r w:rsidR="0044746C" w:rsidRPr="00025B9C">
        <w:rPr>
          <w:rFonts w:asciiTheme="minorHAnsi" w:hAnsiTheme="minorHAnsi" w:cstheme="minorHAnsi"/>
        </w:rPr>
        <w:t xml:space="preserve">A critical perspective is appropriate, as non-compliance explanations are part of what </w:t>
      </w:r>
      <w:proofErr w:type="spellStart"/>
      <w:r w:rsidR="0044746C" w:rsidRPr="00025B9C">
        <w:rPr>
          <w:rFonts w:asciiTheme="minorHAnsi" w:hAnsiTheme="minorHAnsi" w:cstheme="minorHAnsi"/>
        </w:rPr>
        <w:t>Gendron</w:t>
      </w:r>
      <w:proofErr w:type="spellEnd"/>
      <w:r w:rsidR="0044746C" w:rsidRPr="00025B9C">
        <w:rPr>
          <w:rFonts w:asciiTheme="minorHAnsi" w:hAnsiTheme="minorHAnsi" w:cstheme="minorHAnsi"/>
        </w:rPr>
        <w:t xml:space="preserve"> (2016, p. 10) calls “the constellation of hopes and expect</w:t>
      </w:r>
      <w:r w:rsidR="00F10166" w:rsidRPr="00025B9C">
        <w:rPr>
          <w:rFonts w:asciiTheme="minorHAnsi" w:hAnsiTheme="minorHAnsi" w:cstheme="minorHAnsi"/>
        </w:rPr>
        <w:t>at</w:t>
      </w:r>
      <w:r w:rsidR="0044746C" w:rsidRPr="00025B9C">
        <w:rPr>
          <w:rFonts w:asciiTheme="minorHAnsi" w:hAnsiTheme="minorHAnsi" w:cstheme="minorHAnsi"/>
        </w:rPr>
        <w:t xml:space="preserve">ions” around corporate governance </w:t>
      </w:r>
      <w:r w:rsidR="0044746C" w:rsidRPr="00025B9C">
        <w:rPr>
          <w:rFonts w:asciiTheme="minorHAnsi" w:hAnsiTheme="minorHAnsi" w:cstheme="minorHAnsi"/>
          <w:lang w:val="en-CA"/>
        </w:rPr>
        <w:t xml:space="preserve">and as such may involve the constitution and propagation of myths. </w:t>
      </w:r>
    </w:p>
    <w:p w:rsidR="00EF5DD6" w:rsidRPr="00025B9C" w:rsidRDefault="00EF5DD6" w:rsidP="00D665D9">
      <w:pPr>
        <w:spacing w:line="360" w:lineRule="auto"/>
        <w:jc w:val="both"/>
        <w:rPr>
          <w:rFonts w:asciiTheme="minorHAnsi" w:hAnsiTheme="minorHAnsi" w:cstheme="minorHAnsi"/>
        </w:rPr>
      </w:pPr>
    </w:p>
    <w:p w:rsidR="004E183F" w:rsidRPr="00025B9C" w:rsidRDefault="008345DA" w:rsidP="007B77D9">
      <w:pPr>
        <w:autoSpaceDE w:val="0"/>
        <w:autoSpaceDN w:val="0"/>
        <w:adjustRightInd w:val="0"/>
        <w:spacing w:line="360" w:lineRule="auto"/>
        <w:jc w:val="both"/>
        <w:rPr>
          <w:rFonts w:asciiTheme="minorHAnsi" w:hAnsiTheme="minorHAnsi" w:cstheme="minorHAnsi"/>
        </w:rPr>
      </w:pPr>
      <w:r w:rsidRPr="00025B9C">
        <w:rPr>
          <w:rFonts w:asciiTheme="minorHAnsi" w:hAnsiTheme="minorHAnsi" w:cstheme="minorHAnsi"/>
        </w:rPr>
        <w:t xml:space="preserve">It is useful to consider what is meant by the term </w:t>
      </w:r>
      <w:r w:rsidR="00476312" w:rsidRPr="00025B9C">
        <w:rPr>
          <w:rFonts w:asciiTheme="minorHAnsi" w:hAnsiTheme="minorHAnsi" w:cstheme="minorHAnsi"/>
        </w:rPr>
        <w:t>‘</w:t>
      </w:r>
      <w:r w:rsidRPr="00025B9C">
        <w:rPr>
          <w:rFonts w:asciiTheme="minorHAnsi" w:hAnsiTheme="minorHAnsi" w:cstheme="minorHAnsi"/>
        </w:rPr>
        <w:t>explanation</w:t>
      </w:r>
      <w:r w:rsidR="00476312" w:rsidRPr="00025B9C">
        <w:rPr>
          <w:rFonts w:asciiTheme="minorHAnsi" w:hAnsiTheme="minorHAnsi" w:cstheme="minorHAnsi"/>
        </w:rPr>
        <w:t>’</w:t>
      </w:r>
      <w:r w:rsidRPr="00025B9C">
        <w:rPr>
          <w:rFonts w:asciiTheme="minorHAnsi" w:hAnsiTheme="minorHAnsi" w:cstheme="minorHAnsi"/>
        </w:rPr>
        <w:t>. “Explanations occur whenever attention moves beyond the mere offering of information to matters of meaning, relationships, causes, factors and reasons” (</w:t>
      </w:r>
      <w:proofErr w:type="spellStart"/>
      <w:r w:rsidR="0018224D" w:rsidRPr="00025B9C">
        <w:rPr>
          <w:rFonts w:asciiTheme="minorHAnsi" w:hAnsiTheme="minorHAnsi" w:cstheme="minorHAnsi"/>
        </w:rPr>
        <w:t>Aerts</w:t>
      </w:r>
      <w:proofErr w:type="spellEnd"/>
      <w:r w:rsidR="0018224D" w:rsidRPr="00025B9C">
        <w:rPr>
          <w:rFonts w:asciiTheme="minorHAnsi" w:hAnsiTheme="minorHAnsi" w:cstheme="minorHAnsi"/>
        </w:rPr>
        <w:t xml:space="preserve"> &amp; </w:t>
      </w:r>
      <w:proofErr w:type="spellStart"/>
      <w:r w:rsidR="0018224D" w:rsidRPr="00025B9C">
        <w:rPr>
          <w:rFonts w:asciiTheme="minorHAnsi" w:hAnsiTheme="minorHAnsi" w:cstheme="minorHAnsi"/>
        </w:rPr>
        <w:t>Theunisse</w:t>
      </w:r>
      <w:proofErr w:type="spellEnd"/>
      <w:r w:rsidR="0018224D" w:rsidRPr="00025B9C">
        <w:rPr>
          <w:rFonts w:asciiTheme="minorHAnsi" w:hAnsiTheme="minorHAnsi" w:cstheme="minorHAnsi"/>
        </w:rPr>
        <w:t>, 200</w:t>
      </w:r>
      <w:r w:rsidR="00433A0D" w:rsidRPr="00025B9C">
        <w:rPr>
          <w:rFonts w:asciiTheme="minorHAnsi" w:hAnsiTheme="minorHAnsi" w:cstheme="minorHAnsi"/>
        </w:rPr>
        <w:t>1</w:t>
      </w:r>
      <w:r w:rsidR="0018224D" w:rsidRPr="00025B9C">
        <w:rPr>
          <w:rFonts w:asciiTheme="minorHAnsi" w:hAnsiTheme="minorHAnsi" w:cstheme="minorHAnsi"/>
        </w:rPr>
        <w:t xml:space="preserve">, </w:t>
      </w:r>
      <w:r w:rsidR="008B05AA" w:rsidRPr="00025B9C">
        <w:rPr>
          <w:rFonts w:asciiTheme="minorHAnsi" w:hAnsiTheme="minorHAnsi" w:cstheme="minorHAnsi"/>
        </w:rPr>
        <w:t>p</w:t>
      </w:r>
      <w:r w:rsidR="0018224D" w:rsidRPr="00025B9C">
        <w:rPr>
          <w:rFonts w:asciiTheme="minorHAnsi" w:hAnsiTheme="minorHAnsi" w:cstheme="minorHAnsi"/>
        </w:rPr>
        <w:t>p.</w:t>
      </w:r>
      <w:r w:rsidR="00433A0D" w:rsidRPr="00025B9C">
        <w:rPr>
          <w:rFonts w:asciiTheme="minorHAnsi" w:hAnsiTheme="minorHAnsi" w:cstheme="minorHAnsi"/>
        </w:rPr>
        <w:t xml:space="preserve"> 91-92</w:t>
      </w:r>
      <w:r w:rsidRPr="00025B9C">
        <w:rPr>
          <w:rFonts w:asciiTheme="minorHAnsi" w:hAnsiTheme="minorHAnsi" w:cstheme="minorHAnsi"/>
        </w:rPr>
        <w:t>). Explanations are likely to be deficient if they “fail to… hang together” (</w:t>
      </w:r>
      <w:proofErr w:type="spellStart"/>
      <w:r w:rsidRPr="00025B9C">
        <w:rPr>
          <w:rFonts w:asciiTheme="minorHAnsi" w:hAnsiTheme="minorHAnsi" w:cstheme="minorHAnsi"/>
        </w:rPr>
        <w:t>Keil</w:t>
      </w:r>
      <w:proofErr w:type="spellEnd"/>
      <w:r w:rsidRPr="00025B9C">
        <w:rPr>
          <w:rFonts w:asciiTheme="minorHAnsi" w:hAnsiTheme="minorHAnsi" w:cstheme="minorHAnsi"/>
        </w:rPr>
        <w:t xml:space="preserve">, 2006, p. 239). </w:t>
      </w:r>
      <w:r w:rsidR="00517AC0" w:rsidRPr="00025B9C">
        <w:rPr>
          <w:rFonts w:asciiTheme="minorHAnsi" w:hAnsiTheme="minorHAnsi" w:cstheme="minorHAnsi"/>
        </w:rPr>
        <w:t xml:space="preserve">Table 1 summarises the historical development of the </w:t>
      </w:r>
      <w:r w:rsidR="00634A79" w:rsidRPr="00025B9C">
        <w:rPr>
          <w:rFonts w:asciiTheme="minorHAnsi" w:hAnsiTheme="minorHAnsi" w:cstheme="minorHAnsi"/>
        </w:rPr>
        <w:t>‘</w:t>
      </w:r>
      <w:r w:rsidR="00517AC0" w:rsidRPr="00025B9C">
        <w:rPr>
          <w:rFonts w:asciiTheme="minorHAnsi" w:hAnsiTheme="minorHAnsi" w:cstheme="minorHAnsi"/>
        </w:rPr>
        <w:t>comply-or-explain</w:t>
      </w:r>
      <w:r w:rsidR="00634A79" w:rsidRPr="00025B9C">
        <w:rPr>
          <w:rFonts w:asciiTheme="minorHAnsi" w:hAnsiTheme="minorHAnsi" w:cstheme="minorHAnsi"/>
        </w:rPr>
        <w:t>’</w:t>
      </w:r>
      <w:r w:rsidR="00517AC0" w:rsidRPr="00025B9C">
        <w:rPr>
          <w:rFonts w:asciiTheme="minorHAnsi" w:hAnsiTheme="minorHAnsi" w:cstheme="minorHAnsi"/>
        </w:rPr>
        <w:t xml:space="preserve"> system in the UK to obtain insights into regulatory expectations underpinning the concept.</w:t>
      </w:r>
      <w:r w:rsidR="00F84B31" w:rsidRPr="00025B9C">
        <w:rPr>
          <w:rStyle w:val="FootnoteReference"/>
          <w:rFonts w:asciiTheme="minorHAnsi" w:hAnsiTheme="minorHAnsi" w:cstheme="minorHAnsi"/>
        </w:rPr>
        <w:footnoteReference w:id="2"/>
      </w:r>
      <w:r w:rsidR="00517AC0" w:rsidRPr="00025B9C">
        <w:rPr>
          <w:rFonts w:asciiTheme="minorHAnsi" w:hAnsiTheme="minorHAnsi" w:cstheme="minorHAnsi"/>
        </w:rPr>
        <w:t xml:space="preserve"> </w:t>
      </w:r>
      <w:r w:rsidR="00A23839" w:rsidRPr="00025B9C">
        <w:rPr>
          <w:rFonts w:asciiTheme="minorHAnsi" w:hAnsiTheme="minorHAnsi" w:cstheme="minorHAnsi"/>
        </w:rPr>
        <w:t>The Cadbury Report (1992</w:t>
      </w:r>
      <w:r w:rsidR="00CD2A3C" w:rsidRPr="00025B9C">
        <w:rPr>
          <w:rFonts w:asciiTheme="minorHAnsi" w:hAnsiTheme="minorHAnsi" w:cstheme="minorHAnsi"/>
        </w:rPr>
        <w:t>, para 3.8</w:t>
      </w:r>
      <w:r w:rsidR="00A23839" w:rsidRPr="00025B9C">
        <w:rPr>
          <w:rFonts w:asciiTheme="minorHAnsi" w:hAnsiTheme="minorHAnsi" w:cstheme="minorHAnsi"/>
        </w:rPr>
        <w:t xml:space="preserve">) recommended </w:t>
      </w:r>
      <w:r w:rsidR="00476312" w:rsidRPr="00025B9C">
        <w:rPr>
          <w:rFonts w:asciiTheme="minorHAnsi" w:hAnsiTheme="minorHAnsi" w:cstheme="minorHAnsi"/>
        </w:rPr>
        <w:t>‘</w:t>
      </w:r>
      <w:r w:rsidR="00A23839" w:rsidRPr="00025B9C">
        <w:rPr>
          <w:rFonts w:asciiTheme="minorHAnsi" w:hAnsiTheme="minorHAnsi" w:cstheme="minorHAnsi"/>
        </w:rPr>
        <w:t>reasons</w:t>
      </w:r>
      <w:r w:rsidR="00476312" w:rsidRPr="00025B9C">
        <w:rPr>
          <w:rFonts w:asciiTheme="minorHAnsi" w:hAnsiTheme="minorHAnsi" w:cstheme="minorHAnsi"/>
        </w:rPr>
        <w:t>’</w:t>
      </w:r>
      <w:r w:rsidR="00A23839" w:rsidRPr="00025B9C">
        <w:rPr>
          <w:rFonts w:asciiTheme="minorHAnsi" w:hAnsiTheme="minorHAnsi" w:cstheme="minorHAnsi"/>
        </w:rPr>
        <w:t xml:space="preserve"> for non-compliance be disclosed. The </w:t>
      </w:r>
      <w:proofErr w:type="spellStart"/>
      <w:r w:rsidR="00A23839" w:rsidRPr="00025B9C">
        <w:rPr>
          <w:rFonts w:asciiTheme="minorHAnsi" w:hAnsiTheme="minorHAnsi" w:cstheme="minorHAnsi"/>
        </w:rPr>
        <w:t>Greenbury</w:t>
      </w:r>
      <w:proofErr w:type="spellEnd"/>
      <w:r w:rsidR="00A23839" w:rsidRPr="00025B9C">
        <w:rPr>
          <w:rFonts w:asciiTheme="minorHAnsi" w:hAnsiTheme="minorHAnsi" w:cstheme="minorHAnsi"/>
        </w:rPr>
        <w:t xml:space="preserve"> Report (1995</w:t>
      </w:r>
      <w:r w:rsidR="00CD2A3C" w:rsidRPr="00025B9C">
        <w:rPr>
          <w:rFonts w:asciiTheme="minorHAnsi" w:hAnsiTheme="minorHAnsi" w:cstheme="minorHAnsi"/>
        </w:rPr>
        <w:t>, p. 13</w:t>
      </w:r>
      <w:r w:rsidR="00A23839" w:rsidRPr="00025B9C">
        <w:rPr>
          <w:rFonts w:asciiTheme="minorHAnsi" w:hAnsiTheme="minorHAnsi" w:cstheme="minorHAnsi"/>
        </w:rPr>
        <w:t xml:space="preserve">) required companies to </w:t>
      </w:r>
      <w:r w:rsidR="00990ECC" w:rsidRPr="00025B9C">
        <w:rPr>
          <w:rFonts w:asciiTheme="minorHAnsi" w:hAnsiTheme="minorHAnsi" w:cstheme="minorHAnsi"/>
        </w:rPr>
        <w:t>“</w:t>
      </w:r>
      <w:r w:rsidR="00A23839" w:rsidRPr="00025B9C">
        <w:rPr>
          <w:rFonts w:asciiTheme="minorHAnsi" w:hAnsiTheme="minorHAnsi" w:cstheme="minorHAnsi"/>
        </w:rPr>
        <w:t>explain and justify</w:t>
      </w:r>
      <w:r w:rsidR="00990ECC" w:rsidRPr="00025B9C">
        <w:rPr>
          <w:rFonts w:asciiTheme="minorHAnsi" w:hAnsiTheme="minorHAnsi" w:cstheme="minorHAnsi"/>
        </w:rPr>
        <w:t>”</w:t>
      </w:r>
      <w:r w:rsidR="00A23839" w:rsidRPr="00025B9C">
        <w:rPr>
          <w:rFonts w:asciiTheme="minorHAnsi" w:hAnsiTheme="minorHAnsi" w:cstheme="minorHAnsi"/>
        </w:rPr>
        <w:t xml:space="preserve"> non-compliance. The Hempel Report (1998</w:t>
      </w:r>
      <w:r w:rsidR="00CD2A3C" w:rsidRPr="00025B9C">
        <w:rPr>
          <w:rFonts w:asciiTheme="minorHAnsi" w:hAnsiTheme="minorHAnsi" w:cstheme="minorHAnsi"/>
        </w:rPr>
        <w:t>, para 1.11</w:t>
      </w:r>
      <w:r w:rsidR="00A23839" w:rsidRPr="00025B9C">
        <w:rPr>
          <w:rFonts w:asciiTheme="minorHAnsi" w:hAnsiTheme="minorHAnsi" w:cstheme="minorHAnsi"/>
        </w:rPr>
        <w:t>)</w:t>
      </w:r>
      <w:r w:rsidR="00CD2A3C" w:rsidRPr="00025B9C">
        <w:rPr>
          <w:rFonts w:asciiTheme="minorHAnsi" w:hAnsiTheme="minorHAnsi" w:cstheme="minorHAnsi"/>
        </w:rPr>
        <w:t xml:space="preserve"> required the explanation to reflect “any special circumstance”</w:t>
      </w:r>
      <w:r w:rsidR="00A23839" w:rsidRPr="00025B9C">
        <w:rPr>
          <w:rFonts w:asciiTheme="minorHAnsi" w:hAnsiTheme="minorHAnsi" w:cstheme="minorHAnsi"/>
        </w:rPr>
        <w:t xml:space="preserve">. The </w:t>
      </w:r>
      <w:r w:rsidR="00CD2A3C" w:rsidRPr="00025B9C">
        <w:rPr>
          <w:rFonts w:asciiTheme="minorHAnsi" w:hAnsiTheme="minorHAnsi" w:cstheme="minorHAnsi"/>
        </w:rPr>
        <w:t xml:space="preserve">Combined Code (2008, p. 1) and the </w:t>
      </w:r>
      <w:r w:rsidR="00A23839" w:rsidRPr="00025B9C">
        <w:rPr>
          <w:rFonts w:asciiTheme="minorHAnsi" w:hAnsiTheme="minorHAnsi" w:cstheme="minorHAnsi"/>
        </w:rPr>
        <w:t>UK Corporate Governance Code (</w:t>
      </w:r>
      <w:r w:rsidR="00653F05" w:rsidRPr="00025B9C">
        <w:rPr>
          <w:rFonts w:asciiTheme="minorHAnsi" w:hAnsiTheme="minorHAnsi" w:cstheme="minorHAnsi"/>
          <w:lang w:val="en-IE"/>
        </w:rPr>
        <w:t xml:space="preserve">FRC, </w:t>
      </w:r>
      <w:r w:rsidR="00A23839" w:rsidRPr="00025B9C">
        <w:rPr>
          <w:rFonts w:asciiTheme="minorHAnsi" w:hAnsiTheme="minorHAnsi" w:cstheme="minorHAnsi"/>
        </w:rPr>
        <w:t>2010</w:t>
      </w:r>
      <w:r w:rsidR="00CD2A3C" w:rsidRPr="00025B9C">
        <w:rPr>
          <w:rFonts w:asciiTheme="minorHAnsi" w:hAnsiTheme="minorHAnsi" w:cstheme="minorHAnsi"/>
        </w:rPr>
        <w:t>, p. 4</w:t>
      </w:r>
      <w:r w:rsidR="00A23839" w:rsidRPr="00025B9C">
        <w:rPr>
          <w:rFonts w:asciiTheme="minorHAnsi" w:hAnsiTheme="minorHAnsi" w:cstheme="minorHAnsi"/>
        </w:rPr>
        <w:t>)</w:t>
      </w:r>
      <w:r w:rsidR="00CD2A3C" w:rsidRPr="00025B9C">
        <w:rPr>
          <w:rFonts w:asciiTheme="minorHAnsi" w:hAnsiTheme="minorHAnsi" w:cstheme="minorHAnsi"/>
        </w:rPr>
        <w:t xml:space="preserve"> specified that the explanation should be “careful and clear” and </w:t>
      </w:r>
      <w:r w:rsidR="001E16A3" w:rsidRPr="00025B9C">
        <w:rPr>
          <w:rFonts w:asciiTheme="minorHAnsi" w:hAnsiTheme="minorHAnsi" w:cstheme="minorHAnsi"/>
        </w:rPr>
        <w:t>“</w:t>
      </w:r>
      <w:r w:rsidR="00CD2A3C" w:rsidRPr="00025B9C">
        <w:rPr>
          <w:rFonts w:asciiTheme="minorHAnsi" w:hAnsiTheme="minorHAnsi" w:cstheme="minorHAnsi"/>
        </w:rPr>
        <w:t>illustrate how its</w:t>
      </w:r>
      <w:r w:rsidR="001E16A3" w:rsidRPr="00025B9C">
        <w:rPr>
          <w:rFonts w:asciiTheme="minorHAnsi" w:hAnsiTheme="minorHAnsi" w:cstheme="minorHAnsi"/>
        </w:rPr>
        <w:t xml:space="preserve"> [the company’s] </w:t>
      </w:r>
      <w:r w:rsidR="00CD2A3C" w:rsidRPr="00025B9C">
        <w:rPr>
          <w:rFonts w:asciiTheme="minorHAnsi" w:hAnsiTheme="minorHAnsi" w:cstheme="minorHAnsi"/>
        </w:rPr>
        <w:t>actual practices are consistent with the principle”</w:t>
      </w:r>
      <w:r w:rsidR="00A23839" w:rsidRPr="00025B9C">
        <w:rPr>
          <w:rFonts w:asciiTheme="minorHAnsi" w:hAnsiTheme="minorHAnsi" w:cstheme="minorHAnsi"/>
        </w:rPr>
        <w:t xml:space="preserve">. Finally, the FRC (2012b) positioned explanations as rhetorical devices by introducing the notion of “convincing” explanations. </w:t>
      </w:r>
      <w:r w:rsidR="004E183F" w:rsidRPr="00025B9C">
        <w:rPr>
          <w:rFonts w:asciiTheme="minorHAnsi" w:hAnsiTheme="minorHAnsi" w:cstheme="minorHAnsi"/>
        </w:rPr>
        <w:t xml:space="preserve">The implicit assumption in the </w:t>
      </w:r>
      <w:r w:rsidR="00634A79" w:rsidRPr="00025B9C">
        <w:rPr>
          <w:rFonts w:asciiTheme="minorHAnsi" w:hAnsiTheme="minorHAnsi" w:cstheme="minorHAnsi"/>
        </w:rPr>
        <w:t>‘</w:t>
      </w:r>
      <w:r w:rsidR="004E183F" w:rsidRPr="00025B9C">
        <w:rPr>
          <w:rFonts w:asciiTheme="minorHAnsi" w:hAnsiTheme="minorHAnsi" w:cstheme="minorHAnsi"/>
        </w:rPr>
        <w:t>comply-or-explain</w:t>
      </w:r>
      <w:r w:rsidR="00634A79" w:rsidRPr="00025B9C">
        <w:rPr>
          <w:rFonts w:asciiTheme="minorHAnsi" w:hAnsiTheme="minorHAnsi" w:cstheme="minorHAnsi"/>
        </w:rPr>
        <w:t>’</w:t>
      </w:r>
      <w:r w:rsidR="004E183F" w:rsidRPr="00025B9C">
        <w:rPr>
          <w:rFonts w:asciiTheme="minorHAnsi" w:hAnsiTheme="minorHAnsi" w:cstheme="minorHAnsi"/>
        </w:rPr>
        <w:t xml:space="preserve"> system is that “failure of governance can be remedied through yet more transparency” (Roberts, 2009, p. 962).</w:t>
      </w:r>
      <w:r w:rsidR="00421752" w:rsidRPr="00025B9C">
        <w:rPr>
          <w:rFonts w:asciiTheme="minorHAnsi" w:hAnsiTheme="minorHAnsi" w:cstheme="minorHAnsi"/>
        </w:rPr>
        <w:t xml:space="preserve"> Roberts’ questioning of transparency as a regulatory instrument of accountability contrasts with the FRC’s </w:t>
      </w:r>
      <w:r w:rsidR="006F259E" w:rsidRPr="00025B9C">
        <w:rPr>
          <w:rFonts w:asciiTheme="minorHAnsi" w:hAnsiTheme="minorHAnsi" w:cstheme="minorHAnsi"/>
        </w:rPr>
        <w:t xml:space="preserve">(2012b, p. 6) </w:t>
      </w:r>
      <w:r w:rsidR="00421752" w:rsidRPr="00025B9C">
        <w:rPr>
          <w:rFonts w:asciiTheme="minorHAnsi" w:hAnsiTheme="minorHAnsi" w:cstheme="minorHAnsi"/>
        </w:rPr>
        <w:t xml:space="preserve">self-congratulatory </w:t>
      </w:r>
      <w:r w:rsidR="006F259E" w:rsidRPr="00025B9C">
        <w:rPr>
          <w:rFonts w:asciiTheme="minorHAnsi" w:hAnsiTheme="minorHAnsi" w:cstheme="minorHAnsi"/>
        </w:rPr>
        <w:t xml:space="preserve">view of the </w:t>
      </w:r>
      <w:r w:rsidR="00990ECC" w:rsidRPr="00025B9C">
        <w:rPr>
          <w:rFonts w:asciiTheme="minorHAnsi" w:hAnsiTheme="minorHAnsi" w:cstheme="minorHAnsi"/>
        </w:rPr>
        <w:t>‘</w:t>
      </w:r>
      <w:r w:rsidR="006F259E" w:rsidRPr="00025B9C">
        <w:rPr>
          <w:rFonts w:asciiTheme="minorHAnsi" w:hAnsiTheme="minorHAnsi" w:cstheme="minorHAnsi"/>
        </w:rPr>
        <w:t>comply-or-explain</w:t>
      </w:r>
      <w:r w:rsidR="00990ECC" w:rsidRPr="00025B9C">
        <w:rPr>
          <w:rFonts w:asciiTheme="minorHAnsi" w:hAnsiTheme="minorHAnsi" w:cstheme="minorHAnsi"/>
        </w:rPr>
        <w:t>’</w:t>
      </w:r>
      <w:r w:rsidR="006F259E" w:rsidRPr="00025B9C">
        <w:rPr>
          <w:rFonts w:asciiTheme="minorHAnsi" w:hAnsiTheme="minorHAnsi" w:cstheme="minorHAnsi"/>
        </w:rPr>
        <w:t xml:space="preserve"> system as “widely admired and imitated internationally”. </w:t>
      </w:r>
      <w:r w:rsidR="007B77D9" w:rsidRPr="00025B9C">
        <w:rPr>
          <w:rFonts w:asciiTheme="minorHAnsi" w:hAnsiTheme="minorHAnsi" w:cstheme="minorHAnsi"/>
        </w:rPr>
        <w:t xml:space="preserve">The challenge, as observed by Tremblay and </w:t>
      </w:r>
      <w:proofErr w:type="spellStart"/>
      <w:r w:rsidR="007B77D9" w:rsidRPr="00025B9C">
        <w:rPr>
          <w:rFonts w:asciiTheme="minorHAnsi" w:hAnsiTheme="minorHAnsi" w:cstheme="minorHAnsi"/>
        </w:rPr>
        <w:t>Gendron</w:t>
      </w:r>
      <w:proofErr w:type="spellEnd"/>
      <w:r w:rsidR="007B77D9" w:rsidRPr="00025B9C">
        <w:rPr>
          <w:rFonts w:asciiTheme="minorHAnsi" w:hAnsiTheme="minorHAnsi" w:cstheme="minorHAnsi"/>
        </w:rPr>
        <w:t xml:space="preserve"> (2011, p. 260)</w:t>
      </w:r>
      <w:r w:rsidR="001E7B04" w:rsidRPr="00025B9C">
        <w:rPr>
          <w:rFonts w:asciiTheme="minorHAnsi" w:hAnsiTheme="minorHAnsi" w:cstheme="minorHAnsi"/>
        </w:rPr>
        <w:t>,</w:t>
      </w:r>
      <w:r w:rsidR="007B77D9" w:rsidRPr="00025B9C">
        <w:rPr>
          <w:rFonts w:asciiTheme="minorHAnsi" w:hAnsiTheme="minorHAnsi" w:cstheme="minorHAnsi"/>
        </w:rPr>
        <w:t xml:space="preserve"> is that “</w:t>
      </w:r>
      <w:r w:rsidR="007B77D9" w:rsidRPr="00025B9C">
        <w:rPr>
          <w:rFonts w:asciiTheme="minorHAnsi" w:eastAsia="Calibri" w:hAnsiTheme="minorHAnsi" w:cstheme="minorHAnsi"/>
          <w:lang w:eastAsia="en-IE"/>
        </w:rPr>
        <w:t>prescriptions have limitations since they are necessarily interpreted and enacted by complex and oftentimes unpredictable human beings”.</w:t>
      </w:r>
      <w:r w:rsidR="007B77D9" w:rsidRPr="00025B9C">
        <w:rPr>
          <w:rFonts w:asciiTheme="minorHAnsi" w:hAnsiTheme="minorHAnsi" w:cstheme="minorHAnsi"/>
        </w:rPr>
        <w:t xml:space="preserve"> </w:t>
      </w:r>
      <w:r w:rsidR="002D307C" w:rsidRPr="00025B9C">
        <w:rPr>
          <w:rFonts w:asciiTheme="minorHAnsi" w:hAnsiTheme="minorHAnsi" w:cstheme="minorHAnsi"/>
        </w:rPr>
        <w:t xml:space="preserve">Tremblay (2012) characterises corporate governance regulations as symbolic, only ceremonially adopted, yet strengthening people’s view of social order such that they create </w:t>
      </w:r>
      <w:r w:rsidR="000F794B" w:rsidRPr="00025B9C">
        <w:rPr>
          <w:rFonts w:asciiTheme="minorHAnsi" w:hAnsiTheme="minorHAnsi" w:cstheme="minorHAnsi"/>
        </w:rPr>
        <w:t>“</w:t>
      </w:r>
      <w:r w:rsidR="002D307C" w:rsidRPr="00025B9C">
        <w:rPr>
          <w:rFonts w:asciiTheme="minorHAnsi" w:hAnsiTheme="minorHAnsi" w:cstheme="minorHAnsi"/>
        </w:rPr>
        <w:t>illusions of control</w:t>
      </w:r>
      <w:r w:rsidR="00E86E9E" w:rsidRPr="00025B9C">
        <w:rPr>
          <w:rFonts w:asciiTheme="minorHAnsi" w:hAnsiTheme="minorHAnsi" w:cstheme="minorHAnsi"/>
        </w:rPr>
        <w:t>” (p. 395)</w:t>
      </w:r>
      <w:r w:rsidR="00555535" w:rsidRPr="00025B9C">
        <w:rPr>
          <w:rFonts w:asciiTheme="minorHAnsi" w:hAnsiTheme="minorHAnsi" w:cstheme="minorHAnsi"/>
        </w:rPr>
        <w:t xml:space="preserve">. </w:t>
      </w:r>
      <w:r w:rsidR="007B77D9" w:rsidRPr="00025B9C">
        <w:rPr>
          <w:rFonts w:asciiTheme="minorHAnsi" w:hAnsiTheme="minorHAnsi" w:cstheme="minorHAnsi"/>
        </w:rPr>
        <w:t xml:space="preserve">Highlighting the “portrayal gap” of corporate reporting, </w:t>
      </w:r>
      <w:proofErr w:type="spellStart"/>
      <w:r w:rsidR="007B77D9" w:rsidRPr="00025B9C">
        <w:rPr>
          <w:rFonts w:asciiTheme="minorHAnsi" w:hAnsiTheme="minorHAnsi" w:cstheme="minorHAnsi"/>
        </w:rPr>
        <w:t>Boiral</w:t>
      </w:r>
      <w:proofErr w:type="spellEnd"/>
      <w:r w:rsidR="007B77D9" w:rsidRPr="00025B9C">
        <w:rPr>
          <w:rFonts w:asciiTheme="minorHAnsi" w:hAnsiTheme="minorHAnsi" w:cstheme="minorHAnsi"/>
        </w:rPr>
        <w:t xml:space="preserve"> (2013, p. 1038) reflects on the misleading relationship between publicly avai</w:t>
      </w:r>
      <w:r w:rsidR="006E3A98" w:rsidRPr="00025B9C">
        <w:rPr>
          <w:rFonts w:asciiTheme="minorHAnsi" w:hAnsiTheme="minorHAnsi" w:cstheme="minorHAnsi"/>
        </w:rPr>
        <w:t>lable corporate information and</w:t>
      </w:r>
      <w:r w:rsidR="007B77D9" w:rsidRPr="00025B9C">
        <w:rPr>
          <w:rFonts w:asciiTheme="minorHAnsi" w:hAnsiTheme="minorHAnsi" w:cstheme="minorHAnsi"/>
        </w:rPr>
        <w:t>, referring to misleading images and representation</w:t>
      </w:r>
      <w:r w:rsidR="00CD2A3C" w:rsidRPr="00025B9C">
        <w:rPr>
          <w:rFonts w:asciiTheme="minorHAnsi" w:hAnsiTheme="minorHAnsi" w:cstheme="minorHAnsi"/>
        </w:rPr>
        <w:t>,</w:t>
      </w:r>
      <w:r w:rsidR="007B77D9" w:rsidRPr="00025B9C">
        <w:rPr>
          <w:rFonts w:asciiTheme="minorHAnsi" w:hAnsiTheme="minorHAnsi" w:cstheme="minorHAnsi"/>
        </w:rPr>
        <w:t xml:space="preserve"> simulacra used to camouflage problems and project an idealised view of the firm.</w:t>
      </w:r>
    </w:p>
    <w:p w:rsidR="004E183F" w:rsidRPr="00025B9C" w:rsidRDefault="004E183F" w:rsidP="00D665D9">
      <w:pPr>
        <w:spacing w:line="360" w:lineRule="auto"/>
        <w:jc w:val="both"/>
        <w:rPr>
          <w:rFonts w:asciiTheme="minorHAnsi" w:hAnsiTheme="minorHAnsi" w:cstheme="minorHAnsi"/>
        </w:rPr>
      </w:pPr>
    </w:p>
    <w:p w:rsidR="00C35257" w:rsidRPr="00025B9C" w:rsidRDefault="002B4C54" w:rsidP="00D665D9">
      <w:pPr>
        <w:spacing w:line="360" w:lineRule="auto"/>
        <w:jc w:val="both"/>
        <w:rPr>
          <w:rFonts w:asciiTheme="minorHAnsi" w:hAnsiTheme="minorHAnsi" w:cstheme="minorHAnsi"/>
        </w:rPr>
      </w:pPr>
      <w:r w:rsidRPr="00025B9C">
        <w:rPr>
          <w:rFonts w:asciiTheme="minorHAnsi" w:hAnsiTheme="minorHAnsi" w:cstheme="minorHAnsi"/>
        </w:rPr>
        <w:t>S</w:t>
      </w:r>
      <w:r w:rsidR="0098767B" w:rsidRPr="00025B9C">
        <w:rPr>
          <w:rFonts w:asciiTheme="minorHAnsi" w:hAnsiTheme="minorHAnsi" w:cstheme="minorHAnsi"/>
        </w:rPr>
        <w:t xml:space="preserve">hortcomings in the quality of explanations </w:t>
      </w:r>
      <w:r w:rsidRPr="00025B9C">
        <w:rPr>
          <w:rFonts w:asciiTheme="minorHAnsi" w:hAnsiTheme="minorHAnsi" w:cstheme="minorHAnsi"/>
        </w:rPr>
        <w:t xml:space="preserve">have been </w:t>
      </w:r>
      <w:r w:rsidR="0098767B" w:rsidRPr="00025B9C">
        <w:rPr>
          <w:rFonts w:asciiTheme="minorHAnsi" w:hAnsiTheme="minorHAnsi" w:cstheme="minorHAnsi"/>
        </w:rPr>
        <w:t xml:space="preserve">identified by both academics </w:t>
      </w:r>
      <w:r w:rsidR="00FB5D78" w:rsidRPr="00025B9C">
        <w:rPr>
          <w:rFonts w:asciiTheme="minorHAnsi" w:hAnsiTheme="minorHAnsi" w:cstheme="minorHAnsi"/>
        </w:rPr>
        <w:t>(</w:t>
      </w:r>
      <w:proofErr w:type="spellStart"/>
      <w:r w:rsidR="002A31B3" w:rsidRPr="00025B9C">
        <w:rPr>
          <w:rFonts w:asciiTheme="minorHAnsi" w:hAnsiTheme="minorHAnsi" w:cstheme="minorHAnsi"/>
        </w:rPr>
        <w:t>Arcot</w:t>
      </w:r>
      <w:proofErr w:type="spellEnd"/>
      <w:r w:rsidR="00003DB4" w:rsidRPr="00025B9C">
        <w:rPr>
          <w:rFonts w:asciiTheme="minorHAnsi" w:hAnsiTheme="minorHAnsi" w:cstheme="minorHAnsi"/>
        </w:rPr>
        <w:t>, Bruno &amp; Faure-</w:t>
      </w:r>
      <w:proofErr w:type="spellStart"/>
      <w:r w:rsidR="00003DB4" w:rsidRPr="00025B9C">
        <w:rPr>
          <w:rFonts w:asciiTheme="minorHAnsi" w:hAnsiTheme="minorHAnsi" w:cstheme="minorHAnsi"/>
        </w:rPr>
        <w:t>Grimaud</w:t>
      </w:r>
      <w:proofErr w:type="spellEnd"/>
      <w:r w:rsidR="002A31B3" w:rsidRPr="00025B9C">
        <w:rPr>
          <w:rFonts w:asciiTheme="minorHAnsi" w:hAnsiTheme="minorHAnsi" w:cstheme="minorHAnsi"/>
        </w:rPr>
        <w:t>, 2010</w:t>
      </w:r>
      <w:r w:rsidR="00CA1B5F" w:rsidRPr="00025B9C">
        <w:rPr>
          <w:rFonts w:asciiTheme="minorHAnsi" w:hAnsiTheme="minorHAnsi" w:cstheme="minorHAnsi"/>
        </w:rPr>
        <w:t>; Rose, 2016</w:t>
      </w:r>
      <w:r w:rsidR="004C32F4" w:rsidRPr="00025B9C">
        <w:rPr>
          <w:rFonts w:asciiTheme="minorHAnsi" w:hAnsiTheme="minorHAnsi" w:cstheme="minorHAnsi"/>
        </w:rPr>
        <w:t>)</w:t>
      </w:r>
      <w:r w:rsidR="0098767B" w:rsidRPr="00025B9C">
        <w:rPr>
          <w:rFonts w:asciiTheme="minorHAnsi" w:hAnsiTheme="minorHAnsi" w:cstheme="minorHAnsi"/>
        </w:rPr>
        <w:t xml:space="preserve"> and regulators (European Commission, 2011)</w:t>
      </w:r>
      <w:r w:rsidR="0088440E" w:rsidRPr="00025B9C">
        <w:rPr>
          <w:rFonts w:asciiTheme="minorHAnsi" w:hAnsiTheme="minorHAnsi" w:cstheme="minorHAnsi"/>
        </w:rPr>
        <w:t>, with the Financial Reporting Council</w:t>
      </w:r>
      <w:r w:rsidR="00286D53" w:rsidRPr="00025B9C">
        <w:rPr>
          <w:rFonts w:asciiTheme="minorHAnsi" w:hAnsiTheme="minorHAnsi" w:cstheme="minorHAnsi"/>
        </w:rPr>
        <w:t xml:space="preserve"> (FRC)</w:t>
      </w:r>
      <w:r w:rsidR="0088440E" w:rsidRPr="00025B9C">
        <w:rPr>
          <w:rFonts w:asciiTheme="minorHAnsi" w:hAnsiTheme="minorHAnsi" w:cstheme="minorHAnsi"/>
        </w:rPr>
        <w:t xml:space="preserve"> (2013</w:t>
      </w:r>
      <w:r w:rsidR="005F5EC8" w:rsidRPr="00025B9C">
        <w:rPr>
          <w:rFonts w:asciiTheme="minorHAnsi" w:hAnsiTheme="minorHAnsi" w:cstheme="minorHAnsi"/>
        </w:rPr>
        <w:t xml:space="preserve">, p. </w:t>
      </w:r>
      <w:r w:rsidR="00E61811" w:rsidRPr="00025B9C">
        <w:rPr>
          <w:rFonts w:asciiTheme="minorHAnsi" w:hAnsiTheme="minorHAnsi" w:cstheme="minorHAnsi"/>
        </w:rPr>
        <w:t>2</w:t>
      </w:r>
      <w:r w:rsidR="0088440E" w:rsidRPr="00025B9C">
        <w:rPr>
          <w:rFonts w:asciiTheme="minorHAnsi" w:hAnsiTheme="minorHAnsi" w:cstheme="minorHAnsi"/>
        </w:rPr>
        <w:t>) stating that</w:t>
      </w:r>
      <w:r w:rsidR="0088440E" w:rsidRPr="00025B9C">
        <w:rPr>
          <w:rFonts w:asciiTheme="minorHAnsi" w:hAnsiTheme="minorHAnsi" w:cstheme="minorHAnsi"/>
          <w:lang w:eastAsia="en-IE"/>
        </w:rPr>
        <w:t xml:space="preserve"> </w:t>
      </w:r>
      <w:r w:rsidR="00E61811" w:rsidRPr="00025B9C">
        <w:rPr>
          <w:rFonts w:asciiTheme="minorHAnsi" w:hAnsiTheme="minorHAnsi" w:cstheme="minorHAnsi"/>
          <w:lang w:eastAsia="en-IE"/>
        </w:rPr>
        <w:t>“</w:t>
      </w:r>
      <w:r w:rsidR="0088440E" w:rsidRPr="00025B9C">
        <w:rPr>
          <w:rFonts w:asciiTheme="minorHAnsi" w:hAnsiTheme="minorHAnsi" w:cstheme="minorHAnsi"/>
          <w:lang w:eastAsia="en-IE"/>
        </w:rPr>
        <w:t>the</w:t>
      </w:r>
      <w:r w:rsidR="00E61811" w:rsidRPr="00025B9C">
        <w:rPr>
          <w:rFonts w:asciiTheme="minorHAnsi" w:hAnsiTheme="minorHAnsi" w:cstheme="minorHAnsi"/>
          <w:lang w:eastAsia="en-IE"/>
        </w:rPr>
        <w:t xml:space="preserve"> </w:t>
      </w:r>
      <w:r w:rsidR="0088440E" w:rsidRPr="00025B9C">
        <w:rPr>
          <w:rFonts w:asciiTheme="minorHAnsi" w:hAnsiTheme="minorHAnsi" w:cstheme="minorHAnsi"/>
          <w:lang w:eastAsia="en-IE"/>
        </w:rPr>
        <w:t xml:space="preserve">variable quality of explanations remains </w:t>
      </w:r>
      <w:r w:rsidR="00B5174D" w:rsidRPr="00025B9C">
        <w:rPr>
          <w:rFonts w:asciiTheme="minorHAnsi" w:hAnsiTheme="minorHAnsi" w:cstheme="minorHAnsi"/>
          <w:lang w:eastAsia="en-IE"/>
        </w:rPr>
        <w:t xml:space="preserve">its </w:t>
      </w:r>
      <w:r w:rsidR="00E61811" w:rsidRPr="00025B9C">
        <w:rPr>
          <w:rFonts w:asciiTheme="minorHAnsi" w:hAnsiTheme="minorHAnsi" w:cstheme="minorHAnsi"/>
          <w:lang w:eastAsia="en-IE"/>
        </w:rPr>
        <w:t xml:space="preserve">[the UK Corporate Governance Code’s] </w:t>
      </w:r>
      <w:r w:rsidR="0088440E" w:rsidRPr="00025B9C">
        <w:rPr>
          <w:rFonts w:asciiTheme="minorHAnsi" w:hAnsiTheme="minorHAnsi" w:cstheme="minorHAnsi"/>
          <w:lang w:eastAsia="en-IE"/>
        </w:rPr>
        <w:t>Achilles heel</w:t>
      </w:r>
      <w:r w:rsidR="00972A37" w:rsidRPr="00025B9C">
        <w:rPr>
          <w:rFonts w:asciiTheme="minorHAnsi" w:hAnsiTheme="minorHAnsi" w:cstheme="minorHAnsi"/>
          <w:lang w:eastAsia="en-IE"/>
        </w:rPr>
        <w:t>”.</w:t>
      </w:r>
      <w:r w:rsidR="004C32F4" w:rsidRPr="00025B9C">
        <w:rPr>
          <w:rFonts w:asciiTheme="minorHAnsi" w:hAnsiTheme="minorHAnsi" w:cstheme="minorHAnsi"/>
        </w:rPr>
        <w:t xml:space="preserve"> </w:t>
      </w:r>
      <w:r w:rsidR="000A6518" w:rsidRPr="00025B9C">
        <w:rPr>
          <w:rFonts w:asciiTheme="minorHAnsi" w:hAnsiTheme="minorHAnsi" w:cstheme="minorHAnsi"/>
        </w:rPr>
        <w:t xml:space="preserve">The </w:t>
      </w:r>
      <w:r w:rsidR="00C35257" w:rsidRPr="00025B9C">
        <w:rPr>
          <w:rFonts w:asciiTheme="minorHAnsi" w:hAnsiTheme="minorHAnsi" w:cstheme="minorHAnsi"/>
          <w:lang w:val="en"/>
        </w:rPr>
        <w:t xml:space="preserve">Bank of England Executive Director for Financial Stability, </w:t>
      </w:r>
      <w:r w:rsidR="000A6518" w:rsidRPr="00025B9C">
        <w:rPr>
          <w:rFonts w:asciiTheme="minorHAnsi" w:hAnsiTheme="minorHAnsi" w:cstheme="minorHAnsi"/>
        </w:rPr>
        <w:t>Andy Haldane (2012</w:t>
      </w:r>
      <w:r w:rsidR="005F5EC8" w:rsidRPr="00025B9C">
        <w:rPr>
          <w:rFonts w:asciiTheme="minorHAnsi" w:hAnsiTheme="minorHAnsi" w:cstheme="minorHAnsi"/>
          <w:lang w:val="en-IE"/>
        </w:rPr>
        <w:t xml:space="preserve">, p. </w:t>
      </w:r>
      <w:r w:rsidR="000A6518" w:rsidRPr="00025B9C">
        <w:rPr>
          <w:rFonts w:asciiTheme="minorHAnsi" w:hAnsiTheme="minorHAnsi" w:cstheme="minorHAnsi"/>
          <w:lang w:val="en-IE"/>
        </w:rPr>
        <w:t>7</w:t>
      </w:r>
      <w:r w:rsidR="000A6518" w:rsidRPr="00025B9C">
        <w:rPr>
          <w:rFonts w:asciiTheme="minorHAnsi" w:hAnsiTheme="minorHAnsi" w:cstheme="minorHAnsi"/>
        </w:rPr>
        <w:t xml:space="preserve">), </w:t>
      </w:r>
      <w:r w:rsidR="00C35257" w:rsidRPr="00025B9C">
        <w:rPr>
          <w:rFonts w:asciiTheme="minorHAnsi" w:hAnsiTheme="minorHAnsi" w:cstheme="minorHAnsi"/>
        </w:rPr>
        <w:t xml:space="preserve">observes that with complex regulations, managers may </w:t>
      </w:r>
      <w:r w:rsidR="002E2D2A" w:rsidRPr="00025B9C">
        <w:rPr>
          <w:rFonts w:asciiTheme="minorHAnsi" w:hAnsiTheme="minorHAnsi" w:cstheme="minorHAnsi"/>
        </w:rPr>
        <w:t>“</w:t>
      </w:r>
      <w:r w:rsidR="00C35257" w:rsidRPr="00025B9C">
        <w:rPr>
          <w:rFonts w:asciiTheme="minorHAnsi" w:hAnsiTheme="minorHAnsi" w:cstheme="minorHAnsi"/>
        </w:rPr>
        <w:t xml:space="preserve">manage </w:t>
      </w:r>
      <w:r w:rsidR="00BA5125" w:rsidRPr="00025B9C">
        <w:rPr>
          <w:rFonts w:asciiTheme="minorHAnsi" w:hAnsiTheme="minorHAnsi" w:cstheme="minorHAnsi"/>
        </w:rPr>
        <w:t xml:space="preserve">to </w:t>
      </w:r>
      <w:r w:rsidR="00C35257" w:rsidRPr="00025B9C">
        <w:rPr>
          <w:rFonts w:asciiTheme="minorHAnsi" w:hAnsiTheme="minorHAnsi" w:cstheme="minorHAnsi"/>
        </w:rPr>
        <w:t>the rules</w:t>
      </w:r>
      <w:r w:rsidR="002E2D2A" w:rsidRPr="00025B9C">
        <w:rPr>
          <w:rFonts w:asciiTheme="minorHAnsi" w:hAnsiTheme="minorHAnsi" w:cstheme="minorHAnsi"/>
        </w:rPr>
        <w:t>”</w:t>
      </w:r>
      <w:r w:rsidR="00C35257" w:rsidRPr="00025B9C">
        <w:rPr>
          <w:rFonts w:asciiTheme="minorHAnsi" w:hAnsiTheme="minorHAnsi" w:cstheme="minorHAnsi"/>
        </w:rPr>
        <w:t xml:space="preserve"> rather than </w:t>
      </w:r>
      <w:r w:rsidR="000A6518" w:rsidRPr="00025B9C">
        <w:rPr>
          <w:rFonts w:asciiTheme="minorHAnsi" w:hAnsiTheme="minorHAnsi" w:cstheme="minorHAnsi"/>
        </w:rPr>
        <w:t xml:space="preserve">applying </w:t>
      </w:r>
      <w:r w:rsidR="00C35257" w:rsidRPr="00025B9C">
        <w:rPr>
          <w:rFonts w:asciiTheme="minorHAnsi" w:hAnsiTheme="minorHAnsi" w:cstheme="minorHAnsi"/>
        </w:rPr>
        <w:t>the spirit or substance of those rules “focussing on the small print at the expense of the bigger picture</w:t>
      </w:r>
      <w:r w:rsidR="00972A37" w:rsidRPr="00025B9C">
        <w:rPr>
          <w:rFonts w:asciiTheme="minorHAnsi" w:hAnsiTheme="minorHAnsi" w:cstheme="minorHAnsi"/>
        </w:rPr>
        <w:t>”.</w:t>
      </w:r>
      <w:r w:rsidR="0031274F" w:rsidRPr="00025B9C">
        <w:rPr>
          <w:rFonts w:asciiTheme="minorHAnsi" w:hAnsiTheme="minorHAnsi" w:cstheme="minorHAnsi"/>
        </w:rPr>
        <w:t xml:space="preserve"> </w:t>
      </w:r>
      <w:proofErr w:type="spellStart"/>
      <w:r w:rsidR="00F56A89" w:rsidRPr="00025B9C">
        <w:rPr>
          <w:rFonts w:asciiTheme="minorHAnsi" w:hAnsiTheme="minorHAnsi" w:cstheme="minorHAnsi"/>
        </w:rPr>
        <w:t>Keay</w:t>
      </w:r>
      <w:proofErr w:type="spellEnd"/>
      <w:r w:rsidR="00F56A89" w:rsidRPr="00025B9C">
        <w:rPr>
          <w:rFonts w:asciiTheme="minorHAnsi" w:hAnsiTheme="minorHAnsi" w:cstheme="minorHAnsi"/>
        </w:rPr>
        <w:t xml:space="preserve"> </w:t>
      </w:r>
      <w:r w:rsidR="00F56A89" w:rsidRPr="00025B9C">
        <w:rPr>
          <w:rFonts w:asciiTheme="minorHAnsi" w:hAnsiTheme="minorHAnsi" w:cstheme="minorHAnsi"/>
          <w:lang w:val="en-IE"/>
        </w:rPr>
        <w:t>(</w:t>
      </w:r>
      <w:r w:rsidR="00F56A89" w:rsidRPr="00025B9C">
        <w:rPr>
          <w:rFonts w:asciiTheme="minorHAnsi" w:hAnsiTheme="minorHAnsi" w:cstheme="minorHAnsi"/>
        </w:rPr>
        <w:t>2014) questions whether</w:t>
      </w:r>
      <w:r w:rsidR="00F40CF6" w:rsidRPr="00025B9C">
        <w:rPr>
          <w:rFonts w:asciiTheme="minorHAnsi" w:hAnsiTheme="minorHAnsi" w:cstheme="minorHAnsi"/>
        </w:rPr>
        <w:t>,</w:t>
      </w:r>
      <w:r w:rsidR="00F56A89" w:rsidRPr="00025B9C">
        <w:rPr>
          <w:rFonts w:asciiTheme="minorHAnsi" w:hAnsiTheme="minorHAnsi" w:cstheme="minorHAnsi"/>
        </w:rPr>
        <w:t xml:space="preserve"> </w:t>
      </w:r>
      <w:r w:rsidR="00F40CF6" w:rsidRPr="00025B9C">
        <w:rPr>
          <w:rFonts w:asciiTheme="minorHAnsi" w:hAnsiTheme="minorHAnsi" w:cstheme="minorHAnsi"/>
        </w:rPr>
        <w:t xml:space="preserve">in providing explanations, </w:t>
      </w:r>
      <w:r w:rsidR="00F56A89" w:rsidRPr="00025B9C">
        <w:rPr>
          <w:rFonts w:asciiTheme="minorHAnsi" w:hAnsiTheme="minorHAnsi" w:cstheme="minorHAnsi"/>
        </w:rPr>
        <w:t>boards of directors</w:t>
      </w:r>
      <w:r w:rsidR="001B1121" w:rsidRPr="00025B9C">
        <w:rPr>
          <w:rFonts w:asciiTheme="minorHAnsi" w:hAnsiTheme="minorHAnsi" w:cstheme="minorHAnsi"/>
        </w:rPr>
        <w:t xml:space="preserve"> a</w:t>
      </w:r>
      <w:r w:rsidR="00F40CF6" w:rsidRPr="00025B9C">
        <w:rPr>
          <w:rFonts w:asciiTheme="minorHAnsi" w:hAnsiTheme="minorHAnsi" w:cstheme="minorHAnsi"/>
        </w:rPr>
        <w:t xml:space="preserve">re motivated by what they can get away with. </w:t>
      </w:r>
      <w:proofErr w:type="spellStart"/>
      <w:r w:rsidR="00E26AF1" w:rsidRPr="00025B9C">
        <w:rPr>
          <w:rFonts w:asciiTheme="minorHAnsi" w:hAnsiTheme="minorHAnsi" w:cstheme="minorHAnsi"/>
        </w:rPr>
        <w:t>Veldman</w:t>
      </w:r>
      <w:proofErr w:type="spellEnd"/>
      <w:r w:rsidR="00E26AF1" w:rsidRPr="00025B9C">
        <w:rPr>
          <w:rFonts w:asciiTheme="minorHAnsi" w:hAnsiTheme="minorHAnsi" w:cstheme="minorHAnsi"/>
        </w:rPr>
        <w:t xml:space="preserve"> &amp; Willmott (2016</w:t>
      </w:r>
      <w:r w:rsidR="005F5EC8" w:rsidRPr="00025B9C">
        <w:rPr>
          <w:rFonts w:asciiTheme="minorHAnsi" w:hAnsiTheme="minorHAnsi" w:cstheme="minorHAnsi"/>
        </w:rPr>
        <w:t xml:space="preserve">, p. </w:t>
      </w:r>
      <w:r w:rsidR="00E26AF1" w:rsidRPr="00025B9C">
        <w:rPr>
          <w:rFonts w:asciiTheme="minorHAnsi" w:hAnsiTheme="minorHAnsi" w:cstheme="minorHAnsi"/>
        </w:rPr>
        <w:t>58</w:t>
      </w:r>
      <w:r w:rsidR="0031274F" w:rsidRPr="00025B9C">
        <w:rPr>
          <w:rFonts w:asciiTheme="minorHAnsi" w:hAnsiTheme="minorHAnsi" w:cstheme="minorHAnsi"/>
        </w:rPr>
        <w:t xml:space="preserve">1) believe the Code is “infused </w:t>
      </w:r>
      <w:r w:rsidR="006D2A20" w:rsidRPr="00025B9C">
        <w:rPr>
          <w:rFonts w:asciiTheme="minorHAnsi" w:hAnsiTheme="minorHAnsi" w:cstheme="minorHAnsi"/>
        </w:rPr>
        <w:t xml:space="preserve">by a </w:t>
      </w:r>
      <w:r w:rsidR="00CD2A3C" w:rsidRPr="00025B9C">
        <w:rPr>
          <w:rFonts w:asciiTheme="minorHAnsi" w:hAnsiTheme="minorHAnsi" w:cstheme="minorHAnsi"/>
        </w:rPr>
        <w:t>‘</w:t>
      </w:r>
      <w:r w:rsidR="0031274F" w:rsidRPr="00025B9C">
        <w:rPr>
          <w:rFonts w:asciiTheme="minorHAnsi" w:hAnsiTheme="minorHAnsi" w:cstheme="minorHAnsi"/>
        </w:rPr>
        <w:t>cultural grammar</w:t>
      </w:r>
      <w:r w:rsidR="00CD2A3C" w:rsidRPr="00025B9C">
        <w:rPr>
          <w:rFonts w:asciiTheme="minorHAnsi" w:hAnsiTheme="minorHAnsi" w:cstheme="minorHAnsi"/>
        </w:rPr>
        <w:t>’</w:t>
      </w:r>
      <w:r w:rsidR="006D2A20" w:rsidRPr="00025B9C">
        <w:rPr>
          <w:rFonts w:asciiTheme="minorHAnsi" w:hAnsiTheme="minorHAnsi" w:cstheme="minorHAnsi"/>
        </w:rPr>
        <w:t xml:space="preserve"> </w:t>
      </w:r>
      <w:r w:rsidR="00D25ED2" w:rsidRPr="00025B9C">
        <w:rPr>
          <w:rFonts w:asciiTheme="minorHAnsi" w:hAnsiTheme="minorHAnsi" w:cstheme="minorHAnsi"/>
        </w:rPr>
        <w:t>that…</w:t>
      </w:r>
      <w:r w:rsidR="0031274F" w:rsidRPr="00025B9C">
        <w:rPr>
          <w:rFonts w:asciiTheme="minorHAnsi" w:hAnsiTheme="minorHAnsi" w:cstheme="minorHAnsi"/>
        </w:rPr>
        <w:t>rest</w:t>
      </w:r>
      <w:r w:rsidR="006D2A20" w:rsidRPr="00025B9C">
        <w:rPr>
          <w:rFonts w:asciiTheme="minorHAnsi" w:hAnsiTheme="minorHAnsi" w:cstheme="minorHAnsi"/>
        </w:rPr>
        <w:t>ricts accountability to narrow</w:t>
      </w:r>
      <w:r w:rsidR="0031274F" w:rsidRPr="00025B9C">
        <w:rPr>
          <w:rFonts w:asciiTheme="minorHAnsi" w:hAnsiTheme="minorHAnsi" w:cstheme="minorHAnsi"/>
        </w:rPr>
        <w:t xml:space="preserve"> forms of information disclosure</w:t>
      </w:r>
      <w:r w:rsidR="006D2A20" w:rsidRPr="00025B9C">
        <w:rPr>
          <w:rFonts w:asciiTheme="minorHAnsi" w:hAnsiTheme="minorHAnsi" w:cstheme="minorHAnsi"/>
        </w:rPr>
        <w:t>...</w:t>
      </w:r>
      <w:r w:rsidR="00972A37" w:rsidRPr="00025B9C">
        <w:rPr>
          <w:rFonts w:asciiTheme="minorHAnsi" w:hAnsiTheme="minorHAnsi" w:cstheme="minorHAnsi"/>
        </w:rPr>
        <w:t>”.</w:t>
      </w:r>
    </w:p>
    <w:p w:rsidR="00A23839" w:rsidRPr="00025B9C" w:rsidRDefault="00A23839" w:rsidP="00A23839">
      <w:pPr>
        <w:spacing w:line="360" w:lineRule="auto"/>
        <w:jc w:val="both"/>
        <w:rPr>
          <w:rFonts w:asciiTheme="minorHAnsi" w:hAnsiTheme="minorHAnsi" w:cstheme="minorHAnsi"/>
          <w:b/>
        </w:rPr>
      </w:pPr>
      <w:r w:rsidRPr="00025B9C">
        <w:rPr>
          <w:rFonts w:asciiTheme="minorHAnsi" w:hAnsiTheme="minorHAnsi" w:cstheme="minorHAnsi"/>
          <w:b/>
        </w:rPr>
        <w:t>&lt;Insert Table 1 about here&gt;</w:t>
      </w:r>
    </w:p>
    <w:p w:rsidR="006D2A20" w:rsidRPr="00025B9C" w:rsidRDefault="006D2A20" w:rsidP="00D665D9">
      <w:pPr>
        <w:spacing w:line="360" w:lineRule="auto"/>
        <w:jc w:val="both"/>
        <w:rPr>
          <w:rFonts w:asciiTheme="minorHAnsi" w:hAnsiTheme="minorHAnsi" w:cstheme="minorHAnsi"/>
        </w:rPr>
      </w:pPr>
    </w:p>
    <w:p w:rsidR="001769EB" w:rsidRPr="00025B9C" w:rsidRDefault="00B00C0C" w:rsidP="00D665D9">
      <w:pPr>
        <w:spacing w:line="360" w:lineRule="auto"/>
        <w:jc w:val="both"/>
        <w:rPr>
          <w:rFonts w:asciiTheme="minorHAnsi" w:hAnsiTheme="minorHAnsi" w:cstheme="minorHAnsi"/>
        </w:rPr>
      </w:pPr>
      <w:r w:rsidRPr="00025B9C">
        <w:rPr>
          <w:rFonts w:asciiTheme="minorHAnsi" w:hAnsiTheme="minorHAnsi" w:cstheme="minorHAnsi"/>
        </w:rPr>
        <w:t>Non-compliance explanations have</w:t>
      </w:r>
      <w:r w:rsidR="00E61811" w:rsidRPr="00025B9C">
        <w:rPr>
          <w:rFonts w:asciiTheme="minorHAnsi" w:hAnsiTheme="minorHAnsi" w:cstheme="minorHAnsi"/>
        </w:rPr>
        <w:t xml:space="preserve"> been analysed by reference to acceptability (Pass, 2006), s</w:t>
      </w:r>
      <w:r w:rsidR="000E5CBB" w:rsidRPr="00025B9C">
        <w:rPr>
          <w:rFonts w:asciiTheme="minorHAnsi" w:hAnsiTheme="minorHAnsi" w:cstheme="minorHAnsi"/>
        </w:rPr>
        <w:t>pecificity (</w:t>
      </w:r>
      <w:proofErr w:type="spellStart"/>
      <w:r w:rsidR="000E5CBB" w:rsidRPr="00025B9C">
        <w:rPr>
          <w:rFonts w:asciiTheme="minorHAnsi" w:hAnsiTheme="minorHAnsi" w:cstheme="minorHAnsi"/>
        </w:rPr>
        <w:t>Arcot</w:t>
      </w:r>
      <w:proofErr w:type="spellEnd"/>
      <w:r w:rsidR="002C3F44" w:rsidRPr="00025B9C">
        <w:rPr>
          <w:rFonts w:asciiTheme="minorHAnsi" w:hAnsiTheme="minorHAnsi" w:cstheme="minorHAnsi"/>
        </w:rPr>
        <w:t>, Bruno &amp; Faure-</w:t>
      </w:r>
      <w:proofErr w:type="spellStart"/>
      <w:r w:rsidR="002C3F44" w:rsidRPr="00025B9C">
        <w:rPr>
          <w:rFonts w:asciiTheme="minorHAnsi" w:hAnsiTheme="minorHAnsi" w:cstheme="minorHAnsi"/>
        </w:rPr>
        <w:t>Grimaud</w:t>
      </w:r>
      <w:proofErr w:type="spellEnd"/>
      <w:r w:rsidR="002C3F44" w:rsidRPr="00025B9C">
        <w:rPr>
          <w:rFonts w:asciiTheme="minorHAnsi" w:hAnsiTheme="minorHAnsi" w:cstheme="minorHAnsi"/>
        </w:rPr>
        <w:t xml:space="preserve">, </w:t>
      </w:r>
      <w:r w:rsidR="00E61811" w:rsidRPr="00025B9C">
        <w:rPr>
          <w:rFonts w:asciiTheme="minorHAnsi" w:hAnsiTheme="minorHAnsi" w:cstheme="minorHAnsi"/>
        </w:rPr>
        <w:t xml:space="preserve">2010; </w:t>
      </w:r>
      <w:proofErr w:type="spellStart"/>
      <w:r w:rsidR="00E61811" w:rsidRPr="00025B9C">
        <w:rPr>
          <w:rFonts w:asciiTheme="minorHAnsi" w:hAnsiTheme="minorHAnsi" w:cstheme="minorHAnsi"/>
        </w:rPr>
        <w:t>Hooghiemstra</w:t>
      </w:r>
      <w:proofErr w:type="spellEnd"/>
      <w:r w:rsidR="00E61811" w:rsidRPr="00025B9C">
        <w:rPr>
          <w:rFonts w:asciiTheme="minorHAnsi" w:hAnsiTheme="minorHAnsi" w:cstheme="minorHAnsi"/>
        </w:rPr>
        <w:t xml:space="preserve">, 2012), </w:t>
      </w:r>
      <w:r w:rsidR="00224EAB" w:rsidRPr="00025B9C">
        <w:rPr>
          <w:rFonts w:asciiTheme="minorHAnsi" w:hAnsiTheme="minorHAnsi" w:cstheme="minorHAnsi"/>
        </w:rPr>
        <w:t>arguments mobiliz</w:t>
      </w:r>
      <w:r w:rsidR="00C86FDB" w:rsidRPr="00025B9C">
        <w:rPr>
          <w:rFonts w:asciiTheme="minorHAnsi" w:hAnsiTheme="minorHAnsi" w:cstheme="minorHAnsi"/>
        </w:rPr>
        <w:t>ed (</w:t>
      </w:r>
      <w:proofErr w:type="spellStart"/>
      <w:r w:rsidR="00C86FDB" w:rsidRPr="00025B9C">
        <w:rPr>
          <w:rFonts w:asciiTheme="minorHAnsi" w:hAnsiTheme="minorHAnsi" w:cstheme="minorHAnsi"/>
        </w:rPr>
        <w:t>Hooghiemstra</w:t>
      </w:r>
      <w:proofErr w:type="spellEnd"/>
      <w:r w:rsidR="00C86FDB" w:rsidRPr="00025B9C">
        <w:rPr>
          <w:rFonts w:asciiTheme="minorHAnsi" w:hAnsiTheme="minorHAnsi" w:cstheme="minorHAnsi"/>
        </w:rPr>
        <w:t xml:space="preserve"> &amp; van </w:t>
      </w:r>
      <w:proofErr w:type="spellStart"/>
      <w:r w:rsidR="00C86FDB" w:rsidRPr="00025B9C">
        <w:rPr>
          <w:rFonts w:asciiTheme="minorHAnsi" w:hAnsiTheme="minorHAnsi" w:cstheme="minorHAnsi"/>
        </w:rPr>
        <w:t>Ees</w:t>
      </w:r>
      <w:proofErr w:type="spellEnd"/>
      <w:r w:rsidR="00C86FDB" w:rsidRPr="00025B9C">
        <w:rPr>
          <w:rFonts w:asciiTheme="minorHAnsi" w:hAnsiTheme="minorHAnsi" w:cstheme="minorHAnsi"/>
        </w:rPr>
        <w:t xml:space="preserve">, 2011), </w:t>
      </w:r>
      <w:r w:rsidR="00E61811" w:rsidRPr="00025B9C">
        <w:rPr>
          <w:rFonts w:asciiTheme="minorHAnsi" w:hAnsiTheme="minorHAnsi" w:cstheme="minorHAnsi"/>
        </w:rPr>
        <w:t>legitimacy tactics (</w:t>
      </w:r>
      <w:proofErr w:type="spellStart"/>
      <w:r w:rsidR="00E61811" w:rsidRPr="00025B9C">
        <w:rPr>
          <w:rFonts w:asciiTheme="minorHAnsi" w:hAnsiTheme="minorHAnsi" w:cstheme="minorHAnsi"/>
        </w:rPr>
        <w:t>Seidl</w:t>
      </w:r>
      <w:proofErr w:type="spellEnd"/>
      <w:r w:rsidR="00C86FDB" w:rsidRPr="00025B9C">
        <w:rPr>
          <w:rFonts w:asciiTheme="minorHAnsi" w:hAnsiTheme="minorHAnsi" w:cstheme="minorHAnsi"/>
        </w:rPr>
        <w:t>,</w:t>
      </w:r>
      <w:r w:rsidR="00E61811" w:rsidRPr="00025B9C">
        <w:rPr>
          <w:rFonts w:asciiTheme="minorHAnsi" w:hAnsiTheme="minorHAnsi" w:cstheme="minorHAnsi"/>
        </w:rPr>
        <w:t xml:space="preserve"> </w:t>
      </w:r>
      <w:r w:rsidR="00C86FDB" w:rsidRPr="00025B9C">
        <w:rPr>
          <w:rFonts w:asciiTheme="minorHAnsi" w:hAnsiTheme="minorHAnsi" w:cstheme="minorHAnsi"/>
        </w:rPr>
        <w:t xml:space="preserve">Sanderson &amp; Roberts, </w:t>
      </w:r>
      <w:r w:rsidR="00E61811" w:rsidRPr="00025B9C">
        <w:rPr>
          <w:rFonts w:asciiTheme="minorHAnsi" w:hAnsiTheme="minorHAnsi" w:cstheme="minorHAnsi"/>
        </w:rPr>
        <w:t xml:space="preserve">2013) and </w:t>
      </w:r>
      <w:r w:rsidR="009C67CF" w:rsidRPr="00025B9C">
        <w:rPr>
          <w:rFonts w:asciiTheme="minorHAnsi" w:hAnsiTheme="minorHAnsi" w:cstheme="minorHAnsi"/>
        </w:rPr>
        <w:t xml:space="preserve">quality characteristics (Shrives </w:t>
      </w:r>
      <w:r w:rsidR="00C86FDB" w:rsidRPr="00025B9C">
        <w:rPr>
          <w:rFonts w:asciiTheme="minorHAnsi" w:hAnsiTheme="minorHAnsi" w:cstheme="minorHAnsi"/>
        </w:rPr>
        <w:t xml:space="preserve">&amp; </w:t>
      </w:r>
      <w:r w:rsidR="009C67CF" w:rsidRPr="00025B9C">
        <w:rPr>
          <w:rFonts w:asciiTheme="minorHAnsi" w:hAnsiTheme="minorHAnsi" w:cstheme="minorHAnsi"/>
        </w:rPr>
        <w:t>Brennan, 2015)</w:t>
      </w:r>
      <w:r w:rsidR="00E61811" w:rsidRPr="00025B9C">
        <w:rPr>
          <w:rFonts w:asciiTheme="minorHAnsi" w:hAnsiTheme="minorHAnsi" w:cstheme="minorHAnsi"/>
        </w:rPr>
        <w:t>. This paper takes a different approach – looking instead at the rhetorical strategies applied by companies in persuading audiences of the explanation</w:t>
      </w:r>
      <w:r w:rsidR="009C67CF" w:rsidRPr="00025B9C">
        <w:rPr>
          <w:rFonts w:asciiTheme="minorHAnsi" w:hAnsiTheme="minorHAnsi" w:cstheme="minorHAnsi"/>
        </w:rPr>
        <w:t>s proffered</w:t>
      </w:r>
      <w:r w:rsidR="00E61811" w:rsidRPr="00025B9C">
        <w:rPr>
          <w:rFonts w:asciiTheme="minorHAnsi" w:hAnsiTheme="minorHAnsi" w:cstheme="minorHAnsi"/>
        </w:rPr>
        <w:t>.</w:t>
      </w:r>
      <w:r w:rsidR="00210F50" w:rsidRPr="00025B9C">
        <w:rPr>
          <w:rFonts w:asciiTheme="minorHAnsi" w:hAnsiTheme="minorHAnsi" w:cstheme="minorHAnsi"/>
        </w:rPr>
        <w:t xml:space="preserve"> </w:t>
      </w:r>
      <w:r w:rsidR="00AD0A58" w:rsidRPr="00025B9C">
        <w:rPr>
          <w:rFonts w:asciiTheme="minorHAnsi" w:hAnsiTheme="minorHAnsi" w:cstheme="minorHAnsi"/>
          <w:bCs/>
        </w:rPr>
        <w:t>E</w:t>
      </w:r>
      <w:r w:rsidR="00DF7A00" w:rsidRPr="00025B9C">
        <w:rPr>
          <w:rFonts w:asciiTheme="minorHAnsi" w:hAnsiTheme="minorHAnsi" w:cstheme="minorHAnsi"/>
          <w:bCs/>
        </w:rPr>
        <w:t xml:space="preserve">xplanations </w:t>
      </w:r>
      <w:r w:rsidR="00AD0A58" w:rsidRPr="00025B9C">
        <w:rPr>
          <w:rFonts w:asciiTheme="minorHAnsi" w:hAnsiTheme="minorHAnsi" w:cstheme="minorHAnsi"/>
          <w:bCs/>
        </w:rPr>
        <w:t xml:space="preserve">need to be </w:t>
      </w:r>
      <w:r w:rsidR="00DF7A00" w:rsidRPr="00025B9C">
        <w:rPr>
          <w:rFonts w:asciiTheme="minorHAnsi" w:hAnsiTheme="minorHAnsi" w:cstheme="minorHAnsi"/>
          <w:bCs/>
        </w:rPr>
        <w:t xml:space="preserve">persuasive/convincing in justifying non-compliance. </w:t>
      </w:r>
      <w:r w:rsidR="00EB2B12" w:rsidRPr="00025B9C">
        <w:rPr>
          <w:rFonts w:asciiTheme="minorHAnsi" w:hAnsiTheme="minorHAnsi" w:cstheme="minorHAnsi"/>
          <w:bCs/>
        </w:rPr>
        <w:t xml:space="preserve">The FRC </w:t>
      </w:r>
      <w:r w:rsidR="00EB2B12" w:rsidRPr="00025B9C">
        <w:rPr>
          <w:rFonts w:asciiTheme="minorHAnsi" w:hAnsiTheme="minorHAnsi" w:cstheme="minorHAnsi"/>
          <w:bCs/>
          <w:lang w:val="en-IE"/>
        </w:rPr>
        <w:t xml:space="preserve">(2012b, p. 6) </w:t>
      </w:r>
      <w:r w:rsidR="00EB2B12" w:rsidRPr="00025B9C">
        <w:rPr>
          <w:rFonts w:asciiTheme="minorHAnsi" w:hAnsiTheme="minorHAnsi" w:cstheme="minorHAnsi"/>
          <w:bCs/>
        </w:rPr>
        <w:t>identifies “a convincing rationale” as one of three elements of a meaningful explanation.</w:t>
      </w:r>
      <w:r w:rsidR="008660A9" w:rsidRPr="00025B9C">
        <w:rPr>
          <w:rStyle w:val="FootnoteReference"/>
          <w:rFonts w:asciiTheme="minorHAnsi" w:hAnsiTheme="minorHAnsi" w:cstheme="minorHAnsi"/>
          <w:bCs/>
        </w:rPr>
        <w:footnoteReference w:id="3"/>
      </w:r>
      <w:r w:rsidR="00EB2B12" w:rsidRPr="00025B9C">
        <w:rPr>
          <w:rFonts w:asciiTheme="minorHAnsi" w:hAnsiTheme="minorHAnsi" w:cstheme="minorHAnsi"/>
          <w:bCs/>
        </w:rPr>
        <w:t xml:space="preserve"> </w:t>
      </w:r>
      <w:r w:rsidR="00431CBC" w:rsidRPr="00025B9C">
        <w:rPr>
          <w:rFonts w:asciiTheme="minorHAnsi" w:hAnsiTheme="minorHAnsi" w:cstheme="minorHAnsi"/>
        </w:rPr>
        <w:t xml:space="preserve">In </w:t>
      </w:r>
      <w:r w:rsidR="00210F50" w:rsidRPr="00025B9C">
        <w:rPr>
          <w:rFonts w:asciiTheme="minorHAnsi" w:hAnsiTheme="minorHAnsi" w:cstheme="minorHAnsi"/>
        </w:rPr>
        <w:t xml:space="preserve">the case of non-compliance therefore, </w:t>
      </w:r>
      <w:r w:rsidR="00431CBC" w:rsidRPr="00025B9C">
        <w:rPr>
          <w:rFonts w:asciiTheme="minorHAnsi" w:hAnsiTheme="minorHAnsi" w:cstheme="minorHAnsi"/>
        </w:rPr>
        <w:t xml:space="preserve">companies may be more likely to engage in </w:t>
      </w:r>
      <w:r w:rsidR="00105D6F" w:rsidRPr="00025B9C">
        <w:rPr>
          <w:rFonts w:asciiTheme="minorHAnsi" w:hAnsiTheme="minorHAnsi" w:cstheme="minorHAnsi"/>
        </w:rPr>
        <w:t xml:space="preserve">rhetorical </w:t>
      </w:r>
      <w:r w:rsidR="00431CBC" w:rsidRPr="00025B9C">
        <w:rPr>
          <w:rFonts w:asciiTheme="minorHAnsi" w:hAnsiTheme="minorHAnsi" w:cstheme="minorHAnsi"/>
        </w:rPr>
        <w:t>strategies</w:t>
      </w:r>
      <w:r w:rsidR="00AC74A5" w:rsidRPr="00025B9C">
        <w:rPr>
          <w:rFonts w:asciiTheme="minorHAnsi" w:hAnsiTheme="minorHAnsi" w:cstheme="minorHAnsi"/>
        </w:rPr>
        <w:t xml:space="preserve">, motivated possibly to </w:t>
      </w:r>
      <w:r w:rsidR="00CC2D0E" w:rsidRPr="00025B9C">
        <w:rPr>
          <w:rFonts w:asciiTheme="minorHAnsi" w:hAnsiTheme="minorHAnsi" w:cstheme="minorHAnsi"/>
        </w:rPr>
        <w:t>persuade</w:t>
      </w:r>
      <w:r w:rsidR="00AC74A5" w:rsidRPr="00025B9C">
        <w:rPr>
          <w:rFonts w:asciiTheme="minorHAnsi" w:hAnsiTheme="minorHAnsi" w:cstheme="minorHAnsi"/>
        </w:rPr>
        <w:t xml:space="preserve"> shareholders to </w:t>
      </w:r>
      <w:r w:rsidR="002E2D2A" w:rsidRPr="00025B9C">
        <w:rPr>
          <w:rFonts w:asciiTheme="minorHAnsi" w:hAnsiTheme="minorHAnsi" w:cstheme="minorHAnsi"/>
        </w:rPr>
        <w:t>concur with</w:t>
      </w:r>
      <w:r w:rsidR="00AC74A5" w:rsidRPr="00025B9C">
        <w:rPr>
          <w:rFonts w:asciiTheme="minorHAnsi" w:hAnsiTheme="minorHAnsi" w:cstheme="minorHAnsi"/>
        </w:rPr>
        <w:t xml:space="preserve"> the explanation</w:t>
      </w:r>
      <w:r w:rsidR="00B5174D" w:rsidRPr="00025B9C">
        <w:rPr>
          <w:rFonts w:asciiTheme="minorHAnsi" w:hAnsiTheme="minorHAnsi" w:cstheme="minorHAnsi"/>
        </w:rPr>
        <w:t>.</w:t>
      </w:r>
      <w:r w:rsidR="00431CBC" w:rsidRPr="00025B9C">
        <w:rPr>
          <w:rFonts w:asciiTheme="minorHAnsi" w:hAnsiTheme="minorHAnsi" w:cstheme="minorHAnsi"/>
        </w:rPr>
        <w:t xml:space="preserve"> </w:t>
      </w:r>
      <w:r w:rsidR="00B5174D" w:rsidRPr="00025B9C">
        <w:rPr>
          <w:rFonts w:asciiTheme="minorHAnsi" w:hAnsiTheme="minorHAnsi" w:cstheme="minorHAnsi"/>
        </w:rPr>
        <w:t>T</w:t>
      </w:r>
      <w:r w:rsidR="00431CBC" w:rsidRPr="00025B9C">
        <w:rPr>
          <w:rFonts w:asciiTheme="minorHAnsi" w:hAnsiTheme="minorHAnsi" w:cstheme="minorHAnsi"/>
        </w:rPr>
        <w:t>his paper explores their use.</w:t>
      </w:r>
      <w:r w:rsidR="009520B2" w:rsidRPr="00025B9C">
        <w:rPr>
          <w:rFonts w:asciiTheme="minorHAnsi" w:hAnsiTheme="minorHAnsi" w:cstheme="minorHAnsi"/>
        </w:rPr>
        <w:t xml:space="preserve"> </w:t>
      </w:r>
      <w:r w:rsidR="00716102" w:rsidRPr="00025B9C">
        <w:rPr>
          <w:rFonts w:asciiTheme="minorHAnsi" w:hAnsiTheme="minorHAnsi" w:cstheme="minorHAnsi"/>
        </w:rPr>
        <w:t xml:space="preserve">We </w:t>
      </w:r>
      <w:r w:rsidR="009520B2" w:rsidRPr="00025B9C">
        <w:rPr>
          <w:rFonts w:asciiTheme="minorHAnsi" w:hAnsiTheme="minorHAnsi" w:cstheme="minorHAnsi"/>
        </w:rPr>
        <w:t>assess the extent to which the non-compliance rhetorical strategies are in line with meaningful, convincing rationales or whether they are more illustrative of superficial and misleading explanations. We recognize that each non-compliance disclosure can incorporate rhetorical strategies; the important point is whether or not they are sufficiently meaningful.</w:t>
      </w:r>
    </w:p>
    <w:p w:rsidR="00187597" w:rsidRPr="00025B9C" w:rsidRDefault="00187597" w:rsidP="00D665D9">
      <w:pPr>
        <w:spacing w:line="360" w:lineRule="auto"/>
        <w:jc w:val="both"/>
        <w:rPr>
          <w:rFonts w:asciiTheme="minorHAnsi" w:hAnsiTheme="minorHAnsi" w:cstheme="minorHAnsi"/>
        </w:rPr>
      </w:pPr>
    </w:p>
    <w:p w:rsidR="00EB7E5B" w:rsidRPr="00025B9C" w:rsidRDefault="00FA7E3B" w:rsidP="00D665D9">
      <w:pPr>
        <w:pStyle w:val="xl24"/>
        <w:pBdr>
          <w:bottom w:val="none" w:sz="0" w:space="0" w:color="auto"/>
        </w:pBdr>
        <w:spacing w:before="0" w:beforeAutospacing="0" w:after="0" w:afterAutospacing="0" w:line="360" w:lineRule="auto"/>
        <w:jc w:val="both"/>
        <w:rPr>
          <w:rFonts w:asciiTheme="minorHAnsi" w:hAnsiTheme="minorHAnsi" w:cstheme="minorHAnsi"/>
        </w:rPr>
      </w:pPr>
      <w:r w:rsidRPr="00025B9C">
        <w:rPr>
          <w:rFonts w:asciiTheme="minorHAnsi" w:hAnsiTheme="minorHAnsi" w:cstheme="minorHAnsi"/>
        </w:rPr>
        <w:t xml:space="preserve">Persuasive and convincing </w:t>
      </w:r>
      <w:r w:rsidR="00541606" w:rsidRPr="00025B9C">
        <w:rPr>
          <w:rFonts w:asciiTheme="minorHAnsi" w:hAnsiTheme="minorHAnsi" w:cstheme="minorHAnsi"/>
        </w:rPr>
        <w:t xml:space="preserve">explanations are critical to the </w:t>
      </w:r>
      <w:r w:rsidR="008C0846" w:rsidRPr="00025B9C">
        <w:rPr>
          <w:rFonts w:asciiTheme="minorHAnsi" w:hAnsiTheme="minorHAnsi" w:cstheme="minorHAnsi"/>
        </w:rPr>
        <w:t xml:space="preserve">legitimacy and </w:t>
      </w:r>
      <w:r w:rsidR="00541606" w:rsidRPr="00025B9C">
        <w:rPr>
          <w:rFonts w:asciiTheme="minorHAnsi" w:hAnsiTheme="minorHAnsi" w:cstheme="minorHAnsi"/>
        </w:rPr>
        <w:t xml:space="preserve">effectiveness of the </w:t>
      </w:r>
      <w:r w:rsidR="00476312" w:rsidRPr="00025B9C">
        <w:rPr>
          <w:rFonts w:asciiTheme="minorHAnsi" w:hAnsiTheme="minorHAnsi" w:cstheme="minorHAnsi"/>
        </w:rPr>
        <w:t>‘comply-or-explain’</w:t>
      </w:r>
      <w:r w:rsidR="00541606" w:rsidRPr="00025B9C">
        <w:rPr>
          <w:rFonts w:asciiTheme="minorHAnsi" w:hAnsiTheme="minorHAnsi" w:cstheme="minorHAnsi"/>
        </w:rPr>
        <w:t xml:space="preserve"> system. </w:t>
      </w:r>
      <w:r w:rsidR="008C0846" w:rsidRPr="00025B9C">
        <w:rPr>
          <w:rFonts w:asciiTheme="minorHAnsi" w:hAnsiTheme="minorHAnsi" w:cstheme="minorHAnsi"/>
        </w:rPr>
        <w:t xml:space="preserve">Sanderson, </w:t>
      </w:r>
      <w:proofErr w:type="spellStart"/>
      <w:r w:rsidR="008C0846" w:rsidRPr="00025B9C">
        <w:rPr>
          <w:rFonts w:asciiTheme="minorHAnsi" w:hAnsiTheme="minorHAnsi" w:cstheme="minorHAnsi"/>
        </w:rPr>
        <w:t>Seidl</w:t>
      </w:r>
      <w:proofErr w:type="spellEnd"/>
      <w:r w:rsidR="008C0846" w:rsidRPr="00025B9C">
        <w:rPr>
          <w:rFonts w:asciiTheme="minorHAnsi" w:hAnsiTheme="minorHAnsi" w:cstheme="minorHAnsi"/>
        </w:rPr>
        <w:t xml:space="preserve"> and Roberts (2013, p. 6) argue that “legitimacy is clearly in part discursively constructed in texts”. </w:t>
      </w:r>
      <w:r w:rsidR="00A25F8A" w:rsidRPr="00025B9C">
        <w:rPr>
          <w:rFonts w:asciiTheme="minorHAnsi" w:hAnsiTheme="minorHAnsi" w:cstheme="minorHAnsi"/>
        </w:rPr>
        <w:t xml:space="preserve">We address three research questions (RQ) and </w:t>
      </w:r>
      <w:r w:rsidR="009A1548" w:rsidRPr="00025B9C">
        <w:rPr>
          <w:rFonts w:asciiTheme="minorHAnsi" w:hAnsiTheme="minorHAnsi" w:cstheme="minorHAnsi"/>
        </w:rPr>
        <w:t xml:space="preserve">examine </w:t>
      </w:r>
      <w:r w:rsidR="00525F45" w:rsidRPr="00025B9C">
        <w:rPr>
          <w:rFonts w:asciiTheme="minorHAnsi" w:hAnsiTheme="minorHAnsi" w:cstheme="minorHAnsi"/>
        </w:rPr>
        <w:t>explanations for non-compliance</w:t>
      </w:r>
      <w:r w:rsidR="00B765C3" w:rsidRPr="00025B9C">
        <w:rPr>
          <w:rFonts w:asciiTheme="minorHAnsi" w:hAnsiTheme="minorHAnsi" w:cstheme="minorHAnsi"/>
        </w:rPr>
        <w:t xml:space="preserve"> in UK FTSE </w:t>
      </w:r>
      <w:r w:rsidR="00DA3CF3" w:rsidRPr="00025B9C">
        <w:rPr>
          <w:rFonts w:asciiTheme="minorHAnsi" w:hAnsiTheme="minorHAnsi" w:cstheme="minorHAnsi"/>
        </w:rPr>
        <w:t>100</w:t>
      </w:r>
      <w:r w:rsidR="00B765C3" w:rsidRPr="00025B9C">
        <w:rPr>
          <w:rFonts w:asciiTheme="minorHAnsi" w:hAnsiTheme="minorHAnsi" w:cstheme="minorHAnsi"/>
        </w:rPr>
        <w:t xml:space="preserve"> company</w:t>
      </w:r>
      <w:r w:rsidR="009A1548" w:rsidRPr="00025B9C">
        <w:rPr>
          <w:rFonts w:asciiTheme="minorHAnsi" w:hAnsiTheme="minorHAnsi" w:cstheme="minorHAnsi"/>
        </w:rPr>
        <w:t xml:space="preserve"> </w:t>
      </w:r>
      <w:r w:rsidR="00B765C3" w:rsidRPr="00025B9C">
        <w:rPr>
          <w:rFonts w:asciiTheme="minorHAnsi" w:hAnsiTheme="minorHAnsi" w:cstheme="minorHAnsi"/>
        </w:rPr>
        <w:t>annual reports</w:t>
      </w:r>
      <w:r w:rsidR="001B2D53" w:rsidRPr="00025B9C">
        <w:rPr>
          <w:rFonts w:asciiTheme="minorHAnsi" w:hAnsiTheme="minorHAnsi" w:cstheme="minorHAnsi"/>
        </w:rPr>
        <w:t xml:space="preserve"> </w:t>
      </w:r>
      <w:r w:rsidR="009A1548" w:rsidRPr="00025B9C">
        <w:rPr>
          <w:rFonts w:asciiTheme="minorHAnsi" w:hAnsiTheme="minorHAnsi" w:cstheme="minorHAnsi"/>
        </w:rPr>
        <w:t xml:space="preserve">to assess the </w:t>
      </w:r>
      <w:r w:rsidR="00541606" w:rsidRPr="00025B9C">
        <w:rPr>
          <w:rFonts w:asciiTheme="minorHAnsi" w:hAnsiTheme="minorHAnsi" w:cstheme="minorHAnsi"/>
        </w:rPr>
        <w:t xml:space="preserve">extent </w:t>
      </w:r>
      <w:r w:rsidR="00E16C0D" w:rsidRPr="00025B9C">
        <w:rPr>
          <w:rFonts w:asciiTheme="minorHAnsi" w:hAnsiTheme="minorHAnsi" w:cstheme="minorHAnsi"/>
        </w:rPr>
        <w:t xml:space="preserve">to which </w:t>
      </w:r>
      <w:r w:rsidR="00B303FC" w:rsidRPr="00025B9C">
        <w:rPr>
          <w:rFonts w:asciiTheme="minorHAnsi" w:hAnsiTheme="minorHAnsi" w:cstheme="minorHAnsi"/>
        </w:rPr>
        <w:t xml:space="preserve">rhetorical </w:t>
      </w:r>
      <w:r w:rsidR="00541606" w:rsidRPr="00025B9C">
        <w:rPr>
          <w:rFonts w:asciiTheme="minorHAnsi" w:hAnsiTheme="minorHAnsi" w:cstheme="minorHAnsi"/>
        </w:rPr>
        <w:t>strategies</w:t>
      </w:r>
      <w:r w:rsidR="00E16C0D" w:rsidRPr="00025B9C">
        <w:rPr>
          <w:rFonts w:asciiTheme="minorHAnsi" w:hAnsiTheme="minorHAnsi" w:cstheme="minorHAnsi"/>
        </w:rPr>
        <w:t xml:space="preserve"> are used</w:t>
      </w:r>
      <w:r w:rsidR="00A25F8A" w:rsidRPr="00025B9C">
        <w:rPr>
          <w:rFonts w:asciiTheme="minorHAnsi" w:hAnsiTheme="minorHAnsi" w:cstheme="minorHAnsi"/>
        </w:rPr>
        <w:t xml:space="preserve"> (RQ</w:t>
      </w:r>
      <w:r w:rsidR="00930351" w:rsidRPr="00025B9C">
        <w:rPr>
          <w:rFonts w:asciiTheme="minorHAnsi" w:hAnsiTheme="minorHAnsi" w:cstheme="minorHAnsi"/>
        </w:rPr>
        <w:t xml:space="preserve"> </w:t>
      </w:r>
      <w:r w:rsidR="00A25F8A" w:rsidRPr="00025B9C">
        <w:rPr>
          <w:rFonts w:asciiTheme="minorHAnsi" w:hAnsiTheme="minorHAnsi" w:cstheme="minorHAnsi"/>
        </w:rPr>
        <w:t>1)</w:t>
      </w:r>
      <w:r w:rsidR="00541606" w:rsidRPr="00025B9C">
        <w:rPr>
          <w:rFonts w:asciiTheme="minorHAnsi" w:hAnsiTheme="minorHAnsi" w:cstheme="minorHAnsi"/>
        </w:rPr>
        <w:t xml:space="preserve">. The study is </w:t>
      </w:r>
      <w:r w:rsidR="006C0BA0" w:rsidRPr="00025B9C">
        <w:rPr>
          <w:rFonts w:asciiTheme="minorHAnsi" w:hAnsiTheme="minorHAnsi" w:cstheme="minorHAnsi"/>
        </w:rPr>
        <w:t>carried out</w:t>
      </w:r>
      <w:r w:rsidR="00241A66" w:rsidRPr="00025B9C">
        <w:rPr>
          <w:rFonts w:asciiTheme="minorHAnsi" w:hAnsiTheme="minorHAnsi" w:cstheme="minorHAnsi"/>
        </w:rPr>
        <w:t xml:space="preserve"> in</w:t>
      </w:r>
      <w:r w:rsidR="00541606" w:rsidRPr="00025B9C">
        <w:rPr>
          <w:rFonts w:asciiTheme="minorHAnsi" w:hAnsiTheme="minorHAnsi" w:cstheme="minorHAnsi"/>
        </w:rPr>
        <w:t xml:space="preserve"> 2004/</w:t>
      </w:r>
      <w:r w:rsidR="00DA2B3F" w:rsidRPr="00025B9C">
        <w:rPr>
          <w:rFonts w:asciiTheme="minorHAnsi" w:hAnsiTheme="minorHAnsi" w:cstheme="minorHAnsi"/>
        </w:rPr>
        <w:t>0</w:t>
      </w:r>
      <w:r w:rsidR="00541606" w:rsidRPr="00025B9C">
        <w:rPr>
          <w:rFonts w:asciiTheme="minorHAnsi" w:hAnsiTheme="minorHAnsi" w:cstheme="minorHAnsi"/>
        </w:rPr>
        <w:t>5 and 201</w:t>
      </w:r>
      <w:r w:rsidR="00E21CF2" w:rsidRPr="00025B9C">
        <w:rPr>
          <w:rFonts w:asciiTheme="minorHAnsi" w:hAnsiTheme="minorHAnsi" w:cstheme="minorHAnsi"/>
        </w:rPr>
        <w:t>1</w:t>
      </w:r>
      <w:r w:rsidR="00541606" w:rsidRPr="00025B9C">
        <w:rPr>
          <w:rFonts w:asciiTheme="minorHAnsi" w:hAnsiTheme="minorHAnsi" w:cstheme="minorHAnsi"/>
        </w:rPr>
        <w:t>/1</w:t>
      </w:r>
      <w:r w:rsidR="00E21CF2" w:rsidRPr="00025B9C">
        <w:rPr>
          <w:rFonts w:asciiTheme="minorHAnsi" w:hAnsiTheme="minorHAnsi" w:cstheme="minorHAnsi"/>
        </w:rPr>
        <w:t>2</w:t>
      </w:r>
      <w:r w:rsidR="003E383D" w:rsidRPr="00025B9C">
        <w:rPr>
          <w:rFonts w:asciiTheme="minorHAnsi" w:hAnsiTheme="minorHAnsi" w:cstheme="minorHAnsi"/>
        </w:rPr>
        <w:t>.</w:t>
      </w:r>
      <w:r w:rsidR="00541606" w:rsidRPr="00025B9C">
        <w:rPr>
          <w:rFonts w:asciiTheme="minorHAnsi" w:hAnsiTheme="minorHAnsi" w:cstheme="minorHAnsi"/>
        </w:rPr>
        <w:t xml:space="preserve"> </w:t>
      </w:r>
      <w:r w:rsidR="003E383D" w:rsidRPr="00025B9C">
        <w:rPr>
          <w:rFonts w:asciiTheme="minorHAnsi" w:hAnsiTheme="minorHAnsi" w:cstheme="minorHAnsi"/>
        </w:rPr>
        <w:t>T</w:t>
      </w:r>
      <w:r w:rsidR="00E21CF2" w:rsidRPr="00025B9C">
        <w:rPr>
          <w:rFonts w:asciiTheme="minorHAnsi" w:hAnsiTheme="minorHAnsi" w:cstheme="minorHAnsi"/>
        </w:rPr>
        <w:t xml:space="preserve">his enables </w:t>
      </w:r>
      <w:r w:rsidR="00EE2C7C" w:rsidRPr="00025B9C">
        <w:rPr>
          <w:rFonts w:asciiTheme="minorHAnsi" w:hAnsiTheme="minorHAnsi" w:cstheme="minorHAnsi"/>
        </w:rPr>
        <w:t>a comparison of rhetorical strategies over the two time periods</w:t>
      </w:r>
      <w:r w:rsidR="00EE5211" w:rsidRPr="00025B9C">
        <w:rPr>
          <w:rFonts w:asciiTheme="minorHAnsi" w:hAnsiTheme="minorHAnsi" w:cstheme="minorHAnsi"/>
        </w:rPr>
        <w:t xml:space="preserve"> </w:t>
      </w:r>
      <w:r w:rsidR="00406D9C" w:rsidRPr="00025B9C">
        <w:rPr>
          <w:rFonts w:asciiTheme="minorHAnsi" w:hAnsiTheme="minorHAnsi" w:cstheme="minorHAnsi"/>
        </w:rPr>
        <w:t>from the post-Enron 2003 version of the Code to the post-global financial crisis 2010</w:t>
      </w:r>
      <w:r w:rsidR="00EE5211" w:rsidRPr="00025B9C">
        <w:rPr>
          <w:rFonts w:asciiTheme="minorHAnsi" w:hAnsiTheme="minorHAnsi" w:cstheme="minorHAnsi"/>
        </w:rPr>
        <w:t xml:space="preserve"> version of the </w:t>
      </w:r>
      <w:r w:rsidR="00617D09" w:rsidRPr="00025B9C">
        <w:rPr>
          <w:rFonts w:asciiTheme="minorHAnsi" w:hAnsiTheme="minorHAnsi" w:cstheme="minorHAnsi"/>
        </w:rPr>
        <w:t xml:space="preserve">UK Corporate Governance </w:t>
      </w:r>
      <w:r w:rsidR="00EE5211" w:rsidRPr="00025B9C">
        <w:rPr>
          <w:rFonts w:asciiTheme="minorHAnsi" w:hAnsiTheme="minorHAnsi" w:cstheme="minorHAnsi"/>
        </w:rPr>
        <w:t>Code</w:t>
      </w:r>
      <w:r w:rsidR="00A25F8A" w:rsidRPr="00025B9C">
        <w:rPr>
          <w:rFonts w:asciiTheme="minorHAnsi" w:hAnsiTheme="minorHAnsi" w:cstheme="minorHAnsi"/>
        </w:rPr>
        <w:t xml:space="preserve"> (RQ</w:t>
      </w:r>
      <w:r w:rsidR="00930351" w:rsidRPr="00025B9C">
        <w:rPr>
          <w:rFonts w:asciiTheme="minorHAnsi" w:hAnsiTheme="minorHAnsi" w:cstheme="minorHAnsi"/>
        </w:rPr>
        <w:t xml:space="preserve"> </w:t>
      </w:r>
      <w:r w:rsidR="00A25F8A" w:rsidRPr="00025B9C">
        <w:rPr>
          <w:rFonts w:asciiTheme="minorHAnsi" w:hAnsiTheme="minorHAnsi" w:cstheme="minorHAnsi"/>
        </w:rPr>
        <w:t>2)</w:t>
      </w:r>
      <w:r w:rsidR="00541606" w:rsidRPr="00025B9C">
        <w:rPr>
          <w:rFonts w:asciiTheme="minorHAnsi" w:hAnsiTheme="minorHAnsi" w:cstheme="minorHAnsi"/>
        </w:rPr>
        <w:t xml:space="preserve">. </w:t>
      </w:r>
      <w:r w:rsidR="00A25F8A" w:rsidRPr="00025B9C">
        <w:rPr>
          <w:rFonts w:asciiTheme="minorHAnsi" w:hAnsiTheme="minorHAnsi" w:cstheme="minorHAnsi"/>
        </w:rPr>
        <w:t>We also assess the extent to which rhetorical strategies are used together (RQ</w:t>
      </w:r>
      <w:r w:rsidR="00930351" w:rsidRPr="00025B9C">
        <w:rPr>
          <w:rFonts w:asciiTheme="minorHAnsi" w:hAnsiTheme="minorHAnsi" w:cstheme="minorHAnsi"/>
        </w:rPr>
        <w:t xml:space="preserve"> </w:t>
      </w:r>
      <w:r w:rsidR="00A25F8A" w:rsidRPr="00025B9C">
        <w:rPr>
          <w:rFonts w:asciiTheme="minorHAnsi" w:hAnsiTheme="minorHAnsi" w:cstheme="minorHAnsi"/>
        </w:rPr>
        <w:t>3).</w:t>
      </w:r>
    </w:p>
    <w:p w:rsidR="00CF522A" w:rsidRPr="00025B9C" w:rsidRDefault="00CF522A" w:rsidP="00D665D9">
      <w:pPr>
        <w:pStyle w:val="xl24"/>
        <w:pBdr>
          <w:bottom w:val="none" w:sz="0" w:space="0" w:color="auto"/>
        </w:pBdr>
        <w:spacing w:before="0" w:beforeAutospacing="0" w:after="0" w:afterAutospacing="0" w:line="360" w:lineRule="auto"/>
        <w:jc w:val="both"/>
        <w:rPr>
          <w:rFonts w:asciiTheme="minorHAnsi" w:hAnsiTheme="minorHAnsi" w:cstheme="minorHAnsi"/>
          <w:sz w:val="22"/>
          <w:szCs w:val="22"/>
        </w:rPr>
      </w:pPr>
    </w:p>
    <w:p w:rsidR="00E90F8D" w:rsidRPr="00025B9C" w:rsidRDefault="00631A00" w:rsidP="00D665D9">
      <w:pPr>
        <w:autoSpaceDE w:val="0"/>
        <w:autoSpaceDN w:val="0"/>
        <w:adjustRightInd w:val="0"/>
        <w:spacing w:line="360" w:lineRule="auto"/>
        <w:jc w:val="both"/>
        <w:rPr>
          <w:rFonts w:asciiTheme="minorHAnsi" w:hAnsiTheme="minorHAnsi" w:cstheme="minorHAnsi"/>
          <w:lang w:val="en-IE" w:eastAsia="en-IE"/>
        </w:rPr>
      </w:pPr>
      <w:r w:rsidRPr="00025B9C">
        <w:rPr>
          <w:rFonts w:asciiTheme="minorHAnsi" w:hAnsiTheme="minorHAnsi" w:cstheme="minorHAnsi"/>
          <w:lang w:eastAsia="en-IE"/>
        </w:rPr>
        <w:t xml:space="preserve">This is the first study of </w:t>
      </w:r>
      <w:r w:rsidR="00B34F97" w:rsidRPr="00025B9C">
        <w:rPr>
          <w:rFonts w:asciiTheme="minorHAnsi" w:hAnsiTheme="minorHAnsi" w:cstheme="minorHAnsi"/>
          <w:lang w:eastAsia="en-IE"/>
        </w:rPr>
        <w:t xml:space="preserve">the use of </w:t>
      </w:r>
      <w:r w:rsidR="00C87290" w:rsidRPr="00025B9C">
        <w:rPr>
          <w:rFonts w:asciiTheme="minorHAnsi" w:hAnsiTheme="minorHAnsi" w:cstheme="minorHAnsi"/>
          <w:lang w:eastAsia="en-IE"/>
        </w:rPr>
        <w:t xml:space="preserve">rhetoric </w:t>
      </w:r>
      <w:r w:rsidRPr="00025B9C">
        <w:rPr>
          <w:rFonts w:asciiTheme="minorHAnsi" w:hAnsiTheme="minorHAnsi" w:cstheme="minorHAnsi"/>
          <w:lang w:eastAsia="en-IE"/>
        </w:rPr>
        <w:t xml:space="preserve">in corporate governance non-compliance explanations. </w:t>
      </w:r>
      <w:r w:rsidR="00E90F8D" w:rsidRPr="00025B9C">
        <w:rPr>
          <w:rFonts w:asciiTheme="minorHAnsi" w:hAnsiTheme="minorHAnsi" w:cstheme="minorHAnsi"/>
        </w:rPr>
        <w:t>The paper makes four contributions to the prior literature: (</w:t>
      </w:r>
      <w:proofErr w:type="spellStart"/>
      <w:r w:rsidR="00E90F8D" w:rsidRPr="00025B9C">
        <w:rPr>
          <w:rFonts w:asciiTheme="minorHAnsi" w:hAnsiTheme="minorHAnsi" w:cstheme="minorHAnsi"/>
        </w:rPr>
        <w:t>i</w:t>
      </w:r>
      <w:proofErr w:type="spellEnd"/>
      <w:r w:rsidR="00E90F8D" w:rsidRPr="00025B9C">
        <w:rPr>
          <w:rFonts w:asciiTheme="minorHAnsi" w:hAnsiTheme="minorHAnsi" w:cstheme="minorHAnsi"/>
        </w:rPr>
        <w:t xml:space="preserve">) It develops a typology of </w:t>
      </w:r>
      <w:r w:rsidR="00C87290" w:rsidRPr="00025B9C">
        <w:rPr>
          <w:rFonts w:asciiTheme="minorHAnsi" w:hAnsiTheme="minorHAnsi" w:cstheme="minorHAnsi"/>
        </w:rPr>
        <w:t xml:space="preserve">rhetorical </w:t>
      </w:r>
      <w:r w:rsidR="00E90F8D" w:rsidRPr="00025B9C">
        <w:rPr>
          <w:rFonts w:asciiTheme="minorHAnsi" w:hAnsiTheme="minorHAnsi" w:cstheme="minorHAnsi"/>
        </w:rPr>
        <w:t xml:space="preserve">strategies in corporate explanations for non-compliance </w:t>
      </w:r>
      <w:r w:rsidR="00881E01" w:rsidRPr="00025B9C">
        <w:rPr>
          <w:rFonts w:asciiTheme="minorHAnsi" w:hAnsiTheme="minorHAnsi" w:cstheme="minorHAnsi"/>
        </w:rPr>
        <w:t>with t</w:t>
      </w:r>
      <w:r w:rsidR="003969AA" w:rsidRPr="00025B9C">
        <w:rPr>
          <w:rFonts w:asciiTheme="minorHAnsi" w:hAnsiTheme="minorHAnsi" w:cstheme="minorHAnsi"/>
        </w:rPr>
        <w:t>he UK Corporate Governance Code</w:t>
      </w:r>
      <w:r w:rsidR="00E90F8D" w:rsidRPr="00025B9C">
        <w:rPr>
          <w:rFonts w:asciiTheme="minorHAnsi" w:hAnsiTheme="minorHAnsi" w:cstheme="minorHAnsi"/>
        </w:rPr>
        <w:t xml:space="preserve">; (ii) It applies the typology to identify the use of different </w:t>
      </w:r>
      <w:r w:rsidR="00C87290" w:rsidRPr="00025B9C">
        <w:rPr>
          <w:rFonts w:asciiTheme="minorHAnsi" w:hAnsiTheme="minorHAnsi" w:cstheme="minorHAnsi"/>
        </w:rPr>
        <w:t xml:space="preserve">rhetorical </w:t>
      </w:r>
      <w:r w:rsidR="00E90F8D" w:rsidRPr="00025B9C">
        <w:rPr>
          <w:rFonts w:asciiTheme="minorHAnsi" w:hAnsiTheme="minorHAnsi" w:cstheme="minorHAnsi"/>
        </w:rPr>
        <w:t xml:space="preserve">strategies in </w:t>
      </w:r>
      <w:r w:rsidR="00881E01" w:rsidRPr="00025B9C">
        <w:rPr>
          <w:rFonts w:asciiTheme="minorHAnsi" w:hAnsiTheme="minorHAnsi" w:cstheme="minorHAnsi"/>
        </w:rPr>
        <w:t xml:space="preserve">the </w:t>
      </w:r>
      <w:r w:rsidR="00E90F8D" w:rsidRPr="00025B9C">
        <w:rPr>
          <w:rFonts w:asciiTheme="minorHAnsi" w:hAnsiTheme="minorHAnsi" w:cstheme="minorHAnsi"/>
        </w:rPr>
        <w:t>e</w:t>
      </w:r>
      <w:r w:rsidR="00FD71EE" w:rsidRPr="00025B9C">
        <w:rPr>
          <w:rFonts w:asciiTheme="minorHAnsi" w:hAnsiTheme="minorHAnsi" w:cstheme="minorHAnsi"/>
        </w:rPr>
        <w:t>xplanations</w:t>
      </w:r>
      <w:r w:rsidR="00E90F8D" w:rsidRPr="00025B9C">
        <w:rPr>
          <w:rFonts w:asciiTheme="minorHAnsi" w:hAnsiTheme="minorHAnsi" w:cstheme="minorHAnsi"/>
        </w:rPr>
        <w:t xml:space="preserve">; (iii) It </w:t>
      </w:r>
      <w:r w:rsidR="00EE2C7C" w:rsidRPr="00025B9C">
        <w:rPr>
          <w:rFonts w:asciiTheme="minorHAnsi" w:hAnsiTheme="minorHAnsi" w:cstheme="minorHAnsi"/>
        </w:rPr>
        <w:t>compares</w:t>
      </w:r>
      <w:r w:rsidR="00E90F8D" w:rsidRPr="00025B9C">
        <w:rPr>
          <w:rFonts w:asciiTheme="minorHAnsi" w:hAnsiTheme="minorHAnsi" w:cstheme="minorHAnsi"/>
        </w:rPr>
        <w:t xml:space="preserve"> the use of </w:t>
      </w:r>
      <w:r w:rsidR="00C87290" w:rsidRPr="00025B9C">
        <w:rPr>
          <w:rFonts w:asciiTheme="minorHAnsi" w:hAnsiTheme="minorHAnsi" w:cstheme="minorHAnsi"/>
        </w:rPr>
        <w:t xml:space="preserve">rhetorical </w:t>
      </w:r>
      <w:r w:rsidR="00E90F8D" w:rsidRPr="00025B9C">
        <w:rPr>
          <w:rFonts w:asciiTheme="minorHAnsi" w:hAnsiTheme="minorHAnsi" w:cstheme="minorHAnsi"/>
        </w:rPr>
        <w:t xml:space="preserve">strategies </w:t>
      </w:r>
      <w:r w:rsidR="00C87290" w:rsidRPr="00025B9C">
        <w:rPr>
          <w:rFonts w:asciiTheme="minorHAnsi" w:hAnsiTheme="minorHAnsi" w:cstheme="minorHAnsi"/>
        </w:rPr>
        <w:t xml:space="preserve">in explanations </w:t>
      </w:r>
      <w:r w:rsidR="00004088" w:rsidRPr="00025B9C">
        <w:rPr>
          <w:rFonts w:asciiTheme="minorHAnsi" w:hAnsiTheme="minorHAnsi" w:cstheme="minorHAnsi"/>
        </w:rPr>
        <w:t xml:space="preserve">over </w:t>
      </w:r>
      <w:r w:rsidR="00EE2C7C" w:rsidRPr="00025B9C">
        <w:rPr>
          <w:rFonts w:asciiTheme="minorHAnsi" w:hAnsiTheme="minorHAnsi" w:cstheme="minorHAnsi"/>
        </w:rPr>
        <w:t xml:space="preserve">two </w:t>
      </w:r>
      <w:r w:rsidR="00004088" w:rsidRPr="00025B9C">
        <w:rPr>
          <w:rFonts w:asciiTheme="minorHAnsi" w:hAnsiTheme="minorHAnsi" w:cstheme="minorHAnsi"/>
        </w:rPr>
        <w:t>time</w:t>
      </w:r>
      <w:r w:rsidR="00EE2C7C" w:rsidRPr="00025B9C">
        <w:rPr>
          <w:rFonts w:asciiTheme="minorHAnsi" w:hAnsiTheme="minorHAnsi" w:cstheme="minorHAnsi"/>
        </w:rPr>
        <w:t xml:space="preserve"> periods</w:t>
      </w:r>
      <w:r w:rsidR="00821375" w:rsidRPr="00025B9C">
        <w:rPr>
          <w:rFonts w:asciiTheme="minorHAnsi" w:hAnsiTheme="minorHAnsi" w:cstheme="minorHAnsi"/>
        </w:rPr>
        <w:t xml:space="preserve"> and</w:t>
      </w:r>
      <w:r w:rsidR="00881E01" w:rsidRPr="00025B9C">
        <w:rPr>
          <w:rFonts w:asciiTheme="minorHAnsi" w:hAnsiTheme="minorHAnsi" w:cstheme="minorHAnsi"/>
        </w:rPr>
        <w:t>;</w:t>
      </w:r>
      <w:r w:rsidR="00821375" w:rsidRPr="00025B9C">
        <w:rPr>
          <w:rFonts w:asciiTheme="minorHAnsi" w:hAnsiTheme="minorHAnsi" w:cstheme="minorHAnsi"/>
        </w:rPr>
        <w:t xml:space="preserve"> </w:t>
      </w:r>
      <w:r w:rsidR="00881E01" w:rsidRPr="00025B9C">
        <w:rPr>
          <w:rFonts w:asciiTheme="minorHAnsi" w:hAnsiTheme="minorHAnsi" w:cstheme="minorHAnsi"/>
        </w:rPr>
        <w:t xml:space="preserve">(iv) It considers </w:t>
      </w:r>
      <w:r w:rsidR="003969AA" w:rsidRPr="00025B9C">
        <w:rPr>
          <w:rFonts w:asciiTheme="minorHAnsi" w:hAnsiTheme="minorHAnsi" w:cstheme="minorHAnsi"/>
        </w:rPr>
        <w:t>the</w:t>
      </w:r>
      <w:r w:rsidR="00821375" w:rsidRPr="00025B9C">
        <w:rPr>
          <w:rFonts w:asciiTheme="minorHAnsi" w:hAnsiTheme="minorHAnsi" w:cstheme="minorHAnsi"/>
        </w:rPr>
        <w:t xml:space="preserve"> extent </w:t>
      </w:r>
      <w:r w:rsidR="00716D0C" w:rsidRPr="00025B9C">
        <w:rPr>
          <w:rFonts w:asciiTheme="minorHAnsi" w:hAnsiTheme="minorHAnsi" w:cstheme="minorHAnsi"/>
        </w:rPr>
        <w:t xml:space="preserve">to which </w:t>
      </w:r>
      <w:r w:rsidR="00C87290" w:rsidRPr="00025B9C">
        <w:rPr>
          <w:rFonts w:asciiTheme="minorHAnsi" w:hAnsiTheme="minorHAnsi" w:cstheme="minorHAnsi"/>
        </w:rPr>
        <w:t xml:space="preserve">rhetorical strategies in explanations </w:t>
      </w:r>
      <w:r w:rsidR="009816EB" w:rsidRPr="00025B9C">
        <w:rPr>
          <w:rFonts w:asciiTheme="minorHAnsi" w:hAnsiTheme="minorHAnsi" w:cstheme="minorHAnsi"/>
        </w:rPr>
        <w:t>are us</w:t>
      </w:r>
      <w:r w:rsidR="00004088" w:rsidRPr="00025B9C">
        <w:rPr>
          <w:rFonts w:asciiTheme="minorHAnsi" w:hAnsiTheme="minorHAnsi" w:cstheme="minorHAnsi"/>
        </w:rPr>
        <w:t>ed together</w:t>
      </w:r>
      <w:r w:rsidR="009816EB" w:rsidRPr="00025B9C">
        <w:rPr>
          <w:rFonts w:asciiTheme="minorHAnsi" w:hAnsiTheme="minorHAnsi" w:cstheme="minorHAnsi"/>
        </w:rPr>
        <w:t>.</w:t>
      </w:r>
      <w:r w:rsidR="00C445F2" w:rsidRPr="00025B9C">
        <w:rPr>
          <w:rFonts w:asciiTheme="minorHAnsi" w:hAnsiTheme="minorHAnsi" w:cstheme="minorHAnsi"/>
        </w:rPr>
        <w:t xml:space="preserve"> </w:t>
      </w:r>
      <w:r w:rsidR="00DF1C42" w:rsidRPr="00025B9C">
        <w:rPr>
          <w:rFonts w:asciiTheme="minorHAnsi" w:hAnsiTheme="minorHAnsi" w:cstheme="minorHAnsi"/>
        </w:rPr>
        <w:t xml:space="preserve">Shrives </w:t>
      </w:r>
      <w:r w:rsidR="000F794B" w:rsidRPr="00025B9C">
        <w:rPr>
          <w:rFonts w:asciiTheme="minorHAnsi" w:hAnsiTheme="minorHAnsi" w:cstheme="minorHAnsi"/>
        </w:rPr>
        <w:t>and</w:t>
      </w:r>
      <w:r w:rsidR="00DF1C42" w:rsidRPr="00025B9C">
        <w:rPr>
          <w:rFonts w:asciiTheme="minorHAnsi" w:hAnsiTheme="minorHAnsi" w:cstheme="minorHAnsi"/>
        </w:rPr>
        <w:t xml:space="preserve"> Brennan (2015) analyse non-compliance explanations against seven quality characteristics: </w:t>
      </w:r>
      <w:r w:rsidR="00DF1C42" w:rsidRPr="00025B9C">
        <w:rPr>
          <w:rFonts w:asciiTheme="minorHAnsi" w:hAnsiTheme="minorHAnsi" w:cstheme="minorHAnsi"/>
          <w:lang w:val="en-IE" w:eastAsia="en-IE"/>
        </w:rPr>
        <w:t>(</w:t>
      </w:r>
      <w:proofErr w:type="spellStart"/>
      <w:r w:rsidR="00DF1C42" w:rsidRPr="00025B9C">
        <w:rPr>
          <w:rFonts w:asciiTheme="minorHAnsi" w:hAnsiTheme="minorHAnsi" w:cstheme="minorHAnsi"/>
          <w:lang w:val="en-IE" w:eastAsia="en-IE"/>
        </w:rPr>
        <w:t>i</w:t>
      </w:r>
      <w:proofErr w:type="spellEnd"/>
      <w:r w:rsidR="00DF1C42" w:rsidRPr="00025B9C">
        <w:rPr>
          <w:rFonts w:asciiTheme="minorHAnsi" w:hAnsiTheme="minorHAnsi" w:cstheme="minorHAnsi"/>
          <w:lang w:val="en-IE" w:eastAsia="en-IE"/>
        </w:rPr>
        <w:t>) Location, (ii) Comprehensiveness, (i</w:t>
      </w:r>
      <w:r w:rsidR="00996FBC" w:rsidRPr="00025B9C">
        <w:rPr>
          <w:rFonts w:asciiTheme="minorHAnsi" w:hAnsiTheme="minorHAnsi" w:cstheme="minorHAnsi"/>
          <w:lang w:val="en-IE" w:eastAsia="en-IE"/>
        </w:rPr>
        <w:t xml:space="preserve">ii) Originality/Mimetic </w:t>
      </w:r>
      <w:proofErr w:type="spellStart"/>
      <w:r w:rsidR="00996FBC" w:rsidRPr="00025B9C">
        <w:rPr>
          <w:rFonts w:asciiTheme="minorHAnsi" w:hAnsiTheme="minorHAnsi" w:cstheme="minorHAnsi"/>
          <w:lang w:val="en-IE" w:eastAsia="en-IE"/>
        </w:rPr>
        <w:t>behavio</w:t>
      </w:r>
      <w:r w:rsidR="00DF1C42" w:rsidRPr="00025B9C">
        <w:rPr>
          <w:rFonts w:asciiTheme="minorHAnsi" w:hAnsiTheme="minorHAnsi" w:cstheme="minorHAnsi"/>
          <w:lang w:val="en-IE" w:eastAsia="en-IE"/>
        </w:rPr>
        <w:t>r</w:t>
      </w:r>
      <w:proofErr w:type="spellEnd"/>
      <w:r w:rsidR="00DF1C42" w:rsidRPr="00025B9C">
        <w:rPr>
          <w:rFonts w:asciiTheme="minorHAnsi" w:hAnsiTheme="minorHAnsi" w:cstheme="minorHAnsi"/>
          <w:lang w:val="en-IE" w:eastAsia="en-IE"/>
        </w:rPr>
        <w:t>, (iv) Length, (v) Complexity, (vi) Specificity and (vii) Attestation</w:t>
      </w:r>
      <w:r w:rsidR="00DF1C42" w:rsidRPr="00025B9C">
        <w:rPr>
          <w:rFonts w:asciiTheme="minorHAnsi" w:hAnsiTheme="minorHAnsi" w:cstheme="minorHAnsi"/>
        </w:rPr>
        <w:t xml:space="preserve">. </w:t>
      </w:r>
      <w:r w:rsidR="00C445F2" w:rsidRPr="00025B9C">
        <w:rPr>
          <w:rFonts w:asciiTheme="minorHAnsi" w:hAnsiTheme="minorHAnsi" w:cstheme="minorHAnsi"/>
        </w:rPr>
        <w:t xml:space="preserve">This paper takes Shrives </w:t>
      </w:r>
      <w:r w:rsidR="000F794B" w:rsidRPr="00025B9C">
        <w:rPr>
          <w:rFonts w:asciiTheme="minorHAnsi" w:hAnsiTheme="minorHAnsi" w:cstheme="minorHAnsi"/>
        </w:rPr>
        <w:t>and</w:t>
      </w:r>
      <w:r w:rsidR="003969AA" w:rsidRPr="00025B9C">
        <w:rPr>
          <w:rFonts w:asciiTheme="minorHAnsi" w:hAnsiTheme="minorHAnsi" w:cstheme="minorHAnsi"/>
        </w:rPr>
        <w:t xml:space="preserve"> </w:t>
      </w:r>
      <w:r w:rsidR="00C445F2" w:rsidRPr="00025B9C">
        <w:rPr>
          <w:rFonts w:asciiTheme="minorHAnsi" w:hAnsiTheme="minorHAnsi" w:cstheme="minorHAnsi"/>
        </w:rPr>
        <w:t>Brennan’s (2015) analy</w:t>
      </w:r>
      <w:r w:rsidR="004F6FDC" w:rsidRPr="00025B9C">
        <w:rPr>
          <w:rFonts w:asciiTheme="minorHAnsi" w:hAnsiTheme="minorHAnsi" w:cstheme="minorHAnsi"/>
        </w:rPr>
        <w:t>sis</w:t>
      </w:r>
      <w:r w:rsidR="00C445F2" w:rsidRPr="00025B9C">
        <w:rPr>
          <w:rFonts w:asciiTheme="minorHAnsi" w:hAnsiTheme="minorHAnsi" w:cstheme="minorHAnsi"/>
        </w:rPr>
        <w:t xml:space="preserve"> of non-compliance explanations against a quality typology one step further by conducting a sentence-by-sentence analysis of the content of the explanations, focusing on the use of nine rhetorical strategies </w:t>
      </w:r>
      <w:r w:rsidR="005D5311" w:rsidRPr="00025B9C">
        <w:rPr>
          <w:rFonts w:asciiTheme="minorHAnsi" w:hAnsiTheme="minorHAnsi" w:cstheme="minorHAnsi"/>
        </w:rPr>
        <w:t>in our typology</w:t>
      </w:r>
      <w:r w:rsidR="005D5311" w:rsidRPr="00025B9C">
        <w:rPr>
          <w:rFonts w:asciiTheme="minorHAnsi" w:hAnsiTheme="minorHAnsi" w:cstheme="minorHAnsi"/>
          <w:lang w:val="en-IE"/>
        </w:rPr>
        <w:t xml:space="preserve"> </w:t>
      </w:r>
      <w:r w:rsidR="00C445F2" w:rsidRPr="00025B9C">
        <w:rPr>
          <w:rFonts w:asciiTheme="minorHAnsi" w:hAnsiTheme="minorHAnsi" w:cstheme="minorHAnsi"/>
        </w:rPr>
        <w:t>used by companies to persuade/justify their non-compliance.</w:t>
      </w:r>
      <w:r w:rsidR="00DF1C42" w:rsidRPr="00025B9C">
        <w:rPr>
          <w:rFonts w:asciiTheme="minorHAnsi" w:hAnsiTheme="minorHAnsi" w:cstheme="minorHAnsi"/>
        </w:rPr>
        <w:t xml:space="preserve"> </w:t>
      </w:r>
    </w:p>
    <w:p w:rsidR="008D6DA4" w:rsidRPr="00025B9C" w:rsidRDefault="008D6DA4" w:rsidP="00D665D9">
      <w:pPr>
        <w:pStyle w:val="xl24"/>
        <w:pBdr>
          <w:bottom w:val="none" w:sz="0" w:space="0" w:color="auto"/>
        </w:pBdr>
        <w:spacing w:before="0" w:beforeAutospacing="0" w:after="0" w:afterAutospacing="0" w:line="360" w:lineRule="auto"/>
        <w:jc w:val="both"/>
        <w:rPr>
          <w:rFonts w:asciiTheme="minorHAnsi" w:hAnsiTheme="minorHAnsi" w:cstheme="minorHAnsi"/>
          <w:sz w:val="22"/>
          <w:szCs w:val="22"/>
        </w:rPr>
      </w:pPr>
    </w:p>
    <w:p w:rsidR="00E20317" w:rsidRPr="00025B9C" w:rsidRDefault="009E046F" w:rsidP="00D665D9">
      <w:pPr>
        <w:spacing w:line="360" w:lineRule="auto"/>
        <w:jc w:val="both"/>
        <w:rPr>
          <w:rFonts w:asciiTheme="minorHAnsi" w:hAnsiTheme="minorHAnsi" w:cstheme="minorHAnsi"/>
        </w:rPr>
      </w:pPr>
      <w:r w:rsidRPr="00025B9C">
        <w:rPr>
          <w:rFonts w:asciiTheme="minorHAnsi" w:hAnsiTheme="minorHAnsi" w:cstheme="minorHAnsi"/>
        </w:rPr>
        <w:t xml:space="preserve">This paper </w:t>
      </w:r>
      <w:r w:rsidR="001145BC" w:rsidRPr="00025B9C">
        <w:rPr>
          <w:rFonts w:asciiTheme="minorHAnsi" w:hAnsiTheme="minorHAnsi" w:cstheme="minorHAnsi"/>
        </w:rPr>
        <w:t>proceeds as follows</w:t>
      </w:r>
      <w:r w:rsidR="00192669" w:rsidRPr="00025B9C">
        <w:rPr>
          <w:rFonts w:asciiTheme="minorHAnsi" w:hAnsiTheme="minorHAnsi" w:cstheme="minorHAnsi"/>
        </w:rPr>
        <w:t xml:space="preserve">: </w:t>
      </w:r>
      <w:r w:rsidR="00454F1D" w:rsidRPr="00025B9C">
        <w:rPr>
          <w:rFonts w:asciiTheme="minorHAnsi" w:hAnsiTheme="minorHAnsi" w:cstheme="minorHAnsi"/>
        </w:rPr>
        <w:t xml:space="preserve">Section 2 considers </w:t>
      </w:r>
      <w:r w:rsidR="00B34F97" w:rsidRPr="00025B9C">
        <w:rPr>
          <w:rFonts w:asciiTheme="minorHAnsi" w:hAnsiTheme="minorHAnsi" w:cstheme="minorHAnsi"/>
        </w:rPr>
        <w:t xml:space="preserve">persuasion in corporate reporting </w:t>
      </w:r>
      <w:r w:rsidR="00454F1D" w:rsidRPr="00025B9C">
        <w:rPr>
          <w:rFonts w:asciiTheme="minorHAnsi" w:hAnsiTheme="minorHAnsi" w:cstheme="minorHAnsi"/>
        </w:rPr>
        <w:t xml:space="preserve">including relevant theories, </w:t>
      </w:r>
      <w:r w:rsidR="00B34F97" w:rsidRPr="00025B9C">
        <w:rPr>
          <w:rFonts w:asciiTheme="minorHAnsi" w:hAnsiTheme="minorHAnsi" w:cstheme="minorHAnsi"/>
        </w:rPr>
        <w:t xml:space="preserve">rhetorical </w:t>
      </w:r>
      <w:r w:rsidR="00454F1D" w:rsidRPr="00025B9C">
        <w:rPr>
          <w:rFonts w:asciiTheme="minorHAnsi" w:hAnsiTheme="minorHAnsi" w:cstheme="minorHAnsi"/>
        </w:rPr>
        <w:t>strategies and culminates with the typology</w:t>
      </w:r>
      <w:r w:rsidR="00FD2892" w:rsidRPr="00025B9C">
        <w:rPr>
          <w:rFonts w:asciiTheme="minorHAnsi" w:hAnsiTheme="minorHAnsi" w:cstheme="minorHAnsi"/>
        </w:rPr>
        <w:t xml:space="preserve"> in Section 3. Section 4</w:t>
      </w:r>
      <w:r w:rsidR="00454F1D" w:rsidRPr="00025B9C">
        <w:rPr>
          <w:rFonts w:asciiTheme="minorHAnsi" w:hAnsiTheme="minorHAnsi" w:cstheme="minorHAnsi"/>
        </w:rPr>
        <w:t xml:space="preserve"> describes the research methods and is </w:t>
      </w:r>
      <w:r w:rsidR="00FD2892" w:rsidRPr="00025B9C">
        <w:rPr>
          <w:rFonts w:asciiTheme="minorHAnsi" w:hAnsiTheme="minorHAnsi" w:cstheme="minorHAnsi"/>
        </w:rPr>
        <w:t>followed by results in Section 5</w:t>
      </w:r>
      <w:r w:rsidR="00454F1D" w:rsidRPr="00025B9C">
        <w:rPr>
          <w:rFonts w:asciiTheme="minorHAnsi" w:hAnsiTheme="minorHAnsi" w:cstheme="minorHAnsi"/>
        </w:rPr>
        <w:t>.</w:t>
      </w:r>
      <w:r w:rsidR="00390BDD" w:rsidRPr="00025B9C">
        <w:rPr>
          <w:rFonts w:asciiTheme="minorHAnsi" w:hAnsiTheme="minorHAnsi" w:cstheme="minorHAnsi"/>
        </w:rPr>
        <w:t xml:space="preserve"> </w:t>
      </w:r>
      <w:r w:rsidR="00E16C0D" w:rsidRPr="00025B9C">
        <w:rPr>
          <w:rFonts w:asciiTheme="minorHAnsi" w:hAnsiTheme="minorHAnsi" w:cstheme="minorHAnsi"/>
        </w:rPr>
        <w:t>Finally, t</w:t>
      </w:r>
      <w:r w:rsidR="00390BDD" w:rsidRPr="00025B9C">
        <w:rPr>
          <w:rFonts w:asciiTheme="minorHAnsi" w:hAnsiTheme="minorHAnsi" w:cstheme="minorHAnsi"/>
        </w:rPr>
        <w:t>he paper</w:t>
      </w:r>
      <w:r w:rsidR="00E16C0D" w:rsidRPr="00025B9C">
        <w:rPr>
          <w:rFonts w:asciiTheme="minorHAnsi" w:hAnsiTheme="minorHAnsi" w:cstheme="minorHAnsi"/>
        </w:rPr>
        <w:t xml:space="preserve"> concludes</w:t>
      </w:r>
      <w:r w:rsidR="00390BDD" w:rsidRPr="00025B9C">
        <w:rPr>
          <w:rFonts w:asciiTheme="minorHAnsi" w:hAnsiTheme="minorHAnsi" w:cstheme="minorHAnsi"/>
        </w:rPr>
        <w:t xml:space="preserve"> </w:t>
      </w:r>
      <w:r w:rsidR="00FD2892" w:rsidRPr="00025B9C">
        <w:rPr>
          <w:rFonts w:asciiTheme="minorHAnsi" w:hAnsiTheme="minorHAnsi" w:cstheme="minorHAnsi"/>
        </w:rPr>
        <w:t xml:space="preserve">in Section 6 </w:t>
      </w:r>
      <w:r w:rsidR="00390BDD" w:rsidRPr="00025B9C">
        <w:rPr>
          <w:rFonts w:asciiTheme="minorHAnsi" w:hAnsiTheme="minorHAnsi" w:cstheme="minorHAnsi"/>
        </w:rPr>
        <w:t xml:space="preserve">and </w:t>
      </w:r>
      <w:r w:rsidR="00E16C0D" w:rsidRPr="00025B9C">
        <w:rPr>
          <w:rFonts w:asciiTheme="minorHAnsi" w:hAnsiTheme="minorHAnsi" w:cstheme="minorHAnsi"/>
        </w:rPr>
        <w:t xml:space="preserve">provides </w:t>
      </w:r>
      <w:r w:rsidR="00390BDD" w:rsidRPr="00025B9C">
        <w:rPr>
          <w:rFonts w:asciiTheme="minorHAnsi" w:hAnsiTheme="minorHAnsi" w:cstheme="minorHAnsi"/>
        </w:rPr>
        <w:t>suggestions for further research.</w:t>
      </w:r>
    </w:p>
    <w:p w:rsidR="00320E1F" w:rsidRPr="00025B9C" w:rsidRDefault="00320E1F" w:rsidP="00D665D9">
      <w:pPr>
        <w:spacing w:line="360" w:lineRule="auto"/>
        <w:jc w:val="both"/>
        <w:rPr>
          <w:rFonts w:asciiTheme="minorHAnsi" w:hAnsiTheme="minorHAnsi" w:cstheme="minorHAnsi"/>
          <w:b/>
        </w:rPr>
      </w:pPr>
    </w:p>
    <w:p w:rsidR="007D392A" w:rsidRPr="00025B9C" w:rsidRDefault="007D392A" w:rsidP="00D665D9">
      <w:pPr>
        <w:spacing w:line="360" w:lineRule="auto"/>
        <w:jc w:val="both"/>
        <w:rPr>
          <w:rFonts w:asciiTheme="minorHAnsi" w:hAnsiTheme="minorHAnsi" w:cstheme="minorHAnsi"/>
          <w:b/>
        </w:rPr>
      </w:pPr>
      <w:r w:rsidRPr="00025B9C">
        <w:rPr>
          <w:rFonts w:asciiTheme="minorHAnsi" w:hAnsiTheme="minorHAnsi" w:cstheme="minorHAnsi"/>
          <w:b/>
        </w:rPr>
        <w:t xml:space="preserve">2. </w:t>
      </w:r>
      <w:r w:rsidR="00866BA4" w:rsidRPr="00025B9C">
        <w:rPr>
          <w:rFonts w:asciiTheme="minorHAnsi" w:hAnsiTheme="minorHAnsi" w:cstheme="minorHAnsi"/>
          <w:b/>
        </w:rPr>
        <w:t>Theoretical framework</w:t>
      </w:r>
    </w:p>
    <w:p w:rsidR="00BF5A5A" w:rsidRPr="00025B9C" w:rsidRDefault="000B0D5F" w:rsidP="00D665D9">
      <w:pPr>
        <w:autoSpaceDE w:val="0"/>
        <w:autoSpaceDN w:val="0"/>
        <w:adjustRightInd w:val="0"/>
        <w:spacing w:line="360" w:lineRule="auto"/>
        <w:jc w:val="both"/>
        <w:rPr>
          <w:rFonts w:asciiTheme="minorHAnsi" w:hAnsiTheme="minorHAnsi" w:cstheme="minorHAnsi"/>
        </w:rPr>
      </w:pPr>
      <w:r w:rsidRPr="00025B9C">
        <w:rPr>
          <w:rFonts w:asciiTheme="minorHAnsi" w:hAnsiTheme="minorHAnsi" w:cstheme="minorHAnsi"/>
          <w:lang w:val="en-IE" w:eastAsia="en-IE"/>
        </w:rPr>
        <w:t xml:space="preserve">In this section, we examine prior conceptualisations of corporate governance from a rhetorical perspective. </w:t>
      </w:r>
      <w:r w:rsidR="003C58BD" w:rsidRPr="00025B9C">
        <w:rPr>
          <w:rFonts w:asciiTheme="minorHAnsi" w:hAnsiTheme="minorHAnsi" w:cstheme="minorHAnsi"/>
          <w:lang w:val="en-IE" w:eastAsia="en-IE"/>
        </w:rPr>
        <w:t xml:space="preserve">Rhetoric “is concerned with the modes of persuasion” (Aristotle, 350BC/2010, p. 5). </w:t>
      </w:r>
      <w:r w:rsidRPr="00025B9C">
        <w:rPr>
          <w:rFonts w:asciiTheme="minorHAnsi" w:hAnsiTheme="minorHAnsi" w:cstheme="minorHAnsi"/>
          <w:lang w:val="en-IE" w:eastAsia="en-IE"/>
        </w:rPr>
        <w:t xml:space="preserve">We frame our analysis of corporate governance non-compliance explanations as a </w:t>
      </w:r>
      <w:r w:rsidR="006F0E1C" w:rsidRPr="00025B9C">
        <w:rPr>
          <w:rFonts w:asciiTheme="minorHAnsi" w:hAnsiTheme="minorHAnsi" w:cstheme="minorHAnsi"/>
          <w:lang w:val="en-IE" w:eastAsia="en-IE"/>
        </w:rPr>
        <w:t>“</w:t>
      </w:r>
      <w:r w:rsidRPr="00025B9C">
        <w:rPr>
          <w:rFonts w:asciiTheme="minorHAnsi" w:hAnsiTheme="minorHAnsi" w:cstheme="minorHAnsi"/>
          <w:lang w:val="en-IE" w:eastAsia="en-IE"/>
        </w:rPr>
        <w:t>critical rhetoric</w:t>
      </w:r>
      <w:r w:rsidR="006F0E1C" w:rsidRPr="00025B9C">
        <w:rPr>
          <w:rFonts w:asciiTheme="minorHAnsi" w:hAnsiTheme="minorHAnsi" w:cstheme="minorHAnsi"/>
          <w:lang w:val="en-IE" w:eastAsia="en-IE"/>
        </w:rPr>
        <w:t>”</w:t>
      </w:r>
      <w:r w:rsidRPr="00025B9C">
        <w:rPr>
          <w:rFonts w:asciiTheme="minorHAnsi" w:hAnsiTheme="minorHAnsi" w:cstheme="minorHAnsi"/>
          <w:lang w:val="en-IE" w:eastAsia="en-IE"/>
        </w:rPr>
        <w:t xml:space="preserve"> of the language of compliance as a </w:t>
      </w:r>
      <w:r w:rsidR="00066828" w:rsidRPr="00025B9C">
        <w:rPr>
          <w:rFonts w:asciiTheme="minorHAnsi" w:hAnsiTheme="minorHAnsi" w:cstheme="minorHAnsi"/>
          <w:lang w:val="en-IE" w:eastAsia="en-IE"/>
        </w:rPr>
        <w:t xml:space="preserve">means </w:t>
      </w:r>
      <w:r w:rsidRPr="00025B9C">
        <w:rPr>
          <w:rFonts w:asciiTheme="minorHAnsi" w:hAnsiTheme="minorHAnsi" w:cstheme="minorHAnsi"/>
          <w:lang w:val="en-IE" w:eastAsia="en-IE"/>
        </w:rPr>
        <w:t xml:space="preserve">to </w:t>
      </w:r>
      <w:r w:rsidR="009D2547" w:rsidRPr="00025B9C">
        <w:rPr>
          <w:rFonts w:asciiTheme="minorHAnsi" w:hAnsiTheme="minorHAnsi" w:cstheme="minorHAnsi"/>
          <w:lang w:val="en-IE" w:eastAsia="en-IE"/>
        </w:rPr>
        <w:t xml:space="preserve">persuade </w:t>
      </w:r>
      <w:r w:rsidRPr="00025B9C">
        <w:rPr>
          <w:rFonts w:asciiTheme="minorHAnsi" w:hAnsiTheme="minorHAnsi" w:cstheme="minorHAnsi"/>
          <w:lang w:val="en-IE" w:eastAsia="en-IE"/>
        </w:rPr>
        <w:t>shareholder</w:t>
      </w:r>
      <w:r w:rsidR="009D2547" w:rsidRPr="00025B9C">
        <w:rPr>
          <w:rFonts w:asciiTheme="minorHAnsi" w:hAnsiTheme="minorHAnsi" w:cstheme="minorHAnsi"/>
          <w:lang w:val="en-IE" w:eastAsia="en-IE"/>
        </w:rPr>
        <w:t>s</w:t>
      </w:r>
      <w:r w:rsidRPr="00025B9C">
        <w:rPr>
          <w:rFonts w:asciiTheme="minorHAnsi" w:hAnsiTheme="minorHAnsi" w:cstheme="minorHAnsi"/>
          <w:lang w:val="en-IE" w:eastAsia="en-IE"/>
        </w:rPr>
        <w:t xml:space="preserve"> and stakeholder</w:t>
      </w:r>
      <w:r w:rsidR="009D2547" w:rsidRPr="00025B9C">
        <w:rPr>
          <w:rFonts w:asciiTheme="minorHAnsi" w:hAnsiTheme="minorHAnsi" w:cstheme="minorHAnsi"/>
          <w:lang w:val="en-IE" w:eastAsia="en-IE"/>
        </w:rPr>
        <w:t>s</w:t>
      </w:r>
      <w:r w:rsidR="006B6873" w:rsidRPr="00025B9C">
        <w:rPr>
          <w:rFonts w:asciiTheme="minorHAnsi" w:hAnsiTheme="minorHAnsi" w:cstheme="minorHAnsi"/>
          <w:lang w:val="en-IE" w:eastAsia="en-IE"/>
        </w:rPr>
        <w:t xml:space="preserve">, </w:t>
      </w:r>
      <w:r w:rsidRPr="00025B9C">
        <w:rPr>
          <w:rFonts w:asciiTheme="minorHAnsi" w:hAnsiTheme="minorHAnsi" w:cstheme="minorHAnsi"/>
          <w:lang w:val="en-IE" w:eastAsia="en-IE"/>
        </w:rPr>
        <w:t>motivated by existing power relationships</w:t>
      </w:r>
      <w:r w:rsidR="00066828" w:rsidRPr="00025B9C">
        <w:rPr>
          <w:rFonts w:asciiTheme="minorHAnsi" w:hAnsiTheme="minorHAnsi" w:cstheme="minorHAnsi"/>
          <w:lang w:val="en-IE" w:eastAsia="en-IE"/>
        </w:rPr>
        <w:t xml:space="preserve"> between corporates and their audiences. Our perspective is that corporate governance non-compliance explanations are socially constructed, and our focus is on the construction and com</w:t>
      </w:r>
      <w:r w:rsidR="00BE3C0F" w:rsidRPr="00025B9C">
        <w:rPr>
          <w:rFonts w:asciiTheme="minorHAnsi" w:hAnsiTheme="minorHAnsi" w:cstheme="minorHAnsi"/>
          <w:lang w:val="en-IE" w:eastAsia="en-IE"/>
        </w:rPr>
        <w:t>munication of the explanations.</w:t>
      </w:r>
      <w:r w:rsidR="00A84C5B" w:rsidRPr="00025B9C">
        <w:rPr>
          <w:rFonts w:asciiTheme="minorHAnsi" w:hAnsiTheme="minorHAnsi" w:cstheme="minorHAnsi"/>
          <w:lang w:val="en-IE" w:eastAsia="en-IE"/>
        </w:rPr>
        <w:t xml:space="preserve"> </w:t>
      </w:r>
      <w:r w:rsidR="00C77296" w:rsidRPr="00025B9C">
        <w:rPr>
          <w:rFonts w:asciiTheme="minorHAnsi" w:hAnsiTheme="minorHAnsi" w:cstheme="minorHAnsi"/>
          <w:lang w:val="en-IE" w:eastAsia="en-IE"/>
        </w:rPr>
        <w:t xml:space="preserve">Institutional theory (DiMaggio </w:t>
      </w:r>
      <w:r w:rsidR="004B0C0A" w:rsidRPr="00025B9C">
        <w:rPr>
          <w:rFonts w:asciiTheme="minorHAnsi" w:hAnsiTheme="minorHAnsi" w:cstheme="minorHAnsi"/>
          <w:lang w:val="en-IE" w:eastAsia="en-IE"/>
        </w:rPr>
        <w:t>&amp;</w:t>
      </w:r>
      <w:r w:rsidR="00C77296" w:rsidRPr="00025B9C">
        <w:rPr>
          <w:rFonts w:asciiTheme="minorHAnsi" w:hAnsiTheme="minorHAnsi" w:cstheme="minorHAnsi"/>
          <w:lang w:val="en-IE" w:eastAsia="en-IE"/>
        </w:rPr>
        <w:t xml:space="preserve"> Powell, 1983; Scott, 2014) can also be useful in analysing how these explanations are communicated</w:t>
      </w:r>
      <w:r w:rsidR="00BF5A5A" w:rsidRPr="00025B9C">
        <w:rPr>
          <w:rFonts w:asciiTheme="minorHAnsi" w:hAnsiTheme="minorHAnsi" w:cstheme="minorHAnsi"/>
          <w:lang w:val="en-IE" w:eastAsia="en-IE"/>
        </w:rPr>
        <w:t xml:space="preserve"> to readers</w:t>
      </w:r>
      <w:r w:rsidR="00C77296" w:rsidRPr="00025B9C">
        <w:rPr>
          <w:rFonts w:asciiTheme="minorHAnsi" w:hAnsiTheme="minorHAnsi" w:cstheme="minorHAnsi"/>
          <w:lang w:val="en-IE" w:eastAsia="en-IE"/>
        </w:rPr>
        <w:t>. Audiences for these explanations are unlikely to question compliance</w:t>
      </w:r>
      <w:r w:rsidR="00D00D09" w:rsidRPr="00025B9C">
        <w:rPr>
          <w:rFonts w:asciiTheme="minorHAnsi" w:hAnsiTheme="minorHAnsi" w:cstheme="minorHAnsi"/>
          <w:lang w:val="en-IE" w:eastAsia="en-IE"/>
        </w:rPr>
        <w:t>, which is seen as legitimate (</w:t>
      </w:r>
      <w:proofErr w:type="spellStart"/>
      <w:r w:rsidR="00D00D09" w:rsidRPr="00025B9C">
        <w:rPr>
          <w:rFonts w:asciiTheme="minorHAnsi" w:hAnsiTheme="minorHAnsi" w:cstheme="minorHAnsi"/>
          <w:lang w:val="en-IE" w:eastAsia="en-IE"/>
        </w:rPr>
        <w:t>Suchman</w:t>
      </w:r>
      <w:proofErr w:type="spellEnd"/>
      <w:r w:rsidR="00D00D09" w:rsidRPr="00025B9C">
        <w:rPr>
          <w:rFonts w:asciiTheme="minorHAnsi" w:hAnsiTheme="minorHAnsi" w:cstheme="minorHAnsi"/>
          <w:lang w:val="en-IE" w:eastAsia="en-IE"/>
        </w:rPr>
        <w:t xml:space="preserve">, 1995) </w:t>
      </w:r>
      <w:r w:rsidR="00C77296" w:rsidRPr="00025B9C">
        <w:rPr>
          <w:rFonts w:asciiTheme="minorHAnsi" w:hAnsiTheme="minorHAnsi" w:cstheme="minorHAnsi"/>
          <w:lang w:val="en-IE" w:eastAsia="en-IE"/>
        </w:rPr>
        <w:t>and so management has incentive</w:t>
      </w:r>
      <w:r w:rsidR="00803F9D" w:rsidRPr="00025B9C">
        <w:rPr>
          <w:rFonts w:asciiTheme="minorHAnsi" w:hAnsiTheme="minorHAnsi" w:cstheme="minorHAnsi"/>
          <w:lang w:val="en-IE" w:eastAsia="en-IE"/>
        </w:rPr>
        <w:t>s</w:t>
      </w:r>
      <w:r w:rsidR="00BF5A5A" w:rsidRPr="00025B9C">
        <w:rPr>
          <w:rFonts w:asciiTheme="minorHAnsi" w:hAnsiTheme="minorHAnsi" w:cstheme="minorHAnsi"/>
          <w:lang w:val="en-IE" w:eastAsia="en-IE"/>
        </w:rPr>
        <w:t xml:space="preserve"> by using rhetoric </w:t>
      </w:r>
      <w:r w:rsidR="007340A5" w:rsidRPr="00025B9C">
        <w:rPr>
          <w:rFonts w:asciiTheme="minorHAnsi" w:hAnsiTheme="minorHAnsi" w:cstheme="minorHAnsi"/>
          <w:lang w:val="en-IE" w:eastAsia="en-IE"/>
        </w:rPr>
        <w:t>to make explanation</w:t>
      </w:r>
      <w:r w:rsidR="00803F9D" w:rsidRPr="00025B9C">
        <w:rPr>
          <w:rFonts w:asciiTheme="minorHAnsi" w:hAnsiTheme="minorHAnsi" w:cstheme="minorHAnsi"/>
          <w:lang w:val="en-IE" w:eastAsia="en-IE"/>
        </w:rPr>
        <w:t>s for non-compliance</w:t>
      </w:r>
      <w:r w:rsidR="007340A5" w:rsidRPr="00025B9C">
        <w:rPr>
          <w:rFonts w:asciiTheme="minorHAnsi" w:hAnsiTheme="minorHAnsi" w:cstheme="minorHAnsi"/>
          <w:lang w:val="en-IE" w:eastAsia="en-IE"/>
        </w:rPr>
        <w:t xml:space="preserve"> appear equivale</w:t>
      </w:r>
      <w:r w:rsidR="00CA2B75" w:rsidRPr="00025B9C">
        <w:rPr>
          <w:rFonts w:asciiTheme="minorHAnsi" w:hAnsiTheme="minorHAnsi" w:cstheme="minorHAnsi"/>
          <w:lang w:val="en-IE" w:eastAsia="en-IE"/>
        </w:rPr>
        <w:t>nt to</w:t>
      </w:r>
      <w:r w:rsidR="00BF5A5A" w:rsidRPr="00025B9C">
        <w:rPr>
          <w:rFonts w:asciiTheme="minorHAnsi" w:hAnsiTheme="minorHAnsi" w:cstheme="minorHAnsi"/>
          <w:lang w:val="en-IE" w:eastAsia="en-IE"/>
        </w:rPr>
        <w:t>,</w:t>
      </w:r>
      <w:r w:rsidR="00CA2B75" w:rsidRPr="00025B9C">
        <w:rPr>
          <w:rFonts w:asciiTheme="minorHAnsi" w:hAnsiTheme="minorHAnsi" w:cstheme="minorHAnsi"/>
          <w:lang w:val="en-IE" w:eastAsia="en-IE"/>
        </w:rPr>
        <w:t xml:space="preserve"> or better than</w:t>
      </w:r>
      <w:r w:rsidR="00BF5A5A" w:rsidRPr="00025B9C">
        <w:rPr>
          <w:rFonts w:asciiTheme="minorHAnsi" w:hAnsiTheme="minorHAnsi" w:cstheme="minorHAnsi"/>
          <w:lang w:val="en-IE" w:eastAsia="en-IE"/>
        </w:rPr>
        <w:t>,</w:t>
      </w:r>
      <w:r w:rsidR="00CA2B75" w:rsidRPr="00025B9C">
        <w:rPr>
          <w:rFonts w:asciiTheme="minorHAnsi" w:hAnsiTheme="minorHAnsi" w:cstheme="minorHAnsi"/>
          <w:lang w:val="en-IE" w:eastAsia="en-IE"/>
        </w:rPr>
        <w:t xml:space="preserve"> compliance</w:t>
      </w:r>
      <w:r w:rsidR="007340A5" w:rsidRPr="00025B9C">
        <w:rPr>
          <w:rFonts w:asciiTheme="minorHAnsi" w:hAnsiTheme="minorHAnsi" w:cstheme="minorHAnsi"/>
          <w:lang w:val="en-IE" w:eastAsia="en-IE"/>
        </w:rPr>
        <w:t>.</w:t>
      </w:r>
      <w:r w:rsidR="00CA2B75" w:rsidRPr="00025B9C">
        <w:rPr>
          <w:rFonts w:asciiTheme="minorHAnsi" w:hAnsiTheme="minorHAnsi" w:cstheme="minorHAnsi"/>
          <w:lang w:val="en-IE" w:eastAsia="en-IE"/>
        </w:rPr>
        <w:t xml:space="preserve"> A</w:t>
      </w:r>
      <w:r w:rsidR="004B0C0A" w:rsidRPr="00025B9C">
        <w:rPr>
          <w:rFonts w:asciiTheme="minorHAnsi" w:hAnsiTheme="minorHAnsi" w:cstheme="minorHAnsi"/>
          <w:lang w:val="en-IE" w:eastAsia="en-IE"/>
        </w:rPr>
        <w:t>nother</w:t>
      </w:r>
      <w:r w:rsidR="00CA2B75" w:rsidRPr="00025B9C">
        <w:rPr>
          <w:rFonts w:asciiTheme="minorHAnsi" w:hAnsiTheme="minorHAnsi" w:cstheme="minorHAnsi"/>
          <w:lang w:val="en-IE" w:eastAsia="en-IE"/>
        </w:rPr>
        <w:t xml:space="preserve"> approach is to attribute the non-compliance to </w:t>
      </w:r>
      <w:r w:rsidR="00BF5A5A" w:rsidRPr="00025B9C">
        <w:rPr>
          <w:rFonts w:asciiTheme="minorHAnsi" w:hAnsiTheme="minorHAnsi" w:cstheme="minorHAnsi"/>
          <w:lang w:val="en-IE" w:eastAsia="en-IE"/>
        </w:rPr>
        <w:t>an event beyond management’s control, thereby implying that someone or something else is to blame</w:t>
      </w:r>
      <w:r w:rsidR="008340B6" w:rsidRPr="00025B9C">
        <w:rPr>
          <w:rFonts w:asciiTheme="minorHAnsi" w:hAnsiTheme="minorHAnsi" w:cstheme="minorHAnsi"/>
          <w:lang w:val="en-IE" w:eastAsia="en-IE"/>
        </w:rPr>
        <w:t xml:space="preserve"> (attribution)</w:t>
      </w:r>
      <w:r w:rsidR="00BF5A5A" w:rsidRPr="00025B9C">
        <w:rPr>
          <w:rFonts w:asciiTheme="minorHAnsi" w:hAnsiTheme="minorHAnsi" w:cstheme="minorHAnsi"/>
          <w:lang w:val="en-IE" w:eastAsia="en-IE"/>
        </w:rPr>
        <w:t>. We use Benoit’s (</w:t>
      </w:r>
      <w:r w:rsidR="00993D81" w:rsidRPr="00025B9C">
        <w:rPr>
          <w:rFonts w:asciiTheme="minorHAnsi" w:hAnsiTheme="minorHAnsi" w:cstheme="minorHAnsi"/>
          <w:lang w:val="en-IE" w:eastAsia="en-IE"/>
        </w:rPr>
        <w:t xml:space="preserve">1995, </w:t>
      </w:r>
      <w:r w:rsidR="00BF5A5A" w:rsidRPr="00025B9C">
        <w:rPr>
          <w:rFonts w:asciiTheme="minorHAnsi" w:hAnsiTheme="minorHAnsi" w:cstheme="minorHAnsi"/>
          <w:lang w:val="en-IE" w:eastAsia="en-IE"/>
        </w:rPr>
        <w:t xml:space="preserve">2015) </w:t>
      </w:r>
      <w:r w:rsidR="007920C6" w:rsidRPr="00025B9C">
        <w:rPr>
          <w:rFonts w:asciiTheme="minorHAnsi" w:hAnsiTheme="minorHAnsi" w:cstheme="minorHAnsi"/>
          <w:lang w:val="en-IE" w:eastAsia="en-IE"/>
        </w:rPr>
        <w:t>i</w:t>
      </w:r>
      <w:r w:rsidR="00BF5A5A" w:rsidRPr="00025B9C">
        <w:rPr>
          <w:rFonts w:asciiTheme="minorHAnsi" w:hAnsiTheme="minorHAnsi" w:cstheme="minorHAnsi"/>
          <w:lang w:val="en-IE" w:eastAsia="en-IE"/>
        </w:rPr>
        <w:t xml:space="preserve">mage repair </w:t>
      </w:r>
      <w:r w:rsidR="00EF7E23" w:rsidRPr="00025B9C">
        <w:rPr>
          <w:rFonts w:asciiTheme="minorHAnsi" w:hAnsiTheme="minorHAnsi" w:cstheme="minorHAnsi"/>
          <w:lang w:val="en-IE" w:eastAsia="en-IE"/>
        </w:rPr>
        <w:t>work</w:t>
      </w:r>
      <w:r w:rsidR="00BF5A5A" w:rsidRPr="00025B9C">
        <w:rPr>
          <w:rFonts w:asciiTheme="minorHAnsi" w:hAnsiTheme="minorHAnsi" w:cstheme="minorHAnsi"/>
          <w:lang w:val="en-IE" w:eastAsia="en-IE"/>
        </w:rPr>
        <w:t xml:space="preserve"> to develop an appropriate typology by which to analyse and better understand these explanations.</w:t>
      </w:r>
      <w:r w:rsidR="00EF7E23" w:rsidRPr="00025B9C">
        <w:rPr>
          <w:rFonts w:asciiTheme="minorHAnsi" w:hAnsiTheme="minorHAnsi" w:cstheme="minorHAnsi"/>
          <w:sz w:val="20"/>
          <w:szCs w:val="20"/>
        </w:rPr>
        <w:t xml:space="preserve"> </w:t>
      </w:r>
      <w:r w:rsidR="00EF7E23" w:rsidRPr="00025B9C">
        <w:rPr>
          <w:rFonts w:asciiTheme="minorHAnsi" w:hAnsiTheme="minorHAnsi" w:cstheme="minorHAnsi"/>
        </w:rPr>
        <w:t xml:space="preserve">Although </w:t>
      </w:r>
      <w:r w:rsidR="00476312" w:rsidRPr="00025B9C">
        <w:rPr>
          <w:rFonts w:asciiTheme="minorHAnsi" w:hAnsiTheme="minorHAnsi" w:cstheme="minorHAnsi"/>
        </w:rPr>
        <w:t>‘comply-or-explain’</w:t>
      </w:r>
      <w:r w:rsidR="00EF7E23" w:rsidRPr="00025B9C">
        <w:rPr>
          <w:rFonts w:asciiTheme="minorHAnsi" w:hAnsiTheme="minorHAnsi" w:cstheme="minorHAnsi"/>
        </w:rPr>
        <w:t xml:space="preserve"> is often cited as one of the key strengths of the Code, it is in fact compliance that is most often reported on by the FRC and those monitoring the Code. Because of what we believe to be </w:t>
      </w:r>
      <w:r w:rsidR="008A3B88" w:rsidRPr="00025B9C">
        <w:rPr>
          <w:rFonts w:asciiTheme="minorHAnsi" w:hAnsiTheme="minorHAnsi" w:cstheme="minorHAnsi"/>
        </w:rPr>
        <w:t xml:space="preserve">increasing </w:t>
      </w:r>
      <w:r w:rsidR="00EF7E23" w:rsidRPr="00025B9C">
        <w:rPr>
          <w:rFonts w:asciiTheme="minorHAnsi" w:hAnsiTheme="minorHAnsi" w:cstheme="minorHAnsi"/>
        </w:rPr>
        <w:t>institutional pressure to comply faced by companies over time</w:t>
      </w:r>
      <w:r w:rsidR="00D330EA" w:rsidRPr="00025B9C">
        <w:rPr>
          <w:rFonts w:asciiTheme="minorHAnsi" w:hAnsiTheme="minorHAnsi" w:cstheme="minorHAnsi"/>
        </w:rPr>
        <w:t>,</w:t>
      </w:r>
      <w:r w:rsidR="00EF7E23" w:rsidRPr="00025B9C">
        <w:rPr>
          <w:rFonts w:asciiTheme="minorHAnsi" w:hAnsiTheme="minorHAnsi" w:cstheme="minorHAnsi"/>
        </w:rPr>
        <w:t xml:space="preserve"> we expect a greater incidence of rhetorical strategies in the second time period (RQ 2). </w:t>
      </w:r>
    </w:p>
    <w:p w:rsidR="00D330EA" w:rsidRPr="00025B9C" w:rsidRDefault="00D330EA" w:rsidP="00D665D9">
      <w:pPr>
        <w:autoSpaceDE w:val="0"/>
        <w:autoSpaceDN w:val="0"/>
        <w:adjustRightInd w:val="0"/>
        <w:spacing w:line="360" w:lineRule="auto"/>
        <w:jc w:val="both"/>
        <w:rPr>
          <w:rFonts w:asciiTheme="minorHAnsi" w:hAnsiTheme="minorHAnsi" w:cstheme="minorHAnsi"/>
          <w:lang w:val="en-IE" w:eastAsia="en-IE"/>
        </w:rPr>
      </w:pPr>
    </w:p>
    <w:p w:rsidR="00066828" w:rsidRPr="00025B9C" w:rsidRDefault="00066828" w:rsidP="00D665D9">
      <w:pPr>
        <w:autoSpaceDE w:val="0"/>
        <w:autoSpaceDN w:val="0"/>
        <w:adjustRightInd w:val="0"/>
        <w:spacing w:line="360" w:lineRule="auto"/>
        <w:jc w:val="both"/>
        <w:rPr>
          <w:rFonts w:asciiTheme="minorHAnsi" w:hAnsiTheme="minorHAnsi" w:cstheme="minorHAnsi"/>
          <w:lang w:val="en-IE" w:eastAsia="en-IE"/>
        </w:rPr>
      </w:pPr>
      <w:r w:rsidRPr="00025B9C">
        <w:rPr>
          <w:rFonts w:asciiTheme="minorHAnsi" w:hAnsiTheme="minorHAnsi" w:cstheme="minorHAnsi"/>
          <w:lang w:val="en-IE" w:eastAsia="en-IE"/>
        </w:rPr>
        <w:t xml:space="preserve">We </w:t>
      </w:r>
      <w:r w:rsidR="003C58BD" w:rsidRPr="00025B9C">
        <w:rPr>
          <w:rFonts w:asciiTheme="minorHAnsi" w:hAnsiTheme="minorHAnsi" w:cstheme="minorHAnsi"/>
          <w:lang w:val="en-IE" w:eastAsia="en-IE"/>
        </w:rPr>
        <w:t>consider the relations of power</w:t>
      </w:r>
      <w:r w:rsidRPr="00025B9C">
        <w:rPr>
          <w:rFonts w:asciiTheme="minorHAnsi" w:hAnsiTheme="minorHAnsi" w:cstheme="minorHAnsi"/>
          <w:lang w:val="en-IE" w:eastAsia="en-IE"/>
        </w:rPr>
        <w:t>.</w:t>
      </w:r>
      <w:r w:rsidR="00E5590A" w:rsidRPr="00025B9C">
        <w:rPr>
          <w:rFonts w:asciiTheme="minorHAnsi" w:hAnsiTheme="minorHAnsi" w:cstheme="minorHAnsi"/>
          <w:lang w:val="en-IE" w:eastAsia="en-IE"/>
        </w:rPr>
        <w:t xml:space="preserve"> In the context of corporate governance non-compliance explanations, the power relations are that investors and stakeholders depend on management for information on corporate governance processes and procedures. Audiences </w:t>
      </w:r>
      <w:r w:rsidR="00195F85" w:rsidRPr="00025B9C">
        <w:rPr>
          <w:rFonts w:asciiTheme="minorHAnsi" w:hAnsiTheme="minorHAnsi" w:cstheme="minorHAnsi"/>
          <w:lang w:val="en-IE" w:eastAsia="en-IE"/>
        </w:rPr>
        <w:t xml:space="preserve">do not </w:t>
      </w:r>
      <w:r w:rsidR="00E5590A" w:rsidRPr="00025B9C">
        <w:rPr>
          <w:rFonts w:asciiTheme="minorHAnsi" w:hAnsiTheme="minorHAnsi" w:cstheme="minorHAnsi"/>
          <w:lang w:val="en-IE" w:eastAsia="en-IE"/>
        </w:rPr>
        <w:t>know whether the rhetoric</w:t>
      </w:r>
      <w:r w:rsidR="00195F85" w:rsidRPr="00025B9C">
        <w:rPr>
          <w:rFonts w:asciiTheme="minorHAnsi" w:hAnsiTheme="minorHAnsi" w:cstheme="minorHAnsi"/>
          <w:lang w:val="en-IE" w:eastAsia="en-IE"/>
        </w:rPr>
        <w:t xml:space="preserve"> reflects</w:t>
      </w:r>
      <w:r w:rsidR="00E5590A" w:rsidRPr="00025B9C">
        <w:rPr>
          <w:rFonts w:asciiTheme="minorHAnsi" w:hAnsiTheme="minorHAnsi" w:cstheme="minorHAnsi"/>
          <w:lang w:val="en-IE" w:eastAsia="en-IE"/>
        </w:rPr>
        <w:t xml:space="preserve"> the </w:t>
      </w:r>
      <w:r w:rsidR="00195F85" w:rsidRPr="00025B9C">
        <w:rPr>
          <w:rFonts w:asciiTheme="minorHAnsi" w:hAnsiTheme="minorHAnsi" w:cstheme="minorHAnsi"/>
          <w:lang w:val="en-IE" w:eastAsia="en-IE"/>
        </w:rPr>
        <w:t xml:space="preserve">underlying corporate </w:t>
      </w:r>
      <w:r w:rsidR="00E5590A" w:rsidRPr="00025B9C">
        <w:rPr>
          <w:rFonts w:asciiTheme="minorHAnsi" w:hAnsiTheme="minorHAnsi" w:cstheme="minorHAnsi"/>
          <w:lang w:val="en-IE" w:eastAsia="en-IE"/>
        </w:rPr>
        <w:t>reality.</w:t>
      </w:r>
    </w:p>
    <w:p w:rsidR="00D330EA" w:rsidRPr="00025B9C" w:rsidRDefault="00D330EA" w:rsidP="00D665D9">
      <w:pPr>
        <w:autoSpaceDE w:val="0"/>
        <w:autoSpaceDN w:val="0"/>
        <w:adjustRightInd w:val="0"/>
        <w:spacing w:line="360" w:lineRule="auto"/>
        <w:jc w:val="both"/>
        <w:rPr>
          <w:rFonts w:asciiTheme="minorHAnsi" w:hAnsiTheme="minorHAnsi" w:cstheme="minorHAnsi"/>
          <w:i/>
          <w:lang w:val="en-IE" w:eastAsia="en-IE"/>
        </w:rPr>
      </w:pPr>
    </w:p>
    <w:p w:rsidR="00E467AF" w:rsidRPr="00025B9C" w:rsidRDefault="006B6873" w:rsidP="00D665D9">
      <w:pPr>
        <w:autoSpaceDE w:val="0"/>
        <w:autoSpaceDN w:val="0"/>
        <w:adjustRightInd w:val="0"/>
        <w:spacing w:line="360" w:lineRule="auto"/>
        <w:jc w:val="both"/>
        <w:rPr>
          <w:rFonts w:asciiTheme="minorHAnsi" w:hAnsiTheme="minorHAnsi" w:cstheme="minorHAnsi"/>
          <w:i/>
          <w:lang w:val="en-IE" w:eastAsia="en-IE"/>
        </w:rPr>
      </w:pPr>
      <w:r w:rsidRPr="00025B9C">
        <w:rPr>
          <w:rFonts w:asciiTheme="minorHAnsi" w:hAnsiTheme="minorHAnsi" w:cstheme="minorHAnsi"/>
          <w:i/>
          <w:lang w:val="en-IE" w:eastAsia="en-IE"/>
        </w:rPr>
        <w:t>2.1</w:t>
      </w:r>
      <w:r w:rsidR="00E467AF" w:rsidRPr="00025B9C">
        <w:rPr>
          <w:rFonts w:asciiTheme="minorHAnsi" w:hAnsiTheme="minorHAnsi" w:cstheme="minorHAnsi"/>
          <w:i/>
          <w:lang w:val="en-IE" w:eastAsia="en-IE"/>
        </w:rPr>
        <w:t xml:space="preserve"> Rhetoric and corporate governance explanations</w:t>
      </w:r>
    </w:p>
    <w:p w:rsidR="00B42348" w:rsidRPr="00025B9C" w:rsidRDefault="00340CC7" w:rsidP="00D665D9">
      <w:pPr>
        <w:autoSpaceDE w:val="0"/>
        <w:autoSpaceDN w:val="0"/>
        <w:adjustRightInd w:val="0"/>
        <w:spacing w:line="360" w:lineRule="auto"/>
        <w:jc w:val="both"/>
        <w:rPr>
          <w:rFonts w:asciiTheme="minorHAnsi" w:hAnsiTheme="minorHAnsi" w:cstheme="minorHAnsi"/>
          <w:lang w:val="en-IE" w:eastAsia="en-IE"/>
        </w:rPr>
      </w:pPr>
      <w:r w:rsidRPr="00025B9C">
        <w:rPr>
          <w:rFonts w:asciiTheme="minorHAnsi" w:hAnsiTheme="minorHAnsi" w:cstheme="minorHAnsi"/>
          <w:lang w:val="en-IE" w:eastAsia="en-IE"/>
        </w:rPr>
        <w:t>Rhetoric has been defined as the art of persuasion by words (Kennedy, 1991</w:t>
      </w:r>
      <w:r w:rsidR="00EB007C" w:rsidRPr="00025B9C">
        <w:rPr>
          <w:rFonts w:asciiTheme="minorHAnsi" w:hAnsiTheme="minorHAnsi" w:cstheme="minorHAnsi"/>
          <w:lang w:val="en-IE" w:eastAsia="en-IE"/>
        </w:rPr>
        <w:t xml:space="preserve">, as cited in </w:t>
      </w:r>
      <w:proofErr w:type="spellStart"/>
      <w:r w:rsidR="00EB007C" w:rsidRPr="00025B9C">
        <w:rPr>
          <w:rFonts w:asciiTheme="minorHAnsi" w:hAnsiTheme="minorHAnsi" w:cstheme="minorHAnsi"/>
          <w:lang w:val="en-IE" w:eastAsia="en-IE"/>
        </w:rPr>
        <w:t>Castelló</w:t>
      </w:r>
      <w:proofErr w:type="spellEnd"/>
      <w:r w:rsidR="00EB007C" w:rsidRPr="00025B9C">
        <w:rPr>
          <w:rFonts w:asciiTheme="minorHAnsi" w:hAnsiTheme="minorHAnsi" w:cstheme="minorHAnsi"/>
          <w:lang w:val="en-IE" w:eastAsia="en-IE"/>
        </w:rPr>
        <w:t xml:space="preserve"> </w:t>
      </w:r>
      <w:r w:rsidR="00D20522" w:rsidRPr="00025B9C">
        <w:rPr>
          <w:rFonts w:asciiTheme="minorHAnsi" w:hAnsiTheme="minorHAnsi" w:cstheme="minorHAnsi"/>
          <w:lang w:val="en-IE" w:eastAsia="en-IE"/>
        </w:rPr>
        <w:t>&amp;</w:t>
      </w:r>
      <w:r w:rsidR="00EB007C" w:rsidRPr="00025B9C">
        <w:rPr>
          <w:rFonts w:asciiTheme="minorHAnsi" w:hAnsiTheme="minorHAnsi" w:cstheme="minorHAnsi"/>
          <w:lang w:val="en-IE" w:eastAsia="en-IE"/>
        </w:rPr>
        <w:t xml:space="preserve"> Lozano, 2011, p. 14</w:t>
      </w:r>
      <w:r w:rsidRPr="00025B9C">
        <w:rPr>
          <w:rFonts w:asciiTheme="minorHAnsi" w:hAnsiTheme="minorHAnsi" w:cstheme="minorHAnsi"/>
          <w:lang w:val="en-IE" w:eastAsia="en-IE"/>
        </w:rPr>
        <w:t xml:space="preserve">). </w:t>
      </w:r>
      <w:r w:rsidR="00887F40" w:rsidRPr="00025B9C">
        <w:rPr>
          <w:rFonts w:asciiTheme="minorHAnsi" w:hAnsiTheme="minorHAnsi" w:cstheme="minorHAnsi"/>
          <w:lang w:val="en-IE" w:eastAsia="en-IE"/>
        </w:rPr>
        <w:t>A study o</w:t>
      </w:r>
      <w:r w:rsidR="00224EAB" w:rsidRPr="00025B9C">
        <w:rPr>
          <w:rFonts w:asciiTheme="minorHAnsi" w:hAnsiTheme="minorHAnsi" w:cstheme="minorHAnsi"/>
          <w:lang w:val="en-IE" w:eastAsia="en-IE"/>
        </w:rPr>
        <w:t xml:space="preserve">f the use of rhetoric by </w:t>
      </w:r>
      <w:r w:rsidRPr="00025B9C">
        <w:rPr>
          <w:rFonts w:asciiTheme="minorHAnsi" w:hAnsiTheme="minorHAnsi" w:cstheme="minorHAnsi"/>
          <w:lang w:val="en-IE" w:eastAsia="en-IE"/>
        </w:rPr>
        <w:t xml:space="preserve">organizations </w:t>
      </w:r>
      <w:r w:rsidR="00887F40" w:rsidRPr="00025B9C">
        <w:rPr>
          <w:rFonts w:asciiTheme="minorHAnsi" w:hAnsiTheme="minorHAnsi" w:cstheme="minorHAnsi"/>
          <w:lang w:val="en-IE" w:eastAsia="en-IE"/>
        </w:rPr>
        <w:t xml:space="preserve">can add insights to our understanding of the ways in which </w:t>
      </w:r>
      <w:r w:rsidR="00E27F35" w:rsidRPr="00025B9C">
        <w:rPr>
          <w:rFonts w:asciiTheme="minorHAnsi" w:hAnsiTheme="minorHAnsi" w:cstheme="minorHAnsi"/>
          <w:lang w:val="en-IE" w:eastAsia="en-IE"/>
        </w:rPr>
        <w:t xml:space="preserve">corporate reporting is </w:t>
      </w:r>
      <w:r w:rsidR="00887F40" w:rsidRPr="00025B9C">
        <w:rPr>
          <w:rFonts w:asciiTheme="minorHAnsi" w:hAnsiTheme="minorHAnsi" w:cstheme="minorHAnsi"/>
          <w:lang w:val="en-IE" w:eastAsia="en-IE"/>
        </w:rPr>
        <w:t xml:space="preserve">used to influence audiences’ interpretation </w:t>
      </w:r>
      <w:r w:rsidR="00E27F35" w:rsidRPr="00025B9C">
        <w:rPr>
          <w:rFonts w:asciiTheme="minorHAnsi" w:hAnsiTheme="minorHAnsi" w:cstheme="minorHAnsi"/>
          <w:lang w:val="en-IE" w:eastAsia="en-IE"/>
        </w:rPr>
        <w:t xml:space="preserve">(Brennan </w:t>
      </w:r>
      <w:r w:rsidR="00FD71EE" w:rsidRPr="00025B9C">
        <w:rPr>
          <w:rFonts w:asciiTheme="minorHAnsi" w:hAnsiTheme="minorHAnsi" w:cstheme="minorHAnsi"/>
          <w:lang w:val="en-IE" w:eastAsia="en-IE"/>
        </w:rPr>
        <w:t>&amp;</w:t>
      </w:r>
      <w:r w:rsidR="00E27F35" w:rsidRPr="00025B9C">
        <w:rPr>
          <w:rFonts w:asciiTheme="minorHAnsi" w:hAnsiTheme="minorHAnsi" w:cstheme="minorHAnsi"/>
          <w:lang w:val="en-IE" w:eastAsia="en-IE"/>
        </w:rPr>
        <w:t xml:space="preserve"> </w:t>
      </w:r>
      <w:proofErr w:type="spellStart"/>
      <w:r w:rsidR="00E27F35" w:rsidRPr="00025B9C">
        <w:rPr>
          <w:rFonts w:asciiTheme="minorHAnsi" w:hAnsiTheme="minorHAnsi" w:cstheme="minorHAnsi"/>
          <w:lang w:val="en-IE" w:eastAsia="en-IE"/>
        </w:rPr>
        <w:t>Merkl</w:t>
      </w:r>
      <w:proofErr w:type="spellEnd"/>
      <w:r w:rsidR="00E27F35" w:rsidRPr="00025B9C">
        <w:rPr>
          <w:rFonts w:asciiTheme="minorHAnsi" w:hAnsiTheme="minorHAnsi" w:cstheme="minorHAnsi"/>
          <w:lang w:val="en-IE" w:eastAsia="en-IE"/>
        </w:rPr>
        <w:t>-Davies, 2014)</w:t>
      </w:r>
      <w:r w:rsidR="00887F40" w:rsidRPr="00025B9C">
        <w:rPr>
          <w:rFonts w:asciiTheme="minorHAnsi" w:hAnsiTheme="minorHAnsi" w:cstheme="minorHAnsi"/>
          <w:lang w:val="en-IE" w:eastAsia="en-IE"/>
        </w:rPr>
        <w:t>. The use of rhetoric is more likely to be pronounced during shortfalls in corporate performance (</w:t>
      </w:r>
      <w:proofErr w:type="spellStart"/>
      <w:r w:rsidR="00462514" w:rsidRPr="00025B9C">
        <w:rPr>
          <w:rFonts w:asciiTheme="minorHAnsi" w:hAnsiTheme="minorHAnsi" w:cstheme="minorHAnsi"/>
          <w:lang w:val="en-IE" w:eastAsia="en-IE"/>
        </w:rPr>
        <w:t>Coupland</w:t>
      </w:r>
      <w:proofErr w:type="spellEnd"/>
      <w:r w:rsidR="00462514" w:rsidRPr="00025B9C">
        <w:rPr>
          <w:rFonts w:asciiTheme="minorHAnsi" w:hAnsiTheme="minorHAnsi" w:cstheme="minorHAnsi"/>
          <w:lang w:val="en-IE" w:eastAsia="en-IE"/>
        </w:rPr>
        <w:t xml:space="preserve">, 2005; </w:t>
      </w:r>
      <w:proofErr w:type="spellStart"/>
      <w:r w:rsidR="00887F40" w:rsidRPr="00025B9C">
        <w:rPr>
          <w:rFonts w:asciiTheme="minorHAnsi" w:hAnsiTheme="minorHAnsi" w:cstheme="minorHAnsi"/>
          <w:lang w:val="en-IE" w:eastAsia="en-IE"/>
        </w:rPr>
        <w:t>Suddaby</w:t>
      </w:r>
      <w:proofErr w:type="spellEnd"/>
      <w:r w:rsidR="00887F40" w:rsidRPr="00025B9C">
        <w:rPr>
          <w:rFonts w:asciiTheme="minorHAnsi" w:hAnsiTheme="minorHAnsi" w:cstheme="minorHAnsi"/>
          <w:lang w:val="en-IE" w:eastAsia="en-IE"/>
        </w:rPr>
        <w:t xml:space="preserve"> </w:t>
      </w:r>
      <w:r w:rsidR="003F4341" w:rsidRPr="00025B9C">
        <w:rPr>
          <w:rFonts w:asciiTheme="minorHAnsi" w:hAnsiTheme="minorHAnsi" w:cstheme="minorHAnsi"/>
          <w:lang w:val="en-IE" w:eastAsia="en-IE"/>
        </w:rPr>
        <w:t>&amp;</w:t>
      </w:r>
      <w:r w:rsidR="00887F40" w:rsidRPr="00025B9C">
        <w:rPr>
          <w:rFonts w:asciiTheme="minorHAnsi" w:hAnsiTheme="minorHAnsi" w:cstheme="minorHAnsi"/>
          <w:lang w:val="en-IE" w:eastAsia="en-IE"/>
        </w:rPr>
        <w:t xml:space="preserve"> Greenwood, 2</w:t>
      </w:r>
      <w:r w:rsidR="00462514" w:rsidRPr="00025B9C">
        <w:rPr>
          <w:rFonts w:asciiTheme="minorHAnsi" w:hAnsiTheme="minorHAnsi" w:cstheme="minorHAnsi"/>
          <w:lang w:val="en-IE" w:eastAsia="en-IE"/>
        </w:rPr>
        <w:t>005</w:t>
      </w:r>
      <w:r w:rsidR="00224EAB" w:rsidRPr="00025B9C">
        <w:rPr>
          <w:rFonts w:asciiTheme="minorHAnsi" w:hAnsiTheme="minorHAnsi" w:cstheme="minorHAnsi"/>
          <w:lang w:val="en-IE" w:eastAsia="en-IE"/>
        </w:rPr>
        <w:t xml:space="preserve">), as </w:t>
      </w:r>
      <w:r w:rsidR="00EE212F" w:rsidRPr="00025B9C">
        <w:rPr>
          <w:rFonts w:asciiTheme="minorHAnsi" w:hAnsiTheme="minorHAnsi" w:cstheme="minorHAnsi"/>
          <w:lang w:val="en-IE" w:eastAsia="en-IE"/>
        </w:rPr>
        <w:t xml:space="preserve">organizations </w:t>
      </w:r>
      <w:r w:rsidR="00887F40" w:rsidRPr="00025B9C">
        <w:rPr>
          <w:rFonts w:asciiTheme="minorHAnsi" w:hAnsiTheme="minorHAnsi" w:cstheme="minorHAnsi"/>
          <w:lang w:val="en-IE" w:eastAsia="en-IE"/>
        </w:rPr>
        <w:t xml:space="preserve">depend on public approval and thus need to </w:t>
      </w:r>
      <w:r w:rsidR="00E2663B" w:rsidRPr="00025B9C">
        <w:rPr>
          <w:rFonts w:asciiTheme="minorHAnsi" w:hAnsiTheme="minorHAnsi" w:cstheme="minorHAnsi"/>
          <w:lang w:val="en-IE" w:eastAsia="en-IE"/>
        </w:rPr>
        <w:t>‘</w:t>
      </w:r>
      <w:r w:rsidR="00887F40" w:rsidRPr="00025B9C">
        <w:rPr>
          <w:rFonts w:asciiTheme="minorHAnsi" w:hAnsiTheme="minorHAnsi" w:cstheme="minorHAnsi"/>
          <w:lang w:val="en-IE" w:eastAsia="en-IE"/>
        </w:rPr>
        <w:t>engineer</w:t>
      </w:r>
      <w:r w:rsidR="00E2663B" w:rsidRPr="00025B9C">
        <w:rPr>
          <w:rFonts w:asciiTheme="minorHAnsi" w:hAnsiTheme="minorHAnsi" w:cstheme="minorHAnsi"/>
          <w:lang w:val="en-IE" w:eastAsia="en-IE"/>
        </w:rPr>
        <w:t>’</w:t>
      </w:r>
      <w:r w:rsidR="00887F40" w:rsidRPr="00025B9C">
        <w:rPr>
          <w:rFonts w:asciiTheme="minorHAnsi" w:hAnsiTheme="minorHAnsi" w:cstheme="minorHAnsi"/>
          <w:lang w:val="en-IE" w:eastAsia="en-IE"/>
        </w:rPr>
        <w:t xml:space="preserve"> public support (</w:t>
      </w:r>
      <w:proofErr w:type="spellStart"/>
      <w:r w:rsidR="00887F40" w:rsidRPr="00025B9C">
        <w:rPr>
          <w:rFonts w:asciiTheme="minorHAnsi" w:hAnsiTheme="minorHAnsi" w:cstheme="minorHAnsi"/>
          <w:lang w:val="en-IE" w:eastAsia="en-IE"/>
        </w:rPr>
        <w:t>Bernays</w:t>
      </w:r>
      <w:proofErr w:type="spellEnd"/>
      <w:r w:rsidR="00887F40" w:rsidRPr="00025B9C">
        <w:rPr>
          <w:rFonts w:asciiTheme="minorHAnsi" w:hAnsiTheme="minorHAnsi" w:cstheme="minorHAnsi"/>
          <w:lang w:val="en-IE" w:eastAsia="en-IE"/>
        </w:rPr>
        <w:t>, 1947</w:t>
      </w:r>
      <w:r w:rsidR="003F4341" w:rsidRPr="00025B9C">
        <w:rPr>
          <w:rFonts w:asciiTheme="minorHAnsi" w:hAnsiTheme="minorHAnsi" w:cstheme="minorHAnsi"/>
          <w:lang w:val="en-IE" w:eastAsia="en-IE"/>
        </w:rPr>
        <w:t>)</w:t>
      </w:r>
      <w:r w:rsidR="00887F40" w:rsidRPr="00025B9C">
        <w:rPr>
          <w:rFonts w:asciiTheme="minorHAnsi" w:hAnsiTheme="minorHAnsi" w:cstheme="minorHAnsi"/>
          <w:lang w:val="en-IE" w:eastAsia="en-IE"/>
        </w:rPr>
        <w:t xml:space="preserve">. </w:t>
      </w:r>
      <w:r w:rsidR="00E27F35" w:rsidRPr="00025B9C">
        <w:rPr>
          <w:rFonts w:asciiTheme="minorHAnsi" w:hAnsiTheme="minorHAnsi" w:cstheme="minorHAnsi"/>
          <w:lang w:val="en-IE" w:eastAsia="en-IE"/>
        </w:rPr>
        <w:t xml:space="preserve">Although corporate governance non-compliance </w:t>
      </w:r>
      <w:r w:rsidR="00E27F35" w:rsidRPr="00025B9C">
        <w:rPr>
          <w:rFonts w:asciiTheme="minorHAnsi" w:hAnsiTheme="minorHAnsi" w:cstheme="minorHAnsi"/>
          <w:i/>
          <w:lang w:val="en-IE" w:eastAsia="en-IE"/>
        </w:rPr>
        <w:t>per se</w:t>
      </w:r>
      <w:r w:rsidR="00E27F35" w:rsidRPr="00025B9C">
        <w:rPr>
          <w:rFonts w:asciiTheme="minorHAnsi" w:hAnsiTheme="minorHAnsi" w:cstheme="minorHAnsi"/>
          <w:lang w:val="en-IE" w:eastAsia="en-IE"/>
        </w:rPr>
        <w:t xml:space="preserve"> is not a shortfall in performance, companies may be under pressure to justify their corporate governance choices. </w:t>
      </w:r>
      <w:r w:rsidR="00EF0C1D" w:rsidRPr="00025B9C">
        <w:rPr>
          <w:rFonts w:asciiTheme="minorHAnsi" w:hAnsiTheme="minorHAnsi" w:cstheme="minorHAnsi"/>
          <w:lang w:val="en-IE" w:eastAsia="en-IE"/>
        </w:rPr>
        <w:t xml:space="preserve">Analysing an issue from the perspective of a corporation’s own words may provide new </w:t>
      </w:r>
      <w:r w:rsidR="00996FBC" w:rsidRPr="00025B9C">
        <w:rPr>
          <w:rFonts w:asciiTheme="minorHAnsi" w:hAnsiTheme="minorHAnsi" w:cstheme="minorHAnsi"/>
          <w:lang w:eastAsia="en-IE"/>
        </w:rPr>
        <w:t xml:space="preserve">insights into corporate </w:t>
      </w:r>
      <w:proofErr w:type="spellStart"/>
      <w:r w:rsidR="00996FBC" w:rsidRPr="00025B9C">
        <w:rPr>
          <w:rFonts w:asciiTheme="minorHAnsi" w:hAnsiTheme="minorHAnsi" w:cstheme="minorHAnsi"/>
          <w:lang w:eastAsia="en-IE"/>
        </w:rPr>
        <w:t>behavio</w:t>
      </w:r>
      <w:r w:rsidR="00EF0C1D" w:rsidRPr="00025B9C">
        <w:rPr>
          <w:rFonts w:asciiTheme="minorHAnsi" w:hAnsiTheme="minorHAnsi" w:cstheme="minorHAnsi"/>
          <w:lang w:eastAsia="en-IE"/>
        </w:rPr>
        <w:t>r</w:t>
      </w:r>
      <w:proofErr w:type="spellEnd"/>
      <w:r w:rsidR="00EF0C1D" w:rsidRPr="00025B9C">
        <w:rPr>
          <w:rFonts w:asciiTheme="minorHAnsi" w:hAnsiTheme="minorHAnsi" w:cstheme="minorHAnsi"/>
          <w:lang w:eastAsia="en-IE"/>
        </w:rPr>
        <w:t xml:space="preserve"> (Fairfax, 20</w:t>
      </w:r>
      <w:r w:rsidR="00393D1B" w:rsidRPr="00025B9C">
        <w:rPr>
          <w:rFonts w:asciiTheme="minorHAnsi" w:hAnsiTheme="minorHAnsi" w:cstheme="minorHAnsi"/>
          <w:lang w:eastAsia="en-IE"/>
        </w:rPr>
        <w:t>07</w:t>
      </w:r>
      <w:r w:rsidR="00EF0C1D" w:rsidRPr="00025B9C">
        <w:rPr>
          <w:rFonts w:asciiTheme="minorHAnsi" w:hAnsiTheme="minorHAnsi" w:cstheme="minorHAnsi"/>
          <w:lang w:eastAsia="en-IE"/>
        </w:rPr>
        <w:t xml:space="preserve">). </w:t>
      </w:r>
      <w:r w:rsidR="00A85DED" w:rsidRPr="00025B9C">
        <w:rPr>
          <w:rFonts w:asciiTheme="minorHAnsi" w:hAnsiTheme="minorHAnsi" w:cstheme="minorHAnsi"/>
          <w:lang w:val="en-IE" w:eastAsia="en-IE"/>
        </w:rPr>
        <w:t>At the level of language use, common vocabularies, terms and rhetorical strategies may be prevalent and therefore of interest (</w:t>
      </w:r>
      <w:proofErr w:type="spellStart"/>
      <w:r w:rsidR="00A85DED" w:rsidRPr="00025B9C">
        <w:rPr>
          <w:rFonts w:asciiTheme="minorHAnsi" w:hAnsiTheme="minorHAnsi" w:cstheme="minorHAnsi"/>
          <w:lang w:val="en-IE" w:eastAsia="en-IE"/>
        </w:rPr>
        <w:t>Coupland</w:t>
      </w:r>
      <w:proofErr w:type="spellEnd"/>
      <w:r w:rsidR="00A85DED" w:rsidRPr="00025B9C">
        <w:rPr>
          <w:rFonts w:asciiTheme="minorHAnsi" w:hAnsiTheme="minorHAnsi" w:cstheme="minorHAnsi"/>
          <w:lang w:val="en-IE" w:eastAsia="en-IE"/>
        </w:rPr>
        <w:t xml:space="preserve">, 2005). </w:t>
      </w:r>
      <w:r w:rsidR="000F194D" w:rsidRPr="00025B9C">
        <w:rPr>
          <w:rFonts w:asciiTheme="minorHAnsi" w:hAnsiTheme="minorHAnsi" w:cstheme="minorHAnsi"/>
          <w:lang w:val="en-IE" w:eastAsia="en-IE"/>
        </w:rPr>
        <w:t xml:space="preserve">It is </w:t>
      </w:r>
      <w:r w:rsidR="0027637D" w:rsidRPr="00025B9C">
        <w:rPr>
          <w:rFonts w:asciiTheme="minorHAnsi" w:hAnsiTheme="minorHAnsi" w:cstheme="minorHAnsi"/>
          <w:lang w:val="en-IE" w:eastAsia="en-IE"/>
        </w:rPr>
        <w:t xml:space="preserve">particularly appropriate to examine </w:t>
      </w:r>
      <w:r w:rsidR="000F194D" w:rsidRPr="00025B9C">
        <w:rPr>
          <w:rFonts w:asciiTheme="minorHAnsi" w:hAnsiTheme="minorHAnsi" w:cstheme="minorHAnsi"/>
          <w:lang w:val="en-IE" w:eastAsia="en-IE"/>
        </w:rPr>
        <w:t xml:space="preserve">corporate governance explanations </w:t>
      </w:r>
      <w:r w:rsidR="0027637D" w:rsidRPr="00025B9C">
        <w:rPr>
          <w:rFonts w:asciiTheme="minorHAnsi" w:hAnsiTheme="minorHAnsi" w:cstheme="minorHAnsi"/>
          <w:lang w:val="en-IE" w:eastAsia="en-IE"/>
        </w:rPr>
        <w:t>through a rhetorical lens, given their purpose being to provide a “convincing rationale”</w:t>
      </w:r>
      <w:r w:rsidR="00E2663B" w:rsidRPr="00025B9C">
        <w:rPr>
          <w:rFonts w:asciiTheme="minorHAnsi" w:hAnsiTheme="minorHAnsi" w:cstheme="minorHAnsi"/>
          <w:lang w:val="en-IE" w:eastAsia="en-IE"/>
        </w:rPr>
        <w:t xml:space="preserve"> (FRC, 2012b, p. 6)</w:t>
      </w:r>
      <w:r w:rsidR="0027637D" w:rsidRPr="00025B9C">
        <w:rPr>
          <w:rFonts w:asciiTheme="minorHAnsi" w:hAnsiTheme="minorHAnsi" w:cstheme="minorHAnsi"/>
          <w:lang w:val="en-IE" w:eastAsia="en-IE"/>
        </w:rPr>
        <w:t xml:space="preserve">. </w:t>
      </w:r>
    </w:p>
    <w:p w:rsidR="00B42348" w:rsidRPr="00025B9C" w:rsidRDefault="00B42348" w:rsidP="00D665D9">
      <w:pPr>
        <w:autoSpaceDE w:val="0"/>
        <w:autoSpaceDN w:val="0"/>
        <w:adjustRightInd w:val="0"/>
        <w:spacing w:line="360" w:lineRule="auto"/>
        <w:jc w:val="both"/>
        <w:rPr>
          <w:rFonts w:asciiTheme="minorHAnsi" w:hAnsiTheme="minorHAnsi" w:cstheme="minorHAnsi"/>
          <w:lang w:val="en-IE" w:eastAsia="en-IE"/>
        </w:rPr>
      </w:pPr>
    </w:p>
    <w:p w:rsidR="00B42348" w:rsidRPr="00025B9C" w:rsidRDefault="006B6873" w:rsidP="00D665D9">
      <w:pPr>
        <w:keepNext/>
        <w:spacing w:line="360" w:lineRule="auto"/>
        <w:jc w:val="both"/>
        <w:rPr>
          <w:rFonts w:asciiTheme="minorHAnsi" w:hAnsiTheme="minorHAnsi" w:cstheme="minorHAnsi"/>
          <w:i/>
        </w:rPr>
      </w:pPr>
      <w:r w:rsidRPr="00025B9C">
        <w:rPr>
          <w:rFonts w:asciiTheme="minorHAnsi" w:hAnsiTheme="minorHAnsi" w:cstheme="minorHAnsi"/>
          <w:i/>
        </w:rPr>
        <w:t>2.2</w:t>
      </w:r>
      <w:r w:rsidR="00B42348" w:rsidRPr="00025B9C">
        <w:rPr>
          <w:rFonts w:asciiTheme="minorHAnsi" w:hAnsiTheme="minorHAnsi" w:cstheme="minorHAnsi"/>
          <w:i/>
        </w:rPr>
        <w:t xml:space="preserve"> Compliance rhetoric</w:t>
      </w:r>
      <w:r w:rsidR="00E467AF" w:rsidRPr="00025B9C">
        <w:rPr>
          <w:rFonts w:asciiTheme="minorHAnsi" w:hAnsiTheme="minorHAnsi" w:cstheme="minorHAnsi"/>
          <w:i/>
        </w:rPr>
        <w:t xml:space="preserve"> </w:t>
      </w:r>
      <w:r w:rsidR="00E467AF" w:rsidRPr="00025B9C">
        <w:rPr>
          <w:rFonts w:asciiTheme="minorHAnsi" w:hAnsiTheme="minorHAnsi" w:cstheme="minorHAnsi"/>
          <w:i/>
          <w:lang w:val="en-IE" w:eastAsia="en-IE"/>
        </w:rPr>
        <w:t>and corporate governance explanations</w:t>
      </w:r>
    </w:p>
    <w:p w:rsidR="00C93C39" w:rsidRPr="00025B9C" w:rsidRDefault="00846D81" w:rsidP="00BA049F">
      <w:pPr>
        <w:keepNext/>
        <w:autoSpaceDE w:val="0"/>
        <w:autoSpaceDN w:val="0"/>
        <w:adjustRightInd w:val="0"/>
        <w:spacing w:line="360" w:lineRule="auto"/>
        <w:jc w:val="both"/>
        <w:rPr>
          <w:rFonts w:asciiTheme="minorHAnsi" w:hAnsiTheme="minorHAnsi" w:cstheme="minorHAnsi"/>
        </w:rPr>
      </w:pPr>
      <w:r w:rsidRPr="00025B9C">
        <w:rPr>
          <w:rFonts w:asciiTheme="minorHAnsi" w:hAnsiTheme="minorHAnsi" w:cstheme="minorHAnsi"/>
        </w:rPr>
        <w:t xml:space="preserve">The focus of analysis in this paper is on the use of rhetoric as a means of influencing audiences’ opinions of explanations for corporate governance non-compliance. </w:t>
      </w:r>
      <w:proofErr w:type="spellStart"/>
      <w:r w:rsidR="00223B1F" w:rsidRPr="00025B9C">
        <w:rPr>
          <w:rFonts w:asciiTheme="minorHAnsi" w:hAnsiTheme="minorHAnsi" w:cstheme="minorHAnsi"/>
        </w:rPr>
        <w:t>Suddaby</w:t>
      </w:r>
      <w:proofErr w:type="spellEnd"/>
      <w:r w:rsidR="00223B1F" w:rsidRPr="00025B9C">
        <w:rPr>
          <w:rFonts w:asciiTheme="minorHAnsi" w:hAnsiTheme="minorHAnsi" w:cstheme="minorHAnsi"/>
        </w:rPr>
        <w:t xml:space="preserve"> and Greenwood (2005) describe rhetor</w:t>
      </w:r>
      <w:r w:rsidR="0093340F" w:rsidRPr="00025B9C">
        <w:rPr>
          <w:rFonts w:asciiTheme="minorHAnsi" w:hAnsiTheme="minorHAnsi" w:cstheme="minorHAnsi"/>
        </w:rPr>
        <w:t xml:space="preserve">ical strategies as </w:t>
      </w:r>
      <w:r w:rsidR="00223B1F" w:rsidRPr="00025B9C">
        <w:rPr>
          <w:rFonts w:asciiTheme="minorHAnsi" w:hAnsiTheme="minorHAnsi" w:cstheme="minorHAnsi"/>
        </w:rPr>
        <w:t xml:space="preserve">the </w:t>
      </w:r>
      <w:r w:rsidR="0093340F" w:rsidRPr="00025B9C">
        <w:rPr>
          <w:rFonts w:asciiTheme="minorHAnsi" w:hAnsiTheme="minorHAnsi" w:cstheme="minorHAnsi"/>
        </w:rPr>
        <w:t>deliberate</w:t>
      </w:r>
      <w:r w:rsidR="00223B1F" w:rsidRPr="00025B9C">
        <w:rPr>
          <w:rFonts w:asciiTheme="minorHAnsi" w:hAnsiTheme="minorHAnsi" w:cstheme="minorHAnsi"/>
        </w:rPr>
        <w:t xml:space="preserve"> </w:t>
      </w:r>
      <w:r w:rsidR="0093340F" w:rsidRPr="00025B9C">
        <w:rPr>
          <w:rFonts w:asciiTheme="minorHAnsi" w:hAnsiTheme="minorHAnsi" w:cstheme="minorHAnsi"/>
        </w:rPr>
        <w:t>“</w:t>
      </w:r>
      <w:r w:rsidR="00223B1F" w:rsidRPr="00025B9C">
        <w:rPr>
          <w:rFonts w:asciiTheme="minorHAnsi" w:hAnsiTheme="minorHAnsi" w:cstheme="minorHAnsi"/>
        </w:rPr>
        <w:t>use of persuasive language</w:t>
      </w:r>
      <w:r w:rsidR="0093340F" w:rsidRPr="00025B9C">
        <w:rPr>
          <w:rFonts w:asciiTheme="minorHAnsi" w:hAnsiTheme="minorHAnsi" w:cstheme="minorHAnsi"/>
        </w:rPr>
        <w:t>”</w:t>
      </w:r>
      <w:r w:rsidR="00223B1F" w:rsidRPr="00025B9C">
        <w:rPr>
          <w:rFonts w:asciiTheme="minorHAnsi" w:hAnsiTheme="minorHAnsi" w:cstheme="minorHAnsi"/>
        </w:rPr>
        <w:t xml:space="preserve"> to legitimate</w:t>
      </w:r>
      <w:r w:rsidR="00FD71EE" w:rsidRPr="00025B9C">
        <w:rPr>
          <w:rFonts w:asciiTheme="minorHAnsi" w:hAnsiTheme="minorHAnsi" w:cstheme="minorHAnsi"/>
          <w:lang w:val="en-IE"/>
        </w:rPr>
        <w:t xml:space="preserve"> (p. </w:t>
      </w:r>
      <w:r w:rsidR="0093340F" w:rsidRPr="00025B9C">
        <w:rPr>
          <w:rFonts w:asciiTheme="minorHAnsi" w:hAnsiTheme="minorHAnsi" w:cstheme="minorHAnsi"/>
          <w:lang w:val="en-IE"/>
        </w:rPr>
        <w:t>35</w:t>
      </w:r>
      <w:r w:rsidR="00FD71EE" w:rsidRPr="00025B9C">
        <w:rPr>
          <w:rFonts w:asciiTheme="minorHAnsi" w:hAnsiTheme="minorHAnsi" w:cstheme="minorHAnsi"/>
          <w:lang w:val="en-IE"/>
        </w:rPr>
        <w:t>)</w:t>
      </w:r>
      <w:r w:rsidR="00223B1F" w:rsidRPr="00025B9C">
        <w:rPr>
          <w:rFonts w:asciiTheme="minorHAnsi" w:hAnsiTheme="minorHAnsi" w:cstheme="minorHAnsi"/>
          <w:lang w:val="en-IE"/>
        </w:rPr>
        <w:t xml:space="preserve">. </w:t>
      </w:r>
      <w:r w:rsidR="00744696" w:rsidRPr="00025B9C">
        <w:rPr>
          <w:rFonts w:asciiTheme="minorHAnsi" w:hAnsiTheme="minorHAnsi" w:cstheme="minorHAnsi"/>
          <w:lang w:val="en-IE"/>
        </w:rPr>
        <w:t xml:space="preserve">In Section 3, we set out the specific rhetorical strategies chosen to study corporate governance </w:t>
      </w:r>
      <w:r w:rsidR="00744696" w:rsidRPr="00025B9C">
        <w:rPr>
          <w:rFonts w:asciiTheme="minorHAnsi" w:hAnsiTheme="minorHAnsi" w:cstheme="minorHAnsi"/>
        </w:rPr>
        <w:t>non-compliance explanations.</w:t>
      </w:r>
      <w:r w:rsidR="00BA049F" w:rsidRPr="00025B9C">
        <w:rPr>
          <w:rFonts w:asciiTheme="minorHAnsi" w:hAnsiTheme="minorHAnsi" w:cstheme="minorHAnsi"/>
        </w:rPr>
        <w:t xml:space="preserve"> </w:t>
      </w:r>
      <w:proofErr w:type="spellStart"/>
      <w:r w:rsidR="007823D1" w:rsidRPr="00025B9C">
        <w:rPr>
          <w:rFonts w:asciiTheme="minorHAnsi" w:hAnsiTheme="minorHAnsi" w:cstheme="minorHAnsi"/>
          <w:lang w:val="en-IE"/>
        </w:rPr>
        <w:t>Tomasic</w:t>
      </w:r>
      <w:proofErr w:type="spellEnd"/>
      <w:r w:rsidR="007823D1" w:rsidRPr="00025B9C">
        <w:rPr>
          <w:rFonts w:asciiTheme="minorHAnsi" w:hAnsiTheme="minorHAnsi" w:cstheme="minorHAnsi"/>
          <w:lang w:val="en-IE"/>
        </w:rPr>
        <w:t xml:space="preserve"> </w:t>
      </w:r>
      <w:r w:rsidR="00F964FF" w:rsidRPr="00025B9C">
        <w:rPr>
          <w:rFonts w:asciiTheme="minorHAnsi" w:hAnsiTheme="minorHAnsi" w:cstheme="minorHAnsi"/>
          <w:lang w:val="en-IE"/>
        </w:rPr>
        <w:t>(</w:t>
      </w:r>
      <w:r w:rsidR="007823D1" w:rsidRPr="00025B9C">
        <w:rPr>
          <w:rFonts w:asciiTheme="minorHAnsi" w:hAnsiTheme="minorHAnsi" w:cstheme="minorHAnsi"/>
          <w:lang w:val="en-IE"/>
        </w:rPr>
        <w:t>20</w:t>
      </w:r>
      <w:r w:rsidR="0093172A" w:rsidRPr="00025B9C">
        <w:rPr>
          <w:rFonts w:asciiTheme="minorHAnsi" w:hAnsiTheme="minorHAnsi" w:cstheme="minorHAnsi"/>
          <w:lang w:val="en-IE"/>
        </w:rPr>
        <w:t>11</w:t>
      </w:r>
      <w:r w:rsidR="00D80FB7" w:rsidRPr="00025B9C">
        <w:rPr>
          <w:rFonts w:asciiTheme="minorHAnsi" w:hAnsiTheme="minorHAnsi" w:cstheme="minorHAnsi"/>
          <w:lang w:val="en-IE"/>
        </w:rPr>
        <w:t>, p. 55</w:t>
      </w:r>
      <w:r w:rsidR="007823D1" w:rsidRPr="00025B9C">
        <w:rPr>
          <w:rFonts w:asciiTheme="minorHAnsi" w:hAnsiTheme="minorHAnsi" w:cstheme="minorHAnsi"/>
          <w:lang w:val="en-IE"/>
        </w:rPr>
        <w:t xml:space="preserve">) </w:t>
      </w:r>
      <w:r w:rsidR="00F73ABA" w:rsidRPr="00025B9C">
        <w:rPr>
          <w:rFonts w:asciiTheme="minorHAnsi" w:hAnsiTheme="minorHAnsi" w:cstheme="minorHAnsi"/>
        </w:rPr>
        <w:t>argues</w:t>
      </w:r>
      <w:r w:rsidR="007823D1" w:rsidRPr="00025B9C">
        <w:rPr>
          <w:rFonts w:asciiTheme="minorHAnsi" w:hAnsiTheme="minorHAnsi" w:cstheme="minorHAnsi"/>
        </w:rPr>
        <w:t xml:space="preserve"> that corporate governance </w:t>
      </w:r>
      <w:r w:rsidR="00D80FB7" w:rsidRPr="00025B9C">
        <w:rPr>
          <w:rFonts w:asciiTheme="minorHAnsi" w:hAnsiTheme="minorHAnsi" w:cstheme="minorHAnsi"/>
        </w:rPr>
        <w:t>[</w:t>
      </w:r>
      <w:r w:rsidR="00F964FF" w:rsidRPr="00025B9C">
        <w:rPr>
          <w:rFonts w:asciiTheme="minorHAnsi" w:hAnsiTheme="minorHAnsi" w:cstheme="minorHAnsi"/>
          <w:lang w:val="en-IE"/>
        </w:rPr>
        <w:t>“</w:t>
      </w:r>
      <w:r w:rsidR="00D80FB7" w:rsidRPr="00025B9C">
        <w:rPr>
          <w:rFonts w:asciiTheme="minorHAnsi" w:hAnsiTheme="minorHAnsi" w:cstheme="minorHAnsi"/>
        </w:rPr>
        <w:t>laissez-faire</w:t>
      </w:r>
      <w:r w:rsidR="00F964FF" w:rsidRPr="00025B9C">
        <w:rPr>
          <w:rFonts w:asciiTheme="minorHAnsi" w:hAnsiTheme="minorHAnsi" w:cstheme="minorHAnsi"/>
        </w:rPr>
        <w:t>”</w:t>
      </w:r>
      <w:r w:rsidR="00D80FB7" w:rsidRPr="00025B9C">
        <w:rPr>
          <w:rFonts w:asciiTheme="minorHAnsi" w:hAnsiTheme="minorHAnsi" w:cstheme="minorHAnsi"/>
        </w:rPr>
        <w:t xml:space="preserve">] </w:t>
      </w:r>
      <w:r w:rsidR="007823D1" w:rsidRPr="00025B9C">
        <w:rPr>
          <w:rFonts w:asciiTheme="minorHAnsi" w:hAnsiTheme="minorHAnsi" w:cstheme="minorHAnsi"/>
        </w:rPr>
        <w:t>rhetoric serves to legitimi</w:t>
      </w:r>
      <w:r w:rsidR="00A84C5B" w:rsidRPr="00025B9C">
        <w:rPr>
          <w:rFonts w:asciiTheme="minorHAnsi" w:hAnsiTheme="minorHAnsi" w:cstheme="minorHAnsi"/>
        </w:rPr>
        <w:t xml:space="preserve">ze a self-regulatory approach. </w:t>
      </w:r>
      <w:proofErr w:type="spellStart"/>
      <w:r w:rsidR="00B755D7" w:rsidRPr="00025B9C">
        <w:rPr>
          <w:rFonts w:asciiTheme="minorHAnsi" w:hAnsiTheme="minorHAnsi" w:cstheme="minorHAnsi"/>
        </w:rPr>
        <w:t>Beare</w:t>
      </w:r>
      <w:proofErr w:type="spellEnd"/>
      <w:r w:rsidR="00B755D7" w:rsidRPr="00025B9C">
        <w:rPr>
          <w:rFonts w:asciiTheme="minorHAnsi" w:hAnsiTheme="minorHAnsi" w:cstheme="minorHAnsi"/>
        </w:rPr>
        <w:t xml:space="preserve"> </w:t>
      </w:r>
      <w:r w:rsidR="00F964FF" w:rsidRPr="00025B9C">
        <w:rPr>
          <w:rFonts w:asciiTheme="minorHAnsi" w:hAnsiTheme="minorHAnsi" w:cstheme="minorHAnsi"/>
        </w:rPr>
        <w:t>(2005</w:t>
      </w:r>
      <w:r w:rsidR="00FD71EE" w:rsidRPr="00025B9C">
        <w:rPr>
          <w:rFonts w:asciiTheme="minorHAnsi" w:hAnsiTheme="minorHAnsi" w:cstheme="minorHAnsi"/>
        </w:rPr>
        <w:t xml:space="preserve"> p. </w:t>
      </w:r>
      <w:r w:rsidR="0093340F" w:rsidRPr="00025B9C">
        <w:rPr>
          <w:rFonts w:asciiTheme="minorHAnsi" w:hAnsiTheme="minorHAnsi" w:cstheme="minorHAnsi"/>
        </w:rPr>
        <w:t>156</w:t>
      </w:r>
      <w:r w:rsidR="00FD71EE" w:rsidRPr="00025B9C">
        <w:rPr>
          <w:rFonts w:asciiTheme="minorHAnsi" w:hAnsiTheme="minorHAnsi" w:cstheme="minorHAnsi"/>
        </w:rPr>
        <w:t>)</w:t>
      </w:r>
      <w:r w:rsidR="00F964FF" w:rsidRPr="00025B9C">
        <w:rPr>
          <w:rFonts w:asciiTheme="minorHAnsi" w:hAnsiTheme="minorHAnsi" w:cstheme="minorHAnsi"/>
        </w:rPr>
        <w:t xml:space="preserve"> </w:t>
      </w:r>
      <w:r w:rsidR="00E14BFC" w:rsidRPr="00025B9C">
        <w:rPr>
          <w:rFonts w:asciiTheme="minorHAnsi" w:hAnsiTheme="minorHAnsi" w:cstheme="minorHAnsi"/>
        </w:rPr>
        <w:t>identifies</w:t>
      </w:r>
      <w:r w:rsidR="00B755D7" w:rsidRPr="00025B9C">
        <w:rPr>
          <w:rFonts w:asciiTheme="minorHAnsi" w:hAnsiTheme="minorHAnsi" w:cstheme="minorHAnsi"/>
        </w:rPr>
        <w:t xml:space="preserve"> a “compliance rhetoric” and the development of a language of compliance between corporations and a wider society</w:t>
      </w:r>
      <w:r w:rsidR="00CD54CC" w:rsidRPr="00025B9C">
        <w:rPr>
          <w:rFonts w:asciiTheme="minorHAnsi" w:hAnsiTheme="minorHAnsi" w:cstheme="minorHAnsi"/>
        </w:rPr>
        <w:t>. She argues that the rhetoric of non-compliance serves to protect the corpor</w:t>
      </w:r>
      <w:r w:rsidR="00D86810" w:rsidRPr="00025B9C">
        <w:rPr>
          <w:rFonts w:asciiTheme="minorHAnsi" w:hAnsiTheme="minorHAnsi" w:cstheme="minorHAnsi"/>
        </w:rPr>
        <w:t xml:space="preserve">ation and that such rhetoric </w:t>
      </w:r>
      <w:r w:rsidR="009C68A5" w:rsidRPr="00025B9C">
        <w:rPr>
          <w:rFonts w:asciiTheme="minorHAnsi" w:hAnsiTheme="minorHAnsi" w:cstheme="minorHAnsi"/>
        </w:rPr>
        <w:t>“can be very strong and serve to obfuscate a reality of neglect</w:t>
      </w:r>
      <w:r w:rsidR="00CD54CC" w:rsidRPr="00025B9C">
        <w:rPr>
          <w:rFonts w:asciiTheme="minorHAnsi" w:hAnsiTheme="minorHAnsi" w:cstheme="minorHAnsi"/>
          <w:lang w:val="en-IE"/>
        </w:rPr>
        <w:t>” (</w:t>
      </w:r>
      <w:proofErr w:type="spellStart"/>
      <w:r w:rsidR="00F964FF" w:rsidRPr="00025B9C">
        <w:rPr>
          <w:rFonts w:asciiTheme="minorHAnsi" w:hAnsiTheme="minorHAnsi" w:cstheme="minorHAnsi"/>
        </w:rPr>
        <w:t>Beare</w:t>
      </w:r>
      <w:proofErr w:type="spellEnd"/>
      <w:r w:rsidR="00F964FF" w:rsidRPr="00025B9C">
        <w:rPr>
          <w:rFonts w:asciiTheme="minorHAnsi" w:hAnsiTheme="minorHAnsi" w:cstheme="minorHAnsi"/>
        </w:rPr>
        <w:t xml:space="preserve">, 2005, </w:t>
      </w:r>
      <w:r w:rsidR="009C68A5" w:rsidRPr="00025B9C">
        <w:rPr>
          <w:rFonts w:asciiTheme="minorHAnsi" w:hAnsiTheme="minorHAnsi" w:cstheme="minorHAnsi"/>
          <w:lang w:val="en-IE"/>
        </w:rPr>
        <w:t>p. 156</w:t>
      </w:r>
      <w:r w:rsidR="00CD54CC" w:rsidRPr="00025B9C">
        <w:rPr>
          <w:rFonts w:asciiTheme="minorHAnsi" w:hAnsiTheme="minorHAnsi" w:cstheme="minorHAnsi"/>
          <w:lang w:val="en-IE"/>
        </w:rPr>
        <w:t>)</w:t>
      </w:r>
      <w:r w:rsidR="00CD54CC" w:rsidRPr="00025B9C">
        <w:rPr>
          <w:rFonts w:asciiTheme="minorHAnsi" w:hAnsiTheme="minorHAnsi" w:cstheme="minorHAnsi"/>
        </w:rPr>
        <w:t>.</w:t>
      </w:r>
      <w:r w:rsidR="00F964FF" w:rsidRPr="00025B9C">
        <w:rPr>
          <w:rFonts w:asciiTheme="minorHAnsi" w:hAnsiTheme="minorHAnsi" w:cstheme="minorHAnsi"/>
        </w:rPr>
        <w:t xml:space="preserve"> </w:t>
      </w:r>
      <w:r w:rsidR="00346B8B" w:rsidRPr="00025B9C">
        <w:rPr>
          <w:rFonts w:asciiTheme="minorHAnsi" w:hAnsiTheme="minorHAnsi" w:cstheme="minorHAnsi"/>
        </w:rPr>
        <w:t xml:space="preserve">Thus, compliance rhetoric may be used as a means of maintaining the status quo. </w:t>
      </w:r>
      <w:r w:rsidR="00F964FF" w:rsidRPr="00025B9C">
        <w:rPr>
          <w:rFonts w:asciiTheme="minorHAnsi" w:hAnsiTheme="minorHAnsi" w:cstheme="minorHAnsi"/>
        </w:rPr>
        <w:t>Parker (2000, p</w:t>
      </w:r>
      <w:r w:rsidR="00C93C39" w:rsidRPr="00025B9C">
        <w:rPr>
          <w:rFonts w:asciiTheme="minorHAnsi" w:hAnsiTheme="minorHAnsi" w:cstheme="minorHAnsi"/>
        </w:rPr>
        <w:t>.</w:t>
      </w:r>
      <w:r w:rsidR="00F964FF" w:rsidRPr="00025B9C">
        <w:rPr>
          <w:rFonts w:asciiTheme="minorHAnsi" w:hAnsiTheme="minorHAnsi" w:cstheme="minorHAnsi"/>
        </w:rPr>
        <w:t xml:space="preserve"> 560) observes that there is a danger that compliance </w:t>
      </w:r>
      <w:r w:rsidR="005B7AC4" w:rsidRPr="00025B9C">
        <w:rPr>
          <w:rFonts w:asciiTheme="minorHAnsi" w:hAnsiTheme="minorHAnsi" w:cstheme="minorHAnsi"/>
        </w:rPr>
        <w:t xml:space="preserve">(and we would add non-compliance) </w:t>
      </w:r>
      <w:r w:rsidR="00F964FF" w:rsidRPr="00025B9C">
        <w:rPr>
          <w:rFonts w:asciiTheme="minorHAnsi" w:hAnsiTheme="minorHAnsi" w:cstheme="minorHAnsi"/>
        </w:rPr>
        <w:t>rhetoric</w:t>
      </w:r>
      <w:r w:rsidR="006159FB" w:rsidRPr="00025B9C">
        <w:rPr>
          <w:rFonts w:asciiTheme="minorHAnsi" w:hAnsiTheme="minorHAnsi" w:cstheme="minorHAnsi"/>
        </w:rPr>
        <w:t xml:space="preserve"> </w:t>
      </w:r>
      <w:r w:rsidR="00F964FF" w:rsidRPr="00025B9C">
        <w:rPr>
          <w:rFonts w:asciiTheme="minorHAnsi" w:hAnsiTheme="minorHAnsi" w:cstheme="minorHAnsi"/>
        </w:rPr>
        <w:t>will be used merely to manage appearances</w:t>
      </w:r>
      <w:r w:rsidR="00E33F56" w:rsidRPr="00025B9C">
        <w:rPr>
          <w:rFonts w:asciiTheme="minorHAnsi" w:hAnsiTheme="minorHAnsi" w:cstheme="minorHAnsi"/>
        </w:rPr>
        <w:t>, and that this is a competition for the confidence of person</w:t>
      </w:r>
      <w:r w:rsidR="00470924" w:rsidRPr="00025B9C">
        <w:rPr>
          <w:rFonts w:asciiTheme="minorHAnsi" w:hAnsiTheme="minorHAnsi" w:cstheme="minorHAnsi"/>
        </w:rPr>
        <w:t>s</w:t>
      </w:r>
      <w:r w:rsidR="00E33F56" w:rsidRPr="00025B9C">
        <w:rPr>
          <w:rFonts w:asciiTheme="minorHAnsi" w:hAnsiTheme="minorHAnsi" w:cstheme="minorHAnsi"/>
        </w:rPr>
        <w:t xml:space="preserve"> faced with decisions as to where and how to act (She</w:t>
      </w:r>
      <w:r w:rsidR="00677C2A" w:rsidRPr="00025B9C">
        <w:rPr>
          <w:rFonts w:asciiTheme="minorHAnsi" w:hAnsiTheme="minorHAnsi" w:cstheme="minorHAnsi"/>
        </w:rPr>
        <w:t>a</w:t>
      </w:r>
      <w:r w:rsidR="00E33F56" w:rsidRPr="00025B9C">
        <w:rPr>
          <w:rFonts w:asciiTheme="minorHAnsi" w:hAnsiTheme="minorHAnsi" w:cstheme="minorHAnsi"/>
        </w:rPr>
        <w:t>r</w:t>
      </w:r>
      <w:r w:rsidR="00964924" w:rsidRPr="00025B9C">
        <w:rPr>
          <w:rFonts w:asciiTheme="minorHAnsi" w:hAnsiTheme="minorHAnsi" w:cstheme="minorHAnsi"/>
        </w:rPr>
        <w:t>ing</w:t>
      </w:r>
      <w:r w:rsidR="00E33F56" w:rsidRPr="00025B9C">
        <w:rPr>
          <w:rFonts w:asciiTheme="minorHAnsi" w:hAnsiTheme="minorHAnsi" w:cstheme="minorHAnsi"/>
        </w:rPr>
        <w:t>, 1993).</w:t>
      </w:r>
      <w:r w:rsidR="005C6E51" w:rsidRPr="00025B9C">
        <w:rPr>
          <w:rFonts w:asciiTheme="minorHAnsi" w:hAnsiTheme="minorHAnsi" w:cstheme="minorHAnsi"/>
        </w:rPr>
        <w:t xml:space="preserve"> </w:t>
      </w:r>
      <w:proofErr w:type="spellStart"/>
      <w:r w:rsidR="005C6E51" w:rsidRPr="00025B9C">
        <w:rPr>
          <w:rFonts w:asciiTheme="minorHAnsi" w:hAnsiTheme="minorHAnsi" w:cstheme="minorHAnsi"/>
        </w:rPr>
        <w:t>Laufer</w:t>
      </w:r>
      <w:proofErr w:type="spellEnd"/>
      <w:r w:rsidR="005C6E51" w:rsidRPr="00025B9C">
        <w:rPr>
          <w:rFonts w:asciiTheme="minorHAnsi" w:hAnsiTheme="minorHAnsi" w:cstheme="minorHAnsi"/>
        </w:rPr>
        <w:t xml:space="preserve"> </w:t>
      </w:r>
      <w:r w:rsidR="005C6E51" w:rsidRPr="00025B9C">
        <w:rPr>
          <w:rFonts w:asciiTheme="minorHAnsi" w:hAnsiTheme="minorHAnsi" w:cstheme="minorHAnsi"/>
          <w:lang w:val="en-IE"/>
        </w:rPr>
        <w:t xml:space="preserve">(2006, p. 247) </w:t>
      </w:r>
      <w:r w:rsidR="005C6E51" w:rsidRPr="00025B9C">
        <w:rPr>
          <w:rFonts w:asciiTheme="minorHAnsi" w:hAnsiTheme="minorHAnsi" w:cstheme="minorHAnsi"/>
        </w:rPr>
        <w:t>considers the use of rhetoric in corporate governance serves to generate “</w:t>
      </w:r>
      <w:r w:rsidR="005C6E51" w:rsidRPr="00025B9C">
        <w:rPr>
          <w:rFonts w:asciiTheme="minorHAnsi" w:hAnsiTheme="minorHAnsi" w:cstheme="minorHAnsi"/>
          <w:lang w:val="en-IE" w:eastAsia="en-IE"/>
        </w:rPr>
        <w:t>creative and seductive illusions of corporate compliance and governance”.</w:t>
      </w:r>
      <w:r w:rsidR="00C42A1A" w:rsidRPr="00025B9C">
        <w:rPr>
          <w:rFonts w:asciiTheme="minorHAnsi" w:hAnsiTheme="minorHAnsi" w:cstheme="minorHAnsi"/>
          <w:lang w:val="en-IE" w:eastAsia="en-IE"/>
        </w:rPr>
        <w:t xml:space="preserve"> </w:t>
      </w:r>
      <w:r w:rsidR="00BE3C0F" w:rsidRPr="00025B9C">
        <w:rPr>
          <w:rFonts w:asciiTheme="minorHAnsi" w:hAnsiTheme="minorHAnsi" w:cstheme="minorHAnsi"/>
        </w:rPr>
        <w:t>I</w:t>
      </w:r>
      <w:r w:rsidR="00C42A1A" w:rsidRPr="00025B9C">
        <w:rPr>
          <w:rFonts w:asciiTheme="minorHAnsi" w:hAnsiTheme="minorHAnsi" w:cstheme="minorHAnsi"/>
        </w:rPr>
        <w:t xml:space="preserve">n the context of risk management, </w:t>
      </w:r>
      <w:proofErr w:type="spellStart"/>
      <w:r w:rsidR="00BE3C0F" w:rsidRPr="00025B9C">
        <w:rPr>
          <w:rFonts w:asciiTheme="minorHAnsi" w:hAnsiTheme="minorHAnsi" w:cstheme="minorHAnsi"/>
        </w:rPr>
        <w:t>Spira</w:t>
      </w:r>
      <w:proofErr w:type="spellEnd"/>
      <w:r w:rsidR="00BE3C0F" w:rsidRPr="00025B9C">
        <w:rPr>
          <w:rFonts w:asciiTheme="minorHAnsi" w:hAnsiTheme="minorHAnsi" w:cstheme="minorHAnsi"/>
        </w:rPr>
        <w:t xml:space="preserve"> </w:t>
      </w:r>
      <w:r w:rsidR="00D20522" w:rsidRPr="00025B9C">
        <w:rPr>
          <w:rFonts w:asciiTheme="minorHAnsi" w:hAnsiTheme="minorHAnsi" w:cstheme="minorHAnsi"/>
        </w:rPr>
        <w:t>and</w:t>
      </w:r>
      <w:r w:rsidR="00AC4C41" w:rsidRPr="00025B9C">
        <w:rPr>
          <w:rFonts w:asciiTheme="minorHAnsi" w:hAnsiTheme="minorHAnsi" w:cstheme="minorHAnsi"/>
        </w:rPr>
        <w:t xml:space="preserve"> Page </w:t>
      </w:r>
      <w:r w:rsidR="00BE3C0F" w:rsidRPr="00025B9C">
        <w:rPr>
          <w:rFonts w:asciiTheme="minorHAnsi" w:hAnsiTheme="minorHAnsi" w:cstheme="minorHAnsi"/>
        </w:rPr>
        <w:t xml:space="preserve">(2003) </w:t>
      </w:r>
      <w:r w:rsidR="00C42A1A" w:rsidRPr="00025B9C">
        <w:rPr>
          <w:rFonts w:asciiTheme="minorHAnsi" w:hAnsiTheme="minorHAnsi" w:cstheme="minorHAnsi"/>
        </w:rPr>
        <w:t xml:space="preserve">observe that a techno-scientific approach forms the basis of a rhetoric that links risk management to good governance. They comment on a “rhetoric gap” </w:t>
      </w:r>
      <w:r w:rsidR="0069098D" w:rsidRPr="00025B9C">
        <w:rPr>
          <w:rFonts w:asciiTheme="minorHAnsi" w:hAnsiTheme="minorHAnsi" w:cstheme="minorHAnsi"/>
        </w:rPr>
        <w:t xml:space="preserve">(p. 657) </w:t>
      </w:r>
      <w:r w:rsidR="00C42A1A" w:rsidRPr="00025B9C">
        <w:rPr>
          <w:rFonts w:asciiTheme="minorHAnsi" w:hAnsiTheme="minorHAnsi" w:cstheme="minorHAnsi"/>
        </w:rPr>
        <w:t>where corporate governance standards may be substantially different to practice within organizations</w:t>
      </w:r>
      <w:r w:rsidR="00A83B4A" w:rsidRPr="00025B9C">
        <w:rPr>
          <w:rFonts w:asciiTheme="minorHAnsi" w:hAnsiTheme="minorHAnsi" w:cstheme="minorHAnsi"/>
        </w:rPr>
        <w:t>, which rhetoric gap in our context may</w:t>
      </w:r>
      <w:r w:rsidR="004D3D82" w:rsidRPr="00025B9C">
        <w:rPr>
          <w:rFonts w:asciiTheme="minorHAnsi" w:hAnsiTheme="minorHAnsi" w:cstheme="minorHAnsi"/>
        </w:rPr>
        <w:t>, in turn,</w:t>
      </w:r>
      <w:r w:rsidR="00A83B4A" w:rsidRPr="00025B9C">
        <w:rPr>
          <w:rFonts w:asciiTheme="minorHAnsi" w:hAnsiTheme="minorHAnsi" w:cstheme="minorHAnsi"/>
        </w:rPr>
        <w:t xml:space="preserve"> extend into </w:t>
      </w:r>
      <w:r w:rsidR="004D3D82" w:rsidRPr="00025B9C">
        <w:rPr>
          <w:rFonts w:asciiTheme="minorHAnsi" w:hAnsiTheme="minorHAnsi" w:cstheme="minorHAnsi"/>
        </w:rPr>
        <w:t xml:space="preserve">written </w:t>
      </w:r>
      <w:r w:rsidR="00A83B4A" w:rsidRPr="00025B9C">
        <w:rPr>
          <w:rFonts w:asciiTheme="minorHAnsi" w:hAnsiTheme="minorHAnsi" w:cstheme="minorHAnsi"/>
        </w:rPr>
        <w:t>explanations of practice</w:t>
      </w:r>
      <w:r w:rsidR="00C42A1A" w:rsidRPr="00025B9C">
        <w:rPr>
          <w:rFonts w:asciiTheme="minorHAnsi" w:hAnsiTheme="minorHAnsi" w:cstheme="minorHAnsi"/>
        </w:rPr>
        <w:t>.</w:t>
      </w:r>
      <w:r w:rsidR="00A83B4A" w:rsidRPr="00025B9C">
        <w:rPr>
          <w:rStyle w:val="FootnoteReference"/>
          <w:rFonts w:asciiTheme="minorHAnsi" w:hAnsiTheme="minorHAnsi" w:cstheme="minorHAnsi"/>
        </w:rPr>
        <w:footnoteReference w:id="4"/>
      </w:r>
      <w:r w:rsidR="00BE3C0F" w:rsidRPr="00025B9C">
        <w:rPr>
          <w:rFonts w:asciiTheme="minorHAnsi" w:hAnsiTheme="minorHAnsi" w:cstheme="minorHAnsi"/>
        </w:rPr>
        <w:t xml:space="preserve"> </w:t>
      </w:r>
    </w:p>
    <w:p w:rsidR="00B0380C" w:rsidRPr="00025B9C" w:rsidRDefault="00B0380C" w:rsidP="00D665D9">
      <w:pPr>
        <w:spacing w:line="360" w:lineRule="auto"/>
        <w:jc w:val="both"/>
        <w:rPr>
          <w:rFonts w:asciiTheme="minorHAnsi" w:hAnsiTheme="minorHAnsi" w:cstheme="minorHAnsi"/>
        </w:rPr>
      </w:pPr>
    </w:p>
    <w:p w:rsidR="00AE1132" w:rsidRPr="00025B9C" w:rsidRDefault="00CC2D0E" w:rsidP="00D665D9">
      <w:pPr>
        <w:spacing w:line="360" w:lineRule="auto"/>
        <w:jc w:val="both"/>
        <w:rPr>
          <w:rFonts w:asciiTheme="minorHAnsi" w:hAnsiTheme="minorHAnsi" w:cstheme="minorHAnsi"/>
        </w:rPr>
      </w:pPr>
      <w:r w:rsidRPr="00025B9C">
        <w:rPr>
          <w:rFonts w:asciiTheme="minorHAnsi" w:hAnsiTheme="minorHAnsi" w:cstheme="minorHAnsi"/>
        </w:rPr>
        <w:t xml:space="preserve">Rhetoric may go beyond the mere use of language to persuade, to the manipulative/opportunistic use of language. </w:t>
      </w:r>
      <w:r w:rsidR="00F30655" w:rsidRPr="00025B9C">
        <w:rPr>
          <w:rFonts w:asciiTheme="minorHAnsi" w:hAnsiTheme="minorHAnsi" w:cstheme="minorHAnsi"/>
        </w:rPr>
        <w:t>Sophistry</w:t>
      </w:r>
      <w:r w:rsidR="006B6873" w:rsidRPr="00025B9C">
        <w:rPr>
          <w:rStyle w:val="FootnoteReference"/>
          <w:rFonts w:asciiTheme="minorHAnsi" w:hAnsiTheme="minorHAnsi" w:cstheme="minorHAnsi"/>
          <w:lang w:eastAsia="en-IE"/>
        </w:rPr>
        <w:footnoteReference w:id="5"/>
      </w:r>
      <w:r w:rsidR="006B6873" w:rsidRPr="00025B9C">
        <w:rPr>
          <w:rFonts w:asciiTheme="minorHAnsi" w:hAnsiTheme="minorHAnsi" w:cstheme="minorHAnsi"/>
          <w:lang w:val="en-IE"/>
        </w:rPr>
        <w:t xml:space="preserve"> – “</w:t>
      </w:r>
      <w:r w:rsidR="006B6873" w:rsidRPr="00025B9C">
        <w:rPr>
          <w:rFonts w:asciiTheme="minorHAnsi" w:hAnsiTheme="minorHAnsi" w:cstheme="minorHAnsi"/>
        </w:rPr>
        <w:t>Specious but fallacious reasoning; employment of arguments which are intentionally deceptive</w:t>
      </w:r>
      <w:r w:rsidR="006B6873" w:rsidRPr="00025B9C">
        <w:rPr>
          <w:rFonts w:asciiTheme="minorHAnsi" w:hAnsiTheme="minorHAnsi" w:cstheme="minorHAnsi"/>
          <w:lang w:val="en-IE"/>
        </w:rPr>
        <w:t xml:space="preserve">” (Oxford English Dictionary Online) – </w:t>
      </w:r>
      <w:r w:rsidR="00F30655" w:rsidRPr="00025B9C">
        <w:rPr>
          <w:rFonts w:asciiTheme="minorHAnsi" w:hAnsiTheme="minorHAnsi" w:cstheme="minorHAnsi"/>
        </w:rPr>
        <w:t xml:space="preserve">may explain the rhetoric-reality gap. </w:t>
      </w:r>
      <w:r w:rsidR="00896830" w:rsidRPr="00025B9C">
        <w:rPr>
          <w:rFonts w:asciiTheme="minorHAnsi" w:hAnsiTheme="minorHAnsi" w:cstheme="minorHAnsi"/>
        </w:rPr>
        <w:t xml:space="preserve">Brennan </w:t>
      </w:r>
      <w:r w:rsidR="00E2663B" w:rsidRPr="00025B9C">
        <w:rPr>
          <w:rFonts w:asciiTheme="minorHAnsi" w:hAnsiTheme="minorHAnsi" w:cstheme="minorHAnsi"/>
        </w:rPr>
        <w:t>and</w:t>
      </w:r>
      <w:r w:rsidR="00896830" w:rsidRPr="00025B9C">
        <w:rPr>
          <w:rFonts w:asciiTheme="minorHAnsi" w:hAnsiTheme="minorHAnsi" w:cstheme="minorHAnsi"/>
        </w:rPr>
        <w:t xml:space="preserve"> Turnbull (2002</w:t>
      </w:r>
      <w:r w:rsidR="009A721D" w:rsidRPr="00025B9C">
        <w:rPr>
          <w:rFonts w:asciiTheme="minorHAnsi" w:hAnsiTheme="minorHAnsi" w:cstheme="minorHAnsi"/>
        </w:rPr>
        <w:t>, p. 597</w:t>
      </w:r>
      <w:r w:rsidR="00896830" w:rsidRPr="00025B9C">
        <w:rPr>
          <w:rFonts w:asciiTheme="minorHAnsi" w:hAnsiTheme="minorHAnsi" w:cstheme="minorHAnsi"/>
        </w:rPr>
        <w:t xml:space="preserve">) provide a useful discussion of sophistry, and management practices as sophistic and symbolic. </w:t>
      </w:r>
      <w:r w:rsidR="009A721D" w:rsidRPr="00025B9C">
        <w:rPr>
          <w:rFonts w:asciiTheme="minorHAnsi" w:hAnsiTheme="minorHAnsi" w:cstheme="minorHAnsi"/>
        </w:rPr>
        <w:t>To sum up, it is “winning of the argument that matter[s] and not the truth</w:t>
      </w:r>
      <w:r w:rsidR="00E2663B" w:rsidRPr="00025B9C">
        <w:rPr>
          <w:rFonts w:asciiTheme="minorHAnsi" w:hAnsiTheme="minorHAnsi" w:cstheme="minorHAnsi"/>
        </w:rPr>
        <w:t>”</w:t>
      </w:r>
      <w:r w:rsidR="00467DB2" w:rsidRPr="00025B9C">
        <w:rPr>
          <w:rFonts w:asciiTheme="minorHAnsi" w:hAnsiTheme="minorHAnsi" w:cstheme="minorHAnsi"/>
        </w:rPr>
        <w:t>.</w:t>
      </w:r>
      <w:r w:rsidR="009A721D" w:rsidRPr="00025B9C">
        <w:rPr>
          <w:rFonts w:asciiTheme="minorHAnsi" w:hAnsiTheme="minorHAnsi" w:cstheme="minorHAnsi"/>
        </w:rPr>
        <w:t xml:space="preserve"> Thus, </w:t>
      </w:r>
      <w:r w:rsidR="00C95A97" w:rsidRPr="00025B9C">
        <w:rPr>
          <w:rFonts w:asciiTheme="minorHAnsi" w:hAnsiTheme="minorHAnsi" w:cstheme="minorHAnsi"/>
        </w:rPr>
        <w:t>those who engage in sophistry</w:t>
      </w:r>
      <w:r w:rsidR="009A721D" w:rsidRPr="00025B9C">
        <w:rPr>
          <w:rFonts w:asciiTheme="minorHAnsi" w:hAnsiTheme="minorHAnsi" w:cstheme="minorHAnsi"/>
        </w:rPr>
        <w:t xml:space="preserve"> are opportunistic, manipulate audience sentiment and are not concerned with the substance of the argument. The lens of sophistry provides a useful additional perspective through which to view non-compliance explanations</w:t>
      </w:r>
      <w:r w:rsidR="00903FAB" w:rsidRPr="00025B9C">
        <w:rPr>
          <w:rFonts w:asciiTheme="minorHAnsi" w:hAnsiTheme="minorHAnsi" w:cstheme="minorHAnsi"/>
        </w:rPr>
        <w:t>.</w:t>
      </w:r>
      <w:r w:rsidR="00E14BFC" w:rsidRPr="00025B9C">
        <w:rPr>
          <w:rFonts w:asciiTheme="minorHAnsi" w:hAnsiTheme="minorHAnsi" w:cstheme="minorHAnsi"/>
        </w:rPr>
        <w:t xml:space="preserve"> </w:t>
      </w:r>
      <w:r w:rsidR="00903FAB" w:rsidRPr="00025B9C">
        <w:rPr>
          <w:rFonts w:asciiTheme="minorHAnsi" w:hAnsiTheme="minorHAnsi" w:cstheme="minorHAnsi"/>
        </w:rPr>
        <w:t>S</w:t>
      </w:r>
      <w:r w:rsidR="00F73ABA" w:rsidRPr="00025B9C">
        <w:rPr>
          <w:rFonts w:asciiTheme="minorHAnsi" w:hAnsiTheme="minorHAnsi" w:cstheme="minorHAnsi"/>
        </w:rPr>
        <w:t xml:space="preserve">ensitivity to </w:t>
      </w:r>
      <w:r w:rsidR="00B7078D" w:rsidRPr="00025B9C">
        <w:rPr>
          <w:rFonts w:asciiTheme="minorHAnsi" w:hAnsiTheme="minorHAnsi" w:cstheme="minorHAnsi"/>
        </w:rPr>
        <w:t>sophistry</w:t>
      </w:r>
      <w:r w:rsidR="00E14BFC" w:rsidRPr="00025B9C">
        <w:rPr>
          <w:rFonts w:asciiTheme="minorHAnsi" w:hAnsiTheme="minorHAnsi" w:cstheme="minorHAnsi"/>
        </w:rPr>
        <w:t xml:space="preserve"> may cause readers to question the validity of explanations.</w:t>
      </w:r>
    </w:p>
    <w:p w:rsidR="00FD2892" w:rsidRPr="00025B9C" w:rsidRDefault="00FD2892" w:rsidP="00D665D9">
      <w:pPr>
        <w:spacing w:line="360" w:lineRule="auto"/>
        <w:jc w:val="both"/>
        <w:rPr>
          <w:rFonts w:asciiTheme="minorHAnsi" w:hAnsiTheme="minorHAnsi" w:cstheme="minorHAnsi"/>
        </w:rPr>
      </w:pPr>
    </w:p>
    <w:p w:rsidR="00E32E9E" w:rsidRPr="00025B9C" w:rsidRDefault="00E32E9E" w:rsidP="00D665D9">
      <w:pPr>
        <w:spacing w:line="360" w:lineRule="auto"/>
        <w:jc w:val="both"/>
        <w:rPr>
          <w:rFonts w:asciiTheme="minorHAnsi" w:hAnsiTheme="minorHAnsi" w:cstheme="minorHAnsi"/>
        </w:rPr>
      </w:pPr>
      <w:r w:rsidRPr="00025B9C">
        <w:rPr>
          <w:rFonts w:asciiTheme="minorHAnsi" w:hAnsiTheme="minorHAnsi" w:cstheme="minorHAnsi"/>
        </w:rPr>
        <w:t xml:space="preserve">Drawing the themes in this section together, non-compliance explanations are essentially rhetorical devices, to persuade shareholders that non-compliance is legitimate and to support the </w:t>
      </w:r>
      <w:r w:rsidR="00E2663B" w:rsidRPr="00025B9C">
        <w:rPr>
          <w:rFonts w:asciiTheme="minorHAnsi" w:hAnsiTheme="minorHAnsi" w:cstheme="minorHAnsi"/>
        </w:rPr>
        <w:t>‘</w:t>
      </w:r>
      <w:r w:rsidRPr="00025B9C">
        <w:rPr>
          <w:rFonts w:asciiTheme="minorHAnsi" w:hAnsiTheme="minorHAnsi" w:cstheme="minorHAnsi"/>
        </w:rPr>
        <w:t>comply-or-explain</w:t>
      </w:r>
      <w:r w:rsidR="00E2663B" w:rsidRPr="00025B9C">
        <w:rPr>
          <w:rFonts w:asciiTheme="minorHAnsi" w:hAnsiTheme="minorHAnsi" w:cstheme="minorHAnsi"/>
        </w:rPr>
        <w:t>’</w:t>
      </w:r>
      <w:r w:rsidRPr="00025B9C">
        <w:rPr>
          <w:rFonts w:asciiTheme="minorHAnsi" w:hAnsiTheme="minorHAnsi" w:cstheme="minorHAnsi"/>
        </w:rPr>
        <w:t xml:space="preserve"> system. </w:t>
      </w:r>
      <w:r w:rsidR="00567A5D" w:rsidRPr="00025B9C">
        <w:rPr>
          <w:rFonts w:asciiTheme="minorHAnsi" w:hAnsiTheme="minorHAnsi" w:cstheme="minorHAnsi"/>
        </w:rPr>
        <w:t xml:space="preserve">Some rhetoric may go beyond mere persuasion, using more manipulative and opportunistic means of explaining non-compliance, i.e., </w:t>
      </w:r>
      <w:r w:rsidR="00C3451C" w:rsidRPr="00025B9C">
        <w:rPr>
          <w:rFonts w:asciiTheme="minorHAnsi" w:hAnsiTheme="minorHAnsi" w:cstheme="minorHAnsi"/>
        </w:rPr>
        <w:t>‘</w:t>
      </w:r>
      <w:r w:rsidR="00567A5D" w:rsidRPr="00025B9C">
        <w:rPr>
          <w:rFonts w:asciiTheme="minorHAnsi" w:hAnsiTheme="minorHAnsi" w:cstheme="minorHAnsi"/>
        </w:rPr>
        <w:t>sophistic</w:t>
      </w:r>
      <w:r w:rsidR="00C3451C" w:rsidRPr="00025B9C">
        <w:rPr>
          <w:rFonts w:asciiTheme="minorHAnsi" w:hAnsiTheme="minorHAnsi" w:cstheme="minorHAnsi"/>
        </w:rPr>
        <w:t>’</w:t>
      </w:r>
      <w:r w:rsidR="00567A5D" w:rsidRPr="00025B9C">
        <w:rPr>
          <w:rFonts w:asciiTheme="minorHAnsi" w:hAnsiTheme="minorHAnsi" w:cstheme="minorHAnsi"/>
        </w:rPr>
        <w:t xml:space="preserve">. </w:t>
      </w:r>
      <w:r w:rsidR="00C3451C" w:rsidRPr="00025B9C">
        <w:rPr>
          <w:rFonts w:asciiTheme="minorHAnsi" w:hAnsiTheme="minorHAnsi" w:cstheme="minorHAnsi"/>
        </w:rPr>
        <w:t>Our empirical challenge is to develop a typology that reflects these theoretical points.</w:t>
      </w:r>
    </w:p>
    <w:p w:rsidR="00E32E9E" w:rsidRPr="00025B9C" w:rsidRDefault="00E32E9E" w:rsidP="00D665D9">
      <w:pPr>
        <w:spacing w:line="360" w:lineRule="auto"/>
        <w:jc w:val="both"/>
        <w:rPr>
          <w:rFonts w:asciiTheme="minorHAnsi" w:hAnsiTheme="minorHAnsi" w:cstheme="minorHAnsi"/>
        </w:rPr>
      </w:pPr>
    </w:p>
    <w:p w:rsidR="001A6FEA" w:rsidRPr="00025B9C" w:rsidRDefault="00223B1F" w:rsidP="00D665D9">
      <w:pPr>
        <w:keepNext/>
        <w:spacing w:line="360" w:lineRule="auto"/>
        <w:jc w:val="both"/>
        <w:rPr>
          <w:rFonts w:asciiTheme="minorHAnsi" w:hAnsiTheme="minorHAnsi" w:cstheme="minorHAnsi"/>
          <w:b/>
        </w:rPr>
      </w:pPr>
      <w:r w:rsidRPr="00025B9C">
        <w:rPr>
          <w:rFonts w:asciiTheme="minorHAnsi" w:hAnsiTheme="minorHAnsi" w:cstheme="minorHAnsi"/>
          <w:b/>
        </w:rPr>
        <w:t>3</w:t>
      </w:r>
      <w:r w:rsidR="001A6FEA" w:rsidRPr="00025B9C">
        <w:rPr>
          <w:rFonts w:asciiTheme="minorHAnsi" w:hAnsiTheme="minorHAnsi" w:cstheme="minorHAnsi"/>
          <w:b/>
        </w:rPr>
        <w:t xml:space="preserve">. </w:t>
      </w:r>
      <w:r w:rsidR="008F51E1" w:rsidRPr="00025B9C">
        <w:rPr>
          <w:rFonts w:asciiTheme="minorHAnsi" w:hAnsiTheme="minorHAnsi" w:cstheme="minorHAnsi"/>
          <w:b/>
        </w:rPr>
        <w:t>Development of</w:t>
      </w:r>
      <w:r w:rsidR="001B2D53" w:rsidRPr="00025B9C">
        <w:rPr>
          <w:rFonts w:asciiTheme="minorHAnsi" w:hAnsiTheme="minorHAnsi" w:cstheme="minorHAnsi"/>
          <w:b/>
        </w:rPr>
        <w:t xml:space="preserve"> </w:t>
      </w:r>
      <w:r w:rsidR="00E52A96" w:rsidRPr="00025B9C">
        <w:rPr>
          <w:rFonts w:asciiTheme="minorHAnsi" w:hAnsiTheme="minorHAnsi" w:cstheme="minorHAnsi"/>
          <w:b/>
        </w:rPr>
        <w:t>a</w:t>
      </w:r>
      <w:r w:rsidR="00BD37DD" w:rsidRPr="00025B9C">
        <w:rPr>
          <w:rFonts w:asciiTheme="minorHAnsi" w:hAnsiTheme="minorHAnsi" w:cstheme="minorHAnsi"/>
          <w:b/>
        </w:rPr>
        <w:t xml:space="preserve"> typology</w:t>
      </w:r>
      <w:r w:rsidR="00E52A96" w:rsidRPr="00025B9C">
        <w:rPr>
          <w:rFonts w:asciiTheme="minorHAnsi" w:hAnsiTheme="minorHAnsi" w:cstheme="minorHAnsi"/>
          <w:b/>
        </w:rPr>
        <w:t xml:space="preserve"> </w:t>
      </w:r>
      <w:r w:rsidR="003969AA" w:rsidRPr="00025B9C">
        <w:rPr>
          <w:rFonts w:asciiTheme="minorHAnsi" w:hAnsiTheme="minorHAnsi" w:cstheme="minorHAnsi"/>
          <w:b/>
        </w:rPr>
        <w:t>of rhetorical strategies in</w:t>
      </w:r>
      <w:r w:rsidR="00E52A96" w:rsidRPr="00025B9C">
        <w:rPr>
          <w:rFonts w:asciiTheme="minorHAnsi" w:hAnsiTheme="minorHAnsi" w:cstheme="minorHAnsi"/>
          <w:b/>
        </w:rPr>
        <w:t xml:space="preserve"> </w:t>
      </w:r>
      <w:r w:rsidR="003969AA" w:rsidRPr="00025B9C">
        <w:rPr>
          <w:rFonts w:asciiTheme="minorHAnsi" w:hAnsiTheme="minorHAnsi" w:cstheme="minorHAnsi"/>
          <w:b/>
        </w:rPr>
        <w:t xml:space="preserve">non-compliance </w:t>
      </w:r>
      <w:r w:rsidR="00E52A96" w:rsidRPr="00025B9C">
        <w:rPr>
          <w:rFonts w:asciiTheme="minorHAnsi" w:hAnsiTheme="minorHAnsi" w:cstheme="minorHAnsi"/>
          <w:b/>
        </w:rPr>
        <w:t>explanations</w:t>
      </w:r>
      <w:r w:rsidR="00BD37DD" w:rsidRPr="00025B9C">
        <w:rPr>
          <w:rFonts w:asciiTheme="minorHAnsi" w:hAnsiTheme="minorHAnsi" w:cstheme="minorHAnsi"/>
          <w:b/>
        </w:rPr>
        <w:t xml:space="preserve"> </w:t>
      </w:r>
    </w:p>
    <w:p w:rsidR="00930351" w:rsidRPr="00025B9C" w:rsidRDefault="00DD0559" w:rsidP="00D665D9">
      <w:pPr>
        <w:spacing w:line="360" w:lineRule="auto"/>
        <w:jc w:val="both"/>
        <w:rPr>
          <w:rFonts w:asciiTheme="minorHAnsi" w:hAnsiTheme="minorHAnsi" w:cstheme="minorHAnsi"/>
          <w:lang w:val="en-IE"/>
        </w:rPr>
      </w:pPr>
      <w:r w:rsidRPr="00025B9C">
        <w:rPr>
          <w:rFonts w:asciiTheme="minorHAnsi" w:hAnsiTheme="minorHAnsi" w:cstheme="minorHAnsi"/>
        </w:rPr>
        <w:t xml:space="preserve">The purpose of </w:t>
      </w:r>
      <w:r w:rsidR="009322F8" w:rsidRPr="00025B9C">
        <w:rPr>
          <w:rFonts w:asciiTheme="minorHAnsi" w:hAnsiTheme="minorHAnsi" w:cstheme="minorHAnsi"/>
        </w:rPr>
        <w:t>an</w:t>
      </w:r>
      <w:r w:rsidRPr="00025B9C">
        <w:rPr>
          <w:rFonts w:asciiTheme="minorHAnsi" w:hAnsiTheme="minorHAnsi" w:cstheme="minorHAnsi"/>
        </w:rPr>
        <w:t xml:space="preserve"> explanation is</w:t>
      </w:r>
      <w:r w:rsidR="000C4250" w:rsidRPr="00025B9C">
        <w:rPr>
          <w:rFonts w:asciiTheme="minorHAnsi" w:hAnsiTheme="minorHAnsi" w:cstheme="minorHAnsi"/>
        </w:rPr>
        <w:t xml:space="preserve"> </w:t>
      </w:r>
      <w:r w:rsidR="00541ED8" w:rsidRPr="00025B9C">
        <w:rPr>
          <w:rFonts w:asciiTheme="minorHAnsi" w:hAnsiTheme="minorHAnsi" w:cstheme="minorHAnsi"/>
        </w:rPr>
        <w:t>(</w:t>
      </w:r>
      <w:proofErr w:type="spellStart"/>
      <w:r w:rsidR="00541ED8" w:rsidRPr="00025B9C">
        <w:rPr>
          <w:rFonts w:asciiTheme="minorHAnsi" w:hAnsiTheme="minorHAnsi" w:cstheme="minorHAnsi"/>
        </w:rPr>
        <w:t>i</w:t>
      </w:r>
      <w:proofErr w:type="spellEnd"/>
      <w:r w:rsidR="00541ED8" w:rsidRPr="00025B9C">
        <w:rPr>
          <w:rFonts w:asciiTheme="minorHAnsi" w:hAnsiTheme="minorHAnsi" w:cstheme="minorHAnsi"/>
        </w:rPr>
        <w:t xml:space="preserve">) </w:t>
      </w:r>
      <w:r w:rsidR="00711EA1" w:rsidRPr="00025B9C">
        <w:rPr>
          <w:rFonts w:asciiTheme="minorHAnsi" w:hAnsiTheme="minorHAnsi" w:cstheme="minorHAnsi"/>
        </w:rPr>
        <w:t xml:space="preserve">to provide </w:t>
      </w:r>
      <w:r w:rsidR="00711EA1" w:rsidRPr="00025B9C">
        <w:rPr>
          <w:rFonts w:asciiTheme="minorHAnsi" w:hAnsiTheme="minorHAnsi" w:cstheme="minorHAnsi"/>
          <w:bCs/>
        </w:rPr>
        <w:t xml:space="preserve">“a convincing rationale” (FRC, </w:t>
      </w:r>
      <w:r w:rsidR="00711EA1" w:rsidRPr="00025B9C">
        <w:rPr>
          <w:rFonts w:asciiTheme="minorHAnsi" w:hAnsiTheme="minorHAnsi" w:cstheme="minorHAnsi"/>
          <w:bCs/>
          <w:lang w:val="en-IE"/>
        </w:rPr>
        <w:t>2012b, p. 6)</w:t>
      </w:r>
      <w:r w:rsidR="00622CB5" w:rsidRPr="00025B9C">
        <w:rPr>
          <w:rFonts w:asciiTheme="minorHAnsi" w:hAnsiTheme="minorHAnsi" w:cstheme="minorHAnsi"/>
          <w:bCs/>
          <w:lang w:val="en-IE"/>
        </w:rPr>
        <w:t>;</w:t>
      </w:r>
      <w:r w:rsidR="00622CB5" w:rsidRPr="00025B9C">
        <w:rPr>
          <w:rStyle w:val="CommentReference"/>
          <w:rFonts w:asciiTheme="minorHAnsi" w:hAnsiTheme="minorHAnsi" w:cstheme="minorHAnsi"/>
        </w:rPr>
        <w:t xml:space="preserve"> </w:t>
      </w:r>
      <w:r w:rsidR="00541ED8" w:rsidRPr="00025B9C">
        <w:rPr>
          <w:rFonts w:asciiTheme="minorHAnsi" w:hAnsiTheme="minorHAnsi" w:cstheme="minorHAnsi"/>
        </w:rPr>
        <w:t xml:space="preserve">(ii) </w:t>
      </w:r>
      <w:r w:rsidR="00224EAB" w:rsidRPr="00025B9C">
        <w:rPr>
          <w:rFonts w:asciiTheme="minorHAnsi" w:hAnsiTheme="minorHAnsi" w:cstheme="minorHAnsi"/>
        </w:rPr>
        <w:t>to legitimiz</w:t>
      </w:r>
      <w:r w:rsidR="00711EA1" w:rsidRPr="00025B9C">
        <w:rPr>
          <w:rFonts w:asciiTheme="minorHAnsi" w:hAnsiTheme="minorHAnsi" w:cstheme="minorHAnsi"/>
        </w:rPr>
        <w:t>e</w:t>
      </w:r>
      <w:r w:rsidR="00622CB5" w:rsidRPr="00025B9C">
        <w:rPr>
          <w:rFonts w:asciiTheme="minorHAnsi" w:hAnsiTheme="minorHAnsi" w:cstheme="minorHAnsi"/>
        </w:rPr>
        <w:t>;</w:t>
      </w:r>
      <w:r w:rsidR="00711EA1" w:rsidRPr="00025B9C">
        <w:rPr>
          <w:rFonts w:asciiTheme="minorHAnsi" w:hAnsiTheme="minorHAnsi" w:cstheme="minorHAnsi"/>
        </w:rPr>
        <w:t xml:space="preserve"> and </w:t>
      </w:r>
      <w:r w:rsidR="00541ED8" w:rsidRPr="00025B9C">
        <w:rPr>
          <w:rFonts w:asciiTheme="minorHAnsi" w:hAnsiTheme="minorHAnsi" w:cstheme="minorHAnsi"/>
        </w:rPr>
        <w:t xml:space="preserve">(iii) </w:t>
      </w:r>
      <w:r w:rsidR="00711EA1" w:rsidRPr="00025B9C">
        <w:rPr>
          <w:rFonts w:asciiTheme="minorHAnsi" w:hAnsiTheme="minorHAnsi" w:cstheme="minorHAnsi"/>
        </w:rPr>
        <w:t>to protect the company’s image</w:t>
      </w:r>
      <w:r w:rsidR="000C4250" w:rsidRPr="00025B9C">
        <w:rPr>
          <w:rFonts w:asciiTheme="minorHAnsi" w:hAnsiTheme="minorHAnsi" w:cstheme="minorHAnsi"/>
        </w:rPr>
        <w:t xml:space="preserve"> to show that, despite non-compliance, the company has a full and </w:t>
      </w:r>
      <w:r w:rsidR="00716D0C" w:rsidRPr="00025B9C">
        <w:rPr>
          <w:rFonts w:asciiTheme="minorHAnsi" w:hAnsiTheme="minorHAnsi" w:cstheme="minorHAnsi"/>
        </w:rPr>
        <w:t>robust</w:t>
      </w:r>
      <w:r w:rsidR="000C4250" w:rsidRPr="00025B9C">
        <w:rPr>
          <w:rFonts w:asciiTheme="minorHAnsi" w:hAnsiTheme="minorHAnsi" w:cstheme="minorHAnsi"/>
        </w:rPr>
        <w:t xml:space="preserve"> system of governance</w:t>
      </w:r>
      <w:r w:rsidRPr="00025B9C">
        <w:rPr>
          <w:rFonts w:asciiTheme="minorHAnsi" w:hAnsiTheme="minorHAnsi" w:cstheme="minorHAnsi"/>
        </w:rPr>
        <w:t xml:space="preserve">. </w:t>
      </w:r>
      <w:r w:rsidR="00C72530" w:rsidRPr="00025B9C">
        <w:rPr>
          <w:rFonts w:asciiTheme="minorHAnsi" w:hAnsiTheme="minorHAnsi" w:cstheme="minorHAnsi"/>
        </w:rPr>
        <w:t>We borrow from the work of Benoit (1995)</w:t>
      </w:r>
      <w:r w:rsidR="00A809A3" w:rsidRPr="00025B9C">
        <w:rPr>
          <w:rFonts w:asciiTheme="minorHAnsi" w:hAnsiTheme="minorHAnsi" w:cstheme="minorHAnsi"/>
        </w:rPr>
        <w:t>,</w:t>
      </w:r>
      <w:r w:rsidR="00C72530" w:rsidRPr="00025B9C">
        <w:rPr>
          <w:rFonts w:asciiTheme="minorHAnsi" w:hAnsiTheme="minorHAnsi" w:cstheme="minorHAnsi"/>
        </w:rPr>
        <w:t xml:space="preserve"> </w:t>
      </w:r>
      <w:r w:rsidR="00A809A3" w:rsidRPr="00025B9C">
        <w:rPr>
          <w:rFonts w:asciiTheme="minorHAnsi" w:hAnsiTheme="minorHAnsi" w:cstheme="minorHAnsi"/>
        </w:rPr>
        <w:t xml:space="preserve">which we believe is an </w:t>
      </w:r>
      <w:r w:rsidR="00C72530" w:rsidRPr="00025B9C">
        <w:rPr>
          <w:rFonts w:asciiTheme="minorHAnsi" w:hAnsiTheme="minorHAnsi" w:cstheme="minorHAnsi"/>
        </w:rPr>
        <w:t>appropriate theoretical lens for viewing non-compliance explanations</w:t>
      </w:r>
      <w:r w:rsidR="00A809A3" w:rsidRPr="00025B9C">
        <w:rPr>
          <w:rFonts w:asciiTheme="minorHAnsi" w:hAnsiTheme="minorHAnsi" w:cstheme="minorHAnsi"/>
        </w:rPr>
        <w:t xml:space="preserve">, as Benoit also analyses corporate explanations, in his case, for image-damaging events. </w:t>
      </w:r>
      <w:r w:rsidR="00D43745" w:rsidRPr="00025B9C">
        <w:rPr>
          <w:rFonts w:asciiTheme="minorHAnsi" w:hAnsiTheme="minorHAnsi" w:cstheme="minorHAnsi"/>
        </w:rPr>
        <w:t xml:space="preserve">We also include insights from </w:t>
      </w:r>
      <w:proofErr w:type="spellStart"/>
      <w:r w:rsidR="00D43745" w:rsidRPr="00025B9C">
        <w:rPr>
          <w:rFonts w:asciiTheme="minorHAnsi" w:hAnsiTheme="minorHAnsi" w:cstheme="minorHAnsi"/>
        </w:rPr>
        <w:t>Bolino</w:t>
      </w:r>
      <w:proofErr w:type="spellEnd"/>
      <w:r w:rsidR="00D43745" w:rsidRPr="00025B9C">
        <w:rPr>
          <w:rFonts w:asciiTheme="minorHAnsi" w:hAnsiTheme="minorHAnsi" w:cstheme="minorHAnsi"/>
        </w:rPr>
        <w:t xml:space="preserve"> </w:t>
      </w:r>
      <w:r w:rsidR="00476312" w:rsidRPr="00025B9C">
        <w:rPr>
          <w:rFonts w:asciiTheme="minorHAnsi" w:hAnsiTheme="minorHAnsi" w:cstheme="minorHAnsi"/>
        </w:rPr>
        <w:t>and</w:t>
      </w:r>
      <w:r w:rsidR="00D43745" w:rsidRPr="00025B9C">
        <w:rPr>
          <w:rFonts w:asciiTheme="minorHAnsi" w:hAnsiTheme="minorHAnsi" w:cstheme="minorHAnsi"/>
        </w:rPr>
        <w:t xml:space="preserve"> </w:t>
      </w:r>
      <w:proofErr w:type="spellStart"/>
      <w:r w:rsidR="00D43745" w:rsidRPr="00025B9C">
        <w:rPr>
          <w:rFonts w:asciiTheme="minorHAnsi" w:hAnsiTheme="minorHAnsi" w:cstheme="minorHAnsi"/>
        </w:rPr>
        <w:t>Turnley</w:t>
      </w:r>
      <w:proofErr w:type="spellEnd"/>
      <w:r w:rsidR="00D43745" w:rsidRPr="00025B9C">
        <w:rPr>
          <w:rFonts w:asciiTheme="minorHAnsi" w:hAnsiTheme="minorHAnsi" w:cstheme="minorHAnsi"/>
        </w:rPr>
        <w:t xml:space="preserve"> (2003) which </w:t>
      </w:r>
      <w:r w:rsidR="00903FAB" w:rsidRPr="00025B9C">
        <w:rPr>
          <w:rFonts w:asciiTheme="minorHAnsi" w:hAnsiTheme="minorHAnsi" w:cstheme="minorHAnsi"/>
        </w:rPr>
        <w:t>we consider contributes a finer-</w:t>
      </w:r>
      <w:r w:rsidR="00D43745" w:rsidRPr="00025B9C">
        <w:rPr>
          <w:rFonts w:asciiTheme="minorHAnsi" w:hAnsiTheme="minorHAnsi" w:cstheme="minorHAnsi"/>
        </w:rPr>
        <w:t>grained analysis, including consideration of rhetorical strategies in combination. Thus, w</w:t>
      </w:r>
      <w:r w:rsidR="004455CC" w:rsidRPr="00025B9C">
        <w:rPr>
          <w:rFonts w:asciiTheme="minorHAnsi" w:hAnsiTheme="minorHAnsi" w:cstheme="minorHAnsi"/>
        </w:rPr>
        <w:t>e analyse explanations for non-compliance by developing a typology of rhetorical strateg</w:t>
      </w:r>
      <w:r w:rsidR="00903FAB" w:rsidRPr="00025B9C">
        <w:rPr>
          <w:rFonts w:asciiTheme="minorHAnsi" w:hAnsiTheme="minorHAnsi" w:cstheme="minorHAnsi"/>
        </w:rPr>
        <w:t>ies, from Benoit’s (1995) image-</w:t>
      </w:r>
      <w:r w:rsidR="004455CC" w:rsidRPr="00025B9C">
        <w:rPr>
          <w:rFonts w:asciiTheme="minorHAnsi" w:hAnsiTheme="minorHAnsi" w:cstheme="minorHAnsi"/>
        </w:rPr>
        <w:t xml:space="preserve">restoration strategy and </w:t>
      </w:r>
      <w:proofErr w:type="spellStart"/>
      <w:r w:rsidR="004455CC" w:rsidRPr="00025B9C">
        <w:rPr>
          <w:rFonts w:asciiTheme="minorHAnsi" w:hAnsiTheme="minorHAnsi" w:cstheme="minorHAnsi"/>
        </w:rPr>
        <w:t>Bolino</w:t>
      </w:r>
      <w:proofErr w:type="spellEnd"/>
      <w:r w:rsidR="004455CC" w:rsidRPr="00025B9C">
        <w:rPr>
          <w:rFonts w:asciiTheme="minorHAnsi" w:hAnsiTheme="minorHAnsi" w:cstheme="minorHAnsi"/>
        </w:rPr>
        <w:t xml:space="preserve"> </w:t>
      </w:r>
      <w:r w:rsidR="00476312" w:rsidRPr="00025B9C">
        <w:rPr>
          <w:rFonts w:asciiTheme="minorHAnsi" w:hAnsiTheme="minorHAnsi" w:cstheme="minorHAnsi"/>
        </w:rPr>
        <w:t>and</w:t>
      </w:r>
      <w:r w:rsidR="004455CC" w:rsidRPr="00025B9C">
        <w:rPr>
          <w:rFonts w:asciiTheme="minorHAnsi" w:hAnsiTheme="minorHAnsi" w:cstheme="minorHAnsi"/>
        </w:rPr>
        <w:t xml:space="preserve"> </w:t>
      </w:r>
      <w:proofErr w:type="spellStart"/>
      <w:r w:rsidR="004455CC" w:rsidRPr="00025B9C">
        <w:rPr>
          <w:rFonts w:asciiTheme="minorHAnsi" w:hAnsiTheme="minorHAnsi" w:cstheme="minorHAnsi"/>
        </w:rPr>
        <w:t>Turnley’s</w:t>
      </w:r>
      <w:proofErr w:type="spellEnd"/>
      <w:r w:rsidR="004455CC" w:rsidRPr="00025B9C">
        <w:rPr>
          <w:rFonts w:asciiTheme="minorHAnsi" w:hAnsiTheme="minorHAnsi" w:cstheme="minorHAnsi"/>
        </w:rPr>
        <w:t xml:space="preserve"> (2003) impression management profiles, adapting </w:t>
      </w:r>
      <w:r w:rsidR="004455CC" w:rsidRPr="00025B9C">
        <w:rPr>
          <w:rFonts w:asciiTheme="minorHAnsi" w:hAnsiTheme="minorHAnsi" w:cstheme="minorHAnsi"/>
          <w:lang w:val="en-IE"/>
        </w:rPr>
        <w:t>prior research</w:t>
      </w:r>
      <w:r w:rsidR="004455CC" w:rsidRPr="00025B9C">
        <w:rPr>
          <w:rFonts w:asciiTheme="minorHAnsi" w:hAnsiTheme="minorHAnsi" w:cstheme="minorHAnsi"/>
        </w:rPr>
        <w:t xml:space="preserve"> for use in a corporate governance setting. </w:t>
      </w:r>
      <w:r w:rsidR="002330A4" w:rsidRPr="00025B9C">
        <w:rPr>
          <w:rFonts w:asciiTheme="minorHAnsi" w:hAnsiTheme="minorHAnsi" w:cstheme="minorHAnsi"/>
        </w:rPr>
        <w:t xml:space="preserve">Benoit </w:t>
      </w:r>
      <w:r w:rsidRPr="00025B9C">
        <w:rPr>
          <w:rFonts w:asciiTheme="minorHAnsi" w:hAnsiTheme="minorHAnsi" w:cstheme="minorHAnsi"/>
        </w:rPr>
        <w:t>(</w:t>
      </w:r>
      <w:r w:rsidR="002330A4" w:rsidRPr="00025B9C">
        <w:rPr>
          <w:rFonts w:asciiTheme="minorHAnsi" w:hAnsiTheme="minorHAnsi" w:cstheme="minorHAnsi"/>
        </w:rPr>
        <w:t>1995)</w:t>
      </w:r>
      <w:r w:rsidRPr="00025B9C">
        <w:rPr>
          <w:rFonts w:asciiTheme="minorHAnsi" w:hAnsiTheme="minorHAnsi" w:cstheme="minorHAnsi"/>
        </w:rPr>
        <w:t xml:space="preserve"> </w:t>
      </w:r>
      <w:r w:rsidR="00A618EB" w:rsidRPr="00025B9C">
        <w:rPr>
          <w:rFonts w:asciiTheme="minorHAnsi" w:hAnsiTheme="minorHAnsi" w:cstheme="minorHAnsi"/>
        </w:rPr>
        <w:t xml:space="preserve">classifies 14 </w:t>
      </w:r>
      <w:r w:rsidR="00EA2B2C" w:rsidRPr="00025B9C">
        <w:rPr>
          <w:rFonts w:asciiTheme="minorHAnsi" w:hAnsiTheme="minorHAnsi" w:cstheme="minorHAnsi"/>
        </w:rPr>
        <w:t xml:space="preserve">image-restoration </w:t>
      </w:r>
      <w:r w:rsidR="00A618EB" w:rsidRPr="00025B9C">
        <w:rPr>
          <w:rFonts w:asciiTheme="minorHAnsi" w:hAnsiTheme="minorHAnsi" w:cstheme="minorHAnsi"/>
        </w:rPr>
        <w:t>strategies into five categories</w:t>
      </w:r>
      <w:r w:rsidR="004832BA" w:rsidRPr="00025B9C">
        <w:rPr>
          <w:rFonts w:asciiTheme="minorHAnsi" w:hAnsiTheme="minorHAnsi" w:cstheme="minorHAnsi"/>
        </w:rPr>
        <w:t xml:space="preserve"> as summari</w:t>
      </w:r>
      <w:r w:rsidR="00224EAB" w:rsidRPr="00025B9C">
        <w:rPr>
          <w:rFonts w:asciiTheme="minorHAnsi" w:hAnsiTheme="minorHAnsi" w:cstheme="minorHAnsi"/>
        </w:rPr>
        <w:t>z</w:t>
      </w:r>
      <w:r w:rsidR="00A23839" w:rsidRPr="00025B9C">
        <w:rPr>
          <w:rFonts w:asciiTheme="minorHAnsi" w:hAnsiTheme="minorHAnsi" w:cstheme="minorHAnsi"/>
        </w:rPr>
        <w:t>ed in Table 2</w:t>
      </w:r>
      <w:r w:rsidR="00A618EB" w:rsidRPr="00025B9C">
        <w:rPr>
          <w:rFonts w:asciiTheme="minorHAnsi" w:hAnsiTheme="minorHAnsi" w:cstheme="minorHAnsi"/>
        </w:rPr>
        <w:t>.</w:t>
      </w:r>
      <w:r w:rsidR="009B5A18" w:rsidRPr="00025B9C">
        <w:rPr>
          <w:rFonts w:asciiTheme="minorHAnsi" w:hAnsiTheme="minorHAnsi" w:cstheme="minorHAnsi"/>
        </w:rPr>
        <w:t xml:space="preserve"> We add </w:t>
      </w:r>
      <w:proofErr w:type="spellStart"/>
      <w:r w:rsidR="004832BA" w:rsidRPr="00025B9C">
        <w:rPr>
          <w:rFonts w:asciiTheme="minorHAnsi" w:hAnsiTheme="minorHAnsi" w:cstheme="minorHAnsi"/>
        </w:rPr>
        <w:t>Bolino</w:t>
      </w:r>
      <w:proofErr w:type="spellEnd"/>
      <w:r w:rsidR="004832BA" w:rsidRPr="00025B9C">
        <w:rPr>
          <w:rFonts w:asciiTheme="minorHAnsi" w:hAnsiTheme="minorHAnsi" w:cstheme="minorHAnsi"/>
        </w:rPr>
        <w:t xml:space="preserve"> </w:t>
      </w:r>
      <w:r w:rsidR="007B50D0" w:rsidRPr="00025B9C">
        <w:rPr>
          <w:rFonts w:asciiTheme="minorHAnsi" w:hAnsiTheme="minorHAnsi" w:cstheme="minorHAnsi"/>
        </w:rPr>
        <w:t>and</w:t>
      </w:r>
      <w:r w:rsidR="004832BA" w:rsidRPr="00025B9C">
        <w:rPr>
          <w:rFonts w:asciiTheme="minorHAnsi" w:hAnsiTheme="minorHAnsi" w:cstheme="minorHAnsi"/>
        </w:rPr>
        <w:t xml:space="preserve"> </w:t>
      </w:r>
      <w:proofErr w:type="spellStart"/>
      <w:r w:rsidR="004832BA" w:rsidRPr="00025B9C">
        <w:rPr>
          <w:rFonts w:asciiTheme="minorHAnsi" w:hAnsiTheme="minorHAnsi" w:cstheme="minorHAnsi"/>
        </w:rPr>
        <w:t>Turnley’s</w:t>
      </w:r>
      <w:proofErr w:type="spellEnd"/>
      <w:r w:rsidR="004832BA" w:rsidRPr="00025B9C">
        <w:rPr>
          <w:rFonts w:asciiTheme="minorHAnsi" w:hAnsiTheme="minorHAnsi" w:cstheme="minorHAnsi"/>
        </w:rPr>
        <w:t xml:space="preserve"> (2003) five impression management </w:t>
      </w:r>
      <w:r w:rsidR="0028240A" w:rsidRPr="00025B9C">
        <w:rPr>
          <w:rFonts w:asciiTheme="minorHAnsi" w:hAnsiTheme="minorHAnsi" w:cstheme="minorHAnsi"/>
        </w:rPr>
        <w:t>profiles</w:t>
      </w:r>
      <w:r w:rsidR="004832BA" w:rsidRPr="00025B9C">
        <w:rPr>
          <w:rFonts w:asciiTheme="minorHAnsi" w:hAnsiTheme="minorHAnsi" w:cstheme="minorHAnsi"/>
        </w:rPr>
        <w:t xml:space="preserve">. </w:t>
      </w:r>
      <w:r w:rsidR="00FF1E36" w:rsidRPr="00025B9C">
        <w:rPr>
          <w:rFonts w:asciiTheme="minorHAnsi" w:hAnsiTheme="minorHAnsi" w:cstheme="minorHAnsi"/>
        </w:rPr>
        <w:t xml:space="preserve">A typology is, in essence, a classification scheme whereby items with similar characteristics are grouped together (Bailey, 1994). Like many research tools, they have advantages and disadvantages. Complexity </w:t>
      </w:r>
      <w:r w:rsidR="00FF1E36" w:rsidRPr="00025B9C">
        <w:rPr>
          <w:rFonts w:asciiTheme="minorHAnsi" w:hAnsiTheme="minorHAnsi" w:cstheme="minorHAnsi"/>
          <w:lang w:val="en-IE"/>
        </w:rPr>
        <w:t xml:space="preserve">in disclosures can be reduced by highlighting similarities and differences, and a typology facilitates the making of comparisons. However, disadvantages include the oversimplification of complex issues and, as social constructs (Bailey, 1994), they must be used carefully (Shrives </w:t>
      </w:r>
      <w:r w:rsidR="00FF1E36" w:rsidRPr="00025B9C">
        <w:rPr>
          <w:rFonts w:asciiTheme="minorHAnsi" w:hAnsiTheme="minorHAnsi" w:cstheme="minorHAnsi"/>
        </w:rPr>
        <w:t>&amp;</w:t>
      </w:r>
      <w:r w:rsidR="00FF1E36" w:rsidRPr="00025B9C">
        <w:rPr>
          <w:rFonts w:asciiTheme="minorHAnsi" w:hAnsiTheme="minorHAnsi" w:cstheme="minorHAnsi"/>
          <w:lang w:val="en-IE"/>
        </w:rPr>
        <w:t xml:space="preserve"> Brennan, 2015).</w:t>
      </w:r>
      <w:r w:rsidR="00CC2D0E" w:rsidRPr="00025B9C">
        <w:rPr>
          <w:rFonts w:asciiTheme="minorHAnsi" w:hAnsiTheme="minorHAnsi" w:cstheme="minorHAnsi"/>
          <w:lang w:val="en-IE"/>
        </w:rPr>
        <w:t xml:space="preserve"> </w:t>
      </w:r>
      <w:r w:rsidR="004455CC" w:rsidRPr="00025B9C">
        <w:rPr>
          <w:rFonts w:asciiTheme="minorHAnsi" w:hAnsiTheme="minorHAnsi" w:cstheme="minorHAnsi"/>
          <w:lang w:val="en-IE"/>
        </w:rPr>
        <w:t>By their nature, explanations are rhetorically charged. By d</w:t>
      </w:r>
      <w:r w:rsidR="008504E9" w:rsidRPr="00025B9C">
        <w:rPr>
          <w:rFonts w:asciiTheme="minorHAnsi" w:hAnsiTheme="minorHAnsi" w:cstheme="minorHAnsi"/>
          <w:lang w:val="en-IE"/>
        </w:rPr>
        <w:t xml:space="preserve">rawing </w:t>
      </w:r>
      <w:proofErr w:type="gramStart"/>
      <w:r w:rsidR="008504E9" w:rsidRPr="00025B9C">
        <w:rPr>
          <w:rFonts w:asciiTheme="minorHAnsi" w:hAnsiTheme="minorHAnsi" w:cstheme="minorHAnsi"/>
          <w:lang w:val="en-IE"/>
        </w:rPr>
        <w:t>together</w:t>
      </w:r>
      <w:proofErr w:type="gramEnd"/>
      <w:r w:rsidR="008504E9" w:rsidRPr="00025B9C">
        <w:rPr>
          <w:rFonts w:asciiTheme="minorHAnsi" w:hAnsiTheme="minorHAnsi" w:cstheme="minorHAnsi"/>
          <w:lang w:val="en-IE"/>
        </w:rPr>
        <w:t xml:space="preserve"> a wide range of rhetorical strategies into a new typology</w:t>
      </w:r>
      <w:r w:rsidR="004455CC" w:rsidRPr="00025B9C">
        <w:rPr>
          <w:rFonts w:asciiTheme="minorHAnsi" w:hAnsiTheme="minorHAnsi" w:cstheme="minorHAnsi"/>
          <w:lang w:val="en-IE"/>
        </w:rPr>
        <w:t>, we provide</w:t>
      </w:r>
      <w:r w:rsidR="008504E9" w:rsidRPr="00025B9C">
        <w:rPr>
          <w:rFonts w:asciiTheme="minorHAnsi" w:hAnsiTheme="minorHAnsi" w:cstheme="minorHAnsi"/>
          <w:lang w:val="en-IE"/>
        </w:rPr>
        <w:t xml:space="preserve"> insights into, arguably, the whole purpose of explanations, which is to persuade readers that non-compliance is appropriate</w:t>
      </w:r>
      <w:r w:rsidR="006F0E44" w:rsidRPr="00025B9C">
        <w:rPr>
          <w:rFonts w:asciiTheme="minorHAnsi" w:hAnsiTheme="minorHAnsi" w:cstheme="minorHAnsi"/>
          <w:lang w:val="en-IE"/>
        </w:rPr>
        <w:t>/acceptable</w:t>
      </w:r>
      <w:r w:rsidR="008504E9" w:rsidRPr="00025B9C">
        <w:rPr>
          <w:rFonts w:asciiTheme="minorHAnsi" w:hAnsiTheme="minorHAnsi" w:cstheme="minorHAnsi"/>
          <w:lang w:val="en-IE"/>
        </w:rPr>
        <w:t>.</w:t>
      </w:r>
      <w:r w:rsidR="006F0E44" w:rsidRPr="00025B9C">
        <w:rPr>
          <w:rFonts w:asciiTheme="minorHAnsi" w:hAnsiTheme="minorHAnsi" w:cstheme="minorHAnsi"/>
          <w:lang w:val="en-IE"/>
        </w:rPr>
        <w:t xml:space="preserve"> In this section, we introduce each of the nine</w:t>
      </w:r>
      <w:r w:rsidR="008504E9" w:rsidRPr="00025B9C">
        <w:rPr>
          <w:rFonts w:asciiTheme="minorHAnsi" w:hAnsiTheme="minorHAnsi" w:cstheme="minorHAnsi"/>
          <w:lang w:val="en-IE"/>
        </w:rPr>
        <w:t xml:space="preserve"> </w:t>
      </w:r>
      <w:r w:rsidR="006F0E44" w:rsidRPr="00025B9C">
        <w:rPr>
          <w:rFonts w:asciiTheme="minorHAnsi" w:hAnsiTheme="minorHAnsi" w:cstheme="minorHAnsi"/>
          <w:lang w:val="en-IE"/>
        </w:rPr>
        <w:t>rhetorical strategies in our typology, illustrating each one with examples of corporate governance non-compliance explanations</w:t>
      </w:r>
      <w:r w:rsidR="00C72530" w:rsidRPr="00025B9C">
        <w:rPr>
          <w:rFonts w:asciiTheme="minorHAnsi" w:hAnsiTheme="minorHAnsi" w:cstheme="minorHAnsi"/>
          <w:lang w:val="en-IE"/>
        </w:rPr>
        <w:t>, culminating in the typology itself in the second half of the section</w:t>
      </w:r>
      <w:r w:rsidR="006F0E44" w:rsidRPr="00025B9C">
        <w:rPr>
          <w:rFonts w:asciiTheme="minorHAnsi" w:hAnsiTheme="minorHAnsi" w:cstheme="minorHAnsi"/>
          <w:lang w:val="en-IE"/>
        </w:rPr>
        <w:t>.</w:t>
      </w:r>
    </w:p>
    <w:p w:rsidR="004F6FDC" w:rsidRPr="00025B9C" w:rsidRDefault="00A23839" w:rsidP="00D665D9">
      <w:pPr>
        <w:spacing w:line="360" w:lineRule="auto"/>
        <w:jc w:val="both"/>
        <w:rPr>
          <w:rFonts w:asciiTheme="minorHAnsi" w:hAnsiTheme="minorHAnsi" w:cstheme="minorHAnsi"/>
          <w:b/>
        </w:rPr>
      </w:pPr>
      <w:r w:rsidRPr="00025B9C">
        <w:rPr>
          <w:rFonts w:asciiTheme="minorHAnsi" w:hAnsiTheme="minorHAnsi" w:cstheme="minorHAnsi"/>
          <w:b/>
        </w:rPr>
        <w:t>&lt;Insert Table 2</w:t>
      </w:r>
      <w:r w:rsidR="00551F83" w:rsidRPr="00025B9C">
        <w:rPr>
          <w:rFonts w:asciiTheme="minorHAnsi" w:hAnsiTheme="minorHAnsi" w:cstheme="minorHAnsi"/>
          <w:b/>
        </w:rPr>
        <w:t xml:space="preserve"> about here&gt;</w:t>
      </w:r>
    </w:p>
    <w:p w:rsidR="00942BD3" w:rsidRPr="00025B9C" w:rsidRDefault="00942BD3" w:rsidP="00D665D9">
      <w:pPr>
        <w:spacing w:line="360" w:lineRule="auto"/>
        <w:jc w:val="both"/>
        <w:rPr>
          <w:rFonts w:asciiTheme="minorHAnsi" w:hAnsiTheme="minorHAnsi" w:cstheme="minorHAnsi"/>
          <w:b/>
        </w:rPr>
      </w:pPr>
    </w:p>
    <w:p w:rsidR="00DC0BB5" w:rsidRPr="00025B9C" w:rsidRDefault="00D00D93" w:rsidP="00D665D9">
      <w:pPr>
        <w:spacing w:line="360" w:lineRule="auto"/>
        <w:jc w:val="both"/>
        <w:rPr>
          <w:rFonts w:asciiTheme="minorHAnsi" w:hAnsiTheme="minorHAnsi" w:cstheme="minorHAnsi"/>
          <w:i/>
        </w:rPr>
      </w:pPr>
      <w:r w:rsidRPr="00025B9C">
        <w:rPr>
          <w:rFonts w:asciiTheme="minorHAnsi" w:hAnsiTheme="minorHAnsi" w:cstheme="minorHAnsi"/>
          <w:i/>
        </w:rPr>
        <w:t>3</w:t>
      </w:r>
      <w:r w:rsidR="0060026A" w:rsidRPr="00025B9C">
        <w:rPr>
          <w:rFonts w:asciiTheme="minorHAnsi" w:hAnsiTheme="minorHAnsi" w:cstheme="minorHAnsi"/>
          <w:i/>
        </w:rPr>
        <w:t>.1</w:t>
      </w:r>
      <w:r w:rsidR="00154B00" w:rsidRPr="00025B9C">
        <w:rPr>
          <w:rFonts w:asciiTheme="minorHAnsi" w:hAnsiTheme="minorHAnsi" w:cstheme="minorHAnsi"/>
          <w:i/>
        </w:rPr>
        <w:t xml:space="preserve"> </w:t>
      </w:r>
      <w:r w:rsidR="00D030B0" w:rsidRPr="00025B9C">
        <w:rPr>
          <w:rFonts w:asciiTheme="minorHAnsi" w:hAnsiTheme="minorHAnsi" w:cstheme="minorHAnsi"/>
          <w:i/>
        </w:rPr>
        <w:t>Towards a typology of explanations</w:t>
      </w:r>
    </w:p>
    <w:p w:rsidR="00EA2B2C" w:rsidRPr="00025B9C" w:rsidRDefault="00D030B0" w:rsidP="00BC608F">
      <w:pPr>
        <w:spacing w:line="360" w:lineRule="auto"/>
        <w:jc w:val="both"/>
        <w:rPr>
          <w:rFonts w:asciiTheme="minorHAnsi" w:hAnsiTheme="minorHAnsi" w:cstheme="minorHAnsi"/>
        </w:rPr>
      </w:pPr>
      <w:r w:rsidRPr="00025B9C">
        <w:rPr>
          <w:rFonts w:asciiTheme="minorHAnsi" w:hAnsiTheme="minorHAnsi" w:cstheme="minorHAnsi"/>
        </w:rPr>
        <w:t>In this section</w:t>
      </w:r>
      <w:r w:rsidR="00373CBC" w:rsidRPr="00025B9C">
        <w:rPr>
          <w:rFonts w:asciiTheme="minorHAnsi" w:hAnsiTheme="minorHAnsi" w:cstheme="minorHAnsi"/>
        </w:rPr>
        <w:t>,</w:t>
      </w:r>
      <w:r w:rsidRPr="00025B9C">
        <w:rPr>
          <w:rFonts w:asciiTheme="minorHAnsi" w:hAnsiTheme="minorHAnsi" w:cstheme="minorHAnsi"/>
        </w:rPr>
        <w:t xml:space="preserve"> </w:t>
      </w:r>
      <w:r w:rsidR="00452147" w:rsidRPr="00025B9C">
        <w:rPr>
          <w:rFonts w:asciiTheme="minorHAnsi" w:hAnsiTheme="minorHAnsi" w:cstheme="minorHAnsi"/>
        </w:rPr>
        <w:t xml:space="preserve">examples of </w:t>
      </w:r>
      <w:r w:rsidRPr="00025B9C">
        <w:rPr>
          <w:rFonts w:asciiTheme="minorHAnsi" w:hAnsiTheme="minorHAnsi" w:cstheme="minorHAnsi"/>
        </w:rPr>
        <w:t xml:space="preserve">explanations </w:t>
      </w:r>
      <w:r w:rsidR="00376FCA" w:rsidRPr="00025B9C">
        <w:rPr>
          <w:rFonts w:asciiTheme="minorHAnsi" w:hAnsiTheme="minorHAnsi" w:cstheme="minorHAnsi"/>
        </w:rPr>
        <w:t xml:space="preserve">illustrating </w:t>
      </w:r>
      <w:r w:rsidR="00373CBC" w:rsidRPr="00025B9C">
        <w:rPr>
          <w:rFonts w:asciiTheme="minorHAnsi" w:hAnsiTheme="minorHAnsi" w:cstheme="minorHAnsi"/>
        </w:rPr>
        <w:t xml:space="preserve">the </w:t>
      </w:r>
      <w:r w:rsidRPr="00025B9C">
        <w:rPr>
          <w:rFonts w:asciiTheme="minorHAnsi" w:hAnsiTheme="minorHAnsi" w:cstheme="minorHAnsi"/>
        </w:rPr>
        <w:t>typology</w:t>
      </w:r>
      <w:r w:rsidR="00376FCA" w:rsidRPr="00025B9C">
        <w:rPr>
          <w:rFonts w:asciiTheme="minorHAnsi" w:hAnsiTheme="minorHAnsi" w:cstheme="minorHAnsi"/>
        </w:rPr>
        <w:t xml:space="preserve"> are discussed</w:t>
      </w:r>
      <w:r w:rsidRPr="00025B9C">
        <w:rPr>
          <w:rFonts w:asciiTheme="minorHAnsi" w:hAnsiTheme="minorHAnsi" w:cstheme="minorHAnsi"/>
        </w:rPr>
        <w:t xml:space="preserve">. </w:t>
      </w:r>
      <w:r w:rsidR="0043480B" w:rsidRPr="00025B9C">
        <w:rPr>
          <w:rFonts w:asciiTheme="minorHAnsi" w:hAnsiTheme="minorHAnsi" w:cstheme="minorHAnsi"/>
        </w:rPr>
        <w:t xml:space="preserve">The majority of these examples </w:t>
      </w:r>
      <w:r w:rsidR="00D330EA" w:rsidRPr="00025B9C">
        <w:rPr>
          <w:rFonts w:asciiTheme="minorHAnsi" w:hAnsiTheme="minorHAnsi" w:cstheme="minorHAnsi"/>
        </w:rPr>
        <w:t xml:space="preserve">reflect </w:t>
      </w:r>
      <w:r w:rsidR="0043480B" w:rsidRPr="00025B9C">
        <w:rPr>
          <w:rFonts w:asciiTheme="minorHAnsi" w:hAnsiTheme="minorHAnsi" w:cstheme="minorHAnsi"/>
        </w:rPr>
        <w:t xml:space="preserve">the idea that </w:t>
      </w:r>
      <w:r w:rsidR="00D330EA" w:rsidRPr="00025B9C">
        <w:rPr>
          <w:rFonts w:asciiTheme="minorHAnsi" w:hAnsiTheme="minorHAnsi" w:cstheme="minorHAnsi"/>
        </w:rPr>
        <w:t xml:space="preserve">they are </w:t>
      </w:r>
      <w:r w:rsidR="0043480B" w:rsidRPr="00025B9C">
        <w:rPr>
          <w:rFonts w:asciiTheme="minorHAnsi" w:hAnsiTheme="minorHAnsi" w:cstheme="minorHAnsi"/>
        </w:rPr>
        <w:t xml:space="preserve">written so that the non-compliance explanation </w:t>
      </w:r>
      <w:r w:rsidR="00BC608F" w:rsidRPr="00025B9C">
        <w:rPr>
          <w:rFonts w:asciiTheme="minorHAnsi" w:hAnsiTheme="minorHAnsi" w:cstheme="minorHAnsi"/>
        </w:rPr>
        <w:t xml:space="preserve">either </w:t>
      </w:r>
      <w:r w:rsidR="0043480B" w:rsidRPr="00025B9C">
        <w:rPr>
          <w:rFonts w:asciiTheme="minorHAnsi" w:hAnsiTheme="minorHAnsi" w:cstheme="minorHAnsi"/>
        </w:rPr>
        <w:t>mimics compliance</w:t>
      </w:r>
      <w:r w:rsidR="00BC608F" w:rsidRPr="00025B9C">
        <w:rPr>
          <w:rFonts w:asciiTheme="minorHAnsi" w:hAnsiTheme="minorHAnsi" w:cstheme="minorHAnsi"/>
        </w:rPr>
        <w:t xml:space="preserve"> (isomorphic behaviour)</w:t>
      </w:r>
      <w:r w:rsidR="0043480B" w:rsidRPr="00025B9C">
        <w:rPr>
          <w:rFonts w:asciiTheme="minorHAnsi" w:hAnsiTheme="minorHAnsi" w:cstheme="minorHAnsi"/>
        </w:rPr>
        <w:t xml:space="preserve"> or appears </w:t>
      </w:r>
      <w:r w:rsidR="007457F4" w:rsidRPr="00025B9C">
        <w:rPr>
          <w:rFonts w:asciiTheme="minorHAnsi" w:hAnsiTheme="minorHAnsi" w:cstheme="minorHAnsi"/>
        </w:rPr>
        <w:t xml:space="preserve">even </w:t>
      </w:r>
      <w:r w:rsidR="0043480B" w:rsidRPr="00025B9C">
        <w:rPr>
          <w:rFonts w:asciiTheme="minorHAnsi" w:hAnsiTheme="minorHAnsi" w:cstheme="minorHAnsi"/>
        </w:rPr>
        <w:t>better than compliance</w:t>
      </w:r>
      <w:r w:rsidR="00BC608F" w:rsidRPr="00025B9C">
        <w:rPr>
          <w:rFonts w:asciiTheme="minorHAnsi" w:hAnsiTheme="minorHAnsi" w:cstheme="minorHAnsi"/>
        </w:rPr>
        <w:t xml:space="preserve"> (DiMaggio &amp; Powell, 1983; </w:t>
      </w:r>
      <w:proofErr w:type="spellStart"/>
      <w:r w:rsidR="00BC608F" w:rsidRPr="00025B9C">
        <w:rPr>
          <w:rFonts w:asciiTheme="minorHAnsi" w:hAnsiTheme="minorHAnsi" w:cstheme="minorHAnsi"/>
        </w:rPr>
        <w:t>Elsbach</w:t>
      </w:r>
      <w:proofErr w:type="spellEnd"/>
      <w:r w:rsidR="00BC608F" w:rsidRPr="00025B9C">
        <w:rPr>
          <w:rFonts w:asciiTheme="minorHAnsi" w:hAnsiTheme="minorHAnsi" w:cstheme="minorHAnsi"/>
        </w:rPr>
        <w:t xml:space="preserve"> &amp; Sutton, 1992) </w:t>
      </w:r>
      <w:r w:rsidR="008340B6" w:rsidRPr="00025B9C">
        <w:rPr>
          <w:rFonts w:asciiTheme="minorHAnsi" w:hAnsiTheme="minorHAnsi" w:cstheme="minorHAnsi"/>
        </w:rPr>
        <w:t>thereby ma</w:t>
      </w:r>
      <w:r w:rsidR="00BC608F" w:rsidRPr="00025B9C">
        <w:rPr>
          <w:rFonts w:asciiTheme="minorHAnsi" w:hAnsiTheme="minorHAnsi" w:cstheme="minorHAnsi"/>
        </w:rPr>
        <w:t>king the company’s approach to compliance appear legitimate</w:t>
      </w:r>
      <w:r w:rsidR="0043480B" w:rsidRPr="00025B9C">
        <w:rPr>
          <w:rFonts w:asciiTheme="minorHAnsi" w:hAnsiTheme="minorHAnsi" w:cstheme="minorHAnsi"/>
        </w:rPr>
        <w:t xml:space="preserve">. </w:t>
      </w:r>
      <w:r w:rsidR="00BC608F" w:rsidRPr="00025B9C">
        <w:rPr>
          <w:rFonts w:asciiTheme="minorHAnsi" w:hAnsiTheme="minorHAnsi" w:cstheme="minorHAnsi"/>
        </w:rPr>
        <w:t>Each category within the typology is now discussed in turn.</w:t>
      </w:r>
    </w:p>
    <w:p w:rsidR="00D330EA" w:rsidRPr="00025B9C" w:rsidRDefault="00D330EA" w:rsidP="00BC608F">
      <w:pPr>
        <w:spacing w:line="360" w:lineRule="auto"/>
        <w:jc w:val="both"/>
        <w:rPr>
          <w:rFonts w:asciiTheme="minorHAnsi" w:hAnsiTheme="minorHAnsi" w:cstheme="minorHAnsi"/>
        </w:rPr>
      </w:pPr>
    </w:p>
    <w:p w:rsidR="00C62A29" w:rsidRPr="00025B9C" w:rsidRDefault="00373CBC" w:rsidP="00A83B4A">
      <w:pPr>
        <w:keepNext/>
        <w:spacing w:line="360" w:lineRule="auto"/>
        <w:ind w:right="804"/>
        <w:jc w:val="both"/>
        <w:rPr>
          <w:rFonts w:asciiTheme="minorHAnsi" w:hAnsiTheme="minorHAnsi" w:cstheme="minorHAnsi"/>
          <w:sz w:val="20"/>
          <w:szCs w:val="20"/>
        </w:rPr>
      </w:pPr>
      <w:r w:rsidRPr="00025B9C">
        <w:rPr>
          <w:rFonts w:asciiTheme="minorHAnsi" w:hAnsiTheme="minorHAnsi" w:cstheme="minorHAnsi"/>
          <w:u w:val="single"/>
        </w:rPr>
        <w:t>1</w:t>
      </w:r>
      <w:r w:rsidR="00DC0BB5" w:rsidRPr="00025B9C">
        <w:rPr>
          <w:rFonts w:asciiTheme="minorHAnsi" w:hAnsiTheme="minorHAnsi" w:cstheme="minorHAnsi"/>
          <w:u w:val="single"/>
        </w:rPr>
        <w:t xml:space="preserve">. </w:t>
      </w:r>
      <w:r w:rsidR="00BA6ABE" w:rsidRPr="00025B9C">
        <w:rPr>
          <w:rFonts w:asciiTheme="minorHAnsi" w:hAnsiTheme="minorHAnsi" w:cstheme="minorHAnsi"/>
          <w:u w:val="single"/>
        </w:rPr>
        <w:t>Corrective action</w:t>
      </w:r>
    </w:p>
    <w:p w:rsidR="00533A30" w:rsidRPr="00025B9C" w:rsidRDefault="00BA6ABE" w:rsidP="00A83B4A">
      <w:pPr>
        <w:keepNext/>
        <w:spacing w:line="360" w:lineRule="auto"/>
        <w:jc w:val="both"/>
        <w:rPr>
          <w:rFonts w:asciiTheme="minorHAnsi" w:hAnsiTheme="minorHAnsi" w:cstheme="minorHAnsi"/>
        </w:rPr>
      </w:pPr>
      <w:r w:rsidRPr="00025B9C">
        <w:rPr>
          <w:rFonts w:asciiTheme="minorHAnsi" w:hAnsiTheme="minorHAnsi" w:cstheme="minorHAnsi"/>
        </w:rPr>
        <w:t>Corrective action</w:t>
      </w:r>
      <w:r w:rsidR="005E54AA" w:rsidRPr="00025B9C">
        <w:rPr>
          <w:rFonts w:asciiTheme="minorHAnsi" w:hAnsiTheme="minorHAnsi" w:cstheme="minorHAnsi"/>
        </w:rPr>
        <w:t xml:space="preserve"> </w:t>
      </w:r>
      <w:r w:rsidR="00186D49" w:rsidRPr="00025B9C">
        <w:rPr>
          <w:rFonts w:asciiTheme="minorHAnsi" w:hAnsiTheme="minorHAnsi" w:cstheme="minorHAnsi"/>
        </w:rPr>
        <w:t>is</w:t>
      </w:r>
      <w:r w:rsidR="001F7DD5" w:rsidRPr="00025B9C">
        <w:rPr>
          <w:rFonts w:asciiTheme="minorHAnsi" w:hAnsiTheme="minorHAnsi" w:cstheme="minorHAnsi"/>
        </w:rPr>
        <w:t xml:space="preserve"> a</w:t>
      </w:r>
      <w:r w:rsidR="00186D49" w:rsidRPr="00025B9C">
        <w:rPr>
          <w:rFonts w:asciiTheme="minorHAnsi" w:hAnsiTheme="minorHAnsi" w:cstheme="minorHAnsi"/>
        </w:rPr>
        <w:t>n</w:t>
      </w:r>
      <w:r w:rsidR="002D047B" w:rsidRPr="00025B9C">
        <w:rPr>
          <w:rFonts w:asciiTheme="minorHAnsi" w:hAnsiTheme="minorHAnsi" w:cstheme="minorHAnsi"/>
        </w:rPr>
        <w:t xml:space="preserve"> </w:t>
      </w:r>
      <w:r w:rsidR="005E54AA" w:rsidRPr="00025B9C">
        <w:rPr>
          <w:rFonts w:asciiTheme="minorHAnsi" w:hAnsiTheme="minorHAnsi" w:cstheme="minorHAnsi"/>
        </w:rPr>
        <w:t xml:space="preserve">effective </w:t>
      </w:r>
      <w:r w:rsidR="00221DC3" w:rsidRPr="00025B9C">
        <w:rPr>
          <w:rFonts w:asciiTheme="minorHAnsi" w:hAnsiTheme="minorHAnsi" w:cstheme="minorHAnsi"/>
        </w:rPr>
        <w:t xml:space="preserve">and convincing </w:t>
      </w:r>
      <w:r w:rsidR="00431735" w:rsidRPr="00025B9C">
        <w:rPr>
          <w:rFonts w:asciiTheme="minorHAnsi" w:hAnsiTheme="minorHAnsi" w:cstheme="minorHAnsi"/>
        </w:rPr>
        <w:t xml:space="preserve">rhetorical </w:t>
      </w:r>
      <w:r w:rsidR="005E54AA" w:rsidRPr="00025B9C">
        <w:rPr>
          <w:rFonts w:asciiTheme="minorHAnsi" w:hAnsiTheme="minorHAnsi" w:cstheme="minorHAnsi"/>
        </w:rPr>
        <w:t>strategy</w:t>
      </w:r>
      <w:r w:rsidR="002D047B" w:rsidRPr="00025B9C">
        <w:rPr>
          <w:rFonts w:asciiTheme="minorHAnsi" w:hAnsiTheme="minorHAnsi" w:cstheme="minorHAnsi"/>
        </w:rPr>
        <w:t xml:space="preserve"> (Benoit, 1995)</w:t>
      </w:r>
      <w:r w:rsidR="005E54AA" w:rsidRPr="00025B9C">
        <w:rPr>
          <w:rFonts w:asciiTheme="minorHAnsi" w:hAnsiTheme="minorHAnsi" w:cstheme="minorHAnsi"/>
        </w:rPr>
        <w:t xml:space="preserve"> </w:t>
      </w:r>
      <w:r w:rsidR="00224EAB" w:rsidRPr="00025B9C">
        <w:rPr>
          <w:rFonts w:asciiTheme="minorHAnsi" w:hAnsiTheme="minorHAnsi" w:cstheme="minorHAnsi"/>
        </w:rPr>
        <w:t>if it is utiliz</w:t>
      </w:r>
      <w:r w:rsidR="006344C2" w:rsidRPr="00025B9C">
        <w:rPr>
          <w:rFonts w:asciiTheme="minorHAnsi" w:hAnsiTheme="minorHAnsi" w:cstheme="minorHAnsi"/>
        </w:rPr>
        <w:t xml:space="preserve">ed </w:t>
      </w:r>
      <w:r w:rsidR="00A15F16" w:rsidRPr="00025B9C">
        <w:rPr>
          <w:rFonts w:asciiTheme="minorHAnsi" w:hAnsiTheme="minorHAnsi" w:cstheme="minorHAnsi"/>
        </w:rPr>
        <w:t>in the form</w:t>
      </w:r>
      <w:r w:rsidR="006344C2" w:rsidRPr="00025B9C">
        <w:rPr>
          <w:rFonts w:asciiTheme="minorHAnsi" w:hAnsiTheme="minorHAnsi" w:cstheme="minorHAnsi"/>
        </w:rPr>
        <w:t xml:space="preserve"> of </w:t>
      </w:r>
      <w:r w:rsidR="007703FB" w:rsidRPr="00025B9C">
        <w:rPr>
          <w:rFonts w:asciiTheme="minorHAnsi" w:hAnsiTheme="minorHAnsi" w:cstheme="minorHAnsi"/>
        </w:rPr>
        <w:t>a statement such as</w:t>
      </w:r>
      <w:r w:rsidR="001F7DD5" w:rsidRPr="00025B9C">
        <w:rPr>
          <w:rFonts w:asciiTheme="minorHAnsi" w:hAnsiTheme="minorHAnsi" w:cstheme="minorHAnsi"/>
        </w:rPr>
        <w:t xml:space="preserve"> </w:t>
      </w:r>
      <w:r w:rsidR="003A0852" w:rsidRPr="00025B9C">
        <w:rPr>
          <w:rFonts w:asciiTheme="minorHAnsi" w:hAnsiTheme="minorHAnsi" w:cstheme="minorHAnsi"/>
        </w:rPr>
        <w:t>‘</w:t>
      </w:r>
      <w:r w:rsidR="001F7DD5" w:rsidRPr="00025B9C">
        <w:rPr>
          <w:rFonts w:asciiTheme="minorHAnsi" w:hAnsiTheme="minorHAnsi" w:cstheme="minorHAnsi"/>
        </w:rPr>
        <w:t>t</w:t>
      </w:r>
      <w:r w:rsidR="005E54AA" w:rsidRPr="00025B9C">
        <w:rPr>
          <w:rFonts w:asciiTheme="minorHAnsi" w:hAnsiTheme="minorHAnsi" w:cstheme="minorHAnsi"/>
        </w:rPr>
        <w:t>he problem has been resolved or is to be resolved</w:t>
      </w:r>
      <w:r w:rsidR="003A0852" w:rsidRPr="00025B9C">
        <w:rPr>
          <w:rFonts w:asciiTheme="minorHAnsi" w:hAnsiTheme="minorHAnsi" w:cstheme="minorHAnsi"/>
        </w:rPr>
        <w:t>’</w:t>
      </w:r>
      <w:r w:rsidR="00972A37" w:rsidRPr="00025B9C">
        <w:rPr>
          <w:rFonts w:asciiTheme="minorHAnsi" w:hAnsiTheme="minorHAnsi" w:cstheme="minorHAnsi"/>
        </w:rPr>
        <w:t>.</w:t>
      </w:r>
      <w:r w:rsidR="005E54AA" w:rsidRPr="00025B9C">
        <w:rPr>
          <w:rFonts w:asciiTheme="minorHAnsi" w:hAnsiTheme="minorHAnsi" w:cstheme="minorHAnsi"/>
        </w:rPr>
        <w:t xml:space="preserve"> Most problems in life seem less concerning when the prom</w:t>
      </w:r>
      <w:r w:rsidR="00435F53" w:rsidRPr="00025B9C">
        <w:rPr>
          <w:rFonts w:asciiTheme="minorHAnsi" w:hAnsiTheme="minorHAnsi" w:cstheme="minorHAnsi"/>
        </w:rPr>
        <w:t>ise of restitution is provided.</w:t>
      </w:r>
      <w:r w:rsidR="005E54AA" w:rsidRPr="00025B9C">
        <w:rPr>
          <w:rFonts w:asciiTheme="minorHAnsi" w:hAnsiTheme="minorHAnsi" w:cstheme="minorHAnsi"/>
        </w:rPr>
        <w:t xml:space="preserve"> </w:t>
      </w:r>
      <w:r w:rsidR="007457F4" w:rsidRPr="00025B9C">
        <w:rPr>
          <w:rFonts w:asciiTheme="minorHAnsi" w:hAnsiTheme="minorHAnsi" w:cstheme="minorHAnsi"/>
        </w:rPr>
        <w:t xml:space="preserve">Corrective action is very powerful in mimicking compliance because it implies that compliance is </w:t>
      </w:r>
      <w:r w:rsidR="00B85406" w:rsidRPr="00025B9C">
        <w:rPr>
          <w:rFonts w:asciiTheme="minorHAnsi" w:hAnsiTheme="minorHAnsi" w:cstheme="minorHAnsi"/>
        </w:rPr>
        <w:t xml:space="preserve">already </w:t>
      </w:r>
      <w:r w:rsidR="007457F4" w:rsidRPr="00025B9C">
        <w:rPr>
          <w:rFonts w:asciiTheme="minorHAnsi" w:hAnsiTheme="minorHAnsi" w:cstheme="minorHAnsi"/>
        </w:rPr>
        <w:t xml:space="preserve">achieved or about to be achieved. The problem is resolved and </w:t>
      </w:r>
      <w:r w:rsidR="00533A30" w:rsidRPr="00025B9C">
        <w:rPr>
          <w:rFonts w:asciiTheme="minorHAnsi" w:hAnsiTheme="minorHAnsi" w:cstheme="minorHAnsi"/>
        </w:rPr>
        <w:t>the company’s approach appears legitimate</w:t>
      </w:r>
      <w:r w:rsidR="007457F4" w:rsidRPr="00025B9C">
        <w:rPr>
          <w:rFonts w:asciiTheme="minorHAnsi" w:hAnsiTheme="minorHAnsi" w:cstheme="minorHAnsi"/>
        </w:rPr>
        <w:t xml:space="preserve">. </w:t>
      </w:r>
      <w:r w:rsidR="001B1771" w:rsidRPr="00025B9C">
        <w:rPr>
          <w:rFonts w:asciiTheme="minorHAnsi" w:hAnsiTheme="minorHAnsi" w:cstheme="minorHAnsi"/>
        </w:rPr>
        <w:t>However</w:t>
      </w:r>
      <w:r w:rsidR="00FA0E01" w:rsidRPr="00025B9C">
        <w:rPr>
          <w:rFonts w:asciiTheme="minorHAnsi" w:hAnsiTheme="minorHAnsi" w:cstheme="minorHAnsi"/>
        </w:rPr>
        <w:t>, when used alone</w:t>
      </w:r>
      <w:r w:rsidR="00F54EFA" w:rsidRPr="00025B9C">
        <w:rPr>
          <w:rFonts w:asciiTheme="minorHAnsi" w:hAnsiTheme="minorHAnsi" w:cstheme="minorHAnsi"/>
        </w:rPr>
        <w:t>,</w:t>
      </w:r>
      <w:r w:rsidR="009322F8" w:rsidRPr="00025B9C">
        <w:rPr>
          <w:rFonts w:asciiTheme="minorHAnsi" w:hAnsiTheme="minorHAnsi" w:cstheme="minorHAnsi"/>
        </w:rPr>
        <w:t xml:space="preserve"> </w:t>
      </w:r>
      <w:r w:rsidRPr="00025B9C">
        <w:rPr>
          <w:rFonts w:asciiTheme="minorHAnsi" w:hAnsiTheme="minorHAnsi" w:cstheme="minorHAnsi"/>
        </w:rPr>
        <w:t>corrective action</w:t>
      </w:r>
      <w:r w:rsidR="00FA0E01" w:rsidRPr="00025B9C">
        <w:rPr>
          <w:rFonts w:asciiTheme="minorHAnsi" w:hAnsiTheme="minorHAnsi" w:cstheme="minorHAnsi"/>
        </w:rPr>
        <w:t xml:space="preserve"> </w:t>
      </w:r>
      <w:r w:rsidR="007457F4" w:rsidRPr="00025B9C">
        <w:rPr>
          <w:rFonts w:asciiTheme="minorHAnsi" w:hAnsiTheme="minorHAnsi" w:cstheme="minorHAnsi"/>
        </w:rPr>
        <w:t xml:space="preserve">provides an </w:t>
      </w:r>
      <w:r w:rsidR="00FA0E01" w:rsidRPr="00025B9C">
        <w:rPr>
          <w:rFonts w:asciiTheme="minorHAnsi" w:hAnsiTheme="minorHAnsi" w:cstheme="minorHAnsi"/>
        </w:rPr>
        <w:t>incomplete</w:t>
      </w:r>
      <w:r w:rsidR="002C2D35" w:rsidRPr="00025B9C">
        <w:rPr>
          <w:rFonts w:asciiTheme="minorHAnsi" w:hAnsiTheme="minorHAnsi" w:cstheme="minorHAnsi"/>
        </w:rPr>
        <w:t xml:space="preserve"> </w:t>
      </w:r>
      <w:r w:rsidR="007457F4" w:rsidRPr="00025B9C">
        <w:rPr>
          <w:rFonts w:asciiTheme="minorHAnsi" w:hAnsiTheme="minorHAnsi" w:cstheme="minorHAnsi"/>
        </w:rPr>
        <w:t xml:space="preserve">picture of compliance </w:t>
      </w:r>
      <w:r w:rsidR="002C2D35" w:rsidRPr="00025B9C">
        <w:rPr>
          <w:rFonts w:asciiTheme="minorHAnsi" w:hAnsiTheme="minorHAnsi" w:cstheme="minorHAnsi"/>
        </w:rPr>
        <w:t xml:space="preserve">because questions remain. </w:t>
      </w:r>
      <w:r w:rsidR="00BD5D42" w:rsidRPr="00025B9C">
        <w:rPr>
          <w:rFonts w:asciiTheme="minorHAnsi" w:hAnsiTheme="minorHAnsi" w:cstheme="minorHAnsi"/>
        </w:rPr>
        <w:t>Readers</w:t>
      </w:r>
      <w:r w:rsidR="002C2D35" w:rsidRPr="00025B9C">
        <w:rPr>
          <w:rFonts w:asciiTheme="minorHAnsi" w:hAnsiTheme="minorHAnsi" w:cstheme="minorHAnsi"/>
        </w:rPr>
        <w:t xml:space="preserve"> need to know why the non-compliance occurred, was any damage caused in the meantime and is it likely to re</w:t>
      </w:r>
      <w:r w:rsidR="00BD5D42" w:rsidRPr="00025B9C">
        <w:rPr>
          <w:rFonts w:asciiTheme="minorHAnsi" w:hAnsiTheme="minorHAnsi" w:cstheme="minorHAnsi"/>
        </w:rPr>
        <w:t>-</w:t>
      </w:r>
      <w:r w:rsidR="002C2D35" w:rsidRPr="00025B9C">
        <w:rPr>
          <w:rFonts w:asciiTheme="minorHAnsi" w:hAnsiTheme="minorHAnsi" w:cstheme="minorHAnsi"/>
        </w:rPr>
        <w:t xml:space="preserve">occur? </w:t>
      </w:r>
      <w:r w:rsidR="00CC1611" w:rsidRPr="00025B9C">
        <w:rPr>
          <w:rFonts w:asciiTheme="minorHAnsi" w:hAnsiTheme="minorHAnsi" w:cstheme="minorHAnsi"/>
        </w:rPr>
        <w:t>If</w:t>
      </w:r>
      <w:r w:rsidR="00A15F16" w:rsidRPr="00025B9C">
        <w:rPr>
          <w:rFonts w:asciiTheme="minorHAnsi" w:hAnsiTheme="minorHAnsi" w:cstheme="minorHAnsi"/>
        </w:rPr>
        <w:t>,</w:t>
      </w:r>
      <w:r w:rsidR="00CC1611" w:rsidRPr="00025B9C">
        <w:rPr>
          <w:rFonts w:asciiTheme="minorHAnsi" w:hAnsiTheme="minorHAnsi" w:cstheme="minorHAnsi"/>
        </w:rPr>
        <w:t xml:space="preserve"> </w:t>
      </w:r>
      <w:r w:rsidR="002D047B" w:rsidRPr="00025B9C">
        <w:rPr>
          <w:rFonts w:asciiTheme="minorHAnsi" w:hAnsiTheme="minorHAnsi" w:cstheme="minorHAnsi"/>
        </w:rPr>
        <w:t xml:space="preserve">however, </w:t>
      </w:r>
      <w:r w:rsidR="00CC1611" w:rsidRPr="00025B9C">
        <w:rPr>
          <w:rFonts w:asciiTheme="minorHAnsi" w:hAnsiTheme="minorHAnsi" w:cstheme="minorHAnsi"/>
        </w:rPr>
        <w:t>a company genuinely believes it should not comply with the Code</w:t>
      </w:r>
      <w:r w:rsidR="006F3195" w:rsidRPr="00025B9C">
        <w:rPr>
          <w:rFonts w:asciiTheme="minorHAnsi" w:hAnsiTheme="minorHAnsi" w:cstheme="minorHAnsi"/>
        </w:rPr>
        <w:t xml:space="preserve"> and</w:t>
      </w:r>
      <w:r w:rsidR="009657AA" w:rsidRPr="00025B9C">
        <w:rPr>
          <w:rFonts w:asciiTheme="minorHAnsi" w:hAnsiTheme="minorHAnsi" w:cstheme="minorHAnsi"/>
        </w:rPr>
        <w:t xml:space="preserve"> non-compliance with the C</w:t>
      </w:r>
      <w:r w:rsidR="00BD5D42" w:rsidRPr="00025B9C">
        <w:rPr>
          <w:rFonts w:asciiTheme="minorHAnsi" w:hAnsiTheme="minorHAnsi" w:cstheme="minorHAnsi"/>
        </w:rPr>
        <w:t>ode is best for the company,</w:t>
      </w:r>
      <w:r w:rsidR="00CC1611" w:rsidRPr="00025B9C">
        <w:rPr>
          <w:rFonts w:asciiTheme="minorHAnsi" w:hAnsiTheme="minorHAnsi" w:cstheme="minorHAnsi"/>
        </w:rPr>
        <w:t xml:space="preserve"> then </w:t>
      </w:r>
      <w:r w:rsidRPr="00025B9C">
        <w:rPr>
          <w:rFonts w:asciiTheme="minorHAnsi" w:hAnsiTheme="minorHAnsi" w:cstheme="minorHAnsi"/>
        </w:rPr>
        <w:t>corrective action</w:t>
      </w:r>
      <w:r w:rsidR="007703FB" w:rsidRPr="00025B9C">
        <w:rPr>
          <w:rFonts w:asciiTheme="minorHAnsi" w:hAnsiTheme="minorHAnsi" w:cstheme="minorHAnsi"/>
        </w:rPr>
        <w:t xml:space="preserve"> </w:t>
      </w:r>
      <w:r w:rsidR="00F54EFA" w:rsidRPr="00025B9C">
        <w:rPr>
          <w:rFonts w:asciiTheme="minorHAnsi" w:hAnsiTheme="minorHAnsi" w:cstheme="minorHAnsi"/>
        </w:rPr>
        <w:t xml:space="preserve">is </w:t>
      </w:r>
      <w:r w:rsidR="00221DC3" w:rsidRPr="00025B9C">
        <w:rPr>
          <w:rFonts w:asciiTheme="minorHAnsi" w:hAnsiTheme="minorHAnsi" w:cstheme="minorHAnsi"/>
        </w:rPr>
        <w:t>inconsistent with that view</w:t>
      </w:r>
      <w:r w:rsidR="002D047B" w:rsidRPr="00025B9C">
        <w:rPr>
          <w:rFonts w:asciiTheme="minorHAnsi" w:hAnsiTheme="minorHAnsi" w:cstheme="minorHAnsi"/>
        </w:rPr>
        <w:t>.</w:t>
      </w:r>
      <w:r w:rsidR="00BD5D42" w:rsidRPr="00025B9C">
        <w:rPr>
          <w:rFonts w:asciiTheme="minorHAnsi" w:hAnsiTheme="minorHAnsi" w:cstheme="minorHAnsi"/>
        </w:rPr>
        <w:t xml:space="preserve"> </w:t>
      </w:r>
      <w:r w:rsidR="009215DD" w:rsidRPr="00025B9C">
        <w:rPr>
          <w:rFonts w:asciiTheme="minorHAnsi" w:hAnsiTheme="minorHAnsi" w:cstheme="minorHAnsi"/>
        </w:rPr>
        <w:t xml:space="preserve">Corrective action acknowledges that an issue exists. </w:t>
      </w:r>
      <w:r w:rsidR="00D038DB" w:rsidRPr="00025B9C">
        <w:rPr>
          <w:rFonts w:asciiTheme="minorHAnsi" w:hAnsiTheme="minorHAnsi" w:cstheme="minorHAnsi"/>
        </w:rPr>
        <w:t xml:space="preserve">Four sub-categories of </w:t>
      </w:r>
      <w:r w:rsidRPr="00025B9C">
        <w:rPr>
          <w:rFonts w:asciiTheme="minorHAnsi" w:hAnsiTheme="minorHAnsi" w:cstheme="minorHAnsi"/>
        </w:rPr>
        <w:t>corrective action</w:t>
      </w:r>
      <w:r w:rsidR="005A6B5C" w:rsidRPr="00025B9C">
        <w:rPr>
          <w:rFonts w:asciiTheme="minorHAnsi" w:hAnsiTheme="minorHAnsi" w:cstheme="minorHAnsi"/>
        </w:rPr>
        <w:t xml:space="preserve"> </w:t>
      </w:r>
      <w:r w:rsidR="00376FCA" w:rsidRPr="00025B9C">
        <w:rPr>
          <w:rFonts w:asciiTheme="minorHAnsi" w:hAnsiTheme="minorHAnsi" w:cstheme="minorHAnsi"/>
        </w:rPr>
        <w:t xml:space="preserve">are included in </w:t>
      </w:r>
      <w:r w:rsidR="00716D0C" w:rsidRPr="00025B9C">
        <w:rPr>
          <w:rFonts w:asciiTheme="minorHAnsi" w:hAnsiTheme="minorHAnsi" w:cstheme="minorHAnsi"/>
        </w:rPr>
        <w:t>our</w:t>
      </w:r>
      <w:r w:rsidR="00376FCA" w:rsidRPr="00025B9C">
        <w:rPr>
          <w:rFonts w:asciiTheme="minorHAnsi" w:hAnsiTheme="minorHAnsi" w:cstheme="minorHAnsi"/>
        </w:rPr>
        <w:t xml:space="preserve"> typology: (1</w:t>
      </w:r>
      <w:r w:rsidR="005A6B5C" w:rsidRPr="00025B9C">
        <w:rPr>
          <w:rFonts w:asciiTheme="minorHAnsi" w:hAnsiTheme="minorHAnsi" w:cstheme="minorHAnsi"/>
        </w:rPr>
        <w:t xml:space="preserve">a) </w:t>
      </w:r>
      <w:r w:rsidRPr="00025B9C">
        <w:rPr>
          <w:rFonts w:asciiTheme="minorHAnsi" w:hAnsiTheme="minorHAnsi" w:cstheme="minorHAnsi"/>
        </w:rPr>
        <w:t>Corrective action</w:t>
      </w:r>
      <w:r w:rsidR="005A6B5C" w:rsidRPr="00025B9C">
        <w:rPr>
          <w:rFonts w:asciiTheme="minorHAnsi" w:hAnsiTheme="minorHAnsi" w:cstheme="minorHAnsi"/>
        </w:rPr>
        <w:t xml:space="preserve"> already taken</w:t>
      </w:r>
      <w:r w:rsidR="00376FCA" w:rsidRPr="00025B9C">
        <w:rPr>
          <w:rFonts w:asciiTheme="minorHAnsi" w:hAnsiTheme="minorHAnsi" w:cstheme="minorHAnsi"/>
        </w:rPr>
        <w:t>; (1</w:t>
      </w:r>
      <w:r w:rsidR="005A6B5C" w:rsidRPr="00025B9C">
        <w:rPr>
          <w:rFonts w:asciiTheme="minorHAnsi" w:hAnsiTheme="minorHAnsi" w:cstheme="minorHAnsi"/>
        </w:rPr>
        <w:t xml:space="preserve">b) </w:t>
      </w:r>
      <w:r w:rsidRPr="00025B9C">
        <w:rPr>
          <w:rFonts w:asciiTheme="minorHAnsi" w:hAnsiTheme="minorHAnsi" w:cstheme="minorHAnsi"/>
        </w:rPr>
        <w:t>Corrective action</w:t>
      </w:r>
      <w:r w:rsidR="005A6B5C" w:rsidRPr="00025B9C">
        <w:rPr>
          <w:rFonts w:asciiTheme="minorHAnsi" w:hAnsiTheme="minorHAnsi" w:cstheme="minorHAnsi"/>
        </w:rPr>
        <w:t xml:space="preserve"> to be taken </w:t>
      </w:r>
      <w:r w:rsidR="006F3195" w:rsidRPr="00025B9C">
        <w:rPr>
          <w:rFonts w:asciiTheme="minorHAnsi" w:hAnsiTheme="minorHAnsi" w:cstheme="minorHAnsi"/>
        </w:rPr>
        <w:t>(</w:t>
      </w:r>
      <w:r w:rsidR="005A6B5C" w:rsidRPr="00025B9C">
        <w:rPr>
          <w:rFonts w:asciiTheme="minorHAnsi" w:hAnsiTheme="minorHAnsi" w:cstheme="minorHAnsi"/>
        </w:rPr>
        <w:t>with clear timescales</w:t>
      </w:r>
      <w:r w:rsidR="006F3195" w:rsidRPr="00025B9C">
        <w:rPr>
          <w:rFonts w:asciiTheme="minorHAnsi" w:hAnsiTheme="minorHAnsi" w:cstheme="minorHAnsi"/>
        </w:rPr>
        <w:t>)</w:t>
      </w:r>
      <w:r w:rsidR="00FB127D" w:rsidRPr="00025B9C">
        <w:rPr>
          <w:rFonts w:asciiTheme="minorHAnsi" w:hAnsiTheme="minorHAnsi" w:cstheme="minorHAnsi"/>
        </w:rPr>
        <w:t>;</w:t>
      </w:r>
      <w:r w:rsidR="00376FCA" w:rsidRPr="00025B9C">
        <w:rPr>
          <w:rFonts w:asciiTheme="minorHAnsi" w:hAnsiTheme="minorHAnsi" w:cstheme="minorHAnsi"/>
        </w:rPr>
        <w:t xml:space="preserve"> (1</w:t>
      </w:r>
      <w:r w:rsidR="005A6B5C" w:rsidRPr="00025B9C">
        <w:rPr>
          <w:rFonts w:asciiTheme="minorHAnsi" w:hAnsiTheme="minorHAnsi" w:cstheme="minorHAnsi"/>
        </w:rPr>
        <w:t xml:space="preserve">c) The promise of </w:t>
      </w:r>
      <w:r w:rsidRPr="00025B9C">
        <w:rPr>
          <w:rFonts w:asciiTheme="minorHAnsi" w:hAnsiTheme="minorHAnsi" w:cstheme="minorHAnsi"/>
        </w:rPr>
        <w:t>corrective action</w:t>
      </w:r>
      <w:r w:rsidR="005A6B5C" w:rsidRPr="00025B9C">
        <w:rPr>
          <w:rFonts w:asciiTheme="minorHAnsi" w:hAnsiTheme="minorHAnsi" w:cstheme="minorHAnsi"/>
        </w:rPr>
        <w:t xml:space="preserve"> in the future (without </w:t>
      </w:r>
      <w:r w:rsidR="006F3195" w:rsidRPr="00025B9C">
        <w:rPr>
          <w:rFonts w:asciiTheme="minorHAnsi" w:hAnsiTheme="minorHAnsi" w:cstheme="minorHAnsi"/>
        </w:rPr>
        <w:t xml:space="preserve">clear </w:t>
      </w:r>
      <w:r w:rsidR="005A6B5C" w:rsidRPr="00025B9C">
        <w:rPr>
          <w:rFonts w:asciiTheme="minorHAnsi" w:hAnsiTheme="minorHAnsi" w:cstheme="minorHAnsi"/>
        </w:rPr>
        <w:t>timescales)</w:t>
      </w:r>
      <w:r w:rsidR="00376FCA" w:rsidRPr="00025B9C">
        <w:rPr>
          <w:rFonts w:asciiTheme="minorHAnsi" w:hAnsiTheme="minorHAnsi" w:cstheme="minorHAnsi"/>
        </w:rPr>
        <w:t>; (1</w:t>
      </w:r>
      <w:r w:rsidR="005A6B5C" w:rsidRPr="00025B9C">
        <w:rPr>
          <w:rFonts w:asciiTheme="minorHAnsi" w:hAnsiTheme="minorHAnsi" w:cstheme="minorHAnsi"/>
        </w:rPr>
        <w:t xml:space="preserve">d) The promise to keep the need for </w:t>
      </w:r>
      <w:r w:rsidRPr="00025B9C">
        <w:rPr>
          <w:rFonts w:asciiTheme="minorHAnsi" w:hAnsiTheme="minorHAnsi" w:cstheme="minorHAnsi"/>
        </w:rPr>
        <w:t>corrective action</w:t>
      </w:r>
      <w:r w:rsidR="001B1771" w:rsidRPr="00025B9C">
        <w:rPr>
          <w:rFonts w:asciiTheme="minorHAnsi" w:hAnsiTheme="minorHAnsi" w:cstheme="minorHAnsi"/>
        </w:rPr>
        <w:t xml:space="preserve"> under review.</w:t>
      </w:r>
      <w:r w:rsidR="005A6B5C" w:rsidRPr="00025B9C">
        <w:rPr>
          <w:rFonts w:asciiTheme="minorHAnsi" w:hAnsiTheme="minorHAnsi" w:cstheme="minorHAnsi"/>
        </w:rPr>
        <w:t xml:space="preserve"> </w:t>
      </w:r>
      <w:r w:rsidR="006F3195" w:rsidRPr="00025B9C">
        <w:rPr>
          <w:rFonts w:asciiTheme="minorHAnsi" w:hAnsiTheme="minorHAnsi" w:cstheme="minorHAnsi"/>
        </w:rPr>
        <w:t xml:space="preserve">In </w:t>
      </w:r>
      <w:r w:rsidR="00FB127D" w:rsidRPr="00025B9C">
        <w:rPr>
          <w:rFonts w:asciiTheme="minorHAnsi" w:hAnsiTheme="minorHAnsi" w:cstheme="minorHAnsi"/>
        </w:rPr>
        <w:t>1d</w:t>
      </w:r>
      <w:r w:rsidR="006F3195" w:rsidRPr="00025B9C">
        <w:rPr>
          <w:rFonts w:asciiTheme="minorHAnsi" w:hAnsiTheme="minorHAnsi" w:cstheme="minorHAnsi"/>
        </w:rPr>
        <w:t>, r</w:t>
      </w:r>
      <w:r w:rsidR="005A6B5C" w:rsidRPr="00025B9C">
        <w:rPr>
          <w:rFonts w:asciiTheme="minorHAnsi" w:hAnsiTheme="minorHAnsi" w:cstheme="minorHAnsi"/>
        </w:rPr>
        <w:t xml:space="preserve">eaders will not know whether the directors </w:t>
      </w:r>
      <w:r w:rsidR="00197AE0" w:rsidRPr="00025B9C">
        <w:rPr>
          <w:rFonts w:asciiTheme="minorHAnsi" w:hAnsiTheme="minorHAnsi" w:cstheme="minorHAnsi"/>
        </w:rPr>
        <w:t>dis</w:t>
      </w:r>
      <w:r w:rsidR="005A6B5C" w:rsidRPr="00025B9C">
        <w:rPr>
          <w:rFonts w:asciiTheme="minorHAnsi" w:hAnsiTheme="minorHAnsi" w:cstheme="minorHAnsi"/>
        </w:rPr>
        <w:t>agree with the Code or simply do not feel the need to comply.</w:t>
      </w:r>
      <w:r w:rsidR="00CC39E9" w:rsidRPr="00025B9C">
        <w:rPr>
          <w:rFonts w:asciiTheme="minorHAnsi" w:hAnsiTheme="minorHAnsi" w:cstheme="minorHAnsi"/>
        </w:rPr>
        <w:t xml:space="preserve"> </w:t>
      </w:r>
    </w:p>
    <w:p w:rsidR="00533A30" w:rsidRPr="00025B9C" w:rsidRDefault="00533A30" w:rsidP="00A83B4A">
      <w:pPr>
        <w:keepNext/>
        <w:spacing w:line="360" w:lineRule="auto"/>
        <w:jc w:val="both"/>
        <w:rPr>
          <w:rFonts w:asciiTheme="minorHAnsi" w:hAnsiTheme="minorHAnsi" w:cstheme="minorHAnsi"/>
        </w:rPr>
      </w:pPr>
    </w:p>
    <w:p w:rsidR="00126EF3" w:rsidRPr="00025B9C" w:rsidRDefault="00533A30" w:rsidP="00A83B4A">
      <w:pPr>
        <w:keepNext/>
        <w:spacing w:line="360" w:lineRule="auto"/>
        <w:jc w:val="both"/>
        <w:rPr>
          <w:rFonts w:asciiTheme="minorHAnsi" w:hAnsiTheme="minorHAnsi" w:cstheme="minorHAnsi"/>
        </w:rPr>
      </w:pPr>
      <w:r w:rsidRPr="00025B9C">
        <w:rPr>
          <w:rFonts w:asciiTheme="minorHAnsi" w:hAnsiTheme="minorHAnsi" w:cstheme="minorHAnsi"/>
        </w:rPr>
        <w:t>I</w:t>
      </w:r>
      <w:r w:rsidR="00DB21BA" w:rsidRPr="00025B9C">
        <w:rPr>
          <w:rFonts w:asciiTheme="minorHAnsi" w:hAnsiTheme="minorHAnsi" w:cstheme="minorHAnsi"/>
        </w:rPr>
        <w:t>n Example 1a</w:t>
      </w:r>
      <w:r w:rsidR="00197AE0" w:rsidRPr="00025B9C">
        <w:rPr>
          <w:rFonts w:asciiTheme="minorHAnsi" w:hAnsiTheme="minorHAnsi" w:cstheme="minorHAnsi"/>
        </w:rPr>
        <w:t>,</w:t>
      </w:r>
      <w:r w:rsidRPr="00025B9C">
        <w:rPr>
          <w:rFonts w:asciiTheme="minorHAnsi" w:hAnsiTheme="minorHAnsi" w:cstheme="minorHAnsi"/>
        </w:rPr>
        <w:t xml:space="preserve"> a full and clear explanation is provided by Tesco,</w:t>
      </w:r>
      <w:r w:rsidR="004331A6" w:rsidRPr="00025B9C">
        <w:rPr>
          <w:rFonts w:asciiTheme="minorHAnsi" w:hAnsiTheme="minorHAnsi" w:cstheme="minorHAnsi"/>
        </w:rPr>
        <w:t xml:space="preserve"> </w:t>
      </w:r>
      <w:r w:rsidR="005C3273" w:rsidRPr="00025B9C">
        <w:rPr>
          <w:rFonts w:asciiTheme="minorHAnsi" w:hAnsiTheme="minorHAnsi" w:cstheme="minorHAnsi"/>
        </w:rPr>
        <w:t>in that it includes the C</w:t>
      </w:r>
      <w:r w:rsidR="00306DBE" w:rsidRPr="00025B9C">
        <w:rPr>
          <w:rFonts w:asciiTheme="minorHAnsi" w:hAnsiTheme="minorHAnsi" w:cstheme="minorHAnsi"/>
        </w:rPr>
        <w:t xml:space="preserve">ode provision breached, the precise nature of the breach and how the </w:t>
      </w:r>
      <w:r w:rsidR="00FB127D" w:rsidRPr="00025B9C">
        <w:rPr>
          <w:rFonts w:asciiTheme="minorHAnsi" w:hAnsiTheme="minorHAnsi" w:cstheme="minorHAnsi"/>
        </w:rPr>
        <w:t>breach was addressed/corrected.</w:t>
      </w:r>
      <w:r w:rsidR="00221DC3" w:rsidRPr="00025B9C">
        <w:rPr>
          <w:rFonts w:asciiTheme="minorHAnsi" w:hAnsiTheme="minorHAnsi" w:cstheme="minorHAnsi"/>
        </w:rPr>
        <w:t xml:space="preserve"> If the non-compliance is </w:t>
      </w:r>
      <w:r w:rsidR="00AC6C2D" w:rsidRPr="00025B9C">
        <w:rPr>
          <w:rFonts w:asciiTheme="minorHAnsi" w:hAnsiTheme="minorHAnsi" w:cstheme="minorHAnsi"/>
        </w:rPr>
        <w:t>temporary,</w:t>
      </w:r>
      <w:r w:rsidR="00221DC3" w:rsidRPr="00025B9C">
        <w:rPr>
          <w:rFonts w:asciiTheme="minorHAnsi" w:hAnsiTheme="minorHAnsi" w:cstheme="minorHAnsi"/>
        </w:rPr>
        <w:t xml:space="preserve"> (as in Example 1a) that may be seen as an oversight but it may also suggest lack of succession planning. A simple chart detailing which non-executive</w:t>
      </w:r>
      <w:r w:rsidR="00903FAB" w:rsidRPr="00025B9C">
        <w:rPr>
          <w:rFonts w:asciiTheme="minorHAnsi" w:hAnsiTheme="minorHAnsi" w:cstheme="minorHAnsi"/>
        </w:rPr>
        <w:t xml:space="preserve"> director</w:t>
      </w:r>
      <w:r w:rsidR="00221DC3" w:rsidRPr="00025B9C">
        <w:rPr>
          <w:rFonts w:asciiTheme="minorHAnsi" w:hAnsiTheme="minorHAnsi" w:cstheme="minorHAnsi"/>
        </w:rPr>
        <w:t xml:space="preserve">s were in place </w:t>
      </w:r>
      <w:r w:rsidR="00090DD0" w:rsidRPr="00025B9C">
        <w:rPr>
          <w:rFonts w:asciiTheme="minorHAnsi" w:hAnsiTheme="minorHAnsi" w:cstheme="minorHAnsi"/>
        </w:rPr>
        <w:t>at different times,</w:t>
      </w:r>
      <w:r w:rsidR="00221DC3" w:rsidRPr="00025B9C">
        <w:rPr>
          <w:rFonts w:asciiTheme="minorHAnsi" w:hAnsiTheme="minorHAnsi" w:cstheme="minorHAnsi"/>
        </w:rPr>
        <w:t xml:space="preserve"> would have identified this </w:t>
      </w:r>
      <w:r w:rsidR="00090DD0" w:rsidRPr="00025B9C">
        <w:rPr>
          <w:rFonts w:asciiTheme="minorHAnsi" w:hAnsiTheme="minorHAnsi" w:cstheme="minorHAnsi"/>
        </w:rPr>
        <w:t>‘</w:t>
      </w:r>
      <w:r w:rsidR="00221DC3" w:rsidRPr="00025B9C">
        <w:rPr>
          <w:rFonts w:asciiTheme="minorHAnsi" w:hAnsiTheme="minorHAnsi" w:cstheme="minorHAnsi"/>
        </w:rPr>
        <w:t>gap</w:t>
      </w:r>
      <w:r w:rsidR="00090DD0" w:rsidRPr="00025B9C">
        <w:rPr>
          <w:rFonts w:asciiTheme="minorHAnsi" w:hAnsiTheme="minorHAnsi" w:cstheme="minorHAnsi"/>
        </w:rPr>
        <w:t>’</w:t>
      </w:r>
      <w:r w:rsidR="00221DC3" w:rsidRPr="00025B9C">
        <w:rPr>
          <w:rFonts w:asciiTheme="minorHAnsi" w:hAnsiTheme="minorHAnsi" w:cstheme="minorHAnsi"/>
        </w:rPr>
        <w:t xml:space="preserve"> </w:t>
      </w:r>
      <w:r w:rsidR="00090DD0" w:rsidRPr="00025B9C">
        <w:rPr>
          <w:rFonts w:asciiTheme="minorHAnsi" w:hAnsiTheme="minorHAnsi" w:cstheme="minorHAnsi"/>
        </w:rPr>
        <w:t>(</w:t>
      </w:r>
      <w:r w:rsidR="00647328" w:rsidRPr="00025B9C">
        <w:rPr>
          <w:rFonts w:asciiTheme="minorHAnsi" w:hAnsiTheme="minorHAnsi" w:cstheme="minorHAnsi"/>
        </w:rPr>
        <w:t xml:space="preserve">and </w:t>
      </w:r>
      <w:r w:rsidR="00090DD0" w:rsidRPr="00025B9C">
        <w:rPr>
          <w:rFonts w:asciiTheme="minorHAnsi" w:hAnsiTheme="minorHAnsi" w:cstheme="minorHAnsi"/>
        </w:rPr>
        <w:t xml:space="preserve">forward </w:t>
      </w:r>
      <w:r w:rsidR="00221DC3" w:rsidRPr="00025B9C">
        <w:rPr>
          <w:rFonts w:asciiTheme="minorHAnsi" w:hAnsiTheme="minorHAnsi" w:cstheme="minorHAnsi"/>
        </w:rPr>
        <w:t xml:space="preserve">planning </w:t>
      </w:r>
      <w:r w:rsidR="00647328" w:rsidRPr="00025B9C">
        <w:rPr>
          <w:rFonts w:asciiTheme="minorHAnsi" w:hAnsiTheme="minorHAnsi" w:cstheme="minorHAnsi"/>
        </w:rPr>
        <w:t xml:space="preserve">would have meant </w:t>
      </w:r>
      <w:r w:rsidR="00221DC3" w:rsidRPr="00025B9C">
        <w:rPr>
          <w:rFonts w:asciiTheme="minorHAnsi" w:hAnsiTheme="minorHAnsi" w:cstheme="minorHAnsi"/>
        </w:rPr>
        <w:t>this</w:t>
      </w:r>
      <w:r w:rsidR="00647328" w:rsidRPr="00025B9C">
        <w:rPr>
          <w:rFonts w:asciiTheme="minorHAnsi" w:hAnsiTheme="minorHAnsi" w:cstheme="minorHAnsi"/>
        </w:rPr>
        <w:t xml:space="preserve"> ‘breach’</w:t>
      </w:r>
      <w:r w:rsidR="00221DC3" w:rsidRPr="00025B9C">
        <w:rPr>
          <w:rFonts w:asciiTheme="minorHAnsi" w:hAnsiTheme="minorHAnsi" w:cstheme="minorHAnsi"/>
        </w:rPr>
        <w:t xml:space="preserve"> could </w:t>
      </w:r>
      <w:r w:rsidR="00BC5041" w:rsidRPr="00025B9C">
        <w:rPr>
          <w:rFonts w:asciiTheme="minorHAnsi" w:hAnsiTheme="minorHAnsi" w:cstheme="minorHAnsi"/>
        </w:rPr>
        <w:t xml:space="preserve">probably </w:t>
      </w:r>
      <w:r w:rsidR="00221DC3" w:rsidRPr="00025B9C">
        <w:rPr>
          <w:rFonts w:asciiTheme="minorHAnsi" w:hAnsiTheme="minorHAnsi" w:cstheme="minorHAnsi"/>
        </w:rPr>
        <w:t>have been avoided</w:t>
      </w:r>
      <w:r w:rsidR="00090DD0" w:rsidRPr="00025B9C">
        <w:rPr>
          <w:rFonts w:asciiTheme="minorHAnsi" w:hAnsiTheme="minorHAnsi" w:cstheme="minorHAnsi"/>
        </w:rPr>
        <w:t>)</w:t>
      </w:r>
      <w:r w:rsidR="00221DC3" w:rsidRPr="00025B9C">
        <w:rPr>
          <w:rFonts w:asciiTheme="minorHAnsi" w:hAnsiTheme="minorHAnsi" w:cstheme="minorHAnsi"/>
        </w:rPr>
        <w:t>. It is not unreasonable to expect this level of planning from a FTSE 100 company. However, the counter argument is that</w:t>
      </w:r>
      <w:r w:rsidR="00464241" w:rsidRPr="00025B9C">
        <w:rPr>
          <w:rFonts w:asciiTheme="minorHAnsi" w:hAnsiTheme="minorHAnsi" w:cstheme="minorHAnsi"/>
        </w:rPr>
        <w:t xml:space="preserve"> it is</w:t>
      </w:r>
      <w:r w:rsidR="00221DC3" w:rsidRPr="00025B9C">
        <w:rPr>
          <w:rFonts w:asciiTheme="minorHAnsi" w:hAnsiTheme="minorHAnsi" w:cstheme="minorHAnsi"/>
        </w:rPr>
        <w:t xml:space="preserve"> possible that some </w:t>
      </w:r>
      <w:r w:rsidR="00CC194B" w:rsidRPr="00025B9C">
        <w:rPr>
          <w:rFonts w:asciiTheme="minorHAnsi" w:hAnsiTheme="minorHAnsi" w:cstheme="minorHAnsi"/>
        </w:rPr>
        <w:t>managers</w:t>
      </w:r>
      <w:r w:rsidR="00221DC3" w:rsidRPr="00025B9C">
        <w:rPr>
          <w:rFonts w:asciiTheme="minorHAnsi" w:hAnsiTheme="minorHAnsi" w:cstheme="minorHAnsi"/>
        </w:rPr>
        <w:t xml:space="preserve"> would not have disclosed this </w:t>
      </w:r>
      <w:r w:rsidR="00903FAB" w:rsidRPr="00025B9C">
        <w:rPr>
          <w:rFonts w:asciiTheme="minorHAnsi" w:hAnsiTheme="minorHAnsi" w:cstheme="minorHAnsi"/>
        </w:rPr>
        <w:t xml:space="preserve">four-day </w:t>
      </w:r>
      <w:r w:rsidR="00221DC3" w:rsidRPr="00025B9C">
        <w:rPr>
          <w:rFonts w:asciiTheme="minorHAnsi" w:hAnsiTheme="minorHAnsi" w:cstheme="minorHAnsi"/>
        </w:rPr>
        <w:t>non-compliance</w:t>
      </w:r>
      <w:r w:rsidR="00464241" w:rsidRPr="00025B9C">
        <w:rPr>
          <w:rFonts w:asciiTheme="minorHAnsi" w:hAnsiTheme="minorHAnsi" w:cstheme="minorHAnsi"/>
        </w:rPr>
        <w:t>,</w:t>
      </w:r>
      <w:r w:rsidR="00221DC3" w:rsidRPr="00025B9C">
        <w:rPr>
          <w:rFonts w:asciiTheme="minorHAnsi" w:hAnsiTheme="minorHAnsi" w:cstheme="minorHAnsi"/>
        </w:rPr>
        <w:t xml:space="preserve"> identifying it as trivial, so Tesco is to be commended on admitting something which possibly </w:t>
      </w:r>
      <w:r w:rsidR="00CC194B" w:rsidRPr="00025B9C">
        <w:rPr>
          <w:rFonts w:asciiTheme="minorHAnsi" w:hAnsiTheme="minorHAnsi" w:cstheme="minorHAnsi"/>
        </w:rPr>
        <w:t xml:space="preserve">not </w:t>
      </w:r>
      <w:r w:rsidR="00221DC3" w:rsidRPr="00025B9C">
        <w:rPr>
          <w:rFonts w:asciiTheme="minorHAnsi" w:hAnsiTheme="minorHAnsi" w:cstheme="minorHAnsi"/>
        </w:rPr>
        <w:t>even instit</w:t>
      </w:r>
      <w:r w:rsidR="00CC194B" w:rsidRPr="00025B9C">
        <w:rPr>
          <w:rFonts w:asciiTheme="minorHAnsi" w:hAnsiTheme="minorHAnsi" w:cstheme="minorHAnsi"/>
        </w:rPr>
        <w:t>uti</w:t>
      </w:r>
      <w:r w:rsidR="00221DC3" w:rsidRPr="00025B9C">
        <w:rPr>
          <w:rFonts w:asciiTheme="minorHAnsi" w:hAnsiTheme="minorHAnsi" w:cstheme="minorHAnsi"/>
        </w:rPr>
        <w:t xml:space="preserve">onal investors would have noticed. </w:t>
      </w:r>
    </w:p>
    <w:p w:rsidR="00171300" w:rsidRPr="00025B9C" w:rsidRDefault="00171300" w:rsidP="00A83B4A">
      <w:pPr>
        <w:keepNext/>
        <w:spacing w:line="360" w:lineRule="auto"/>
        <w:jc w:val="both"/>
        <w:rPr>
          <w:rFonts w:asciiTheme="minorHAnsi" w:hAnsiTheme="minorHAnsi" w:cstheme="minorHAnsi"/>
        </w:rPr>
      </w:pPr>
    </w:p>
    <w:p w:rsidR="00D038DB" w:rsidRPr="00025B9C" w:rsidRDefault="00373CBC"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b/>
          <w:sz w:val="20"/>
          <w:szCs w:val="20"/>
        </w:rPr>
        <w:t>Example 1</w:t>
      </w:r>
      <w:r w:rsidR="00D038DB" w:rsidRPr="00025B9C">
        <w:rPr>
          <w:rFonts w:asciiTheme="minorHAnsi" w:hAnsiTheme="minorHAnsi" w:cstheme="minorHAnsi"/>
          <w:b/>
          <w:sz w:val="20"/>
          <w:szCs w:val="20"/>
        </w:rPr>
        <w:t xml:space="preserve">a: </w:t>
      </w:r>
      <w:r w:rsidR="00BA6ABE" w:rsidRPr="00025B9C">
        <w:rPr>
          <w:rFonts w:asciiTheme="minorHAnsi" w:hAnsiTheme="minorHAnsi" w:cstheme="minorHAnsi"/>
          <w:b/>
          <w:sz w:val="20"/>
          <w:szCs w:val="20"/>
        </w:rPr>
        <w:t>Corrective action</w:t>
      </w:r>
      <w:r w:rsidR="00D038DB" w:rsidRPr="00025B9C">
        <w:rPr>
          <w:rFonts w:asciiTheme="minorHAnsi" w:hAnsiTheme="minorHAnsi" w:cstheme="minorHAnsi"/>
          <w:b/>
          <w:sz w:val="20"/>
          <w:szCs w:val="20"/>
        </w:rPr>
        <w:t xml:space="preserve"> already taken</w:t>
      </w:r>
    </w:p>
    <w:p w:rsidR="00D038DB" w:rsidRPr="00025B9C" w:rsidRDefault="00A2705F" w:rsidP="00D665D9">
      <w:pPr>
        <w:autoSpaceDE w:val="0"/>
        <w:autoSpaceDN w:val="0"/>
        <w:adjustRightInd w:val="0"/>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lang w:eastAsia="en-IE"/>
        </w:rPr>
        <w:t>Provision B.1.2 of the Code requires at least half of the Board, excluding the Chairman, to comprise Non-</w:t>
      </w:r>
      <w:proofErr w:type="gramStart"/>
      <w:r w:rsidRPr="00025B9C">
        <w:rPr>
          <w:rFonts w:asciiTheme="minorHAnsi" w:hAnsiTheme="minorHAnsi" w:cstheme="minorHAnsi"/>
          <w:sz w:val="20"/>
          <w:szCs w:val="20"/>
          <w:lang w:eastAsia="en-IE"/>
        </w:rPr>
        <w:t>executive</w:t>
      </w:r>
      <w:proofErr w:type="gramEnd"/>
      <w:r w:rsidRPr="00025B9C">
        <w:rPr>
          <w:rFonts w:asciiTheme="minorHAnsi" w:hAnsiTheme="minorHAnsi" w:cstheme="minorHAnsi"/>
          <w:sz w:val="20"/>
          <w:szCs w:val="20"/>
          <w:lang w:eastAsia="en-IE"/>
        </w:rPr>
        <w:t xml:space="preserve"> Directors determined by the Board to be independent. Tesco has complied with this provision except for the first four days of the financial year, when it had one more Executive Director than Non-</w:t>
      </w:r>
      <w:proofErr w:type="gramStart"/>
      <w:r w:rsidRPr="00025B9C">
        <w:rPr>
          <w:rFonts w:asciiTheme="minorHAnsi" w:hAnsiTheme="minorHAnsi" w:cstheme="minorHAnsi"/>
          <w:sz w:val="20"/>
          <w:szCs w:val="20"/>
          <w:lang w:eastAsia="en-IE"/>
        </w:rPr>
        <w:t>executive</w:t>
      </w:r>
      <w:proofErr w:type="gramEnd"/>
      <w:r w:rsidRPr="00025B9C">
        <w:rPr>
          <w:rFonts w:asciiTheme="minorHAnsi" w:hAnsiTheme="minorHAnsi" w:cstheme="minorHAnsi"/>
          <w:sz w:val="20"/>
          <w:szCs w:val="20"/>
          <w:lang w:eastAsia="en-IE"/>
        </w:rPr>
        <w:t xml:space="preserve"> Directors (excluding the Chairman). However, following Sir Terry Leahy’s retirement and the appointment of Philip Clarke as his successor as CEO in March 2011, there has been at least an equal number of Non-executive and Executive Directors.</w:t>
      </w:r>
    </w:p>
    <w:p w:rsidR="00A2705F" w:rsidRPr="00025B9C" w:rsidRDefault="00A2705F" w:rsidP="00D665D9">
      <w:pPr>
        <w:ind w:left="567" w:right="805" w:firstLine="11"/>
        <w:jc w:val="both"/>
        <w:rPr>
          <w:rFonts w:asciiTheme="minorHAnsi" w:hAnsiTheme="minorHAnsi" w:cstheme="minorHAnsi"/>
          <w:sz w:val="20"/>
          <w:szCs w:val="20"/>
        </w:rPr>
      </w:pPr>
      <w:r w:rsidRPr="00025B9C">
        <w:rPr>
          <w:rFonts w:asciiTheme="minorHAnsi" w:hAnsiTheme="minorHAnsi" w:cstheme="minorHAnsi"/>
          <w:sz w:val="20"/>
          <w:szCs w:val="20"/>
        </w:rPr>
        <w:t>Source: Tesco plc annual report 2012, p. 51.</w:t>
      </w:r>
    </w:p>
    <w:p w:rsidR="00A2705F" w:rsidRPr="00025B9C" w:rsidRDefault="00A2705F" w:rsidP="00D26D00">
      <w:pPr>
        <w:spacing w:line="360" w:lineRule="auto"/>
        <w:ind w:right="804"/>
        <w:jc w:val="both"/>
        <w:rPr>
          <w:rFonts w:asciiTheme="minorHAnsi" w:hAnsiTheme="minorHAnsi" w:cstheme="minorHAnsi"/>
          <w:b/>
          <w:sz w:val="20"/>
          <w:szCs w:val="20"/>
        </w:rPr>
      </w:pPr>
    </w:p>
    <w:p w:rsidR="00221DC3" w:rsidRPr="00025B9C" w:rsidRDefault="00221DC3" w:rsidP="00647328">
      <w:pPr>
        <w:spacing w:line="360" w:lineRule="auto"/>
        <w:jc w:val="both"/>
        <w:rPr>
          <w:rFonts w:asciiTheme="minorHAnsi" w:hAnsiTheme="minorHAnsi" w:cstheme="minorHAnsi"/>
        </w:rPr>
      </w:pPr>
      <w:r w:rsidRPr="00025B9C">
        <w:rPr>
          <w:rFonts w:asciiTheme="minorHAnsi" w:hAnsiTheme="minorHAnsi" w:cstheme="minorHAnsi"/>
        </w:rPr>
        <w:t>Where there is a promise to correct something in the future (Example 1b and Example 1c)</w:t>
      </w:r>
      <w:r w:rsidR="00107C93" w:rsidRPr="00025B9C">
        <w:rPr>
          <w:rFonts w:asciiTheme="minorHAnsi" w:hAnsiTheme="minorHAnsi" w:cstheme="minorHAnsi"/>
        </w:rPr>
        <w:t xml:space="preserve"> and no further information is provided,</w:t>
      </w:r>
      <w:r w:rsidRPr="00025B9C">
        <w:rPr>
          <w:rFonts w:asciiTheme="minorHAnsi" w:hAnsiTheme="minorHAnsi" w:cstheme="minorHAnsi"/>
        </w:rPr>
        <w:t xml:space="preserve"> then again a question remains as to why the non-compliance has occurred. </w:t>
      </w:r>
      <w:r w:rsidR="00CC194B" w:rsidRPr="00025B9C">
        <w:rPr>
          <w:rFonts w:asciiTheme="minorHAnsi" w:hAnsiTheme="minorHAnsi" w:cstheme="minorHAnsi"/>
        </w:rPr>
        <w:t>Example 1b is a</w:t>
      </w:r>
      <w:r w:rsidR="00201A52" w:rsidRPr="00025B9C">
        <w:rPr>
          <w:rFonts w:asciiTheme="minorHAnsi" w:hAnsiTheme="minorHAnsi" w:cstheme="minorHAnsi"/>
        </w:rPr>
        <w:t xml:space="preserve"> </w:t>
      </w:r>
      <w:r w:rsidR="00CC194B" w:rsidRPr="00025B9C">
        <w:rPr>
          <w:rFonts w:asciiTheme="minorHAnsi" w:hAnsiTheme="minorHAnsi" w:cstheme="minorHAnsi"/>
        </w:rPr>
        <w:t>good example of a clear explanation</w:t>
      </w:r>
      <w:r w:rsidR="00201A52" w:rsidRPr="00025B9C">
        <w:rPr>
          <w:rFonts w:asciiTheme="minorHAnsi" w:hAnsiTheme="minorHAnsi" w:cstheme="minorHAnsi"/>
        </w:rPr>
        <w:t xml:space="preserve"> which is easy to appreciate</w:t>
      </w:r>
      <w:r w:rsidR="00C71DDF" w:rsidRPr="00025B9C">
        <w:rPr>
          <w:rFonts w:asciiTheme="minorHAnsi" w:hAnsiTheme="minorHAnsi" w:cstheme="minorHAnsi"/>
        </w:rPr>
        <w:t>.</w:t>
      </w:r>
      <w:r w:rsidR="00CC194B" w:rsidRPr="00025B9C">
        <w:rPr>
          <w:rFonts w:asciiTheme="minorHAnsi" w:hAnsiTheme="minorHAnsi" w:cstheme="minorHAnsi"/>
        </w:rPr>
        <w:t xml:space="preserve"> </w:t>
      </w:r>
      <w:r w:rsidR="00201A52" w:rsidRPr="00025B9C">
        <w:rPr>
          <w:rFonts w:asciiTheme="minorHAnsi" w:hAnsiTheme="minorHAnsi" w:cstheme="minorHAnsi"/>
        </w:rPr>
        <w:t>Example 1c is arguably not so good because reader</w:t>
      </w:r>
      <w:r w:rsidR="006A1E5B" w:rsidRPr="00025B9C">
        <w:rPr>
          <w:rFonts w:asciiTheme="minorHAnsi" w:hAnsiTheme="minorHAnsi" w:cstheme="minorHAnsi"/>
        </w:rPr>
        <w:t>s</w:t>
      </w:r>
      <w:r w:rsidR="00201A52" w:rsidRPr="00025B9C">
        <w:rPr>
          <w:rFonts w:asciiTheme="minorHAnsi" w:hAnsiTheme="minorHAnsi" w:cstheme="minorHAnsi"/>
        </w:rPr>
        <w:t xml:space="preserve"> </w:t>
      </w:r>
      <w:r w:rsidR="006A1E5B" w:rsidRPr="00025B9C">
        <w:rPr>
          <w:rFonts w:asciiTheme="minorHAnsi" w:hAnsiTheme="minorHAnsi" w:cstheme="minorHAnsi"/>
        </w:rPr>
        <w:t>are</w:t>
      </w:r>
      <w:r w:rsidR="00201A52" w:rsidRPr="00025B9C">
        <w:rPr>
          <w:rFonts w:asciiTheme="minorHAnsi" w:hAnsiTheme="minorHAnsi" w:cstheme="minorHAnsi"/>
        </w:rPr>
        <w:t xml:space="preserve"> not told why this non-compliance is in the best interests of the shareholders.</w:t>
      </w:r>
      <w:r w:rsidRPr="00025B9C">
        <w:rPr>
          <w:rFonts w:asciiTheme="minorHAnsi" w:hAnsiTheme="minorHAnsi" w:cstheme="minorHAnsi"/>
        </w:rPr>
        <w:t xml:space="preserve"> Keeping the situation under review (Example 1d) is </w:t>
      </w:r>
      <w:r w:rsidR="00201A52" w:rsidRPr="00025B9C">
        <w:rPr>
          <w:rFonts w:asciiTheme="minorHAnsi" w:hAnsiTheme="minorHAnsi" w:cstheme="minorHAnsi"/>
        </w:rPr>
        <w:t xml:space="preserve">also </w:t>
      </w:r>
      <w:r w:rsidR="00CC194B" w:rsidRPr="00025B9C">
        <w:rPr>
          <w:rFonts w:asciiTheme="minorHAnsi" w:hAnsiTheme="minorHAnsi" w:cstheme="minorHAnsi"/>
        </w:rPr>
        <w:t xml:space="preserve">perhaps a good </w:t>
      </w:r>
      <w:r w:rsidRPr="00025B9C">
        <w:rPr>
          <w:rFonts w:asciiTheme="minorHAnsi" w:hAnsiTheme="minorHAnsi" w:cstheme="minorHAnsi"/>
        </w:rPr>
        <w:t>approach to non-compliance</w:t>
      </w:r>
      <w:r w:rsidR="00CC194B" w:rsidRPr="00025B9C">
        <w:rPr>
          <w:rFonts w:asciiTheme="minorHAnsi" w:hAnsiTheme="minorHAnsi" w:cstheme="minorHAnsi"/>
        </w:rPr>
        <w:t>, because it shows an open approach which is consistent with a flexible approach to compliance</w:t>
      </w:r>
      <w:r w:rsidRPr="00025B9C">
        <w:rPr>
          <w:rFonts w:asciiTheme="minorHAnsi" w:hAnsiTheme="minorHAnsi" w:cstheme="minorHAnsi"/>
        </w:rPr>
        <w:t xml:space="preserve">. </w:t>
      </w:r>
      <w:r w:rsidR="00BA6ABE" w:rsidRPr="00025B9C">
        <w:rPr>
          <w:rFonts w:asciiTheme="minorHAnsi" w:hAnsiTheme="minorHAnsi" w:cstheme="minorHAnsi"/>
        </w:rPr>
        <w:t>Corrective action</w:t>
      </w:r>
      <w:r w:rsidRPr="00025B9C">
        <w:rPr>
          <w:rFonts w:asciiTheme="minorHAnsi" w:hAnsiTheme="minorHAnsi" w:cstheme="minorHAnsi"/>
        </w:rPr>
        <w:t xml:space="preserve">, or the promise of such, is not by itself a complete explanation of non-compliance. Even if the non-compliance is temporary, readers still need to be informed why it has occurred – was it a lack of succession planning or was it an oversight or did an unexpected event occur? An explanation is </w:t>
      </w:r>
      <w:r w:rsidRPr="00025B9C">
        <w:rPr>
          <w:rFonts w:asciiTheme="minorHAnsi" w:hAnsiTheme="minorHAnsi" w:cstheme="minorHAnsi"/>
          <w:i/>
        </w:rPr>
        <w:t>always</w:t>
      </w:r>
      <w:r w:rsidRPr="00025B9C">
        <w:rPr>
          <w:rFonts w:asciiTheme="minorHAnsi" w:hAnsiTheme="minorHAnsi" w:cstheme="minorHAnsi"/>
        </w:rPr>
        <w:t xml:space="preserve"> required</w:t>
      </w:r>
      <w:r w:rsidR="00CC194B" w:rsidRPr="00025B9C">
        <w:rPr>
          <w:rFonts w:asciiTheme="minorHAnsi" w:hAnsiTheme="minorHAnsi" w:cstheme="minorHAnsi"/>
        </w:rPr>
        <w:t>, even if company managers are reluctant to admit to oversights.</w:t>
      </w:r>
    </w:p>
    <w:p w:rsidR="00D038DB" w:rsidRPr="00025B9C" w:rsidRDefault="00373CBC" w:rsidP="00D665D9">
      <w:pPr>
        <w:ind w:left="567" w:right="804" w:firstLine="11"/>
        <w:jc w:val="both"/>
        <w:rPr>
          <w:rFonts w:asciiTheme="minorHAnsi" w:hAnsiTheme="minorHAnsi" w:cstheme="minorHAnsi"/>
          <w:sz w:val="20"/>
          <w:szCs w:val="20"/>
          <w:lang w:val="en-IE"/>
        </w:rPr>
      </w:pPr>
      <w:r w:rsidRPr="00025B9C">
        <w:rPr>
          <w:rFonts w:asciiTheme="minorHAnsi" w:hAnsiTheme="minorHAnsi" w:cstheme="minorHAnsi"/>
          <w:b/>
          <w:sz w:val="20"/>
          <w:szCs w:val="20"/>
        </w:rPr>
        <w:t>Example 1</w:t>
      </w:r>
      <w:r w:rsidR="00D038DB" w:rsidRPr="00025B9C">
        <w:rPr>
          <w:rFonts w:asciiTheme="minorHAnsi" w:hAnsiTheme="minorHAnsi" w:cstheme="minorHAnsi"/>
          <w:b/>
          <w:sz w:val="20"/>
          <w:szCs w:val="20"/>
        </w:rPr>
        <w:t>b: Promise of</w:t>
      </w:r>
      <w:r w:rsidR="00DC0E13" w:rsidRPr="00025B9C">
        <w:rPr>
          <w:rFonts w:asciiTheme="minorHAnsi" w:hAnsiTheme="minorHAnsi" w:cstheme="minorHAnsi"/>
          <w:b/>
          <w:sz w:val="20"/>
          <w:szCs w:val="20"/>
        </w:rPr>
        <w:t xml:space="preserve"> </w:t>
      </w:r>
      <w:r w:rsidR="00BA6ABE" w:rsidRPr="00025B9C">
        <w:rPr>
          <w:rFonts w:asciiTheme="minorHAnsi" w:hAnsiTheme="minorHAnsi" w:cstheme="minorHAnsi"/>
          <w:b/>
          <w:sz w:val="20"/>
          <w:szCs w:val="20"/>
        </w:rPr>
        <w:t>corrective action</w:t>
      </w:r>
      <w:r w:rsidR="00DC0E13" w:rsidRPr="00025B9C">
        <w:rPr>
          <w:rFonts w:asciiTheme="minorHAnsi" w:hAnsiTheme="minorHAnsi" w:cstheme="minorHAnsi"/>
          <w:b/>
          <w:sz w:val="20"/>
          <w:szCs w:val="20"/>
        </w:rPr>
        <w:t xml:space="preserve"> to be taken </w:t>
      </w:r>
      <w:r w:rsidR="00126EF3" w:rsidRPr="00025B9C">
        <w:rPr>
          <w:rFonts w:asciiTheme="minorHAnsi" w:hAnsiTheme="minorHAnsi" w:cstheme="minorHAnsi"/>
          <w:b/>
          <w:sz w:val="20"/>
          <w:szCs w:val="20"/>
        </w:rPr>
        <w:t>(</w:t>
      </w:r>
      <w:r w:rsidR="00DC0E13" w:rsidRPr="00025B9C">
        <w:rPr>
          <w:rFonts w:asciiTheme="minorHAnsi" w:hAnsiTheme="minorHAnsi" w:cstheme="minorHAnsi"/>
          <w:b/>
          <w:sz w:val="20"/>
          <w:szCs w:val="20"/>
        </w:rPr>
        <w:t>with clear timescales</w:t>
      </w:r>
      <w:r w:rsidR="00126EF3" w:rsidRPr="00025B9C">
        <w:rPr>
          <w:rFonts w:asciiTheme="minorHAnsi" w:hAnsiTheme="minorHAnsi" w:cstheme="minorHAnsi"/>
          <w:b/>
          <w:sz w:val="20"/>
          <w:szCs w:val="20"/>
          <w:lang w:val="en-IE"/>
        </w:rPr>
        <w:t>)</w:t>
      </w:r>
    </w:p>
    <w:p w:rsidR="002E029C" w:rsidRPr="00025B9C" w:rsidRDefault="002E029C" w:rsidP="00D665D9">
      <w:pPr>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In 2011, the Company has complied with the provisions of the UK Code, except for the following: </w:t>
      </w:r>
    </w:p>
    <w:p w:rsidR="002E029C" w:rsidRPr="00025B9C" w:rsidRDefault="002E029C" w:rsidP="00D665D9">
      <w:pPr>
        <w:pStyle w:val="ListParagraph"/>
        <w:numPr>
          <w:ilvl w:val="0"/>
          <w:numId w:val="49"/>
        </w:numPr>
        <w:spacing w:after="0" w:line="240" w:lineRule="auto"/>
        <w:ind w:left="709" w:right="-46" w:hanging="142"/>
        <w:jc w:val="both"/>
        <w:rPr>
          <w:rFonts w:asciiTheme="minorHAnsi" w:hAnsiTheme="minorHAnsi" w:cstheme="minorHAnsi"/>
          <w:sz w:val="20"/>
          <w:szCs w:val="20"/>
        </w:rPr>
      </w:pPr>
      <w:r w:rsidRPr="00025B9C">
        <w:rPr>
          <w:rFonts w:asciiTheme="minorHAnsi" w:hAnsiTheme="minorHAnsi" w:cstheme="minorHAnsi"/>
          <w:sz w:val="20"/>
          <w:szCs w:val="20"/>
        </w:rPr>
        <w:t xml:space="preserve">B.6.1 Performance evaluation of the Board, its committees and its individual Directors; </w:t>
      </w:r>
    </w:p>
    <w:p w:rsidR="002E029C" w:rsidRPr="00025B9C" w:rsidRDefault="002E029C" w:rsidP="00D665D9">
      <w:pPr>
        <w:pStyle w:val="ListParagraph"/>
        <w:numPr>
          <w:ilvl w:val="0"/>
          <w:numId w:val="49"/>
        </w:numPr>
        <w:spacing w:after="0" w:line="240" w:lineRule="auto"/>
        <w:ind w:left="709" w:right="-46" w:hanging="142"/>
        <w:jc w:val="both"/>
        <w:rPr>
          <w:rFonts w:asciiTheme="minorHAnsi" w:hAnsiTheme="minorHAnsi" w:cstheme="minorHAnsi"/>
          <w:sz w:val="20"/>
          <w:szCs w:val="20"/>
        </w:rPr>
      </w:pPr>
      <w:r w:rsidRPr="00025B9C">
        <w:rPr>
          <w:rFonts w:asciiTheme="minorHAnsi" w:hAnsiTheme="minorHAnsi" w:cstheme="minorHAnsi"/>
          <w:sz w:val="20"/>
          <w:szCs w:val="20"/>
        </w:rPr>
        <w:t>Schedule A of the UK</w:t>
      </w:r>
      <w:r w:rsidR="00247063" w:rsidRPr="00025B9C">
        <w:rPr>
          <w:rFonts w:asciiTheme="minorHAnsi" w:hAnsiTheme="minorHAnsi" w:cstheme="minorHAnsi"/>
          <w:sz w:val="20"/>
          <w:szCs w:val="20"/>
        </w:rPr>
        <w:t xml:space="preserve"> Code recommends share options </w:t>
      </w:r>
      <w:r w:rsidRPr="00025B9C">
        <w:rPr>
          <w:rFonts w:asciiTheme="minorHAnsi" w:hAnsiTheme="minorHAnsi" w:cstheme="minorHAnsi"/>
          <w:sz w:val="20"/>
          <w:szCs w:val="20"/>
        </w:rPr>
        <w:t>and awards should not vest in less than three years.</w:t>
      </w:r>
    </w:p>
    <w:p w:rsidR="00C62FAB" w:rsidRPr="00025B9C" w:rsidRDefault="002E029C" w:rsidP="00D665D9">
      <w:pPr>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rPr>
        <w:t>The reason for non-compliance was the short period between the formation of the Group and the year end (B.6.1) and the existence of share option arrangements prior to admission (Schedule A). B.6.1 will be complied with in 2012</w:t>
      </w:r>
      <w:r w:rsidR="00E42944" w:rsidRPr="00025B9C">
        <w:rPr>
          <w:rFonts w:asciiTheme="minorHAnsi" w:hAnsiTheme="minorHAnsi" w:cstheme="minorHAnsi"/>
          <w:sz w:val="20"/>
          <w:szCs w:val="20"/>
        </w:rPr>
        <w:t>.</w:t>
      </w:r>
    </w:p>
    <w:p w:rsidR="00E42944" w:rsidRPr="00025B9C" w:rsidRDefault="00E42944" w:rsidP="00D665D9">
      <w:pPr>
        <w:ind w:left="567" w:right="804"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Source: </w:t>
      </w:r>
      <w:proofErr w:type="spellStart"/>
      <w:r w:rsidRPr="00025B9C">
        <w:rPr>
          <w:rFonts w:asciiTheme="minorHAnsi" w:hAnsiTheme="minorHAnsi" w:cstheme="minorHAnsi"/>
          <w:sz w:val="20"/>
          <w:szCs w:val="20"/>
        </w:rPr>
        <w:t>Polymetal</w:t>
      </w:r>
      <w:proofErr w:type="spellEnd"/>
      <w:r w:rsidRPr="00025B9C">
        <w:rPr>
          <w:rFonts w:asciiTheme="minorHAnsi" w:hAnsiTheme="minorHAnsi" w:cstheme="minorHAnsi"/>
          <w:sz w:val="20"/>
          <w:szCs w:val="20"/>
        </w:rPr>
        <w:t xml:space="preserve"> plc annual report</w:t>
      </w:r>
      <w:r w:rsidR="0015561A" w:rsidRPr="00025B9C">
        <w:rPr>
          <w:rFonts w:asciiTheme="minorHAnsi" w:hAnsiTheme="minorHAnsi" w:cstheme="minorHAnsi"/>
          <w:sz w:val="20"/>
          <w:szCs w:val="20"/>
        </w:rPr>
        <w:t xml:space="preserve"> 2011</w:t>
      </w:r>
      <w:r w:rsidR="00A170CC" w:rsidRPr="00025B9C">
        <w:rPr>
          <w:rFonts w:asciiTheme="minorHAnsi" w:hAnsiTheme="minorHAnsi" w:cstheme="minorHAnsi"/>
          <w:sz w:val="20"/>
          <w:szCs w:val="20"/>
        </w:rPr>
        <w:t>, p. 75.</w:t>
      </w:r>
    </w:p>
    <w:p w:rsidR="00DC0E13" w:rsidRPr="00025B9C" w:rsidRDefault="00DC0E13" w:rsidP="00464241">
      <w:pPr>
        <w:ind w:right="804"/>
        <w:jc w:val="both"/>
        <w:rPr>
          <w:rFonts w:asciiTheme="minorHAnsi" w:hAnsiTheme="minorHAnsi" w:cstheme="minorHAnsi"/>
          <w:b/>
        </w:rPr>
      </w:pPr>
    </w:p>
    <w:p w:rsidR="00D038DB" w:rsidRPr="00025B9C" w:rsidRDefault="00373CBC" w:rsidP="00D665D9">
      <w:pPr>
        <w:ind w:left="567" w:right="804" w:firstLine="11"/>
        <w:jc w:val="both"/>
        <w:rPr>
          <w:rFonts w:asciiTheme="minorHAnsi" w:hAnsiTheme="minorHAnsi" w:cstheme="minorHAnsi"/>
          <w:b/>
          <w:sz w:val="20"/>
          <w:szCs w:val="20"/>
        </w:rPr>
      </w:pPr>
      <w:r w:rsidRPr="00025B9C">
        <w:rPr>
          <w:rFonts w:asciiTheme="minorHAnsi" w:hAnsiTheme="minorHAnsi" w:cstheme="minorHAnsi"/>
          <w:b/>
          <w:sz w:val="20"/>
          <w:szCs w:val="20"/>
        </w:rPr>
        <w:t>Example 1</w:t>
      </w:r>
      <w:r w:rsidR="00D038DB" w:rsidRPr="00025B9C">
        <w:rPr>
          <w:rFonts w:asciiTheme="minorHAnsi" w:hAnsiTheme="minorHAnsi" w:cstheme="minorHAnsi"/>
          <w:b/>
          <w:sz w:val="20"/>
          <w:szCs w:val="20"/>
        </w:rPr>
        <w:t xml:space="preserve">c: Promise of </w:t>
      </w:r>
      <w:r w:rsidR="00BA6ABE" w:rsidRPr="00025B9C">
        <w:rPr>
          <w:rFonts w:asciiTheme="minorHAnsi" w:hAnsiTheme="minorHAnsi" w:cstheme="minorHAnsi"/>
          <w:b/>
          <w:sz w:val="20"/>
          <w:szCs w:val="20"/>
        </w:rPr>
        <w:t>corrective action</w:t>
      </w:r>
      <w:r w:rsidR="00D038DB" w:rsidRPr="00025B9C">
        <w:rPr>
          <w:rFonts w:asciiTheme="minorHAnsi" w:hAnsiTheme="minorHAnsi" w:cstheme="minorHAnsi"/>
          <w:b/>
          <w:sz w:val="20"/>
          <w:szCs w:val="20"/>
        </w:rPr>
        <w:t xml:space="preserve"> in the future</w:t>
      </w:r>
      <w:r w:rsidR="003F63A5" w:rsidRPr="00025B9C">
        <w:rPr>
          <w:rFonts w:asciiTheme="minorHAnsi" w:hAnsiTheme="minorHAnsi" w:cstheme="minorHAnsi"/>
          <w:b/>
          <w:sz w:val="20"/>
          <w:szCs w:val="20"/>
        </w:rPr>
        <w:t xml:space="preserve"> (without clear </w:t>
      </w:r>
      <w:r w:rsidR="00D226E7" w:rsidRPr="00025B9C">
        <w:rPr>
          <w:rFonts w:asciiTheme="minorHAnsi" w:hAnsiTheme="minorHAnsi" w:cstheme="minorHAnsi"/>
          <w:b/>
          <w:sz w:val="20"/>
          <w:szCs w:val="20"/>
        </w:rPr>
        <w:t>timescales</w:t>
      </w:r>
      <w:r w:rsidR="003F63A5" w:rsidRPr="00025B9C">
        <w:rPr>
          <w:rFonts w:asciiTheme="minorHAnsi" w:hAnsiTheme="minorHAnsi" w:cstheme="minorHAnsi"/>
          <w:b/>
          <w:sz w:val="20"/>
          <w:szCs w:val="20"/>
        </w:rPr>
        <w:t>)</w:t>
      </w:r>
    </w:p>
    <w:p w:rsidR="001F2FBD" w:rsidRPr="00025B9C" w:rsidRDefault="00AA1998" w:rsidP="00D665D9">
      <w:pPr>
        <w:ind w:left="567" w:right="95"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Succession and board changes </w:t>
      </w:r>
    </w:p>
    <w:p w:rsidR="00AA1998" w:rsidRPr="00025B9C" w:rsidRDefault="00AA1998" w:rsidP="00D665D9">
      <w:pPr>
        <w:ind w:left="567" w:right="95"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My retirement will take effect at this year’s Annual General Meeting on 26 July 2012. At that point, Graham Mackay will take over as Executive Chairman for an interim period of one year and Alan Clark, currently Managing Director of SABMiller Europe, will become an executive director and Chief Operating Officer. At the end of the interim period, the intention is that Graham will become Non-Executive Chairman and that Alan will succeed him as Chief Executive. </w:t>
      </w:r>
    </w:p>
    <w:p w:rsidR="001F2FBD" w:rsidRPr="00025B9C" w:rsidRDefault="00AA1998" w:rsidP="00D665D9">
      <w:pPr>
        <w:ind w:left="567" w:right="95" w:firstLine="11"/>
        <w:jc w:val="both"/>
        <w:rPr>
          <w:rFonts w:asciiTheme="minorHAnsi" w:hAnsiTheme="minorHAnsi" w:cstheme="minorHAnsi"/>
          <w:sz w:val="20"/>
          <w:szCs w:val="20"/>
        </w:rPr>
      </w:pPr>
      <w:r w:rsidRPr="00025B9C">
        <w:rPr>
          <w:rFonts w:asciiTheme="minorHAnsi" w:hAnsiTheme="minorHAnsi" w:cstheme="minorHAnsi"/>
          <w:sz w:val="20"/>
          <w:szCs w:val="20"/>
        </w:rPr>
        <w:t>We acknowledge the recommendation in the UK Corporate Governance Code that a chief executive should not go on to be chairman of the same company and that the roles of chairman and chief executive should not be exercised by the same individual. Neverthe</w:t>
      </w:r>
      <w:r w:rsidR="001F2FBD" w:rsidRPr="00025B9C">
        <w:rPr>
          <w:rFonts w:asciiTheme="minorHAnsi" w:hAnsiTheme="minorHAnsi" w:cstheme="minorHAnsi"/>
          <w:sz w:val="20"/>
          <w:szCs w:val="20"/>
        </w:rPr>
        <w:t xml:space="preserve">less, after long deliberation, </w:t>
      </w:r>
      <w:r w:rsidRPr="00025B9C">
        <w:rPr>
          <w:rFonts w:asciiTheme="minorHAnsi" w:hAnsiTheme="minorHAnsi" w:cstheme="minorHAnsi"/>
          <w:sz w:val="20"/>
          <w:szCs w:val="20"/>
        </w:rPr>
        <w:t>we believe that</w:t>
      </w:r>
      <w:r w:rsidR="00247063" w:rsidRPr="00025B9C">
        <w:rPr>
          <w:rFonts w:asciiTheme="minorHAnsi" w:hAnsiTheme="minorHAnsi" w:cstheme="minorHAnsi"/>
          <w:sz w:val="20"/>
          <w:szCs w:val="20"/>
        </w:rPr>
        <w:t xml:space="preserve"> these appointments are in the </w:t>
      </w:r>
      <w:r w:rsidRPr="00025B9C">
        <w:rPr>
          <w:rFonts w:asciiTheme="minorHAnsi" w:hAnsiTheme="minorHAnsi" w:cstheme="minorHAnsi"/>
          <w:sz w:val="20"/>
          <w:szCs w:val="20"/>
        </w:rPr>
        <w:t>best interests of SABMiller and its shareholders.</w:t>
      </w:r>
      <w:r w:rsidR="001F2FBD" w:rsidRPr="00025B9C">
        <w:rPr>
          <w:rFonts w:asciiTheme="minorHAnsi" w:hAnsiTheme="minorHAnsi" w:cstheme="minorHAnsi"/>
          <w:sz w:val="20"/>
          <w:szCs w:val="20"/>
        </w:rPr>
        <w:t>…</w:t>
      </w:r>
    </w:p>
    <w:p w:rsidR="001F2FBD" w:rsidRPr="00025B9C" w:rsidRDefault="001F2FBD" w:rsidP="00D665D9">
      <w:pPr>
        <w:ind w:left="567" w:right="95"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Job specifications setting out the respective authorities and responsibilities of the Executive Chairman and Chief Operating Officer have been agreed by the board and the directors are confident that Graham and Alan will continue to work effectively together during the transition and thereafter. Any risk of an over-concentration of decision-making powers in one person will be mitigated by the fact that John </w:t>
      </w:r>
      <w:proofErr w:type="spellStart"/>
      <w:r w:rsidRPr="00025B9C">
        <w:rPr>
          <w:rFonts w:asciiTheme="minorHAnsi" w:hAnsiTheme="minorHAnsi" w:cstheme="minorHAnsi"/>
          <w:sz w:val="20"/>
          <w:szCs w:val="20"/>
        </w:rPr>
        <w:t>Manser</w:t>
      </w:r>
      <w:proofErr w:type="spellEnd"/>
      <w:r w:rsidRPr="00025B9C">
        <w:rPr>
          <w:rFonts w:asciiTheme="minorHAnsi" w:hAnsiTheme="minorHAnsi" w:cstheme="minorHAnsi"/>
          <w:sz w:val="20"/>
          <w:szCs w:val="20"/>
        </w:rPr>
        <w:t>, our senior independent non-executive director and chairman of the audit committee, will in addition become Deputy Chairman of the board.</w:t>
      </w:r>
      <w:r w:rsidR="003F63A5" w:rsidRPr="00025B9C">
        <w:rPr>
          <w:rFonts w:asciiTheme="minorHAnsi" w:hAnsiTheme="minorHAnsi" w:cstheme="minorHAnsi"/>
          <w:sz w:val="20"/>
          <w:szCs w:val="20"/>
        </w:rPr>
        <w:t>…</w:t>
      </w:r>
    </w:p>
    <w:p w:rsidR="00735283" w:rsidRPr="00025B9C" w:rsidRDefault="001F2FBD" w:rsidP="00D665D9">
      <w:pPr>
        <w:ind w:left="567" w:right="95" w:firstLine="11"/>
        <w:jc w:val="both"/>
        <w:rPr>
          <w:rFonts w:asciiTheme="minorHAnsi" w:hAnsiTheme="minorHAnsi" w:cstheme="minorHAnsi"/>
          <w:sz w:val="20"/>
          <w:szCs w:val="20"/>
        </w:rPr>
      </w:pPr>
      <w:r w:rsidRPr="00025B9C">
        <w:rPr>
          <w:rFonts w:asciiTheme="minorHAnsi" w:hAnsiTheme="minorHAnsi" w:cstheme="minorHAnsi"/>
          <w:sz w:val="20"/>
          <w:szCs w:val="20"/>
        </w:rPr>
        <w:t>I</w:t>
      </w:r>
      <w:r w:rsidR="003F63A5" w:rsidRPr="00025B9C">
        <w:rPr>
          <w:rFonts w:asciiTheme="minorHAnsi" w:hAnsiTheme="minorHAnsi" w:cstheme="minorHAnsi"/>
          <w:sz w:val="20"/>
          <w:szCs w:val="20"/>
        </w:rPr>
        <w:t xml:space="preserve">t is also the board’s intention now to begin the process of recruiting </w:t>
      </w:r>
      <w:r w:rsidR="002E46DB" w:rsidRPr="00025B9C">
        <w:rPr>
          <w:rFonts w:asciiTheme="minorHAnsi" w:hAnsiTheme="minorHAnsi" w:cstheme="minorHAnsi"/>
          <w:sz w:val="20"/>
          <w:szCs w:val="20"/>
        </w:rPr>
        <w:t xml:space="preserve">a </w:t>
      </w:r>
      <w:r w:rsidR="003F63A5" w:rsidRPr="00025B9C">
        <w:rPr>
          <w:rFonts w:asciiTheme="minorHAnsi" w:hAnsiTheme="minorHAnsi" w:cstheme="minorHAnsi"/>
          <w:sz w:val="20"/>
          <w:szCs w:val="20"/>
        </w:rPr>
        <w:t>new independent non-executive director, with the expectation in due course he or she could become the senior independent director</w:t>
      </w:r>
      <w:r w:rsidR="00E93754" w:rsidRPr="00025B9C">
        <w:rPr>
          <w:rFonts w:asciiTheme="minorHAnsi" w:hAnsiTheme="minorHAnsi" w:cstheme="minorHAnsi"/>
          <w:sz w:val="20"/>
          <w:szCs w:val="20"/>
        </w:rPr>
        <w:t xml:space="preserve"> in succession to Mr </w:t>
      </w:r>
      <w:proofErr w:type="spellStart"/>
      <w:r w:rsidR="00E93754" w:rsidRPr="00025B9C">
        <w:rPr>
          <w:rFonts w:asciiTheme="minorHAnsi" w:hAnsiTheme="minorHAnsi" w:cstheme="minorHAnsi"/>
          <w:sz w:val="20"/>
          <w:szCs w:val="20"/>
        </w:rPr>
        <w:t>Manser</w:t>
      </w:r>
      <w:proofErr w:type="spellEnd"/>
      <w:r w:rsidR="00E93754" w:rsidRPr="00025B9C">
        <w:rPr>
          <w:rFonts w:asciiTheme="minorHAnsi" w:hAnsiTheme="minorHAnsi" w:cstheme="minorHAnsi"/>
          <w:sz w:val="20"/>
          <w:szCs w:val="20"/>
        </w:rPr>
        <w:t>.</w:t>
      </w:r>
    </w:p>
    <w:p w:rsidR="003F63A5" w:rsidRPr="00025B9C" w:rsidRDefault="003F63A5" w:rsidP="00D665D9">
      <w:pPr>
        <w:ind w:left="567" w:right="804"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Source: SABMiller plc </w:t>
      </w:r>
      <w:r w:rsidR="00735283" w:rsidRPr="00025B9C">
        <w:rPr>
          <w:rFonts w:asciiTheme="minorHAnsi" w:hAnsiTheme="minorHAnsi" w:cstheme="minorHAnsi"/>
          <w:sz w:val="20"/>
          <w:szCs w:val="20"/>
        </w:rPr>
        <w:t>annual report</w:t>
      </w:r>
      <w:r w:rsidR="0015561A" w:rsidRPr="00025B9C">
        <w:rPr>
          <w:rFonts w:asciiTheme="minorHAnsi" w:hAnsiTheme="minorHAnsi" w:cstheme="minorHAnsi"/>
          <w:sz w:val="20"/>
          <w:szCs w:val="20"/>
        </w:rPr>
        <w:t xml:space="preserve"> 2012</w:t>
      </w:r>
      <w:r w:rsidR="00520150" w:rsidRPr="00025B9C">
        <w:rPr>
          <w:rFonts w:asciiTheme="minorHAnsi" w:hAnsiTheme="minorHAnsi" w:cstheme="minorHAnsi"/>
          <w:sz w:val="20"/>
          <w:szCs w:val="20"/>
        </w:rPr>
        <w:t>,</w:t>
      </w:r>
      <w:r w:rsidRPr="00025B9C">
        <w:rPr>
          <w:rFonts w:asciiTheme="minorHAnsi" w:hAnsiTheme="minorHAnsi" w:cstheme="minorHAnsi"/>
          <w:sz w:val="20"/>
          <w:szCs w:val="20"/>
        </w:rPr>
        <w:t xml:space="preserve"> p.</w:t>
      </w:r>
      <w:r w:rsidR="00735283" w:rsidRPr="00025B9C">
        <w:rPr>
          <w:rFonts w:asciiTheme="minorHAnsi" w:hAnsiTheme="minorHAnsi" w:cstheme="minorHAnsi"/>
          <w:sz w:val="20"/>
          <w:szCs w:val="20"/>
        </w:rPr>
        <w:t xml:space="preserve"> </w:t>
      </w:r>
      <w:r w:rsidRPr="00025B9C">
        <w:rPr>
          <w:rFonts w:asciiTheme="minorHAnsi" w:hAnsiTheme="minorHAnsi" w:cstheme="minorHAnsi"/>
          <w:sz w:val="20"/>
          <w:szCs w:val="20"/>
        </w:rPr>
        <w:t>11</w:t>
      </w:r>
      <w:r w:rsidR="00520150" w:rsidRPr="00025B9C">
        <w:rPr>
          <w:rFonts w:asciiTheme="minorHAnsi" w:hAnsiTheme="minorHAnsi" w:cstheme="minorHAnsi"/>
          <w:sz w:val="20"/>
          <w:szCs w:val="20"/>
        </w:rPr>
        <w:t>.</w:t>
      </w:r>
    </w:p>
    <w:p w:rsidR="00416487" w:rsidRPr="00025B9C" w:rsidRDefault="00416487" w:rsidP="00D665D9">
      <w:pPr>
        <w:ind w:left="567" w:right="804" w:firstLine="11"/>
        <w:jc w:val="both"/>
        <w:rPr>
          <w:rFonts w:asciiTheme="minorHAnsi" w:hAnsiTheme="minorHAnsi" w:cstheme="minorHAnsi"/>
          <w:b/>
          <w:sz w:val="20"/>
          <w:szCs w:val="20"/>
        </w:rPr>
      </w:pPr>
    </w:p>
    <w:p w:rsidR="00D038DB" w:rsidRPr="00025B9C" w:rsidRDefault="00373CBC" w:rsidP="00D665D9">
      <w:pPr>
        <w:ind w:left="567" w:right="804" w:firstLine="11"/>
        <w:jc w:val="both"/>
        <w:rPr>
          <w:rFonts w:asciiTheme="minorHAnsi" w:hAnsiTheme="minorHAnsi" w:cstheme="minorHAnsi"/>
          <w:sz w:val="20"/>
          <w:szCs w:val="20"/>
        </w:rPr>
      </w:pPr>
      <w:r w:rsidRPr="00025B9C">
        <w:rPr>
          <w:rFonts w:asciiTheme="minorHAnsi" w:hAnsiTheme="minorHAnsi" w:cstheme="minorHAnsi"/>
          <w:b/>
          <w:sz w:val="20"/>
          <w:szCs w:val="20"/>
        </w:rPr>
        <w:t>Example 1</w:t>
      </w:r>
      <w:r w:rsidR="00D038DB" w:rsidRPr="00025B9C">
        <w:rPr>
          <w:rFonts w:asciiTheme="minorHAnsi" w:hAnsiTheme="minorHAnsi" w:cstheme="minorHAnsi"/>
          <w:b/>
          <w:sz w:val="20"/>
          <w:szCs w:val="20"/>
        </w:rPr>
        <w:t xml:space="preserve">d: Keeping the situation and need for </w:t>
      </w:r>
      <w:r w:rsidR="00BA6ABE" w:rsidRPr="00025B9C">
        <w:rPr>
          <w:rFonts w:asciiTheme="minorHAnsi" w:hAnsiTheme="minorHAnsi" w:cstheme="minorHAnsi"/>
          <w:b/>
          <w:sz w:val="20"/>
          <w:szCs w:val="20"/>
        </w:rPr>
        <w:t>corrective action</w:t>
      </w:r>
      <w:r w:rsidR="00D038DB" w:rsidRPr="00025B9C">
        <w:rPr>
          <w:rFonts w:asciiTheme="minorHAnsi" w:hAnsiTheme="minorHAnsi" w:cstheme="minorHAnsi"/>
          <w:b/>
          <w:sz w:val="20"/>
          <w:szCs w:val="20"/>
        </w:rPr>
        <w:t xml:space="preserve"> under review</w:t>
      </w:r>
    </w:p>
    <w:p w:rsidR="00AA1998" w:rsidRPr="00025B9C" w:rsidRDefault="00AA1998" w:rsidP="00D665D9">
      <w:pPr>
        <w:autoSpaceDE w:val="0"/>
        <w:autoSpaceDN w:val="0"/>
        <w:adjustRightInd w:val="0"/>
        <w:ind w:left="567" w:firstLine="11"/>
        <w:rPr>
          <w:rFonts w:asciiTheme="minorHAnsi" w:hAnsiTheme="minorHAnsi" w:cstheme="minorHAnsi"/>
          <w:bCs/>
          <w:sz w:val="20"/>
          <w:szCs w:val="20"/>
          <w:lang w:val="en-IE" w:eastAsia="en-IE"/>
        </w:rPr>
      </w:pPr>
      <w:r w:rsidRPr="00025B9C">
        <w:rPr>
          <w:rFonts w:asciiTheme="minorHAnsi" w:hAnsiTheme="minorHAnsi" w:cstheme="minorHAnsi"/>
          <w:bCs/>
          <w:sz w:val="20"/>
          <w:szCs w:val="20"/>
          <w:lang w:val="en-IE" w:eastAsia="en-IE"/>
        </w:rPr>
        <w:t>The Remuneration Committee</w:t>
      </w:r>
    </w:p>
    <w:p w:rsidR="00AA1998" w:rsidRPr="00025B9C" w:rsidRDefault="00AA1998" w:rsidP="00D665D9">
      <w:pPr>
        <w:autoSpaceDE w:val="0"/>
        <w:autoSpaceDN w:val="0"/>
        <w:adjustRightInd w:val="0"/>
        <w:ind w:left="567" w:firstLine="11"/>
        <w:jc w:val="both"/>
        <w:rPr>
          <w:rFonts w:asciiTheme="minorHAnsi" w:hAnsiTheme="minorHAnsi" w:cstheme="minorHAnsi"/>
          <w:sz w:val="20"/>
          <w:szCs w:val="20"/>
        </w:rPr>
      </w:pPr>
      <w:r w:rsidRPr="00025B9C">
        <w:rPr>
          <w:rFonts w:asciiTheme="minorHAnsi" w:hAnsiTheme="minorHAnsi" w:cstheme="minorHAnsi"/>
          <w:sz w:val="20"/>
          <w:szCs w:val="20"/>
          <w:lang w:val="en-IE" w:eastAsia="en-IE"/>
        </w:rPr>
        <w:t xml:space="preserve">During 2011 this Committee comprised independent Non-Executive Directors David </w:t>
      </w:r>
      <w:proofErr w:type="spellStart"/>
      <w:r w:rsidRPr="00025B9C">
        <w:rPr>
          <w:rFonts w:asciiTheme="minorHAnsi" w:hAnsiTheme="minorHAnsi" w:cstheme="minorHAnsi"/>
          <w:sz w:val="20"/>
          <w:szCs w:val="20"/>
          <w:lang w:val="en-IE" w:eastAsia="en-IE"/>
        </w:rPr>
        <w:t>Allvey</w:t>
      </w:r>
      <w:proofErr w:type="spellEnd"/>
      <w:r w:rsidRPr="00025B9C">
        <w:rPr>
          <w:rFonts w:asciiTheme="minorHAnsi" w:hAnsiTheme="minorHAnsi" w:cstheme="minorHAnsi"/>
          <w:sz w:val="20"/>
          <w:szCs w:val="20"/>
          <w:lang w:val="en-IE" w:eastAsia="en-IE"/>
        </w:rPr>
        <w:t xml:space="preserve"> (Chairman), Gavin Darby (resigned May 2011) and Christopher Knight, together with </w:t>
      </w:r>
      <w:proofErr w:type="spellStart"/>
      <w:r w:rsidRPr="00025B9C">
        <w:rPr>
          <w:rFonts w:asciiTheme="minorHAnsi" w:hAnsiTheme="minorHAnsi" w:cstheme="minorHAnsi"/>
          <w:sz w:val="20"/>
          <w:szCs w:val="20"/>
          <w:lang w:val="en-IE" w:eastAsia="en-IE"/>
        </w:rPr>
        <w:t>Vanni</w:t>
      </w:r>
      <w:proofErr w:type="spellEnd"/>
      <w:r w:rsidRPr="00025B9C">
        <w:rPr>
          <w:rFonts w:asciiTheme="minorHAnsi" w:hAnsiTheme="minorHAnsi" w:cstheme="minorHAnsi"/>
          <w:sz w:val="20"/>
          <w:szCs w:val="20"/>
          <w:lang w:val="en-IE" w:eastAsia="en-IE"/>
        </w:rPr>
        <w:t xml:space="preserve"> Treves. With effect from 1 January 2012, the Committee now comprises Christopher Knight (Chairman), Alan Brown and Sir David Reid. The Code requires the Remuneration Committee to have at least three independent Non-Executive Directors whilst allowing the Chairman of the Board of Directors of the Company, if considered independent on appointment, to be a member. Whilst mindful of its </w:t>
      </w:r>
      <w:r w:rsidR="00244860" w:rsidRPr="00025B9C">
        <w:rPr>
          <w:rFonts w:asciiTheme="minorHAnsi" w:hAnsiTheme="minorHAnsi" w:cstheme="minorHAnsi"/>
          <w:sz w:val="20"/>
          <w:szCs w:val="20"/>
          <w:lang w:val="en-IE" w:eastAsia="en-IE"/>
        </w:rPr>
        <w:t>non-compliance</w:t>
      </w:r>
      <w:r w:rsidRPr="00025B9C">
        <w:rPr>
          <w:rFonts w:asciiTheme="minorHAnsi" w:hAnsiTheme="minorHAnsi" w:cstheme="minorHAnsi"/>
          <w:sz w:val="20"/>
          <w:szCs w:val="20"/>
          <w:lang w:val="en-IE" w:eastAsia="en-IE"/>
        </w:rPr>
        <w:t xml:space="preserve"> with the Code, the Board has considered and still believes that the Committee has the necessary skills and expertise required. However, this will be kept under review and steps taken to look at appointing an additional Non-Executive Director during the year.</w:t>
      </w:r>
    </w:p>
    <w:p w:rsidR="003F63A5" w:rsidRPr="00025B9C" w:rsidRDefault="00C90A48" w:rsidP="00D665D9">
      <w:pPr>
        <w:ind w:left="567" w:right="804"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Source: Intertek Group plc </w:t>
      </w:r>
      <w:r w:rsidR="00735283" w:rsidRPr="00025B9C">
        <w:rPr>
          <w:rFonts w:asciiTheme="minorHAnsi" w:hAnsiTheme="minorHAnsi" w:cstheme="minorHAnsi"/>
          <w:sz w:val="20"/>
          <w:szCs w:val="20"/>
        </w:rPr>
        <w:t>annual report</w:t>
      </w:r>
      <w:r w:rsidR="0015561A" w:rsidRPr="00025B9C">
        <w:rPr>
          <w:rFonts w:asciiTheme="minorHAnsi" w:hAnsiTheme="minorHAnsi" w:cstheme="minorHAnsi"/>
          <w:sz w:val="20"/>
          <w:szCs w:val="20"/>
        </w:rPr>
        <w:t xml:space="preserve"> 2011</w:t>
      </w:r>
      <w:r w:rsidR="00520150" w:rsidRPr="00025B9C">
        <w:rPr>
          <w:rFonts w:asciiTheme="minorHAnsi" w:hAnsiTheme="minorHAnsi" w:cstheme="minorHAnsi"/>
          <w:sz w:val="20"/>
          <w:szCs w:val="20"/>
        </w:rPr>
        <w:t>,</w:t>
      </w:r>
      <w:r w:rsidRPr="00025B9C">
        <w:rPr>
          <w:rFonts w:asciiTheme="minorHAnsi" w:hAnsiTheme="minorHAnsi" w:cstheme="minorHAnsi"/>
          <w:sz w:val="20"/>
          <w:szCs w:val="20"/>
        </w:rPr>
        <w:t xml:space="preserve"> p.</w:t>
      </w:r>
      <w:r w:rsidR="00735283" w:rsidRPr="00025B9C">
        <w:rPr>
          <w:rFonts w:asciiTheme="minorHAnsi" w:hAnsiTheme="minorHAnsi" w:cstheme="minorHAnsi"/>
          <w:sz w:val="20"/>
          <w:szCs w:val="20"/>
        </w:rPr>
        <w:t xml:space="preserve"> </w:t>
      </w:r>
      <w:r w:rsidRPr="00025B9C">
        <w:rPr>
          <w:rFonts w:asciiTheme="minorHAnsi" w:hAnsiTheme="minorHAnsi" w:cstheme="minorHAnsi"/>
          <w:sz w:val="20"/>
          <w:szCs w:val="20"/>
        </w:rPr>
        <w:t>41</w:t>
      </w:r>
      <w:r w:rsidR="00520150" w:rsidRPr="00025B9C">
        <w:rPr>
          <w:rFonts w:asciiTheme="minorHAnsi" w:hAnsiTheme="minorHAnsi" w:cstheme="minorHAnsi"/>
          <w:sz w:val="20"/>
          <w:szCs w:val="20"/>
        </w:rPr>
        <w:t>.</w:t>
      </w:r>
    </w:p>
    <w:p w:rsidR="00CA2991" w:rsidRPr="00025B9C" w:rsidRDefault="00CA2991" w:rsidP="00D26D00">
      <w:pPr>
        <w:spacing w:line="360" w:lineRule="auto"/>
        <w:jc w:val="both"/>
        <w:rPr>
          <w:rFonts w:asciiTheme="minorHAnsi" w:hAnsiTheme="minorHAnsi" w:cstheme="minorHAnsi"/>
        </w:rPr>
      </w:pPr>
    </w:p>
    <w:p w:rsidR="002E46DB" w:rsidRPr="00025B9C" w:rsidRDefault="006F3195" w:rsidP="00D665D9">
      <w:pPr>
        <w:spacing w:line="360" w:lineRule="auto"/>
        <w:jc w:val="both"/>
        <w:rPr>
          <w:rFonts w:asciiTheme="minorHAnsi" w:hAnsiTheme="minorHAnsi" w:cstheme="minorHAnsi"/>
        </w:rPr>
      </w:pPr>
      <w:r w:rsidRPr="00025B9C">
        <w:rPr>
          <w:rFonts w:asciiTheme="minorHAnsi" w:hAnsiTheme="minorHAnsi" w:cstheme="minorHAnsi"/>
        </w:rPr>
        <w:t>In relation</w:t>
      </w:r>
      <w:r w:rsidR="00D038DB" w:rsidRPr="00025B9C">
        <w:rPr>
          <w:rFonts w:asciiTheme="minorHAnsi" w:hAnsiTheme="minorHAnsi" w:cstheme="minorHAnsi"/>
        </w:rPr>
        <w:t xml:space="preserve"> </w:t>
      </w:r>
      <w:r w:rsidR="00221DC3" w:rsidRPr="00025B9C">
        <w:rPr>
          <w:rFonts w:asciiTheme="minorHAnsi" w:hAnsiTheme="minorHAnsi" w:cstheme="minorHAnsi"/>
        </w:rPr>
        <w:t xml:space="preserve">to </w:t>
      </w:r>
      <w:r w:rsidR="00D038DB" w:rsidRPr="00025B9C">
        <w:rPr>
          <w:rFonts w:asciiTheme="minorHAnsi" w:hAnsiTheme="minorHAnsi" w:cstheme="minorHAnsi"/>
        </w:rPr>
        <w:t xml:space="preserve">the promise of </w:t>
      </w:r>
      <w:r w:rsidR="00BA6ABE" w:rsidRPr="00025B9C">
        <w:rPr>
          <w:rFonts w:asciiTheme="minorHAnsi" w:hAnsiTheme="minorHAnsi" w:cstheme="minorHAnsi"/>
        </w:rPr>
        <w:t>corrective action</w:t>
      </w:r>
      <w:r w:rsidR="00D038DB" w:rsidRPr="00025B9C">
        <w:rPr>
          <w:rFonts w:asciiTheme="minorHAnsi" w:hAnsiTheme="minorHAnsi" w:cstheme="minorHAnsi"/>
        </w:rPr>
        <w:t xml:space="preserve"> in the future, </w:t>
      </w:r>
      <w:r w:rsidR="00716D0C" w:rsidRPr="00025B9C">
        <w:rPr>
          <w:rFonts w:asciiTheme="minorHAnsi" w:hAnsiTheme="minorHAnsi" w:cstheme="minorHAnsi"/>
        </w:rPr>
        <w:t>instances</w:t>
      </w:r>
      <w:r w:rsidR="00224EAB" w:rsidRPr="00025B9C">
        <w:rPr>
          <w:rFonts w:asciiTheme="minorHAnsi" w:hAnsiTheme="minorHAnsi" w:cstheme="minorHAnsi"/>
        </w:rPr>
        <w:t xml:space="preserve"> of unrealiz</w:t>
      </w:r>
      <w:r w:rsidR="00416487" w:rsidRPr="00025B9C">
        <w:rPr>
          <w:rFonts w:asciiTheme="minorHAnsi" w:hAnsiTheme="minorHAnsi" w:cstheme="minorHAnsi"/>
        </w:rPr>
        <w:t xml:space="preserve">ed promises were </w:t>
      </w:r>
      <w:r w:rsidR="00D038DB" w:rsidRPr="00025B9C">
        <w:rPr>
          <w:rFonts w:asciiTheme="minorHAnsi" w:hAnsiTheme="minorHAnsi" w:cstheme="minorHAnsi"/>
        </w:rPr>
        <w:t>found in explana</w:t>
      </w:r>
      <w:r w:rsidRPr="00025B9C">
        <w:rPr>
          <w:rFonts w:asciiTheme="minorHAnsi" w:hAnsiTheme="minorHAnsi" w:cstheme="minorHAnsi"/>
        </w:rPr>
        <w:t>tions.</w:t>
      </w:r>
      <w:r w:rsidR="00373CBC" w:rsidRPr="00025B9C">
        <w:rPr>
          <w:rFonts w:asciiTheme="minorHAnsi" w:hAnsiTheme="minorHAnsi" w:cstheme="minorHAnsi"/>
        </w:rPr>
        <w:t xml:space="preserve"> Example 1</w:t>
      </w:r>
      <w:r w:rsidR="00D038DB" w:rsidRPr="00025B9C">
        <w:rPr>
          <w:rFonts w:asciiTheme="minorHAnsi" w:hAnsiTheme="minorHAnsi" w:cstheme="minorHAnsi"/>
        </w:rPr>
        <w:t>e</w:t>
      </w:r>
      <w:r w:rsidR="002E46DB" w:rsidRPr="00025B9C">
        <w:rPr>
          <w:rFonts w:asciiTheme="minorHAnsi" w:hAnsiTheme="minorHAnsi" w:cstheme="minorHAnsi"/>
        </w:rPr>
        <w:t xml:space="preserve"> demonstrates that, even for large visible corporations, promises </w:t>
      </w:r>
      <w:r w:rsidR="00DB21BA" w:rsidRPr="00025B9C">
        <w:rPr>
          <w:rFonts w:asciiTheme="minorHAnsi" w:hAnsiTheme="minorHAnsi" w:cstheme="minorHAnsi"/>
        </w:rPr>
        <w:t>of</w:t>
      </w:r>
      <w:r w:rsidR="00E70888" w:rsidRPr="00025B9C">
        <w:rPr>
          <w:rFonts w:asciiTheme="minorHAnsi" w:hAnsiTheme="minorHAnsi" w:cstheme="minorHAnsi"/>
        </w:rPr>
        <w:t xml:space="preserve"> </w:t>
      </w:r>
      <w:r w:rsidR="00BA6ABE" w:rsidRPr="00025B9C">
        <w:rPr>
          <w:rFonts w:asciiTheme="minorHAnsi" w:hAnsiTheme="minorHAnsi" w:cstheme="minorHAnsi"/>
        </w:rPr>
        <w:t>corrective action</w:t>
      </w:r>
      <w:r w:rsidR="002E46DB" w:rsidRPr="00025B9C">
        <w:rPr>
          <w:rFonts w:asciiTheme="minorHAnsi" w:hAnsiTheme="minorHAnsi" w:cstheme="minorHAnsi"/>
        </w:rPr>
        <w:t xml:space="preserve"> can remain unfulfilled</w:t>
      </w:r>
      <w:r w:rsidR="00EE280B" w:rsidRPr="00025B9C">
        <w:rPr>
          <w:rFonts w:asciiTheme="minorHAnsi" w:hAnsiTheme="minorHAnsi" w:cstheme="minorHAnsi"/>
        </w:rPr>
        <w:t>, such that the rhetoric does not match reality</w:t>
      </w:r>
      <w:r w:rsidR="002E46DB" w:rsidRPr="00025B9C">
        <w:rPr>
          <w:rFonts w:asciiTheme="minorHAnsi" w:hAnsiTheme="minorHAnsi" w:cstheme="minorHAnsi"/>
        </w:rPr>
        <w:t xml:space="preserve">. </w:t>
      </w:r>
      <w:r w:rsidR="00107C93" w:rsidRPr="00025B9C">
        <w:rPr>
          <w:rFonts w:asciiTheme="minorHAnsi" w:hAnsiTheme="minorHAnsi" w:cstheme="minorHAnsi"/>
        </w:rPr>
        <w:t xml:space="preserve">Readers of explanations need to check whether and when promises of future compliance are realized. </w:t>
      </w:r>
    </w:p>
    <w:p w:rsidR="00376FCA" w:rsidRPr="00025B9C" w:rsidRDefault="00376FCA" w:rsidP="00464241">
      <w:pPr>
        <w:ind w:right="804"/>
        <w:jc w:val="both"/>
        <w:rPr>
          <w:rFonts w:asciiTheme="minorHAnsi" w:hAnsiTheme="minorHAnsi" w:cstheme="minorHAnsi"/>
          <w:b/>
          <w:sz w:val="20"/>
          <w:szCs w:val="20"/>
        </w:rPr>
      </w:pPr>
    </w:p>
    <w:p w:rsidR="00B64D66" w:rsidRPr="00025B9C" w:rsidRDefault="00B64D66" w:rsidP="00D665D9">
      <w:pPr>
        <w:ind w:left="567" w:right="804" w:firstLine="11"/>
        <w:jc w:val="both"/>
        <w:rPr>
          <w:rFonts w:asciiTheme="minorHAnsi" w:hAnsiTheme="minorHAnsi" w:cstheme="minorHAnsi"/>
          <w:b/>
          <w:sz w:val="20"/>
          <w:szCs w:val="20"/>
        </w:rPr>
      </w:pPr>
    </w:p>
    <w:p w:rsidR="00566800" w:rsidRPr="00025B9C" w:rsidRDefault="00376FCA" w:rsidP="00D665D9">
      <w:pPr>
        <w:ind w:left="567" w:right="804" w:firstLine="11"/>
        <w:jc w:val="both"/>
        <w:rPr>
          <w:rFonts w:asciiTheme="minorHAnsi" w:hAnsiTheme="minorHAnsi" w:cstheme="minorHAnsi"/>
          <w:sz w:val="20"/>
          <w:szCs w:val="20"/>
        </w:rPr>
      </w:pPr>
      <w:r w:rsidRPr="00025B9C">
        <w:rPr>
          <w:rFonts w:asciiTheme="minorHAnsi" w:hAnsiTheme="minorHAnsi" w:cstheme="minorHAnsi"/>
          <w:b/>
          <w:sz w:val="20"/>
          <w:szCs w:val="20"/>
        </w:rPr>
        <w:t>Example 1</w:t>
      </w:r>
      <w:r w:rsidR="00224EAB" w:rsidRPr="00025B9C">
        <w:rPr>
          <w:rFonts w:asciiTheme="minorHAnsi" w:hAnsiTheme="minorHAnsi" w:cstheme="minorHAnsi"/>
          <w:b/>
          <w:sz w:val="20"/>
          <w:szCs w:val="20"/>
        </w:rPr>
        <w:t>e: Unrealiz</w:t>
      </w:r>
      <w:r w:rsidR="00D038DB" w:rsidRPr="00025B9C">
        <w:rPr>
          <w:rFonts w:asciiTheme="minorHAnsi" w:hAnsiTheme="minorHAnsi" w:cstheme="minorHAnsi"/>
          <w:b/>
          <w:sz w:val="20"/>
          <w:szCs w:val="20"/>
        </w:rPr>
        <w:t>ed promise</w:t>
      </w:r>
      <w:r w:rsidR="00C71DDF" w:rsidRPr="00025B9C">
        <w:rPr>
          <w:rFonts w:asciiTheme="minorHAnsi" w:hAnsiTheme="minorHAnsi" w:cstheme="minorHAnsi"/>
          <w:sz w:val="20"/>
          <w:szCs w:val="20"/>
        </w:rPr>
        <w:t xml:space="preserve"> </w:t>
      </w:r>
    </w:p>
    <w:p w:rsidR="00566800" w:rsidRPr="00025B9C" w:rsidRDefault="00566800" w:rsidP="00D665D9">
      <w:pPr>
        <w:shd w:val="clear" w:color="auto" w:fill="FFFFFF"/>
        <w:ind w:left="567" w:firstLine="11"/>
        <w:rPr>
          <w:rFonts w:asciiTheme="minorHAnsi" w:hAnsiTheme="minorHAnsi" w:cstheme="minorHAnsi"/>
          <w:sz w:val="20"/>
          <w:szCs w:val="20"/>
          <w:lang w:eastAsia="zh-CN"/>
        </w:rPr>
      </w:pPr>
      <w:r w:rsidRPr="00025B9C">
        <w:rPr>
          <w:rFonts w:asciiTheme="minorHAnsi" w:hAnsiTheme="minorHAnsi" w:cstheme="minorHAnsi"/>
          <w:sz w:val="20"/>
          <w:szCs w:val="20"/>
          <w:lang w:eastAsia="zh-CN"/>
        </w:rPr>
        <w:t>The Board</w:t>
      </w:r>
    </w:p>
    <w:p w:rsidR="00566800" w:rsidRPr="00025B9C" w:rsidRDefault="00566800" w:rsidP="00D665D9">
      <w:pPr>
        <w:shd w:val="clear" w:color="auto" w:fill="FFFFFF"/>
        <w:ind w:left="567" w:firstLine="11"/>
        <w:jc w:val="both"/>
        <w:rPr>
          <w:rFonts w:asciiTheme="minorHAnsi" w:hAnsiTheme="minorHAnsi" w:cstheme="minorHAnsi"/>
          <w:sz w:val="20"/>
          <w:szCs w:val="20"/>
          <w:lang w:eastAsia="zh-CN"/>
        </w:rPr>
      </w:pPr>
      <w:r w:rsidRPr="00025B9C">
        <w:rPr>
          <w:rFonts w:asciiTheme="minorHAnsi" w:hAnsiTheme="minorHAnsi" w:cstheme="minorHAnsi"/>
          <w:sz w:val="20"/>
          <w:szCs w:val="20"/>
          <w:lang w:eastAsia="zh-CN"/>
        </w:rPr>
        <w:t xml:space="preserve">The Chairman, Mr A J </w:t>
      </w:r>
      <w:proofErr w:type="spellStart"/>
      <w:r w:rsidRPr="00025B9C">
        <w:rPr>
          <w:rFonts w:asciiTheme="minorHAnsi" w:hAnsiTheme="minorHAnsi" w:cstheme="minorHAnsi"/>
          <w:sz w:val="20"/>
          <w:szCs w:val="20"/>
          <w:lang w:eastAsia="zh-CN"/>
        </w:rPr>
        <w:t>Habgood</w:t>
      </w:r>
      <w:proofErr w:type="spellEnd"/>
      <w:r w:rsidRPr="00025B9C">
        <w:rPr>
          <w:rFonts w:asciiTheme="minorHAnsi" w:hAnsiTheme="minorHAnsi" w:cstheme="minorHAnsi"/>
          <w:sz w:val="20"/>
          <w:szCs w:val="20"/>
          <w:lang w:eastAsia="zh-CN"/>
        </w:rPr>
        <w:t xml:space="preserve">, continued to act in the capacity of Chief Executive until 1 November. The Board recognised the concerns, expressed in a general context, about the possible negative effects of a concentration of power through a combined Chairman and Chief Executive role and, although it believed these did not apply to the Company for a variety of reasons, it was decided at the end of February 2005 that, following the demerger of </w:t>
      </w:r>
      <w:proofErr w:type="spellStart"/>
      <w:r w:rsidRPr="00025B9C">
        <w:rPr>
          <w:rFonts w:asciiTheme="minorHAnsi" w:hAnsiTheme="minorHAnsi" w:cstheme="minorHAnsi"/>
          <w:sz w:val="20"/>
          <w:szCs w:val="20"/>
          <w:lang w:eastAsia="zh-CN"/>
        </w:rPr>
        <w:t>Filtrona</w:t>
      </w:r>
      <w:proofErr w:type="spellEnd"/>
      <w:r w:rsidRPr="00025B9C">
        <w:rPr>
          <w:rFonts w:asciiTheme="minorHAnsi" w:hAnsiTheme="minorHAnsi" w:cstheme="minorHAnsi"/>
          <w:sz w:val="20"/>
          <w:szCs w:val="20"/>
          <w:lang w:eastAsia="zh-CN"/>
        </w:rPr>
        <w:t xml:space="preserve"> in June 2005, the roles of Chairman and Chief Executive would be separated. Having originally agreed to do so, Mr C P Sander subsequently decided not to assume the position of Chief Executive for personal reasons. </w:t>
      </w:r>
    </w:p>
    <w:p w:rsidR="00D038DB" w:rsidRPr="00025B9C" w:rsidRDefault="00D038DB" w:rsidP="00D665D9">
      <w:pPr>
        <w:ind w:left="567" w:right="804"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Source: Bunzl plc </w:t>
      </w:r>
      <w:r w:rsidR="00735283" w:rsidRPr="00025B9C">
        <w:rPr>
          <w:rFonts w:asciiTheme="minorHAnsi" w:hAnsiTheme="minorHAnsi" w:cstheme="minorHAnsi"/>
          <w:sz w:val="20"/>
          <w:szCs w:val="20"/>
        </w:rPr>
        <w:t>annual report</w:t>
      </w:r>
      <w:r w:rsidR="0015561A" w:rsidRPr="00025B9C">
        <w:rPr>
          <w:rFonts w:asciiTheme="minorHAnsi" w:hAnsiTheme="minorHAnsi" w:cstheme="minorHAnsi"/>
          <w:sz w:val="20"/>
          <w:szCs w:val="20"/>
        </w:rPr>
        <w:t xml:space="preserve"> 2005</w:t>
      </w:r>
      <w:r w:rsidR="00520150" w:rsidRPr="00025B9C">
        <w:rPr>
          <w:rFonts w:asciiTheme="minorHAnsi" w:hAnsiTheme="minorHAnsi" w:cstheme="minorHAnsi"/>
          <w:sz w:val="20"/>
          <w:szCs w:val="20"/>
        </w:rPr>
        <w:t>,</w:t>
      </w:r>
      <w:r w:rsidRPr="00025B9C">
        <w:rPr>
          <w:rFonts w:asciiTheme="minorHAnsi" w:hAnsiTheme="minorHAnsi" w:cstheme="minorHAnsi"/>
          <w:sz w:val="20"/>
          <w:szCs w:val="20"/>
        </w:rPr>
        <w:t xml:space="preserve"> p.</w:t>
      </w:r>
      <w:r w:rsidR="00735283" w:rsidRPr="00025B9C">
        <w:rPr>
          <w:rFonts w:asciiTheme="minorHAnsi" w:hAnsiTheme="minorHAnsi" w:cstheme="minorHAnsi"/>
          <w:sz w:val="20"/>
          <w:szCs w:val="20"/>
        </w:rPr>
        <w:t xml:space="preserve"> </w:t>
      </w:r>
      <w:r w:rsidRPr="00025B9C">
        <w:rPr>
          <w:rFonts w:asciiTheme="minorHAnsi" w:hAnsiTheme="minorHAnsi" w:cstheme="minorHAnsi"/>
          <w:sz w:val="20"/>
          <w:szCs w:val="20"/>
        </w:rPr>
        <w:t>2</w:t>
      </w:r>
      <w:r w:rsidR="00520150" w:rsidRPr="00025B9C">
        <w:rPr>
          <w:rFonts w:asciiTheme="minorHAnsi" w:hAnsiTheme="minorHAnsi" w:cstheme="minorHAnsi"/>
          <w:sz w:val="20"/>
          <w:szCs w:val="20"/>
        </w:rPr>
        <w:t>.</w:t>
      </w:r>
    </w:p>
    <w:p w:rsidR="00856301" w:rsidRPr="00025B9C" w:rsidRDefault="00856301" w:rsidP="00D665D9">
      <w:pPr>
        <w:spacing w:line="360" w:lineRule="auto"/>
        <w:jc w:val="both"/>
        <w:rPr>
          <w:rFonts w:asciiTheme="minorHAnsi" w:hAnsiTheme="minorHAnsi" w:cstheme="minorHAnsi"/>
        </w:rPr>
      </w:pPr>
    </w:p>
    <w:p w:rsidR="00C62A29" w:rsidRPr="00025B9C" w:rsidRDefault="00376FCA" w:rsidP="00CF522A">
      <w:pPr>
        <w:keepNext/>
        <w:spacing w:line="360" w:lineRule="auto"/>
        <w:jc w:val="both"/>
        <w:rPr>
          <w:rFonts w:asciiTheme="minorHAnsi" w:hAnsiTheme="minorHAnsi" w:cstheme="minorHAnsi"/>
          <w:u w:val="single"/>
        </w:rPr>
      </w:pPr>
      <w:r w:rsidRPr="00025B9C">
        <w:rPr>
          <w:rFonts w:asciiTheme="minorHAnsi" w:hAnsiTheme="minorHAnsi" w:cstheme="minorHAnsi"/>
          <w:u w:val="single"/>
        </w:rPr>
        <w:t>2</w:t>
      </w:r>
      <w:r w:rsidR="00DC0BB5" w:rsidRPr="00025B9C">
        <w:rPr>
          <w:rFonts w:asciiTheme="minorHAnsi" w:hAnsiTheme="minorHAnsi" w:cstheme="minorHAnsi"/>
          <w:u w:val="single"/>
        </w:rPr>
        <w:t xml:space="preserve">. </w:t>
      </w:r>
      <w:r w:rsidR="00C62A29" w:rsidRPr="00025B9C">
        <w:rPr>
          <w:rFonts w:asciiTheme="minorHAnsi" w:hAnsiTheme="minorHAnsi" w:cstheme="minorHAnsi"/>
          <w:u w:val="single"/>
        </w:rPr>
        <w:t>Bolstering</w:t>
      </w:r>
    </w:p>
    <w:p w:rsidR="001B7596" w:rsidRPr="00025B9C" w:rsidRDefault="001B7596" w:rsidP="00CF522A">
      <w:pPr>
        <w:keepNext/>
        <w:spacing w:line="360" w:lineRule="auto"/>
        <w:jc w:val="both"/>
        <w:rPr>
          <w:rFonts w:asciiTheme="minorHAnsi" w:hAnsiTheme="minorHAnsi" w:cstheme="minorHAnsi"/>
        </w:rPr>
      </w:pPr>
      <w:r w:rsidRPr="00025B9C">
        <w:rPr>
          <w:rFonts w:asciiTheme="minorHAnsi" w:hAnsiTheme="minorHAnsi" w:cstheme="minorHAnsi"/>
        </w:rPr>
        <w:t xml:space="preserve">Bolstering </w:t>
      </w:r>
      <w:r w:rsidR="00C753CD" w:rsidRPr="00025B9C">
        <w:rPr>
          <w:rFonts w:asciiTheme="minorHAnsi" w:hAnsiTheme="minorHAnsi" w:cstheme="minorHAnsi"/>
        </w:rPr>
        <w:t>refers</w:t>
      </w:r>
      <w:r w:rsidRPr="00025B9C">
        <w:rPr>
          <w:rFonts w:asciiTheme="minorHAnsi" w:hAnsiTheme="minorHAnsi" w:cstheme="minorHAnsi"/>
        </w:rPr>
        <w:t xml:space="preserve"> to some positive event which diverts reader</w:t>
      </w:r>
      <w:r w:rsidR="008F6B28" w:rsidRPr="00025B9C">
        <w:rPr>
          <w:rFonts w:asciiTheme="minorHAnsi" w:hAnsiTheme="minorHAnsi" w:cstheme="minorHAnsi"/>
        </w:rPr>
        <w:t>s</w:t>
      </w:r>
      <w:r w:rsidRPr="00025B9C">
        <w:rPr>
          <w:rFonts w:asciiTheme="minorHAnsi" w:hAnsiTheme="minorHAnsi" w:cstheme="minorHAnsi"/>
        </w:rPr>
        <w:t xml:space="preserve"> away from the area in question</w:t>
      </w:r>
      <w:r w:rsidR="00237488" w:rsidRPr="00025B9C">
        <w:rPr>
          <w:rFonts w:asciiTheme="minorHAnsi" w:hAnsiTheme="minorHAnsi" w:cstheme="minorHAnsi"/>
        </w:rPr>
        <w:t xml:space="preserve"> (</w:t>
      </w:r>
      <w:r w:rsidR="00701B16" w:rsidRPr="00025B9C">
        <w:rPr>
          <w:rFonts w:asciiTheme="minorHAnsi" w:hAnsiTheme="minorHAnsi" w:cstheme="minorHAnsi"/>
        </w:rPr>
        <w:t>see Benoit, 1995</w:t>
      </w:r>
      <w:r w:rsidR="00195CEB" w:rsidRPr="00025B9C">
        <w:rPr>
          <w:rFonts w:asciiTheme="minorHAnsi" w:hAnsiTheme="minorHAnsi" w:cstheme="minorHAnsi"/>
        </w:rPr>
        <w:t>;</w:t>
      </w:r>
      <w:r w:rsidR="00701B16" w:rsidRPr="00025B9C">
        <w:rPr>
          <w:rFonts w:asciiTheme="minorHAnsi" w:hAnsiTheme="minorHAnsi" w:cstheme="minorHAnsi"/>
        </w:rPr>
        <w:t xml:space="preserve"> </w:t>
      </w:r>
      <w:proofErr w:type="spellStart"/>
      <w:r w:rsidR="00237488" w:rsidRPr="00025B9C">
        <w:rPr>
          <w:rFonts w:asciiTheme="minorHAnsi" w:hAnsiTheme="minorHAnsi" w:cstheme="minorHAnsi"/>
        </w:rPr>
        <w:t>Bebbington</w:t>
      </w:r>
      <w:proofErr w:type="spellEnd"/>
      <w:r w:rsidR="00C71DDF" w:rsidRPr="00025B9C">
        <w:rPr>
          <w:rFonts w:asciiTheme="minorHAnsi" w:hAnsiTheme="minorHAnsi" w:cstheme="minorHAnsi"/>
        </w:rPr>
        <w:t>,</w:t>
      </w:r>
      <w:r w:rsidR="00237488" w:rsidRPr="00025B9C">
        <w:rPr>
          <w:rFonts w:asciiTheme="minorHAnsi" w:hAnsiTheme="minorHAnsi" w:cstheme="minorHAnsi"/>
        </w:rPr>
        <w:t xml:space="preserve"> </w:t>
      </w:r>
      <w:r w:rsidR="00C71DDF" w:rsidRPr="00025B9C">
        <w:rPr>
          <w:rFonts w:asciiTheme="minorHAnsi" w:hAnsiTheme="minorHAnsi" w:cstheme="minorHAnsi"/>
        </w:rPr>
        <w:t xml:space="preserve">Larrinaga &amp; </w:t>
      </w:r>
      <w:proofErr w:type="spellStart"/>
      <w:r w:rsidR="00C71DDF" w:rsidRPr="00025B9C">
        <w:rPr>
          <w:rFonts w:asciiTheme="minorHAnsi" w:hAnsiTheme="minorHAnsi" w:cstheme="minorHAnsi"/>
        </w:rPr>
        <w:t>Moneva</w:t>
      </w:r>
      <w:proofErr w:type="spellEnd"/>
      <w:r w:rsidR="00237488" w:rsidRPr="00025B9C">
        <w:rPr>
          <w:rFonts w:asciiTheme="minorHAnsi" w:hAnsiTheme="minorHAnsi" w:cstheme="minorHAnsi"/>
        </w:rPr>
        <w:t>, 2008)</w:t>
      </w:r>
      <w:r w:rsidRPr="00025B9C">
        <w:rPr>
          <w:rFonts w:asciiTheme="minorHAnsi" w:hAnsiTheme="minorHAnsi" w:cstheme="minorHAnsi"/>
        </w:rPr>
        <w:t xml:space="preserve">. </w:t>
      </w:r>
      <w:r w:rsidR="00701B16" w:rsidRPr="00025B9C">
        <w:rPr>
          <w:rFonts w:asciiTheme="minorHAnsi" w:hAnsiTheme="minorHAnsi" w:cstheme="minorHAnsi"/>
        </w:rPr>
        <w:t>T</w:t>
      </w:r>
      <w:r w:rsidR="006F3195" w:rsidRPr="00025B9C">
        <w:rPr>
          <w:rFonts w:asciiTheme="minorHAnsi" w:hAnsiTheme="minorHAnsi" w:cstheme="minorHAnsi"/>
        </w:rPr>
        <w:t>he diversion to positive issues</w:t>
      </w:r>
      <w:r w:rsidRPr="00025B9C">
        <w:rPr>
          <w:rFonts w:asciiTheme="minorHAnsi" w:hAnsiTheme="minorHAnsi" w:cstheme="minorHAnsi"/>
        </w:rPr>
        <w:t xml:space="preserve"> is particularly successful if the “positive traits or actions appear relevant” (Benoit, 1995, p.</w:t>
      </w:r>
      <w:r w:rsidR="00F914D3" w:rsidRPr="00025B9C">
        <w:rPr>
          <w:rFonts w:asciiTheme="minorHAnsi" w:hAnsiTheme="minorHAnsi" w:cstheme="minorHAnsi"/>
        </w:rPr>
        <w:t xml:space="preserve"> </w:t>
      </w:r>
      <w:r w:rsidRPr="00025B9C">
        <w:rPr>
          <w:rFonts w:asciiTheme="minorHAnsi" w:hAnsiTheme="minorHAnsi" w:cstheme="minorHAnsi"/>
        </w:rPr>
        <w:t>77). Thus</w:t>
      </w:r>
      <w:r w:rsidR="00237488" w:rsidRPr="00025B9C">
        <w:rPr>
          <w:rFonts w:asciiTheme="minorHAnsi" w:hAnsiTheme="minorHAnsi" w:cstheme="minorHAnsi"/>
        </w:rPr>
        <w:t>,</w:t>
      </w:r>
      <w:r w:rsidRPr="00025B9C">
        <w:rPr>
          <w:rFonts w:asciiTheme="minorHAnsi" w:hAnsiTheme="minorHAnsi" w:cstheme="minorHAnsi"/>
        </w:rPr>
        <w:t xml:space="preserve"> stating the company had received an award for good corporate governance </w:t>
      </w:r>
      <w:r w:rsidR="00405F67" w:rsidRPr="00025B9C">
        <w:rPr>
          <w:rFonts w:asciiTheme="minorHAnsi" w:hAnsiTheme="minorHAnsi" w:cstheme="minorHAnsi"/>
        </w:rPr>
        <w:t>may</w:t>
      </w:r>
      <w:r w:rsidRPr="00025B9C">
        <w:rPr>
          <w:rFonts w:asciiTheme="minorHAnsi" w:hAnsiTheme="minorHAnsi" w:cstheme="minorHAnsi"/>
        </w:rPr>
        <w:t xml:space="preserve"> make </w:t>
      </w:r>
      <w:r w:rsidR="005A2582" w:rsidRPr="00025B9C">
        <w:rPr>
          <w:rFonts w:asciiTheme="minorHAnsi" w:hAnsiTheme="minorHAnsi" w:cstheme="minorHAnsi"/>
        </w:rPr>
        <w:t>readers</w:t>
      </w:r>
      <w:r w:rsidRPr="00025B9C">
        <w:rPr>
          <w:rFonts w:asciiTheme="minorHAnsi" w:hAnsiTheme="minorHAnsi" w:cstheme="minorHAnsi"/>
        </w:rPr>
        <w:t xml:space="preserve"> less concerned about incidences of non-compliance</w:t>
      </w:r>
      <w:r w:rsidR="0036208A" w:rsidRPr="00025B9C">
        <w:rPr>
          <w:rFonts w:asciiTheme="minorHAnsi" w:hAnsiTheme="minorHAnsi" w:cstheme="minorHAnsi"/>
        </w:rPr>
        <w:t xml:space="preserve">. </w:t>
      </w:r>
      <w:r w:rsidR="00B85406" w:rsidRPr="00025B9C">
        <w:rPr>
          <w:rFonts w:asciiTheme="minorHAnsi" w:hAnsiTheme="minorHAnsi" w:cstheme="minorHAnsi"/>
        </w:rPr>
        <w:t xml:space="preserve">The non-compliance is overshadowed by the company </w:t>
      </w:r>
      <w:r w:rsidR="00D330EA" w:rsidRPr="00025B9C">
        <w:rPr>
          <w:rFonts w:asciiTheme="minorHAnsi" w:hAnsiTheme="minorHAnsi" w:cstheme="minorHAnsi"/>
        </w:rPr>
        <w:t>appearing</w:t>
      </w:r>
      <w:r w:rsidR="00B85406" w:rsidRPr="00025B9C">
        <w:rPr>
          <w:rFonts w:asciiTheme="minorHAnsi" w:hAnsiTheme="minorHAnsi" w:cstheme="minorHAnsi"/>
        </w:rPr>
        <w:t xml:space="preserve"> good at governance </w:t>
      </w:r>
      <w:r w:rsidR="00D330EA" w:rsidRPr="00025B9C">
        <w:rPr>
          <w:rFonts w:asciiTheme="minorHAnsi" w:hAnsiTheme="minorHAnsi" w:cstheme="minorHAnsi"/>
        </w:rPr>
        <w:t xml:space="preserve">with </w:t>
      </w:r>
      <w:r w:rsidR="00B85406" w:rsidRPr="00025B9C">
        <w:rPr>
          <w:rFonts w:asciiTheme="minorHAnsi" w:hAnsiTheme="minorHAnsi" w:cstheme="minorHAnsi"/>
        </w:rPr>
        <w:t>the company’s approach equivalent to those complying and legitimacy is restored</w:t>
      </w:r>
      <w:r w:rsidR="00E06B85" w:rsidRPr="00025B9C">
        <w:rPr>
          <w:rFonts w:asciiTheme="minorHAnsi" w:hAnsiTheme="minorHAnsi" w:cstheme="minorHAnsi"/>
        </w:rPr>
        <w:t xml:space="preserve"> (</w:t>
      </w:r>
      <w:proofErr w:type="spellStart"/>
      <w:r w:rsidR="00E06B85" w:rsidRPr="00025B9C">
        <w:rPr>
          <w:rFonts w:asciiTheme="minorHAnsi" w:hAnsiTheme="minorHAnsi" w:cstheme="minorHAnsi"/>
        </w:rPr>
        <w:t>Suchman</w:t>
      </w:r>
      <w:proofErr w:type="spellEnd"/>
      <w:r w:rsidR="00E06B85" w:rsidRPr="00025B9C">
        <w:rPr>
          <w:rFonts w:asciiTheme="minorHAnsi" w:hAnsiTheme="minorHAnsi" w:cstheme="minorHAnsi"/>
        </w:rPr>
        <w:t>, 1985)</w:t>
      </w:r>
      <w:r w:rsidR="00B85406" w:rsidRPr="00025B9C">
        <w:rPr>
          <w:rFonts w:asciiTheme="minorHAnsi" w:hAnsiTheme="minorHAnsi" w:cstheme="minorHAnsi"/>
        </w:rPr>
        <w:t xml:space="preserve">. </w:t>
      </w:r>
      <w:r w:rsidR="005A2582" w:rsidRPr="00025B9C">
        <w:rPr>
          <w:rFonts w:asciiTheme="minorHAnsi" w:hAnsiTheme="minorHAnsi" w:cstheme="minorHAnsi"/>
        </w:rPr>
        <w:t>Such diversionary tactics</w:t>
      </w:r>
      <w:r w:rsidR="0036208A" w:rsidRPr="00025B9C">
        <w:rPr>
          <w:rFonts w:asciiTheme="minorHAnsi" w:hAnsiTheme="minorHAnsi" w:cstheme="minorHAnsi"/>
        </w:rPr>
        <w:t xml:space="preserve"> would be of </w:t>
      </w:r>
      <w:r w:rsidR="005A2582" w:rsidRPr="00025B9C">
        <w:rPr>
          <w:rFonts w:asciiTheme="minorHAnsi" w:hAnsiTheme="minorHAnsi" w:cstheme="minorHAnsi"/>
        </w:rPr>
        <w:t xml:space="preserve">particular </w:t>
      </w:r>
      <w:r w:rsidR="0036208A" w:rsidRPr="00025B9C">
        <w:rPr>
          <w:rFonts w:asciiTheme="minorHAnsi" w:hAnsiTheme="minorHAnsi" w:cstheme="minorHAnsi"/>
        </w:rPr>
        <w:t xml:space="preserve">concern where no explanation for any non-compliance was provided. </w:t>
      </w:r>
    </w:p>
    <w:p w:rsidR="00D330EA" w:rsidRPr="00025B9C" w:rsidRDefault="00D330EA" w:rsidP="00CF522A">
      <w:pPr>
        <w:keepNext/>
        <w:spacing w:line="360" w:lineRule="auto"/>
        <w:jc w:val="both"/>
        <w:rPr>
          <w:rFonts w:asciiTheme="minorHAnsi" w:hAnsiTheme="minorHAnsi" w:cstheme="minorHAnsi"/>
        </w:rPr>
      </w:pPr>
    </w:p>
    <w:p w:rsidR="00553F42" w:rsidRPr="00025B9C" w:rsidRDefault="00553F42" w:rsidP="00D665D9">
      <w:pPr>
        <w:spacing w:line="360" w:lineRule="auto"/>
        <w:jc w:val="both"/>
        <w:rPr>
          <w:rFonts w:asciiTheme="minorHAnsi" w:hAnsiTheme="minorHAnsi" w:cstheme="minorHAnsi"/>
        </w:rPr>
      </w:pPr>
      <w:r w:rsidRPr="00025B9C">
        <w:rPr>
          <w:rFonts w:asciiTheme="minorHAnsi" w:hAnsiTheme="minorHAnsi" w:cstheme="minorHAnsi"/>
        </w:rPr>
        <w:t>Bolstering is illustrated in Example 2. Interestingly, while not complying with what is arguably a cornerstone of the corporate governance code (the proportion of independent non-executive</w:t>
      </w:r>
      <w:r w:rsidR="00903FAB" w:rsidRPr="00025B9C">
        <w:rPr>
          <w:rFonts w:asciiTheme="minorHAnsi" w:hAnsiTheme="minorHAnsi" w:cstheme="minorHAnsi"/>
        </w:rPr>
        <w:t xml:space="preserve"> director</w:t>
      </w:r>
      <w:r w:rsidRPr="00025B9C">
        <w:rPr>
          <w:rFonts w:asciiTheme="minorHAnsi" w:hAnsiTheme="minorHAnsi" w:cstheme="minorHAnsi"/>
        </w:rPr>
        <w:t>s), Aggreko claims that its own allegedly superior (bolstered) but invented rule achieves a better result</w:t>
      </w:r>
      <w:r w:rsidR="00D91251" w:rsidRPr="00025B9C">
        <w:rPr>
          <w:rFonts w:asciiTheme="minorHAnsi" w:hAnsiTheme="minorHAnsi" w:cstheme="minorHAnsi"/>
        </w:rPr>
        <w:t xml:space="preserve"> than compliance</w:t>
      </w:r>
      <w:r w:rsidRPr="00025B9C">
        <w:rPr>
          <w:rFonts w:asciiTheme="minorHAnsi" w:hAnsiTheme="minorHAnsi" w:cstheme="minorHAnsi"/>
        </w:rPr>
        <w:t xml:space="preserve">. </w:t>
      </w:r>
      <w:r w:rsidR="00540468" w:rsidRPr="00025B9C">
        <w:rPr>
          <w:rFonts w:asciiTheme="minorHAnsi" w:hAnsiTheme="minorHAnsi" w:cstheme="minorHAnsi"/>
        </w:rPr>
        <w:t xml:space="preserve">This explanation can also be coded to </w:t>
      </w:r>
      <w:r w:rsidR="009E2C92" w:rsidRPr="00025B9C">
        <w:rPr>
          <w:rFonts w:asciiTheme="minorHAnsi" w:hAnsiTheme="minorHAnsi" w:cstheme="minorHAnsi"/>
        </w:rPr>
        <w:t xml:space="preserve">rhetorical strategy </w:t>
      </w:r>
      <w:r w:rsidR="00903FAB" w:rsidRPr="00025B9C">
        <w:rPr>
          <w:rFonts w:asciiTheme="minorHAnsi" w:hAnsiTheme="minorHAnsi" w:cstheme="minorHAnsi"/>
        </w:rPr>
        <w:t>4</w:t>
      </w:r>
      <w:r w:rsidR="009E2C92" w:rsidRPr="00025B9C">
        <w:rPr>
          <w:rFonts w:asciiTheme="minorHAnsi" w:hAnsiTheme="minorHAnsi" w:cstheme="minorHAnsi"/>
        </w:rPr>
        <w:t xml:space="preserve"> </w:t>
      </w:r>
      <w:r w:rsidR="00540468" w:rsidRPr="00025B9C">
        <w:rPr>
          <w:rFonts w:asciiTheme="minorHAnsi" w:hAnsiTheme="minorHAnsi" w:cstheme="minorHAnsi"/>
        </w:rPr>
        <w:t>(transcendence – see later) because the company is</w:t>
      </w:r>
      <w:r w:rsidR="00B86758" w:rsidRPr="00025B9C">
        <w:rPr>
          <w:rFonts w:asciiTheme="minorHAnsi" w:hAnsiTheme="minorHAnsi" w:cstheme="minorHAnsi"/>
        </w:rPr>
        <w:t>,</w:t>
      </w:r>
      <w:r w:rsidR="00540468" w:rsidRPr="00025B9C">
        <w:rPr>
          <w:rFonts w:asciiTheme="minorHAnsi" w:hAnsiTheme="minorHAnsi" w:cstheme="minorHAnsi"/>
        </w:rPr>
        <w:t xml:space="preserve"> in effect</w:t>
      </w:r>
      <w:r w:rsidR="00B86758" w:rsidRPr="00025B9C">
        <w:rPr>
          <w:rFonts w:asciiTheme="minorHAnsi" w:hAnsiTheme="minorHAnsi" w:cstheme="minorHAnsi"/>
        </w:rPr>
        <w:t>,</w:t>
      </w:r>
      <w:r w:rsidR="00540468" w:rsidRPr="00025B9C">
        <w:rPr>
          <w:rFonts w:asciiTheme="minorHAnsi" w:hAnsiTheme="minorHAnsi" w:cstheme="minorHAnsi"/>
        </w:rPr>
        <w:t xml:space="preserve"> saying </w:t>
      </w:r>
      <w:r w:rsidR="00B86758" w:rsidRPr="00025B9C">
        <w:rPr>
          <w:rFonts w:asciiTheme="minorHAnsi" w:hAnsiTheme="minorHAnsi" w:cstheme="minorHAnsi"/>
        </w:rPr>
        <w:t xml:space="preserve">that </w:t>
      </w:r>
      <w:r w:rsidR="00540468" w:rsidRPr="00025B9C">
        <w:rPr>
          <w:rFonts w:asciiTheme="minorHAnsi" w:hAnsiTheme="minorHAnsi" w:cstheme="minorHAnsi"/>
        </w:rPr>
        <w:t>following its own rule more than compensates for the non-compliance.</w:t>
      </w:r>
    </w:p>
    <w:p w:rsidR="00553F42" w:rsidRPr="00025B9C" w:rsidRDefault="00553F42" w:rsidP="00D665D9">
      <w:pPr>
        <w:spacing w:line="360" w:lineRule="auto"/>
        <w:jc w:val="both"/>
        <w:rPr>
          <w:rFonts w:asciiTheme="minorHAnsi" w:hAnsiTheme="minorHAnsi" w:cstheme="minorHAnsi"/>
        </w:rPr>
      </w:pPr>
    </w:p>
    <w:p w:rsidR="00553F42" w:rsidRPr="00025B9C" w:rsidRDefault="00553F42" w:rsidP="00D665D9">
      <w:pPr>
        <w:ind w:left="567" w:right="805"/>
        <w:contextualSpacing/>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2: </w:t>
      </w:r>
      <w:r w:rsidR="000E5654" w:rsidRPr="00025B9C">
        <w:rPr>
          <w:rFonts w:asciiTheme="minorHAnsi" w:hAnsiTheme="minorHAnsi" w:cstheme="minorHAnsi"/>
          <w:b/>
          <w:sz w:val="20"/>
          <w:szCs w:val="20"/>
        </w:rPr>
        <w:t>B</w:t>
      </w:r>
      <w:r w:rsidRPr="00025B9C">
        <w:rPr>
          <w:rFonts w:asciiTheme="minorHAnsi" w:hAnsiTheme="minorHAnsi" w:cstheme="minorHAnsi"/>
          <w:b/>
          <w:sz w:val="20"/>
          <w:szCs w:val="20"/>
        </w:rPr>
        <w:t xml:space="preserve">olstering </w:t>
      </w:r>
    </w:p>
    <w:p w:rsidR="00553F42" w:rsidRPr="00025B9C" w:rsidRDefault="00553F42" w:rsidP="00D665D9">
      <w:pPr>
        <w:autoSpaceDE w:val="0"/>
        <w:autoSpaceDN w:val="0"/>
        <w:adjustRightInd w:val="0"/>
        <w:ind w:left="567" w:right="-46"/>
        <w:jc w:val="both"/>
        <w:rPr>
          <w:rFonts w:asciiTheme="minorHAnsi" w:eastAsia="GoudyStd" w:hAnsiTheme="minorHAnsi" w:cstheme="minorHAnsi"/>
          <w:sz w:val="20"/>
          <w:szCs w:val="20"/>
        </w:rPr>
      </w:pPr>
      <w:r w:rsidRPr="00025B9C">
        <w:rPr>
          <w:rFonts w:asciiTheme="minorHAnsi" w:eastAsia="GoudyStd" w:hAnsiTheme="minorHAnsi" w:cstheme="minorHAnsi"/>
          <w:sz w:val="20"/>
          <w:szCs w:val="20"/>
        </w:rPr>
        <w:t>The Code states that at least half of the Board, excluding the Chairman, should be independent Non-</w:t>
      </w:r>
      <w:proofErr w:type="gramStart"/>
      <w:r w:rsidRPr="00025B9C">
        <w:rPr>
          <w:rFonts w:asciiTheme="minorHAnsi" w:eastAsia="GoudyStd" w:hAnsiTheme="minorHAnsi" w:cstheme="minorHAnsi"/>
          <w:sz w:val="20"/>
          <w:szCs w:val="20"/>
        </w:rPr>
        <w:t>executive</w:t>
      </w:r>
      <w:proofErr w:type="gramEnd"/>
      <w:r w:rsidRPr="00025B9C">
        <w:rPr>
          <w:rFonts w:asciiTheme="minorHAnsi" w:eastAsia="GoudyStd" w:hAnsiTheme="minorHAnsi" w:cstheme="minorHAnsi"/>
          <w:sz w:val="20"/>
          <w:szCs w:val="20"/>
        </w:rPr>
        <w:t xml:space="preserve"> Directors. However, the Directors believe that, beyond a certain size, Boards risk becoming ineffective at control and decision-making; they certainly become more expensive as they grow larger. Ideally, in our view, the Aggreko Board works most effectively, and represents best value for shareholders, with no more than ten people sitting round the table. Applying the </w:t>
      </w:r>
      <w:r w:rsidR="008B4854" w:rsidRPr="00025B9C">
        <w:rPr>
          <w:rFonts w:asciiTheme="minorHAnsi" w:eastAsia="GoudyStd" w:hAnsiTheme="minorHAnsi" w:cstheme="minorHAnsi"/>
          <w:sz w:val="20"/>
          <w:szCs w:val="20"/>
        </w:rPr>
        <w:t>“</w:t>
      </w:r>
      <w:r w:rsidRPr="00025B9C">
        <w:rPr>
          <w:rFonts w:asciiTheme="minorHAnsi" w:eastAsia="GoudyStd" w:hAnsiTheme="minorHAnsi" w:cstheme="minorHAnsi"/>
          <w:sz w:val="20"/>
          <w:szCs w:val="20"/>
        </w:rPr>
        <w:t>no more than ten round the table</w:t>
      </w:r>
      <w:r w:rsidR="008B4854" w:rsidRPr="00025B9C">
        <w:rPr>
          <w:rFonts w:asciiTheme="minorHAnsi" w:eastAsia="GoudyStd" w:hAnsiTheme="minorHAnsi" w:cstheme="minorHAnsi"/>
          <w:sz w:val="20"/>
          <w:szCs w:val="20"/>
        </w:rPr>
        <w:t>”</w:t>
      </w:r>
      <w:r w:rsidRPr="00025B9C">
        <w:rPr>
          <w:rFonts w:asciiTheme="minorHAnsi" w:eastAsia="GoudyStd" w:hAnsiTheme="minorHAnsi" w:cstheme="minorHAnsi"/>
          <w:sz w:val="20"/>
          <w:szCs w:val="20"/>
        </w:rPr>
        <w:t xml:space="preserve"> rule leaves nine places for executive and Non-</w:t>
      </w:r>
      <w:proofErr w:type="gramStart"/>
      <w:r w:rsidRPr="00025B9C">
        <w:rPr>
          <w:rFonts w:asciiTheme="minorHAnsi" w:eastAsia="GoudyStd" w:hAnsiTheme="minorHAnsi" w:cstheme="minorHAnsi"/>
          <w:sz w:val="20"/>
          <w:szCs w:val="20"/>
        </w:rPr>
        <w:t>executive</w:t>
      </w:r>
      <w:proofErr w:type="gramEnd"/>
      <w:r w:rsidRPr="00025B9C">
        <w:rPr>
          <w:rFonts w:asciiTheme="minorHAnsi" w:eastAsia="GoudyStd" w:hAnsiTheme="minorHAnsi" w:cstheme="minorHAnsi"/>
          <w:sz w:val="20"/>
          <w:szCs w:val="20"/>
        </w:rPr>
        <w:t xml:space="preserve"> Directors.</w:t>
      </w:r>
    </w:p>
    <w:p w:rsidR="00553F42" w:rsidRPr="00025B9C" w:rsidRDefault="00553F42" w:rsidP="00D665D9">
      <w:pPr>
        <w:autoSpaceDE w:val="0"/>
        <w:autoSpaceDN w:val="0"/>
        <w:adjustRightInd w:val="0"/>
        <w:ind w:left="567" w:right="805"/>
        <w:jc w:val="both"/>
        <w:rPr>
          <w:rFonts w:asciiTheme="minorHAnsi" w:eastAsia="GoudyStd" w:hAnsiTheme="minorHAnsi" w:cstheme="minorHAnsi"/>
          <w:sz w:val="20"/>
          <w:szCs w:val="20"/>
        </w:rPr>
      </w:pPr>
      <w:r w:rsidRPr="00025B9C">
        <w:rPr>
          <w:rFonts w:asciiTheme="minorHAnsi" w:eastAsia="GoudyStd" w:hAnsiTheme="minorHAnsi" w:cstheme="minorHAnsi"/>
          <w:sz w:val="20"/>
          <w:szCs w:val="20"/>
        </w:rPr>
        <w:t xml:space="preserve">Source: Aggreko plc 2011 annual report, p. 56. </w:t>
      </w:r>
    </w:p>
    <w:p w:rsidR="00553F42" w:rsidRPr="00025B9C" w:rsidRDefault="00553F42" w:rsidP="00D665D9">
      <w:pPr>
        <w:autoSpaceDE w:val="0"/>
        <w:autoSpaceDN w:val="0"/>
        <w:adjustRightInd w:val="0"/>
        <w:spacing w:line="360" w:lineRule="auto"/>
        <w:jc w:val="both"/>
        <w:rPr>
          <w:rFonts w:asciiTheme="minorHAnsi" w:eastAsia="GoudyStd" w:hAnsiTheme="minorHAnsi" w:cstheme="minorHAnsi"/>
          <w:szCs w:val="20"/>
        </w:rPr>
      </w:pPr>
    </w:p>
    <w:p w:rsidR="00553F42" w:rsidRPr="00025B9C" w:rsidRDefault="00553F42" w:rsidP="00D665D9">
      <w:pPr>
        <w:autoSpaceDE w:val="0"/>
        <w:autoSpaceDN w:val="0"/>
        <w:adjustRightInd w:val="0"/>
        <w:spacing w:line="360" w:lineRule="auto"/>
        <w:jc w:val="both"/>
        <w:rPr>
          <w:rFonts w:asciiTheme="minorHAnsi" w:hAnsiTheme="minorHAnsi" w:cstheme="minorHAnsi"/>
          <w:b/>
        </w:rPr>
      </w:pPr>
      <w:r w:rsidRPr="00025B9C">
        <w:rPr>
          <w:rFonts w:asciiTheme="minorHAnsi" w:hAnsiTheme="minorHAnsi" w:cstheme="minorHAnsi"/>
        </w:rPr>
        <w:t xml:space="preserve">Although it is understandable that boards can be unwieldy if overly large, no research </w:t>
      </w:r>
      <w:r w:rsidR="00D66C79" w:rsidRPr="00025B9C">
        <w:rPr>
          <w:rFonts w:asciiTheme="minorHAnsi" w:hAnsiTheme="minorHAnsi" w:cstheme="minorHAnsi"/>
        </w:rPr>
        <w:t>indicates</w:t>
      </w:r>
      <w:r w:rsidRPr="00025B9C">
        <w:rPr>
          <w:rFonts w:asciiTheme="minorHAnsi" w:hAnsiTheme="minorHAnsi" w:cstheme="minorHAnsi"/>
        </w:rPr>
        <w:t xml:space="preserve"> an optimal number for a large listed company</w:t>
      </w:r>
      <w:r w:rsidR="004B7BB8" w:rsidRPr="00025B9C">
        <w:rPr>
          <w:rFonts w:asciiTheme="minorHAnsi" w:hAnsiTheme="minorHAnsi" w:cstheme="minorHAnsi"/>
        </w:rPr>
        <w:t xml:space="preserve"> </w:t>
      </w:r>
      <w:r w:rsidRPr="00025B9C">
        <w:rPr>
          <w:rFonts w:asciiTheme="minorHAnsi" w:hAnsiTheme="minorHAnsi" w:cstheme="minorHAnsi"/>
        </w:rPr>
        <w:t xml:space="preserve">albeit there is some support from </w:t>
      </w:r>
      <w:proofErr w:type="spellStart"/>
      <w:r w:rsidRPr="00025B9C">
        <w:rPr>
          <w:rFonts w:asciiTheme="minorHAnsi" w:hAnsiTheme="minorHAnsi" w:cstheme="minorHAnsi"/>
        </w:rPr>
        <w:t>Yermack</w:t>
      </w:r>
      <w:proofErr w:type="spellEnd"/>
      <w:r w:rsidRPr="00025B9C">
        <w:rPr>
          <w:rFonts w:asciiTheme="minorHAnsi" w:hAnsiTheme="minorHAnsi" w:cstheme="minorHAnsi"/>
        </w:rPr>
        <w:t xml:space="preserve"> (1</w:t>
      </w:r>
      <w:r w:rsidR="00D26D00" w:rsidRPr="00025B9C">
        <w:rPr>
          <w:rFonts w:asciiTheme="minorHAnsi" w:hAnsiTheme="minorHAnsi" w:cstheme="minorHAnsi"/>
        </w:rPr>
        <w:t>996) whose research indicates</w:t>
      </w:r>
      <w:r w:rsidRPr="00025B9C">
        <w:rPr>
          <w:rFonts w:asciiTheme="minorHAnsi" w:hAnsiTheme="minorHAnsi" w:cstheme="minorHAnsi"/>
        </w:rPr>
        <w:t xml:space="preserve"> that market valuation </w:t>
      </w:r>
      <w:r w:rsidR="006E3A98" w:rsidRPr="00025B9C">
        <w:rPr>
          <w:rFonts w:asciiTheme="minorHAnsi" w:hAnsiTheme="minorHAnsi" w:cstheme="minorHAnsi"/>
        </w:rPr>
        <w:t>is</w:t>
      </w:r>
      <w:r w:rsidRPr="00025B9C">
        <w:rPr>
          <w:rFonts w:asciiTheme="minorHAnsi" w:hAnsiTheme="minorHAnsi" w:cstheme="minorHAnsi"/>
        </w:rPr>
        <w:t xml:space="preserve"> negati</w:t>
      </w:r>
      <w:r w:rsidR="004B7BB8" w:rsidRPr="00025B9C">
        <w:rPr>
          <w:rFonts w:asciiTheme="minorHAnsi" w:hAnsiTheme="minorHAnsi" w:cstheme="minorHAnsi"/>
        </w:rPr>
        <w:t xml:space="preserve">vely correlated with board size. </w:t>
      </w:r>
    </w:p>
    <w:p w:rsidR="008A39AA" w:rsidRPr="00025B9C" w:rsidRDefault="008A39AA" w:rsidP="00D665D9">
      <w:pPr>
        <w:autoSpaceDE w:val="0"/>
        <w:autoSpaceDN w:val="0"/>
        <w:adjustRightInd w:val="0"/>
        <w:spacing w:line="360" w:lineRule="auto"/>
        <w:jc w:val="both"/>
        <w:rPr>
          <w:rFonts w:asciiTheme="minorHAnsi" w:hAnsiTheme="minorHAnsi" w:cstheme="minorHAnsi"/>
          <w:u w:val="single"/>
        </w:rPr>
      </w:pPr>
    </w:p>
    <w:p w:rsidR="001B7596" w:rsidRPr="00025B9C" w:rsidRDefault="00376FCA" w:rsidP="00D665D9">
      <w:pPr>
        <w:spacing w:line="360" w:lineRule="auto"/>
        <w:jc w:val="both"/>
        <w:rPr>
          <w:rFonts w:asciiTheme="minorHAnsi" w:hAnsiTheme="minorHAnsi" w:cstheme="minorHAnsi"/>
          <w:u w:val="single"/>
        </w:rPr>
      </w:pPr>
      <w:r w:rsidRPr="00025B9C">
        <w:rPr>
          <w:rFonts w:asciiTheme="minorHAnsi" w:hAnsiTheme="minorHAnsi" w:cstheme="minorHAnsi"/>
          <w:u w:val="single"/>
        </w:rPr>
        <w:t>3</w:t>
      </w:r>
      <w:r w:rsidR="00DC0BB5" w:rsidRPr="00025B9C">
        <w:rPr>
          <w:rFonts w:asciiTheme="minorHAnsi" w:hAnsiTheme="minorHAnsi" w:cstheme="minorHAnsi"/>
          <w:u w:val="single"/>
        </w:rPr>
        <w:t xml:space="preserve">. </w:t>
      </w:r>
      <w:r w:rsidR="00785168" w:rsidRPr="00025B9C">
        <w:rPr>
          <w:rFonts w:asciiTheme="minorHAnsi" w:hAnsiTheme="minorHAnsi" w:cstheme="minorHAnsi"/>
          <w:u w:val="single"/>
        </w:rPr>
        <w:t>Minimi</w:t>
      </w:r>
      <w:r w:rsidR="00F57B34" w:rsidRPr="00025B9C">
        <w:rPr>
          <w:rFonts w:asciiTheme="minorHAnsi" w:hAnsiTheme="minorHAnsi" w:cstheme="minorHAnsi"/>
          <w:u w:val="single"/>
        </w:rPr>
        <w:t>z</w:t>
      </w:r>
      <w:r w:rsidR="00785168" w:rsidRPr="00025B9C">
        <w:rPr>
          <w:rFonts w:asciiTheme="minorHAnsi" w:hAnsiTheme="minorHAnsi" w:cstheme="minorHAnsi"/>
          <w:u w:val="single"/>
        </w:rPr>
        <w:t>ation</w:t>
      </w:r>
      <w:r w:rsidR="001B7596" w:rsidRPr="00025B9C">
        <w:rPr>
          <w:rFonts w:asciiTheme="minorHAnsi" w:hAnsiTheme="minorHAnsi" w:cstheme="minorHAnsi"/>
          <w:u w:val="single"/>
        </w:rPr>
        <w:t xml:space="preserve"> of negative feeling</w:t>
      </w:r>
      <w:r w:rsidR="00BD4CA2" w:rsidRPr="00025B9C">
        <w:rPr>
          <w:rFonts w:asciiTheme="minorHAnsi" w:hAnsiTheme="minorHAnsi" w:cstheme="minorHAnsi"/>
          <w:u w:val="single"/>
        </w:rPr>
        <w:t>s</w:t>
      </w:r>
    </w:p>
    <w:p w:rsidR="00B7078D" w:rsidRPr="00025B9C" w:rsidRDefault="005B0301" w:rsidP="00D665D9">
      <w:pPr>
        <w:spacing w:line="360" w:lineRule="auto"/>
        <w:jc w:val="both"/>
        <w:rPr>
          <w:rFonts w:asciiTheme="minorHAnsi" w:hAnsiTheme="minorHAnsi" w:cstheme="minorHAnsi"/>
        </w:rPr>
      </w:pPr>
      <w:r w:rsidRPr="00025B9C">
        <w:rPr>
          <w:rFonts w:asciiTheme="minorHAnsi" w:hAnsiTheme="minorHAnsi" w:cstheme="minorHAnsi"/>
        </w:rPr>
        <w:t xml:space="preserve"> </w:t>
      </w:r>
      <w:r w:rsidR="00785168" w:rsidRPr="00025B9C">
        <w:rPr>
          <w:rFonts w:asciiTheme="minorHAnsi" w:hAnsiTheme="minorHAnsi" w:cstheme="minorHAnsi"/>
        </w:rPr>
        <w:t>Minimi</w:t>
      </w:r>
      <w:r w:rsidR="00F57B34" w:rsidRPr="00025B9C">
        <w:rPr>
          <w:rFonts w:asciiTheme="minorHAnsi" w:hAnsiTheme="minorHAnsi" w:cstheme="minorHAnsi"/>
        </w:rPr>
        <w:t>z</w:t>
      </w:r>
      <w:r w:rsidR="00785168" w:rsidRPr="00025B9C">
        <w:rPr>
          <w:rFonts w:asciiTheme="minorHAnsi" w:hAnsiTheme="minorHAnsi" w:cstheme="minorHAnsi"/>
        </w:rPr>
        <w:t>ation</w:t>
      </w:r>
      <w:r w:rsidR="00845046" w:rsidRPr="00025B9C">
        <w:rPr>
          <w:rFonts w:asciiTheme="minorHAnsi" w:hAnsiTheme="minorHAnsi" w:cstheme="minorHAnsi"/>
        </w:rPr>
        <w:t xml:space="preserve"> of negative feelings </w:t>
      </w:r>
      <w:r w:rsidRPr="00025B9C">
        <w:rPr>
          <w:rFonts w:asciiTheme="minorHAnsi" w:hAnsiTheme="minorHAnsi" w:cstheme="minorHAnsi"/>
        </w:rPr>
        <w:t>is a</w:t>
      </w:r>
      <w:r w:rsidR="00FF49D3" w:rsidRPr="00025B9C">
        <w:rPr>
          <w:rFonts w:asciiTheme="minorHAnsi" w:hAnsiTheme="minorHAnsi" w:cstheme="minorHAnsi"/>
        </w:rPr>
        <w:t xml:space="preserve"> </w:t>
      </w:r>
      <w:r w:rsidRPr="00025B9C">
        <w:rPr>
          <w:rFonts w:asciiTheme="minorHAnsi" w:hAnsiTheme="minorHAnsi" w:cstheme="minorHAnsi"/>
        </w:rPr>
        <w:t xml:space="preserve">common </w:t>
      </w:r>
      <w:r w:rsidR="00431735" w:rsidRPr="00025B9C">
        <w:rPr>
          <w:rFonts w:asciiTheme="minorHAnsi" w:hAnsiTheme="minorHAnsi" w:cstheme="minorHAnsi"/>
        </w:rPr>
        <w:t xml:space="preserve">rhetorical </w:t>
      </w:r>
      <w:r w:rsidRPr="00025B9C">
        <w:rPr>
          <w:rFonts w:asciiTheme="minorHAnsi" w:hAnsiTheme="minorHAnsi" w:cstheme="minorHAnsi"/>
        </w:rPr>
        <w:t xml:space="preserve">strategy </w:t>
      </w:r>
      <w:r w:rsidR="00477334" w:rsidRPr="00025B9C">
        <w:rPr>
          <w:rFonts w:asciiTheme="minorHAnsi" w:hAnsiTheme="minorHAnsi" w:cstheme="minorHAnsi"/>
        </w:rPr>
        <w:t xml:space="preserve">discussed </w:t>
      </w:r>
      <w:r w:rsidRPr="00025B9C">
        <w:rPr>
          <w:rFonts w:asciiTheme="minorHAnsi" w:hAnsiTheme="minorHAnsi" w:cstheme="minorHAnsi"/>
        </w:rPr>
        <w:t xml:space="preserve">in the literature (Goffman, 1959; </w:t>
      </w:r>
      <w:r w:rsidR="00462514" w:rsidRPr="00025B9C">
        <w:rPr>
          <w:rFonts w:asciiTheme="minorHAnsi" w:hAnsiTheme="minorHAnsi" w:cstheme="minorHAnsi"/>
        </w:rPr>
        <w:t xml:space="preserve">Scott &amp; Lyman, 1968; </w:t>
      </w:r>
      <w:proofErr w:type="spellStart"/>
      <w:r w:rsidRPr="00025B9C">
        <w:rPr>
          <w:rFonts w:asciiTheme="minorHAnsi" w:hAnsiTheme="minorHAnsi" w:cstheme="minorHAnsi"/>
        </w:rPr>
        <w:t>Schlenker</w:t>
      </w:r>
      <w:proofErr w:type="spellEnd"/>
      <w:r w:rsidRPr="00025B9C">
        <w:rPr>
          <w:rFonts w:asciiTheme="minorHAnsi" w:hAnsiTheme="minorHAnsi" w:cstheme="minorHAnsi"/>
        </w:rPr>
        <w:t xml:space="preserve">, 1980; </w:t>
      </w:r>
      <w:proofErr w:type="spellStart"/>
      <w:r w:rsidRPr="00025B9C">
        <w:rPr>
          <w:rFonts w:asciiTheme="minorHAnsi" w:hAnsiTheme="minorHAnsi" w:cstheme="minorHAnsi"/>
        </w:rPr>
        <w:t>Tedeschi</w:t>
      </w:r>
      <w:proofErr w:type="spellEnd"/>
      <w:r w:rsidRPr="00025B9C">
        <w:rPr>
          <w:rFonts w:asciiTheme="minorHAnsi" w:hAnsiTheme="minorHAnsi" w:cstheme="minorHAnsi"/>
        </w:rPr>
        <w:t xml:space="preserve"> </w:t>
      </w:r>
      <w:r w:rsidR="00DB0683" w:rsidRPr="00025B9C">
        <w:rPr>
          <w:rFonts w:asciiTheme="minorHAnsi" w:hAnsiTheme="minorHAnsi" w:cstheme="minorHAnsi"/>
        </w:rPr>
        <w:t>&amp;</w:t>
      </w:r>
      <w:r w:rsidRPr="00025B9C">
        <w:rPr>
          <w:rFonts w:asciiTheme="minorHAnsi" w:hAnsiTheme="minorHAnsi" w:cstheme="minorHAnsi"/>
        </w:rPr>
        <w:t xml:space="preserve"> Reiss, 1981; </w:t>
      </w:r>
      <w:proofErr w:type="spellStart"/>
      <w:r w:rsidRPr="00025B9C">
        <w:rPr>
          <w:rFonts w:asciiTheme="minorHAnsi" w:hAnsiTheme="minorHAnsi" w:cstheme="minorHAnsi"/>
        </w:rPr>
        <w:t>Bebbington</w:t>
      </w:r>
      <w:proofErr w:type="spellEnd"/>
      <w:r w:rsidR="006B65DB" w:rsidRPr="00025B9C">
        <w:rPr>
          <w:rFonts w:asciiTheme="minorHAnsi" w:hAnsiTheme="minorHAnsi" w:cstheme="minorHAnsi"/>
        </w:rPr>
        <w:t xml:space="preserve">, Larrinaga </w:t>
      </w:r>
      <w:r w:rsidR="00505A4B" w:rsidRPr="00025B9C">
        <w:rPr>
          <w:rFonts w:asciiTheme="minorHAnsi" w:hAnsiTheme="minorHAnsi" w:cstheme="minorHAnsi"/>
        </w:rPr>
        <w:t>&amp;</w:t>
      </w:r>
      <w:r w:rsidR="006B65DB" w:rsidRPr="00025B9C">
        <w:rPr>
          <w:rFonts w:asciiTheme="minorHAnsi" w:hAnsiTheme="minorHAnsi" w:cstheme="minorHAnsi"/>
        </w:rPr>
        <w:t xml:space="preserve"> </w:t>
      </w:r>
      <w:proofErr w:type="spellStart"/>
      <w:r w:rsidR="006B65DB" w:rsidRPr="00025B9C">
        <w:rPr>
          <w:rFonts w:asciiTheme="minorHAnsi" w:hAnsiTheme="minorHAnsi" w:cstheme="minorHAnsi"/>
        </w:rPr>
        <w:t>Moneva</w:t>
      </w:r>
      <w:proofErr w:type="spellEnd"/>
      <w:r w:rsidRPr="00025B9C">
        <w:rPr>
          <w:rFonts w:asciiTheme="minorHAnsi" w:hAnsiTheme="minorHAnsi" w:cstheme="minorHAnsi"/>
        </w:rPr>
        <w:t xml:space="preserve">, 2008). </w:t>
      </w:r>
      <w:r w:rsidR="005A6C6B" w:rsidRPr="00025B9C">
        <w:rPr>
          <w:rFonts w:asciiTheme="minorHAnsi" w:hAnsiTheme="minorHAnsi" w:cstheme="minorHAnsi"/>
        </w:rPr>
        <w:t>This type of rhetorical strategy in explanations implies that non-compliance is likely to cause little damage,</w:t>
      </w:r>
      <w:r w:rsidR="00E06B85" w:rsidRPr="00025B9C">
        <w:rPr>
          <w:rFonts w:asciiTheme="minorHAnsi" w:hAnsiTheme="minorHAnsi" w:cstheme="minorHAnsi"/>
        </w:rPr>
        <w:t xml:space="preserve"> legitimacy is not threatened and </w:t>
      </w:r>
      <w:r w:rsidR="005A6C6B" w:rsidRPr="00025B9C">
        <w:rPr>
          <w:rFonts w:asciiTheme="minorHAnsi" w:hAnsiTheme="minorHAnsi" w:cstheme="minorHAnsi"/>
        </w:rPr>
        <w:t xml:space="preserve">the Code provision not complied with is trivial. </w:t>
      </w:r>
      <w:r w:rsidR="00477334" w:rsidRPr="00025B9C">
        <w:rPr>
          <w:rFonts w:asciiTheme="minorHAnsi" w:hAnsiTheme="minorHAnsi" w:cstheme="minorHAnsi"/>
        </w:rPr>
        <w:t xml:space="preserve">It is a key </w:t>
      </w:r>
      <w:r w:rsidR="00107C93" w:rsidRPr="00025B9C">
        <w:rPr>
          <w:rFonts w:asciiTheme="minorHAnsi" w:hAnsiTheme="minorHAnsi" w:cstheme="minorHAnsi"/>
        </w:rPr>
        <w:t>principle</w:t>
      </w:r>
      <w:r w:rsidR="00477334" w:rsidRPr="00025B9C">
        <w:rPr>
          <w:rFonts w:asciiTheme="minorHAnsi" w:hAnsiTheme="minorHAnsi" w:cstheme="minorHAnsi"/>
        </w:rPr>
        <w:t xml:space="preserve"> of the Code that </w:t>
      </w:r>
      <w:r w:rsidR="00336E5A" w:rsidRPr="00025B9C">
        <w:rPr>
          <w:rFonts w:asciiTheme="minorHAnsi" w:hAnsiTheme="minorHAnsi" w:cstheme="minorHAnsi"/>
        </w:rPr>
        <w:t xml:space="preserve">non-compliant </w:t>
      </w:r>
      <w:r w:rsidR="00477334" w:rsidRPr="00025B9C">
        <w:rPr>
          <w:rFonts w:asciiTheme="minorHAnsi" w:hAnsiTheme="minorHAnsi" w:cstheme="minorHAnsi"/>
        </w:rPr>
        <w:t>c</w:t>
      </w:r>
      <w:r w:rsidR="00FF49D3" w:rsidRPr="00025B9C">
        <w:rPr>
          <w:rFonts w:asciiTheme="minorHAnsi" w:hAnsiTheme="minorHAnsi" w:cstheme="minorHAnsi"/>
        </w:rPr>
        <w:t>ompanies need to convince readers in their explanations that they have put in place (an)other mechanism(s) to ensure that the system operated is as good as compliance.</w:t>
      </w:r>
      <w:r w:rsidR="00477334" w:rsidRPr="00025B9C">
        <w:rPr>
          <w:rFonts w:asciiTheme="minorHAnsi" w:hAnsiTheme="minorHAnsi" w:cstheme="minorHAnsi"/>
        </w:rPr>
        <w:t xml:space="preserve"> If the Code section is treated as unimportant </w:t>
      </w:r>
      <w:r w:rsidR="005A39B7" w:rsidRPr="00025B9C">
        <w:rPr>
          <w:rFonts w:asciiTheme="minorHAnsi" w:hAnsiTheme="minorHAnsi" w:cstheme="minorHAnsi"/>
        </w:rPr>
        <w:t>(</w:t>
      </w:r>
      <w:r w:rsidR="001E672C" w:rsidRPr="00025B9C">
        <w:rPr>
          <w:rFonts w:asciiTheme="minorHAnsi" w:hAnsiTheme="minorHAnsi" w:cstheme="minorHAnsi"/>
        </w:rPr>
        <w:t>in Example 3</w:t>
      </w:r>
      <w:r w:rsidR="005A39B7" w:rsidRPr="00025B9C">
        <w:rPr>
          <w:rFonts w:asciiTheme="minorHAnsi" w:hAnsiTheme="minorHAnsi" w:cstheme="minorHAnsi"/>
        </w:rPr>
        <w:t xml:space="preserve"> concerning the percentage of NEDs classified as independent), </w:t>
      </w:r>
      <w:r w:rsidR="00477334" w:rsidRPr="00025B9C">
        <w:rPr>
          <w:rFonts w:asciiTheme="minorHAnsi" w:hAnsiTheme="minorHAnsi" w:cstheme="minorHAnsi"/>
        </w:rPr>
        <w:t xml:space="preserve">then the implication is that no </w:t>
      </w:r>
      <w:r w:rsidR="005A39B7" w:rsidRPr="00025B9C">
        <w:rPr>
          <w:rFonts w:asciiTheme="minorHAnsi" w:hAnsiTheme="minorHAnsi" w:cstheme="minorHAnsi"/>
        </w:rPr>
        <w:t xml:space="preserve">other </w:t>
      </w:r>
      <w:r w:rsidR="001236E1" w:rsidRPr="00025B9C">
        <w:rPr>
          <w:rFonts w:asciiTheme="minorHAnsi" w:hAnsiTheme="minorHAnsi" w:cstheme="minorHAnsi"/>
        </w:rPr>
        <w:t xml:space="preserve">governance </w:t>
      </w:r>
      <w:r w:rsidR="005A39B7" w:rsidRPr="00025B9C">
        <w:rPr>
          <w:rFonts w:asciiTheme="minorHAnsi" w:hAnsiTheme="minorHAnsi" w:cstheme="minorHAnsi"/>
        </w:rPr>
        <w:t>mechanism is required.</w:t>
      </w:r>
      <w:r w:rsidR="0036208A" w:rsidRPr="00025B9C">
        <w:rPr>
          <w:rFonts w:asciiTheme="minorHAnsi" w:hAnsiTheme="minorHAnsi" w:cstheme="minorHAnsi"/>
        </w:rPr>
        <w:t xml:space="preserve"> This seems counter to the spirit of the Code.</w:t>
      </w:r>
      <w:r w:rsidR="00D26D00" w:rsidRPr="00025B9C">
        <w:rPr>
          <w:rFonts w:asciiTheme="minorHAnsi" w:hAnsiTheme="minorHAnsi" w:cstheme="minorHAnsi"/>
        </w:rPr>
        <w:t xml:space="preserve"> This “</w:t>
      </w:r>
      <w:r w:rsidR="00E00F85" w:rsidRPr="00025B9C">
        <w:rPr>
          <w:rFonts w:asciiTheme="minorHAnsi" w:hAnsiTheme="minorHAnsi" w:cstheme="minorHAnsi"/>
        </w:rPr>
        <w:t>minor</w:t>
      </w:r>
      <w:r w:rsidR="000F2124" w:rsidRPr="00025B9C">
        <w:rPr>
          <w:rFonts w:asciiTheme="minorHAnsi" w:hAnsiTheme="minorHAnsi" w:cstheme="minorHAnsi"/>
        </w:rPr>
        <w:t xml:space="preserve"> exception</w:t>
      </w:r>
      <w:r w:rsidR="00D26D00" w:rsidRPr="00025B9C">
        <w:rPr>
          <w:rFonts w:asciiTheme="minorHAnsi" w:hAnsiTheme="minorHAnsi" w:cstheme="minorHAnsi"/>
        </w:rPr>
        <w:t>”</w:t>
      </w:r>
      <w:r w:rsidR="000F2124" w:rsidRPr="00025B9C">
        <w:rPr>
          <w:rFonts w:asciiTheme="minorHAnsi" w:hAnsiTheme="minorHAnsi" w:cstheme="minorHAnsi"/>
        </w:rPr>
        <w:t xml:space="preserve"> and Code non-compliance is further discussed in relation to Example 7 further on.</w:t>
      </w:r>
      <w:r w:rsidR="00E00F85" w:rsidRPr="00025B9C">
        <w:rPr>
          <w:rFonts w:asciiTheme="minorHAnsi" w:hAnsiTheme="minorHAnsi" w:cstheme="minorHAnsi"/>
        </w:rPr>
        <w:t xml:space="preserve"> </w:t>
      </w:r>
    </w:p>
    <w:p w:rsidR="00B7078D" w:rsidRPr="00025B9C" w:rsidRDefault="00B7078D" w:rsidP="00D665D9">
      <w:pPr>
        <w:jc w:val="both"/>
        <w:rPr>
          <w:rFonts w:asciiTheme="minorHAnsi" w:hAnsiTheme="minorHAnsi" w:cstheme="minorHAnsi"/>
        </w:rPr>
      </w:pPr>
    </w:p>
    <w:p w:rsidR="005A39B7" w:rsidRPr="00025B9C" w:rsidRDefault="005A39B7"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376FCA" w:rsidRPr="00025B9C">
        <w:rPr>
          <w:rFonts w:asciiTheme="minorHAnsi" w:hAnsiTheme="minorHAnsi" w:cstheme="minorHAnsi"/>
          <w:b/>
          <w:sz w:val="20"/>
          <w:szCs w:val="20"/>
        </w:rPr>
        <w:t>3</w:t>
      </w:r>
      <w:r w:rsidR="00224EAB" w:rsidRPr="00025B9C">
        <w:rPr>
          <w:rFonts w:asciiTheme="minorHAnsi" w:hAnsiTheme="minorHAnsi" w:cstheme="minorHAnsi"/>
          <w:b/>
          <w:sz w:val="20"/>
          <w:szCs w:val="20"/>
        </w:rPr>
        <w:t xml:space="preserve">: </w:t>
      </w:r>
      <w:r w:rsidR="00F57B34" w:rsidRPr="00025B9C">
        <w:rPr>
          <w:rFonts w:asciiTheme="minorHAnsi" w:hAnsiTheme="minorHAnsi" w:cstheme="minorHAnsi"/>
          <w:b/>
          <w:sz w:val="20"/>
          <w:szCs w:val="20"/>
        </w:rPr>
        <w:t>Minimization</w:t>
      </w:r>
      <w:r w:rsidRPr="00025B9C">
        <w:rPr>
          <w:rFonts w:asciiTheme="minorHAnsi" w:hAnsiTheme="minorHAnsi" w:cstheme="minorHAnsi"/>
          <w:b/>
          <w:sz w:val="20"/>
          <w:szCs w:val="20"/>
        </w:rPr>
        <w:t xml:space="preserve"> of negative feelings</w:t>
      </w:r>
    </w:p>
    <w:p w:rsidR="005A39B7" w:rsidRPr="00025B9C" w:rsidRDefault="003A66D6" w:rsidP="00D665D9">
      <w:pPr>
        <w:autoSpaceDE w:val="0"/>
        <w:autoSpaceDN w:val="0"/>
        <w:adjustRightInd w:val="0"/>
        <w:ind w:left="567"/>
        <w:jc w:val="both"/>
        <w:rPr>
          <w:rFonts w:asciiTheme="minorHAnsi" w:hAnsiTheme="minorHAnsi" w:cstheme="minorHAnsi"/>
          <w:sz w:val="20"/>
          <w:szCs w:val="20"/>
        </w:rPr>
      </w:pPr>
      <w:r w:rsidRPr="00025B9C">
        <w:rPr>
          <w:rFonts w:asciiTheme="minorHAnsi" w:eastAsia="MinionPro-Regular" w:hAnsiTheme="minorHAnsi" w:cstheme="minorHAnsi"/>
          <w:sz w:val="20"/>
          <w:szCs w:val="20"/>
          <w:lang w:val="en-IE" w:eastAsia="en-IE"/>
        </w:rPr>
        <w:t>Throughout 2011, the Group complied fully with the UK Corporate Governance Code 2010 (with the minor exception noted on page 66) and also with the Sarbanes-Oxley Act 2002 (US). The Board values corporate governance highly and this is reflected in our governance principles, policies and practices and our everyday working processes. This approach is backed by continuous improvement based on measurement against internal objectives, external audits and benchmarking and a rigorous approach to risk management.</w:t>
      </w:r>
    </w:p>
    <w:p w:rsidR="003A66D6" w:rsidRPr="00025B9C" w:rsidRDefault="003A66D6" w:rsidP="00D665D9">
      <w:pPr>
        <w:ind w:left="567" w:right="805" w:firstLine="11"/>
        <w:jc w:val="both"/>
        <w:rPr>
          <w:rFonts w:asciiTheme="minorHAnsi" w:hAnsiTheme="minorHAnsi" w:cstheme="minorHAnsi"/>
          <w:sz w:val="20"/>
          <w:szCs w:val="20"/>
        </w:rPr>
      </w:pPr>
      <w:r w:rsidRPr="00025B9C">
        <w:rPr>
          <w:rFonts w:asciiTheme="minorHAnsi" w:hAnsiTheme="minorHAnsi" w:cstheme="minorHAnsi"/>
          <w:sz w:val="20"/>
          <w:szCs w:val="20"/>
        </w:rPr>
        <w:t>…</w:t>
      </w:r>
    </w:p>
    <w:p w:rsidR="003A66D6" w:rsidRPr="00025B9C" w:rsidRDefault="003A66D6" w:rsidP="00D665D9">
      <w:pPr>
        <w:autoSpaceDE w:val="0"/>
        <w:autoSpaceDN w:val="0"/>
        <w:adjustRightInd w:val="0"/>
        <w:ind w:left="567"/>
        <w:jc w:val="both"/>
        <w:rPr>
          <w:rFonts w:asciiTheme="minorHAnsi" w:hAnsiTheme="minorHAnsi" w:cstheme="minorHAnsi"/>
          <w:bCs/>
          <w:sz w:val="20"/>
          <w:szCs w:val="20"/>
          <w:lang w:val="en-IE" w:eastAsia="en-IE"/>
        </w:rPr>
      </w:pPr>
      <w:r w:rsidRPr="00025B9C">
        <w:rPr>
          <w:rFonts w:asciiTheme="minorHAnsi" w:hAnsiTheme="minorHAnsi" w:cstheme="minorHAnsi"/>
          <w:bCs/>
          <w:sz w:val="20"/>
          <w:szCs w:val="20"/>
          <w:lang w:val="en-IE" w:eastAsia="en-IE"/>
        </w:rPr>
        <w:t>Compliance with the UK Corporate Governance Code 2010 (UK) and the Sarbanes-Oxley Act 2002 (US)</w:t>
      </w:r>
    </w:p>
    <w:p w:rsidR="003A66D6" w:rsidRPr="00025B9C" w:rsidRDefault="003A66D6" w:rsidP="00D665D9">
      <w:pPr>
        <w:autoSpaceDE w:val="0"/>
        <w:autoSpaceDN w:val="0"/>
        <w:adjustRightInd w:val="0"/>
        <w:ind w:left="567"/>
        <w:jc w:val="both"/>
        <w:rPr>
          <w:rFonts w:asciiTheme="minorHAnsi" w:eastAsia="MinionPro-Regular" w:hAnsiTheme="minorHAnsi" w:cstheme="minorHAnsi"/>
          <w:sz w:val="20"/>
          <w:szCs w:val="20"/>
          <w:lang w:val="en-IE" w:eastAsia="en-IE"/>
        </w:rPr>
      </w:pPr>
      <w:r w:rsidRPr="00025B9C">
        <w:rPr>
          <w:rFonts w:asciiTheme="minorHAnsi" w:eastAsia="MinionPro-Regular" w:hAnsiTheme="minorHAnsi" w:cstheme="minorHAnsi"/>
          <w:sz w:val="20"/>
          <w:szCs w:val="20"/>
          <w:lang w:val="en-IE" w:eastAsia="en-IE"/>
        </w:rPr>
        <w:t>The Group has complied with the provisions of the UK Corporate Governance Code 2010 throughout 2011 with the following minor exception:</w:t>
      </w:r>
    </w:p>
    <w:p w:rsidR="003A66D6" w:rsidRPr="00025B9C" w:rsidRDefault="003A66D6" w:rsidP="00D665D9">
      <w:pPr>
        <w:autoSpaceDE w:val="0"/>
        <w:autoSpaceDN w:val="0"/>
        <w:adjustRightInd w:val="0"/>
        <w:ind w:left="567"/>
        <w:jc w:val="both"/>
        <w:rPr>
          <w:rFonts w:asciiTheme="minorHAnsi" w:eastAsia="MinionPro-Regular" w:hAnsiTheme="minorHAnsi" w:cstheme="minorHAnsi"/>
          <w:sz w:val="20"/>
          <w:szCs w:val="20"/>
          <w:lang w:val="en-IE" w:eastAsia="en-IE"/>
        </w:rPr>
      </w:pPr>
      <w:r w:rsidRPr="00025B9C">
        <w:rPr>
          <w:rFonts w:asciiTheme="minorHAnsi" w:eastAsia="MinionPro-Regular" w:hAnsiTheme="minorHAnsi" w:cstheme="minorHAnsi"/>
          <w:sz w:val="20"/>
          <w:szCs w:val="20"/>
          <w:lang w:val="en-IE" w:eastAsia="en-IE"/>
        </w:rPr>
        <w:t xml:space="preserve">B.1.2 Between August 2010 (when John </w:t>
      </w:r>
      <w:proofErr w:type="spellStart"/>
      <w:r w:rsidRPr="00025B9C">
        <w:rPr>
          <w:rFonts w:asciiTheme="minorHAnsi" w:eastAsia="MinionPro-Regular" w:hAnsiTheme="minorHAnsi" w:cstheme="minorHAnsi"/>
          <w:sz w:val="20"/>
          <w:szCs w:val="20"/>
          <w:lang w:val="en-IE" w:eastAsia="en-IE"/>
        </w:rPr>
        <w:t>Scarisbrick</w:t>
      </w:r>
      <w:proofErr w:type="spellEnd"/>
      <w:r w:rsidRPr="00025B9C">
        <w:rPr>
          <w:rFonts w:asciiTheme="minorHAnsi" w:eastAsia="MinionPro-Regular" w:hAnsiTheme="minorHAnsi" w:cstheme="minorHAnsi"/>
          <w:sz w:val="20"/>
          <w:szCs w:val="20"/>
          <w:lang w:val="en-IE" w:eastAsia="en-IE"/>
        </w:rPr>
        <w:t xml:space="preserve"> completed nine years’ service as an independent non-executive director) and the appointment of Janice Roberts and Larry </w:t>
      </w:r>
      <w:proofErr w:type="spellStart"/>
      <w:r w:rsidRPr="00025B9C">
        <w:rPr>
          <w:rFonts w:asciiTheme="minorHAnsi" w:eastAsia="MinionPro-Regular" w:hAnsiTheme="minorHAnsi" w:cstheme="minorHAnsi"/>
          <w:sz w:val="20"/>
          <w:szCs w:val="20"/>
          <w:lang w:val="en-IE" w:eastAsia="en-IE"/>
        </w:rPr>
        <w:t>Hirst</w:t>
      </w:r>
      <w:proofErr w:type="spellEnd"/>
      <w:r w:rsidRPr="00025B9C">
        <w:rPr>
          <w:rFonts w:asciiTheme="minorHAnsi" w:eastAsia="MinionPro-Regular" w:hAnsiTheme="minorHAnsi" w:cstheme="minorHAnsi"/>
          <w:sz w:val="20"/>
          <w:szCs w:val="20"/>
          <w:lang w:val="en-IE" w:eastAsia="en-IE"/>
        </w:rPr>
        <w:t xml:space="preserve"> in January 2011, there were four independent non-executive directors and six executive directors. The Group achieved full compliance with the requirements of s404 of the Sarbanes-Oxley Act 2002 for the sixth successive year.</w:t>
      </w:r>
    </w:p>
    <w:p w:rsidR="005A39B7" w:rsidRPr="00025B9C" w:rsidRDefault="005A39B7" w:rsidP="00D665D9">
      <w:pPr>
        <w:ind w:left="567" w:right="805"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Source: ARM </w:t>
      </w:r>
      <w:r w:rsidR="00D404FA" w:rsidRPr="00025B9C">
        <w:rPr>
          <w:rFonts w:asciiTheme="minorHAnsi" w:hAnsiTheme="minorHAnsi" w:cstheme="minorHAnsi"/>
          <w:sz w:val="20"/>
          <w:szCs w:val="20"/>
        </w:rPr>
        <w:t xml:space="preserve">Holdings </w:t>
      </w:r>
      <w:r w:rsidRPr="00025B9C">
        <w:rPr>
          <w:rFonts w:asciiTheme="minorHAnsi" w:hAnsiTheme="minorHAnsi" w:cstheme="minorHAnsi"/>
          <w:sz w:val="20"/>
          <w:szCs w:val="20"/>
        </w:rPr>
        <w:t>plc annual report 2011, p</w:t>
      </w:r>
      <w:r w:rsidR="00107C93" w:rsidRPr="00025B9C">
        <w:rPr>
          <w:rFonts w:asciiTheme="minorHAnsi" w:hAnsiTheme="minorHAnsi" w:cstheme="minorHAnsi"/>
          <w:sz w:val="20"/>
          <w:szCs w:val="20"/>
        </w:rPr>
        <w:t>p</w:t>
      </w:r>
      <w:r w:rsidRPr="00025B9C">
        <w:rPr>
          <w:rFonts w:asciiTheme="minorHAnsi" w:hAnsiTheme="minorHAnsi" w:cstheme="minorHAnsi"/>
          <w:sz w:val="20"/>
          <w:szCs w:val="20"/>
        </w:rPr>
        <w:t xml:space="preserve">. </w:t>
      </w:r>
      <w:r w:rsidR="00D404FA" w:rsidRPr="00025B9C">
        <w:rPr>
          <w:rFonts w:asciiTheme="minorHAnsi" w:hAnsiTheme="minorHAnsi" w:cstheme="minorHAnsi"/>
          <w:sz w:val="20"/>
          <w:szCs w:val="20"/>
        </w:rPr>
        <w:t>61</w:t>
      </w:r>
      <w:r w:rsidR="00107C93" w:rsidRPr="00025B9C">
        <w:rPr>
          <w:rFonts w:asciiTheme="minorHAnsi" w:hAnsiTheme="minorHAnsi" w:cstheme="minorHAnsi"/>
          <w:sz w:val="20"/>
          <w:szCs w:val="20"/>
        </w:rPr>
        <w:t xml:space="preserve"> and 66</w:t>
      </w:r>
      <w:r w:rsidRPr="00025B9C">
        <w:rPr>
          <w:rFonts w:asciiTheme="minorHAnsi" w:hAnsiTheme="minorHAnsi" w:cstheme="minorHAnsi"/>
          <w:sz w:val="20"/>
          <w:szCs w:val="20"/>
        </w:rPr>
        <w:t>.</w:t>
      </w:r>
    </w:p>
    <w:p w:rsidR="00853002" w:rsidRPr="00025B9C" w:rsidRDefault="00853002" w:rsidP="00D665D9">
      <w:pPr>
        <w:spacing w:line="360" w:lineRule="auto"/>
        <w:jc w:val="both"/>
        <w:rPr>
          <w:rFonts w:asciiTheme="minorHAnsi" w:hAnsiTheme="minorHAnsi" w:cstheme="minorHAnsi"/>
          <w:lang w:val="en-IE"/>
        </w:rPr>
      </w:pPr>
    </w:p>
    <w:p w:rsidR="001236E1" w:rsidRPr="00025B9C" w:rsidRDefault="001236E1" w:rsidP="00D665D9">
      <w:pPr>
        <w:spacing w:line="360" w:lineRule="auto"/>
        <w:jc w:val="both"/>
        <w:rPr>
          <w:rFonts w:asciiTheme="minorHAnsi" w:hAnsiTheme="minorHAnsi" w:cstheme="minorHAnsi"/>
        </w:rPr>
      </w:pPr>
      <w:r w:rsidRPr="00025B9C">
        <w:rPr>
          <w:rFonts w:asciiTheme="minorHAnsi" w:hAnsiTheme="minorHAnsi" w:cstheme="minorHAnsi"/>
        </w:rPr>
        <w:t>A key aspect of non-executive</w:t>
      </w:r>
      <w:r w:rsidR="00903FAB" w:rsidRPr="00025B9C">
        <w:rPr>
          <w:rFonts w:asciiTheme="minorHAnsi" w:hAnsiTheme="minorHAnsi" w:cstheme="minorHAnsi"/>
        </w:rPr>
        <w:t xml:space="preserve"> director</w:t>
      </w:r>
      <w:r w:rsidRPr="00025B9C">
        <w:rPr>
          <w:rFonts w:asciiTheme="minorHAnsi" w:hAnsiTheme="minorHAnsi" w:cstheme="minorHAnsi"/>
        </w:rPr>
        <w:t xml:space="preserve">s is their independence, a cornerstone of the Code, and yet this provision is the most commonly non-complied with in the UK (Shrives &amp; Brennan, 2015). Can </w:t>
      </w:r>
      <w:r w:rsidR="00C4792E" w:rsidRPr="00025B9C">
        <w:rPr>
          <w:rFonts w:asciiTheme="minorHAnsi" w:hAnsiTheme="minorHAnsi" w:cstheme="minorHAnsi"/>
        </w:rPr>
        <w:t xml:space="preserve">such </w:t>
      </w:r>
      <w:r w:rsidRPr="00025B9C">
        <w:rPr>
          <w:rFonts w:asciiTheme="minorHAnsi" w:hAnsiTheme="minorHAnsi" w:cstheme="minorHAnsi"/>
        </w:rPr>
        <w:t xml:space="preserve">non-compliance be called </w:t>
      </w:r>
      <w:r w:rsidR="007A1D49" w:rsidRPr="00025B9C">
        <w:rPr>
          <w:rFonts w:asciiTheme="minorHAnsi" w:hAnsiTheme="minorHAnsi" w:cstheme="minorHAnsi"/>
        </w:rPr>
        <w:t>“</w:t>
      </w:r>
      <w:r w:rsidRPr="00025B9C">
        <w:rPr>
          <w:rFonts w:asciiTheme="minorHAnsi" w:hAnsiTheme="minorHAnsi" w:cstheme="minorHAnsi"/>
        </w:rPr>
        <w:t>minor</w:t>
      </w:r>
      <w:r w:rsidR="007A1D49" w:rsidRPr="00025B9C">
        <w:rPr>
          <w:rFonts w:asciiTheme="minorHAnsi" w:hAnsiTheme="minorHAnsi" w:cstheme="minorHAnsi"/>
        </w:rPr>
        <w:t>”</w:t>
      </w:r>
      <w:r w:rsidRPr="00025B9C">
        <w:rPr>
          <w:rFonts w:asciiTheme="minorHAnsi" w:hAnsiTheme="minorHAnsi" w:cstheme="minorHAnsi"/>
        </w:rPr>
        <w:t xml:space="preserve"> when </w:t>
      </w:r>
      <w:r w:rsidR="00D376A9" w:rsidRPr="00025B9C">
        <w:rPr>
          <w:rFonts w:asciiTheme="minorHAnsi" w:hAnsiTheme="minorHAnsi" w:cstheme="minorHAnsi"/>
        </w:rPr>
        <w:t xml:space="preserve">apparently </w:t>
      </w:r>
      <w:r w:rsidRPr="00025B9C">
        <w:rPr>
          <w:rFonts w:asciiTheme="minorHAnsi" w:hAnsiTheme="minorHAnsi" w:cstheme="minorHAnsi"/>
        </w:rPr>
        <w:t>the board “values corporate governance highly?”</w:t>
      </w:r>
    </w:p>
    <w:p w:rsidR="00D376A9" w:rsidRPr="00025B9C" w:rsidRDefault="00D376A9" w:rsidP="00D665D9">
      <w:pPr>
        <w:spacing w:line="360" w:lineRule="auto"/>
        <w:jc w:val="both"/>
        <w:rPr>
          <w:rFonts w:asciiTheme="minorHAnsi" w:hAnsiTheme="minorHAnsi" w:cstheme="minorHAnsi"/>
        </w:rPr>
      </w:pPr>
    </w:p>
    <w:p w:rsidR="00750442" w:rsidRPr="00025B9C" w:rsidRDefault="003129CD" w:rsidP="004F28B3">
      <w:pPr>
        <w:keepNext/>
        <w:spacing w:line="360" w:lineRule="auto"/>
        <w:jc w:val="both"/>
        <w:rPr>
          <w:rFonts w:asciiTheme="minorHAnsi" w:hAnsiTheme="minorHAnsi" w:cstheme="minorHAnsi"/>
          <w:u w:val="single"/>
        </w:rPr>
      </w:pPr>
      <w:r w:rsidRPr="00025B9C">
        <w:rPr>
          <w:rFonts w:asciiTheme="minorHAnsi" w:hAnsiTheme="minorHAnsi" w:cstheme="minorHAnsi"/>
          <w:u w:val="single"/>
        </w:rPr>
        <w:t>4</w:t>
      </w:r>
      <w:r w:rsidR="00DC0BB5" w:rsidRPr="00025B9C">
        <w:rPr>
          <w:rFonts w:asciiTheme="minorHAnsi" w:hAnsiTheme="minorHAnsi" w:cstheme="minorHAnsi"/>
          <w:u w:val="single"/>
        </w:rPr>
        <w:t xml:space="preserve">. </w:t>
      </w:r>
      <w:r w:rsidR="00C278C3" w:rsidRPr="00025B9C">
        <w:rPr>
          <w:rFonts w:asciiTheme="minorHAnsi" w:hAnsiTheme="minorHAnsi" w:cstheme="minorHAnsi"/>
          <w:u w:val="single"/>
        </w:rPr>
        <w:t xml:space="preserve">Transcendence </w:t>
      </w:r>
    </w:p>
    <w:p w:rsidR="000666E4" w:rsidRPr="00025B9C" w:rsidRDefault="00975FE1" w:rsidP="004F28B3">
      <w:pPr>
        <w:keepNext/>
        <w:spacing w:line="360" w:lineRule="auto"/>
        <w:jc w:val="both"/>
        <w:rPr>
          <w:rFonts w:asciiTheme="minorHAnsi" w:hAnsiTheme="minorHAnsi" w:cstheme="minorHAnsi"/>
        </w:rPr>
      </w:pPr>
      <w:r w:rsidRPr="00025B9C">
        <w:rPr>
          <w:rFonts w:asciiTheme="minorHAnsi" w:hAnsiTheme="minorHAnsi" w:cstheme="minorHAnsi"/>
        </w:rPr>
        <w:t>Transcendence</w:t>
      </w:r>
      <w:r w:rsidR="00C278C3" w:rsidRPr="00025B9C">
        <w:rPr>
          <w:rFonts w:asciiTheme="minorHAnsi" w:hAnsiTheme="minorHAnsi" w:cstheme="minorHAnsi"/>
        </w:rPr>
        <w:t xml:space="preserve"> alters the context </w:t>
      </w:r>
      <w:r w:rsidR="00874626" w:rsidRPr="00025B9C">
        <w:rPr>
          <w:rFonts w:asciiTheme="minorHAnsi" w:hAnsiTheme="minorHAnsi" w:cstheme="minorHAnsi"/>
        </w:rPr>
        <w:t xml:space="preserve">of the </w:t>
      </w:r>
      <w:r w:rsidR="000F2124" w:rsidRPr="00025B9C">
        <w:rPr>
          <w:rFonts w:asciiTheme="minorHAnsi" w:hAnsiTheme="minorHAnsi" w:cstheme="minorHAnsi"/>
        </w:rPr>
        <w:t>action</w:t>
      </w:r>
      <w:r w:rsidR="00874626" w:rsidRPr="00025B9C">
        <w:rPr>
          <w:rFonts w:asciiTheme="minorHAnsi" w:hAnsiTheme="minorHAnsi" w:cstheme="minorHAnsi"/>
        </w:rPr>
        <w:t xml:space="preserve"> by taking</w:t>
      </w:r>
      <w:r w:rsidR="001B2D53" w:rsidRPr="00025B9C">
        <w:rPr>
          <w:rFonts w:asciiTheme="minorHAnsi" w:hAnsiTheme="minorHAnsi" w:cstheme="minorHAnsi"/>
        </w:rPr>
        <w:t xml:space="preserve"> </w:t>
      </w:r>
      <w:r w:rsidR="00C278C3" w:rsidRPr="00025B9C">
        <w:rPr>
          <w:rFonts w:asciiTheme="minorHAnsi" w:hAnsiTheme="minorHAnsi" w:cstheme="minorHAnsi"/>
        </w:rPr>
        <w:t xml:space="preserve">the view that some act is necessary </w:t>
      </w:r>
      <w:r w:rsidR="00C753CD" w:rsidRPr="00025B9C">
        <w:rPr>
          <w:rFonts w:asciiTheme="minorHAnsi" w:hAnsiTheme="minorHAnsi" w:cstheme="minorHAnsi"/>
        </w:rPr>
        <w:t xml:space="preserve">(non-compliance), </w:t>
      </w:r>
      <w:r w:rsidR="00C278C3" w:rsidRPr="00025B9C">
        <w:rPr>
          <w:rFonts w:asciiTheme="minorHAnsi" w:hAnsiTheme="minorHAnsi" w:cstheme="minorHAnsi"/>
        </w:rPr>
        <w:t xml:space="preserve">because of </w:t>
      </w:r>
      <w:r w:rsidR="00984367" w:rsidRPr="00025B9C">
        <w:rPr>
          <w:rFonts w:asciiTheme="minorHAnsi" w:hAnsiTheme="minorHAnsi" w:cstheme="minorHAnsi"/>
        </w:rPr>
        <w:t xml:space="preserve">the need to envision a </w:t>
      </w:r>
      <w:r w:rsidR="00FF3BCB" w:rsidRPr="00025B9C">
        <w:rPr>
          <w:rFonts w:asciiTheme="minorHAnsi" w:hAnsiTheme="minorHAnsi" w:cstheme="minorHAnsi"/>
        </w:rPr>
        <w:t>more important</w:t>
      </w:r>
      <w:r w:rsidR="00C278C3" w:rsidRPr="00025B9C">
        <w:rPr>
          <w:rFonts w:asciiTheme="minorHAnsi" w:hAnsiTheme="minorHAnsi" w:cstheme="minorHAnsi"/>
        </w:rPr>
        <w:t xml:space="preserve"> </w:t>
      </w:r>
      <w:r w:rsidR="00FF3BCB" w:rsidRPr="00025B9C">
        <w:rPr>
          <w:rFonts w:asciiTheme="minorHAnsi" w:hAnsiTheme="minorHAnsi" w:cstheme="minorHAnsi"/>
        </w:rPr>
        <w:t>worldview (</w:t>
      </w:r>
      <w:r w:rsidR="00C753CD" w:rsidRPr="00025B9C">
        <w:rPr>
          <w:rFonts w:asciiTheme="minorHAnsi" w:hAnsiTheme="minorHAnsi" w:cstheme="minorHAnsi"/>
        </w:rPr>
        <w:t xml:space="preserve">or more simply, </w:t>
      </w:r>
      <w:r w:rsidR="00C764AD" w:rsidRPr="00025B9C">
        <w:rPr>
          <w:rFonts w:asciiTheme="minorHAnsi" w:hAnsiTheme="minorHAnsi" w:cstheme="minorHAnsi"/>
        </w:rPr>
        <w:t>‘</w:t>
      </w:r>
      <w:r w:rsidR="00C753CD" w:rsidRPr="00025B9C">
        <w:rPr>
          <w:rFonts w:asciiTheme="minorHAnsi" w:hAnsiTheme="minorHAnsi" w:cstheme="minorHAnsi"/>
        </w:rPr>
        <w:t xml:space="preserve">see </w:t>
      </w:r>
      <w:r w:rsidR="00FF3BCB" w:rsidRPr="00025B9C">
        <w:rPr>
          <w:rFonts w:asciiTheme="minorHAnsi" w:hAnsiTheme="minorHAnsi" w:cstheme="minorHAnsi"/>
        </w:rPr>
        <w:t>the bigger picture</w:t>
      </w:r>
      <w:r w:rsidR="00C764AD" w:rsidRPr="00025B9C">
        <w:rPr>
          <w:rFonts w:asciiTheme="minorHAnsi" w:hAnsiTheme="minorHAnsi" w:cstheme="minorHAnsi"/>
        </w:rPr>
        <w:t>’</w:t>
      </w:r>
      <w:r w:rsidR="00FF3BCB" w:rsidRPr="00025B9C">
        <w:rPr>
          <w:rFonts w:asciiTheme="minorHAnsi" w:hAnsiTheme="minorHAnsi" w:cstheme="minorHAnsi"/>
        </w:rPr>
        <w:t>)</w:t>
      </w:r>
      <w:r w:rsidR="00C278C3" w:rsidRPr="00025B9C">
        <w:rPr>
          <w:rFonts w:asciiTheme="minorHAnsi" w:hAnsiTheme="minorHAnsi" w:cstheme="minorHAnsi"/>
        </w:rPr>
        <w:t xml:space="preserve">. The action may </w:t>
      </w:r>
      <w:r w:rsidR="00FF3BCB" w:rsidRPr="00025B9C">
        <w:rPr>
          <w:rFonts w:asciiTheme="minorHAnsi" w:hAnsiTheme="minorHAnsi" w:cstheme="minorHAnsi"/>
          <w:i/>
        </w:rPr>
        <w:t>initially</w:t>
      </w:r>
      <w:r w:rsidR="00FF3BCB" w:rsidRPr="00025B9C">
        <w:rPr>
          <w:rFonts w:asciiTheme="minorHAnsi" w:hAnsiTheme="minorHAnsi" w:cstheme="minorHAnsi"/>
        </w:rPr>
        <w:t xml:space="preserve"> </w:t>
      </w:r>
      <w:r w:rsidR="00C278C3" w:rsidRPr="00025B9C">
        <w:rPr>
          <w:rFonts w:asciiTheme="minorHAnsi" w:hAnsiTheme="minorHAnsi" w:cstheme="minorHAnsi"/>
        </w:rPr>
        <w:t xml:space="preserve">seem bad but in fact has a </w:t>
      </w:r>
      <w:r w:rsidR="003A0852" w:rsidRPr="00025B9C">
        <w:rPr>
          <w:rFonts w:asciiTheme="minorHAnsi" w:hAnsiTheme="minorHAnsi" w:cstheme="minorHAnsi"/>
        </w:rPr>
        <w:t>‘</w:t>
      </w:r>
      <w:r w:rsidR="00C278C3" w:rsidRPr="00025B9C">
        <w:rPr>
          <w:rFonts w:asciiTheme="minorHAnsi" w:hAnsiTheme="minorHAnsi" w:cstheme="minorHAnsi"/>
        </w:rPr>
        <w:t>silver lining</w:t>
      </w:r>
      <w:r w:rsidR="003A0852" w:rsidRPr="00025B9C">
        <w:rPr>
          <w:rFonts w:asciiTheme="minorHAnsi" w:hAnsiTheme="minorHAnsi" w:cstheme="minorHAnsi"/>
        </w:rPr>
        <w:t>’</w:t>
      </w:r>
      <w:r w:rsidR="00C278C3" w:rsidRPr="00025B9C">
        <w:rPr>
          <w:rFonts w:asciiTheme="minorHAnsi" w:hAnsiTheme="minorHAnsi" w:cstheme="minorHAnsi"/>
        </w:rPr>
        <w:t xml:space="preserve"> which more than compensates and thus the </w:t>
      </w:r>
      <w:r w:rsidR="00C764AD" w:rsidRPr="00025B9C">
        <w:rPr>
          <w:rFonts w:asciiTheme="minorHAnsi" w:hAnsiTheme="minorHAnsi" w:cstheme="minorHAnsi"/>
        </w:rPr>
        <w:t>‘</w:t>
      </w:r>
      <w:r w:rsidR="00C278C3" w:rsidRPr="00025B9C">
        <w:rPr>
          <w:rFonts w:asciiTheme="minorHAnsi" w:hAnsiTheme="minorHAnsi" w:cstheme="minorHAnsi"/>
        </w:rPr>
        <w:t>end justif</w:t>
      </w:r>
      <w:r w:rsidR="00064C89" w:rsidRPr="00025B9C">
        <w:rPr>
          <w:rFonts w:asciiTheme="minorHAnsi" w:hAnsiTheme="minorHAnsi" w:cstheme="minorHAnsi"/>
        </w:rPr>
        <w:t>ies</w:t>
      </w:r>
      <w:r w:rsidR="00C278C3" w:rsidRPr="00025B9C">
        <w:rPr>
          <w:rFonts w:asciiTheme="minorHAnsi" w:hAnsiTheme="minorHAnsi" w:cstheme="minorHAnsi"/>
        </w:rPr>
        <w:t xml:space="preserve"> the means</w:t>
      </w:r>
      <w:r w:rsidR="00C764AD" w:rsidRPr="00025B9C">
        <w:rPr>
          <w:rFonts w:asciiTheme="minorHAnsi" w:hAnsiTheme="minorHAnsi" w:cstheme="minorHAnsi"/>
        </w:rPr>
        <w:t>’</w:t>
      </w:r>
      <w:r w:rsidR="00C753CD" w:rsidRPr="00025B9C">
        <w:rPr>
          <w:rFonts w:asciiTheme="minorHAnsi" w:hAnsiTheme="minorHAnsi" w:cstheme="minorHAnsi"/>
        </w:rPr>
        <w:t>.</w:t>
      </w:r>
      <w:r w:rsidR="00C278C3" w:rsidRPr="00025B9C">
        <w:rPr>
          <w:rFonts w:asciiTheme="minorHAnsi" w:hAnsiTheme="minorHAnsi" w:cstheme="minorHAnsi"/>
        </w:rPr>
        <w:t xml:space="preserve"> </w:t>
      </w:r>
      <w:r w:rsidR="00FF3BCB" w:rsidRPr="00025B9C">
        <w:rPr>
          <w:rFonts w:asciiTheme="minorHAnsi" w:hAnsiTheme="minorHAnsi" w:cstheme="minorHAnsi"/>
        </w:rPr>
        <w:t xml:space="preserve">Employing </w:t>
      </w:r>
      <w:r w:rsidR="00C753CD" w:rsidRPr="00025B9C">
        <w:rPr>
          <w:rFonts w:asciiTheme="minorHAnsi" w:hAnsiTheme="minorHAnsi" w:cstheme="minorHAnsi"/>
        </w:rPr>
        <w:t xml:space="preserve">a </w:t>
      </w:r>
      <w:r w:rsidR="00FF3BCB" w:rsidRPr="00025B9C">
        <w:rPr>
          <w:rFonts w:asciiTheme="minorHAnsi" w:hAnsiTheme="minorHAnsi" w:cstheme="minorHAnsi"/>
        </w:rPr>
        <w:t xml:space="preserve">consequentialist approach is </w:t>
      </w:r>
      <w:r w:rsidR="00C278C3" w:rsidRPr="00025B9C">
        <w:rPr>
          <w:rFonts w:asciiTheme="minorHAnsi" w:hAnsiTheme="minorHAnsi" w:cstheme="minorHAnsi"/>
        </w:rPr>
        <w:t>a</w:t>
      </w:r>
      <w:r w:rsidR="00C34CE3" w:rsidRPr="00025B9C">
        <w:rPr>
          <w:rFonts w:asciiTheme="minorHAnsi" w:hAnsiTheme="minorHAnsi" w:cstheme="minorHAnsi"/>
        </w:rPr>
        <w:t xml:space="preserve"> </w:t>
      </w:r>
      <w:r w:rsidR="00C278C3" w:rsidRPr="00025B9C">
        <w:rPr>
          <w:rFonts w:asciiTheme="minorHAnsi" w:hAnsiTheme="minorHAnsi" w:cstheme="minorHAnsi"/>
        </w:rPr>
        <w:t xml:space="preserve">common </w:t>
      </w:r>
      <w:r w:rsidR="00431735" w:rsidRPr="00025B9C">
        <w:rPr>
          <w:rFonts w:asciiTheme="minorHAnsi" w:hAnsiTheme="minorHAnsi" w:cstheme="minorHAnsi"/>
        </w:rPr>
        <w:t xml:space="preserve">rhetorical </w:t>
      </w:r>
      <w:r w:rsidR="00C278C3" w:rsidRPr="00025B9C">
        <w:rPr>
          <w:rFonts w:asciiTheme="minorHAnsi" w:hAnsiTheme="minorHAnsi" w:cstheme="minorHAnsi"/>
        </w:rPr>
        <w:t xml:space="preserve">strategy </w:t>
      </w:r>
      <w:r w:rsidR="00C34CE3" w:rsidRPr="00025B9C">
        <w:rPr>
          <w:rFonts w:asciiTheme="minorHAnsi" w:hAnsiTheme="minorHAnsi" w:cstheme="minorHAnsi"/>
        </w:rPr>
        <w:t xml:space="preserve">discussed </w:t>
      </w:r>
      <w:r w:rsidR="007018D2" w:rsidRPr="00025B9C">
        <w:rPr>
          <w:rFonts w:asciiTheme="minorHAnsi" w:hAnsiTheme="minorHAnsi" w:cstheme="minorHAnsi"/>
        </w:rPr>
        <w:t>in the literature</w:t>
      </w:r>
      <w:r w:rsidR="00C34CE3" w:rsidRPr="00025B9C">
        <w:rPr>
          <w:rFonts w:asciiTheme="minorHAnsi" w:hAnsiTheme="minorHAnsi" w:cstheme="minorHAnsi"/>
        </w:rPr>
        <w:t xml:space="preserve"> (e.g.</w:t>
      </w:r>
      <w:r w:rsidR="000F3422" w:rsidRPr="00025B9C">
        <w:rPr>
          <w:rFonts w:asciiTheme="minorHAnsi" w:hAnsiTheme="minorHAnsi" w:cstheme="minorHAnsi"/>
        </w:rPr>
        <w:t>,</w:t>
      </w:r>
      <w:r w:rsidR="00C34CE3" w:rsidRPr="00025B9C">
        <w:rPr>
          <w:rFonts w:asciiTheme="minorHAnsi" w:hAnsiTheme="minorHAnsi" w:cstheme="minorHAnsi"/>
        </w:rPr>
        <w:t xml:space="preserve"> </w:t>
      </w:r>
      <w:r w:rsidR="00462514" w:rsidRPr="00025B9C">
        <w:rPr>
          <w:rFonts w:asciiTheme="minorHAnsi" w:hAnsiTheme="minorHAnsi" w:cstheme="minorHAnsi"/>
        </w:rPr>
        <w:t xml:space="preserve">Scott &amp; Lyman, 1968; </w:t>
      </w:r>
      <w:proofErr w:type="spellStart"/>
      <w:r w:rsidR="00C34CE3" w:rsidRPr="00025B9C">
        <w:rPr>
          <w:rFonts w:asciiTheme="minorHAnsi" w:hAnsiTheme="minorHAnsi" w:cstheme="minorHAnsi"/>
        </w:rPr>
        <w:t>Schlenker</w:t>
      </w:r>
      <w:proofErr w:type="spellEnd"/>
      <w:r w:rsidR="00C34CE3" w:rsidRPr="00025B9C">
        <w:rPr>
          <w:rFonts w:asciiTheme="minorHAnsi" w:hAnsiTheme="minorHAnsi" w:cstheme="minorHAnsi"/>
        </w:rPr>
        <w:t xml:space="preserve">, 1980; </w:t>
      </w:r>
      <w:proofErr w:type="spellStart"/>
      <w:r w:rsidR="00C34CE3" w:rsidRPr="00025B9C">
        <w:rPr>
          <w:rFonts w:asciiTheme="minorHAnsi" w:hAnsiTheme="minorHAnsi" w:cstheme="minorHAnsi"/>
        </w:rPr>
        <w:t>Tedeschi</w:t>
      </w:r>
      <w:proofErr w:type="spellEnd"/>
      <w:r w:rsidR="00C34CE3" w:rsidRPr="00025B9C">
        <w:rPr>
          <w:rFonts w:asciiTheme="minorHAnsi" w:hAnsiTheme="minorHAnsi" w:cstheme="minorHAnsi"/>
        </w:rPr>
        <w:t xml:space="preserve"> </w:t>
      </w:r>
      <w:r w:rsidR="00DB0683" w:rsidRPr="00025B9C">
        <w:rPr>
          <w:rFonts w:asciiTheme="minorHAnsi" w:hAnsiTheme="minorHAnsi" w:cstheme="minorHAnsi"/>
        </w:rPr>
        <w:t>&amp;</w:t>
      </w:r>
      <w:r w:rsidR="00C34CE3" w:rsidRPr="00025B9C">
        <w:rPr>
          <w:rFonts w:asciiTheme="minorHAnsi" w:hAnsiTheme="minorHAnsi" w:cstheme="minorHAnsi"/>
        </w:rPr>
        <w:t xml:space="preserve"> Reiss, 1981; </w:t>
      </w:r>
      <w:r w:rsidR="00462514" w:rsidRPr="00025B9C">
        <w:rPr>
          <w:rFonts w:asciiTheme="minorHAnsi" w:hAnsiTheme="minorHAnsi" w:cstheme="minorHAnsi"/>
        </w:rPr>
        <w:t xml:space="preserve">Oliver, 1991; Jameson, 2000; </w:t>
      </w:r>
      <w:proofErr w:type="spellStart"/>
      <w:r w:rsidR="006B65DB" w:rsidRPr="00025B9C">
        <w:rPr>
          <w:rFonts w:asciiTheme="minorHAnsi" w:hAnsiTheme="minorHAnsi" w:cstheme="minorHAnsi"/>
        </w:rPr>
        <w:t>Bebbington</w:t>
      </w:r>
      <w:proofErr w:type="spellEnd"/>
      <w:r w:rsidR="006B65DB" w:rsidRPr="00025B9C">
        <w:rPr>
          <w:rFonts w:asciiTheme="minorHAnsi" w:hAnsiTheme="minorHAnsi" w:cstheme="minorHAnsi"/>
        </w:rPr>
        <w:t xml:space="preserve">, Larrinaga </w:t>
      </w:r>
      <w:r w:rsidR="00505A4B" w:rsidRPr="00025B9C">
        <w:rPr>
          <w:rFonts w:asciiTheme="minorHAnsi" w:hAnsiTheme="minorHAnsi" w:cstheme="minorHAnsi"/>
        </w:rPr>
        <w:t>&amp;</w:t>
      </w:r>
      <w:r w:rsidR="006B65DB" w:rsidRPr="00025B9C">
        <w:rPr>
          <w:rFonts w:asciiTheme="minorHAnsi" w:hAnsiTheme="minorHAnsi" w:cstheme="minorHAnsi"/>
        </w:rPr>
        <w:t xml:space="preserve"> </w:t>
      </w:r>
      <w:proofErr w:type="spellStart"/>
      <w:r w:rsidR="006B65DB" w:rsidRPr="00025B9C">
        <w:rPr>
          <w:rFonts w:asciiTheme="minorHAnsi" w:hAnsiTheme="minorHAnsi" w:cstheme="minorHAnsi"/>
        </w:rPr>
        <w:t>Moneva</w:t>
      </w:r>
      <w:proofErr w:type="spellEnd"/>
      <w:r w:rsidR="00C34CE3" w:rsidRPr="00025B9C">
        <w:rPr>
          <w:rFonts w:asciiTheme="minorHAnsi" w:hAnsiTheme="minorHAnsi" w:cstheme="minorHAnsi"/>
        </w:rPr>
        <w:t xml:space="preserve">, 2008). In </w:t>
      </w:r>
      <w:r w:rsidR="00984367" w:rsidRPr="00025B9C">
        <w:rPr>
          <w:rFonts w:asciiTheme="minorHAnsi" w:hAnsiTheme="minorHAnsi" w:cstheme="minorHAnsi"/>
        </w:rPr>
        <w:t>one</w:t>
      </w:r>
      <w:r w:rsidR="00C34CE3" w:rsidRPr="00025B9C">
        <w:rPr>
          <w:rFonts w:asciiTheme="minorHAnsi" w:hAnsiTheme="minorHAnsi" w:cstheme="minorHAnsi"/>
        </w:rPr>
        <w:t xml:space="preserve"> sense</w:t>
      </w:r>
      <w:r w:rsidR="00336E5A" w:rsidRPr="00025B9C">
        <w:rPr>
          <w:rFonts w:asciiTheme="minorHAnsi" w:hAnsiTheme="minorHAnsi" w:cstheme="minorHAnsi"/>
        </w:rPr>
        <w:t>,</w:t>
      </w:r>
      <w:r w:rsidR="00C34CE3" w:rsidRPr="00025B9C">
        <w:rPr>
          <w:rFonts w:asciiTheme="minorHAnsi" w:hAnsiTheme="minorHAnsi" w:cstheme="minorHAnsi"/>
        </w:rPr>
        <w:t xml:space="preserve"> the bad action is attributed to a good outcome and thus it could be seen as a variant of attribution (</w:t>
      </w:r>
      <w:proofErr w:type="spellStart"/>
      <w:r w:rsidR="00C34CE3" w:rsidRPr="00025B9C">
        <w:rPr>
          <w:rFonts w:asciiTheme="minorHAnsi" w:hAnsiTheme="minorHAnsi" w:cstheme="minorHAnsi"/>
        </w:rPr>
        <w:t>Aerts</w:t>
      </w:r>
      <w:proofErr w:type="spellEnd"/>
      <w:r w:rsidR="00C34CE3" w:rsidRPr="00025B9C">
        <w:rPr>
          <w:rFonts w:asciiTheme="minorHAnsi" w:hAnsiTheme="minorHAnsi" w:cstheme="minorHAnsi"/>
        </w:rPr>
        <w:t xml:space="preserve">, 2005). </w:t>
      </w:r>
      <w:r w:rsidR="00247B9A" w:rsidRPr="00025B9C">
        <w:rPr>
          <w:rFonts w:asciiTheme="minorHAnsi" w:hAnsiTheme="minorHAnsi" w:cstheme="minorHAnsi"/>
        </w:rPr>
        <w:t>Thus,</w:t>
      </w:r>
      <w:r w:rsidR="00C34CE3" w:rsidRPr="00025B9C">
        <w:rPr>
          <w:rFonts w:asciiTheme="minorHAnsi" w:hAnsiTheme="minorHAnsi" w:cstheme="minorHAnsi"/>
        </w:rPr>
        <w:t xml:space="preserve"> </w:t>
      </w:r>
      <w:r w:rsidR="00984367" w:rsidRPr="00025B9C">
        <w:rPr>
          <w:rFonts w:asciiTheme="minorHAnsi" w:hAnsiTheme="minorHAnsi" w:cstheme="minorHAnsi"/>
        </w:rPr>
        <w:t xml:space="preserve">when </w:t>
      </w:r>
      <w:r w:rsidR="00C34CE3" w:rsidRPr="00025B9C">
        <w:rPr>
          <w:rFonts w:asciiTheme="minorHAnsi" w:hAnsiTheme="minorHAnsi" w:cstheme="minorHAnsi"/>
        </w:rPr>
        <w:t>managers choose not to comply with regulations (or Code)</w:t>
      </w:r>
      <w:r w:rsidR="00FB2391" w:rsidRPr="00025B9C">
        <w:rPr>
          <w:rFonts w:asciiTheme="minorHAnsi" w:hAnsiTheme="minorHAnsi" w:cstheme="minorHAnsi"/>
        </w:rPr>
        <w:t xml:space="preserve"> they emphasi</w:t>
      </w:r>
      <w:r w:rsidR="00CB5E2E" w:rsidRPr="00025B9C">
        <w:rPr>
          <w:rFonts w:asciiTheme="minorHAnsi" w:hAnsiTheme="minorHAnsi" w:cstheme="minorHAnsi"/>
        </w:rPr>
        <w:t>z</w:t>
      </w:r>
      <w:r w:rsidR="00FB2391" w:rsidRPr="00025B9C">
        <w:rPr>
          <w:rFonts w:asciiTheme="minorHAnsi" w:hAnsiTheme="minorHAnsi" w:cstheme="minorHAnsi"/>
        </w:rPr>
        <w:t>e the</w:t>
      </w:r>
      <w:r w:rsidR="00C34CE3" w:rsidRPr="00025B9C">
        <w:rPr>
          <w:rFonts w:asciiTheme="minorHAnsi" w:hAnsiTheme="minorHAnsi" w:cstheme="minorHAnsi"/>
        </w:rPr>
        <w:t xml:space="preserve"> “virtue</w:t>
      </w:r>
      <w:r w:rsidR="00FB2391" w:rsidRPr="00025B9C">
        <w:rPr>
          <w:rFonts w:asciiTheme="minorHAnsi" w:hAnsiTheme="minorHAnsi" w:cstheme="minorHAnsi"/>
        </w:rPr>
        <w:t>s</w:t>
      </w:r>
      <w:r w:rsidR="003A0852" w:rsidRPr="00025B9C">
        <w:rPr>
          <w:rFonts w:asciiTheme="minorHAnsi" w:hAnsiTheme="minorHAnsi" w:cstheme="minorHAnsi"/>
        </w:rPr>
        <w:t xml:space="preserve"> </w:t>
      </w:r>
      <w:r w:rsidR="00FB2391" w:rsidRPr="00025B9C">
        <w:rPr>
          <w:rFonts w:asciiTheme="minorHAnsi" w:hAnsiTheme="minorHAnsi" w:cstheme="minorHAnsi"/>
        </w:rPr>
        <w:t>of non</w:t>
      </w:r>
      <w:r w:rsidR="003A0852" w:rsidRPr="00025B9C">
        <w:rPr>
          <w:rFonts w:asciiTheme="minorHAnsi" w:hAnsiTheme="minorHAnsi" w:cstheme="minorHAnsi"/>
        </w:rPr>
        <w:t>-</w:t>
      </w:r>
      <w:r w:rsidR="00C34CE3" w:rsidRPr="00025B9C">
        <w:rPr>
          <w:rFonts w:asciiTheme="minorHAnsi" w:hAnsiTheme="minorHAnsi" w:cstheme="minorHAnsi"/>
        </w:rPr>
        <w:t>compliance” (Oliver, 1991, p.</w:t>
      </w:r>
      <w:r w:rsidR="00F914D3" w:rsidRPr="00025B9C">
        <w:rPr>
          <w:rFonts w:asciiTheme="minorHAnsi" w:hAnsiTheme="minorHAnsi" w:cstheme="minorHAnsi"/>
        </w:rPr>
        <w:t xml:space="preserve"> </w:t>
      </w:r>
      <w:r w:rsidR="00C34CE3" w:rsidRPr="00025B9C">
        <w:rPr>
          <w:rFonts w:asciiTheme="minorHAnsi" w:hAnsiTheme="minorHAnsi" w:cstheme="minorHAnsi"/>
        </w:rPr>
        <w:t xml:space="preserve">150). The implication is that shareholders can be </w:t>
      </w:r>
      <w:r w:rsidR="00247B9A" w:rsidRPr="00025B9C">
        <w:rPr>
          <w:rFonts w:asciiTheme="minorHAnsi" w:hAnsiTheme="minorHAnsi" w:cstheme="minorHAnsi"/>
        </w:rPr>
        <w:t xml:space="preserve">better </w:t>
      </w:r>
      <w:r w:rsidR="00C34CE3" w:rsidRPr="00025B9C">
        <w:rPr>
          <w:rFonts w:asciiTheme="minorHAnsi" w:hAnsiTheme="minorHAnsi" w:cstheme="minorHAnsi"/>
        </w:rPr>
        <w:t>served</w:t>
      </w:r>
      <w:r w:rsidR="00A15F16" w:rsidRPr="00025B9C">
        <w:rPr>
          <w:rFonts w:asciiTheme="minorHAnsi" w:hAnsiTheme="minorHAnsi" w:cstheme="minorHAnsi"/>
        </w:rPr>
        <w:t xml:space="preserve"> by non-compliance</w:t>
      </w:r>
      <w:r w:rsidR="00C34CE3" w:rsidRPr="00025B9C">
        <w:rPr>
          <w:rFonts w:asciiTheme="minorHAnsi" w:hAnsiTheme="minorHAnsi" w:cstheme="minorHAnsi"/>
        </w:rPr>
        <w:t xml:space="preserve">. </w:t>
      </w:r>
      <w:r w:rsidR="00244860" w:rsidRPr="00025B9C">
        <w:rPr>
          <w:rFonts w:asciiTheme="minorHAnsi" w:hAnsiTheme="minorHAnsi" w:cstheme="minorHAnsi"/>
        </w:rPr>
        <w:t>Similarly,</w:t>
      </w:r>
      <w:r w:rsidR="00C34CE3" w:rsidRPr="00025B9C">
        <w:rPr>
          <w:rFonts w:asciiTheme="minorHAnsi" w:hAnsiTheme="minorHAnsi" w:cstheme="minorHAnsi"/>
        </w:rPr>
        <w:t xml:space="preserve"> </w:t>
      </w:r>
      <w:proofErr w:type="spellStart"/>
      <w:r w:rsidR="00C34CE3" w:rsidRPr="00025B9C">
        <w:rPr>
          <w:rFonts w:asciiTheme="minorHAnsi" w:hAnsiTheme="minorHAnsi" w:cstheme="minorHAnsi"/>
        </w:rPr>
        <w:t>Elsbach</w:t>
      </w:r>
      <w:proofErr w:type="spellEnd"/>
      <w:r w:rsidR="00C34CE3" w:rsidRPr="00025B9C">
        <w:rPr>
          <w:rFonts w:asciiTheme="minorHAnsi" w:hAnsiTheme="minorHAnsi" w:cstheme="minorHAnsi"/>
        </w:rPr>
        <w:t xml:space="preserve"> </w:t>
      </w:r>
      <w:r w:rsidR="00972A37" w:rsidRPr="00025B9C">
        <w:rPr>
          <w:rFonts w:asciiTheme="minorHAnsi" w:hAnsiTheme="minorHAnsi" w:cstheme="minorHAnsi"/>
        </w:rPr>
        <w:t>and</w:t>
      </w:r>
      <w:r w:rsidR="00C34CE3" w:rsidRPr="00025B9C">
        <w:rPr>
          <w:rFonts w:asciiTheme="minorHAnsi" w:hAnsiTheme="minorHAnsi" w:cstheme="minorHAnsi"/>
        </w:rPr>
        <w:t xml:space="preserve"> Sutton (1992</w:t>
      </w:r>
      <w:r w:rsidR="0060297E" w:rsidRPr="00025B9C">
        <w:rPr>
          <w:rFonts w:asciiTheme="minorHAnsi" w:hAnsiTheme="minorHAnsi" w:cstheme="minorHAnsi"/>
        </w:rPr>
        <w:t>, p.</w:t>
      </w:r>
      <w:r w:rsidR="00F914D3" w:rsidRPr="00025B9C">
        <w:rPr>
          <w:rFonts w:asciiTheme="minorHAnsi" w:hAnsiTheme="minorHAnsi" w:cstheme="minorHAnsi"/>
        </w:rPr>
        <w:t xml:space="preserve"> </w:t>
      </w:r>
      <w:r w:rsidR="0060297E" w:rsidRPr="00025B9C">
        <w:rPr>
          <w:rFonts w:asciiTheme="minorHAnsi" w:hAnsiTheme="minorHAnsi" w:cstheme="minorHAnsi"/>
        </w:rPr>
        <w:t>699</w:t>
      </w:r>
      <w:r w:rsidR="00C34CE3" w:rsidRPr="00025B9C">
        <w:rPr>
          <w:rFonts w:asciiTheme="minorHAnsi" w:hAnsiTheme="minorHAnsi" w:cstheme="minorHAnsi"/>
        </w:rPr>
        <w:t>)</w:t>
      </w:r>
      <w:r w:rsidR="00931368" w:rsidRPr="00025B9C">
        <w:rPr>
          <w:rFonts w:asciiTheme="minorHAnsi" w:hAnsiTheme="minorHAnsi" w:cstheme="minorHAnsi"/>
        </w:rPr>
        <w:t xml:space="preserve"> discuss how companies can </w:t>
      </w:r>
      <w:r w:rsidR="000F2124" w:rsidRPr="00025B9C">
        <w:rPr>
          <w:rFonts w:asciiTheme="minorHAnsi" w:hAnsiTheme="minorHAnsi" w:cstheme="minorHAnsi"/>
        </w:rPr>
        <w:t>use</w:t>
      </w:r>
      <w:r w:rsidR="00931368" w:rsidRPr="00025B9C">
        <w:rPr>
          <w:rFonts w:asciiTheme="minorHAnsi" w:hAnsiTheme="minorHAnsi" w:cstheme="minorHAnsi"/>
        </w:rPr>
        <w:t xml:space="preserve"> </w:t>
      </w:r>
      <w:r w:rsidR="00874626" w:rsidRPr="00025B9C">
        <w:rPr>
          <w:rFonts w:asciiTheme="minorHAnsi" w:hAnsiTheme="minorHAnsi" w:cstheme="minorHAnsi"/>
        </w:rPr>
        <w:t xml:space="preserve">tactics </w:t>
      </w:r>
      <w:r w:rsidR="00931368" w:rsidRPr="00025B9C">
        <w:rPr>
          <w:rFonts w:asciiTheme="minorHAnsi" w:hAnsiTheme="minorHAnsi" w:cstheme="minorHAnsi"/>
        </w:rPr>
        <w:t xml:space="preserve">to </w:t>
      </w:r>
      <w:r w:rsidR="00FB2391" w:rsidRPr="00025B9C">
        <w:rPr>
          <w:rFonts w:asciiTheme="minorHAnsi" w:hAnsiTheme="minorHAnsi" w:cstheme="minorHAnsi"/>
        </w:rPr>
        <w:t>“</w:t>
      </w:r>
      <w:r w:rsidR="00931368" w:rsidRPr="00025B9C">
        <w:rPr>
          <w:rFonts w:asciiTheme="minorHAnsi" w:hAnsiTheme="minorHAnsi" w:cstheme="minorHAnsi"/>
        </w:rPr>
        <w:t>shift</w:t>
      </w:r>
      <w:r w:rsidR="003A3164" w:rsidRPr="00025B9C">
        <w:rPr>
          <w:rFonts w:asciiTheme="minorHAnsi" w:hAnsiTheme="minorHAnsi" w:cstheme="minorHAnsi"/>
        </w:rPr>
        <w:t>[</w:t>
      </w:r>
      <w:proofErr w:type="spellStart"/>
      <w:r w:rsidR="003A3164" w:rsidRPr="00025B9C">
        <w:rPr>
          <w:rFonts w:asciiTheme="minorHAnsi" w:hAnsiTheme="minorHAnsi" w:cstheme="minorHAnsi"/>
        </w:rPr>
        <w:t>ed</w:t>
      </w:r>
      <w:proofErr w:type="spellEnd"/>
      <w:r w:rsidR="003A3164" w:rsidRPr="00025B9C">
        <w:rPr>
          <w:rFonts w:asciiTheme="minorHAnsi" w:hAnsiTheme="minorHAnsi" w:cstheme="minorHAnsi"/>
        </w:rPr>
        <w:t>]</w:t>
      </w:r>
      <w:r w:rsidR="00931368" w:rsidRPr="00025B9C">
        <w:rPr>
          <w:rFonts w:asciiTheme="minorHAnsi" w:hAnsiTheme="minorHAnsi" w:cstheme="minorHAnsi"/>
        </w:rPr>
        <w:t xml:space="preserve"> attention away from </w:t>
      </w:r>
      <w:r w:rsidR="00FB2391" w:rsidRPr="00025B9C">
        <w:rPr>
          <w:rFonts w:asciiTheme="minorHAnsi" w:hAnsiTheme="minorHAnsi" w:cstheme="minorHAnsi"/>
        </w:rPr>
        <w:t xml:space="preserve">the </w:t>
      </w:r>
      <w:r w:rsidR="00931368" w:rsidRPr="00025B9C">
        <w:rPr>
          <w:rFonts w:asciiTheme="minorHAnsi" w:hAnsiTheme="minorHAnsi" w:cstheme="minorHAnsi"/>
        </w:rPr>
        <w:t xml:space="preserve">controversial actions and toward </w:t>
      </w:r>
      <w:r w:rsidR="00FB2391" w:rsidRPr="00025B9C">
        <w:rPr>
          <w:rFonts w:asciiTheme="minorHAnsi" w:hAnsiTheme="minorHAnsi" w:cstheme="minorHAnsi"/>
        </w:rPr>
        <w:t xml:space="preserve">the </w:t>
      </w:r>
      <w:r w:rsidR="00931368" w:rsidRPr="00025B9C">
        <w:rPr>
          <w:rFonts w:asciiTheme="minorHAnsi" w:hAnsiTheme="minorHAnsi" w:cstheme="minorHAnsi"/>
        </w:rPr>
        <w:t>socially desirable goals</w:t>
      </w:r>
      <w:r w:rsidR="00972A37" w:rsidRPr="00025B9C">
        <w:rPr>
          <w:rFonts w:asciiTheme="minorHAnsi" w:hAnsiTheme="minorHAnsi" w:cstheme="minorHAnsi"/>
        </w:rPr>
        <w:t>”.</w:t>
      </w:r>
      <w:r w:rsidR="00DE3738" w:rsidRPr="00025B9C">
        <w:rPr>
          <w:rFonts w:asciiTheme="minorHAnsi" w:hAnsiTheme="minorHAnsi" w:cstheme="minorHAnsi"/>
        </w:rPr>
        <w:t xml:space="preserve"> </w:t>
      </w:r>
      <w:r w:rsidR="000F2124" w:rsidRPr="00025B9C">
        <w:rPr>
          <w:rFonts w:asciiTheme="minorHAnsi" w:hAnsiTheme="minorHAnsi" w:cstheme="minorHAnsi"/>
        </w:rPr>
        <w:t>The explanation in Example 4</w:t>
      </w:r>
      <w:r w:rsidR="009C27EC" w:rsidRPr="00025B9C">
        <w:rPr>
          <w:rFonts w:asciiTheme="minorHAnsi" w:hAnsiTheme="minorHAnsi" w:cstheme="minorHAnsi"/>
        </w:rPr>
        <w:t xml:space="preserve"> suggests the higher goal of the important contribution of the non-independent non-executive directors</w:t>
      </w:r>
      <w:r w:rsidR="00A15F16" w:rsidRPr="00025B9C">
        <w:rPr>
          <w:rFonts w:asciiTheme="minorHAnsi" w:hAnsiTheme="minorHAnsi" w:cstheme="minorHAnsi"/>
        </w:rPr>
        <w:t xml:space="preserve"> </w:t>
      </w:r>
      <w:r w:rsidR="009C27EC" w:rsidRPr="00025B9C">
        <w:rPr>
          <w:rFonts w:asciiTheme="minorHAnsi" w:hAnsiTheme="minorHAnsi" w:cstheme="minorHAnsi"/>
        </w:rPr>
        <w:t xml:space="preserve">is more important than Code compliance. However, the explanation does not stand up to scrutiny. </w:t>
      </w:r>
      <w:r w:rsidR="008F6466" w:rsidRPr="00025B9C">
        <w:rPr>
          <w:rFonts w:asciiTheme="minorHAnsi" w:hAnsiTheme="minorHAnsi" w:cstheme="minorHAnsi"/>
        </w:rPr>
        <w:t xml:space="preserve">While the Code is breached by virtue of length of service, negative feelings for this breach are ameliorated by the statement that the non-executive directors (note that there is more than one who have </w:t>
      </w:r>
      <w:r w:rsidR="00DF0168" w:rsidRPr="00025B9C">
        <w:rPr>
          <w:rFonts w:asciiTheme="minorHAnsi" w:hAnsiTheme="minorHAnsi" w:cstheme="minorHAnsi"/>
        </w:rPr>
        <w:t xml:space="preserve">caused a </w:t>
      </w:r>
      <w:r w:rsidR="008F6466" w:rsidRPr="00025B9C">
        <w:rPr>
          <w:rFonts w:asciiTheme="minorHAnsi" w:hAnsiTheme="minorHAnsi" w:cstheme="minorHAnsi"/>
        </w:rPr>
        <w:t>b</w:t>
      </w:r>
      <w:r w:rsidR="00DF0168" w:rsidRPr="00025B9C">
        <w:rPr>
          <w:rFonts w:asciiTheme="minorHAnsi" w:hAnsiTheme="minorHAnsi" w:cstheme="minorHAnsi"/>
        </w:rPr>
        <w:t>r</w:t>
      </w:r>
      <w:r w:rsidR="008F6466" w:rsidRPr="00025B9C">
        <w:rPr>
          <w:rFonts w:asciiTheme="minorHAnsi" w:hAnsiTheme="minorHAnsi" w:cstheme="minorHAnsi"/>
        </w:rPr>
        <w:t>each) make a</w:t>
      </w:r>
      <w:r w:rsidR="004868FD" w:rsidRPr="00025B9C">
        <w:rPr>
          <w:rFonts w:asciiTheme="minorHAnsi" w:hAnsiTheme="minorHAnsi" w:cstheme="minorHAnsi"/>
        </w:rPr>
        <w:t>n</w:t>
      </w:r>
      <w:r w:rsidR="008F6466" w:rsidRPr="00025B9C">
        <w:rPr>
          <w:rFonts w:asciiTheme="minorHAnsi" w:hAnsiTheme="minorHAnsi" w:cstheme="minorHAnsi"/>
        </w:rPr>
        <w:t xml:space="preserve"> “</w:t>
      </w:r>
      <w:r w:rsidR="004868FD" w:rsidRPr="00025B9C">
        <w:rPr>
          <w:rFonts w:asciiTheme="minorHAnsi" w:hAnsiTheme="minorHAnsi" w:cstheme="minorHAnsi"/>
        </w:rPr>
        <w:t>important</w:t>
      </w:r>
      <w:r w:rsidR="008F6466" w:rsidRPr="00025B9C">
        <w:rPr>
          <w:rFonts w:asciiTheme="minorHAnsi" w:hAnsiTheme="minorHAnsi" w:cstheme="minorHAnsi"/>
        </w:rPr>
        <w:t xml:space="preserve"> contribution” and have “</w:t>
      </w:r>
      <w:r w:rsidR="004868FD" w:rsidRPr="00025B9C">
        <w:rPr>
          <w:rFonts w:asciiTheme="minorHAnsi" w:hAnsiTheme="minorHAnsi" w:cstheme="minorHAnsi"/>
        </w:rPr>
        <w:t xml:space="preserve">invaluable </w:t>
      </w:r>
      <w:r w:rsidR="00972A37" w:rsidRPr="00025B9C">
        <w:rPr>
          <w:rFonts w:asciiTheme="minorHAnsi" w:hAnsiTheme="minorHAnsi" w:cstheme="minorHAnsi"/>
        </w:rPr>
        <w:t>experience</w:t>
      </w:r>
      <w:r w:rsidR="008F6466" w:rsidRPr="00025B9C">
        <w:rPr>
          <w:rFonts w:asciiTheme="minorHAnsi" w:hAnsiTheme="minorHAnsi" w:cstheme="minorHAnsi"/>
        </w:rPr>
        <w:t>”</w:t>
      </w:r>
      <w:r w:rsidR="00972A37" w:rsidRPr="00025B9C">
        <w:rPr>
          <w:rFonts w:asciiTheme="minorHAnsi" w:hAnsiTheme="minorHAnsi" w:cstheme="minorHAnsi"/>
        </w:rPr>
        <w:t>.</w:t>
      </w:r>
      <w:r w:rsidR="008F6466" w:rsidRPr="00025B9C">
        <w:rPr>
          <w:rFonts w:asciiTheme="minorHAnsi" w:hAnsiTheme="minorHAnsi" w:cstheme="minorHAnsi"/>
        </w:rPr>
        <w:t xml:space="preserve"> It is perfectly natural for boards to want to retain non-executive</w:t>
      </w:r>
      <w:r w:rsidR="00903FAB" w:rsidRPr="00025B9C">
        <w:rPr>
          <w:rFonts w:asciiTheme="minorHAnsi" w:hAnsiTheme="minorHAnsi" w:cstheme="minorHAnsi"/>
        </w:rPr>
        <w:t xml:space="preserve"> director</w:t>
      </w:r>
      <w:r w:rsidR="008F6466" w:rsidRPr="00025B9C">
        <w:rPr>
          <w:rFonts w:asciiTheme="minorHAnsi" w:hAnsiTheme="minorHAnsi" w:cstheme="minorHAnsi"/>
        </w:rPr>
        <w:t>s who have proved their worth ov</w:t>
      </w:r>
      <w:r w:rsidR="00336E5A" w:rsidRPr="00025B9C">
        <w:rPr>
          <w:rFonts w:asciiTheme="minorHAnsi" w:hAnsiTheme="minorHAnsi" w:cstheme="minorHAnsi"/>
        </w:rPr>
        <w:t>er the years. The Code does not</w:t>
      </w:r>
      <w:r w:rsidR="008F6466" w:rsidRPr="00025B9C">
        <w:rPr>
          <w:rFonts w:asciiTheme="minorHAnsi" w:hAnsiTheme="minorHAnsi" w:cstheme="minorHAnsi"/>
        </w:rPr>
        <w:t xml:space="preserve"> prevent that happening. However, they </w:t>
      </w:r>
      <w:r w:rsidR="000F2124" w:rsidRPr="00025B9C">
        <w:rPr>
          <w:rFonts w:asciiTheme="minorHAnsi" w:hAnsiTheme="minorHAnsi" w:cstheme="minorHAnsi"/>
        </w:rPr>
        <w:t>cannot</w:t>
      </w:r>
      <w:r w:rsidR="008F6466" w:rsidRPr="00025B9C">
        <w:rPr>
          <w:rFonts w:asciiTheme="minorHAnsi" w:hAnsiTheme="minorHAnsi" w:cstheme="minorHAnsi"/>
        </w:rPr>
        <w:t xml:space="preserve"> then also fulfil their role as </w:t>
      </w:r>
      <w:r w:rsidR="00244860" w:rsidRPr="00025B9C">
        <w:rPr>
          <w:rFonts w:asciiTheme="minorHAnsi" w:hAnsiTheme="minorHAnsi" w:cstheme="minorHAnsi"/>
        </w:rPr>
        <w:t xml:space="preserve">an </w:t>
      </w:r>
      <w:r w:rsidR="00244860" w:rsidRPr="00025B9C">
        <w:rPr>
          <w:rFonts w:asciiTheme="minorHAnsi" w:hAnsiTheme="minorHAnsi" w:cstheme="minorHAnsi"/>
          <w:i/>
        </w:rPr>
        <w:t>independent</w:t>
      </w:r>
      <w:r w:rsidR="00244860" w:rsidRPr="00025B9C">
        <w:rPr>
          <w:rFonts w:asciiTheme="minorHAnsi" w:hAnsiTheme="minorHAnsi" w:cstheme="minorHAnsi"/>
        </w:rPr>
        <w:t xml:space="preserve"> non-executive</w:t>
      </w:r>
      <w:r w:rsidR="008F6466" w:rsidRPr="00025B9C">
        <w:rPr>
          <w:rFonts w:asciiTheme="minorHAnsi" w:hAnsiTheme="minorHAnsi" w:cstheme="minorHAnsi"/>
        </w:rPr>
        <w:t>. The existing non-executive</w:t>
      </w:r>
      <w:r w:rsidR="00903FAB" w:rsidRPr="00025B9C">
        <w:rPr>
          <w:rFonts w:asciiTheme="minorHAnsi" w:hAnsiTheme="minorHAnsi" w:cstheme="minorHAnsi"/>
        </w:rPr>
        <w:t xml:space="preserve"> director</w:t>
      </w:r>
      <w:r w:rsidR="00336E5A" w:rsidRPr="00025B9C">
        <w:rPr>
          <w:rFonts w:asciiTheme="minorHAnsi" w:hAnsiTheme="minorHAnsi" w:cstheme="minorHAnsi"/>
        </w:rPr>
        <w:t>s</w:t>
      </w:r>
      <w:r w:rsidR="008F6466" w:rsidRPr="00025B9C">
        <w:rPr>
          <w:rFonts w:asciiTheme="minorHAnsi" w:hAnsiTheme="minorHAnsi" w:cstheme="minorHAnsi"/>
        </w:rPr>
        <w:t xml:space="preserve"> could be </w:t>
      </w:r>
      <w:r w:rsidR="00336E5A" w:rsidRPr="00025B9C">
        <w:rPr>
          <w:rFonts w:asciiTheme="minorHAnsi" w:hAnsiTheme="minorHAnsi" w:cstheme="minorHAnsi"/>
        </w:rPr>
        <w:t>classified</w:t>
      </w:r>
      <w:r w:rsidR="008F6466" w:rsidRPr="00025B9C">
        <w:rPr>
          <w:rFonts w:asciiTheme="minorHAnsi" w:hAnsiTheme="minorHAnsi" w:cstheme="minorHAnsi"/>
        </w:rPr>
        <w:t xml:space="preserve"> as grey non-executive</w:t>
      </w:r>
      <w:r w:rsidR="00903FAB" w:rsidRPr="00025B9C">
        <w:rPr>
          <w:rFonts w:asciiTheme="minorHAnsi" w:hAnsiTheme="minorHAnsi" w:cstheme="minorHAnsi"/>
        </w:rPr>
        <w:t xml:space="preserve"> director</w:t>
      </w:r>
      <w:r w:rsidR="00336E5A" w:rsidRPr="00025B9C">
        <w:rPr>
          <w:rFonts w:asciiTheme="minorHAnsi" w:hAnsiTheme="minorHAnsi" w:cstheme="minorHAnsi"/>
        </w:rPr>
        <w:t>s</w:t>
      </w:r>
      <w:r w:rsidR="008F6466" w:rsidRPr="00025B9C">
        <w:rPr>
          <w:rFonts w:asciiTheme="minorHAnsi" w:hAnsiTheme="minorHAnsi" w:cstheme="minorHAnsi"/>
        </w:rPr>
        <w:t xml:space="preserve"> (i.e. </w:t>
      </w:r>
      <w:r w:rsidR="000F2124" w:rsidRPr="00025B9C">
        <w:rPr>
          <w:rFonts w:asciiTheme="minorHAnsi" w:hAnsiTheme="minorHAnsi" w:cstheme="minorHAnsi"/>
        </w:rPr>
        <w:t>non-executive director</w:t>
      </w:r>
      <w:r w:rsidR="00336E5A" w:rsidRPr="00025B9C">
        <w:rPr>
          <w:rFonts w:asciiTheme="minorHAnsi" w:hAnsiTheme="minorHAnsi" w:cstheme="minorHAnsi"/>
        </w:rPr>
        <w:t>s</w:t>
      </w:r>
      <w:r w:rsidR="000F2124" w:rsidRPr="00025B9C">
        <w:rPr>
          <w:rFonts w:asciiTheme="minorHAnsi" w:hAnsiTheme="minorHAnsi" w:cstheme="minorHAnsi"/>
        </w:rPr>
        <w:t xml:space="preserve"> who </w:t>
      </w:r>
      <w:r w:rsidR="00336E5A" w:rsidRPr="00025B9C">
        <w:rPr>
          <w:rFonts w:asciiTheme="minorHAnsi" w:hAnsiTheme="minorHAnsi" w:cstheme="minorHAnsi"/>
        </w:rPr>
        <w:t>are</w:t>
      </w:r>
      <w:r w:rsidR="000F2124" w:rsidRPr="00025B9C">
        <w:rPr>
          <w:rFonts w:asciiTheme="minorHAnsi" w:hAnsiTheme="minorHAnsi" w:cstheme="minorHAnsi"/>
        </w:rPr>
        <w:t xml:space="preserve"> </w:t>
      </w:r>
      <w:r w:rsidR="008F6466" w:rsidRPr="00025B9C">
        <w:rPr>
          <w:rFonts w:asciiTheme="minorHAnsi" w:hAnsiTheme="minorHAnsi" w:cstheme="minorHAnsi"/>
        </w:rPr>
        <w:t xml:space="preserve">not independent). </w:t>
      </w:r>
      <w:r w:rsidR="003A0CB2" w:rsidRPr="00025B9C">
        <w:rPr>
          <w:rFonts w:asciiTheme="minorHAnsi" w:hAnsiTheme="minorHAnsi" w:cstheme="minorHAnsi"/>
        </w:rPr>
        <w:t>Ot</w:t>
      </w:r>
      <w:r w:rsidR="008F6466" w:rsidRPr="00025B9C">
        <w:rPr>
          <w:rFonts w:asciiTheme="minorHAnsi" w:hAnsiTheme="minorHAnsi" w:cstheme="minorHAnsi"/>
        </w:rPr>
        <w:t>her independent non-executive</w:t>
      </w:r>
      <w:r w:rsidR="00903FAB" w:rsidRPr="00025B9C">
        <w:rPr>
          <w:rFonts w:asciiTheme="minorHAnsi" w:hAnsiTheme="minorHAnsi" w:cstheme="minorHAnsi"/>
        </w:rPr>
        <w:t xml:space="preserve"> director</w:t>
      </w:r>
      <w:r w:rsidR="003A0CB2" w:rsidRPr="00025B9C">
        <w:rPr>
          <w:rFonts w:asciiTheme="minorHAnsi" w:hAnsiTheme="minorHAnsi" w:cstheme="minorHAnsi"/>
        </w:rPr>
        <w:t>s</w:t>
      </w:r>
      <w:r w:rsidR="008F6466" w:rsidRPr="00025B9C">
        <w:rPr>
          <w:rFonts w:asciiTheme="minorHAnsi" w:hAnsiTheme="minorHAnsi" w:cstheme="minorHAnsi"/>
        </w:rPr>
        <w:t xml:space="preserve"> would then need to be </w:t>
      </w:r>
      <w:r w:rsidR="003A0CB2" w:rsidRPr="00025B9C">
        <w:rPr>
          <w:rFonts w:asciiTheme="minorHAnsi" w:hAnsiTheme="minorHAnsi" w:cstheme="minorHAnsi"/>
        </w:rPr>
        <w:t>appointed</w:t>
      </w:r>
      <w:r w:rsidR="008F6466" w:rsidRPr="00025B9C">
        <w:rPr>
          <w:rFonts w:asciiTheme="minorHAnsi" w:hAnsiTheme="minorHAnsi" w:cstheme="minorHAnsi"/>
        </w:rPr>
        <w:t xml:space="preserve"> to ensure that important control (the </w:t>
      </w:r>
      <w:r w:rsidR="000F2124" w:rsidRPr="00025B9C">
        <w:rPr>
          <w:rFonts w:asciiTheme="minorHAnsi" w:hAnsiTheme="minorHAnsi" w:cstheme="minorHAnsi"/>
        </w:rPr>
        <w:t>additional</w:t>
      </w:r>
      <w:r w:rsidR="008F6466" w:rsidRPr="00025B9C">
        <w:rPr>
          <w:rFonts w:asciiTheme="minorHAnsi" w:hAnsiTheme="minorHAnsi" w:cstheme="minorHAnsi"/>
        </w:rPr>
        <w:t xml:space="preserve"> pair of </w:t>
      </w:r>
      <w:r w:rsidR="000F2124" w:rsidRPr="00025B9C">
        <w:rPr>
          <w:rFonts w:asciiTheme="minorHAnsi" w:hAnsiTheme="minorHAnsi" w:cstheme="minorHAnsi"/>
        </w:rPr>
        <w:t xml:space="preserve">independent </w:t>
      </w:r>
      <w:r w:rsidR="008F6466" w:rsidRPr="00025B9C">
        <w:rPr>
          <w:rFonts w:asciiTheme="minorHAnsi" w:hAnsiTheme="minorHAnsi" w:cstheme="minorHAnsi"/>
        </w:rPr>
        <w:t xml:space="preserve">eyes) is maintained. </w:t>
      </w:r>
      <w:r w:rsidR="001236E1" w:rsidRPr="00025B9C">
        <w:rPr>
          <w:rFonts w:asciiTheme="minorHAnsi" w:hAnsiTheme="minorHAnsi" w:cstheme="minorHAnsi"/>
        </w:rPr>
        <w:t>In Example 4 this does</w:t>
      </w:r>
      <w:r w:rsidR="00B56176" w:rsidRPr="00025B9C">
        <w:rPr>
          <w:rFonts w:asciiTheme="minorHAnsi" w:hAnsiTheme="minorHAnsi" w:cstheme="minorHAnsi"/>
        </w:rPr>
        <w:t xml:space="preserve"> </w:t>
      </w:r>
      <w:r w:rsidR="001236E1" w:rsidRPr="00025B9C">
        <w:rPr>
          <w:rFonts w:asciiTheme="minorHAnsi" w:hAnsiTheme="minorHAnsi" w:cstheme="minorHAnsi"/>
        </w:rPr>
        <w:t>n</w:t>
      </w:r>
      <w:r w:rsidR="00B56176" w:rsidRPr="00025B9C">
        <w:rPr>
          <w:rFonts w:asciiTheme="minorHAnsi" w:hAnsiTheme="minorHAnsi" w:cstheme="minorHAnsi"/>
        </w:rPr>
        <w:t>o</w:t>
      </w:r>
      <w:r w:rsidR="001236E1" w:rsidRPr="00025B9C">
        <w:rPr>
          <w:rFonts w:asciiTheme="minorHAnsi" w:hAnsiTheme="minorHAnsi" w:cstheme="minorHAnsi"/>
        </w:rPr>
        <w:t>t seem to be the case.</w:t>
      </w:r>
    </w:p>
    <w:p w:rsidR="00464241" w:rsidRPr="00025B9C" w:rsidRDefault="00464241" w:rsidP="00D665D9">
      <w:pPr>
        <w:spacing w:line="360" w:lineRule="auto"/>
        <w:jc w:val="both"/>
        <w:rPr>
          <w:rFonts w:asciiTheme="minorHAnsi" w:hAnsiTheme="minorHAnsi" w:cstheme="minorHAnsi"/>
          <w:b/>
        </w:rPr>
      </w:pPr>
    </w:p>
    <w:p w:rsidR="00874626" w:rsidRPr="00025B9C" w:rsidRDefault="00376FCA" w:rsidP="00D665D9">
      <w:pPr>
        <w:ind w:left="567" w:right="805"/>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3129CD" w:rsidRPr="00025B9C">
        <w:rPr>
          <w:rFonts w:asciiTheme="minorHAnsi" w:hAnsiTheme="minorHAnsi" w:cstheme="minorHAnsi"/>
          <w:b/>
          <w:sz w:val="20"/>
          <w:szCs w:val="20"/>
        </w:rPr>
        <w:t>4</w:t>
      </w:r>
      <w:r w:rsidR="00874626" w:rsidRPr="00025B9C">
        <w:rPr>
          <w:rFonts w:asciiTheme="minorHAnsi" w:hAnsiTheme="minorHAnsi" w:cstheme="minorHAnsi"/>
          <w:b/>
          <w:sz w:val="20"/>
          <w:szCs w:val="20"/>
        </w:rPr>
        <w:t>: Transcendence</w:t>
      </w:r>
    </w:p>
    <w:p w:rsidR="003A733C" w:rsidRPr="00025B9C" w:rsidRDefault="00874626" w:rsidP="00D665D9">
      <w:pPr>
        <w:autoSpaceDE w:val="0"/>
        <w:autoSpaceDN w:val="0"/>
        <w:adjustRightInd w:val="0"/>
        <w:ind w:left="567" w:right="-46"/>
        <w:jc w:val="both"/>
        <w:rPr>
          <w:rFonts w:asciiTheme="minorHAnsi" w:hAnsiTheme="minorHAnsi" w:cstheme="minorHAnsi"/>
          <w:sz w:val="20"/>
          <w:szCs w:val="20"/>
          <w:u w:val="single"/>
        </w:rPr>
      </w:pPr>
      <w:r w:rsidRPr="00025B9C">
        <w:rPr>
          <w:rFonts w:asciiTheme="minorHAnsi" w:hAnsiTheme="minorHAnsi" w:cstheme="minorHAnsi"/>
          <w:sz w:val="20"/>
          <w:szCs w:val="20"/>
        </w:rPr>
        <w:t xml:space="preserve">Messrs Hemingway, </w:t>
      </w:r>
      <w:proofErr w:type="spellStart"/>
      <w:r w:rsidRPr="00025B9C">
        <w:rPr>
          <w:rFonts w:asciiTheme="minorHAnsi" w:hAnsiTheme="minorHAnsi" w:cstheme="minorHAnsi"/>
          <w:sz w:val="20"/>
          <w:szCs w:val="20"/>
        </w:rPr>
        <w:t>Gray</w:t>
      </w:r>
      <w:proofErr w:type="spellEnd"/>
      <w:r w:rsidRPr="00025B9C">
        <w:rPr>
          <w:rFonts w:asciiTheme="minorHAnsi" w:hAnsiTheme="minorHAnsi" w:cstheme="minorHAnsi"/>
          <w:sz w:val="20"/>
          <w:szCs w:val="20"/>
        </w:rPr>
        <w:t xml:space="preserve"> and Gillespie are not regarded by the Board as independent under the Code because they have advised the Company over many years; nor is Mr Park due to his having been chairman of Northcliffe Newspapers within the last five years. </w:t>
      </w:r>
      <w:r w:rsidR="00244860" w:rsidRPr="00025B9C">
        <w:rPr>
          <w:rFonts w:asciiTheme="minorHAnsi" w:hAnsiTheme="minorHAnsi" w:cstheme="minorHAnsi"/>
          <w:sz w:val="20"/>
          <w:szCs w:val="20"/>
        </w:rPr>
        <w:t>Nevertheless,</w:t>
      </w:r>
      <w:r w:rsidRPr="00025B9C">
        <w:rPr>
          <w:rFonts w:asciiTheme="minorHAnsi" w:hAnsiTheme="minorHAnsi" w:cstheme="minorHAnsi"/>
          <w:sz w:val="20"/>
          <w:szCs w:val="20"/>
        </w:rPr>
        <w:t xml:space="preserve"> the Board believes that these non-executive Directors make an important contribution to its deliberations and have invaluable experience of the Company, its business and its staff.</w:t>
      </w:r>
      <w:r w:rsidR="009C27EC" w:rsidRPr="00025B9C">
        <w:rPr>
          <w:rFonts w:asciiTheme="minorHAnsi" w:hAnsiTheme="minorHAnsi" w:cstheme="minorHAnsi"/>
          <w:sz w:val="20"/>
          <w:szCs w:val="20"/>
          <w:u w:val="single"/>
        </w:rPr>
        <w:t xml:space="preserve"> </w:t>
      </w:r>
    </w:p>
    <w:p w:rsidR="00874626" w:rsidRPr="00025B9C" w:rsidRDefault="00874626" w:rsidP="00D665D9">
      <w:pPr>
        <w:autoSpaceDE w:val="0"/>
        <w:autoSpaceDN w:val="0"/>
        <w:adjustRightInd w:val="0"/>
        <w:ind w:left="567" w:right="-46"/>
        <w:jc w:val="both"/>
        <w:rPr>
          <w:rFonts w:asciiTheme="minorHAnsi" w:hAnsiTheme="minorHAnsi" w:cstheme="minorHAnsi"/>
          <w:sz w:val="20"/>
          <w:szCs w:val="20"/>
        </w:rPr>
      </w:pPr>
      <w:r w:rsidRPr="00025B9C">
        <w:rPr>
          <w:rFonts w:asciiTheme="minorHAnsi" w:hAnsiTheme="minorHAnsi" w:cstheme="minorHAnsi"/>
          <w:sz w:val="20"/>
          <w:szCs w:val="20"/>
        </w:rPr>
        <w:t>Source: Daily Mail and General Trust plc</w:t>
      </w:r>
      <w:r w:rsidR="0015561A" w:rsidRPr="00025B9C">
        <w:rPr>
          <w:rFonts w:asciiTheme="minorHAnsi" w:hAnsiTheme="minorHAnsi" w:cstheme="minorHAnsi"/>
          <w:sz w:val="20"/>
          <w:szCs w:val="20"/>
        </w:rPr>
        <w:t xml:space="preserve"> annual report </w:t>
      </w:r>
      <w:r w:rsidRPr="00025B9C">
        <w:rPr>
          <w:rFonts w:asciiTheme="minorHAnsi" w:hAnsiTheme="minorHAnsi" w:cstheme="minorHAnsi"/>
          <w:sz w:val="20"/>
          <w:szCs w:val="20"/>
        </w:rPr>
        <w:t>2005, p. 26</w:t>
      </w:r>
      <w:r w:rsidR="009952EF" w:rsidRPr="00025B9C">
        <w:rPr>
          <w:rFonts w:asciiTheme="minorHAnsi" w:hAnsiTheme="minorHAnsi" w:cstheme="minorHAnsi"/>
          <w:sz w:val="20"/>
          <w:szCs w:val="20"/>
        </w:rPr>
        <w:t>.</w:t>
      </w:r>
    </w:p>
    <w:p w:rsidR="00CA2991" w:rsidRPr="00025B9C" w:rsidRDefault="00CA2991" w:rsidP="00D665D9">
      <w:pPr>
        <w:spacing w:line="360" w:lineRule="auto"/>
        <w:jc w:val="both"/>
        <w:rPr>
          <w:rFonts w:asciiTheme="minorHAnsi" w:hAnsiTheme="minorHAnsi" w:cstheme="minorHAnsi"/>
          <w:u w:val="single"/>
        </w:rPr>
      </w:pPr>
    </w:p>
    <w:p w:rsidR="00975FE1" w:rsidRPr="00025B9C" w:rsidRDefault="003129CD" w:rsidP="00D665D9">
      <w:pPr>
        <w:spacing w:line="360" w:lineRule="auto"/>
        <w:jc w:val="both"/>
        <w:rPr>
          <w:rFonts w:asciiTheme="minorHAnsi" w:hAnsiTheme="minorHAnsi" w:cstheme="minorHAnsi"/>
          <w:u w:val="single"/>
        </w:rPr>
      </w:pPr>
      <w:r w:rsidRPr="00025B9C">
        <w:rPr>
          <w:rFonts w:asciiTheme="minorHAnsi" w:hAnsiTheme="minorHAnsi" w:cstheme="minorHAnsi"/>
          <w:u w:val="single"/>
        </w:rPr>
        <w:t>5</w:t>
      </w:r>
      <w:r w:rsidR="00DC0BB5" w:rsidRPr="00025B9C">
        <w:rPr>
          <w:rFonts w:asciiTheme="minorHAnsi" w:hAnsiTheme="minorHAnsi" w:cstheme="minorHAnsi"/>
          <w:u w:val="single"/>
        </w:rPr>
        <w:t xml:space="preserve">. </w:t>
      </w:r>
      <w:r w:rsidR="00975FE1" w:rsidRPr="00025B9C">
        <w:rPr>
          <w:rFonts w:asciiTheme="minorHAnsi" w:hAnsiTheme="minorHAnsi" w:cstheme="minorHAnsi"/>
          <w:u w:val="single"/>
        </w:rPr>
        <w:t>Attribution</w:t>
      </w:r>
    </w:p>
    <w:p w:rsidR="00171300" w:rsidRPr="00025B9C" w:rsidRDefault="000F2124" w:rsidP="00D665D9">
      <w:pPr>
        <w:spacing w:line="360" w:lineRule="auto"/>
        <w:jc w:val="both"/>
        <w:rPr>
          <w:rFonts w:asciiTheme="minorHAnsi" w:hAnsiTheme="minorHAnsi" w:cstheme="minorHAnsi"/>
        </w:rPr>
      </w:pPr>
      <w:r w:rsidRPr="00025B9C">
        <w:rPr>
          <w:rFonts w:asciiTheme="minorHAnsi" w:hAnsiTheme="minorHAnsi" w:cstheme="minorHAnsi"/>
          <w:lang w:val="en-US"/>
        </w:rPr>
        <w:t>Attribution involves causal explanations of events that manifest in a tendency to claim more responsibility f</w:t>
      </w:r>
      <w:r w:rsidR="003A0CB2" w:rsidRPr="00025B9C">
        <w:rPr>
          <w:rFonts w:asciiTheme="minorHAnsi" w:hAnsiTheme="minorHAnsi" w:cstheme="minorHAnsi"/>
          <w:lang w:val="en-US"/>
        </w:rPr>
        <w:t>or successes than for failures.</w:t>
      </w:r>
      <w:r w:rsidR="003A0CB2" w:rsidRPr="00025B9C">
        <w:rPr>
          <w:rFonts w:asciiTheme="minorHAnsi" w:hAnsiTheme="minorHAnsi" w:cstheme="minorHAnsi"/>
        </w:rPr>
        <w:t xml:space="preserve"> </w:t>
      </w:r>
      <w:r w:rsidR="009C27EC" w:rsidRPr="00025B9C">
        <w:rPr>
          <w:rFonts w:asciiTheme="minorHAnsi" w:hAnsiTheme="minorHAnsi" w:cstheme="minorHAnsi"/>
        </w:rPr>
        <w:t>I</w:t>
      </w:r>
      <w:r w:rsidR="00B548F6" w:rsidRPr="00025B9C">
        <w:rPr>
          <w:rFonts w:asciiTheme="minorHAnsi" w:hAnsiTheme="minorHAnsi" w:cstheme="minorHAnsi"/>
        </w:rPr>
        <w:t>n the literature</w:t>
      </w:r>
      <w:r w:rsidR="009C27EC" w:rsidRPr="00025B9C">
        <w:rPr>
          <w:rFonts w:asciiTheme="minorHAnsi" w:hAnsiTheme="minorHAnsi" w:cstheme="minorHAnsi"/>
        </w:rPr>
        <w:t>,</w:t>
      </w:r>
      <w:r w:rsidR="00B548F6" w:rsidRPr="00025B9C">
        <w:rPr>
          <w:rFonts w:asciiTheme="minorHAnsi" w:hAnsiTheme="minorHAnsi" w:cstheme="minorHAnsi"/>
        </w:rPr>
        <w:t xml:space="preserve"> </w:t>
      </w:r>
      <w:r w:rsidR="009C27EC" w:rsidRPr="00025B9C">
        <w:rPr>
          <w:rFonts w:asciiTheme="minorHAnsi" w:hAnsiTheme="minorHAnsi" w:cstheme="minorHAnsi"/>
        </w:rPr>
        <w:t>attribution</w:t>
      </w:r>
      <w:r w:rsidR="00B548F6" w:rsidRPr="00025B9C">
        <w:rPr>
          <w:rFonts w:asciiTheme="minorHAnsi" w:hAnsiTheme="minorHAnsi" w:cstheme="minorHAnsi"/>
        </w:rPr>
        <w:t xml:space="preserve"> is a</w:t>
      </w:r>
      <w:r w:rsidR="0015518A" w:rsidRPr="00025B9C">
        <w:rPr>
          <w:rFonts w:asciiTheme="minorHAnsi" w:hAnsiTheme="minorHAnsi" w:cstheme="minorHAnsi"/>
        </w:rPr>
        <w:t xml:space="preserve"> </w:t>
      </w:r>
      <w:r w:rsidR="00B548F6" w:rsidRPr="00025B9C">
        <w:rPr>
          <w:rFonts w:asciiTheme="minorHAnsi" w:hAnsiTheme="minorHAnsi" w:cstheme="minorHAnsi"/>
        </w:rPr>
        <w:t xml:space="preserve">common </w:t>
      </w:r>
      <w:r w:rsidR="00431735" w:rsidRPr="00025B9C">
        <w:rPr>
          <w:rFonts w:asciiTheme="minorHAnsi" w:hAnsiTheme="minorHAnsi" w:cstheme="minorHAnsi"/>
        </w:rPr>
        <w:t xml:space="preserve">rhetorical </w:t>
      </w:r>
      <w:r w:rsidR="00AD5F8A" w:rsidRPr="00025B9C">
        <w:rPr>
          <w:rFonts w:asciiTheme="minorHAnsi" w:hAnsiTheme="minorHAnsi" w:cstheme="minorHAnsi"/>
        </w:rPr>
        <w:t>strategy</w:t>
      </w:r>
      <w:r w:rsidR="00B548F6" w:rsidRPr="00025B9C">
        <w:rPr>
          <w:rFonts w:asciiTheme="minorHAnsi" w:hAnsiTheme="minorHAnsi" w:cstheme="minorHAnsi"/>
        </w:rPr>
        <w:t xml:space="preserve"> (</w:t>
      </w:r>
      <w:r w:rsidRPr="00025B9C">
        <w:rPr>
          <w:rFonts w:asciiTheme="minorHAnsi" w:hAnsiTheme="minorHAnsi" w:cstheme="minorHAnsi"/>
        </w:rPr>
        <w:t xml:space="preserve">e.g., </w:t>
      </w:r>
      <w:proofErr w:type="spellStart"/>
      <w:r w:rsidR="0015518A" w:rsidRPr="00025B9C">
        <w:rPr>
          <w:rFonts w:asciiTheme="minorHAnsi" w:hAnsiTheme="minorHAnsi" w:cstheme="minorHAnsi"/>
        </w:rPr>
        <w:t>Tedeschi</w:t>
      </w:r>
      <w:proofErr w:type="spellEnd"/>
      <w:r w:rsidR="0015518A" w:rsidRPr="00025B9C">
        <w:rPr>
          <w:rFonts w:asciiTheme="minorHAnsi" w:hAnsiTheme="minorHAnsi" w:cstheme="minorHAnsi"/>
        </w:rPr>
        <w:t xml:space="preserve"> </w:t>
      </w:r>
      <w:r w:rsidR="00DB0683" w:rsidRPr="00025B9C">
        <w:rPr>
          <w:rFonts w:asciiTheme="minorHAnsi" w:hAnsiTheme="minorHAnsi" w:cstheme="minorHAnsi"/>
        </w:rPr>
        <w:t>&amp;</w:t>
      </w:r>
      <w:r w:rsidR="0015518A" w:rsidRPr="00025B9C">
        <w:rPr>
          <w:rFonts w:asciiTheme="minorHAnsi" w:hAnsiTheme="minorHAnsi" w:cstheme="minorHAnsi"/>
        </w:rPr>
        <w:t xml:space="preserve"> Reiss, 1981; </w:t>
      </w:r>
      <w:r w:rsidR="00B548F6" w:rsidRPr="00025B9C">
        <w:rPr>
          <w:rFonts w:asciiTheme="minorHAnsi" w:hAnsiTheme="minorHAnsi" w:cstheme="minorHAnsi"/>
        </w:rPr>
        <w:t>Jameson, 2000</w:t>
      </w:r>
      <w:r w:rsidR="005225D6" w:rsidRPr="00025B9C">
        <w:rPr>
          <w:rFonts w:asciiTheme="minorHAnsi" w:hAnsiTheme="minorHAnsi" w:cstheme="minorHAnsi"/>
        </w:rPr>
        <w:t>;</w:t>
      </w:r>
      <w:r w:rsidR="00B548F6" w:rsidRPr="00025B9C">
        <w:rPr>
          <w:rFonts w:asciiTheme="minorHAnsi" w:hAnsiTheme="minorHAnsi" w:cstheme="minorHAnsi"/>
        </w:rPr>
        <w:t xml:space="preserve"> </w:t>
      </w:r>
      <w:proofErr w:type="spellStart"/>
      <w:r w:rsidR="00B548F6" w:rsidRPr="00025B9C">
        <w:rPr>
          <w:rFonts w:asciiTheme="minorHAnsi" w:hAnsiTheme="minorHAnsi" w:cstheme="minorHAnsi"/>
        </w:rPr>
        <w:t>Aerts</w:t>
      </w:r>
      <w:proofErr w:type="spellEnd"/>
      <w:r w:rsidR="00B548F6" w:rsidRPr="00025B9C">
        <w:rPr>
          <w:rFonts w:asciiTheme="minorHAnsi" w:hAnsiTheme="minorHAnsi" w:cstheme="minorHAnsi"/>
        </w:rPr>
        <w:t>, 2001). When challenged</w:t>
      </w:r>
      <w:r w:rsidR="00AD5F8A" w:rsidRPr="00025B9C">
        <w:rPr>
          <w:rFonts w:asciiTheme="minorHAnsi" w:hAnsiTheme="minorHAnsi" w:cstheme="minorHAnsi"/>
        </w:rPr>
        <w:t>,</w:t>
      </w:r>
      <w:r w:rsidR="00B548F6" w:rsidRPr="00025B9C">
        <w:rPr>
          <w:rFonts w:asciiTheme="minorHAnsi" w:hAnsiTheme="minorHAnsi" w:cstheme="minorHAnsi"/>
        </w:rPr>
        <w:t xml:space="preserve"> the respondent agrees that </w:t>
      </w:r>
      <w:r w:rsidR="00437F62" w:rsidRPr="00025B9C">
        <w:rPr>
          <w:rFonts w:asciiTheme="minorHAnsi" w:hAnsiTheme="minorHAnsi" w:cstheme="minorHAnsi"/>
        </w:rPr>
        <w:t>there is</w:t>
      </w:r>
      <w:r w:rsidR="00B548F6" w:rsidRPr="00025B9C">
        <w:rPr>
          <w:rFonts w:asciiTheme="minorHAnsi" w:hAnsiTheme="minorHAnsi" w:cstheme="minorHAnsi"/>
        </w:rPr>
        <w:t xml:space="preserve"> </w:t>
      </w:r>
      <w:r w:rsidRPr="00025B9C">
        <w:rPr>
          <w:rFonts w:asciiTheme="minorHAnsi" w:hAnsiTheme="minorHAnsi" w:cstheme="minorHAnsi"/>
        </w:rPr>
        <w:t>an issue</w:t>
      </w:r>
      <w:r w:rsidR="00B548F6" w:rsidRPr="00025B9C">
        <w:rPr>
          <w:rFonts w:asciiTheme="minorHAnsi" w:hAnsiTheme="minorHAnsi" w:cstheme="minorHAnsi"/>
        </w:rPr>
        <w:t xml:space="preserve"> </w:t>
      </w:r>
      <w:r w:rsidR="00B320B6" w:rsidRPr="00025B9C">
        <w:rPr>
          <w:rFonts w:asciiTheme="minorHAnsi" w:hAnsiTheme="minorHAnsi" w:cstheme="minorHAnsi"/>
        </w:rPr>
        <w:t>(hence the company’s approach cannot be seen as equivalent to, or better than that specified by the Corporate Governance Code)</w:t>
      </w:r>
      <w:r w:rsidR="009B557C" w:rsidRPr="00025B9C">
        <w:rPr>
          <w:rFonts w:asciiTheme="minorHAnsi" w:hAnsiTheme="minorHAnsi" w:cstheme="minorHAnsi"/>
        </w:rPr>
        <w:t>,</w:t>
      </w:r>
      <w:r w:rsidR="00B320B6" w:rsidRPr="00025B9C">
        <w:rPr>
          <w:rFonts w:asciiTheme="minorHAnsi" w:hAnsiTheme="minorHAnsi" w:cstheme="minorHAnsi"/>
        </w:rPr>
        <w:t xml:space="preserve"> </w:t>
      </w:r>
      <w:r w:rsidR="00B548F6" w:rsidRPr="00025B9C">
        <w:rPr>
          <w:rFonts w:asciiTheme="minorHAnsi" w:hAnsiTheme="minorHAnsi" w:cstheme="minorHAnsi"/>
        </w:rPr>
        <w:t xml:space="preserve">but the excuse </w:t>
      </w:r>
      <w:r w:rsidR="0060297E" w:rsidRPr="00025B9C">
        <w:rPr>
          <w:rFonts w:asciiTheme="minorHAnsi" w:hAnsiTheme="minorHAnsi" w:cstheme="minorHAnsi"/>
        </w:rPr>
        <w:t>given</w:t>
      </w:r>
      <w:r w:rsidR="00B548F6" w:rsidRPr="00025B9C">
        <w:rPr>
          <w:rFonts w:asciiTheme="minorHAnsi" w:hAnsiTheme="minorHAnsi" w:cstheme="minorHAnsi"/>
        </w:rPr>
        <w:t xml:space="preserve"> blame</w:t>
      </w:r>
      <w:r w:rsidR="0060297E" w:rsidRPr="00025B9C">
        <w:rPr>
          <w:rFonts w:asciiTheme="minorHAnsi" w:hAnsiTheme="minorHAnsi" w:cstheme="minorHAnsi"/>
        </w:rPr>
        <w:t>s</w:t>
      </w:r>
      <w:r w:rsidR="00B548F6" w:rsidRPr="00025B9C">
        <w:rPr>
          <w:rFonts w:asciiTheme="minorHAnsi" w:hAnsiTheme="minorHAnsi" w:cstheme="minorHAnsi"/>
        </w:rPr>
        <w:t xml:space="preserve"> </w:t>
      </w:r>
      <w:r w:rsidR="005C6866" w:rsidRPr="00025B9C">
        <w:rPr>
          <w:rFonts w:asciiTheme="minorHAnsi" w:hAnsiTheme="minorHAnsi" w:cstheme="minorHAnsi"/>
        </w:rPr>
        <w:t xml:space="preserve">something or </w:t>
      </w:r>
      <w:r w:rsidR="00B548F6" w:rsidRPr="00025B9C">
        <w:rPr>
          <w:rFonts w:asciiTheme="minorHAnsi" w:hAnsiTheme="minorHAnsi" w:cstheme="minorHAnsi"/>
        </w:rPr>
        <w:t xml:space="preserve">someone else (Scott </w:t>
      </w:r>
      <w:r w:rsidR="00DB0683" w:rsidRPr="00025B9C">
        <w:rPr>
          <w:rFonts w:asciiTheme="minorHAnsi" w:hAnsiTheme="minorHAnsi" w:cstheme="minorHAnsi"/>
        </w:rPr>
        <w:t>&amp;</w:t>
      </w:r>
      <w:r w:rsidR="00B548F6" w:rsidRPr="00025B9C">
        <w:rPr>
          <w:rFonts w:asciiTheme="minorHAnsi" w:hAnsiTheme="minorHAnsi" w:cstheme="minorHAnsi"/>
        </w:rPr>
        <w:t xml:space="preserve"> Lyman, 1968)</w:t>
      </w:r>
      <w:r w:rsidRPr="00025B9C">
        <w:rPr>
          <w:rFonts w:asciiTheme="minorHAnsi" w:hAnsiTheme="minorHAnsi" w:cstheme="minorHAnsi"/>
        </w:rPr>
        <w:t>.</w:t>
      </w:r>
      <w:r w:rsidR="00D636A4" w:rsidRPr="00025B9C">
        <w:rPr>
          <w:rFonts w:asciiTheme="minorHAnsi" w:hAnsiTheme="minorHAnsi" w:cstheme="minorHAnsi"/>
        </w:rPr>
        <w:t xml:space="preserve"> </w:t>
      </w:r>
      <w:r w:rsidR="0033742A" w:rsidRPr="00025B9C">
        <w:rPr>
          <w:rFonts w:asciiTheme="minorHAnsi" w:hAnsiTheme="minorHAnsi" w:cstheme="minorHAnsi"/>
        </w:rPr>
        <w:t xml:space="preserve">This internal/external dichotomy is a key defining feature of attribution studies. </w:t>
      </w:r>
      <w:r w:rsidR="00F9113C" w:rsidRPr="00025B9C">
        <w:rPr>
          <w:rFonts w:asciiTheme="minorHAnsi" w:hAnsiTheme="minorHAnsi" w:cstheme="minorHAnsi"/>
        </w:rPr>
        <w:t xml:space="preserve">Attribution can be particularly effective as a </w:t>
      </w:r>
      <w:r w:rsidR="00431735" w:rsidRPr="00025B9C">
        <w:rPr>
          <w:rFonts w:asciiTheme="minorHAnsi" w:hAnsiTheme="minorHAnsi" w:cstheme="minorHAnsi"/>
        </w:rPr>
        <w:t xml:space="preserve">rhetorical </w:t>
      </w:r>
      <w:r w:rsidR="00F9113C" w:rsidRPr="00025B9C">
        <w:rPr>
          <w:rFonts w:asciiTheme="minorHAnsi" w:hAnsiTheme="minorHAnsi" w:cstheme="minorHAnsi"/>
        </w:rPr>
        <w:t xml:space="preserve">strategy when combined with another </w:t>
      </w:r>
      <w:r w:rsidR="00431735" w:rsidRPr="00025B9C">
        <w:rPr>
          <w:rFonts w:asciiTheme="minorHAnsi" w:hAnsiTheme="minorHAnsi" w:cstheme="minorHAnsi"/>
        </w:rPr>
        <w:t xml:space="preserve">rhetorical </w:t>
      </w:r>
      <w:r w:rsidR="00F9113C" w:rsidRPr="00025B9C">
        <w:rPr>
          <w:rFonts w:asciiTheme="minorHAnsi" w:hAnsiTheme="minorHAnsi" w:cstheme="minorHAnsi"/>
        </w:rPr>
        <w:t xml:space="preserve">strategy such as </w:t>
      </w:r>
      <w:r w:rsidR="00BA6ABE" w:rsidRPr="00025B9C">
        <w:rPr>
          <w:rFonts w:asciiTheme="minorHAnsi" w:hAnsiTheme="minorHAnsi" w:cstheme="minorHAnsi"/>
        </w:rPr>
        <w:t>corrective action</w:t>
      </w:r>
      <w:r w:rsidR="00F9113C" w:rsidRPr="00025B9C">
        <w:rPr>
          <w:rFonts w:asciiTheme="minorHAnsi" w:hAnsiTheme="minorHAnsi" w:cstheme="minorHAnsi"/>
        </w:rPr>
        <w:t>.</w:t>
      </w:r>
      <w:r w:rsidR="00677EDA" w:rsidRPr="00025B9C">
        <w:rPr>
          <w:rFonts w:asciiTheme="minorHAnsi" w:hAnsiTheme="minorHAnsi" w:cstheme="minorHAnsi"/>
        </w:rPr>
        <w:t xml:space="preserve"> </w:t>
      </w:r>
      <w:r w:rsidR="009C27EC" w:rsidRPr="00025B9C">
        <w:rPr>
          <w:rFonts w:asciiTheme="minorHAnsi" w:hAnsiTheme="minorHAnsi" w:cstheme="minorHAnsi"/>
        </w:rPr>
        <w:t xml:space="preserve">Four sub-categories of attribution </w:t>
      </w:r>
      <w:r w:rsidR="008F51E1" w:rsidRPr="00025B9C">
        <w:rPr>
          <w:rFonts w:asciiTheme="minorHAnsi" w:hAnsiTheme="minorHAnsi" w:cstheme="minorHAnsi"/>
        </w:rPr>
        <w:t xml:space="preserve">are included in </w:t>
      </w:r>
      <w:r w:rsidR="005E399D" w:rsidRPr="00025B9C">
        <w:rPr>
          <w:rFonts w:asciiTheme="minorHAnsi" w:hAnsiTheme="minorHAnsi" w:cstheme="minorHAnsi"/>
        </w:rPr>
        <w:t>our</w:t>
      </w:r>
      <w:r w:rsidR="008F51E1" w:rsidRPr="00025B9C">
        <w:rPr>
          <w:rFonts w:asciiTheme="minorHAnsi" w:hAnsiTheme="minorHAnsi" w:cstheme="minorHAnsi"/>
        </w:rPr>
        <w:t xml:space="preserve"> typology</w:t>
      </w:r>
      <w:r w:rsidR="009C27EC" w:rsidRPr="00025B9C">
        <w:rPr>
          <w:rFonts w:asciiTheme="minorHAnsi" w:hAnsiTheme="minorHAnsi" w:cstheme="minorHAnsi"/>
        </w:rPr>
        <w:t>: blaming external circumstances</w:t>
      </w:r>
      <w:r w:rsidRPr="00025B9C">
        <w:rPr>
          <w:rFonts w:asciiTheme="minorHAnsi" w:hAnsiTheme="minorHAnsi" w:cstheme="minorHAnsi"/>
        </w:rPr>
        <w:t xml:space="preserve"> (Example 5a)</w:t>
      </w:r>
      <w:r w:rsidR="00962D61" w:rsidRPr="00025B9C">
        <w:rPr>
          <w:rFonts w:asciiTheme="minorHAnsi" w:hAnsiTheme="minorHAnsi" w:cstheme="minorHAnsi"/>
        </w:rPr>
        <w:t xml:space="preserve">, </w:t>
      </w:r>
      <w:r w:rsidR="009C27EC" w:rsidRPr="00025B9C">
        <w:rPr>
          <w:rFonts w:asciiTheme="minorHAnsi" w:hAnsiTheme="minorHAnsi" w:cstheme="minorHAnsi"/>
        </w:rPr>
        <w:t xml:space="preserve">blaming internal factors </w:t>
      </w:r>
      <w:r w:rsidR="00443132" w:rsidRPr="00025B9C">
        <w:rPr>
          <w:rFonts w:asciiTheme="minorHAnsi" w:hAnsiTheme="minorHAnsi" w:cstheme="minorHAnsi"/>
        </w:rPr>
        <w:t xml:space="preserve">(e.g., </w:t>
      </w:r>
      <w:r w:rsidR="009C27EC" w:rsidRPr="00025B9C">
        <w:rPr>
          <w:rFonts w:asciiTheme="minorHAnsi" w:hAnsiTheme="minorHAnsi" w:cstheme="minorHAnsi"/>
        </w:rPr>
        <w:t>a board restructuring</w:t>
      </w:r>
      <w:r w:rsidR="00443132" w:rsidRPr="00025B9C">
        <w:rPr>
          <w:rFonts w:asciiTheme="minorHAnsi" w:hAnsiTheme="minorHAnsi" w:cstheme="minorHAnsi"/>
        </w:rPr>
        <w:t>)</w:t>
      </w:r>
      <w:r w:rsidR="00B90285" w:rsidRPr="00025B9C">
        <w:rPr>
          <w:rFonts w:asciiTheme="minorHAnsi" w:hAnsiTheme="minorHAnsi" w:cstheme="minorHAnsi"/>
        </w:rPr>
        <w:t xml:space="preserve"> </w:t>
      </w:r>
      <w:r w:rsidRPr="00025B9C">
        <w:rPr>
          <w:rFonts w:asciiTheme="minorHAnsi" w:hAnsiTheme="minorHAnsi" w:cstheme="minorHAnsi"/>
        </w:rPr>
        <w:t>(Example 5b)</w:t>
      </w:r>
      <w:r w:rsidR="003A0CB2" w:rsidRPr="00025B9C">
        <w:rPr>
          <w:rFonts w:asciiTheme="minorHAnsi" w:hAnsiTheme="minorHAnsi" w:cstheme="minorHAnsi"/>
        </w:rPr>
        <w:t>, non-compliance</w:t>
      </w:r>
      <w:r w:rsidR="009C27EC" w:rsidRPr="00025B9C">
        <w:rPr>
          <w:rFonts w:asciiTheme="minorHAnsi" w:hAnsiTheme="minorHAnsi" w:cstheme="minorHAnsi"/>
        </w:rPr>
        <w:t xml:space="preserve"> attributed to a legal contract (typically set up prior to the </w:t>
      </w:r>
      <w:r w:rsidR="00244860" w:rsidRPr="00025B9C">
        <w:rPr>
          <w:rFonts w:asciiTheme="minorHAnsi" w:hAnsiTheme="minorHAnsi" w:cstheme="minorHAnsi"/>
        </w:rPr>
        <w:t>Code) (</w:t>
      </w:r>
      <w:r w:rsidRPr="00025B9C">
        <w:rPr>
          <w:rFonts w:asciiTheme="minorHAnsi" w:hAnsiTheme="minorHAnsi" w:cstheme="minorHAnsi"/>
        </w:rPr>
        <w:t xml:space="preserve">Example 5c) </w:t>
      </w:r>
      <w:r w:rsidR="009C27EC" w:rsidRPr="00025B9C">
        <w:rPr>
          <w:rFonts w:asciiTheme="minorHAnsi" w:hAnsiTheme="minorHAnsi" w:cstheme="minorHAnsi"/>
        </w:rPr>
        <w:t>and shareholders’ votes</w:t>
      </w:r>
      <w:r w:rsidR="001209D5" w:rsidRPr="00025B9C">
        <w:rPr>
          <w:rFonts w:asciiTheme="minorHAnsi" w:hAnsiTheme="minorHAnsi" w:cstheme="minorHAnsi"/>
        </w:rPr>
        <w:t>/consultation</w:t>
      </w:r>
      <w:r w:rsidR="009C27EC" w:rsidRPr="00025B9C">
        <w:rPr>
          <w:rFonts w:asciiTheme="minorHAnsi" w:hAnsiTheme="minorHAnsi" w:cstheme="minorHAnsi"/>
        </w:rPr>
        <w:t xml:space="preserve"> led to non-compliance</w:t>
      </w:r>
      <w:r w:rsidRPr="00025B9C">
        <w:rPr>
          <w:rFonts w:asciiTheme="minorHAnsi" w:hAnsiTheme="minorHAnsi" w:cstheme="minorHAnsi"/>
        </w:rPr>
        <w:t xml:space="preserve"> (Example 5d)</w:t>
      </w:r>
      <w:r w:rsidR="00443132" w:rsidRPr="00025B9C">
        <w:rPr>
          <w:rFonts w:asciiTheme="minorHAnsi" w:hAnsiTheme="minorHAnsi" w:cstheme="minorHAnsi"/>
        </w:rPr>
        <w:t>.</w:t>
      </w:r>
      <w:r w:rsidR="00962D61" w:rsidRPr="00025B9C">
        <w:rPr>
          <w:rFonts w:asciiTheme="minorHAnsi" w:hAnsiTheme="minorHAnsi" w:cstheme="minorHAnsi"/>
        </w:rPr>
        <w:t xml:space="preserve"> Example </w:t>
      </w:r>
      <w:r w:rsidR="003129CD" w:rsidRPr="00025B9C">
        <w:rPr>
          <w:rFonts w:asciiTheme="minorHAnsi" w:hAnsiTheme="minorHAnsi" w:cstheme="minorHAnsi"/>
        </w:rPr>
        <w:t>5</w:t>
      </w:r>
      <w:r w:rsidR="001E695C" w:rsidRPr="00025B9C">
        <w:rPr>
          <w:rFonts w:asciiTheme="minorHAnsi" w:hAnsiTheme="minorHAnsi" w:cstheme="minorHAnsi"/>
        </w:rPr>
        <w:t>a attributes executive contracts exceeding one year, contrary to Code provisions, to “external competitive pressures</w:t>
      </w:r>
      <w:r w:rsidR="00972A37" w:rsidRPr="00025B9C">
        <w:rPr>
          <w:rFonts w:asciiTheme="minorHAnsi" w:hAnsiTheme="minorHAnsi" w:cstheme="minorHAnsi"/>
        </w:rPr>
        <w:t>”.</w:t>
      </w:r>
      <w:r w:rsidR="00962D61" w:rsidRPr="00025B9C">
        <w:rPr>
          <w:rFonts w:asciiTheme="minorHAnsi" w:hAnsiTheme="minorHAnsi" w:cstheme="minorHAnsi"/>
        </w:rPr>
        <w:t xml:space="preserve"> </w:t>
      </w:r>
    </w:p>
    <w:p w:rsidR="00171300" w:rsidRPr="00025B9C" w:rsidRDefault="00171300" w:rsidP="00D665D9">
      <w:pPr>
        <w:spacing w:line="360" w:lineRule="auto"/>
        <w:jc w:val="both"/>
        <w:rPr>
          <w:rFonts w:asciiTheme="minorHAnsi" w:hAnsiTheme="minorHAnsi" w:cstheme="minorHAnsi"/>
        </w:rPr>
      </w:pPr>
    </w:p>
    <w:p w:rsidR="00443132" w:rsidRPr="00025B9C" w:rsidRDefault="00376FCA" w:rsidP="00D665D9">
      <w:pPr>
        <w:ind w:left="567" w:right="95"/>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3129CD" w:rsidRPr="00025B9C">
        <w:rPr>
          <w:rFonts w:asciiTheme="minorHAnsi" w:hAnsiTheme="minorHAnsi" w:cstheme="minorHAnsi"/>
          <w:b/>
          <w:sz w:val="20"/>
          <w:szCs w:val="20"/>
        </w:rPr>
        <w:t>5</w:t>
      </w:r>
      <w:r w:rsidR="00443132" w:rsidRPr="00025B9C">
        <w:rPr>
          <w:rFonts w:asciiTheme="minorHAnsi" w:hAnsiTheme="minorHAnsi" w:cstheme="minorHAnsi"/>
          <w:b/>
          <w:sz w:val="20"/>
          <w:szCs w:val="20"/>
        </w:rPr>
        <w:t>a: External attribution</w:t>
      </w:r>
    </w:p>
    <w:p w:rsidR="00E83958" w:rsidRPr="00025B9C" w:rsidRDefault="00E83958" w:rsidP="00D665D9">
      <w:pPr>
        <w:autoSpaceDE w:val="0"/>
        <w:autoSpaceDN w:val="0"/>
        <w:adjustRightInd w:val="0"/>
        <w:ind w:left="567" w:right="95"/>
        <w:rPr>
          <w:rFonts w:asciiTheme="minorHAnsi" w:hAnsiTheme="minorHAnsi" w:cstheme="minorHAnsi"/>
          <w:sz w:val="20"/>
          <w:szCs w:val="20"/>
        </w:rPr>
      </w:pPr>
      <w:r w:rsidRPr="00025B9C">
        <w:rPr>
          <w:rFonts w:asciiTheme="minorHAnsi" w:hAnsiTheme="minorHAnsi" w:cstheme="minorHAnsi"/>
          <w:sz w:val="20"/>
          <w:szCs w:val="20"/>
        </w:rPr>
        <w:t>Service Contracts</w:t>
      </w:r>
    </w:p>
    <w:p w:rsidR="00830813" w:rsidRPr="00025B9C" w:rsidRDefault="00E83958" w:rsidP="00D665D9">
      <w:pPr>
        <w:ind w:left="567" w:right="95"/>
        <w:jc w:val="both"/>
        <w:rPr>
          <w:rFonts w:asciiTheme="minorHAnsi" w:hAnsiTheme="minorHAnsi" w:cstheme="minorHAnsi"/>
          <w:sz w:val="20"/>
          <w:szCs w:val="20"/>
        </w:rPr>
      </w:pPr>
      <w:r w:rsidRPr="00025B9C">
        <w:rPr>
          <w:rFonts w:asciiTheme="minorHAnsi" w:hAnsiTheme="minorHAnsi" w:cstheme="minorHAnsi"/>
          <w:sz w:val="20"/>
          <w:szCs w:val="20"/>
        </w:rPr>
        <w:t xml:space="preserve">Contracts of service are negotiated on an individual basis as part of the overall remuneration package and their length is inevitably conditioned by external competitive pressures. For this reason, the contracts of some of the executive Directors exceed the one year recommended in the Code. </w:t>
      </w:r>
    </w:p>
    <w:p w:rsidR="00443132" w:rsidRPr="00025B9C" w:rsidRDefault="00E83958" w:rsidP="00D665D9">
      <w:pPr>
        <w:ind w:left="567" w:right="95"/>
        <w:jc w:val="both"/>
        <w:rPr>
          <w:rFonts w:asciiTheme="minorHAnsi" w:hAnsiTheme="minorHAnsi" w:cstheme="minorHAnsi"/>
          <w:b/>
          <w:sz w:val="20"/>
          <w:szCs w:val="20"/>
        </w:rPr>
      </w:pPr>
      <w:r w:rsidRPr="00025B9C">
        <w:rPr>
          <w:rFonts w:asciiTheme="minorHAnsi" w:hAnsiTheme="minorHAnsi" w:cstheme="minorHAnsi"/>
          <w:sz w:val="20"/>
          <w:szCs w:val="20"/>
        </w:rPr>
        <w:t xml:space="preserve">Source: Daily Mail and General Trust plc </w:t>
      </w:r>
      <w:r w:rsidR="00830813" w:rsidRPr="00025B9C">
        <w:rPr>
          <w:rFonts w:asciiTheme="minorHAnsi" w:hAnsiTheme="minorHAnsi" w:cstheme="minorHAnsi"/>
          <w:sz w:val="20"/>
          <w:szCs w:val="20"/>
        </w:rPr>
        <w:t xml:space="preserve">annual report </w:t>
      </w:r>
      <w:r w:rsidRPr="00025B9C">
        <w:rPr>
          <w:rFonts w:asciiTheme="minorHAnsi" w:hAnsiTheme="minorHAnsi" w:cstheme="minorHAnsi"/>
          <w:sz w:val="20"/>
          <w:szCs w:val="20"/>
        </w:rPr>
        <w:t xml:space="preserve">2005, p. </w:t>
      </w:r>
      <w:r w:rsidR="00830813" w:rsidRPr="00025B9C">
        <w:rPr>
          <w:rFonts w:asciiTheme="minorHAnsi" w:hAnsiTheme="minorHAnsi" w:cstheme="minorHAnsi"/>
          <w:sz w:val="20"/>
          <w:szCs w:val="20"/>
        </w:rPr>
        <w:t>31</w:t>
      </w:r>
      <w:r w:rsidRPr="00025B9C">
        <w:rPr>
          <w:rFonts w:asciiTheme="minorHAnsi" w:hAnsiTheme="minorHAnsi" w:cstheme="minorHAnsi"/>
          <w:sz w:val="20"/>
          <w:szCs w:val="20"/>
        </w:rPr>
        <w:t xml:space="preserve">. </w:t>
      </w:r>
    </w:p>
    <w:p w:rsidR="00E83958" w:rsidRPr="00025B9C" w:rsidRDefault="00E83958" w:rsidP="00171300">
      <w:pPr>
        <w:spacing w:line="360" w:lineRule="auto"/>
        <w:ind w:right="804"/>
        <w:jc w:val="both"/>
        <w:rPr>
          <w:rFonts w:asciiTheme="minorHAnsi" w:hAnsiTheme="minorHAnsi" w:cstheme="minorHAnsi"/>
          <w:b/>
        </w:rPr>
      </w:pPr>
    </w:p>
    <w:p w:rsidR="000F2124" w:rsidRPr="00025B9C" w:rsidRDefault="000F2124" w:rsidP="00D665D9">
      <w:pPr>
        <w:spacing w:line="360" w:lineRule="auto"/>
        <w:jc w:val="both"/>
        <w:rPr>
          <w:rFonts w:asciiTheme="minorHAnsi" w:hAnsiTheme="minorHAnsi" w:cstheme="minorHAnsi"/>
        </w:rPr>
      </w:pPr>
      <w:r w:rsidRPr="00025B9C">
        <w:rPr>
          <w:rFonts w:asciiTheme="minorHAnsi" w:hAnsiTheme="minorHAnsi" w:cstheme="minorHAnsi"/>
        </w:rPr>
        <w:t xml:space="preserve">Example 5b is rather more complex as non-compliance is attributed to an internal event (board changes) and also the determination of efficiency targets set by the water regulator (referred to as </w:t>
      </w:r>
      <w:r w:rsidR="00972A37" w:rsidRPr="00025B9C">
        <w:rPr>
          <w:rFonts w:asciiTheme="minorHAnsi" w:hAnsiTheme="minorHAnsi" w:cstheme="minorHAnsi"/>
        </w:rPr>
        <w:t>“</w:t>
      </w:r>
      <w:r w:rsidRPr="00025B9C">
        <w:rPr>
          <w:rFonts w:asciiTheme="minorHAnsi" w:hAnsiTheme="minorHAnsi" w:cstheme="minorHAnsi"/>
        </w:rPr>
        <w:t>AMP4</w:t>
      </w:r>
      <w:r w:rsidR="00972A37" w:rsidRPr="00025B9C">
        <w:rPr>
          <w:rFonts w:asciiTheme="minorHAnsi" w:hAnsiTheme="minorHAnsi" w:cstheme="minorHAnsi"/>
        </w:rPr>
        <w:t>”</w:t>
      </w:r>
      <w:r w:rsidRPr="00025B9C">
        <w:rPr>
          <w:rFonts w:asciiTheme="minorHAnsi" w:hAnsiTheme="minorHAnsi" w:cstheme="minorHAnsi"/>
        </w:rPr>
        <w:t>)</w:t>
      </w:r>
      <w:r w:rsidR="00285A25" w:rsidRPr="00025B9C">
        <w:rPr>
          <w:rFonts w:asciiTheme="minorHAnsi" w:hAnsiTheme="minorHAnsi" w:cstheme="minorHAnsi"/>
        </w:rPr>
        <w:t>,</w:t>
      </w:r>
      <w:r w:rsidRPr="00025B9C">
        <w:rPr>
          <w:rFonts w:asciiTheme="minorHAnsi" w:hAnsiTheme="minorHAnsi" w:cstheme="minorHAnsi"/>
        </w:rPr>
        <w:t xml:space="preserve"> which permitted the company to raise water prices by almost a quarter. </w:t>
      </w:r>
      <w:r w:rsidR="00F06907" w:rsidRPr="00025B9C">
        <w:rPr>
          <w:rFonts w:asciiTheme="minorHAnsi" w:hAnsiTheme="minorHAnsi" w:cstheme="minorHAnsi"/>
        </w:rPr>
        <w:t>The attribution in Example 5b</w:t>
      </w:r>
      <w:r w:rsidRPr="00025B9C">
        <w:rPr>
          <w:rFonts w:asciiTheme="minorHAnsi" w:hAnsiTheme="minorHAnsi" w:cstheme="minorHAnsi"/>
        </w:rPr>
        <w:t xml:space="preserve"> is coded to</w:t>
      </w:r>
      <w:r w:rsidR="00257FC3" w:rsidRPr="00025B9C">
        <w:rPr>
          <w:rFonts w:asciiTheme="minorHAnsi" w:hAnsiTheme="minorHAnsi" w:cstheme="minorHAnsi"/>
        </w:rPr>
        <w:t xml:space="preserve"> “</w:t>
      </w:r>
      <w:r w:rsidRPr="00025B9C">
        <w:rPr>
          <w:rFonts w:asciiTheme="minorHAnsi" w:hAnsiTheme="minorHAnsi" w:cstheme="minorHAnsi"/>
        </w:rPr>
        <w:t>internal</w:t>
      </w:r>
      <w:r w:rsidR="00257FC3" w:rsidRPr="00025B9C">
        <w:rPr>
          <w:rFonts w:asciiTheme="minorHAnsi" w:hAnsiTheme="minorHAnsi" w:cstheme="minorHAnsi"/>
        </w:rPr>
        <w:t>”</w:t>
      </w:r>
      <w:r w:rsidRPr="00025B9C">
        <w:rPr>
          <w:rFonts w:asciiTheme="minorHAnsi" w:hAnsiTheme="minorHAnsi" w:cstheme="minorHAnsi"/>
        </w:rPr>
        <w:t xml:space="preserve"> because the board changes are referred to first and that seems to be the essence of the continuation of the chairman. The reference to </w:t>
      </w:r>
      <w:r w:rsidR="004500B0" w:rsidRPr="00025B9C">
        <w:rPr>
          <w:rFonts w:asciiTheme="minorHAnsi" w:hAnsiTheme="minorHAnsi" w:cstheme="minorHAnsi"/>
        </w:rPr>
        <w:t>“</w:t>
      </w:r>
      <w:r w:rsidRPr="00025B9C">
        <w:rPr>
          <w:rFonts w:asciiTheme="minorHAnsi" w:hAnsiTheme="minorHAnsi" w:cstheme="minorHAnsi"/>
        </w:rPr>
        <w:t>mm02</w:t>
      </w:r>
      <w:r w:rsidR="004500B0" w:rsidRPr="00025B9C">
        <w:rPr>
          <w:rFonts w:asciiTheme="minorHAnsi" w:hAnsiTheme="minorHAnsi" w:cstheme="minorHAnsi"/>
        </w:rPr>
        <w:t>”</w:t>
      </w:r>
      <w:r w:rsidRPr="00025B9C">
        <w:rPr>
          <w:rFonts w:asciiTheme="minorHAnsi" w:hAnsiTheme="minorHAnsi" w:cstheme="minorHAnsi"/>
        </w:rPr>
        <w:t xml:space="preserve"> </w:t>
      </w:r>
      <w:r w:rsidR="004500B0" w:rsidRPr="00025B9C">
        <w:rPr>
          <w:rFonts w:asciiTheme="minorHAnsi" w:hAnsiTheme="minorHAnsi" w:cstheme="minorHAnsi"/>
        </w:rPr>
        <w:t xml:space="preserve">in Example 5b </w:t>
      </w:r>
      <w:r w:rsidRPr="00025B9C">
        <w:rPr>
          <w:rFonts w:asciiTheme="minorHAnsi" w:hAnsiTheme="minorHAnsi" w:cstheme="minorHAnsi"/>
        </w:rPr>
        <w:t>is required because the chair is also chair of another FTSE company (</w:t>
      </w:r>
      <w:r w:rsidR="00677EDA" w:rsidRPr="00025B9C">
        <w:rPr>
          <w:rFonts w:asciiTheme="minorHAnsi" w:hAnsiTheme="minorHAnsi" w:cstheme="minorHAnsi"/>
        </w:rPr>
        <w:t xml:space="preserve">contrary to </w:t>
      </w:r>
      <w:r w:rsidRPr="00025B9C">
        <w:rPr>
          <w:rFonts w:asciiTheme="minorHAnsi" w:hAnsiTheme="minorHAnsi" w:cstheme="minorHAnsi"/>
        </w:rPr>
        <w:t>Combined Code (FRC, 2003) provision A.4.3 – No individual should be appointed to a second chairmanship</w:t>
      </w:r>
      <w:r w:rsidR="00972A37" w:rsidRPr="00025B9C">
        <w:rPr>
          <w:rFonts w:asciiTheme="minorHAnsi" w:hAnsiTheme="minorHAnsi" w:cstheme="minorHAnsi"/>
        </w:rPr>
        <w:t xml:space="preserve"> (sic)</w:t>
      </w:r>
      <w:r w:rsidRPr="00025B9C">
        <w:rPr>
          <w:rFonts w:asciiTheme="minorHAnsi" w:hAnsiTheme="minorHAnsi" w:cstheme="minorHAnsi"/>
        </w:rPr>
        <w:t xml:space="preserve"> of a FTSE 100 company). </w:t>
      </w:r>
      <w:r w:rsidR="003A0CB2" w:rsidRPr="00025B9C">
        <w:rPr>
          <w:rFonts w:asciiTheme="minorHAnsi" w:hAnsiTheme="minorHAnsi" w:cstheme="minorHAnsi"/>
        </w:rPr>
        <w:t xml:space="preserve">Note that it is not </w:t>
      </w:r>
      <w:r w:rsidR="00107C93" w:rsidRPr="00025B9C">
        <w:rPr>
          <w:rFonts w:asciiTheme="minorHAnsi" w:hAnsiTheme="minorHAnsi" w:cstheme="minorHAnsi"/>
        </w:rPr>
        <w:t xml:space="preserve">at all </w:t>
      </w:r>
      <w:r w:rsidR="003A0CB2" w:rsidRPr="00025B9C">
        <w:rPr>
          <w:rFonts w:asciiTheme="minorHAnsi" w:hAnsiTheme="minorHAnsi" w:cstheme="minorHAnsi"/>
        </w:rPr>
        <w:t>clear what the non-compliance is and no Code provision is provided (thus thi</w:t>
      </w:r>
      <w:r w:rsidR="007A1D49" w:rsidRPr="00025B9C">
        <w:rPr>
          <w:rFonts w:asciiTheme="minorHAnsi" w:hAnsiTheme="minorHAnsi" w:cstheme="minorHAnsi"/>
        </w:rPr>
        <w:t>s explanation is also coded to rhetorical s</w:t>
      </w:r>
      <w:r w:rsidR="003A0CB2" w:rsidRPr="00025B9C">
        <w:rPr>
          <w:rFonts w:asciiTheme="minorHAnsi" w:hAnsiTheme="minorHAnsi" w:cstheme="minorHAnsi"/>
        </w:rPr>
        <w:t>trategy 9d</w:t>
      </w:r>
      <w:r w:rsidR="00693A6F" w:rsidRPr="00025B9C">
        <w:rPr>
          <w:rFonts w:asciiTheme="minorHAnsi" w:hAnsiTheme="minorHAnsi" w:cstheme="minorHAnsi"/>
        </w:rPr>
        <w:t xml:space="preserve"> </w:t>
      </w:r>
      <w:r w:rsidR="007A1D49" w:rsidRPr="00025B9C">
        <w:rPr>
          <w:rFonts w:asciiTheme="minorHAnsi" w:hAnsiTheme="minorHAnsi" w:cstheme="minorHAnsi"/>
          <w:lang w:val="en-IE"/>
        </w:rPr>
        <w:t xml:space="preserve">(no Code provision </w:t>
      </w:r>
      <w:r w:rsidR="003433CF" w:rsidRPr="00025B9C">
        <w:rPr>
          <w:rFonts w:asciiTheme="minorHAnsi" w:hAnsiTheme="minorHAnsi" w:cstheme="minorHAnsi"/>
          <w:lang w:val="en-IE"/>
        </w:rPr>
        <w:t xml:space="preserve">number </w:t>
      </w:r>
      <w:r w:rsidR="007A1D49" w:rsidRPr="00025B9C">
        <w:rPr>
          <w:rFonts w:asciiTheme="minorHAnsi" w:hAnsiTheme="minorHAnsi" w:cstheme="minorHAnsi"/>
          <w:lang w:val="en-IE"/>
        </w:rPr>
        <w:t xml:space="preserve">provided) </w:t>
      </w:r>
      <w:r w:rsidR="00693A6F" w:rsidRPr="00025B9C">
        <w:rPr>
          <w:rFonts w:asciiTheme="minorHAnsi" w:hAnsiTheme="minorHAnsi" w:cstheme="minorHAnsi"/>
        </w:rPr>
        <w:t>discussed at the end of Section 3.1</w:t>
      </w:r>
      <w:r w:rsidR="003A0CB2" w:rsidRPr="00025B9C">
        <w:rPr>
          <w:rFonts w:asciiTheme="minorHAnsi" w:hAnsiTheme="minorHAnsi" w:cstheme="minorHAnsi"/>
        </w:rPr>
        <w:t>).</w:t>
      </w:r>
    </w:p>
    <w:p w:rsidR="000F2124" w:rsidRPr="00025B9C" w:rsidRDefault="000F2124" w:rsidP="00D665D9">
      <w:pPr>
        <w:ind w:right="804"/>
        <w:jc w:val="both"/>
        <w:rPr>
          <w:rFonts w:asciiTheme="minorHAnsi" w:hAnsiTheme="minorHAnsi" w:cstheme="minorHAnsi"/>
          <w:b/>
        </w:rPr>
      </w:pPr>
    </w:p>
    <w:p w:rsidR="00443132" w:rsidRPr="00025B9C" w:rsidRDefault="00376FCA" w:rsidP="004F28B3">
      <w:pPr>
        <w:keepNext/>
        <w:tabs>
          <w:tab w:val="left" w:pos="8222"/>
        </w:tabs>
        <w:ind w:left="567" w:right="804"/>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3129CD" w:rsidRPr="00025B9C">
        <w:rPr>
          <w:rFonts w:asciiTheme="minorHAnsi" w:hAnsiTheme="minorHAnsi" w:cstheme="minorHAnsi"/>
          <w:b/>
          <w:sz w:val="20"/>
          <w:szCs w:val="20"/>
        </w:rPr>
        <w:t>5</w:t>
      </w:r>
      <w:r w:rsidR="00443132" w:rsidRPr="00025B9C">
        <w:rPr>
          <w:rFonts w:asciiTheme="minorHAnsi" w:hAnsiTheme="minorHAnsi" w:cstheme="minorHAnsi"/>
          <w:b/>
          <w:sz w:val="20"/>
          <w:szCs w:val="20"/>
        </w:rPr>
        <w:t>b: Internal attribution</w:t>
      </w:r>
    </w:p>
    <w:p w:rsidR="00830813" w:rsidRPr="00025B9C" w:rsidRDefault="00F811C3" w:rsidP="004F28B3">
      <w:pPr>
        <w:keepNext/>
        <w:autoSpaceDE w:val="0"/>
        <w:autoSpaceDN w:val="0"/>
        <w:adjustRightInd w:val="0"/>
        <w:ind w:left="567" w:right="-46"/>
        <w:jc w:val="both"/>
        <w:rPr>
          <w:rFonts w:asciiTheme="minorHAnsi" w:hAnsiTheme="minorHAnsi" w:cstheme="minorHAnsi"/>
          <w:sz w:val="20"/>
          <w:szCs w:val="20"/>
        </w:rPr>
      </w:pPr>
      <w:r w:rsidRPr="00025B9C">
        <w:rPr>
          <w:rFonts w:asciiTheme="minorHAnsi" w:hAnsiTheme="minorHAnsi" w:cstheme="minorHAnsi"/>
          <w:sz w:val="20"/>
          <w:szCs w:val="20"/>
          <w:lang w:eastAsia="en-IE"/>
        </w:rPr>
        <w:t xml:space="preserve">The former Chairman, Mr T D G </w:t>
      </w:r>
      <w:proofErr w:type="spellStart"/>
      <w:r w:rsidRPr="00025B9C">
        <w:rPr>
          <w:rFonts w:asciiTheme="minorHAnsi" w:hAnsiTheme="minorHAnsi" w:cstheme="minorHAnsi"/>
          <w:sz w:val="20"/>
          <w:szCs w:val="20"/>
          <w:lang w:eastAsia="en-IE"/>
        </w:rPr>
        <w:t>Arculus</w:t>
      </w:r>
      <w:proofErr w:type="spellEnd"/>
      <w:r w:rsidRPr="00025B9C">
        <w:rPr>
          <w:rFonts w:asciiTheme="minorHAnsi" w:hAnsiTheme="minorHAnsi" w:cstheme="minorHAnsi"/>
          <w:sz w:val="20"/>
          <w:szCs w:val="20"/>
          <w:lang w:eastAsia="en-IE"/>
        </w:rPr>
        <w:t xml:space="preserve">, was appointed as chairman of mmO2 in July 2004 but was requested by the Board to remain in office until 31 December 2004 to provide some continuity while a number of </w:t>
      </w:r>
      <w:r w:rsidR="00E83958" w:rsidRPr="00025B9C">
        <w:rPr>
          <w:rFonts w:asciiTheme="minorHAnsi" w:hAnsiTheme="minorHAnsi" w:cstheme="minorHAnsi"/>
          <w:sz w:val="20"/>
          <w:szCs w:val="20"/>
        </w:rPr>
        <w:t>Board changes took place and also while the AMP4 Final Determination</w:t>
      </w:r>
      <w:r w:rsidR="00E83958" w:rsidRPr="00025B9C">
        <w:rPr>
          <w:rFonts w:asciiTheme="minorHAnsi" w:hAnsiTheme="minorHAnsi" w:cstheme="minorHAnsi"/>
          <w:b/>
          <w:sz w:val="20"/>
          <w:szCs w:val="20"/>
        </w:rPr>
        <w:t xml:space="preserve"> </w:t>
      </w:r>
      <w:r w:rsidR="00E83958" w:rsidRPr="00025B9C">
        <w:rPr>
          <w:rFonts w:asciiTheme="minorHAnsi" w:hAnsiTheme="minorHAnsi" w:cstheme="minorHAnsi"/>
          <w:sz w:val="20"/>
          <w:szCs w:val="20"/>
        </w:rPr>
        <w:t xml:space="preserve">was </w:t>
      </w:r>
      <w:r w:rsidR="001E695C" w:rsidRPr="00025B9C">
        <w:rPr>
          <w:rFonts w:asciiTheme="minorHAnsi" w:hAnsiTheme="minorHAnsi" w:cstheme="minorHAnsi"/>
          <w:sz w:val="20"/>
          <w:szCs w:val="20"/>
        </w:rPr>
        <w:t>awaited by Severn Trent Water</w:t>
      </w:r>
      <w:r w:rsidRPr="00025B9C">
        <w:rPr>
          <w:rFonts w:asciiTheme="minorHAnsi" w:hAnsiTheme="minorHAnsi" w:cstheme="minorHAnsi"/>
          <w:sz w:val="20"/>
          <w:szCs w:val="20"/>
        </w:rPr>
        <w:t>.</w:t>
      </w:r>
      <w:r w:rsidR="001E695C" w:rsidRPr="00025B9C">
        <w:rPr>
          <w:rFonts w:asciiTheme="minorHAnsi" w:hAnsiTheme="minorHAnsi" w:cstheme="minorHAnsi"/>
          <w:sz w:val="20"/>
          <w:szCs w:val="20"/>
        </w:rPr>
        <w:t xml:space="preserve"> </w:t>
      </w:r>
    </w:p>
    <w:p w:rsidR="00E83958" w:rsidRPr="00025B9C" w:rsidRDefault="001E695C" w:rsidP="00D665D9">
      <w:pPr>
        <w:tabs>
          <w:tab w:val="left" w:pos="8222"/>
        </w:tabs>
        <w:autoSpaceDE w:val="0"/>
        <w:autoSpaceDN w:val="0"/>
        <w:adjustRightInd w:val="0"/>
        <w:ind w:left="567" w:right="-46"/>
        <w:rPr>
          <w:rFonts w:asciiTheme="minorHAnsi" w:hAnsiTheme="minorHAnsi" w:cstheme="minorHAnsi"/>
          <w:sz w:val="20"/>
          <w:szCs w:val="20"/>
        </w:rPr>
      </w:pPr>
      <w:r w:rsidRPr="00025B9C">
        <w:rPr>
          <w:rFonts w:asciiTheme="minorHAnsi" w:hAnsiTheme="minorHAnsi" w:cstheme="minorHAnsi"/>
          <w:sz w:val="20"/>
          <w:szCs w:val="20"/>
        </w:rPr>
        <w:t xml:space="preserve">Source: Severn Trent plc </w:t>
      </w:r>
      <w:r w:rsidR="00830813" w:rsidRPr="00025B9C">
        <w:rPr>
          <w:rFonts w:asciiTheme="minorHAnsi" w:hAnsiTheme="minorHAnsi" w:cstheme="minorHAnsi"/>
          <w:sz w:val="20"/>
          <w:szCs w:val="20"/>
        </w:rPr>
        <w:t xml:space="preserve">annual report </w:t>
      </w:r>
      <w:r w:rsidRPr="00025B9C">
        <w:rPr>
          <w:rFonts w:asciiTheme="minorHAnsi" w:hAnsiTheme="minorHAnsi" w:cstheme="minorHAnsi"/>
          <w:sz w:val="20"/>
          <w:szCs w:val="20"/>
        </w:rPr>
        <w:t xml:space="preserve">2005, p. </w:t>
      </w:r>
      <w:r w:rsidR="00830813" w:rsidRPr="00025B9C">
        <w:rPr>
          <w:rFonts w:asciiTheme="minorHAnsi" w:hAnsiTheme="minorHAnsi" w:cstheme="minorHAnsi"/>
          <w:sz w:val="20"/>
          <w:szCs w:val="20"/>
        </w:rPr>
        <w:t>26</w:t>
      </w:r>
      <w:r w:rsidR="00285A25" w:rsidRPr="00025B9C">
        <w:rPr>
          <w:rFonts w:asciiTheme="minorHAnsi" w:hAnsiTheme="minorHAnsi" w:cstheme="minorHAnsi"/>
          <w:sz w:val="20"/>
          <w:szCs w:val="20"/>
        </w:rPr>
        <w:t>.</w:t>
      </w:r>
    </w:p>
    <w:p w:rsidR="00464241" w:rsidRPr="00025B9C" w:rsidRDefault="00464241" w:rsidP="00D665D9">
      <w:pPr>
        <w:autoSpaceDE w:val="0"/>
        <w:autoSpaceDN w:val="0"/>
        <w:adjustRightInd w:val="0"/>
        <w:spacing w:line="360" w:lineRule="auto"/>
        <w:jc w:val="both"/>
        <w:rPr>
          <w:rFonts w:asciiTheme="minorHAnsi" w:hAnsiTheme="minorHAnsi" w:cstheme="minorHAnsi"/>
        </w:rPr>
      </w:pPr>
    </w:p>
    <w:p w:rsidR="00FF4D42" w:rsidRPr="00025B9C" w:rsidRDefault="008B4ADE" w:rsidP="00D665D9">
      <w:pPr>
        <w:autoSpaceDE w:val="0"/>
        <w:autoSpaceDN w:val="0"/>
        <w:adjustRightInd w:val="0"/>
        <w:spacing w:line="360" w:lineRule="auto"/>
        <w:jc w:val="both"/>
        <w:rPr>
          <w:rFonts w:asciiTheme="minorHAnsi" w:hAnsiTheme="minorHAnsi" w:cstheme="minorHAnsi"/>
        </w:rPr>
      </w:pPr>
      <w:r w:rsidRPr="00025B9C">
        <w:rPr>
          <w:rFonts w:asciiTheme="minorHAnsi" w:hAnsiTheme="minorHAnsi" w:cstheme="minorHAnsi"/>
        </w:rPr>
        <w:t xml:space="preserve">In </w:t>
      </w:r>
      <w:r w:rsidR="00352B10" w:rsidRPr="00025B9C">
        <w:rPr>
          <w:rFonts w:asciiTheme="minorHAnsi" w:hAnsiTheme="minorHAnsi" w:cstheme="minorHAnsi"/>
        </w:rPr>
        <w:t>E</w:t>
      </w:r>
      <w:r w:rsidRPr="00025B9C">
        <w:rPr>
          <w:rFonts w:asciiTheme="minorHAnsi" w:hAnsiTheme="minorHAnsi" w:cstheme="minorHAnsi"/>
        </w:rPr>
        <w:t>xample</w:t>
      </w:r>
      <w:r w:rsidR="00962D61" w:rsidRPr="00025B9C">
        <w:rPr>
          <w:rFonts w:asciiTheme="minorHAnsi" w:hAnsiTheme="minorHAnsi" w:cstheme="minorHAnsi"/>
        </w:rPr>
        <w:t xml:space="preserve"> </w:t>
      </w:r>
      <w:r w:rsidR="003129CD" w:rsidRPr="00025B9C">
        <w:rPr>
          <w:rFonts w:asciiTheme="minorHAnsi" w:hAnsiTheme="minorHAnsi" w:cstheme="minorHAnsi"/>
        </w:rPr>
        <w:t>5</w:t>
      </w:r>
      <w:r w:rsidR="00FF4D42" w:rsidRPr="00025B9C">
        <w:rPr>
          <w:rFonts w:asciiTheme="minorHAnsi" w:hAnsiTheme="minorHAnsi" w:cstheme="minorHAnsi"/>
        </w:rPr>
        <w:t>c</w:t>
      </w:r>
      <w:r w:rsidR="003A0CB2" w:rsidRPr="00025B9C">
        <w:rPr>
          <w:rFonts w:asciiTheme="minorHAnsi" w:hAnsiTheme="minorHAnsi" w:cstheme="minorHAnsi"/>
        </w:rPr>
        <w:t>,</w:t>
      </w:r>
      <w:r w:rsidR="00FF4D42" w:rsidRPr="00025B9C">
        <w:rPr>
          <w:rFonts w:asciiTheme="minorHAnsi" w:hAnsiTheme="minorHAnsi" w:cstheme="minorHAnsi"/>
        </w:rPr>
        <w:t xml:space="preserve"> the </w:t>
      </w:r>
      <w:r w:rsidR="008E17EC" w:rsidRPr="00025B9C">
        <w:rPr>
          <w:rFonts w:asciiTheme="minorHAnsi" w:hAnsiTheme="minorHAnsi" w:cstheme="minorHAnsi"/>
        </w:rPr>
        <w:t>non-compliance is attributed to</w:t>
      </w:r>
      <w:r w:rsidR="00FF4D42" w:rsidRPr="00025B9C">
        <w:rPr>
          <w:rFonts w:asciiTheme="minorHAnsi" w:hAnsiTheme="minorHAnsi" w:cstheme="minorHAnsi"/>
        </w:rPr>
        <w:t xml:space="preserve"> contractual arrangements which came into </w:t>
      </w:r>
      <w:r w:rsidR="007A1D49" w:rsidRPr="00025B9C">
        <w:rPr>
          <w:rFonts w:asciiTheme="minorHAnsi" w:hAnsiTheme="minorHAnsi" w:cstheme="minorHAnsi"/>
        </w:rPr>
        <w:t>force</w:t>
      </w:r>
      <w:r w:rsidR="00FF4D42" w:rsidRPr="00025B9C">
        <w:rPr>
          <w:rFonts w:asciiTheme="minorHAnsi" w:hAnsiTheme="minorHAnsi" w:cstheme="minorHAnsi"/>
        </w:rPr>
        <w:t xml:space="preserve"> before the Code was in its current form.</w:t>
      </w:r>
      <w:r w:rsidRPr="00025B9C">
        <w:rPr>
          <w:rFonts w:asciiTheme="minorHAnsi" w:hAnsiTheme="minorHAnsi" w:cstheme="minorHAnsi"/>
          <w:b/>
        </w:rPr>
        <w:t xml:space="preserve"> </w:t>
      </w:r>
      <w:r w:rsidR="009B557C" w:rsidRPr="00025B9C">
        <w:rPr>
          <w:rFonts w:asciiTheme="minorHAnsi" w:hAnsiTheme="minorHAnsi" w:cstheme="minorHAnsi"/>
        </w:rPr>
        <w:t xml:space="preserve">Thus, the company or its management cannot be to blame for this. </w:t>
      </w:r>
      <w:r w:rsidR="00FF4D42" w:rsidRPr="00025B9C">
        <w:rPr>
          <w:rFonts w:asciiTheme="minorHAnsi" w:hAnsiTheme="minorHAnsi" w:cstheme="minorHAnsi"/>
        </w:rPr>
        <w:t xml:space="preserve">In the 2010 Corporate Governance Code </w:t>
      </w:r>
      <w:r w:rsidR="00286D53" w:rsidRPr="00025B9C">
        <w:rPr>
          <w:rFonts w:asciiTheme="minorHAnsi" w:hAnsiTheme="minorHAnsi" w:cstheme="minorHAnsi"/>
        </w:rPr>
        <w:t>(FRC, 2010)</w:t>
      </w:r>
      <w:r w:rsidR="003A0CB2" w:rsidRPr="00025B9C">
        <w:rPr>
          <w:rFonts w:asciiTheme="minorHAnsi" w:hAnsiTheme="minorHAnsi" w:cstheme="minorHAnsi"/>
        </w:rPr>
        <w:t>,</w:t>
      </w:r>
      <w:r w:rsidR="00286D53" w:rsidRPr="00025B9C">
        <w:rPr>
          <w:rFonts w:asciiTheme="minorHAnsi" w:hAnsiTheme="minorHAnsi" w:cstheme="minorHAnsi"/>
        </w:rPr>
        <w:t xml:space="preserve"> </w:t>
      </w:r>
      <w:r w:rsidR="00FF4D42" w:rsidRPr="00025B9C">
        <w:rPr>
          <w:rFonts w:asciiTheme="minorHAnsi" w:hAnsiTheme="minorHAnsi" w:cstheme="minorHAnsi"/>
        </w:rPr>
        <w:t xml:space="preserve">B.7.1 </w:t>
      </w:r>
      <w:r w:rsidR="004500B0" w:rsidRPr="00025B9C">
        <w:rPr>
          <w:rFonts w:asciiTheme="minorHAnsi" w:hAnsiTheme="minorHAnsi" w:cstheme="minorHAnsi"/>
        </w:rPr>
        <w:t>recommends</w:t>
      </w:r>
      <w:r w:rsidR="00FF4D42" w:rsidRPr="00025B9C">
        <w:rPr>
          <w:rFonts w:asciiTheme="minorHAnsi" w:hAnsiTheme="minorHAnsi" w:cstheme="minorHAnsi"/>
        </w:rPr>
        <w:t xml:space="preserve"> that all directors of FTSE 350 companies should be subject to annual election by shareholders.</w:t>
      </w:r>
      <w:r w:rsidR="00AE07DF" w:rsidRPr="00025B9C">
        <w:rPr>
          <w:rFonts w:asciiTheme="minorHAnsi" w:hAnsiTheme="minorHAnsi" w:cstheme="minorHAnsi"/>
        </w:rPr>
        <w:t xml:space="preserve"> </w:t>
      </w:r>
      <w:r w:rsidR="008A1EB1" w:rsidRPr="00025B9C">
        <w:rPr>
          <w:rFonts w:asciiTheme="minorHAnsi" w:hAnsiTheme="minorHAnsi" w:cstheme="minorHAnsi"/>
        </w:rPr>
        <w:t>International Airlines Group</w:t>
      </w:r>
      <w:r w:rsidR="008E17EC" w:rsidRPr="00025B9C">
        <w:rPr>
          <w:rFonts w:asciiTheme="minorHAnsi" w:hAnsiTheme="minorHAnsi" w:cstheme="minorHAnsi"/>
        </w:rPr>
        <w:t xml:space="preserve"> </w:t>
      </w:r>
      <w:r w:rsidR="008A1EB1" w:rsidRPr="00025B9C">
        <w:rPr>
          <w:rFonts w:asciiTheme="minorHAnsi" w:hAnsiTheme="minorHAnsi" w:cstheme="minorHAnsi"/>
        </w:rPr>
        <w:t xml:space="preserve">did not comply with this </w:t>
      </w:r>
      <w:r w:rsidR="00F42410" w:rsidRPr="00025B9C">
        <w:rPr>
          <w:rFonts w:asciiTheme="minorHAnsi" w:hAnsiTheme="minorHAnsi" w:cstheme="minorHAnsi"/>
        </w:rPr>
        <w:t xml:space="preserve">Code provision </w:t>
      </w:r>
      <w:r w:rsidR="008A1EB1" w:rsidRPr="00025B9C">
        <w:rPr>
          <w:rFonts w:asciiTheme="minorHAnsi" w:hAnsiTheme="minorHAnsi" w:cstheme="minorHAnsi"/>
        </w:rPr>
        <w:t xml:space="preserve">as is indicated </w:t>
      </w:r>
      <w:r w:rsidR="00962D61" w:rsidRPr="00025B9C">
        <w:rPr>
          <w:rFonts w:asciiTheme="minorHAnsi" w:hAnsiTheme="minorHAnsi" w:cstheme="minorHAnsi"/>
        </w:rPr>
        <w:t xml:space="preserve">in Example </w:t>
      </w:r>
      <w:r w:rsidR="003129CD" w:rsidRPr="00025B9C">
        <w:rPr>
          <w:rFonts w:asciiTheme="minorHAnsi" w:hAnsiTheme="minorHAnsi" w:cstheme="minorHAnsi"/>
        </w:rPr>
        <w:t>5</w:t>
      </w:r>
      <w:r w:rsidR="00F42410" w:rsidRPr="00025B9C">
        <w:rPr>
          <w:rFonts w:asciiTheme="minorHAnsi" w:hAnsiTheme="minorHAnsi" w:cstheme="minorHAnsi"/>
        </w:rPr>
        <w:t>c</w:t>
      </w:r>
      <w:r w:rsidR="008A1EB1" w:rsidRPr="00025B9C">
        <w:rPr>
          <w:rFonts w:asciiTheme="minorHAnsi" w:hAnsiTheme="minorHAnsi" w:cstheme="minorHAnsi"/>
        </w:rPr>
        <w:t>.</w:t>
      </w:r>
      <w:r w:rsidR="008E17EC" w:rsidRPr="00025B9C">
        <w:rPr>
          <w:rFonts w:asciiTheme="minorHAnsi" w:hAnsiTheme="minorHAnsi" w:cstheme="minorHAnsi"/>
        </w:rPr>
        <w:t xml:space="preserve"> Note again </w:t>
      </w:r>
      <w:r w:rsidR="00352B10" w:rsidRPr="00025B9C">
        <w:rPr>
          <w:rFonts w:asciiTheme="minorHAnsi" w:hAnsiTheme="minorHAnsi" w:cstheme="minorHAnsi"/>
        </w:rPr>
        <w:t xml:space="preserve">that </w:t>
      </w:r>
      <w:r w:rsidR="008E17EC" w:rsidRPr="00025B9C">
        <w:rPr>
          <w:rFonts w:asciiTheme="minorHAnsi" w:hAnsiTheme="minorHAnsi" w:cstheme="minorHAnsi"/>
        </w:rPr>
        <w:t xml:space="preserve">no Code </w:t>
      </w:r>
      <w:r w:rsidR="00F42410" w:rsidRPr="00025B9C">
        <w:rPr>
          <w:rFonts w:asciiTheme="minorHAnsi" w:hAnsiTheme="minorHAnsi" w:cstheme="minorHAnsi"/>
        </w:rPr>
        <w:t xml:space="preserve">provision </w:t>
      </w:r>
      <w:r w:rsidR="008E17EC" w:rsidRPr="00025B9C">
        <w:rPr>
          <w:rFonts w:asciiTheme="minorHAnsi" w:hAnsiTheme="minorHAnsi" w:cstheme="minorHAnsi"/>
        </w:rPr>
        <w:t>is provided</w:t>
      </w:r>
      <w:r w:rsidR="00352B10" w:rsidRPr="00025B9C">
        <w:rPr>
          <w:rFonts w:asciiTheme="minorHAnsi" w:hAnsiTheme="minorHAnsi" w:cstheme="minorHAnsi"/>
        </w:rPr>
        <w:t>,</w:t>
      </w:r>
      <w:r w:rsidR="008E17EC" w:rsidRPr="00025B9C">
        <w:rPr>
          <w:rFonts w:asciiTheme="minorHAnsi" w:hAnsiTheme="minorHAnsi" w:cstheme="minorHAnsi"/>
        </w:rPr>
        <w:t xml:space="preserve"> so t</w:t>
      </w:r>
      <w:r w:rsidR="003129CD" w:rsidRPr="00025B9C">
        <w:rPr>
          <w:rFonts w:asciiTheme="minorHAnsi" w:hAnsiTheme="minorHAnsi" w:cstheme="minorHAnsi"/>
        </w:rPr>
        <w:t xml:space="preserve">his </w:t>
      </w:r>
      <w:r w:rsidR="004500B0" w:rsidRPr="00025B9C">
        <w:rPr>
          <w:rFonts w:asciiTheme="minorHAnsi" w:hAnsiTheme="minorHAnsi" w:cstheme="minorHAnsi"/>
        </w:rPr>
        <w:t xml:space="preserve">explanation </w:t>
      </w:r>
      <w:r w:rsidR="003129CD" w:rsidRPr="00025B9C">
        <w:rPr>
          <w:rFonts w:asciiTheme="minorHAnsi" w:hAnsiTheme="minorHAnsi" w:cstheme="minorHAnsi"/>
        </w:rPr>
        <w:t xml:space="preserve">is also coded to </w:t>
      </w:r>
      <w:r w:rsidR="000E5654" w:rsidRPr="00025B9C">
        <w:rPr>
          <w:rFonts w:asciiTheme="minorHAnsi" w:hAnsiTheme="minorHAnsi" w:cstheme="minorHAnsi"/>
          <w:szCs w:val="22"/>
        </w:rPr>
        <w:t>rhetorical strategy</w:t>
      </w:r>
      <w:r w:rsidR="003129CD" w:rsidRPr="00025B9C">
        <w:rPr>
          <w:rFonts w:asciiTheme="minorHAnsi" w:hAnsiTheme="minorHAnsi" w:cstheme="minorHAnsi"/>
        </w:rPr>
        <w:t xml:space="preserve"> 9</w:t>
      </w:r>
      <w:r w:rsidR="000E7857" w:rsidRPr="00025B9C">
        <w:rPr>
          <w:rFonts w:asciiTheme="minorHAnsi" w:hAnsiTheme="minorHAnsi" w:cstheme="minorHAnsi"/>
        </w:rPr>
        <w:t>d</w:t>
      </w:r>
      <w:r w:rsidR="008E17EC" w:rsidRPr="00025B9C">
        <w:rPr>
          <w:rFonts w:asciiTheme="minorHAnsi" w:hAnsiTheme="minorHAnsi" w:cstheme="minorHAnsi"/>
        </w:rPr>
        <w:t>.</w:t>
      </w:r>
    </w:p>
    <w:p w:rsidR="008A1EB1" w:rsidRPr="00025B9C" w:rsidRDefault="008A1EB1" w:rsidP="00464241">
      <w:pPr>
        <w:ind w:right="805"/>
        <w:jc w:val="both"/>
        <w:rPr>
          <w:rFonts w:asciiTheme="minorHAnsi" w:hAnsiTheme="minorHAnsi" w:cstheme="minorHAnsi"/>
          <w:b/>
        </w:rPr>
      </w:pPr>
    </w:p>
    <w:p w:rsidR="00443132" w:rsidRPr="00025B9C" w:rsidRDefault="00962D61" w:rsidP="00CF522A">
      <w:pPr>
        <w:keepNext/>
        <w:ind w:left="562" w:right="805" w:firstLine="14"/>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3129CD" w:rsidRPr="00025B9C">
        <w:rPr>
          <w:rFonts w:asciiTheme="minorHAnsi" w:hAnsiTheme="minorHAnsi" w:cstheme="minorHAnsi"/>
          <w:b/>
          <w:sz w:val="20"/>
          <w:szCs w:val="20"/>
        </w:rPr>
        <w:t>5</w:t>
      </w:r>
      <w:r w:rsidR="00443132" w:rsidRPr="00025B9C">
        <w:rPr>
          <w:rFonts w:asciiTheme="minorHAnsi" w:hAnsiTheme="minorHAnsi" w:cstheme="minorHAnsi"/>
          <w:b/>
          <w:sz w:val="20"/>
          <w:szCs w:val="20"/>
        </w:rPr>
        <w:t>c: Attribution to contractual constraints</w:t>
      </w:r>
    </w:p>
    <w:p w:rsidR="003A66D6" w:rsidRPr="00025B9C" w:rsidRDefault="003A66D6" w:rsidP="00CF522A">
      <w:pPr>
        <w:keepNext/>
        <w:autoSpaceDE w:val="0"/>
        <w:autoSpaceDN w:val="0"/>
        <w:adjustRightInd w:val="0"/>
        <w:ind w:left="562" w:firstLine="14"/>
        <w:rPr>
          <w:rFonts w:asciiTheme="minorHAnsi" w:hAnsiTheme="minorHAnsi" w:cstheme="minorHAnsi"/>
          <w:sz w:val="20"/>
          <w:szCs w:val="20"/>
          <w:lang w:val="en-IE" w:eastAsia="en-IE"/>
        </w:rPr>
      </w:pPr>
      <w:r w:rsidRPr="00025B9C">
        <w:rPr>
          <w:rFonts w:asciiTheme="minorHAnsi" w:hAnsiTheme="minorHAnsi" w:cstheme="minorHAnsi"/>
          <w:sz w:val="20"/>
          <w:szCs w:val="20"/>
          <w:lang w:val="en-IE" w:eastAsia="en-IE"/>
        </w:rPr>
        <w:t>(v) Annual re-election of Directors:</w:t>
      </w:r>
    </w:p>
    <w:p w:rsidR="003A66D6" w:rsidRPr="00025B9C" w:rsidRDefault="003A66D6" w:rsidP="00CF522A">
      <w:pPr>
        <w:keepNext/>
        <w:autoSpaceDE w:val="0"/>
        <w:autoSpaceDN w:val="0"/>
        <w:adjustRightInd w:val="0"/>
        <w:ind w:left="562" w:firstLine="14"/>
        <w:jc w:val="both"/>
        <w:rPr>
          <w:rFonts w:asciiTheme="minorHAnsi" w:hAnsiTheme="minorHAnsi" w:cstheme="minorHAnsi"/>
          <w:sz w:val="20"/>
          <w:szCs w:val="20"/>
          <w:lang w:val="en-IE" w:eastAsia="en-IE"/>
        </w:rPr>
      </w:pPr>
      <w:r w:rsidRPr="00025B9C">
        <w:rPr>
          <w:rFonts w:asciiTheme="minorHAnsi" w:hAnsiTheme="minorHAnsi" w:cstheme="minorHAnsi"/>
          <w:sz w:val="20"/>
          <w:szCs w:val="20"/>
          <w:lang w:val="en-IE" w:eastAsia="en-IE"/>
        </w:rPr>
        <w:t>At the time of the merger, British Airways and Iberia agreed that the re-</w:t>
      </w:r>
      <w:r w:rsidR="00247063" w:rsidRPr="00025B9C">
        <w:rPr>
          <w:rFonts w:asciiTheme="minorHAnsi" w:hAnsiTheme="minorHAnsi" w:cstheme="minorHAnsi"/>
          <w:sz w:val="20"/>
          <w:szCs w:val="20"/>
          <w:lang w:val="en-IE" w:eastAsia="en-IE"/>
        </w:rPr>
        <w:t xml:space="preserve">election of Directors would not </w:t>
      </w:r>
      <w:r w:rsidRPr="00025B9C">
        <w:rPr>
          <w:rFonts w:asciiTheme="minorHAnsi" w:hAnsiTheme="minorHAnsi" w:cstheme="minorHAnsi"/>
          <w:sz w:val="20"/>
          <w:szCs w:val="20"/>
          <w:lang w:val="en-IE" w:eastAsia="en-IE"/>
        </w:rPr>
        <w:t>be done on an annual basis for an initial period. At an ordinary shareholders’</w:t>
      </w:r>
      <w:r w:rsidR="00247063" w:rsidRPr="00025B9C">
        <w:rPr>
          <w:rFonts w:asciiTheme="minorHAnsi" w:hAnsiTheme="minorHAnsi" w:cstheme="minorHAnsi"/>
          <w:sz w:val="20"/>
          <w:szCs w:val="20"/>
          <w:lang w:val="en-IE" w:eastAsia="en-IE"/>
        </w:rPr>
        <w:t xml:space="preserve"> meeting of the Company held in </w:t>
      </w:r>
      <w:r w:rsidRPr="00025B9C">
        <w:rPr>
          <w:rFonts w:asciiTheme="minorHAnsi" w:hAnsiTheme="minorHAnsi" w:cstheme="minorHAnsi"/>
          <w:sz w:val="20"/>
          <w:szCs w:val="20"/>
          <w:lang w:val="en-IE" w:eastAsia="en-IE"/>
        </w:rPr>
        <w:t>November 2010, all Directors were elected</w:t>
      </w:r>
      <w:r w:rsidR="00247063" w:rsidRPr="00025B9C">
        <w:rPr>
          <w:rFonts w:asciiTheme="minorHAnsi" w:hAnsiTheme="minorHAnsi" w:cstheme="minorHAnsi"/>
          <w:sz w:val="20"/>
          <w:szCs w:val="20"/>
          <w:lang w:val="en-IE" w:eastAsia="en-IE"/>
        </w:rPr>
        <w:t xml:space="preserve"> for a </w:t>
      </w:r>
      <w:r w:rsidR="00244860" w:rsidRPr="00025B9C">
        <w:rPr>
          <w:rFonts w:asciiTheme="minorHAnsi" w:hAnsiTheme="minorHAnsi" w:cstheme="minorHAnsi"/>
          <w:sz w:val="20"/>
          <w:szCs w:val="20"/>
          <w:lang w:val="en-IE" w:eastAsia="en-IE"/>
        </w:rPr>
        <w:t>four-year</w:t>
      </w:r>
      <w:r w:rsidR="00247063" w:rsidRPr="00025B9C">
        <w:rPr>
          <w:rFonts w:asciiTheme="minorHAnsi" w:hAnsiTheme="minorHAnsi" w:cstheme="minorHAnsi"/>
          <w:sz w:val="20"/>
          <w:szCs w:val="20"/>
          <w:lang w:val="en-IE" w:eastAsia="en-IE"/>
        </w:rPr>
        <w:t xml:space="preserve"> </w:t>
      </w:r>
      <w:r w:rsidRPr="00025B9C">
        <w:rPr>
          <w:rFonts w:asciiTheme="minorHAnsi" w:hAnsiTheme="minorHAnsi" w:cstheme="minorHAnsi"/>
          <w:sz w:val="20"/>
          <w:szCs w:val="20"/>
          <w:lang w:val="en-IE" w:eastAsia="en-IE"/>
        </w:rPr>
        <w:t>period from the merger effective date, January 21, 2011.</w:t>
      </w:r>
    </w:p>
    <w:p w:rsidR="00443132" w:rsidRPr="00025B9C" w:rsidRDefault="003A66D6" w:rsidP="00CF522A">
      <w:pPr>
        <w:keepNext/>
        <w:autoSpaceDE w:val="0"/>
        <w:autoSpaceDN w:val="0"/>
        <w:adjustRightInd w:val="0"/>
        <w:ind w:left="562" w:firstLine="14"/>
        <w:jc w:val="both"/>
        <w:rPr>
          <w:rFonts w:asciiTheme="minorHAnsi" w:hAnsiTheme="minorHAnsi" w:cstheme="minorHAnsi"/>
          <w:sz w:val="20"/>
          <w:szCs w:val="20"/>
          <w:lang w:val="en-IE" w:eastAsia="en-IE"/>
        </w:rPr>
      </w:pPr>
      <w:r w:rsidRPr="00025B9C">
        <w:rPr>
          <w:rFonts w:asciiTheme="minorHAnsi" w:hAnsiTheme="minorHAnsi" w:cstheme="minorHAnsi"/>
          <w:sz w:val="20"/>
          <w:szCs w:val="20"/>
          <w:lang w:val="en-IE" w:eastAsia="en-IE"/>
        </w:rPr>
        <w:t>Notwithstanding the above</w:t>
      </w:r>
      <w:r w:rsidR="00247063" w:rsidRPr="00025B9C">
        <w:rPr>
          <w:rFonts w:asciiTheme="minorHAnsi" w:hAnsiTheme="minorHAnsi" w:cstheme="minorHAnsi"/>
          <w:sz w:val="20"/>
          <w:szCs w:val="20"/>
          <w:lang w:val="en-IE" w:eastAsia="en-IE"/>
        </w:rPr>
        <w:t xml:space="preserve">, the Board regulations contain </w:t>
      </w:r>
      <w:r w:rsidRPr="00025B9C">
        <w:rPr>
          <w:rFonts w:asciiTheme="minorHAnsi" w:hAnsiTheme="minorHAnsi" w:cstheme="minorHAnsi"/>
          <w:sz w:val="20"/>
          <w:szCs w:val="20"/>
          <w:lang w:val="en-IE" w:eastAsia="en-IE"/>
        </w:rPr>
        <w:t>a provision which establishes that the following Directors</w:t>
      </w:r>
      <w:r w:rsidR="00247063" w:rsidRPr="00025B9C">
        <w:rPr>
          <w:rFonts w:asciiTheme="minorHAnsi" w:hAnsiTheme="minorHAnsi" w:cstheme="minorHAnsi"/>
          <w:sz w:val="20"/>
          <w:szCs w:val="20"/>
          <w:lang w:val="en-IE" w:eastAsia="en-IE"/>
        </w:rPr>
        <w:t xml:space="preserve"> </w:t>
      </w:r>
      <w:r w:rsidRPr="00025B9C">
        <w:rPr>
          <w:rFonts w:asciiTheme="minorHAnsi" w:hAnsiTheme="minorHAnsi" w:cstheme="minorHAnsi"/>
          <w:sz w:val="20"/>
          <w:szCs w:val="20"/>
          <w:lang w:val="en-IE" w:eastAsia="en-IE"/>
        </w:rPr>
        <w:t>will resign and stand for re-</w:t>
      </w:r>
      <w:r w:rsidR="00247063" w:rsidRPr="00025B9C">
        <w:rPr>
          <w:rFonts w:asciiTheme="minorHAnsi" w:hAnsiTheme="minorHAnsi" w:cstheme="minorHAnsi"/>
          <w:sz w:val="20"/>
          <w:szCs w:val="20"/>
          <w:lang w:val="en-IE" w:eastAsia="en-IE"/>
        </w:rPr>
        <w:t xml:space="preserve">election in accordance with the </w:t>
      </w:r>
      <w:r w:rsidRPr="00025B9C">
        <w:rPr>
          <w:rFonts w:asciiTheme="minorHAnsi" w:hAnsiTheme="minorHAnsi" w:cstheme="minorHAnsi"/>
          <w:sz w:val="20"/>
          <w:szCs w:val="20"/>
          <w:lang w:val="en-IE" w:eastAsia="en-IE"/>
        </w:rPr>
        <w:t>following calendar, without prejudice to the ability of the</w:t>
      </w:r>
      <w:r w:rsidR="00247063" w:rsidRPr="00025B9C">
        <w:rPr>
          <w:rFonts w:asciiTheme="minorHAnsi" w:hAnsiTheme="minorHAnsi" w:cstheme="minorHAnsi"/>
          <w:sz w:val="20"/>
          <w:szCs w:val="20"/>
          <w:lang w:val="en-IE" w:eastAsia="en-IE"/>
        </w:rPr>
        <w:t xml:space="preserve"> </w:t>
      </w:r>
      <w:r w:rsidRPr="00025B9C">
        <w:rPr>
          <w:rFonts w:asciiTheme="minorHAnsi" w:hAnsiTheme="minorHAnsi" w:cstheme="minorHAnsi"/>
          <w:sz w:val="20"/>
          <w:szCs w:val="20"/>
          <w:lang w:val="en-IE" w:eastAsia="en-IE"/>
        </w:rPr>
        <w:t>shareholders’ meeting to</w:t>
      </w:r>
      <w:r w:rsidR="00247063" w:rsidRPr="00025B9C">
        <w:rPr>
          <w:rFonts w:asciiTheme="minorHAnsi" w:hAnsiTheme="minorHAnsi" w:cstheme="minorHAnsi"/>
          <w:sz w:val="20"/>
          <w:szCs w:val="20"/>
          <w:lang w:val="en-IE" w:eastAsia="en-IE"/>
        </w:rPr>
        <w:t xml:space="preserve"> remove such persons as a Board </w:t>
      </w:r>
      <w:r w:rsidRPr="00025B9C">
        <w:rPr>
          <w:rFonts w:asciiTheme="minorHAnsi" w:hAnsiTheme="minorHAnsi" w:cstheme="minorHAnsi"/>
          <w:sz w:val="20"/>
          <w:szCs w:val="20"/>
          <w:lang w:val="en-IE" w:eastAsia="en-IE"/>
        </w:rPr>
        <w:t>member at any moment according to applicable law</w:t>
      </w:r>
      <w:r w:rsidR="00673C08" w:rsidRPr="00025B9C">
        <w:rPr>
          <w:rFonts w:asciiTheme="minorHAnsi" w:hAnsiTheme="minorHAnsi" w:cstheme="minorHAnsi"/>
          <w:sz w:val="20"/>
          <w:szCs w:val="20"/>
          <w:lang w:val="en-IE" w:eastAsia="en-IE"/>
        </w:rPr>
        <w:t>.</w:t>
      </w:r>
    </w:p>
    <w:p w:rsidR="008A1EB1" w:rsidRPr="00025B9C" w:rsidRDefault="008A1EB1" w:rsidP="00CF522A">
      <w:pPr>
        <w:keepNext/>
        <w:ind w:left="562" w:firstLine="14"/>
        <w:jc w:val="both"/>
        <w:rPr>
          <w:rFonts w:asciiTheme="minorHAnsi" w:hAnsiTheme="minorHAnsi" w:cstheme="minorHAnsi"/>
          <w:sz w:val="20"/>
          <w:szCs w:val="20"/>
        </w:rPr>
      </w:pPr>
      <w:r w:rsidRPr="00025B9C">
        <w:rPr>
          <w:rFonts w:asciiTheme="minorHAnsi" w:hAnsiTheme="minorHAnsi" w:cstheme="minorHAnsi"/>
          <w:sz w:val="20"/>
          <w:szCs w:val="20"/>
        </w:rPr>
        <w:t>Source: I</w:t>
      </w:r>
      <w:r w:rsidR="00DF002B" w:rsidRPr="00025B9C">
        <w:rPr>
          <w:rFonts w:asciiTheme="minorHAnsi" w:hAnsiTheme="minorHAnsi" w:cstheme="minorHAnsi"/>
          <w:sz w:val="20"/>
          <w:szCs w:val="20"/>
        </w:rPr>
        <w:t xml:space="preserve">nternational </w:t>
      </w:r>
      <w:r w:rsidRPr="00025B9C">
        <w:rPr>
          <w:rFonts w:asciiTheme="minorHAnsi" w:hAnsiTheme="minorHAnsi" w:cstheme="minorHAnsi"/>
          <w:sz w:val="20"/>
          <w:szCs w:val="20"/>
        </w:rPr>
        <w:t>A</w:t>
      </w:r>
      <w:r w:rsidR="00DF002B" w:rsidRPr="00025B9C">
        <w:rPr>
          <w:rFonts w:asciiTheme="minorHAnsi" w:hAnsiTheme="minorHAnsi" w:cstheme="minorHAnsi"/>
          <w:sz w:val="20"/>
          <w:szCs w:val="20"/>
        </w:rPr>
        <w:t xml:space="preserve">irlines </w:t>
      </w:r>
      <w:r w:rsidRPr="00025B9C">
        <w:rPr>
          <w:rFonts w:asciiTheme="minorHAnsi" w:hAnsiTheme="minorHAnsi" w:cstheme="minorHAnsi"/>
          <w:sz w:val="20"/>
          <w:szCs w:val="20"/>
        </w:rPr>
        <w:t>G</w:t>
      </w:r>
      <w:r w:rsidR="00DF002B" w:rsidRPr="00025B9C">
        <w:rPr>
          <w:rFonts w:asciiTheme="minorHAnsi" w:hAnsiTheme="minorHAnsi" w:cstheme="minorHAnsi"/>
          <w:sz w:val="20"/>
          <w:szCs w:val="20"/>
        </w:rPr>
        <w:t>roup</w:t>
      </w:r>
      <w:r w:rsidRPr="00025B9C">
        <w:rPr>
          <w:rFonts w:asciiTheme="minorHAnsi" w:hAnsiTheme="minorHAnsi" w:cstheme="minorHAnsi"/>
          <w:sz w:val="20"/>
          <w:szCs w:val="20"/>
        </w:rPr>
        <w:t xml:space="preserve"> plc annual report 2011, p.</w:t>
      </w:r>
      <w:r w:rsidR="00F914D3" w:rsidRPr="00025B9C">
        <w:rPr>
          <w:rFonts w:asciiTheme="minorHAnsi" w:hAnsiTheme="minorHAnsi" w:cstheme="minorHAnsi"/>
          <w:sz w:val="20"/>
          <w:szCs w:val="20"/>
        </w:rPr>
        <w:t xml:space="preserve"> </w:t>
      </w:r>
      <w:r w:rsidRPr="00025B9C">
        <w:rPr>
          <w:rFonts w:asciiTheme="minorHAnsi" w:hAnsiTheme="minorHAnsi" w:cstheme="minorHAnsi"/>
          <w:sz w:val="20"/>
          <w:szCs w:val="20"/>
        </w:rPr>
        <w:t>40.</w:t>
      </w:r>
    </w:p>
    <w:p w:rsidR="008A1EB1" w:rsidRPr="00025B9C" w:rsidRDefault="008A1EB1" w:rsidP="00D665D9">
      <w:pPr>
        <w:ind w:right="804"/>
        <w:jc w:val="both"/>
        <w:rPr>
          <w:rFonts w:asciiTheme="minorHAnsi" w:hAnsiTheme="minorHAnsi" w:cstheme="minorHAnsi"/>
          <w:b/>
        </w:rPr>
      </w:pPr>
    </w:p>
    <w:p w:rsidR="009E3B7F" w:rsidRPr="00025B9C" w:rsidRDefault="009E3B7F" w:rsidP="00D665D9">
      <w:pPr>
        <w:autoSpaceDE w:val="0"/>
        <w:autoSpaceDN w:val="0"/>
        <w:adjustRightInd w:val="0"/>
        <w:spacing w:line="360" w:lineRule="auto"/>
        <w:jc w:val="both"/>
        <w:rPr>
          <w:rFonts w:asciiTheme="minorHAnsi" w:hAnsiTheme="minorHAnsi" w:cstheme="minorHAnsi"/>
        </w:rPr>
      </w:pPr>
      <w:r w:rsidRPr="00025B9C">
        <w:rPr>
          <w:rFonts w:asciiTheme="minorHAnsi" w:hAnsiTheme="minorHAnsi" w:cstheme="minorHAnsi"/>
        </w:rPr>
        <w:t>Finally, in E</w:t>
      </w:r>
      <w:r w:rsidR="00962D61" w:rsidRPr="00025B9C">
        <w:rPr>
          <w:rFonts w:asciiTheme="minorHAnsi" w:hAnsiTheme="minorHAnsi" w:cstheme="minorHAnsi"/>
        </w:rPr>
        <w:t xml:space="preserve">xample </w:t>
      </w:r>
      <w:r w:rsidR="003129CD" w:rsidRPr="00025B9C">
        <w:rPr>
          <w:rFonts w:asciiTheme="minorHAnsi" w:hAnsiTheme="minorHAnsi" w:cstheme="minorHAnsi"/>
        </w:rPr>
        <w:t>5</w:t>
      </w:r>
      <w:r w:rsidRPr="00025B9C">
        <w:rPr>
          <w:rFonts w:asciiTheme="minorHAnsi" w:hAnsiTheme="minorHAnsi" w:cstheme="minorHAnsi"/>
        </w:rPr>
        <w:t xml:space="preserve">d, the non-compliance is explained by reference to shareholders. The implication is if a wrong decision was taken, then the shareholders played a part by </w:t>
      </w:r>
      <w:r w:rsidR="000C1AB0" w:rsidRPr="00025B9C">
        <w:rPr>
          <w:rFonts w:asciiTheme="minorHAnsi" w:hAnsiTheme="minorHAnsi" w:cstheme="minorHAnsi"/>
        </w:rPr>
        <w:t xml:space="preserve">giving </w:t>
      </w:r>
      <w:r w:rsidRPr="00025B9C">
        <w:rPr>
          <w:rFonts w:asciiTheme="minorHAnsi" w:hAnsiTheme="minorHAnsi" w:cstheme="minorHAnsi"/>
        </w:rPr>
        <w:t>their approval.</w:t>
      </w:r>
    </w:p>
    <w:p w:rsidR="00856301" w:rsidRPr="00025B9C" w:rsidRDefault="00856301" w:rsidP="00D665D9">
      <w:pPr>
        <w:autoSpaceDE w:val="0"/>
        <w:autoSpaceDN w:val="0"/>
        <w:adjustRightInd w:val="0"/>
        <w:jc w:val="both"/>
        <w:rPr>
          <w:rFonts w:asciiTheme="minorHAnsi" w:hAnsiTheme="minorHAnsi" w:cstheme="minorHAnsi"/>
        </w:rPr>
      </w:pPr>
    </w:p>
    <w:p w:rsidR="00443132" w:rsidRPr="00025B9C" w:rsidRDefault="00962D61"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3129CD" w:rsidRPr="00025B9C">
        <w:rPr>
          <w:rFonts w:asciiTheme="minorHAnsi" w:hAnsiTheme="minorHAnsi" w:cstheme="minorHAnsi"/>
          <w:b/>
          <w:sz w:val="20"/>
          <w:szCs w:val="20"/>
        </w:rPr>
        <w:t>5</w:t>
      </w:r>
      <w:r w:rsidR="00E83958" w:rsidRPr="00025B9C">
        <w:rPr>
          <w:rFonts w:asciiTheme="minorHAnsi" w:hAnsiTheme="minorHAnsi" w:cstheme="minorHAnsi"/>
          <w:b/>
          <w:sz w:val="20"/>
          <w:szCs w:val="20"/>
        </w:rPr>
        <w:t>d</w:t>
      </w:r>
      <w:r w:rsidR="00443132" w:rsidRPr="00025B9C">
        <w:rPr>
          <w:rFonts w:asciiTheme="minorHAnsi" w:hAnsiTheme="minorHAnsi" w:cstheme="minorHAnsi"/>
          <w:b/>
          <w:sz w:val="20"/>
          <w:szCs w:val="20"/>
        </w:rPr>
        <w:t>: Attribution to shareholder vote</w:t>
      </w:r>
      <w:r w:rsidR="001209D5" w:rsidRPr="00025B9C">
        <w:rPr>
          <w:rFonts w:asciiTheme="minorHAnsi" w:hAnsiTheme="minorHAnsi" w:cstheme="minorHAnsi"/>
          <w:b/>
          <w:sz w:val="20"/>
          <w:szCs w:val="20"/>
        </w:rPr>
        <w:t>s/consultation</w:t>
      </w:r>
    </w:p>
    <w:p w:rsidR="00247063" w:rsidRPr="00025B9C" w:rsidRDefault="00247063" w:rsidP="00D665D9">
      <w:pPr>
        <w:ind w:left="567" w:right="805"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Appointment of the Chairman and Chief Executive </w:t>
      </w:r>
    </w:p>
    <w:p w:rsidR="00247063" w:rsidRPr="00025B9C" w:rsidRDefault="00247063" w:rsidP="00D665D9">
      <w:pPr>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The Company acknowledges that the appointment of Sir Bill </w:t>
      </w:r>
      <w:proofErr w:type="spellStart"/>
      <w:r w:rsidRPr="00025B9C">
        <w:rPr>
          <w:rFonts w:asciiTheme="minorHAnsi" w:hAnsiTheme="minorHAnsi" w:cstheme="minorHAnsi"/>
          <w:sz w:val="20"/>
          <w:szCs w:val="20"/>
        </w:rPr>
        <w:t>Gammell</w:t>
      </w:r>
      <w:proofErr w:type="spellEnd"/>
      <w:r w:rsidRPr="00025B9C">
        <w:rPr>
          <w:rFonts w:asciiTheme="minorHAnsi" w:hAnsiTheme="minorHAnsi" w:cstheme="minorHAnsi"/>
          <w:sz w:val="20"/>
          <w:szCs w:val="20"/>
        </w:rPr>
        <w:t xml:space="preserve"> from the role of Chief Executive to Non-Executive Chairman of the Board is an exception to the UK Corporate Governance Code. </w:t>
      </w:r>
      <w:r w:rsidR="00244860" w:rsidRPr="00025B9C">
        <w:rPr>
          <w:rFonts w:asciiTheme="minorHAnsi" w:hAnsiTheme="minorHAnsi" w:cstheme="minorHAnsi"/>
          <w:sz w:val="20"/>
          <w:szCs w:val="20"/>
        </w:rPr>
        <w:t>However,</w:t>
      </w:r>
      <w:r w:rsidRPr="00025B9C">
        <w:rPr>
          <w:rFonts w:asciiTheme="minorHAnsi" w:hAnsiTheme="minorHAnsi" w:cstheme="minorHAnsi"/>
          <w:sz w:val="20"/>
          <w:szCs w:val="20"/>
        </w:rPr>
        <w:t xml:space="preserve"> in making the appointment the Board agreed unanimously that looking forward this move was in the best interests of the Company and its shareholders. The Board believes that, in making this appointment, the Nomination Committee undertook a robust process. As part of this process, the Company consulted with its major shareholders who indicated their approval of the Board changes.</w:t>
      </w:r>
    </w:p>
    <w:p w:rsidR="006C5049" w:rsidRPr="00025B9C" w:rsidRDefault="006C5049" w:rsidP="00D665D9">
      <w:pPr>
        <w:ind w:left="567" w:right="805" w:firstLine="11"/>
        <w:jc w:val="both"/>
        <w:rPr>
          <w:rFonts w:asciiTheme="minorHAnsi" w:hAnsiTheme="minorHAnsi" w:cstheme="minorHAnsi"/>
          <w:sz w:val="20"/>
          <w:szCs w:val="20"/>
        </w:rPr>
      </w:pPr>
      <w:r w:rsidRPr="00025B9C">
        <w:rPr>
          <w:rFonts w:asciiTheme="minorHAnsi" w:hAnsiTheme="minorHAnsi" w:cstheme="minorHAnsi"/>
          <w:sz w:val="20"/>
          <w:szCs w:val="20"/>
        </w:rPr>
        <w:t>Source: Cairn Energy plc annual report 2011, p. 59.</w:t>
      </w:r>
    </w:p>
    <w:p w:rsidR="00EB1DC6" w:rsidRPr="00025B9C" w:rsidRDefault="00EB1DC6" w:rsidP="00D665D9">
      <w:pPr>
        <w:spacing w:line="480" w:lineRule="auto"/>
        <w:jc w:val="both"/>
        <w:rPr>
          <w:rFonts w:asciiTheme="minorHAnsi" w:hAnsiTheme="minorHAnsi" w:cstheme="minorHAnsi"/>
          <w:u w:val="single"/>
        </w:rPr>
      </w:pPr>
    </w:p>
    <w:p w:rsidR="004B7BB8" w:rsidRPr="00025B9C" w:rsidRDefault="00CC78E1" w:rsidP="00D665D9">
      <w:pPr>
        <w:spacing w:line="360" w:lineRule="auto"/>
        <w:jc w:val="both"/>
        <w:rPr>
          <w:rFonts w:asciiTheme="minorHAnsi" w:hAnsiTheme="minorHAnsi" w:cstheme="minorHAnsi"/>
        </w:rPr>
      </w:pPr>
      <w:r w:rsidRPr="00025B9C">
        <w:rPr>
          <w:rFonts w:asciiTheme="minorHAnsi" w:hAnsiTheme="minorHAnsi" w:cstheme="minorHAnsi"/>
        </w:rPr>
        <w:t xml:space="preserve">Non-compliance can be justified </w:t>
      </w:r>
      <w:r w:rsidR="004500B0" w:rsidRPr="00025B9C">
        <w:rPr>
          <w:rFonts w:asciiTheme="minorHAnsi" w:hAnsiTheme="minorHAnsi" w:cstheme="minorHAnsi"/>
        </w:rPr>
        <w:t>to</w:t>
      </w:r>
      <w:r w:rsidRPr="00025B9C">
        <w:rPr>
          <w:rFonts w:asciiTheme="minorHAnsi" w:hAnsiTheme="minorHAnsi" w:cstheme="minorHAnsi"/>
        </w:rPr>
        <w:t xml:space="preserve"> a specific </w:t>
      </w:r>
      <w:r w:rsidR="004500B0" w:rsidRPr="00025B9C">
        <w:rPr>
          <w:rFonts w:asciiTheme="minorHAnsi" w:hAnsiTheme="minorHAnsi" w:cstheme="minorHAnsi"/>
        </w:rPr>
        <w:t>cause</w:t>
      </w:r>
      <w:r w:rsidRPr="00025B9C">
        <w:rPr>
          <w:rFonts w:asciiTheme="minorHAnsi" w:hAnsiTheme="minorHAnsi" w:cstheme="minorHAnsi"/>
        </w:rPr>
        <w:t xml:space="preserve"> so there is no need to attribute the non-compliance to something or someone</w:t>
      </w:r>
      <w:r w:rsidR="004500B0" w:rsidRPr="00025B9C">
        <w:rPr>
          <w:rFonts w:asciiTheme="minorHAnsi" w:hAnsiTheme="minorHAnsi" w:cstheme="minorHAnsi"/>
        </w:rPr>
        <w:t xml:space="preserve"> internally in the company</w:t>
      </w:r>
      <w:r w:rsidRPr="00025B9C">
        <w:rPr>
          <w:rFonts w:asciiTheme="minorHAnsi" w:hAnsiTheme="minorHAnsi" w:cstheme="minorHAnsi"/>
        </w:rPr>
        <w:t xml:space="preserve">. </w:t>
      </w:r>
      <w:r w:rsidR="009B557C" w:rsidRPr="00025B9C">
        <w:rPr>
          <w:rFonts w:asciiTheme="minorHAnsi" w:hAnsiTheme="minorHAnsi" w:cstheme="minorHAnsi"/>
        </w:rPr>
        <w:t>Thus</w:t>
      </w:r>
      <w:r w:rsidR="000370BE" w:rsidRPr="00025B9C">
        <w:rPr>
          <w:rFonts w:asciiTheme="minorHAnsi" w:hAnsiTheme="minorHAnsi" w:cstheme="minorHAnsi"/>
        </w:rPr>
        <w:t>,</w:t>
      </w:r>
      <w:r w:rsidR="009B557C" w:rsidRPr="00025B9C">
        <w:rPr>
          <w:rFonts w:asciiTheme="minorHAnsi" w:hAnsiTheme="minorHAnsi" w:cstheme="minorHAnsi"/>
        </w:rPr>
        <w:t xml:space="preserve"> as such, there is no legitimacy question.</w:t>
      </w:r>
      <w:r w:rsidRPr="00025B9C">
        <w:rPr>
          <w:rFonts w:asciiTheme="minorHAnsi" w:hAnsiTheme="minorHAnsi" w:cstheme="minorHAnsi"/>
        </w:rPr>
        <w:t xml:space="preserve"> </w:t>
      </w:r>
      <w:r w:rsidR="009B557C" w:rsidRPr="00025B9C">
        <w:rPr>
          <w:rFonts w:asciiTheme="minorHAnsi" w:hAnsiTheme="minorHAnsi" w:cstheme="minorHAnsi"/>
        </w:rPr>
        <w:t>However, w</w:t>
      </w:r>
      <w:r w:rsidR="00F83376" w:rsidRPr="00025B9C">
        <w:rPr>
          <w:rFonts w:asciiTheme="minorHAnsi" w:hAnsiTheme="minorHAnsi" w:cstheme="minorHAnsi"/>
        </w:rPr>
        <w:t>hen the board</w:t>
      </w:r>
      <w:r w:rsidR="00CB5E2E" w:rsidRPr="00025B9C">
        <w:rPr>
          <w:rFonts w:asciiTheme="minorHAnsi" w:hAnsiTheme="minorHAnsi" w:cstheme="minorHAnsi"/>
        </w:rPr>
        <w:t xml:space="preserve"> </w:t>
      </w:r>
      <w:r w:rsidR="00257FC3" w:rsidRPr="00025B9C">
        <w:rPr>
          <w:rFonts w:asciiTheme="minorHAnsi" w:hAnsiTheme="minorHAnsi" w:cstheme="minorHAnsi"/>
        </w:rPr>
        <w:t>“</w:t>
      </w:r>
      <w:r w:rsidR="00F83376" w:rsidRPr="00025B9C">
        <w:rPr>
          <w:rFonts w:asciiTheme="minorHAnsi" w:hAnsiTheme="minorHAnsi" w:cstheme="minorHAnsi"/>
        </w:rPr>
        <w:t>unanimously</w:t>
      </w:r>
      <w:r w:rsidR="00257FC3" w:rsidRPr="00025B9C">
        <w:rPr>
          <w:rFonts w:asciiTheme="minorHAnsi" w:hAnsiTheme="minorHAnsi" w:cstheme="minorHAnsi"/>
        </w:rPr>
        <w:t>”</w:t>
      </w:r>
      <w:r w:rsidR="00C4792E" w:rsidRPr="00025B9C">
        <w:rPr>
          <w:rFonts w:asciiTheme="minorHAnsi" w:hAnsiTheme="minorHAnsi" w:cstheme="minorHAnsi"/>
        </w:rPr>
        <w:t xml:space="preserve"> claims</w:t>
      </w:r>
      <w:r w:rsidR="00F83376" w:rsidRPr="00025B9C">
        <w:rPr>
          <w:rFonts w:asciiTheme="minorHAnsi" w:hAnsiTheme="minorHAnsi" w:cstheme="minorHAnsi"/>
        </w:rPr>
        <w:t xml:space="preserve"> </w:t>
      </w:r>
      <w:r w:rsidR="00D330EA" w:rsidRPr="00025B9C">
        <w:rPr>
          <w:rFonts w:asciiTheme="minorHAnsi" w:hAnsiTheme="minorHAnsi" w:cstheme="minorHAnsi"/>
        </w:rPr>
        <w:t>(see the Cairn Energy plc</w:t>
      </w:r>
      <w:r w:rsidR="00BC5041" w:rsidRPr="00025B9C">
        <w:rPr>
          <w:rFonts w:asciiTheme="minorHAnsi" w:hAnsiTheme="minorHAnsi" w:cstheme="minorHAnsi"/>
        </w:rPr>
        <w:t>,</w:t>
      </w:r>
      <w:r w:rsidR="00D330EA" w:rsidRPr="00025B9C">
        <w:rPr>
          <w:rFonts w:asciiTheme="minorHAnsi" w:hAnsiTheme="minorHAnsi" w:cstheme="minorHAnsi"/>
        </w:rPr>
        <w:t xml:space="preserve"> E</w:t>
      </w:r>
      <w:r w:rsidR="009B557C" w:rsidRPr="00025B9C">
        <w:rPr>
          <w:rFonts w:asciiTheme="minorHAnsi" w:hAnsiTheme="minorHAnsi" w:cstheme="minorHAnsi"/>
        </w:rPr>
        <w:t xml:space="preserve">xample </w:t>
      </w:r>
      <w:r w:rsidR="00D330EA" w:rsidRPr="00025B9C">
        <w:rPr>
          <w:rFonts w:asciiTheme="minorHAnsi" w:hAnsiTheme="minorHAnsi" w:cstheme="minorHAnsi"/>
        </w:rPr>
        <w:t xml:space="preserve">5d </w:t>
      </w:r>
      <w:r w:rsidR="009B557C" w:rsidRPr="00025B9C">
        <w:rPr>
          <w:rFonts w:asciiTheme="minorHAnsi" w:hAnsiTheme="minorHAnsi" w:cstheme="minorHAnsi"/>
        </w:rPr>
        <w:t xml:space="preserve">above) </w:t>
      </w:r>
      <w:r w:rsidR="00F83376" w:rsidRPr="00025B9C">
        <w:rPr>
          <w:rFonts w:asciiTheme="minorHAnsi" w:hAnsiTheme="minorHAnsi" w:cstheme="minorHAnsi"/>
        </w:rPr>
        <w:t>that it was in the best interests of the Company and the shareholders, investors need to be willing to question this as the board may be focussing mainly on its own interests.</w:t>
      </w:r>
      <w:r w:rsidR="009B557C" w:rsidRPr="00025B9C">
        <w:rPr>
          <w:rFonts w:asciiTheme="minorHAnsi" w:hAnsiTheme="minorHAnsi" w:cstheme="minorHAnsi"/>
        </w:rPr>
        <w:t xml:space="preserve"> As a result, we have classified attribution as a rhetorical strategy.</w:t>
      </w:r>
      <w:r w:rsidR="004748F4" w:rsidRPr="00025B9C">
        <w:rPr>
          <w:rFonts w:asciiTheme="minorHAnsi" w:hAnsiTheme="minorHAnsi" w:cstheme="minorHAnsi"/>
        </w:rPr>
        <w:t xml:space="preserve"> Attribution and </w:t>
      </w:r>
      <w:r w:rsidR="00FE04BD" w:rsidRPr="00025B9C">
        <w:rPr>
          <w:rFonts w:asciiTheme="minorHAnsi" w:hAnsiTheme="minorHAnsi" w:cstheme="minorHAnsi"/>
        </w:rPr>
        <w:t>strategies 6, 7 and 8 can be more effective in affirming legitimacy if they are combined with some of the earlier strategies such as minimisation of negative feelings</w:t>
      </w:r>
      <w:r w:rsidR="00817F26" w:rsidRPr="00025B9C">
        <w:rPr>
          <w:rFonts w:asciiTheme="minorHAnsi" w:hAnsiTheme="minorHAnsi" w:cstheme="minorHAnsi"/>
        </w:rPr>
        <w:t xml:space="preserve"> (see Section 5.2)</w:t>
      </w:r>
      <w:r w:rsidR="00FE04BD" w:rsidRPr="00025B9C">
        <w:rPr>
          <w:rFonts w:asciiTheme="minorHAnsi" w:hAnsiTheme="minorHAnsi" w:cstheme="minorHAnsi"/>
        </w:rPr>
        <w:t xml:space="preserve">. </w:t>
      </w:r>
    </w:p>
    <w:p w:rsidR="00107C93" w:rsidRPr="00025B9C" w:rsidRDefault="00107C93" w:rsidP="00D665D9">
      <w:pPr>
        <w:spacing w:line="360" w:lineRule="auto"/>
        <w:jc w:val="both"/>
        <w:rPr>
          <w:rFonts w:asciiTheme="minorHAnsi" w:hAnsiTheme="minorHAnsi" w:cstheme="minorHAnsi"/>
          <w:u w:val="single"/>
        </w:rPr>
      </w:pPr>
    </w:p>
    <w:p w:rsidR="00F74C9A" w:rsidRPr="00025B9C" w:rsidRDefault="003129CD" w:rsidP="00D665D9">
      <w:pPr>
        <w:spacing w:line="360" w:lineRule="auto"/>
        <w:jc w:val="both"/>
        <w:rPr>
          <w:rFonts w:asciiTheme="minorHAnsi" w:hAnsiTheme="minorHAnsi" w:cstheme="minorHAnsi"/>
          <w:u w:val="single"/>
        </w:rPr>
      </w:pPr>
      <w:r w:rsidRPr="00025B9C">
        <w:rPr>
          <w:rFonts w:asciiTheme="minorHAnsi" w:hAnsiTheme="minorHAnsi" w:cstheme="minorHAnsi"/>
          <w:u w:val="single"/>
        </w:rPr>
        <w:t>6</w:t>
      </w:r>
      <w:r w:rsidR="00DC0BB5" w:rsidRPr="00025B9C">
        <w:rPr>
          <w:rFonts w:asciiTheme="minorHAnsi" w:hAnsiTheme="minorHAnsi" w:cstheme="minorHAnsi"/>
          <w:u w:val="single"/>
        </w:rPr>
        <w:t xml:space="preserve">. </w:t>
      </w:r>
      <w:r w:rsidR="00F74C9A" w:rsidRPr="00025B9C">
        <w:rPr>
          <w:rFonts w:asciiTheme="minorHAnsi" w:hAnsiTheme="minorHAnsi" w:cstheme="minorHAnsi"/>
          <w:u w:val="single"/>
        </w:rPr>
        <w:t>Ingratiation</w:t>
      </w:r>
    </w:p>
    <w:p w:rsidR="001B3CB5" w:rsidRPr="00025B9C" w:rsidRDefault="00431735" w:rsidP="00F64EF5">
      <w:pPr>
        <w:pStyle w:val="xl24"/>
        <w:pBdr>
          <w:bottom w:val="none" w:sz="0" w:space="0" w:color="auto"/>
        </w:pBdr>
        <w:spacing w:before="0" w:beforeAutospacing="0" w:after="0" w:afterAutospacing="0" w:line="360" w:lineRule="auto"/>
        <w:jc w:val="both"/>
        <w:rPr>
          <w:rFonts w:asciiTheme="minorHAnsi" w:hAnsiTheme="minorHAnsi" w:cstheme="minorHAnsi"/>
        </w:rPr>
      </w:pPr>
      <w:r w:rsidRPr="00025B9C">
        <w:rPr>
          <w:rFonts w:asciiTheme="minorHAnsi" w:hAnsiTheme="minorHAnsi" w:cstheme="minorHAnsi"/>
        </w:rPr>
        <w:t>Ingrati</w:t>
      </w:r>
      <w:r w:rsidR="001E0D7B" w:rsidRPr="00025B9C">
        <w:rPr>
          <w:rFonts w:asciiTheme="minorHAnsi" w:hAnsiTheme="minorHAnsi" w:cstheme="minorHAnsi"/>
        </w:rPr>
        <w:t>ati</w:t>
      </w:r>
      <w:r w:rsidRPr="00025B9C">
        <w:rPr>
          <w:rFonts w:asciiTheme="minorHAnsi" w:hAnsiTheme="minorHAnsi" w:cstheme="minorHAnsi"/>
        </w:rPr>
        <w:t>on</w:t>
      </w:r>
      <w:r w:rsidR="004500B0" w:rsidRPr="00025B9C">
        <w:rPr>
          <w:rFonts w:asciiTheme="minorHAnsi" w:hAnsiTheme="minorHAnsi" w:cstheme="minorHAnsi"/>
        </w:rPr>
        <w:t xml:space="preserve"> is a rhetorical</w:t>
      </w:r>
      <w:r w:rsidR="002B1DEC" w:rsidRPr="00025B9C">
        <w:rPr>
          <w:rFonts w:asciiTheme="minorHAnsi" w:hAnsiTheme="minorHAnsi" w:cstheme="minorHAnsi"/>
        </w:rPr>
        <w:t xml:space="preserve"> strategy concerned with flattering others</w:t>
      </w:r>
      <w:r w:rsidR="00B324A6" w:rsidRPr="00025B9C">
        <w:rPr>
          <w:rFonts w:asciiTheme="minorHAnsi" w:hAnsiTheme="minorHAnsi" w:cstheme="minorHAnsi"/>
        </w:rPr>
        <w:t xml:space="preserve"> </w:t>
      </w:r>
      <w:r w:rsidR="002B1DEC" w:rsidRPr="00025B9C">
        <w:rPr>
          <w:rFonts w:asciiTheme="minorHAnsi" w:hAnsiTheme="minorHAnsi" w:cstheme="minorHAnsi"/>
        </w:rPr>
        <w:t xml:space="preserve">(Jones </w:t>
      </w:r>
      <w:r w:rsidR="00DB0683" w:rsidRPr="00025B9C">
        <w:rPr>
          <w:rFonts w:asciiTheme="minorHAnsi" w:hAnsiTheme="minorHAnsi" w:cstheme="minorHAnsi"/>
        </w:rPr>
        <w:t>&amp;</w:t>
      </w:r>
      <w:r w:rsidR="002B1DEC" w:rsidRPr="00025B9C">
        <w:rPr>
          <w:rFonts w:asciiTheme="minorHAnsi" w:hAnsiTheme="minorHAnsi" w:cstheme="minorHAnsi"/>
        </w:rPr>
        <w:t xml:space="preserve"> Pi</w:t>
      </w:r>
      <w:r w:rsidR="00D330EA" w:rsidRPr="00025B9C">
        <w:rPr>
          <w:rFonts w:asciiTheme="minorHAnsi" w:hAnsiTheme="minorHAnsi" w:cstheme="minorHAnsi"/>
        </w:rPr>
        <w:t>t</w:t>
      </w:r>
      <w:r w:rsidR="002B1DEC" w:rsidRPr="00025B9C">
        <w:rPr>
          <w:rFonts w:asciiTheme="minorHAnsi" w:hAnsiTheme="minorHAnsi" w:cstheme="minorHAnsi"/>
        </w:rPr>
        <w:t xml:space="preserve">tman, 1982; </w:t>
      </w:r>
      <w:proofErr w:type="spellStart"/>
      <w:r w:rsidR="002B1DEC" w:rsidRPr="00025B9C">
        <w:rPr>
          <w:rFonts w:asciiTheme="minorHAnsi" w:hAnsiTheme="minorHAnsi" w:cstheme="minorHAnsi"/>
        </w:rPr>
        <w:t>Tedeschi</w:t>
      </w:r>
      <w:proofErr w:type="spellEnd"/>
      <w:r w:rsidR="002B1DEC" w:rsidRPr="00025B9C">
        <w:rPr>
          <w:rFonts w:asciiTheme="minorHAnsi" w:hAnsiTheme="minorHAnsi" w:cstheme="minorHAnsi"/>
        </w:rPr>
        <w:t xml:space="preserve"> </w:t>
      </w:r>
      <w:r w:rsidR="00DB0683" w:rsidRPr="00025B9C">
        <w:rPr>
          <w:rFonts w:asciiTheme="minorHAnsi" w:hAnsiTheme="minorHAnsi" w:cstheme="minorHAnsi"/>
        </w:rPr>
        <w:t>&amp;</w:t>
      </w:r>
      <w:r w:rsidR="002B1DEC" w:rsidRPr="00025B9C">
        <w:rPr>
          <w:rFonts w:asciiTheme="minorHAnsi" w:hAnsiTheme="minorHAnsi" w:cstheme="minorHAnsi"/>
        </w:rPr>
        <w:t xml:space="preserve"> </w:t>
      </w:r>
      <w:proofErr w:type="spellStart"/>
      <w:r w:rsidR="002B1DEC" w:rsidRPr="00025B9C">
        <w:rPr>
          <w:rFonts w:asciiTheme="minorHAnsi" w:hAnsiTheme="minorHAnsi" w:cstheme="minorHAnsi"/>
        </w:rPr>
        <w:t>Melburg</w:t>
      </w:r>
      <w:proofErr w:type="spellEnd"/>
      <w:r w:rsidR="002B1DEC" w:rsidRPr="00025B9C">
        <w:rPr>
          <w:rFonts w:asciiTheme="minorHAnsi" w:hAnsiTheme="minorHAnsi" w:cstheme="minorHAnsi"/>
        </w:rPr>
        <w:t xml:space="preserve">, 1984; </w:t>
      </w:r>
      <w:proofErr w:type="spellStart"/>
      <w:r w:rsidR="002B1DEC" w:rsidRPr="00025B9C">
        <w:rPr>
          <w:rFonts w:asciiTheme="minorHAnsi" w:hAnsiTheme="minorHAnsi" w:cstheme="minorHAnsi"/>
        </w:rPr>
        <w:t>Bolino</w:t>
      </w:r>
      <w:proofErr w:type="spellEnd"/>
      <w:r w:rsidR="002B1DEC" w:rsidRPr="00025B9C">
        <w:rPr>
          <w:rFonts w:asciiTheme="minorHAnsi" w:hAnsiTheme="minorHAnsi" w:cstheme="minorHAnsi"/>
        </w:rPr>
        <w:t xml:space="preserve"> </w:t>
      </w:r>
      <w:r w:rsidR="00DB0683" w:rsidRPr="00025B9C">
        <w:rPr>
          <w:rFonts w:asciiTheme="minorHAnsi" w:hAnsiTheme="minorHAnsi" w:cstheme="minorHAnsi"/>
        </w:rPr>
        <w:t>&amp;</w:t>
      </w:r>
      <w:r w:rsidR="002B1DEC" w:rsidRPr="00025B9C">
        <w:rPr>
          <w:rFonts w:asciiTheme="minorHAnsi" w:hAnsiTheme="minorHAnsi" w:cstheme="minorHAnsi"/>
        </w:rPr>
        <w:t xml:space="preserve"> </w:t>
      </w:r>
      <w:proofErr w:type="spellStart"/>
      <w:r w:rsidR="002B1DEC" w:rsidRPr="00025B9C">
        <w:rPr>
          <w:rFonts w:asciiTheme="minorHAnsi" w:hAnsiTheme="minorHAnsi" w:cstheme="minorHAnsi"/>
        </w:rPr>
        <w:t>Turnley</w:t>
      </w:r>
      <w:proofErr w:type="spellEnd"/>
      <w:r w:rsidR="002B1DEC" w:rsidRPr="00025B9C">
        <w:rPr>
          <w:rFonts w:asciiTheme="minorHAnsi" w:hAnsiTheme="minorHAnsi" w:cstheme="minorHAnsi"/>
        </w:rPr>
        <w:t xml:space="preserve">; 2003; Ogden </w:t>
      </w:r>
      <w:r w:rsidR="00DB0683" w:rsidRPr="00025B9C">
        <w:rPr>
          <w:rFonts w:asciiTheme="minorHAnsi" w:hAnsiTheme="minorHAnsi" w:cstheme="minorHAnsi"/>
        </w:rPr>
        <w:t>&amp;</w:t>
      </w:r>
      <w:r w:rsidR="002B1DEC" w:rsidRPr="00025B9C">
        <w:rPr>
          <w:rFonts w:asciiTheme="minorHAnsi" w:hAnsiTheme="minorHAnsi" w:cstheme="minorHAnsi"/>
        </w:rPr>
        <w:t xml:space="preserve"> Clarke, 2005). </w:t>
      </w:r>
      <w:r w:rsidR="004500B0" w:rsidRPr="00025B9C">
        <w:rPr>
          <w:rFonts w:asciiTheme="minorHAnsi" w:hAnsiTheme="minorHAnsi" w:cstheme="minorHAnsi"/>
        </w:rPr>
        <w:t>An example of ingrati</w:t>
      </w:r>
      <w:r w:rsidR="001E0D7B" w:rsidRPr="00025B9C">
        <w:rPr>
          <w:rFonts w:asciiTheme="minorHAnsi" w:hAnsiTheme="minorHAnsi" w:cstheme="minorHAnsi"/>
        </w:rPr>
        <w:t>ati</w:t>
      </w:r>
      <w:r w:rsidR="004500B0" w:rsidRPr="00025B9C">
        <w:rPr>
          <w:rFonts w:asciiTheme="minorHAnsi" w:hAnsiTheme="minorHAnsi" w:cstheme="minorHAnsi"/>
        </w:rPr>
        <w:t>on</w:t>
      </w:r>
      <w:r w:rsidR="002B1DEC" w:rsidRPr="00025B9C">
        <w:rPr>
          <w:rFonts w:asciiTheme="minorHAnsi" w:hAnsiTheme="minorHAnsi" w:cstheme="minorHAnsi"/>
        </w:rPr>
        <w:t xml:space="preserve"> would be the </w:t>
      </w:r>
      <w:r w:rsidR="00B324A6" w:rsidRPr="00025B9C">
        <w:rPr>
          <w:rFonts w:asciiTheme="minorHAnsi" w:hAnsiTheme="minorHAnsi" w:cstheme="minorHAnsi"/>
        </w:rPr>
        <w:t>board</w:t>
      </w:r>
      <w:r w:rsidR="002B1DEC" w:rsidRPr="00025B9C">
        <w:rPr>
          <w:rFonts w:asciiTheme="minorHAnsi" w:hAnsiTheme="minorHAnsi" w:cstheme="minorHAnsi"/>
        </w:rPr>
        <w:t xml:space="preserve"> trying to flatter those who were involved in the development of the Code. </w:t>
      </w:r>
      <w:r w:rsidR="004748F4" w:rsidRPr="00025B9C">
        <w:rPr>
          <w:rFonts w:asciiTheme="minorHAnsi" w:hAnsiTheme="minorHAnsi" w:cstheme="minorHAnsi"/>
        </w:rPr>
        <w:t xml:space="preserve">To the audience this generates a type of legitimacy, because it implies the management or the board are aligned with the </w:t>
      </w:r>
      <w:r w:rsidR="00533A30" w:rsidRPr="00025B9C">
        <w:rPr>
          <w:rFonts w:asciiTheme="minorHAnsi" w:hAnsiTheme="minorHAnsi" w:cstheme="minorHAnsi"/>
        </w:rPr>
        <w:t xml:space="preserve">developers of the </w:t>
      </w:r>
      <w:r w:rsidR="004748F4" w:rsidRPr="00025B9C">
        <w:rPr>
          <w:rFonts w:asciiTheme="minorHAnsi" w:hAnsiTheme="minorHAnsi" w:cstheme="minorHAnsi"/>
        </w:rPr>
        <w:t>Code. T</w:t>
      </w:r>
      <w:r w:rsidR="002B1DEC" w:rsidRPr="00025B9C">
        <w:rPr>
          <w:rFonts w:asciiTheme="minorHAnsi" w:hAnsiTheme="minorHAnsi" w:cstheme="minorHAnsi"/>
        </w:rPr>
        <w:t>wo examples</w:t>
      </w:r>
      <w:r w:rsidR="00962D61" w:rsidRPr="00025B9C">
        <w:rPr>
          <w:rFonts w:asciiTheme="minorHAnsi" w:hAnsiTheme="minorHAnsi" w:cstheme="minorHAnsi"/>
        </w:rPr>
        <w:t>, Example</w:t>
      </w:r>
      <w:r w:rsidR="00570CF5" w:rsidRPr="00025B9C">
        <w:rPr>
          <w:rFonts w:asciiTheme="minorHAnsi" w:hAnsiTheme="minorHAnsi" w:cstheme="minorHAnsi"/>
        </w:rPr>
        <w:t xml:space="preserve"> 6</w:t>
      </w:r>
      <w:r w:rsidR="00962D61" w:rsidRPr="00025B9C">
        <w:rPr>
          <w:rFonts w:asciiTheme="minorHAnsi" w:hAnsiTheme="minorHAnsi" w:cstheme="minorHAnsi"/>
        </w:rPr>
        <w:t>(</w:t>
      </w:r>
      <w:proofErr w:type="spellStart"/>
      <w:r w:rsidR="00962D61" w:rsidRPr="00025B9C">
        <w:rPr>
          <w:rFonts w:asciiTheme="minorHAnsi" w:hAnsiTheme="minorHAnsi" w:cstheme="minorHAnsi"/>
        </w:rPr>
        <w:t>i</w:t>
      </w:r>
      <w:proofErr w:type="spellEnd"/>
      <w:r w:rsidR="00962D61" w:rsidRPr="00025B9C">
        <w:rPr>
          <w:rFonts w:asciiTheme="minorHAnsi" w:hAnsiTheme="minorHAnsi" w:cstheme="minorHAnsi"/>
        </w:rPr>
        <w:t>) and</w:t>
      </w:r>
      <w:r w:rsidR="002B1DEC" w:rsidRPr="00025B9C">
        <w:rPr>
          <w:rFonts w:asciiTheme="minorHAnsi" w:hAnsiTheme="minorHAnsi" w:cstheme="minorHAnsi"/>
        </w:rPr>
        <w:t xml:space="preserve"> </w:t>
      </w:r>
      <w:r w:rsidR="00962D61" w:rsidRPr="00025B9C">
        <w:rPr>
          <w:rFonts w:asciiTheme="minorHAnsi" w:hAnsiTheme="minorHAnsi" w:cstheme="minorHAnsi"/>
        </w:rPr>
        <w:t>Example</w:t>
      </w:r>
      <w:r w:rsidR="00570CF5" w:rsidRPr="00025B9C">
        <w:rPr>
          <w:rFonts w:asciiTheme="minorHAnsi" w:hAnsiTheme="minorHAnsi" w:cstheme="minorHAnsi"/>
        </w:rPr>
        <w:t xml:space="preserve"> 6</w:t>
      </w:r>
      <w:r w:rsidR="00962D61" w:rsidRPr="00025B9C">
        <w:rPr>
          <w:rFonts w:asciiTheme="minorHAnsi" w:hAnsiTheme="minorHAnsi" w:cstheme="minorHAnsi"/>
        </w:rPr>
        <w:t xml:space="preserve">(ii), </w:t>
      </w:r>
      <w:r w:rsidR="004B7BB8" w:rsidRPr="00025B9C">
        <w:rPr>
          <w:rFonts w:asciiTheme="minorHAnsi" w:hAnsiTheme="minorHAnsi" w:cstheme="minorHAnsi"/>
        </w:rPr>
        <w:t xml:space="preserve">are provided </w:t>
      </w:r>
      <w:r w:rsidR="002B1DEC" w:rsidRPr="00025B9C">
        <w:rPr>
          <w:rFonts w:asciiTheme="minorHAnsi" w:hAnsiTheme="minorHAnsi" w:cstheme="minorHAnsi"/>
        </w:rPr>
        <w:t>to i</w:t>
      </w:r>
      <w:r w:rsidR="003A0CB2" w:rsidRPr="00025B9C">
        <w:rPr>
          <w:rFonts w:asciiTheme="minorHAnsi" w:hAnsiTheme="minorHAnsi" w:cstheme="minorHAnsi"/>
        </w:rPr>
        <w:t xml:space="preserve">llustrate </w:t>
      </w:r>
      <w:r w:rsidR="004B7BB8" w:rsidRPr="00025B9C">
        <w:rPr>
          <w:rFonts w:asciiTheme="minorHAnsi" w:hAnsiTheme="minorHAnsi" w:cstheme="minorHAnsi"/>
        </w:rPr>
        <w:t>this concept</w:t>
      </w:r>
      <w:r w:rsidR="00F64EF5" w:rsidRPr="00025B9C">
        <w:rPr>
          <w:rFonts w:asciiTheme="minorHAnsi" w:hAnsiTheme="minorHAnsi" w:cstheme="minorHAnsi"/>
        </w:rPr>
        <w:t>.</w:t>
      </w:r>
    </w:p>
    <w:p w:rsidR="00CB5E2E" w:rsidRPr="00025B9C" w:rsidRDefault="00CB5E2E" w:rsidP="00D665D9">
      <w:pPr>
        <w:pStyle w:val="xl24"/>
        <w:pBdr>
          <w:bottom w:val="none" w:sz="0" w:space="0" w:color="auto"/>
        </w:pBdr>
        <w:spacing w:before="0" w:beforeAutospacing="0" w:after="0" w:afterAutospacing="0"/>
        <w:ind w:left="567" w:right="804"/>
        <w:contextualSpacing/>
        <w:jc w:val="both"/>
        <w:rPr>
          <w:rFonts w:asciiTheme="minorHAnsi" w:hAnsiTheme="minorHAnsi" w:cstheme="minorHAnsi"/>
          <w:b/>
          <w:sz w:val="20"/>
          <w:szCs w:val="20"/>
        </w:rPr>
      </w:pPr>
    </w:p>
    <w:p w:rsidR="002B1DEC" w:rsidRPr="00025B9C" w:rsidRDefault="00962D61" w:rsidP="00171300">
      <w:pPr>
        <w:pStyle w:val="xl24"/>
        <w:keepNext/>
        <w:pBdr>
          <w:bottom w:val="none" w:sz="0" w:space="0" w:color="auto"/>
        </w:pBdr>
        <w:spacing w:before="0" w:beforeAutospacing="0" w:after="0" w:afterAutospacing="0"/>
        <w:ind w:left="567" w:right="804"/>
        <w:contextualSpacing/>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570CF5" w:rsidRPr="00025B9C">
        <w:rPr>
          <w:rFonts w:asciiTheme="minorHAnsi" w:hAnsiTheme="minorHAnsi" w:cstheme="minorHAnsi"/>
          <w:b/>
          <w:sz w:val="20"/>
          <w:szCs w:val="20"/>
        </w:rPr>
        <w:t>6</w:t>
      </w:r>
      <w:r w:rsidR="002B1DEC" w:rsidRPr="00025B9C">
        <w:rPr>
          <w:rFonts w:asciiTheme="minorHAnsi" w:hAnsiTheme="minorHAnsi" w:cstheme="minorHAnsi"/>
          <w:b/>
          <w:sz w:val="20"/>
          <w:szCs w:val="20"/>
        </w:rPr>
        <w:t>(</w:t>
      </w:r>
      <w:proofErr w:type="spellStart"/>
      <w:r w:rsidR="002B1DEC" w:rsidRPr="00025B9C">
        <w:rPr>
          <w:rFonts w:asciiTheme="minorHAnsi" w:hAnsiTheme="minorHAnsi" w:cstheme="minorHAnsi"/>
          <w:b/>
          <w:sz w:val="20"/>
          <w:szCs w:val="20"/>
        </w:rPr>
        <w:t>i</w:t>
      </w:r>
      <w:proofErr w:type="spellEnd"/>
      <w:r w:rsidR="002B1DEC" w:rsidRPr="00025B9C">
        <w:rPr>
          <w:rFonts w:asciiTheme="minorHAnsi" w:hAnsiTheme="minorHAnsi" w:cstheme="minorHAnsi"/>
          <w:b/>
          <w:sz w:val="20"/>
          <w:szCs w:val="20"/>
        </w:rPr>
        <w:t>): Ingratiation</w:t>
      </w:r>
    </w:p>
    <w:p w:rsidR="002B1DEC" w:rsidRPr="00025B9C" w:rsidRDefault="002B1DEC" w:rsidP="00171300">
      <w:pPr>
        <w:pStyle w:val="xl24"/>
        <w:keepNext/>
        <w:pBdr>
          <w:bottom w:val="none" w:sz="0" w:space="0" w:color="auto"/>
        </w:pBdr>
        <w:spacing w:before="0" w:beforeAutospacing="0" w:after="0" w:afterAutospacing="0"/>
        <w:ind w:left="567" w:right="95"/>
        <w:contextualSpacing/>
        <w:jc w:val="both"/>
        <w:rPr>
          <w:rFonts w:asciiTheme="minorHAnsi" w:hAnsiTheme="minorHAnsi" w:cstheme="minorHAnsi"/>
          <w:sz w:val="20"/>
        </w:rPr>
      </w:pPr>
      <w:r w:rsidRPr="00025B9C">
        <w:rPr>
          <w:rFonts w:asciiTheme="minorHAnsi" w:hAnsiTheme="minorHAnsi" w:cstheme="minorHAnsi"/>
          <w:sz w:val="20"/>
        </w:rPr>
        <w:t xml:space="preserve">We fully support the new </w:t>
      </w:r>
      <w:r w:rsidR="001727E9" w:rsidRPr="00025B9C">
        <w:rPr>
          <w:rFonts w:asciiTheme="minorHAnsi" w:hAnsiTheme="minorHAnsi" w:cstheme="minorHAnsi"/>
          <w:sz w:val="20"/>
        </w:rPr>
        <w:t>C</w:t>
      </w:r>
      <w:r w:rsidRPr="00025B9C">
        <w:rPr>
          <w:rFonts w:asciiTheme="minorHAnsi" w:hAnsiTheme="minorHAnsi" w:cstheme="minorHAnsi"/>
          <w:sz w:val="20"/>
        </w:rPr>
        <w:t xml:space="preserve">ode and the direction in which it is taking the practice of corporate governance in the UK and, in particular, the emphasis placed on the board’s responsibility for providing leadership necessary for the long term success of the company. </w:t>
      </w:r>
    </w:p>
    <w:p w:rsidR="002B1DEC" w:rsidRPr="00025B9C" w:rsidRDefault="002B1DEC" w:rsidP="00D665D9">
      <w:pPr>
        <w:pStyle w:val="xl24"/>
        <w:pBdr>
          <w:bottom w:val="none" w:sz="0" w:space="0" w:color="auto"/>
        </w:pBdr>
        <w:spacing w:before="0" w:beforeAutospacing="0" w:after="0" w:afterAutospacing="0"/>
        <w:ind w:left="567" w:right="95"/>
        <w:jc w:val="both"/>
        <w:rPr>
          <w:rFonts w:asciiTheme="minorHAnsi" w:hAnsiTheme="minorHAnsi" w:cstheme="minorHAnsi"/>
          <w:sz w:val="20"/>
          <w:szCs w:val="20"/>
        </w:rPr>
      </w:pPr>
      <w:r w:rsidRPr="00025B9C">
        <w:rPr>
          <w:rFonts w:asciiTheme="minorHAnsi" w:hAnsiTheme="minorHAnsi" w:cstheme="minorHAnsi"/>
          <w:sz w:val="20"/>
          <w:szCs w:val="20"/>
        </w:rPr>
        <w:t>Source: Associated British Foods plc annual report 2011, p</w:t>
      </w:r>
      <w:r w:rsidR="00F914D3" w:rsidRPr="00025B9C">
        <w:rPr>
          <w:rFonts w:asciiTheme="minorHAnsi" w:hAnsiTheme="minorHAnsi" w:cstheme="minorHAnsi"/>
          <w:sz w:val="20"/>
          <w:szCs w:val="20"/>
        </w:rPr>
        <w:t>.</w:t>
      </w:r>
      <w:r w:rsidRPr="00025B9C">
        <w:rPr>
          <w:rFonts w:asciiTheme="minorHAnsi" w:hAnsiTheme="minorHAnsi" w:cstheme="minorHAnsi"/>
          <w:sz w:val="20"/>
          <w:szCs w:val="20"/>
        </w:rPr>
        <w:t xml:space="preserve"> 36.</w:t>
      </w:r>
    </w:p>
    <w:p w:rsidR="002B1DEC" w:rsidRPr="00025B9C" w:rsidRDefault="002B1DEC" w:rsidP="00D665D9">
      <w:pPr>
        <w:pStyle w:val="xl24"/>
        <w:pBdr>
          <w:bottom w:val="none" w:sz="0" w:space="0" w:color="auto"/>
        </w:pBdr>
        <w:spacing w:before="0" w:beforeAutospacing="0" w:after="0" w:afterAutospacing="0" w:line="480" w:lineRule="auto"/>
        <w:ind w:left="567" w:right="804"/>
        <w:jc w:val="both"/>
        <w:rPr>
          <w:rFonts w:asciiTheme="minorHAnsi" w:hAnsiTheme="minorHAnsi" w:cstheme="minorHAnsi"/>
          <w:sz w:val="20"/>
        </w:rPr>
      </w:pPr>
    </w:p>
    <w:p w:rsidR="002B1DEC" w:rsidRPr="00025B9C" w:rsidRDefault="00962D61" w:rsidP="00D665D9">
      <w:pPr>
        <w:pStyle w:val="xl24"/>
        <w:pBdr>
          <w:bottom w:val="none" w:sz="0" w:space="0" w:color="auto"/>
        </w:pBdr>
        <w:spacing w:before="0" w:beforeAutospacing="0" w:after="0" w:afterAutospacing="0"/>
        <w:ind w:left="567" w:right="804"/>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570CF5" w:rsidRPr="00025B9C">
        <w:rPr>
          <w:rFonts w:asciiTheme="minorHAnsi" w:hAnsiTheme="minorHAnsi" w:cstheme="minorHAnsi"/>
          <w:b/>
          <w:sz w:val="20"/>
          <w:szCs w:val="20"/>
        </w:rPr>
        <w:t>6</w:t>
      </w:r>
      <w:r w:rsidR="002B1DEC" w:rsidRPr="00025B9C">
        <w:rPr>
          <w:rFonts w:asciiTheme="minorHAnsi" w:hAnsiTheme="minorHAnsi" w:cstheme="minorHAnsi"/>
          <w:b/>
          <w:sz w:val="20"/>
          <w:szCs w:val="20"/>
        </w:rPr>
        <w:t>(ii): Ingratiation</w:t>
      </w:r>
    </w:p>
    <w:p w:rsidR="00004EEA" w:rsidRPr="00025B9C" w:rsidRDefault="00004EEA" w:rsidP="00D665D9">
      <w:pPr>
        <w:autoSpaceDE w:val="0"/>
        <w:autoSpaceDN w:val="0"/>
        <w:adjustRightInd w:val="0"/>
        <w:ind w:left="567"/>
        <w:jc w:val="both"/>
        <w:rPr>
          <w:rFonts w:asciiTheme="minorHAnsi" w:hAnsiTheme="minorHAnsi" w:cstheme="minorHAnsi"/>
          <w:sz w:val="20"/>
          <w:szCs w:val="20"/>
          <w:lang w:val="en-IE" w:eastAsia="en-IE"/>
        </w:rPr>
      </w:pPr>
      <w:r w:rsidRPr="00025B9C">
        <w:rPr>
          <w:rFonts w:asciiTheme="minorHAnsi" w:hAnsiTheme="minorHAnsi" w:cstheme="minorHAnsi"/>
          <w:sz w:val="20"/>
          <w:szCs w:val="20"/>
          <w:lang w:val="en-IE" w:eastAsia="en-IE"/>
        </w:rPr>
        <w:t>The non-executive directors of the Company, together with the executive directors and the company secretary, are committed to ensuring that the Board of the Company provides sound and effective leadership. The Corporate governance statement sets out the Company’s compliance with the UK Corporate Governance Code (“the Code”). The Board welcomes the clarity provided by the Code and the added emphasis on responsibility and accountability. However, as the statement about the role of the Board in the Corporate governance statement makes clear, the Board believes that good governance and effective leadership are about more than adherence to the Code or to any particular guidance. The members of the Board take very seriously their responsibilities to promote the success of the Company, whilst managing risk and demonstrating the high ethical standards and behaviours expected of everyone in the Company.</w:t>
      </w:r>
    </w:p>
    <w:p w:rsidR="002B1DEC" w:rsidRPr="00025B9C" w:rsidRDefault="002B1DEC" w:rsidP="00D665D9">
      <w:pPr>
        <w:pStyle w:val="xl24"/>
        <w:pBdr>
          <w:bottom w:val="none" w:sz="0" w:space="0" w:color="auto"/>
        </w:pBdr>
        <w:spacing w:before="0" w:beforeAutospacing="0" w:after="0" w:afterAutospacing="0"/>
        <w:ind w:left="567" w:right="804"/>
        <w:jc w:val="both"/>
        <w:rPr>
          <w:rFonts w:asciiTheme="minorHAnsi" w:hAnsiTheme="minorHAnsi" w:cstheme="minorHAnsi"/>
          <w:sz w:val="20"/>
        </w:rPr>
      </w:pPr>
      <w:r w:rsidRPr="00025B9C">
        <w:rPr>
          <w:rFonts w:asciiTheme="minorHAnsi" w:hAnsiTheme="minorHAnsi" w:cstheme="minorHAnsi"/>
          <w:sz w:val="20"/>
        </w:rPr>
        <w:t>Source: Smiths Group plc annual report 2011, p.</w:t>
      </w:r>
      <w:r w:rsidR="00F914D3" w:rsidRPr="00025B9C">
        <w:rPr>
          <w:rFonts w:asciiTheme="minorHAnsi" w:hAnsiTheme="minorHAnsi" w:cstheme="minorHAnsi"/>
          <w:sz w:val="20"/>
        </w:rPr>
        <w:t xml:space="preserve"> </w:t>
      </w:r>
      <w:r w:rsidRPr="00025B9C">
        <w:rPr>
          <w:rFonts w:asciiTheme="minorHAnsi" w:hAnsiTheme="minorHAnsi" w:cstheme="minorHAnsi"/>
          <w:sz w:val="20"/>
        </w:rPr>
        <w:t>75.</w:t>
      </w:r>
    </w:p>
    <w:p w:rsidR="002B1DEC" w:rsidRPr="00025B9C" w:rsidRDefault="002B1DEC" w:rsidP="00D665D9">
      <w:pPr>
        <w:pStyle w:val="xl24"/>
        <w:pBdr>
          <w:bottom w:val="none" w:sz="0" w:space="0" w:color="auto"/>
        </w:pBdr>
        <w:spacing w:before="0" w:beforeAutospacing="0" w:after="0" w:afterAutospacing="0" w:line="360" w:lineRule="auto"/>
        <w:ind w:right="805"/>
        <w:jc w:val="both"/>
        <w:rPr>
          <w:rFonts w:asciiTheme="minorHAnsi" w:hAnsiTheme="minorHAnsi" w:cstheme="minorHAnsi"/>
        </w:rPr>
      </w:pPr>
    </w:p>
    <w:p w:rsidR="00D345D3" w:rsidRPr="00025B9C" w:rsidRDefault="003A0CB2" w:rsidP="00D665D9">
      <w:pPr>
        <w:pStyle w:val="xl24"/>
        <w:pBdr>
          <w:bottom w:val="none" w:sz="0" w:space="0" w:color="auto"/>
        </w:pBdr>
        <w:spacing w:before="0" w:beforeAutospacing="0" w:after="0" w:afterAutospacing="0" w:line="360" w:lineRule="auto"/>
        <w:jc w:val="both"/>
        <w:rPr>
          <w:rFonts w:asciiTheme="minorHAnsi" w:hAnsiTheme="minorHAnsi" w:cstheme="minorHAnsi"/>
        </w:rPr>
      </w:pPr>
      <w:r w:rsidRPr="00025B9C">
        <w:rPr>
          <w:rFonts w:asciiTheme="minorHAnsi" w:hAnsiTheme="minorHAnsi" w:cstheme="minorHAnsi"/>
        </w:rPr>
        <w:t>I</w:t>
      </w:r>
      <w:r w:rsidR="002B1DEC" w:rsidRPr="00025B9C">
        <w:rPr>
          <w:rFonts w:asciiTheme="minorHAnsi" w:hAnsiTheme="minorHAnsi" w:cstheme="minorHAnsi"/>
        </w:rPr>
        <w:t>n both cases</w:t>
      </w:r>
      <w:r w:rsidR="004A232B" w:rsidRPr="00025B9C">
        <w:rPr>
          <w:rFonts w:asciiTheme="minorHAnsi" w:hAnsiTheme="minorHAnsi" w:cstheme="minorHAnsi"/>
        </w:rPr>
        <w:t>,</w:t>
      </w:r>
      <w:r w:rsidR="002B1DEC" w:rsidRPr="00025B9C">
        <w:rPr>
          <w:rFonts w:asciiTheme="minorHAnsi" w:hAnsiTheme="minorHAnsi" w:cstheme="minorHAnsi"/>
        </w:rPr>
        <w:t xml:space="preserve"> despite </w:t>
      </w:r>
      <w:r w:rsidR="004A232B" w:rsidRPr="00025B9C">
        <w:rPr>
          <w:rFonts w:asciiTheme="minorHAnsi" w:hAnsiTheme="minorHAnsi" w:cstheme="minorHAnsi"/>
        </w:rPr>
        <w:t>the</w:t>
      </w:r>
      <w:r w:rsidR="00D345D3" w:rsidRPr="00025B9C">
        <w:rPr>
          <w:rFonts w:asciiTheme="minorHAnsi" w:hAnsiTheme="minorHAnsi" w:cstheme="minorHAnsi"/>
        </w:rPr>
        <w:t xml:space="preserve"> </w:t>
      </w:r>
      <w:r w:rsidR="002B1DEC" w:rsidRPr="00025B9C">
        <w:rPr>
          <w:rFonts w:asciiTheme="minorHAnsi" w:hAnsiTheme="minorHAnsi" w:cstheme="minorHAnsi"/>
        </w:rPr>
        <w:t>ingratiation</w:t>
      </w:r>
      <w:r w:rsidR="004A232B" w:rsidRPr="00025B9C">
        <w:rPr>
          <w:rFonts w:asciiTheme="minorHAnsi" w:hAnsiTheme="minorHAnsi" w:cstheme="minorHAnsi"/>
        </w:rPr>
        <w:t>, neither company</w:t>
      </w:r>
      <w:r w:rsidR="002B1DEC" w:rsidRPr="00025B9C">
        <w:rPr>
          <w:rFonts w:asciiTheme="minorHAnsi" w:hAnsiTheme="minorHAnsi" w:cstheme="minorHAnsi"/>
        </w:rPr>
        <w:t xml:space="preserve"> </w:t>
      </w:r>
      <w:r w:rsidR="00881E01" w:rsidRPr="00025B9C">
        <w:rPr>
          <w:rFonts w:asciiTheme="minorHAnsi" w:hAnsiTheme="minorHAnsi" w:cstheme="minorHAnsi"/>
        </w:rPr>
        <w:t xml:space="preserve">fully </w:t>
      </w:r>
      <w:r w:rsidR="004A232B" w:rsidRPr="00025B9C">
        <w:rPr>
          <w:rFonts w:asciiTheme="minorHAnsi" w:hAnsiTheme="minorHAnsi" w:cstheme="minorHAnsi"/>
        </w:rPr>
        <w:t>complies</w:t>
      </w:r>
      <w:r w:rsidR="002B1DEC" w:rsidRPr="00025B9C">
        <w:rPr>
          <w:rFonts w:asciiTheme="minorHAnsi" w:hAnsiTheme="minorHAnsi" w:cstheme="minorHAnsi"/>
        </w:rPr>
        <w:t xml:space="preserve"> with </w:t>
      </w:r>
      <w:r w:rsidR="00881E01" w:rsidRPr="00025B9C">
        <w:rPr>
          <w:rFonts w:asciiTheme="minorHAnsi" w:hAnsiTheme="minorHAnsi" w:cstheme="minorHAnsi"/>
        </w:rPr>
        <w:t>t</w:t>
      </w:r>
      <w:r w:rsidR="002B1DEC" w:rsidRPr="00025B9C">
        <w:rPr>
          <w:rFonts w:asciiTheme="minorHAnsi" w:hAnsiTheme="minorHAnsi" w:cstheme="minorHAnsi"/>
        </w:rPr>
        <w:t xml:space="preserve">he Code. In </w:t>
      </w:r>
      <w:r w:rsidR="00962D61" w:rsidRPr="00025B9C">
        <w:rPr>
          <w:rFonts w:asciiTheme="minorHAnsi" w:hAnsiTheme="minorHAnsi" w:cstheme="minorHAnsi"/>
        </w:rPr>
        <w:t>Example</w:t>
      </w:r>
      <w:r w:rsidR="00570CF5" w:rsidRPr="00025B9C">
        <w:rPr>
          <w:rFonts w:asciiTheme="minorHAnsi" w:hAnsiTheme="minorHAnsi" w:cstheme="minorHAnsi"/>
        </w:rPr>
        <w:t xml:space="preserve"> 6</w:t>
      </w:r>
      <w:r w:rsidR="00962D61" w:rsidRPr="00025B9C">
        <w:rPr>
          <w:rFonts w:asciiTheme="minorHAnsi" w:hAnsiTheme="minorHAnsi" w:cstheme="minorHAnsi"/>
        </w:rPr>
        <w:t>(</w:t>
      </w:r>
      <w:proofErr w:type="spellStart"/>
      <w:r w:rsidR="00962D61" w:rsidRPr="00025B9C">
        <w:rPr>
          <w:rFonts w:asciiTheme="minorHAnsi" w:hAnsiTheme="minorHAnsi" w:cstheme="minorHAnsi"/>
        </w:rPr>
        <w:t>i</w:t>
      </w:r>
      <w:proofErr w:type="spellEnd"/>
      <w:r w:rsidR="00962D61" w:rsidRPr="00025B9C">
        <w:rPr>
          <w:rFonts w:asciiTheme="minorHAnsi" w:hAnsiTheme="minorHAnsi" w:cstheme="minorHAnsi"/>
        </w:rPr>
        <w:t>)</w:t>
      </w:r>
      <w:r w:rsidR="002B1DEC" w:rsidRPr="00025B9C">
        <w:rPr>
          <w:rFonts w:asciiTheme="minorHAnsi" w:hAnsiTheme="minorHAnsi" w:cstheme="minorHAnsi"/>
        </w:rPr>
        <w:t>, there are two non-compliances</w:t>
      </w:r>
      <w:r w:rsidR="00D345D3" w:rsidRPr="00025B9C">
        <w:rPr>
          <w:rFonts w:asciiTheme="minorHAnsi" w:hAnsiTheme="minorHAnsi" w:cstheme="minorHAnsi"/>
        </w:rPr>
        <w:t>,</w:t>
      </w:r>
      <w:r w:rsidR="002B1DEC" w:rsidRPr="00025B9C">
        <w:rPr>
          <w:rFonts w:asciiTheme="minorHAnsi" w:hAnsiTheme="minorHAnsi" w:cstheme="minorHAnsi"/>
        </w:rPr>
        <w:t xml:space="preserve"> one to do with the availability of the terms and conditions of appointment of non-executive</w:t>
      </w:r>
      <w:r w:rsidR="00903FAB" w:rsidRPr="00025B9C">
        <w:rPr>
          <w:rFonts w:asciiTheme="minorHAnsi" w:hAnsiTheme="minorHAnsi" w:cstheme="minorHAnsi"/>
        </w:rPr>
        <w:t xml:space="preserve"> director</w:t>
      </w:r>
      <w:r w:rsidR="002B1DEC" w:rsidRPr="00025B9C">
        <w:rPr>
          <w:rFonts w:asciiTheme="minorHAnsi" w:hAnsiTheme="minorHAnsi" w:cstheme="minorHAnsi"/>
        </w:rPr>
        <w:t xml:space="preserve">s and one concerning the Chair of the board chairing the remuneration committee. In </w:t>
      </w:r>
      <w:r w:rsidR="00962D61" w:rsidRPr="00025B9C">
        <w:rPr>
          <w:rFonts w:asciiTheme="minorHAnsi" w:hAnsiTheme="minorHAnsi" w:cstheme="minorHAnsi"/>
        </w:rPr>
        <w:t>Example</w:t>
      </w:r>
      <w:r w:rsidR="00570CF5" w:rsidRPr="00025B9C">
        <w:rPr>
          <w:rFonts w:asciiTheme="minorHAnsi" w:hAnsiTheme="minorHAnsi" w:cstheme="minorHAnsi"/>
        </w:rPr>
        <w:t xml:space="preserve"> 6</w:t>
      </w:r>
      <w:r w:rsidR="00962D61" w:rsidRPr="00025B9C">
        <w:rPr>
          <w:rFonts w:asciiTheme="minorHAnsi" w:hAnsiTheme="minorHAnsi" w:cstheme="minorHAnsi"/>
        </w:rPr>
        <w:t>(ii)</w:t>
      </w:r>
      <w:r w:rsidR="00C54669" w:rsidRPr="00025B9C">
        <w:rPr>
          <w:rFonts w:asciiTheme="minorHAnsi" w:hAnsiTheme="minorHAnsi" w:cstheme="minorHAnsi"/>
        </w:rPr>
        <w:t>, it is interesting to explore the wider context. F</w:t>
      </w:r>
      <w:r w:rsidR="002B1DEC" w:rsidRPr="00025B9C">
        <w:rPr>
          <w:rFonts w:asciiTheme="minorHAnsi" w:hAnsiTheme="minorHAnsi" w:cstheme="minorHAnsi"/>
        </w:rPr>
        <w:t>ees earned by executive</w:t>
      </w:r>
      <w:r w:rsidR="00903FAB" w:rsidRPr="00025B9C">
        <w:rPr>
          <w:rFonts w:asciiTheme="minorHAnsi" w:hAnsiTheme="minorHAnsi" w:cstheme="minorHAnsi"/>
        </w:rPr>
        <w:t xml:space="preserve"> director</w:t>
      </w:r>
      <w:r w:rsidR="002B1DEC" w:rsidRPr="00025B9C">
        <w:rPr>
          <w:rFonts w:asciiTheme="minorHAnsi" w:hAnsiTheme="minorHAnsi" w:cstheme="minorHAnsi"/>
        </w:rPr>
        <w:t xml:space="preserve">s in respect of non-executive positions are not disclosed </w:t>
      </w:r>
      <w:r w:rsidR="00C54669" w:rsidRPr="00025B9C">
        <w:rPr>
          <w:rFonts w:asciiTheme="minorHAnsi" w:hAnsiTheme="minorHAnsi" w:cstheme="minorHAnsi"/>
        </w:rPr>
        <w:t>(</w:t>
      </w:r>
      <w:r w:rsidR="004A232B" w:rsidRPr="00025B9C">
        <w:rPr>
          <w:rFonts w:asciiTheme="minorHAnsi" w:hAnsiTheme="minorHAnsi" w:cstheme="minorHAnsi"/>
        </w:rPr>
        <w:t xml:space="preserve">contrary to </w:t>
      </w:r>
      <w:r w:rsidR="004F6B3D" w:rsidRPr="00025B9C">
        <w:rPr>
          <w:rFonts w:asciiTheme="minorHAnsi" w:hAnsiTheme="minorHAnsi" w:cstheme="minorHAnsi"/>
        </w:rPr>
        <w:t xml:space="preserve">Code </w:t>
      </w:r>
      <w:proofErr w:type="gramStart"/>
      <w:r w:rsidR="004F6B3D" w:rsidRPr="00025B9C">
        <w:rPr>
          <w:rFonts w:asciiTheme="minorHAnsi" w:hAnsiTheme="minorHAnsi" w:cstheme="minorHAnsi"/>
        </w:rPr>
        <w:t>provision</w:t>
      </w:r>
      <w:proofErr w:type="gramEnd"/>
      <w:r w:rsidR="00C54669" w:rsidRPr="00025B9C">
        <w:rPr>
          <w:rFonts w:asciiTheme="minorHAnsi" w:hAnsiTheme="minorHAnsi" w:cstheme="minorHAnsi"/>
        </w:rPr>
        <w:t xml:space="preserve"> D.1.2) </w:t>
      </w:r>
      <w:r w:rsidR="002B1DEC" w:rsidRPr="00025B9C">
        <w:rPr>
          <w:rFonts w:asciiTheme="minorHAnsi" w:hAnsiTheme="minorHAnsi" w:cstheme="minorHAnsi"/>
        </w:rPr>
        <w:t xml:space="preserve">because “it is not considered relevant” (Smiths Group </w:t>
      </w:r>
      <w:r w:rsidR="000B416B" w:rsidRPr="00025B9C">
        <w:rPr>
          <w:rFonts w:asciiTheme="minorHAnsi" w:hAnsiTheme="minorHAnsi" w:cstheme="minorHAnsi"/>
        </w:rPr>
        <w:t xml:space="preserve">plc </w:t>
      </w:r>
      <w:r w:rsidR="002B1DEC" w:rsidRPr="00025B9C">
        <w:rPr>
          <w:rFonts w:asciiTheme="minorHAnsi" w:hAnsiTheme="minorHAnsi" w:cstheme="minorHAnsi"/>
        </w:rPr>
        <w:t>annual report 2011, p.</w:t>
      </w:r>
      <w:r w:rsidR="00F914D3" w:rsidRPr="00025B9C">
        <w:rPr>
          <w:rFonts w:asciiTheme="minorHAnsi" w:hAnsiTheme="minorHAnsi" w:cstheme="minorHAnsi"/>
        </w:rPr>
        <w:t xml:space="preserve"> </w:t>
      </w:r>
      <w:r w:rsidR="002B1DEC" w:rsidRPr="00025B9C">
        <w:rPr>
          <w:rFonts w:asciiTheme="minorHAnsi" w:hAnsiTheme="minorHAnsi" w:cstheme="minorHAnsi"/>
        </w:rPr>
        <w:t xml:space="preserve">70). </w:t>
      </w:r>
      <w:proofErr w:type="spellStart"/>
      <w:r w:rsidR="002B1DEC" w:rsidRPr="00025B9C">
        <w:rPr>
          <w:rFonts w:asciiTheme="minorHAnsi" w:hAnsiTheme="minorHAnsi" w:cstheme="minorHAnsi"/>
        </w:rPr>
        <w:t>Smiths</w:t>
      </w:r>
      <w:proofErr w:type="spellEnd"/>
      <w:r w:rsidR="002B1DEC" w:rsidRPr="00025B9C">
        <w:rPr>
          <w:rFonts w:asciiTheme="minorHAnsi" w:hAnsiTheme="minorHAnsi" w:cstheme="minorHAnsi"/>
        </w:rPr>
        <w:t xml:space="preserve"> Group does not (despite </w:t>
      </w:r>
      <w:r w:rsidR="009952EF" w:rsidRPr="00025B9C">
        <w:rPr>
          <w:rFonts w:asciiTheme="minorHAnsi" w:hAnsiTheme="minorHAnsi" w:cstheme="minorHAnsi"/>
        </w:rPr>
        <w:t xml:space="preserve">claiming to </w:t>
      </w:r>
      <w:r w:rsidR="002B1DEC" w:rsidRPr="00025B9C">
        <w:rPr>
          <w:rFonts w:asciiTheme="minorHAnsi" w:hAnsiTheme="minorHAnsi" w:cstheme="minorHAnsi"/>
        </w:rPr>
        <w:t>welcom</w:t>
      </w:r>
      <w:r w:rsidR="009952EF" w:rsidRPr="00025B9C">
        <w:rPr>
          <w:rFonts w:asciiTheme="minorHAnsi" w:hAnsiTheme="minorHAnsi" w:cstheme="minorHAnsi"/>
        </w:rPr>
        <w:t>e</w:t>
      </w:r>
      <w:r w:rsidR="002B1DEC" w:rsidRPr="00025B9C">
        <w:rPr>
          <w:rFonts w:asciiTheme="minorHAnsi" w:hAnsiTheme="minorHAnsi" w:cstheme="minorHAnsi"/>
        </w:rPr>
        <w:t xml:space="preserve"> </w:t>
      </w:r>
      <w:r w:rsidR="007A7C7D" w:rsidRPr="00025B9C">
        <w:rPr>
          <w:rFonts w:asciiTheme="minorHAnsi" w:hAnsiTheme="minorHAnsi" w:cstheme="minorHAnsi"/>
        </w:rPr>
        <w:t>“</w:t>
      </w:r>
      <w:r w:rsidR="002B1DEC" w:rsidRPr="00025B9C">
        <w:rPr>
          <w:rFonts w:asciiTheme="minorHAnsi" w:hAnsiTheme="minorHAnsi" w:cstheme="minorHAnsi"/>
        </w:rPr>
        <w:t>clarity</w:t>
      </w:r>
      <w:r w:rsidR="007A7C7D" w:rsidRPr="00025B9C">
        <w:rPr>
          <w:rFonts w:asciiTheme="minorHAnsi" w:hAnsiTheme="minorHAnsi" w:cstheme="minorHAnsi"/>
        </w:rPr>
        <w:t>”</w:t>
      </w:r>
      <w:r w:rsidR="002B1DEC" w:rsidRPr="00025B9C">
        <w:rPr>
          <w:rFonts w:asciiTheme="minorHAnsi" w:hAnsiTheme="minorHAnsi" w:cstheme="minorHAnsi"/>
        </w:rPr>
        <w:t>)</w:t>
      </w:r>
      <w:r w:rsidR="00D345D3" w:rsidRPr="00025B9C">
        <w:rPr>
          <w:rFonts w:asciiTheme="minorHAnsi" w:hAnsiTheme="minorHAnsi" w:cstheme="minorHAnsi"/>
        </w:rPr>
        <w:t>,</w:t>
      </w:r>
      <w:r w:rsidR="00422507" w:rsidRPr="00025B9C">
        <w:rPr>
          <w:rFonts w:asciiTheme="minorHAnsi" w:hAnsiTheme="minorHAnsi" w:cstheme="minorHAnsi"/>
        </w:rPr>
        <w:t xml:space="preserve"> provide the C</w:t>
      </w:r>
      <w:r w:rsidR="002B1DEC" w:rsidRPr="00025B9C">
        <w:rPr>
          <w:rFonts w:asciiTheme="minorHAnsi" w:hAnsiTheme="minorHAnsi" w:cstheme="minorHAnsi"/>
        </w:rPr>
        <w:t xml:space="preserve">ode </w:t>
      </w:r>
      <w:r w:rsidR="00422507" w:rsidRPr="00025B9C">
        <w:rPr>
          <w:rFonts w:asciiTheme="minorHAnsi" w:hAnsiTheme="minorHAnsi" w:cstheme="minorHAnsi"/>
        </w:rPr>
        <w:t xml:space="preserve">provision </w:t>
      </w:r>
      <w:r w:rsidR="002B1DEC" w:rsidRPr="00025B9C">
        <w:rPr>
          <w:rFonts w:asciiTheme="minorHAnsi" w:hAnsiTheme="minorHAnsi" w:cstheme="minorHAnsi"/>
        </w:rPr>
        <w:t>reference (</w:t>
      </w:r>
      <w:r w:rsidR="009952EF" w:rsidRPr="00025B9C">
        <w:rPr>
          <w:rFonts w:asciiTheme="minorHAnsi" w:hAnsiTheme="minorHAnsi" w:cstheme="minorHAnsi"/>
        </w:rPr>
        <w:t xml:space="preserve">thus </w:t>
      </w:r>
      <w:r w:rsidR="00FC2710" w:rsidRPr="00025B9C">
        <w:rPr>
          <w:rFonts w:asciiTheme="minorHAnsi" w:hAnsiTheme="minorHAnsi" w:cstheme="minorHAnsi"/>
        </w:rPr>
        <w:t xml:space="preserve">the explanations </w:t>
      </w:r>
      <w:r w:rsidR="00441434" w:rsidRPr="00025B9C">
        <w:rPr>
          <w:rFonts w:asciiTheme="minorHAnsi" w:hAnsiTheme="minorHAnsi" w:cstheme="minorHAnsi"/>
        </w:rPr>
        <w:t xml:space="preserve">elsewhere </w:t>
      </w:r>
      <w:r w:rsidR="00FC2710" w:rsidRPr="00025B9C">
        <w:rPr>
          <w:rFonts w:asciiTheme="minorHAnsi" w:hAnsiTheme="minorHAnsi" w:cstheme="minorHAnsi"/>
        </w:rPr>
        <w:t xml:space="preserve">within its annual report are </w:t>
      </w:r>
      <w:r w:rsidR="009952EF" w:rsidRPr="00025B9C">
        <w:rPr>
          <w:rFonts w:asciiTheme="minorHAnsi" w:hAnsiTheme="minorHAnsi" w:cstheme="minorHAnsi"/>
        </w:rPr>
        <w:t>c</w:t>
      </w:r>
      <w:r w:rsidR="002B1DEC" w:rsidRPr="00025B9C">
        <w:rPr>
          <w:rFonts w:asciiTheme="minorHAnsi" w:hAnsiTheme="minorHAnsi" w:cstheme="minorHAnsi"/>
        </w:rPr>
        <w:t xml:space="preserve">oded to </w:t>
      </w:r>
      <w:r w:rsidR="000E5654" w:rsidRPr="00025B9C">
        <w:rPr>
          <w:rFonts w:asciiTheme="minorHAnsi" w:hAnsiTheme="minorHAnsi" w:cstheme="minorHAnsi"/>
          <w:szCs w:val="22"/>
        </w:rPr>
        <w:t>rhetorical strategy</w:t>
      </w:r>
      <w:r w:rsidR="009952EF" w:rsidRPr="00025B9C">
        <w:rPr>
          <w:rFonts w:asciiTheme="minorHAnsi" w:hAnsiTheme="minorHAnsi" w:cstheme="minorHAnsi"/>
        </w:rPr>
        <w:t xml:space="preserve"> </w:t>
      </w:r>
      <w:r w:rsidRPr="00025B9C">
        <w:rPr>
          <w:rFonts w:asciiTheme="minorHAnsi" w:hAnsiTheme="minorHAnsi" w:cstheme="minorHAnsi"/>
        </w:rPr>
        <w:t>9</w:t>
      </w:r>
      <w:r w:rsidR="000E7857" w:rsidRPr="00025B9C">
        <w:rPr>
          <w:rFonts w:asciiTheme="minorHAnsi" w:hAnsiTheme="minorHAnsi" w:cstheme="minorHAnsi"/>
        </w:rPr>
        <w:t>d</w:t>
      </w:r>
      <w:r w:rsidR="002B1DEC" w:rsidRPr="00025B9C">
        <w:rPr>
          <w:rFonts w:asciiTheme="minorHAnsi" w:hAnsiTheme="minorHAnsi" w:cstheme="minorHAnsi"/>
        </w:rPr>
        <w:t>)</w:t>
      </w:r>
      <w:r w:rsidR="00422507" w:rsidRPr="00025B9C">
        <w:rPr>
          <w:rFonts w:asciiTheme="minorHAnsi" w:hAnsiTheme="minorHAnsi" w:cstheme="minorHAnsi"/>
        </w:rPr>
        <w:t>.</w:t>
      </w:r>
      <w:r w:rsidR="002B1DEC" w:rsidRPr="00025B9C">
        <w:rPr>
          <w:rFonts w:asciiTheme="minorHAnsi" w:hAnsiTheme="minorHAnsi" w:cstheme="minorHAnsi"/>
        </w:rPr>
        <w:t xml:space="preserve"> </w:t>
      </w:r>
      <w:r w:rsidR="004F6B3D" w:rsidRPr="00025B9C">
        <w:rPr>
          <w:rFonts w:asciiTheme="minorHAnsi" w:hAnsiTheme="minorHAnsi" w:cstheme="minorHAnsi"/>
        </w:rPr>
        <w:t>Code provision</w:t>
      </w:r>
      <w:r w:rsidR="002B1DEC" w:rsidRPr="00025B9C">
        <w:rPr>
          <w:rFonts w:asciiTheme="minorHAnsi" w:hAnsiTheme="minorHAnsi" w:cstheme="minorHAnsi"/>
        </w:rPr>
        <w:t xml:space="preserve"> D.1.2 requests disclosure of whether the executive</w:t>
      </w:r>
      <w:r w:rsidR="00903FAB" w:rsidRPr="00025B9C">
        <w:rPr>
          <w:rFonts w:asciiTheme="minorHAnsi" w:hAnsiTheme="minorHAnsi" w:cstheme="minorHAnsi"/>
        </w:rPr>
        <w:t xml:space="preserve"> director</w:t>
      </w:r>
      <w:r w:rsidR="002B1DEC" w:rsidRPr="00025B9C">
        <w:rPr>
          <w:rFonts w:asciiTheme="minorHAnsi" w:hAnsiTheme="minorHAnsi" w:cstheme="minorHAnsi"/>
        </w:rPr>
        <w:t xml:space="preserve">s retain such income and, if so, </w:t>
      </w:r>
      <w:r w:rsidR="00422507" w:rsidRPr="00025B9C">
        <w:rPr>
          <w:rFonts w:asciiTheme="minorHAnsi" w:hAnsiTheme="minorHAnsi" w:cstheme="minorHAnsi"/>
        </w:rPr>
        <w:t>the amount of the</w:t>
      </w:r>
      <w:r w:rsidR="004A232B" w:rsidRPr="00025B9C">
        <w:rPr>
          <w:rFonts w:asciiTheme="minorHAnsi" w:hAnsiTheme="minorHAnsi" w:cstheme="minorHAnsi"/>
        </w:rPr>
        <w:t xml:space="preserve"> income. This is part of accountability of</w:t>
      </w:r>
      <w:r w:rsidR="002B1DEC" w:rsidRPr="00025B9C">
        <w:rPr>
          <w:rFonts w:asciiTheme="minorHAnsi" w:hAnsiTheme="minorHAnsi" w:cstheme="minorHAnsi"/>
        </w:rPr>
        <w:t xml:space="preserve"> executive</w:t>
      </w:r>
      <w:r w:rsidR="00903FAB" w:rsidRPr="00025B9C">
        <w:rPr>
          <w:rFonts w:asciiTheme="minorHAnsi" w:hAnsiTheme="minorHAnsi" w:cstheme="minorHAnsi"/>
        </w:rPr>
        <w:t xml:space="preserve"> director</w:t>
      </w:r>
      <w:r w:rsidR="002B1DEC" w:rsidRPr="00025B9C">
        <w:rPr>
          <w:rFonts w:asciiTheme="minorHAnsi" w:hAnsiTheme="minorHAnsi" w:cstheme="minorHAnsi"/>
        </w:rPr>
        <w:t>s and helps shareholders determine the extent of other interests which may divert the executive</w:t>
      </w:r>
      <w:r w:rsidR="00903FAB" w:rsidRPr="00025B9C">
        <w:rPr>
          <w:rFonts w:asciiTheme="minorHAnsi" w:hAnsiTheme="minorHAnsi" w:cstheme="minorHAnsi"/>
        </w:rPr>
        <w:t xml:space="preserve"> director</w:t>
      </w:r>
      <w:r w:rsidR="002B1DEC" w:rsidRPr="00025B9C">
        <w:rPr>
          <w:rFonts w:asciiTheme="minorHAnsi" w:hAnsiTheme="minorHAnsi" w:cstheme="minorHAnsi"/>
        </w:rPr>
        <w:t xml:space="preserve">s’ attention away from the company in question. Of course, it may not be relevant because the amounts are small but this seems unlikely. </w:t>
      </w:r>
      <w:r w:rsidR="004A232B" w:rsidRPr="00025B9C">
        <w:rPr>
          <w:rFonts w:asciiTheme="minorHAnsi" w:hAnsiTheme="minorHAnsi" w:cstheme="minorHAnsi"/>
        </w:rPr>
        <w:t>S</w:t>
      </w:r>
      <w:r w:rsidR="002B1DEC" w:rsidRPr="00025B9C">
        <w:rPr>
          <w:rFonts w:asciiTheme="minorHAnsi" w:hAnsiTheme="minorHAnsi" w:cstheme="minorHAnsi"/>
        </w:rPr>
        <w:t>hareholder</w:t>
      </w:r>
      <w:r w:rsidR="004A232B" w:rsidRPr="00025B9C">
        <w:rPr>
          <w:rFonts w:asciiTheme="minorHAnsi" w:hAnsiTheme="minorHAnsi" w:cstheme="minorHAnsi"/>
        </w:rPr>
        <w:t>s</w:t>
      </w:r>
      <w:r w:rsidR="002B1DEC" w:rsidRPr="00025B9C">
        <w:rPr>
          <w:rFonts w:asciiTheme="minorHAnsi" w:hAnsiTheme="minorHAnsi" w:cstheme="minorHAnsi"/>
        </w:rPr>
        <w:t xml:space="preserve"> </w:t>
      </w:r>
      <w:r w:rsidR="004A232B" w:rsidRPr="00025B9C">
        <w:rPr>
          <w:rFonts w:asciiTheme="minorHAnsi" w:hAnsiTheme="minorHAnsi" w:cstheme="minorHAnsi"/>
        </w:rPr>
        <w:t>are</w:t>
      </w:r>
      <w:r w:rsidR="002B1DEC" w:rsidRPr="00025B9C">
        <w:rPr>
          <w:rFonts w:asciiTheme="minorHAnsi" w:hAnsiTheme="minorHAnsi" w:cstheme="minorHAnsi"/>
        </w:rPr>
        <w:t xml:space="preserve"> likely to </w:t>
      </w:r>
      <w:r w:rsidR="00946EBB" w:rsidRPr="00025B9C">
        <w:rPr>
          <w:rFonts w:asciiTheme="minorHAnsi" w:hAnsiTheme="minorHAnsi" w:cstheme="minorHAnsi"/>
        </w:rPr>
        <w:t>assume</w:t>
      </w:r>
      <w:r w:rsidR="002B1DEC" w:rsidRPr="00025B9C">
        <w:rPr>
          <w:rFonts w:asciiTheme="minorHAnsi" w:hAnsiTheme="minorHAnsi" w:cstheme="minorHAnsi"/>
        </w:rPr>
        <w:t xml:space="preserve"> the amounts involved are significant</w:t>
      </w:r>
      <w:r w:rsidR="00946EBB" w:rsidRPr="00025B9C">
        <w:rPr>
          <w:rFonts w:asciiTheme="minorHAnsi" w:hAnsiTheme="minorHAnsi" w:cstheme="minorHAnsi"/>
        </w:rPr>
        <w:t>,</w:t>
      </w:r>
      <w:r w:rsidR="002B1DEC" w:rsidRPr="00025B9C">
        <w:rPr>
          <w:rFonts w:asciiTheme="minorHAnsi" w:hAnsiTheme="minorHAnsi" w:cstheme="minorHAnsi"/>
        </w:rPr>
        <w:t xml:space="preserve"> </w:t>
      </w:r>
      <w:r w:rsidR="00C54669" w:rsidRPr="00025B9C">
        <w:rPr>
          <w:rFonts w:asciiTheme="minorHAnsi" w:hAnsiTheme="minorHAnsi" w:cstheme="minorHAnsi"/>
        </w:rPr>
        <w:t xml:space="preserve">yet </w:t>
      </w:r>
      <w:r w:rsidR="002B1DEC" w:rsidRPr="00025B9C">
        <w:rPr>
          <w:rFonts w:asciiTheme="minorHAnsi" w:hAnsiTheme="minorHAnsi" w:cstheme="minorHAnsi"/>
        </w:rPr>
        <w:t xml:space="preserve">are undisclosed. This </w:t>
      </w:r>
      <w:r w:rsidR="00422507" w:rsidRPr="00025B9C">
        <w:rPr>
          <w:rFonts w:asciiTheme="minorHAnsi" w:hAnsiTheme="minorHAnsi" w:cstheme="minorHAnsi"/>
        </w:rPr>
        <w:t xml:space="preserve">non-disclosure </w:t>
      </w:r>
      <w:r w:rsidR="002B1DEC" w:rsidRPr="00025B9C">
        <w:rPr>
          <w:rFonts w:asciiTheme="minorHAnsi" w:hAnsiTheme="minorHAnsi" w:cstheme="minorHAnsi"/>
        </w:rPr>
        <w:t xml:space="preserve">is </w:t>
      </w:r>
      <w:r w:rsidR="00441434" w:rsidRPr="00025B9C">
        <w:rPr>
          <w:rFonts w:asciiTheme="minorHAnsi" w:hAnsiTheme="minorHAnsi" w:cstheme="minorHAnsi"/>
        </w:rPr>
        <w:t>in</w:t>
      </w:r>
      <w:r w:rsidR="002B1DEC" w:rsidRPr="00025B9C">
        <w:rPr>
          <w:rFonts w:asciiTheme="minorHAnsi" w:hAnsiTheme="minorHAnsi" w:cstheme="minorHAnsi"/>
        </w:rPr>
        <w:t>consistent</w:t>
      </w:r>
      <w:r w:rsidR="00962D61" w:rsidRPr="00025B9C">
        <w:rPr>
          <w:rFonts w:asciiTheme="minorHAnsi" w:hAnsiTheme="minorHAnsi" w:cstheme="minorHAnsi"/>
        </w:rPr>
        <w:t xml:space="preserve"> with the </w:t>
      </w:r>
      <w:r w:rsidR="00946EBB" w:rsidRPr="00025B9C">
        <w:rPr>
          <w:rFonts w:asciiTheme="minorHAnsi" w:hAnsiTheme="minorHAnsi" w:cstheme="minorHAnsi"/>
        </w:rPr>
        <w:t xml:space="preserve">company’s ingratiation </w:t>
      </w:r>
      <w:r w:rsidR="00962D61" w:rsidRPr="00025B9C">
        <w:rPr>
          <w:rFonts w:asciiTheme="minorHAnsi" w:hAnsiTheme="minorHAnsi" w:cstheme="minorHAnsi"/>
        </w:rPr>
        <w:t xml:space="preserve">statement in Example </w:t>
      </w:r>
      <w:r w:rsidR="00570CF5" w:rsidRPr="00025B9C">
        <w:rPr>
          <w:rFonts w:asciiTheme="minorHAnsi" w:hAnsiTheme="minorHAnsi" w:cstheme="minorHAnsi"/>
        </w:rPr>
        <w:t>6</w:t>
      </w:r>
      <w:r w:rsidR="002B1DEC" w:rsidRPr="00025B9C">
        <w:rPr>
          <w:rFonts w:asciiTheme="minorHAnsi" w:hAnsiTheme="minorHAnsi" w:cstheme="minorHAnsi"/>
        </w:rPr>
        <w:t>(ii)</w:t>
      </w:r>
      <w:r w:rsidR="00441434" w:rsidRPr="00025B9C">
        <w:rPr>
          <w:rFonts w:asciiTheme="minorHAnsi" w:hAnsiTheme="minorHAnsi" w:cstheme="minorHAnsi"/>
        </w:rPr>
        <w:t xml:space="preserve"> and provides further support as to</w:t>
      </w:r>
      <w:r w:rsidR="00FC2710" w:rsidRPr="00025B9C">
        <w:rPr>
          <w:rFonts w:asciiTheme="minorHAnsi" w:hAnsiTheme="minorHAnsi" w:cstheme="minorHAnsi"/>
        </w:rPr>
        <w:t xml:space="preserve"> why</w:t>
      </w:r>
      <w:r w:rsidR="00441434" w:rsidRPr="00025B9C">
        <w:rPr>
          <w:rFonts w:asciiTheme="minorHAnsi" w:hAnsiTheme="minorHAnsi" w:cstheme="minorHAnsi"/>
        </w:rPr>
        <w:t xml:space="preserve"> </w:t>
      </w:r>
      <w:r w:rsidR="00946EBB" w:rsidRPr="00025B9C">
        <w:rPr>
          <w:rFonts w:asciiTheme="minorHAnsi" w:hAnsiTheme="minorHAnsi" w:cstheme="minorHAnsi"/>
        </w:rPr>
        <w:t>we</w:t>
      </w:r>
      <w:r w:rsidR="00441434" w:rsidRPr="00025B9C">
        <w:rPr>
          <w:rFonts w:asciiTheme="minorHAnsi" w:hAnsiTheme="minorHAnsi" w:cstheme="minorHAnsi"/>
        </w:rPr>
        <w:t xml:space="preserve"> coded </w:t>
      </w:r>
      <w:r w:rsidR="00946EBB" w:rsidRPr="00025B9C">
        <w:rPr>
          <w:rFonts w:asciiTheme="minorHAnsi" w:hAnsiTheme="minorHAnsi" w:cstheme="minorHAnsi"/>
        </w:rPr>
        <w:t>this explanation as the</w:t>
      </w:r>
      <w:r w:rsidR="00441434" w:rsidRPr="00025B9C">
        <w:rPr>
          <w:rFonts w:asciiTheme="minorHAnsi" w:hAnsiTheme="minorHAnsi" w:cstheme="minorHAnsi"/>
        </w:rPr>
        <w:t xml:space="preserve"> rhetorical strategy</w:t>
      </w:r>
      <w:r w:rsidR="00946EBB" w:rsidRPr="00025B9C">
        <w:rPr>
          <w:rFonts w:asciiTheme="minorHAnsi" w:hAnsiTheme="minorHAnsi" w:cstheme="minorHAnsi"/>
        </w:rPr>
        <w:t xml:space="preserve"> </w:t>
      </w:r>
      <w:r w:rsidR="007A1D49" w:rsidRPr="00025B9C">
        <w:rPr>
          <w:rFonts w:asciiTheme="minorHAnsi" w:hAnsiTheme="minorHAnsi" w:cstheme="minorHAnsi"/>
        </w:rPr>
        <w:t>6 (</w:t>
      </w:r>
      <w:r w:rsidR="00946EBB" w:rsidRPr="00025B9C">
        <w:rPr>
          <w:rFonts w:asciiTheme="minorHAnsi" w:hAnsiTheme="minorHAnsi" w:cstheme="minorHAnsi"/>
        </w:rPr>
        <w:t>ingratiation</w:t>
      </w:r>
      <w:r w:rsidR="007A1D49" w:rsidRPr="00025B9C">
        <w:rPr>
          <w:rFonts w:asciiTheme="minorHAnsi" w:hAnsiTheme="minorHAnsi" w:cstheme="minorHAnsi"/>
        </w:rPr>
        <w:t>)</w:t>
      </w:r>
      <w:r w:rsidR="00BF7375" w:rsidRPr="00025B9C">
        <w:rPr>
          <w:rFonts w:asciiTheme="minorHAnsi" w:hAnsiTheme="minorHAnsi" w:cstheme="minorHAnsi"/>
        </w:rPr>
        <w:t>.</w:t>
      </w:r>
      <w:r w:rsidR="007C3984" w:rsidRPr="00025B9C">
        <w:rPr>
          <w:rFonts w:asciiTheme="minorHAnsi" w:hAnsiTheme="minorHAnsi" w:cstheme="minorHAnsi"/>
        </w:rPr>
        <w:t xml:space="preserve"> </w:t>
      </w:r>
    </w:p>
    <w:p w:rsidR="00464241" w:rsidRPr="00025B9C" w:rsidRDefault="00464241" w:rsidP="00D665D9">
      <w:pPr>
        <w:pStyle w:val="xl24"/>
        <w:pBdr>
          <w:bottom w:val="none" w:sz="0" w:space="0" w:color="auto"/>
        </w:pBdr>
        <w:spacing w:before="0" w:beforeAutospacing="0" w:after="0" w:afterAutospacing="0" w:line="360" w:lineRule="auto"/>
        <w:jc w:val="both"/>
        <w:rPr>
          <w:rFonts w:asciiTheme="minorHAnsi" w:hAnsiTheme="minorHAnsi" w:cstheme="minorHAnsi"/>
          <w:u w:val="single"/>
        </w:rPr>
      </w:pPr>
    </w:p>
    <w:p w:rsidR="0088234E" w:rsidRPr="00025B9C" w:rsidRDefault="00570CF5" w:rsidP="00D665D9">
      <w:pPr>
        <w:pStyle w:val="xl24"/>
        <w:pBdr>
          <w:bottom w:val="none" w:sz="0" w:space="0" w:color="auto"/>
        </w:pBdr>
        <w:spacing w:before="0" w:beforeAutospacing="0" w:after="0" w:afterAutospacing="0" w:line="360" w:lineRule="auto"/>
        <w:jc w:val="both"/>
        <w:rPr>
          <w:rFonts w:asciiTheme="minorHAnsi" w:hAnsiTheme="minorHAnsi" w:cstheme="minorHAnsi"/>
          <w:u w:val="single"/>
        </w:rPr>
      </w:pPr>
      <w:r w:rsidRPr="00025B9C">
        <w:rPr>
          <w:rFonts w:asciiTheme="minorHAnsi" w:hAnsiTheme="minorHAnsi" w:cstheme="minorHAnsi"/>
          <w:u w:val="single"/>
        </w:rPr>
        <w:t>7</w:t>
      </w:r>
      <w:r w:rsidR="00DC0BB5" w:rsidRPr="00025B9C">
        <w:rPr>
          <w:rFonts w:asciiTheme="minorHAnsi" w:hAnsiTheme="minorHAnsi" w:cstheme="minorHAnsi"/>
          <w:u w:val="single"/>
        </w:rPr>
        <w:t xml:space="preserve">. </w:t>
      </w:r>
      <w:r w:rsidR="00721804" w:rsidRPr="00025B9C">
        <w:rPr>
          <w:rFonts w:asciiTheme="minorHAnsi" w:hAnsiTheme="minorHAnsi" w:cstheme="minorHAnsi"/>
          <w:u w:val="single"/>
        </w:rPr>
        <w:t>Self-promotion and exemplification</w:t>
      </w:r>
    </w:p>
    <w:p w:rsidR="00466C36" w:rsidRPr="00025B9C" w:rsidRDefault="007A1D49" w:rsidP="00D665D9">
      <w:pPr>
        <w:pStyle w:val="xl24"/>
        <w:pBdr>
          <w:bottom w:val="none" w:sz="0" w:space="0" w:color="auto"/>
        </w:pBdr>
        <w:spacing w:before="0" w:beforeAutospacing="0" w:after="0" w:afterAutospacing="0" w:line="360" w:lineRule="auto"/>
        <w:jc w:val="both"/>
        <w:rPr>
          <w:rFonts w:asciiTheme="minorHAnsi" w:hAnsiTheme="minorHAnsi" w:cstheme="minorHAnsi"/>
        </w:rPr>
      </w:pPr>
      <w:r w:rsidRPr="00025B9C">
        <w:rPr>
          <w:rFonts w:asciiTheme="minorHAnsi" w:hAnsiTheme="minorHAnsi" w:cstheme="minorHAnsi"/>
        </w:rPr>
        <w:t>Self-promotion and exemplification</w:t>
      </w:r>
      <w:r w:rsidR="00466C36" w:rsidRPr="00025B9C">
        <w:rPr>
          <w:rFonts w:asciiTheme="minorHAnsi" w:hAnsiTheme="minorHAnsi" w:cstheme="minorHAnsi"/>
        </w:rPr>
        <w:t xml:space="preserve"> </w:t>
      </w:r>
      <w:r w:rsidR="00705FC7" w:rsidRPr="00025B9C">
        <w:rPr>
          <w:rFonts w:asciiTheme="minorHAnsi" w:hAnsiTheme="minorHAnsi" w:cstheme="minorHAnsi"/>
        </w:rPr>
        <w:t>are</w:t>
      </w:r>
      <w:r w:rsidR="00466C36" w:rsidRPr="00025B9C">
        <w:rPr>
          <w:rFonts w:asciiTheme="minorHAnsi" w:hAnsiTheme="minorHAnsi" w:cstheme="minorHAnsi"/>
        </w:rPr>
        <w:t xml:space="preserve"> </w:t>
      </w:r>
      <w:r w:rsidR="00946EBB" w:rsidRPr="00025B9C">
        <w:rPr>
          <w:rFonts w:asciiTheme="minorHAnsi" w:hAnsiTheme="minorHAnsi" w:cstheme="minorHAnsi"/>
        </w:rPr>
        <w:t>viewed</w:t>
      </w:r>
      <w:r w:rsidR="00466C36" w:rsidRPr="00025B9C">
        <w:rPr>
          <w:rFonts w:asciiTheme="minorHAnsi" w:hAnsiTheme="minorHAnsi" w:cstheme="minorHAnsi"/>
        </w:rPr>
        <w:t xml:space="preserve"> as two </w:t>
      </w:r>
      <w:r w:rsidR="00946EBB" w:rsidRPr="00025B9C">
        <w:rPr>
          <w:rFonts w:asciiTheme="minorHAnsi" w:hAnsiTheme="minorHAnsi" w:cstheme="minorHAnsi"/>
        </w:rPr>
        <w:t>separate</w:t>
      </w:r>
      <w:r w:rsidR="00466C36" w:rsidRPr="00025B9C">
        <w:rPr>
          <w:rFonts w:asciiTheme="minorHAnsi" w:hAnsiTheme="minorHAnsi" w:cstheme="minorHAnsi"/>
        </w:rPr>
        <w:t xml:space="preserve"> </w:t>
      </w:r>
      <w:r w:rsidR="00431735" w:rsidRPr="00025B9C">
        <w:rPr>
          <w:rFonts w:asciiTheme="minorHAnsi" w:hAnsiTheme="minorHAnsi" w:cstheme="minorHAnsi"/>
        </w:rPr>
        <w:t xml:space="preserve">rhetorical </w:t>
      </w:r>
      <w:r w:rsidR="00466C36" w:rsidRPr="00025B9C">
        <w:rPr>
          <w:rFonts w:asciiTheme="minorHAnsi" w:hAnsiTheme="minorHAnsi" w:cstheme="minorHAnsi"/>
        </w:rPr>
        <w:t xml:space="preserve">strategies </w:t>
      </w:r>
      <w:r w:rsidR="00705FC7" w:rsidRPr="00025B9C">
        <w:rPr>
          <w:rFonts w:asciiTheme="minorHAnsi" w:hAnsiTheme="minorHAnsi" w:cstheme="minorHAnsi"/>
        </w:rPr>
        <w:t xml:space="preserve">in the literature (Jones </w:t>
      </w:r>
      <w:r w:rsidR="00DB0683" w:rsidRPr="00025B9C">
        <w:rPr>
          <w:rFonts w:asciiTheme="minorHAnsi" w:hAnsiTheme="minorHAnsi" w:cstheme="minorHAnsi"/>
        </w:rPr>
        <w:t>&amp;</w:t>
      </w:r>
      <w:r w:rsidR="00705FC7" w:rsidRPr="00025B9C">
        <w:rPr>
          <w:rFonts w:asciiTheme="minorHAnsi" w:hAnsiTheme="minorHAnsi" w:cstheme="minorHAnsi"/>
        </w:rPr>
        <w:t xml:space="preserve"> Pi</w:t>
      </w:r>
      <w:r w:rsidR="00D330EA" w:rsidRPr="00025B9C">
        <w:rPr>
          <w:rFonts w:asciiTheme="minorHAnsi" w:hAnsiTheme="minorHAnsi" w:cstheme="minorHAnsi"/>
        </w:rPr>
        <w:t>t</w:t>
      </w:r>
      <w:r w:rsidR="00705FC7" w:rsidRPr="00025B9C">
        <w:rPr>
          <w:rFonts w:asciiTheme="minorHAnsi" w:hAnsiTheme="minorHAnsi" w:cstheme="minorHAnsi"/>
        </w:rPr>
        <w:t xml:space="preserve">tman, 1982; </w:t>
      </w:r>
      <w:proofErr w:type="spellStart"/>
      <w:r w:rsidR="00705FC7" w:rsidRPr="00025B9C">
        <w:rPr>
          <w:rFonts w:asciiTheme="minorHAnsi" w:hAnsiTheme="minorHAnsi" w:cstheme="minorHAnsi"/>
        </w:rPr>
        <w:t>Bolino</w:t>
      </w:r>
      <w:proofErr w:type="spellEnd"/>
      <w:r w:rsidR="00705FC7" w:rsidRPr="00025B9C">
        <w:rPr>
          <w:rFonts w:asciiTheme="minorHAnsi" w:hAnsiTheme="minorHAnsi" w:cstheme="minorHAnsi"/>
        </w:rPr>
        <w:t xml:space="preserve"> </w:t>
      </w:r>
      <w:r w:rsidR="00DB0683" w:rsidRPr="00025B9C">
        <w:rPr>
          <w:rFonts w:asciiTheme="minorHAnsi" w:hAnsiTheme="minorHAnsi" w:cstheme="minorHAnsi"/>
        </w:rPr>
        <w:t>&amp;</w:t>
      </w:r>
      <w:r w:rsidR="00705FC7" w:rsidRPr="00025B9C">
        <w:rPr>
          <w:rFonts w:asciiTheme="minorHAnsi" w:hAnsiTheme="minorHAnsi" w:cstheme="minorHAnsi"/>
        </w:rPr>
        <w:t xml:space="preserve"> </w:t>
      </w:r>
      <w:proofErr w:type="spellStart"/>
      <w:r w:rsidR="00705FC7" w:rsidRPr="00025B9C">
        <w:rPr>
          <w:rFonts w:asciiTheme="minorHAnsi" w:hAnsiTheme="minorHAnsi" w:cstheme="minorHAnsi"/>
        </w:rPr>
        <w:t>Turnley</w:t>
      </w:r>
      <w:proofErr w:type="spellEnd"/>
      <w:r w:rsidR="00705FC7" w:rsidRPr="00025B9C">
        <w:rPr>
          <w:rFonts w:asciiTheme="minorHAnsi" w:hAnsiTheme="minorHAnsi" w:cstheme="minorHAnsi"/>
        </w:rPr>
        <w:t xml:space="preserve">; 2003; Ogden </w:t>
      </w:r>
      <w:r w:rsidR="00DB0683" w:rsidRPr="00025B9C">
        <w:rPr>
          <w:rFonts w:asciiTheme="minorHAnsi" w:hAnsiTheme="minorHAnsi" w:cstheme="minorHAnsi"/>
        </w:rPr>
        <w:t>&amp;</w:t>
      </w:r>
      <w:r w:rsidR="00705FC7" w:rsidRPr="00025B9C">
        <w:rPr>
          <w:rFonts w:asciiTheme="minorHAnsi" w:hAnsiTheme="minorHAnsi" w:cstheme="minorHAnsi"/>
        </w:rPr>
        <w:t xml:space="preserve"> Clarke, 2005) </w:t>
      </w:r>
      <w:r w:rsidR="00466C36" w:rsidRPr="00025B9C">
        <w:rPr>
          <w:rFonts w:asciiTheme="minorHAnsi" w:hAnsiTheme="minorHAnsi" w:cstheme="minorHAnsi"/>
        </w:rPr>
        <w:t>but for the purposes of this study it wo</w:t>
      </w:r>
      <w:r w:rsidR="00946EBB" w:rsidRPr="00025B9C">
        <w:rPr>
          <w:rFonts w:asciiTheme="minorHAnsi" w:hAnsiTheme="minorHAnsi" w:cstheme="minorHAnsi"/>
        </w:rPr>
        <w:t>uld be difficult to reliably distinguish</w:t>
      </w:r>
      <w:r w:rsidR="00705FC7" w:rsidRPr="00025B9C">
        <w:rPr>
          <w:rFonts w:asciiTheme="minorHAnsi" w:hAnsiTheme="minorHAnsi" w:cstheme="minorHAnsi"/>
        </w:rPr>
        <w:t xml:space="preserve"> </w:t>
      </w:r>
      <w:r w:rsidR="00466C36" w:rsidRPr="00025B9C">
        <w:rPr>
          <w:rFonts w:asciiTheme="minorHAnsi" w:hAnsiTheme="minorHAnsi" w:cstheme="minorHAnsi"/>
        </w:rPr>
        <w:t xml:space="preserve">between them. Self-promotion is where </w:t>
      </w:r>
      <w:r w:rsidR="00224EAB" w:rsidRPr="00025B9C">
        <w:rPr>
          <w:rFonts w:asciiTheme="minorHAnsi" w:hAnsiTheme="minorHAnsi" w:cstheme="minorHAnsi"/>
        </w:rPr>
        <w:t>individuals or organiz</w:t>
      </w:r>
      <w:r w:rsidR="00705FC7" w:rsidRPr="00025B9C">
        <w:rPr>
          <w:rFonts w:asciiTheme="minorHAnsi" w:hAnsiTheme="minorHAnsi" w:cstheme="minorHAnsi"/>
        </w:rPr>
        <w:t>ations try to promote themselves by claiming a level of competence. This</w:t>
      </w:r>
      <w:r w:rsidR="00026CED" w:rsidRPr="00025B9C">
        <w:rPr>
          <w:rFonts w:asciiTheme="minorHAnsi" w:hAnsiTheme="minorHAnsi" w:cstheme="minorHAnsi"/>
        </w:rPr>
        <w:t xml:space="preserve"> </w:t>
      </w:r>
      <w:r w:rsidR="00D345D3" w:rsidRPr="00025B9C">
        <w:rPr>
          <w:rFonts w:asciiTheme="minorHAnsi" w:hAnsiTheme="minorHAnsi" w:cstheme="minorHAnsi"/>
        </w:rPr>
        <w:t xml:space="preserve">is similar to </w:t>
      </w:r>
      <w:r w:rsidR="00705FC7" w:rsidRPr="00025B9C">
        <w:rPr>
          <w:rFonts w:asciiTheme="minorHAnsi" w:hAnsiTheme="minorHAnsi" w:cstheme="minorHAnsi"/>
        </w:rPr>
        <w:t>companies claim</w:t>
      </w:r>
      <w:r w:rsidR="00422507" w:rsidRPr="00025B9C">
        <w:rPr>
          <w:rFonts w:asciiTheme="minorHAnsi" w:hAnsiTheme="minorHAnsi" w:cstheme="minorHAnsi"/>
        </w:rPr>
        <w:t>ing</w:t>
      </w:r>
      <w:r w:rsidR="00996FBC" w:rsidRPr="00025B9C">
        <w:rPr>
          <w:rFonts w:asciiTheme="minorHAnsi" w:hAnsiTheme="minorHAnsi" w:cstheme="minorHAnsi"/>
        </w:rPr>
        <w:t xml:space="preserve"> that their </w:t>
      </w:r>
      <w:proofErr w:type="spellStart"/>
      <w:r w:rsidR="00996FBC" w:rsidRPr="00025B9C">
        <w:rPr>
          <w:rFonts w:asciiTheme="minorHAnsi" w:hAnsiTheme="minorHAnsi" w:cstheme="minorHAnsi"/>
        </w:rPr>
        <w:t>behavio</w:t>
      </w:r>
      <w:r w:rsidR="00705FC7" w:rsidRPr="00025B9C">
        <w:rPr>
          <w:rFonts w:asciiTheme="minorHAnsi" w:hAnsiTheme="minorHAnsi" w:cstheme="minorHAnsi"/>
        </w:rPr>
        <w:t>r</w:t>
      </w:r>
      <w:proofErr w:type="spellEnd"/>
      <w:r w:rsidR="00705FC7" w:rsidRPr="00025B9C">
        <w:rPr>
          <w:rFonts w:asciiTheme="minorHAnsi" w:hAnsiTheme="minorHAnsi" w:cstheme="minorHAnsi"/>
        </w:rPr>
        <w:t xml:space="preserve"> is an example to others (exemplification)</w:t>
      </w:r>
      <w:r w:rsidR="00B86758" w:rsidRPr="00025B9C">
        <w:rPr>
          <w:rFonts w:asciiTheme="minorHAnsi" w:hAnsiTheme="minorHAnsi" w:cstheme="minorHAnsi"/>
        </w:rPr>
        <w:t>.</w:t>
      </w:r>
      <w:r w:rsidR="005A6B6A" w:rsidRPr="00025B9C">
        <w:rPr>
          <w:rFonts w:asciiTheme="minorHAnsi" w:hAnsiTheme="minorHAnsi" w:cstheme="minorHAnsi"/>
        </w:rPr>
        <w:t xml:space="preserve"> A hypothetical example of self-promotion and exemplification might read: “Our company has been skilfu</w:t>
      </w:r>
      <w:r w:rsidR="00422507" w:rsidRPr="00025B9C">
        <w:rPr>
          <w:rFonts w:asciiTheme="minorHAnsi" w:hAnsiTheme="minorHAnsi" w:cstheme="minorHAnsi"/>
        </w:rPr>
        <w:t>l and rigorous in applying the C</w:t>
      </w:r>
      <w:r w:rsidR="005A6B6A" w:rsidRPr="00025B9C">
        <w:rPr>
          <w:rFonts w:asciiTheme="minorHAnsi" w:hAnsiTheme="minorHAnsi" w:cstheme="minorHAnsi"/>
        </w:rPr>
        <w:t>ode and meeting its objectives” or “The company has won an award for its governance procedures</w:t>
      </w:r>
      <w:r w:rsidR="00972A37" w:rsidRPr="00025B9C">
        <w:rPr>
          <w:rFonts w:asciiTheme="minorHAnsi" w:hAnsiTheme="minorHAnsi" w:cstheme="minorHAnsi"/>
        </w:rPr>
        <w:t>”.</w:t>
      </w:r>
      <w:r w:rsidR="00962D61" w:rsidRPr="00025B9C">
        <w:rPr>
          <w:rFonts w:asciiTheme="minorHAnsi" w:hAnsiTheme="minorHAnsi" w:cstheme="minorHAnsi"/>
        </w:rPr>
        <w:t xml:space="preserve"> </w:t>
      </w:r>
      <w:r w:rsidR="00463D79" w:rsidRPr="00025B9C">
        <w:rPr>
          <w:rFonts w:asciiTheme="minorHAnsi" w:hAnsiTheme="minorHAnsi" w:cstheme="minorHAnsi"/>
        </w:rPr>
        <w:t>The audience is thus directed away from any questio</w:t>
      </w:r>
      <w:r w:rsidR="00555535" w:rsidRPr="00025B9C">
        <w:rPr>
          <w:rFonts w:asciiTheme="minorHAnsi" w:hAnsiTheme="minorHAnsi" w:cstheme="minorHAnsi"/>
        </w:rPr>
        <w:t xml:space="preserve">ning of governance procedures. </w:t>
      </w:r>
      <w:r w:rsidR="00962D61" w:rsidRPr="00025B9C">
        <w:rPr>
          <w:rFonts w:asciiTheme="minorHAnsi" w:hAnsiTheme="minorHAnsi" w:cstheme="minorHAnsi"/>
        </w:rPr>
        <w:t xml:space="preserve">In Example </w:t>
      </w:r>
      <w:r w:rsidR="00570CF5" w:rsidRPr="00025B9C">
        <w:rPr>
          <w:rFonts w:asciiTheme="minorHAnsi" w:hAnsiTheme="minorHAnsi" w:cstheme="minorHAnsi"/>
        </w:rPr>
        <w:t>7</w:t>
      </w:r>
      <w:r w:rsidR="00E46AF8" w:rsidRPr="00025B9C">
        <w:rPr>
          <w:rFonts w:asciiTheme="minorHAnsi" w:hAnsiTheme="minorHAnsi" w:cstheme="minorHAnsi"/>
        </w:rPr>
        <w:t>,</w:t>
      </w:r>
      <w:r w:rsidR="004D4641" w:rsidRPr="00025B9C">
        <w:rPr>
          <w:rFonts w:asciiTheme="minorHAnsi" w:hAnsiTheme="minorHAnsi" w:cstheme="minorHAnsi"/>
        </w:rPr>
        <w:t xml:space="preserve"> despite not complying with the Code</w:t>
      </w:r>
      <w:r w:rsidR="00E46AF8" w:rsidRPr="00025B9C">
        <w:rPr>
          <w:rFonts w:asciiTheme="minorHAnsi" w:hAnsiTheme="minorHAnsi" w:cstheme="minorHAnsi"/>
        </w:rPr>
        <w:t>,</w:t>
      </w:r>
      <w:r w:rsidR="00E47A93" w:rsidRPr="00025B9C">
        <w:rPr>
          <w:rFonts w:asciiTheme="minorHAnsi" w:hAnsiTheme="minorHAnsi" w:cstheme="minorHAnsi"/>
        </w:rPr>
        <w:t xml:space="preserve"> the company</w:t>
      </w:r>
      <w:r w:rsidR="004D4641" w:rsidRPr="00025B9C">
        <w:rPr>
          <w:rFonts w:asciiTheme="minorHAnsi" w:hAnsiTheme="minorHAnsi" w:cstheme="minorHAnsi"/>
        </w:rPr>
        <w:t xml:space="preserve"> claim</w:t>
      </w:r>
      <w:r w:rsidR="00422507" w:rsidRPr="00025B9C">
        <w:rPr>
          <w:rFonts w:asciiTheme="minorHAnsi" w:hAnsiTheme="minorHAnsi" w:cstheme="minorHAnsi"/>
        </w:rPr>
        <w:t>s</w:t>
      </w:r>
      <w:r w:rsidR="004D4641" w:rsidRPr="00025B9C">
        <w:rPr>
          <w:rFonts w:asciiTheme="minorHAnsi" w:hAnsiTheme="minorHAnsi" w:cstheme="minorHAnsi"/>
        </w:rPr>
        <w:t xml:space="preserve"> a strong governance system is in place</w:t>
      </w:r>
      <w:r w:rsidR="006D1873" w:rsidRPr="00025B9C">
        <w:rPr>
          <w:rFonts w:asciiTheme="minorHAnsi" w:hAnsiTheme="minorHAnsi" w:cstheme="minorHAnsi"/>
        </w:rPr>
        <w:t>.</w:t>
      </w:r>
      <w:r w:rsidR="005A6B6A" w:rsidRPr="00025B9C">
        <w:rPr>
          <w:rFonts w:asciiTheme="minorHAnsi" w:hAnsiTheme="minorHAnsi" w:cstheme="minorHAnsi"/>
        </w:rPr>
        <w:t xml:space="preserve"> </w:t>
      </w:r>
    </w:p>
    <w:p w:rsidR="00422507" w:rsidRPr="00025B9C" w:rsidRDefault="00422507" w:rsidP="00D665D9">
      <w:pPr>
        <w:pStyle w:val="xl24"/>
        <w:pBdr>
          <w:bottom w:val="none" w:sz="0" w:space="0" w:color="auto"/>
        </w:pBdr>
        <w:spacing w:before="0" w:beforeAutospacing="0" w:after="0" w:afterAutospacing="0" w:line="360" w:lineRule="auto"/>
        <w:jc w:val="both"/>
        <w:rPr>
          <w:rFonts w:asciiTheme="minorHAnsi" w:hAnsiTheme="minorHAnsi" w:cstheme="minorHAnsi"/>
        </w:rPr>
      </w:pPr>
    </w:p>
    <w:p w:rsidR="00D31702" w:rsidRPr="00025B9C" w:rsidRDefault="00962D61"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570CF5" w:rsidRPr="00025B9C">
        <w:rPr>
          <w:rFonts w:asciiTheme="minorHAnsi" w:hAnsiTheme="minorHAnsi" w:cstheme="minorHAnsi"/>
          <w:b/>
          <w:sz w:val="20"/>
          <w:szCs w:val="20"/>
        </w:rPr>
        <w:t>7</w:t>
      </w:r>
      <w:r w:rsidR="00D31702" w:rsidRPr="00025B9C">
        <w:rPr>
          <w:rFonts w:asciiTheme="minorHAnsi" w:hAnsiTheme="minorHAnsi" w:cstheme="minorHAnsi"/>
          <w:b/>
          <w:sz w:val="20"/>
          <w:szCs w:val="20"/>
        </w:rPr>
        <w:t>: Self-promotion and exemplification</w:t>
      </w:r>
    </w:p>
    <w:p w:rsidR="005841F3" w:rsidRPr="00025B9C" w:rsidRDefault="004D4641" w:rsidP="00D665D9">
      <w:pPr>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The Board values </w:t>
      </w:r>
      <w:r w:rsidR="005841F3" w:rsidRPr="00025B9C">
        <w:rPr>
          <w:rFonts w:asciiTheme="minorHAnsi" w:hAnsiTheme="minorHAnsi" w:cstheme="minorHAnsi"/>
          <w:sz w:val="20"/>
          <w:szCs w:val="20"/>
        </w:rPr>
        <w:t>corporate governance highly and this is reflected in our governance principles, policies and practices and everyday working processes. This approach is backed by continuous improvement based on measurement against internal objectives, external audits and benchmarking and a rigorous approach to risk management.</w:t>
      </w:r>
    </w:p>
    <w:p w:rsidR="004D4641" w:rsidRPr="00025B9C" w:rsidRDefault="005841F3" w:rsidP="00D665D9">
      <w:pPr>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rPr>
        <w:t xml:space="preserve">Source: ARM </w:t>
      </w:r>
      <w:r w:rsidR="00E47A93" w:rsidRPr="00025B9C">
        <w:rPr>
          <w:rFonts w:asciiTheme="minorHAnsi" w:hAnsiTheme="minorHAnsi" w:cstheme="minorHAnsi"/>
          <w:sz w:val="20"/>
          <w:szCs w:val="20"/>
        </w:rPr>
        <w:t>Holdings p</w:t>
      </w:r>
      <w:r w:rsidRPr="00025B9C">
        <w:rPr>
          <w:rFonts w:asciiTheme="minorHAnsi" w:hAnsiTheme="minorHAnsi" w:cstheme="minorHAnsi"/>
          <w:sz w:val="20"/>
          <w:szCs w:val="20"/>
        </w:rPr>
        <w:t>lc annual report 2011, p.</w:t>
      </w:r>
      <w:r w:rsidR="00F914D3" w:rsidRPr="00025B9C">
        <w:rPr>
          <w:rFonts w:asciiTheme="minorHAnsi" w:hAnsiTheme="minorHAnsi" w:cstheme="minorHAnsi"/>
          <w:sz w:val="20"/>
          <w:szCs w:val="20"/>
        </w:rPr>
        <w:t xml:space="preserve"> </w:t>
      </w:r>
      <w:r w:rsidRPr="00025B9C">
        <w:rPr>
          <w:rFonts w:asciiTheme="minorHAnsi" w:hAnsiTheme="minorHAnsi" w:cstheme="minorHAnsi"/>
          <w:sz w:val="20"/>
          <w:szCs w:val="20"/>
        </w:rPr>
        <w:t xml:space="preserve">61. </w:t>
      </w:r>
    </w:p>
    <w:p w:rsidR="00240A2E" w:rsidRPr="00025B9C" w:rsidRDefault="00240A2E" w:rsidP="00D665D9">
      <w:pPr>
        <w:spacing w:line="480" w:lineRule="auto"/>
        <w:jc w:val="both"/>
        <w:rPr>
          <w:rFonts w:asciiTheme="minorHAnsi" w:hAnsiTheme="minorHAnsi" w:cstheme="minorHAnsi"/>
        </w:rPr>
      </w:pPr>
    </w:p>
    <w:p w:rsidR="004932BF" w:rsidRPr="00025B9C" w:rsidRDefault="001D7078" w:rsidP="00D665D9">
      <w:pPr>
        <w:spacing w:line="360" w:lineRule="auto"/>
        <w:jc w:val="both"/>
        <w:rPr>
          <w:rFonts w:asciiTheme="minorHAnsi" w:hAnsiTheme="minorHAnsi" w:cstheme="minorHAnsi"/>
        </w:rPr>
      </w:pPr>
      <w:r w:rsidRPr="00025B9C">
        <w:rPr>
          <w:rFonts w:asciiTheme="minorHAnsi" w:hAnsiTheme="minorHAnsi" w:cstheme="minorHAnsi"/>
        </w:rPr>
        <w:t xml:space="preserve">The non-compliance is described as </w:t>
      </w:r>
      <w:r w:rsidR="00565610" w:rsidRPr="00025B9C">
        <w:rPr>
          <w:rFonts w:asciiTheme="minorHAnsi" w:hAnsiTheme="minorHAnsi" w:cstheme="minorHAnsi"/>
        </w:rPr>
        <w:t>“</w:t>
      </w:r>
      <w:r w:rsidRPr="00025B9C">
        <w:rPr>
          <w:rFonts w:asciiTheme="minorHAnsi" w:hAnsiTheme="minorHAnsi" w:cstheme="minorHAnsi"/>
        </w:rPr>
        <w:t>minor</w:t>
      </w:r>
      <w:r w:rsidR="00565610" w:rsidRPr="00025B9C">
        <w:rPr>
          <w:rFonts w:asciiTheme="minorHAnsi" w:hAnsiTheme="minorHAnsi" w:cstheme="minorHAnsi"/>
        </w:rPr>
        <w:t>”</w:t>
      </w:r>
      <w:r w:rsidRPr="00025B9C">
        <w:rPr>
          <w:rFonts w:asciiTheme="minorHAnsi" w:hAnsiTheme="minorHAnsi" w:cstheme="minorHAnsi"/>
        </w:rPr>
        <w:t xml:space="preserve"> (</w:t>
      </w:r>
      <w:r w:rsidR="007A1D49" w:rsidRPr="00025B9C">
        <w:rPr>
          <w:rFonts w:asciiTheme="minorHAnsi" w:hAnsiTheme="minorHAnsi" w:cstheme="minorHAnsi"/>
        </w:rPr>
        <w:t xml:space="preserve">in </w:t>
      </w:r>
      <w:r w:rsidR="00D404FA" w:rsidRPr="00025B9C">
        <w:rPr>
          <w:rFonts w:asciiTheme="minorHAnsi" w:hAnsiTheme="minorHAnsi" w:cstheme="minorHAnsi"/>
        </w:rPr>
        <w:t>Example 3 earlier</w:t>
      </w:r>
      <w:r w:rsidRPr="00025B9C">
        <w:rPr>
          <w:rFonts w:asciiTheme="minorHAnsi" w:hAnsiTheme="minorHAnsi" w:cstheme="minorHAnsi"/>
          <w:lang w:val="en-IE"/>
        </w:rPr>
        <w:t>)</w:t>
      </w:r>
      <w:r w:rsidRPr="00025B9C">
        <w:rPr>
          <w:rFonts w:asciiTheme="minorHAnsi" w:hAnsiTheme="minorHAnsi" w:cstheme="minorHAnsi"/>
        </w:rPr>
        <w:t xml:space="preserve">. </w:t>
      </w:r>
      <w:r w:rsidR="00CC07BB" w:rsidRPr="00025B9C">
        <w:rPr>
          <w:rFonts w:asciiTheme="minorHAnsi" w:hAnsiTheme="minorHAnsi" w:cstheme="minorHAnsi"/>
        </w:rPr>
        <w:t>The explanation for non-compliance is provided five pages later (p. 66) comprising a</w:t>
      </w:r>
      <w:r w:rsidRPr="00025B9C">
        <w:rPr>
          <w:rFonts w:asciiTheme="minorHAnsi" w:hAnsiTheme="minorHAnsi" w:cstheme="minorHAnsi"/>
        </w:rPr>
        <w:t xml:space="preserve"> breach of </w:t>
      </w:r>
      <w:r w:rsidR="00CC07BB" w:rsidRPr="00025B9C">
        <w:rPr>
          <w:rFonts w:asciiTheme="minorHAnsi" w:hAnsiTheme="minorHAnsi" w:cstheme="minorHAnsi"/>
        </w:rPr>
        <w:t xml:space="preserve">the requirement for a majority independent </w:t>
      </w:r>
      <w:r w:rsidRPr="00025B9C">
        <w:rPr>
          <w:rFonts w:asciiTheme="minorHAnsi" w:hAnsiTheme="minorHAnsi" w:cstheme="minorHAnsi"/>
        </w:rPr>
        <w:t>board (</w:t>
      </w:r>
      <w:r w:rsidR="00D404FA" w:rsidRPr="00025B9C">
        <w:rPr>
          <w:rFonts w:asciiTheme="minorHAnsi" w:hAnsiTheme="minorHAnsi" w:cstheme="minorHAnsi"/>
        </w:rPr>
        <w:t>A</w:t>
      </w:r>
      <w:r w:rsidR="00107C93" w:rsidRPr="00025B9C">
        <w:rPr>
          <w:rFonts w:asciiTheme="minorHAnsi" w:hAnsiTheme="minorHAnsi" w:cstheme="minorHAnsi"/>
        </w:rPr>
        <w:t>RM</w:t>
      </w:r>
      <w:r w:rsidR="00D404FA" w:rsidRPr="00025B9C">
        <w:rPr>
          <w:rFonts w:asciiTheme="minorHAnsi" w:hAnsiTheme="minorHAnsi" w:cstheme="minorHAnsi"/>
        </w:rPr>
        <w:t xml:space="preserve"> Holdings plc had</w:t>
      </w:r>
      <w:r w:rsidR="00D63131" w:rsidRPr="00025B9C">
        <w:rPr>
          <w:rFonts w:asciiTheme="minorHAnsi" w:hAnsiTheme="minorHAnsi" w:cstheme="minorHAnsi"/>
        </w:rPr>
        <w:t>,</w:t>
      </w:r>
      <w:r w:rsidR="00D404FA" w:rsidRPr="00025B9C">
        <w:rPr>
          <w:rFonts w:asciiTheme="minorHAnsi" w:hAnsiTheme="minorHAnsi" w:cstheme="minorHAnsi"/>
        </w:rPr>
        <w:t xml:space="preserve"> for a period of time</w:t>
      </w:r>
      <w:r w:rsidR="00D63131" w:rsidRPr="00025B9C">
        <w:rPr>
          <w:rFonts w:asciiTheme="minorHAnsi" w:hAnsiTheme="minorHAnsi" w:cstheme="minorHAnsi"/>
        </w:rPr>
        <w:t>,</w:t>
      </w:r>
      <w:r w:rsidR="00D404FA" w:rsidRPr="00025B9C">
        <w:rPr>
          <w:rFonts w:asciiTheme="minorHAnsi" w:hAnsiTheme="minorHAnsi" w:cstheme="minorHAnsi"/>
        </w:rPr>
        <w:t xml:space="preserve"> </w:t>
      </w:r>
      <w:r w:rsidRPr="00025B9C">
        <w:rPr>
          <w:rFonts w:asciiTheme="minorHAnsi" w:hAnsiTheme="minorHAnsi" w:cstheme="minorHAnsi"/>
        </w:rPr>
        <w:t>four non-executive directors and six executive director</w:t>
      </w:r>
      <w:r w:rsidR="00CC07BB" w:rsidRPr="00025B9C">
        <w:rPr>
          <w:rFonts w:asciiTheme="minorHAnsi" w:hAnsiTheme="minorHAnsi" w:cstheme="minorHAnsi"/>
        </w:rPr>
        <w:t xml:space="preserve">s). Others might consider such a breach to be fundamental rather than </w:t>
      </w:r>
      <w:r w:rsidR="00565610" w:rsidRPr="00025B9C">
        <w:rPr>
          <w:rFonts w:asciiTheme="minorHAnsi" w:hAnsiTheme="minorHAnsi" w:cstheme="minorHAnsi"/>
        </w:rPr>
        <w:t>“</w:t>
      </w:r>
      <w:r w:rsidR="00CC07BB" w:rsidRPr="00025B9C">
        <w:rPr>
          <w:rFonts w:asciiTheme="minorHAnsi" w:hAnsiTheme="minorHAnsi" w:cstheme="minorHAnsi"/>
        </w:rPr>
        <w:t>minor</w:t>
      </w:r>
      <w:r w:rsidR="00972A37" w:rsidRPr="00025B9C">
        <w:rPr>
          <w:rFonts w:asciiTheme="minorHAnsi" w:hAnsiTheme="minorHAnsi" w:cstheme="minorHAnsi"/>
        </w:rPr>
        <w:t>”.</w:t>
      </w:r>
      <w:r w:rsidR="00CC07BB" w:rsidRPr="00025B9C">
        <w:rPr>
          <w:rFonts w:asciiTheme="minorHAnsi" w:hAnsiTheme="minorHAnsi" w:cstheme="minorHAnsi"/>
        </w:rPr>
        <w:t xml:space="preserve"> Also, the breach arose when a non-executive director ha</w:t>
      </w:r>
      <w:r w:rsidR="00285A25" w:rsidRPr="00025B9C">
        <w:rPr>
          <w:rFonts w:asciiTheme="minorHAnsi" w:hAnsiTheme="minorHAnsi" w:cstheme="minorHAnsi"/>
        </w:rPr>
        <w:t>d</w:t>
      </w:r>
      <w:r w:rsidR="00CC07BB" w:rsidRPr="00025B9C">
        <w:rPr>
          <w:rFonts w:asciiTheme="minorHAnsi" w:hAnsiTheme="minorHAnsi" w:cstheme="minorHAnsi"/>
        </w:rPr>
        <w:t xml:space="preserve"> completed nine years’ service, not exactly </w:t>
      </w:r>
      <w:r w:rsidR="00520034" w:rsidRPr="00025B9C">
        <w:rPr>
          <w:rFonts w:asciiTheme="minorHAnsi" w:hAnsiTheme="minorHAnsi" w:cstheme="minorHAnsi"/>
        </w:rPr>
        <w:t xml:space="preserve">a circumstance that was sudden; </w:t>
      </w:r>
      <w:r w:rsidR="00CC07BB" w:rsidRPr="00025B9C">
        <w:rPr>
          <w:rFonts w:asciiTheme="minorHAnsi" w:hAnsiTheme="minorHAnsi" w:cstheme="minorHAnsi"/>
        </w:rPr>
        <w:t xml:space="preserve">that could not have been anticipated. </w:t>
      </w:r>
      <w:r w:rsidR="00D63131" w:rsidRPr="00025B9C">
        <w:rPr>
          <w:rFonts w:asciiTheme="minorHAnsi" w:hAnsiTheme="minorHAnsi" w:cstheme="minorHAnsi"/>
        </w:rPr>
        <w:t>Under the Code</w:t>
      </w:r>
      <w:r w:rsidR="00946EBB" w:rsidRPr="00025B9C">
        <w:rPr>
          <w:rFonts w:asciiTheme="minorHAnsi" w:hAnsiTheme="minorHAnsi" w:cstheme="minorHAnsi"/>
        </w:rPr>
        <w:t>,</w:t>
      </w:r>
      <w:r w:rsidR="00D63131" w:rsidRPr="00025B9C">
        <w:rPr>
          <w:rFonts w:asciiTheme="minorHAnsi" w:hAnsiTheme="minorHAnsi" w:cstheme="minorHAnsi"/>
        </w:rPr>
        <w:t xml:space="preserve"> terms beyond six years should be treated to a particularly rigorous review. </w:t>
      </w:r>
      <w:r w:rsidR="004932BF" w:rsidRPr="00025B9C">
        <w:rPr>
          <w:rFonts w:asciiTheme="minorHAnsi" w:hAnsiTheme="minorHAnsi" w:cstheme="minorHAnsi"/>
        </w:rPr>
        <w:t xml:space="preserve">Non-compliance is </w:t>
      </w:r>
      <w:r w:rsidR="004401A4" w:rsidRPr="00025B9C">
        <w:rPr>
          <w:rFonts w:asciiTheme="minorHAnsi" w:hAnsiTheme="minorHAnsi" w:cstheme="minorHAnsi"/>
        </w:rPr>
        <w:t xml:space="preserve">certainly </w:t>
      </w:r>
      <w:r w:rsidR="004932BF" w:rsidRPr="00025B9C">
        <w:rPr>
          <w:rFonts w:asciiTheme="minorHAnsi" w:hAnsiTheme="minorHAnsi" w:cstheme="minorHAnsi"/>
        </w:rPr>
        <w:t xml:space="preserve">consistent with a strong governance system </w:t>
      </w:r>
      <w:r w:rsidR="00E63D81" w:rsidRPr="00025B9C">
        <w:rPr>
          <w:rFonts w:asciiTheme="minorHAnsi" w:hAnsiTheme="minorHAnsi" w:cstheme="minorHAnsi"/>
        </w:rPr>
        <w:t xml:space="preserve">but </w:t>
      </w:r>
      <w:r w:rsidR="00CC07BB" w:rsidRPr="00025B9C">
        <w:rPr>
          <w:rFonts w:asciiTheme="minorHAnsi" w:hAnsiTheme="minorHAnsi" w:cstheme="minorHAnsi"/>
        </w:rPr>
        <w:t xml:space="preserve">the </w:t>
      </w:r>
      <w:r w:rsidR="00821375" w:rsidRPr="00025B9C">
        <w:rPr>
          <w:rFonts w:asciiTheme="minorHAnsi" w:hAnsiTheme="minorHAnsi" w:cstheme="minorHAnsi"/>
        </w:rPr>
        <w:t xml:space="preserve">self-promotion </w:t>
      </w:r>
      <w:r w:rsidR="00CC07BB" w:rsidRPr="00025B9C">
        <w:rPr>
          <w:rFonts w:asciiTheme="minorHAnsi" w:hAnsiTheme="minorHAnsi" w:cstheme="minorHAnsi"/>
        </w:rPr>
        <w:t xml:space="preserve">rhetoric on page 61 of ARM Holdings plc’s annual report </w:t>
      </w:r>
      <w:r w:rsidR="00946EBB" w:rsidRPr="00025B9C">
        <w:rPr>
          <w:rFonts w:asciiTheme="minorHAnsi" w:hAnsiTheme="minorHAnsi" w:cstheme="minorHAnsi"/>
        </w:rPr>
        <w:t xml:space="preserve">(Example 7) </w:t>
      </w:r>
      <w:r w:rsidR="00821375" w:rsidRPr="00025B9C">
        <w:rPr>
          <w:rFonts w:asciiTheme="minorHAnsi" w:hAnsiTheme="minorHAnsi" w:cstheme="minorHAnsi"/>
        </w:rPr>
        <w:t xml:space="preserve">appears to be </w:t>
      </w:r>
      <w:r w:rsidR="00CC07BB" w:rsidRPr="00025B9C">
        <w:rPr>
          <w:rFonts w:asciiTheme="minorHAnsi" w:hAnsiTheme="minorHAnsi" w:cstheme="minorHAnsi"/>
        </w:rPr>
        <w:t>inconsistent with the explanation on page 66</w:t>
      </w:r>
      <w:r w:rsidR="00821375" w:rsidRPr="00025B9C">
        <w:rPr>
          <w:rFonts w:asciiTheme="minorHAnsi" w:hAnsiTheme="minorHAnsi" w:cstheme="minorHAnsi"/>
        </w:rPr>
        <w:t xml:space="preserve">. </w:t>
      </w:r>
      <w:r w:rsidR="00463D79" w:rsidRPr="00025B9C">
        <w:rPr>
          <w:rFonts w:asciiTheme="minorHAnsi" w:hAnsiTheme="minorHAnsi" w:cstheme="minorHAnsi"/>
        </w:rPr>
        <w:t>It is this inconsistency that the audience needs to become aware of because it raises questions about the legitimacy of the explanation and hence the company’s corporate governance system.</w:t>
      </w:r>
    </w:p>
    <w:p w:rsidR="008A39AA" w:rsidRPr="00025B9C" w:rsidRDefault="004932BF" w:rsidP="00D665D9">
      <w:pPr>
        <w:spacing w:line="360" w:lineRule="auto"/>
        <w:jc w:val="both"/>
        <w:rPr>
          <w:rFonts w:asciiTheme="minorHAnsi" w:hAnsiTheme="minorHAnsi" w:cstheme="minorHAnsi"/>
        </w:rPr>
      </w:pPr>
      <w:r w:rsidRPr="00025B9C">
        <w:rPr>
          <w:rFonts w:asciiTheme="minorHAnsi" w:hAnsiTheme="minorHAnsi" w:cstheme="minorHAnsi"/>
        </w:rPr>
        <w:t xml:space="preserve"> </w:t>
      </w:r>
    </w:p>
    <w:p w:rsidR="00705FC7" w:rsidRPr="00025B9C" w:rsidRDefault="00570CF5" w:rsidP="00171300">
      <w:pPr>
        <w:keepNext/>
        <w:spacing w:line="360" w:lineRule="auto"/>
        <w:jc w:val="both"/>
        <w:rPr>
          <w:rFonts w:asciiTheme="minorHAnsi" w:hAnsiTheme="minorHAnsi" w:cstheme="minorHAnsi"/>
          <w:u w:val="single"/>
        </w:rPr>
      </w:pPr>
      <w:r w:rsidRPr="00025B9C">
        <w:rPr>
          <w:rFonts w:asciiTheme="minorHAnsi" w:hAnsiTheme="minorHAnsi" w:cstheme="minorHAnsi"/>
          <w:u w:val="single"/>
        </w:rPr>
        <w:t>8</w:t>
      </w:r>
      <w:r w:rsidR="00DC0BB5" w:rsidRPr="00025B9C">
        <w:rPr>
          <w:rFonts w:asciiTheme="minorHAnsi" w:hAnsiTheme="minorHAnsi" w:cstheme="minorHAnsi"/>
          <w:u w:val="single"/>
        </w:rPr>
        <w:t xml:space="preserve">. </w:t>
      </w:r>
      <w:r w:rsidR="00954C36" w:rsidRPr="00025B9C">
        <w:rPr>
          <w:rFonts w:asciiTheme="minorHAnsi" w:hAnsiTheme="minorHAnsi" w:cstheme="minorHAnsi"/>
          <w:u w:val="single"/>
        </w:rPr>
        <w:t>Intimidation/c</w:t>
      </w:r>
      <w:r w:rsidR="00705FC7" w:rsidRPr="00025B9C">
        <w:rPr>
          <w:rFonts w:asciiTheme="minorHAnsi" w:hAnsiTheme="minorHAnsi" w:cstheme="minorHAnsi"/>
          <w:u w:val="single"/>
        </w:rPr>
        <w:t>hallenge</w:t>
      </w:r>
    </w:p>
    <w:p w:rsidR="00526C65" w:rsidRPr="00025B9C" w:rsidRDefault="00883B64" w:rsidP="00171300">
      <w:pPr>
        <w:keepNext/>
        <w:spacing w:line="360" w:lineRule="auto"/>
        <w:jc w:val="both"/>
        <w:rPr>
          <w:rFonts w:asciiTheme="minorHAnsi" w:hAnsiTheme="minorHAnsi" w:cstheme="minorHAnsi"/>
        </w:rPr>
      </w:pPr>
      <w:r w:rsidRPr="00025B9C">
        <w:rPr>
          <w:rFonts w:asciiTheme="minorHAnsi" w:hAnsiTheme="minorHAnsi" w:cstheme="minorHAnsi"/>
        </w:rPr>
        <w:t>W</w:t>
      </w:r>
      <w:r w:rsidR="00026CED" w:rsidRPr="00025B9C">
        <w:rPr>
          <w:rFonts w:asciiTheme="minorHAnsi" w:hAnsiTheme="minorHAnsi" w:cstheme="minorHAnsi"/>
        </w:rPr>
        <w:t>hen writing about</w:t>
      </w:r>
      <w:r w:rsidR="00240A2E" w:rsidRPr="00025B9C">
        <w:rPr>
          <w:rFonts w:asciiTheme="minorHAnsi" w:hAnsiTheme="minorHAnsi" w:cstheme="minorHAnsi"/>
        </w:rPr>
        <w:t xml:space="preserve"> defiance</w:t>
      </w:r>
      <w:r w:rsidR="00026CED" w:rsidRPr="00025B9C">
        <w:rPr>
          <w:rFonts w:asciiTheme="minorHAnsi" w:hAnsiTheme="minorHAnsi" w:cstheme="minorHAnsi"/>
        </w:rPr>
        <w:t>,</w:t>
      </w:r>
      <w:r w:rsidR="00240A2E" w:rsidRPr="00025B9C">
        <w:rPr>
          <w:rFonts w:asciiTheme="minorHAnsi" w:hAnsiTheme="minorHAnsi" w:cstheme="minorHAnsi"/>
        </w:rPr>
        <w:t xml:space="preserve"> </w:t>
      </w:r>
      <w:r w:rsidRPr="00025B9C">
        <w:rPr>
          <w:rFonts w:asciiTheme="minorHAnsi" w:hAnsiTheme="minorHAnsi" w:cstheme="minorHAnsi"/>
        </w:rPr>
        <w:t xml:space="preserve">Oliver (1991) </w:t>
      </w:r>
      <w:r w:rsidR="00240A2E" w:rsidRPr="00025B9C">
        <w:rPr>
          <w:rFonts w:asciiTheme="minorHAnsi" w:hAnsiTheme="minorHAnsi" w:cstheme="minorHAnsi"/>
        </w:rPr>
        <w:t>id</w:t>
      </w:r>
      <w:r w:rsidR="00946EBB" w:rsidRPr="00025B9C">
        <w:rPr>
          <w:rFonts w:asciiTheme="minorHAnsi" w:hAnsiTheme="minorHAnsi" w:cstheme="minorHAnsi"/>
        </w:rPr>
        <w:t>entifies</w:t>
      </w:r>
      <w:r w:rsidR="00240A2E" w:rsidRPr="00025B9C">
        <w:rPr>
          <w:rFonts w:asciiTheme="minorHAnsi" w:hAnsiTheme="minorHAnsi" w:cstheme="minorHAnsi"/>
        </w:rPr>
        <w:t xml:space="preserve"> the strategies of challenge and attack. Challenge could be where companies challenge the basic premise of the Code or individual principles or individual Code </w:t>
      </w:r>
      <w:r w:rsidR="00422507" w:rsidRPr="00025B9C">
        <w:rPr>
          <w:rFonts w:asciiTheme="minorHAnsi" w:hAnsiTheme="minorHAnsi" w:cstheme="minorHAnsi"/>
        </w:rPr>
        <w:t>provision</w:t>
      </w:r>
      <w:r w:rsidR="00422507" w:rsidRPr="00025B9C">
        <w:rPr>
          <w:rFonts w:asciiTheme="minorHAnsi" w:hAnsiTheme="minorHAnsi" w:cstheme="minorHAnsi"/>
          <w:lang w:val="en-IE"/>
        </w:rPr>
        <w:t>s</w:t>
      </w:r>
      <w:r w:rsidR="00026CED" w:rsidRPr="00025B9C">
        <w:rPr>
          <w:rFonts w:asciiTheme="minorHAnsi" w:hAnsiTheme="minorHAnsi" w:cstheme="minorHAnsi"/>
        </w:rPr>
        <w:t>.</w:t>
      </w:r>
      <w:r w:rsidR="00240A2E" w:rsidRPr="00025B9C">
        <w:rPr>
          <w:rFonts w:asciiTheme="minorHAnsi" w:hAnsiTheme="minorHAnsi" w:cstheme="minorHAnsi"/>
        </w:rPr>
        <w:t xml:space="preserve"> </w:t>
      </w:r>
      <w:r w:rsidR="00026CED" w:rsidRPr="00025B9C">
        <w:rPr>
          <w:rFonts w:asciiTheme="minorHAnsi" w:hAnsiTheme="minorHAnsi" w:cstheme="minorHAnsi"/>
        </w:rPr>
        <w:t>I</w:t>
      </w:r>
      <w:r w:rsidR="00240A2E" w:rsidRPr="00025B9C">
        <w:rPr>
          <w:rFonts w:asciiTheme="minorHAnsi" w:hAnsiTheme="minorHAnsi" w:cstheme="minorHAnsi"/>
        </w:rPr>
        <w:t>n contrast</w:t>
      </w:r>
      <w:r w:rsidR="00026CED" w:rsidRPr="00025B9C">
        <w:rPr>
          <w:rFonts w:asciiTheme="minorHAnsi" w:hAnsiTheme="minorHAnsi" w:cstheme="minorHAnsi"/>
        </w:rPr>
        <w:t>,</w:t>
      </w:r>
      <w:r w:rsidR="00240A2E" w:rsidRPr="00025B9C">
        <w:rPr>
          <w:rFonts w:asciiTheme="minorHAnsi" w:hAnsiTheme="minorHAnsi" w:cstheme="minorHAnsi"/>
        </w:rPr>
        <w:t xml:space="preserve"> </w:t>
      </w:r>
      <w:r w:rsidR="00026CED" w:rsidRPr="00025B9C">
        <w:rPr>
          <w:rFonts w:asciiTheme="minorHAnsi" w:hAnsiTheme="minorHAnsi" w:cstheme="minorHAnsi"/>
        </w:rPr>
        <w:t xml:space="preserve">attack </w:t>
      </w:r>
      <w:r w:rsidR="00240A2E" w:rsidRPr="00025B9C">
        <w:rPr>
          <w:rFonts w:asciiTheme="minorHAnsi" w:hAnsiTheme="minorHAnsi" w:cstheme="minorHAnsi"/>
        </w:rPr>
        <w:t>would be more aggressive and may involve belittling or denouncing the Code</w:t>
      </w:r>
      <w:r w:rsidR="00566844" w:rsidRPr="00025B9C">
        <w:rPr>
          <w:rFonts w:asciiTheme="minorHAnsi" w:hAnsiTheme="minorHAnsi" w:cstheme="minorHAnsi"/>
        </w:rPr>
        <w:t xml:space="preserve">. Challenge might be particularly </w:t>
      </w:r>
      <w:r w:rsidR="007B2B02" w:rsidRPr="00025B9C">
        <w:rPr>
          <w:rFonts w:asciiTheme="minorHAnsi" w:hAnsiTheme="minorHAnsi" w:cstheme="minorHAnsi"/>
        </w:rPr>
        <w:t xml:space="preserve">powerful as </w:t>
      </w:r>
      <w:r w:rsidR="007C0659" w:rsidRPr="00025B9C">
        <w:rPr>
          <w:rFonts w:asciiTheme="minorHAnsi" w:hAnsiTheme="minorHAnsi" w:cstheme="minorHAnsi"/>
        </w:rPr>
        <w:t>a</w:t>
      </w:r>
      <w:r w:rsidR="007B2B02" w:rsidRPr="00025B9C">
        <w:rPr>
          <w:rFonts w:asciiTheme="minorHAnsi" w:hAnsiTheme="minorHAnsi" w:cstheme="minorHAnsi"/>
        </w:rPr>
        <w:t xml:space="preserve"> </w:t>
      </w:r>
      <w:r w:rsidR="00845046" w:rsidRPr="00025B9C">
        <w:rPr>
          <w:rFonts w:asciiTheme="minorHAnsi" w:hAnsiTheme="minorHAnsi" w:cstheme="minorHAnsi"/>
        </w:rPr>
        <w:t xml:space="preserve">rhetorical </w:t>
      </w:r>
      <w:r w:rsidR="007B2B02" w:rsidRPr="00025B9C">
        <w:rPr>
          <w:rFonts w:asciiTheme="minorHAnsi" w:hAnsiTheme="minorHAnsi" w:cstheme="minorHAnsi"/>
        </w:rPr>
        <w:t xml:space="preserve">strategy when combined with transcendence </w:t>
      </w:r>
      <w:r w:rsidR="00946EBB" w:rsidRPr="00025B9C">
        <w:rPr>
          <w:rFonts w:asciiTheme="minorHAnsi" w:hAnsiTheme="minorHAnsi" w:cstheme="minorHAnsi"/>
        </w:rPr>
        <w:t>(</w:t>
      </w:r>
      <w:r w:rsidR="00257FC3" w:rsidRPr="00025B9C">
        <w:rPr>
          <w:rFonts w:asciiTheme="minorHAnsi" w:hAnsiTheme="minorHAnsi" w:cstheme="minorHAnsi"/>
        </w:rPr>
        <w:t>“</w:t>
      </w:r>
      <w:r w:rsidR="00946EBB" w:rsidRPr="00025B9C">
        <w:rPr>
          <w:rFonts w:asciiTheme="minorHAnsi" w:hAnsiTheme="minorHAnsi" w:cstheme="minorHAnsi"/>
        </w:rPr>
        <w:t>ends justify the means</w:t>
      </w:r>
      <w:r w:rsidR="00257FC3" w:rsidRPr="00025B9C">
        <w:rPr>
          <w:rFonts w:asciiTheme="minorHAnsi" w:hAnsiTheme="minorHAnsi" w:cstheme="minorHAnsi"/>
        </w:rPr>
        <w:t>”</w:t>
      </w:r>
      <w:r w:rsidR="00B62CB4" w:rsidRPr="00025B9C">
        <w:rPr>
          <w:rFonts w:asciiTheme="minorHAnsi" w:hAnsiTheme="minorHAnsi" w:cstheme="minorHAnsi"/>
        </w:rPr>
        <w:t xml:space="preserve"> </w:t>
      </w:r>
      <w:r w:rsidR="000C55F5" w:rsidRPr="00025B9C">
        <w:rPr>
          <w:rFonts w:asciiTheme="minorHAnsi" w:hAnsiTheme="minorHAnsi" w:cstheme="minorHAnsi"/>
        </w:rPr>
        <w:t>–</w:t>
      </w:r>
      <w:r w:rsidR="00B62CB4" w:rsidRPr="00025B9C">
        <w:rPr>
          <w:rFonts w:asciiTheme="minorHAnsi" w:hAnsiTheme="minorHAnsi" w:cstheme="minorHAnsi"/>
        </w:rPr>
        <w:t xml:space="preserve"> </w:t>
      </w:r>
      <w:r w:rsidR="000E5654" w:rsidRPr="00025B9C">
        <w:rPr>
          <w:rFonts w:asciiTheme="minorHAnsi" w:hAnsiTheme="minorHAnsi" w:cstheme="minorHAnsi"/>
          <w:szCs w:val="22"/>
        </w:rPr>
        <w:t>rhetorical strategy</w:t>
      </w:r>
      <w:r w:rsidR="003433CF" w:rsidRPr="00025B9C">
        <w:rPr>
          <w:rFonts w:asciiTheme="minorHAnsi" w:hAnsiTheme="minorHAnsi" w:cstheme="minorHAnsi"/>
        </w:rPr>
        <w:t xml:space="preserve"> 4</w:t>
      </w:r>
      <w:r w:rsidR="007B2B02" w:rsidRPr="00025B9C">
        <w:rPr>
          <w:rFonts w:asciiTheme="minorHAnsi" w:hAnsiTheme="minorHAnsi" w:cstheme="minorHAnsi"/>
        </w:rPr>
        <w:t>)</w:t>
      </w:r>
      <w:r w:rsidR="00240A2E" w:rsidRPr="00025B9C">
        <w:rPr>
          <w:rFonts w:asciiTheme="minorHAnsi" w:hAnsiTheme="minorHAnsi" w:cstheme="minorHAnsi"/>
        </w:rPr>
        <w:t>.</w:t>
      </w:r>
      <w:r w:rsidR="008B560B" w:rsidRPr="00025B9C">
        <w:rPr>
          <w:rFonts w:asciiTheme="minorHAnsi" w:hAnsiTheme="minorHAnsi" w:cstheme="minorHAnsi"/>
        </w:rPr>
        <w:t xml:space="preserve"> In that way</w:t>
      </w:r>
      <w:r w:rsidR="00026CED" w:rsidRPr="00025B9C">
        <w:rPr>
          <w:rFonts w:asciiTheme="minorHAnsi" w:hAnsiTheme="minorHAnsi" w:cstheme="minorHAnsi"/>
        </w:rPr>
        <w:t>,</w:t>
      </w:r>
      <w:r w:rsidR="008B560B" w:rsidRPr="00025B9C">
        <w:rPr>
          <w:rFonts w:asciiTheme="minorHAnsi" w:hAnsiTheme="minorHAnsi" w:cstheme="minorHAnsi"/>
        </w:rPr>
        <w:t xml:space="preserve"> any “negative repercussions” of non-compliance can be removed by references to “higher goals”</w:t>
      </w:r>
      <w:r w:rsidR="00240A2E" w:rsidRPr="00025B9C">
        <w:rPr>
          <w:rFonts w:asciiTheme="minorHAnsi" w:hAnsiTheme="minorHAnsi" w:cstheme="minorHAnsi"/>
        </w:rPr>
        <w:t xml:space="preserve"> </w:t>
      </w:r>
      <w:r w:rsidR="008B560B" w:rsidRPr="00025B9C">
        <w:rPr>
          <w:rFonts w:asciiTheme="minorHAnsi" w:hAnsiTheme="minorHAnsi" w:cstheme="minorHAnsi"/>
        </w:rPr>
        <w:t>(</w:t>
      </w:r>
      <w:proofErr w:type="spellStart"/>
      <w:r w:rsidR="008B560B" w:rsidRPr="00025B9C">
        <w:rPr>
          <w:rFonts w:asciiTheme="minorHAnsi" w:hAnsiTheme="minorHAnsi" w:cstheme="minorHAnsi"/>
        </w:rPr>
        <w:t>Aerts</w:t>
      </w:r>
      <w:proofErr w:type="spellEnd"/>
      <w:r w:rsidR="008B560B" w:rsidRPr="00025B9C">
        <w:rPr>
          <w:rFonts w:asciiTheme="minorHAnsi" w:hAnsiTheme="minorHAnsi" w:cstheme="minorHAnsi"/>
        </w:rPr>
        <w:t>, 2005, p.</w:t>
      </w:r>
      <w:r w:rsidR="00F914D3" w:rsidRPr="00025B9C">
        <w:rPr>
          <w:rFonts w:asciiTheme="minorHAnsi" w:hAnsiTheme="minorHAnsi" w:cstheme="minorHAnsi"/>
        </w:rPr>
        <w:t xml:space="preserve"> </w:t>
      </w:r>
      <w:r w:rsidR="008B560B" w:rsidRPr="00025B9C">
        <w:rPr>
          <w:rFonts w:asciiTheme="minorHAnsi" w:hAnsiTheme="minorHAnsi" w:cstheme="minorHAnsi"/>
        </w:rPr>
        <w:t>497).</w:t>
      </w:r>
      <w:r w:rsidR="00240A2E" w:rsidRPr="00025B9C">
        <w:rPr>
          <w:rFonts w:asciiTheme="minorHAnsi" w:hAnsiTheme="minorHAnsi" w:cstheme="minorHAnsi"/>
        </w:rPr>
        <w:t xml:space="preserve"> </w:t>
      </w:r>
      <w:r w:rsidR="00A6600A" w:rsidRPr="00025B9C">
        <w:rPr>
          <w:rFonts w:asciiTheme="minorHAnsi" w:hAnsiTheme="minorHAnsi" w:cstheme="minorHAnsi"/>
        </w:rPr>
        <w:t>When the Code is challenged, then the implication is that non-compliance cannot threaten legitimacy and governance can be, in fact, improved</w:t>
      </w:r>
      <w:r w:rsidR="00944C65" w:rsidRPr="00025B9C">
        <w:rPr>
          <w:rFonts w:asciiTheme="minorHAnsi" w:hAnsiTheme="minorHAnsi" w:cstheme="minorHAnsi"/>
        </w:rPr>
        <w:t xml:space="preserve"> (</w:t>
      </w:r>
      <w:proofErr w:type="spellStart"/>
      <w:r w:rsidR="00944C65" w:rsidRPr="00025B9C">
        <w:rPr>
          <w:rFonts w:asciiTheme="minorHAnsi" w:hAnsiTheme="minorHAnsi" w:cstheme="minorHAnsi"/>
        </w:rPr>
        <w:t>Elsbach</w:t>
      </w:r>
      <w:proofErr w:type="spellEnd"/>
      <w:r w:rsidR="00944C65" w:rsidRPr="00025B9C">
        <w:rPr>
          <w:rFonts w:asciiTheme="minorHAnsi" w:hAnsiTheme="minorHAnsi" w:cstheme="minorHAnsi"/>
        </w:rPr>
        <w:t xml:space="preserve"> &amp; Sutton, 1992)</w:t>
      </w:r>
      <w:r w:rsidR="00463D79" w:rsidRPr="00025B9C">
        <w:rPr>
          <w:rFonts w:asciiTheme="minorHAnsi" w:hAnsiTheme="minorHAnsi" w:cstheme="minorHAnsi"/>
        </w:rPr>
        <w:t>.</w:t>
      </w:r>
      <w:r w:rsidR="00A6600A" w:rsidRPr="00025B9C">
        <w:rPr>
          <w:rFonts w:asciiTheme="minorHAnsi" w:hAnsiTheme="minorHAnsi" w:cstheme="minorHAnsi"/>
        </w:rPr>
        <w:t xml:space="preserve"> </w:t>
      </w:r>
      <w:r w:rsidR="00416487" w:rsidRPr="00025B9C">
        <w:rPr>
          <w:rFonts w:asciiTheme="minorHAnsi" w:hAnsiTheme="minorHAnsi" w:cstheme="minorHAnsi"/>
        </w:rPr>
        <w:t xml:space="preserve">In this instance, the management is changing the direction of questioning away from the company to the Code and it is the Code’s legitimacy that is being questioned. </w:t>
      </w:r>
      <w:r w:rsidR="00285A25" w:rsidRPr="00025B9C">
        <w:rPr>
          <w:rFonts w:asciiTheme="minorHAnsi" w:hAnsiTheme="minorHAnsi" w:cstheme="minorHAnsi"/>
        </w:rPr>
        <w:t>Our</w:t>
      </w:r>
      <w:r w:rsidRPr="00025B9C">
        <w:rPr>
          <w:rFonts w:asciiTheme="minorHAnsi" w:hAnsiTheme="minorHAnsi" w:cstheme="minorHAnsi"/>
        </w:rPr>
        <w:t xml:space="preserve"> typology includes two sub-categories:</w:t>
      </w:r>
      <w:r w:rsidR="00D851DD" w:rsidRPr="00025B9C">
        <w:rPr>
          <w:rFonts w:asciiTheme="minorHAnsi" w:hAnsiTheme="minorHAnsi" w:cstheme="minorHAnsi"/>
        </w:rPr>
        <w:t xml:space="preserve"> </w:t>
      </w:r>
      <w:r w:rsidR="00570CF5" w:rsidRPr="00025B9C">
        <w:rPr>
          <w:rFonts w:asciiTheme="minorHAnsi" w:hAnsiTheme="minorHAnsi" w:cstheme="minorHAnsi"/>
        </w:rPr>
        <w:t>8</w:t>
      </w:r>
      <w:r w:rsidR="00EF1D3A" w:rsidRPr="00025B9C">
        <w:rPr>
          <w:rFonts w:asciiTheme="minorHAnsi" w:hAnsiTheme="minorHAnsi" w:cstheme="minorHAnsi"/>
        </w:rPr>
        <w:t>a</w:t>
      </w:r>
      <w:r w:rsidR="00AD5F8A" w:rsidRPr="00025B9C">
        <w:rPr>
          <w:rFonts w:asciiTheme="minorHAnsi" w:hAnsiTheme="minorHAnsi" w:cstheme="minorHAnsi"/>
        </w:rPr>
        <w:t xml:space="preserve"> </w:t>
      </w:r>
      <w:r w:rsidRPr="00025B9C">
        <w:rPr>
          <w:rFonts w:asciiTheme="minorHAnsi" w:hAnsiTheme="minorHAnsi" w:cstheme="minorHAnsi"/>
        </w:rPr>
        <w:t>- slight challenge and</w:t>
      </w:r>
      <w:r w:rsidR="00570CF5" w:rsidRPr="00025B9C">
        <w:rPr>
          <w:rFonts w:asciiTheme="minorHAnsi" w:hAnsiTheme="minorHAnsi" w:cstheme="minorHAnsi"/>
        </w:rPr>
        <w:t xml:space="preserve"> 8</w:t>
      </w:r>
      <w:r w:rsidR="00EF1D3A" w:rsidRPr="00025B9C">
        <w:rPr>
          <w:rFonts w:asciiTheme="minorHAnsi" w:hAnsiTheme="minorHAnsi" w:cstheme="minorHAnsi"/>
        </w:rPr>
        <w:t xml:space="preserve">b </w:t>
      </w:r>
      <w:r w:rsidR="00AD5F8A" w:rsidRPr="00025B9C">
        <w:rPr>
          <w:rFonts w:asciiTheme="minorHAnsi" w:hAnsiTheme="minorHAnsi" w:cstheme="minorHAnsi"/>
        </w:rPr>
        <w:t xml:space="preserve">- </w:t>
      </w:r>
      <w:r w:rsidR="00EF1D3A" w:rsidRPr="00025B9C">
        <w:rPr>
          <w:rFonts w:asciiTheme="minorHAnsi" w:hAnsiTheme="minorHAnsi" w:cstheme="minorHAnsi"/>
        </w:rPr>
        <w:t>more aggressive or determined challenge.</w:t>
      </w:r>
      <w:r w:rsidR="00570CF5" w:rsidRPr="00025B9C">
        <w:rPr>
          <w:rFonts w:asciiTheme="minorHAnsi" w:hAnsiTheme="minorHAnsi" w:cstheme="minorHAnsi"/>
        </w:rPr>
        <w:t xml:space="preserve"> Example 8</w:t>
      </w:r>
      <w:r w:rsidR="00F60F08" w:rsidRPr="00025B9C">
        <w:rPr>
          <w:rFonts w:asciiTheme="minorHAnsi" w:hAnsiTheme="minorHAnsi" w:cstheme="minorHAnsi"/>
        </w:rPr>
        <w:t xml:space="preserve">a </w:t>
      </w:r>
      <w:r w:rsidR="00A2711B" w:rsidRPr="00025B9C">
        <w:rPr>
          <w:rFonts w:asciiTheme="minorHAnsi" w:hAnsiTheme="minorHAnsi" w:cstheme="minorHAnsi"/>
        </w:rPr>
        <w:t xml:space="preserve">appears to be </w:t>
      </w:r>
      <w:r w:rsidR="00565610" w:rsidRPr="00025B9C">
        <w:rPr>
          <w:rFonts w:asciiTheme="minorHAnsi" w:hAnsiTheme="minorHAnsi" w:cstheme="minorHAnsi"/>
        </w:rPr>
        <w:t>an attack on the Code: “</w:t>
      </w:r>
      <w:r w:rsidRPr="00025B9C">
        <w:rPr>
          <w:rFonts w:asciiTheme="minorHAnsi" w:hAnsiTheme="minorHAnsi" w:cstheme="minorHAnsi"/>
        </w:rPr>
        <w:t>d</w:t>
      </w:r>
      <w:r w:rsidR="00F60F08" w:rsidRPr="00025B9C">
        <w:rPr>
          <w:rFonts w:asciiTheme="minorHAnsi" w:hAnsiTheme="minorHAnsi" w:cstheme="minorHAnsi"/>
        </w:rPr>
        <w:t>ivisive</w:t>
      </w:r>
      <w:r w:rsidR="00565610" w:rsidRPr="00025B9C">
        <w:rPr>
          <w:rFonts w:asciiTheme="minorHAnsi" w:hAnsiTheme="minorHAnsi" w:cstheme="minorHAnsi"/>
        </w:rPr>
        <w:t>”</w:t>
      </w:r>
      <w:r w:rsidR="00F60F08" w:rsidRPr="00025B9C">
        <w:rPr>
          <w:rFonts w:asciiTheme="minorHAnsi" w:hAnsiTheme="minorHAnsi" w:cstheme="minorHAnsi"/>
        </w:rPr>
        <w:t xml:space="preserve"> to the board and </w:t>
      </w:r>
      <w:r w:rsidR="00565610" w:rsidRPr="00025B9C">
        <w:rPr>
          <w:rFonts w:asciiTheme="minorHAnsi" w:hAnsiTheme="minorHAnsi" w:cstheme="minorHAnsi"/>
        </w:rPr>
        <w:t>“</w:t>
      </w:r>
      <w:r w:rsidR="00F60F08" w:rsidRPr="00025B9C">
        <w:rPr>
          <w:rFonts w:asciiTheme="minorHAnsi" w:hAnsiTheme="minorHAnsi" w:cstheme="minorHAnsi"/>
        </w:rPr>
        <w:t>disruptive</w:t>
      </w:r>
      <w:r w:rsidR="00565610" w:rsidRPr="00025B9C">
        <w:rPr>
          <w:rFonts w:asciiTheme="minorHAnsi" w:hAnsiTheme="minorHAnsi" w:cstheme="minorHAnsi"/>
        </w:rPr>
        <w:t>”</w:t>
      </w:r>
      <w:r w:rsidR="00F60F08" w:rsidRPr="00025B9C">
        <w:rPr>
          <w:rFonts w:asciiTheme="minorHAnsi" w:hAnsiTheme="minorHAnsi" w:cstheme="minorHAnsi"/>
        </w:rPr>
        <w:t xml:space="preserve"> to the chairman are part of the attack. </w:t>
      </w:r>
      <w:r w:rsidR="00A2711B" w:rsidRPr="00025B9C">
        <w:rPr>
          <w:rFonts w:asciiTheme="minorHAnsi" w:hAnsiTheme="minorHAnsi" w:cstheme="minorHAnsi"/>
        </w:rPr>
        <w:t>This explanation c</w:t>
      </w:r>
      <w:r w:rsidR="00F60F08" w:rsidRPr="00025B9C">
        <w:rPr>
          <w:rFonts w:asciiTheme="minorHAnsi" w:hAnsiTheme="minorHAnsi" w:cstheme="minorHAnsi"/>
        </w:rPr>
        <w:t xml:space="preserve">ould </w:t>
      </w:r>
      <w:r w:rsidR="00A2711B" w:rsidRPr="00025B9C">
        <w:rPr>
          <w:rFonts w:asciiTheme="minorHAnsi" w:hAnsiTheme="minorHAnsi" w:cstheme="minorHAnsi"/>
        </w:rPr>
        <w:t xml:space="preserve">have been classified as </w:t>
      </w:r>
      <w:r w:rsidR="00570CF5" w:rsidRPr="00025B9C">
        <w:rPr>
          <w:rFonts w:asciiTheme="minorHAnsi" w:hAnsiTheme="minorHAnsi" w:cstheme="minorHAnsi"/>
        </w:rPr>
        <w:t>8</w:t>
      </w:r>
      <w:r w:rsidR="00F60F08" w:rsidRPr="00025B9C">
        <w:rPr>
          <w:rFonts w:asciiTheme="minorHAnsi" w:hAnsiTheme="minorHAnsi" w:cstheme="minorHAnsi"/>
        </w:rPr>
        <w:t xml:space="preserve">b </w:t>
      </w:r>
      <w:r w:rsidR="00A2711B" w:rsidRPr="00025B9C">
        <w:rPr>
          <w:rFonts w:asciiTheme="minorHAnsi" w:hAnsiTheme="minorHAnsi" w:cstheme="minorHAnsi"/>
        </w:rPr>
        <w:t xml:space="preserve">– a more aggressive or determined challenge – </w:t>
      </w:r>
      <w:r w:rsidR="00F60F08" w:rsidRPr="00025B9C">
        <w:rPr>
          <w:rFonts w:asciiTheme="minorHAnsi" w:hAnsiTheme="minorHAnsi" w:cstheme="minorHAnsi"/>
        </w:rPr>
        <w:t xml:space="preserve">as </w:t>
      </w:r>
      <w:r w:rsidR="00A2711B" w:rsidRPr="00025B9C">
        <w:rPr>
          <w:rFonts w:asciiTheme="minorHAnsi" w:hAnsiTheme="minorHAnsi" w:cstheme="minorHAnsi"/>
        </w:rPr>
        <w:t xml:space="preserve">it is </w:t>
      </w:r>
      <w:r w:rsidRPr="00025B9C">
        <w:rPr>
          <w:rFonts w:asciiTheme="minorHAnsi" w:hAnsiTheme="minorHAnsi" w:cstheme="minorHAnsi"/>
        </w:rPr>
        <w:t>quite a strong</w:t>
      </w:r>
      <w:r w:rsidR="00F60F08" w:rsidRPr="00025B9C">
        <w:rPr>
          <w:rFonts w:asciiTheme="minorHAnsi" w:hAnsiTheme="minorHAnsi" w:cstheme="minorHAnsi"/>
        </w:rPr>
        <w:t xml:space="preserve"> attack</w:t>
      </w:r>
      <w:r w:rsidR="00A2711B" w:rsidRPr="00025B9C">
        <w:rPr>
          <w:rFonts w:asciiTheme="minorHAnsi" w:hAnsiTheme="minorHAnsi" w:cstheme="minorHAnsi"/>
        </w:rPr>
        <w:t>. However, it was clas</w:t>
      </w:r>
      <w:r w:rsidR="00570CF5" w:rsidRPr="00025B9C">
        <w:rPr>
          <w:rFonts w:asciiTheme="minorHAnsi" w:hAnsiTheme="minorHAnsi" w:cstheme="minorHAnsi"/>
        </w:rPr>
        <w:t>sified as 8</w:t>
      </w:r>
      <w:r w:rsidR="00F60F08" w:rsidRPr="00025B9C">
        <w:rPr>
          <w:rFonts w:asciiTheme="minorHAnsi" w:hAnsiTheme="minorHAnsi" w:cstheme="minorHAnsi"/>
        </w:rPr>
        <w:t xml:space="preserve">a because of the </w:t>
      </w:r>
      <w:r w:rsidRPr="00025B9C">
        <w:rPr>
          <w:rFonts w:asciiTheme="minorHAnsi" w:hAnsiTheme="minorHAnsi" w:cstheme="minorHAnsi"/>
        </w:rPr>
        <w:t xml:space="preserve">moderating </w:t>
      </w:r>
      <w:r w:rsidR="00565610" w:rsidRPr="00025B9C">
        <w:rPr>
          <w:rFonts w:asciiTheme="minorHAnsi" w:hAnsiTheme="minorHAnsi" w:cstheme="minorHAnsi"/>
        </w:rPr>
        <w:t>word “potentially”</w:t>
      </w:r>
      <w:r w:rsidR="000F3422" w:rsidRPr="00025B9C">
        <w:rPr>
          <w:rFonts w:asciiTheme="minorHAnsi" w:hAnsiTheme="minorHAnsi" w:cstheme="minorHAnsi"/>
        </w:rPr>
        <w:t xml:space="preserve"> in Example </w:t>
      </w:r>
      <w:r w:rsidR="00570CF5" w:rsidRPr="00025B9C">
        <w:rPr>
          <w:rFonts w:asciiTheme="minorHAnsi" w:hAnsiTheme="minorHAnsi" w:cstheme="minorHAnsi"/>
        </w:rPr>
        <w:t>8</w:t>
      </w:r>
      <w:r w:rsidRPr="00025B9C">
        <w:rPr>
          <w:rFonts w:asciiTheme="minorHAnsi" w:hAnsiTheme="minorHAnsi" w:cstheme="minorHAnsi"/>
        </w:rPr>
        <w:t>a</w:t>
      </w:r>
      <w:r w:rsidR="00F60F08" w:rsidRPr="00025B9C">
        <w:rPr>
          <w:rFonts w:asciiTheme="minorHAnsi" w:hAnsiTheme="minorHAnsi" w:cstheme="minorHAnsi"/>
        </w:rPr>
        <w:t xml:space="preserve">. </w:t>
      </w:r>
      <w:r w:rsidR="00962D61" w:rsidRPr="00025B9C">
        <w:rPr>
          <w:rFonts w:asciiTheme="minorHAnsi" w:hAnsiTheme="minorHAnsi" w:cstheme="minorHAnsi"/>
        </w:rPr>
        <w:t xml:space="preserve">Example </w:t>
      </w:r>
      <w:r w:rsidR="00570CF5" w:rsidRPr="00025B9C">
        <w:rPr>
          <w:rFonts w:asciiTheme="minorHAnsi" w:hAnsiTheme="minorHAnsi" w:cstheme="minorHAnsi"/>
        </w:rPr>
        <w:t>8</w:t>
      </w:r>
      <w:r w:rsidR="007939D7" w:rsidRPr="00025B9C">
        <w:rPr>
          <w:rFonts w:asciiTheme="minorHAnsi" w:hAnsiTheme="minorHAnsi" w:cstheme="minorHAnsi"/>
        </w:rPr>
        <w:t>b</w:t>
      </w:r>
      <w:r w:rsidR="00E15A3F" w:rsidRPr="00025B9C">
        <w:rPr>
          <w:rFonts w:asciiTheme="minorHAnsi" w:hAnsiTheme="minorHAnsi" w:cstheme="minorHAnsi"/>
        </w:rPr>
        <w:t xml:space="preserve"> forms a useful comparison. </w:t>
      </w:r>
      <w:r w:rsidR="00DC7172" w:rsidRPr="00025B9C">
        <w:rPr>
          <w:rFonts w:asciiTheme="minorHAnsi" w:hAnsiTheme="minorHAnsi" w:cstheme="minorHAnsi"/>
        </w:rPr>
        <w:t>A</w:t>
      </w:r>
      <w:r w:rsidR="00AE4BC5" w:rsidRPr="00025B9C">
        <w:rPr>
          <w:rFonts w:asciiTheme="minorHAnsi" w:hAnsiTheme="minorHAnsi" w:cstheme="minorHAnsi"/>
        </w:rPr>
        <w:t xml:space="preserve">lthough </w:t>
      </w:r>
      <w:r w:rsidR="00C6458D" w:rsidRPr="00025B9C">
        <w:rPr>
          <w:rFonts w:asciiTheme="minorHAnsi" w:hAnsiTheme="minorHAnsi" w:cstheme="minorHAnsi"/>
        </w:rPr>
        <w:t>out</w:t>
      </w:r>
      <w:r w:rsidR="00DC7172" w:rsidRPr="00025B9C">
        <w:rPr>
          <w:rFonts w:asciiTheme="minorHAnsi" w:hAnsiTheme="minorHAnsi" w:cstheme="minorHAnsi"/>
        </w:rPr>
        <w:t>side</w:t>
      </w:r>
      <w:r w:rsidR="00C6458D" w:rsidRPr="00025B9C">
        <w:rPr>
          <w:rFonts w:asciiTheme="minorHAnsi" w:hAnsiTheme="minorHAnsi" w:cstheme="minorHAnsi"/>
        </w:rPr>
        <w:t xml:space="preserve"> the sample of this study </w:t>
      </w:r>
      <w:r w:rsidR="00DC7172" w:rsidRPr="00025B9C">
        <w:rPr>
          <w:rFonts w:asciiTheme="minorHAnsi" w:hAnsiTheme="minorHAnsi" w:cstheme="minorHAnsi"/>
        </w:rPr>
        <w:t>(</w:t>
      </w:r>
      <w:r w:rsidR="00C6458D" w:rsidRPr="00025B9C">
        <w:rPr>
          <w:rFonts w:asciiTheme="minorHAnsi" w:hAnsiTheme="minorHAnsi" w:cstheme="minorHAnsi"/>
        </w:rPr>
        <w:t>it is a FTSE 250 company</w:t>
      </w:r>
      <w:r w:rsidR="00DC7172" w:rsidRPr="00025B9C">
        <w:rPr>
          <w:rFonts w:asciiTheme="minorHAnsi" w:hAnsiTheme="minorHAnsi" w:cstheme="minorHAnsi"/>
        </w:rPr>
        <w:t>),</w:t>
      </w:r>
      <w:r w:rsidR="00AE4BC5" w:rsidRPr="00025B9C">
        <w:rPr>
          <w:rFonts w:asciiTheme="minorHAnsi" w:hAnsiTheme="minorHAnsi" w:cstheme="minorHAnsi"/>
        </w:rPr>
        <w:t xml:space="preserve"> </w:t>
      </w:r>
      <w:r w:rsidR="00DC7172" w:rsidRPr="00025B9C">
        <w:rPr>
          <w:rFonts w:asciiTheme="minorHAnsi" w:hAnsiTheme="minorHAnsi" w:cstheme="minorHAnsi"/>
        </w:rPr>
        <w:t>t</w:t>
      </w:r>
      <w:r w:rsidR="00C6458D" w:rsidRPr="00025B9C">
        <w:rPr>
          <w:rFonts w:asciiTheme="minorHAnsi" w:hAnsiTheme="minorHAnsi" w:cstheme="minorHAnsi"/>
        </w:rPr>
        <w:t>h</w:t>
      </w:r>
      <w:r w:rsidR="007D09ED" w:rsidRPr="00025B9C">
        <w:rPr>
          <w:rFonts w:asciiTheme="minorHAnsi" w:hAnsiTheme="minorHAnsi" w:cstheme="minorHAnsi"/>
        </w:rPr>
        <w:t>e directors of this</w:t>
      </w:r>
      <w:r w:rsidR="00565610" w:rsidRPr="00025B9C">
        <w:rPr>
          <w:rFonts w:asciiTheme="minorHAnsi" w:hAnsiTheme="minorHAnsi" w:cstheme="minorHAnsi"/>
        </w:rPr>
        <w:t xml:space="preserve"> company have</w:t>
      </w:r>
      <w:r w:rsidR="00C6458D" w:rsidRPr="00025B9C">
        <w:rPr>
          <w:rFonts w:asciiTheme="minorHAnsi" w:hAnsiTheme="minorHAnsi" w:cstheme="minorHAnsi"/>
        </w:rPr>
        <w:t xml:space="preserve"> critici</w:t>
      </w:r>
      <w:r w:rsidR="00CB5E2E" w:rsidRPr="00025B9C">
        <w:rPr>
          <w:rFonts w:asciiTheme="minorHAnsi" w:hAnsiTheme="minorHAnsi" w:cstheme="minorHAnsi"/>
        </w:rPr>
        <w:t>z</w:t>
      </w:r>
      <w:r w:rsidR="00C6458D" w:rsidRPr="00025B9C">
        <w:rPr>
          <w:rFonts w:asciiTheme="minorHAnsi" w:hAnsiTheme="minorHAnsi" w:cstheme="minorHAnsi"/>
        </w:rPr>
        <w:t>ed the Code for a number of years</w:t>
      </w:r>
      <w:r w:rsidR="00317E9C" w:rsidRPr="00025B9C">
        <w:rPr>
          <w:rFonts w:asciiTheme="minorHAnsi" w:hAnsiTheme="minorHAnsi" w:cstheme="minorHAnsi"/>
        </w:rPr>
        <w:t>.</w:t>
      </w:r>
      <w:r w:rsidR="00C6458D" w:rsidRPr="00025B9C">
        <w:rPr>
          <w:rFonts w:asciiTheme="minorHAnsi" w:hAnsiTheme="minorHAnsi" w:cstheme="minorHAnsi"/>
        </w:rPr>
        <w:t xml:space="preserve"> </w:t>
      </w:r>
      <w:r w:rsidR="00317E9C" w:rsidRPr="00025B9C">
        <w:rPr>
          <w:rFonts w:asciiTheme="minorHAnsi" w:hAnsiTheme="minorHAnsi" w:cstheme="minorHAnsi"/>
        </w:rPr>
        <w:t>T</w:t>
      </w:r>
      <w:r w:rsidR="00565610" w:rsidRPr="00025B9C">
        <w:rPr>
          <w:rFonts w:asciiTheme="minorHAnsi" w:hAnsiTheme="minorHAnsi" w:cstheme="minorHAnsi"/>
        </w:rPr>
        <w:t>he board’s</w:t>
      </w:r>
      <w:r w:rsidR="00C6458D" w:rsidRPr="00025B9C">
        <w:rPr>
          <w:rFonts w:asciiTheme="minorHAnsi" w:hAnsiTheme="minorHAnsi" w:cstheme="minorHAnsi"/>
        </w:rPr>
        <w:t xml:space="preserve"> explanation as to why it does not agree</w:t>
      </w:r>
      <w:r w:rsidR="00643783" w:rsidRPr="00025B9C">
        <w:rPr>
          <w:rFonts w:asciiTheme="minorHAnsi" w:hAnsiTheme="minorHAnsi" w:cstheme="minorHAnsi"/>
        </w:rPr>
        <w:t xml:space="preserve"> with current thinking on governance</w:t>
      </w:r>
      <w:r w:rsidR="00DC7172" w:rsidRPr="00025B9C">
        <w:rPr>
          <w:rFonts w:asciiTheme="minorHAnsi" w:hAnsiTheme="minorHAnsi" w:cstheme="minorHAnsi"/>
        </w:rPr>
        <w:t>, while strongly worded,</w:t>
      </w:r>
      <w:r w:rsidR="00643783" w:rsidRPr="00025B9C">
        <w:rPr>
          <w:rFonts w:asciiTheme="minorHAnsi" w:hAnsiTheme="minorHAnsi" w:cstheme="minorHAnsi"/>
        </w:rPr>
        <w:t xml:space="preserve"> demonstrates the importance of flexibility in relation to compliance.</w:t>
      </w:r>
      <w:r w:rsidR="00DC7172" w:rsidRPr="00025B9C">
        <w:rPr>
          <w:rFonts w:asciiTheme="minorHAnsi" w:hAnsiTheme="minorHAnsi" w:cstheme="minorHAnsi"/>
        </w:rPr>
        <w:t xml:space="preserve"> </w:t>
      </w:r>
      <w:r w:rsidR="004B7BB8" w:rsidRPr="00025B9C">
        <w:rPr>
          <w:rFonts w:asciiTheme="minorHAnsi" w:hAnsiTheme="minorHAnsi" w:cstheme="minorHAnsi"/>
        </w:rPr>
        <w:t>Intere</w:t>
      </w:r>
      <w:r w:rsidR="007D09ED" w:rsidRPr="00025B9C">
        <w:rPr>
          <w:rFonts w:asciiTheme="minorHAnsi" w:hAnsiTheme="minorHAnsi" w:cstheme="minorHAnsi"/>
        </w:rPr>
        <w:t>stingly, the directors believe that the views of employees and customers are more valuab</w:t>
      </w:r>
      <w:r w:rsidR="00317E9C" w:rsidRPr="00025B9C">
        <w:rPr>
          <w:rFonts w:asciiTheme="minorHAnsi" w:hAnsiTheme="minorHAnsi" w:cstheme="minorHAnsi"/>
        </w:rPr>
        <w:t>le than institutional investors</w:t>
      </w:r>
      <w:r w:rsidR="007D09ED" w:rsidRPr="00025B9C">
        <w:rPr>
          <w:rFonts w:asciiTheme="minorHAnsi" w:hAnsiTheme="minorHAnsi" w:cstheme="minorHAnsi"/>
        </w:rPr>
        <w:t>. This critical approach is useful in that it questions some underlying assumptions of the Code.</w:t>
      </w:r>
      <w:r w:rsidR="00F1485B" w:rsidRPr="00025B9C">
        <w:rPr>
          <w:rFonts w:asciiTheme="minorHAnsi" w:hAnsiTheme="minorHAnsi" w:cstheme="minorHAnsi"/>
        </w:rPr>
        <w:t xml:space="preserve"> </w:t>
      </w:r>
      <w:r w:rsidR="00944C65" w:rsidRPr="00025B9C">
        <w:rPr>
          <w:rFonts w:asciiTheme="minorHAnsi" w:hAnsiTheme="minorHAnsi" w:cstheme="minorHAnsi"/>
        </w:rPr>
        <w:t xml:space="preserve">The audience needs to decide whether the attack is indeed genuine or simply a convenient excuse for non-compliance. If the governance advocated </w:t>
      </w:r>
      <w:r w:rsidR="00C758E6" w:rsidRPr="00025B9C">
        <w:rPr>
          <w:rFonts w:asciiTheme="minorHAnsi" w:hAnsiTheme="minorHAnsi" w:cstheme="minorHAnsi"/>
        </w:rPr>
        <w:t>by the board or management does not appear to be of equal stature to that required by the Code then</w:t>
      </w:r>
      <w:r w:rsidR="00476E0A" w:rsidRPr="00025B9C">
        <w:rPr>
          <w:rFonts w:asciiTheme="minorHAnsi" w:hAnsiTheme="minorHAnsi" w:cstheme="minorHAnsi"/>
        </w:rPr>
        <w:t>,</w:t>
      </w:r>
      <w:r w:rsidR="00C758E6" w:rsidRPr="00025B9C">
        <w:rPr>
          <w:rFonts w:asciiTheme="minorHAnsi" w:hAnsiTheme="minorHAnsi" w:cstheme="minorHAnsi"/>
        </w:rPr>
        <w:t xml:space="preserve"> </w:t>
      </w:r>
      <w:r w:rsidR="00416487" w:rsidRPr="00025B9C">
        <w:rPr>
          <w:rFonts w:asciiTheme="minorHAnsi" w:hAnsiTheme="minorHAnsi" w:cstheme="minorHAnsi"/>
        </w:rPr>
        <w:t>arguably,</w:t>
      </w:r>
      <w:r w:rsidR="00C758E6" w:rsidRPr="00025B9C">
        <w:rPr>
          <w:rFonts w:asciiTheme="minorHAnsi" w:hAnsiTheme="minorHAnsi" w:cstheme="minorHAnsi"/>
        </w:rPr>
        <w:t xml:space="preserve"> the latter is the case.</w:t>
      </w:r>
    </w:p>
    <w:p w:rsidR="00476E0A" w:rsidRPr="00025B9C" w:rsidRDefault="00476E0A" w:rsidP="00D665D9">
      <w:pPr>
        <w:spacing w:line="360" w:lineRule="auto"/>
        <w:jc w:val="both"/>
        <w:rPr>
          <w:rFonts w:asciiTheme="minorHAnsi" w:hAnsiTheme="minorHAnsi" w:cstheme="minorHAnsi"/>
        </w:rPr>
      </w:pPr>
    </w:p>
    <w:p w:rsidR="00D31702" w:rsidRPr="00025B9C" w:rsidRDefault="00570CF5" w:rsidP="00D665D9">
      <w:pPr>
        <w:ind w:left="567" w:right="804"/>
        <w:contextualSpacing/>
        <w:jc w:val="both"/>
        <w:rPr>
          <w:rFonts w:asciiTheme="minorHAnsi" w:hAnsiTheme="minorHAnsi" w:cstheme="minorHAnsi"/>
          <w:b/>
          <w:sz w:val="20"/>
          <w:szCs w:val="20"/>
        </w:rPr>
      </w:pPr>
      <w:r w:rsidRPr="00025B9C">
        <w:rPr>
          <w:rFonts w:asciiTheme="minorHAnsi" w:hAnsiTheme="minorHAnsi" w:cstheme="minorHAnsi"/>
          <w:b/>
          <w:sz w:val="20"/>
          <w:szCs w:val="20"/>
        </w:rPr>
        <w:t>Example 8</w:t>
      </w:r>
      <w:r w:rsidR="00D31702" w:rsidRPr="00025B9C">
        <w:rPr>
          <w:rFonts w:asciiTheme="minorHAnsi" w:hAnsiTheme="minorHAnsi" w:cstheme="minorHAnsi"/>
          <w:b/>
          <w:sz w:val="20"/>
          <w:szCs w:val="20"/>
        </w:rPr>
        <w:t>a: Slight challenge</w:t>
      </w:r>
    </w:p>
    <w:p w:rsidR="00F60F08" w:rsidRPr="00025B9C" w:rsidRDefault="00F60F08" w:rsidP="00D665D9">
      <w:pPr>
        <w:autoSpaceDE w:val="0"/>
        <w:autoSpaceDN w:val="0"/>
        <w:adjustRightInd w:val="0"/>
        <w:ind w:left="567" w:right="-46"/>
        <w:contextualSpacing/>
        <w:jc w:val="both"/>
        <w:rPr>
          <w:rFonts w:asciiTheme="minorHAnsi" w:hAnsiTheme="minorHAnsi" w:cstheme="minorHAnsi"/>
          <w:sz w:val="20"/>
          <w:szCs w:val="20"/>
        </w:rPr>
      </w:pPr>
      <w:r w:rsidRPr="00025B9C">
        <w:rPr>
          <w:rFonts w:asciiTheme="minorHAnsi" w:hAnsiTheme="minorHAnsi" w:cstheme="minorHAnsi"/>
          <w:sz w:val="20"/>
          <w:szCs w:val="20"/>
        </w:rPr>
        <w:t>The Board has not, as required by the Code, identified a senior independent non-executive Director since it believes that to identify such an individual is potentially divisive to a unitary body, as the Board is, and disruptive to the role of the Chairman.</w:t>
      </w:r>
    </w:p>
    <w:p w:rsidR="00E47A93" w:rsidRPr="00025B9C" w:rsidRDefault="00E47A93" w:rsidP="00D665D9">
      <w:pPr>
        <w:autoSpaceDE w:val="0"/>
        <w:autoSpaceDN w:val="0"/>
        <w:adjustRightInd w:val="0"/>
        <w:ind w:left="567" w:right="804"/>
        <w:contextualSpacing/>
        <w:rPr>
          <w:rFonts w:asciiTheme="minorHAnsi" w:hAnsiTheme="minorHAnsi" w:cstheme="minorHAnsi"/>
          <w:sz w:val="20"/>
          <w:szCs w:val="20"/>
          <w:u w:val="single"/>
        </w:rPr>
      </w:pPr>
      <w:r w:rsidRPr="00025B9C">
        <w:rPr>
          <w:rFonts w:asciiTheme="minorHAnsi" w:hAnsiTheme="minorHAnsi" w:cstheme="minorHAnsi"/>
          <w:sz w:val="20"/>
          <w:szCs w:val="20"/>
        </w:rPr>
        <w:t>Source:</w:t>
      </w:r>
      <w:r w:rsidR="007939D7" w:rsidRPr="00025B9C">
        <w:rPr>
          <w:rFonts w:asciiTheme="minorHAnsi" w:hAnsiTheme="minorHAnsi" w:cstheme="minorHAnsi"/>
          <w:sz w:val="20"/>
          <w:szCs w:val="20"/>
        </w:rPr>
        <w:t xml:space="preserve"> Daily Mail and General Trust plc annual report 2005, p.</w:t>
      </w:r>
      <w:r w:rsidR="00F914D3" w:rsidRPr="00025B9C">
        <w:rPr>
          <w:rFonts w:asciiTheme="minorHAnsi" w:hAnsiTheme="minorHAnsi" w:cstheme="minorHAnsi"/>
          <w:sz w:val="20"/>
          <w:szCs w:val="20"/>
        </w:rPr>
        <w:t xml:space="preserve"> </w:t>
      </w:r>
      <w:r w:rsidR="007939D7" w:rsidRPr="00025B9C">
        <w:rPr>
          <w:rFonts w:asciiTheme="minorHAnsi" w:hAnsiTheme="minorHAnsi" w:cstheme="minorHAnsi"/>
          <w:sz w:val="20"/>
          <w:szCs w:val="20"/>
        </w:rPr>
        <w:t>26.</w:t>
      </w:r>
    </w:p>
    <w:p w:rsidR="00D31702" w:rsidRPr="00025B9C" w:rsidRDefault="00D31702" w:rsidP="00D665D9">
      <w:pPr>
        <w:spacing w:line="480" w:lineRule="auto"/>
        <w:ind w:right="804"/>
        <w:jc w:val="both"/>
        <w:rPr>
          <w:rFonts w:asciiTheme="minorHAnsi" w:hAnsiTheme="minorHAnsi" w:cstheme="minorHAnsi"/>
          <w:szCs w:val="20"/>
        </w:rPr>
      </w:pPr>
    </w:p>
    <w:p w:rsidR="00D31702" w:rsidRPr="00025B9C" w:rsidRDefault="00570CF5" w:rsidP="00D665D9">
      <w:pPr>
        <w:ind w:left="567" w:right="804" w:firstLine="11"/>
        <w:jc w:val="both"/>
        <w:rPr>
          <w:rFonts w:asciiTheme="minorHAnsi" w:hAnsiTheme="minorHAnsi" w:cstheme="minorHAnsi"/>
          <w:b/>
          <w:sz w:val="20"/>
          <w:szCs w:val="20"/>
        </w:rPr>
      </w:pPr>
      <w:r w:rsidRPr="00025B9C">
        <w:rPr>
          <w:rFonts w:asciiTheme="minorHAnsi" w:hAnsiTheme="minorHAnsi" w:cstheme="minorHAnsi"/>
          <w:b/>
          <w:sz w:val="20"/>
          <w:szCs w:val="20"/>
        </w:rPr>
        <w:t>Example 8</w:t>
      </w:r>
      <w:r w:rsidR="00D31702" w:rsidRPr="00025B9C">
        <w:rPr>
          <w:rFonts w:asciiTheme="minorHAnsi" w:hAnsiTheme="minorHAnsi" w:cstheme="minorHAnsi"/>
          <w:b/>
          <w:sz w:val="20"/>
          <w:szCs w:val="20"/>
        </w:rPr>
        <w:t>b: More aggressive or determined challenge</w:t>
      </w:r>
    </w:p>
    <w:p w:rsidR="00C6458D" w:rsidRPr="00025B9C" w:rsidRDefault="00C6458D" w:rsidP="00D665D9">
      <w:pPr>
        <w:ind w:left="567" w:right="804" w:firstLine="11"/>
        <w:jc w:val="both"/>
        <w:rPr>
          <w:rFonts w:asciiTheme="minorHAnsi" w:hAnsiTheme="minorHAnsi" w:cstheme="minorHAnsi"/>
          <w:sz w:val="20"/>
          <w:szCs w:val="20"/>
        </w:rPr>
      </w:pPr>
      <w:r w:rsidRPr="00025B9C">
        <w:rPr>
          <w:rFonts w:asciiTheme="minorHAnsi" w:hAnsiTheme="minorHAnsi" w:cstheme="minorHAnsi"/>
          <w:sz w:val="20"/>
          <w:szCs w:val="20"/>
        </w:rPr>
        <w:t>Corporate governance</w:t>
      </w:r>
    </w:p>
    <w:p w:rsidR="00320757" w:rsidRPr="00025B9C" w:rsidRDefault="00C6458D" w:rsidP="00320757">
      <w:pPr>
        <w:ind w:left="567" w:right="804" w:firstLine="11"/>
        <w:jc w:val="both"/>
        <w:rPr>
          <w:rFonts w:asciiTheme="minorHAnsi" w:hAnsiTheme="minorHAnsi" w:cstheme="minorHAnsi"/>
          <w:sz w:val="20"/>
          <w:szCs w:val="20"/>
        </w:rPr>
      </w:pPr>
      <w:r w:rsidRPr="00025B9C">
        <w:rPr>
          <w:rFonts w:asciiTheme="minorHAnsi" w:hAnsiTheme="minorHAnsi" w:cstheme="minorHAnsi"/>
          <w:sz w:val="20"/>
          <w:szCs w:val="20"/>
        </w:rPr>
        <w:t>In last year’s statement, the view was advanced that many aspects of current corporate governance advice, as laid out in the Combined Code, were “deeply flawed</w:t>
      </w:r>
      <w:r w:rsidR="00972A37" w:rsidRPr="00025B9C">
        <w:rPr>
          <w:rFonts w:asciiTheme="minorHAnsi" w:hAnsiTheme="minorHAnsi" w:cstheme="minorHAnsi"/>
          <w:sz w:val="20"/>
          <w:szCs w:val="20"/>
        </w:rPr>
        <w:t>”.</w:t>
      </w:r>
      <w:r w:rsidRPr="00025B9C">
        <w:rPr>
          <w:rFonts w:asciiTheme="minorHAnsi" w:hAnsiTheme="minorHAnsi" w:cstheme="minorHAnsi"/>
          <w:sz w:val="20"/>
          <w:szCs w:val="20"/>
        </w:rPr>
        <w:t xml:space="preserve"> The statement pointed out that “compliant pub companies had often fared disastrously in comparison with non-compliant ones. In particular, pub companies in which the CEO became chairman and which had a majority of executives</w:t>
      </w:r>
      <w:r w:rsidR="00643783" w:rsidRPr="00025B9C">
        <w:rPr>
          <w:rFonts w:asciiTheme="minorHAnsi" w:hAnsiTheme="minorHAnsi" w:cstheme="minorHAnsi"/>
          <w:sz w:val="20"/>
          <w:szCs w:val="20"/>
        </w:rPr>
        <w:t xml:space="preserve">… </w:t>
      </w:r>
      <w:r w:rsidRPr="00025B9C">
        <w:rPr>
          <w:rFonts w:asciiTheme="minorHAnsi" w:hAnsiTheme="minorHAnsi" w:cstheme="minorHAnsi"/>
          <w:sz w:val="20"/>
          <w:szCs w:val="20"/>
        </w:rPr>
        <w:t>usually with previous experience of the pub trade, avoided making catastrophic errors to which compliant companies seem prone</w:t>
      </w:r>
      <w:r w:rsidR="00972A37" w:rsidRPr="00025B9C">
        <w:rPr>
          <w:rFonts w:asciiTheme="minorHAnsi" w:hAnsiTheme="minorHAnsi" w:cstheme="minorHAnsi"/>
          <w:sz w:val="20"/>
          <w:szCs w:val="20"/>
        </w:rPr>
        <w:t>”.</w:t>
      </w:r>
      <w:r w:rsidRPr="00025B9C">
        <w:rPr>
          <w:rFonts w:asciiTheme="minorHAnsi" w:hAnsiTheme="minorHAnsi" w:cstheme="minorHAnsi"/>
          <w:sz w:val="20"/>
          <w:szCs w:val="20"/>
        </w:rPr>
        <w:t xml:space="preserve"> It was also pointed out that setting targets for bonuses had also often backfired, encouraging companies to take reckless decisions in order to enhance earnings</w:t>
      </w:r>
      <w:r w:rsidR="007D09ED" w:rsidRPr="00025B9C">
        <w:rPr>
          <w:rFonts w:asciiTheme="minorHAnsi" w:hAnsiTheme="minorHAnsi" w:cstheme="minorHAnsi"/>
          <w:sz w:val="20"/>
          <w:szCs w:val="20"/>
        </w:rPr>
        <w:t>.</w:t>
      </w:r>
    </w:p>
    <w:p w:rsidR="00320757" w:rsidRPr="00025B9C" w:rsidRDefault="00320757" w:rsidP="00320757">
      <w:pPr>
        <w:ind w:left="567" w:right="804" w:firstLine="11"/>
        <w:jc w:val="both"/>
        <w:rPr>
          <w:rFonts w:asciiTheme="minorHAnsi" w:hAnsiTheme="minorHAnsi" w:cstheme="minorHAnsi"/>
          <w:sz w:val="20"/>
          <w:szCs w:val="20"/>
        </w:rPr>
      </w:pPr>
      <w:r w:rsidRPr="00025B9C">
        <w:rPr>
          <w:rFonts w:asciiTheme="minorHAnsi" w:eastAsia="Calibri" w:hAnsiTheme="minorHAnsi" w:cstheme="minorHAnsi"/>
          <w:sz w:val="20"/>
          <w:szCs w:val="20"/>
          <w:lang w:val="en-IE" w:eastAsia="en-IE"/>
        </w:rPr>
        <w:t>Last year’s statement was particularly critical of the Code itself, which placed a huge emphasis on meetings between directors and shareholders and placed almost no emphasis on directors taking account of the views of customers and employees which are far more important, in practice, to the future well-being of any company.</w:t>
      </w:r>
    </w:p>
    <w:p w:rsidR="00C6458D" w:rsidRPr="00025B9C" w:rsidRDefault="00C6458D" w:rsidP="00D665D9">
      <w:pPr>
        <w:ind w:left="567" w:right="804" w:firstLine="11"/>
        <w:jc w:val="both"/>
        <w:rPr>
          <w:rFonts w:asciiTheme="minorHAnsi" w:hAnsiTheme="minorHAnsi" w:cstheme="minorHAnsi"/>
          <w:b/>
          <w:sz w:val="20"/>
          <w:szCs w:val="20"/>
        </w:rPr>
      </w:pPr>
      <w:r w:rsidRPr="00025B9C">
        <w:rPr>
          <w:rFonts w:asciiTheme="minorHAnsi" w:hAnsiTheme="minorHAnsi" w:cstheme="minorHAnsi"/>
          <w:sz w:val="20"/>
          <w:szCs w:val="20"/>
        </w:rPr>
        <w:t>Source: J D Wetherspoon plc annual report 2015, p.</w:t>
      </w:r>
      <w:r w:rsidR="00643783" w:rsidRPr="00025B9C">
        <w:rPr>
          <w:rFonts w:asciiTheme="minorHAnsi" w:hAnsiTheme="minorHAnsi" w:cstheme="minorHAnsi"/>
          <w:sz w:val="20"/>
          <w:szCs w:val="20"/>
        </w:rPr>
        <w:t xml:space="preserve"> 5.</w:t>
      </w:r>
    </w:p>
    <w:p w:rsidR="00416487" w:rsidRPr="00025B9C" w:rsidRDefault="00416487" w:rsidP="00D665D9">
      <w:pPr>
        <w:spacing w:line="360" w:lineRule="auto"/>
        <w:jc w:val="both"/>
        <w:rPr>
          <w:rFonts w:asciiTheme="minorHAnsi" w:hAnsiTheme="minorHAnsi" w:cstheme="minorHAnsi"/>
          <w:u w:val="single"/>
        </w:rPr>
      </w:pPr>
    </w:p>
    <w:p w:rsidR="002A1E0B" w:rsidRPr="00025B9C" w:rsidRDefault="00570CF5" w:rsidP="00D665D9">
      <w:pPr>
        <w:spacing w:line="360" w:lineRule="auto"/>
        <w:jc w:val="both"/>
        <w:rPr>
          <w:rFonts w:asciiTheme="minorHAnsi" w:hAnsiTheme="minorHAnsi" w:cstheme="minorHAnsi"/>
          <w:u w:val="single"/>
        </w:rPr>
      </w:pPr>
      <w:r w:rsidRPr="00025B9C">
        <w:rPr>
          <w:rFonts w:asciiTheme="minorHAnsi" w:hAnsiTheme="minorHAnsi" w:cstheme="minorHAnsi"/>
          <w:u w:val="single"/>
        </w:rPr>
        <w:t>9</w:t>
      </w:r>
      <w:r w:rsidR="00DC0BB5" w:rsidRPr="00025B9C">
        <w:rPr>
          <w:rFonts w:asciiTheme="minorHAnsi" w:hAnsiTheme="minorHAnsi" w:cstheme="minorHAnsi"/>
          <w:u w:val="single"/>
        </w:rPr>
        <w:t xml:space="preserve">. </w:t>
      </w:r>
      <w:r w:rsidR="002A1E0B" w:rsidRPr="00025B9C">
        <w:rPr>
          <w:rFonts w:asciiTheme="minorHAnsi" w:hAnsiTheme="minorHAnsi" w:cstheme="minorHAnsi"/>
          <w:u w:val="single"/>
        </w:rPr>
        <w:t xml:space="preserve">Concealment or denial </w:t>
      </w:r>
    </w:p>
    <w:p w:rsidR="00F00688" w:rsidRPr="00025B9C" w:rsidRDefault="0034256C" w:rsidP="00D665D9">
      <w:pPr>
        <w:spacing w:line="360" w:lineRule="auto"/>
        <w:jc w:val="both"/>
        <w:rPr>
          <w:rFonts w:asciiTheme="minorHAnsi" w:hAnsiTheme="minorHAnsi" w:cstheme="minorHAnsi"/>
        </w:rPr>
      </w:pPr>
      <w:r w:rsidRPr="00025B9C">
        <w:rPr>
          <w:rFonts w:asciiTheme="minorHAnsi" w:hAnsiTheme="minorHAnsi" w:cstheme="minorHAnsi"/>
        </w:rPr>
        <w:t xml:space="preserve">Not all companies are quite so upfront about their view of the Code. </w:t>
      </w:r>
      <w:r w:rsidR="00A43781" w:rsidRPr="00025B9C">
        <w:rPr>
          <w:rFonts w:asciiTheme="minorHAnsi" w:hAnsiTheme="minorHAnsi" w:cstheme="minorHAnsi"/>
        </w:rPr>
        <w:t>Concealment is concerned with hiding or disguising non-conformity.</w:t>
      </w:r>
      <w:r w:rsidR="008C7932" w:rsidRPr="00025B9C">
        <w:rPr>
          <w:rFonts w:asciiTheme="minorHAnsi" w:hAnsiTheme="minorHAnsi" w:cstheme="minorHAnsi"/>
        </w:rPr>
        <w:t xml:space="preserve"> </w:t>
      </w:r>
      <w:r w:rsidR="00565610" w:rsidRPr="00025B9C">
        <w:rPr>
          <w:rFonts w:asciiTheme="minorHAnsi" w:hAnsiTheme="minorHAnsi" w:cstheme="minorHAnsi"/>
        </w:rPr>
        <w:t>D</w:t>
      </w:r>
      <w:r w:rsidR="007E76BD" w:rsidRPr="00025B9C">
        <w:rPr>
          <w:rFonts w:asciiTheme="minorHAnsi" w:hAnsiTheme="minorHAnsi" w:cstheme="minorHAnsi"/>
        </w:rPr>
        <w:t xml:space="preserve">enial implies </w:t>
      </w:r>
      <w:r w:rsidR="0009343B" w:rsidRPr="00025B9C">
        <w:rPr>
          <w:rFonts w:asciiTheme="minorHAnsi" w:hAnsiTheme="minorHAnsi" w:cstheme="minorHAnsi"/>
        </w:rPr>
        <w:t xml:space="preserve">the event </w:t>
      </w:r>
      <w:r w:rsidR="00416487" w:rsidRPr="00025B9C">
        <w:rPr>
          <w:rFonts w:asciiTheme="minorHAnsi" w:hAnsiTheme="minorHAnsi" w:cstheme="minorHAnsi"/>
        </w:rPr>
        <w:t xml:space="preserve">of </w:t>
      </w:r>
      <w:r w:rsidR="0009343B" w:rsidRPr="00025B9C">
        <w:rPr>
          <w:rFonts w:asciiTheme="minorHAnsi" w:hAnsiTheme="minorHAnsi" w:cstheme="minorHAnsi"/>
        </w:rPr>
        <w:t>non-compliance did not occur (</w:t>
      </w:r>
      <w:proofErr w:type="spellStart"/>
      <w:r w:rsidR="0009343B" w:rsidRPr="00025B9C">
        <w:rPr>
          <w:rFonts w:asciiTheme="minorHAnsi" w:hAnsiTheme="minorHAnsi" w:cstheme="minorHAnsi"/>
        </w:rPr>
        <w:t>Schonbach</w:t>
      </w:r>
      <w:proofErr w:type="spellEnd"/>
      <w:r w:rsidR="0009343B" w:rsidRPr="00025B9C">
        <w:rPr>
          <w:rFonts w:asciiTheme="minorHAnsi" w:hAnsiTheme="minorHAnsi" w:cstheme="minorHAnsi"/>
        </w:rPr>
        <w:t xml:space="preserve">, 1980) or </w:t>
      </w:r>
      <w:r w:rsidR="007E76BD" w:rsidRPr="00025B9C">
        <w:rPr>
          <w:rFonts w:asciiTheme="minorHAnsi" w:hAnsiTheme="minorHAnsi" w:cstheme="minorHAnsi"/>
        </w:rPr>
        <w:t xml:space="preserve">that managers </w:t>
      </w:r>
      <w:r w:rsidR="0009343B" w:rsidRPr="00025B9C">
        <w:rPr>
          <w:rFonts w:asciiTheme="minorHAnsi" w:hAnsiTheme="minorHAnsi" w:cstheme="minorHAnsi"/>
        </w:rPr>
        <w:t>claim</w:t>
      </w:r>
      <w:r w:rsidR="007E76BD" w:rsidRPr="00025B9C">
        <w:rPr>
          <w:rFonts w:asciiTheme="minorHAnsi" w:hAnsiTheme="minorHAnsi" w:cstheme="minorHAnsi"/>
        </w:rPr>
        <w:t xml:space="preserve"> to be </w:t>
      </w:r>
      <w:r w:rsidR="0009343B" w:rsidRPr="00025B9C">
        <w:rPr>
          <w:rFonts w:asciiTheme="minorHAnsi" w:hAnsiTheme="minorHAnsi" w:cstheme="minorHAnsi"/>
        </w:rPr>
        <w:t>innocen</w:t>
      </w:r>
      <w:r w:rsidR="007E76BD" w:rsidRPr="00025B9C">
        <w:rPr>
          <w:rFonts w:asciiTheme="minorHAnsi" w:hAnsiTheme="minorHAnsi" w:cstheme="minorHAnsi"/>
        </w:rPr>
        <w:t>t</w:t>
      </w:r>
      <w:r w:rsidR="0009343B" w:rsidRPr="00025B9C">
        <w:rPr>
          <w:rFonts w:asciiTheme="minorHAnsi" w:hAnsiTheme="minorHAnsi" w:cstheme="minorHAnsi"/>
        </w:rPr>
        <w:t xml:space="preserve"> of the event (</w:t>
      </w:r>
      <w:proofErr w:type="spellStart"/>
      <w:r w:rsidR="0009343B" w:rsidRPr="00025B9C">
        <w:rPr>
          <w:rFonts w:asciiTheme="minorHAnsi" w:hAnsiTheme="minorHAnsi" w:cstheme="minorHAnsi"/>
        </w:rPr>
        <w:t>Schlenker</w:t>
      </w:r>
      <w:proofErr w:type="spellEnd"/>
      <w:r w:rsidR="0009343B" w:rsidRPr="00025B9C">
        <w:rPr>
          <w:rFonts w:asciiTheme="minorHAnsi" w:hAnsiTheme="minorHAnsi" w:cstheme="minorHAnsi"/>
        </w:rPr>
        <w:t>, 1980).</w:t>
      </w:r>
      <w:r w:rsidR="002A1E0B" w:rsidRPr="00025B9C">
        <w:rPr>
          <w:rFonts w:asciiTheme="minorHAnsi" w:hAnsiTheme="minorHAnsi" w:cstheme="minorHAnsi"/>
        </w:rPr>
        <w:t xml:space="preserve"> </w:t>
      </w:r>
      <w:r w:rsidR="00C8669B" w:rsidRPr="00025B9C">
        <w:rPr>
          <w:rFonts w:asciiTheme="minorHAnsi" w:hAnsiTheme="minorHAnsi" w:cstheme="minorHAnsi"/>
        </w:rPr>
        <w:t>T</w:t>
      </w:r>
      <w:r w:rsidR="00F57D39" w:rsidRPr="00025B9C">
        <w:rPr>
          <w:rFonts w:asciiTheme="minorHAnsi" w:hAnsiTheme="minorHAnsi" w:cstheme="minorHAnsi"/>
        </w:rPr>
        <w:t xml:space="preserve">his can make non-compliance appear to mimic compliance. </w:t>
      </w:r>
      <w:r w:rsidR="00883B64" w:rsidRPr="00025B9C">
        <w:rPr>
          <w:rFonts w:asciiTheme="minorHAnsi" w:hAnsiTheme="minorHAnsi" w:cstheme="minorHAnsi"/>
        </w:rPr>
        <w:t>In the context of</w:t>
      </w:r>
      <w:r w:rsidR="004E0313" w:rsidRPr="00025B9C">
        <w:rPr>
          <w:rFonts w:asciiTheme="minorHAnsi" w:hAnsiTheme="minorHAnsi" w:cstheme="minorHAnsi"/>
        </w:rPr>
        <w:t xml:space="preserve"> non-compliance </w:t>
      </w:r>
      <w:r w:rsidR="00883B64" w:rsidRPr="00025B9C">
        <w:rPr>
          <w:rFonts w:asciiTheme="minorHAnsi" w:hAnsiTheme="minorHAnsi" w:cstheme="minorHAnsi"/>
        </w:rPr>
        <w:t xml:space="preserve">explanations, </w:t>
      </w:r>
      <w:r w:rsidR="009C6ACB" w:rsidRPr="00025B9C">
        <w:rPr>
          <w:rFonts w:asciiTheme="minorHAnsi" w:hAnsiTheme="minorHAnsi" w:cstheme="minorHAnsi"/>
        </w:rPr>
        <w:t>there are a number of possibilities</w:t>
      </w:r>
      <w:r w:rsidR="004E0313" w:rsidRPr="00025B9C">
        <w:rPr>
          <w:rFonts w:asciiTheme="minorHAnsi" w:hAnsiTheme="minorHAnsi" w:cstheme="minorHAnsi"/>
        </w:rPr>
        <w:t>.</w:t>
      </w:r>
      <w:r w:rsidR="00BF18F7" w:rsidRPr="00025B9C">
        <w:rPr>
          <w:rFonts w:asciiTheme="minorHAnsi" w:hAnsiTheme="minorHAnsi" w:cstheme="minorHAnsi"/>
        </w:rPr>
        <w:t xml:space="preserve"> </w:t>
      </w:r>
      <w:r w:rsidR="00FC06E9" w:rsidRPr="00025B9C">
        <w:rPr>
          <w:rFonts w:asciiTheme="minorHAnsi" w:hAnsiTheme="minorHAnsi" w:cstheme="minorHAnsi"/>
        </w:rPr>
        <w:t>C</w:t>
      </w:r>
      <w:r w:rsidR="000F3422" w:rsidRPr="00025B9C">
        <w:rPr>
          <w:rFonts w:asciiTheme="minorHAnsi" w:hAnsiTheme="minorHAnsi" w:cstheme="minorHAnsi"/>
        </w:rPr>
        <w:t>ompanies</w:t>
      </w:r>
      <w:r w:rsidR="00BF18F7" w:rsidRPr="00025B9C">
        <w:rPr>
          <w:rFonts w:asciiTheme="minorHAnsi" w:hAnsiTheme="minorHAnsi" w:cstheme="minorHAnsi"/>
        </w:rPr>
        <w:t xml:space="preserve"> could claim compliance despite not complying or admit to some non-compliance without disclosing all </w:t>
      </w:r>
      <w:r w:rsidR="00E67DD7" w:rsidRPr="00025B9C">
        <w:rPr>
          <w:rFonts w:asciiTheme="minorHAnsi" w:hAnsiTheme="minorHAnsi" w:cstheme="minorHAnsi"/>
        </w:rPr>
        <w:t>non-compliance.</w:t>
      </w:r>
      <w:r w:rsidR="00BF18F7" w:rsidRPr="00025B9C">
        <w:rPr>
          <w:rFonts w:asciiTheme="minorHAnsi" w:hAnsiTheme="minorHAnsi" w:cstheme="minorHAnsi"/>
        </w:rPr>
        <w:t xml:space="preserve"> In this study</w:t>
      </w:r>
      <w:r w:rsidR="00946EBB" w:rsidRPr="00025B9C">
        <w:rPr>
          <w:rFonts w:asciiTheme="minorHAnsi" w:hAnsiTheme="minorHAnsi" w:cstheme="minorHAnsi"/>
        </w:rPr>
        <w:t>, non-compliance not explained/omission of explanations</w:t>
      </w:r>
      <w:r w:rsidR="00BF18F7" w:rsidRPr="00025B9C">
        <w:rPr>
          <w:rFonts w:asciiTheme="minorHAnsi" w:hAnsiTheme="minorHAnsi" w:cstheme="minorHAnsi"/>
        </w:rPr>
        <w:t xml:space="preserve"> would be difficult to </w:t>
      </w:r>
      <w:r w:rsidR="00C51F47" w:rsidRPr="00025B9C">
        <w:rPr>
          <w:rFonts w:asciiTheme="minorHAnsi" w:hAnsiTheme="minorHAnsi" w:cstheme="minorHAnsi"/>
        </w:rPr>
        <w:t>identify</w:t>
      </w:r>
      <w:r w:rsidR="00BF18F7" w:rsidRPr="00025B9C">
        <w:rPr>
          <w:rFonts w:asciiTheme="minorHAnsi" w:hAnsiTheme="minorHAnsi" w:cstheme="minorHAnsi"/>
        </w:rPr>
        <w:t xml:space="preserve"> without </w:t>
      </w:r>
      <w:r w:rsidR="00026CED" w:rsidRPr="00025B9C">
        <w:rPr>
          <w:rFonts w:asciiTheme="minorHAnsi" w:hAnsiTheme="minorHAnsi" w:cstheme="minorHAnsi"/>
        </w:rPr>
        <w:t>undertaking</w:t>
      </w:r>
      <w:r w:rsidR="00BF18F7" w:rsidRPr="00025B9C">
        <w:rPr>
          <w:rFonts w:asciiTheme="minorHAnsi" w:hAnsiTheme="minorHAnsi" w:cstheme="minorHAnsi"/>
        </w:rPr>
        <w:t xml:space="preserve"> an audit of the business</w:t>
      </w:r>
      <w:r w:rsidR="00D631F3" w:rsidRPr="00025B9C">
        <w:rPr>
          <w:rFonts w:asciiTheme="minorHAnsi" w:hAnsiTheme="minorHAnsi" w:cstheme="minorHAnsi"/>
        </w:rPr>
        <w:t xml:space="preserve"> (although th</w:t>
      </w:r>
      <w:r w:rsidR="00064C89" w:rsidRPr="00025B9C">
        <w:rPr>
          <w:rFonts w:asciiTheme="minorHAnsi" w:hAnsiTheme="minorHAnsi" w:cstheme="minorHAnsi"/>
        </w:rPr>
        <w:t>is</w:t>
      </w:r>
      <w:r w:rsidR="00D631F3" w:rsidRPr="00025B9C">
        <w:rPr>
          <w:rFonts w:asciiTheme="minorHAnsi" w:hAnsiTheme="minorHAnsi" w:cstheme="minorHAnsi"/>
        </w:rPr>
        <w:t xml:space="preserve"> remain</w:t>
      </w:r>
      <w:r w:rsidR="00064C89" w:rsidRPr="00025B9C">
        <w:rPr>
          <w:rFonts w:asciiTheme="minorHAnsi" w:hAnsiTheme="minorHAnsi" w:cstheme="minorHAnsi"/>
        </w:rPr>
        <w:t>s</w:t>
      </w:r>
      <w:r w:rsidR="00D631F3" w:rsidRPr="00025B9C">
        <w:rPr>
          <w:rFonts w:asciiTheme="minorHAnsi" w:hAnsiTheme="minorHAnsi" w:cstheme="minorHAnsi"/>
        </w:rPr>
        <w:t xml:space="preserve"> </w:t>
      </w:r>
      <w:r w:rsidR="00064C89" w:rsidRPr="00025B9C">
        <w:rPr>
          <w:rFonts w:asciiTheme="minorHAnsi" w:hAnsiTheme="minorHAnsi" w:cstheme="minorHAnsi"/>
        </w:rPr>
        <w:t xml:space="preserve">an </w:t>
      </w:r>
      <w:r w:rsidR="00D631F3" w:rsidRPr="00025B9C">
        <w:rPr>
          <w:rFonts w:asciiTheme="minorHAnsi" w:hAnsiTheme="minorHAnsi" w:cstheme="minorHAnsi"/>
        </w:rPr>
        <w:t>important area for further work)</w:t>
      </w:r>
      <w:r w:rsidR="00883B64" w:rsidRPr="00025B9C">
        <w:rPr>
          <w:rFonts w:asciiTheme="minorHAnsi" w:hAnsiTheme="minorHAnsi" w:cstheme="minorHAnsi"/>
        </w:rPr>
        <w:t>.</w:t>
      </w:r>
      <w:r w:rsidR="00221E92" w:rsidRPr="00025B9C">
        <w:rPr>
          <w:rFonts w:asciiTheme="minorHAnsi" w:hAnsiTheme="minorHAnsi" w:cstheme="minorHAnsi"/>
        </w:rPr>
        <w:t xml:space="preserve"> </w:t>
      </w:r>
      <w:r w:rsidR="00F00688" w:rsidRPr="00025B9C">
        <w:rPr>
          <w:rFonts w:asciiTheme="minorHAnsi" w:hAnsiTheme="minorHAnsi" w:cstheme="minorHAnsi"/>
        </w:rPr>
        <w:t xml:space="preserve">Four </w:t>
      </w:r>
      <w:r w:rsidR="00D631F3" w:rsidRPr="00025B9C">
        <w:rPr>
          <w:rFonts w:asciiTheme="minorHAnsi" w:hAnsiTheme="minorHAnsi" w:cstheme="minorHAnsi"/>
        </w:rPr>
        <w:t>concealment</w:t>
      </w:r>
      <w:r w:rsidR="00064C89" w:rsidRPr="00025B9C">
        <w:rPr>
          <w:rFonts w:asciiTheme="minorHAnsi" w:hAnsiTheme="minorHAnsi" w:cstheme="minorHAnsi"/>
        </w:rPr>
        <w:t xml:space="preserve"> </w:t>
      </w:r>
      <w:r w:rsidR="00431735" w:rsidRPr="00025B9C">
        <w:rPr>
          <w:rFonts w:asciiTheme="minorHAnsi" w:hAnsiTheme="minorHAnsi" w:cstheme="minorHAnsi"/>
        </w:rPr>
        <w:t xml:space="preserve">rhetorical </w:t>
      </w:r>
      <w:r w:rsidR="00F00688" w:rsidRPr="00025B9C">
        <w:rPr>
          <w:rFonts w:asciiTheme="minorHAnsi" w:hAnsiTheme="minorHAnsi" w:cstheme="minorHAnsi"/>
        </w:rPr>
        <w:t>strategies</w:t>
      </w:r>
      <w:r w:rsidR="003045A8" w:rsidRPr="00025B9C">
        <w:rPr>
          <w:rFonts w:asciiTheme="minorHAnsi" w:hAnsiTheme="minorHAnsi" w:cstheme="minorHAnsi"/>
        </w:rPr>
        <w:t xml:space="preserve"> </w:t>
      </w:r>
      <w:r w:rsidR="00883B64" w:rsidRPr="00025B9C">
        <w:rPr>
          <w:rFonts w:asciiTheme="minorHAnsi" w:hAnsiTheme="minorHAnsi" w:cstheme="minorHAnsi"/>
        </w:rPr>
        <w:t xml:space="preserve">are included in </w:t>
      </w:r>
      <w:r w:rsidR="00285A25" w:rsidRPr="00025B9C">
        <w:rPr>
          <w:rFonts w:asciiTheme="minorHAnsi" w:hAnsiTheme="minorHAnsi" w:cstheme="minorHAnsi"/>
        </w:rPr>
        <w:t>our</w:t>
      </w:r>
      <w:r w:rsidR="00883B64" w:rsidRPr="00025B9C">
        <w:rPr>
          <w:rFonts w:asciiTheme="minorHAnsi" w:hAnsiTheme="minorHAnsi" w:cstheme="minorHAnsi"/>
        </w:rPr>
        <w:t xml:space="preserve"> typology</w:t>
      </w:r>
      <w:r w:rsidR="00DE7A58" w:rsidRPr="00025B9C">
        <w:rPr>
          <w:rFonts w:asciiTheme="minorHAnsi" w:hAnsiTheme="minorHAnsi" w:cstheme="minorHAnsi"/>
        </w:rPr>
        <w:t>:</w:t>
      </w:r>
      <w:r w:rsidR="00F00688" w:rsidRPr="00025B9C">
        <w:rPr>
          <w:rFonts w:asciiTheme="minorHAnsi" w:hAnsiTheme="minorHAnsi" w:cstheme="minorHAnsi"/>
        </w:rPr>
        <w:t xml:space="preserve"> </w:t>
      </w:r>
    </w:p>
    <w:p w:rsidR="004E0313" w:rsidRPr="00025B9C" w:rsidRDefault="003045A8" w:rsidP="00D665D9">
      <w:pPr>
        <w:pStyle w:val="ListParagraph"/>
        <w:numPr>
          <w:ilvl w:val="0"/>
          <w:numId w:val="44"/>
        </w:numPr>
        <w:spacing w:after="0" w:line="360" w:lineRule="auto"/>
        <w:ind w:left="284" w:hanging="284"/>
        <w:jc w:val="both"/>
        <w:rPr>
          <w:rFonts w:asciiTheme="minorHAnsi" w:hAnsiTheme="minorHAnsi" w:cstheme="minorHAnsi"/>
          <w:sz w:val="24"/>
          <w:szCs w:val="24"/>
        </w:rPr>
      </w:pPr>
      <w:r w:rsidRPr="00025B9C">
        <w:rPr>
          <w:rFonts w:asciiTheme="minorHAnsi" w:hAnsiTheme="minorHAnsi" w:cstheme="minorHAnsi"/>
          <w:sz w:val="24"/>
          <w:szCs w:val="24"/>
        </w:rPr>
        <w:t>Non-compliance stated but no reason</w:t>
      </w:r>
      <w:r w:rsidR="00E67DD7" w:rsidRPr="00025B9C">
        <w:rPr>
          <w:rFonts w:asciiTheme="minorHAnsi" w:hAnsiTheme="minorHAnsi" w:cstheme="minorHAnsi"/>
          <w:sz w:val="24"/>
          <w:szCs w:val="24"/>
        </w:rPr>
        <w:t>/explanation</w:t>
      </w:r>
      <w:r w:rsidRPr="00025B9C">
        <w:rPr>
          <w:rFonts w:asciiTheme="minorHAnsi" w:hAnsiTheme="minorHAnsi" w:cstheme="minorHAnsi"/>
          <w:sz w:val="24"/>
          <w:szCs w:val="24"/>
        </w:rPr>
        <w:t xml:space="preserve"> given</w:t>
      </w:r>
      <w:r w:rsidR="00D631F3" w:rsidRPr="00025B9C">
        <w:rPr>
          <w:rFonts w:asciiTheme="minorHAnsi" w:hAnsiTheme="minorHAnsi" w:cstheme="minorHAnsi"/>
          <w:sz w:val="24"/>
          <w:szCs w:val="24"/>
        </w:rPr>
        <w:t xml:space="preserve"> (</w:t>
      </w:r>
      <w:r w:rsidR="00634A79" w:rsidRPr="00025B9C">
        <w:rPr>
          <w:rFonts w:asciiTheme="minorHAnsi" w:hAnsiTheme="minorHAnsi" w:cstheme="minorHAnsi"/>
          <w:sz w:val="24"/>
        </w:rPr>
        <w:t>rhetorical strategy</w:t>
      </w:r>
      <w:r w:rsidR="00570CF5" w:rsidRPr="00025B9C">
        <w:rPr>
          <w:rFonts w:asciiTheme="minorHAnsi" w:hAnsiTheme="minorHAnsi" w:cstheme="minorHAnsi"/>
          <w:sz w:val="24"/>
          <w:szCs w:val="24"/>
        </w:rPr>
        <w:t xml:space="preserve"> 9</w:t>
      </w:r>
      <w:r w:rsidR="00D631F3" w:rsidRPr="00025B9C">
        <w:rPr>
          <w:rFonts w:asciiTheme="minorHAnsi" w:hAnsiTheme="minorHAnsi" w:cstheme="minorHAnsi"/>
          <w:sz w:val="24"/>
          <w:szCs w:val="24"/>
        </w:rPr>
        <w:t>a)</w:t>
      </w:r>
      <w:r w:rsidR="00D636A4" w:rsidRPr="00025B9C">
        <w:rPr>
          <w:rFonts w:asciiTheme="minorHAnsi" w:hAnsiTheme="minorHAnsi" w:cstheme="minorHAnsi"/>
          <w:sz w:val="24"/>
          <w:szCs w:val="24"/>
        </w:rPr>
        <w:t xml:space="preserve">. </w:t>
      </w:r>
      <w:r w:rsidR="00642925" w:rsidRPr="00025B9C">
        <w:rPr>
          <w:rFonts w:asciiTheme="minorHAnsi" w:hAnsiTheme="minorHAnsi" w:cstheme="minorHAnsi"/>
          <w:sz w:val="24"/>
          <w:szCs w:val="24"/>
        </w:rPr>
        <w:t xml:space="preserve">This also applies where the company states that the issue is now resolved but does not </w:t>
      </w:r>
      <w:r w:rsidR="00AD5F8A" w:rsidRPr="00025B9C">
        <w:rPr>
          <w:rFonts w:asciiTheme="minorHAnsi" w:hAnsiTheme="minorHAnsi" w:cstheme="minorHAnsi"/>
          <w:sz w:val="24"/>
          <w:szCs w:val="24"/>
        </w:rPr>
        <w:t xml:space="preserve">provide </w:t>
      </w:r>
      <w:r w:rsidR="00642925" w:rsidRPr="00025B9C">
        <w:rPr>
          <w:rFonts w:asciiTheme="minorHAnsi" w:hAnsiTheme="minorHAnsi" w:cstheme="minorHAnsi"/>
          <w:i/>
          <w:sz w:val="24"/>
          <w:szCs w:val="24"/>
        </w:rPr>
        <w:t>an</w:t>
      </w:r>
      <w:r w:rsidR="00AD5F8A" w:rsidRPr="00025B9C">
        <w:rPr>
          <w:rFonts w:asciiTheme="minorHAnsi" w:hAnsiTheme="minorHAnsi" w:cstheme="minorHAnsi"/>
          <w:i/>
          <w:sz w:val="24"/>
          <w:szCs w:val="24"/>
        </w:rPr>
        <w:t>y</w:t>
      </w:r>
      <w:r w:rsidR="00642925" w:rsidRPr="00025B9C">
        <w:rPr>
          <w:rFonts w:asciiTheme="minorHAnsi" w:hAnsiTheme="minorHAnsi" w:cstheme="minorHAnsi"/>
          <w:sz w:val="24"/>
          <w:szCs w:val="24"/>
        </w:rPr>
        <w:t xml:space="preserve"> explanation</w:t>
      </w:r>
      <w:r w:rsidR="00AD5F8A" w:rsidRPr="00025B9C">
        <w:rPr>
          <w:rFonts w:asciiTheme="minorHAnsi" w:hAnsiTheme="minorHAnsi" w:cstheme="minorHAnsi"/>
          <w:sz w:val="24"/>
          <w:szCs w:val="24"/>
        </w:rPr>
        <w:t xml:space="preserve"> as to why </w:t>
      </w:r>
      <w:r w:rsidR="00D631F3" w:rsidRPr="00025B9C">
        <w:rPr>
          <w:rFonts w:asciiTheme="minorHAnsi" w:hAnsiTheme="minorHAnsi" w:cstheme="minorHAnsi"/>
          <w:sz w:val="24"/>
          <w:szCs w:val="24"/>
        </w:rPr>
        <w:t>the issue occurred</w:t>
      </w:r>
      <w:r w:rsidR="00AD5F8A" w:rsidRPr="00025B9C">
        <w:rPr>
          <w:rFonts w:asciiTheme="minorHAnsi" w:hAnsiTheme="minorHAnsi" w:cstheme="minorHAnsi"/>
          <w:sz w:val="24"/>
          <w:szCs w:val="24"/>
        </w:rPr>
        <w:t xml:space="preserve"> in the first instance</w:t>
      </w:r>
      <w:r w:rsidR="00642925" w:rsidRPr="00025B9C">
        <w:rPr>
          <w:rFonts w:asciiTheme="minorHAnsi" w:hAnsiTheme="minorHAnsi" w:cstheme="minorHAnsi"/>
          <w:sz w:val="24"/>
          <w:szCs w:val="24"/>
        </w:rPr>
        <w:t>.</w:t>
      </w:r>
      <w:r w:rsidR="004B6090" w:rsidRPr="00025B9C">
        <w:rPr>
          <w:rFonts w:asciiTheme="minorHAnsi" w:hAnsiTheme="minorHAnsi" w:cstheme="minorHAnsi"/>
          <w:sz w:val="24"/>
          <w:szCs w:val="24"/>
        </w:rPr>
        <w:t xml:space="preserve"> </w:t>
      </w:r>
      <w:r w:rsidR="008E41B9" w:rsidRPr="00025B9C">
        <w:rPr>
          <w:rFonts w:asciiTheme="minorHAnsi" w:hAnsiTheme="minorHAnsi" w:cstheme="minorHAnsi"/>
          <w:sz w:val="24"/>
          <w:szCs w:val="24"/>
        </w:rPr>
        <w:t xml:space="preserve">If readers have to ask further questions, then the explanation is not fully articulated. </w:t>
      </w:r>
      <w:r w:rsidR="006A1E5B" w:rsidRPr="00025B9C">
        <w:rPr>
          <w:rFonts w:asciiTheme="minorHAnsi" w:hAnsiTheme="minorHAnsi" w:cstheme="minorHAnsi"/>
          <w:sz w:val="24"/>
          <w:szCs w:val="24"/>
        </w:rPr>
        <w:t>R</w:t>
      </w:r>
      <w:r w:rsidR="00F57D39" w:rsidRPr="00025B9C">
        <w:rPr>
          <w:rFonts w:asciiTheme="minorHAnsi" w:hAnsiTheme="minorHAnsi" w:cstheme="minorHAnsi"/>
          <w:sz w:val="24"/>
          <w:szCs w:val="24"/>
        </w:rPr>
        <w:t>eader</w:t>
      </w:r>
      <w:r w:rsidR="006A1E5B" w:rsidRPr="00025B9C">
        <w:rPr>
          <w:rFonts w:asciiTheme="minorHAnsi" w:hAnsiTheme="minorHAnsi" w:cstheme="minorHAnsi"/>
          <w:sz w:val="24"/>
          <w:szCs w:val="24"/>
        </w:rPr>
        <w:t>s</w:t>
      </w:r>
      <w:r w:rsidR="00F57D39" w:rsidRPr="00025B9C">
        <w:rPr>
          <w:rFonts w:asciiTheme="minorHAnsi" w:hAnsiTheme="minorHAnsi" w:cstheme="minorHAnsi"/>
          <w:sz w:val="24"/>
          <w:szCs w:val="24"/>
        </w:rPr>
        <w:t xml:space="preserve"> may not even appreciate that it is non-compliance that is being described. Because no explanation is provided</w:t>
      </w:r>
      <w:r w:rsidR="00C8669B" w:rsidRPr="00025B9C">
        <w:rPr>
          <w:rFonts w:asciiTheme="minorHAnsi" w:hAnsiTheme="minorHAnsi" w:cstheme="minorHAnsi"/>
          <w:sz w:val="24"/>
          <w:szCs w:val="24"/>
        </w:rPr>
        <w:t>,</w:t>
      </w:r>
      <w:r w:rsidR="00476E0A" w:rsidRPr="00025B9C">
        <w:rPr>
          <w:rFonts w:asciiTheme="minorHAnsi" w:hAnsiTheme="minorHAnsi" w:cstheme="minorHAnsi"/>
          <w:sz w:val="24"/>
          <w:szCs w:val="24"/>
        </w:rPr>
        <w:t xml:space="preserve"> it may be in</w:t>
      </w:r>
      <w:r w:rsidR="00F57D39" w:rsidRPr="00025B9C">
        <w:rPr>
          <w:rFonts w:asciiTheme="minorHAnsi" w:hAnsiTheme="minorHAnsi" w:cstheme="minorHAnsi"/>
          <w:sz w:val="24"/>
          <w:szCs w:val="24"/>
        </w:rPr>
        <w:t>distinguishable from compliance</w:t>
      </w:r>
      <w:r w:rsidR="00476E0A" w:rsidRPr="00025B9C">
        <w:rPr>
          <w:rFonts w:asciiTheme="minorHAnsi" w:hAnsiTheme="minorHAnsi" w:cstheme="minorHAnsi"/>
          <w:sz w:val="24"/>
          <w:szCs w:val="24"/>
        </w:rPr>
        <w:t>,</w:t>
      </w:r>
      <w:r w:rsidR="00F57D39" w:rsidRPr="00025B9C">
        <w:rPr>
          <w:rFonts w:asciiTheme="minorHAnsi" w:hAnsiTheme="minorHAnsi" w:cstheme="minorHAnsi"/>
          <w:sz w:val="24"/>
          <w:szCs w:val="24"/>
        </w:rPr>
        <w:t xml:space="preserve"> especially </w:t>
      </w:r>
      <w:r w:rsidR="00416487" w:rsidRPr="00025B9C">
        <w:rPr>
          <w:rFonts w:asciiTheme="minorHAnsi" w:hAnsiTheme="minorHAnsi" w:cstheme="minorHAnsi"/>
          <w:sz w:val="24"/>
          <w:szCs w:val="24"/>
        </w:rPr>
        <w:t>where</w:t>
      </w:r>
      <w:r w:rsidR="00F57D39" w:rsidRPr="00025B9C">
        <w:rPr>
          <w:rFonts w:asciiTheme="minorHAnsi" w:hAnsiTheme="minorHAnsi" w:cstheme="minorHAnsi"/>
          <w:sz w:val="24"/>
          <w:szCs w:val="24"/>
        </w:rPr>
        <w:t xml:space="preserve"> reader</w:t>
      </w:r>
      <w:r w:rsidR="006A1E5B" w:rsidRPr="00025B9C">
        <w:rPr>
          <w:rFonts w:asciiTheme="minorHAnsi" w:hAnsiTheme="minorHAnsi" w:cstheme="minorHAnsi"/>
          <w:sz w:val="24"/>
          <w:szCs w:val="24"/>
        </w:rPr>
        <w:t>s</w:t>
      </w:r>
      <w:r w:rsidR="00F57D39" w:rsidRPr="00025B9C">
        <w:rPr>
          <w:rFonts w:asciiTheme="minorHAnsi" w:hAnsiTheme="minorHAnsi" w:cstheme="minorHAnsi"/>
          <w:sz w:val="24"/>
          <w:szCs w:val="24"/>
        </w:rPr>
        <w:t xml:space="preserve"> do not have detailed knowledge of the Code. </w:t>
      </w:r>
    </w:p>
    <w:p w:rsidR="001E5E17" w:rsidRPr="00025B9C" w:rsidRDefault="00D636A4" w:rsidP="00D665D9">
      <w:pPr>
        <w:pStyle w:val="ListParagraph"/>
        <w:numPr>
          <w:ilvl w:val="0"/>
          <w:numId w:val="44"/>
        </w:numPr>
        <w:spacing w:after="0" w:line="360" w:lineRule="auto"/>
        <w:ind w:left="284" w:hanging="284"/>
        <w:jc w:val="both"/>
        <w:rPr>
          <w:rFonts w:asciiTheme="minorHAnsi" w:hAnsiTheme="minorHAnsi" w:cstheme="minorHAnsi"/>
          <w:sz w:val="24"/>
          <w:szCs w:val="24"/>
        </w:rPr>
      </w:pPr>
      <w:r w:rsidRPr="00025B9C">
        <w:rPr>
          <w:rFonts w:asciiTheme="minorHAnsi" w:hAnsiTheme="minorHAnsi" w:cstheme="minorHAnsi"/>
          <w:sz w:val="24"/>
          <w:szCs w:val="24"/>
        </w:rPr>
        <w:t>Companies</w:t>
      </w:r>
      <w:r w:rsidR="00C80681" w:rsidRPr="00025B9C">
        <w:rPr>
          <w:rFonts w:asciiTheme="minorHAnsi" w:hAnsiTheme="minorHAnsi" w:cstheme="minorHAnsi"/>
          <w:sz w:val="24"/>
          <w:szCs w:val="24"/>
        </w:rPr>
        <w:t xml:space="preserve"> (i.e.</w:t>
      </w:r>
      <w:r w:rsidR="000F3422" w:rsidRPr="00025B9C">
        <w:rPr>
          <w:rFonts w:asciiTheme="minorHAnsi" w:hAnsiTheme="minorHAnsi" w:cstheme="minorHAnsi"/>
          <w:sz w:val="24"/>
          <w:szCs w:val="24"/>
        </w:rPr>
        <w:t>,</w:t>
      </w:r>
      <w:r w:rsidR="00C80681" w:rsidRPr="00025B9C">
        <w:rPr>
          <w:rFonts w:asciiTheme="minorHAnsi" w:hAnsiTheme="minorHAnsi" w:cstheme="minorHAnsi"/>
          <w:sz w:val="24"/>
          <w:szCs w:val="24"/>
        </w:rPr>
        <w:t xml:space="preserve"> the managers that write the reports)</w:t>
      </w:r>
      <w:r w:rsidRPr="00025B9C">
        <w:rPr>
          <w:rFonts w:asciiTheme="minorHAnsi" w:hAnsiTheme="minorHAnsi" w:cstheme="minorHAnsi"/>
          <w:sz w:val="24"/>
          <w:szCs w:val="24"/>
        </w:rPr>
        <w:t xml:space="preserve"> may try</w:t>
      </w:r>
      <w:r w:rsidR="001E5E17" w:rsidRPr="00025B9C">
        <w:rPr>
          <w:rFonts w:asciiTheme="minorHAnsi" w:hAnsiTheme="minorHAnsi" w:cstheme="minorHAnsi"/>
          <w:sz w:val="24"/>
          <w:szCs w:val="24"/>
        </w:rPr>
        <w:t xml:space="preserve"> to </w:t>
      </w:r>
      <w:r w:rsidR="00463B3E" w:rsidRPr="00025B9C">
        <w:rPr>
          <w:rFonts w:asciiTheme="minorHAnsi" w:hAnsiTheme="minorHAnsi" w:cstheme="minorHAnsi"/>
          <w:sz w:val="24"/>
          <w:szCs w:val="24"/>
        </w:rPr>
        <w:t>disguise</w:t>
      </w:r>
      <w:r w:rsidR="001E5E17" w:rsidRPr="00025B9C">
        <w:rPr>
          <w:rFonts w:asciiTheme="minorHAnsi" w:hAnsiTheme="minorHAnsi" w:cstheme="minorHAnsi"/>
          <w:sz w:val="24"/>
          <w:szCs w:val="24"/>
        </w:rPr>
        <w:t xml:space="preserve"> non-compliance through the use of </w:t>
      </w:r>
      <w:r w:rsidR="00972A37" w:rsidRPr="00025B9C">
        <w:rPr>
          <w:rFonts w:asciiTheme="minorHAnsi" w:hAnsiTheme="minorHAnsi" w:cstheme="minorHAnsi"/>
          <w:sz w:val="24"/>
          <w:szCs w:val="24"/>
        </w:rPr>
        <w:t>‘weasel words’</w:t>
      </w:r>
      <w:r w:rsidR="001E5E17" w:rsidRPr="00025B9C">
        <w:rPr>
          <w:rFonts w:asciiTheme="minorHAnsi" w:hAnsiTheme="minorHAnsi" w:cstheme="minorHAnsi"/>
          <w:sz w:val="24"/>
          <w:szCs w:val="24"/>
        </w:rPr>
        <w:t xml:space="preserve"> </w:t>
      </w:r>
      <w:r w:rsidR="00463B3E" w:rsidRPr="00025B9C">
        <w:rPr>
          <w:rFonts w:asciiTheme="minorHAnsi" w:hAnsiTheme="minorHAnsi" w:cstheme="minorHAnsi"/>
          <w:sz w:val="24"/>
          <w:szCs w:val="24"/>
        </w:rPr>
        <w:t xml:space="preserve">(words or statements that are intentionally misleading) </w:t>
      </w:r>
      <w:r w:rsidR="001E5E17" w:rsidRPr="00025B9C">
        <w:rPr>
          <w:rFonts w:asciiTheme="minorHAnsi" w:hAnsiTheme="minorHAnsi" w:cstheme="minorHAnsi"/>
          <w:sz w:val="24"/>
          <w:szCs w:val="24"/>
        </w:rPr>
        <w:t>(</w:t>
      </w:r>
      <w:r w:rsidR="00634A79" w:rsidRPr="00025B9C">
        <w:rPr>
          <w:rFonts w:asciiTheme="minorHAnsi" w:hAnsiTheme="minorHAnsi" w:cstheme="minorHAnsi"/>
          <w:sz w:val="24"/>
        </w:rPr>
        <w:t>rhetorical strategy</w:t>
      </w:r>
      <w:r w:rsidR="000C55F5" w:rsidRPr="00025B9C">
        <w:rPr>
          <w:rFonts w:asciiTheme="minorHAnsi" w:hAnsiTheme="minorHAnsi" w:cstheme="minorHAnsi"/>
          <w:sz w:val="24"/>
          <w:szCs w:val="24"/>
        </w:rPr>
        <w:t xml:space="preserve"> </w:t>
      </w:r>
      <w:r w:rsidR="00570CF5" w:rsidRPr="00025B9C">
        <w:rPr>
          <w:rFonts w:asciiTheme="minorHAnsi" w:hAnsiTheme="minorHAnsi" w:cstheme="minorHAnsi"/>
          <w:sz w:val="24"/>
          <w:szCs w:val="24"/>
        </w:rPr>
        <w:t>9</w:t>
      </w:r>
      <w:r w:rsidR="001E5E17" w:rsidRPr="00025B9C">
        <w:rPr>
          <w:rFonts w:asciiTheme="minorHAnsi" w:hAnsiTheme="minorHAnsi" w:cstheme="minorHAnsi"/>
          <w:sz w:val="24"/>
          <w:szCs w:val="24"/>
        </w:rPr>
        <w:t xml:space="preserve">b). </w:t>
      </w:r>
      <w:r w:rsidR="0032691E" w:rsidRPr="00025B9C">
        <w:rPr>
          <w:rFonts w:asciiTheme="minorHAnsi" w:hAnsiTheme="minorHAnsi" w:cstheme="minorHAnsi"/>
          <w:sz w:val="24"/>
          <w:szCs w:val="24"/>
        </w:rPr>
        <w:t>‘W</w:t>
      </w:r>
      <w:r w:rsidR="00972A37" w:rsidRPr="00025B9C">
        <w:rPr>
          <w:rFonts w:asciiTheme="minorHAnsi" w:hAnsiTheme="minorHAnsi" w:cstheme="minorHAnsi"/>
          <w:sz w:val="24"/>
          <w:szCs w:val="24"/>
        </w:rPr>
        <w:t>easel words’</w:t>
      </w:r>
      <w:r w:rsidR="001E5E17" w:rsidRPr="00025B9C">
        <w:rPr>
          <w:rFonts w:asciiTheme="minorHAnsi" w:hAnsiTheme="minorHAnsi" w:cstheme="minorHAnsi"/>
          <w:sz w:val="24"/>
          <w:szCs w:val="24"/>
        </w:rPr>
        <w:t xml:space="preserve"> are difficult to identify </w:t>
      </w:r>
      <w:r w:rsidR="001E5E17" w:rsidRPr="00025B9C">
        <w:rPr>
          <w:rFonts w:asciiTheme="minorHAnsi" w:hAnsiTheme="minorHAnsi" w:cstheme="minorHAnsi"/>
          <w:i/>
          <w:sz w:val="24"/>
          <w:szCs w:val="24"/>
        </w:rPr>
        <w:t>ex ante</w:t>
      </w:r>
      <w:r w:rsidR="001E5E17" w:rsidRPr="00025B9C">
        <w:rPr>
          <w:rFonts w:asciiTheme="minorHAnsi" w:hAnsiTheme="minorHAnsi" w:cstheme="minorHAnsi"/>
          <w:sz w:val="24"/>
          <w:szCs w:val="24"/>
        </w:rPr>
        <w:t xml:space="preserve"> as they are likely to vary from company to company</w:t>
      </w:r>
      <w:r w:rsidR="00221E92" w:rsidRPr="00025B9C">
        <w:rPr>
          <w:rFonts w:asciiTheme="minorHAnsi" w:hAnsiTheme="minorHAnsi" w:cstheme="minorHAnsi"/>
          <w:sz w:val="24"/>
          <w:szCs w:val="24"/>
        </w:rPr>
        <w:t>,</w:t>
      </w:r>
      <w:r w:rsidR="001E5E17" w:rsidRPr="00025B9C">
        <w:rPr>
          <w:rFonts w:asciiTheme="minorHAnsi" w:hAnsiTheme="minorHAnsi" w:cstheme="minorHAnsi"/>
          <w:sz w:val="24"/>
          <w:szCs w:val="24"/>
        </w:rPr>
        <w:t xml:space="preserve"> each </w:t>
      </w:r>
      <w:r w:rsidR="00221E92" w:rsidRPr="00025B9C">
        <w:rPr>
          <w:rFonts w:asciiTheme="minorHAnsi" w:hAnsiTheme="minorHAnsi" w:cstheme="minorHAnsi"/>
          <w:sz w:val="24"/>
          <w:szCs w:val="24"/>
        </w:rPr>
        <w:t>using</w:t>
      </w:r>
      <w:r w:rsidR="001E5E17" w:rsidRPr="00025B9C">
        <w:rPr>
          <w:rFonts w:asciiTheme="minorHAnsi" w:hAnsiTheme="minorHAnsi" w:cstheme="minorHAnsi"/>
          <w:sz w:val="24"/>
          <w:szCs w:val="24"/>
        </w:rPr>
        <w:t xml:space="preserve"> them in a different way. </w:t>
      </w:r>
      <w:r w:rsidR="00AC4C46" w:rsidRPr="00025B9C">
        <w:rPr>
          <w:rFonts w:asciiTheme="minorHAnsi" w:hAnsiTheme="minorHAnsi" w:cstheme="minorHAnsi"/>
          <w:sz w:val="24"/>
          <w:szCs w:val="24"/>
        </w:rPr>
        <w:t>In our study, t</w:t>
      </w:r>
      <w:r w:rsidR="001E5E17" w:rsidRPr="00025B9C">
        <w:rPr>
          <w:rFonts w:asciiTheme="minorHAnsi" w:hAnsiTheme="minorHAnsi" w:cstheme="minorHAnsi"/>
          <w:sz w:val="24"/>
          <w:szCs w:val="24"/>
        </w:rPr>
        <w:t>h</w:t>
      </w:r>
      <w:r w:rsidR="00883B64" w:rsidRPr="00025B9C">
        <w:rPr>
          <w:rFonts w:asciiTheme="minorHAnsi" w:hAnsiTheme="minorHAnsi" w:cstheme="minorHAnsi"/>
          <w:sz w:val="24"/>
          <w:szCs w:val="24"/>
        </w:rPr>
        <w:t>ese are words which dis</w:t>
      </w:r>
      <w:r w:rsidR="001E5E17" w:rsidRPr="00025B9C">
        <w:rPr>
          <w:rFonts w:asciiTheme="minorHAnsi" w:hAnsiTheme="minorHAnsi" w:cstheme="minorHAnsi"/>
          <w:sz w:val="24"/>
          <w:szCs w:val="24"/>
        </w:rPr>
        <w:t>tract reader</w:t>
      </w:r>
      <w:r w:rsidR="008F6B28" w:rsidRPr="00025B9C">
        <w:rPr>
          <w:rFonts w:asciiTheme="minorHAnsi" w:hAnsiTheme="minorHAnsi" w:cstheme="minorHAnsi"/>
          <w:sz w:val="24"/>
          <w:szCs w:val="24"/>
        </w:rPr>
        <w:t>s</w:t>
      </w:r>
      <w:r w:rsidR="001E5E17" w:rsidRPr="00025B9C">
        <w:rPr>
          <w:rFonts w:asciiTheme="minorHAnsi" w:hAnsiTheme="minorHAnsi" w:cstheme="minorHAnsi"/>
          <w:sz w:val="24"/>
          <w:szCs w:val="24"/>
        </w:rPr>
        <w:t xml:space="preserve"> from non-compliance</w:t>
      </w:r>
      <w:r w:rsidR="00221E92" w:rsidRPr="00025B9C">
        <w:rPr>
          <w:rFonts w:asciiTheme="minorHAnsi" w:hAnsiTheme="minorHAnsi" w:cstheme="minorHAnsi"/>
          <w:sz w:val="24"/>
          <w:szCs w:val="24"/>
        </w:rPr>
        <w:t>,</w:t>
      </w:r>
      <w:r w:rsidR="001E5E17" w:rsidRPr="00025B9C">
        <w:rPr>
          <w:rFonts w:asciiTheme="minorHAnsi" w:hAnsiTheme="minorHAnsi" w:cstheme="minorHAnsi"/>
          <w:sz w:val="24"/>
          <w:szCs w:val="24"/>
        </w:rPr>
        <w:t xml:space="preserve"> </w:t>
      </w:r>
      <w:r w:rsidR="00026CED" w:rsidRPr="00025B9C">
        <w:rPr>
          <w:rFonts w:asciiTheme="minorHAnsi" w:hAnsiTheme="minorHAnsi" w:cstheme="minorHAnsi"/>
          <w:sz w:val="24"/>
          <w:szCs w:val="24"/>
        </w:rPr>
        <w:t xml:space="preserve">instead </w:t>
      </w:r>
      <w:r w:rsidR="001E5E17" w:rsidRPr="00025B9C">
        <w:rPr>
          <w:rFonts w:asciiTheme="minorHAnsi" w:hAnsiTheme="minorHAnsi" w:cstheme="minorHAnsi"/>
          <w:sz w:val="24"/>
          <w:szCs w:val="24"/>
        </w:rPr>
        <w:t>focus</w:t>
      </w:r>
      <w:r w:rsidR="00221E92" w:rsidRPr="00025B9C">
        <w:rPr>
          <w:rFonts w:asciiTheme="minorHAnsi" w:hAnsiTheme="minorHAnsi" w:cstheme="minorHAnsi"/>
          <w:sz w:val="24"/>
          <w:szCs w:val="24"/>
        </w:rPr>
        <w:t>ing</w:t>
      </w:r>
      <w:r w:rsidR="001E5E17" w:rsidRPr="00025B9C">
        <w:rPr>
          <w:rFonts w:asciiTheme="minorHAnsi" w:hAnsiTheme="minorHAnsi" w:cstheme="minorHAnsi"/>
          <w:sz w:val="24"/>
          <w:szCs w:val="24"/>
        </w:rPr>
        <w:t xml:space="preserve"> on compliance. For </w:t>
      </w:r>
      <w:r w:rsidR="00244860" w:rsidRPr="00025B9C">
        <w:rPr>
          <w:rFonts w:asciiTheme="minorHAnsi" w:hAnsiTheme="minorHAnsi" w:cstheme="minorHAnsi"/>
          <w:sz w:val="24"/>
          <w:szCs w:val="24"/>
        </w:rPr>
        <w:t>example,</w:t>
      </w:r>
      <w:r w:rsidR="001E5E17" w:rsidRPr="00025B9C">
        <w:rPr>
          <w:rFonts w:asciiTheme="minorHAnsi" w:hAnsiTheme="minorHAnsi" w:cstheme="minorHAnsi"/>
          <w:sz w:val="24"/>
          <w:szCs w:val="24"/>
        </w:rPr>
        <w:t xml:space="preserve"> companies may claim </w:t>
      </w:r>
      <w:r w:rsidR="000C1AB0" w:rsidRPr="00025B9C">
        <w:rPr>
          <w:rFonts w:asciiTheme="minorHAnsi" w:hAnsiTheme="minorHAnsi" w:cstheme="minorHAnsi"/>
          <w:sz w:val="24"/>
          <w:szCs w:val="24"/>
        </w:rPr>
        <w:t>‘</w:t>
      </w:r>
      <w:r w:rsidR="001E5E17" w:rsidRPr="00025B9C">
        <w:rPr>
          <w:rFonts w:asciiTheme="minorHAnsi" w:hAnsiTheme="minorHAnsi" w:cstheme="minorHAnsi"/>
          <w:sz w:val="24"/>
          <w:szCs w:val="24"/>
        </w:rPr>
        <w:t>full compliance</w:t>
      </w:r>
      <w:r w:rsidR="004B6090" w:rsidRPr="00025B9C">
        <w:rPr>
          <w:rFonts w:asciiTheme="minorHAnsi" w:hAnsiTheme="minorHAnsi" w:cstheme="minorHAnsi"/>
          <w:sz w:val="24"/>
          <w:szCs w:val="24"/>
        </w:rPr>
        <w:t xml:space="preserve"> </w:t>
      </w:r>
      <w:r w:rsidR="001E5E17" w:rsidRPr="00025B9C">
        <w:rPr>
          <w:rFonts w:asciiTheme="minorHAnsi" w:hAnsiTheme="minorHAnsi" w:cstheme="minorHAnsi"/>
          <w:sz w:val="24"/>
          <w:szCs w:val="24"/>
        </w:rPr>
        <w:t>except for</w:t>
      </w:r>
      <w:r w:rsidR="000C1AB0" w:rsidRPr="00025B9C">
        <w:rPr>
          <w:rFonts w:asciiTheme="minorHAnsi" w:hAnsiTheme="minorHAnsi" w:cstheme="minorHAnsi"/>
          <w:sz w:val="24"/>
          <w:szCs w:val="24"/>
        </w:rPr>
        <w:t>’</w:t>
      </w:r>
      <w:r w:rsidR="00E67DD7" w:rsidRPr="00025B9C">
        <w:rPr>
          <w:rFonts w:asciiTheme="minorHAnsi" w:hAnsiTheme="minorHAnsi" w:cstheme="minorHAnsi"/>
          <w:sz w:val="24"/>
          <w:szCs w:val="24"/>
        </w:rPr>
        <w:t xml:space="preserve"> certain items:</w:t>
      </w:r>
      <w:r w:rsidR="001E5E17" w:rsidRPr="00025B9C">
        <w:rPr>
          <w:rFonts w:asciiTheme="minorHAnsi" w:hAnsiTheme="minorHAnsi" w:cstheme="minorHAnsi"/>
          <w:sz w:val="24"/>
          <w:szCs w:val="24"/>
        </w:rPr>
        <w:t xml:space="preserve"> </w:t>
      </w:r>
      <w:r w:rsidR="00673B5F" w:rsidRPr="00025B9C">
        <w:rPr>
          <w:rFonts w:asciiTheme="minorHAnsi" w:hAnsiTheme="minorHAnsi" w:cstheme="minorHAnsi"/>
          <w:sz w:val="24"/>
          <w:szCs w:val="24"/>
        </w:rPr>
        <w:t>t</w:t>
      </w:r>
      <w:r w:rsidR="001E5E17" w:rsidRPr="00025B9C">
        <w:rPr>
          <w:rFonts w:asciiTheme="minorHAnsi" w:hAnsiTheme="minorHAnsi" w:cstheme="minorHAnsi"/>
          <w:sz w:val="24"/>
          <w:szCs w:val="24"/>
        </w:rPr>
        <w:t>he company may refer to three items of non-compliance but list</w:t>
      </w:r>
      <w:r w:rsidR="003B07B7" w:rsidRPr="00025B9C">
        <w:rPr>
          <w:rFonts w:asciiTheme="minorHAnsi" w:hAnsiTheme="minorHAnsi" w:cstheme="minorHAnsi"/>
          <w:sz w:val="24"/>
          <w:szCs w:val="24"/>
        </w:rPr>
        <w:t>s</w:t>
      </w:r>
      <w:r w:rsidR="001E5E17" w:rsidRPr="00025B9C">
        <w:rPr>
          <w:rFonts w:asciiTheme="minorHAnsi" w:hAnsiTheme="minorHAnsi" w:cstheme="minorHAnsi"/>
          <w:sz w:val="24"/>
          <w:szCs w:val="24"/>
        </w:rPr>
        <w:t xml:space="preserve"> four</w:t>
      </w:r>
      <w:r w:rsidR="00026CED" w:rsidRPr="00025B9C">
        <w:rPr>
          <w:rFonts w:asciiTheme="minorHAnsi" w:hAnsiTheme="minorHAnsi" w:cstheme="minorHAnsi"/>
          <w:sz w:val="24"/>
          <w:szCs w:val="24"/>
        </w:rPr>
        <w:t>,</w:t>
      </w:r>
      <w:r w:rsidR="001E5E17" w:rsidRPr="00025B9C">
        <w:rPr>
          <w:rFonts w:asciiTheme="minorHAnsi" w:hAnsiTheme="minorHAnsi" w:cstheme="minorHAnsi"/>
          <w:sz w:val="24"/>
          <w:szCs w:val="24"/>
        </w:rPr>
        <w:t xml:space="preserve"> perhaps combining two together. The company may claim </w:t>
      </w:r>
      <w:r w:rsidR="005C1355" w:rsidRPr="00025B9C">
        <w:rPr>
          <w:rFonts w:asciiTheme="minorHAnsi" w:hAnsiTheme="minorHAnsi" w:cstheme="minorHAnsi"/>
          <w:sz w:val="24"/>
          <w:szCs w:val="24"/>
        </w:rPr>
        <w:t>‘</w:t>
      </w:r>
      <w:r w:rsidR="001E5E17" w:rsidRPr="00025B9C">
        <w:rPr>
          <w:rFonts w:asciiTheme="minorHAnsi" w:hAnsiTheme="minorHAnsi" w:cstheme="minorHAnsi"/>
          <w:sz w:val="24"/>
          <w:szCs w:val="24"/>
        </w:rPr>
        <w:t>highest</w:t>
      </w:r>
      <w:r w:rsidR="005C1355" w:rsidRPr="00025B9C">
        <w:rPr>
          <w:rFonts w:asciiTheme="minorHAnsi" w:hAnsiTheme="minorHAnsi" w:cstheme="minorHAnsi"/>
          <w:sz w:val="24"/>
          <w:szCs w:val="24"/>
        </w:rPr>
        <w:t>’</w:t>
      </w:r>
      <w:r w:rsidR="001E5E17" w:rsidRPr="00025B9C">
        <w:rPr>
          <w:rFonts w:asciiTheme="minorHAnsi" w:hAnsiTheme="minorHAnsi" w:cstheme="minorHAnsi"/>
          <w:sz w:val="24"/>
          <w:szCs w:val="24"/>
        </w:rPr>
        <w:t xml:space="preserve"> standards of corporate governance despite non-compliance</w:t>
      </w:r>
      <w:r w:rsidR="00FC06E9" w:rsidRPr="00025B9C">
        <w:rPr>
          <w:rFonts w:asciiTheme="minorHAnsi" w:hAnsiTheme="minorHAnsi" w:cstheme="minorHAnsi"/>
          <w:sz w:val="24"/>
          <w:szCs w:val="24"/>
        </w:rPr>
        <w:t>.</w:t>
      </w:r>
      <w:r w:rsidR="0047723E" w:rsidRPr="00025B9C">
        <w:rPr>
          <w:rFonts w:asciiTheme="minorHAnsi" w:hAnsiTheme="minorHAnsi" w:cstheme="minorHAnsi"/>
          <w:sz w:val="24"/>
          <w:szCs w:val="24"/>
        </w:rPr>
        <w:t xml:space="preserve"> </w:t>
      </w:r>
      <w:r w:rsidR="00FC06E9" w:rsidRPr="00025B9C">
        <w:rPr>
          <w:rFonts w:asciiTheme="minorHAnsi" w:hAnsiTheme="minorHAnsi" w:cstheme="minorHAnsi"/>
          <w:sz w:val="24"/>
          <w:szCs w:val="24"/>
        </w:rPr>
        <w:t>A</w:t>
      </w:r>
      <w:r w:rsidR="0047723E" w:rsidRPr="00025B9C">
        <w:rPr>
          <w:rFonts w:asciiTheme="minorHAnsi" w:hAnsiTheme="minorHAnsi" w:cstheme="minorHAnsi"/>
          <w:sz w:val="24"/>
          <w:szCs w:val="24"/>
        </w:rPr>
        <w:t xml:space="preserve">lthough it is acceptable to claim high standards and not comply with all aspects of the Code, </w:t>
      </w:r>
      <w:r w:rsidR="005C1355" w:rsidRPr="00025B9C">
        <w:rPr>
          <w:rFonts w:asciiTheme="minorHAnsi" w:hAnsiTheme="minorHAnsi" w:cstheme="minorHAnsi"/>
          <w:sz w:val="24"/>
          <w:szCs w:val="24"/>
        </w:rPr>
        <w:t>‘</w:t>
      </w:r>
      <w:r w:rsidR="0047723E" w:rsidRPr="00025B9C">
        <w:rPr>
          <w:rFonts w:asciiTheme="minorHAnsi" w:hAnsiTheme="minorHAnsi" w:cstheme="minorHAnsi"/>
          <w:sz w:val="24"/>
          <w:szCs w:val="24"/>
        </w:rPr>
        <w:t>highest</w:t>
      </w:r>
      <w:r w:rsidR="005C1355" w:rsidRPr="00025B9C">
        <w:rPr>
          <w:rFonts w:asciiTheme="minorHAnsi" w:hAnsiTheme="minorHAnsi" w:cstheme="minorHAnsi"/>
          <w:sz w:val="24"/>
          <w:szCs w:val="24"/>
        </w:rPr>
        <w:t>’</w:t>
      </w:r>
      <w:r w:rsidR="0047723E" w:rsidRPr="00025B9C">
        <w:rPr>
          <w:rFonts w:asciiTheme="minorHAnsi" w:hAnsiTheme="minorHAnsi" w:cstheme="minorHAnsi"/>
          <w:sz w:val="24"/>
          <w:szCs w:val="24"/>
        </w:rPr>
        <w:t xml:space="preserve"> seems too bold a claim.</w:t>
      </w:r>
      <w:r w:rsidR="008E41B9" w:rsidRPr="00025B9C">
        <w:rPr>
          <w:rFonts w:asciiTheme="minorHAnsi" w:hAnsiTheme="minorHAnsi" w:cstheme="minorHAnsi"/>
          <w:sz w:val="24"/>
          <w:szCs w:val="24"/>
        </w:rPr>
        <w:t xml:space="preserve"> The use of </w:t>
      </w:r>
      <w:r w:rsidR="000C1AB0" w:rsidRPr="00025B9C">
        <w:rPr>
          <w:rFonts w:asciiTheme="minorHAnsi" w:hAnsiTheme="minorHAnsi" w:cstheme="minorHAnsi"/>
          <w:sz w:val="24"/>
          <w:szCs w:val="24"/>
        </w:rPr>
        <w:t>‘</w:t>
      </w:r>
      <w:r w:rsidR="008E41B9" w:rsidRPr="00025B9C">
        <w:rPr>
          <w:rFonts w:asciiTheme="minorHAnsi" w:hAnsiTheme="minorHAnsi" w:cstheme="minorHAnsi"/>
          <w:sz w:val="24"/>
          <w:szCs w:val="24"/>
        </w:rPr>
        <w:t>weasel words</w:t>
      </w:r>
      <w:r w:rsidR="000C1AB0" w:rsidRPr="00025B9C">
        <w:rPr>
          <w:rFonts w:asciiTheme="minorHAnsi" w:hAnsiTheme="minorHAnsi" w:cstheme="minorHAnsi"/>
          <w:sz w:val="24"/>
          <w:szCs w:val="24"/>
        </w:rPr>
        <w:t>’</w:t>
      </w:r>
      <w:r w:rsidR="008E41B9" w:rsidRPr="00025B9C">
        <w:rPr>
          <w:rFonts w:asciiTheme="minorHAnsi" w:hAnsiTheme="minorHAnsi" w:cstheme="minorHAnsi"/>
          <w:sz w:val="24"/>
          <w:szCs w:val="24"/>
        </w:rPr>
        <w:t xml:space="preserve"> </w:t>
      </w:r>
      <w:r w:rsidR="00AF568B" w:rsidRPr="00025B9C">
        <w:rPr>
          <w:rFonts w:asciiTheme="minorHAnsi" w:hAnsiTheme="minorHAnsi" w:cstheme="minorHAnsi"/>
          <w:sz w:val="24"/>
          <w:szCs w:val="24"/>
        </w:rPr>
        <w:t xml:space="preserve">can </w:t>
      </w:r>
      <w:r w:rsidR="008E41B9" w:rsidRPr="00025B9C">
        <w:rPr>
          <w:rFonts w:asciiTheme="minorHAnsi" w:hAnsiTheme="minorHAnsi" w:cstheme="minorHAnsi"/>
          <w:sz w:val="24"/>
          <w:szCs w:val="24"/>
        </w:rPr>
        <w:t>mean that reader</w:t>
      </w:r>
      <w:r w:rsidR="006A1E5B" w:rsidRPr="00025B9C">
        <w:rPr>
          <w:rFonts w:asciiTheme="minorHAnsi" w:hAnsiTheme="minorHAnsi" w:cstheme="minorHAnsi"/>
          <w:sz w:val="24"/>
          <w:szCs w:val="24"/>
        </w:rPr>
        <w:t>s</w:t>
      </w:r>
      <w:r w:rsidR="008E41B9" w:rsidRPr="00025B9C">
        <w:rPr>
          <w:rFonts w:asciiTheme="minorHAnsi" w:hAnsiTheme="minorHAnsi" w:cstheme="minorHAnsi"/>
          <w:sz w:val="24"/>
          <w:szCs w:val="24"/>
        </w:rPr>
        <w:t xml:space="preserve"> </w:t>
      </w:r>
      <w:r w:rsidR="006A1E5B" w:rsidRPr="00025B9C">
        <w:rPr>
          <w:rFonts w:asciiTheme="minorHAnsi" w:hAnsiTheme="minorHAnsi" w:cstheme="minorHAnsi"/>
          <w:sz w:val="24"/>
          <w:szCs w:val="24"/>
        </w:rPr>
        <w:t>are</w:t>
      </w:r>
      <w:r w:rsidR="008E41B9" w:rsidRPr="00025B9C">
        <w:rPr>
          <w:rFonts w:asciiTheme="minorHAnsi" w:hAnsiTheme="minorHAnsi" w:cstheme="minorHAnsi"/>
          <w:sz w:val="24"/>
          <w:szCs w:val="24"/>
        </w:rPr>
        <w:t xml:space="preserve"> distracted or misled and either believe the company is complying or </w:t>
      </w:r>
      <w:r w:rsidR="00D72BEB" w:rsidRPr="00025B9C">
        <w:rPr>
          <w:rFonts w:asciiTheme="minorHAnsi" w:hAnsiTheme="minorHAnsi" w:cstheme="minorHAnsi"/>
          <w:sz w:val="24"/>
          <w:szCs w:val="24"/>
        </w:rPr>
        <w:t>are</w:t>
      </w:r>
      <w:r w:rsidR="008E41B9" w:rsidRPr="00025B9C">
        <w:rPr>
          <w:rFonts w:asciiTheme="minorHAnsi" w:hAnsiTheme="minorHAnsi" w:cstheme="minorHAnsi"/>
          <w:sz w:val="24"/>
          <w:szCs w:val="24"/>
        </w:rPr>
        <w:t xml:space="preserve"> simply unsure as to whether the company is complying or not.</w:t>
      </w:r>
    </w:p>
    <w:p w:rsidR="00D636A4" w:rsidRPr="00025B9C" w:rsidRDefault="00D636A4" w:rsidP="00D665D9">
      <w:pPr>
        <w:pStyle w:val="ListParagraph"/>
        <w:numPr>
          <w:ilvl w:val="0"/>
          <w:numId w:val="44"/>
        </w:numPr>
        <w:spacing w:after="0" w:line="360" w:lineRule="auto"/>
        <w:ind w:left="284" w:hanging="284"/>
        <w:jc w:val="both"/>
        <w:rPr>
          <w:rFonts w:asciiTheme="minorHAnsi" w:hAnsiTheme="minorHAnsi" w:cstheme="minorHAnsi"/>
          <w:sz w:val="24"/>
          <w:szCs w:val="24"/>
        </w:rPr>
      </w:pPr>
      <w:r w:rsidRPr="00025B9C">
        <w:rPr>
          <w:rFonts w:asciiTheme="minorHAnsi" w:hAnsiTheme="minorHAnsi" w:cstheme="minorHAnsi"/>
          <w:sz w:val="24"/>
          <w:szCs w:val="24"/>
        </w:rPr>
        <w:t>M</w:t>
      </w:r>
      <w:r w:rsidR="001E5E17" w:rsidRPr="00025B9C">
        <w:rPr>
          <w:rFonts w:asciiTheme="minorHAnsi" w:hAnsiTheme="minorHAnsi" w:cstheme="minorHAnsi"/>
          <w:sz w:val="24"/>
          <w:szCs w:val="24"/>
        </w:rPr>
        <w:t>anagers</w:t>
      </w:r>
      <w:r w:rsidR="00642925" w:rsidRPr="00025B9C">
        <w:rPr>
          <w:rFonts w:asciiTheme="minorHAnsi" w:hAnsiTheme="minorHAnsi" w:cstheme="minorHAnsi"/>
          <w:sz w:val="24"/>
          <w:szCs w:val="24"/>
        </w:rPr>
        <w:t xml:space="preserve"> </w:t>
      </w:r>
      <w:r w:rsidRPr="00025B9C">
        <w:rPr>
          <w:rFonts w:asciiTheme="minorHAnsi" w:hAnsiTheme="minorHAnsi" w:cstheme="minorHAnsi"/>
          <w:sz w:val="24"/>
          <w:szCs w:val="24"/>
        </w:rPr>
        <w:t xml:space="preserve">may </w:t>
      </w:r>
      <w:r w:rsidR="00642925" w:rsidRPr="00025B9C">
        <w:rPr>
          <w:rFonts w:asciiTheme="minorHAnsi" w:hAnsiTheme="minorHAnsi" w:cstheme="minorHAnsi"/>
          <w:sz w:val="24"/>
          <w:szCs w:val="24"/>
        </w:rPr>
        <w:t xml:space="preserve">employ a </w:t>
      </w:r>
      <w:r w:rsidR="00431735" w:rsidRPr="00025B9C">
        <w:rPr>
          <w:rFonts w:asciiTheme="minorHAnsi" w:hAnsiTheme="minorHAnsi" w:cstheme="minorHAnsi"/>
          <w:sz w:val="24"/>
          <w:szCs w:val="24"/>
        </w:rPr>
        <w:t xml:space="preserve">disclosure </w:t>
      </w:r>
      <w:r w:rsidR="00642925" w:rsidRPr="00025B9C">
        <w:rPr>
          <w:rFonts w:asciiTheme="minorHAnsi" w:hAnsiTheme="minorHAnsi" w:cstheme="minorHAnsi"/>
          <w:sz w:val="24"/>
          <w:szCs w:val="24"/>
        </w:rPr>
        <w:t xml:space="preserve">strategy </w:t>
      </w:r>
      <w:r w:rsidR="001E5E17" w:rsidRPr="00025B9C">
        <w:rPr>
          <w:rFonts w:asciiTheme="minorHAnsi" w:hAnsiTheme="minorHAnsi" w:cstheme="minorHAnsi"/>
          <w:sz w:val="24"/>
          <w:szCs w:val="24"/>
        </w:rPr>
        <w:t>where non-compliance</w:t>
      </w:r>
      <w:r w:rsidR="00883B64" w:rsidRPr="00025B9C">
        <w:rPr>
          <w:rFonts w:asciiTheme="minorHAnsi" w:hAnsiTheme="minorHAnsi" w:cstheme="minorHAnsi"/>
          <w:sz w:val="24"/>
          <w:szCs w:val="24"/>
        </w:rPr>
        <w:t xml:space="preserve"> explanation</w:t>
      </w:r>
      <w:r w:rsidR="001E5E17" w:rsidRPr="00025B9C">
        <w:rPr>
          <w:rFonts w:asciiTheme="minorHAnsi" w:hAnsiTheme="minorHAnsi" w:cstheme="minorHAnsi"/>
          <w:sz w:val="24"/>
          <w:szCs w:val="24"/>
        </w:rPr>
        <w:t xml:space="preserve">s have to be searched </w:t>
      </w:r>
      <w:r w:rsidR="00026CED" w:rsidRPr="00025B9C">
        <w:rPr>
          <w:rFonts w:asciiTheme="minorHAnsi" w:hAnsiTheme="minorHAnsi" w:cstheme="minorHAnsi"/>
          <w:sz w:val="24"/>
          <w:szCs w:val="24"/>
        </w:rPr>
        <w:t>for</w:t>
      </w:r>
      <w:r w:rsidR="00431735" w:rsidRPr="00025B9C">
        <w:rPr>
          <w:rFonts w:asciiTheme="minorHAnsi" w:hAnsiTheme="minorHAnsi" w:cstheme="minorHAnsi"/>
          <w:sz w:val="24"/>
          <w:szCs w:val="24"/>
        </w:rPr>
        <w:t xml:space="preserve"> (structural rhetoric)</w:t>
      </w:r>
      <w:r w:rsidR="00026CED" w:rsidRPr="00025B9C">
        <w:rPr>
          <w:rFonts w:asciiTheme="minorHAnsi" w:hAnsiTheme="minorHAnsi" w:cstheme="minorHAnsi"/>
          <w:sz w:val="24"/>
          <w:szCs w:val="24"/>
        </w:rPr>
        <w:t xml:space="preserve">. </w:t>
      </w:r>
      <w:r w:rsidR="00FC06E9" w:rsidRPr="00025B9C">
        <w:rPr>
          <w:rFonts w:asciiTheme="minorHAnsi" w:hAnsiTheme="minorHAnsi" w:cstheme="minorHAnsi"/>
          <w:sz w:val="24"/>
          <w:szCs w:val="24"/>
        </w:rPr>
        <w:t xml:space="preserve">We call this </w:t>
      </w:r>
      <w:r w:rsidR="005C1355" w:rsidRPr="00025B9C">
        <w:rPr>
          <w:rFonts w:asciiTheme="minorHAnsi" w:hAnsiTheme="minorHAnsi" w:cstheme="minorHAnsi"/>
          <w:sz w:val="24"/>
          <w:szCs w:val="24"/>
        </w:rPr>
        <w:t>‘</w:t>
      </w:r>
      <w:r w:rsidR="00642925" w:rsidRPr="00025B9C">
        <w:rPr>
          <w:rFonts w:asciiTheme="minorHAnsi" w:hAnsiTheme="minorHAnsi" w:cstheme="minorHAnsi"/>
          <w:sz w:val="24"/>
          <w:szCs w:val="24"/>
        </w:rPr>
        <w:t>hunt the thimble</w:t>
      </w:r>
      <w:r w:rsidR="005C1355" w:rsidRPr="00025B9C">
        <w:rPr>
          <w:rFonts w:asciiTheme="minorHAnsi" w:hAnsiTheme="minorHAnsi" w:cstheme="minorHAnsi"/>
          <w:sz w:val="24"/>
          <w:szCs w:val="24"/>
        </w:rPr>
        <w:t>’</w:t>
      </w:r>
      <w:r w:rsidR="00811459" w:rsidRPr="00025B9C">
        <w:rPr>
          <w:rFonts w:asciiTheme="minorHAnsi" w:hAnsiTheme="minorHAnsi" w:cstheme="minorHAnsi"/>
          <w:sz w:val="24"/>
          <w:szCs w:val="24"/>
        </w:rPr>
        <w:t xml:space="preserve"> (</w:t>
      </w:r>
      <w:r w:rsidR="00634A79" w:rsidRPr="00025B9C">
        <w:rPr>
          <w:rFonts w:asciiTheme="minorHAnsi" w:hAnsiTheme="minorHAnsi" w:cstheme="minorHAnsi"/>
          <w:sz w:val="24"/>
        </w:rPr>
        <w:t>rhetorical strategy</w:t>
      </w:r>
      <w:r w:rsidR="00570CF5" w:rsidRPr="00025B9C">
        <w:rPr>
          <w:rFonts w:asciiTheme="minorHAnsi" w:hAnsiTheme="minorHAnsi" w:cstheme="minorHAnsi"/>
          <w:sz w:val="24"/>
          <w:szCs w:val="24"/>
        </w:rPr>
        <w:t xml:space="preserve"> 9</w:t>
      </w:r>
      <w:r w:rsidR="00B67C09" w:rsidRPr="00025B9C">
        <w:rPr>
          <w:rFonts w:asciiTheme="minorHAnsi" w:hAnsiTheme="minorHAnsi" w:cstheme="minorHAnsi"/>
          <w:sz w:val="24"/>
          <w:szCs w:val="24"/>
        </w:rPr>
        <w:t>c</w:t>
      </w:r>
      <w:r w:rsidR="001E5E17" w:rsidRPr="00025B9C">
        <w:rPr>
          <w:rFonts w:asciiTheme="minorHAnsi" w:hAnsiTheme="minorHAnsi" w:cstheme="minorHAnsi"/>
          <w:sz w:val="24"/>
          <w:szCs w:val="24"/>
        </w:rPr>
        <w:t>)</w:t>
      </w:r>
      <w:r w:rsidR="00642925" w:rsidRPr="00025B9C">
        <w:rPr>
          <w:rFonts w:asciiTheme="minorHAnsi" w:hAnsiTheme="minorHAnsi" w:cstheme="minorHAnsi"/>
          <w:sz w:val="24"/>
          <w:szCs w:val="24"/>
        </w:rPr>
        <w:t xml:space="preserve">. </w:t>
      </w:r>
      <w:r w:rsidR="00574C20" w:rsidRPr="00025B9C">
        <w:rPr>
          <w:rFonts w:asciiTheme="minorHAnsi" w:hAnsiTheme="minorHAnsi" w:cstheme="minorHAnsi"/>
          <w:sz w:val="24"/>
          <w:szCs w:val="24"/>
        </w:rPr>
        <w:t xml:space="preserve">In this </w:t>
      </w:r>
      <w:r w:rsidR="00431735" w:rsidRPr="00025B9C">
        <w:rPr>
          <w:rFonts w:asciiTheme="minorHAnsi" w:hAnsiTheme="minorHAnsi" w:cstheme="minorHAnsi"/>
          <w:sz w:val="24"/>
          <w:szCs w:val="24"/>
        </w:rPr>
        <w:t xml:space="preserve">rhetorical </w:t>
      </w:r>
      <w:r w:rsidR="00574C20" w:rsidRPr="00025B9C">
        <w:rPr>
          <w:rFonts w:asciiTheme="minorHAnsi" w:hAnsiTheme="minorHAnsi" w:cstheme="minorHAnsi"/>
          <w:sz w:val="24"/>
          <w:szCs w:val="24"/>
        </w:rPr>
        <w:t>strategy</w:t>
      </w:r>
      <w:r w:rsidR="00E67DD7" w:rsidRPr="00025B9C">
        <w:rPr>
          <w:rFonts w:asciiTheme="minorHAnsi" w:hAnsiTheme="minorHAnsi" w:cstheme="minorHAnsi"/>
          <w:sz w:val="24"/>
          <w:szCs w:val="24"/>
        </w:rPr>
        <w:t>,</w:t>
      </w:r>
      <w:r w:rsidR="00574C20" w:rsidRPr="00025B9C">
        <w:rPr>
          <w:rFonts w:asciiTheme="minorHAnsi" w:hAnsiTheme="minorHAnsi" w:cstheme="minorHAnsi"/>
          <w:sz w:val="24"/>
          <w:szCs w:val="24"/>
        </w:rPr>
        <w:t xml:space="preserve"> </w:t>
      </w:r>
      <w:r w:rsidR="00642925" w:rsidRPr="00025B9C">
        <w:rPr>
          <w:rFonts w:asciiTheme="minorHAnsi" w:hAnsiTheme="minorHAnsi" w:cstheme="minorHAnsi"/>
          <w:sz w:val="24"/>
          <w:szCs w:val="24"/>
        </w:rPr>
        <w:t xml:space="preserve">compliance </w:t>
      </w:r>
      <w:r w:rsidR="00574C20" w:rsidRPr="00025B9C">
        <w:rPr>
          <w:rFonts w:asciiTheme="minorHAnsi" w:hAnsiTheme="minorHAnsi" w:cstheme="minorHAnsi"/>
          <w:sz w:val="24"/>
          <w:szCs w:val="24"/>
        </w:rPr>
        <w:t xml:space="preserve">is </w:t>
      </w:r>
      <w:r w:rsidR="000C1AB0" w:rsidRPr="00025B9C">
        <w:rPr>
          <w:rFonts w:asciiTheme="minorHAnsi" w:hAnsiTheme="minorHAnsi" w:cstheme="minorHAnsi"/>
          <w:sz w:val="24"/>
          <w:szCs w:val="24"/>
        </w:rPr>
        <w:t>often</w:t>
      </w:r>
      <w:r w:rsidR="001E5E17" w:rsidRPr="00025B9C">
        <w:rPr>
          <w:rFonts w:asciiTheme="minorHAnsi" w:hAnsiTheme="minorHAnsi" w:cstheme="minorHAnsi"/>
          <w:sz w:val="24"/>
          <w:szCs w:val="24"/>
        </w:rPr>
        <w:t xml:space="preserve"> </w:t>
      </w:r>
      <w:r w:rsidR="00574C20" w:rsidRPr="00025B9C">
        <w:rPr>
          <w:rFonts w:asciiTheme="minorHAnsi" w:hAnsiTheme="minorHAnsi" w:cstheme="minorHAnsi"/>
          <w:sz w:val="24"/>
          <w:szCs w:val="24"/>
        </w:rPr>
        <w:t xml:space="preserve">claimed </w:t>
      </w:r>
      <w:r w:rsidR="00221E92" w:rsidRPr="00025B9C">
        <w:rPr>
          <w:rFonts w:asciiTheme="minorHAnsi" w:hAnsiTheme="minorHAnsi" w:cstheme="minorHAnsi"/>
          <w:sz w:val="24"/>
          <w:szCs w:val="24"/>
        </w:rPr>
        <w:t>with the proviso</w:t>
      </w:r>
      <w:r w:rsidR="000C1AB0" w:rsidRPr="00025B9C">
        <w:rPr>
          <w:rFonts w:asciiTheme="minorHAnsi" w:hAnsiTheme="minorHAnsi" w:cstheme="minorHAnsi"/>
          <w:sz w:val="24"/>
          <w:szCs w:val="24"/>
        </w:rPr>
        <w:t>:</w:t>
      </w:r>
      <w:r w:rsidR="00221E92" w:rsidRPr="00025B9C">
        <w:rPr>
          <w:rFonts w:asciiTheme="minorHAnsi" w:hAnsiTheme="minorHAnsi" w:cstheme="minorHAnsi"/>
          <w:sz w:val="24"/>
          <w:szCs w:val="24"/>
        </w:rPr>
        <w:t xml:space="preserve"> </w:t>
      </w:r>
      <w:r w:rsidR="000C1AB0" w:rsidRPr="00025B9C">
        <w:rPr>
          <w:rFonts w:asciiTheme="minorHAnsi" w:hAnsiTheme="minorHAnsi" w:cstheme="minorHAnsi"/>
          <w:sz w:val="24"/>
          <w:szCs w:val="24"/>
        </w:rPr>
        <w:t>‘</w:t>
      </w:r>
      <w:r w:rsidR="00221E92" w:rsidRPr="00025B9C">
        <w:rPr>
          <w:rFonts w:asciiTheme="minorHAnsi" w:hAnsiTheme="minorHAnsi" w:cstheme="minorHAnsi"/>
          <w:sz w:val="24"/>
          <w:szCs w:val="24"/>
        </w:rPr>
        <w:t>e</w:t>
      </w:r>
      <w:r w:rsidR="00642925" w:rsidRPr="00025B9C">
        <w:rPr>
          <w:rFonts w:asciiTheme="minorHAnsi" w:hAnsiTheme="minorHAnsi" w:cstheme="minorHAnsi"/>
          <w:sz w:val="24"/>
          <w:szCs w:val="24"/>
        </w:rPr>
        <w:t>xcept as noted below</w:t>
      </w:r>
      <w:r w:rsidR="000C1AB0" w:rsidRPr="00025B9C">
        <w:rPr>
          <w:rFonts w:asciiTheme="minorHAnsi" w:hAnsiTheme="minorHAnsi" w:cstheme="minorHAnsi"/>
          <w:sz w:val="24"/>
          <w:szCs w:val="24"/>
        </w:rPr>
        <w:t>’</w:t>
      </w:r>
      <w:r w:rsidR="005C1355" w:rsidRPr="00025B9C">
        <w:rPr>
          <w:rFonts w:asciiTheme="minorHAnsi" w:hAnsiTheme="minorHAnsi" w:cstheme="minorHAnsi"/>
          <w:sz w:val="24"/>
          <w:szCs w:val="24"/>
        </w:rPr>
        <w:t>,</w:t>
      </w:r>
      <w:r w:rsidR="00373464" w:rsidRPr="00025B9C">
        <w:rPr>
          <w:rFonts w:asciiTheme="minorHAnsi" w:hAnsiTheme="minorHAnsi" w:cstheme="minorHAnsi"/>
          <w:sz w:val="24"/>
          <w:szCs w:val="24"/>
        </w:rPr>
        <w:t xml:space="preserve"> </w:t>
      </w:r>
      <w:r w:rsidR="00221E92" w:rsidRPr="00025B9C">
        <w:rPr>
          <w:rFonts w:asciiTheme="minorHAnsi" w:hAnsiTheme="minorHAnsi" w:cstheme="minorHAnsi"/>
          <w:sz w:val="24"/>
          <w:szCs w:val="24"/>
        </w:rPr>
        <w:t>with</w:t>
      </w:r>
      <w:r w:rsidR="001E5E17" w:rsidRPr="00025B9C">
        <w:rPr>
          <w:rFonts w:asciiTheme="minorHAnsi" w:hAnsiTheme="minorHAnsi" w:cstheme="minorHAnsi"/>
          <w:sz w:val="24"/>
          <w:szCs w:val="24"/>
        </w:rPr>
        <w:t xml:space="preserve"> </w:t>
      </w:r>
      <w:r w:rsidR="00221E92" w:rsidRPr="00025B9C">
        <w:rPr>
          <w:rFonts w:asciiTheme="minorHAnsi" w:hAnsiTheme="minorHAnsi" w:cstheme="minorHAnsi"/>
          <w:sz w:val="24"/>
          <w:szCs w:val="24"/>
        </w:rPr>
        <w:t xml:space="preserve">the word </w:t>
      </w:r>
      <w:r w:rsidR="000C1AB0" w:rsidRPr="00025B9C">
        <w:rPr>
          <w:rFonts w:asciiTheme="minorHAnsi" w:hAnsiTheme="minorHAnsi" w:cstheme="minorHAnsi"/>
          <w:sz w:val="24"/>
          <w:szCs w:val="24"/>
        </w:rPr>
        <w:t>‘</w:t>
      </w:r>
      <w:r w:rsidR="001E5E17" w:rsidRPr="00025B9C">
        <w:rPr>
          <w:rFonts w:asciiTheme="minorHAnsi" w:hAnsiTheme="minorHAnsi" w:cstheme="minorHAnsi"/>
          <w:sz w:val="24"/>
          <w:szCs w:val="24"/>
        </w:rPr>
        <w:t>below</w:t>
      </w:r>
      <w:r w:rsidR="000C1AB0" w:rsidRPr="00025B9C">
        <w:rPr>
          <w:rFonts w:asciiTheme="minorHAnsi" w:hAnsiTheme="minorHAnsi" w:cstheme="minorHAnsi"/>
          <w:sz w:val="24"/>
          <w:szCs w:val="24"/>
        </w:rPr>
        <w:t>’</w:t>
      </w:r>
      <w:r w:rsidR="001E5E17" w:rsidRPr="00025B9C">
        <w:rPr>
          <w:rFonts w:asciiTheme="minorHAnsi" w:hAnsiTheme="minorHAnsi" w:cstheme="minorHAnsi"/>
          <w:sz w:val="24"/>
          <w:szCs w:val="24"/>
        </w:rPr>
        <w:t xml:space="preserve"> </w:t>
      </w:r>
      <w:r w:rsidR="00221E92" w:rsidRPr="00025B9C">
        <w:rPr>
          <w:rFonts w:asciiTheme="minorHAnsi" w:hAnsiTheme="minorHAnsi" w:cstheme="minorHAnsi"/>
          <w:sz w:val="24"/>
          <w:szCs w:val="24"/>
        </w:rPr>
        <w:t xml:space="preserve">being </w:t>
      </w:r>
      <w:r w:rsidR="001E5E17" w:rsidRPr="00025B9C">
        <w:rPr>
          <w:rFonts w:asciiTheme="minorHAnsi" w:hAnsiTheme="minorHAnsi" w:cstheme="minorHAnsi"/>
          <w:sz w:val="24"/>
          <w:szCs w:val="24"/>
        </w:rPr>
        <w:t>undefined</w:t>
      </w:r>
      <w:r w:rsidR="000C1AB0" w:rsidRPr="00025B9C">
        <w:rPr>
          <w:rFonts w:asciiTheme="minorHAnsi" w:hAnsiTheme="minorHAnsi" w:cstheme="minorHAnsi"/>
          <w:sz w:val="24"/>
          <w:szCs w:val="24"/>
        </w:rPr>
        <w:t>,</w:t>
      </w:r>
      <w:r w:rsidR="001E5E17" w:rsidRPr="00025B9C">
        <w:rPr>
          <w:rFonts w:asciiTheme="minorHAnsi" w:hAnsiTheme="minorHAnsi" w:cstheme="minorHAnsi"/>
          <w:sz w:val="24"/>
          <w:szCs w:val="24"/>
        </w:rPr>
        <w:t xml:space="preserve"> </w:t>
      </w:r>
      <w:r w:rsidR="00AC1015" w:rsidRPr="00025B9C">
        <w:rPr>
          <w:rFonts w:asciiTheme="minorHAnsi" w:hAnsiTheme="minorHAnsi" w:cstheme="minorHAnsi"/>
          <w:sz w:val="24"/>
          <w:szCs w:val="24"/>
        </w:rPr>
        <w:t>typically refer</w:t>
      </w:r>
      <w:r w:rsidR="00221E92" w:rsidRPr="00025B9C">
        <w:rPr>
          <w:rFonts w:asciiTheme="minorHAnsi" w:hAnsiTheme="minorHAnsi" w:cstheme="minorHAnsi"/>
          <w:sz w:val="24"/>
          <w:szCs w:val="24"/>
        </w:rPr>
        <w:t>ring</w:t>
      </w:r>
      <w:r w:rsidR="00AC1015" w:rsidRPr="00025B9C">
        <w:rPr>
          <w:rFonts w:asciiTheme="minorHAnsi" w:hAnsiTheme="minorHAnsi" w:cstheme="minorHAnsi"/>
          <w:sz w:val="24"/>
          <w:szCs w:val="24"/>
        </w:rPr>
        <w:t xml:space="preserve"> to </w:t>
      </w:r>
      <w:r w:rsidR="001A63F0" w:rsidRPr="00025B9C">
        <w:rPr>
          <w:rFonts w:asciiTheme="minorHAnsi" w:hAnsiTheme="minorHAnsi" w:cstheme="minorHAnsi"/>
          <w:sz w:val="24"/>
          <w:szCs w:val="24"/>
        </w:rPr>
        <w:t xml:space="preserve">the </w:t>
      </w:r>
      <w:r w:rsidR="00AC1015" w:rsidRPr="00025B9C">
        <w:rPr>
          <w:rFonts w:asciiTheme="minorHAnsi" w:hAnsiTheme="minorHAnsi" w:cstheme="minorHAnsi"/>
          <w:sz w:val="24"/>
          <w:szCs w:val="24"/>
        </w:rPr>
        <w:t>pages</w:t>
      </w:r>
      <w:r w:rsidR="001A63F0" w:rsidRPr="00025B9C">
        <w:rPr>
          <w:rFonts w:asciiTheme="minorHAnsi" w:hAnsiTheme="minorHAnsi" w:cstheme="minorHAnsi"/>
          <w:sz w:val="24"/>
          <w:szCs w:val="24"/>
        </w:rPr>
        <w:t xml:space="preserve"> following</w:t>
      </w:r>
      <w:r w:rsidR="00AC1015" w:rsidRPr="00025B9C">
        <w:rPr>
          <w:rFonts w:asciiTheme="minorHAnsi" w:hAnsiTheme="minorHAnsi" w:cstheme="minorHAnsi"/>
          <w:sz w:val="24"/>
          <w:szCs w:val="24"/>
        </w:rPr>
        <w:t xml:space="preserve"> </w:t>
      </w:r>
      <w:r w:rsidR="00373464" w:rsidRPr="00025B9C">
        <w:rPr>
          <w:rFonts w:asciiTheme="minorHAnsi" w:hAnsiTheme="minorHAnsi" w:cstheme="minorHAnsi"/>
          <w:sz w:val="24"/>
          <w:szCs w:val="24"/>
        </w:rPr>
        <w:t>(i.e.</w:t>
      </w:r>
      <w:r w:rsidR="000F3422" w:rsidRPr="00025B9C">
        <w:rPr>
          <w:rFonts w:asciiTheme="minorHAnsi" w:hAnsiTheme="minorHAnsi" w:cstheme="minorHAnsi"/>
          <w:sz w:val="24"/>
          <w:szCs w:val="24"/>
        </w:rPr>
        <w:t>,</w:t>
      </w:r>
      <w:r w:rsidR="00373464" w:rsidRPr="00025B9C">
        <w:rPr>
          <w:rFonts w:asciiTheme="minorHAnsi" w:hAnsiTheme="minorHAnsi" w:cstheme="minorHAnsi"/>
          <w:sz w:val="24"/>
          <w:szCs w:val="24"/>
        </w:rPr>
        <w:t xml:space="preserve"> </w:t>
      </w:r>
      <w:r w:rsidR="00AC1015" w:rsidRPr="00025B9C">
        <w:rPr>
          <w:rFonts w:asciiTheme="minorHAnsi" w:hAnsiTheme="minorHAnsi" w:cstheme="minorHAnsi"/>
          <w:sz w:val="24"/>
          <w:szCs w:val="24"/>
        </w:rPr>
        <w:t>non-compliances</w:t>
      </w:r>
      <w:r w:rsidR="00373464" w:rsidRPr="00025B9C">
        <w:rPr>
          <w:rFonts w:asciiTheme="minorHAnsi" w:hAnsiTheme="minorHAnsi" w:cstheme="minorHAnsi"/>
          <w:sz w:val="24"/>
          <w:szCs w:val="24"/>
        </w:rPr>
        <w:t xml:space="preserve"> are not bulleted, numbered or listed immediately below).</w:t>
      </w:r>
      <w:r w:rsidR="00D11CCD" w:rsidRPr="00025B9C">
        <w:rPr>
          <w:rFonts w:asciiTheme="minorHAnsi" w:hAnsiTheme="minorHAnsi" w:cstheme="minorHAnsi"/>
          <w:sz w:val="24"/>
          <w:szCs w:val="24"/>
        </w:rPr>
        <w:t xml:space="preserve"> This is </w:t>
      </w:r>
      <w:r w:rsidR="00D631F3" w:rsidRPr="00025B9C">
        <w:rPr>
          <w:rFonts w:asciiTheme="minorHAnsi" w:hAnsiTheme="minorHAnsi" w:cstheme="minorHAnsi"/>
          <w:sz w:val="24"/>
          <w:szCs w:val="24"/>
        </w:rPr>
        <w:t>problematic for a number of reasons.</w:t>
      </w:r>
      <w:r w:rsidR="00D11CCD" w:rsidRPr="00025B9C">
        <w:rPr>
          <w:rFonts w:asciiTheme="minorHAnsi" w:hAnsiTheme="minorHAnsi" w:cstheme="minorHAnsi"/>
          <w:sz w:val="24"/>
          <w:szCs w:val="24"/>
        </w:rPr>
        <w:t xml:space="preserve"> </w:t>
      </w:r>
      <w:r w:rsidR="00AC1015" w:rsidRPr="00025B9C">
        <w:rPr>
          <w:rFonts w:asciiTheme="minorHAnsi" w:hAnsiTheme="minorHAnsi" w:cstheme="minorHAnsi"/>
          <w:sz w:val="24"/>
          <w:szCs w:val="24"/>
        </w:rPr>
        <w:t>At times</w:t>
      </w:r>
      <w:r w:rsidR="00C8669B" w:rsidRPr="00025B9C">
        <w:rPr>
          <w:rFonts w:asciiTheme="minorHAnsi" w:hAnsiTheme="minorHAnsi" w:cstheme="minorHAnsi"/>
          <w:sz w:val="24"/>
          <w:szCs w:val="24"/>
        </w:rPr>
        <w:t>,</w:t>
      </w:r>
      <w:r w:rsidR="00AC1015" w:rsidRPr="00025B9C">
        <w:rPr>
          <w:rFonts w:asciiTheme="minorHAnsi" w:hAnsiTheme="minorHAnsi" w:cstheme="minorHAnsi"/>
          <w:sz w:val="24"/>
          <w:szCs w:val="24"/>
        </w:rPr>
        <w:t xml:space="preserve"> i</w:t>
      </w:r>
      <w:r w:rsidR="00D11CCD" w:rsidRPr="00025B9C">
        <w:rPr>
          <w:rFonts w:asciiTheme="minorHAnsi" w:hAnsiTheme="minorHAnsi" w:cstheme="minorHAnsi"/>
          <w:sz w:val="24"/>
          <w:szCs w:val="24"/>
        </w:rPr>
        <w:t xml:space="preserve">t can be difficult to distinguish </w:t>
      </w:r>
      <w:r w:rsidR="00AC1015" w:rsidRPr="00025B9C">
        <w:rPr>
          <w:rFonts w:asciiTheme="minorHAnsi" w:hAnsiTheme="minorHAnsi" w:cstheme="minorHAnsi"/>
          <w:sz w:val="24"/>
          <w:szCs w:val="24"/>
        </w:rPr>
        <w:t xml:space="preserve">between the </w:t>
      </w:r>
      <w:r w:rsidR="00D11CCD" w:rsidRPr="00025B9C">
        <w:rPr>
          <w:rFonts w:asciiTheme="minorHAnsi" w:hAnsiTheme="minorHAnsi" w:cstheme="minorHAnsi"/>
          <w:sz w:val="24"/>
          <w:szCs w:val="24"/>
        </w:rPr>
        <w:t>descri</w:t>
      </w:r>
      <w:r w:rsidR="00AC1015" w:rsidRPr="00025B9C">
        <w:rPr>
          <w:rFonts w:asciiTheme="minorHAnsi" w:hAnsiTheme="minorHAnsi" w:cstheme="minorHAnsi"/>
          <w:sz w:val="24"/>
          <w:szCs w:val="24"/>
        </w:rPr>
        <w:t>ption</w:t>
      </w:r>
      <w:r w:rsidR="00D11CCD" w:rsidRPr="00025B9C">
        <w:rPr>
          <w:rFonts w:asciiTheme="minorHAnsi" w:hAnsiTheme="minorHAnsi" w:cstheme="minorHAnsi"/>
          <w:sz w:val="24"/>
          <w:szCs w:val="24"/>
        </w:rPr>
        <w:t xml:space="preserve"> </w:t>
      </w:r>
      <w:r w:rsidR="00D631F3" w:rsidRPr="00025B9C">
        <w:rPr>
          <w:rFonts w:asciiTheme="minorHAnsi" w:hAnsiTheme="minorHAnsi" w:cstheme="minorHAnsi"/>
          <w:sz w:val="24"/>
          <w:szCs w:val="24"/>
        </w:rPr>
        <w:t xml:space="preserve">and claim </w:t>
      </w:r>
      <w:r w:rsidR="00AC1015" w:rsidRPr="00025B9C">
        <w:rPr>
          <w:rFonts w:asciiTheme="minorHAnsi" w:hAnsiTheme="minorHAnsi" w:cstheme="minorHAnsi"/>
          <w:sz w:val="24"/>
          <w:szCs w:val="24"/>
        </w:rPr>
        <w:t xml:space="preserve">of </w:t>
      </w:r>
      <w:r w:rsidR="00D11CCD" w:rsidRPr="00025B9C">
        <w:rPr>
          <w:rFonts w:asciiTheme="minorHAnsi" w:hAnsiTheme="minorHAnsi" w:cstheme="minorHAnsi"/>
          <w:sz w:val="24"/>
          <w:szCs w:val="24"/>
        </w:rPr>
        <w:t>compliance</w:t>
      </w:r>
      <w:r w:rsidR="00883B64" w:rsidRPr="00025B9C">
        <w:rPr>
          <w:rFonts w:asciiTheme="minorHAnsi" w:hAnsiTheme="minorHAnsi" w:cstheme="minorHAnsi"/>
          <w:sz w:val="24"/>
          <w:szCs w:val="24"/>
        </w:rPr>
        <w:t>,</w:t>
      </w:r>
      <w:r w:rsidR="00D11CCD" w:rsidRPr="00025B9C">
        <w:rPr>
          <w:rFonts w:asciiTheme="minorHAnsi" w:hAnsiTheme="minorHAnsi" w:cstheme="minorHAnsi"/>
          <w:sz w:val="24"/>
          <w:szCs w:val="24"/>
        </w:rPr>
        <w:t xml:space="preserve"> </w:t>
      </w:r>
      <w:r w:rsidR="00AC1015" w:rsidRPr="00025B9C">
        <w:rPr>
          <w:rFonts w:asciiTheme="minorHAnsi" w:hAnsiTheme="minorHAnsi" w:cstheme="minorHAnsi"/>
          <w:sz w:val="24"/>
          <w:szCs w:val="24"/>
        </w:rPr>
        <w:t>and</w:t>
      </w:r>
      <w:r w:rsidR="00D11CCD" w:rsidRPr="00025B9C">
        <w:rPr>
          <w:rFonts w:asciiTheme="minorHAnsi" w:hAnsiTheme="minorHAnsi" w:cstheme="minorHAnsi"/>
          <w:sz w:val="24"/>
          <w:szCs w:val="24"/>
        </w:rPr>
        <w:t xml:space="preserve"> </w:t>
      </w:r>
      <w:r w:rsidR="00AC1015" w:rsidRPr="00025B9C">
        <w:rPr>
          <w:rFonts w:asciiTheme="minorHAnsi" w:hAnsiTheme="minorHAnsi" w:cstheme="minorHAnsi"/>
          <w:sz w:val="24"/>
          <w:szCs w:val="24"/>
        </w:rPr>
        <w:t xml:space="preserve">the </w:t>
      </w:r>
      <w:r w:rsidR="00883B64" w:rsidRPr="00025B9C">
        <w:rPr>
          <w:rFonts w:asciiTheme="minorHAnsi" w:hAnsiTheme="minorHAnsi" w:cstheme="minorHAnsi"/>
          <w:sz w:val="24"/>
          <w:szCs w:val="24"/>
        </w:rPr>
        <w:t>explanation</w:t>
      </w:r>
      <w:r w:rsidR="00D11CCD" w:rsidRPr="00025B9C">
        <w:rPr>
          <w:rFonts w:asciiTheme="minorHAnsi" w:hAnsiTheme="minorHAnsi" w:cstheme="minorHAnsi"/>
          <w:sz w:val="24"/>
          <w:szCs w:val="24"/>
        </w:rPr>
        <w:t xml:space="preserve"> </w:t>
      </w:r>
      <w:r w:rsidR="00AC1015" w:rsidRPr="00025B9C">
        <w:rPr>
          <w:rFonts w:asciiTheme="minorHAnsi" w:hAnsiTheme="minorHAnsi" w:cstheme="minorHAnsi"/>
          <w:sz w:val="24"/>
          <w:szCs w:val="24"/>
        </w:rPr>
        <w:t xml:space="preserve">of </w:t>
      </w:r>
      <w:r w:rsidR="00D11CCD" w:rsidRPr="00025B9C">
        <w:rPr>
          <w:rFonts w:asciiTheme="minorHAnsi" w:hAnsiTheme="minorHAnsi" w:cstheme="minorHAnsi"/>
          <w:sz w:val="24"/>
          <w:szCs w:val="24"/>
        </w:rPr>
        <w:t>non-compliance</w:t>
      </w:r>
      <w:r w:rsidR="00D631F3" w:rsidRPr="00025B9C">
        <w:rPr>
          <w:rFonts w:asciiTheme="minorHAnsi" w:hAnsiTheme="minorHAnsi" w:cstheme="minorHAnsi"/>
          <w:sz w:val="24"/>
          <w:szCs w:val="24"/>
        </w:rPr>
        <w:t>.</w:t>
      </w:r>
      <w:r w:rsidR="00AD4D89" w:rsidRPr="00025B9C">
        <w:rPr>
          <w:rFonts w:asciiTheme="minorHAnsi" w:hAnsiTheme="minorHAnsi" w:cstheme="minorHAnsi"/>
          <w:sz w:val="24"/>
          <w:szCs w:val="24"/>
        </w:rPr>
        <w:t xml:space="preserve"> </w:t>
      </w:r>
      <w:r w:rsidR="00FC06E9" w:rsidRPr="00025B9C">
        <w:rPr>
          <w:rFonts w:asciiTheme="minorHAnsi" w:hAnsiTheme="minorHAnsi" w:cstheme="minorHAnsi"/>
          <w:sz w:val="24"/>
          <w:szCs w:val="24"/>
        </w:rPr>
        <w:t>N</w:t>
      </w:r>
      <w:r w:rsidR="00C8669B" w:rsidRPr="00025B9C">
        <w:rPr>
          <w:rFonts w:asciiTheme="minorHAnsi" w:hAnsiTheme="minorHAnsi" w:cstheme="minorHAnsi"/>
          <w:sz w:val="24"/>
          <w:szCs w:val="24"/>
        </w:rPr>
        <w:t xml:space="preserve">on-compliance can seem like compliance. </w:t>
      </w:r>
      <w:r w:rsidR="00AC1015" w:rsidRPr="00025B9C">
        <w:rPr>
          <w:rFonts w:asciiTheme="minorHAnsi" w:hAnsiTheme="minorHAnsi" w:cstheme="minorHAnsi"/>
          <w:sz w:val="24"/>
          <w:szCs w:val="24"/>
        </w:rPr>
        <w:t>In addition</w:t>
      </w:r>
      <w:r w:rsidR="00D631F3" w:rsidRPr="00025B9C">
        <w:rPr>
          <w:rFonts w:asciiTheme="minorHAnsi" w:hAnsiTheme="minorHAnsi" w:cstheme="minorHAnsi"/>
          <w:sz w:val="24"/>
          <w:szCs w:val="24"/>
        </w:rPr>
        <w:t xml:space="preserve">, </w:t>
      </w:r>
      <w:r w:rsidR="00D11CCD" w:rsidRPr="00025B9C">
        <w:rPr>
          <w:rFonts w:asciiTheme="minorHAnsi" w:hAnsiTheme="minorHAnsi" w:cstheme="minorHAnsi"/>
          <w:sz w:val="24"/>
          <w:szCs w:val="24"/>
        </w:rPr>
        <w:t>reader</w:t>
      </w:r>
      <w:r w:rsidR="008F6B28" w:rsidRPr="00025B9C">
        <w:rPr>
          <w:rFonts w:asciiTheme="minorHAnsi" w:hAnsiTheme="minorHAnsi" w:cstheme="minorHAnsi"/>
          <w:sz w:val="24"/>
          <w:szCs w:val="24"/>
        </w:rPr>
        <w:t>s</w:t>
      </w:r>
      <w:r w:rsidR="00D11CCD" w:rsidRPr="00025B9C">
        <w:rPr>
          <w:rFonts w:asciiTheme="minorHAnsi" w:hAnsiTheme="minorHAnsi" w:cstheme="minorHAnsi"/>
          <w:sz w:val="24"/>
          <w:szCs w:val="24"/>
        </w:rPr>
        <w:t xml:space="preserve"> do not know how many instances of non-compliance to look for</w:t>
      </w:r>
      <w:r w:rsidR="001E5E17" w:rsidRPr="00025B9C">
        <w:rPr>
          <w:rFonts w:asciiTheme="minorHAnsi" w:hAnsiTheme="minorHAnsi" w:cstheme="minorHAnsi"/>
          <w:sz w:val="24"/>
          <w:szCs w:val="24"/>
        </w:rPr>
        <w:t>,</w:t>
      </w:r>
      <w:r w:rsidR="00D11CCD" w:rsidRPr="00025B9C">
        <w:rPr>
          <w:rFonts w:asciiTheme="minorHAnsi" w:hAnsiTheme="minorHAnsi" w:cstheme="minorHAnsi"/>
          <w:sz w:val="24"/>
          <w:szCs w:val="24"/>
        </w:rPr>
        <w:t xml:space="preserve"> although </w:t>
      </w:r>
      <w:r w:rsidR="00AD4D89" w:rsidRPr="00025B9C">
        <w:rPr>
          <w:rFonts w:asciiTheme="minorHAnsi" w:hAnsiTheme="minorHAnsi" w:cstheme="minorHAnsi"/>
          <w:sz w:val="24"/>
          <w:szCs w:val="24"/>
        </w:rPr>
        <w:t>t</w:t>
      </w:r>
      <w:r w:rsidR="00D11CCD" w:rsidRPr="00025B9C">
        <w:rPr>
          <w:rFonts w:asciiTheme="minorHAnsi" w:hAnsiTheme="minorHAnsi" w:cstheme="minorHAnsi"/>
          <w:sz w:val="24"/>
          <w:szCs w:val="24"/>
        </w:rPr>
        <w:t xml:space="preserve">he presumption would be at least one. </w:t>
      </w:r>
      <w:r w:rsidR="00AC1015" w:rsidRPr="00025B9C">
        <w:rPr>
          <w:rFonts w:asciiTheme="minorHAnsi" w:hAnsiTheme="minorHAnsi" w:cstheme="minorHAnsi"/>
          <w:sz w:val="24"/>
          <w:szCs w:val="24"/>
        </w:rPr>
        <w:t>Finally</w:t>
      </w:r>
      <w:r w:rsidR="00883B64" w:rsidRPr="00025B9C">
        <w:rPr>
          <w:rFonts w:asciiTheme="minorHAnsi" w:hAnsiTheme="minorHAnsi" w:cstheme="minorHAnsi"/>
          <w:sz w:val="24"/>
          <w:szCs w:val="24"/>
        </w:rPr>
        <w:t>,</w:t>
      </w:r>
      <w:r w:rsidR="00373464" w:rsidRPr="00025B9C">
        <w:rPr>
          <w:rFonts w:asciiTheme="minorHAnsi" w:hAnsiTheme="minorHAnsi" w:cstheme="minorHAnsi"/>
          <w:sz w:val="24"/>
          <w:szCs w:val="24"/>
        </w:rPr>
        <w:t xml:space="preserve"> it can involve reading through a large numbe</w:t>
      </w:r>
      <w:r w:rsidR="005C1355" w:rsidRPr="00025B9C">
        <w:rPr>
          <w:rFonts w:asciiTheme="minorHAnsi" w:hAnsiTheme="minorHAnsi" w:cstheme="minorHAnsi"/>
          <w:sz w:val="24"/>
          <w:szCs w:val="24"/>
        </w:rPr>
        <w:t>r of pages because the end point</w:t>
      </w:r>
      <w:r w:rsidR="00555535" w:rsidRPr="00025B9C">
        <w:rPr>
          <w:rFonts w:asciiTheme="minorHAnsi" w:hAnsiTheme="minorHAnsi" w:cstheme="minorHAnsi"/>
          <w:sz w:val="24"/>
          <w:szCs w:val="24"/>
        </w:rPr>
        <w:t xml:space="preserve"> </w:t>
      </w:r>
      <w:r w:rsidR="00373464" w:rsidRPr="00025B9C">
        <w:rPr>
          <w:rFonts w:asciiTheme="minorHAnsi" w:hAnsiTheme="minorHAnsi" w:cstheme="minorHAnsi"/>
          <w:sz w:val="24"/>
          <w:szCs w:val="24"/>
        </w:rPr>
        <w:t xml:space="preserve">is unspecified. </w:t>
      </w:r>
      <w:r w:rsidR="00D11CCD" w:rsidRPr="00025B9C">
        <w:rPr>
          <w:rFonts w:asciiTheme="minorHAnsi" w:hAnsiTheme="minorHAnsi" w:cstheme="minorHAnsi"/>
          <w:sz w:val="24"/>
          <w:szCs w:val="24"/>
        </w:rPr>
        <w:t>Thus</w:t>
      </w:r>
      <w:r w:rsidR="00AD5F8A" w:rsidRPr="00025B9C">
        <w:rPr>
          <w:rFonts w:asciiTheme="minorHAnsi" w:hAnsiTheme="minorHAnsi" w:cstheme="minorHAnsi"/>
          <w:sz w:val="24"/>
          <w:szCs w:val="24"/>
        </w:rPr>
        <w:t>,</w:t>
      </w:r>
      <w:r w:rsidR="00D11CCD" w:rsidRPr="00025B9C">
        <w:rPr>
          <w:rFonts w:asciiTheme="minorHAnsi" w:hAnsiTheme="minorHAnsi" w:cstheme="minorHAnsi"/>
          <w:sz w:val="24"/>
          <w:szCs w:val="24"/>
        </w:rPr>
        <w:t xml:space="preserve"> non-compliance is </w:t>
      </w:r>
      <w:r w:rsidR="00E67DD7" w:rsidRPr="00025B9C">
        <w:rPr>
          <w:rFonts w:asciiTheme="minorHAnsi" w:hAnsiTheme="minorHAnsi" w:cstheme="minorHAnsi"/>
          <w:sz w:val="24"/>
          <w:szCs w:val="24"/>
        </w:rPr>
        <w:t>hard for</w:t>
      </w:r>
      <w:r w:rsidR="00D11CCD" w:rsidRPr="00025B9C">
        <w:rPr>
          <w:rFonts w:asciiTheme="minorHAnsi" w:hAnsiTheme="minorHAnsi" w:cstheme="minorHAnsi"/>
          <w:sz w:val="24"/>
          <w:szCs w:val="24"/>
        </w:rPr>
        <w:t xml:space="preserve"> reader</w:t>
      </w:r>
      <w:r w:rsidR="008F6B28" w:rsidRPr="00025B9C">
        <w:rPr>
          <w:rFonts w:asciiTheme="minorHAnsi" w:hAnsiTheme="minorHAnsi" w:cstheme="minorHAnsi"/>
          <w:sz w:val="24"/>
          <w:szCs w:val="24"/>
        </w:rPr>
        <w:t>s</w:t>
      </w:r>
      <w:r w:rsidR="001E5E17" w:rsidRPr="00025B9C">
        <w:rPr>
          <w:rFonts w:asciiTheme="minorHAnsi" w:hAnsiTheme="minorHAnsi" w:cstheme="minorHAnsi"/>
          <w:sz w:val="24"/>
          <w:szCs w:val="24"/>
        </w:rPr>
        <w:t xml:space="preserve"> </w:t>
      </w:r>
      <w:r w:rsidR="00E67DD7" w:rsidRPr="00025B9C">
        <w:rPr>
          <w:rFonts w:asciiTheme="minorHAnsi" w:hAnsiTheme="minorHAnsi" w:cstheme="minorHAnsi"/>
          <w:sz w:val="24"/>
          <w:szCs w:val="24"/>
        </w:rPr>
        <w:t xml:space="preserve">to find </w:t>
      </w:r>
      <w:r w:rsidR="001E5E17" w:rsidRPr="00025B9C">
        <w:rPr>
          <w:rFonts w:asciiTheme="minorHAnsi" w:hAnsiTheme="minorHAnsi" w:cstheme="minorHAnsi"/>
          <w:sz w:val="24"/>
          <w:szCs w:val="24"/>
        </w:rPr>
        <w:t xml:space="preserve">and the company is not being </w:t>
      </w:r>
      <w:r w:rsidR="00026CED" w:rsidRPr="00025B9C">
        <w:rPr>
          <w:rFonts w:asciiTheme="minorHAnsi" w:hAnsiTheme="minorHAnsi" w:cstheme="minorHAnsi"/>
          <w:sz w:val="24"/>
          <w:szCs w:val="24"/>
        </w:rPr>
        <w:t xml:space="preserve">completely </w:t>
      </w:r>
      <w:r w:rsidR="001E5E17" w:rsidRPr="00025B9C">
        <w:rPr>
          <w:rFonts w:asciiTheme="minorHAnsi" w:hAnsiTheme="minorHAnsi" w:cstheme="minorHAnsi"/>
          <w:sz w:val="24"/>
          <w:szCs w:val="24"/>
        </w:rPr>
        <w:t>transparent.</w:t>
      </w:r>
      <w:r w:rsidR="003045A8" w:rsidRPr="00025B9C">
        <w:rPr>
          <w:rFonts w:asciiTheme="minorHAnsi" w:hAnsiTheme="minorHAnsi" w:cstheme="minorHAnsi"/>
          <w:sz w:val="24"/>
          <w:szCs w:val="24"/>
        </w:rPr>
        <w:t xml:space="preserve"> </w:t>
      </w:r>
    </w:p>
    <w:p w:rsidR="00564B35" w:rsidRPr="00025B9C" w:rsidRDefault="00811459" w:rsidP="00D665D9">
      <w:pPr>
        <w:pStyle w:val="ListParagraph"/>
        <w:numPr>
          <w:ilvl w:val="0"/>
          <w:numId w:val="44"/>
        </w:numPr>
        <w:spacing w:after="0" w:line="360" w:lineRule="auto"/>
        <w:ind w:left="284" w:hanging="284"/>
        <w:jc w:val="both"/>
        <w:rPr>
          <w:rFonts w:asciiTheme="minorHAnsi" w:hAnsiTheme="minorHAnsi" w:cstheme="minorHAnsi"/>
          <w:sz w:val="24"/>
          <w:szCs w:val="24"/>
        </w:rPr>
      </w:pPr>
      <w:r w:rsidRPr="00025B9C">
        <w:rPr>
          <w:rFonts w:asciiTheme="minorHAnsi" w:hAnsiTheme="minorHAnsi" w:cstheme="minorHAnsi"/>
          <w:sz w:val="24"/>
          <w:szCs w:val="24"/>
        </w:rPr>
        <w:t xml:space="preserve">The last </w:t>
      </w:r>
      <w:r w:rsidR="00431735" w:rsidRPr="00025B9C">
        <w:rPr>
          <w:rFonts w:asciiTheme="minorHAnsi" w:hAnsiTheme="minorHAnsi" w:cstheme="minorHAnsi"/>
          <w:sz w:val="24"/>
          <w:szCs w:val="24"/>
        </w:rPr>
        <w:t xml:space="preserve">rhetorical </w:t>
      </w:r>
      <w:r w:rsidRPr="00025B9C">
        <w:rPr>
          <w:rFonts w:asciiTheme="minorHAnsi" w:hAnsiTheme="minorHAnsi" w:cstheme="minorHAnsi"/>
          <w:sz w:val="24"/>
          <w:szCs w:val="24"/>
        </w:rPr>
        <w:t xml:space="preserve">strategy </w:t>
      </w:r>
      <w:r w:rsidR="00570CF5" w:rsidRPr="00025B9C">
        <w:rPr>
          <w:rFonts w:asciiTheme="minorHAnsi" w:hAnsiTheme="minorHAnsi" w:cstheme="minorHAnsi"/>
          <w:sz w:val="24"/>
          <w:szCs w:val="24"/>
        </w:rPr>
        <w:t>(9</w:t>
      </w:r>
      <w:r w:rsidR="001A63F0" w:rsidRPr="00025B9C">
        <w:rPr>
          <w:rFonts w:asciiTheme="minorHAnsi" w:hAnsiTheme="minorHAnsi" w:cstheme="minorHAnsi"/>
          <w:sz w:val="24"/>
          <w:szCs w:val="24"/>
        </w:rPr>
        <w:t>d)</w:t>
      </w:r>
      <w:r w:rsidR="001B2D53" w:rsidRPr="00025B9C">
        <w:rPr>
          <w:rFonts w:asciiTheme="minorHAnsi" w:hAnsiTheme="minorHAnsi" w:cstheme="minorHAnsi"/>
          <w:sz w:val="24"/>
          <w:szCs w:val="24"/>
        </w:rPr>
        <w:t xml:space="preserve"> </w:t>
      </w:r>
      <w:r w:rsidRPr="00025B9C">
        <w:rPr>
          <w:rFonts w:asciiTheme="minorHAnsi" w:hAnsiTheme="minorHAnsi" w:cstheme="minorHAnsi"/>
          <w:sz w:val="24"/>
          <w:szCs w:val="24"/>
        </w:rPr>
        <w:t xml:space="preserve">relates to whether or not companies provide the Code </w:t>
      </w:r>
      <w:r w:rsidR="00883B64" w:rsidRPr="00025B9C">
        <w:rPr>
          <w:rFonts w:asciiTheme="minorHAnsi" w:hAnsiTheme="minorHAnsi" w:cstheme="minorHAnsi"/>
          <w:sz w:val="24"/>
          <w:szCs w:val="24"/>
        </w:rPr>
        <w:t>provision</w:t>
      </w:r>
      <w:r w:rsidR="001E5E17" w:rsidRPr="00025B9C">
        <w:rPr>
          <w:rFonts w:asciiTheme="minorHAnsi" w:hAnsiTheme="minorHAnsi" w:cstheme="minorHAnsi"/>
          <w:sz w:val="24"/>
          <w:szCs w:val="24"/>
        </w:rPr>
        <w:t xml:space="preserve"> number</w:t>
      </w:r>
      <w:r w:rsidRPr="00025B9C">
        <w:rPr>
          <w:rFonts w:asciiTheme="minorHAnsi" w:hAnsiTheme="minorHAnsi" w:cstheme="minorHAnsi"/>
          <w:sz w:val="24"/>
          <w:szCs w:val="24"/>
        </w:rPr>
        <w:t xml:space="preserve"> relating to the area of non-compliance. Surprisingly</w:t>
      </w:r>
      <w:r w:rsidR="003D62E7" w:rsidRPr="00025B9C">
        <w:rPr>
          <w:rFonts w:asciiTheme="minorHAnsi" w:hAnsiTheme="minorHAnsi" w:cstheme="minorHAnsi"/>
          <w:sz w:val="24"/>
          <w:szCs w:val="24"/>
        </w:rPr>
        <w:t>,</w:t>
      </w:r>
      <w:r w:rsidRPr="00025B9C">
        <w:rPr>
          <w:rFonts w:asciiTheme="minorHAnsi" w:hAnsiTheme="minorHAnsi" w:cstheme="minorHAnsi"/>
          <w:sz w:val="24"/>
          <w:szCs w:val="24"/>
        </w:rPr>
        <w:t xml:space="preserve"> </w:t>
      </w:r>
      <w:r w:rsidR="00EB5497" w:rsidRPr="00025B9C">
        <w:rPr>
          <w:rFonts w:asciiTheme="minorHAnsi" w:hAnsiTheme="minorHAnsi" w:cstheme="minorHAnsi"/>
          <w:sz w:val="24"/>
          <w:szCs w:val="24"/>
        </w:rPr>
        <w:t xml:space="preserve">Code </w:t>
      </w:r>
      <w:r w:rsidR="00883B64" w:rsidRPr="00025B9C">
        <w:rPr>
          <w:rFonts w:asciiTheme="minorHAnsi" w:hAnsiTheme="minorHAnsi" w:cstheme="minorHAnsi"/>
          <w:sz w:val="24"/>
          <w:szCs w:val="24"/>
        </w:rPr>
        <w:t>provision</w:t>
      </w:r>
      <w:r w:rsidR="00673B5F" w:rsidRPr="00025B9C">
        <w:rPr>
          <w:rFonts w:asciiTheme="minorHAnsi" w:hAnsiTheme="minorHAnsi" w:cstheme="minorHAnsi"/>
          <w:sz w:val="24"/>
          <w:szCs w:val="24"/>
        </w:rPr>
        <w:t xml:space="preserve"> </w:t>
      </w:r>
      <w:r w:rsidR="00C51F47" w:rsidRPr="00025B9C">
        <w:rPr>
          <w:rFonts w:asciiTheme="minorHAnsi" w:hAnsiTheme="minorHAnsi" w:cstheme="minorHAnsi"/>
          <w:sz w:val="24"/>
          <w:szCs w:val="24"/>
        </w:rPr>
        <w:t xml:space="preserve">section </w:t>
      </w:r>
      <w:r w:rsidR="00E33923" w:rsidRPr="00025B9C">
        <w:rPr>
          <w:rFonts w:asciiTheme="minorHAnsi" w:hAnsiTheme="minorHAnsi" w:cstheme="minorHAnsi"/>
          <w:sz w:val="24"/>
          <w:szCs w:val="24"/>
        </w:rPr>
        <w:t>identifiers</w:t>
      </w:r>
      <w:r w:rsidR="00883B64" w:rsidRPr="00025B9C">
        <w:rPr>
          <w:rFonts w:asciiTheme="minorHAnsi" w:hAnsiTheme="minorHAnsi" w:cstheme="minorHAnsi"/>
          <w:sz w:val="24"/>
          <w:szCs w:val="24"/>
        </w:rPr>
        <w:t xml:space="preserve"> </w:t>
      </w:r>
      <w:r w:rsidR="00EB5497" w:rsidRPr="00025B9C">
        <w:rPr>
          <w:rFonts w:asciiTheme="minorHAnsi" w:hAnsiTheme="minorHAnsi" w:cstheme="minorHAnsi"/>
          <w:sz w:val="24"/>
          <w:szCs w:val="24"/>
        </w:rPr>
        <w:t xml:space="preserve">are </w:t>
      </w:r>
      <w:r w:rsidRPr="00025B9C">
        <w:rPr>
          <w:rFonts w:asciiTheme="minorHAnsi" w:hAnsiTheme="minorHAnsi" w:cstheme="minorHAnsi"/>
          <w:sz w:val="24"/>
          <w:szCs w:val="24"/>
        </w:rPr>
        <w:t xml:space="preserve">commonly </w:t>
      </w:r>
      <w:r w:rsidR="005B54A9" w:rsidRPr="00025B9C">
        <w:rPr>
          <w:rFonts w:asciiTheme="minorHAnsi" w:hAnsiTheme="minorHAnsi" w:cstheme="minorHAnsi"/>
          <w:sz w:val="24"/>
          <w:szCs w:val="24"/>
        </w:rPr>
        <w:t xml:space="preserve">omitted from </w:t>
      </w:r>
      <w:r w:rsidRPr="00025B9C">
        <w:rPr>
          <w:rFonts w:asciiTheme="minorHAnsi" w:hAnsiTheme="minorHAnsi" w:cstheme="minorHAnsi"/>
          <w:sz w:val="24"/>
          <w:szCs w:val="24"/>
        </w:rPr>
        <w:t>explanations</w:t>
      </w:r>
      <w:r w:rsidR="005B54A9" w:rsidRPr="00025B9C">
        <w:rPr>
          <w:rFonts w:asciiTheme="minorHAnsi" w:hAnsiTheme="minorHAnsi" w:cstheme="minorHAnsi"/>
          <w:sz w:val="24"/>
          <w:szCs w:val="24"/>
        </w:rPr>
        <w:t>,</w:t>
      </w:r>
      <w:r w:rsidRPr="00025B9C">
        <w:rPr>
          <w:rFonts w:asciiTheme="minorHAnsi" w:hAnsiTheme="minorHAnsi" w:cstheme="minorHAnsi"/>
          <w:sz w:val="24"/>
          <w:szCs w:val="24"/>
        </w:rPr>
        <w:t xml:space="preserve"> making it difficult for readers to be sure what exactly is not being complied with. </w:t>
      </w:r>
      <w:r w:rsidR="004B7839" w:rsidRPr="00025B9C">
        <w:rPr>
          <w:rFonts w:asciiTheme="minorHAnsi" w:hAnsiTheme="minorHAnsi" w:cstheme="minorHAnsi"/>
          <w:sz w:val="24"/>
          <w:szCs w:val="24"/>
        </w:rPr>
        <w:t>Omitting</w:t>
      </w:r>
      <w:r w:rsidRPr="00025B9C">
        <w:rPr>
          <w:rFonts w:asciiTheme="minorHAnsi" w:hAnsiTheme="minorHAnsi" w:cstheme="minorHAnsi"/>
          <w:sz w:val="24"/>
          <w:szCs w:val="24"/>
        </w:rPr>
        <w:t xml:space="preserve"> the Code </w:t>
      </w:r>
      <w:r w:rsidR="00883B64" w:rsidRPr="00025B9C">
        <w:rPr>
          <w:rFonts w:asciiTheme="minorHAnsi" w:hAnsiTheme="minorHAnsi" w:cstheme="minorHAnsi"/>
          <w:sz w:val="24"/>
          <w:szCs w:val="24"/>
        </w:rPr>
        <w:t xml:space="preserve">provision </w:t>
      </w:r>
      <w:r w:rsidR="00673B5F" w:rsidRPr="00025B9C">
        <w:rPr>
          <w:rFonts w:asciiTheme="minorHAnsi" w:hAnsiTheme="minorHAnsi" w:cstheme="minorHAnsi"/>
          <w:sz w:val="24"/>
          <w:szCs w:val="24"/>
        </w:rPr>
        <w:t xml:space="preserve">number </w:t>
      </w:r>
      <w:r w:rsidR="0033734B" w:rsidRPr="00025B9C">
        <w:rPr>
          <w:rFonts w:asciiTheme="minorHAnsi" w:hAnsiTheme="minorHAnsi" w:cstheme="minorHAnsi"/>
          <w:sz w:val="24"/>
          <w:szCs w:val="24"/>
        </w:rPr>
        <w:t>is not transparent concerning</w:t>
      </w:r>
      <w:r w:rsidRPr="00025B9C">
        <w:rPr>
          <w:rFonts w:asciiTheme="minorHAnsi" w:hAnsiTheme="minorHAnsi" w:cstheme="minorHAnsi"/>
          <w:sz w:val="24"/>
          <w:szCs w:val="24"/>
        </w:rPr>
        <w:t xml:space="preserve"> </w:t>
      </w:r>
      <w:r w:rsidR="003D62E7" w:rsidRPr="00025B9C">
        <w:rPr>
          <w:rFonts w:asciiTheme="minorHAnsi" w:hAnsiTheme="minorHAnsi" w:cstheme="minorHAnsi"/>
          <w:sz w:val="24"/>
          <w:szCs w:val="24"/>
        </w:rPr>
        <w:t xml:space="preserve">exactly </w:t>
      </w:r>
      <w:r w:rsidR="00373464" w:rsidRPr="00025B9C">
        <w:rPr>
          <w:rFonts w:asciiTheme="minorHAnsi" w:hAnsiTheme="minorHAnsi" w:cstheme="minorHAnsi"/>
          <w:sz w:val="24"/>
          <w:szCs w:val="24"/>
        </w:rPr>
        <w:t xml:space="preserve">what is not being complied with (references such as </w:t>
      </w:r>
      <w:r w:rsidR="005C1355" w:rsidRPr="00025B9C">
        <w:rPr>
          <w:rFonts w:asciiTheme="minorHAnsi" w:hAnsiTheme="minorHAnsi" w:cstheme="minorHAnsi"/>
          <w:sz w:val="24"/>
          <w:szCs w:val="24"/>
        </w:rPr>
        <w:t>‘</w:t>
      </w:r>
      <w:r w:rsidR="00373464" w:rsidRPr="00025B9C">
        <w:rPr>
          <w:rFonts w:asciiTheme="minorHAnsi" w:hAnsiTheme="minorHAnsi" w:cstheme="minorHAnsi"/>
          <w:sz w:val="24"/>
          <w:szCs w:val="24"/>
        </w:rPr>
        <w:t>A.3.2</w:t>
      </w:r>
      <w:r w:rsidR="005C1355" w:rsidRPr="00025B9C">
        <w:rPr>
          <w:rFonts w:asciiTheme="minorHAnsi" w:hAnsiTheme="minorHAnsi" w:cstheme="minorHAnsi"/>
          <w:sz w:val="24"/>
          <w:szCs w:val="24"/>
        </w:rPr>
        <w:t>’</w:t>
      </w:r>
      <w:r w:rsidR="00373464" w:rsidRPr="00025B9C">
        <w:rPr>
          <w:rFonts w:asciiTheme="minorHAnsi" w:hAnsiTheme="minorHAnsi" w:cstheme="minorHAnsi"/>
          <w:sz w:val="24"/>
          <w:szCs w:val="24"/>
        </w:rPr>
        <w:t xml:space="preserve"> very clearly highlight issues in the text and are easy for the eye to pick out). </w:t>
      </w:r>
    </w:p>
    <w:p w:rsidR="000D05FD" w:rsidRPr="00025B9C" w:rsidRDefault="000D05FD" w:rsidP="00D665D9">
      <w:pPr>
        <w:spacing w:line="360" w:lineRule="auto"/>
        <w:jc w:val="both"/>
        <w:rPr>
          <w:rFonts w:asciiTheme="minorHAnsi" w:hAnsiTheme="minorHAnsi" w:cstheme="minorHAnsi"/>
        </w:rPr>
      </w:pPr>
    </w:p>
    <w:p w:rsidR="006C3481" w:rsidRPr="00025B9C" w:rsidRDefault="00673B5F" w:rsidP="00D665D9">
      <w:pPr>
        <w:spacing w:line="360" w:lineRule="auto"/>
        <w:jc w:val="both"/>
        <w:rPr>
          <w:rFonts w:asciiTheme="minorHAnsi" w:hAnsiTheme="minorHAnsi" w:cstheme="minorHAnsi"/>
        </w:rPr>
      </w:pPr>
      <w:r w:rsidRPr="00025B9C">
        <w:rPr>
          <w:rFonts w:asciiTheme="minorHAnsi" w:hAnsiTheme="minorHAnsi" w:cstheme="minorHAnsi"/>
        </w:rPr>
        <w:t>In Example 9a (</w:t>
      </w:r>
      <w:proofErr w:type="spellStart"/>
      <w:r w:rsidRPr="00025B9C">
        <w:rPr>
          <w:rFonts w:asciiTheme="minorHAnsi" w:hAnsiTheme="minorHAnsi" w:cstheme="minorHAnsi"/>
        </w:rPr>
        <w:t>i</w:t>
      </w:r>
      <w:proofErr w:type="spellEnd"/>
      <w:r w:rsidRPr="00025B9C">
        <w:rPr>
          <w:rFonts w:asciiTheme="minorHAnsi" w:hAnsiTheme="minorHAnsi" w:cstheme="minorHAnsi"/>
        </w:rPr>
        <w:t>)</w:t>
      </w:r>
      <w:r w:rsidR="0033734B" w:rsidRPr="00025B9C">
        <w:rPr>
          <w:rFonts w:asciiTheme="minorHAnsi" w:hAnsiTheme="minorHAnsi" w:cstheme="minorHAnsi"/>
        </w:rPr>
        <w:t>,</w:t>
      </w:r>
      <w:r w:rsidRPr="00025B9C">
        <w:rPr>
          <w:rFonts w:asciiTheme="minorHAnsi" w:hAnsiTheme="minorHAnsi" w:cstheme="minorHAnsi"/>
        </w:rPr>
        <w:t xml:space="preserve"> although “page 49” does provide some more information</w:t>
      </w:r>
      <w:r w:rsidR="0033734B" w:rsidRPr="00025B9C">
        <w:rPr>
          <w:rFonts w:asciiTheme="minorHAnsi" w:hAnsiTheme="minorHAnsi" w:cstheme="minorHAnsi"/>
        </w:rPr>
        <w:t>,</w:t>
      </w:r>
      <w:r w:rsidRPr="00025B9C">
        <w:rPr>
          <w:rFonts w:asciiTheme="minorHAnsi" w:hAnsiTheme="minorHAnsi" w:cstheme="minorHAnsi"/>
        </w:rPr>
        <w:t xml:space="preserve"> it is not clear exactly why one non-independent </w:t>
      </w:r>
      <w:r w:rsidR="0033734B" w:rsidRPr="00025B9C">
        <w:rPr>
          <w:rFonts w:asciiTheme="minorHAnsi" w:hAnsiTheme="minorHAnsi" w:cstheme="minorHAnsi"/>
        </w:rPr>
        <w:t xml:space="preserve">board </w:t>
      </w:r>
      <w:r w:rsidRPr="00025B9C">
        <w:rPr>
          <w:rFonts w:asciiTheme="minorHAnsi" w:hAnsiTheme="minorHAnsi" w:cstheme="minorHAnsi"/>
        </w:rPr>
        <w:t xml:space="preserve">member had to be on the remuneration committee. </w:t>
      </w:r>
      <w:r w:rsidR="0033734B" w:rsidRPr="00025B9C">
        <w:rPr>
          <w:rFonts w:asciiTheme="minorHAnsi" w:hAnsiTheme="minorHAnsi" w:cstheme="minorHAnsi"/>
        </w:rPr>
        <w:t>R</w:t>
      </w:r>
      <w:r w:rsidRPr="00025B9C">
        <w:rPr>
          <w:rFonts w:asciiTheme="minorHAnsi" w:hAnsiTheme="minorHAnsi" w:cstheme="minorHAnsi"/>
        </w:rPr>
        <w:t>eader</w:t>
      </w:r>
      <w:r w:rsidR="0033734B" w:rsidRPr="00025B9C">
        <w:rPr>
          <w:rFonts w:asciiTheme="minorHAnsi" w:hAnsiTheme="minorHAnsi" w:cstheme="minorHAnsi"/>
        </w:rPr>
        <w:t>s have</w:t>
      </w:r>
      <w:r w:rsidRPr="00025B9C">
        <w:rPr>
          <w:rFonts w:asciiTheme="minorHAnsi" w:hAnsiTheme="minorHAnsi" w:cstheme="minorHAnsi"/>
        </w:rPr>
        <w:t xml:space="preserve"> to identify the members of the committee and then read all the directors’ details to work out which non-executive</w:t>
      </w:r>
      <w:r w:rsidR="00FC06E9" w:rsidRPr="00025B9C">
        <w:rPr>
          <w:rFonts w:asciiTheme="minorHAnsi" w:hAnsiTheme="minorHAnsi" w:cstheme="minorHAnsi"/>
        </w:rPr>
        <w:t xml:space="preserve"> director</w:t>
      </w:r>
      <w:r w:rsidRPr="00025B9C">
        <w:rPr>
          <w:rFonts w:asciiTheme="minorHAnsi" w:hAnsiTheme="minorHAnsi" w:cstheme="minorHAnsi"/>
        </w:rPr>
        <w:t xml:space="preserve"> is not independent and then make an assumption as to why one of them had to be on the committee. Thus, the reason for the non-compliance is not provided</w:t>
      </w:r>
      <w:r w:rsidR="00D178EF" w:rsidRPr="00025B9C">
        <w:rPr>
          <w:rFonts w:asciiTheme="minorHAnsi" w:hAnsiTheme="minorHAnsi" w:cstheme="minorHAnsi"/>
        </w:rPr>
        <w:t>,</w:t>
      </w:r>
      <w:r w:rsidRPr="00025B9C">
        <w:rPr>
          <w:rFonts w:asciiTheme="minorHAnsi" w:hAnsiTheme="minorHAnsi" w:cstheme="minorHAnsi"/>
        </w:rPr>
        <w:t xml:space="preserve"> </w:t>
      </w:r>
      <w:r w:rsidR="00D178EF" w:rsidRPr="00025B9C">
        <w:rPr>
          <w:rFonts w:asciiTheme="minorHAnsi" w:hAnsiTheme="minorHAnsi" w:cstheme="minorHAnsi"/>
        </w:rPr>
        <w:t>thereby requiring</w:t>
      </w:r>
      <w:r w:rsidRPr="00025B9C">
        <w:rPr>
          <w:rFonts w:asciiTheme="minorHAnsi" w:hAnsiTheme="minorHAnsi" w:cstheme="minorHAnsi"/>
        </w:rPr>
        <w:t xml:space="preserve"> further work</w:t>
      </w:r>
      <w:r w:rsidR="0033734B" w:rsidRPr="00025B9C">
        <w:rPr>
          <w:rFonts w:asciiTheme="minorHAnsi" w:hAnsiTheme="minorHAnsi" w:cstheme="minorHAnsi"/>
        </w:rPr>
        <w:t xml:space="preserve"> by readers</w:t>
      </w:r>
      <w:r w:rsidRPr="00025B9C">
        <w:rPr>
          <w:rFonts w:asciiTheme="minorHAnsi" w:hAnsiTheme="minorHAnsi" w:cstheme="minorHAnsi"/>
        </w:rPr>
        <w:t>.</w:t>
      </w:r>
    </w:p>
    <w:p w:rsidR="00570CF5" w:rsidRPr="00025B9C" w:rsidRDefault="00570CF5" w:rsidP="00D665D9">
      <w:pPr>
        <w:spacing w:line="360" w:lineRule="auto"/>
        <w:jc w:val="both"/>
        <w:rPr>
          <w:rFonts w:asciiTheme="minorHAnsi" w:hAnsiTheme="minorHAnsi" w:cstheme="minorHAnsi"/>
        </w:rPr>
      </w:pPr>
    </w:p>
    <w:p w:rsidR="00F60F08" w:rsidRPr="00025B9C" w:rsidRDefault="00570CF5" w:rsidP="00D665D9">
      <w:pPr>
        <w:ind w:left="567" w:right="805" w:firstLine="11"/>
        <w:contextualSpacing/>
        <w:jc w:val="both"/>
        <w:rPr>
          <w:rFonts w:asciiTheme="minorHAnsi" w:hAnsiTheme="minorHAnsi" w:cstheme="minorHAnsi"/>
          <w:b/>
          <w:sz w:val="20"/>
          <w:szCs w:val="20"/>
        </w:rPr>
      </w:pPr>
      <w:r w:rsidRPr="00025B9C">
        <w:rPr>
          <w:rFonts w:asciiTheme="minorHAnsi" w:hAnsiTheme="minorHAnsi" w:cstheme="minorHAnsi"/>
          <w:b/>
          <w:sz w:val="20"/>
          <w:szCs w:val="20"/>
        </w:rPr>
        <w:t>Example 9</w:t>
      </w:r>
      <w:r w:rsidR="00F60F08" w:rsidRPr="00025B9C">
        <w:rPr>
          <w:rFonts w:asciiTheme="minorHAnsi" w:hAnsiTheme="minorHAnsi" w:cstheme="minorHAnsi"/>
          <w:b/>
          <w:sz w:val="20"/>
          <w:szCs w:val="20"/>
        </w:rPr>
        <w:t>a</w:t>
      </w:r>
      <w:r w:rsidR="00D24F4C" w:rsidRPr="00025B9C">
        <w:rPr>
          <w:rFonts w:asciiTheme="minorHAnsi" w:hAnsiTheme="minorHAnsi" w:cstheme="minorHAnsi"/>
          <w:b/>
          <w:sz w:val="20"/>
          <w:szCs w:val="20"/>
        </w:rPr>
        <w:t xml:space="preserve"> (</w:t>
      </w:r>
      <w:proofErr w:type="spellStart"/>
      <w:r w:rsidR="00D24F4C" w:rsidRPr="00025B9C">
        <w:rPr>
          <w:rFonts w:asciiTheme="minorHAnsi" w:hAnsiTheme="minorHAnsi" w:cstheme="minorHAnsi"/>
          <w:b/>
          <w:sz w:val="20"/>
          <w:szCs w:val="20"/>
        </w:rPr>
        <w:t>i</w:t>
      </w:r>
      <w:proofErr w:type="spellEnd"/>
      <w:r w:rsidR="00D24F4C" w:rsidRPr="00025B9C">
        <w:rPr>
          <w:rFonts w:asciiTheme="minorHAnsi" w:hAnsiTheme="minorHAnsi" w:cstheme="minorHAnsi"/>
          <w:b/>
          <w:sz w:val="20"/>
          <w:szCs w:val="20"/>
        </w:rPr>
        <w:t>)</w:t>
      </w:r>
      <w:r w:rsidR="00F60F08" w:rsidRPr="00025B9C">
        <w:rPr>
          <w:rFonts w:asciiTheme="minorHAnsi" w:hAnsiTheme="minorHAnsi" w:cstheme="minorHAnsi"/>
          <w:b/>
          <w:sz w:val="20"/>
          <w:szCs w:val="20"/>
        </w:rPr>
        <w:t>: Non-compliance stated but no reason given</w:t>
      </w:r>
    </w:p>
    <w:p w:rsidR="00F60F08" w:rsidRPr="00025B9C" w:rsidRDefault="008F0935" w:rsidP="00D665D9">
      <w:pPr>
        <w:ind w:left="567" w:right="-46" w:firstLine="11"/>
        <w:contextualSpacing/>
        <w:jc w:val="both"/>
        <w:rPr>
          <w:rFonts w:asciiTheme="minorHAnsi" w:hAnsiTheme="minorHAnsi" w:cstheme="minorHAnsi"/>
          <w:sz w:val="20"/>
          <w:szCs w:val="20"/>
        </w:rPr>
      </w:pPr>
      <w:r w:rsidRPr="00025B9C">
        <w:rPr>
          <w:rFonts w:asciiTheme="minorHAnsi" w:hAnsiTheme="minorHAnsi" w:cstheme="minorHAnsi"/>
          <w:sz w:val="20"/>
          <w:szCs w:val="20"/>
        </w:rPr>
        <w:t>During the year the Company did not comply with the following provisions of the UK Corporate governance code</w:t>
      </w:r>
      <w:r w:rsidR="005D1848" w:rsidRPr="00025B9C">
        <w:rPr>
          <w:rFonts w:asciiTheme="minorHAnsi" w:hAnsiTheme="minorHAnsi" w:cstheme="minorHAnsi"/>
          <w:sz w:val="20"/>
          <w:szCs w:val="20"/>
        </w:rPr>
        <w:t>:</w:t>
      </w:r>
      <w:r w:rsidRPr="00025B9C">
        <w:rPr>
          <w:rFonts w:asciiTheme="minorHAnsi" w:hAnsiTheme="minorHAnsi" w:cstheme="minorHAnsi"/>
          <w:sz w:val="20"/>
          <w:szCs w:val="20"/>
        </w:rPr>
        <w:tab/>
      </w:r>
    </w:p>
    <w:p w:rsidR="000D05FD" w:rsidRPr="00025B9C" w:rsidRDefault="000D05FD" w:rsidP="00D665D9">
      <w:pPr>
        <w:ind w:left="567" w:right="805" w:firstLine="11"/>
        <w:contextualSpacing/>
        <w:jc w:val="both"/>
        <w:rPr>
          <w:rFonts w:asciiTheme="minorHAnsi" w:hAnsiTheme="minorHAnsi" w:cstheme="minorHAnsi"/>
          <w:sz w:val="20"/>
          <w:szCs w:val="20"/>
        </w:rPr>
      </w:pPr>
    </w:p>
    <w:p w:rsidR="008F0935" w:rsidRPr="00025B9C" w:rsidRDefault="008F0935" w:rsidP="00D665D9">
      <w:pPr>
        <w:ind w:left="567" w:right="-46" w:firstLine="11"/>
        <w:contextualSpacing/>
        <w:jc w:val="both"/>
        <w:rPr>
          <w:rFonts w:asciiTheme="minorHAnsi" w:hAnsiTheme="minorHAnsi" w:cstheme="minorHAnsi"/>
          <w:sz w:val="20"/>
          <w:szCs w:val="20"/>
        </w:rPr>
      </w:pPr>
      <w:r w:rsidRPr="00025B9C">
        <w:rPr>
          <w:rFonts w:asciiTheme="minorHAnsi" w:hAnsiTheme="minorHAnsi" w:cstheme="minorHAnsi"/>
          <w:sz w:val="20"/>
          <w:szCs w:val="20"/>
        </w:rPr>
        <w:t>(</w:t>
      </w:r>
      <w:proofErr w:type="spellStart"/>
      <w:r w:rsidRPr="00025B9C">
        <w:rPr>
          <w:rFonts w:asciiTheme="minorHAnsi" w:hAnsiTheme="minorHAnsi" w:cstheme="minorHAnsi"/>
          <w:sz w:val="20"/>
          <w:szCs w:val="20"/>
        </w:rPr>
        <w:t>i</w:t>
      </w:r>
      <w:proofErr w:type="spellEnd"/>
      <w:r w:rsidRPr="00025B9C">
        <w:rPr>
          <w:rFonts w:asciiTheme="minorHAnsi" w:hAnsiTheme="minorHAnsi" w:cstheme="minorHAnsi"/>
          <w:sz w:val="20"/>
          <w:szCs w:val="20"/>
        </w:rPr>
        <w:t>) Independent membership of the Remuneration Committee: one member of the committee is not independent. Refer to the Report of the Remuneration Commit</w:t>
      </w:r>
      <w:r w:rsidR="005D1848" w:rsidRPr="00025B9C">
        <w:rPr>
          <w:rFonts w:asciiTheme="minorHAnsi" w:hAnsiTheme="minorHAnsi" w:cstheme="minorHAnsi"/>
          <w:sz w:val="20"/>
          <w:szCs w:val="20"/>
        </w:rPr>
        <w:t>tee on page 49;</w:t>
      </w:r>
    </w:p>
    <w:p w:rsidR="008F0935" w:rsidRPr="00025B9C" w:rsidRDefault="008F0935" w:rsidP="00D665D9">
      <w:pPr>
        <w:ind w:left="567" w:right="805"/>
        <w:contextualSpacing/>
        <w:jc w:val="both"/>
        <w:rPr>
          <w:rFonts w:asciiTheme="minorHAnsi" w:hAnsiTheme="minorHAnsi" w:cstheme="minorHAnsi"/>
          <w:sz w:val="20"/>
          <w:szCs w:val="20"/>
        </w:rPr>
      </w:pPr>
      <w:r w:rsidRPr="00025B9C">
        <w:rPr>
          <w:rFonts w:asciiTheme="minorHAnsi" w:hAnsiTheme="minorHAnsi" w:cstheme="minorHAnsi"/>
          <w:sz w:val="20"/>
          <w:szCs w:val="20"/>
        </w:rPr>
        <w:t>Source: International Airlines Group plc annual report 2011, p. 40.</w:t>
      </w:r>
    </w:p>
    <w:p w:rsidR="006C3481" w:rsidRPr="00025B9C" w:rsidRDefault="006C3481" w:rsidP="00D665D9">
      <w:pPr>
        <w:spacing w:line="360" w:lineRule="auto"/>
        <w:contextualSpacing/>
        <w:jc w:val="both"/>
        <w:rPr>
          <w:rFonts w:asciiTheme="minorHAnsi" w:hAnsiTheme="minorHAnsi" w:cstheme="minorHAnsi"/>
        </w:rPr>
      </w:pPr>
    </w:p>
    <w:p w:rsidR="008F0935" w:rsidRPr="00025B9C" w:rsidRDefault="0047645F" w:rsidP="00D665D9">
      <w:pPr>
        <w:spacing w:line="360" w:lineRule="auto"/>
        <w:contextualSpacing/>
        <w:jc w:val="both"/>
        <w:rPr>
          <w:rFonts w:asciiTheme="minorHAnsi" w:hAnsiTheme="minorHAnsi" w:cstheme="minorHAnsi"/>
        </w:rPr>
      </w:pPr>
      <w:r w:rsidRPr="00025B9C">
        <w:rPr>
          <w:rFonts w:asciiTheme="minorHAnsi" w:hAnsiTheme="minorHAnsi" w:cstheme="minorHAnsi"/>
        </w:rPr>
        <w:t>Similarly</w:t>
      </w:r>
      <w:r w:rsidR="00673B5F" w:rsidRPr="00025B9C">
        <w:rPr>
          <w:rFonts w:asciiTheme="minorHAnsi" w:hAnsiTheme="minorHAnsi" w:cstheme="minorHAnsi"/>
        </w:rPr>
        <w:t>,</w:t>
      </w:r>
      <w:r w:rsidRPr="00025B9C">
        <w:rPr>
          <w:rFonts w:asciiTheme="minorHAnsi" w:hAnsiTheme="minorHAnsi" w:cstheme="minorHAnsi"/>
        </w:rPr>
        <w:t xml:space="preserve"> in </w:t>
      </w:r>
      <w:r w:rsidR="00570CF5" w:rsidRPr="00025B9C">
        <w:rPr>
          <w:rFonts w:asciiTheme="minorHAnsi" w:hAnsiTheme="minorHAnsi" w:cstheme="minorHAnsi"/>
        </w:rPr>
        <w:t>Example 9</w:t>
      </w:r>
      <w:r w:rsidR="00D24F4C" w:rsidRPr="00025B9C">
        <w:rPr>
          <w:rFonts w:asciiTheme="minorHAnsi" w:hAnsiTheme="minorHAnsi" w:cstheme="minorHAnsi"/>
        </w:rPr>
        <w:t>a (ii)</w:t>
      </w:r>
      <w:r w:rsidR="00673B5F" w:rsidRPr="00025B9C">
        <w:rPr>
          <w:rFonts w:asciiTheme="minorHAnsi" w:hAnsiTheme="minorHAnsi" w:cstheme="minorHAnsi"/>
        </w:rPr>
        <w:t xml:space="preserve">, </w:t>
      </w:r>
      <w:r w:rsidRPr="00025B9C">
        <w:rPr>
          <w:rFonts w:asciiTheme="minorHAnsi" w:hAnsiTheme="minorHAnsi" w:cstheme="minorHAnsi"/>
        </w:rPr>
        <w:t>readers are informed that one non-executive</w:t>
      </w:r>
      <w:r w:rsidR="00FC06E9" w:rsidRPr="00025B9C">
        <w:rPr>
          <w:rFonts w:asciiTheme="minorHAnsi" w:hAnsiTheme="minorHAnsi" w:cstheme="minorHAnsi"/>
        </w:rPr>
        <w:t xml:space="preserve"> director</w:t>
      </w:r>
      <w:r w:rsidRPr="00025B9C">
        <w:rPr>
          <w:rFonts w:asciiTheme="minorHAnsi" w:hAnsiTheme="minorHAnsi" w:cstheme="minorHAnsi"/>
        </w:rPr>
        <w:t xml:space="preserve"> could not attend the AGM due to “another pressing business commitment</w:t>
      </w:r>
      <w:r w:rsidR="00972A37" w:rsidRPr="00025B9C">
        <w:rPr>
          <w:rFonts w:asciiTheme="minorHAnsi" w:hAnsiTheme="minorHAnsi" w:cstheme="minorHAnsi"/>
        </w:rPr>
        <w:t>”.</w:t>
      </w:r>
      <w:r w:rsidR="00AE07DF" w:rsidRPr="00025B9C">
        <w:rPr>
          <w:rFonts w:asciiTheme="minorHAnsi" w:hAnsiTheme="minorHAnsi" w:cstheme="minorHAnsi"/>
        </w:rPr>
        <w:t xml:space="preserve"> </w:t>
      </w:r>
      <w:r w:rsidRPr="00025B9C">
        <w:rPr>
          <w:rFonts w:asciiTheme="minorHAnsi" w:hAnsiTheme="minorHAnsi" w:cstheme="minorHAnsi"/>
        </w:rPr>
        <w:t xml:space="preserve">Although some may see </w:t>
      </w:r>
      <w:r w:rsidR="004B6090" w:rsidRPr="00025B9C">
        <w:rPr>
          <w:rFonts w:asciiTheme="minorHAnsi" w:hAnsiTheme="minorHAnsi" w:cstheme="minorHAnsi"/>
        </w:rPr>
        <w:t>this</w:t>
      </w:r>
      <w:r w:rsidRPr="00025B9C">
        <w:rPr>
          <w:rFonts w:asciiTheme="minorHAnsi" w:hAnsiTheme="minorHAnsi" w:cstheme="minorHAnsi"/>
        </w:rPr>
        <w:t xml:space="preserve"> as an explanation</w:t>
      </w:r>
      <w:r w:rsidR="00701DD4" w:rsidRPr="00025B9C">
        <w:rPr>
          <w:rFonts w:asciiTheme="minorHAnsi" w:hAnsiTheme="minorHAnsi" w:cstheme="minorHAnsi"/>
        </w:rPr>
        <w:t>,</w:t>
      </w:r>
      <w:r w:rsidRPr="00025B9C">
        <w:rPr>
          <w:rFonts w:asciiTheme="minorHAnsi" w:hAnsiTheme="minorHAnsi" w:cstheme="minorHAnsi"/>
        </w:rPr>
        <w:t xml:space="preserve"> it raises </w:t>
      </w:r>
      <w:r w:rsidR="00673B5F" w:rsidRPr="00025B9C">
        <w:rPr>
          <w:rFonts w:asciiTheme="minorHAnsi" w:hAnsiTheme="minorHAnsi" w:cstheme="minorHAnsi"/>
        </w:rPr>
        <w:t>a number of issues. W</w:t>
      </w:r>
      <w:r w:rsidR="000B1C71" w:rsidRPr="00025B9C">
        <w:rPr>
          <w:rFonts w:asciiTheme="minorHAnsi" w:hAnsiTheme="minorHAnsi" w:cstheme="minorHAnsi"/>
        </w:rPr>
        <w:t xml:space="preserve">hat </w:t>
      </w:r>
      <w:r w:rsidR="004B7839" w:rsidRPr="00025B9C">
        <w:rPr>
          <w:rFonts w:asciiTheme="minorHAnsi" w:hAnsiTheme="minorHAnsi" w:cstheme="minorHAnsi"/>
        </w:rPr>
        <w:t xml:space="preserve">precisely </w:t>
      </w:r>
      <w:r w:rsidR="000B1C71" w:rsidRPr="00025B9C">
        <w:rPr>
          <w:rFonts w:asciiTheme="minorHAnsi" w:hAnsiTheme="minorHAnsi" w:cstheme="minorHAnsi"/>
        </w:rPr>
        <w:t xml:space="preserve">was the reason </w:t>
      </w:r>
      <w:r w:rsidR="00673B5F" w:rsidRPr="00025B9C">
        <w:rPr>
          <w:rFonts w:asciiTheme="minorHAnsi" w:hAnsiTheme="minorHAnsi" w:cstheme="minorHAnsi"/>
        </w:rPr>
        <w:t>for AGM non-attend</w:t>
      </w:r>
      <w:r w:rsidR="00E33923" w:rsidRPr="00025B9C">
        <w:rPr>
          <w:rFonts w:asciiTheme="minorHAnsi" w:hAnsiTheme="minorHAnsi" w:cstheme="minorHAnsi"/>
        </w:rPr>
        <w:t>a</w:t>
      </w:r>
      <w:r w:rsidR="00673B5F" w:rsidRPr="00025B9C">
        <w:rPr>
          <w:rFonts w:asciiTheme="minorHAnsi" w:hAnsiTheme="minorHAnsi" w:cstheme="minorHAnsi"/>
        </w:rPr>
        <w:t>nce?</w:t>
      </w:r>
      <w:r w:rsidR="000B1C71" w:rsidRPr="00025B9C">
        <w:rPr>
          <w:rFonts w:asciiTheme="minorHAnsi" w:hAnsiTheme="minorHAnsi" w:cstheme="minorHAnsi"/>
        </w:rPr>
        <w:t xml:space="preserve"> </w:t>
      </w:r>
      <w:r w:rsidR="00673B5F" w:rsidRPr="00025B9C">
        <w:rPr>
          <w:rFonts w:asciiTheme="minorHAnsi" w:hAnsiTheme="minorHAnsi" w:cstheme="minorHAnsi"/>
        </w:rPr>
        <w:t>C</w:t>
      </w:r>
      <w:r w:rsidR="000B1C71" w:rsidRPr="00025B9C">
        <w:rPr>
          <w:rFonts w:asciiTheme="minorHAnsi" w:hAnsiTheme="minorHAnsi" w:cstheme="minorHAnsi"/>
        </w:rPr>
        <w:t>an this person devote sufficient time to being a non-executive</w:t>
      </w:r>
      <w:r w:rsidR="00673B5F" w:rsidRPr="00025B9C">
        <w:rPr>
          <w:rFonts w:asciiTheme="minorHAnsi" w:hAnsiTheme="minorHAnsi" w:cstheme="minorHAnsi"/>
        </w:rPr>
        <w:t xml:space="preserve"> director</w:t>
      </w:r>
      <w:r w:rsidR="000B1C71" w:rsidRPr="00025B9C">
        <w:rPr>
          <w:rFonts w:asciiTheme="minorHAnsi" w:hAnsiTheme="minorHAnsi" w:cstheme="minorHAnsi"/>
        </w:rPr>
        <w:t>?</w:t>
      </w:r>
      <w:r w:rsidR="004B6090" w:rsidRPr="00025B9C">
        <w:rPr>
          <w:rFonts w:asciiTheme="minorHAnsi" w:hAnsiTheme="minorHAnsi" w:cstheme="minorHAnsi"/>
        </w:rPr>
        <w:t xml:space="preserve"> GSK could have provided information to answer these questions.</w:t>
      </w:r>
      <w:r w:rsidR="00384DED" w:rsidRPr="00025B9C">
        <w:rPr>
          <w:rFonts w:asciiTheme="minorHAnsi" w:hAnsiTheme="minorHAnsi" w:cstheme="minorHAnsi"/>
        </w:rPr>
        <w:t xml:space="preserve"> Earlier in </w:t>
      </w:r>
      <w:r w:rsidR="00E7106B" w:rsidRPr="00025B9C">
        <w:rPr>
          <w:rFonts w:asciiTheme="minorHAnsi" w:hAnsiTheme="minorHAnsi" w:cstheme="minorHAnsi"/>
        </w:rPr>
        <w:t>its</w:t>
      </w:r>
      <w:r w:rsidR="00384DED" w:rsidRPr="00025B9C">
        <w:rPr>
          <w:rFonts w:asciiTheme="minorHAnsi" w:hAnsiTheme="minorHAnsi" w:cstheme="minorHAnsi"/>
        </w:rPr>
        <w:t xml:space="preserve"> </w:t>
      </w:r>
      <w:r w:rsidR="00E7106B" w:rsidRPr="00025B9C">
        <w:rPr>
          <w:rFonts w:asciiTheme="minorHAnsi" w:hAnsiTheme="minorHAnsi" w:cstheme="minorHAnsi"/>
        </w:rPr>
        <w:t xml:space="preserve">annual </w:t>
      </w:r>
      <w:r w:rsidR="00384DED" w:rsidRPr="00025B9C">
        <w:rPr>
          <w:rFonts w:asciiTheme="minorHAnsi" w:hAnsiTheme="minorHAnsi" w:cstheme="minorHAnsi"/>
        </w:rPr>
        <w:t>report</w:t>
      </w:r>
      <w:r w:rsidR="00E7106B" w:rsidRPr="00025B9C">
        <w:rPr>
          <w:rFonts w:asciiTheme="minorHAnsi" w:hAnsiTheme="minorHAnsi" w:cstheme="minorHAnsi"/>
        </w:rPr>
        <w:t>,</w:t>
      </w:r>
      <w:r w:rsidR="00384DED" w:rsidRPr="00025B9C">
        <w:rPr>
          <w:rFonts w:asciiTheme="minorHAnsi" w:hAnsiTheme="minorHAnsi" w:cstheme="minorHAnsi"/>
        </w:rPr>
        <w:t xml:space="preserve"> GSK talks of welcoming the introduction of the Code and complying with a new provision “ahead of time” (p.</w:t>
      </w:r>
      <w:r w:rsidR="00AA684D" w:rsidRPr="00025B9C">
        <w:rPr>
          <w:rFonts w:asciiTheme="minorHAnsi" w:hAnsiTheme="minorHAnsi" w:cstheme="minorHAnsi"/>
        </w:rPr>
        <w:t xml:space="preserve"> </w:t>
      </w:r>
      <w:r w:rsidR="00384DED" w:rsidRPr="00025B9C">
        <w:rPr>
          <w:rFonts w:asciiTheme="minorHAnsi" w:hAnsiTheme="minorHAnsi" w:cstheme="minorHAnsi"/>
        </w:rPr>
        <w:t>82)</w:t>
      </w:r>
      <w:r w:rsidR="0082298F" w:rsidRPr="00025B9C">
        <w:rPr>
          <w:rFonts w:asciiTheme="minorHAnsi" w:hAnsiTheme="minorHAnsi" w:cstheme="minorHAnsi"/>
        </w:rPr>
        <w:t xml:space="preserve"> but it is difficult to </w:t>
      </w:r>
      <w:r w:rsidR="0060562B" w:rsidRPr="00025B9C">
        <w:rPr>
          <w:rFonts w:asciiTheme="minorHAnsi" w:hAnsiTheme="minorHAnsi" w:cstheme="minorHAnsi"/>
        </w:rPr>
        <w:t>marry</w:t>
      </w:r>
      <w:r w:rsidR="00384DED" w:rsidRPr="00025B9C">
        <w:rPr>
          <w:rFonts w:asciiTheme="minorHAnsi" w:hAnsiTheme="minorHAnsi" w:cstheme="minorHAnsi"/>
        </w:rPr>
        <w:t xml:space="preserve"> </w:t>
      </w:r>
      <w:r w:rsidR="004B7839" w:rsidRPr="00025B9C">
        <w:rPr>
          <w:rFonts w:asciiTheme="minorHAnsi" w:hAnsiTheme="minorHAnsi" w:cstheme="minorHAnsi"/>
        </w:rPr>
        <w:t>these</w:t>
      </w:r>
      <w:r w:rsidR="0082298F" w:rsidRPr="00025B9C">
        <w:rPr>
          <w:rFonts w:asciiTheme="minorHAnsi" w:hAnsiTheme="minorHAnsi" w:cstheme="minorHAnsi"/>
        </w:rPr>
        <w:t xml:space="preserve"> </w:t>
      </w:r>
      <w:r w:rsidR="000F3422" w:rsidRPr="00025B9C">
        <w:rPr>
          <w:rFonts w:asciiTheme="minorHAnsi" w:hAnsiTheme="minorHAnsi" w:cstheme="minorHAnsi"/>
        </w:rPr>
        <w:t xml:space="preserve">voluntary </w:t>
      </w:r>
      <w:r w:rsidR="0082298F" w:rsidRPr="00025B9C">
        <w:rPr>
          <w:rFonts w:asciiTheme="minorHAnsi" w:hAnsiTheme="minorHAnsi" w:cstheme="minorHAnsi"/>
        </w:rPr>
        <w:t>disclosures with a</w:t>
      </w:r>
      <w:r w:rsidR="00E7106B" w:rsidRPr="00025B9C">
        <w:rPr>
          <w:rFonts w:asciiTheme="minorHAnsi" w:hAnsiTheme="minorHAnsi" w:cstheme="minorHAnsi"/>
        </w:rPr>
        <w:t>n</w:t>
      </w:r>
      <w:r w:rsidR="0082298F" w:rsidRPr="00025B9C">
        <w:rPr>
          <w:rFonts w:asciiTheme="minorHAnsi" w:hAnsiTheme="minorHAnsi" w:cstheme="minorHAnsi"/>
        </w:rPr>
        <w:t xml:space="preserve"> explanation</w:t>
      </w:r>
      <w:r w:rsidR="00E7106B" w:rsidRPr="00025B9C">
        <w:rPr>
          <w:rFonts w:asciiTheme="minorHAnsi" w:hAnsiTheme="minorHAnsi" w:cstheme="minorHAnsi"/>
        </w:rPr>
        <w:t xml:space="preserve"> that is not an </w:t>
      </w:r>
      <w:r w:rsidR="004B7839" w:rsidRPr="00025B9C">
        <w:rPr>
          <w:rFonts w:asciiTheme="minorHAnsi" w:hAnsiTheme="minorHAnsi" w:cstheme="minorHAnsi"/>
        </w:rPr>
        <w:t xml:space="preserve">adequate </w:t>
      </w:r>
      <w:r w:rsidR="00E7106B" w:rsidRPr="00025B9C">
        <w:rPr>
          <w:rFonts w:asciiTheme="minorHAnsi" w:hAnsiTheme="minorHAnsi" w:cstheme="minorHAnsi"/>
        </w:rPr>
        <w:t>explanation</w:t>
      </w:r>
      <w:r w:rsidR="0082298F" w:rsidRPr="00025B9C">
        <w:rPr>
          <w:rFonts w:asciiTheme="minorHAnsi" w:hAnsiTheme="minorHAnsi" w:cstheme="minorHAnsi"/>
        </w:rPr>
        <w:t>.</w:t>
      </w:r>
    </w:p>
    <w:p w:rsidR="000F3422" w:rsidRPr="00025B9C" w:rsidRDefault="000F3422" w:rsidP="00D665D9">
      <w:pPr>
        <w:spacing w:line="360" w:lineRule="auto"/>
        <w:contextualSpacing/>
        <w:jc w:val="both"/>
        <w:rPr>
          <w:rFonts w:asciiTheme="minorHAnsi" w:hAnsiTheme="minorHAnsi" w:cstheme="minorHAnsi"/>
        </w:rPr>
      </w:pPr>
    </w:p>
    <w:p w:rsidR="00D24F4C" w:rsidRPr="00025B9C" w:rsidRDefault="00570CF5" w:rsidP="00D665D9">
      <w:pPr>
        <w:ind w:left="567" w:right="805" w:firstLine="11"/>
        <w:contextualSpacing/>
        <w:jc w:val="both"/>
        <w:rPr>
          <w:rFonts w:asciiTheme="minorHAnsi" w:hAnsiTheme="minorHAnsi" w:cstheme="minorHAnsi"/>
          <w:b/>
          <w:sz w:val="20"/>
          <w:szCs w:val="20"/>
        </w:rPr>
      </w:pPr>
      <w:r w:rsidRPr="00025B9C">
        <w:rPr>
          <w:rFonts w:asciiTheme="minorHAnsi" w:hAnsiTheme="minorHAnsi" w:cstheme="minorHAnsi"/>
          <w:b/>
          <w:sz w:val="20"/>
          <w:szCs w:val="20"/>
        </w:rPr>
        <w:t>Example 9</w:t>
      </w:r>
      <w:r w:rsidR="00D24F4C" w:rsidRPr="00025B9C">
        <w:rPr>
          <w:rFonts w:asciiTheme="minorHAnsi" w:hAnsiTheme="minorHAnsi" w:cstheme="minorHAnsi"/>
          <w:b/>
          <w:sz w:val="20"/>
          <w:szCs w:val="20"/>
        </w:rPr>
        <w:t>a (ii): Non-compliance stated but no reason given</w:t>
      </w:r>
    </w:p>
    <w:p w:rsidR="00D24F4C" w:rsidRPr="00025B9C" w:rsidRDefault="00D24F4C" w:rsidP="00D665D9">
      <w:pPr>
        <w:ind w:left="567" w:right="-46" w:firstLine="11"/>
        <w:contextualSpacing/>
        <w:jc w:val="both"/>
        <w:rPr>
          <w:rFonts w:asciiTheme="minorHAnsi" w:hAnsiTheme="minorHAnsi" w:cstheme="minorHAnsi"/>
          <w:sz w:val="20"/>
          <w:szCs w:val="20"/>
        </w:rPr>
      </w:pPr>
      <w:r w:rsidRPr="00025B9C">
        <w:rPr>
          <w:rFonts w:asciiTheme="minorHAnsi" w:hAnsiTheme="minorHAnsi" w:cstheme="minorHAnsi"/>
          <w:sz w:val="20"/>
          <w:szCs w:val="20"/>
        </w:rPr>
        <w:t xml:space="preserve">Throughout 2011, we complied with the provisions of the Code, except that Larry Culp was unable to attend the AGM due to another pressing business commitment. </w:t>
      </w:r>
    </w:p>
    <w:p w:rsidR="00D24F4C" w:rsidRPr="00025B9C" w:rsidRDefault="00D24F4C" w:rsidP="00D665D9">
      <w:pPr>
        <w:ind w:left="567" w:right="805"/>
        <w:contextualSpacing/>
        <w:jc w:val="both"/>
        <w:rPr>
          <w:rFonts w:asciiTheme="minorHAnsi" w:hAnsiTheme="minorHAnsi" w:cstheme="minorHAnsi"/>
          <w:sz w:val="20"/>
          <w:szCs w:val="20"/>
        </w:rPr>
      </w:pPr>
      <w:r w:rsidRPr="00025B9C">
        <w:rPr>
          <w:rFonts w:asciiTheme="minorHAnsi" w:hAnsiTheme="minorHAnsi" w:cstheme="minorHAnsi"/>
          <w:sz w:val="20"/>
          <w:szCs w:val="20"/>
        </w:rPr>
        <w:t>Source: GSK plc annual report 2011, p. 84.</w:t>
      </w:r>
    </w:p>
    <w:p w:rsidR="00D24F4C" w:rsidRPr="00025B9C" w:rsidRDefault="00D24F4C" w:rsidP="00D665D9">
      <w:pPr>
        <w:spacing w:line="360" w:lineRule="auto"/>
        <w:ind w:right="805"/>
        <w:rPr>
          <w:rFonts w:asciiTheme="minorHAnsi" w:hAnsiTheme="minorHAnsi" w:cstheme="minorHAnsi"/>
          <w:b/>
        </w:rPr>
      </w:pPr>
    </w:p>
    <w:p w:rsidR="000C3D97" w:rsidRPr="00025B9C" w:rsidRDefault="000F3422" w:rsidP="00D665D9">
      <w:pPr>
        <w:spacing w:line="360" w:lineRule="auto"/>
        <w:jc w:val="both"/>
        <w:rPr>
          <w:rFonts w:asciiTheme="minorHAnsi" w:hAnsiTheme="minorHAnsi" w:cstheme="minorHAnsi"/>
        </w:rPr>
      </w:pPr>
      <w:r w:rsidRPr="00025B9C">
        <w:rPr>
          <w:rFonts w:asciiTheme="minorHAnsi" w:hAnsiTheme="minorHAnsi" w:cstheme="minorHAnsi"/>
        </w:rPr>
        <w:t>In E</w:t>
      </w:r>
      <w:r w:rsidR="00570CF5" w:rsidRPr="00025B9C">
        <w:rPr>
          <w:rFonts w:asciiTheme="minorHAnsi" w:hAnsiTheme="minorHAnsi" w:cstheme="minorHAnsi"/>
        </w:rPr>
        <w:t>xample 9</w:t>
      </w:r>
      <w:r w:rsidR="00D24F4C" w:rsidRPr="00025B9C">
        <w:rPr>
          <w:rFonts w:asciiTheme="minorHAnsi" w:hAnsiTheme="minorHAnsi" w:cstheme="minorHAnsi"/>
        </w:rPr>
        <w:t>b</w:t>
      </w:r>
      <w:r w:rsidRPr="00025B9C">
        <w:rPr>
          <w:rFonts w:asciiTheme="minorHAnsi" w:hAnsiTheme="minorHAnsi" w:cstheme="minorHAnsi"/>
        </w:rPr>
        <w:t>,</w:t>
      </w:r>
      <w:r w:rsidR="00D24F4C" w:rsidRPr="00025B9C">
        <w:rPr>
          <w:rFonts w:asciiTheme="minorHAnsi" w:hAnsiTheme="minorHAnsi" w:cstheme="minorHAnsi"/>
        </w:rPr>
        <w:t xml:space="preserve"> t</w:t>
      </w:r>
      <w:r w:rsidR="00F87C6D" w:rsidRPr="00025B9C">
        <w:rPr>
          <w:rFonts w:asciiTheme="minorHAnsi" w:hAnsiTheme="minorHAnsi" w:cstheme="minorHAnsi"/>
        </w:rPr>
        <w:t>he</w:t>
      </w:r>
      <w:r w:rsidR="00463B3E" w:rsidRPr="00025B9C">
        <w:rPr>
          <w:rFonts w:asciiTheme="minorHAnsi" w:hAnsiTheme="minorHAnsi" w:cstheme="minorHAnsi"/>
        </w:rPr>
        <w:t xml:space="preserve"> phrase “the Group complied with all of the provisions”</w:t>
      </w:r>
      <w:r w:rsidR="00F87C6D" w:rsidRPr="00025B9C">
        <w:rPr>
          <w:rFonts w:asciiTheme="minorHAnsi" w:hAnsiTheme="minorHAnsi" w:cstheme="minorHAnsi"/>
        </w:rPr>
        <w:t xml:space="preserve"> </w:t>
      </w:r>
      <w:r w:rsidR="00463B3E" w:rsidRPr="00025B9C">
        <w:rPr>
          <w:rFonts w:asciiTheme="minorHAnsi" w:hAnsiTheme="minorHAnsi" w:cstheme="minorHAnsi"/>
        </w:rPr>
        <w:t>contradicts the subsequent phrase “with the exception of</w:t>
      </w:r>
      <w:r w:rsidR="00463B3E" w:rsidRPr="00025B9C">
        <w:rPr>
          <w:rFonts w:asciiTheme="minorHAnsi" w:hAnsiTheme="minorHAnsi" w:cstheme="minorHAnsi"/>
          <w:lang w:val="en-IE"/>
        </w:rPr>
        <w:t>”</w:t>
      </w:r>
      <w:r w:rsidR="00D178EF" w:rsidRPr="00025B9C">
        <w:rPr>
          <w:rFonts w:asciiTheme="minorHAnsi" w:hAnsiTheme="minorHAnsi" w:cstheme="minorHAnsi"/>
          <w:lang w:val="en-IE"/>
        </w:rPr>
        <w:t>,</w:t>
      </w:r>
      <w:r w:rsidRPr="00025B9C">
        <w:rPr>
          <w:rFonts w:asciiTheme="minorHAnsi" w:hAnsiTheme="minorHAnsi" w:cstheme="minorHAnsi"/>
        </w:rPr>
        <w:t xml:space="preserve"> </w:t>
      </w:r>
      <w:r w:rsidR="000C3D97" w:rsidRPr="00025B9C">
        <w:rPr>
          <w:rFonts w:asciiTheme="minorHAnsi" w:hAnsiTheme="minorHAnsi" w:cstheme="minorHAnsi"/>
        </w:rPr>
        <w:t>particularly where</w:t>
      </w:r>
      <w:r w:rsidR="00F87C6D" w:rsidRPr="00025B9C">
        <w:rPr>
          <w:rFonts w:asciiTheme="minorHAnsi" w:hAnsiTheme="minorHAnsi" w:cstheme="minorHAnsi"/>
        </w:rPr>
        <w:t xml:space="preserve"> a key aspect of the Code was not complied with</w:t>
      </w:r>
      <w:r w:rsidR="0065155C" w:rsidRPr="00025B9C">
        <w:rPr>
          <w:rFonts w:asciiTheme="minorHAnsi" w:hAnsiTheme="minorHAnsi" w:cstheme="minorHAnsi"/>
        </w:rPr>
        <w:t xml:space="preserve"> and is arguably misleading</w:t>
      </w:r>
      <w:r w:rsidR="00F87C6D" w:rsidRPr="00025B9C">
        <w:rPr>
          <w:rFonts w:asciiTheme="minorHAnsi" w:hAnsiTheme="minorHAnsi" w:cstheme="minorHAnsi"/>
        </w:rPr>
        <w:t>.</w:t>
      </w:r>
      <w:r w:rsidR="0019747C" w:rsidRPr="00025B9C">
        <w:rPr>
          <w:rFonts w:asciiTheme="minorHAnsi" w:hAnsiTheme="minorHAnsi" w:cstheme="minorHAnsi"/>
        </w:rPr>
        <w:t xml:space="preserve"> </w:t>
      </w:r>
      <w:r w:rsidR="00655CAA" w:rsidRPr="00025B9C">
        <w:rPr>
          <w:rFonts w:asciiTheme="minorHAnsi" w:hAnsiTheme="minorHAnsi" w:cstheme="minorHAnsi"/>
        </w:rPr>
        <w:t>T</w:t>
      </w:r>
      <w:r w:rsidR="001A7DBF" w:rsidRPr="00025B9C">
        <w:rPr>
          <w:rFonts w:asciiTheme="minorHAnsi" w:hAnsiTheme="minorHAnsi" w:cstheme="minorHAnsi"/>
        </w:rPr>
        <w:t xml:space="preserve">he explanation </w:t>
      </w:r>
      <w:r w:rsidR="00553F42" w:rsidRPr="00025B9C">
        <w:rPr>
          <w:rFonts w:asciiTheme="minorHAnsi" w:hAnsiTheme="minorHAnsi" w:cstheme="minorHAnsi"/>
        </w:rPr>
        <w:t>app</w:t>
      </w:r>
      <w:r w:rsidR="00D91251" w:rsidRPr="00025B9C">
        <w:rPr>
          <w:rFonts w:asciiTheme="minorHAnsi" w:hAnsiTheme="minorHAnsi" w:cstheme="minorHAnsi"/>
        </w:rPr>
        <w:t>e</w:t>
      </w:r>
      <w:r w:rsidR="00553F42" w:rsidRPr="00025B9C">
        <w:rPr>
          <w:rFonts w:asciiTheme="minorHAnsi" w:hAnsiTheme="minorHAnsi" w:cstheme="minorHAnsi"/>
        </w:rPr>
        <w:t xml:space="preserve">ars to </w:t>
      </w:r>
      <w:r w:rsidR="00463B3E" w:rsidRPr="00025B9C">
        <w:rPr>
          <w:rFonts w:asciiTheme="minorHAnsi" w:hAnsiTheme="minorHAnsi" w:cstheme="minorHAnsi"/>
        </w:rPr>
        <w:t>be</w:t>
      </w:r>
      <w:r w:rsidR="001A7DBF" w:rsidRPr="00025B9C">
        <w:rPr>
          <w:rFonts w:asciiTheme="minorHAnsi" w:hAnsiTheme="minorHAnsi" w:cstheme="minorHAnsi"/>
        </w:rPr>
        <w:t xml:space="preserve"> </w:t>
      </w:r>
      <w:r w:rsidR="00463B3E" w:rsidRPr="00025B9C">
        <w:rPr>
          <w:rFonts w:asciiTheme="minorHAnsi" w:hAnsiTheme="minorHAnsi" w:cstheme="minorHAnsi"/>
        </w:rPr>
        <w:t>crafted</w:t>
      </w:r>
      <w:r w:rsidR="001A7DBF" w:rsidRPr="00025B9C">
        <w:rPr>
          <w:rFonts w:asciiTheme="minorHAnsi" w:hAnsiTheme="minorHAnsi" w:cstheme="minorHAnsi"/>
        </w:rPr>
        <w:t xml:space="preserve"> to read like </w:t>
      </w:r>
      <w:r w:rsidR="0033734B" w:rsidRPr="00025B9C">
        <w:rPr>
          <w:rFonts w:asciiTheme="minorHAnsi" w:hAnsiTheme="minorHAnsi" w:cstheme="minorHAnsi"/>
        </w:rPr>
        <w:t>full</w:t>
      </w:r>
      <w:r w:rsidR="001A7DBF" w:rsidRPr="00025B9C">
        <w:rPr>
          <w:rFonts w:asciiTheme="minorHAnsi" w:hAnsiTheme="minorHAnsi" w:cstheme="minorHAnsi"/>
        </w:rPr>
        <w:t xml:space="preserve"> compliance.</w:t>
      </w:r>
    </w:p>
    <w:p w:rsidR="000D18F6" w:rsidRPr="00025B9C" w:rsidRDefault="000D18F6" w:rsidP="00D665D9">
      <w:pPr>
        <w:spacing w:line="360" w:lineRule="auto"/>
        <w:jc w:val="both"/>
        <w:rPr>
          <w:rFonts w:asciiTheme="minorHAnsi" w:hAnsiTheme="minorHAnsi" w:cstheme="minorHAnsi"/>
        </w:rPr>
      </w:pPr>
    </w:p>
    <w:p w:rsidR="000C3D97" w:rsidRPr="00025B9C" w:rsidRDefault="00570CF5"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b/>
          <w:sz w:val="20"/>
          <w:szCs w:val="20"/>
        </w:rPr>
        <w:t>Example 9</w:t>
      </w:r>
      <w:r w:rsidR="000C3D97" w:rsidRPr="00025B9C">
        <w:rPr>
          <w:rFonts w:asciiTheme="minorHAnsi" w:hAnsiTheme="minorHAnsi" w:cstheme="minorHAnsi"/>
          <w:b/>
          <w:sz w:val="20"/>
          <w:szCs w:val="20"/>
        </w:rPr>
        <w:t xml:space="preserve">b: Use of </w:t>
      </w:r>
      <w:r w:rsidR="00972A37" w:rsidRPr="00025B9C">
        <w:rPr>
          <w:rFonts w:asciiTheme="minorHAnsi" w:hAnsiTheme="minorHAnsi" w:cstheme="minorHAnsi"/>
          <w:b/>
          <w:sz w:val="20"/>
          <w:szCs w:val="20"/>
        </w:rPr>
        <w:t>‘weasel words’</w:t>
      </w:r>
    </w:p>
    <w:p w:rsidR="00463B3E" w:rsidRPr="00025B9C" w:rsidRDefault="00463B3E" w:rsidP="00D665D9">
      <w:pPr>
        <w:ind w:left="567" w:right="805" w:firstLine="11"/>
        <w:jc w:val="both"/>
        <w:rPr>
          <w:rFonts w:asciiTheme="minorHAnsi" w:hAnsiTheme="minorHAnsi" w:cstheme="minorHAnsi"/>
          <w:sz w:val="20"/>
        </w:rPr>
      </w:pPr>
      <w:r w:rsidRPr="00025B9C">
        <w:rPr>
          <w:rFonts w:asciiTheme="minorHAnsi" w:hAnsiTheme="minorHAnsi" w:cstheme="minorHAnsi"/>
          <w:sz w:val="20"/>
        </w:rPr>
        <w:t xml:space="preserve">Putting governance into practice </w:t>
      </w:r>
    </w:p>
    <w:p w:rsidR="000C3D97" w:rsidRPr="00025B9C" w:rsidRDefault="00463B3E" w:rsidP="00D665D9">
      <w:pPr>
        <w:ind w:left="567" w:right="-46" w:firstLine="11"/>
        <w:jc w:val="both"/>
        <w:rPr>
          <w:rFonts w:asciiTheme="minorHAnsi" w:hAnsiTheme="minorHAnsi" w:cstheme="minorHAnsi"/>
          <w:sz w:val="20"/>
        </w:rPr>
      </w:pPr>
      <w:r w:rsidRPr="00025B9C">
        <w:rPr>
          <w:rFonts w:asciiTheme="minorHAnsi" w:hAnsiTheme="minorHAnsi" w:cstheme="minorHAnsi"/>
          <w:sz w:val="20"/>
        </w:rPr>
        <w:t xml:space="preserve">We support the UK Corporate Governance Code published by the </w:t>
      </w:r>
      <w:r w:rsidR="005515AC" w:rsidRPr="00025B9C">
        <w:rPr>
          <w:rFonts w:asciiTheme="minorHAnsi" w:hAnsiTheme="minorHAnsi" w:cstheme="minorHAnsi"/>
          <w:sz w:val="20"/>
        </w:rPr>
        <w:t xml:space="preserve">Financial Reporting Council in </w:t>
      </w:r>
      <w:r w:rsidRPr="00025B9C">
        <w:rPr>
          <w:rFonts w:asciiTheme="minorHAnsi" w:hAnsiTheme="minorHAnsi" w:cstheme="minorHAnsi"/>
          <w:sz w:val="20"/>
        </w:rPr>
        <w:t xml:space="preserve">June 2010 (the </w:t>
      </w:r>
      <w:r w:rsidR="006F0E1C" w:rsidRPr="00025B9C">
        <w:rPr>
          <w:rFonts w:asciiTheme="minorHAnsi" w:hAnsiTheme="minorHAnsi" w:cstheme="minorHAnsi"/>
          <w:sz w:val="20"/>
        </w:rPr>
        <w:t>“</w:t>
      </w:r>
      <w:r w:rsidRPr="00025B9C">
        <w:rPr>
          <w:rFonts w:asciiTheme="minorHAnsi" w:hAnsiTheme="minorHAnsi" w:cstheme="minorHAnsi"/>
          <w:sz w:val="20"/>
        </w:rPr>
        <w:t>Code</w:t>
      </w:r>
      <w:r w:rsidR="006F0E1C" w:rsidRPr="00025B9C">
        <w:rPr>
          <w:rFonts w:asciiTheme="minorHAnsi" w:hAnsiTheme="minorHAnsi" w:cstheme="minorHAnsi"/>
          <w:sz w:val="20"/>
        </w:rPr>
        <w:t>”</w:t>
      </w:r>
      <w:r w:rsidRPr="00025B9C">
        <w:rPr>
          <w:rFonts w:asciiTheme="minorHAnsi" w:hAnsiTheme="minorHAnsi" w:cstheme="minorHAnsi"/>
          <w:sz w:val="20"/>
        </w:rPr>
        <w:t>). We consider that the Group complied with all of the provisions of the Code throughout the year ended 31 December 2011 with the exception of the Code provision that at least half of the Board, excluding the Chairman, should be independent Non-</w:t>
      </w:r>
      <w:proofErr w:type="gramStart"/>
      <w:r w:rsidRPr="00025B9C">
        <w:rPr>
          <w:rFonts w:asciiTheme="minorHAnsi" w:hAnsiTheme="minorHAnsi" w:cstheme="minorHAnsi"/>
          <w:sz w:val="20"/>
        </w:rPr>
        <w:t>executive</w:t>
      </w:r>
      <w:proofErr w:type="gramEnd"/>
      <w:r w:rsidRPr="00025B9C">
        <w:rPr>
          <w:rFonts w:asciiTheme="minorHAnsi" w:hAnsiTheme="minorHAnsi" w:cstheme="minorHAnsi"/>
          <w:sz w:val="20"/>
        </w:rPr>
        <w:t xml:space="preserve"> Directors; the reasons for this are explained in detail in the paragraph below entitled </w:t>
      </w:r>
      <w:r w:rsidR="006F0E1C" w:rsidRPr="00025B9C">
        <w:rPr>
          <w:rFonts w:asciiTheme="minorHAnsi" w:hAnsiTheme="minorHAnsi" w:cstheme="minorHAnsi"/>
          <w:sz w:val="20"/>
        </w:rPr>
        <w:t>“</w:t>
      </w:r>
      <w:r w:rsidRPr="00025B9C">
        <w:rPr>
          <w:rFonts w:asciiTheme="minorHAnsi" w:hAnsiTheme="minorHAnsi" w:cstheme="minorHAnsi"/>
          <w:sz w:val="20"/>
        </w:rPr>
        <w:t>Non-executive Directors</w:t>
      </w:r>
      <w:r w:rsidR="00972A37" w:rsidRPr="00025B9C">
        <w:rPr>
          <w:rFonts w:asciiTheme="minorHAnsi" w:hAnsiTheme="minorHAnsi" w:cstheme="minorHAnsi"/>
          <w:sz w:val="20"/>
        </w:rPr>
        <w:t>”.</w:t>
      </w:r>
      <w:r w:rsidRPr="00025B9C">
        <w:rPr>
          <w:rFonts w:asciiTheme="minorHAnsi" w:hAnsiTheme="minorHAnsi" w:cstheme="minorHAnsi"/>
          <w:sz w:val="20"/>
        </w:rPr>
        <w:t xml:space="preserve"> Copies of the Code are publicly available at www.frc.org.uk.</w:t>
      </w:r>
    </w:p>
    <w:p w:rsidR="000C3D97" w:rsidRPr="00025B9C" w:rsidRDefault="000C3D97" w:rsidP="00D665D9">
      <w:pPr>
        <w:ind w:left="567" w:right="805" w:firstLine="11"/>
        <w:jc w:val="both"/>
        <w:rPr>
          <w:rFonts w:asciiTheme="minorHAnsi" w:hAnsiTheme="minorHAnsi" w:cstheme="minorHAnsi"/>
          <w:sz w:val="20"/>
        </w:rPr>
      </w:pPr>
      <w:r w:rsidRPr="00025B9C">
        <w:rPr>
          <w:rFonts w:asciiTheme="minorHAnsi" w:hAnsiTheme="minorHAnsi" w:cstheme="minorHAnsi"/>
          <w:sz w:val="20"/>
        </w:rPr>
        <w:t>Source: Aggreko</w:t>
      </w:r>
      <w:r w:rsidR="0047723E" w:rsidRPr="00025B9C">
        <w:rPr>
          <w:rFonts w:asciiTheme="minorHAnsi" w:hAnsiTheme="minorHAnsi" w:cstheme="minorHAnsi"/>
          <w:sz w:val="20"/>
        </w:rPr>
        <w:t xml:space="preserve"> plc</w:t>
      </w:r>
      <w:r w:rsidRPr="00025B9C">
        <w:rPr>
          <w:rFonts w:asciiTheme="minorHAnsi" w:hAnsiTheme="minorHAnsi" w:cstheme="minorHAnsi"/>
          <w:sz w:val="20"/>
        </w:rPr>
        <w:t xml:space="preserve"> annual report 2011, p. 56.</w:t>
      </w:r>
    </w:p>
    <w:p w:rsidR="000C3D97" w:rsidRPr="00025B9C" w:rsidRDefault="000C3D97" w:rsidP="00D665D9">
      <w:pPr>
        <w:spacing w:line="360" w:lineRule="auto"/>
        <w:jc w:val="both"/>
        <w:rPr>
          <w:rFonts w:asciiTheme="minorHAnsi" w:hAnsiTheme="minorHAnsi" w:cstheme="minorHAnsi"/>
        </w:rPr>
      </w:pPr>
    </w:p>
    <w:p w:rsidR="00242C01" w:rsidRPr="00025B9C" w:rsidRDefault="0019747C" w:rsidP="00D665D9">
      <w:pPr>
        <w:spacing w:line="360" w:lineRule="auto"/>
        <w:jc w:val="both"/>
        <w:rPr>
          <w:rFonts w:asciiTheme="minorHAnsi" w:hAnsiTheme="minorHAnsi" w:cstheme="minorHAnsi"/>
          <w:b/>
        </w:rPr>
      </w:pPr>
      <w:r w:rsidRPr="00025B9C">
        <w:rPr>
          <w:rFonts w:asciiTheme="minorHAnsi" w:hAnsiTheme="minorHAnsi" w:cstheme="minorHAnsi"/>
        </w:rPr>
        <w:t xml:space="preserve">The next examples relate to </w:t>
      </w:r>
      <w:r w:rsidR="00D178EF" w:rsidRPr="00025B9C">
        <w:rPr>
          <w:rFonts w:asciiTheme="minorHAnsi" w:hAnsiTheme="minorHAnsi" w:cstheme="minorHAnsi"/>
        </w:rPr>
        <w:t>‘</w:t>
      </w:r>
      <w:r w:rsidRPr="00025B9C">
        <w:rPr>
          <w:rFonts w:asciiTheme="minorHAnsi" w:hAnsiTheme="minorHAnsi" w:cstheme="minorHAnsi"/>
        </w:rPr>
        <w:t>hunt the thimble</w:t>
      </w:r>
      <w:r w:rsidR="00D178EF" w:rsidRPr="00025B9C">
        <w:rPr>
          <w:rFonts w:asciiTheme="minorHAnsi" w:hAnsiTheme="minorHAnsi" w:cstheme="minorHAnsi"/>
        </w:rPr>
        <w:t>’</w:t>
      </w:r>
      <w:r w:rsidRPr="00025B9C">
        <w:rPr>
          <w:rFonts w:asciiTheme="minorHAnsi" w:hAnsiTheme="minorHAnsi" w:cstheme="minorHAnsi"/>
        </w:rPr>
        <w:t xml:space="preserve"> disclosure. </w:t>
      </w:r>
      <w:r w:rsidR="00570CF5" w:rsidRPr="00025B9C">
        <w:rPr>
          <w:rFonts w:asciiTheme="minorHAnsi" w:hAnsiTheme="minorHAnsi" w:cstheme="minorHAnsi"/>
        </w:rPr>
        <w:t>In Example 9</w:t>
      </w:r>
      <w:r w:rsidR="00F60F08" w:rsidRPr="00025B9C">
        <w:rPr>
          <w:rFonts w:asciiTheme="minorHAnsi" w:hAnsiTheme="minorHAnsi" w:cstheme="minorHAnsi"/>
        </w:rPr>
        <w:t>c</w:t>
      </w:r>
      <w:r w:rsidR="008F6B28" w:rsidRPr="00025B9C">
        <w:rPr>
          <w:rFonts w:asciiTheme="minorHAnsi" w:hAnsiTheme="minorHAnsi" w:cstheme="minorHAnsi"/>
        </w:rPr>
        <w:t xml:space="preserve"> (</w:t>
      </w:r>
      <w:proofErr w:type="spellStart"/>
      <w:r w:rsidR="008F6B28" w:rsidRPr="00025B9C">
        <w:rPr>
          <w:rFonts w:asciiTheme="minorHAnsi" w:hAnsiTheme="minorHAnsi" w:cstheme="minorHAnsi"/>
        </w:rPr>
        <w:t>i</w:t>
      </w:r>
      <w:proofErr w:type="spellEnd"/>
      <w:r w:rsidR="008F6B28" w:rsidRPr="00025B9C">
        <w:rPr>
          <w:rFonts w:asciiTheme="minorHAnsi" w:hAnsiTheme="minorHAnsi" w:cstheme="minorHAnsi"/>
        </w:rPr>
        <w:t>)</w:t>
      </w:r>
      <w:r w:rsidR="00A675B7" w:rsidRPr="00025B9C">
        <w:rPr>
          <w:rFonts w:asciiTheme="minorHAnsi" w:hAnsiTheme="minorHAnsi" w:cstheme="minorHAnsi"/>
        </w:rPr>
        <w:t xml:space="preserve">, </w:t>
      </w:r>
      <w:r w:rsidR="00E03848" w:rsidRPr="00025B9C">
        <w:rPr>
          <w:rFonts w:asciiTheme="minorHAnsi" w:hAnsiTheme="minorHAnsi" w:cstheme="minorHAnsi"/>
        </w:rPr>
        <w:t>“</w:t>
      </w:r>
      <w:r w:rsidR="00242C01" w:rsidRPr="00025B9C">
        <w:rPr>
          <w:rFonts w:asciiTheme="minorHAnsi" w:hAnsiTheme="minorHAnsi" w:cstheme="minorHAnsi"/>
        </w:rPr>
        <w:t>below</w:t>
      </w:r>
      <w:r w:rsidR="00E03848" w:rsidRPr="00025B9C">
        <w:rPr>
          <w:rFonts w:asciiTheme="minorHAnsi" w:hAnsiTheme="minorHAnsi" w:cstheme="minorHAnsi"/>
        </w:rPr>
        <w:t>”</w:t>
      </w:r>
      <w:r w:rsidR="00242C01" w:rsidRPr="00025B9C">
        <w:rPr>
          <w:rFonts w:asciiTheme="minorHAnsi" w:hAnsiTheme="minorHAnsi" w:cstheme="minorHAnsi"/>
        </w:rPr>
        <w:t xml:space="preserve"> means a large block of text which reader</w:t>
      </w:r>
      <w:r w:rsidR="008F6B28" w:rsidRPr="00025B9C">
        <w:rPr>
          <w:rFonts w:asciiTheme="minorHAnsi" w:hAnsiTheme="minorHAnsi" w:cstheme="minorHAnsi"/>
        </w:rPr>
        <w:t>s</w:t>
      </w:r>
      <w:r w:rsidR="00242C01" w:rsidRPr="00025B9C">
        <w:rPr>
          <w:rFonts w:asciiTheme="minorHAnsi" w:hAnsiTheme="minorHAnsi" w:cstheme="minorHAnsi"/>
        </w:rPr>
        <w:t xml:space="preserve"> must hunt through as if looking for a thimble or a </w:t>
      </w:r>
      <w:r w:rsidR="00BD4218" w:rsidRPr="00025B9C">
        <w:rPr>
          <w:rFonts w:asciiTheme="minorHAnsi" w:hAnsiTheme="minorHAnsi" w:cstheme="minorHAnsi"/>
        </w:rPr>
        <w:t>‘</w:t>
      </w:r>
      <w:r w:rsidR="00242C01" w:rsidRPr="00025B9C">
        <w:rPr>
          <w:rFonts w:asciiTheme="minorHAnsi" w:hAnsiTheme="minorHAnsi" w:cstheme="minorHAnsi"/>
        </w:rPr>
        <w:t>needle in a haystack</w:t>
      </w:r>
      <w:r w:rsidR="00BD4218" w:rsidRPr="00025B9C">
        <w:rPr>
          <w:rFonts w:asciiTheme="minorHAnsi" w:hAnsiTheme="minorHAnsi" w:cstheme="minorHAnsi"/>
        </w:rPr>
        <w:t>’</w:t>
      </w:r>
      <w:r w:rsidR="00972A37" w:rsidRPr="00025B9C">
        <w:rPr>
          <w:rFonts w:asciiTheme="minorHAnsi" w:hAnsiTheme="minorHAnsi" w:cstheme="minorHAnsi"/>
        </w:rPr>
        <w:t>.</w:t>
      </w:r>
      <w:r w:rsidR="008F6B28" w:rsidRPr="00025B9C">
        <w:rPr>
          <w:rFonts w:asciiTheme="minorHAnsi" w:hAnsiTheme="minorHAnsi" w:cstheme="minorHAnsi"/>
        </w:rPr>
        <w:t xml:space="preserve"> In place of the word </w:t>
      </w:r>
      <w:r w:rsidR="00E03848" w:rsidRPr="00025B9C">
        <w:rPr>
          <w:rFonts w:asciiTheme="minorHAnsi" w:hAnsiTheme="minorHAnsi" w:cstheme="minorHAnsi"/>
        </w:rPr>
        <w:t>“</w:t>
      </w:r>
      <w:r w:rsidR="008F6B28" w:rsidRPr="00025B9C">
        <w:rPr>
          <w:rFonts w:asciiTheme="minorHAnsi" w:hAnsiTheme="minorHAnsi" w:cstheme="minorHAnsi"/>
        </w:rPr>
        <w:t>below</w:t>
      </w:r>
      <w:r w:rsidR="00D178EF" w:rsidRPr="00025B9C">
        <w:rPr>
          <w:rFonts w:asciiTheme="minorHAnsi" w:hAnsiTheme="minorHAnsi" w:cstheme="minorHAnsi"/>
        </w:rPr>
        <w:t>”</w:t>
      </w:r>
      <w:r w:rsidR="008F6B28" w:rsidRPr="00025B9C">
        <w:rPr>
          <w:rFonts w:asciiTheme="minorHAnsi" w:hAnsiTheme="minorHAnsi" w:cstheme="minorHAnsi"/>
        </w:rPr>
        <w:t>,</w:t>
      </w:r>
      <w:r w:rsidR="00570CF5" w:rsidRPr="00025B9C">
        <w:rPr>
          <w:rFonts w:asciiTheme="minorHAnsi" w:hAnsiTheme="minorHAnsi" w:cstheme="minorHAnsi"/>
        </w:rPr>
        <w:t xml:space="preserve"> Example 9</w:t>
      </w:r>
      <w:r w:rsidR="008F6B28" w:rsidRPr="00025B9C">
        <w:rPr>
          <w:rFonts w:asciiTheme="minorHAnsi" w:hAnsiTheme="minorHAnsi" w:cstheme="minorHAnsi"/>
        </w:rPr>
        <w:t>c (ii) uses the imprecise phrase “save where otherwise identified</w:t>
      </w:r>
      <w:r w:rsidR="00972A37" w:rsidRPr="00025B9C">
        <w:rPr>
          <w:rFonts w:asciiTheme="minorHAnsi" w:hAnsiTheme="minorHAnsi" w:cstheme="minorHAnsi"/>
        </w:rPr>
        <w:t>”.</w:t>
      </w:r>
      <w:r w:rsidR="001A7DBF" w:rsidRPr="00025B9C">
        <w:rPr>
          <w:rFonts w:asciiTheme="minorHAnsi" w:hAnsiTheme="minorHAnsi" w:cstheme="minorHAnsi"/>
        </w:rPr>
        <w:t xml:space="preserve"> The scattered nature of the disclosure makes it difficult to </w:t>
      </w:r>
      <w:r w:rsidR="00E7106B" w:rsidRPr="00025B9C">
        <w:rPr>
          <w:rFonts w:asciiTheme="minorHAnsi" w:hAnsiTheme="minorHAnsi" w:cstheme="minorHAnsi"/>
        </w:rPr>
        <w:t>identify</w:t>
      </w:r>
      <w:r w:rsidR="001A7DBF" w:rsidRPr="00025B9C">
        <w:rPr>
          <w:rFonts w:asciiTheme="minorHAnsi" w:hAnsiTheme="minorHAnsi" w:cstheme="minorHAnsi"/>
        </w:rPr>
        <w:t xml:space="preserve"> all the non-compliances</w:t>
      </w:r>
      <w:r w:rsidR="00E7106B" w:rsidRPr="00025B9C">
        <w:rPr>
          <w:rFonts w:asciiTheme="minorHAnsi" w:hAnsiTheme="minorHAnsi" w:cstheme="minorHAnsi"/>
        </w:rPr>
        <w:t xml:space="preserve"> and find the non-compliance explanations</w:t>
      </w:r>
      <w:r w:rsidR="001A7DBF" w:rsidRPr="00025B9C">
        <w:rPr>
          <w:rFonts w:asciiTheme="minorHAnsi" w:hAnsiTheme="minorHAnsi" w:cstheme="minorHAnsi"/>
        </w:rPr>
        <w:t>.</w:t>
      </w:r>
    </w:p>
    <w:p w:rsidR="00436F2D" w:rsidRPr="00025B9C" w:rsidRDefault="00436F2D" w:rsidP="00D665D9">
      <w:pPr>
        <w:spacing w:line="360" w:lineRule="auto"/>
        <w:ind w:right="804"/>
        <w:jc w:val="both"/>
        <w:rPr>
          <w:rFonts w:asciiTheme="minorHAnsi" w:hAnsiTheme="minorHAnsi" w:cstheme="minorHAnsi"/>
          <w:b/>
          <w:sz w:val="20"/>
          <w:szCs w:val="20"/>
        </w:rPr>
      </w:pPr>
    </w:p>
    <w:p w:rsidR="00242C01" w:rsidRPr="00025B9C" w:rsidRDefault="00570CF5" w:rsidP="00D665D9">
      <w:pPr>
        <w:ind w:left="567" w:right="805" w:firstLine="11"/>
        <w:jc w:val="both"/>
        <w:rPr>
          <w:rFonts w:asciiTheme="minorHAnsi" w:hAnsiTheme="minorHAnsi" w:cstheme="minorHAnsi"/>
          <w:sz w:val="20"/>
          <w:szCs w:val="20"/>
        </w:rPr>
      </w:pPr>
      <w:r w:rsidRPr="00025B9C">
        <w:rPr>
          <w:rFonts w:asciiTheme="minorHAnsi" w:hAnsiTheme="minorHAnsi" w:cstheme="minorHAnsi"/>
          <w:b/>
          <w:sz w:val="20"/>
          <w:szCs w:val="20"/>
        </w:rPr>
        <w:t>Example 9</w:t>
      </w:r>
      <w:r w:rsidR="00F60F08" w:rsidRPr="00025B9C">
        <w:rPr>
          <w:rFonts w:asciiTheme="minorHAnsi" w:hAnsiTheme="minorHAnsi" w:cstheme="minorHAnsi"/>
          <w:b/>
          <w:sz w:val="20"/>
          <w:szCs w:val="20"/>
        </w:rPr>
        <w:t>c</w:t>
      </w:r>
      <w:r w:rsidR="00CE0C28" w:rsidRPr="00025B9C">
        <w:rPr>
          <w:rFonts w:asciiTheme="minorHAnsi" w:hAnsiTheme="minorHAnsi" w:cstheme="minorHAnsi"/>
          <w:b/>
          <w:sz w:val="20"/>
          <w:szCs w:val="20"/>
        </w:rPr>
        <w:t xml:space="preserve"> (</w:t>
      </w:r>
      <w:proofErr w:type="spellStart"/>
      <w:r w:rsidR="00CE0C28" w:rsidRPr="00025B9C">
        <w:rPr>
          <w:rFonts w:asciiTheme="minorHAnsi" w:hAnsiTheme="minorHAnsi" w:cstheme="minorHAnsi"/>
          <w:b/>
          <w:sz w:val="20"/>
          <w:szCs w:val="20"/>
        </w:rPr>
        <w:t>i</w:t>
      </w:r>
      <w:proofErr w:type="spellEnd"/>
      <w:r w:rsidR="00CE0C28" w:rsidRPr="00025B9C">
        <w:rPr>
          <w:rFonts w:asciiTheme="minorHAnsi" w:hAnsiTheme="minorHAnsi" w:cstheme="minorHAnsi"/>
          <w:b/>
          <w:sz w:val="20"/>
          <w:szCs w:val="20"/>
        </w:rPr>
        <w:t>)</w:t>
      </w:r>
      <w:r w:rsidR="00242C01" w:rsidRPr="00025B9C">
        <w:rPr>
          <w:rFonts w:asciiTheme="minorHAnsi" w:hAnsiTheme="minorHAnsi" w:cstheme="minorHAnsi"/>
          <w:b/>
          <w:sz w:val="20"/>
          <w:szCs w:val="20"/>
        </w:rPr>
        <w:t>: Hunt the thimble</w:t>
      </w:r>
      <w:r w:rsidR="001110C6" w:rsidRPr="00025B9C">
        <w:rPr>
          <w:rFonts w:asciiTheme="minorHAnsi" w:hAnsiTheme="minorHAnsi" w:cstheme="minorHAnsi"/>
          <w:b/>
          <w:sz w:val="20"/>
          <w:szCs w:val="20"/>
        </w:rPr>
        <w:t xml:space="preserve"> disclosure</w:t>
      </w:r>
    </w:p>
    <w:p w:rsidR="00D375C0" w:rsidRPr="00025B9C" w:rsidRDefault="00D375C0" w:rsidP="00D665D9">
      <w:pPr>
        <w:autoSpaceDE w:val="0"/>
        <w:autoSpaceDN w:val="0"/>
        <w:adjustRightInd w:val="0"/>
        <w:ind w:left="567" w:firstLine="11"/>
        <w:rPr>
          <w:rFonts w:asciiTheme="minorHAnsi" w:hAnsiTheme="minorHAnsi" w:cstheme="minorHAnsi"/>
          <w:sz w:val="20"/>
          <w:szCs w:val="20"/>
          <w:lang w:val="en-IE" w:eastAsia="en-IE"/>
        </w:rPr>
      </w:pPr>
      <w:r w:rsidRPr="00025B9C">
        <w:rPr>
          <w:rFonts w:asciiTheme="minorHAnsi" w:hAnsiTheme="minorHAnsi" w:cstheme="minorHAnsi"/>
          <w:sz w:val="20"/>
          <w:szCs w:val="20"/>
          <w:lang w:val="en-IE" w:eastAsia="en-IE"/>
        </w:rPr>
        <w:t>Corporate Governance</w:t>
      </w:r>
    </w:p>
    <w:p w:rsidR="00D375C0" w:rsidRPr="00025B9C" w:rsidRDefault="00D375C0" w:rsidP="00D665D9">
      <w:pPr>
        <w:autoSpaceDE w:val="0"/>
        <w:autoSpaceDN w:val="0"/>
        <w:adjustRightInd w:val="0"/>
        <w:ind w:left="567" w:firstLine="11"/>
        <w:jc w:val="both"/>
        <w:rPr>
          <w:rFonts w:asciiTheme="minorHAnsi" w:hAnsiTheme="minorHAnsi" w:cstheme="minorHAnsi"/>
          <w:sz w:val="20"/>
          <w:szCs w:val="20"/>
          <w:lang w:val="en-IE" w:eastAsia="en-IE"/>
        </w:rPr>
      </w:pPr>
      <w:r w:rsidRPr="00025B9C">
        <w:rPr>
          <w:rFonts w:asciiTheme="minorHAnsi" w:hAnsiTheme="minorHAnsi" w:cstheme="minorHAnsi"/>
          <w:sz w:val="20"/>
          <w:szCs w:val="20"/>
          <w:lang w:val="en-IE" w:eastAsia="en-IE"/>
        </w:rPr>
        <w:t xml:space="preserve">The group is committed to the highest standards of corporate governance. During 2003, the board reviewed its governance arrangements in the light of the new Combined Code on Corporate Governance (the Code) and the Guidance on Audit Committees (the Smith Report) and made changes as necessary and appropriate at the time. Although the company did not fully comply with all the provisions of the Code throughout 2004, further governance changes were approved by the board in the year that will ensure full compliance throughout 2005 and beyond. </w:t>
      </w:r>
    </w:p>
    <w:p w:rsidR="00463B3E" w:rsidRPr="00025B9C" w:rsidRDefault="00D375C0" w:rsidP="00D665D9">
      <w:pPr>
        <w:autoSpaceDE w:val="0"/>
        <w:autoSpaceDN w:val="0"/>
        <w:adjustRightInd w:val="0"/>
        <w:ind w:left="567" w:firstLine="11"/>
        <w:jc w:val="both"/>
        <w:rPr>
          <w:rFonts w:asciiTheme="minorHAnsi" w:hAnsiTheme="minorHAnsi" w:cstheme="minorHAnsi"/>
          <w:sz w:val="20"/>
          <w:szCs w:val="20"/>
        </w:rPr>
      </w:pPr>
      <w:r w:rsidRPr="00025B9C">
        <w:rPr>
          <w:rFonts w:asciiTheme="minorHAnsi" w:hAnsiTheme="minorHAnsi" w:cstheme="minorHAnsi"/>
          <w:sz w:val="20"/>
          <w:szCs w:val="20"/>
          <w:lang w:val="en-IE" w:eastAsia="en-IE"/>
        </w:rPr>
        <w:t>The changes made in 2004 and details of non-compliance during the year are explained below together with a report on how the principles of the Code were applied.</w:t>
      </w:r>
    </w:p>
    <w:p w:rsidR="00242C01" w:rsidRPr="00025B9C" w:rsidRDefault="00A675B7"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sz w:val="20"/>
          <w:szCs w:val="20"/>
        </w:rPr>
        <w:t>Source: Centrica plc</w:t>
      </w:r>
      <w:r w:rsidR="00F87C6D" w:rsidRPr="00025B9C">
        <w:rPr>
          <w:rFonts w:asciiTheme="minorHAnsi" w:hAnsiTheme="minorHAnsi" w:cstheme="minorHAnsi"/>
          <w:sz w:val="20"/>
          <w:szCs w:val="20"/>
        </w:rPr>
        <w:t xml:space="preserve"> annual report</w:t>
      </w:r>
      <w:r w:rsidRPr="00025B9C">
        <w:rPr>
          <w:rFonts w:asciiTheme="minorHAnsi" w:hAnsiTheme="minorHAnsi" w:cstheme="minorHAnsi"/>
          <w:sz w:val="20"/>
          <w:szCs w:val="20"/>
        </w:rPr>
        <w:t xml:space="preserve"> 2004, p.</w:t>
      </w:r>
      <w:r w:rsidR="00F87C6D" w:rsidRPr="00025B9C">
        <w:rPr>
          <w:rFonts w:asciiTheme="minorHAnsi" w:hAnsiTheme="minorHAnsi" w:cstheme="minorHAnsi"/>
          <w:sz w:val="20"/>
          <w:szCs w:val="20"/>
        </w:rPr>
        <w:t xml:space="preserve"> </w:t>
      </w:r>
      <w:r w:rsidRPr="00025B9C">
        <w:rPr>
          <w:rFonts w:asciiTheme="minorHAnsi" w:hAnsiTheme="minorHAnsi" w:cstheme="minorHAnsi"/>
          <w:sz w:val="20"/>
          <w:szCs w:val="20"/>
        </w:rPr>
        <w:t>24</w:t>
      </w:r>
      <w:r w:rsidR="00F87C6D" w:rsidRPr="00025B9C">
        <w:rPr>
          <w:rFonts w:asciiTheme="minorHAnsi" w:hAnsiTheme="minorHAnsi" w:cstheme="minorHAnsi"/>
          <w:sz w:val="20"/>
          <w:szCs w:val="20"/>
        </w:rPr>
        <w:t>.</w:t>
      </w:r>
    </w:p>
    <w:p w:rsidR="00A403F3" w:rsidRPr="00025B9C" w:rsidRDefault="00A403F3" w:rsidP="00464241">
      <w:pPr>
        <w:spacing w:line="360" w:lineRule="auto"/>
        <w:ind w:right="804"/>
        <w:jc w:val="both"/>
        <w:rPr>
          <w:rFonts w:asciiTheme="minorHAnsi" w:hAnsiTheme="minorHAnsi" w:cstheme="minorHAnsi"/>
          <w:b/>
          <w:szCs w:val="20"/>
        </w:rPr>
      </w:pPr>
    </w:p>
    <w:p w:rsidR="00CE0C28" w:rsidRPr="00025B9C" w:rsidRDefault="00570CF5" w:rsidP="00D665D9">
      <w:pPr>
        <w:ind w:left="567" w:right="804" w:firstLine="11"/>
        <w:jc w:val="both"/>
        <w:rPr>
          <w:rFonts w:asciiTheme="minorHAnsi" w:hAnsiTheme="minorHAnsi" w:cstheme="minorHAnsi"/>
          <w:sz w:val="20"/>
          <w:szCs w:val="20"/>
        </w:rPr>
      </w:pPr>
      <w:r w:rsidRPr="00025B9C">
        <w:rPr>
          <w:rFonts w:asciiTheme="minorHAnsi" w:hAnsiTheme="minorHAnsi" w:cstheme="minorHAnsi"/>
          <w:b/>
          <w:sz w:val="20"/>
          <w:szCs w:val="20"/>
        </w:rPr>
        <w:t>Example 9</w:t>
      </w:r>
      <w:r w:rsidR="00CE0C28" w:rsidRPr="00025B9C">
        <w:rPr>
          <w:rFonts w:asciiTheme="minorHAnsi" w:hAnsiTheme="minorHAnsi" w:cstheme="minorHAnsi"/>
          <w:b/>
          <w:sz w:val="20"/>
          <w:szCs w:val="20"/>
        </w:rPr>
        <w:t>c (ii): Hunt the thimble disclosure</w:t>
      </w:r>
    </w:p>
    <w:p w:rsidR="00445B1D" w:rsidRPr="00025B9C" w:rsidRDefault="00445B1D" w:rsidP="00D665D9">
      <w:pPr>
        <w:autoSpaceDE w:val="0"/>
        <w:autoSpaceDN w:val="0"/>
        <w:ind w:left="567" w:firstLine="11"/>
        <w:jc w:val="both"/>
        <w:rPr>
          <w:rFonts w:asciiTheme="minorHAnsi" w:hAnsiTheme="minorHAnsi" w:cstheme="minorHAnsi"/>
          <w:sz w:val="20"/>
          <w:szCs w:val="20"/>
        </w:rPr>
      </w:pPr>
      <w:r w:rsidRPr="00025B9C">
        <w:rPr>
          <w:rFonts w:asciiTheme="minorHAnsi" w:hAnsiTheme="minorHAnsi" w:cstheme="minorHAnsi"/>
          <w:sz w:val="20"/>
          <w:szCs w:val="20"/>
        </w:rPr>
        <w:t>The Board is accountable to shareholders for good business governance. The way in which Hanson applies the principles set out in the Combined Code on Corporate Governance issued by the Financial Reporting Council in July 2003 (the “Code”) is described within this Report of the Directors and in the Remuneration report. Hanson has been in full compliance with this Code throughout the year under review, save where otherwise identified.</w:t>
      </w:r>
    </w:p>
    <w:p w:rsidR="001110C6" w:rsidRPr="00025B9C" w:rsidRDefault="001110C6" w:rsidP="00D665D9">
      <w:pPr>
        <w:ind w:left="567" w:right="804"/>
        <w:jc w:val="both"/>
        <w:rPr>
          <w:rFonts w:asciiTheme="minorHAnsi" w:hAnsiTheme="minorHAnsi" w:cstheme="minorHAnsi"/>
          <w:sz w:val="20"/>
          <w:szCs w:val="20"/>
        </w:rPr>
      </w:pPr>
      <w:r w:rsidRPr="00025B9C">
        <w:rPr>
          <w:rFonts w:asciiTheme="minorHAnsi" w:hAnsiTheme="minorHAnsi" w:cstheme="minorHAnsi"/>
          <w:sz w:val="20"/>
          <w:szCs w:val="20"/>
        </w:rPr>
        <w:t xml:space="preserve">Source: Hanson plc </w:t>
      </w:r>
      <w:r w:rsidR="0015561A" w:rsidRPr="00025B9C">
        <w:rPr>
          <w:rFonts w:asciiTheme="minorHAnsi" w:hAnsiTheme="minorHAnsi" w:cstheme="minorHAnsi"/>
          <w:sz w:val="20"/>
          <w:szCs w:val="20"/>
        </w:rPr>
        <w:t xml:space="preserve">annual report </w:t>
      </w:r>
      <w:r w:rsidRPr="00025B9C">
        <w:rPr>
          <w:rFonts w:asciiTheme="minorHAnsi" w:hAnsiTheme="minorHAnsi" w:cstheme="minorHAnsi"/>
          <w:sz w:val="20"/>
          <w:szCs w:val="20"/>
        </w:rPr>
        <w:t>2004, p.</w:t>
      </w:r>
      <w:r w:rsidR="00F87C6D" w:rsidRPr="00025B9C">
        <w:rPr>
          <w:rFonts w:asciiTheme="minorHAnsi" w:hAnsiTheme="minorHAnsi" w:cstheme="minorHAnsi"/>
          <w:sz w:val="20"/>
          <w:szCs w:val="20"/>
        </w:rPr>
        <w:t xml:space="preserve"> </w:t>
      </w:r>
      <w:r w:rsidRPr="00025B9C">
        <w:rPr>
          <w:rFonts w:asciiTheme="minorHAnsi" w:hAnsiTheme="minorHAnsi" w:cstheme="minorHAnsi"/>
          <w:sz w:val="20"/>
          <w:szCs w:val="20"/>
        </w:rPr>
        <w:t>34</w:t>
      </w:r>
      <w:r w:rsidR="00F87C6D" w:rsidRPr="00025B9C">
        <w:rPr>
          <w:rFonts w:asciiTheme="minorHAnsi" w:hAnsiTheme="minorHAnsi" w:cstheme="minorHAnsi"/>
          <w:sz w:val="20"/>
          <w:szCs w:val="20"/>
        </w:rPr>
        <w:t>.</w:t>
      </w:r>
      <w:r w:rsidR="00DD38DC" w:rsidRPr="00025B9C">
        <w:rPr>
          <w:rFonts w:asciiTheme="minorHAnsi" w:hAnsiTheme="minorHAnsi" w:cstheme="minorHAnsi"/>
          <w:sz w:val="20"/>
          <w:szCs w:val="20"/>
        </w:rPr>
        <w:t xml:space="preserve"> </w:t>
      </w:r>
    </w:p>
    <w:p w:rsidR="00CE0C28" w:rsidRPr="00025B9C" w:rsidRDefault="00CE0C28" w:rsidP="00D665D9">
      <w:pPr>
        <w:spacing w:line="360" w:lineRule="auto"/>
        <w:ind w:right="804"/>
        <w:jc w:val="both"/>
        <w:rPr>
          <w:rFonts w:asciiTheme="minorHAnsi" w:hAnsiTheme="minorHAnsi" w:cstheme="minorHAnsi"/>
        </w:rPr>
      </w:pPr>
    </w:p>
    <w:p w:rsidR="001110C6" w:rsidRPr="00025B9C" w:rsidRDefault="001110C6" w:rsidP="00D665D9">
      <w:pPr>
        <w:spacing w:line="360" w:lineRule="auto"/>
        <w:jc w:val="both"/>
        <w:rPr>
          <w:rFonts w:asciiTheme="minorHAnsi" w:hAnsiTheme="minorHAnsi" w:cstheme="minorHAnsi"/>
          <w:i/>
        </w:rPr>
      </w:pPr>
      <w:r w:rsidRPr="00025B9C">
        <w:rPr>
          <w:rFonts w:asciiTheme="minorHAnsi" w:hAnsiTheme="minorHAnsi" w:cstheme="minorHAnsi"/>
        </w:rPr>
        <w:t xml:space="preserve">A variant of </w:t>
      </w:r>
      <w:r w:rsidR="00BD4218" w:rsidRPr="00025B9C">
        <w:rPr>
          <w:rFonts w:asciiTheme="minorHAnsi" w:hAnsiTheme="minorHAnsi" w:cstheme="minorHAnsi"/>
        </w:rPr>
        <w:t>‘</w:t>
      </w:r>
      <w:r w:rsidRPr="00025B9C">
        <w:rPr>
          <w:rFonts w:asciiTheme="minorHAnsi" w:hAnsiTheme="minorHAnsi" w:cstheme="minorHAnsi"/>
        </w:rPr>
        <w:t>hunt the thimble</w:t>
      </w:r>
      <w:r w:rsidR="00BD4218" w:rsidRPr="00025B9C">
        <w:rPr>
          <w:rFonts w:asciiTheme="minorHAnsi" w:hAnsiTheme="minorHAnsi" w:cstheme="minorHAnsi"/>
        </w:rPr>
        <w:t>’</w:t>
      </w:r>
      <w:r w:rsidRPr="00025B9C">
        <w:rPr>
          <w:rFonts w:asciiTheme="minorHAnsi" w:hAnsiTheme="minorHAnsi" w:cstheme="minorHAnsi"/>
        </w:rPr>
        <w:t xml:space="preserve"> is </w:t>
      </w:r>
      <w:r w:rsidR="00BD4218" w:rsidRPr="00025B9C">
        <w:rPr>
          <w:rFonts w:asciiTheme="minorHAnsi" w:hAnsiTheme="minorHAnsi" w:cstheme="minorHAnsi"/>
        </w:rPr>
        <w:t>‘</w:t>
      </w:r>
      <w:r w:rsidRPr="00025B9C">
        <w:rPr>
          <w:rFonts w:asciiTheme="minorHAnsi" w:hAnsiTheme="minorHAnsi" w:cstheme="minorHAnsi"/>
        </w:rPr>
        <w:t>upstairs/downstairs</w:t>
      </w:r>
      <w:r w:rsidR="00BD4218" w:rsidRPr="00025B9C">
        <w:rPr>
          <w:rFonts w:asciiTheme="minorHAnsi" w:hAnsiTheme="minorHAnsi" w:cstheme="minorHAnsi"/>
        </w:rPr>
        <w:t>’</w:t>
      </w:r>
      <w:r w:rsidRPr="00025B9C">
        <w:rPr>
          <w:rFonts w:asciiTheme="minorHAnsi" w:hAnsiTheme="minorHAnsi" w:cstheme="minorHAnsi"/>
        </w:rPr>
        <w:t xml:space="preserve"> disclosures. This is where the compliance statement appears in the middle of the corporate governance report with </w:t>
      </w:r>
      <w:r w:rsidR="008F6B28" w:rsidRPr="00025B9C">
        <w:rPr>
          <w:rFonts w:asciiTheme="minorHAnsi" w:hAnsiTheme="minorHAnsi" w:cstheme="minorHAnsi"/>
        </w:rPr>
        <w:t xml:space="preserve">explanations for </w:t>
      </w:r>
      <w:r w:rsidRPr="00025B9C">
        <w:rPr>
          <w:rFonts w:asciiTheme="minorHAnsi" w:hAnsiTheme="minorHAnsi" w:cstheme="minorHAnsi"/>
        </w:rPr>
        <w:t xml:space="preserve">some </w:t>
      </w:r>
      <w:r w:rsidR="008F6B28" w:rsidRPr="00025B9C">
        <w:rPr>
          <w:rFonts w:asciiTheme="minorHAnsi" w:hAnsiTheme="minorHAnsi" w:cstheme="minorHAnsi"/>
        </w:rPr>
        <w:t xml:space="preserve">Code breaches </w:t>
      </w:r>
      <w:r w:rsidRPr="00025B9C">
        <w:rPr>
          <w:rFonts w:asciiTheme="minorHAnsi" w:hAnsiTheme="minorHAnsi" w:cstheme="minorHAnsi"/>
        </w:rPr>
        <w:t xml:space="preserve">above and some below. </w:t>
      </w:r>
      <w:r w:rsidR="0033734B" w:rsidRPr="00025B9C">
        <w:rPr>
          <w:rFonts w:asciiTheme="minorHAnsi" w:hAnsiTheme="minorHAnsi" w:cstheme="minorHAnsi"/>
        </w:rPr>
        <w:t>T</w:t>
      </w:r>
      <w:r w:rsidRPr="00025B9C">
        <w:rPr>
          <w:rFonts w:asciiTheme="minorHAnsi" w:hAnsiTheme="minorHAnsi" w:cstheme="minorHAnsi"/>
        </w:rPr>
        <w:t>he overall effect is confusing for reader</w:t>
      </w:r>
      <w:r w:rsidR="00FB127D" w:rsidRPr="00025B9C">
        <w:rPr>
          <w:rFonts w:asciiTheme="minorHAnsi" w:hAnsiTheme="minorHAnsi" w:cstheme="minorHAnsi"/>
        </w:rPr>
        <w:t>s</w:t>
      </w:r>
      <w:r w:rsidRPr="00025B9C">
        <w:rPr>
          <w:rFonts w:asciiTheme="minorHAnsi" w:hAnsiTheme="minorHAnsi" w:cstheme="minorHAnsi"/>
        </w:rPr>
        <w:t xml:space="preserve">. Consider, for example, </w:t>
      </w:r>
      <w:r w:rsidR="008F6B28" w:rsidRPr="00025B9C">
        <w:rPr>
          <w:rFonts w:asciiTheme="minorHAnsi" w:hAnsiTheme="minorHAnsi" w:cstheme="minorHAnsi"/>
        </w:rPr>
        <w:t>Exam</w:t>
      </w:r>
      <w:r w:rsidR="00570CF5" w:rsidRPr="00025B9C">
        <w:rPr>
          <w:rFonts w:asciiTheme="minorHAnsi" w:hAnsiTheme="minorHAnsi" w:cstheme="minorHAnsi"/>
        </w:rPr>
        <w:t>ple 9</w:t>
      </w:r>
      <w:r w:rsidR="008F6B28" w:rsidRPr="00025B9C">
        <w:rPr>
          <w:rFonts w:asciiTheme="minorHAnsi" w:hAnsiTheme="minorHAnsi" w:cstheme="minorHAnsi"/>
        </w:rPr>
        <w:t>c (iii)</w:t>
      </w:r>
      <w:r w:rsidRPr="00025B9C">
        <w:rPr>
          <w:rFonts w:asciiTheme="minorHAnsi" w:hAnsiTheme="minorHAnsi" w:cstheme="minorHAnsi"/>
        </w:rPr>
        <w:t>. At first glance, the compliance statement appears at the end of the corporate governance report</w:t>
      </w:r>
      <w:r w:rsidR="009563BB" w:rsidRPr="00025B9C">
        <w:rPr>
          <w:rFonts w:asciiTheme="minorHAnsi" w:hAnsiTheme="minorHAnsi" w:cstheme="minorHAnsi"/>
        </w:rPr>
        <w:t xml:space="preserve"> and</w:t>
      </w:r>
      <w:r w:rsidRPr="00025B9C">
        <w:rPr>
          <w:rFonts w:asciiTheme="minorHAnsi" w:hAnsiTheme="minorHAnsi" w:cstheme="minorHAnsi"/>
        </w:rPr>
        <w:t xml:space="preserve"> refers to two items of non-compliance</w:t>
      </w:r>
      <w:r w:rsidR="008F6B28" w:rsidRPr="00025B9C">
        <w:rPr>
          <w:rFonts w:asciiTheme="minorHAnsi" w:hAnsiTheme="minorHAnsi" w:cstheme="minorHAnsi"/>
        </w:rPr>
        <w:t>.</w:t>
      </w:r>
      <w:r w:rsidRPr="00025B9C">
        <w:rPr>
          <w:rFonts w:asciiTheme="minorHAnsi" w:hAnsiTheme="minorHAnsi" w:cstheme="minorHAnsi"/>
        </w:rPr>
        <w:t xml:space="preserve"> </w:t>
      </w:r>
      <w:r w:rsidR="008F6B28" w:rsidRPr="00025B9C">
        <w:rPr>
          <w:rFonts w:asciiTheme="minorHAnsi" w:hAnsiTheme="minorHAnsi" w:cstheme="minorHAnsi"/>
        </w:rPr>
        <w:t>However, the phrase “unless otherwise stated above” suggests there are other instances of non-compliance not explained in the compliance statement</w:t>
      </w:r>
      <w:r w:rsidRPr="00025B9C">
        <w:rPr>
          <w:rFonts w:asciiTheme="minorHAnsi" w:hAnsiTheme="minorHAnsi" w:cstheme="minorHAnsi"/>
        </w:rPr>
        <w:t xml:space="preserve">. </w:t>
      </w:r>
      <w:r w:rsidR="00570CF5" w:rsidRPr="00025B9C">
        <w:rPr>
          <w:rFonts w:asciiTheme="minorHAnsi" w:hAnsiTheme="minorHAnsi" w:cstheme="minorHAnsi"/>
        </w:rPr>
        <w:t>Example 9</w:t>
      </w:r>
      <w:r w:rsidR="008F6B28" w:rsidRPr="00025B9C">
        <w:rPr>
          <w:rFonts w:asciiTheme="minorHAnsi" w:hAnsiTheme="minorHAnsi" w:cstheme="minorHAnsi"/>
        </w:rPr>
        <w:t>c (iii) has</w:t>
      </w:r>
      <w:r w:rsidRPr="00025B9C">
        <w:rPr>
          <w:rFonts w:asciiTheme="minorHAnsi" w:hAnsiTheme="minorHAnsi" w:cstheme="minorHAnsi"/>
        </w:rPr>
        <w:t xml:space="preserve"> eleme</w:t>
      </w:r>
      <w:r w:rsidR="0033734B" w:rsidRPr="00025B9C">
        <w:rPr>
          <w:rFonts w:asciiTheme="minorHAnsi" w:hAnsiTheme="minorHAnsi" w:cstheme="minorHAnsi"/>
        </w:rPr>
        <w:t>nts of</w:t>
      </w:r>
      <w:r w:rsidR="00257FC3" w:rsidRPr="00025B9C">
        <w:rPr>
          <w:rFonts w:asciiTheme="minorHAnsi" w:hAnsiTheme="minorHAnsi" w:cstheme="minorHAnsi"/>
        </w:rPr>
        <w:t xml:space="preserve"> </w:t>
      </w:r>
      <w:r w:rsidR="00BD4218" w:rsidRPr="00025B9C">
        <w:rPr>
          <w:rFonts w:asciiTheme="minorHAnsi" w:hAnsiTheme="minorHAnsi" w:cstheme="minorHAnsi"/>
        </w:rPr>
        <w:t>‘</w:t>
      </w:r>
      <w:r w:rsidR="0033734B" w:rsidRPr="00025B9C">
        <w:rPr>
          <w:rFonts w:asciiTheme="minorHAnsi" w:hAnsiTheme="minorHAnsi" w:cstheme="minorHAnsi"/>
        </w:rPr>
        <w:t>hunt the thimble</w:t>
      </w:r>
      <w:r w:rsidR="00BD4218" w:rsidRPr="00025B9C">
        <w:rPr>
          <w:rFonts w:asciiTheme="minorHAnsi" w:hAnsiTheme="minorHAnsi" w:cstheme="minorHAnsi"/>
        </w:rPr>
        <w:t>’</w:t>
      </w:r>
      <w:r w:rsidR="00B1668E" w:rsidRPr="00025B9C">
        <w:rPr>
          <w:rFonts w:asciiTheme="minorHAnsi" w:hAnsiTheme="minorHAnsi" w:cstheme="minorHAnsi"/>
        </w:rPr>
        <w:t>,</w:t>
      </w:r>
      <w:r w:rsidR="0033734B" w:rsidRPr="00025B9C">
        <w:rPr>
          <w:rFonts w:asciiTheme="minorHAnsi" w:hAnsiTheme="minorHAnsi" w:cstheme="minorHAnsi"/>
        </w:rPr>
        <w:t xml:space="preserve"> but is</w:t>
      </w:r>
      <w:r w:rsidRPr="00025B9C">
        <w:rPr>
          <w:rFonts w:asciiTheme="minorHAnsi" w:hAnsiTheme="minorHAnsi" w:cstheme="minorHAnsi"/>
        </w:rPr>
        <w:t xml:space="preserve"> </w:t>
      </w:r>
      <w:r w:rsidR="00051B12" w:rsidRPr="00025B9C">
        <w:rPr>
          <w:rFonts w:asciiTheme="minorHAnsi" w:hAnsiTheme="minorHAnsi" w:cstheme="minorHAnsi"/>
        </w:rPr>
        <w:t>better than</w:t>
      </w:r>
      <w:r w:rsidRPr="00025B9C">
        <w:rPr>
          <w:rFonts w:asciiTheme="minorHAnsi" w:hAnsiTheme="minorHAnsi" w:cstheme="minorHAnsi"/>
        </w:rPr>
        <w:t xml:space="preserve"> th</w:t>
      </w:r>
      <w:r w:rsidR="00E7106B" w:rsidRPr="00025B9C">
        <w:rPr>
          <w:rFonts w:asciiTheme="minorHAnsi" w:hAnsiTheme="minorHAnsi" w:cstheme="minorHAnsi"/>
        </w:rPr>
        <w:t>ose statements where readers have</w:t>
      </w:r>
      <w:r w:rsidRPr="00025B9C">
        <w:rPr>
          <w:rFonts w:asciiTheme="minorHAnsi" w:hAnsiTheme="minorHAnsi" w:cstheme="minorHAnsi"/>
        </w:rPr>
        <w:t xml:space="preserve"> no guidance at all </w:t>
      </w:r>
      <w:r w:rsidR="00B1668E" w:rsidRPr="00025B9C">
        <w:rPr>
          <w:rFonts w:asciiTheme="minorHAnsi" w:hAnsiTheme="minorHAnsi" w:cstheme="minorHAnsi"/>
        </w:rPr>
        <w:t xml:space="preserve">as to </w:t>
      </w:r>
      <w:r w:rsidRPr="00025B9C">
        <w:rPr>
          <w:rFonts w:asciiTheme="minorHAnsi" w:hAnsiTheme="minorHAnsi" w:cstheme="minorHAnsi"/>
        </w:rPr>
        <w:t xml:space="preserve">where to look for explanations. </w:t>
      </w:r>
      <w:r w:rsidR="00C8669B" w:rsidRPr="00025B9C">
        <w:rPr>
          <w:rFonts w:asciiTheme="minorHAnsi" w:hAnsiTheme="minorHAnsi" w:cstheme="minorHAnsi"/>
        </w:rPr>
        <w:t>In this case of rhetorical manipulation, two items are provided after the phrase “further exceptions” (not quoted here for brevity). However, reader</w:t>
      </w:r>
      <w:r w:rsidR="006A1E5B" w:rsidRPr="00025B9C">
        <w:rPr>
          <w:rFonts w:asciiTheme="minorHAnsi" w:hAnsiTheme="minorHAnsi" w:cstheme="minorHAnsi"/>
        </w:rPr>
        <w:t>s</w:t>
      </w:r>
      <w:r w:rsidR="00C8669B" w:rsidRPr="00025B9C">
        <w:rPr>
          <w:rFonts w:asciiTheme="minorHAnsi" w:hAnsiTheme="minorHAnsi" w:cstheme="minorHAnsi"/>
        </w:rPr>
        <w:t xml:space="preserve"> </w:t>
      </w:r>
      <w:r w:rsidR="006A1E5B" w:rsidRPr="00025B9C">
        <w:rPr>
          <w:rFonts w:asciiTheme="minorHAnsi" w:hAnsiTheme="minorHAnsi" w:cstheme="minorHAnsi"/>
        </w:rPr>
        <w:t>are</w:t>
      </w:r>
      <w:r w:rsidR="00C8669B" w:rsidRPr="00025B9C">
        <w:rPr>
          <w:rFonts w:asciiTheme="minorHAnsi" w:hAnsiTheme="minorHAnsi" w:cstheme="minorHAnsi"/>
        </w:rPr>
        <w:t xml:space="preserve"> not directed to those items “stated above” and </w:t>
      </w:r>
      <w:r w:rsidR="009D74E9" w:rsidRPr="00025B9C">
        <w:rPr>
          <w:rFonts w:asciiTheme="minorHAnsi" w:hAnsiTheme="minorHAnsi" w:cstheme="minorHAnsi"/>
        </w:rPr>
        <w:t xml:space="preserve">effectively they remain hidden. </w:t>
      </w:r>
      <w:r w:rsidRPr="00025B9C">
        <w:rPr>
          <w:rFonts w:asciiTheme="minorHAnsi" w:hAnsiTheme="minorHAnsi" w:cstheme="minorHAnsi"/>
        </w:rPr>
        <w:t>This approach to disclosure is quite unhelpful to readers</w:t>
      </w:r>
      <w:r w:rsidR="009563BB" w:rsidRPr="00025B9C">
        <w:rPr>
          <w:rFonts w:asciiTheme="minorHAnsi" w:hAnsiTheme="minorHAnsi" w:cstheme="minorHAnsi"/>
        </w:rPr>
        <w:t>.</w:t>
      </w:r>
      <w:r w:rsidRPr="00025B9C">
        <w:rPr>
          <w:rFonts w:asciiTheme="minorHAnsi" w:hAnsiTheme="minorHAnsi" w:cstheme="minorHAnsi"/>
        </w:rPr>
        <w:t xml:space="preserve"> </w:t>
      </w:r>
    </w:p>
    <w:p w:rsidR="000D18F6" w:rsidRPr="00025B9C" w:rsidRDefault="000D18F6" w:rsidP="00D665D9">
      <w:pPr>
        <w:spacing w:line="360" w:lineRule="auto"/>
        <w:ind w:right="804"/>
        <w:jc w:val="both"/>
        <w:rPr>
          <w:rFonts w:asciiTheme="minorHAnsi" w:hAnsiTheme="minorHAnsi" w:cstheme="minorHAnsi"/>
          <w:b/>
          <w:szCs w:val="20"/>
        </w:rPr>
      </w:pPr>
    </w:p>
    <w:p w:rsidR="001110C6" w:rsidRPr="00025B9C" w:rsidRDefault="001110C6" w:rsidP="00171300">
      <w:pPr>
        <w:keepNext/>
        <w:ind w:left="567" w:right="804" w:firstLine="11"/>
        <w:jc w:val="both"/>
        <w:rPr>
          <w:rFonts w:asciiTheme="minorHAnsi" w:hAnsiTheme="minorHAnsi" w:cstheme="minorHAnsi"/>
          <w:sz w:val="20"/>
          <w:szCs w:val="20"/>
        </w:rPr>
      </w:pPr>
      <w:r w:rsidRPr="00025B9C">
        <w:rPr>
          <w:rFonts w:asciiTheme="minorHAnsi" w:hAnsiTheme="minorHAnsi" w:cstheme="minorHAnsi"/>
          <w:b/>
          <w:sz w:val="20"/>
          <w:szCs w:val="20"/>
        </w:rPr>
        <w:t>Exam</w:t>
      </w:r>
      <w:r w:rsidR="00570CF5" w:rsidRPr="00025B9C">
        <w:rPr>
          <w:rFonts w:asciiTheme="minorHAnsi" w:hAnsiTheme="minorHAnsi" w:cstheme="minorHAnsi"/>
          <w:b/>
          <w:sz w:val="20"/>
          <w:szCs w:val="20"/>
        </w:rPr>
        <w:t>ple 9</w:t>
      </w:r>
      <w:r w:rsidR="00CE0C28" w:rsidRPr="00025B9C">
        <w:rPr>
          <w:rFonts w:asciiTheme="minorHAnsi" w:hAnsiTheme="minorHAnsi" w:cstheme="minorHAnsi"/>
          <w:b/>
          <w:sz w:val="20"/>
          <w:szCs w:val="20"/>
        </w:rPr>
        <w:t>c (iii)</w:t>
      </w:r>
      <w:r w:rsidR="00950B4E" w:rsidRPr="00025B9C">
        <w:rPr>
          <w:rFonts w:asciiTheme="minorHAnsi" w:hAnsiTheme="minorHAnsi" w:cstheme="minorHAnsi"/>
          <w:b/>
          <w:sz w:val="20"/>
          <w:szCs w:val="20"/>
        </w:rPr>
        <w:t xml:space="preserve">: </w:t>
      </w:r>
      <w:r w:rsidR="00E03848" w:rsidRPr="00025B9C">
        <w:rPr>
          <w:rFonts w:asciiTheme="minorHAnsi" w:hAnsiTheme="minorHAnsi" w:cstheme="minorHAnsi"/>
          <w:b/>
          <w:sz w:val="20"/>
          <w:szCs w:val="20"/>
        </w:rPr>
        <w:t>“</w:t>
      </w:r>
      <w:r w:rsidR="00950B4E" w:rsidRPr="00025B9C">
        <w:rPr>
          <w:rFonts w:asciiTheme="minorHAnsi" w:hAnsiTheme="minorHAnsi" w:cstheme="minorHAnsi"/>
          <w:b/>
          <w:sz w:val="20"/>
          <w:szCs w:val="20"/>
        </w:rPr>
        <w:t>Upstairs/</w:t>
      </w:r>
      <w:r w:rsidRPr="00025B9C">
        <w:rPr>
          <w:rFonts w:asciiTheme="minorHAnsi" w:hAnsiTheme="minorHAnsi" w:cstheme="minorHAnsi"/>
          <w:b/>
          <w:sz w:val="20"/>
          <w:szCs w:val="20"/>
        </w:rPr>
        <w:t>downstairs</w:t>
      </w:r>
      <w:r w:rsidR="00E03848" w:rsidRPr="00025B9C">
        <w:rPr>
          <w:rFonts w:asciiTheme="minorHAnsi" w:hAnsiTheme="minorHAnsi" w:cstheme="minorHAnsi"/>
          <w:b/>
          <w:sz w:val="20"/>
          <w:szCs w:val="20"/>
        </w:rPr>
        <w:t>”</w:t>
      </w:r>
      <w:r w:rsidRPr="00025B9C">
        <w:rPr>
          <w:rFonts w:asciiTheme="minorHAnsi" w:hAnsiTheme="minorHAnsi" w:cstheme="minorHAnsi"/>
          <w:b/>
          <w:sz w:val="20"/>
          <w:szCs w:val="20"/>
        </w:rPr>
        <w:t xml:space="preserve"> disclosure</w:t>
      </w:r>
    </w:p>
    <w:p w:rsidR="001110C6" w:rsidRPr="00025B9C" w:rsidRDefault="001110C6" w:rsidP="00171300">
      <w:pPr>
        <w:keepNext/>
        <w:autoSpaceDE w:val="0"/>
        <w:autoSpaceDN w:val="0"/>
        <w:adjustRightInd w:val="0"/>
        <w:ind w:left="567" w:right="804"/>
        <w:rPr>
          <w:rFonts w:asciiTheme="minorHAnsi" w:hAnsiTheme="minorHAnsi" w:cstheme="minorHAnsi"/>
          <w:bCs/>
          <w:i/>
          <w:sz w:val="20"/>
          <w:szCs w:val="20"/>
        </w:rPr>
      </w:pPr>
      <w:r w:rsidRPr="00025B9C">
        <w:rPr>
          <w:rFonts w:asciiTheme="minorHAnsi" w:hAnsiTheme="minorHAnsi" w:cstheme="minorHAnsi"/>
          <w:bCs/>
          <w:i/>
          <w:sz w:val="20"/>
          <w:szCs w:val="20"/>
        </w:rPr>
        <w:t>Compliance with the Code Provisions</w:t>
      </w:r>
    </w:p>
    <w:p w:rsidR="00737F0F" w:rsidRPr="00025B9C" w:rsidRDefault="001110C6" w:rsidP="00171300">
      <w:pPr>
        <w:keepNext/>
        <w:ind w:left="567" w:right="-46"/>
        <w:jc w:val="both"/>
        <w:rPr>
          <w:rFonts w:asciiTheme="minorHAnsi" w:hAnsiTheme="minorHAnsi" w:cstheme="minorHAnsi"/>
          <w:sz w:val="20"/>
          <w:szCs w:val="20"/>
        </w:rPr>
      </w:pPr>
      <w:r w:rsidRPr="00025B9C">
        <w:rPr>
          <w:rFonts w:asciiTheme="minorHAnsi" w:hAnsiTheme="minorHAnsi" w:cstheme="minorHAnsi"/>
          <w:sz w:val="20"/>
          <w:szCs w:val="20"/>
        </w:rPr>
        <w:t>Unless otherwise stated above, the Company has complied with the provisions of the Code throughout the accounting period under review with th</w:t>
      </w:r>
      <w:r w:rsidR="00737F0F" w:rsidRPr="00025B9C">
        <w:rPr>
          <w:rFonts w:asciiTheme="minorHAnsi" w:hAnsiTheme="minorHAnsi" w:cstheme="minorHAnsi"/>
          <w:sz w:val="20"/>
          <w:szCs w:val="20"/>
        </w:rPr>
        <w:t>e following further exceptions.</w:t>
      </w:r>
    </w:p>
    <w:p w:rsidR="001110C6" w:rsidRPr="00025B9C" w:rsidRDefault="0019747C" w:rsidP="00171300">
      <w:pPr>
        <w:keepNext/>
        <w:ind w:left="567" w:right="804"/>
        <w:jc w:val="both"/>
        <w:rPr>
          <w:rFonts w:asciiTheme="minorHAnsi" w:hAnsiTheme="minorHAnsi" w:cstheme="minorHAnsi"/>
          <w:sz w:val="20"/>
          <w:szCs w:val="20"/>
        </w:rPr>
      </w:pPr>
      <w:r w:rsidRPr="00025B9C">
        <w:rPr>
          <w:rFonts w:asciiTheme="minorHAnsi" w:hAnsiTheme="minorHAnsi" w:cstheme="minorHAnsi"/>
          <w:sz w:val="20"/>
          <w:szCs w:val="20"/>
        </w:rPr>
        <w:t xml:space="preserve">Source: </w:t>
      </w:r>
      <w:r w:rsidR="001110C6" w:rsidRPr="00025B9C">
        <w:rPr>
          <w:rFonts w:asciiTheme="minorHAnsi" w:hAnsiTheme="minorHAnsi" w:cstheme="minorHAnsi"/>
          <w:sz w:val="20"/>
          <w:szCs w:val="20"/>
        </w:rPr>
        <w:t>Burberry Group plc</w:t>
      </w:r>
      <w:r w:rsidRPr="00025B9C">
        <w:rPr>
          <w:rFonts w:asciiTheme="minorHAnsi" w:hAnsiTheme="minorHAnsi" w:cstheme="minorHAnsi"/>
          <w:sz w:val="20"/>
          <w:szCs w:val="20"/>
        </w:rPr>
        <w:t xml:space="preserve"> annual report</w:t>
      </w:r>
      <w:r w:rsidR="001110C6" w:rsidRPr="00025B9C">
        <w:rPr>
          <w:rFonts w:asciiTheme="minorHAnsi" w:hAnsiTheme="minorHAnsi" w:cstheme="minorHAnsi"/>
          <w:sz w:val="20"/>
          <w:szCs w:val="20"/>
        </w:rPr>
        <w:t xml:space="preserve"> 2005, p.</w:t>
      </w:r>
      <w:r w:rsidR="00A505BC" w:rsidRPr="00025B9C">
        <w:rPr>
          <w:rFonts w:asciiTheme="minorHAnsi" w:hAnsiTheme="minorHAnsi" w:cstheme="minorHAnsi"/>
          <w:sz w:val="20"/>
          <w:szCs w:val="20"/>
        </w:rPr>
        <w:t xml:space="preserve"> </w:t>
      </w:r>
      <w:r w:rsidR="001110C6" w:rsidRPr="00025B9C">
        <w:rPr>
          <w:rFonts w:asciiTheme="minorHAnsi" w:hAnsiTheme="minorHAnsi" w:cstheme="minorHAnsi"/>
          <w:sz w:val="20"/>
          <w:szCs w:val="20"/>
        </w:rPr>
        <w:t>25</w:t>
      </w:r>
      <w:r w:rsidR="00BB2D16" w:rsidRPr="00025B9C">
        <w:rPr>
          <w:rFonts w:asciiTheme="minorHAnsi" w:hAnsiTheme="minorHAnsi" w:cstheme="minorHAnsi"/>
          <w:sz w:val="20"/>
          <w:szCs w:val="20"/>
        </w:rPr>
        <w:t>.</w:t>
      </w:r>
    </w:p>
    <w:p w:rsidR="000D18F6" w:rsidRPr="00025B9C" w:rsidRDefault="000D18F6" w:rsidP="00D665D9">
      <w:pPr>
        <w:spacing w:line="360" w:lineRule="auto"/>
        <w:jc w:val="both"/>
        <w:rPr>
          <w:rFonts w:asciiTheme="minorHAnsi" w:hAnsiTheme="minorHAnsi" w:cstheme="minorHAnsi"/>
        </w:rPr>
      </w:pPr>
    </w:p>
    <w:p w:rsidR="000D18F6" w:rsidRPr="00025B9C" w:rsidRDefault="0019747C" w:rsidP="00D665D9">
      <w:pPr>
        <w:spacing w:line="360" w:lineRule="auto"/>
        <w:jc w:val="both"/>
        <w:rPr>
          <w:rFonts w:asciiTheme="minorHAnsi" w:hAnsiTheme="minorHAnsi" w:cstheme="minorHAnsi"/>
        </w:rPr>
      </w:pPr>
      <w:r w:rsidRPr="00025B9C">
        <w:rPr>
          <w:rFonts w:asciiTheme="minorHAnsi" w:hAnsiTheme="minorHAnsi" w:cstheme="minorHAnsi"/>
        </w:rPr>
        <w:t xml:space="preserve">Finally, one of the most common areas of non-disclosure relates to the </w:t>
      </w:r>
      <w:r w:rsidR="009563BB" w:rsidRPr="00025B9C">
        <w:rPr>
          <w:rFonts w:asciiTheme="minorHAnsi" w:hAnsiTheme="minorHAnsi" w:cstheme="minorHAnsi"/>
        </w:rPr>
        <w:t xml:space="preserve">situation where </w:t>
      </w:r>
      <w:r w:rsidR="00B76080" w:rsidRPr="00025B9C">
        <w:rPr>
          <w:rFonts w:asciiTheme="minorHAnsi" w:hAnsiTheme="minorHAnsi" w:cstheme="minorHAnsi"/>
        </w:rPr>
        <w:t xml:space="preserve">the </w:t>
      </w:r>
      <w:r w:rsidR="00D65219" w:rsidRPr="00025B9C">
        <w:rPr>
          <w:rFonts w:asciiTheme="minorHAnsi" w:hAnsiTheme="minorHAnsi" w:cstheme="minorHAnsi"/>
          <w:lang w:val="en-IE"/>
        </w:rPr>
        <w:t xml:space="preserve">Code </w:t>
      </w:r>
      <w:r w:rsidR="00D65219" w:rsidRPr="00025B9C">
        <w:rPr>
          <w:rFonts w:asciiTheme="minorHAnsi" w:hAnsiTheme="minorHAnsi" w:cstheme="minorHAnsi"/>
        </w:rPr>
        <w:t>provision</w:t>
      </w:r>
      <w:r w:rsidR="00B76080" w:rsidRPr="00025B9C">
        <w:rPr>
          <w:rFonts w:asciiTheme="minorHAnsi" w:hAnsiTheme="minorHAnsi" w:cstheme="minorHAnsi"/>
        </w:rPr>
        <w:t xml:space="preserve"> number (for example A.3.2) is exc</w:t>
      </w:r>
      <w:r w:rsidR="00210F50" w:rsidRPr="00025B9C">
        <w:rPr>
          <w:rFonts w:asciiTheme="minorHAnsi" w:hAnsiTheme="minorHAnsi" w:cstheme="minorHAnsi"/>
        </w:rPr>
        <w:t xml:space="preserve">luded. Shrives </w:t>
      </w:r>
      <w:r w:rsidR="00BD4218" w:rsidRPr="00025B9C">
        <w:rPr>
          <w:rFonts w:asciiTheme="minorHAnsi" w:hAnsiTheme="minorHAnsi" w:cstheme="minorHAnsi"/>
        </w:rPr>
        <w:t>and</w:t>
      </w:r>
      <w:r w:rsidR="00210F50" w:rsidRPr="00025B9C">
        <w:rPr>
          <w:rFonts w:asciiTheme="minorHAnsi" w:hAnsiTheme="minorHAnsi" w:cstheme="minorHAnsi"/>
        </w:rPr>
        <w:t xml:space="preserve"> Brennan (2015</w:t>
      </w:r>
      <w:r w:rsidR="00B76080" w:rsidRPr="00025B9C">
        <w:rPr>
          <w:rFonts w:asciiTheme="minorHAnsi" w:hAnsiTheme="minorHAnsi" w:cstheme="minorHAnsi"/>
        </w:rPr>
        <w:t xml:space="preserve">) include this as an aspect of disclosure </w:t>
      </w:r>
      <w:r w:rsidR="00E7106B" w:rsidRPr="00025B9C">
        <w:rPr>
          <w:rFonts w:asciiTheme="minorHAnsi" w:hAnsiTheme="minorHAnsi" w:cstheme="minorHAnsi"/>
        </w:rPr>
        <w:t>quality</w:t>
      </w:r>
      <w:r w:rsidR="00B76080" w:rsidRPr="00025B9C">
        <w:rPr>
          <w:rFonts w:asciiTheme="minorHAnsi" w:hAnsiTheme="minorHAnsi" w:cstheme="minorHAnsi"/>
        </w:rPr>
        <w:t xml:space="preserve">. </w:t>
      </w:r>
      <w:r w:rsidR="00753B72" w:rsidRPr="00025B9C">
        <w:rPr>
          <w:rFonts w:asciiTheme="minorHAnsi" w:hAnsiTheme="minorHAnsi" w:cstheme="minorHAnsi"/>
        </w:rPr>
        <w:t xml:space="preserve">There are various reasons why companies may </w:t>
      </w:r>
      <w:r w:rsidR="00FC06E9" w:rsidRPr="00025B9C">
        <w:rPr>
          <w:rFonts w:asciiTheme="minorHAnsi" w:hAnsiTheme="minorHAnsi" w:cstheme="minorHAnsi"/>
        </w:rPr>
        <w:t>omit Code provision numbers</w:t>
      </w:r>
      <w:r w:rsidR="00753B72" w:rsidRPr="00025B9C">
        <w:rPr>
          <w:rFonts w:asciiTheme="minorHAnsi" w:hAnsiTheme="minorHAnsi" w:cstheme="minorHAnsi"/>
        </w:rPr>
        <w:t xml:space="preserve"> (because the</w:t>
      </w:r>
      <w:r w:rsidR="004F6B3D" w:rsidRPr="00025B9C">
        <w:rPr>
          <w:rFonts w:asciiTheme="minorHAnsi" w:hAnsiTheme="minorHAnsi" w:cstheme="minorHAnsi"/>
        </w:rPr>
        <w:t xml:space="preserve"> Code</w:t>
      </w:r>
      <w:r w:rsidR="00753B72" w:rsidRPr="00025B9C">
        <w:rPr>
          <w:rFonts w:asciiTheme="minorHAnsi" w:hAnsiTheme="minorHAnsi" w:cstheme="minorHAnsi"/>
        </w:rPr>
        <w:t xml:space="preserve"> </w:t>
      </w:r>
      <w:r w:rsidR="004F6B3D" w:rsidRPr="00025B9C">
        <w:rPr>
          <w:rFonts w:asciiTheme="minorHAnsi" w:hAnsiTheme="minorHAnsi" w:cstheme="minorHAnsi"/>
        </w:rPr>
        <w:t>provision</w:t>
      </w:r>
      <w:r w:rsidR="00753B72" w:rsidRPr="00025B9C">
        <w:rPr>
          <w:rFonts w:asciiTheme="minorHAnsi" w:hAnsiTheme="minorHAnsi" w:cstheme="minorHAnsi"/>
        </w:rPr>
        <w:t xml:space="preserve"> numbers change</w:t>
      </w:r>
      <w:r w:rsidR="005D448D" w:rsidRPr="00025B9C">
        <w:rPr>
          <w:rFonts w:asciiTheme="minorHAnsi" w:hAnsiTheme="minorHAnsi" w:cstheme="minorHAnsi"/>
        </w:rPr>
        <w:t xml:space="preserve">, </w:t>
      </w:r>
      <w:r w:rsidR="0033734B" w:rsidRPr="00025B9C">
        <w:rPr>
          <w:rFonts w:asciiTheme="minorHAnsi" w:hAnsiTheme="minorHAnsi" w:cstheme="minorHAnsi"/>
        </w:rPr>
        <w:t xml:space="preserve">or </w:t>
      </w:r>
      <w:r w:rsidR="005D448D" w:rsidRPr="00025B9C">
        <w:rPr>
          <w:rFonts w:asciiTheme="minorHAnsi" w:hAnsiTheme="minorHAnsi" w:cstheme="minorHAnsi"/>
        </w:rPr>
        <w:t xml:space="preserve">managers are not sure which is the correct </w:t>
      </w:r>
      <w:r w:rsidR="004F6B3D" w:rsidRPr="00025B9C">
        <w:rPr>
          <w:rFonts w:asciiTheme="minorHAnsi" w:hAnsiTheme="minorHAnsi" w:cstheme="minorHAnsi"/>
        </w:rPr>
        <w:t>Code provision</w:t>
      </w:r>
      <w:r w:rsidR="005D448D" w:rsidRPr="00025B9C">
        <w:rPr>
          <w:rFonts w:asciiTheme="minorHAnsi" w:hAnsiTheme="minorHAnsi" w:cstheme="minorHAnsi"/>
        </w:rPr>
        <w:t xml:space="preserve"> number, </w:t>
      </w:r>
      <w:r w:rsidR="0033734B" w:rsidRPr="00025B9C">
        <w:rPr>
          <w:rFonts w:asciiTheme="minorHAnsi" w:hAnsiTheme="minorHAnsi" w:cstheme="minorHAnsi"/>
        </w:rPr>
        <w:t xml:space="preserve">or </w:t>
      </w:r>
      <w:r w:rsidR="005D448D" w:rsidRPr="00025B9C">
        <w:rPr>
          <w:rFonts w:asciiTheme="minorHAnsi" w:hAnsiTheme="minorHAnsi" w:cstheme="minorHAnsi"/>
        </w:rPr>
        <w:t xml:space="preserve">two </w:t>
      </w:r>
      <w:r w:rsidR="004F6B3D" w:rsidRPr="00025B9C">
        <w:rPr>
          <w:rFonts w:asciiTheme="minorHAnsi" w:hAnsiTheme="minorHAnsi" w:cstheme="minorHAnsi"/>
        </w:rPr>
        <w:t>Code provisions</w:t>
      </w:r>
      <w:r w:rsidR="005D448D" w:rsidRPr="00025B9C">
        <w:rPr>
          <w:rFonts w:asciiTheme="minorHAnsi" w:hAnsiTheme="minorHAnsi" w:cstheme="minorHAnsi"/>
        </w:rPr>
        <w:t xml:space="preserve"> cover similar aspects) but it is also an effective </w:t>
      </w:r>
      <w:r w:rsidR="00DB7D5E" w:rsidRPr="00025B9C">
        <w:rPr>
          <w:rFonts w:asciiTheme="minorHAnsi" w:hAnsiTheme="minorHAnsi" w:cstheme="minorHAnsi"/>
        </w:rPr>
        <w:t xml:space="preserve">rhetorical </w:t>
      </w:r>
      <w:r w:rsidR="00E7106B" w:rsidRPr="00025B9C">
        <w:rPr>
          <w:rFonts w:asciiTheme="minorHAnsi" w:hAnsiTheme="minorHAnsi" w:cstheme="minorHAnsi"/>
        </w:rPr>
        <w:t>strategy</w:t>
      </w:r>
      <w:r w:rsidR="00E23B28" w:rsidRPr="00025B9C">
        <w:rPr>
          <w:rFonts w:asciiTheme="minorHAnsi" w:hAnsiTheme="minorHAnsi" w:cstheme="minorHAnsi"/>
        </w:rPr>
        <w:t xml:space="preserve">. Identifying the </w:t>
      </w:r>
      <w:r w:rsidR="004F6B3D" w:rsidRPr="00025B9C">
        <w:rPr>
          <w:rFonts w:asciiTheme="minorHAnsi" w:hAnsiTheme="minorHAnsi" w:cstheme="minorHAnsi"/>
        </w:rPr>
        <w:t>Code provision</w:t>
      </w:r>
      <w:r w:rsidR="00E23B28" w:rsidRPr="00025B9C">
        <w:rPr>
          <w:rFonts w:asciiTheme="minorHAnsi" w:hAnsiTheme="minorHAnsi" w:cstheme="minorHAnsi"/>
        </w:rPr>
        <w:t xml:space="preserve"> number invariably draws attention to non-compliance</w:t>
      </w:r>
      <w:r w:rsidR="00FC06E9" w:rsidRPr="00025B9C">
        <w:rPr>
          <w:rFonts w:asciiTheme="minorHAnsi" w:hAnsiTheme="minorHAnsi" w:cstheme="minorHAnsi"/>
        </w:rPr>
        <w:t>,</w:t>
      </w:r>
      <w:r w:rsidR="00E23B28" w:rsidRPr="00025B9C">
        <w:rPr>
          <w:rFonts w:asciiTheme="minorHAnsi" w:hAnsiTheme="minorHAnsi" w:cstheme="minorHAnsi"/>
        </w:rPr>
        <w:t xml:space="preserve"> particularly when there are a number of </w:t>
      </w:r>
      <w:r w:rsidR="00E7106B" w:rsidRPr="00025B9C">
        <w:rPr>
          <w:rFonts w:asciiTheme="minorHAnsi" w:hAnsiTheme="minorHAnsi" w:cstheme="minorHAnsi"/>
        </w:rPr>
        <w:t>non-compliances</w:t>
      </w:r>
      <w:r w:rsidR="00E23B28" w:rsidRPr="00025B9C">
        <w:rPr>
          <w:rFonts w:asciiTheme="minorHAnsi" w:hAnsiTheme="minorHAnsi" w:cstheme="minorHAnsi"/>
        </w:rPr>
        <w:t xml:space="preserve">. Eyes tend to be drawn to </w:t>
      </w:r>
      <w:r w:rsidR="00017C3C" w:rsidRPr="00025B9C">
        <w:rPr>
          <w:rFonts w:asciiTheme="minorHAnsi" w:hAnsiTheme="minorHAnsi" w:cstheme="minorHAnsi"/>
        </w:rPr>
        <w:t>section identifiers</w:t>
      </w:r>
      <w:r w:rsidR="00E23B28" w:rsidRPr="00025B9C">
        <w:rPr>
          <w:rFonts w:asciiTheme="minorHAnsi" w:hAnsiTheme="minorHAnsi" w:cstheme="minorHAnsi"/>
        </w:rPr>
        <w:t xml:space="preserve"> such as C.3.2 and A.3.1</w:t>
      </w:r>
      <w:r w:rsidR="00D65219" w:rsidRPr="00025B9C">
        <w:rPr>
          <w:rFonts w:asciiTheme="minorHAnsi" w:hAnsiTheme="minorHAnsi" w:cstheme="minorHAnsi"/>
        </w:rPr>
        <w:t>. T</w:t>
      </w:r>
      <w:r w:rsidR="00E23B28" w:rsidRPr="00025B9C">
        <w:rPr>
          <w:rFonts w:asciiTheme="minorHAnsi" w:hAnsiTheme="minorHAnsi" w:cstheme="minorHAnsi"/>
        </w:rPr>
        <w:t>hus</w:t>
      </w:r>
      <w:r w:rsidR="00D65219" w:rsidRPr="00025B9C">
        <w:rPr>
          <w:rFonts w:asciiTheme="minorHAnsi" w:hAnsiTheme="minorHAnsi" w:cstheme="minorHAnsi"/>
        </w:rPr>
        <w:t>,</w:t>
      </w:r>
      <w:r w:rsidR="00E23B28" w:rsidRPr="00025B9C">
        <w:rPr>
          <w:rFonts w:asciiTheme="minorHAnsi" w:hAnsiTheme="minorHAnsi" w:cstheme="minorHAnsi"/>
        </w:rPr>
        <w:t xml:space="preserve"> not including the </w:t>
      </w:r>
      <w:r w:rsidR="00E7106B" w:rsidRPr="00025B9C">
        <w:rPr>
          <w:rFonts w:asciiTheme="minorHAnsi" w:hAnsiTheme="minorHAnsi" w:cstheme="minorHAnsi"/>
        </w:rPr>
        <w:t xml:space="preserve">Code provision </w:t>
      </w:r>
      <w:r w:rsidR="00017C3C" w:rsidRPr="00025B9C">
        <w:rPr>
          <w:rFonts w:asciiTheme="minorHAnsi" w:hAnsiTheme="minorHAnsi" w:cstheme="minorHAnsi"/>
        </w:rPr>
        <w:t>information</w:t>
      </w:r>
      <w:r w:rsidR="00E23B28" w:rsidRPr="00025B9C">
        <w:rPr>
          <w:rFonts w:asciiTheme="minorHAnsi" w:hAnsiTheme="minorHAnsi" w:cstheme="minorHAnsi"/>
        </w:rPr>
        <w:t xml:space="preserve"> hides the non-compliance from all but discerning reader</w:t>
      </w:r>
      <w:r w:rsidR="00FC06E9" w:rsidRPr="00025B9C">
        <w:rPr>
          <w:rFonts w:asciiTheme="minorHAnsi" w:hAnsiTheme="minorHAnsi" w:cstheme="minorHAnsi"/>
        </w:rPr>
        <w:t>s</w:t>
      </w:r>
      <w:r w:rsidR="00E23B28" w:rsidRPr="00025B9C">
        <w:rPr>
          <w:rFonts w:asciiTheme="minorHAnsi" w:hAnsiTheme="minorHAnsi" w:cstheme="minorHAnsi"/>
        </w:rPr>
        <w:t xml:space="preserve">. </w:t>
      </w:r>
      <w:r w:rsidR="006A1E5B" w:rsidRPr="00025B9C">
        <w:rPr>
          <w:rFonts w:asciiTheme="minorHAnsi" w:hAnsiTheme="minorHAnsi" w:cstheme="minorHAnsi"/>
        </w:rPr>
        <w:t>R</w:t>
      </w:r>
      <w:r w:rsidR="009D74E9" w:rsidRPr="00025B9C">
        <w:rPr>
          <w:rFonts w:asciiTheme="minorHAnsi" w:hAnsiTheme="minorHAnsi" w:cstheme="minorHAnsi"/>
        </w:rPr>
        <w:t>eader</w:t>
      </w:r>
      <w:r w:rsidR="006A1E5B" w:rsidRPr="00025B9C">
        <w:rPr>
          <w:rFonts w:asciiTheme="minorHAnsi" w:hAnsiTheme="minorHAnsi" w:cstheme="minorHAnsi"/>
        </w:rPr>
        <w:t>s</w:t>
      </w:r>
      <w:r w:rsidR="009D74E9" w:rsidRPr="00025B9C">
        <w:rPr>
          <w:rFonts w:asciiTheme="minorHAnsi" w:hAnsiTheme="minorHAnsi" w:cstheme="minorHAnsi"/>
        </w:rPr>
        <w:t xml:space="preserve"> may not know how many Code items are, in fact, being referred to. </w:t>
      </w:r>
      <w:r w:rsidR="00374606" w:rsidRPr="00025B9C">
        <w:rPr>
          <w:rFonts w:asciiTheme="minorHAnsi" w:hAnsiTheme="minorHAnsi" w:cstheme="minorHAnsi"/>
        </w:rPr>
        <w:t>As evidence for this</w:t>
      </w:r>
      <w:r w:rsidR="000C3D97" w:rsidRPr="00025B9C">
        <w:rPr>
          <w:rFonts w:asciiTheme="minorHAnsi" w:hAnsiTheme="minorHAnsi" w:cstheme="minorHAnsi"/>
        </w:rPr>
        <w:t>,</w:t>
      </w:r>
      <w:r w:rsidR="00374606" w:rsidRPr="00025B9C">
        <w:rPr>
          <w:rFonts w:asciiTheme="minorHAnsi" w:hAnsiTheme="minorHAnsi" w:cstheme="minorHAnsi"/>
        </w:rPr>
        <w:t xml:space="preserve"> </w:t>
      </w:r>
      <w:r w:rsidR="000C3D97" w:rsidRPr="00025B9C">
        <w:rPr>
          <w:rFonts w:asciiTheme="minorHAnsi" w:hAnsiTheme="minorHAnsi" w:cstheme="minorHAnsi"/>
        </w:rPr>
        <w:t>web designers</w:t>
      </w:r>
      <w:r w:rsidR="00E23B28" w:rsidRPr="00025B9C">
        <w:rPr>
          <w:rFonts w:asciiTheme="minorHAnsi" w:hAnsiTheme="minorHAnsi" w:cstheme="minorHAnsi"/>
        </w:rPr>
        <w:t xml:space="preserve"> advise writers to write </w:t>
      </w:r>
      <w:r w:rsidR="00FC06E9" w:rsidRPr="00025B9C">
        <w:rPr>
          <w:rFonts w:asciiTheme="minorHAnsi" w:hAnsiTheme="minorHAnsi" w:cstheme="minorHAnsi"/>
        </w:rPr>
        <w:t xml:space="preserve">(for example) </w:t>
      </w:r>
      <w:r w:rsidR="00E23B28" w:rsidRPr="00025B9C">
        <w:rPr>
          <w:rFonts w:asciiTheme="minorHAnsi" w:hAnsiTheme="minorHAnsi" w:cstheme="minorHAnsi"/>
        </w:rPr>
        <w:t xml:space="preserve">23 </w:t>
      </w:r>
      <w:r w:rsidR="00D27242" w:rsidRPr="00025B9C">
        <w:rPr>
          <w:rFonts w:asciiTheme="minorHAnsi" w:hAnsiTheme="minorHAnsi" w:cstheme="minorHAnsi"/>
        </w:rPr>
        <w:t xml:space="preserve">as a number </w:t>
      </w:r>
      <w:r w:rsidR="00E23B28" w:rsidRPr="00025B9C">
        <w:rPr>
          <w:rFonts w:asciiTheme="minorHAnsi" w:hAnsiTheme="minorHAnsi" w:cstheme="minorHAnsi"/>
        </w:rPr>
        <w:t xml:space="preserve">rather than write </w:t>
      </w:r>
      <w:r w:rsidR="008B05AA" w:rsidRPr="00025B9C">
        <w:rPr>
          <w:rFonts w:asciiTheme="minorHAnsi" w:hAnsiTheme="minorHAnsi" w:cstheme="minorHAnsi"/>
          <w:lang w:val="en-IE"/>
        </w:rPr>
        <w:t>‘</w:t>
      </w:r>
      <w:r w:rsidR="00244860" w:rsidRPr="00025B9C">
        <w:rPr>
          <w:rFonts w:asciiTheme="minorHAnsi" w:hAnsiTheme="minorHAnsi" w:cstheme="minorHAnsi"/>
        </w:rPr>
        <w:t>twenty-three</w:t>
      </w:r>
      <w:r w:rsidR="008B05AA" w:rsidRPr="00025B9C">
        <w:rPr>
          <w:rFonts w:asciiTheme="minorHAnsi" w:hAnsiTheme="minorHAnsi" w:cstheme="minorHAnsi"/>
        </w:rPr>
        <w:t>’</w:t>
      </w:r>
      <w:r w:rsidR="00E23B28" w:rsidRPr="00025B9C">
        <w:rPr>
          <w:rFonts w:asciiTheme="minorHAnsi" w:hAnsiTheme="minorHAnsi" w:cstheme="minorHAnsi"/>
        </w:rPr>
        <w:t xml:space="preserve"> in order to </w:t>
      </w:r>
      <w:r w:rsidR="009563BB" w:rsidRPr="00025B9C">
        <w:rPr>
          <w:rFonts w:asciiTheme="minorHAnsi" w:hAnsiTheme="minorHAnsi" w:cstheme="minorHAnsi"/>
        </w:rPr>
        <w:t>draw attention</w:t>
      </w:r>
      <w:r w:rsidR="00E23B28" w:rsidRPr="00025B9C">
        <w:rPr>
          <w:rFonts w:asciiTheme="minorHAnsi" w:hAnsiTheme="minorHAnsi" w:cstheme="minorHAnsi"/>
        </w:rPr>
        <w:t xml:space="preserve"> (Nielsen, 2007). </w:t>
      </w:r>
      <w:r w:rsidR="00E7106B" w:rsidRPr="00025B9C">
        <w:rPr>
          <w:rFonts w:asciiTheme="minorHAnsi" w:hAnsiTheme="minorHAnsi" w:cstheme="minorHAnsi"/>
        </w:rPr>
        <w:t>Example 9d is an explanation</w:t>
      </w:r>
      <w:r w:rsidR="00D65219" w:rsidRPr="00025B9C">
        <w:rPr>
          <w:rFonts w:asciiTheme="minorHAnsi" w:hAnsiTheme="minorHAnsi" w:cstheme="minorHAnsi"/>
        </w:rPr>
        <w:t xml:space="preserve"> with no C</w:t>
      </w:r>
      <w:r w:rsidR="00374606" w:rsidRPr="00025B9C">
        <w:rPr>
          <w:rFonts w:asciiTheme="minorHAnsi" w:hAnsiTheme="minorHAnsi" w:cstheme="minorHAnsi"/>
        </w:rPr>
        <w:t xml:space="preserve">ode </w:t>
      </w:r>
      <w:r w:rsidR="00D65219" w:rsidRPr="00025B9C">
        <w:rPr>
          <w:rFonts w:asciiTheme="minorHAnsi" w:hAnsiTheme="minorHAnsi" w:cstheme="minorHAnsi"/>
        </w:rPr>
        <w:t>provision</w:t>
      </w:r>
      <w:r w:rsidR="00374606" w:rsidRPr="00025B9C">
        <w:rPr>
          <w:rFonts w:asciiTheme="minorHAnsi" w:hAnsiTheme="minorHAnsi" w:cstheme="minorHAnsi"/>
        </w:rPr>
        <w:t>.</w:t>
      </w:r>
      <w:r w:rsidR="009D74E9" w:rsidRPr="00025B9C">
        <w:rPr>
          <w:rFonts w:asciiTheme="minorHAnsi" w:hAnsiTheme="minorHAnsi" w:cstheme="minorHAnsi"/>
        </w:rPr>
        <w:t xml:space="preserve"> </w:t>
      </w:r>
    </w:p>
    <w:p w:rsidR="00A403F3" w:rsidRPr="00025B9C" w:rsidRDefault="00A403F3" w:rsidP="00D26D00">
      <w:pPr>
        <w:spacing w:line="360" w:lineRule="auto"/>
        <w:ind w:right="805"/>
        <w:jc w:val="both"/>
        <w:rPr>
          <w:rFonts w:asciiTheme="minorHAnsi" w:hAnsiTheme="minorHAnsi" w:cstheme="minorHAnsi"/>
          <w:b/>
        </w:rPr>
      </w:pPr>
    </w:p>
    <w:p w:rsidR="00F60F08" w:rsidRPr="00025B9C" w:rsidRDefault="00570CF5" w:rsidP="00D665D9">
      <w:pPr>
        <w:ind w:left="567" w:right="805" w:firstLine="11"/>
        <w:jc w:val="both"/>
        <w:rPr>
          <w:rFonts w:asciiTheme="minorHAnsi" w:hAnsiTheme="minorHAnsi" w:cstheme="minorHAnsi"/>
          <w:b/>
          <w:sz w:val="20"/>
          <w:szCs w:val="20"/>
        </w:rPr>
      </w:pPr>
      <w:r w:rsidRPr="00025B9C">
        <w:rPr>
          <w:rFonts w:asciiTheme="minorHAnsi" w:hAnsiTheme="minorHAnsi" w:cstheme="minorHAnsi"/>
          <w:b/>
          <w:sz w:val="20"/>
          <w:szCs w:val="20"/>
        </w:rPr>
        <w:t>Example 9</w:t>
      </w:r>
      <w:r w:rsidR="00F60F08" w:rsidRPr="00025B9C">
        <w:rPr>
          <w:rFonts w:asciiTheme="minorHAnsi" w:hAnsiTheme="minorHAnsi" w:cstheme="minorHAnsi"/>
          <w:b/>
          <w:sz w:val="20"/>
          <w:szCs w:val="20"/>
        </w:rPr>
        <w:t xml:space="preserve">d: No Code provision provided </w:t>
      </w:r>
    </w:p>
    <w:p w:rsidR="00BB2D16" w:rsidRPr="00025B9C" w:rsidRDefault="00BB2D16" w:rsidP="00D665D9">
      <w:pPr>
        <w:ind w:left="567" w:right="-46" w:firstLine="11"/>
        <w:jc w:val="both"/>
        <w:rPr>
          <w:rFonts w:asciiTheme="minorHAnsi" w:hAnsiTheme="minorHAnsi" w:cstheme="minorHAnsi"/>
          <w:sz w:val="20"/>
          <w:szCs w:val="20"/>
        </w:rPr>
      </w:pPr>
      <w:r w:rsidRPr="00025B9C">
        <w:rPr>
          <w:rFonts w:asciiTheme="minorHAnsi" w:hAnsiTheme="minorHAnsi" w:cstheme="minorHAnsi"/>
          <w:sz w:val="20"/>
          <w:szCs w:val="20"/>
        </w:rPr>
        <w:t>The board considers that it has complied with the principles and provisions of the UK Corporate Governance Code throughout the year with the single exception of the appointment of a senior independent director for the full period under review.</w:t>
      </w:r>
      <w:r w:rsidR="009F06D1" w:rsidRPr="00025B9C">
        <w:rPr>
          <w:rFonts w:asciiTheme="minorHAnsi" w:hAnsiTheme="minorHAnsi" w:cstheme="minorHAnsi"/>
          <w:sz w:val="20"/>
          <w:szCs w:val="20"/>
        </w:rPr>
        <w:t xml:space="preserve"> As you may be aware, the membership of the board had changed significantly and, until the board had worked together for a period of time, a decision on the appointment of a senior independent director was felt not to be appropriate.</w:t>
      </w:r>
    </w:p>
    <w:p w:rsidR="00B76080" w:rsidRPr="00025B9C" w:rsidRDefault="00BB2D16" w:rsidP="00D665D9">
      <w:pPr>
        <w:ind w:left="567" w:right="805" w:firstLine="11"/>
        <w:jc w:val="both"/>
        <w:rPr>
          <w:rFonts w:asciiTheme="minorHAnsi" w:hAnsiTheme="minorHAnsi" w:cstheme="minorHAnsi"/>
          <w:sz w:val="20"/>
          <w:szCs w:val="20"/>
        </w:rPr>
      </w:pPr>
      <w:r w:rsidRPr="00025B9C">
        <w:rPr>
          <w:rFonts w:asciiTheme="minorHAnsi" w:hAnsiTheme="minorHAnsi" w:cstheme="minorHAnsi"/>
          <w:sz w:val="20"/>
          <w:szCs w:val="20"/>
        </w:rPr>
        <w:t>Source: ICAP plc annual report</w:t>
      </w:r>
      <w:r w:rsidR="00CE0F89" w:rsidRPr="00025B9C">
        <w:rPr>
          <w:rFonts w:asciiTheme="minorHAnsi" w:hAnsiTheme="minorHAnsi" w:cstheme="minorHAnsi"/>
          <w:sz w:val="20"/>
          <w:szCs w:val="20"/>
        </w:rPr>
        <w:t xml:space="preserve"> 2012</w:t>
      </w:r>
      <w:r w:rsidRPr="00025B9C">
        <w:rPr>
          <w:rFonts w:asciiTheme="minorHAnsi" w:hAnsiTheme="minorHAnsi" w:cstheme="minorHAnsi"/>
          <w:sz w:val="20"/>
          <w:szCs w:val="20"/>
        </w:rPr>
        <w:t>, p. 44</w:t>
      </w:r>
      <w:r w:rsidR="00051B12" w:rsidRPr="00025B9C">
        <w:rPr>
          <w:rFonts w:asciiTheme="minorHAnsi" w:hAnsiTheme="minorHAnsi" w:cstheme="minorHAnsi"/>
          <w:sz w:val="20"/>
          <w:szCs w:val="20"/>
        </w:rPr>
        <w:t>.</w:t>
      </w:r>
    </w:p>
    <w:p w:rsidR="00B76080" w:rsidRPr="00025B9C" w:rsidRDefault="00B76080" w:rsidP="00D665D9">
      <w:pPr>
        <w:spacing w:line="360" w:lineRule="auto"/>
        <w:ind w:right="805"/>
        <w:jc w:val="both"/>
        <w:rPr>
          <w:rFonts w:asciiTheme="minorHAnsi" w:hAnsiTheme="minorHAnsi" w:cstheme="minorHAnsi"/>
          <w:b/>
        </w:rPr>
      </w:pPr>
    </w:p>
    <w:p w:rsidR="002937E1" w:rsidRPr="00025B9C" w:rsidRDefault="00D00D93" w:rsidP="00D665D9">
      <w:pPr>
        <w:spacing w:line="360" w:lineRule="auto"/>
        <w:jc w:val="both"/>
        <w:rPr>
          <w:rFonts w:asciiTheme="minorHAnsi" w:hAnsiTheme="minorHAnsi" w:cstheme="minorHAnsi"/>
          <w:i/>
        </w:rPr>
      </w:pPr>
      <w:r w:rsidRPr="00025B9C">
        <w:rPr>
          <w:rFonts w:asciiTheme="minorHAnsi" w:hAnsiTheme="minorHAnsi" w:cstheme="minorHAnsi"/>
          <w:i/>
        </w:rPr>
        <w:t>3.2</w:t>
      </w:r>
      <w:r w:rsidR="002937E1" w:rsidRPr="00025B9C">
        <w:rPr>
          <w:rFonts w:asciiTheme="minorHAnsi" w:hAnsiTheme="minorHAnsi" w:cstheme="minorHAnsi"/>
          <w:i/>
        </w:rPr>
        <w:t xml:space="preserve"> Typology </w:t>
      </w:r>
    </w:p>
    <w:p w:rsidR="002937E1" w:rsidRPr="00025B9C" w:rsidRDefault="00E7106B" w:rsidP="00D665D9">
      <w:pPr>
        <w:spacing w:line="360" w:lineRule="auto"/>
        <w:jc w:val="both"/>
        <w:rPr>
          <w:rFonts w:asciiTheme="minorHAnsi" w:hAnsiTheme="minorHAnsi" w:cstheme="minorHAnsi"/>
        </w:rPr>
      </w:pPr>
      <w:r w:rsidRPr="00025B9C">
        <w:rPr>
          <w:rFonts w:asciiTheme="minorHAnsi" w:hAnsiTheme="minorHAnsi" w:cstheme="minorHAnsi"/>
        </w:rPr>
        <w:t>Our discussion and examples are drawn together in the form of a</w:t>
      </w:r>
      <w:r w:rsidR="007018D2" w:rsidRPr="00025B9C">
        <w:rPr>
          <w:rFonts w:asciiTheme="minorHAnsi" w:hAnsiTheme="minorHAnsi" w:cstheme="minorHAnsi"/>
        </w:rPr>
        <w:t xml:space="preserve"> typology </w:t>
      </w:r>
      <w:r w:rsidRPr="00025B9C">
        <w:rPr>
          <w:rFonts w:asciiTheme="minorHAnsi" w:hAnsiTheme="minorHAnsi" w:cstheme="minorHAnsi"/>
        </w:rPr>
        <w:t>of rhetorical strategies to justify/persuade/convince audiences of corporate explanations for non-compliance with the UK Corporate Governance Code (</w:t>
      </w:r>
      <w:r w:rsidR="00B324A6" w:rsidRPr="00025B9C">
        <w:rPr>
          <w:rFonts w:asciiTheme="minorHAnsi" w:hAnsiTheme="minorHAnsi" w:cstheme="minorHAnsi"/>
        </w:rPr>
        <w:t>Figure 1</w:t>
      </w:r>
      <w:r w:rsidRPr="00025B9C">
        <w:rPr>
          <w:rFonts w:asciiTheme="minorHAnsi" w:hAnsiTheme="minorHAnsi" w:cstheme="minorHAnsi"/>
        </w:rPr>
        <w:t>).</w:t>
      </w:r>
      <w:r w:rsidR="00B324A6" w:rsidRPr="00025B9C">
        <w:rPr>
          <w:rFonts w:asciiTheme="minorHAnsi" w:hAnsiTheme="minorHAnsi" w:cstheme="minorHAnsi"/>
        </w:rPr>
        <w:t xml:space="preserve"> </w:t>
      </w:r>
      <w:r w:rsidR="002B0387" w:rsidRPr="00025B9C">
        <w:rPr>
          <w:rFonts w:asciiTheme="minorHAnsi" w:hAnsiTheme="minorHAnsi" w:cstheme="minorHAnsi"/>
        </w:rPr>
        <w:t>The typology helps reader</w:t>
      </w:r>
      <w:r w:rsidR="006A1E5B" w:rsidRPr="00025B9C">
        <w:rPr>
          <w:rFonts w:asciiTheme="minorHAnsi" w:hAnsiTheme="minorHAnsi" w:cstheme="minorHAnsi"/>
        </w:rPr>
        <w:t>s</w:t>
      </w:r>
      <w:r w:rsidR="002B0387" w:rsidRPr="00025B9C">
        <w:rPr>
          <w:rFonts w:asciiTheme="minorHAnsi" w:hAnsiTheme="minorHAnsi" w:cstheme="minorHAnsi"/>
        </w:rPr>
        <w:t xml:space="preserve"> understand the different approaches that companies take to convince reader</w:t>
      </w:r>
      <w:r w:rsidR="006A1E5B" w:rsidRPr="00025B9C">
        <w:rPr>
          <w:rFonts w:asciiTheme="minorHAnsi" w:hAnsiTheme="minorHAnsi" w:cstheme="minorHAnsi"/>
        </w:rPr>
        <w:t>s</w:t>
      </w:r>
      <w:r w:rsidR="002B0387" w:rsidRPr="00025B9C">
        <w:rPr>
          <w:rFonts w:asciiTheme="minorHAnsi" w:hAnsiTheme="minorHAnsi" w:cstheme="minorHAnsi"/>
        </w:rPr>
        <w:t xml:space="preserve"> of the legitimacy of their explanations. When rhetorical devices are noticed by reader</w:t>
      </w:r>
      <w:r w:rsidR="00476E0A" w:rsidRPr="00025B9C">
        <w:rPr>
          <w:rFonts w:asciiTheme="minorHAnsi" w:hAnsiTheme="minorHAnsi" w:cstheme="minorHAnsi"/>
        </w:rPr>
        <w:t>s,</w:t>
      </w:r>
      <w:r w:rsidR="002B0387" w:rsidRPr="00025B9C">
        <w:rPr>
          <w:rFonts w:asciiTheme="minorHAnsi" w:hAnsiTheme="minorHAnsi" w:cstheme="minorHAnsi"/>
        </w:rPr>
        <w:t xml:space="preserve"> they are put upon enquiry to be more circumspect as to validity (or otherwise) of the explanation. Explanations should be such that reader</w:t>
      </w:r>
      <w:r w:rsidR="00476E0A" w:rsidRPr="00025B9C">
        <w:rPr>
          <w:rFonts w:asciiTheme="minorHAnsi" w:hAnsiTheme="minorHAnsi" w:cstheme="minorHAnsi"/>
        </w:rPr>
        <w:t>s</w:t>
      </w:r>
      <w:r w:rsidR="002B0387" w:rsidRPr="00025B9C">
        <w:rPr>
          <w:rFonts w:asciiTheme="minorHAnsi" w:hAnsiTheme="minorHAnsi" w:cstheme="minorHAnsi"/>
        </w:rPr>
        <w:t xml:space="preserve"> </w:t>
      </w:r>
      <w:r w:rsidR="00476E0A" w:rsidRPr="00025B9C">
        <w:rPr>
          <w:rFonts w:asciiTheme="minorHAnsi" w:hAnsiTheme="minorHAnsi" w:cstheme="minorHAnsi"/>
        </w:rPr>
        <w:t>are</w:t>
      </w:r>
      <w:r w:rsidR="002B0387" w:rsidRPr="00025B9C">
        <w:rPr>
          <w:rFonts w:asciiTheme="minorHAnsi" w:hAnsiTheme="minorHAnsi" w:cstheme="minorHAnsi"/>
        </w:rPr>
        <w:t xml:space="preserve"> convinced that the company’s system of governance is equivalent to that proposed by the Code. </w:t>
      </w:r>
      <w:r w:rsidR="00FC06E9" w:rsidRPr="00025B9C">
        <w:rPr>
          <w:rFonts w:asciiTheme="minorHAnsi" w:hAnsiTheme="minorHAnsi" w:cstheme="minorHAnsi"/>
        </w:rPr>
        <w:t>We apply our typology as an</w:t>
      </w:r>
      <w:r w:rsidR="007018D2" w:rsidRPr="00025B9C">
        <w:rPr>
          <w:rFonts w:asciiTheme="minorHAnsi" w:hAnsiTheme="minorHAnsi" w:cstheme="minorHAnsi"/>
        </w:rPr>
        <w:t xml:space="preserve"> analytical framework in analysing the non-compliance explanations</w:t>
      </w:r>
      <w:r w:rsidR="009E7E49" w:rsidRPr="00025B9C">
        <w:rPr>
          <w:rFonts w:asciiTheme="minorHAnsi" w:hAnsiTheme="minorHAnsi" w:cstheme="minorHAnsi"/>
        </w:rPr>
        <w:t>.</w:t>
      </w:r>
      <w:r w:rsidR="007018D2" w:rsidRPr="00025B9C">
        <w:rPr>
          <w:rFonts w:asciiTheme="minorHAnsi" w:hAnsiTheme="minorHAnsi" w:cstheme="minorHAnsi"/>
        </w:rPr>
        <w:t xml:space="preserve"> </w:t>
      </w:r>
      <w:r w:rsidR="009E7E49" w:rsidRPr="00025B9C">
        <w:rPr>
          <w:rFonts w:asciiTheme="minorHAnsi" w:hAnsiTheme="minorHAnsi" w:cstheme="minorHAnsi"/>
        </w:rPr>
        <w:t xml:space="preserve">The typology </w:t>
      </w:r>
      <w:r w:rsidR="007018D2" w:rsidRPr="00025B9C">
        <w:rPr>
          <w:rFonts w:asciiTheme="minorHAnsi" w:hAnsiTheme="minorHAnsi" w:cstheme="minorHAnsi"/>
        </w:rPr>
        <w:t>i</w:t>
      </w:r>
      <w:r w:rsidR="00562AEB" w:rsidRPr="00025B9C">
        <w:rPr>
          <w:rFonts w:asciiTheme="minorHAnsi" w:hAnsiTheme="minorHAnsi" w:cstheme="minorHAnsi"/>
        </w:rPr>
        <w:t>s discussed further in Section 4</w:t>
      </w:r>
      <w:r w:rsidR="007018D2" w:rsidRPr="00025B9C">
        <w:rPr>
          <w:rFonts w:asciiTheme="minorHAnsi" w:hAnsiTheme="minorHAnsi" w:cstheme="minorHAnsi"/>
        </w:rPr>
        <w:t xml:space="preserve"> in connection with coding the data</w:t>
      </w:r>
      <w:r w:rsidR="002937E1" w:rsidRPr="00025B9C">
        <w:rPr>
          <w:rFonts w:asciiTheme="minorHAnsi" w:hAnsiTheme="minorHAnsi" w:cstheme="minorHAnsi"/>
        </w:rPr>
        <w:t>.</w:t>
      </w:r>
      <w:r w:rsidRPr="00025B9C">
        <w:rPr>
          <w:rFonts w:asciiTheme="minorHAnsi" w:hAnsiTheme="minorHAnsi" w:cstheme="minorHAnsi"/>
        </w:rPr>
        <w:t xml:space="preserve"> </w:t>
      </w:r>
    </w:p>
    <w:p w:rsidR="0043330E" w:rsidRPr="00025B9C" w:rsidRDefault="002937E1" w:rsidP="00D665D9">
      <w:pPr>
        <w:spacing w:line="360" w:lineRule="auto"/>
        <w:jc w:val="both"/>
        <w:rPr>
          <w:rFonts w:asciiTheme="minorHAnsi" w:hAnsiTheme="minorHAnsi" w:cstheme="minorHAnsi"/>
          <w:b/>
        </w:rPr>
      </w:pPr>
      <w:r w:rsidRPr="00025B9C">
        <w:rPr>
          <w:rFonts w:asciiTheme="minorHAnsi" w:hAnsiTheme="minorHAnsi" w:cstheme="minorHAnsi"/>
          <w:b/>
        </w:rPr>
        <w:t>&lt; Insert Figure 1 here&gt;</w:t>
      </w:r>
    </w:p>
    <w:p w:rsidR="00003DB4" w:rsidRPr="00025B9C" w:rsidRDefault="00003DB4" w:rsidP="00D665D9">
      <w:pPr>
        <w:spacing w:line="360" w:lineRule="auto"/>
        <w:jc w:val="both"/>
        <w:rPr>
          <w:rFonts w:asciiTheme="minorHAnsi" w:hAnsiTheme="minorHAnsi" w:cstheme="minorHAnsi"/>
          <w:b/>
        </w:rPr>
      </w:pPr>
    </w:p>
    <w:p w:rsidR="00373464" w:rsidRPr="00025B9C" w:rsidRDefault="00D00D93" w:rsidP="00D665D9">
      <w:pPr>
        <w:spacing w:line="360" w:lineRule="auto"/>
        <w:jc w:val="both"/>
        <w:rPr>
          <w:rFonts w:asciiTheme="minorHAnsi" w:hAnsiTheme="minorHAnsi" w:cstheme="minorHAnsi"/>
          <w:b/>
        </w:rPr>
      </w:pPr>
      <w:r w:rsidRPr="00025B9C">
        <w:rPr>
          <w:rFonts w:asciiTheme="minorHAnsi" w:hAnsiTheme="minorHAnsi" w:cstheme="minorHAnsi"/>
          <w:b/>
        </w:rPr>
        <w:t>4</w:t>
      </w:r>
      <w:r w:rsidR="00A5705C" w:rsidRPr="00025B9C">
        <w:rPr>
          <w:rFonts w:asciiTheme="minorHAnsi" w:hAnsiTheme="minorHAnsi" w:cstheme="minorHAnsi"/>
          <w:b/>
        </w:rPr>
        <w:t xml:space="preserve">. </w:t>
      </w:r>
      <w:r w:rsidR="00004088" w:rsidRPr="00025B9C">
        <w:rPr>
          <w:rFonts w:asciiTheme="minorHAnsi" w:hAnsiTheme="minorHAnsi" w:cstheme="minorHAnsi"/>
          <w:b/>
        </w:rPr>
        <w:t>Issues for research</w:t>
      </w:r>
      <w:r w:rsidR="00924CED" w:rsidRPr="00025B9C">
        <w:rPr>
          <w:rFonts w:asciiTheme="minorHAnsi" w:hAnsiTheme="minorHAnsi" w:cstheme="minorHAnsi"/>
          <w:b/>
        </w:rPr>
        <w:t>, s</w:t>
      </w:r>
      <w:r w:rsidR="003F3A7A" w:rsidRPr="00025B9C">
        <w:rPr>
          <w:rFonts w:asciiTheme="minorHAnsi" w:hAnsiTheme="minorHAnsi" w:cstheme="minorHAnsi"/>
          <w:b/>
        </w:rPr>
        <w:t>ample</w:t>
      </w:r>
      <w:r w:rsidR="000F5500" w:rsidRPr="00025B9C">
        <w:rPr>
          <w:rFonts w:asciiTheme="minorHAnsi" w:hAnsiTheme="minorHAnsi" w:cstheme="minorHAnsi"/>
          <w:b/>
        </w:rPr>
        <w:t xml:space="preserve"> and</w:t>
      </w:r>
      <w:r w:rsidR="00924CED" w:rsidRPr="00025B9C">
        <w:rPr>
          <w:rFonts w:asciiTheme="minorHAnsi" w:hAnsiTheme="minorHAnsi" w:cstheme="minorHAnsi"/>
          <w:b/>
        </w:rPr>
        <w:t xml:space="preserve"> m</w:t>
      </w:r>
      <w:r w:rsidR="00A272ED" w:rsidRPr="00025B9C">
        <w:rPr>
          <w:rFonts w:asciiTheme="minorHAnsi" w:hAnsiTheme="minorHAnsi" w:cstheme="minorHAnsi"/>
          <w:b/>
        </w:rPr>
        <w:t>ethod</w:t>
      </w:r>
      <w:r w:rsidR="00924CED" w:rsidRPr="00025B9C">
        <w:rPr>
          <w:rFonts w:asciiTheme="minorHAnsi" w:hAnsiTheme="minorHAnsi" w:cstheme="minorHAnsi"/>
          <w:b/>
        </w:rPr>
        <w:t xml:space="preserve"> </w:t>
      </w:r>
    </w:p>
    <w:p w:rsidR="00924CED" w:rsidRPr="00025B9C" w:rsidRDefault="00004088" w:rsidP="00D665D9">
      <w:pPr>
        <w:spacing w:line="360" w:lineRule="auto"/>
        <w:jc w:val="both"/>
        <w:rPr>
          <w:rFonts w:asciiTheme="minorHAnsi" w:hAnsiTheme="minorHAnsi" w:cstheme="minorHAnsi"/>
        </w:rPr>
      </w:pPr>
      <w:r w:rsidRPr="00025B9C">
        <w:rPr>
          <w:rFonts w:asciiTheme="minorHAnsi" w:hAnsiTheme="minorHAnsi" w:cstheme="minorHAnsi"/>
        </w:rPr>
        <w:t xml:space="preserve">We apply our </w:t>
      </w:r>
      <w:r w:rsidR="00730C51" w:rsidRPr="00025B9C">
        <w:rPr>
          <w:rFonts w:asciiTheme="minorHAnsi" w:hAnsiTheme="minorHAnsi" w:cstheme="minorHAnsi"/>
        </w:rPr>
        <w:t>typology</w:t>
      </w:r>
      <w:r w:rsidR="00881E01" w:rsidRPr="00025B9C">
        <w:rPr>
          <w:rFonts w:asciiTheme="minorHAnsi" w:hAnsiTheme="minorHAnsi" w:cstheme="minorHAnsi"/>
        </w:rPr>
        <w:t xml:space="preserve"> to </w:t>
      </w:r>
      <w:r w:rsidR="00D43745" w:rsidRPr="00025B9C">
        <w:rPr>
          <w:rFonts w:asciiTheme="minorHAnsi" w:hAnsiTheme="minorHAnsi" w:cstheme="minorHAnsi"/>
        </w:rPr>
        <w:t xml:space="preserve">address three </w:t>
      </w:r>
      <w:r w:rsidR="00A81B28" w:rsidRPr="00025B9C">
        <w:rPr>
          <w:rFonts w:asciiTheme="minorHAnsi" w:hAnsiTheme="minorHAnsi" w:cstheme="minorHAnsi"/>
        </w:rPr>
        <w:t>research question</w:t>
      </w:r>
      <w:r w:rsidR="00D43745" w:rsidRPr="00025B9C">
        <w:rPr>
          <w:rFonts w:asciiTheme="minorHAnsi" w:hAnsiTheme="minorHAnsi" w:cstheme="minorHAnsi"/>
        </w:rPr>
        <w:t>s</w:t>
      </w:r>
      <w:r w:rsidR="00A81B28" w:rsidRPr="00025B9C">
        <w:rPr>
          <w:rFonts w:asciiTheme="minorHAnsi" w:hAnsiTheme="minorHAnsi" w:cstheme="minorHAnsi"/>
        </w:rPr>
        <w:t xml:space="preserve"> (RQ)</w:t>
      </w:r>
      <w:r w:rsidR="00D43745" w:rsidRPr="00025B9C">
        <w:rPr>
          <w:rFonts w:asciiTheme="minorHAnsi" w:hAnsiTheme="minorHAnsi" w:cstheme="minorHAnsi"/>
        </w:rPr>
        <w:t xml:space="preserve">: What rhetorical strategies do companies use in explanations? (RQ 1); How do </w:t>
      </w:r>
      <w:r w:rsidR="00881E01" w:rsidRPr="00025B9C">
        <w:rPr>
          <w:rFonts w:asciiTheme="minorHAnsi" w:hAnsiTheme="minorHAnsi" w:cstheme="minorHAnsi"/>
        </w:rPr>
        <w:t xml:space="preserve">the use of </w:t>
      </w:r>
      <w:r w:rsidR="00431735" w:rsidRPr="00025B9C">
        <w:rPr>
          <w:rFonts w:asciiTheme="minorHAnsi" w:hAnsiTheme="minorHAnsi" w:cstheme="minorHAnsi"/>
        </w:rPr>
        <w:t xml:space="preserve">rhetorical </w:t>
      </w:r>
      <w:r w:rsidR="00881E01" w:rsidRPr="00025B9C">
        <w:rPr>
          <w:rFonts w:asciiTheme="minorHAnsi" w:hAnsiTheme="minorHAnsi" w:cstheme="minorHAnsi"/>
        </w:rPr>
        <w:t xml:space="preserve">strategies </w:t>
      </w:r>
      <w:r w:rsidR="00431735" w:rsidRPr="00025B9C">
        <w:rPr>
          <w:rFonts w:asciiTheme="minorHAnsi" w:hAnsiTheme="minorHAnsi" w:cstheme="minorHAnsi"/>
        </w:rPr>
        <w:t xml:space="preserve">in explanations </w:t>
      </w:r>
      <w:r w:rsidR="00D43745" w:rsidRPr="00025B9C">
        <w:rPr>
          <w:rFonts w:asciiTheme="minorHAnsi" w:hAnsiTheme="minorHAnsi" w:cstheme="minorHAnsi"/>
        </w:rPr>
        <w:t xml:space="preserve">compare </w:t>
      </w:r>
      <w:r w:rsidR="00881E01" w:rsidRPr="00025B9C">
        <w:rPr>
          <w:rFonts w:asciiTheme="minorHAnsi" w:hAnsiTheme="minorHAnsi" w:cstheme="minorHAnsi"/>
        </w:rPr>
        <w:t xml:space="preserve">over </w:t>
      </w:r>
      <w:r w:rsidR="00EE2C7C" w:rsidRPr="00025B9C">
        <w:rPr>
          <w:rFonts w:asciiTheme="minorHAnsi" w:hAnsiTheme="minorHAnsi" w:cstheme="minorHAnsi"/>
        </w:rPr>
        <w:t xml:space="preserve">two </w:t>
      </w:r>
      <w:r w:rsidR="00881E01" w:rsidRPr="00025B9C">
        <w:rPr>
          <w:rFonts w:asciiTheme="minorHAnsi" w:hAnsiTheme="minorHAnsi" w:cstheme="minorHAnsi"/>
        </w:rPr>
        <w:t>time</w:t>
      </w:r>
      <w:r w:rsidR="00EE2C7C" w:rsidRPr="00025B9C">
        <w:rPr>
          <w:rFonts w:asciiTheme="minorHAnsi" w:hAnsiTheme="minorHAnsi" w:cstheme="minorHAnsi"/>
        </w:rPr>
        <w:t xml:space="preserve"> periods</w:t>
      </w:r>
      <w:r w:rsidR="00FC06E9" w:rsidRPr="00025B9C">
        <w:rPr>
          <w:rFonts w:asciiTheme="minorHAnsi" w:hAnsiTheme="minorHAnsi" w:cstheme="minorHAnsi"/>
        </w:rPr>
        <w:t>?</w:t>
      </w:r>
      <w:r w:rsidR="00E7106B" w:rsidRPr="00025B9C">
        <w:rPr>
          <w:rFonts w:asciiTheme="minorHAnsi" w:hAnsiTheme="minorHAnsi" w:cstheme="minorHAnsi"/>
        </w:rPr>
        <w:t xml:space="preserve"> </w:t>
      </w:r>
      <w:r w:rsidR="00A81B28" w:rsidRPr="00025B9C">
        <w:rPr>
          <w:rFonts w:asciiTheme="minorHAnsi" w:hAnsiTheme="minorHAnsi" w:cstheme="minorHAnsi"/>
        </w:rPr>
        <w:t>(RQ 2)</w:t>
      </w:r>
      <w:r w:rsidR="00FC06E9" w:rsidRPr="00025B9C">
        <w:rPr>
          <w:rFonts w:asciiTheme="minorHAnsi" w:hAnsiTheme="minorHAnsi" w:cstheme="minorHAnsi"/>
        </w:rPr>
        <w:t>;</w:t>
      </w:r>
      <w:r w:rsidR="00A81B28" w:rsidRPr="00025B9C">
        <w:rPr>
          <w:rFonts w:asciiTheme="minorHAnsi" w:hAnsiTheme="minorHAnsi" w:cstheme="minorHAnsi"/>
        </w:rPr>
        <w:t xml:space="preserve"> </w:t>
      </w:r>
      <w:r w:rsidR="00E7106B" w:rsidRPr="00025B9C">
        <w:rPr>
          <w:rFonts w:asciiTheme="minorHAnsi" w:hAnsiTheme="minorHAnsi" w:cstheme="minorHAnsi"/>
        </w:rPr>
        <w:t>and</w:t>
      </w:r>
      <w:r w:rsidR="00730C51" w:rsidRPr="00025B9C">
        <w:rPr>
          <w:rFonts w:asciiTheme="minorHAnsi" w:hAnsiTheme="minorHAnsi" w:cstheme="minorHAnsi"/>
        </w:rPr>
        <w:t xml:space="preserve"> </w:t>
      </w:r>
      <w:proofErr w:type="gramStart"/>
      <w:r w:rsidR="00FC06E9" w:rsidRPr="00025B9C">
        <w:rPr>
          <w:rFonts w:asciiTheme="minorHAnsi" w:hAnsiTheme="minorHAnsi" w:cstheme="minorHAnsi"/>
        </w:rPr>
        <w:t>T</w:t>
      </w:r>
      <w:r w:rsidR="00D43745" w:rsidRPr="00025B9C">
        <w:rPr>
          <w:rFonts w:asciiTheme="minorHAnsi" w:hAnsiTheme="minorHAnsi" w:cstheme="minorHAnsi"/>
        </w:rPr>
        <w:t>o</w:t>
      </w:r>
      <w:proofErr w:type="gramEnd"/>
      <w:r w:rsidR="00D43745" w:rsidRPr="00025B9C">
        <w:rPr>
          <w:rFonts w:asciiTheme="minorHAnsi" w:hAnsiTheme="minorHAnsi" w:cstheme="minorHAnsi"/>
        </w:rPr>
        <w:t xml:space="preserve"> what </w:t>
      </w:r>
      <w:r w:rsidR="00881E01" w:rsidRPr="00025B9C">
        <w:rPr>
          <w:rFonts w:asciiTheme="minorHAnsi" w:hAnsiTheme="minorHAnsi" w:cstheme="minorHAnsi"/>
        </w:rPr>
        <w:t xml:space="preserve">extent </w:t>
      </w:r>
      <w:r w:rsidR="00D43745" w:rsidRPr="00025B9C">
        <w:rPr>
          <w:rFonts w:asciiTheme="minorHAnsi" w:hAnsiTheme="minorHAnsi" w:cstheme="minorHAnsi"/>
        </w:rPr>
        <w:t xml:space="preserve">are </w:t>
      </w:r>
      <w:r w:rsidR="00431735" w:rsidRPr="00025B9C">
        <w:rPr>
          <w:rFonts w:asciiTheme="minorHAnsi" w:hAnsiTheme="minorHAnsi" w:cstheme="minorHAnsi"/>
        </w:rPr>
        <w:t>rhetorical</w:t>
      </w:r>
      <w:r w:rsidR="00881E01" w:rsidRPr="00025B9C">
        <w:rPr>
          <w:rFonts w:asciiTheme="minorHAnsi" w:hAnsiTheme="minorHAnsi" w:cstheme="minorHAnsi"/>
        </w:rPr>
        <w:t xml:space="preserve"> strategies us</w:t>
      </w:r>
      <w:r w:rsidRPr="00025B9C">
        <w:rPr>
          <w:rFonts w:asciiTheme="minorHAnsi" w:hAnsiTheme="minorHAnsi" w:cstheme="minorHAnsi"/>
        </w:rPr>
        <w:t xml:space="preserve">ed </w:t>
      </w:r>
      <w:r w:rsidR="00D43745" w:rsidRPr="00025B9C">
        <w:rPr>
          <w:rFonts w:asciiTheme="minorHAnsi" w:hAnsiTheme="minorHAnsi" w:cstheme="minorHAnsi"/>
        </w:rPr>
        <w:t>in combination</w:t>
      </w:r>
      <w:r w:rsidR="00FC06E9" w:rsidRPr="00025B9C">
        <w:rPr>
          <w:rFonts w:asciiTheme="minorHAnsi" w:hAnsiTheme="minorHAnsi" w:cstheme="minorHAnsi"/>
        </w:rPr>
        <w:t>?</w:t>
      </w:r>
      <w:r w:rsidR="00D43745" w:rsidRPr="00025B9C">
        <w:rPr>
          <w:rFonts w:asciiTheme="minorHAnsi" w:hAnsiTheme="minorHAnsi" w:cstheme="minorHAnsi"/>
        </w:rPr>
        <w:t xml:space="preserve"> (RQ 3)</w:t>
      </w:r>
      <w:r w:rsidR="00FC06E9" w:rsidRPr="00025B9C">
        <w:rPr>
          <w:rFonts w:asciiTheme="minorHAnsi" w:hAnsiTheme="minorHAnsi" w:cstheme="minorHAnsi"/>
        </w:rPr>
        <w:t>.</w:t>
      </w:r>
      <w:r w:rsidR="001329AB" w:rsidRPr="00025B9C">
        <w:rPr>
          <w:rFonts w:asciiTheme="minorHAnsi" w:hAnsiTheme="minorHAnsi" w:cstheme="minorHAnsi"/>
        </w:rPr>
        <w:t xml:space="preserve"> </w:t>
      </w:r>
    </w:p>
    <w:p w:rsidR="00881E01" w:rsidRPr="00025B9C" w:rsidRDefault="00881E01" w:rsidP="00D665D9">
      <w:pPr>
        <w:spacing w:line="360" w:lineRule="auto"/>
        <w:jc w:val="both"/>
        <w:rPr>
          <w:rFonts w:asciiTheme="minorHAnsi" w:hAnsiTheme="minorHAnsi" w:cstheme="minorHAnsi"/>
        </w:rPr>
      </w:pPr>
    </w:p>
    <w:p w:rsidR="00D038D9" w:rsidRPr="00025B9C" w:rsidRDefault="00964328" w:rsidP="00D665D9">
      <w:pPr>
        <w:spacing w:line="360" w:lineRule="auto"/>
        <w:jc w:val="both"/>
        <w:rPr>
          <w:rFonts w:asciiTheme="minorHAnsi" w:hAnsiTheme="minorHAnsi" w:cstheme="minorHAnsi"/>
        </w:rPr>
      </w:pPr>
      <w:r w:rsidRPr="00025B9C">
        <w:rPr>
          <w:rFonts w:asciiTheme="minorHAnsi" w:hAnsiTheme="minorHAnsi" w:cstheme="minorHAnsi"/>
        </w:rPr>
        <w:t xml:space="preserve">The sample comprises two groups of FTSE 100 companies. </w:t>
      </w:r>
      <w:r w:rsidR="00564B35" w:rsidRPr="00025B9C">
        <w:rPr>
          <w:rFonts w:asciiTheme="minorHAnsi" w:hAnsiTheme="minorHAnsi" w:cstheme="minorHAnsi"/>
        </w:rPr>
        <w:t xml:space="preserve">The </w:t>
      </w:r>
      <w:r w:rsidRPr="00025B9C">
        <w:rPr>
          <w:rFonts w:asciiTheme="minorHAnsi" w:hAnsiTheme="minorHAnsi" w:cstheme="minorHAnsi"/>
        </w:rPr>
        <w:t>first group</w:t>
      </w:r>
      <w:r w:rsidR="00564B35" w:rsidRPr="00025B9C">
        <w:rPr>
          <w:rFonts w:asciiTheme="minorHAnsi" w:hAnsiTheme="minorHAnsi" w:cstheme="minorHAnsi"/>
        </w:rPr>
        <w:t xml:space="preserve"> </w:t>
      </w:r>
      <w:r w:rsidR="00064C89" w:rsidRPr="00025B9C">
        <w:rPr>
          <w:rFonts w:asciiTheme="minorHAnsi" w:hAnsiTheme="minorHAnsi" w:cstheme="minorHAnsi"/>
        </w:rPr>
        <w:t xml:space="preserve">is </w:t>
      </w:r>
      <w:r w:rsidR="00564B35" w:rsidRPr="00025B9C">
        <w:rPr>
          <w:rFonts w:asciiTheme="minorHAnsi" w:hAnsiTheme="minorHAnsi" w:cstheme="minorHAnsi"/>
        </w:rPr>
        <w:t xml:space="preserve">made up of FTSE </w:t>
      </w:r>
      <w:r w:rsidRPr="00025B9C">
        <w:rPr>
          <w:rFonts w:asciiTheme="minorHAnsi" w:hAnsiTheme="minorHAnsi" w:cstheme="minorHAnsi"/>
        </w:rPr>
        <w:t>100</w:t>
      </w:r>
      <w:r w:rsidR="00564B35" w:rsidRPr="00025B9C">
        <w:rPr>
          <w:rFonts w:asciiTheme="minorHAnsi" w:hAnsiTheme="minorHAnsi" w:cstheme="minorHAnsi"/>
        </w:rPr>
        <w:t xml:space="preserve"> companies whose annual reports relate to the first time compliance with the 2003 Code</w:t>
      </w:r>
      <w:r w:rsidR="00286D53" w:rsidRPr="00025B9C">
        <w:rPr>
          <w:rFonts w:asciiTheme="minorHAnsi" w:hAnsiTheme="minorHAnsi" w:cstheme="minorHAnsi"/>
        </w:rPr>
        <w:t xml:space="preserve"> (FRC, 2003)</w:t>
      </w:r>
      <w:r w:rsidR="00564B35" w:rsidRPr="00025B9C">
        <w:rPr>
          <w:rFonts w:asciiTheme="minorHAnsi" w:hAnsiTheme="minorHAnsi" w:cstheme="minorHAnsi"/>
        </w:rPr>
        <w:t xml:space="preserve"> (</w:t>
      </w:r>
      <w:r w:rsidR="00B10F62" w:rsidRPr="00025B9C">
        <w:rPr>
          <w:rFonts w:asciiTheme="minorHAnsi" w:hAnsiTheme="minorHAnsi" w:cstheme="minorHAnsi"/>
        </w:rPr>
        <w:t>typically,</w:t>
      </w:r>
      <w:r w:rsidR="00564B35" w:rsidRPr="00025B9C">
        <w:rPr>
          <w:rFonts w:asciiTheme="minorHAnsi" w:hAnsiTheme="minorHAnsi" w:cstheme="minorHAnsi"/>
        </w:rPr>
        <w:t xml:space="preserve"> year ends 2004 or 2005). </w:t>
      </w:r>
      <w:r w:rsidR="00924CED" w:rsidRPr="00025B9C">
        <w:rPr>
          <w:rFonts w:asciiTheme="minorHAnsi" w:hAnsiTheme="minorHAnsi" w:cstheme="minorHAnsi"/>
        </w:rPr>
        <w:t>T</w:t>
      </w:r>
      <w:r w:rsidR="00564B35" w:rsidRPr="00025B9C">
        <w:rPr>
          <w:rFonts w:asciiTheme="minorHAnsi" w:hAnsiTheme="minorHAnsi" w:cstheme="minorHAnsi"/>
        </w:rPr>
        <w:t xml:space="preserve">he year after the 2003 Code (which contained the most Code changes) was selected. </w:t>
      </w:r>
      <w:r w:rsidR="00725AAC" w:rsidRPr="00025B9C">
        <w:rPr>
          <w:rFonts w:asciiTheme="minorHAnsi" w:hAnsiTheme="minorHAnsi" w:cstheme="minorHAnsi"/>
        </w:rPr>
        <w:t xml:space="preserve">Although the Code has gone through other incarnations, the 2003 changes were most significant and thus it was felt they would provide a variety of explanations to </w:t>
      </w:r>
      <w:r w:rsidR="0073050C" w:rsidRPr="00025B9C">
        <w:rPr>
          <w:rFonts w:asciiTheme="minorHAnsi" w:hAnsiTheme="minorHAnsi" w:cstheme="minorHAnsi"/>
        </w:rPr>
        <w:t>apply</w:t>
      </w:r>
      <w:r w:rsidR="00725AAC" w:rsidRPr="00025B9C">
        <w:rPr>
          <w:rFonts w:asciiTheme="minorHAnsi" w:hAnsiTheme="minorHAnsi" w:cstheme="minorHAnsi"/>
        </w:rPr>
        <w:t xml:space="preserve"> the typology. </w:t>
      </w:r>
      <w:r w:rsidR="00301869" w:rsidRPr="00025B9C">
        <w:rPr>
          <w:rFonts w:asciiTheme="minorHAnsi" w:hAnsiTheme="minorHAnsi" w:cstheme="minorHAnsi"/>
        </w:rPr>
        <w:t>The second group relates</w:t>
      </w:r>
      <w:r w:rsidRPr="00025B9C">
        <w:rPr>
          <w:rFonts w:asciiTheme="minorHAnsi" w:hAnsiTheme="minorHAnsi" w:cstheme="minorHAnsi"/>
        </w:rPr>
        <w:t xml:space="preserve"> to </w:t>
      </w:r>
      <w:r w:rsidR="00924CED" w:rsidRPr="00025B9C">
        <w:rPr>
          <w:rFonts w:asciiTheme="minorHAnsi" w:hAnsiTheme="minorHAnsi" w:cstheme="minorHAnsi"/>
        </w:rPr>
        <w:t>FTSE 100 companies whose annual reports were published in</w:t>
      </w:r>
      <w:r w:rsidRPr="00025B9C">
        <w:rPr>
          <w:rFonts w:asciiTheme="minorHAnsi" w:hAnsiTheme="minorHAnsi" w:cstheme="minorHAnsi"/>
        </w:rPr>
        <w:t xml:space="preserve"> 201</w:t>
      </w:r>
      <w:r w:rsidR="00811459" w:rsidRPr="00025B9C">
        <w:rPr>
          <w:rFonts w:asciiTheme="minorHAnsi" w:hAnsiTheme="minorHAnsi" w:cstheme="minorHAnsi"/>
        </w:rPr>
        <w:t>1</w:t>
      </w:r>
      <w:r w:rsidR="00064C89" w:rsidRPr="00025B9C">
        <w:rPr>
          <w:rFonts w:asciiTheme="minorHAnsi" w:hAnsiTheme="minorHAnsi" w:cstheme="minorHAnsi"/>
        </w:rPr>
        <w:t xml:space="preserve"> or 20</w:t>
      </w:r>
      <w:r w:rsidR="00811459" w:rsidRPr="00025B9C">
        <w:rPr>
          <w:rFonts w:asciiTheme="minorHAnsi" w:hAnsiTheme="minorHAnsi" w:cstheme="minorHAnsi"/>
        </w:rPr>
        <w:t>12</w:t>
      </w:r>
      <w:r w:rsidRPr="00025B9C">
        <w:rPr>
          <w:rFonts w:asciiTheme="minorHAnsi" w:hAnsiTheme="minorHAnsi" w:cstheme="minorHAnsi"/>
        </w:rPr>
        <w:t xml:space="preserve"> and </w:t>
      </w:r>
      <w:r w:rsidR="00064C89" w:rsidRPr="00025B9C">
        <w:rPr>
          <w:rFonts w:asciiTheme="minorHAnsi" w:hAnsiTheme="minorHAnsi" w:cstheme="minorHAnsi"/>
        </w:rPr>
        <w:t>relates to</w:t>
      </w:r>
      <w:r w:rsidRPr="00025B9C">
        <w:rPr>
          <w:rFonts w:asciiTheme="minorHAnsi" w:hAnsiTheme="minorHAnsi" w:cstheme="minorHAnsi"/>
        </w:rPr>
        <w:t xml:space="preserve"> the 20</w:t>
      </w:r>
      <w:r w:rsidR="00811459" w:rsidRPr="00025B9C">
        <w:rPr>
          <w:rFonts w:asciiTheme="minorHAnsi" w:hAnsiTheme="minorHAnsi" w:cstheme="minorHAnsi"/>
        </w:rPr>
        <w:t>10</w:t>
      </w:r>
      <w:r w:rsidRPr="00025B9C">
        <w:rPr>
          <w:rFonts w:asciiTheme="minorHAnsi" w:hAnsiTheme="minorHAnsi" w:cstheme="minorHAnsi"/>
        </w:rPr>
        <w:t xml:space="preserve"> version</w:t>
      </w:r>
      <w:r w:rsidR="00DA6317" w:rsidRPr="00025B9C">
        <w:rPr>
          <w:rFonts w:asciiTheme="minorHAnsi" w:hAnsiTheme="minorHAnsi" w:cstheme="minorHAnsi"/>
        </w:rPr>
        <w:t xml:space="preserve"> of the</w:t>
      </w:r>
      <w:r w:rsidR="001B2D53" w:rsidRPr="00025B9C">
        <w:rPr>
          <w:rFonts w:asciiTheme="minorHAnsi" w:hAnsiTheme="minorHAnsi" w:cstheme="minorHAnsi"/>
        </w:rPr>
        <w:t xml:space="preserve"> </w:t>
      </w:r>
      <w:r w:rsidR="00DA6317" w:rsidRPr="00025B9C">
        <w:rPr>
          <w:rFonts w:asciiTheme="minorHAnsi" w:hAnsiTheme="minorHAnsi" w:cstheme="minorHAnsi"/>
        </w:rPr>
        <w:t>Code</w:t>
      </w:r>
      <w:r w:rsidR="00286D53" w:rsidRPr="00025B9C">
        <w:rPr>
          <w:rFonts w:asciiTheme="minorHAnsi" w:hAnsiTheme="minorHAnsi" w:cstheme="minorHAnsi"/>
        </w:rPr>
        <w:t xml:space="preserve"> (FRC, 2010)</w:t>
      </w:r>
      <w:r w:rsidR="005A6B5C" w:rsidRPr="00025B9C">
        <w:rPr>
          <w:rFonts w:asciiTheme="minorHAnsi" w:hAnsiTheme="minorHAnsi" w:cstheme="minorHAnsi"/>
        </w:rPr>
        <w:t xml:space="preserve">, which followed the 2008 global financial crisis and introduced </w:t>
      </w:r>
      <w:r w:rsidR="00EA2697" w:rsidRPr="00025B9C">
        <w:rPr>
          <w:rFonts w:asciiTheme="minorHAnsi" w:hAnsiTheme="minorHAnsi" w:cstheme="minorHAnsi"/>
        </w:rPr>
        <w:t>further</w:t>
      </w:r>
      <w:r w:rsidR="005A6B5C" w:rsidRPr="00025B9C">
        <w:rPr>
          <w:rFonts w:asciiTheme="minorHAnsi" w:hAnsiTheme="minorHAnsi" w:cstheme="minorHAnsi"/>
        </w:rPr>
        <w:t xml:space="preserve"> changes</w:t>
      </w:r>
      <w:r w:rsidRPr="00025B9C">
        <w:rPr>
          <w:rFonts w:asciiTheme="minorHAnsi" w:hAnsiTheme="minorHAnsi" w:cstheme="minorHAnsi"/>
        </w:rPr>
        <w:t>.</w:t>
      </w:r>
      <w:r w:rsidR="00AD19EA" w:rsidRPr="00025B9C">
        <w:rPr>
          <w:rStyle w:val="FootnoteReference"/>
          <w:rFonts w:asciiTheme="minorHAnsi" w:hAnsiTheme="minorHAnsi" w:cstheme="minorHAnsi"/>
        </w:rPr>
        <w:footnoteReference w:id="6"/>
      </w:r>
      <w:r w:rsidRPr="00025B9C">
        <w:rPr>
          <w:rFonts w:asciiTheme="minorHAnsi" w:hAnsiTheme="minorHAnsi" w:cstheme="minorHAnsi"/>
        </w:rPr>
        <w:t xml:space="preserve"> </w:t>
      </w:r>
    </w:p>
    <w:p w:rsidR="00D038D9" w:rsidRPr="00025B9C" w:rsidRDefault="00D038D9" w:rsidP="00D665D9">
      <w:pPr>
        <w:spacing w:line="360" w:lineRule="auto"/>
        <w:jc w:val="both"/>
        <w:rPr>
          <w:rFonts w:asciiTheme="minorHAnsi" w:hAnsiTheme="minorHAnsi" w:cstheme="minorHAnsi"/>
        </w:rPr>
      </w:pPr>
    </w:p>
    <w:p w:rsidR="00D038D9" w:rsidRPr="00025B9C" w:rsidRDefault="00964328" w:rsidP="00D665D9">
      <w:pPr>
        <w:spacing w:line="360" w:lineRule="auto"/>
        <w:jc w:val="both"/>
        <w:rPr>
          <w:rFonts w:asciiTheme="minorHAnsi" w:hAnsiTheme="minorHAnsi" w:cstheme="minorHAnsi"/>
        </w:rPr>
      </w:pPr>
      <w:r w:rsidRPr="00025B9C">
        <w:rPr>
          <w:rFonts w:asciiTheme="minorHAnsi" w:hAnsiTheme="minorHAnsi" w:cstheme="minorHAnsi"/>
        </w:rPr>
        <w:t>Where companies failed to comply with the Code</w:t>
      </w:r>
      <w:r w:rsidR="00373464" w:rsidRPr="00025B9C">
        <w:rPr>
          <w:rFonts w:asciiTheme="minorHAnsi" w:hAnsiTheme="minorHAnsi" w:cstheme="minorHAnsi"/>
        </w:rPr>
        <w:t>,</w:t>
      </w:r>
      <w:r w:rsidR="00811139" w:rsidRPr="00025B9C">
        <w:rPr>
          <w:rFonts w:asciiTheme="minorHAnsi" w:hAnsiTheme="minorHAnsi" w:cstheme="minorHAnsi"/>
        </w:rPr>
        <w:t xml:space="preserve"> explanations for non-compliance were </w:t>
      </w:r>
      <w:r w:rsidR="00564B35" w:rsidRPr="00025B9C">
        <w:rPr>
          <w:rFonts w:asciiTheme="minorHAnsi" w:hAnsiTheme="minorHAnsi" w:cstheme="minorHAnsi"/>
        </w:rPr>
        <w:t>extracted</w:t>
      </w:r>
      <w:r w:rsidR="00811139" w:rsidRPr="00025B9C">
        <w:rPr>
          <w:rFonts w:asciiTheme="minorHAnsi" w:hAnsiTheme="minorHAnsi" w:cstheme="minorHAnsi"/>
        </w:rPr>
        <w:t xml:space="preserve"> from </w:t>
      </w:r>
      <w:r w:rsidRPr="00025B9C">
        <w:rPr>
          <w:rFonts w:asciiTheme="minorHAnsi" w:hAnsiTheme="minorHAnsi" w:cstheme="minorHAnsi"/>
        </w:rPr>
        <w:t xml:space="preserve">their </w:t>
      </w:r>
      <w:r w:rsidR="00811139" w:rsidRPr="00025B9C">
        <w:rPr>
          <w:rFonts w:asciiTheme="minorHAnsi" w:hAnsiTheme="minorHAnsi" w:cstheme="minorHAnsi"/>
        </w:rPr>
        <w:t xml:space="preserve">annual reports. </w:t>
      </w:r>
      <w:r w:rsidR="00C35540" w:rsidRPr="00025B9C">
        <w:rPr>
          <w:rFonts w:asciiTheme="minorHAnsi" w:hAnsiTheme="minorHAnsi" w:cstheme="minorHAnsi"/>
        </w:rPr>
        <w:t>A</w:t>
      </w:r>
      <w:r w:rsidR="00B465D7" w:rsidRPr="00025B9C">
        <w:rPr>
          <w:rFonts w:asciiTheme="minorHAnsi" w:hAnsiTheme="minorHAnsi" w:cstheme="minorHAnsi"/>
        </w:rPr>
        <w:t>nnual reports were obtained from company websites</w:t>
      </w:r>
      <w:r w:rsidR="007B6C8A" w:rsidRPr="00025B9C">
        <w:rPr>
          <w:rFonts w:asciiTheme="minorHAnsi" w:hAnsiTheme="minorHAnsi" w:cstheme="minorHAnsi"/>
        </w:rPr>
        <w:t xml:space="preserve"> (preferred)</w:t>
      </w:r>
      <w:r w:rsidR="00DA6317" w:rsidRPr="00025B9C">
        <w:rPr>
          <w:rFonts w:asciiTheme="minorHAnsi" w:hAnsiTheme="minorHAnsi" w:cstheme="minorHAnsi"/>
        </w:rPr>
        <w:t>,</w:t>
      </w:r>
      <w:r w:rsidR="00B465D7" w:rsidRPr="00025B9C">
        <w:rPr>
          <w:rFonts w:asciiTheme="minorHAnsi" w:hAnsiTheme="minorHAnsi" w:cstheme="minorHAnsi"/>
        </w:rPr>
        <w:t xml:space="preserve"> from </w:t>
      </w:r>
      <w:r w:rsidR="00EA2697" w:rsidRPr="00025B9C">
        <w:rPr>
          <w:rFonts w:asciiTheme="minorHAnsi" w:hAnsiTheme="minorHAnsi" w:cstheme="minorHAnsi"/>
        </w:rPr>
        <w:t xml:space="preserve">third party </w:t>
      </w:r>
      <w:r w:rsidR="00FC06E9" w:rsidRPr="00025B9C">
        <w:rPr>
          <w:rFonts w:asciiTheme="minorHAnsi" w:hAnsiTheme="minorHAnsi" w:cstheme="minorHAnsi"/>
        </w:rPr>
        <w:t>websites</w:t>
      </w:r>
      <w:r w:rsidR="00B465D7" w:rsidRPr="00025B9C">
        <w:rPr>
          <w:rFonts w:asciiTheme="minorHAnsi" w:hAnsiTheme="minorHAnsi" w:cstheme="minorHAnsi"/>
        </w:rPr>
        <w:t xml:space="preserve"> </w:t>
      </w:r>
      <w:r w:rsidR="00DA6317" w:rsidRPr="00025B9C">
        <w:rPr>
          <w:rFonts w:asciiTheme="minorHAnsi" w:hAnsiTheme="minorHAnsi" w:cstheme="minorHAnsi"/>
        </w:rPr>
        <w:t>or</w:t>
      </w:r>
      <w:r w:rsidR="00FC06E9" w:rsidRPr="00025B9C">
        <w:rPr>
          <w:rFonts w:asciiTheme="minorHAnsi" w:hAnsiTheme="minorHAnsi" w:cstheme="minorHAnsi"/>
        </w:rPr>
        <w:t>,</w:t>
      </w:r>
      <w:r w:rsidR="00DA6317" w:rsidRPr="00025B9C">
        <w:rPr>
          <w:rFonts w:asciiTheme="minorHAnsi" w:hAnsiTheme="minorHAnsi" w:cstheme="minorHAnsi"/>
        </w:rPr>
        <w:t xml:space="preserve"> as a last resort</w:t>
      </w:r>
      <w:r w:rsidR="00FC06E9" w:rsidRPr="00025B9C">
        <w:rPr>
          <w:rFonts w:asciiTheme="minorHAnsi" w:hAnsiTheme="minorHAnsi" w:cstheme="minorHAnsi"/>
        </w:rPr>
        <w:t>,</w:t>
      </w:r>
      <w:r w:rsidR="00DA6317" w:rsidRPr="00025B9C">
        <w:rPr>
          <w:rFonts w:asciiTheme="minorHAnsi" w:hAnsiTheme="minorHAnsi" w:cstheme="minorHAnsi"/>
        </w:rPr>
        <w:t xml:space="preserve"> </w:t>
      </w:r>
      <w:r w:rsidR="00B465D7" w:rsidRPr="00025B9C">
        <w:rPr>
          <w:rFonts w:asciiTheme="minorHAnsi" w:hAnsiTheme="minorHAnsi" w:cstheme="minorHAnsi"/>
        </w:rPr>
        <w:t>hard copies were obtained from the company</w:t>
      </w:r>
      <w:r w:rsidR="007B6C8A" w:rsidRPr="00025B9C">
        <w:rPr>
          <w:rFonts w:asciiTheme="minorHAnsi" w:hAnsiTheme="minorHAnsi" w:cstheme="minorHAnsi"/>
        </w:rPr>
        <w:t>, libraries</w:t>
      </w:r>
      <w:r w:rsidR="00B465D7" w:rsidRPr="00025B9C">
        <w:rPr>
          <w:rFonts w:asciiTheme="minorHAnsi" w:hAnsiTheme="minorHAnsi" w:cstheme="minorHAnsi"/>
        </w:rPr>
        <w:t xml:space="preserve"> or other sources. </w:t>
      </w:r>
      <w:r w:rsidR="007B6C8A" w:rsidRPr="00025B9C">
        <w:rPr>
          <w:rFonts w:asciiTheme="minorHAnsi" w:hAnsiTheme="minorHAnsi" w:cstheme="minorHAnsi"/>
        </w:rPr>
        <w:t>All</w:t>
      </w:r>
      <w:r w:rsidR="00F03B9B" w:rsidRPr="00025B9C">
        <w:rPr>
          <w:rFonts w:asciiTheme="minorHAnsi" w:hAnsiTheme="minorHAnsi" w:cstheme="minorHAnsi"/>
        </w:rPr>
        <w:t xml:space="preserve"> companies that claimed compliance </w:t>
      </w:r>
      <w:r w:rsidR="00B465D7" w:rsidRPr="00025B9C">
        <w:rPr>
          <w:rFonts w:asciiTheme="minorHAnsi" w:hAnsiTheme="minorHAnsi" w:cstheme="minorHAnsi"/>
        </w:rPr>
        <w:t xml:space="preserve">with the Code </w:t>
      </w:r>
      <w:r w:rsidR="00F03B9B" w:rsidRPr="00025B9C">
        <w:rPr>
          <w:rFonts w:asciiTheme="minorHAnsi" w:hAnsiTheme="minorHAnsi" w:cstheme="minorHAnsi"/>
        </w:rPr>
        <w:t>were excluded</w:t>
      </w:r>
      <w:r w:rsidR="00C35540" w:rsidRPr="00025B9C">
        <w:rPr>
          <w:rFonts w:asciiTheme="minorHAnsi" w:hAnsiTheme="minorHAnsi" w:cstheme="minorHAnsi"/>
        </w:rPr>
        <w:t xml:space="preserve"> from the sample</w:t>
      </w:r>
      <w:r w:rsidR="001351F5" w:rsidRPr="00025B9C">
        <w:rPr>
          <w:rFonts w:asciiTheme="minorHAnsi" w:hAnsiTheme="minorHAnsi" w:cstheme="minorHAnsi"/>
        </w:rPr>
        <w:t>.</w:t>
      </w:r>
      <w:r w:rsidR="007C09E9" w:rsidRPr="00025B9C">
        <w:rPr>
          <w:rStyle w:val="FootnoteReference"/>
          <w:rFonts w:asciiTheme="minorHAnsi" w:hAnsiTheme="minorHAnsi" w:cstheme="minorHAnsi"/>
        </w:rPr>
        <w:footnoteReference w:id="7"/>
      </w:r>
      <w:r w:rsidR="00006D61" w:rsidRPr="00025B9C">
        <w:rPr>
          <w:rFonts w:asciiTheme="minorHAnsi" w:hAnsiTheme="minorHAnsi" w:cstheme="minorHAnsi"/>
        </w:rPr>
        <w:t xml:space="preserve"> </w:t>
      </w:r>
      <w:r w:rsidR="00D73095" w:rsidRPr="00025B9C">
        <w:rPr>
          <w:rFonts w:asciiTheme="minorHAnsi" w:hAnsiTheme="minorHAnsi" w:cstheme="minorHAnsi"/>
        </w:rPr>
        <w:t>We excluded i</w:t>
      </w:r>
      <w:r w:rsidR="00F03B9B" w:rsidRPr="00025B9C">
        <w:rPr>
          <w:rFonts w:asciiTheme="minorHAnsi" w:hAnsiTheme="minorHAnsi" w:cstheme="minorHAnsi"/>
        </w:rPr>
        <w:t xml:space="preserve">nvestment trusts </w:t>
      </w:r>
      <w:r w:rsidR="00406F86" w:rsidRPr="00025B9C">
        <w:rPr>
          <w:rFonts w:asciiTheme="minorHAnsi" w:hAnsiTheme="minorHAnsi" w:cstheme="minorHAnsi"/>
        </w:rPr>
        <w:t xml:space="preserve">(consistent with </w:t>
      </w:r>
      <w:proofErr w:type="spellStart"/>
      <w:r w:rsidR="00406F86" w:rsidRPr="00025B9C">
        <w:rPr>
          <w:rFonts w:asciiTheme="minorHAnsi" w:hAnsiTheme="minorHAnsi" w:cstheme="minorHAnsi"/>
        </w:rPr>
        <w:t>MacNeil</w:t>
      </w:r>
      <w:proofErr w:type="spellEnd"/>
      <w:r w:rsidR="007810F4" w:rsidRPr="00025B9C">
        <w:rPr>
          <w:rFonts w:asciiTheme="minorHAnsi" w:hAnsiTheme="minorHAnsi" w:cstheme="minorHAnsi"/>
        </w:rPr>
        <w:t xml:space="preserve"> and Li, 2006) </w:t>
      </w:r>
      <w:r w:rsidR="005B54A9" w:rsidRPr="00025B9C">
        <w:rPr>
          <w:rFonts w:asciiTheme="minorHAnsi" w:hAnsiTheme="minorHAnsi" w:cstheme="minorHAnsi"/>
        </w:rPr>
        <w:t>due to</w:t>
      </w:r>
      <w:r w:rsidR="00DA6317" w:rsidRPr="00025B9C">
        <w:rPr>
          <w:rFonts w:asciiTheme="minorHAnsi" w:hAnsiTheme="minorHAnsi" w:cstheme="minorHAnsi"/>
        </w:rPr>
        <w:t xml:space="preserve"> their</w:t>
      </w:r>
      <w:r w:rsidR="001B2D53" w:rsidRPr="00025B9C">
        <w:rPr>
          <w:rFonts w:asciiTheme="minorHAnsi" w:hAnsiTheme="minorHAnsi" w:cstheme="minorHAnsi"/>
        </w:rPr>
        <w:t xml:space="preserve"> </w:t>
      </w:r>
      <w:r w:rsidR="00D73095" w:rsidRPr="00025B9C">
        <w:rPr>
          <w:rFonts w:asciiTheme="minorHAnsi" w:hAnsiTheme="minorHAnsi" w:cstheme="minorHAnsi"/>
        </w:rPr>
        <w:t>specialist</w:t>
      </w:r>
      <w:r w:rsidR="00924CED" w:rsidRPr="00025B9C">
        <w:rPr>
          <w:rFonts w:asciiTheme="minorHAnsi" w:hAnsiTheme="minorHAnsi" w:cstheme="minorHAnsi"/>
        </w:rPr>
        <w:t xml:space="preserve"> </w:t>
      </w:r>
      <w:r w:rsidR="00DA6317" w:rsidRPr="00025B9C">
        <w:rPr>
          <w:rFonts w:asciiTheme="minorHAnsi" w:hAnsiTheme="minorHAnsi" w:cstheme="minorHAnsi"/>
        </w:rPr>
        <w:t>nature</w:t>
      </w:r>
      <w:r w:rsidR="00263AE2" w:rsidRPr="00025B9C">
        <w:rPr>
          <w:rFonts w:asciiTheme="minorHAnsi" w:hAnsiTheme="minorHAnsi" w:cstheme="minorHAnsi"/>
        </w:rPr>
        <w:t xml:space="preserve"> and because they are permitted to follow alternative codes, such as the Association of Investment Companies’ Code (The Association of Investment Companies, 2016)</w:t>
      </w:r>
      <w:r w:rsidR="00F03B9B" w:rsidRPr="00025B9C">
        <w:rPr>
          <w:rFonts w:asciiTheme="minorHAnsi" w:hAnsiTheme="minorHAnsi" w:cstheme="minorHAnsi"/>
        </w:rPr>
        <w:t>.</w:t>
      </w:r>
      <w:r w:rsidR="00256827" w:rsidRPr="00025B9C">
        <w:rPr>
          <w:rFonts w:asciiTheme="minorHAnsi" w:hAnsiTheme="minorHAnsi" w:cstheme="minorHAnsi"/>
        </w:rPr>
        <w:t xml:space="preserve"> </w:t>
      </w:r>
    </w:p>
    <w:p w:rsidR="001B3CB5" w:rsidRPr="00025B9C" w:rsidRDefault="001B3CB5" w:rsidP="00D665D9">
      <w:pPr>
        <w:spacing w:line="360" w:lineRule="auto"/>
        <w:jc w:val="both"/>
        <w:rPr>
          <w:rFonts w:asciiTheme="minorHAnsi" w:hAnsiTheme="minorHAnsi" w:cstheme="minorHAnsi"/>
        </w:rPr>
      </w:pPr>
    </w:p>
    <w:p w:rsidR="00B4672A" w:rsidRPr="00025B9C" w:rsidRDefault="00A272ED" w:rsidP="00D665D9">
      <w:pPr>
        <w:spacing w:line="360" w:lineRule="auto"/>
        <w:jc w:val="both"/>
        <w:rPr>
          <w:rFonts w:asciiTheme="minorHAnsi" w:hAnsiTheme="minorHAnsi" w:cstheme="minorHAnsi"/>
        </w:rPr>
      </w:pPr>
      <w:r w:rsidRPr="00025B9C">
        <w:rPr>
          <w:rFonts w:asciiTheme="minorHAnsi" w:hAnsiTheme="minorHAnsi" w:cstheme="minorHAnsi"/>
        </w:rPr>
        <w:t xml:space="preserve">The </w:t>
      </w:r>
      <w:r w:rsidR="00912C9F" w:rsidRPr="00025B9C">
        <w:rPr>
          <w:rFonts w:asciiTheme="minorHAnsi" w:hAnsiTheme="minorHAnsi" w:cstheme="minorHAnsi"/>
        </w:rPr>
        <w:t xml:space="preserve">final </w:t>
      </w:r>
      <w:r w:rsidR="00256827" w:rsidRPr="00025B9C">
        <w:rPr>
          <w:rFonts w:asciiTheme="minorHAnsi" w:hAnsiTheme="minorHAnsi" w:cstheme="minorHAnsi"/>
        </w:rPr>
        <w:t>sam</w:t>
      </w:r>
      <w:r w:rsidR="00C35540" w:rsidRPr="00025B9C">
        <w:rPr>
          <w:rFonts w:asciiTheme="minorHAnsi" w:hAnsiTheme="minorHAnsi" w:cstheme="minorHAnsi"/>
        </w:rPr>
        <w:t xml:space="preserve">ple </w:t>
      </w:r>
      <w:r w:rsidR="00912C9F" w:rsidRPr="00025B9C">
        <w:rPr>
          <w:rFonts w:asciiTheme="minorHAnsi" w:hAnsiTheme="minorHAnsi" w:cstheme="minorHAnsi"/>
        </w:rPr>
        <w:t>(</w:t>
      </w:r>
      <w:r w:rsidR="00DA6317" w:rsidRPr="00025B9C">
        <w:rPr>
          <w:rFonts w:asciiTheme="minorHAnsi" w:hAnsiTheme="minorHAnsi" w:cstheme="minorHAnsi"/>
        </w:rPr>
        <w:t>2004/</w:t>
      </w:r>
      <w:r w:rsidR="00DA2B3F" w:rsidRPr="00025B9C">
        <w:rPr>
          <w:rFonts w:asciiTheme="minorHAnsi" w:hAnsiTheme="minorHAnsi" w:cstheme="minorHAnsi"/>
        </w:rPr>
        <w:t>0</w:t>
      </w:r>
      <w:r w:rsidR="00DA6317" w:rsidRPr="00025B9C">
        <w:rPr>
          <w:rFonts w:asciiTheme="minorHAnsi" w:hAnsiTheme="minorHAnsi" w:cstheme="minorHAnsi"/>
        </w:rPr>
        <w:t>5</w:t>
      </w:r>
      <w:r w:rsidR="00912C9F" w:rsidRPr="00025B9C">
        <w:rPr>
          <w:rFonts w:asciiTheme="minorHAnsi" w:hAnsiTheme="minorHAnsi" w:cstheme="minorHAnsi"/>
        </w:rPr>
        <w:t xml:space="preserve"> with 2011/12 in brackets)</w:t>
      </w:r>
      <w:r w:rsidR="00DA6317" w:rsidRPr="00025B9C">
        <w:rPr>
          <w:rFonts w:asciiTheme="minorHAnsi" w:hAnsiTheme="minorHAnsi" w:cstheme="minorHAnsi"/>
        </w:rPr>
        <w:t xml:space="preserve"> comprised 63</w:t>
      </w:r>
      <w:r w:rsidR="00912C9F" w:rsidRPr="00025B9C">
        <w:rPr>
          <w:rFonts w:asciiTheme="minorHAnsi" w:hAnsiTheme="minorHAnsi" w:cstheme="minorHAnsi"/>
        </w:rPr>
        <w:t xml:space="preserve"> (4</w:t>
      </w:r>
      <w:r w:rsidR="0079640E" w:rsidRPr="00025B9C">
        <w:rPr>
          <w:rFonts w:asciiTheme="minorHAnsi" w:hAnsiTheme="minorHAnsi" w:cstheme="minorHAnsi"/>
        </w:rPr>
        <w:t>3</w:t>
      </w:r>
      <w:r w:rsidR="00912C9F" w:rsidRPr="00025B9C">
        <w:rPr>
          <w:rFonts w:asciiTheme="minorHAnsi" w:hAnsiTheme="minorHAnsi" w:cstheme="minorHAnsi"/>
        </w:rPr>
        <w:t>)</w:t>
      </w:r>
      <w:r w:rsidR="00256827" w:rsidRPr="00025B9C">
        <w:rPr>
          <w:rFonts w:asciiTheme="minorHAnsi" w:hAnsiTheme="minorHAnsi" w:cstheme="minorHAnsi"/>
        </w:rPr>
        <w:t xml:space="preserve"> </w:t>
      </w:r>
      <w:r w:rsidR="00BC6B36" w:rsidRPr="00025B9C">
        <w:rPr>
          <w:rFonts w:asciiTheme="minorHAnsi" w:hAnsiTheme="minorHAnsi" w:cstheme="minorHAnsi"/>
        </w:rPr>
        <w:t xml:space="preserve">non-compliant </w:t>
      </w:r>
      <w:r w:rsidR="00256827" w:rsidRPr="00025B9C">
        <w:rPr>
          <w:rFonts w:asciiTheme="minorHAnsi" w:hAnsiTheme="minorHAnsi" w:cstheme="minorHAnsi"/>
        </w:rPr>
        <w:t>companies</w:t>
      </w:r>
      <w:r w:rsidR="00912C9F" w:rsidRPr="00025B9C">
        <w:rPr>
          <w:rFonts w:asciiTheme="minorHAnsi" w:hAnsiTheme="minorHAnsi" w:cstheme="minorHAnsi"/>
        </w:rPr>
        <w:t xml:space="preserve"> covering</w:t>
      </w:r>
      <w:r w:rsidR="00DA6317" w:rsidRPr="00025B9C">
        <w:rPr>
          <w:rFonts w:asciiTheme="minorHAnsi" w:hAnsiTheme="minorHAnsi" w:cstheme="minorHAnsi"/>
        </w:rPr>
        <w:t xml:space="preserve"> 168</w:t>
      </w:r>
      <w:r w:rsidR="00912C9F" w:rsidRPr="00025B9C">
        <w:rPr>
          <w:rFonts w:asciiTheme="minorHAnsi" w:hAnsiTheme="minorHAnsi" w:cstheme="minorHAnsi"/>
        </w:rPr>
        <w:t xml:space="preserve"> (7</w:t>
      </w:r>
      <w:r w:rsidR="0079640E" w:rsidRPr="00025B9C">
        <w:rPr>
          <w:rFonts w:asciiTheme="minorHAnsi" w:hAnsiTheme="minorHAnsi" w:cstheme="minorHAnsi"/>
        </w:rPr>
        <w:t>7</w:t>
      </w:r>
      <w:r w:rsidR="00912C9F" w:rsidRPr="00025B9C">
        <w:rPr>
          <w:rFonts w:asciiTheme="minorHAnsi" w:hAnsiTheme="minorHAnsi" w:cstheme="minorHAnsi"/>
        </w:rPr>
        <w:t>)</w:t>
      </w:r>
      <w:r w:rsidR="00345417" w:rsidRPr="00025B9C">
        <w:rPr>
          <w:rFonts w:asciiTheme="minorHAnsi" w:hAnsiTheme="minorHAnsi" w:cstheme="minorHAnsi"/>
        </w:rPr>
        <w:t xml:space="preserve"> </w:t>
      </w:r>
      <w:r w:rsidR="00C35540" w:rsidRPr="00025B9C">
        <w:rPr>
          <w:rFonts w:asciiTheme="minorHAnsi" w:hAnsiTheme="minorHAnsi" w:cstheme="minorHAnsi"/>
        </w:rPr>
        <w:t xml:space="preserve">Code </w:t>
      </w:r>
      <w:r w:rsidR="00176C27" w:rsidRPr="00025B9C">
        <w:rPr>
          <w:rFonts w:asciiTheme="minorHAnsi" w:hAnsiTheme="minorHAnsi" w:cstheme="minorHAnsi"/>
        </w:rPr>
        <w:t>breaches</w:t>
      </w:r>
      <w:r w:rsidR="00551F83" w:rsidRPr="00025B9C">
        <w:rPr>
          <w:rFonts w:asciiTheme="minorHAnsi" w:hAnsiTheme="minorHAnsi" w:cstheme="minorHAnsi"/>
        </w:rPr>
        <w:t xml:space="preserve"> (</w:t>
      </w:r>
      <w:r w:rsidR="002F6BC8" w:rsidRPr="00025B9C">
        <w:rPr>
          <w:rFonts w:asciiTheme="minorHAnsi" w:hAnsiTheme="minorHAnsi" w:cstheme="minorHAnsi"/>
        </w:rPr>
        <w:t>s</w:t>
      </w:r>
      <w:r w:rsidR="00A23839" w:rsidRPr="00025B9C">
        <w:rPr>
          <w:rFonts w:asciiTheme="minorHAnsi" w:hAnsiTheme="minorHAnsi" w:cstheme="minorHAnsi"/>
        </w:rPr>
        <w:t>ee Table 3</w:t>
      </w:r>
      <w:r w:rsidR="000F5500" w:rsidRPr="00025B9C">
        <w:rPr>
          <w:rFonts w:asciiTheme="minorHAnsi" w:hAnsiTheme="minorHAnsi" w:cstheme="minorHAnsi"/>
        </w:rPr>
        <w:t>)</w:t>
      </w:r>
      <w:r w:rsidR="00DA6317" w:rsidRPr="00025B9C">
        <w:rPr>
          <w:rFonts w:asciiTheme="minorHAnsi" w:hAnsiTheme="minorHAnsi" w:cstheme="minorHAnsi"/>
        </w:rPr>
        <w:t xml:space="preserve">. </w:t>
      </w:r>
      <w:r w:rsidR="00912C9F" w:rsidRPr="00025B9C">
        <w:rPr>
          <w:rFonts w:asciiTheme="minorHAnsi" w:hAnsiTheme="minorHAnsi" w:cstheme="minorHAnsi"/>
        </w:rPr>
        <w:t xml:space="preserve">The average number of </w:t>
      </w:r>
      <w:r w:rsidR="009B2192" w:rsidRPr="00025B9C">
        <w:rPr>
          <w:rFonts w:asciiTheme="minorHAnsi" w:hAnsiTheme="minorHAnsi" w:cstheme="minorHAnsi"/>
        </w:rPr>
        <w:t xml:space="preserve">Code </w:t>
      </w:r>
      <w:r w:rsidR="00176C27" w:rsidRPr="00025B9C">
        <w:rPr>
          <w:rFonts w:asciiTheme="minorHAnsi" w:hAnsiTheme="minorHAnsi" w:cstheme="minorHAnsi"/>
        </w:rPr>
        <w:t>breaches</w:t>
      </w:r>
      <w:r w:rsidR="00912C9F" w:rsidRPr="00025B9C">
        <w:rPr>
          <w:rFonts w:asciiTheme="minorHAnsi" w:hAnsiTheme="minorHAnsi" w:cstheme="minorHAnsi"/>
        </w:rPr>
        <w:t xml:space="preserve"> per non-compliant company was 2.6</w:t>
      </w:r>
      <w:r w:rsidR="0079640E" w:rsidRPr="00025B9C">
        <w:rPr>
          <w:rFonts w:asciiTheme="minorHAnsi" w:hAnsiTheme="minorHAnsi" w:cstheme="minorHAnsi"/>
        </w:rPr>
        <w:t>7</w:t>
      </w:r>
      <w:r w:rsidR="00912C9F" w:rsidRPr="00025B9C">
        <w:rPr>
          <w:rFonts w:asciiTheme="minorHAnsi" w:hAnsiTheme="minorHAnsi" w:cstheme="minorHAnsi"/>
        </w:rPr>
        <w:t xml:space="preserve"> (1.</w:t>
      </w:r>
      <w:r w:rsidR="006D594A" w:rsidRPr="00025B9C">
        <w:rPr>
          <w:rFonts w:asciiTheme="minorHAnsi" w:hAnsiTheme="minorHAnsi" w:cstheme="minorHAnsi"/>
        </w:rPr>
        <w:t>79</w:t>
      </w:r>
      <w:r w:rsidR="00912C9F" w:rsidRPr="00025B9C">
        <w:rPr>
          <w:rFonts w:asciiTheme="minorHAnsi" w:hAnsiTheme="minorHAnsi" w:cstheme="minorHAnsi"/>
        </w:rPr>
        <w:t>).</w:t>
      </w:r>
      <w:r w:rsidR="0066713B" w:rsidRPr="00025B9C">
        <w:rPr>
          <w:rFonts w:asciiTheme="minorHAnsi" w:hAnsiTheme="minorHAnsi" w:cstheme="minorHAnsi"/>
        </w:rPr>
        <w:t xml:space="preserve"> </w:t>
      </w:r>
      <w:r w:rsidR="00912C9F" w:rsidRPr="00025B9C">
        <w:rPr>
          <w:rFonts w:asciiTheme="minorHAnsi" w:hAnsiTheme="minorHAnsi" w:cstheme="minorHAnsi"/>
        </w:rPr>
        <w:t>E</w:t>
      </w:r>
      <w:r w:rsidR="0066713B" w:rsidRPr="00025B9C">
        <w:rPr>
          <w:rFonts w:asciiTheme="minorHAnsi" w:hAnsiTheme="minorHAnsi" w:cstheme="minorHAnsi"/>
        </w:rPr>
        <w:t>xplanations were identified</w:t>
      </w:r>
      <w:r w:rsidR="001B2D53" w:rsidRPr="00025B9C">
        <w:rPr>
          <w:rFonts w:asciiTheme="minorHAnsi" w:hAnsiTheme="minorHAnsi" w:cstheme="minorHAnsi"/>
        </w:rPr>
        <w:t xml:space="preserve"> </w:t>
      </w:r>
      <w:r w:rsidR="0066713B" w:rsidRPr="00025B9C">
        <w:rPr>
          <w:rFonts w:asciiTheme="minorHAnsi" w:hAnsiTheme="minorHAnsi" w:cstheme="minorHAnsi"/>
        </w:rPr>
        <w:t xml:space="preserve">by searching </w:t>
      </w:r>
      <w:r w:rsidRPr="00025B9C">
        <w:rPr>
          <w:rFonts w:asciiTheme="minorHAnsi" w:hAnsiTheme="minorHAnsi" w:cstheme="minorHAnsi"/>
        </w:rPr>
        <w:t xml:space="preserve">(electronically) </w:t>
      </w:r>
      <w:r w:rsidR="0066713B" w:rsidRPr="00025B9C">
        <w:rPr>
          <w:rFonts w:asciiTheme="minorHAnsi" w:hAnsiTheme="minorHAnsi" w:cstheme="minorHAnsi"/>
        </w:rPr>
        <w:t xml:space="preserve">for the words </w:t>
      </w:r>
      <w:r w:rsidR="00F2485E" w:rsidRPr="00025B9C">
        <w:rPr>
          <w:rFonts w:asciiTheme="minorHAnsi" w:hAnsiTheme="minorHAnsi" w:cstheme="minorHAnsi"/>
        </w:rPr>
        <w:t>‘</w:t>
      </w:r>
      <w:r w:rsidR="0066713B" w:rsidRPr="00025B9C">
        <w:rPr>
          <w:rFonts w:asciiTheme="minorHAnsi" w:hAnsiTheme="minorHAnsi" w:cstheme="minorHAnsi"/>
        </w:rPr>
        <w:t>compliance</w:t>
      </w:r>
      <w:r w:rsidR="00F2485E" w:rsidRPr="00025B9C">
        <w:rPr>
          <w:rFonts w:asciiTheme="minorHAnsi" w:hAnsiTheme="minorHAnsi" w:cstheme="minorHAnsi"/>
        </w:rPr>
        <w:t>’</w:t>
      </w:r>
      <w:r w:rsidR="00EA2697" w:rsidRPr="00025B9C">
        <w:rPr>
          <w:rFonts w:asciiTheme="minorHAnsi" w:hAnsiTheme="minorHAnsi" w:cstheme="minorHAnsi"/>
        </w:rPr>
        <w:t>,</w:t>
      </w:r>
      <w:r w:rsidR="00F2485E" w:rsidRPr="00025B9C">
        <w:rPr>
          <w:rFonts w:asciiTheme="minorHAnsi" w:hAnsiTheme="minorHAnsi" w:cstheme="minorHAnsi"/>
        </w:rPr>
        <w:t xml:space="preserve"> ’</w:t>
      </w:r>
      <w:r w:rsidR="004B5AC3" w:rsidRPr="00025B9C">
        <w:rPr>
          <w:rFonts w:asciiTheme="minorHAnsi" w:hAnsiTheme="minorHAnsi" w:cstheme="minorHAnsi"/>
        </w:rPr>
        <w:t>Code</w:t>
      </w:r>
      <w:r w:rsidR="00F2485E" w:rsidRPr="00025B9C">
        <w:rPr>
          <w:rFonts w:asciiTheme="minorHAnsi" w:hAnsiTheme="minorHAnsi" w:cstheme="minorHAnsi"/>
        </w:rPr>
        <w:t>’</w:t>
      </w:r>
      <w:r w:rsidR="004B5AC3" w:rsidRPr="00025B9C">
        <w:rPr>
          <w:rFonts w:asciiTheme="minorHAnsi" w:hAnsiTheme="minorHAnsi" w:cstheme="minorHAnsi"/>
        </w:rPr>
        <w:t xml:space="preserve"> or </w:t>
      </w:r>
      <w:r w:rsidR="00F2485E" w:rsidRPr="00025B9C">
        <w:rPr>
          <w:rFonts w:asciiTheme="minorHAnsi" w:hAnsiTheme="minorHAnsi" w:cstheme="minorHAnsi"/>
        </w:rPr>
        <w:t>‘</w:t>
      </w:r>
      <w:r w:rsidR="004B5AC3" w:rsidRPr="00025B9C">
        <w:rPr>
          <w:rFonts w:asciiTheme="minorHAnsi" w:hAnsiTheme="minorHAnsi" w:cstheme="minorHAnsi"/>
        </w:rPr>
        <w:t>corporate governance</w:t>
      </w:r>
      <w:r w:rsidR="00F2485E" w:rsidRPr="00025B9C">
        <w:rPr>
          <w:rFonts w:asciiTheme="minorHAnsi" w:hAnsiTheme="minorHAnsi" w:cstheme="minorHAnsi"/>
        </w:rPr>
        <w:t>’</w:t>
      </w:r>
      <w:r w:rsidR="004B5AC3" w:rsidRPr="00025B9C">
        <w:rPr>
          <w:rFonts w:asciiTheme="minorHAnsi" w:hAnsiTheme="minorHAnsi" w:cstheme="minorHAnsi"/>
        </w:rPr>
        <w:t xml:space="preserve"> </w:t>
      </w:r>
      <w:r w:rsidR="0066713B" w:rsidRPr="00025B9C">
        <w:rPr>
          <w:rFonts w:asciiTheme="minorHAnsi" w:hAnsiTheme="minorHAnsi" w:cstheme="minorHAnsi"/>
        </w:rPr>
        <w:t>within annual report</w:t>
      </w:r>
      <w:r w:rsidR="00345417" w:rsidRPr="00025B9C">
        <w:rPr>
          <w:rFonts w:asciiTheme="minorHAnsi" w:hAnsiTheme="minorHAnsi" w:cstheme="minorHAnsi"/>
        </w:rPr>
        <w:t>s</w:t>
      </w:r>
      <w:r w:rsidR="0066713B" w:rsidRPr="00025B9C">
        <w:rPr>
          <w:rFonts w:asciiTheme="minorHAnsi" w:hAnsiTheme="minorHAnsi" w:cstheme="minorHAnsi"/>
        </w:rPr>
        <w:t xml:space="preserve"> until the relevant section was found and then repeatedly until the researcher was sure all relevant items were located. Occasionally, explanations were </w:t>
      </w:r>
      <w:r w:rsidR="00924CED" w:rsidRPr="00025B9C">
        <w:rPr>
          <w:rFonts w:asciiTheme="minorHAnsi" w:hAnsiTheme="minorHAnsi" w:cstheme="minorHAnsi"/>
        </w:rPr>
        <w:t xml:space="preserve">located </w:t>
      </w:r>
      <w:r w:rsidR="0066713B" w:rsidRPr="00025B9C">
        <w:rPr>
          <w:rFonts w:asciiTheme="minorHAnsi" w:hAnsiTheme="minorHAnsi" w:cstheme="minorHAnsi"/>
        </w:rPr>
        <w:t xml:space="preserve">in different places to </w:t>
      </w:r>
      <w:r w:rsidR="00176C27" w:rsidRPr="00025B9C">
        <w:rPr>
          <w:rFonts w:asciiTheme="minorHAnsi" w:hAnsiTheme="minorHAnsi" w:cstheme="minorHAnsi"/>
        </w:rPr>
        <w:t>breaches</w:t>
      </w:r>
      <w:r w:rsidR="0066713B" w:rsidRPr="00025B9C">
        <w:rPr>
          <w:rFonts w:asciiTheme="minorHAnsi" w:hAnsiTheme="minorHAnsi" w:cstheme="minorHAnsi"/>
        </w:rPr>
        <w:t xml:space="preserve"> so repeated searching helped identif</w:t>
      </w:r>
      <w:r w:rsidR="00CE1FBF" w:rsidRPr="00025B9C">
        <w:rPr>
          <w:rFonts w:asciiTheme="minorHAnsi" w:hAnsiTheme="minorHAnsi" w:cstheme="minorHAnsi"/>
        </w:rPr>
        <w:t>y</w:t>
      </w:r>
      <w:r w:rsidR="0066713B" w:rsidRPr="00025B9C">
        <w:rPr>
          <w:rFonts w:asciiTheme="minorHAnsi" w:hAnsiTheme="minorHAnsi" w:cstheme="minorHAnsi"/>
        </w:rPr>
        <w:t xml:space="preserve"> them. </w:t>
      </w:r>
      <w:r w:rsidR="002102A8" w:rsidRPr="00025B9C">
        <w:rPr>
          <w:rFonts w:asciiTheme="minorHAnsi" w:hAnsiTheme="minorHAnsi" w:cstheme="minorHAnsi"/>
        </w:rPr>
        <w:t xml:space="preserve">A total of 217 (146 </w:t>
      </w:r>
      <w:r w:rsidR="009B2192" w:rsidRPr="00025B9C">
        <w:rPr>
          <w:rFonts w:asciiTheme="minorHAnsi" w:hAnsiTheme="minorHAnsi" w:cstheme="minorHAnsi"/>
        </w:rPr>
        <w:t xml:space="preserve">in </w:t>
      </w:r>
      <w:r w:rsidR="002102A8" w:rsidRPr="00025B9C">
        <w:rPr>
          <w:rFonts w:asciiTheme="minorHAnsi" w:hAnsiTheme="minorHAnsi" w:cstheme="minorHAnsi"/>
        </w:rPr>
        <w:t xml:space="preserve">2004/05 and 71 </w:t>
      </w:r>
      <w:r w:rsidR="009B2192" w:rsidRPr="00025B9C">
        <w:rPr>
          <w:rFonts w:asciiTheme="minorHAnsi" w:hAnsiTheme="minorHAnsi" w:cstheme="minorHAnsi"/>
        </w:rPr>
        <w:t xml:space="preserve">in </w:t>
      </w:r>
      <w:r w:rsidR="002102A8" w:rsidRPr="00025B9C">
        <w:rPr>
          <w:rFonts w:asciiTheme="minorHAnsi" w:hAnsiTheme="minorHAnsi" w:cstheme="minorHAnsi"/>
        </w:rPr>
        <w:t>201</w:t>
      </w:r>
      <w:r w:rsidR="009B2192" w:rsidRPr="00025B9C">
        <w:rPr>
          <w:rFonts w:asciiTheme="minorHAnsi" w:hAnsiTheme="minorHAnsi" w:cstheme="minorHAnsi"/>
        </w:rPr>
        <w:t>1</w:t>
      </w:r>
      <w:r w:rsidR="002102A8" w:rsidRPr="00025B9C">
        <w:rPr>
          <w:rFonts w:asciiTheme="minorHAnsi" w:hAnsiTheme="minorHAnsi" w:cstheme="minorHAnsi"/>
        </w:rPr>
        <w:t>/1</w:t>
      </w:r>
      <w:r w:rsidR="009B2192" w:rsidRPr="00025B9C">
        <w:rPr>
          <w:rFonts w:asciiTheme="minorHAnsi" w:hAnsiTheme="minorHAnsi" w:cstheme="minorHAnsi"/>
        </w:rPr>
        <w:t>2</w:t>
      </w:r>
      <w:r w:rsidR="002102A8" w:rsidRPr="00025B9C">
        <w:rPr>
          <w:rFonts w:asciiTheme="minorHAnsi" w:hAnsiTheme="minorHAnsi" w:cstheme="minorHAnsi"/>
        </w:rPr>
        <w:t>) explana</w:t>
      </w:r>
      <w:r w:rsidR="00A23839" w:rsidRPr="00025B9C">
        <w:rPr>
          <w:rFonts w:asciiTheme="minorHAnsi" w:hAnsiTheme="minorHAnsi" w:cstheme="minorHAnsi"/>
        </w:rPr>
        <w:t>tions were obtained (see Table 3</w:t>
      </w:r>
      <w:r w:rsidR="002102A8" w:rsidRPr="00025B9C">
        <w:rPr>
          <w:rFonts w:asciiTheme="minorHAnsi" w:hAnsiTheme="minorHAnsi" w:cstheme="minorHAnsi"/>
        </w:rPr>
        <w:t>).</w:t>
      </w:r>
    </w:p>
    <w:p w:rsidR="00A272ED" w:rsidRPr="00025B9C" w:rsidRDefault="00A272ED" w:rsidP="00D665D9">
      <w:pPr>
        <w:spacing w:line="360" w:lineRule="auto"/>
        <w:jc w:val="both"/>
        <w:rPr>
          <w:rFonts w:asciiTheme="minorHAnsi" w:hAnsiTheme="minorHAnsi" w:cstheme="minorHAnsi"/>
        </w:rPr>
      </w:pPr>
    </w:p>
    <w:p w:rsidR="00FF720A" w:rsidRPr="00025B9C" w:rsidRDefault="00C6429F" w:rsidP="00D665D9">
      <w:pPr>
        <w:spacing w:line="360" w:lineRule="auto"/>
        <w:jc w:val="both"/>
        <w:rPr>
          <w:rFonts w:asciiTheme="minorHAnsi" w:hAnsiTheme="minorHAnsi" w:cstheme="minorHAnsi"/>
        </w:rPr>
      </w:pPr>
      <w:r w:rsidRPr="00025B9C">
        <w:rPr>
          <w:rFonts w:asciiTheme="minorHAnsi" w:hAnsiTheme="minorHAnsi" w:cstheme="minorHAnsi"/>
        </w:rPr>
        <w:t xml:space="preserve">This research focuses on the words in non-compliance statements. </w:t>
      </w:r>
      <w:r w:rsidR="00F2485E" w:rsidRPr="00025B9C">
        <w:rPr>
          <w:rFonts w:asciiTheme="minorHAnsi" w:hAnsiTheme="minorHAnsi" w:cstheme="minorHAnsi"/>
        </w:rPr>
        <w:t>‘</w:t>
      </w:r>
      <w:r w:rsidRPr="00025B9C">
        <w:rPr>
          <w:rFonts w:asciiTheme="minorHAnsi" w:hAnsiTheme="minorHAnsi" w:cstheme="minorHAnsi"/>
        </w:rPr>
        <w:t>Meaning-orientated</w:t>
      </w:r>
      <w:r w:rsidR="00F2485E" w:rsidRPr="00025B9C">
        <w:rPr>
          <w:rFonts w:asciiTheme="minorHAnsi" w:hAnsiTheme="minorHAnsi" w:cstheme="minorHAnsi"/>
        </w:rPr>
        <w:t>’</w:t>
      </w:r>
      <w:r w:rsidRPr="00025B9C">
        <w:rPr>
          <w:rFonts w:asciiTheme="minorHAnsi" w:hAnsiTheme="minorHAnsi" w:cstheme="minorHAnsi"/>
        </w:rPr>
        <w:t xml:space="preserve"> (Smith &amp; </w:t>
      </w:r>
      <w:proofErr w:type="spellStart"/>
      <w:r w:rsidRPr="00025B9C">
        <w:rPr>
          <w:rFonts w:asciiTheme="minorHAnsi" w:hAnsiTheme="minorHAnsi" w:cstheme="minorHAnsi"/>
        </w:rPr>
        <w:t>Taffler</w:t>
      </w:r>
      <w:proofErr w:type="spellEnd"/>
      <w:r w:rsidRPr="00025B9C">
        <w:rPr>
          <w:rFonts w:asciiTheme="minorHAnsi" w:hAnsiTheme="minorHAnsi" w:cstheme="minorHAnsi"/>
        </w:rPr>
        <w:t xml:space="preserve">, 2000) content analysis is applied </w:t>
      </w:r>
      <w:r w:rsidRPr="00025B9C">
        <w:rPr>
          <w:rFonts w:asciiTheme="minorHAnsi" w:hAnsiTheme="minorHAnsi" w:cstheme="minorHAnsi"/>
          <w:lang w:val="en-IE"/>
        </w:rPr>
        <w:t>whereby words and meaning are analysed by reference to their co-text (i.e., surrounding text).</w:t>
      </w:r>
      <w:r w:rsidRPr="00025B9C">
        <w:rPr>
          <w:rFonts w:asciiTheme="minorHAnsi" w:hAnsiTheme="minorHAnsi" w:cstheme="minorHAnsi"/>
        </w:rPr>
        <w:t xml:space="preserve"> Meaning-oriented content analysis is an accepted approach in the literat</w:t>
      </w:r>
      <w:r w:rsidR="0000049A" w:rsidRPr="00025B9C">
        <w:rPr>
          <w:rFonts w:asciiTheme="minorHAnsi" w:hAnsiTheme="minorHAnsi" w:cstheme="minorHAnsi"/>
        </w:rPr>
        <w:t>ur</w:t>
      </w:r>
      <w:r w:rsidRPr="00025B9C">
        <w:rPr>
          <w:rFonts w:asciiTheme="minorHAnsi" w:hAnsiTheme="minorHAnsi" w:cstheme="minorHAnsi"/>
        </w:rPr>
        <w:t xml:space="preserve">e for analysing rhetoric in corporate reports (e.g., </w:t>
      </w:r>
      <w:proofErr w:type="spellStart"/>
      <w:r w:rsidRPr="00025B9C">
        <w:rPr>
          <w:rFonts w:asciiTheme="minorHAnsi" w:hAnsiTheme="minorHAnsi" w:cstheme="minorHAnsi"/>
        </w:rPr>
        <w:t>Bujaki</w:t>
      </w:r>
      <w:proofErr w:type="spellEnd"/>
      <w:r w:rsidRPr="00025B9C">
        <w:rPr>
          <w:rFonts w:asciiTheme="minorHAnsi" w:hAnsiTheme="minorHAnsi" w:cstheme="minorHAnsi"/>
        </w:rPr>
        <w:t xml:space="preserve"> </w:t>
      </w:r>
      <w:r w:rsidR="002F6BC8" w:rsidRPr="00025B9C">
        <w:rPr>
          <w:rFonts w:asciiTheme="minorHAnsi" w:hAnsiTheme="minorHAnsi" w:cstheme="minorHAnsi"/>
        </w:rPr>
        <w:t>&amp;</w:t>
      </w:r>
      <w:r w:rsidRPr="00025B9C">
        <w:rPr>
          <w:rFonts w:asciiTheme="minorHAnsi" w:hAnsiTheme="minorHAnsi" w:cstheme="minorHAnsi"/>
        </w:rPr>
        <w:t xml:space="preserve"> </w:t>
      </w:r>
      <w:proofErr w:type="spellStart"/>
      <w:r w:rsidRPr="00025B9C">
        <w:rPr>
          <w:rFonts w:asciiTheme="minorHAnsi" w:hAnsiTheme="minorHAnsi" w:cstheme="minorHAnsi"/>
        </w:rPr>
        <w:t>McConomy</w:t>
      </w:r>
      <w:proofErr w:type="spellEnd"/>
      <w:r w:rsidRPr="00025B9C">
        <w:rPr>
          <w:rFonts w:asciiTheme="minorHAnsi" w:hAnsiTheme="minorHAnsi" w:cstheme="minorHAnsi"/>
        </w:rPr>
        <w:t xml:space="preserve">, 2012; </w:t>
      </w:r>
      <w:proofErr w:type="spellStart"/>
      <w:r w:rsidR="006D594A" w:rsidRPr="00025B9C">
        <w:rPr>
          <w:rFonts w:asciiTheme="minorHAnsi" w:hAnsiTheme="minorHAnsi" w:cstheme="minorHAnsi"/>
        </w:rPr>
        <w:t>Boiral</w:t>
      </w:r>
      <w:proofErr w:type="spellEnd"/>
      <w:r w:rsidR="006D594A" w:rsidRPr="00025B9C">
        <w:rPr>
          <w:rFonts w:asciiTheme="minorHAnsi" w:hAnsiTheme="minorHAnsi" w:cstheme="minorHAnsi"/>
        </w:rPr>
        <w:t xml:space="preserve">, 2013; </w:t>
      </w:r>
      <w:proofErr w:type="spellStart"/>
      <w:r w:rsidR="00BE0A0C" w:rsidRPr="00025B9C">
        <w:rPr>
          <w:rFonts w:asciiTheme="minorHAnsi" w:hAnsiTheme="minorHAnsi" w:cstheme="minorHAnsi"/>
        </w:rPr>
        <w:t>Kam</w:t>
      </w:r>
      <w:r w:rsidRPr="00025B9C">
        <w:rPr>
          <w:rFonts w:asciiTheme="minorHAnsi" w:hAnsiTheme="minorHAnsi" w:cstheme="minorHAnsi"/>
        </w:rPr>
        <w:t>la</w:t>
      </w:r>
      <w:proofErr w:type="spellEnd"/>
      <w:r w:rsidRPr="00025B9C">
        <w:rPr>
          <w:rFonts w:asciiTheme="minorHAnsi" w:hAnsiTheme="minorHAnsi" w:cstheme="minorHAnsi"/>
        </w:rPr>
        <w:t xml:space="preserve"> </w:t>
      </w:r>
      <w:r w:rsidR="005F48C8" w:rsidRPr="00025B9C">
        <w:rPr>
          <w:rFonts w:asciiTheme="minorHAnsi" w:hAnsiTheme="minorHAnsi" w:cstheme="minorHAnsi"/>
        </w:rPr>
        <w:t>&amp;</w:t>
      </w:r>
      <w:r w:rsidRPr="00025B9C">
        <w:rPr>
          <w:rFonts w:asciiTheme="minorHAnsi" w:hAnsiTheme="minorHAnsi" w:cstheme="minorHAnsi"/>
        </w:rPr>
        <w:t xml:space="preserve"> </w:t>
      </w:r>
      <w:proofErr w:type="spellStart"/>
      <w:r w:rsidRPr="00025B9C">
        <w:rPr>
          <w:rFonts w:asciiTheme="minorHAnsi" w:hAnsiTheme="minorHAnsi" w:cstheme="minorHAnsi"/>
        </w:rPr>
        <w:t>Rammal</w:t>
      </w:r>
      <w:proofErr w:type="spellEnd"/>
      <w:r w:rsidRPr="00025B9C">
        <w:rPr>
          <w:rFonts w:asciiTheme="minorHAnsi" w:hAnsiTheme="minorHAnsi" w:cstheme="minorHAnsi"/>
        </w:rPr>
        <w:t>, 201</w:t>
      </w:r>
      <w:r w:rsidR="0000049A" w:rsidRPr="00025B9C">
        <w:rPr>
          <w:rFonts w:asciiTheme="minorHAnsi" w:hAnsiTheme="minorHAnsi" w:cstheme="minorHAnsi"/>
        </w:rPr>
        <w:t>3</w:t>
      </w:r>
      <w:r w:rsidRPr="00025B9C">
        <w:rPr>
          <w:rFonts w:asciiTheme="minorHAnsi" w:hAnsiTheme="minorHAnsi" w:cstheme="minorHAnsi"/>
        </w:rPr>
        <w:t xml:space="preserve">). In analysing rhetoric, the surrounding text needs to be carefully read and interpreted. </w:t>
      </w:r>
      <w:r w:rsidR="00FF720A" w:rsidRPr="00025B9C">
        <w:rPr>
          <w:rFonts w:asciiTheme="minorHAnsi" w:hAnsiTheme="minorHAnsi" w:cstheme="minorHAnsi"/>
        </w:rPr>
        <w:t>Once explanations were extracted from the annual reports, a detailed process of coding, re-coding and then second coding was undertaken. The coding categories were based on the nine rhetorical strategies in our typology (see Figure 1</w:t>
      </w:r>
      <w:r w:rsidR="00BD0B1B" w:rsidRPr="00025B9C">
        <w:rPr>
          <w:rFonts w:asciiTheme="minorHAnsi" w:hAnsiTheme="minorHAnsi" w:cstheme="minorHAnsi"/>
        </w:rPr>
        <w:t>). A coding sheet was developed</w:t>
      </w:r>
      <w:r w:rsidR="00FF720A" w:rsidRPr="00025B9C">
        <w:rPr>
          <w:rFonts w:asciiTheme="minorHAnsi" w:hAnsiTheme="minorHAnsi" w:cstheme="minorHAnsi"/>
        </w:rPr>
        <w:t>.</w:t>
      </w:r>
      <w:r w:rsidR="00BD0B1B" w:rsidRPr="00025B9C">
        <w:rPr>
          <w:rStyle w:val="FootnoteReference"/>
          <w:rFonts w:asciiTheme="minorHAnsi" w:hAnsiTheme="minorHAnsi" w:cstheme="minorHAnsi"/>
        </w:rPr>
        <w:footnoteReference w:id="8"/>
      </w:r>
      <w:r w:rsidR="00FF720A" w:rsidRPr="00025B9C">
        <w:rPr>
          <w:rFonts w:asciiTheme="minorHAnsi" w:hAnsiTheme="minorHAnsi" w:cstheme="minorHAnsi"/>
        </w:rPr>
        <w:t xml:space="preserve"> Coding was recorded using keywords to guide the coding as </w:t>
      </w:r>
      <w:r w:rsidR="00D171C5" w:rsidRPr="00025B9C">
        <w:rPr>
          <w:rFonts w:asciiTheme="minorHAnsi" w:hAnsiTheme="minorHAnsi" w:cstheme="minorHAnsi"/>
        </w:rPr>
        <w:t>shown</w:t>
      </w:r>
      <w:r w:rsidR="00FF720A" w:rsidRPr="00025B9C">
        <w:rPr>
          <w:rFonts w:asciiTheme="minorHAnsi" w:hAnsiTheme="minorHAnsi" w:cstheme="minorHAnsi"/>
        </w:rPr>
        <w:t xml:space="preserve"> in Illustration 1. Coding is an iterative process involving a </w:t>
      </w:r>
      <w:r w:rsidR="00F2485E" w:rsidRPr="00025B9C">
        <w:rPr>
          <w:rFonts w:asciiTheme="minorHAnsi" w:hAnsiTheme="minorHAnsi" w:cstheme="minorHAnsi"/>
        </w:rPr>
        <w:t>‘</w:t>
      </w:r>
      <w:r w:rsidR="00FF720A" w:rsidRPr="00025B9C">
        <w:rPr>
          <w:rFonts w:asciiTheme="minorHAnsi" w:hAnsiTheme="minorHAnsi" w:cstheme="minorHAnsi"/>
        </w:rPr>
        <w:t>to-ing and fro-ing</w:t>
      </w:r>
      <w:r w:rsidR="00F2485E" w:rsidRPr="00025B9C">
        <w:rPr>
          <w:rFonts w:asciiTheme="minorHAnsi" w:hAnsiTheme="minorHAnsi" w:cstheme="minorHAnsi"/>
        </w:rPr>
        <w:t>’</w:t>
      </w:r>
      <w:r w:rsidR="00FF720A" w:rsidRPr="00025B9C">
        <w:rPr>
          <w:rFonts w:asciiTheme="minorHAnsi" w:hAnsiTheme="minorHAnsi" w:cstheme="minorHAnsi"/>
        </w:rPr>
        <w:t xml:space="preserve"> approach. </w:t>
      </w:r>
      <w:r w:rsidR="00FF720A" w:rsidRPr="00025B9C">
        <w:rPr>
          <w:rFonts w:asciiTheme="minorHAnsi" w:hAnsiTheme="minorHAnsi" w:cstheme="minorHAnsi"/>
          <w:lang w:eastAsia="en-IE"/>
        </w:rPr>
        <w:t>The process involved one first coder (the first named author) and two second coders. The first coder devised the coding system, recoded it one month later using a pilot study of 20 companies and then discussed it with the second coders</w:t>
      </w:r>
      <w:r w:rsidR="00FF720A" w:rsidRPr="00025B9C">
        <w:rPr>
          <w:rFonts w:asciiTheme="minorHAnsi" w:hAnsiTheme="minorHAnsi" w:cstheme="minorHAnsi"/>
        </w:rPr>
        <w:t xml:space="preserve">. This method of re-coding enabled the researchers to see </w:t>
      </w:r>
      <w:r w:rsidR="00757E9F" w:rsidRPr="00025B9C">
        <w:rPr>
          <w:rFonts w:asciiTheme="minorHAnsi" w:hAnsiTheme="minorHAnsi" w:cstheme="minorHAnsi"/>
        </w:rPr>
        <w:t>exactly how text had been coded</w:t>
      </w:r>
      <w:r w:rsidR="00FF720A" w:rsidRPr="00025B9C">
        <w:rPr>
          <w:rFonts w:asciiTheme="minorHAnsi" w:hAnsiTheme="minorHAnsi" w:cstheme="minorHAnsi"/>
        </w:rPr>
        <w:t xml:space="preserve"> and</w:t>
      </w:r>
      <w:r w:rsidR="00757E9F" w:rsidRPr="00025B9C">
        <w:rPr>
          <w:rFonts w:asciiTheme="minorHAnsi" w:hAnsiTheme="minorHAnsi" w:cstheme="minorHAnsi"/>
        </w:rPr>
        <w:t>,</w:t>
      </w:r>
      <w:r w:rsidR="00FF720A" w:rsidRPr="00025B9C">
        <w:rPr>
          <w:rFonts w:asciiTheme="minorHAnsi" w:hAnsiTheme="minorHAnsi" w:cstheme="minorHAnsi"/>
        </w:rPr>
        <w:t xml:space="preserve"> if necessary</w:t>
      </w:r>
      <w:r w:rsidR="00757E9F" w:rsidRPr="00025B9C">
        <w:rPr>
          <w:rFonts w:asciiTheme="minorHAnsi" w:hAnsiTheme="minorHAnsi" w:cstheme="minorHAnsi"/>
        </w:rPr>
        <w:t>,</w:t>
      </w:r>
      <w:r w:rsidR="00FF720A" w:rsidRPr="00025B9C">
        <w:rPr>
          <w:rFonts w:asciiTheme="minorHAnsi" w:hAnsiTheme="minorHAnsi" w:cstheme="minorHAnsi"/>
        </w:rPr>
        <w:t xml:space="preserve"> make appropriate amendments to the coding process. </w:t>
      </w:r>
    </w:p>
    <w:p w:rsidR="0060562B" w:rsidRPr="00025B9C" w:rsidRDefault="0060562B" w:rsidP="00D665D9">
      <w:pPr>
        <w:spacing w:line="360" w:lineRule="auto"/>
        <w:jc w:val="both"/>
        <w:rPr>
          <w:rFonts w:asciiTheme="minorHAnsi" w:hAnsiTheme="minorHAnsi" w:cstheme="minorHAnsi"/>
        </w:rPr>
      </w:pPr>
      <w:r w:rsidRPr="00025B9C">
        <w:rPr>
          <w:rFonts w:asciiTheme="minorHAnsi" w:hAnsiTheme="minorHAnsi" w:cstheme="minorHAnsi"/>
          <w:b/>
        </w:rPr>
        <w:t xml:space="preserve">&lt; Insert </w:t>
      </w:r>
      <w:r w:rsidR="00354650" w:rsidRPr="00025B9C">
        <w:rPr>
          <w:rFonts w:asciiTheme="minorHAnsi" w:hAnsiTheme="minorHAnsi" w:cstheme="minorHAnsi"/>
          <w:b/>
          <w:lang w:val="en-IE"/>
        </w:rPr>
        <w:t xml:space="preserve">Illustration </w:t>
      </w:r>
      <w:r w:rsidR="00316497" w:rsidRPr="00025B9C">
        <w:rPr>
          <w:rFonts w:asciiTheme="minorHAnsi" w:hAnsiTheme="minorHAnsi" w:cstheme="minorHAnsi"/>
          <w:b/>
          <w:lang w:val="en-IE"/>
        </w:rPr>
        <w:t>1</w:t>
      </w:r>
      <w:r w:rsidRPr="00025B9C">
        <w:rPr>
          <w:rFonts w:asciiTheme="minorHAnsi" w:hAnsiTheme="minorHAnsi" w:cstheme="minorHAnsi"/>
          <w:b/>
        </w:rPr>
        <w:t xml:space="preserve"> here&gt;</w:t>
      </w:r>
    </w:p>
    <w:p w:rsidR="00D665D9" w:rsidRPr="00025B9C" w:rsidRDefault="00D665D9" w:rsidP="00D665D9">
      <w:pPr>
        <w:spacing w:line="360" w:lineRule="auto"/>
        <w:jc w:val="both"/>
        <w:rPr>
          <w:rFonts w:asciiTheme="minorHAnsi" w:hAnsiTheme="minorHAnsi" w:cstheme="minorHAnsi"/>
          <w:lang w:eastAsia="en-IE"/>
        </w:rPr>
      </w:pPr>
    </w:p>
    <w:p w:rsidR="00FF720A" w:rsidRPr="00025B9C" w:rsidRDefault="00FF720A" w:rsidP="00D665D9">
      <w:pPr>
        <w:spacing w:line="360" w:lineRule="auto"/>
        <w:jc w:val="both"/>
        <w:rPr>
          <w:rFonts w:asciiTheme="minorHAnsi" w:hAnsiTheme="minorHAnsi" w:cstheme="minorHAnsi"/>
          <w:lang w:eastAsia="en-IE"/>
        </w:rPr>
      </w:pPr>
      <w:r w:rsidRPr="00025B9C">
        <w:rPr>
          <w:rFonts w:asciiTheme="minorHAnsi" w:hAnsiTheme="minorHAnsi" w:cstheme="minorHAnsi"/>
          <w:lang w:eastAsia="en-IE"/>
        </w:rPr>
        <w:t xml:space="preserve">The two second coders were experienced in coding and their purpose was to test the suitability/accuracy of the coding by the first coder. They each coded separate samples (20 items) of the data. The first coder met with both coders separately to discuss coding (this was the training phase) and to demonstrate the range of possible codes. Discussions were held and once agreement was reached then a sample of coding was carried out (as if it was a test). After the </w:t>
      </w:r>
      <w:r w:rsidR="00406F86" w:rsidRPr="00025B9C">
        <w:rPr>
          <w:rFonts w:asciiTheme="minorHAnsi" w:hAnsiTheme="minorHAnsi" w:cstheme="minorHAnsi"/>
          <w:lang w:eastAsia="en-IE"/>
        </w:rPr>
        <w:t>‘</w:t>
      </w:r>
      <w:r w:rsidRPr="00025B9C">
        <w:rPr>
          <w:rFonts w:asciiTheme="minorHAnsi" w:hAnsiTheme="minorHAnsi" w:cstheme="minorHAnsi"/>
          <w:lang w:eastAsia="en-IE"/>
        </w:rPr>
        <w:t>test</w:t>
      </w:r>
      <w:r w:rsidR="00406F86" w:rsidRPr="00025B9C">
        <w:rPr>
          <w:rFonts w:asciiTheme="minorHAnsi" w:hAnsiTheme="minorHAnsi" w:cstheme="minorHAnsi"/>
          <w:lang w:eastAsia="en-IE"/>
        </w:rPr>
        <w:t>’</w:t>
      </w:r>
      <w:r w:rsidRPr="00025B9C">
        <w:rPr>
          <w:rFonts w:asciiTheme="minorHAnsi" w:hAnsiTheme="minorHAnsi" w:cstheme="minorHAnsi"/>
          <w:lang w:eastAsia="en-IE"/>
        </w:rPr>
        <w:t xml:space="preserve"> agreement calculations</w:t>
      </w:r>
      <w:r w:rsidR="00D171C5" w:rsidRPr="00025B9C">
        <w:rPr>
          <w:rFonts w:asciiTheme="minorHAnsi" w:hAnsiTheme="minorHAnsi" w:cstheme="minorHAnsi"/>
          <w:lang w:eastAsia="en-IE"/>
        </w:rPr>
        <w:t>,</w:t>
      </w:r>
      <w:r w:rsidRPr="00025B9C">
        <w:rPr>
          <w:rFonts w:asciiTheme="minorHAnsi" w:hAnsiTheme="minorHAnsi" w:cstheme="minorHAnsi"/>
          <w:lang w:eastAsia="en-IE"/>
        </w:rPr>
        <w:t xml:space="preserve"> disputed items </w:t>
      </w:r>
      <w:r w:rsidR="00D171C5" w:rsidRPr="00025B9C">
        <w:rPr>
          <w:rFonts w:asciiTheme="minorHAnsi" w:hAnsiTheme="minorHAnsi" w:cstheme="minorHAnsi"/>
          <w:lang w:eastAsia="en-IE"/>
        </w:rPr>
        <w:t xml:space="preserve">were </w:t>
      </w:r>
      <w:r w:rsidRPr="00025B9C">
        <w:rPr>
          <w:rFonts w:asciiTheme="minorHAnsi" w:hAnsiTheme="minorHAnsi" w:cstheme="minorHAnsi"/>
          <w:lang w:eastAsia="en-IE"/>
        </w:rPr>
        <w:t xml:space="preserve">revisited and discussed. Where differences </w:t>
      </w:r>
      <w:r w:rsidR="00D171C5" w:rsidRPr="00025B9C">
        <w:rPr>
          <w:rFonts w:asciiTheme="minorHAnsi" w:hAnsiTheme="minorHAnsi" w:cstheme="minorHAnsi"/>
          <w:lang w:eastAsia="en-IE"/>
        </w:rPr>
        <w:t xml:space="preserve">were </w:t>
      </w:r>
      <w:r w:rsidRPr="00025B9C">
        <w:rPr>
          <w:rFonts w:asciiTheme="minorHAnsi" w:hAnsiTheme="minorHAnsi" w:cstheme="minorHAnsi"/>
          <w:lang w:eastAsia="en-IE"/>
        </w:rPr>
        <w:t>raised and where it was agreed that an amendment to the coding was needed, the first coder (who coded all the data) went back to revisit items previously coded. If there was some doubt</w:t>
      </w:r>
      <w:r w:rsidR="0008111B" w:rsidRPr="00025B9C">
        <w:rPr>
          <w:rFonts w:asciiTheme="minorHAnsi" w:hAnsiTheme="minorHAnsi" w:cstheme="minorHAnsi"/>
          <w:lang w:eastAsia="en-IE"/>
        </w:rPr>
        <w:t>,</w:t>
      </w:r>
      <w:r w:rsidRPr="00025B9C">
        <w:rPr>
          <w:rFonts w:asciiTheme="minorHAnsi" w:hAnsiTheme="minorHAnsi" w:cstheme="minorHAnsi"/>
          <w:lang w:eastAsia="en-IE"/>
        </w:rPr>
        <w:t xml:space="preserve"> the coding rules were then changed to clarify/address the issue raised. </w:t>
      </w:r>
      <w:r w:rsidR="00D171C5" w:rsidRPr="00025B9C">
        <w:rPr>
          <w:rFonts w:asciiTheme="minorHAnsi" w:hAnsiTheme="minorHAnsi" w:cstheme="minorHAnsi"/>
          <w:lang w:eastAsia="en-IE"/>
        </w:rPr>
        <w:t>I</w:t>
      </w:r>
      <w:r w:rsidRPr="00025B9C">
        <w:rPr>
          <w:rFonts w:asciiTheme="minorHAnsi" w:hAnsiTheme="minorHAnsi" w:cstheme="minorHAnsi"/>
          <w:lang w:eastAsia="en-IE"/>
        </w:rPr>
        <w:t xml:space="preserve">f the coder was in doubt as to whether an item should be coded, a rule was established: </w:t>
      </w:r>
      <w:r w:rsidR="00406F86" w:rsidRPr="00025B9C">
        <w:rPr>
          <w:rFonts w:asciiTheme="minorHAnsi" w:hAnsiTheme="minorHAnsi" w:cstheme="minorHAnsi"/>
          <w:lang w:eastAsia="en-IE"/>
        </w:rPr>
        <w:t>‘</w:t>
      </w:r>
      <w:r w:rsidRPr="00025B9C">
        <w:rPr>
          <w:rFonts w:asciiTheme="minorHAnsi" w:hAnsiTheme="minorHAnsi" w:cstheme="minorHAnsi"/>
          <w:lang w:eastAsia="en-IE"/>
        </w:rPr>
        <w:t>if in doubt do not code</w:t>
      </w:r>
      <w:r w:rsidR="00406F86" w:rsidRPr="00025B9C">
        <w:rPr>
          <w:rFonts w:asciiTheme="minorHAnsi" w:hAnsiTheme="minorHAnsi" w:cstheme="minorHAnsi"/>
          <w:lang w:eastAsia="en-IE"/>
        </w:rPr>
        <w:t>’</w:t>
      </w:r>
      <w:r w:rsidR="00972A37" w:rsidRPr="00025B9C">
        <w:rPr>
          <w:rFonts w:asciiTheme="minorHAnsi" w:hAnsiTheme="minorHAnsi" w:cstheme="minorHAnsi"/>
          <w:lang w:eastAsia="en-IE"/>
        </w:rPr>
        <w:t>.</w:t>
      </w:r>
      <w:r w:rsidRPr="00025B9C">
        <w:rPr>
          <w:rFonts w:asciiTheme="minorHAnsi" w:hAnsiTheme="minorHAnsi" w:cstheme="minorHAnsi"/>
          <w:lang w:eastAsia="en-IE"/>
        </w:rPr>
        <w:t xml:space="preserve"> </w:t>
      </w:r>
      <w:r w:rsidRPr="00025B9C">
        <w:rPr>
          <w:rFonts w:asciiTheme="minorHAnsi" w:hAnsiTheme="minorHAnsi" w:cstheme="minorHAnsi"/>
        </w:rPr>
        <w:t>Calculations of agreement were carried out allowing for the possibility that chance agreement may be a factor (</w:t>
      </w:r>
      <w:proofErr w:type="spellStart"/>
      <w:r w:rsidRPr="00025B9C">
        <w:rPr>
          <w:rFonts w:asciiTheme="minorHAnsi" w:hAnsiTheme="minorHAnsi" w:cstheme="minorHAnsi"/>
        </w:rPr>
        <w:t>Stemler</w:t>
      </w:r>
      <w:proofErr w:type="spellEnd"/>
      <w:r w:rsidRPr="00025B9C">
        <w:rPr>
          <w:rFonts w:asciiTheme="minorHAnsi" w:hAnsiTheme="minorHAnsi" w:cstheme="minorHAnsi"/>
        </w:rPr>
        <w:t xml:space="preserve">, 2001). Where coders disagreed, a discussion was always held and, where appropriate, amendments made to the coding system. If the first coder was considered </w:t>
      </w:r>
      <w:r w:rsidR="00B10F62" w:rsidRPr="00025B9C">
        <w:rPr>
          <w:rFonts w:asciiTheme="minorHAnsi" w:hAnsiTheme="minorHAnsi" w:cstheme="minorHAnsi"/>
        </w:rPr>
        <w:t>incorrect</w:t>
      </w:r>
      <w:r w:rsidRPr="00025B9C">
        <w:rPr>
          <w:rFonts w:asciiTheme="minorHAnsi" w:hAnsiTheme="minorHAnsi" w:cstheme="minorHAnsi"/>
        </w:rPr>
        <w:t xml:space="preserve">, corrections were made and similar items were re-coded. This ensured that rigorous standards of content analysis were followed. In each case, at least 20 items were second coded. Using Cohen’s Kappa (which adjusts for agreement by chance), the percentage of agreement was 72% for the 2004/05 sample and 83% for the 2011/12 sample. This accords with an agreement strength of </w:t>
      </w:r>
      <w:r w:rsidR="00406F86" w:rsidRPr="00025B9C">
        <w:rPr>
          <w:rFonts w:asciiTheme="minorHAnsi" w:hAnsiTheme="minorHAnsi" w:cstheme="minorHAnsi"/>
        </w:rPr>
        <w:t>‘</w:t>
      </w:r>
      <w:r w:rsidRPr="00025B9C">
        <w:rPr>
          <w:rFonts w:asciiTheme="minorHAnsi" w:hAnsiTheme="minorHAnsi" w:cstheme="minorHAnsi"/>
        </w:rPr>
        <w:t>substantial</w:t>
      </w:r>
      <w:r w:rsidR="00406F86" w:rsidRPr="00025B9C">
        <w:rPr>
          <w:rFonts w:asciiTheme="minorHAnsi" w:hAnsiTheme="minorHAnsi" w:cstheme="minorHAnsi"/>
        </w:rPr>
        <w:t>’</w:t>
      </w:r>
      <w:r w:rsidRPr="00025B9C">
        <w:rPr>
          <w:rFonts w:asciiTheme="minorHAnsi" w:hAnsiTheme="minorHAnsi" w:cstheme="minorHAnsi"/>
        </w:rPr>
        <w:t xml:space="preserve"> (in excess of 70%) and </w:t>
      </w:r>
      <w:r w:rsidR="00406F86" w:rsidRPr="00025B9C">
        <w:rPr>
          <w:rFonts w:asciiTheme="minorHAnsi" w:hAnsiTheme="minorHAnsi" w:cstheme="minorHAnsi"/>
        </w:rPr>
        <w:t>‘</w:t>
      </w:r>
      <w:r w:rsidRPr="00025B9C">
        <w:rPr>
          <w:rFonts w:asciiTheme="minorHAnsi" w:hAnsiTheme="minorHAnsi" w:cstheme="minorHAnsi"/>
        </w:rPr>
        <w:t>almost perfect</w:t>
      </w:r>
      <w:r w:rsidR="00406F86" w:rsidRPr="00025B9C">
        <w:rPr>
          <w:rFonts w:asciiTheme="minorHAnsi" w:hAnsiTheme="minorHAnsi" w:cstheme="minorHAnsi"/>
        </w:rPr>
        <w:t>’</w:t>
      </w:r>
      <w:r w:rsidRPr="00025B9C">
        <w:rPr>
          <w:rFonts w:asciiTheme="minorHAnsi" w:hAnsiTheme="minorHAnsi" w:cstheme="minorHAnsi"/>
        </w:rPr>
        <w:t xml:space="preserve"> (in excess of 80%) (</w:t>
      </w:r>
      <w:proofErr w:type="spellStart"/>
      <w:r w:rsidRPr="00025B9C">
        <w:rPr>
          <w:rFonts w:asciiTheme="minorHAnsi" w:hAnsiTheme="minorHAnsi" w:cstheme="minorHAnsi"/>
        </w:rPr>
        <w:t>Stemler</w:t>
      </w:r>
      <w:proofErr w:type="spellEnd"/>
      <w:r w:rsidRPr="00025B9C">
        <w:rPr>
          <w:rFonts w:asciiTheme="minorHAnsi" w:hAnsiTheme="minorHAnsi" w:cstheme="minorHAnsi"/>
        </w:rPr>
        <w:t>, 2001).</w:t>
      </w:r>
    </w:p>
    <w:p w:rsidR="00735656" w:rsidRPr="00025B9C" w:rsidRDefault="00735656" w:rsidP="00D665D9">
      <w:pPr>
        <w:spacing w:line="360" w:lineRule="auto"/>
        <w:jc w:val="both"/>
        <w:rPr>
          <w:rFonts w:asciiTheme="minorHAnsi" w:hAnsiTheme="minorHAnsi" w:cstheme="minorHAnsi"/>
          <w:b/>
        </w:rPr>
      </w:pPr>
    </w:p>
    <w:p w:rsidR="008B2D4F" w:rsidRPr="00025B9C" w:rsidRDefault="00D00D93" w:rsidP="00D665D9">
      <w:pPr>
        <w:spacing w:line="360" w:lineRule="auto"/>
        <w:jc w:val="both"/>
        <w:rPr>
          <w:rFonts w:asciiTheme="minorHAnsi" w:hAnsiTheme="minorHAnsi" w:cstheme="minorHAnsi"/>
          <w:b/>
        </w:rPr>
      </w:pPr>
      <w:r w:rsidRPr="00025B9C">
        <w:rPr>
          <w:rFonts w:asciiTheme="minorHAnsi" w:hAnsiTheme="minorHAnsi" w:cstheme="minorHAnsi"/>
          <w:b/>
        </w:rPr>
        <w:t>5</w:t>
      </w:r>
      <w:r w:rsidR="00A5705C" w:rsidRPr="00025B9C">
        <w:rPr>
          <w:rFonts w:asciiTheme="minorHAnsi" w:hAnsiTheme="minorHAnsi" w:cstheme="minorHAnsi"/>
          <w:b/>
        </w:rPr>
        <w:t>.</w:t>
      </w:r>
      <w:r w:rsidR="00BC6B36" w:rsidRPr="00025B9C">
        <w:rPr>
          <w:rFonts w:asciiTheme="minorHAnsi" w:hAnsiTheme="minorHAnsi" w:cstheme="minorHAnsi"/>
          <w:b/>
        </w:rPr>
        <w:t xml:space="preserve"> </w:t>
      </w:r>
      <w:r w:rsidR="00B86A20" w:rsidRPr="00025B9C">
        <w:rPr>
          <w:rFonts w:asciiTheme="minorHAnsi" w:hAnsiTheme="minorHAnsi" w:cstheme="minorHAnsi"/>
          <w:b/>
        </w:rPr>
        <w:t>R</w:t>
      </w:r>
      <w:r w:rsidR="003F3A7A" w:rsidRPr="00025B9C">
        <w:rPr>
          <w:rFonts w:asciiTheme="minorHAnsi" w:hAnsiTheme="minorHAnsi" w:cstheme="minorHAnsi"/>
          <w:b/>
        </w:rPr>
        <w:t>esults</w:t>
      </w:r>
      <w:r w:rsidR="007F25D3" w:rsidRPr="00025B9C">
        <w:rPr>
          <w:rFonts w:asciiTheme="minorHAnsi" w:hAnsiTheme="minorHAnsi" w:cstheme="minorHAnsi"/>
          <w:b/>
        </w:rPr>
        <w:t xml:space="preserve"> and discussion </w:t>
      </w:r>
    </w:p>
    <w:p w:rsidR="000F5500" w:rsidRPr="00025B9C" w:rsidRDefault="00D171C5" w:rsidP="00D665D9">
      <w:pPr>
        <w:spacing w:line="360" w:lineRule="auto"/>
        <w:jc w:val="both"/>
        <w:rPr>
          <w:rFonts w:asciiTheme="minorHAnsi" w:hAnsiTheme="minorHAnsi" w:cstheme="minorHAnsi"/>
        </w:rPr>
      </w:pPr>
      <w:r w:rsidRPr="00025B9C">
        <w:rPr>
          <w:rFonts w:asciiTheme="minorHAnsi" w:hAnsiTheme="minorHAnsi" w:cstheme="minorHAnsi"/>
        </w:rPr>
        <w:t>Table 3 shows t</w:t>
      </w:r>
      <w:r w:rsidR="000F5500" w:rsidRPr="00025B9C">
        <w:rPr>
          <w:rFonts w:asciiTheme="minorHAnsi" w:hAnsiTheme="minorHAnsi" w:cstheme="minorHAnsi"/>
        </w:rPr>
        <w:t>he number of companies which failed to comply with the</w:t>
      </w:r>
      <w:r w:rsidR="001B2D53" w:rsidRPr="00025B9C">
        <w:rPr>
          <w:rFonts w:asciiTheme="minorHAnsi" w:hAnsiTheme="minorHAnsi" w:cstheme="minorHAnsi"/>
        </w:rPr>
        <w:t xml:space="preserve"> </w:t>
      </w:r>
      <w:r w:rsidR="000F5500" w:rsidRPr="00025B9C">
        <w:rPr>
          <w:rFonts w:asciiTheme="minorHAnsi" w:hAnsiTheme="minorHAnsi" w:cstheme="minorHAnsi"/>
        </w:rPr>
        <w:t xml:space="preserve">Code. </w:t>
      </w:r>
      <w:r w:rsidR="00E76993" w:rsidRPr="00025B9C">
        <w:rPr>
          <w:rFonts w:asciiTheme="minorHAnsi" w:hAnsiTheme="minorHAnsi" w:cstheme="minorHAnsi"/>
        </w:rPr>
        <w:t>Using a chi-square test</w:t>
      </w:r>
      <w:r w:rsidRPr="00025B9C">
        <w:rPr>
          <w:rFonts w:asciiTheme="minorHAnsi" w:hAnsiTheme="minorHAnsi" w:cstheme="minorHAnsi"/>
        </w:rPr>
        <w:t>,</w:t>
      </w:r>
      <w:r w:rsidR="00E76993" w:rsidRPr="00025B9C">
        <w:rPr>
          <w:rFonts w:asciiTheme="minorHAnsi" w:hAnsiTheme="minorHAnsi" w:cstheme="minorHAnsi"/>
        </w:rPr>
        <w:t xml:space="preserve"> there is a significant difference at the 1% level between</w:t>
      </w:r>
      <w:r w:rsidR="00B17874" w:rsidRPr="00025B9C">
        <w:rPr>
          <w:rFonts w:asciiTheme="minorHAnsi" w:hAnsiTheme="minorHAnsi" w:cstheme="minorHAnsi"/>
        </w:rPr>
        <w:t xml:space="preserve"> compliance</w:t>
      </w:r>
      <w:r w:rsidR="00E76993" w:rsidRPr="00025B9C">
        <w:rPr>
          <w:rFonts w:asciiTheme="minorHAnsi" w:hAnsiTheme="minorHAnsi" w:cstheme="minorHAnsi"/>
        </w:rPr>
        <w:t xml:space="preserve"> over the two time periods (p=0.003) with a significant increase in compliance in 2011/12. </w:t>
      </w:r>
      <w:r w:rsidR="000F5500" w:rsidRPr="00025B9C">
        <w:rPr>
          <w:rFonts w:asciiTheme="minorHAnsi" w:hAnsiTheme="minorHAnsi" w:cstheme="minorHAnsi"/>
        </w:rPr>
        <w:t>The key (top five) area</w:t>
      </w:r>
      <w:r w:rsidR="00224EAB" w:rsidRPr="00025B9C">
        <w:rPr>
          <w:rFonts w:asciiTheme="minorHAnsi" w:hAnsiTheme="minorHAnsi" w:cstheme="minorHAnsi"/>
        </w:rPr>
        <w:t>s of non-compliance are summariz</w:t>
      </w:r>
      <w:r w:rsidR="000F5500" w:rsidRPr="00025B9C">
        <w:rPr>
          <w:rFonts w:asciiTheme="minorHAnsi" w:hAnsiTheme="minorHAnsi" w:cstheme="minorHAnsi"/>
        </w:rPr>
        <w:t xml:space="preserve">ed in Table </w:t>
      </w:r>
      <w:r w:rsidR="00A23839" w:rsidRPr="00025B9C">
        <w:rPr>
          <w:rFonts w:asciiTheme="minorHAnsi" w:hAnsiTheme="minorHAnsi" w:cstheme="minorHAnsi"/>
        </w:rPr>
        <w:t>4</w:t>
      </w:r>
      <w:r w:rsidR="000F5500" w:rsidRPr="00025B9C">
        <w:rPr>
          <w:rFonts w:asciiTheme="minorHAnsi" w:hAnsiTheme="minorHAnsi" w:cstheme="minorHAnsi"/>
        </w:rPr>
        <w:t>.</w:t>
      </w:r>
      <w:r w:rsidR="00E76993" w:rsidRPr="00025B9C">
        <w:rPr>
          <w:rFonts w:asciiTheme="minorHAnsi" w:hAnsiTheme="minorHAnsi" w:cstheme="minorHAnsi"/>
        </w:rPr>
        <w:t xml:space="preserve"> Those areas of non-compliance are consistent from one period to the next (2004/5 versus 2011/12) and there is no significant difference between them (p=0.551).</w:t>
      </w:r>
      <w:r w:rsidR="000F5500" w:rsidRPr="00025B9C">
        <w:rPr>
          <w:rFonts w:asciiTheme="minorHAnsi" w:hAnsiTheme="minorHAnsi" w:cstheme="minorHAnsi"/>
        </w:rPr>
        <w:t xml:space="preserve"> </w:t>
      </w:r>
    </w:p>
    <w:p w:rsidR="000F5500" w:rsidRPr="00025B9C" w:rsidRDefault="000F5500" w:rsidP="00D665D9">
      <w:pPr>
        <w:spacing w:line="360" w:lineRule="auto"/>
        <w:jc w:val="both"/>
        <w:rPr>
          <w:rFonts w:asciiTheme="minorHAnsi" w:hAnsiTheme="minorHAnsi" w:cstheme="minorHAnsi"/>
          <w:b/>
        </w:rPr>
      </w:pPr>
      <w:r w:rsidRPr="00025B9C">
        <w:rPr>
          <w:rFonts w:asciiTheme="minorHAnsi" w:hAnsiTheme="minorHAnsi" w:cstheme="minorHAnsi"/>
        </w:rPr>
        <w:t xml:space="preserve"> </w:t>
      </w:r>
      <w:r w:rsidR="00C61C7A" w:rsidRPr="00025B9C">
        <w:rPr>
          <w:rFonts w:asciiTheme="minorHAnsi" w:hAnsiTheme="minorHAnsi" w:cstheme="minorHAnsi"/>
          <w:b/>
        </w:rPr>
        <w:t>&lt; Insert Tables 3 and 4</w:t>
      </w:r>
      <w:r w:rsidRPr="00025B9C">
        <w:rPr>
          <w:rFonts w:asciiTheme="minorHAnsi" w:hAnsiTheme="minorHAnsi" w:cstheme="minorHAnsi"/>
          <w:b/>
        </w:rPr>
        <w:t xml:space="preserve"> here&gt;</w:t>
      </w:r>
    </w:p>
    <w:p w:rsidR="00ED52F5" w:rsidRPr="00025B9C" w:rsidRDefault="00ED52F5" w:rsidP="00D665D9">
      <w:pPr>
        <w:spacing w:line="360" w:lineRule="auto"/>
        <w:jc w:val="both"/>
        <w:rPr>
          <w:rFonts w:asciiTheme="minorHAnsi" w:hAnsiTheme="minorHAnsi" w:cstheme="minorHAnsi"/>
        </w:rPr>
      </w:pPr>
    </w:p>
    <w:p w:rsidR="00F0617B" w:rsidRPr="00025B9C" w:rsidRDefault="000F5500" w:rsidP="00D665D9">
      <w:pPr>
        <w:spacing w:line="360" w:lineRule="auto"/>
        <w:jc w:val="both"/>
        <w:rPr>
          <w:rFonts w:asciiTheme="minorHAnsi" w:hAnsiTheme="minorHAnsi" w:cstheme="minorHAnsi"/>
        </w:rPr>
      </w:pPr>
      <w:r w:rsidRPr="00025B9C">
        <w:rPr>
          <w:rFonts w:asciiTheme="minorHAnsi" w:hAnsiTheme="minorHAnsi" w:cstheme="minorHAnsi"/>
        </w:rPr>
        <w:t xml:space="preserve">While the system is described as </w:t>
      </w:r>
      <w:r w:rsidR="00B10F62" w:rsidRPr="00025B9C">
        <w:rPr>
          <w:rFonts w:asciiTheme="minorHAnsi" w:hAnsiTheme="minorHAnsi" w:cstheme="minorHAnsi"/>
        </w:rPr>
        <w:t>‘</w:t>
      </w:r>
      <w:r w:rsidRPr="00025B9C">
        <w:rPr>
          <w:rFonts w:asciiTheme="minorHAnsi" w:hAnsiTheme="minorHAnsi" w:cstheme="minorHAnsi"/>
        </w:rPr>
        <w:t>comply</w:t>
      </w:r>
      <w:r w:rsidR="00EA2697" w:rsidRPr="00025B9C">
        <w:rPr>
          <w:rFonts w:asciiTheme="minorHAnsi" w:hAnsiTheme="minorHAnsi" w:cstheme="minorHAnsi"/>
        </w:rPr>
        <w:t>-</w:t>
      </w:r>
      <w:r w:rsidRPr="00025B9C">
        <w:rPr>
          <w:rFonts w:asciiTheme="minorHAnsi" w:hAnsiTheme="minorHAnsi" w:cstheme="minorHAnsi"/>
        </w:rPr>
        <w:t>or</w:t>
      </w:r>
      <w:r w:rsidR="00EA2697" w:rsidRPr="00025B9C">
        <w:rPr>
          <w:rFonts w:asciiTheme="minorHAnsi" w:hAnsiTheme="minorHAnsi" w:cstheme="minorHAnsi"/>
        </w:rPr>
        <w:t>-</w:t>
      </w:r>
      <w:r w:rsidR="005F48C8" w:rsidRPr="00025B9C">
        <w:rPr>
          <w:rFonts w:asciiTheme="minorHAnsi" w:hAnsiTheme="minorHAnsi" w:cstheme="minorHAnsi"/>
        </w:rPr>
        <w:t>explain</w:t>
      </w:r>
      <w:r w:rsidR="00B10F62" w:rsidRPr="00025B9C">
        <w:rPr>
          <w:rFonts w:asciiTheme="minorHAnsi" w:hAnsiTheme="minorHAnsi" w:cstheme="minorHAnsi"/>
        </w:rPr>
        <w:t>’</w:t>
      </w:r>
      <w:r w:rsidR="005F48C8" w:rsidRPr="00025B9C">
        <w:rPr>
          <w:rFonts w:asciiTheme="minorHAnsi" w:hAnsiTheme="minorHAnsi" w:cstheme="minorHAnsi"/>
        </w:rPr>
        <w:t>,</w:t>
      </w:r>
      <w:r w:rsidRPr="00025B9C">
        <w:rPr>
          <w:rFonts w:asciiTheme="minorHAnsi" w:hAnsiTheme="minorHAnsi" w:cstheme="minorHAnsi"/>
        </w:rPr>
        <w:t xml:space="preserve"> the numbers complying with the Code have increased over the time period examined. Similarly, of those that do not comply (the focus of this study), companies are now </w:t>
      </w:r>
      <w:r w:rsidR="005F48C8" w:rsidRPr="00025B9C">
        <w:rPr>
          <w:rFonts w:asciiTheme="minorHAnsi" w:hAnsiTheme="minorHAnsi" w:cstheme="minorHAnsi"/>
        </w:rPr>
        <w:t>‘</w:t>
      </w:r>
      <w:r w:rsidRPr="00025B9C">
        <w:rPr>
          <w:rFonts w:asciiTheme="minorHAnsi" w:hAnsiTheme="minorHAnsi" w:cstheme="minorHAnsi"/>
        </w:rPr>
        <w:t>not complying</w:t>
      </w:r>
      <w:r w:rsidR="005F48C8" w:rsidRPr="00025B9C">
        <w:rPr>
          <w:rFonts w:asciiTheme="minorHAnsi" w:hAnsiTheme="minorHAnsi" w:cstheme="minorHAnsi"/>
        </w:rPr>
        <w:t>’</w:t>
      </w:r>
      <w:r w:rsidRPr="00025B9C">
        <w:rPr>
          <w:rFonts w:asciiTheme="minorHAnsi" w:hAnsiTheme="minorHAnsi" w:cstheme="minorHAnsi"/>
        </w:rPr>
        <w:t xml:space="preserve"> with fewer items and the average number of non-compliances per company ha</w:t>
      </w:r>
      <w:r w:rsidR="00452A39" w:rsidRPr="00025B9C">
        <w:rPr>
          <w:rFonts w:asciiTheme="minorHAnsi" w:hAnsiTheme="minorHAnsi" w:cstheme="minorHAnsi"/>
        </w:rPr>
        <w:t>s fallen from 2.67 to 1.79</w:t>
      </w:r>
      <w:r w:rsidRPr="00025B9C">
        <w:rPr>
          <w:rFonts w:asciiTheme="minorHAnsi" w:hAnsiTheme="minorHAnsi" w:cstheme="minorHAnsi"/>
        </w:rPr>
        <w:t xml:space="preserve"> over the period. </w:t>
      </w:r>
      <w:r w:rsidR="00A23839" w:rsidRPr="00025B9C">
        <w:rPr>
          <w:rFonts w:asciiTheme="minorHAnsi" w:hAnsiTheme="minorHAnsi" w:cstheme="minorHAnsi"/>
        </w:rPr>
        <w:t>Table 3</w:t>
      </w:r>
      <w:r w:rsidR="009205FC" w:rsidRPr="00025B9C">
        <w:rPr>
          <w:rFonts w:asciiTheme="minorHAnsi" w:hAnsiTheme="minorHAnsi" w:cstheme="minorHAnsi"/>
        </w:rPr>
        <w:t xml:space="preserve"> shows a significant difference (p&lt;0.05) in the</w:t>
      </w:r>
      <w:r w:rsidR="00B17874" w:rsidRPr="00025B9C">
        <w:rPr>
          <w:rFonts w:asciiTheme="minorHAnsi" w:hAnsiTheme="minorHAnsi" w:cstheme="minorHAnsi"/>
        </w:rPr>
        <w:t xml:space="preserve"> frequency of non-compliance</w:t>
      </w:r>
      <w:r w:rsidR="00DB6486" w:rsidRPr="00025B9C">
        <w:rPr>
          <w:rFonts w:asciiTheme="minorHAnsi" w:hAnsiTheme="minorHAnsi" w:cstheme="minorHAnsi"/>
        </w:rPr>
        <w:t xml:space="preserve"> (other research in Shrives </w:t>
      </w:r>
      <w:r w:rsidR="00DB0683" w:rsidRPr="00025B9C">
        <w:rPr>
          <w:rFonts w:asciiTheme="minorHAnsi" w:hAnsiTheme="minorHAnsi" w:cstheme="minorHAnsi"/>
        </w:rPr>
        <w:t>&amp;</w:t>
      </w:r>
      <w:r w:rsidR="00502D44" w:rsidRPr="00025B9C">
        <w:rPr>
          <w:rFonts w:asciiTheme="minorHAnsi" w:hAnsiTheme="minorHAnsi" w:cstheme="minorHAnsi"/>
        </w:rPr>
        <w:t xml:space="preserve"> Brennan, 2015 shows the same pattern</w:t>
      </w:r>
      <w:r w:rsidR="00DB6486" w:rsidRPr="00025B9C">
        <w:rPr>
          <w:rFonts w:asciiTheme="minorHAnsi" w:hAnsiTheme="minorHAnsi" w:cstheme="minorHAnsi"/>
        </w:rPr>
        <w:t xml:space="preserve"> for FTSE 250 companies as well as the total FTSE 350).</w:t>
      </w:r>
      <w:r w:rsidR="004425F7" w:rsidRPr="00025B9C">
        <w:rPr>
          <w:rFonts w:asciiTheme="minorHAnsi" w:hAnsiTheme="minorHAnsi" w:cstheme="minorHAnsi"/>
        </w:rPr>
        <w:t xml:space="preserve"> For example, in 2011/12 more companies </w:t>
      </w:r>
      <w:r w:rsidR="00B17874" w:rsidRPr="00025B9C">
        <w:rPr>
          <w:rFonts w:asciiTheme="minorHAnsi" w:hAnsiTheme="minorHAnsi" w:cstheme="minorHAnsi"/>
        </w:rPr>
        <w:t>have</w:t>
      </w:r>
      <w:r w:rsidR="004425F7" w:rsidRPr="00025B9C">
        <w:rPr>
          <w:rFonts w:asciiTheme="minorHAnsi" w:hAnsiTheme="minorHAnsi" w:cstheme="minorHAnsi"/>
        </w:rPr>
        <w:t xml:space="preserve"> just one </w:t>
      </w:r>
      <w:r w:rsidR="00B17874" w:rsidRPr="00025B9C">
        <w:rPr>
          <w:rFonts w:asciiTheme="minorHAnsi" w:hAnsiTheme="minorHAnsi" w:cstheme="minorHAnsi"/>
        </w:rPr>
        <w:t>non-compliance</w:t>
      </w:r>
      <w:r w:rsidR="004425F7" w:rsidRPr="00025B9C">
        <w:rPr>
          <w:rFonts w:asciiTheme="minorHAnsi" w:hAnsiTheme="minorHAnsi" w:cstheme="minorHAnsi"/>
        </w:rPr>
        <w:t xml:space="preserve"> in 2011/12 versus 2004/5 (58% versus 33%) and fewer </w:t>
      </w:r>
      <w:r w:rsidR="00DB6486" w:rsidRPr="00025B9C">
        <w:rPr>
          <w:rFonts w:asciiTheme="minorHAnsi" w:hAnsiTheme="minorHAnsi" w:cstheme="minorHAnsi"/>
        </w:rPr>
        <w:t>companies</w:t>
      </w:r>
      <w:r w:rsidR="004425F7" w:rsidRPr="00025B9C">
        <w:rPr>
          <w:rFonts w:asciiTheme="minorHAnsi" w:hAnsiTheme="minorHAnsi" w:cstheme="minorHAnsi"/>
        </w:rPr>
        <w:t xml:space="preserve"> </w:t>
      </w:r>
      <w:r w:rsidR="00B17874" w:rsidRPr="00025B9C">
        <w:rPr>
          <w:rFonts w:asciiTheme="minorHAnsi" w:hAnsiTheme="minorHAnsi" w:cstheme="minorHAnsi"/>
        </w:rPr>
        <w:t>have</w:t>
      </w:r>
      <w:r w:rsidR="004425F7" w:rsidRPr="00025B9C">
        <w:rPr>
          <w:rFonts w:asciiTheme="minorHAnsi" w:hAnsiTheme="minorHAnsi" w:cstheme="minorHAnsi"/>
        </w:rPr>
        <w:t xml:space="preserve"> three o</w:t>
      </w:r>
      <w:r w:rsidR="00003DB4" w:rsidRPr="00025B9C">
        <w:rPr>
          <w:rFonts w:asciiTheme="minorHAnsi" w:hAnsiTheme="minorHAnsi" w:cstheme="minorHAnsi"/>
        </w:rPr>
        <w:t xml:space="preserve">r more </w:t>
      </w:r>
      <w:r w:rsidR="00B17874" w:rsidRPr="00025B9C">
        <w:rPr>
          <w:rFonts w:asciiTheme="minorHAnsi" w:hAnsiTheme="minorHAnsi" w:cstheme="minorHAnsi"/>
        </w:rPr>
        <w:t xml:space="preserve">non-compliance </w:t>
      </w:r>
      <w:r w:rsidR="00003DB4" w:rsidRPr="00025B9C">
        <w:rPr>
          <w:rFonts w:asciiTheme="minorHAnsi" w:hAnsiTheme="minorHAnsi" w:cstheme="minorHAnsi"/>
        </w:rPr>
        <w:t xml:space="preserve">items (18% versus 42%). </w:t>
      </w:r>
      <w:r w:rsidR="00D171C5" w:rsidRPr="00025B9C">
        <w:rPr>
          <w:rFonts w:asciiTheme="minorHAnsi" w:hAnsiTheme="minorHAnsi" w:cstheme="minorHAnsi"/>
        </w:rPr>
        <w:t>Thus, i</w:t>
      </w:r>
      <w:r w:rsidR="00806B1D" w:rsidRPr="00025B9C">
        <w:rPr>
          <w:rFonts w:asciiTheme="minorHAnsi" w:hAnsiTheme="minorHAnsi" w:cstheme="minorHAnsi"/>
        </w:rPr>
        <w:t>t appear</w:t>
      </w:r>
      <w:r w:rsidR="00D171C5" w:rsidRPr="00025B9C">
        <w:rPr>
          <w:rFonts w:asciiTheme="minorHAnsi" w:hAnsiTheme="minorHAnsi" w:cstheme="minorHAnsi"/>
        </w:rPr>
        <w:t>s</w:t>
      </w:r>
      <w:r w:rsidR="00806B1D" w:rsidRPr="00025B9C">
        <w:rPr>
          <w:rFonts w:asciiTheme="minorHAnsi" w:hAnsiTheme="minorHAnsi" w:cstheme="minorHAnsi"/>
        </w:rPr>
        <w:t xml:space="preserve"> that the key </w:t>
      </w:r>
      <w:r w:rsidR="00301869" w:rsidRPr="00025B9C">
        <w:rPr>
          <w:rFonts w:asciiTheme="minorHAnsi" w:hAnsiTheme="minorHAnsi" w:cstheme="minorHAnsi"/>
        </w:rPr>
        <w:t>company response</w:t>
      </w:r>
      <w:r w:rsidR="00806B1D" w:rsidRPr="00025B9C">
        <w:rPr>
          <w:rFonts w:asciiTheme="minorHAnsi" w:hAnsiTheme="minorHAnsi" w:cstheme="minorHAnsi"/>
        </w:rPr>
        <w:t xml:space="preserve"> to date </w:t>
      </w:r>
      <w:r w:rsidR="009205FC" w:rsidRPr="00025B9C">
        <w:rPr>
          <w:rFonts w:asciiTheme="minorHAnsi" w:hAnsiTheme="minorHAnsi" w:cstheme="minorHAnsi"/>
        </w:rPr>
        <w:t>concerns</w:t>
      </w:r>
      <w:r w:rsidR="00806B1D" w:rsidRPr="00025B9C">
        <w:rPr>
          <w:rFonts w:asciiTheme="minorHAnsi" w:hAnsiTheme="minorHAnsi" w:cstheme="minorHAnsi"/>
        </w:rPr>
        <w:t xml:space="preserve"> the </w:t>
      </w:r>
      <w:r w:rsidR="00406F86" w:rsidRPr="00025B9C">
        <w:rPr>
          <w:rFonts w:asciiTheme="minorHAnsi" w:hAnsiTheme="minorHAnsi" w:cstheme="minorHAnsi"/>
        </w:rPr>
        <w:t>‘</w:t>
      </w:r>
      <w:r w:rsidR="00806B1D" w:rsidRPr="00025B9C">
        <w:rPr>
          <w:rFonts w:asciiTheme="minorHAnsi" w:hAnsiTheme="minorHAnsi" w:cstheme="minorHAnsi"/>
        </w:rPr>
        <w:t>comply</w:t>
      </w:r>
      <w:r w:rsidR="00406F86" w:rsidRPr="00025B9C">
        <w:rPr>
          <w:rFonts w:asciiTheme="minorHAnsi" w:hAnsiTheme="minorHAnsi" w:cstheme="minorHAnsi"/>
        </w:rPr>
        <w:t>’</w:t>
      </w:r>
      <w:r w:rsidR="00806B1D" w:rsidRPr="00025B9C">
        <w:rPr>
          <w:rFonts w:asciiTheme="minorHAnsi" w:hAnsiTheme="minorHAnsi" w:cstheme="minorHAnsi"/>
        </w:rPr>
        <w:t xml:space="preserve"> side.</w:t>
      </w:r>
      <w:r w:rsidRPr="00025B9C">
        <w:rPr>
          <w:rFonts w:asciiTheme="minorHAnsi" w:hAnsiTheme="minorHAnsi" w:cstheme="minorHAnsi"/>
        </w:rPr>
        <w:t xml:space="preserve"> As indicated in Table </w:t>
      </w:r>
      <w:r w:rsidR="00A23839" w:rsidRPr="00025B9C">
        <w:rPr>
          <w:rFonts w:asciiTheme="minorHAnsi" w:hAnsiTheme="minorHAnsi" w:cstheme="minorHAnsi"/>
        </w:rPr>
        <w:t>4</w:t>
      </w:r>
      <w:r w:rsidRPr="00025B9C">
        <w:rPr>
          <w:rFonts w:asciiTheme="minorHAnsi" w:hAnsiTheme="minorHAnsi" w:cstheme="minorHAnsi"/>
        </w:rPr>
        <w:t>, the key areas of non-compliance represent the proportion of the board comprising independent non-executive</w:t>
      </w:r>
      <w:r w:rsidR="00903FAB" w:rsidRPr="00025B9C">
        <w:rPr>
          <w:rFonts w:asciiTheme="minorHAnsi" w:hAnsiTheme="minorHAnsi" w:cstheme="minorHAnsi"/>
        </w:rPr>
        <w:t xml:space="preserve"> director</w:t>
      </w:r>
      <w:r w:rsidRPr="00025B9C">
        <w:rPr>
          <w:rFonts w:asciiTheme="minorHAnsi" w:hAnsiTheme="minorHAnsi" w:cstheme="minorHAnsi"/>
        </w:rPr>
        <w:t xml:space="preserve">s, followed by the </w:t>
      </w:r>
      <w:r w:rsidR="005E6A6B" w:rsidRPr="00025B9C">
        <w:rPr>
          <w:rFonts w:asciiTheme="minorHAnsi" w:hAnsiTheme="minorHAnsi" w:cstheme="minorHAnsi"/>
        </w:rPr>
        <w:t>composition</w:t>
      </w:r>
      <w:r w:rsidRPr="00025B9C">
        <w:rPr>
          <w:rFonts w:asciiTheme="minorHAnsi" w:hAnsiTheme="minorHAnsi" w:cstheme="minorHAnsi"/>
        </w:rPr>
        <w:t xml:space="preserve"> of the various board committees</w:t>
      </w:r>
      <w:r w:rsidR="005E6A6B" w:rsidRPr="00025B9C">
        <w:rPr>
          <w:rFonts w:asciiTheme="minorHAnsi" w:hAnsiTheme="minorHAnsi" w:cstheme="minorHAnsi"/>
        </w:rPr>
        <w:t xml:space="preserve"> not complying with the Code</w:t>
      </w:r>
      <w:r w:rsidRPr="00025B9C">
        <w:rPr>
          <w:rFonts w:asciiTheme="minorHAnsi" w:hAnsiTheme="minorHAnsi" w:cstheme="minorHAnsi"/>
        </w:rPr>
        <w:t xml:space="preserve">. </w:t>
      </w:r>
      <w:r w:rsidR="00C26B72" w:rsidRPr="00025B9C">
        <w:rPr>
          <w:rFonts w:asciiTheme="minorHAnsi" w:hAnsiTheme="minorHAnsi" w:cstheme="minorHAnsi"/>
        </w:rPr>
        <w:t xml:space="preserve">The </w:t>
      </w:r>
      <w:r w:rsidR="000700AC" w:rsidRPr="00025B9C">
        <w:rPr>
          <w:rFonts w:asciiTheme="minorHAnsi" w:hAnsiTheme="minorHAnsi" w:cstheme="minorHAnsi"/>
        </w:rPr>
        <w:t xml:space="preserve">split of the </w:t>
      </w:r>
      <w:r w:rsidR="00C26B72" w:rsidRPr="00025B9C">
        <w:rPr>
          <w:rFonts w:asciiTheme="minorHAnsi" w:hAnsiTheme="minorHAnsi" w:cstheme="minorHAnsi"/>
        </w:rPr>
        <w:t xml:space="preserve">most common areas </w:t>
      </w:r>
      <w:r w:rsidR="00B17874" w:rsidRPr="00025B9C">
        <w:rPr>
          <w:rFonts w:asciiTheme="minorHAnsi" w:hAnsiTheme="minorHAnsi" w:cstheme="minorHAnsi"/>
        </w:rPr>
        <w:t>of non-compliance</w:t>
      </w:r>
      <w:r w:rsidR="00C26B72" w:rsidRPr="00025B9C">
        <w:rPr>
          <w:rFonts w:asciiTheme="minorHAnsi" w:hAnsiTheme="minorHAnsi" w:cstheme="minorHAnsi"/>
        </w:rPr>
        <w:t xml:space="preserve"> are not significantly different between the two periods (using a chi-square test p=0.551). </w:t>
      </w:r>
      <w:r w:rsidRPr="00025B9C">
        <w:rPr>
          <w:rFonts w:asciiTheme="minorHAnsi" w:hAnsiTheme="minorHAnsi" w:cstheme="minorHAnsi"/>
        </w:rPr>
        <w:t xml:space="preserve">Despite the move to compliance, it remains surprising how many large companies do not comply with what are, arguably, the basic </w:t>
      </w:r>
      <w:r w:rsidR="00D329B3" w:rsidRPr="00025B9C">
        <w:rPr>
          <w:rFonts w:asciiTheme="minorHAnsi" w:hAnsiTheme="minorHAnsi" w:cstheme="minorHAnsi"/>
        </w:rPr>
        <w:t>principles</w:t>
      </w:r>
      <w:r w:rsidRPr="00025B9C">
        <w:rPr>
          <w:rFonts w:asciiTheme="minorHAnsi" w:hAnsiTheme="minorHAnsi" w:cstheme="minorHAnsi"/>
        </w:rPr>
        <w:t xml:space="preserve"> of corporate governance. </w:t>
      </w:r>
    </w:p>
    <w:p w:rsidR="00D54F83" w:rsidRPr="00025B9C" w:rsidRDefault="00D54F83" w:rsidP="00D665D9">
      <w:pPr>
        <w:spacing w:line="360" w:lineRule="auto"/>
        <w:jc w:val="both"/>
        <w:rPr>
          <w:rFonts w:asciiTheme="minorHAnsi" w:hAnsiTheme="minorHAnsi" w:cstheme="minorHAnsi"/>
        </w:rPr>
      </w:pPr>
    </w:p>
    <w:p w:rsidR="00DE72FA" w:rsidRPr="00025B9C" w:rsidRDefault="00D00D93" w:rsidP="00D665D9">
      <w:pPr>
        <w:keepNext/>
        <w:spacing w:line="360" w:lineRule="auto"/>
        <w:jc w:val="both"/>
        <w:rPr>
          <w:rFonts w:asciiTheme="minorHAnsi" w:hAnsiTheme="minorHAnsi" w:cstheme="minorHAnsi"/>
          <w:i/>
        </w:rPr>
      </w:pPr>
      <w:r w:rsidRPr="00025B9C">
        <w:rPr>
          <w:rFonts w:asciiTheme="minorHAnsi" w:hAnsiTheme="minorHAnsi" w:cstheme="minorHAnsi"/>
          <w:i/>
        </w:rPr>
        <w:t>5</w:t>
      </w:r>
      <w:r w:rsidR="000F5500" w:rsidRPr="00025B9C">
        <w:rPr>
          <w:rFonts w:asciiTheme="minorHAnsi" w:hAnsiTheme="minorHAnsi" w:cstheme="minorHAnsi"/>
          <w:i/>
        </w:rPr>
        <w:t>.1</w:t>
      </w:r>
      <w:r w:rsidR="00DE72FA" w:rsidRPr="00025B9C">
        <w:rPr>
          <w:rFonts w:asciiTheme="minorHAnsi" w:hAnsiTheme="minorHAnsi" w:cstheme="minorHAnsi"/>
          <w:i/>
        </w:rPr>
        <w:t xml:space="preserve"> </w:t>
      </w:r>
      <w:r w:rsidR="00431735" w:rsidRPr="00025B9C">
        <w:rPr>
          <w:rFonts w:asciiTheme="minorHAnsi" w:hAnsiTheme="minorHAnsi" w:cstheme="minorHAnsi"/>
          <w:i/>
        </w:rPr>
        <w:t>Rhetorical</w:t>
      </w:r>
      <w:r w:rsidR="00431735" w:rsidRPr="00025B9C">
        <w:rPr>
          <w:rFonts w:asciiTheme="minorHAnsi" w:hAnsiTheme="minorHAnsi" w:cstheme="minorHAnsi"/>
        </w:rPr>
        <w:t xml:space="preserve"> </w:t>
      </w:r>
      <w:r w:rsidR="00431735" w:rsidRPr="00025B9C">
        <w:rPr>
          <w:rFonts w:asciiTheme="minorHAnsi" w:hAnsiTheme="minorHAnsi" w:cstheme="minorHAnsi"/>
          <w:i/>
        </w:rPr>
        <w:t>s</w:t>
      </w:r>
      <w:r w:rsidR="00DE72FA" w:rsidRPr="00025B9C">
        <w:rPr>
          <w:rFonts w:asciiTheme="minorHAnsi" w:hAnsiTheme="minorHAnsi" w:cstheme="minorHAnsi"/>
          <w:i/>
        </w:rPr>
        <w:t>trategies</w:t>
      </w:r>
      <w:r w:rsidR="00F129F1" w:rsidRPr="00025B9C">
        <w:rPr>
          <w:rFonts w:asciiTheme="minorHAnsi" w:hAnsiTheme="minorHAnsi" w:cstheme="minorHAnsi"/>
          <w:i/>
        </w:rPr>
        <w:t xml:space="preserve"> used in explanations</w:t>
      </w:r>
      <w:r w:rsidR="00DE72FA" w:rsidRPr="00025B9C">
        <w:rPr>
          <w:rFonts w:asciiTheme="minorHAnsi" w:hAnsiTheme="minorHAnsi" w:cstheme="minorHAnsi"/>
          <w:i/>
        </w:rPr>
        <w:t xml:space="preserve"> </w:t>
      </w:r>
      <w:r w:rsidR="00A81B28" w:rsidRPr="00025B9C">
        <w:rPr>
          <w:rFonts w:asciiTheme="minorHAnsi" w:hAnsiTheme="minorHAnsi" w:cstheme="minorHAnsi"/>
          <w:i/>
        </w:rPr>
        <w:t>(RQs 1 and 2)</w:t>
      </w:r>
    </w:p>
    <w:p w:rsidR="00383D39" w:rsidRPr="00025B9C" w:rsidRDefault="00431735" w:rsidP="00383D39">
      <w:pPr>
        <w:keepNext/>
        <w:spacing w:line="360" w:lineRule="auto"/>
        <w:jc w:val="both"/>
        <w:rPr>
          <w:rFonts w:asciiTheme="minorHAnsi" w:hAnsiTheme="minorHAnsi" w:cstheme="minorHAnsi"/>
        </w:rPr>
      </w:pPr>
      <w:r w:rsidRPr="00025B9C">
        <w:rPr>
          <w:rFonts w:asciiTheme="minorHAnsi" w:hAnsiTheme="minorHAnsi" w:cstheme="minorHAnsi"/>
        </w:rPr>
        <w:t>Rhetorical s</w:t>
      </w:r>
      <w:r w:rsidR="00CF5AF5" w:rsidRPr="00025B9C">
        <w:rPr>
          <w:rFonts w:asciiTheme="minorHAnsi" w:hAnsiTheme="minorHAnsi" w:cstheme="minorHAnsi"/>
        </w:rPr>
        <w:t>trategies for both periods</w:t>
      </w:r>
      <w:r w:rsidR="00224EAB" w:rsidRPr="00025B9C">
        <w:rPr>
          <w:rFonts w:asciiTheme="minorHAnsi" w:hAnsiTheme="minorHAnsi" w:cstheme="minorHAnsi"/>
        </w:rPr>
        <w:t xml:space="preserve"> are summariz</w:t>
      </w:r>
      <w:r w:rsidR="00A23839" w:rsidRPr="00025B9C">
        <w:rPr>
          <w:rFonts w:asciiTheme="minorHAnsi" w:hAnsiTheme="minorHAnsi" w:cstheme="minorHAnsi"/>
        </w:rPr>
        <w:t>ed in Table 5</w:t>
      </w:r>
      <w:r w:rsidR="00DE72FA" w:rsidRPr="00025B9C">
        <w:rPr>
          <w:rFonts w:asciiTheme="minorHAnsi" w:hAnsiTheme="minorHAnsi" w:cstheme="minorHAnsi"/>
        </w:rPr>
        <w:t xml:space="preserve">. The </w:t>
      </w:r>
      <w:r w:rsidR="000552ED" w:rsidRPr="00025B9C">
        <w:rPr>
          <w:rFonts w:asciiTheme="minorHAnsi" w:hAnsiTheme="minorHAnsi" w:cstheme="minorHAnsi"/>
        </w:rPr>
        <w:t xml:space="preserve">relative </w:t>
      </w:r>
      <w:r w:rsidR="00574C20" w:rsidRPr="00025B9C">
        <w:rPr>
          <w:rFonts w:asciiTheme="minorHAnsi" w:hAnsiTheme="minorHAnsi" w:cstheme="minorHAnsi"/>
        </w:rPr>
        <w:t xml:space="preserve">popularity of certain </w:t>
      </w:r>
      <w:r w:rsidR="00DF3161" w:rsidRPr="00025B9C">
        <w:rPr>
          <w:rFonts w:asciiTheme="minorHAnsi" w:hAnsiTheme="minorHAnsi" w:cstheme="minorHAnsi"/>
        </w:rPr>
        <w:t xml:space="preserve">rhetorical </w:t>
      </w:r>
      <w:r w:rsidR="00DE72FA" w:rsidRPr="00025B9C">
        <w:rPr>
          <w:rFonts w:asciiTheme="minorHAnsi" w:hAnsiTheme="minorHAnsi" w:cstheme="minorHAnsi"/>
        </w:rPr>
        <w:t xml:space="preserve">strategies </w:t>
      </w:r>
      <w:r w:rsidR="00B86A20" w:rsidRPr="00025B9C">
        <w:rPr>
          <w:rFonts w:asciiTheme="minorHAnsi" w:hAnsiTheme="minorHAnsi" w:cstheme="minorHAnsi"/>
        </w:rPr>
        <w:t>is</w:t>
      </w:r>
      <w:r w:rsidR="00DE72FA" w:rsidRPr="00025B9C">
        <w:rPr>
          <w:rFonts w:asciiTheme="minorHAnsi" w:hAnsiTheme="minorHAnsi" w:cstheme="minorHAnsi"/>
        </w:rPr>
        <w:t xml:space="preserve"> similar in both accounting periods</w:t>
      </w:r>
      <w:r w:rsidR="00FF6856" w:rsidRPr="00025B9C">
        <w:rPr>
          <w:rFonts w:asciiTheme="minorHAnsi" w:hAnsiTheme="minorHAnsi" w:cstheme="minorHAnsi"/>
        </w:rPr>
        <w:t xml:space="preserve"> (the top-</w:t>
      </w:r>
      <w:r w:rsidR="00DF3161" w:rsidRPr="00025B9C">
        <w:rPr>
          <w:rFonts w:asciiTheme="minorHAnsi" w:hAnsiTheme="minorHAnsi" w:cstheme="minorHAnsi"/>
        </w:rPr>
        <w:t>five ranking is identical)</w:t>
      </w:r>
      <w:r w:rsidR="00DE72FA" w:rsidRPr="00025B9C">
        <w:rPr>
          <w:rFonts w:asciiTheme="minorHAnsi" w:hAnsiTheme="minorHAnsi" w:cstheme="minorHAnsi"/>
        </w:rPr>
        <w:t xml:space="preserve">. </w:t>
      </w:r>
      <w:r w:rsidR="000552ED" w:rsidRPr="00025B9C">
        <w:rPr>
          <w:rFonts w:asciiTheme="minorHAnsi" w:hAnsiTheme="minorHAnsi" w:cstheme="minorHAnsi"/>
        </w:rPr>
        <w:t xml:space="preserve">The most popular </w:t>
      </w:r>
      <w:r w:rsidRPr="00025B9C">
        <w:rPr>
          <w:rFonts w:asciiTheme="minorHAnsi" w:hAnsiTheme="minorHAnsi" w:cstheme="minorHAnsi"/>
        </w:rPr>
        <w:t xml:space="preserve">rhetorical </w:t>
      </w:r>
      <w:r w:rsidR="000552ED" w:rsidRPr="00025B9C">
        <w:rPr>
          <w:rFonts w:asciiTheme="minorHAnsi" w:hAnsiTheme="minorHAnsi" w:cstheme="minorHAnsi"/>
        </w:rPr>
        <w:t xml:space="preserve">strategies used </w:t>
      </w:r>
      <w:r w:rsidR="00F27096" w:rsidRPr="00025B9C">
        <w:rPr>
          <w:rFonts w:asciiTheme="minorHAnsi" w:hAnsiTheme="minorHAnsi" w:cstheme="minorHAnsi"/>
        </w:rPr>
        <w:t>include</w:t>
      </w:r>
      <w:r w:rsidR="00224EAB" w:rsidRPr="00025B9C">
        <w:rPr>
          <w:rFonts w:asciiTheme="minorHAnsi" w:hAnsiTheme="minorHAnsi" w:cstheme="minorHAnsi"/>
        </w:rPr>
        <w:t xml:space="preserve"> </w:t>
      </w:r>
      <w:r w:rsidR="00F57B34" w:rsidRPr="00025B9C">
        <w:rPr>
          <w:rFonts w:asciiTheme="minorHAnsi" w:hAnsiTheme="minorHAnsi" w:cstheme="minorHAnsi"/>
        </w:rPr>
        <w:t>minimization</w:t>
      </w:r>
      <w:r w:rsidR="000552ED" w:rsidRPr="00025B9C">
        <w:rPr>
          <w:rFonts w:asciiTheme="minorHAnsi" w:hAnsiTheme="minorHAnsi" w:cstheme="minorHAnsi"/>
        </w:rPr>
        <w:t xml:space="preserve"> of negative feeling</w:t>
      </w:r>
      <w:r w:rsidR="008C3D00" w:rsidRPr="00025B9C">
        <w:rPr>
          <w:rFonts w:asciiTheme="minorHAnsi" w:hAnsiTheme="minorHAnsi" w:cstheme="minorHAnsi"/>
        </w:rPr>
        <w:t>s</w:t>
      </w:r>
      <w:r w:rsidR="000552ED" w:rsidRPr="00025B9C">
        <w:rPr>
          <w:rFonts w:asciiTheme="minorHAnsi" w:hAnsiTheme="minorHAnsi" w:cstheme="minorHAnsi"/>
        </w:rPr>
        <w:t xml:space="preserve"> (</w:t>
      </w:r>
      <w:r w:rsidR="00634A79" w:rsidRPr="00025B9C">
        <w:rPr>
          <w:rFonts w:asciiTheme="minorHAnsi" w:hAnsiTheme="minorHAnsi" w:cstheme="minorHAnsi"/>
        </w:rPr>
        <w:t>rhetorical strategy</w:t>
      </w:r>
      <w:r w:rsidR="00FA5FDA" w:rsidRPr="00025B9C">
        <w:rPr>
          <w:rFonts w:asciiTheme="minorHAnsi" w:hAnsiTheme="minorHAnsi" w:cstheme="minorHAnsi"/>
        </w:rPr>
        <w:t xml:space="preserve"> </w:t>
      </w:r>
      <w:r w:rsidR="003433CF" w:rsidRPr="00025B9C">
        <w:rPr>
          <w:rFonts w:asciiTheme="minorHAnsi" w:hAnsiTheme="minorHAnsi" w:cstheme="minorHAnsi"/>
        </w:rPr>
        <w:t>3</w:t>
      </w:r>
      <w:r w:rsidR="000552ED" w:rsidRPr="00025B9C">
        <w:rPr>
          <w:rFonts w:asciiTheme="minorHAnsi" w:hAnsiTheme="minorHAnsi" w:cstheme="minorHAnsi"/>
        </w:rPr>
        <w:t>), the use of</w:t>
      </w:r>
      <w:r w:rsidR="00F27096" w:rsidRPr="00025B9C">
        <w:rPr>
          <w:rFonts w:asciiTheme="minorHAnsi" w:hAnsiTheme="minorHAnsi" w:cstheme="minorHAnsi"/>
        </w:rPr>
        <w:t xml:space="preserve"> </w:t>
      </w:r>
      <w:r w:rsidR="00972A37" w:rsidRPr="00025B9C">
        <w:rPr>
          <w:rFonts w:asciiTheme="minorHAnsi" w:hAnsiTheme="minorHAnsi" w:cstheme="minorHAnsi"/>
        </w:rPr>
        <w:t>‘weasel words’</w:t>
      </w:r>
      <w:r w:rsidR="000552ED" w:rsidRPr="00025B9C">
        <w:rPr>
          <w:rFonts w:asciiTheme="minorHAnsi" w:hAnsiTheme="minorHAnsi" w:cstheme="minorHAnsi"/>
        </w:rPr>
        <w:t xml:space="preserve"> (</w:t>
      </w:r>
      <w:r w:rsidR="00634A79" w:rsidRPr="00025B9C">
        <w:rPr>
          <w:rFonts w:asciiTheme="minorHAnsi" w:hAnsiTheme="minorHAnsi" w:cstheme="minorHAnsi"/>
        </w:rPr>
        <w:t>rhetorical strategy</w:t>
      </w:r>
      <w:r w:rsidR="00FA5FDA" w:rsidRPr="00025B9C">
        <w:rPr>
          <w:rFonts w:asciiTheme="minorHAnsi" w:hAnsiTheme="minorHAnsi" w:cstheme="minorHAnsi"/>
        </w:rPr>
        <w:t xml:space="preserve"> </w:t>
      </w:r>
      <w:r w:rsidR="003433CF" w:rsidRPr="00025B9C">
        <w:rPr>
          <w:rFonts w:asciiTheme="minorHAnsi" w:hAnsiTheme="minorHAnsi" w:cstheme="minorHAnsi"/>
        </w:rPr>
        <w:t>9</w:t>
      </w:r>
      <w:r w:rsidR="000552ED" w:rsidRPr="00025B9C">
        <w:rPr>
          <w:rFonts w:asciiTheme="minorHAnsi" w:hAnsiTheme="minorHAnsi" w:cstheme="minorHAnsi"/>
        </w:rPr>
        <w:t>b) and transcendence</w:t>
      </w:r>
      <w:r w:rsidR="00301869" w:rsidRPr="00025B9C">
        <w:rPr>
          <w:rFonts w:asciiTheme="minorHAnsi" w:hAnsiTheme="minorHAnsi" w:cstheme="minorHAnsi"/>
        </w:rPr>
        <w:t xml:space="preserve"> (</w:t>
      </w:r>
      <w:r w:rsidR="005F48C8" w:rsidRPr="00025B9C">
        <w:rPr>
          <w:rFonts w:asciiTheme="minorHAnsi" w:hAnsiTheme="minorHAnsi" w:cstheme="minorHAnsi"/>
        </w:rPr>
        <w:t>‘</w:t>
      </w:r>
      <w:r w:rsidR="00301869" w:rsidRPr="00025B9C">
        <w:rPr>
          <w:rFonts w:asciiTheme="minorHAnsi" w:hAnsiTheme="minorHAnsi" w:cstheme="minorHAnsi"/>
        </w:rPr>
        <w:t>ends justify the means</w:t>
      </w:r>
      <w:r w:rsidR="005F48C8" w:rsidRPr="00025B9C">
        <w:rPr>
          <w:rFonts w:asciiTheme="minorHAnsi" w:hAnsiTheme="minorHAnsi" w:cstheme="minorHAnsi"/>
        </w:rPr>
        <w:t>’</w:t>
      </w:r>
      <w:r w:rsidR="00301869" w:rsidRPr="00025B9C">
        <w:rPr>
          <w:rFonts w:asciiTheme="minorHAnsi" w:hAnsiTheme="minorHAnsi" w:cstheme="minorHAnsi"/>
        </w:rPr>
        <w:t>)</w:t>
      </w:r>
      <w:r w:rsidR="000552ED" w:rsidRPr="00025B9C">
        <w:rPr>
          <w:rFonts w:asciiTheme="minorHAnsi" w:hAnsiTheme="minorHAnsi" w:cstheme="minorHAnsi"/>
        </w:rPr>
        <w:t xml:space="preserve"> (</w:t>
      </w:r>
      <w:r w:rsidR="00634A79" w:rsidRPr="00025B9C">
        <w:rPr>
          <w:rFonts w:asciiTheme="minorHAnsi" w:hAnsiTheme="minorHAnsi" w:cstheme="minorHAnsi"/>
        </w:rPr>
        <w:t>rhetorical strategy</w:t>
      </w:r>
      <w:r w:rsidR="00FA5FDA" w:rsidRPr="00025B9C">
        <w:rPr>
          <w:rFonts w:asciiTheme="minorHAnsi" w:hAnsiTheme="minorHAnsi" w:cstheme="minorHAnsi"/>
        </w:rPr>
        <w:t xml:space="preserve"> </w:t>
      </w:r>
      <w:r w:rsidR="003433CF" w:rsidRPr="00025B9C">
        <w:rPr>
          <w:rFonts w:asciiTheme="minorHAnsi" w:hAnsiTheme="minorHAnsi" w:cstheme="minorHAnsi"/>
        </w:rPr>
        <w:t>4</w:t>
      </w:r>
      <w:r w:rsidR="000552ED" w:rsidRPr="00025B9C">
        <w:rPr>
          <w:rFonts w:asciiTheme="minorHAnsi" w:hAnsiTheme="minorHAnsi" w:cstheme="minorHAnsi"/>
        </w:rPr>
        <w:t>). R</w:t>
      </w:r>
      <w:r w:rsidR="009B2AFD" w:rsidRPr="00025B9C">
        <w:rPr>
          <w:rFonts w:asciiTheme="minorHAnsi" w:hAnsiTheme="minorHAnsi" w:cstheme="minorHAnsi"/>
        </w:rPr>
        <w:t>elative t</w:t>
      </w:r>
      <w:r w:rsidR="00220A4F" w:rsidRPr="00025B9C">
        <w:rPr>
          <w:rFonts w:asciiTheme="minorHAnsi" w:hAnsiTheme="minorHAnsi" w:cstheme="minorHAnsi"/>
        </w:rPr>
        <w:t>o</w:t>
      </w:r>
      <w:r w:rsidR="009B2AFD" w:rsidRPr="00025B9C">
        <w:rPr>
          <w:rFonts w:asciiTheme="minorHAnsi" w:hAnsiTheme="minorHAnsi" w:cstheme="minorHAnsi"/>
        </w:rPr>
        <w:t xml:space="preserve"> the </w:t>
      </w:r>
      <w:r w:rsidR="009C3D1F" w:rsidRPr="00025B9C">
        <w:rPr>
          <w:rFonts w:asciiTheme="minorHAnsi" w:hAnsiTheme="minorHAnsi" w:cstheme="minorHAnsi"/>
        </w:rPr>
        <w:t>frequency</w:t>
      </w:r>
      <w:r w:rsidR="009B2AFD" w:rsidRPr="00025B9C">
        <w:rPr>
          <w:rFonts w:asciiTheme="minorHAnsi" w:hAnsiTheme="minorHAnsi" w:cstheme="minorHAnsi"/>
        </w:rPr>
        <w:t xml:space="preserve"> of non-compliance</w:t>
      </w:r>
      <w:r w:rsidR="008C3D00" w:rsidRPr="00025B9C">
        <w:rPr>
          <w:rFonts w:asciiTheme="minorHAnsi" w:hAnsiTheme="minorHAnsi" w:cstheme="minorHAnsi"/>
        </w:rPr>
        <w:t>,</w:t>
      </w:r>
      <w:r w:rsidR="000552ED" w:rsidRPr="00025B9C">
        <w:rPr>
          <w:rFonts w:asciiTheme="minorHAnsi" w:hAnsiTheme="minorHAnsi" w:cstheme="minorHAnsi"/>
        </w:rPr>
        <w:t xml:space="preserve"> </w:t>
      </w:r>
      <w:r w:rsidRPr="00025B9C">
        <w:rPr>
          <w:rFonts w:asciiTheme="minorHAnsi" w:hAnsiTheme="minorHAnsi" w:cstheme="minorHAnsi"/>
        </w:rPr>
        <w:t xml:space="preserve">rhetorical </w:t>
      </w:r>
      <w:r w:rsidR="00220A4F" w:rsidRPr="00025B9C">
        <w:rPr>
          <w:rFonts w:asciiTheme="minorHAnsi" w:hAnsiTheme="minorHAnsi" w:cstheme="minorHAnsi"/>
        </w:rPr>
        <w:t xml:space="preserve">strategies </w:t>
      </w:r>
      <w:r w:rsidR="008E6345" w:rsidRPr="00025B9C">
        <w:rPr>
          <w:rFonts w:asciiTheme="minorHAnsi" w:hAnsiTheme="minorHAnsi" w:cstheme="minorHAnsi"/>
        </w:rPr>
        <w:t xml:space="preserve">are </w:t>
      </w:r>
      <w:r w:rsidR="00220A4F" w:rsidRPr="00025B9C">
        <w:rPr>
          <w:rFonts w:asciiTheme="minorHAnsi" w:hAnsiTheme="minorHAnsi" w:cstheme="minorHAnsi"/>
        </w:rPr>
        <w:t>more common</w:t>
      </w:r>
      <w:r w:rsidR="000552ED" w:rsidRPr="00025B9C">
        <w:rPr>
          <w:rFonts w:asciiTheme="minorHAnsi" w:hAnsiTheme="minorHAnsi" w:cstheme="minorHAnsi"/>
        </w:rPr>
        <w:t xml:space="preserve"> </w:t>
      </w:r>
      <w:r w:rsidR="00F27096" w:rsidRPr="00025B9C">
        <w:rPr>
          <w:rFonts w:asciiTheme="minorHAnsi" w:hAnsiTheme="minorHAnsi" w:cstheme="minorHAnsi"/>
        </w:rPr>
        <w:t>in the</w:t>
      </w:r>
      <w:r w:rsidR="00FA5FDA" w:rsidRPr="00025B9C">
        <w:rPr>
          <w:rFonts w:asciiTheme="minorHAnsi" w:hAnsiTheme="minorHAnsi" w:cstheme="minorHAnsi"/>
        </w:rPr>
        <w:t xml:space="preserve"> 2011/12</w:t>
      </w:r>
      <w:r w:rsidR="00F27096" w:rsidRPr="00025B9C">
        <w:rPr>
          <w:rFonts w:asciiTheme="minorHAnsi" w:hAnsiTheme="minorHAnsi" w:cstheme="minorHAnsi"/>
        </w:rPr>
        <w:t xml:space="preserve"> period</w:t>
      </w:r>
      <w:r w:rsidR="00FA5FDA" w:rsidRPr="00025B9C">
        <w:rPr>
          <w:rFonts w:asciiTheme="minorHAnsi" w:hAnsiTheme="minorHAnsi" w:cstheme="minorHAnsi"/>
        </w:rPr>
        <w:t xml:space="preserve">: 2004/05: 265 </w:t>
      </w:r>
      <w:r w:rsidRPr="00025B9C">
        <w:rPr>
          <w:rFonts w:asciiTheme="minorHAnsi" w:hAnsiTheme="minorHAnsi" w:cstheme="minorHAnsi"/>
        </w:rPr>
        <w:t xml:space="preserve">rhetorical </w:t>
      </w:r>
      <w:r w:rsidR="00FA5FDA" w:rsidRPr="00025B9C">
        <w:rPr>
          <w:rFonts w:asciiTheme="minorHAnsi" w:hAnsiTheme="minorHAnsi" w:cstheme="minorHAnsi"/>
        </w:rPr>
        <w:t>strategies</w:t>
      </w:r>
      <w:r w:rsidR="00DA2B3F" w:rsidRPr="00025B9C">
        <w:rPr>
          <w:rFonts w:asciiTheme="minorHAnsi" w:hAnsiTheme="minorHAnsi" w:cstheme="minorHAnsi"/>
        </w:rPr>
        <w:t xml:space="preserve"> – 168 </w:t>
      </w:r>
      <w:r w:rsidR="00FA506C" w:rsidRPr="00025B9C">
        <w:rPr>
          <w:rFonts w:asciiTheme="minorHAnsi" w:hAnsiTheme="minorHAnsi" w:cstheme="minorHAnsi"/>
        </w:rPr>
        <w:t>non-compliances</w:t>
      </w:r>
      <w:r w:rsidR="00DA2B3F" w:rsidRPr="00025B9C">
        <w:rPr>
          <w:rFonts w:asciiTheme="minorHAnsi" w:hAnsiTheme="minorHAnsi" w:cstheme="minorHAnsi"/>
        </w:rPr>
        <w:t xml:space="preserve"> (ratio 1.58:1)</w:t>
      </w:r>
      <w:r w:rsidR="00FA5FDA" w:rsidRPr="00025B9C">
        <w:rPr>
          <w:rFonts w:asciiTheme="minorHAnsi" w:hAnsiTheme="minorHAnsi" w:cstheme="minorHAnsi"/>
        </w:rPr>
        <w:t>; 201</w:t>
      </w:r>
      <w:r w:rsidR="00E90360" w:rsidRPr="00025B9C">
        <w:rPr>
          <w:rFonts w:asciiTheme="minorHAnsi" w:hAnsiTheme="minorHAnsi" w:cstheme="minorHAnsi"/>
        </w:rPr>
        <w:t>1</w:t>
      </w:r>
      <w:r w:rsidR="00FA5FDA" w:rsidRPr="00025B9C">
        <w:rPr>
          <w:rFonts w:asciiTheme="minorHAnsi" w:hAnsiTheme="minorHAnsi" w:cstheme="minorHAnsi"/>
        </w:rPr>
        <w:t>/1</w:t>
      </w:r>
      <w:r w:rsidR="00E90360" w:rsidRPr="00025B9C">
        <w:rPr>
          <w:rFonts w:asciiTheme="minorHAnsi" w:hAnsiTheme="minorHAnsi" w:cstheme="minorHAnsi"/>
        </w:rPr>
        <w:t>2</w:t>
      </w:r>
      <w:r w:rsidR="00FA5FDA" w:rsidRPr="00025B9C">
        <w:rPr>
          <w:rFonts w:asciiTheme="minorHAnsi" w:hAnsiTheme="minorHAnsi" w:cstheme="minorHAnsi"/>
        </w:rPr>
        <w:t xml:space="preserve">: </w:t>
      </w:r>
      <w:r w:rsidR="004866B4" w:rsidRPr="00025B9C">
        <w:rPr>
          <w:rFonts w:asciiTheme="minorHAnsi" w:hAnsiTheme="minorHAnsi" w:cstheme="minorHAnsi"/>
        </w:rPr>
        <w:t>197</w:t>
      </w:r>
      <w:r w:rsidR="00DA2B3F" w:rsidRPr="00025B9C">
        <w:rPr>
          <w:rFonts w:asciiTheme="minorHAnsi" w:hAnsiTheme="minorHAnsi" w:cstheme="minorHAnsi"/>
        </w:rPr>
        <w:t xml:space="preserve"> </w:t>
      </w:r>
      <w:r w:rsidRPr="00025B9C">
        <w:rPr>
          <w:rFonts w:asciiTheme="minorHAnsi" w:hAnsiTheme="minorHAnsi" w:cstheme="minorHAnsi"/>
        </w:rPr>
        <w:t xml:space="preserve">rhetorical </w:t>
      </w:r>
      <w:r w:rsidR="00DA2B3F" w:rsidRPr="00025B9C">
        <w:rPr>
          <w:rFonts w:asciiTheme="minorHAnsi" w:hAnsiTheme="minorHAnsi" w:cstheme="minorHAnsi"/>
        </w:rPr>
        <w:t xml:space="preserve">strategies – </w:t>
      </w:r>
      <w:r w:rsidR="00FA5FDA" w:rsidRPr="00025B9C">
        <w:rPr>
          <w:rFonts w:asciiTheme="minorHAnsi" w:hAnsiTheme="minorHAnsi" w:cstheme="minorHAnsi"/>
        </w:rPr>
        <w:t xml:space="preserve">77 </w:t>
      </w:r>
      <w:r w:rsidR="00FA506C" w:rsidRPr="00025B9C">
        <w:rPr>
          <w:rFonts w:asciiTheme="minorHAnsi" w:hAnsiTheme="minorHAnsi" w:cstheme="minorHAnsi"/>
        </w:rPr>
        <w:t>non-compliances</w:t>
      </w:r>
      <w:r w:rsidR="00FA5FDA" w:rsidRPr="00025B9C">
        <w:rPr>
          <w:rFonts w:asciiTheme="minorHAnsi" w:hAnsiTheme="minorHAnsi" w:cstheme="minorHAnsi"/>
        </w:rPr>
        <w:t xml:space="preserve"> </w:t>
      </w:r>
      <w:r w:rsidR="004866B4" w:rsidRPr="00025B9C">
        <w:rPr>
          <w:rFonts w:asciiTheme="minorHAnsi" w:hAnsiTheme="minorHAnsi" w:cstheme="minorHAnsi"/>
        </w:rPr>
        <w:t>(ratio 2.56</w:t>
      </w:r>
      <w:r w:rsidR="00DA2B3F" w:rsidRPr="00025B9C">
        <w:rPr>
          <w:rFonts w:asciiTheme="minorHAnsi" w:hAnsiTheme="minorHAnsi" w:cstheme="minorHAnsi"/>
        </w:rPr>
        <w:t xml:space="preserve">:1) </w:t>
      </w:r>
      <w:r w:rsidR="00551F83" w:rsidRPr="00025B9C">
        <w:rPr>
          <w:rFonts w:asciiTheme="minorHAnsi" w:hAnsiTheme="minorHAnsi" w:cstheme="minorHAnsi"/>
        </w:rPr>
        <w:t>(see Table</w:t>
      </w:r>
      <w:r w:rsidR="00D171C5" w:rsidRPr="00025B9C">
        <w:rPr>
          <w:rFonts w:asciiTheme="minorHAnsi" w:hAnsiTheme="minorHAnsi" w:cstheme="minorHAnsi"/>
        </w:rPr>
        <w:t>s 3, 4</w:t>
      </w:r>
      <w:r w:rsidR="004036B5" w:rsidRPr="00025B9C">
        <w:rPr>
          <w:rFonts w:asciiTheme="minorHAnsi" w:hAnsiTheme="minorHAnsi" w:cstheme="minorHAnsi"/>
        </w:rPr>
        <w:t xml:space="preserve"> </w:t>
      </w:r>
      <w:r w:rsidR="00D171C5" w:rsidRPr="00025B9C">
        <w:rPr>
          <w:rFonts w:asciiTheme="minorHAnsi" w:hAnsiTheme="minorHAnsi" w:cstheme="minorHAnsi"/>
        </w:rPr>
        <w:t>and 5</w:t>
      </w:r>
      <w:r w:rsidR="00FA5FDA" w:rsidRPr="00025B9C">
        <w:rPr>
          <w:rFonts w:asciiTheme="minorHAnsi" w:hAnsiTheme="minorHAnsi" w:cstheme="minorHAnsi"/>
        </w:rPr>
        <w:t>)</w:t>
      </w:r>
      <w:r w:rsidR="008C3D00" w:rsidRPr="00025B9C">
        <w:rPr>
          <w:rFonts w:asciiTheme="minorHAnsi" w:hAnsiTheme="minorHAnsi" w:cstheme="minorHAnsi"/>
        </w:rPr>
        <w:t>.</w:t>
      </w:r>
      <w:r w:rsidR="001B2D53" w:rsidRPr="00025B9C">
        <w:rPr>
          <w:rFonts w:asciiTheme="minorHAnsi" w:hAnsiTheme="minorHAnsi" w:cstheme="minorHAnsi"/>
        </w:rPr>
        <w:t xml:space="preserve"> </w:t>
      </w:r>
      <w:r w:rsidR="00FF6650" w:rsidRPr="00025B9C">
        <w:rPr>
          <w:rFonts w:asciiTheme="minorHAnsi" w:hAnsiTheme="minorHAnsi" w:cstheme="minorHAnsi"/>
        </w:rPr>
        <w:t>T</w:t>
      </w:r>
      <w:r w:rsidR="00DF3161" w:rsidRPr="00025B9C">
        <w:rPr>
          <w:rFonts w:asciiTheme="minorHAnsi" w:hAnsiTheme="minorHAnsi" w:cstheme="minorHAnsi"/>
        </w:rPr>
        <w:t xml:space="preserve">able </w:t>
      </w:r>
      <w:r w:rsidR="00A23839" w:rsidRPr="00025B9C">
        <w:rPr>
          <w:rFonts w:asciiTheme="minorHAnsi" w:hAnsiTheme="minorHAnsi" w:cstheme="minorHAnsi"/>
        </w:rPr>
        <w:t>5</w:t>
      </w:r>
      <w:r w:rsidR="00FF6650" w:rsidRPr="00025B9C">
        <w:rPr>
          <w:rFonts w:asciiTheme="minorHAnsi" w:hAnsiTheme="minorHAnsi" w:cstheme="minorHAnsi"/>
        </w:rPr>
        <w:t xml:space="preserve"> </w:t>
      </w:r>
      <w:r w:rsidR="00EE2C7C" w:rsidRPr="00025B9C">
        <w:rPr>
          <w:rFonts w:asciiTheme="minorHAnsi" w:hAnsiTheme="minorHAnsi" w:cstheme="minorHAnsi"/>
        </w:rPr>
        <w:t>compares</w:t>
      </w:r>
      <w:r w:rsidR="00DF3161" w:rsidRPr="00025B9C">
        <w:rPr>
          <w:rFonts w:asciiTheme="minorHAnsi" w:hAnsiTheme="minorHAnsi" w:cstheme="minorHAnsi"/>
        </w:rPr>
        <w:t xml:space="preserve"> both the number of </w:t>
      </w:r>
      <w:r w:rsidRPr="00025B9C">
        <w:rPr>
          <w:rFonts w:asciiTheme="minorHAnsi" w:hAnsiTheme="minorHAnsi" w:cstheme="minorHAnsi"/>
        </w:rPr>
        <w:t xml:space="preserve">rhetorical </w:t>
      </w:r>
      <w:r w:rsidR="00DF3161" w:rsidRPr="00025B9C">
        <w:rPr>
          <w:rFonts w:asciiTheme="minorHAnsi" w:hAnsiTheme="minorHAnsi" w:cstheme="minorHAnsi"/>
        </w:rPr>
        <w:t xml:space="preserve">strategies per non-compliance (termed </w:t>
      </w:r>
      <w:r w:rsidR="00406F86" w:rsidRPr="00025B9C">
        <w:rPr>
          <w:rFonts w:asciiTheme="minorHAnsi" w:hAnsiTheme="minorHAnsi" w:cstheme="minorHAnsi"/>
        </w:rPr>
        <w:t>‘</w:t>
      </w:r>
      <w:r w:rsidR="00DF3161" w:rsidRPr="00025B9C">
        <w:rPr>
          <w:rFonts w:asciiTheme="minorHAnsi" w:hAnsiTheme="minorHAnsi" w:cstheme="minorHAnsi"/>
        </w:rPr>
        <w:t>breach</w:t>
      </w:r>
      <w:r w:rsidR="00406F86" w:rsidRPr="00025B9C">
        <w:rPr>
          <w:rFonts w:asciiTheme="minorHAnsi" w:hAnsiTheme="minorHAnsi" w:cstheme="minorHAnsi"/>
        </w:rPr>
        <w:t>’</w:t>
      </w:r>
      <w:r w:rsidR="00DF3161" w:rsidRPr="00025B9C">
        <w:rPr>
          <w:rFonts w:asciiTheme="minorHAnsi" w:hAnsiTheme="minorHAnsi" w:cstheme="minorHAnsi"/>
        </w:rPr>
        <w:t xml:space="preserve"> for brevity in the table</w:t>
      </w:r>
      <w:r w:rsidR="00B25434" w:rsidRPr="00025B9C">
        <w:rPr>
          <w:rFonts w:asciiTheme="minorHAnsi" w:hAnsiTheme="minorHAnsi" w:cstheme="minorHAnsi"/>
        </w:rPr>
        <w:t>s</w:t>
      </w:r>
      <w:r w:rsidR="00DF3161" w:rsidRPr="00025B9C">
        <w:rPr>
          <w:rFonts w:asciiTheme="minorHAnsi" w:hAnsiTheme="minorHAnsi" w:cstheme="minorHAnsi"/>
        </w:rPr>
        <w:t>) and the relative change i</w:t>
      </w:r>
      <w:r w:rsidR="00004088" w:rsidRPr="00025B9C">
        <w:rPr>
          <w:rFonts w:asciiTheme="minorHAnsi" w:hAnsiTheme="minorHAnsi" w:cstheme="minorHAnsi"/>
        </w:rPr>
        <w:t xml:space="preserve">n this figure over </w:t>
      </w:r>
      <w:r w:rsidR="00444A1C" w:rsidRPr="00025B9C">
        <w:rPr>
          <w:rFonts w:asciiTheme="minorHAnsi" w:hAnsiTheme="minorHAnsi" w:cstheme="minorHAnsi"/>
        </w:rPr>
        <w:t xml:space="preserve">the two </w:t>
      </w:r>
      <w:r w:rsidR="00004088" w:rsidRPr="00025B9C">
        <w:rPr>
          <w:rFonts w:asciiTheme="minorHAnsi" w:hAnsiTheme="minorHAnsi" w:cstheme="minorHAnsi"/>
        </w:rPr>
        <w:t>time</w:t>
      </w:r>
      <w:r w:rsidR="00444A1C" w:rsidRPr="00025B9C">
        <w:rPr>
          <w:rFonts w:asciiTheme="minorHAnsi" w:hAnsiTheme="minorHAnsi" w:cstheme="minorHAnsi"/>
        </w:rPr>
        <w:t xml:space="preserve"> periods</w:t>
      </w:r>
      <w:r w:rsidR="00DF3161" w:rsidRPr="00025B9C">
        <w:rPr>
          <w:rFonts w:asciiTheme="minorHAnsi" w:hAnsiTheme="minorHAnsi" w:cstheme="minorHAnsi"/>
        </w:rPr>
        <w:t>.</w:t>
      </w:r>
      <w:r w:rsidR="00FF6650" w:rsidRPr="00025B9C">
        <w:rPr>
          <w:rFonts w:asciiTheme="minorHAnsi" w:hAnsiTheme="minorHAnsi" w:cstheme="minorHAnsi"/>
        </w:rPr>
        <w:t xml:space="preserve"> T</w:t>
      </w:r>
      <w:r w:rsidR="005E6BC7" w:rsidRPr="00025B9C">
        <w:rPr>
          <w:rFonts w:asciiTheme="minorHAnsi" w:hAnsiTheme="minorHAnsi" w:cstheme="minorHAnsi"/>
        </w:rPr>
        <w:t xml:space="preserve">he percentage </w:t>
      </w:r>
      <w:r w:rsidR="00297BF2" w:rsidRPr="00025B9C">
        <w:rPr>
          <w:rFonts w:asciiTheme="minorHAnsi" w:hAnsiTheme="minorHAnsi" w:cstheme="minorHAnsi"/>
        </w:rPr>
        <w:t xml:space="preserve">share of each </w:t>
      </w:r>
      <w:r w:rsidRPr="00025B9C">
        <w:rPr>
          <w:rFonts w:asciiTheme="minorHAnsi" w:hAnsiTheme="minorHAnsi" w:cstheme="minorHAnsi"/>
        </w:rPr>
        <w:t xml:space="preserve">rhetorical </w:t>
      </w:r>
      <w:r w:rsidR="00297BF2" w:rsidRPr="00025B9C">
        <w:rPr>
          <w:rFonts w:asciiTheme="minorHAnsi" w:hAnsiTheme="minorHAnsi" w:cstheme="minorHAnsi"/>
        </w:rPr>
        <w:t>strategy is shown</w:t>
      </w:r>
      <w:r w:rsidR="00AD77F5" w:rsidRPr="00025B9C">
        <w:rPr>
          <w:rFonts w:asciiTheme="minorHAnsi" w:hAnsiTheme="minorHAnsi" w:cstheme="minorHAnsi"/>
        </w:rPr>
        <w:t xml:space="preserve">. </w:t>
      </w:r>
      <w:r w:rsidR="00FF6856" w:rsidRPr="00025B9C">
        <w:rPr>
          <w:rFonts w:asciiTheme="minorHAnsi" w:hAnsiTheme="minorHAnsi" w:cstheme="minorHAnsi"/>
        </w:rPr>
        <w:t>T</w:t>
      </w:r>
      <w:r w:rsidR="006602F0" w:rsidRPr="00025B9C">
        <w:rPr>
          <w:rFonts w:asciiTheme="minorHAnsi" w:hAnsiTheme="minorHAnsi" w:cstheme="minorHAnsi"/>
        </w:rPr>
        <w:t xml:space="preserve">rends indicate that managers are making more use of these rhetorical strategies </w:t>
      </w:r>
      <w:r w:rsidR="009C3D1F" w:rsidRPr="00025B9C">
        <w:rPr>
          <w:rFonts w:asciiTheme="minorHAnsi" w:hAnsiTheme="minorHAnsi" w:cstheme="minorHAnsi"/>
        </w:rPr>
        <w:t>in non-compliance explanations</w:t>
      </w:r>
      <w:r w:rsidR="006602F0" w:rsidRPr="00025B9C">
        <w:rPr>
          <w:rFonts w:asciiTheme="minorHAnsi" w:hAnsiTheme="minorHAnsi" w:cstheme="minorHAnsi"/>
        </w:rPr>
        <w:t xml:space="preserve">. </w:t>
      </w:r>
      <w:r w:rsidR="00FA506C" w:rsidRPr="00025B9C">
        <w:rPr>
          <w:rFonts w:asciiTheme="minorHAnsi" w:hAnsiTheme="minorHAnsi" w:cstheme="minorHAnsi"/>
        </w:rPr>
        <w:t xml:space="preserve">The relative use of </w:t>
      </w:r>
      <w:r w:rsidR="000E5654" w:rsidRPr="00025B9C">
        <w:rPr>
          <w:rFonts w:asciiTheme="minorHAnsi" w:hAnsiTheme="minorHAnsi" w:cstheme="minorHAnsi"/>
          <w:szCs w:val="22"/>
        </w:rPr>
        <w:t>rhetorical strategy</w:t>
      </w:r>
      <w:r w:rsidR="00224EAB" w:rsidRPr="00025B9C">
        <w:rPr>
          <w:rFonts w:asciiTheme="minorHAnsi" w:hAnsiTheme="minorHAnsi" w:cstheme="minorHAnsi"/>
        </w:rPr>
        <w:t xml:space="preserve"> 3 (</w:t>
      </w:r>
      <w:r w:rsidR="00F57B34" w:rsidRPr="00025B9C">
        <w:rPr>
          <w:rFonts w:asciiTheme="minorHAnsi" w:hAnsiTheme="minorHAnsi" w:cstheme="minorHAnsi"/>
        </w:rPr>
        <w:t>minimization</w:t>
      </w:r>
      <w:r w:rsidR="00FA506C" w:rsidRPr="00025B9C">
        <w:rPr>
          <w:rFonts w:asciiTheme="minorHAnsi" w:hAnsiTheme="minorHAnsi" w:cstheme="minorHAnsi"/>
        </w:rPr>
        <w:t xml:space="preserve"> of negative feelings) has increased by </w:t>
      </w:r>
      <w:r w:rsidR="00FF6650" w:rsidRPr="00025B9C">
        <w:rPr>
          <w:rFonts w:asciiTheme="minorHAnsi" w:hAnsiTheme="minorHAnsi" w:cstheme="minorHAnsi"/>
        </w:rPr>
        <w:t>100</w:t>
      </w:r>
      <w:r w:rsidR="00FA506C" w:rsidRPr="00025B9C">
        <w:rPr>
          <w:rFonts w:asciiTheme="minorHAnsi" w:hAnsiTheme="minorHAnsi" w:cstheme="minorHAnsi"/>
        </w:rPr>
        <w:t xml:space="preserve">% and </w:t>
      </w:r>
      <w:r w:rsidR="00297BF2" w:rsidRPr="00025B9C">
        <w:rPr>
          <w:rFonts w:asciiTheme="minorHAnsi" w:hAnsiTheme="minorHAnsi" w:cstheme="minorHAnsi"/>
        </w:rPr>
        <w:t xml:space="preserve">in 2011/12 </w:t>
      </w:r>
      <w:r w:rsidR="00FA506C" w:rsidRPr="00025B9C">
        <w:rPr>
          <w:rFonts w:asciiTheme="minorHAnsi" w:hAnsiTheme="minorHAnsi" w:cstheme="minorHAnsi"/>
        </w:rPr>
        <w:t xml:space="preserve">this </w:t>
      </w:r>
      <w:r w:rsidRPr="00025B9C">
        <w:rPr>
          <w:rFonts w:asciiTheme="minorHAnsi" w:hAnsiTheme="minorHAnsi" w:cstheme="minorHAnsi"/>
        </w:rPr>
        <w:t xml:space="preserve">rhetorical </w:t>
      </w:r>
      <w:r w:rsidR="00FA506C" w:rsidRPr="00025B9C">
        <w:rPr>
          <w:rFonts w:asciiTheme="minorHAnsi" w:hAnsiTheme="minorHAnsi" w:cstheme="minorHAnsi"/>
        </w:rPr>
        <w:t xml:space="preserve">strategy represents nearly a quarter of the total </w:t>
      </w:r>
      <w:r w:rsidRPr="00025B9C">
        <w:rPr>
          <w:rFonts w:asciiTheme="minorHAnsi" w:hAnsiTheme="minorHAnsi" w:cstheme="minorHAnsi"/>
        </w:rPr>
        <w:t xml:space="preserve">rhetorical </w:t>
      </w:r>
      <w:r w:rsidR="00FA506C" w:rsidRPr="00025B9C">
        <w:rPr>
          <w:rFonts w:asciiTheme="minorHAnsi" w:hAnsiTheme="minorHAnsi" w:cstheme="minorHAnsi"/>
        </w:rPr>
        <w:t xml:space="preserve">strategies (up from 19%). </w:t>
      </w:r>
      <w:r w:rsidR="00B25434" w:rsidRPr="00025B9C">
        <w:rPr>
          <w:rFonts w:asciiTheme="minorHAnsi" w:hAnsiTheme="minorHAnsi" w:cstheme="minorHAnsi"/>
        </w:rPr>
        <w:t xml:space="preserve">If </w:t>
      </w:r>
      <w:r w:rsidR="00917003" w:rsidRPr="00025B9C">
        <w:rPr>
          <w:rFonts w:asciiTheme="minorHAnsi" w:hAnsiTheme="minorHAnsi" w:cstheme="minorHAnsi"/>
        </w:rPr>
        <w:t xml:space="preserve">areas of </w:t>
      </w:r>
      <w:r w:rsidR="00B25434" w:rsidRPr="00025B9C">
        <w:rPr>
          <w:rFonts w:asciiTheme="minorHAnsi" w:hAnsiTheme="minorHAnsi" w:cstheme="minorHAnsi"/>
        </w:rPr>
        <w:t xml:space="preserve">non-compliance were inconsequential then this </w:t>
      </w:r>
      <w:r w:rsidR="00917003" w:rsidRPr="00025B9C">
        <w:rPr>
          <w:rFonts w:asciiTheme="minorHAnsi" w:hAnsiTheme="minorHAnsi" w:cstheme="minorHAnsi"/>
        </w:rPr>
        <w:t xml:space="preserve">might </w:t>
      </w:r>
      <w:r w:rsidR="00B25434" w:rsidRPr="00025B9C">
        <w:rPr>
          <w:rFonts w:asciiTheme="minorHAnsi" w:hAnsiTheme="minorHAnsi" w:cstheme="minorHAnsi"/>
        </w:rPr>
        <w:t>be understandable but</w:t>
      </w:r>
      <w:r w:rsidR="00A647A4" w:rsidRPr="00025B9C">
        <w:rPr>
          <w:rFonts w:asciiTheme="minorHAnsi" w:hAnsiTheme="minorHAnsi" w:cstheme="minorHAnsi"/>
        </w:rPr>
        <w:t>,</w:t>
      </w:r>
      <w:r w:rsidR="00B25434" w:rsidRPr="00025B9C">
        <w:rPr>
          <w:rFonts w:asciiTheme="minorHAnsi" w:hAnsiTheme="minorHAnsi" w:cstheme="minorHAnsi"/>
        </w:rPr>
        <w:t xml:space="preserve"> as Tab</w:t>
      </w:r>
      <w:r w:rsidR="00A23839" w:rsidRPr="00025B9C">
        <w:rPr>
          <w:rFonts w:asciiTheme="minorHAnsi" w:hAnsiTheme="minorHAnsi" w:cstheme="minorHAnsi"/>
        </w:rPr>
        <w:t>le 4</w:t>
      </w:r>
      <w:r w:rsidR="00B25434" w:rsidRPr="00025B9C">
        <w:rPr>
          <w:rFonts w:asciiTheme="minorHAnsi" w:hAnsiTheme="minorHAnsi" w:cstheme="minorHAnsi"/>
        </w:rPr>
        <w:t xml:space="preserve"> </w:t>
      </w:r>
      <w:r w:rsidR="004036B5" w:rsidRPr="00025B9C">
        <w:rPr>
          <w:rFonts w:asciiTheme="minorHAnsi" w:hAnsiTheme="minorHAnsi" w:cstheme="minorHAnsi"/>
        </w:rPr>
        <w:t>indicates</w:t>
      </w:r>
      <w:r w:rsidR="00A647A4" w:rsidRPr="00025B9C">
        <w:rPr>
          <w:rFonts w:asciiTheme="minorHAnsi" w:hAnsiTheme="minorHAnsi" w:cstheme="minorHAnsi"/>
        </w:rPr>
        <w:t>,</w:t>
      </w:r>
      <w:r w:rsidR="004036B5" w:rsidRPr="00025B9C">
        <w:rPr>
          <w:rFonts w:asciiTheme="minorHAnsi" w:hAnsiTheme="minorHAnsi" w:cstheme="minorHAnsi"/>
        </w:rPr>
        <w:t xml:space="preserve"> </w:t>
      </w:r>
      <w:r w:rsidR="00B25434" w:rsidRPr="00025B9C">
        <w:rPr>
          <w:rFonts w:asciiTheme="minorHAnsi" w:hAnsiTheme="minorHAnsi" w:cstheme="minorHAnsi"/>
        </w:rPr>
        <w:t xml:space="preserve">the most common non-compliances </w:t>
      </w:r>
      <w:r w:rsidR="00A647A4" w:rsidRPr="00025B9C">
        <w:rPr>
          <w:rFonts w:asciiTheme="minorHAnsi" w:hAnsiTheme="minorHAnsi" w:cstheme="minorHAnsi"/>
        </w:rPr>
        <w:t>relate to</w:t>
      </w:r>
      <w:r w:rsidR="00B25434" w:rsidRPr="00025B9C">
        <w:rPr>
          <w:rFonts w:asciiTheme="minorHAnsi" w:hAnsiTheme="minorHAnsi" w:cstheme="minorHAnsi"/>
        </w:rPr>
        <w:t xml:space="preserve"> numbers of independent non-executive directors and </w:t>
      </w:r>
      <w:r w:rsidR="00917003" w:rsidRPr="00025B9C">
        <w:rPr>
          <w:rFonts w:asciiTheme="minorHAnsi" w:hAnsiTheme="minorHAnsi" w:cstheme="minorHAnsi"/>
        </w:rPr>
        <w:t xml:space="preserve">the constitution of board </w:t>
      </w:r>
      <w:r w:rsidR="00B25434" w:rsidRPr="00025B9C">
        <w:rPr>
          <w:rFonts w:asciiTheme="minorHAnsi" w:hAnsiTheme="minorHAnsi" w:cstheme="minorHAnsi"/>
        </w:rPr>
        <w:t>committee</w:t>
      </w:r>
      <w:r w:rsidR="00917003" w:rsidRPr="00025B9C">
        <w:rPr>
          <w:rFonts w:asciiTheme="minorHAnsi" w:hAnsiTheme="minorHAnsi" w:cstheme="minorHAnsi"/>
        </w:rPr>
        <w:t xml:space="preserve">s </w:t>
      </w:r>
      <w:r w:rsidR="00EA4463" w:rsidRPr="00025B9C">
        <w:rPr>
          <w:rFonts w:asciiTheme="minorHAnsi" w:hAnsiTheme="minorHAnsi" w:cstheme="minorHAnsi"/>
        </w:rPr>
        <w:t>–</w:t>
      </w:r>
      <w:r w:rsidR="00917003" w:rsidRPr="00025B9C">
        <w:rPr>
          <w:rFonts w:asciiTheme="minorHAnsi" w:hAnsiTheme="minorHAnsi" w:cstheme="minorHAnsi"/>
        </w:rPr>
        <w:t xml:space="preserve"> all </w:t>
      </w:r>
      <w:r w:rsidR="00F1485B" w:rsidRPr="00025B9C">
        <w:rPr>
          <w:rFonts w:asciiTheme="minorHAnsi" w:hAnsiTheme="minorHAnsi" w:cstheme="minorHAnsi"/>
        </w:rPr>
        <w:t xml:space="preserve">thought to be </w:t>
      </w:r>
      <w:r w:rsidR="00917003" w:rsidRPr="00025B9C">
        <w:rPr>
          <w:rFonts w:asciiTheme="minorHAnsi" w:hAnsiTheme="minorHAnsi" w:cstheme="minorHAnsi"/>
        </w:rPr>
        <w:t>essential to good governance</w:t>
      </w:r>
      <w:r w:rsidR="00B25434" w:rsidRPr="00025B9C">
        <w:rPr>
          <w:rFonts w:asciiTheme="minorHAnsi" w:hAnsiTheme="minorHAnsi" w:cstheme="minorHAnsi"/>
        </w:rPr>
        <w:t xml:space="preserve">. </w:t>
      </w:r>
      <w:r w:rsidR="00FA506C" w:rsidRPr="00025B9C">
        <w:rPr>
          <w:rFonts w:asciiTheme="minorHAnsi" w:hAnsiTheme="minorHAnsi" w:cstheme="minorHAnsi"/>
        </w:rPr>
        <w:t>Calculated in a similar way</w:t>
      </w:r>
      <w:r w:rsidR="00A647A4" w:rsidRPr="00025B9C">
        <w:rPr>
          <w:rFonts w:asciiTheme="minorHAnsi" w:hAnsiTheme="minorHAnsi" w:cstheme="minorHAnsi"/>
        </w:rPr>
        <w:t>,</w:t>
      </w:r>
      <w:r w:rsidR="00FA506C" w:rsidRPr="00025B9C">
        <w:rPr>
          <w:rFonts w:asciiTheme="minorHAnsi" w:hAnsiTheme="minorHAnsi" w:cstheme="minorHAnsi"/>
        </w:rPr>
        <w:t xml:space="preserve"> the use of </w:t>
      </w:r>
      <w:r w:rsidR="00972A37" w:rsidRPr="00025B9C">
        <w:rPr>
          <w:rFonts w:asciiTheme="minorHAnsi" w:hAnsiTheme="minorHAnsi" w:cstheme="minorHAnsi"/>
        </w:rPr>
        <w:t>‘weasel words’</w:t>
      </w:r>
      <w:r w:rsidR="00FA506C" w:rsidRPr="00025B9C">
        <w:rPr>
          <w:rFonts w:asciiTheme="minorHAnsi" w:hAnsiTheme="minorHAnsi" w:cstheme="minorHAnsi"/>
        </w:rPr>
        <w:t xml:space="preserve"> (</w:t>
      </w:r>
      <w:r w:rsidR="00634A79" w:rsidRPr="00025B9C">
        <w:rPr>
          <w:rFonts w:asciiTheme="minorHAnsi" w:hAnsiTheme="minorHAnsi" w:cstheme="minorHAnsi"/>
        </w:rPr>
        <w:t>rhetorical strategy</w:t>
      </w:r>
      <w:r w:rsidR="00FA506C" w:rsidRPr="00025B9C">
        <w:rPr>
          <w:rFonts w:asciiTheme="minorHAnsi" w:hAnsiTheme="minorHAnsi" w:cstheme="minorHAnsi"/>
        </w:rPr>
        <w:t xml:space="preserve"> 9b) has increased by </w:t>
      </w:r>
      <w:r w:rsidR="00FF6650" w:rsidRPr="00025B9C">
        <w:rPr>
          <w:rFonts w:asciiTheme="minorHAnsi" w:hAnsiTheme="minorHAnsi" w:cstheme="minorHAnsi"/>
        </w:rPr>
        <w:t>107</w:t>
      </w:r>
      <w:r w:rsidR="00FA506C" w:rsidRPr="00025B9C">
        <w:rPr>
          <w:rFonts w:asciiTheme="minorHAnsi" w:hAnsiTheme="minorHAnsi" w:cstheme="minorHAnsi"/>
        </w:rPr>
        <w:t>% and now represents a fifth of all strategies (up from 16%)</w:t>
      </w:r>
      <w:r w:rsidR="00297BF2" w:rsidRPr="00025B9C">
        <w:rPr>
          <w:rFonts w:asciiTheme="minorHAnsi" w:hAnsiTheme="minorHAnsi" w:cstheme="minorHAnsi"/>
        </w:rPr>
        <w:t xml:space="preserve"> </w:t>
      </w:r>
      <w:r w:rsidR="00A647A4" w:rsidRPr="00025B9C">
        <w:rPr>
          <w:rFonts w:asciiTheme="minorHAnsi" w:hAnsiTheme="minorHAnsi" w:cstheme="minorHAnsi"/>
        </w:rPr>
        <w:t>while</w:t>
      </w:r>
      <w:r w:rsidR="00297BF2" w:rsidRPr="00025B9C">
        <w:rPr>
          <w:rFonts w:asciiTheme="minorHAnsi" w:hAnsiTheme="minorHAnsi" w:cstheme="minorHAnsi"/>
        </w:rPr>
        <w:t xml:space="preserve"> transcendence (</w:t>
      </w:r>
      <w:r w:rsidR="00634A79" w:rsidRPr="00025B9C">
        <w:rPr>
          <w:rFonts w:asciiTheme="minorHAnsi" w:hAnsiTheme="minorHAnsi" w:cstheme="minorHAnsi"/>
        </w:rPr>
        <w:t>rhetorical strategy</w:t>
      </w:r>
      <w:r w:rsidR="00297BF2" w:rsidRPr="00025B9C">
        <w:rPr>
          <w:rFonts w:asciiTheme="minorHAnsi" w:hAnsiTheme="minorHAnsi" w:cstheme="minorHAnsi"/>
        </w:rPr>
        <w:t xml:space="preserve"> 4) has increased by </w:t>
      </w:r>
      <w:r w:rsidR="00FF6650" w:rsidRPr="00025B9C">
        <w:rPr>
          <w:rFonts w:asciiTheme="minorHAnsi" w:hAnsiTheme="minorHAnsi" w:cstheme="minorHAnsi"/>
        </w:rPr>
        <w:t>96</w:t>
      </w:r>
      <w:r w:rsidR="00297BF2" w:rsidRPr="00025B9C">
        <w:rPr>
          <w:rFonts w:asciiTheme="minorHAnsi" w:hAnsiTheme="minorHAnsi" w:cstheme="minorHAnsi"/>
        </w:rPr>
        <w:t xml:space="preserve">% and now represents 17% of all </w:t>
      </w:r>
      <w:r w:rsidRPr="00025B9C">
        <w:rPr>
          <w:rFonts w:asciiTheme="minorHAnsi" w:hAnsiTheme="minorHAnsi" w:cstheme="minorHAnsi"/>
        </w:rPr>
        <w:t xml:space="preserve">rhetorical </w:t>
      </w:r>
      <w:r w:rsidR="00297BF2" w:rsidRPr="00025B9C">
        <w:rPr>
          <w:rFonts w:asciiTheme="minorHAnsi" w:hAnsiTheme="minorHAnsi" w:cstheme="minorHAnsi"/>
        </w:rPr>
        <w:t>stra</w:t>
      </w:r>
      <w:r w:rsidR="00FF6650" w:rsidRPr="00025B9C">
        <w:rPr>
          <w:rFonts w:asciiTheme="minorHAnsi" w:hAnsiTheme="minorHAnsi" w:cstheme="minorHAnsi"/>
        </w:rPr>
        <w:t>t</w:t>
      </w:r>
      <w:r w:rsidR="00297BF2" w:rsidRPr="00025B9C">
        <w:rPr>
          <w:rFonts w:asciiTheme="minorHAnsi" w:hAnsiTheme="minorHAnsi" w:cstheme="minorHAnsi"/>
        </w:rPr>
        <w:t xml:space="preserve">egies (up from 14%). </w:t>
      </w:r>
      <w:r w:rsidR="00917003" w:rsidRPr="00025B9C">
        <w:rPr>
          <w:rFonts w:asciiTheme="minorHAnsi" w:hAnsiTheme="minorHAnsi" w:cstheme="minorHAnsi"/>
        </w:rPr>
        <w:t>It is understandable that transcendence has increased as companies</w:t>
      </w:r>
      <w:r w:rsidR="005A1B2D" w:rsidRPr="00025B9C">
        <w:rPr>
          <w:rFonts w:asciiTheme="minorHAnsi" w:hAnsiTheme="minorHAnsi" w:cstheme="minorHAnsi"/>
        </w:rPr>
        <w:t xml:space="preserve"> can find it difficult to replace </w:t>
      </w:r>
      <w:r w:rsidR="00917003" w:rsidRPr="00025B9C">
        <w:rPr>
          <w:rFonts w:asciiTheme="minorHAnsi" w:hAnsiTheme="minorHAnsi" w:cstheme="minorHAnsi"/>
        </w:rPr>
        <w:t>non-executive</w:t>
      </w:r>
      <w:r w:rsidR="00903FAB" w:rsidRPr="00025B9C">
        <w:rPr>
          <w:rFonts w:asciiTheme="minorHAnsi" w:hAnsiTheme="minorHAnsi" w:cstheme="minorHAnsi"/>
        </w:rPr>
        <w:t xml:space="preserve"> director</w:t>
      </w:r>
      <w:r w:rsidR="00917003" w:rsidRPr="00025B9C">
        <w:rPr>
          <w:rFonts w:asciiTheme="minorHAnsi" w:hAnsiTheme="minorHAnsi" w:cstheme="minorHAnsi"/>
        </w:rPr>
        <w:t xml:space="preserve">s </w:t>
      </w:r>
      <w:r w:rsidR="005A1B2D" w:rsidRPr="00025B9C">
        <w:rPr>
          <w:rFonts w:asciiTheme="minorHAnsi" w:hAnsiTheme="minorHAnsi" w:cstheme="minorHAnsi"/>
        </w:rPr>
        <w:t xml:space="preserve">(Whitehead, 2013) </w:t>
      </w:r>
      <w:r w:rsidR="00917003" w:rsidRPr="00025B9C">
        <w:rPr>
          <w:rFonts w:asciiTheme="minorHAnsi" w:hAnsiTheme="minorHAnsi" w:cstheme="minorHAnsi"/>
        </w:rPr>
        <w:t xml:space="preserve">and </w:t>
      </w:r>
      <w:r w:rsidR="005A1B2D" w:rsidRPr="00025B9C">
        <w:rPr>
          <w:rFonts w:asciiTheme="minorHAnsi" w:hAnsiTheme="minorHAnsi" w:cstheme="minorHAnsi"/>
        </w:rPr>
        <w:t>may be</w:t>
      </w:r>
      <w:r w:rsidR="00917003" w:rsidRPr="00025B9C">
        <w:rPr>
          <w:rFonts w:asciiTheme="minorHAnsi" w:hAnsiTheme="minorHAnsi" w:cstheme="minorHAnsi"/>
        </w:rPr>
        <w:t xml:space="preserve"> reluctant to terminate contracts with experienced non-executive</w:t>
      </w:r>
      <w:r w:rsidR="00903FAB" w:rsidRPr="00025B9C">
        <w:rPr>
          <w:rFonts w:asciiTheme="minorHAnsi" w:hAnsiTheme="minorHAnsi" w:cstheme="minorHAnsi"/>
        </w:rPr>
        <w:t xml:space="preserve"> director</w:t>
      </w:r>
      <w:r w:rsidR="00917003" w:rsidRPr="00025B9C">
        <w:rPr>
          <w:rFonts w:asciiTheme="minorHAnsi" w:hAnsiTheme="minorHAnsi" w:cstheme="minorHAnsi"/>
        </w:rPr>
        <w:t xml:space="preserve">s who understand the workings of the business. </w:t>
      </w:r>
      <w:r w:rsidR="005A1B2D" w:rsidRPr="00025B9C">
        <w:rPr>
          <w:rFonts w:asciiTheme="minorHAnsi" w:hAnsiTheme="minorHAnsi" w:cstheme="minorHAnsi"/>
        </w:rPr>
        <w:t>Nevertheless</w:t>
      </w:r>
      <w:r w:rsidR="00A647A4" w:rsidRPr="00025B9C">
        <w:rPr>
          <w:rFonts w:asciiTheme="minorHAnsi" w:hAnsiTheme="minorHAnsi" w:cstheme="minorHAnsi"/>
        </w:rPr>
        <w:t>,</w:t>
      </w:r>
      <w:r w:rsidR="005A1B2D" w:rsidRPr="00025B9C">
        <w:rPr>
          <w:rFonts w:asciiTheme="minorHAnsi" w:hAnsiTheme="minorHAnsi" w:cstheme="minorHAnsi"/>
        </w:rPr>
        <w:t xml:space="preserve"> these companies could consider </w:t>
      </w:r>
      <w:r w:rsidR="00A647A4" w:rsidRPr="00025B9C">
        <w:rPr>
          <w:rFonts w:asciiTheme="minorHAnsi" w:hAnsiTheme="minorHAnsi" w:cstheme="minorHAnsi"/>
        </w:rPr>
        <w:t>classifying</w:t>
      </w:r>
      <w:r w:rsidR="005A1B2D" w:rsidRPr="00025B9C">
        <w:rPr>
          <w:rFonts w:asciiTheme="minorHAnsi" w:hAnsiTheme="minorHAnsi" w:cstheme="minorHAnsi"/>
        </w:rPr>
        <w:t xml:space="preserve"> those people</w:t>
      </w:r>
      <w:r w:rsidR="00A647A4" w:rsidRPr="00025B9C">
        <w:rPr>
          <w:rFonts w:asciiTheme="minorHAnsi" w:hAnsiTheme="minorHAnsi" w:cstheme="minorHAnsi"/>
        </w:rPr>
        <w:t xml:space="preserve"> as </w:t>
      </w:r>
      <w:r w:rsidR="005F48C8" w:rsidRPr="00025B9C">
        <w:rPr>
          <w:rFonts w:asciiTheme="minorHAnsi" w:hAnsiTheme="minorHAnsi" w:cstheme="minorHAnsi"/>
        </w:rPr>
        <w:t>‘</w:t>
      </w:r>
      <w:r w:rsidR="00A647A4" w:rsidRPr="00025B9C">
        <w:rPr>
          <w:rFonts w:asciiTheme="minorHAnsi" w:hAnsiTheme="minorHAnsi" w:cstheme="minorHAnsi"/>
        </w:rPr>
        <w:t>grey</w:t>
      </w:r>
      <w:r w:rsidR="005F48C8" w:rsidRPr="00025B9C">
        <w:rPr>
          <w:rFonts w:asciiTheme="minorHAnsi" w:hAnsiTheme="minorHAnsi" w:cstheme="minorHAnsi"/>
        </w:rPr>
        <w:t>’</w:t>
      </w:r>
      <w:r w:rsidR="00A647A4" w:rsidRPr="00025B9C">
        <w:rPr>
          <w:rFonts w:asciiTheme="minorHAnsi" w:hAnsiTheme="minorHAnsi" w:cstheme="minorHAnsi"/>
        </w:rPr>
        <w:t xml:space="preserve"> (non-independent) non-</w:t>
      </w:r>
      <w:r w:rsidR="005A1B2D" w:rsidRPr="00025B9C">
        <w:rPr>
          <w:rFonts w:asciiTheme="minorHAnsi" w:hAnsiTheme="minorHAnsi" w:cstheme="minorHAnsi"/>
        </w:rPr>
        <w:t>executive</w:t>
      </w:r>
      <w:r w:rsidR="00A647A4" w:rsidRPr="00025B9C">
        <w:rPr>
          <w:rFonts w:asciiTheme="minorHAnsi" w:hAnsiTheme="minorHAnsi" w:cstheme="minorHAnsi"/>
        </w:rPr>
        <w:t xml:space="preserve"> director</w:t>
      </w:r>
      <w:r w:rsidR="005A1B2D" w:rsidRPr="00025B9C">
        <w:rPr>
          <w:rFonts w:asciiTheme="minorHAnsi" w:hAnsiTheme="minorHAnsi" w:cstheme="minorHAnsi"/>
        </w:rPr>
        <w:t>s.</w:t>
      </w:r>
      <w:r w:rsidR="008A10BB" w:rsidRPr="00025B9C">
        <w:rPr>
          <w:rFonts w:asciiTheme="minorHAnsi" w:hAnsiTheme="minorHAnsi" w:cstheme="minorHAnsi"/>
        </w:rPr>
        <w:t xml:space="preserve"> Increase in the relative use of </w:t>
      </w:r>
      <w:r w:rsidR="005F48C8" w:rsidRPr="00025B9C">
        <w:rPr>
          <w:rFonts w:asciiTheme="minorHAnsi" w:hAnsiTheme="minorHAnsi" w:cstheme="minorHAnsi"/>
        </w:rPr>
        <w:t>‘</w:t>
      </w:r>
      <w:r w:rsidR="008A10BB" w:rsidRPr="00025B9C">
        <w:rPr>
          <w:rFonts w:asciiTheme="minorHAnsi" w:hAnsiTheme="minorHAnsi" w:cstheme="minorHAnsi"/>
        </w:rPr>
        <w:t>weasel words</w:t>
      </w:r>
      <w:r w:rsidR="005F48C8" w:rsidRPr="00025B9C">
        <w:rPr>
          <w:rFonts w:asciiTheme="minorHAnsi" w:hAnsiTheme="minorHAnsi" w:cstheme="minorHAnsi"/>
        </w:rPr>
        <w:t>’</w:t>
      </w:r>
      <w:r w:rsidR="008A10BB" w:rsidRPr="00025B9C">
        <w:rPr>
          <w:rFonts w:asciiTheme="minorHAnsi" w:hAnsiTheme="minorHAnsi" w:cstheme="minorHAnsi"/>
        </w:rPr>
        <w:t xml:space="preserve"> is understandable because</w:t>
      </w:r>
      <w:r w:rsidR="00A647A4" w:rsidRPr="00025B9C">
        <w:rPr>
          <w:rFonts w:asciiTheme="minorHAnsi" w:hAnsiTheme="minorHAnsi" w:cstheme="minorHAnsi"/>
        </w:rPr>
        <w:t>,</w:t>
      </w:r>
      <w:r w:rsidR="008A10BB" w:rsidRPr="00025B9C">
        <w:rPr>
          <w:rFonts w:asciiTheme="minorHAnsi" w:hAnsiTheme="minorHAnsi" w:cstheme="minorHAnsi"/>
        </w:rPr>
        <w:t xml:space="preserve"> as more companies comply</w:t>
      </w:r>
      <w:r w:rsidR="00A647A4" w:rsidRPr="00025B9C">
        <w:rPr>
          <w:rFonts w:asciiTheme="minorHAnsi" w:hAnsiTheme="minorHAnsi" w:cstheme="minorHAnsi"/>
        </w:rPr>
        <w:t>,</w:t>
      </w:r>
      <w:r w:rsidR="008A10BB" w:rsidRPr="00025B9C">
        <w:rPr>
          <w:rFonts w:asciiTheme="minorHAnsi" w:hAnsiTheme="minorHAnsi" w:cstheme="minorHAnsi"/>
        </w:rPr>
        <w:t xml:space="preserve"> there is a tendency for the remaining companies to construct their explanations to look like compliance. Clearly</w:t>
      </w:r>
      <w:r w:rsidR="00406F86" w:rsidRPr="00025B9C">
        <w:rPr>
          <w:rFonts w:asciiTheme="minorHAnsi" w:hAnsiTheme="minorHAnsi" w:cstheme="minorHAnsi"/>
        </w:rPr>
        <w:t>,</w:t>
      </w:r>
      <w:r w:rsidR="008A10BB" w:rsidRPr="00025B9C">
        <w:rPr>
          <w:rFonts w:asciiTheme="minorHAnsi" w:hAnsiTheme="minorHAnsi" w:cstheme="minorHAnsi"/>
        </w:rPr>
        <w:t xml:space="preserve"> users need to be alert to this </w:t>
      </w:r>
      <w:r w:rsidR="0098152E" w:rsidRPr="00025B9C">
        <w:rPr>
          <w:rFonts w:asciiTheme="minorHAnsi" w:hAnsiTheme="minorHAnsi" w:cstheme="minorHAnsi"/>
        </w:rPr>
        <w:t xml:space="preserve">type of </w:t>
      </w:r>
      <w:r w:rsidR="008A10BB" w:rsidRPr="00025B9C">
        <w:rPr>
          <w:rFonts w:asciiTheme="minorHAnsi" w:hAnsiTheme="minorHAnsi" w:cstheme="minorHAnsi"/>
        </w:rPr>
        <w:t>rhetoric</w:t>
      </w:r>
      <w:r w:rsidR="00A647A4" w:rsidRPr="00025B9C">
        <w:rPr>
          <w:rFonts w:asciiTheme="minorHAnsi" w:hAnsiTheme="minorHAnsi" w:cstheme="minorHAnsi"/>
        </w:rPr>
        <w:t>al strategy</w:t>
      </w:r>
      <w:r w:rsidR="008A10BB" w:rsidRPr="00025B9C">
        <w:rPr>
          <w:rFonts w:asciiTheme="minorHAnsi" w:hAnsiTheme="minorHAnsi" w:cstheme="minorHAnsi"/>
        </w:rPr>
        <w:t>.</w:t>
      </w:r>
      <w:r w:rsidR="00383D39" w:rsidRPr="00025B9C">
        <w:rPr>
          <w:rFonts w:asciiTheme="minorHAnsi" w:hAnsiTheme="minorHAnsi" w:cstheme="minorHAnsi"/>
        </w:rPr>
        <w:t xml:space="preserve"> </w:t>
      </w:r>
      <w:r w:rsidR="00F71839" w:rsidRPr="00025B9C">
        <w:rPr>
          <w:rFonts w:asciiTheme="minorHAnsi" w:hAnsiTheme="minorHAnsi" w:cstheme="minorHAnsi"/>
          <w:szCs w:val="20"/>
        </w:rPr>
        <w:t>The increasing</w:t>
      </w:r>
      <w:r w:rsidR="00383D39" w:rsidRPr="00025B9C">
        <w:rPr>
          <w:rFonts w:asciiTheme="minorHAnsi" w:hAnsiTheme="minorHAnsi" w:cstheme="minorHAnsi"/>
          <w:szCs w:val="20"/>
        </w:rPr>
        <w:t xml:space="preserve"> use of this rhetorical device suggests that companies are under increasing institutional pressures to provide an explanation as to why they do not comply with the Code. Compliance is seen as the default position (unfairly so because that is against the underlying philosophy of the </w:t>
      </w:r>
      <w:r w:rsidR="00634A79" w:rsidRPr="00025B9C">
        <w:rPr>
          <w:rFonts w:asciiTheme="minorHAnsi" w:hAnsiTheme="minorHAnsi" w:cstheme="minorHAnsi"/>
          <w:szCs w:val="20"/>
        </w:rPr>
        <w:t>‘</w:t>
      </w:r>
      <w:r w:rsidR="00383D39" w:rsidRPr="00025B9C">
        <w:rPr>
          <w:rFonts w:asciiTheme="minorHAnsi" w:hAnsiTheme="minorHAnsi" w:cstheme="minorHAnsi"/>
          <w:szCs w:val="20"/>
        </w:rPr>
        <w:t>comply-or-explain</w:t>
      </w:r>
      <w:r w:rsidR="00634A79" w:rsidRPr="00025B9C">
        <w:rPr>
          <w:rFonts w:asciiTheme="minorHAnsi" w:hAnsiTheme="minorHAnsi" w:cstheme="minorHAnsi"/>
          <w:szCs w:val="20"/>
        </w:rPr>
        <w:t>’</w:t>
      </w:r>
      <w:r w:rsidR="00383D39" w:rsidRPr="00025B9C">
        <w:rPr>
          <w:rFonts w:asciiTheme="minorHAnsi" w:hAnsiTheme="minorHAnsi" w:cstheme="minorHAnsi"/>
          <w:szCs w:val="20"/>
        </w:rPr>
        <w:t xml:space="preserve"> system) but readers need to be circumspect about the validity of these explanations. Explanations may at first glance appear legitimate but they may not stand up to scrutiny.</w:t>
      </w:r>
    </w:p>
    <w:p w:rsidR="005A1B2D" w:rsidRPr="00025B9C" w:rsidRDefault="005A1B2D" w:rsidP="00D665D9">
      <w:pPr>
        <w:spacing w:line="360" w:lineRule="auto"/>
        <w:jc w:val="both"/>
        <w:rPr>
          <w:rFonts w:asciiTheme="minorHAnsi" w:hAnsiTheme="minorHAnsi" w:cstheme="minorHAnsi"/>
        </w:rPr>
      </w:pPr>
    </w:p>
    <w:p w:rsidR="00FF6650" w:rsidRPr="00025B9C" w:rsidRDefault="00297BF2" w:rsidP="00D665D9">
      <w:pPr>
        <w:spacing w:line="360" w:lineRule="auto"/>
        <w:jc w:val="both"/>
        <w:rPr>
          <w:rFonts w:asciiTheme="minorHAnsi" w:hAnsiTheme="minorHAnsi" w:cstheme="minorHAnsi"/>
        </w:rPr>
      </w:pPr>
      <w:r w:rsidRPr="00025B9C">
        <w:rPr>
          <w:rFonts w:asciiTheme="minorHAnsi" w:hAnsiTheme="minorHAnsi" w:cstheme="minorHAnsi"/>
        </w:rPr>
        <w:t>No</w:t>
      </w:r>
      <w:r w:rsidR="00EA4463" w:rsidRPr="00025B9C">
        <w:rPr>
          <w:rFonts w:asciiTheme="minorHAnsi" w:hAnsiTheme="minorHAnsi" w:cstheme="minorHAnsi"/>
        </w:rPr>
        <w:t>-reason-given</w:t>
      </w:r>
      <w:r w:rsidRPr="00025B9C">
        <w:rPr>
          <w:rFonts w:asciiTheme="minorHAnsi" w:hAnsiTheme="minorHAnsi" w:cstheme="minorHAnsi"/>
        </w:rPr>
        <w:t xml:space="preserve"> explanation (</w:t>
      </w:r>
      <w:r w:rsidR="00634A79" w:rsidRPr="00025B9C">
        <w:rPr>
          <w:rFonts w:asciiTheme="minorHAnsi" w:hAnsiTheme="minorHAnsi" w:cstheme="minorHAnsi"/>
        </w:rPr>
        <w:t>rhetorical strategy</w:t>
      </w:r>
      <w:r w:rsidRPr="00025B9C">
        <w:rPr>
          <w:rFonts w:asciiTheme="minorHAnsi" w:hAnsiTheme="minorHAnsi" w:cstheme="minorHAnsi"/>
        </w:rPr>
        <w:t xml:space="preserve"> 9a) now represents 7% of all </w:t>
      </w:r>
      <w:r w:rsidR="00431735" w:rsidRPr="00025B9C">
        <w:rPr>
          <w:rFonts w:asciiTheme="minorHAnsi" w:hAnsiTheme="minorHAnsi" w:cstheme="minorHAnsi"/>
        </w:rPr>
        <w:t xml:space="preserve">rhetorical </w:t>
      </w:r>
      <w:r w:rsidRPr="00025B9C">
        <w:rPr>
          <w:rFonts w:asciiTheme="minorHAnsi" w:hAnsiTheme="minorHAnsi" w:cstheme="minorHAnsi"/>
        </w:rPr>
        <w:t xml:space="preserve">strategies (up from 6%) </w:t>
      </w:r>
      <w:r w:rsidR="00FF6650" w:rsidRPr="00025B9C">
        <w:rPr>
          <w:rFonts w:asciiTheme="minorHAnsi" w:hAnsiTheme="minorHAnsi" w:cstheme="minorHAnsi"/>
        </w:rPr>
        <w:t>and relatively has increased</w:t>
      </w:r>
      <w:r w:rsidRPr="00025B9C">
        <w:rPr>
          <w:rFonts w:asciiTheme="minorHAnsi" w:hAnsiTheme="minorHAnsi" w:cstheme="minorHAnsi"/>
        </w:rPr>
        <w:t xml:space="preserve"> by </w:t>
      </w:r>
      <w:r w:rsidR="00FF6650" w:rsidRPr="00025B9C">
        <w:rPr>
          <w:rFonts w:asciiTheme="minorHAnsi" w:hAnsiTheme="minorHAnsi" w:cstheme="minorHAnsi"/>
        </w:rPr>
        <w:t>78</w:t>
      </w:r>
      <w:r w:rsidRPr="00025B9C">
        <w:rPr>
          <w:rFonts w:asciiTheme="minorHAnsi" w:hAnsiTheme="minorHAnsi" w:cstheme="minorHAnsi"/>
        </w:rPr>
        <w:t>%.</w:t>
      </w:r>
      <w:r w:rsidR="00FA506C" w:rsidRPr="00025B9C">
        <w:rPr>
          <w:rFonts w:asciiTheme="minorHAnsi" w:hAnsiTheme="minorHAnsi" w:cstheme="minorHAnsi"/>
        </w:rPr>
        <w:t xml:space="preserve"> </w:t>
      </w:r>
      <w:r w:rsidR="006A10FA" w:rsidRPr="00025B9C">
        <w:rPr>
          <w:rFonts w:asciiTheme="minorHAnsi" w:hAnsiTheme="minorHAnsi" w:cstheme="minorHAnsi"/>
        </w:rPr>
        <w:t xml:space="preserve">This </w:t>
      </w:r>
      <w:r w:rsidR="004474EC" w:rsidRPr="00025B9C">
        <w:rPr>
          <w:rFonts w:asciiTheme="minorHAnsi" w:hAnsiTheme="minorHAnsi" w:cstheme="minorHAnsi"/>
        </w:rPr>
        <w:t>finding is</w:t>
      </w:r>
      <w:r w:rsidR="006A10FA" w:rsidRPr="00025B9C">
        <w:rPr>
          <w:rFonts w:asciiTheme="minorHAnsi" w:hAnsiTheme="minorHAnsi" w:cstheme="minorHAnsi"/>
        </w:rPr>
        <w:t xml:space="preserve"> </w:t>
      </w:r>
      <w:r w:rsidR="00D41F87" w:rsidRPr="00025B9C">
        <w:rPr>
          <w:rFonts w:asciiTheme="minorHAnsi" w:hAnsiTheme="minorHAnsi" w:cstheme="minorHAnsi"/>
        </w:rPr>
        <w:t>surprising</w:t>
      </w:r>
      <w:r w:rsidR="006A10FA" w:rsidRPr="00025B9C">
        <w:rPr>
          <w:rFonts w:asciiTheme="minorHAnsi" w:hAnsiTheme="minorHAnsi" w:cstheme="minorHAnsi"/>
        </w:rPr>
        <w:t xml:space="preserve"> in the light of the emphasis the FRC has placed on better explanations. </w:t>
      </w:r>
      <w:r w:rsidR="008A10BB" w:rsidRPr="00025B9C">
        <w:rPr>
          <w:rFonts w:asciiTheme="minorHAnsi" w:hAnsiTheme="minorHAnsi" w:cstheme="minorHAnsi"/>
        </w:rPr>
        <w:t>Companies that do not provide clear explanations are jeopardising</w:t>
      </w:r>
      <w:r w:rsidR="0098152E" w:rsidRPr="00025B9C">
        <w:rPr>
          <w:rFonts w:asciiTheme="minorHAnsi" w:hAnsiTheme="minorHAnsi" w:cstheme="minorHAnsi"/>
        </w:rPr>
        <w:t xml:space="preserve"> the flexible system </w:t>
      </w:r>
      <w:r w:rsidR="00CF6F01" w:rsidRPr="00025B9C">
        <w:rPr>
          <w:rFonts w:asciiTheme="minorHAnsi" w:hAnsiTheme="minorHAnsi" w:cstheme="minorHAnsi"/>
        </w:rPr>
        <w:t>whereby non-complia</w:t>
      </w:r>
      <w:r w:rsidR="0098152E" w:rsidRPr="00025B9C">
        <w:rPr>
          <w:rFonts w:asciiTheme="minorHAnsi" w:hAnsiTheme="minorHAnsi" w:cstheme="minorHAnsi"/>
        </w:rPr>
        <w:t xml:space="preserve">nce with a good explanation is </w:t>
      </w:r>
      <w:r w:rsidR="00240CC9" w:rsidRPr="00025B9C">
        <w:rPr>
          <w:rFonts w:asciiTheme="minorHAnsi" w:hAnsiTheme="minorHAnsi" w:cstheme="minorHAnsi"/>
        </w:rPr>
        <w:t xml:space="preserve">deemed </w:t>
      </w:r>
      <w:r w:rsidR="0098152E" w:rsidRPr="00025B9C">
        <w:rPr>
          <w:rFonts w:asciiTheme="minorHAnsi" w:hAnsiTheme="minorHAnsi" w:cstheme="minorHAnsi"/>
        </w:rPr>
        <w:t xml:space="preserve">equivalent to compliance. </w:t>
      </w:r>
      <w:r w:rsidR="00FF6650" w:rsidRPr="00025B9C">
        <w:rPr>
          <w:rFonts w:asciiTheme="minorHAnsi" w:hAnsiTheme="minorHAnsi" w:cstheme="minorHAnsi"/>
        </w:rPr>
        <w:t>It is perhaps</w:t>
      </w:r>
      <w:r w:rsidR="009322F8" w:rsidRPr="00025B9C">
        <w:rPr>
          <w:rFonts w:asciiTheme="minorHAnsi" w:hAnsiTheme="minorHAnsi" w:cstheme="minorHAnsi"/>
        </w:rPr>
        <w:t xml:space="preserve"> to be expected that </w:t>
      </w:r>
      <w:r w:rsidR="00BA6ABE" w:rsidRPr="00025B9C">
        <w:rPr>
          <w:rFonts w:asciiTheme="minorHAnsi" w:hAnsiTheme="minorHAnsi" w:cstheme="minorHAnsi"/>
        </w:rPr>
        <w:t>corrective action</w:t>
      </w:r>
      <w:r w:rsidR="00FF6650" w:rsidRPr="00025B9C">
        <w:rPr>
          <w:rFonts w:asciiTheme="minorHAnsi" w:hAnsiTheme="minorHAnsi" w:cstheme="minorHAnsi"/>
        </w:rPr>
        <w:t xml:space="preserve"> as a </w:t>
      </w:r>
      <w:r w:rsidR="00431735" w:rsidRPr="00025B9C">
        <w:rPr>
          <w:rFonts w:asciiTheme="minorHAnsi" w:hAnsiTheme="minorHAnsi" w:cstheme="minorHAnsi"/>
        </w:rPr>
        <w:t xml:space="preserve">rhetorical </w:t>
      </w:r>
      <w:r w:rsidR="00FF6650" w:rsidRPr="00025B9C">
        <w:rPr>
          <w:rFonts w:asciiTheme="minorHAnsi" w:hAnsiTheme="minorHAnsi" w:cstheme="minorHAnsi"/>
        </w:rPr>
        <w:t xml:space="preserve">strategy has fallen relatively by 35% as </w:t>
      </w:r>
      <w:r w:rsidR="00DC1FF4" w:rsidRPr="00025B9C">
        <w:rPr>
          <w:rFonts w:asciiTheme="minorHAnsi" w:hAnsiTheme="minorHAnsi" w:cstheme="minorHAnsi"/>
        </w:rPr>
        <w:t xml:space="preserve">compliance has increased and companies intending to comply have had more time to comply. </w:t>
      </w:r>
    </w:p>
    <w:p w:rsidR="00FF6650" w:rsidRPr="00025B9C" w:rsidRDefault="00FF6650" w:rsidP="00D665D9">
      <w:pPr>
        <w:spacing w:line="360" w:lineRule="auto"/>
        <w:jc w:val="both"/>
        <w:rPr>
          <w:rFonts w:asciiTheme="minorHAnsi" w:hAnsiTheme="minorHAnsi" w:cstheme="minorHAnsi"/>
        </w:rPr>
      </w:pPr>
    </w:p>
    <w:p w:rsidR="00BB49A7" w:rsidRPr="00025B9C" w:rsidRDefault="000A1678" w:rsidP="00D665D9">
      <w:pPr>
        <w:spacing w:line="360" w:lineRule="auto"/>
        <w:jc w:val="both"/>
        <w:rPr>
          <w:rFonts w:asciiTheme="minorHAnsi" w:hAnsiTheme="minorHAnsi" w:cstheme="minorHAnsi"/>
        </w:rPr>
      </w:pPr>
      <w:r w:rsidRPr="00025B9C">
        <w:rPr>
          <w:rFonts w:asciiTheme="minorHAnsi" w:hAnsiTheme="minorHAnsi" w:cstheme="minorHAnsi"/>
        </w:rPr>
        <w:t xml:space="preserve">The improvement in explanations accompanied by Code provision references </w:t>
      </w:r>
      <w:r w:rsidR="004F6B3D" w:rsidRPr="00025B9C">
        <w:rPr>
          <w:rFonts w:asciiTheme="minorHAnsi" w:hAnsiTheme="minorHAnsi" w:cstheme="minorHAnsi"/>
        </w:rPr>
        <w:t xml:space="preserve">(e.g., A.3.2) </w:t>
      </w:r>
      <w:r w:rsidRPr="00025B9C">
        <w:rPr>
          <w:rFonts w:asciiTheme="minorHAnsi" w:hAnsiTheme="minorHAnsi" w:cstheme="minorHAnsi"/>
        </w:rPr>
        <w:t xml:space="preserve">(2004/05: </w:t>
      </w:r>
      <w:r w:rsidR="00F053BF" w:rsidRPr="00025B9C">
        <w:rPr>
          <w:rFonts w:asciiTheme="minorHAnsi" w:hAnsiTheme="minorHAnsi" w:cstheme="minorHAnsi"/>
        </w:rPr>
        <w:t xml:space="preserve">60% of </w:t>
      </w:r>
      <w:r w:rsidRPr="00025B9C">
        <w:rPr>
          <w:rFonts w:asciiTheme="minorHAnsi" w:hAnsiTheme="minorHAnsi" w:cstheme="minorHAnsi"/>
        </w:rPr>
        <w:t>explanations without the Code provision; 2011/12: 38%</w:t>
      </w:r>
      <w:r w:rsidR="004F6B3D" w:rsidRPr="00025B9C">
        <w:rPr>
          <w:rFonts w:asciiTheme="minorHAnsi" w:hAnsiTheme="minorHAnsi" w:cstheme="minorHAnsi"/>
        </w:rPr>
        <w:t>)</w:t>
      </w:r>
      <w:r w:rsidR="007E7298" w:rsidRPr="00025B9C">
        <w:rPr>
          <w:rFonts w:asciiTheme="minorHAnsi" w:hAnsiTheme="minorHAnsi" w:cstheme="minorHAnsi"/>
        </w:rPr>
        <w:t xml:space="preserve"> may be due to more recent FRC interventions</w:t>
      </w:r>
      <w:r w:rsidR="00F053BF" w:rsidRPr="00025B9C">
        <w:rPr>
          <w:rFonts w:asciiTheme="minorHAnsi" w:hAnsiTheme="minorHAnsi" w:cstheme="minorHAnsi"/>
        </w:rPr>
        <w:t xml:space="preserve">. However, it is still </w:t>
      </w:r>
      <w:r w:rsidR="00CF5AF5" w:rsidRPr="00025B9C">
        <w:rPr>
          <w:rFonts w:asciiTheme="minorHAnsi" w:hAnsiTheme="minorHAnsi" w:cstheme="minorHAnsi"/>
        </w:rPr>
        <w:t>of concern</w:t>
      </w:r>
      <w:r w:rsidR="00F053BF" w:rsidRPr="00025B9C">
        <w:rPr>
          <w:rFonts w:asciiTheme="minorHAnsi" w:hAnsiTheme="minorHAnsi" w:cstheme="minorHAnsi"/>
        </w:rPr>
        <w:t xml:space="preserve"> that nearly 40% of companies do not provide the Code provision</w:t>
      </w:r>
      <w:r w:rsidR="00BB49A7" w:rsidRPr="00025B9C">
        <w:rPr>
          <w:rFonts w:asciiTheme="minorHAnsi" w:hAnsiTheme="minorHAnsi" w:cstheme="minorHAnsi"/>
        </w:rPr>
        <w:t xml:space="preserve"> in their explanations.</w:t>
      </w:r>
      <w:r w:rsidR="00B35A79" w:rsidRPr="00025B9C">
        <w:rPr>
          <w:rFonts w:asciiTheme="minorHAnsi" w:hAnsiTheme="minorHAnsi" w:cstheme="minorHAnsi"/>
        </w:rPr>
        <w:t xml:space="preserve"> Companies may </w:t>
      </w:r>
      <w:r w:rsidR="001A1546" w:rsidRPr="00025B9C">
        <w:rPr>
          <w:rFonts w:asciiTheme="minorHAnsi" w:hAnsiTheme="minorHAnsi" w:cstheme="minorHAnsi"/>
        </w:rPr>
        <w:t>not disclose</w:t>
      </w:r>
      <w:r w:rsidR="00B35A79" w:rsidRPr="00025B9C">
        <w:rPr>
          <w:rFonts w:asciiTheme="minorHAnsi" w:hAnsiTheme="minorHAnsi" w:cstheme="minorHAnsi"/>
        </w:rPr>
        <w:t xml:space="preserve"> </w:t>
      </w:r>
      <w:r w:rsidR="001A1546" w:rsidRPr="00025B9C">
        <w:rPr>
          <w:rFonts w:asciiTheme="minorHAnsi" w:hAnsiTheme="minorHAnsi" w:cstheme="minorHAnsi"/>
        </w:rPr>
        <w:t xml:space="preserve">Code provision section identifiers </w:t>
      </w:r>
      <w:r w:rsidR="00B35A79" w:rsidRPr="00025B9C">
        <w:rPr>
          <w:rFonts w:asciiTheme="minorHAnsi" w:hAnsiTheme="minorHAnsi" w:cstheme="minorHAnsi"/>
        </w:rPr>
        <w:t xml:space="preserve">because they are confused about changes in the Code and what </w:t>
      </w:r>
      <w:r w:rsidR="00C013D8" w:rsidRPr="00025B9C">
        <w:rPr>
          <w:rFonts w:asciiTheme="minorHAnsi" w:hAnsiTheme="minorHAnsi" w:cstheme="minorHAnsi"/>
        </w:rPr>
        <w:t xml:space="preserve">particular </w:t>
      </w:r>
      <w:r w:rsidR="00B35A79" w:rsidRPr="00025B9C">
        <w:rPr>
          <w:rFonts w:asciiTheme="minorHAnsi" w:hAnsiTheme="minorHAnsi" w:cstheme="minorHAnsi"/>
        </w:rPr>
        <w:t>Code provision applies</w:t>
      </w:r>
      <w:r w:rsidR="006C32A7" w:rsidRPr="00025B9C">
        <w:rPr>
          <w:rFonts w:asciiTheme="minorHAnsi" w:hAnsiTheme="minorHAnsi" w:cstheme="minorHAnsi"/>
        </w:rPr>
        <w:t>,</w:t>
      </w:r>
      <w:r w:rsidR="00CF6F01" w:rsidRPr="00025B9C">
        <w:rPr>
          <w:rFonts w:asciiTheme="minorHAnsi" w:hAnsiTheme="minorHAnsi" w:cstheme="minorHAnsi"/>
        </w:rPr>
        <w:t xml:space="preserve"> or because putting codes in text can draw attention to the non-compliance</w:t>
      </w:r>
      <w:r w:rsidR="00B35A79" w:rsidRPr="00025B9C">
        <w:rPr>
          <w:rFonts w:asciiTheme="minorHAnsi" w:hAnsiTheme="minorHAnsi" w:cstheme="minorHAnsi"/>
        </w:rPr>
        <w:t>. While this is understandable</w:t>
      </w:r>
      <w:r w:rsidR="00071377" w:rsidRPr="00025B9C">
        <w:rPr>
          <w:rFonts w:asciiTheme="minorHAnsi" w:hAnsiTheme="minorHAnsi" w:cstheme="minorHAnsi"/>
        </w:rPr>
        <w:t>,</w:t>
      </w:r>
      <w:r w:rsidR="00B35A79" w:rsidRPr="00025B9C">
        <w:rPr>
          <w:rFonts w:asciiTheme="minorHAnsi" w:hAnsiTheme="minorHAnsi" w:cstheme="minorHAnsi"/>
        </w:rPr>
        <w:t xml:space="preserve"> it </w:t>
      </w:r>
      <w:r w:rsidR="00462F70" w:rsidRPr="00025B9C">
        <w:rPr>
          <w:rFonts w:asciiTheme="minorHAnsi" w:hAnsiTheme="minorHAnsi" w:cstheme="minorHAnsi"/>
        </w:rPr>
        <w:t>results in a lack of clarity</w:t>
      </w:r>
      <w:r w:rsidR="00B35A79" w:rsidRPr="00025B9C">
        <w:rPr>
          <w:rFonts w:asciiTheme="minorHAnsi" w:hAnsiTheme="minorHAnsi" w:cstheme="minorHAnsi"/>
        </w:rPr>
        <w:t xml:space="preserve"> </w:t>
      </w:r>
      <w:r w:rsidR="00A84C5B" w:rsidRPr="00025B9C">
        <w:rPr>
          <w:rFonts w:asciiTheme="minorHAnsi" w:hAnsiTheme="minorHAnsi" w:cstheme="minorHAnsi"/>
        </w:rPr>
        <w:t>when explaining non-compliance.</w:t>
      </w:r>
    </w:p>
    <w:p w:rsidR="00CF5AF5" w:rsidRPr="00025B9C" w:rsidRDefault="00CF5AF5" w:rsidP="00D665D9">
      <w:pPr>
        <w:spacing w:line="360" w:lineRule="auto"/>
        <w:jc w:val="both"/>
        <w:rPr>
          <w:rFonts w:asciiTheme="minorHAnsi" w:hAnsiTheme="minorHAnsi" w:cstheme="minorHAnsi"/>
        </w:rPr>
      </w:pPr>
    </w:p>
    <w:p w:rsidR="00BB49A7" w:rsidRPr="00025B9C" w:rsidRDefault="00444A1C" w:rsidP="00D665D9">
      <w:pPr>
        <w:spacing w:line="360" w:lineRule="auto"/>
        <w:jc w:val="both"/>
        <w:rPr>
          <w:rFonts w:asciiTheme="minorHAnsi" w:hAnsiTheme="minorHAnsi" w:cstheme="minorHAnsi"/>
        </w:rPr>
      </w:pPr>
      <w:r w:rsidRPr="00025B9C">
        <w:rPr>
          <w:rFonts w:asciiTheme="minorHAnsi" w:hAnsiTheme="minorHAnsi" w:cstheme="minorHAnsi"/>
        </w:rPr>
        <w:t>The comparison</w:t>
      </w:r>
      <w:r w:rsidR="00BB49A7" w:rsidRPr="00025B9C">
        <w:rPr>
          <w:rFonts w:asciiTheme="minorHAnsi" w:hAnsiTheme="minorHAnsi" w:cstheme="minorHAnsi"/>
        </w:rPr>
        <w:t xml:space="preserve"> </w:t>
      </w:r>
      <w:r w:rsidR="000A1678" w:rsidRPr="00025B9C">
        <w:rPr>
          <w:rFonts w:asciiTheme="minorHAnsi" w:hAnsiTheme="minorHAnsi" w:cstheme="minorHAnsi"/>
        </w:rPr>
        <w:t xml:space="preserve">over the two time periods </w:t>
      </w:r>
      <w:r w:rsidR="00BB49A7" w:rsidRPr="00025B9C">
        <w:rPr>
          <w:rFonts w:asciiTheme="minorHAnsi" w:hAnsiTheme="minorHAnsi" w:cstheme="minorHAnsi"/>
        </w:rPr>
        <w:t>relate</w:t>
      </w:r>
      <w:r w:rsidR="005E6A6B" w:rsidRPr="00025B9C">
        <w:rPr>
          <w:rFonts w:asciiTheme="minorHAnsi" w:hAnsiTheme="minorHAnsi" w:cstheme="minorHAnsi"/>
        </w:rPr>
        <w:t>s</w:t>
      </w:r>
      <w:r w:rsidR="00BB49A7" w:rsidRPr="00025B9C">
        <w:rPr>
          <w:rFonts w:asciiTheme="minorHAnsi" w:hAnsiTheme="minorHAnsi" w:cstheme="minorHAnsi"/>
        </w:rPr>
        <w:t xml:space="preserve"> to relatively small numbers and so percentages can be misleading. For instance, a</w:t>
      </w:r>
      <w:r w:rsidR="00E90540" w:rsidRPr="00025B9C">
        <w:rPr>
          <w:rFonts w:asciiTheme="minorHAnsi" w:hAnsiTheme="minorHAnsi" w:cstheme="minorHAnsi"/>
        </w:rPr>
        <w:t>ttribution for legal reasons</w:t>
      </w:r>
      <w:r w:rsidR="00BB49A7" w:rsidRPr="00025B9C">
        <w:rPr>
          <w:rFonts w:asciiTheme="minorHAnsi" w:hAnsiTheme="minorHAnsi" w:cstheme="minorHAnsi"/>
        </w:rPr>
        <w:t xml:space="preserve"> (</w:t>
      </w:r>
      <w:r w:rsidR="00634A79" w:rsidRPr="00025B9C">
        <w:rPr>
          <w:rFonts w:asciiTheme="minorHAnsi" w:hAnsiTheme="minorHAnsi" w:cstheme="minorHAnsi"/>
          <w:szCs w:val="22"/>
        </w:rPr>
        <w:t>rhetorical strategy</w:t>
      </w:r>
      <w:r w:rsidR="000A1678" w:rsidRPr="00025B9C">
        <w:rPr>
          <w:rFonts w:asciiTheme="minorHAnsi" w:hAnsiTheme="minorHAnsi" w:cstheme="minorHAnsi"/>
          <w:sz w:val="28"/>
        </w:rPr>
        <w:t xml:space="preserve"> </w:t>
      </w:r>
      <w:r w:rsidR="003433CF" w:rsidRPr="00025B9C">
        <w:rPr>
          <w:rFonts w:asciiTheme="minorHAnsi" w:hAnsiTheme="minorHAnsi" w:cstheme="minorHAnsi"/>
        </w:rPr>
        <w:t>5</w:t>
      </w:r>
      <w:r w:rsidR="00BB49A7" w:rsidRPr="00025B9C">
        <w:rPr>
          <w:rFonts w:asciiTheme="minorHAnsi" w:hAnsiTheme="minorHAnsi" w:cstheme="minorHAnsi"/>
        </w:rPr>
        <w:t xml:space="preserve">c) </w:t>
      </w:r>
      <w:r w:rsidR="00E90540" w:rsidRPr="00025B9C">
        <w:rPr>
          <w:rFonts w:asciiTheme="minorHAnsi" w:hAnsiTheme="minorHAnsi" w:cstheme="minorHAnsi"/>
        </w:rPr>
        <w:t xml:space="preserve">has </w:t>
      </w:r>
      <w:r w:rsidR="006A10FA" w:rsidRPr="00025B9C">
        <w:rPr>
          <w:rFonts w:asciiTheme="minorHAnsi" w:hAnsiTheme="minorHAnsi" w:cstheme="minorHAnsi"/>
        </w:rPr>
        <w:t xml:space="preserve">also </w:t>
      </w:r>
      <w:r w:rsidR="00E90540" w:rsidRPr="00025B9C">
        <w:rPr>
          <w:rFonts w:asciiTheme="minorHAnsi" w:hAnsiTheme="minorHAnsi" w:cstheme="minorHAnsi"/>
        </w:rPr>
        <w:t>increased noticeably</w:t>
      </w:r>
      <w:r w:rsidR="00F053BF" w:rsidRPr="00025B9C">
        <w:rPr>
          <w:rFonts w:asciiTheme="minorHAnsi" w:hAnsiTheme="minorHAnsi" w:cstheme="minorHAnsi"/>
        </w:rPr>
        <w:t>,</w:t>
      </w:r>
      <w:r w:rsidR="00E90540" w:rsidRPr="00025B9C">
        <w:rPr>
          <w:rFonts w:asciiTheme="minorHAnsi" w:hAnsiTheme="minorHAnsi" w:cstheme="minorHAnsi"/>
        </w:rPr>
        <w:t xml:space="preserve"> </w:t>
      </w:r>
      <w:r w:rsidR="00BB49A7" w:rsidRPr="00025B9C">
        <w:rPr>
          <w:rFonts w:asciiTheme="minorHAnsi" w:hAnsiTheme="minorHAnsi" w:cstheme="minorHAnsi"/>
        </w:rPr>
        <w:t>but</w:t>
      </w:r>
      <w:r w:rsidR="00E90540" w:rsidRPr="00025B9C">
        <w:rPr>
          <w:rFonts w:asciiTheme="minorHAnsi" w:hAnsiTheme="minorHAnsi" w:cstheme="minorHAnsi"/>
        </w:rPr>
        <w:t xml:space="preserve"> the numbers are small. This </w:t>
      </w:r>
      <w:r w:rsidR="00CF5AF5" w:rsidRPr="00025B9C">
        <w:rPr>
          <w:rFonts w:asciiTheme="minorHAnsi" w:hAnsiTheme="minorHAnsi" w:cstheme="minorHAnsi"/>
        </w:rPr>
        <w:t xml:space="preserve">often </w:t>
      </w:r>
      <w:r w:rsidR="00E90540" w:rsidRPr="00025B9C">
        <w:rPr>
          <w:rFonts w:asciiTheme="minorHAnsi" w:hAnsiTheme="minorHAnsi" w:cstheme="minorHAnsi"/>
        </w:rPr>
        <w:t xml:space="preserve">relates to the </w:t>
      </w:r>
      <w:r w:rsidR="00BB49A7" w:rsidRPr="00025B9C">
        <w:rPr>
          <w:rFonts w:asciiTheme="minorHAnsi" w:hAnsiTheme="minorHAnsi" w:cstheme="minorHAnsi"/>
        </w:rPr>
        <w:t xml:space="preserve">requirement in the </w:t>
      </w:r>
      <w:r w:rsidR="00E90540" w:rsidRPr="00025B9C">
        <w:rPr>
          <w:rFonts w:asciiTheme="minorHAnsi" w:hAnsiTheme="minorHAnsi" w:cstheme="minorHAnsi"/>
        </w:rPr>
        <w:t xml:space="preserve">2010 Code </w:t>
      </w:r>
      <w:r w:rsidR="00286D53" w:rsidRPr="00025B9C">
        <w:rPr>
          <w:rFonts w:asciiTheme="minorHAnsi" w:hAnsiTheme="minorHAnsi" w:cstheme="minorHAnsi"/>
        </w:rPr>
        <w:t xml:space="preserve">(FRC, 2010) </w:t>
      </w:r>
      <w:r w:rsidR="006A10FA" w:rsidRPr="00025B9C">
        <w:rPr>
          <w:rFonts w:asciiTheme="minorHAnsi" w:hAnsiTheme="minorHAnsi" w:cstheme="minorHAnsi"/>
        </w:rPr>
        <w:t xml:space="preserve">whereby </w:t>
      </w:r>
      <w:r w:rsidR="00E90540" w:rsidRPr="00025B9C">
        <w:rPr>
          <w:rFonts w:asciiTheme="minorHAnsi" w:hAnsiTheme="minorHAnsi" w:cstheme="minorHAnsi"/>
        </w:rPr>
        <w:t xml:space="preserve">directors </w:t>
      </w:r>
      <w:r w:rsidR="006A10FA" w:rsidRPr="00025B9C">
        <w:rPr>
          <w:rFonts w:asciiTheme="minorHAnsi" w:hAnsiTheme="minorHAnsi" w:cstheme="minorHAnsi"/>
        </w:rPr>
        <w:t xml:space="preserve">were required to </w:t>
      </w:r>
      <w:r w:rsidR="00E90540" w:rsidRPr="00025B9C">
        <w:rPr>
          <w:rFonts w:asciiTheme="minorHAnsi" w:hAnsiTheme="minorHAnsi" w:cstheme="minorHAnsi"/>
        </w:rPr>
        <w:t>stand for reappointment annually which</w:t>
      </w:r>
      <w:r w:rsidR="00F053BF" w:rsidRPr="00025B9C">
        <w:rPr>
          <w:rFonts w:asciiTheme="minorHAnsi" w:hAnsiTheme="minorHAnsi" w:cstheme="minorHAnsi"/>
        </w:rPr>
        <w:t>,</w:t>
      </w:r>
      <w:r w:rsidR="00E90540" w:rsidRPr="00025B9C">
        <w:rPr>
          <w:rFonts w:asciiTheme="minorHAnsi" w:hAnsiTheme="minorHAnsi" w:cstheme="minorHAnsi"/>
        </w:rPr>
        <w:t xml:space="preserve"> i</w:t>
      </w:r>
      <w:r w:rsidR="006A10FA" w:rsidRPr="00025B9C">
        <w:rPr>
          <w:rFonts w:asciiTheme="minorHAnsi" w:hAnsiTheme="minorHAnsi" w:cstheme="minorHAnsi"/>
        </w:rPr>
        <w:t>n certain cases</w:t>
      </w:r>
      <w:r w:rsidR="00F053BF" w:rsidRPr="00025B9C">
        <w:rPr>
          <w:rFonts w:asciiTheme="minorHAnsi" w:hAnsiTheme="minorHAnsi" w:cstheme="minorHAnsi"/>
        </w:rPr>
        <w:t>,</w:t>
      </w:r>
      <w:r w:rsidR="006A10FA" w:rsidRPr="00025B9C">
        <w:rPr>
          <w:rFonts w:asciiTheme="minorHAnsi" w:hAnsiTheme="minorHAnsi" w:cstheme="minorHAnsi"/>
        </w:rPr>
        <w:t xml:space="preserve"> was</w:t>
      </w:r>
      <w:r w:rsidR="00E90540" w:rsidRPr="00025B9C">
        <w:rPr>
          <w:rFonts w:asciiTheme="minorHAnsi" w:hAnsiTheme="minorHAnsi" w:cstheme="minorHAnsi"/>
        </w:rPr>
        <w:t xml:space="preserve"> contrary to contracts</w:t>
      </w:r>
      <w:r w:rsidR="006A10FA" w:rsidRPr="00025B9C">
        <w:rPr>
          <w:rFonts w:asciiTheme="minorHAnsi" w:hAnsiTheme="minorHAnsi" w:cstheme="minorHAnsi"/>
        </w:rPr>
        <w:t xml:space="preserve"> already in place</w:t>
      </w:r>
      <w:r w:rsidR="00E90540" w:rsidRPr="00025B9C">
        <w:rPr>
          <w:rFonts w:asciiTheme="minorHAnsi" w:hAnsiTheme="minorHAnsi" w:cstheme="minorHAnsi"/>
        </w:rPr>
        <w:t xml:space="preserve">. </w:t>
      </w:r>
      <w:r w:rsidR="00DC6403" w:rsidRPr="00025B9C">
        <w:rPr>
          <w:rFonts w:asciiTheme="minorHAnsi" w:hAnsiTheme="minorHAnsi" w:cstheme="minorHAnsi"/>
        </w:rPr>
        <w:t>Bolstering (</w:t>
      </w:r>
      <w:r w:rsidR="00634A79" w:rsidRPr="00025B9C">
        <w:rPr>
          <w:rFonts w:asciiTheme="minorHAnsi" w:hAnsiTheme="minorHAnsi" w:cstheme="minorHAnsi"/>
          <w:szCs w:val="22"/>
        </w:rPr>
        <w:t>rhetorical strategy</w:t>
      </w:r>
      <w:r w:rsidR="000A1678" w:rsidRPr="00025B9C">
        <w:rPr>
          <w:rFonts w:asciiTheme="minorHAnsi" w:hAnsiTheme="minorHAnsi" w:cstheme="minorHAnsi"/>
        </w:rPr>
        <w:t xml:space="preserve"> </w:t>
      </w:r>
      <w:r w:rsidR="003433CF" w:rsidRPr="00025B9C">
        <w:rPr>
          <w:rFonts w:asciiTheme="minorHAnsi" w:hAnsiTheme="minorHAnsi" w:cstheme="minorHAnsi"/>
        </w:rPr>
        <w:t>2</w:t>
      </w:r>
      <w:r w:rsidR="00DC6403" w:rsidRPr="00025B9C">
        <w:rPr>
          <w:rFonts w:asciiTheme="minorHAnsi" w:hAnsiTheme="minorHAnsi" w:cstheme="minorHAnsi"/>
        </w:rPr>
        <w:t xml:space="preserve">) and self-promotion </w:t>
      </w:r>
      <w:r w:rsidR="00D41F87" w:rsidRPr="00025B9C">
        <w:rPr>
          <w:rFonts w:asciiTheme="minorHAnsi" w:hAnsiTheme="minorHAnsi" w:cstheme="minorHAnsi"/>
        </w:rPr>
        <w:t>(</w:t>
      </w:r>
      <w:r w:rsidR="00634A79" w:rsidRPr="00025B9C">
        <w:rPr>
          <w:rFonts w:asciiTheme="minorHAnsi" w:hAnsiTheme="minorHAnsi" w:cstheme="minorHAnsi"/>
          <w:szCs w:val="22"/>
        </w:rPr>
        <w:t>rhetorical strategy</w:t>
      </w:r>
      <w:r w:rsidR="00D41F87" w:rsidRPr="00025B9C">
        <w:rPr>
          <w:rFonts w:asciiTheme="minorHAnsi" w:hAnsiTheme="minorHAnsi" w:cstheme="minorHAnsi"/>
        </w:rPr>
        <w:t xml:space="preserve"> </w:t>
      </w:r>
      <w:r w:rsidR="003433CF" w:rsidRPr="00025B9C">
        <w:rPr>
          <w:rFonts w:asciiTheme="minorHAnsi" w:hAnsiTheme="minorHAnsi" w:cstheme="minorHAnsi"/>
        </w:rPr>
        <w:t>7</w:t>
      </w:r>
      <w:r w:rsidR="00D41F87" w:rsidRPr="00025B9C">
        <w:rPr>
          <w:rFonts w:asciiTheme="minorHAnsi" w:hAnsiTheme="minorHAnsi" w:cstheme="minorHAnsi"/>
        </w:rPr>
        <w:t>)</w:t>
      </w:r>
      <w:r w:rsidR="008A75DD" w:rsidRPr="00025B9C">
        <w:rPr>
          <w:rFonts w:asciiTheme="minorHAnsi" w:hAnsiTheme="minorHAnsi" w:cstheme="minorHAnsi"/>
        </w:rPr>
        <w:t>, which are</w:t>
      </w:r>
      <w:r w:rsidR="000A1678" w:rsidRPr="00025B9C">
        <w:rPr>
          <w:rFonts w:asciiTheme="minorHAnsi" w:hAnsiTheme="minorHAnsi" w:cstheme="minorHAnsi"/>
        </w:rPr>
        <w:t xml:space="preserve"> quite similar </w:t>
      </w:r>
      <w:r w:rsidR="00845046" w:rsidRPr="00025B9C">
        <w:rPr>
          <w:rFonts w:asciiTheme="minorHAnsi" w:hAnsiTheme="minorHAnsi" w:cstheme="minorHAnsi"/>
        </w:rPr>
        <w:t xml:space="preserve">rhetorical </w:t>
      </w:r>
      <w:r w:rsidR="000A1678" w:rsidRPr="00025B9C">
        <w:rPr>
          <w:rFonts w:asciiTheme="minorHAnsi" w:hAnsiTheme="minorHAnsi" w:cstheme="minorHAnsi"/>
        </w:rPr>
        <w:t>strategies,</w:t>
      </w:r>
      <w:r w:rsidR="00DC6403" w:rsidRPr="00025B9C">
        <w:rPr>
          <w:rFonts w:asciiTheme="minorHAnsi" w:hAnsiTheme="minorHAnsi" w:cstheme="minorHAnsi"/>
        </w:rPr>
        <w:t xml:space="preserve"> were rarely used in 2004/</w:t>
      </w:r>
      <w:r w:rsidR="00DA2B3F" w:rsidRPr="00025B9C">
        <w:rPr>
          <w:rFonts w:asciiTheme="minorHAnsi" w:hAnsiTheme="minorHAnsi" w:cstheme="minorHAnsi"/>
        </w:rPr>
        <w:t>0</w:t>
      </w:r>
      <w:r w:rsidR="00DC6403" w:rsidRPr="00025B9C">
        <w:rPr>
          <w:rFonts w:asciiTheme="minorHAnsi" w:hAnsiTheme="minorHAnsi" w:cstheme="minorHAnsi"/>
        </w:rPr>
        <w:t>5 (just four incidences in total)</w:t>
      </w:r>
      <w:r w:rsidR="000A1678" w:rsidRPr="00025B9C">
        <w:rPr>
          <w:rFonts w:asciiTheme="minorHAnsi" w:hAnsiTheme="minorHAnsi" w:cstheme="minorHAnsi"/>
        </w:rPr>
        <w:t>;</w:t>
      </w:r>
      <w:r w:rsidR="00DC6403" w:rsidRPr="00025B9C">
        <w:rPr>
          <w:rFonts w:asciiTheme="minorHAnsi" w:hAnsiTheme="minorHAnsi" w:cstheme="minorHAnsi"/>
        </w:rPr>
        <w:t xml:space="preserve"> </w:t>
      </w:r>
      <w:r w:rsidR="000A1678" w:rsidRPr="00025B9C">
        <w:rPr>
          <w:rFonts w:asciiTheme="minorHAnsi" w:hAnsiTheme="minorHAnsi" w:cstheme="minorHAnsi"/>
        </w:rPr>
        <w:t>usage</w:t>
      </w:r>
      <w:r w:rsidR="00DC6403" w:rsidRPr="00025B9C">
        <w:rPr>
          <w:rFonts w:asciiTheme="minorHAnsi" w:hAnsiTheme="minorHAnsi" w:cstheme="minorHAnsi"/>
        </w:rPr>
        <w:t xml:space="preserve"> increased to 11 </w:t>
      </w:r>
      <w:r w:rsidR="004474EC" w:rsidRPr="00025B9C">
        <w:rPr>
          <w:rFonts w:asciiTheme="minorHAnsi" w:hAnsiTheme="minorHAnsi" w:cstheme="minorHAnsi"/>
        </w:rPr>
        <w:t xml:space="preserve">(in total) </w:t>
      </w:r>
      <w:r w:rsidR="00DC6403" w:rsidRPr="00025B9C">
        <w:rPr>
          <w:rFonts w:asciiTheme="minorHAnsi" w:hAnsiTheme="minorHAnsi" w:cstheme="minorHAnsi"/>
        </w:rPr>
        <w:t>in 2011/12. Companies a</w:t>
      </w:r>
      <w:r w:rsidR="00D41F87" w:rsidRPr="00025B9C">
        <w:rPr>
          <w:rFonts w:asciiTheme="minorHAnsi" w:hAnsiTheme="minorHAnsi" w:cstheme="minorHAnsi"/>
        </w:rPr>
        <w:t>ppear</w:t>
      </w:r>
      <w:r w:rsidR="00DC6403" w:rsidRPr="00025B9C">
        <w:rPr>
          <w:rFonts w:asciiTheme="minorHAnsi" w:hAnsiTheme="minorHAnsi" w:cstheme="minorHAnsi"/>
        </w:rPr>
        <w:t xml:space="preserve"> more likely to present their </w:t>
      </w:r>
      <w:r w:rsidR="004E51E8" w:rsidRPr="00025B9C">
        <w:rPr>
          <w:rFonts w:asciiTheme="minorHAnsi" w:hAnsiTheme="minorHAnsi" w:cstheme="minorHAnsi"/>
        </w:rPr>
        <w:t xml:space="preserve">good aspects than </w:t>
      </w:r>
      <w:r w:rsidR="006C32A7" w:rsidRPr="00025B9C">
        <w:rPr>
          <w:rFonts w:asciiTheme="minorHAnsi" w:hAnsiTheme="minorHAnsi" w:cstheme="minorHAnsi"/>
        </w:rPr>
        <w:t xml:space="preserve">was </w:t>
      </w:r>
      <w:r w:rsidR="004E51E8" w:rsidRPr="00025B9C">
        <w:rPr>
          <w:rFonts w:asciiTheme="minorHAnsi" w:hAnsiTheme="minorHAnsi" w:cstheme="minorHAnsi"/>
        </w:rPr>
        <w:t>previously the case</w:t>
      </w:r>
      <w:r w:rsidR="004F6B3D" w:rsidRPr="00025B9C">
        <w:rPr>
          <w:rFonts w:asciiTheme="minorHAnsi" w:hAnsiTheme="minorHAnsi" w:cstheme="minorHAnsi"/>
        </w:rPr>
        <w:t>.</w:t>
      </w:r>
      <w:r w:rsidR="004E51E8" w:rsidRPr="00025B9C">
        <w:rPr>
          <w:rFonts w:asciiTheme="minorHAnsi" w:hAnsiTheme="minorHAnsi" w:cstheme="minorHAnsi"/>
        </w:rPr>
        <w:t xml:space="preserve"> </w:t>
      </w:r>
      <w:r w:rsidR="004F6B3D" w:rsidRPr="00025B9C">
        <w:rPr>
          <w:rFonts w:asciiTheme="minorHAnsi" w:hAnsiTheme="minorHAnsi" w:cstheme="minorHAnsi"/>
        </w:rPr>
        <w:t>T</w:t>
      </w:r>
      <w:r w:rsidR="004E51E8" w:rsidRPr="00025B9C">
        <w:rPr>
          <w:rFonts w:asciiTheme="minorHAnsi" w:hAnsiTheme="minorHAnsi" w:cstheme="minorHAnsi"/>
        </w:rPr>
        <w:t xml:space="preserve">hese </w:t>
      </w:r>
      <w:r w:rsidR="00CF6F01" w:rsidRPr="00025B9C">
        <w:rPr>
          <w:rFonts w:asciiTheme="minorHAnsi" w:hAnsiTheme="minorHAnsi" w:cstheme="minorHAnsi"/>
        </w:rPr>
        <w:t xml:space="preserve">particular </w:t>
      </w:r>
      <w:r w:rsidR="00431735" w:rsidRPr="00025B9C">
        <w:rPr>
          <w:rFonts w:asciiTheme="minorHAnsi" w:hAnsiTheme="minorHAnsi" w:cstheme="minorHAnsi"/>
        </w:rPr>
        <w:t xml:space="preserve">rhetorical </w:t>
      </w:r>
      <w:r w:rsidR="004E51E8" w:rsidRPr="00025B9C">
        <w:rPr>
          <w:rFonts w:asciiTheme="minorHAnsi" w:hAnsiTheme="minorHAnsi" w:cstheme="minorHAnsi"/>
        </w:rPr>
        <w:t>strategies are p</w:t>
      </w:r>
      <w:r w:rsidR="00071377" w:rsidRPr="00025B9C">
        <w:rPr>
          <w:rFonts w:asciiTheme="minorHAnsi" w:hAnsiTheme="minorHAnsi" w:cstheme="minorHAnsi"/>
        </w:rPr>
        <w:t xml:space="preserve">ossibly more effective </w:t>
      </w:r>
      <w:r w:rsidR="004E51E8" w:rsidRPr="00025B9C">
        <w:rPr>
          <w:rFonts w:asciiTheme="minorHAnsi" w:hAnsiTheme="minorHAnsi" w:cstheme="minorHAnsi"/>
        </w:rPr>
        <w:t xml:space="preserve">when employed with other </w:t>
      </w:r>
      <w:r w:rsidR="00431735" w:rsidRPr="00025B9C">
        <w:rPr>
          <w:rFonts w:asciiTheme="minorHAnsi" w:hAnsiTheme="minorHAnsi" w:cstheme="minorHAnsi"/>
        </w:rPr>
        <w:t xml:space="preserve">rhetorical </w:t>
      </w:r>
      <w:r w:rsidR="004E51E8" w:rsidRPr="00025B9C">
        <w:rPr>
          <w:rFonts w:asciiTheme="minorHAnsi" w:hAnsiTheme="minorHAnsi" w:cstheme="minorHAnsi"/>
        </w:rPr>
        <w:t>strategies such as transcendence (</w:t>
      </w:r>
      <w:r w:rsidR="00634A79" w:rsidRPr="00025B9C">
        <w:rPr>
          <w:rFonts w:asciiTheme="minorHAnsi" w:hAnsiTheme="minorHAnsi" w:cstheme="minorHAnsi"/>
          <w:szCs w:val="22"/>
        </w:rPr>
        <w:t>rhetorical strategy</w:t>
      </w:r>
      <w:r w:rsidR="000A1678" w:rsidRPr="00025B9C">
        <w:rPr>
          <w:rFonts w:asciiTheme="minorHAnsi" w:hAnsiTheme="minorHAnsi" w:cstheme="minorHAnsi"/>
        </w:rPr>
        <w:t xml:space="preserve"> </w:t>
      </w:r>
      <w:r w:rsidR="003433CF" w:rsidRPr="00025B9C">
        <w:rPr>
          <w:rFonts w:asciiTheme="minorHAnsi" w:hAnsiTheme="minorHAnsi" w:cstheme="minorHAnsi"/>
        </w:rPr>
        <w:t>4</w:t>
      </w:r>
      <w:r w:rsidR="000A1678" w:rsidRPr="00025B9C">
        <w:rPr>
          <w:rFonts w:asciiTheme="minorHAnsi" w:hAnsiTheme="minorHAnsi" w:cstheme="minorHAnsi"/>
        </w:rPr>
        <w:t>)</w:t>
      </w:r>
      <w:r w:rsidR="004E768E" w:rsidRPr="00025B9C">
        <w:rPr>
          <w:rFonts w:asciiTheme="minorHAnsi" w:hAnsiTheme="minorHAnsi" w:cstheme="minorHAnsi"/>
        </w:rPr>
        <w:t xml:space="preserve"> and this is </w:t>
      </w:r>
      <w:r w:rsidR="000A1678" w:rsidRPr="00025B9C">
        <w:rPr>
          <w:rFonts w:asciiTheme="minorHAnsi" w:hAnsiTheme="minorHAnsi" w:cstheme="minorHAnsi"/>
        </w:rPr>
        <w:t xml:space="preserve">discussed in </w:t>
      </w:r>
      <w:r w:rsidR="00430CC2" w:rsidRPr="00025B9C">
        <w:rPr>
          <w:rFonts w:asciiTheme="minorHAnsi" w:hAnsiTheme="minorHAnsi" w:cstheme="minorHAnsi"/>
        </w:rPr>
        <w:t>the next section</w:t>
      </w:r>
      <w:r w:rsidR="004E51E8" w:rsidRPr="00025B9C">
        <w:rPr>
          <w:rFonts w:asciiTheme="minorHAnsi" w:hAnsiTheme="minorHAnsi" w:cstheme="minorHAnsi"/>
        </w:rPr>
        <w:t xml:space="preserve">. </w:t>
      </w:r>
    </w:p>
    <w:p w:rsidR="00B13097" w:rsidRPr="00025B9C" w:rsidRDefault="00A23839" w:rsidP="00D665D9">
      <w:pPr>
        <w:spacing w:line="360" w:lineRule="auto"/>
        <w:jc w:val="both"/>
        <w:rPr>
          <w:rFonts w:asciiTheme="minorHAnsi" w:hAnsiTheme="minorHAnsi" w:cstheme="minorHAnsi"/>
          <w:b/>
        </w:rPr>
      </w:pPr>
      <w:r w:rsidRPr="00025B9C">
        <w:rPr>
          <w:rFonts w:asciiTheme="minorHAnsi" w:hAnsiTheme="minorHAnsi" w:cstheme="minorHAnsi"/>
          <w:b/>
        </w:rPr>
        <w:t>&lt; Insert Table 5</w:t>
      </w:r>
      <w:r w:rsidR="009F06D1" w:rsidRPr="00025B9C">
        <w:rPr>
          <w:rFonts w:asciiTheme="minorHAnsi" w:hAnsiTheme="minorHAnsi" w:cstheme="minorHAnsi"/>
          <w:b/>
        </w:rPr>
        <w:t xml:space="preserve"> here&gt;</w:t>
      </w:r>
    </w:p>
    <w:p w:rsidR="00A81B28" w:rsidRPr="00025B9C" w:rsidRDefault="00A81B28" w:rsidP="00D665D9">
      <w:pPr>
        <w:spacing w:line="360" w:lineRule="auto"/>
        <w:jc w:val="both"/>
        <w:rPr>
          <w:rFonts w:asciiTheme="minorHAnsi" w:hAnsiTheme="minorHAnsi" w:cstheme="minorHAnsi"/>
        </w:rPr>
      </w:pPr>
    </w:p>
    <w:p w:rsidR="00D6013D" w:rsidRPr="00025B9C" w:rsidRDefault="00A77202" w:rsidP="00D665D9">
      <w:pPr>
        <w:spacing w:line="360" w:lineRule="auto"/>
        <w:jc w:val="both"/>
        <w:rPr>
          <w:rFonts w:asciiTheme="minorHAnsi" w:hAnsiTheme="minorHAnsi" w:cstheme="minorHAnsi"/>
        </w:rPr>
      </w:pPr>
      <w:r w:rsidRPr="00025B9C">
        <w:rPr>
          <w:rFonts w:asciiTheme="minorHAnsi" w:hAnsiTheme="minorHAnsi" w:cstheme="minorHAnsi"/>
        </w:rPr>
        <w:t xml:space="preserve">In order to draw some conclusions from the analysis, in Figure 2 we present our rhetorical strategies on a continuum </w:t>
      </w:r>
      <w:r w:rsidR="001A6275" w:rsidRPr="00025B9C">
        <w:rPr>
          <w:rFonts w:asciiTheme="minorHAnsi" w:hAnsiTheme="minorHAnsi" w:cstheme="minorHAnsi"/>
        </w:rPr>
        <w:t xml:space="preserve">from </w:t>
      </w:r>
      <w:r w:rsidRPr="00025B9C">
        <w:rPr>
          <w:rFonts w:asciiTheme="minorHAnsi" w:hAnsiTheme="minorHAnsi" w:cstheme="minorHAnsi"/>
        </w:rPr>
        <w:t>meaningful to misleading rhetoric.</w:t>
      </w:r>
      <w:r w:rsidR="001A6275" w:rsidRPr="00025B9C">
        <w:rPr>
          <w:rFonts w:asciiTheme="minorHAnsi" w:hAnsiTheme="minorHAnsi" w:cstheme="minorHAnsi"/>
        </w:rPr>
        <w:t xml:space="preserve"> We have based our positioning of the rhetorical strategies on whether they are</w:t>
      </w:r>
      <w:r w:rsidR="00EA4463" w:rsidRPr="00025B9C">
        <w:rPr>
          <w:rFonts w:asciiTheme="minorHAnsi" w:hAnsiTheme="minorHAnsi" w:cstheme="minorHAnsi"/>
        </w:rPr>
        <w:t xml:space="preserve"> (</w:t>
      </w:r>
      <w:proofErr w:type="spellStart"/>
      <w:r w:rsidR="00EA4463" w:rsidRPr="00025B9C">
        <w:rPr>
          <w:rFonts w:asciiTheme="minorHAnsi" w:hAnsiTheme="minorHAnsi" w:cstheme="minorHAnsi"/>
        </w:rPr>
        <w:t>i</w:t>
      </w:r>
      <w:proofErr w:type="spellEnd"/>
      <w:r w:rsidR="00EA4463" w:rsidRPr="00025B9C">
        <w:rPr>
          <w:rFonts w:asciiTheme="minorHAnsi" w:hAnsiTheme="minorHAnsi" w:cstheme="minorHAnsi"/>
        </w:rPr>
        <w:t>)</w:t>
      </w:r>
      <w:r w:rsidR="001A6275" w:rsidRPr="00025B9C">
        <w:rPr>
          <w:rFonts w:asciiTheme="minorHAnsi" w:hAnsiTheme="minorHAnsi" w:cstheme="minorHAnsi"/>
        </w:rPr>
        <w:t xml:space="preserve"> substantive</w:t>
      </w:r>
      <w:r w:rsidR="00EA4463" w:rsidRPr="00025B9C">
        <w:rPr>
          <w:rFonts w:asciiTheme="minorHAnsi" w:hAnsiTheme="minorHAnsi" w:cstheme="minorHAnsi"/>
        </w:rPr>
        <w:t xml:space="preserve"> and convincing</w:t>
      </w:r>
      <w:r w:rsidR="001A6275" w:rsidRPr="00025B9C">
        <w:rPr>
          <w:rFonts w:asciiTheme="minorHAnsi" w:hAnsiTheme="minorHAnsi" w:cstheme="minorHAnsi"/>
        </w:rPr>
        <w:t xml:space="preserve">, </w:t>
      </w:r>
      <w:r w:rsidR="00EA4463" w:rsidRPr="00025B9C">
        <w:rPr>
          <w:rFonts w:asciiTheme="minorHAnsi" w:hAnsiTheme="minorHAnsi" w:cstheme="minorHAnsi"/>
          <w:lang w:val="en-IE"/>
        </w:rPr>
        <w:t xml:space="preserve">(ii) </w:t>
      </w:r>
      <w:r w:rsidR="001A6275" w:rsidRPr="00025B9C">
        <w:rPr>
          <w:rFonts w:asciiTheme="minorHAnsi" w:hAnsiTheme="minorHAnsi" w:cstheme="minorHAnsi"/>
        </w:rPr>
        <w:t xml:space="preserve">vague and related to impression management or </w:t>
      </w:r>
      <w:r w:rsidR="00EA4463" w:rsidRPr="00025B9C">
        <w:rPr>
          <w:rFonts w:asciiTheme="minorHAnsi" w:hAnsiTheme="minorHAnsi" w:cstheme="minorHAnsi"/>
        </w:rPr>
        <w:t xml:space="preserve">(iii) </w:t>
      </w:r>
      <w:r w:rsidR="001A6275" w:rsidRPr="00025B9C">
        <w:rPr>
          <w:rFonts w:asciiTheme="minorHAnsi" w:hAnsiTheme="minorHAnsi" w:cstheme="minorHAnsi"/>
        </w:rPr>
        <w:t>relate more to misrepresenting the non-compliance or confusing readers.</w:t>
      </w:r>
      <w:r w:rsidR="00FA5236" w:rsidRPr="00025B9C">
        <w:rPr>
          <w:rFonts w:asciiTheme="minorHAnsi" w:hAnsiTheme="minorHAnsi" w:cstheme="minorHAnsi"/>
        </w:rPr>
        <w:t xml:space="preserve"> We acknowledge that our positioning of rhetorical strategies on the continuum is subjective. </w:t>
      </w:r>
      <w:r w:rsidR="00861DA5" w:rsidRPr="00025B9C">
        <w:rPr>
          <w:rFonts w:asciiTheme="minorHAnsi" w:hAnsiTheme="minorHAnsi" w:cstheme="minorHAnsi"/>
        </w:rPr>
        <w:t>Positioning on the continuum depends on the circumstances and the context. Identification of rhetorical strategies warns readers to be on alert but it cannot, by itself, tell readers what is right and wrong with the company’s governance position.</w:t>
      </w:r>
    </w:p>
    <w:p w:rsidR="00216285" w:rsidRPr="00025B9C" w:rsidRDefault="00216285" w:rsidP="00D665D9">
      <w:pPr>
        <w:spacing w:line="360" w:lineRule="auto"/>
        <w:jc w:val="both"/>
        <w:rPr>
          <w:rFonts w:asciiTheme="minorHAnsi" w:hAnsiTheme="minorHAnsi" w:cstheme="minorHAnsi"/>
        </w:rPr>
      </w:pPr>
      <w:r w:rsidRPr="00025B9C">
        <w:rPr>
          <w:rFonts w:asciiTheme="minorHAnsi" w:hAnsiTheme="minorHAnsi" w:cstheme="minorHAnsi"/>
        </w:rPr>
        <w:t>&lt;Figure 2 about here&gt;</w:t>
      </w:r>
    </w:p>
    <w:p w:rsidR="00D6013D" w:rsidRPr="00025B9C" w:rsidRDefault="00D6013D" w:rsidP="00D665D9">
      <w:pPr>
        <w:spacing w:line="360" w:lineRule="auto"/>
        <w:jc w:val="both"/>
        <w:rPr>
          <w:rFonts w:asciiTheme="minorHAnsi" w:hAnsiTheme="minorHAnsi" w:cstheme="minorHAnsi"/>
        </w:rPr>
      </w:pPr>
    </w:p>
    <w:p w:rsidR="008A39AA" w:rsidRPr="00025B9C" w:rsidRDefault="00942BD3" w:rsidP="00D665D9">
      <w:pPr>
        <w:keepNext/>
        <w:spacing w:line="360" w:lineRule="auto"/>
        <w:jc w:val="both"/>
        <w:rPr>
          <w:rFonts w:asciiTheme="minorHAnsi" w:hAnsiTheme="minorHAnsi" w:cstheme="minorHAnsi"/>
          <w:i/>
        </w:rPr>
      </w:pPr>
      <w:r w:rsidRPr="00025B9C">
        <w:rPr>
          <w:rFonts w:asciiTheme="minorHAnsi" w:hAnsiTheme="minorHAnsi" w:cstheme="minorHAnsi"/>
          <w:i/>
        </w:rPr>
        <w:t>5</w:t>
      </w:r>
      <w:r w:rsidR="00D41F87" w:rsidRPr="00025B9C">
        <w:rPr>
          <w:rFonts w:asciiTheme="minorHAnsi" w:hAnsiTheme="minorHAnsi" w:cstheme="minorHAnsi"/>
          <w:i/>
        </w:rPr>
        <w:t>.</w:t>
      </w:r>
      <w:r w:rsidR="00EB0DFE" w:rsidRPr="00025B9C">
        <w:rPr>
          <w:rFonts w:asciiTheme="minorHAnsi" w:hAnsiTheme="minorHAnsi" w:cstheme="minorHAnsi"/>
          <w:i/>
        </w:rPr>
        <w:t>2</w:t>
      </w:r>
      <w:r w:rsidR="00D41F87" w:rsidRPr="00025B9C">
        <w:rPr>
          <w:rFonts w:asciiTheme="minorHAnsi" w:hAnsiTheme="minorHAnsi" w:cstheme="minorHAnsi"/>
          <w:i/>
        </w:rPr>
        <w:t xml:space="preserve"> </w:t>
      </w:r>
      <w:r w:rsidR="00431735" w:rsidRPr="00025B9C">
        <w:rPr>
          <w:rFonts w:asciiTheme="minorHAnsi" w:hAnsiTheme="minorHAnsi" w:cstheme="minorHAnsi"/>
          <w:i/>
        </w:rPr>
        <w:t>Rhetorical s</w:t>
      </w:r>
      <w:r w:rsidR="00D41F87" w:rsidRPr="00025B9C">
        <w:rPr>
          <w:rFonts w:asciiTheme="minorHAnsi" w:hAnsiTheme="minorHAnsi" w:cstheme="minorHAnsi"/>
          <w:i/>
        </w:rPr>
        <w:t>trategies used in combination</w:t>
      </w:r>
      <w:r w:rsidR="00A81B28" w:rsidRPr="00025B9C">
        <w:rPr>
          <w:rFonts w:asciiTheme="minorHAnsi" w:hAnsiTheme="minorHAnsi" w:cstheme="minorHAnsi"/>
          <w:i/>
        </w:rPr>
        <w:t xml:space="preserve"> (RQ 3)</w:t>
      </w:r>
    </w:p>
    <w:p w:rsidR="000B13F5" w:rsidRPr="00025B9C" w:rsidRDefault="003F7A5B" w:rsidP="00D665D9">
      <w:pPr>
        <w:keepNext/>
        <w:spacing w:line="360" w:lineRule="auto"/>
        <w:jc w:val="both"/>
        <w:rPr>
          <w:rFonts w:asciiTheme="minorHAnsi" w:hAnsiTheme="minorHAnsi" w:cstheme="minorHAnsi"/>
        </w:rPr>
      </w:pPr>
      <w:r w:rsidRPr="00025B9C">
        <w:rPr>
          <w:rFonts w:asciiTheme="minorHAnsi" w:hAnsiTheme="minorHAnsi" w:cstheme="minorHAnsi"/>
        </w:rPr>
        <w:t xml:space="preserve">This study shows that companies make considerable use of </w:t>
      </w:r>
      <w:r w:rsidR="00845046" w:rsidRPr="00025B9C">
        <w:rPr>
          <w:rFonts w:asciiTheme="minorHAnsi" w:hAnsiTheme="minorHAnsi" w:cstheme="minorHAnsi"/>
        </w:rPr>
        <w:t xml:space="preserve">rhetorical </w:t>
      </w:r>
      <w:r w:rsidRPr="00025B9C">
        <w:rPr>
          <w:rFonts w:asciiTheme="minorHAnsi" w:hAnsiTheme="minorHAnsi" w:cstheme="minorHAnsi"/>
        </w:rPr>
        <w:t xml:space="preserve">strategies. </w:t>
      </w:r>
      <w:r w:rsidR="00EA4463" w:rsidRPr="00025B9C">
        <w:rPr>
          <w:rFonts w:asciiTheme="minorHAnsi" w:hAnsiTheme="minorHAnsi" w:cstheme="minorHAnsi"/>
        </w:rPr>
        <w:t>From a preparer’s perspective, t</w:t>
      </w:r>
      <w:r w:rsidR="00220F7E" w:rsidRPr="00025B9C">
        <w:rPr>
          <w:rFonts w:asciiTheme="minorHAnsi" w:hAnsiTheme="minorHAnsi" w:cstheme="minorHAnsi"/>
        </w:rPr>
        <w:t xml:space="preserve">hese </w:t>
      </w:r>
      <w:r w:rsidR="00431735" w:rsidRPr="00025B9C">
        <w:rPr>
          <w:rFonts w:asciiTheme="minorHAnsi" w:hAnsiTheme="minorHAnsi" w:cstheme="minorHAnsi"/>
        </w:rPr>
        <w:t xml:space="preserve">rhetorical </w:t>
      </w:r>
      <w:r w:rsidR="00BB49A7" w:rsidRPr="00025B9C">
        <w:rPr>
          <w:rFonts w:asciiTheme="minorHAnsi" w:hAnsiTheme="minorHAnsi" w:cstheme="minorHAnsi"/>
        </w:rPr>
        <w:t>strateg</w:t>
      </w:r>
      <w:r w:rsidR="00860DD9" w:rsidRPr="00025B9C">
        <w:rPr>
          <w:rFonts w:asciiTheme="minorHAnsi" w:hAnsiTheme="minorHAnsi" w:cstheme="minorHAnsi"/>
        </w:rPr>
        <w:t>ies can be particularly powerful when they are used together</w:t>
      </w:r>
      <w:r w:rsidR="00EA4463" w:rsidRPr="00025B9C">
        <w:rPr>
          <w:rFonts w:asciiTheme="minorHAnsi" w:hAnsiTheme="minorHAnsi" w:cstheme="minorHAnsi"/>
        </w:rPr>
        <w:t>. T</w:t>
      </w:r>
      <w:r w:rsidR="009515F2" w:rsidRPr="00025B9C">
        <w:rPr>
          <w:rFonts w:asciiTheme="minorHAnsi" w:hAnsiTheme="minorHAnsi" w:cstheme="minorHAnsi"/>
        </w:rPr>
        <w:t>his means that readers have to be particularly circumspect when this appears to occur</w:t>
      </w:r>
      <w:r w:rsidR="00743FEB" w:rsidRPr="00025B9C">
        <w:rPr>
          <w:rFonts w:asciiTheme="minorHAnsi" w:hAnsiTheme="minorHAnsi" w:cstheme="minorHAnsi"/>
        </w:rPr>
        <w:t xml:space="preserve">. Ware </w:t>
      </w:r>
      <w:r w:rsidR="00F343A1" w:rsidRPr="00025B9C">
        <w:rPr>
          <w:rFonts w:asciiTheme="minorHAnsi" w:hAnsiTheme="minorHAnsi" w:cstheme="minorHAnsi"/>
        </w:rPr>
        <w:t>and</w:t>
      </w:r>
      <w:r w:rsidR="00743FEB" w:rsidRPr="00025B9C">
        <w:rPr>
          <w:rFonts w:asciiTheme="minorHAnsi" w:hAnsiTheme="minorHAnsi" w:cstheme="minorHAnsi"/>
        </w:rPr>
        <w:t xml:space="preserve"> </w:t>
      </w:r>
      <w:proofErr w:type="spellStart"/>
      <w:r w:rsidR="00743FEB" w:rsidRPr="00025B9C">
        <w:rPr>
          <w:rFonts w:asciiTheme="minorHAnsi" w:hAnsiTheme="minorHAnsi" w:cstheme="minorHAnsi"/>
        </w:rPr>
        <w:t>Linkugel</w:t>
      </w:r>
      <w:proofErr w:type="spellEnd"/>
      <w:r w:rsidR="00743FEB" w:rsidRPr="00025B9C">
        <w:rPr>
          <w:rFonts w:asciiTheme="minorHAnsi" w:hAnsiTheme="minorHAnsi" w:cstheme="minorHAnsi"/>
        </w:rPr>
        <w:t xml:space="preserve"> (1973) and Benoit (1995)</w:t>
      </w:r>
      <w:r w:rsidR="00507582" w:rsidRPr="00025B9C">
        <w:rPr>
          <w:rFonts w:asciiTheme="minorHAnsi" w:hAnsiTheme="minorHAnsi" w:cstheme="minorHAnsi"/>
        </w:rPr>
        <w:t xml:space="preserve"> </w:t>
      </w:r>
      <w:r w:rsidR="00743FEB" w:rsidRPr="00025B9C">
        <w:rPr>
          <w:rFonts w:asciiTheme="minorHAnsi" w:hAnsiTheme="minorHAnsi" w:cstheme="minorHAnsi"/>
        </w:rPr>
        <w:t>discuss strategies which can be used in combination. “</w:t>
      </w:r>
      <w:r w:rsidR="00EA081A" w:rsidRPr="00025B9C">
        <w:rPr>
          <w:rFonts w:asciiTheme="minorHAnsi" w:hAnsiTheme="minorHAnsi" w:cstheme="minorHAnsi"/>
        </w:rPr>
        <w:t>[</w:t>
      </w:r>
      <w:r w:rsidR="00743FEB" w:rsidRPr="00025B9C">
        <w:rPr>
          <w:rFonts w:asciiTheme="minorHAnsi" w:hAnsiTheme="minorHAnsi" w:cstheme="minorHAnsi"/>
        </w:rPr>
        <w:t>A</w:t>
      </w:r>
      <w:r w:rsidR="00EA081A" w:rsidRPr="00025B9C">
        <w:rPr>
          <w:rFonts w:asciiTheme="minorHAnsi" w:hAnsiTheme="minorHAnsi" w:cstheme="minorHAnsi"/>
        </w:rPr>
        <w:t>]</w:t>
      </w:r>
      <w:r w:rsidR="00743FEB" w:rsidRPr="00025B9C">
        <w:rPr>
          <w:rFonts w:asciiTheme="minorHAnsi" w:hAnsiTheme="minorHAnsi" w:cstheme="minorHAnsi"/>
        </w:rPr>
        <w:t xml:space="preserve">s long as multiple strategies do not appear inconsistent </w:t>
      </w:r>
      <w:r w:rsidR="00A2705F" w:rsidRPr="00025B9C">
        <w:rPr>
          <w:rFonts w:asciiTheme="minorHAnsi" w:hAnsiTheme="minorHAnsi" w:cstheme="minorHAnsi"/>
        </w:rPr>
        <w:t>–</w:t>
      </w:r>
      <w:r w:rsidR="00743FEB" w:rsidRPr="00025B9C">
        <w:rPr>
          <w:rFonts w:asciiTheme="minorHAnsi" w:hAnsiTheme="minorHAnsi" w:cstheme="minorHAnsi"/>
        </w:rPr>
        <w:t xml:space="preserve"> use of multiple image restoration strategies is probably a wise choice</w:t>
      </w:r>
      <w:r w:rsidR="00B9564A" w:rsidRPr="00025B9C">
        <w:rPr>
          <w:rFonts w:asciiTheme="minorHAnsi" w:hAnsiTheme="minorHAnsi" w:cstheme="minorHAnsi"/>
        </w:rPr>
        <w:t xml:space="preserve">… </w:t>
      </w:r>
      <w:r w:rsidR="00EA081A" w:rsidRPr="00025B9C">
        <w:rPr>
          <w:rFonts w:asciiTheme="minorHAnsi" w:hAnsiTheme="minorHAnsi" w:cstheme="minorHAnsi"/>
        </w:rPr>
        <w:t xml:space="preserve">[It] </w:t>
      </w:r>
      <w:r w:rsidR="00743FEB" w:rsidRPr="00025B9C">
        <w:rPr>
          <w:rFonts w:asciiTheme="minorHAnsi" w:hAnsiTheme="minorHAnsi" w:cstheme="minorHAnsi"/>
        </w:rPr>
        <w:t xml:space="preserve">may be beneficial </w:t>
      </w:r>
      <w:r w:rsidR="00B9564A" w:rsidRPr="00025B9C">
        <w:rPr>
          <w:rFonts w:asciiTheme="minorHAnsi" w:hAnsiTheme="minorHAnsi" w:cstheme="minorHAnsi"/>
        </w:rPr>
        <w:t>in that they reinforce one another</w:t>
      </w:r>
      <w:r w:rsidR="00972A37" w:rsidRPr="00025B9C">
        <w:rPr>
          <w:rFonts w:asciiTheme="minorHAnsi" w:hAnsiTheme="minorHAnsi" w:cstheme="minorHAnsi"/>
        </w:rPr>
        <w:t>”.</w:t>
      </w:r>
      <w:r w:rsidR="00743FEB" w:rsidRPr="00025B9C">
        <w:rPr>
          <w:rFonts w:asciiTheme="minorHAnsi" w:hAnsiTheme="minorHAnsi" w:cstheme="minorHAnsi"/>
        </w:rPr>
        <w:t xml:space="preserve"> (Benoit, 1995, p.</w:t>
      </w:r>
      <w:r w:rsidR="00F914D3" w:rsidRPr="00025B9C">
        <w:rPr>
          <w:rFonts w:asciiTheme="minorHAnsi" w:hAnsiTheme="minorHAnsi" w:cstheme="minorHAnsi"/>
        </w:rPr>
        <w:t xml:space="preserve"> </w:t>
      </w:r>
      <w:r w:rsidR="00743FEB" w:rsidRPr="00025B9C">
        <w:rPr>
          <w:rFonts w:asciiTheme="minorHAnsi" w:hAnsiTheme="minorHAnsi" w:cstheme="minorHAnsi"/>
        </w:rPr>
        <w:t>157).</w:t>
      </w:r>
      <w:r w:rsidR="00100D24" w:rsidRPr="00025B9C">
        <w:rPr>
          <w:rFonts w:asciiTheme="minorHAnsi" w:hAnsiTheme="minorHAnsi" w:cstheme="minorHAnsi"/>
        </w:rPr>
        <w:t xml:space="preserve"> </w:t>
      </w:r>
      <w:r w:rsidR="00CF5AF5" w:rsidRPr="00025B9C">
        <w:rPr>
          <w:rFonts w:asciiTheme="minorHAnsi" w:hAnsiTheme="minorHAnsi" w:cstheme="minorHAnsi"/>
        </w:rPr>
        <w:t xml:space="preserve">For example, </w:t>
      </w:r>
      <w:r w:rsidR="000E5654" w:rsidRPr="00025B9C">
        <w:rPr>
          <w:rFonts w:asciiTheme="minorHAnsi" w:hAnsiTheme="minorHAnsi" w:cstheme="minorHAnsi"/>
          <w:szCs w:val="22"/>
        </w:rPr>
        <w:t>rhetorical strategy</w:t>
      </w:r>
      <w:r w:rsidR="00100D24" w:rsidRPr="00025B9C">
        <w:rPr>
          <w:rFonts w:asciiTheme="minorHAnsi" w:hAnsiTheme="minorHAnsi" w:cstheme="minorHAnsi"/>
        </w:rPr>
        <w:t xml:space="preserve"> </w:t>
      </w:r>
      <w:r w:rsidR="003433CF" w:rsidRPr="00025B9C">
        <w:rPr>
          <w:rFonts w:asciiTheme="minorHAnsi" w:hAnsiTheme="minorHAnsi" w:cstheme="minorHAnsi"/>
        </w:rPr>
        <w:t>3</w:t>
      </w:r>
      <w:r w:rsidR="00100D24" w:rsidRPr="00025B9C">
        <w:rPr>
          <w:rFonts w:asciiTheme="minorHAnsi" w:hAnsiTheme="minorHAnsi" w:cstheme="minorHAnsi"/>
        </w:rPr>
        <w:t xml:space="preserve"> </w:t>
      </w:r>
      <w:r w:rsidR="00224EAB" w:rsidRPr="00025B9C">
        <w:rPr>
          <w:rFonts w:asciiTheme="minorHAnsi" w:hAnsiTheme="minorHAnsi" w:cstheme="minorHAnsi"/>
        </w:rPr>
        <w:t>(</w:t>
      </w:r>
      <w:r w:rsidR="00F57B34" w:rsidRPr="00025B9C">
        <w:rPr>
          <w:rFonts w:asciiTheme="minorHAnsi" w:hAnsiTheme="minorHAnsi" w:cstheme="minorHAnsi"/>
        </w:rPr>
        <w:t>minimization</w:t>
      </w:r>
      <w:r w:rsidR="000B13F5" w:rsidRPr="00025B9C">
        <w:rPr>
          <w:rFonts w:asciiTheme="minorHAnsi" w:hAnsiTheme="minorHAnsi" w:cstheme="minorHAnsi"/>
        </w:rPr>
        <w:t xml:space="preserve"> of negative feelings) </w:t>
      </w:r>
      <w:r w:rsidR="00100D24" w:rsidRPr="00025B9C">
        <w:rPr>
          <w:rFonts w:asciiTheme="minorHAnsi" w:hAnsiTheme="minorHAnsi" w:cstheme="minorHAnsi"/>
        </w:rPr>
        <w:t xml:space="preserve">and </w:t>
      </w:r>
      <w:r w:rsidR="000E5654" w:rsidRPr="00025B9C">
        <w:rPr>
          <w:rFonts w:asciiTheme="minorHAnsi" w:hAnsiTheme="minorHAnsi" w:cstheme="minorHAnsi"/>
          <w:szCs w:val="22"/>
        </w:rPr>
        <w:t>rhetorical strategy</w:t>
      </w:r>
      <w:r w:rsidR="00DD6A19" w:rsidRPr="00025B9C">
        <w:rPr>
          <w:rFonts w:asciiTheme="minorHAnsi" w:hAnsiTheme="minorHAnsi" w:cstheme="minorHAnsi"/>
        </w:rPr>
        <w:t xml:space="preserve"> </w:t>
      </w:r>
      <w:r w:rsidR="003433CF" w:rsidRPr="00025B9C">
        <w:rPr>
          <w:rFonts w:asciiTheme="minorHAnsi" w:hAnsiTheme="minorHAnsi" w:cstheme="minorHAnsi"/>
        </w:rPr>
        <w:t>1</w:t>
      </w:r>
      <w:r w:rsidR="00100D24" w:rsidRPr="00025B9C">
        <w:rPr>
          <w:rFonts w:asciiTheme="minorHAnsi" w:hAnsiTheme="minorHAnsi" w:cstheme="minorHAnsi"/>
        </w:rPr>
        <w:t xml:space="preserve"> </w:t>
      </w:r>
      <w:r w:rsidR="000B13F5" w:rsidRPr="00025B9C">
        <w:rPr>
          <w:rFonts w:asciiTheme="minorHAnsi" w:hAnsiTheme="minorHAnsi" w:cstheme="minorHAnsi"/>
        </w:rPr>
        <w:t>(</w:t>
      </w:r>
      <w:r w:rsidR="006344C2" w:rsidRPr="00025B9C">
        <w:rPr>
          <w:rFonts w:asciiTheme="minorHAnsi" w:hAnsiTheme="minorHAnsi" w:cstheme="minorHAnsi"/>
        </w:rPr>
        <w:t>corrective</w:t>
      </w:r>
      <w:r w:rsidR="00BA6ABE" w:rsidRPr="00025B9C">
        <w:rPr>
          <w:rFonts w:asciiTheme="minorHAnsi" w:hAnsiTheme="minorHAnsi" w:cstheme="minorHAnsi"/>
        </w:rPr>
        <w:t xml:space="preserve"> </w:t>
      </w:r>
      <w:r w:rsidR="006344C2" w:rsidRPr="00025B9C">
        <w:rPr>
          <w:rFonts w:asciiTheme="minorHAnsi" w:hAnsiTheme="minorHAnsi" w:cstheme="minorHAnsi"/>
        </w:rPr>
        <w:t>act</w:t>
      </w:r>
      <w:r w:rsidR="000B13F5" w:rsidRPr="00025B9C">
        <w:rPr>
          <w:rFonts w:asciiTheme="minorHAnsi" w:hAnsiTheme="minorHAnsi" w:cstheme="minorHAnsi"/>
        </w:rPr>
        <w:t xml:space="preserve">ion) </w:t>
      </w:r>
      <w:r w:rsidR="00100D24" w:rsidRPr="00025B9C">
        <w:rPr>
          <w:rFonts w:asciiTheme="minorHAnsi" w:hAnsiTheme="minorHAnsi" w:cstheme="minorHAnsi"/>
        </w:rPr>
        <w:t xml:space="preserve">work quite well together in that the overall message </w:t>
      </w:r>
      <w:r w:rsidR="00071377" w:rsidRPr="00025B9C">
        <w:rPr>
          <w:rFonts w:asciiTheme="minorHAnsi" w:hAnsiTheme="minorHAnsi" w:cstheme="minorHAnsi"/>
        </w:rPr>
        <w:t>implies</w:t>
      </w:r>
      <w:r w:rsidR="00100D24" w:rsidRPr="00025B9C">
        <w:rPr>
          <w:rFonts w:asciiTheme="minorHAnsi" w:hAnsiTheme="minorHAnsi" w:cstheme="minorHAnsi"/>
        </w:rPr>
        <w:t xml:space="preserve"> that there is little damage and it is now fixed </w:t>
      </w:r>
      <w:r w:rsidR="00DD6A19" w:rsidRPr="00025B9C">
        <w:rPr>
          <w:rFonts w:asciiTheme="minorHAnsi" w:hAnsiTheme="minorHAnsi" w:cstheme="minorHAnsi"/>
        </w:rPr>
        <w:t>(</w:t>
      </w:r>
      <w:r w:rsidR="00EA4463" w:rsidRPr="00025B9C">
        <w:rPr>
          <w:rFonts w:asciiTheme="minorHAnsi" w:hAnsiTheme="minorHAnsi" w:cstheme="minorHAnsi"/>
          <w:szCs w:val="22"/>
        </w:rPr>
        <w:t>rhetorical strategy</w:t>
      </w:r>
      <w:r w:rsidR="00EA4463" w:rsidRPr="00025B9C">
        <w:rPr>
          <w:rFonts w:asciiTheme="minorHAnsi" w:hAnsiTheme="minorHAnsi" w:cstheme="minorHAnsi"/>
        </w:rPr>
        <w:t xml:space="preserve"> </w:t>
      </w:r>
      <w:r w:rsidR="00DD6A19" w:rsidRPr="00025B9C">
        <w:rPr>
          <w:rFonts w:asciiTheme="minorHAnsi" w:hAnsiTheme="minorHAnsi" w:cstheme="minorHAnsi"/>
        </w:rPr>
        <w:t>1</w:t>
      </w:r>
      <w:r w:rsidR="0044542B" w:rsidRPr="00025B9C">
        <w:rPr>
          <w:rFonts w:asciiTheme="minorHAnsi" w:hAnsiTheme="minorHAnsi" w:cstheme="minorHAnsi"/>
        </w:rPr>
        <w:t xml:space="preserve">a) </w:t>
      </w:r>
      <w:r w:rsidR="00100D24" w:rsidRPr="00025B9C">
        <w:rPr>
          <w:rFonts w:asciiTheme="minorHAnsi" w:hAnsiTheme="minorHAnsi" w:cstheme="minorHAnsi"/>
        </w:rPr>
        <w:t>or will be fixed in the future</w:t>
      </w:r>
      <w:r w:rsidR="00DD6A19" w:rsidRPr="00025B9C">
        <w:rPr>
          <w:rFonts w:asciiTheme="minorHAnsi" w:hAnsiTheme="minorHAnsi" w:cstheme="minorHAnsi"/>
        </w:rPr>
        <w:t xml:space="preserve"> (</w:t>
      </w:r>
      <w:r w:rsidR="00EA4463" w:rsidRPr="00025B9C">
        <w:rPr>
          <w:rFonts w:asciiTheme="minorHAnsi" w:hAnsiTheme="minorHAnsi" w:cstheme="minorHAnsi"/>
          <w:szCs w:val="22"/>
        </w:rPr>
        <w:t>rhetorical strategies</w:t>
      </w:r>
      <w:r w:rsidR="00EA4463" w:rsidRPr="00025B9C">
        <w:rPr>
          <w:rFonts w:asciiTheme="minorHAnsi" w:hAnsiTheme="minorHAnsi" w:cstheme="minorHAnsi"/>
        </w:rPr>
        <w:t xml:space="preserve"> </w:t>
      </w:r>
      <w:r w:rsidR="00DD6A19" w:rsidRPr="00025B9C">
        <w:rPr>
          <w:rFonts w:asciiTheme="minorHAnsi" w:hAnsiTheme="minorHAnsi" w:cstheme="minorHAnsi"/>
        </w:rPr>
        <w:t>1b or 1</w:t>
      </w:r>
      <w:r w:rsidR="0044542B" w:rsidRPr="00025B9C">
        <w:rPr>
          <w:rFonts w:asciiTheme="minorHAnsi" w:hAnsiTheme="minorHAnsi" w:cstheme="minorHAnsi"/>
        </w:rPr>
        <w:t>c)</w:t>
      </w:r>
      <w:r w:rsidR="00507582" w:rsidRPr="00025B9C">
        <w:rPr>
          <w:rFonts w:asciiTheme="minorHAnsi" w:hAnsiTheme="minorHAnsi" w:cstheme="minorHAnsi"/>
        </w:rPr>
        <w:t>.</w:t>
      </w:r>
      <w:r w:rsidR="007B2620" w:rsidRPr="00025B9C">
        <w:rPr>
          <w:rFonts w:asciiTheme="minorHAnsi" w:hAnsiTheme="minorHAnsi" w:cstheme="minorHAnsi"/>
        </w:rPr>
        <w:t xml:space="preserve"> </w:t>
      </w:r>
      <w:r w:rsidR="0017613C" w:rsidRPr="00025B9C">
        <w:rPr>
          <w:rFonts w:asciiTheme="minorHAnsi" w:hAnsiTheme="minorHAnsi" w:cstheme="minorHAnsi"/>
        </w:rPr>
        <w:t xml:space="preserve">In </w:t>
      </w:r>
      <w:r w:rsidR="00DD6A19" w:rsidRPr="00025B9C">
        <w:rPr>
          <w:rFonts w:asciiTheme="minorHAnsi" w:hAnsiTheme="minorHAnsi" w:cstheme="minorHAnsi"/>
        </w:rPr>
        <w:t>Example 1</w:t>
      </w:r>
      <w:r w:rsidR="00570CF5" w:rsidRPr="00025B9C">
        <w:rPr>
          <w:rFonts w:asciiTheme="minorHAnsi" w:hAnsiTheme="minorHAnsi" w:cstheme="minorHAnsi"/>
        </w:rPr>
        <w:t>0</w:t>
      </w:r>
      <w:r w:rsidR="00071377" w:rsidRPr="00025B9C">
        <w:rPr>
          <w:rFonts w:asciiTheme="minorHAnsi" w:hAnsiTheme="minorHAnsi" w:cstheme="minorHAnsi"/>
        </w:rPr>
        <w:t>,</w:t>
      </w:r>
      <w:r w:rsidR="00220F7E" w:rsidRPr="00025B9C">
        <w:rPr>
          <w:rFonts w:asciiTheme="minorHAnsi" w:hAnsiTheme="minorHAnsi" w:cstheme="minorHAnsi"/>
        </w:rPr>
        <w:t xml:space="preserve"> </w:t>
      </w:r>
      <w:r w:rsidR="0017613C" w:rsidRPr="00025B9C">
        <w:rPr>
          <w:rFonts w:asciiTheme="minorHAnsi" w:hAnsiTheme="minorHAnsi" w:cstheme="minorHAnsi"/>
        </w:rPr>
        <w:t xml:space="preserve">the combination of the two </w:t>
      </w:r>
      <w:r w:rsidR="0063662F" w:rsidRPr="00025B9C">
        <w:rPr>
          <w:rFonts w:asciiTheme="minorHAnsi" w:hAnsiTheme="minorHAnsi" w:cstheme="minorHAnsi"/>
        </w:rPr>
        <w:t xml:space="preserve">rhetorical </w:t>
      </w:r>
      <w:r w:rsidR="0017613C" w:rsidRPr="00025B9C">
        <w:rPr>
          <w:rFonts w:asciiTheme="minorHAnsi" w:hAnsiTheme="minorHAnsi" w:cstheme="minorHAnsi"/>
        </w:rPr>
        <w:t>strategies is effective as reader</w:t>
      </w:r>
      <w:r w:rsidR="001430CF" w:rsidRPr="00025B9C">
        <w:rPr>
          <w:rFonts w:asciiTheme="minorHAnsi" w:hAnsiTheme="minorHAnsi" w:cstheme="minorHAnsi"/>
        </w:rPr>
        <w:t>s are</w:t>
      </w:r>
      <w:r w:rsidR="0017613C" w:rsidRPr="00025B9C">
        <w:rPr>
          <w:rFonts w:asciiTheme="minorHAnsi" w:hAnsiTheme="minorHAnsi" w:cstheme="minorHAnsi"/>
        </w:rPr>
        <w:t xml:space="preserve"> able to map out what has happened</w:t>
      </w:r>
      <w:r w:rsidR="001E7E42" w:rsidRPr="00025B9C">
        <w:rPr>
          <w:rFonts w:asciiTheme="minorHAnsi" w:hAnsiTheme="minorHAnsi" w:cstheme="minorHAnsi"/>
        </w:rPr>
        <w:t>,</w:t>
      </w:r>
      <w:r w:rsidR="0017613C" w:rsidRPr="00025B9C">
        <w:rPr>
          <w:rFonts w:asciiTheme="minorHAnsi" w:hAnsiTheme="minorHAnsi" w:cstheme="minorHAnsi"/>
        </w:rPr>
        <w:t xml:space="preserve"> </w:t>
      </w:r>
      <w:r w:rsidR="00DD6A19" w:rsidRPr="00025B9C">
        <w:rPr>
          <w:rFonts w:asciiTheme="minorHAnsi" w:hAnsiTheme="minorHAnsi" w:cstheme="minorHAnsi"/>
        </w:rPr>
        <w:t>note that it is fixed (</w:t>
      </w:r>
      <w:r w:rsidR="00634A79" w:rsidRPr="00025B9C">
        <w:rPr>
          <w:rFonts w:asciiTheme="minorHAnsi" w:hAnsiTheme="minorHAnsi" w:cstheme="minorHAnsi"/>
          <w:szCs w:val="22"/>
        </w:rPr>
        <w:t>rhetorical strategy</w:t>
      </w:r>
      <w:r w:rsidR="00570CF5" w:rsidRPr="00025B9C">
        <w:rPr>
          <w:rFonts w:asciiTheme="minorHAnsi" w:hAnsiTheme="minorHAnsi" w:cstheme="minorHAnsi"/>
        </w:rPr>
        <w:t xml:space="preserve"> </w:t>
      </w:r>
      <w:r w:rsidR="00DD6A19" w:rsidRPr="00025B9C">
        <w:rPr>
          <w:rFonts w:asciiTheme="minorHAnsi" w:hAnsiTheme="minorHAnsi" w:cstheme="minorHAnsi"/>
        </w:rPr>
        <w:t>1</w:t>
      </w:r>
      <w:r w:rsidR="00AE07DF" w:rsidRPr="00025B9C">
        <w:rPr>
          <w:rFonts w:asciiTheme="minorHAnsi" w:hAnsiTheme="minorHAnsi" w:cstheme="minorHAnsi"/>
        </w:rPr>
        <w:t xml:space="preserve">a) and </w:t>
      </w:r>
      <w:r w:rsidR="0017613C" w:rsidRPr="00025B9C">
        <w:rPr>
          <w:rFonts w:asciiTheme="minorHAnsi" w:hAnsiTheme="minorHAnsi" w:cstheme="minorHAnsi"/>
        </w:rPr>
        <w:t xml:space="preserve">see that there has been </w:t>
      </w:r>
      <w:r w:rsidR="001E7E42" w:rsidRPr="00025B9C">
        <w:rPr>
          <w:rFonts w:asciiTheme="minorHAnsi" w:hAnsiTheme="minorHAnsi" w:cstheme="minorHAnsi"/>
        </w:rPr>
        <w:t xml:space="preserve">little or no </w:t>
      </w:r>
      <w:r w:rsidR="0017613C" w:rsidRPr="00025B9C">
        <w:rPr>
          <w:rFonts w:asciiTheme="minorHAnsi" w:hAnsiTheme="minorHAnsi" w:cstheme="minorHAnsi"/>
        </w:rPr>
        <w:t>damage in the meantime (</w:t>
      </w:r>
      <w:r w:rsidR="00634A79" w:rsidRPr="00025B9C">
        <w:rPr>
          <w:rFonts w:asciiTheme="minorHAnsi" w:hAnsiTheme="minorHAnsi" w:cstheme="minorHAnsi"/>
          <w:szCs w:val="22"/>
        </w:rPr>
        <w:t>rhetorical strategy</w:t>
      </w:r>
      <w:r w:rsidR="00570CF5" w:rsidRPr="00025B9C">
        <w:rPr>
          <w:rFonts w:asciiTheme="minorHAnsi" w:hAnsiTheme="minorHAnsi" w:cstheme="minorHAnsi"/>
        </w:rPr>
        <w:t xml:space="preserve"> 3</w:t>
      </w:r>
      <w:r w:rsidR="0017613C" w:rsidRPr="00025B9C">
        <w:rPr>
          <w:rFonts w:asciiTheme="minorHAnsi" w:hAnsiTheme="minorHAnsi" w:cstheme="minorHAnsi"/>
        </w:rPr>
        <w:t xml:space="preserve">). </w:t>
      </w:r>
    </w:p>
    <w:p w:rsidR="00D92BFE" w:rsidRPr="00025B9C" w:rsidRDefault="00D92BFE" w:rsidP="00D665D9">
      <w:pPr>
        <w:spacing w:line="360" w:lineRule="auto"/>
        <w:jc w:val="both"/>
        <w:rPr>
          <w:rFonts w:asciiTheme="minorHAnsi" w:hAnsiTheme="minorHAnsi" w:cstheme="minorHAnsi"/>
        </w:rPr>
      </w:pPr>
    </w:p>
    <w:p w:rsidR="00D671C7" w:rsidRPr="00025B9C" w:rsidRDefault="00DD6A19" w:rsidP="00D665D9">
      <w:pPr>
        <w:ind w:left="567" w:right="804"/>
        <w:jc w:val="both"/>
        <w:rPr>
          <w:rFonts w:asciiTheme="minorHAnsi" w:hAnsiTheme="minorHAnsi" w:cstheme="minorHAnsi"/>
          <w:b/>
          <w:sz w:val="20"/>
          <w:szCs w:val="20"/>
        </w:rPr>
      </w:pPr>
      <w:r w:rsidRPr="00025B9C">
        <w:rPr>
          <w:rFonts w:asciiTheme="minorHAnsi" w:hAnsiTheme="minorHAnsi" w:cstheme="minorHAnsi"/>
          <w:b/>
          <w:sz w:val="20"/>
          <w:szCs w:val="20"/>
        </w:rPr>
        <w:t>Example 1</w:t>
      </w:r>
      <w:r w:rsidR="00570CF5" w:rsidRPr="00025B9C">
        <w:rPr>
          <w:rFonts w:asciiTheme="minorHAnsi" w:hAnsiTheme="minorHAnsi" w:cstheme="minorHAnsi"/>
          <w:b/>
          <w:sz w:val="20"/>
          <w:szCs w:val="20"/>
        </w:rPr>
        <w:t>0</w:t>
      </w:r>
      <w:r w:rsidR="00D671C7" w:rsidRPr="00025B9C">
        <w:rPr>
          <w:rFonts w:asciiTheme="minorHAnsi" w:hAnsiTheme="minorHAnsi" w:cstheme="minorHAnsi"/>
          <w:b/>
          <w:sz w:val="20"/>
          <w:szCs w:val="20"/>
        </w:rPr>
        <w:t xml:space="preserve">: </w:t>
      </w:r>
      <w:r w:rsidR="000E5654" w:rsidRPr="00025B9C">
        <w:rPr>
          <w:rFonts w:asciiTheme="minorHAnsi" w:hAnsiTheme="minorHAnsi" w:cstheme="minorHAnsi"/>
          <w:b/>
          <w:sz w:val="20"/>
          <w:szCs w:val="20"/>
        </w:rPr>
        <w:t>C</w:t>
      </w:r>
      <w:r w:rsidR="00BA6ABE" w:rsidRPr="00025B9C">
        <w:rPr>
          <w:rFonts w:asciiTheme="minorHAnsi" w:hAnsiTheme="minorHAnsi" w:cstheme="minorHAnsi"/>
          <w:b/>
          <w:sz w:val="20"/>
          <w:szCs w:val="20"/>
        </w:rPr>
        <w:t>orrective action</w:t>
      </w:r>
      <w:r w:rsidR="00D671C7" w:rsidRPr="00025B9C">
        <w:rPr>
          <w:rFonts w:asciiTheme="minorHAnsi" w:hAnsiTheme="minorHAnsi" w:cstheme="minorHAnsi"/>
          <w:b/>
          <w:sz w:val="20"/>
          <w:szCs w:val="20"/>
        </w:rPr>
        <w:t xml:space="preserve"> completed</w:t>
      </w:r>
      <w:r w:rsidR="000E5654" w:rsidRPr="00025B9C">
        <w:rPr>
          <w:rFonts w:asciiTheme="minorHAnsi" w:hAnsiTheme="minorHAnsi" w:cstheme="minorHAnsi"/>
          <w:b/>
          <w:sz w:val="20"/>
          <w:szCs w:val="20"/>
        </w:rPr>
        <w:t xml:space="preserve"> (1a</w:t>
      </w:r>
      <w:r w:rsidR="00D671C7" w:rsidRPr="00025B9C">
        <w:rPr>
          <w:rFonts w:asciiTheme="minorHAnsi" w:hAnsiTheme="minorHAnsi" w:cstheme="minorHAnsi"/>
          <w:b/>
          <w:sz w:val="20"/>
          <w:szCs w:val="20"/>
        </w:rPr>
        <w:t xml:space="preserve">) and </w:t>
      </w:r>
      <w:r w:rsidR="000E5654" w:rsidRPr="00025B9C">
        <w:rPr>
          <w:rFonts w:asciiTheme="minorHAnsi" w:hAnsiTheme="minorHAnsi" w:cstheme="minorHAnsi"/>
          <w:b/>
          <w:sz w:val="20"/>
          <w:szCs w:val="20"/>
        </w:rPr>
        <w:t>M</w:t>
      </w:r>
      <w:r w:rsidR="00F57B34" w:rsidRPr="00025B9C">
        <w:rPr>
          <w:rFonts w:asciiTheme="minorHAnsi" w:hAnsiTheme="minorHAnsi" w:cstheme="minorHAnsi"/>
          <w:b/>
          <w:sz w:val="20"/>
          <w:szCs w:val="20"/>
        </w:rPr>
        <w:t>inimization</w:t>
      </w:r>
      <w:r w:rsidR="00D671C7" w:rsidRPr="00025B9C">
        <w:rPr>
          <w:rFonts w:asciiTheme="minorHAnsi" w:hAnsiTheme="minorHAnsi" w:cstheme="minorHAnsi"/>
          <w:b/>
          <w:sz w:val="20"/>
          <w:szCs w:val="20"/>
        </w:rPr>
        <w:t xml:space="preserve"> of negative feelings</w:t>
      </w:r>
      <w:r w:rsidR="000E5654" w:rsidRPr="00025B9C">
        <w:rPr>
          <w:rFonts w:asciiTheme="minorHAnsi" w:hAnsiTheme="minorHAnsi" w:cstheme="minorHAnsi"/>
          <w:b/>
          <w:sz w:val="20"/>
          <w:szCs w:val="20"/>
        </w:rPr>
        <w:t xml:space="preserve"> (3</w:t>
      </w:r>
      <w:r w:rsidR="00D671C7" w:rsidRPr="00025B9C">
        <w:rPr>
          <w:rFonts w:asciiTheme="minorHAnsi" w:hAnsiTheme="minorHAnsi" w:cstheme="minorHAnsi"/>
          <w:b/>
          <w:sz w:val="20"/>
          <w:szCs w:val="20"/>
        </w:rPr>
        <w:t xml:space="preserve">). </w:t>
      </w:r>
    </w:p>
    <w:p w:rsidR="00D671C7" w:rsidRPr="00025B9C" w:rsidRDefault="00DD38DC" w:rsidP="00D665D9">
      <w:pPr>
        <w:autoSpaceDE w:val="0"/>
        <w:autoSpaceDN w:val="0"/>
        <w:adjustRightInd w:val="0"/>
        <w:ind w:left="567" w:right="-46"/>
        <w:jc w:val="both"/>
        <w:rPr>
          <w:rFonts w:asciiTheme="minorHAnsi" w:hAnsiTheme="minorHAnsi" w:cstheme="minorHAnsi"/>
          <w:sz w:val="20"/>
          <w:szCs w:val="20"/>
        </w:rPr>
      </w:pPr>
      <w:r w:rsidRPr="00025B9C">
        <w:rPr>
          <w:rFonts w:asciiTheme="minorHAnsi" w:hAnsiTheme="minorHAnsi" w:cstheme="minorHAnsi"/>
          <w:sz w:val="20"/>
          <w:szCs w:val="20"/>
        </w:rPr>
        <w:t xml:space="preserve">Throughout the financial year ended 31 December 2011, GKN was in compliance with the relevant provisions set out in the Code with the exception of Provision B.1.2 which requires that at least half the </w:t>
      </w:r>
      <w:r w:rsidR="00984FAC" w:rsidRPr="00025B9C">
        <w:rPr>
          <w:rFonts w:asciiTheme="minorHAnsi" w:hAnsiTheme="minorHAnsi" w:cstheme="minorHAnsi"/>
          <w:sz w:val="20"/>
          <w:szCs w:val="20"/>
        </w:rPr>
        <w:t>B</w:t>
      </w:r>
      <w:r w:rsidRPr="00025B9C">
        <w:rPr>
          <w:rFonts w:asciiTheme="minorHAnsi" w:hAnsiTheme="minorHAnsi" w:cstheme="minorHAnsi"/>
          <w:sz w:val="20"/>
          <w:szCs w:val="20"/>
        </w:rPr>
        <w:t xml:space="preserve">oard, excluding the </w:t>
      </w:r>
      <w:r w:rsidR="00984FAC" w:rsidRPr="00025B9C">
        <w:rPr>
          <w:rFonts w:asciiTheme="minorHAnsi" w:hAnsiTheme="minorHAnsi" w:cstheme="minorHAnsi"/>
          <w:sz w:val="20"/>
          <w:szCs w:val="20"/>
        </w:rPr>
        <w:t>C</w:t>
      </w:r>
      <w:r w:rsidRPr="00025B9C">
        <w:rPr>
          <w:rFonts w:asciiTheme="minorHAnsi" w:hAnsiTheme="minorHAnsi" w:cstheme="minorHAnsi"/>
          <w:sz w:val="20"/>
          <w:szCs w:val="20"/>
        </w:rPr>
        <w:t xml:space="preserve">hairman, should comprise independent non-executive </w:t>
      </w:r>
      <w:r w:rsidR="00984FAC" w:rsidRPr="00025B9C">
        <w:rPr>
          <w:rFonts w:asciiTheme="minorHAnsi" w:hAnsiTheme="minorHAnsi" w:cstheme="minorHAnsi"/>
          <w:sz w:val="20"/>
          <w:szCs w:val="20"/>
        </w:rPr>
        <w:t>D</w:t>
      </w:r>
      <w:r w:rsidRPr="00025B9C">
        <w:rPr>
          <w:rFonts w:asciiTheme="minorHAnsi" w:hAnsiTheme="minorHAnsi" w:cstheme="minorHAnsi"/>
          <w:sz w:val="20"/>
          <w:szCs w:val="20"/>
        </w:rPr>
        <w:t xml:space="preserve">irectors. As stated in the 2010 annual report, a recruitment process </w:t>
      </w:r>
      <w:r w:rsidR="00984FAC" w:rsidRPr="00025B9C">
        <w:rPr>
          <w:rFonts w:asciiTheme="minorHAnsi" w:hAnsiTheme="minorHAnsi" w:cstheme="minorHAnsi"/>
          <w:sz w:val="20"/>
          <w:szCs w:val="20"/>
        </w:rPr>
        <w:t xml:space="preserve">was started in late 2010 </w:t>
      </w:r>
      <w:r w:rsidR="00E93754" w:rsidRPr="00025B9C">
        <w:rPr>
          <w:rFonts w:asciiTheme="minorHAnsi" w:hAnsiTheme="minorHAnsi" w:cstheme="minorHAnsi"/>
          <w:sz w:val="20"/>
          <w:szCs w:val="20"/>
        </w:rPr>
        <w:t xml:space="preserve">to identify a replacement non-executive Director following the retirement of Helmut </w:t>
      </w:r>
      <w:proofErr w:type="spellStart"/>
      <w:r w:rsidR="00E93754" w:rsidRPr="00025B9C">
        <w:rPr>
          <w:rFonts w:asciiTheme="minorHAnsi" w:hAnsiTheme="minorHAnsi" w:cstheme="minorHAnsi"/>
          <w:sz w:val="20"/>
          <w:szCs w:val="20"/>
        </w:rPr>
        <w:t>Mamsch</w:t>
      </w:r>
      <w:proofErr w:type="spellEnd"/>
      <w:r w:rsidRPr="00025B9C">
        <w:rPr>
          <w:rFonts w:asciiTheme="minorHAnsi" w:hAnsiTheme="minorHAnsi" w:cstheme="minorHAnsi"/>
          <w:sz w:val="20"/>
          <w:szCs w:val="20"/>
        </w:rPr>
        <w:t xml:space="preserve"> </w:t>
      </w:r>
      <w:r w:rsidR="00E93754" w:rsidRPr="00025B9C">
        <w:rPr>
          <w:rFonts w:asciiTheme="minorHAnsi" w:hAnsiTheme="minorHAnsi" w:cstheme="minorHAnsi"/>
          <w:sz w:val="20"/>
          <w:szCs w:val="20"/>
        </w:rPr>
        <w:t xml:space="preserve">on 31 October 2010. </w:t>
      </w:r>
      <w:r w:rsidR="00D671C7" w:rsidRPr="00025B9C">
        <w:rPr>
          <w:rFonts w:asciiTheme="minorHAnsi" w:hAnsiTheme="minorHAnsi" w:cstheme="minorHAnsi"/>
          <w:sz w:val="20"/>
          <w:szCs w:val="20"/>
        </w:rPr>
        <w:t xml:space="preserve">From this date </w:t>
      </w:r>
      <w:r w:rsidR="00321B13" w:rsidRPr="00025B9C">
        <w:rPr>
          <w:rFonts w:asciiTheme="minorHAnsi" w:hAnsiTheme="minorHAnsi" w:cstheme="minorHAnsi"/>
          <w:sz w:val="20"/>
          <w:szCs w:val="20"/>
        </w:rPr>
        <w:t>until the appointment of</w:t>
      </w:r>
      <w:r w:rsidR="00E93754" w:rsidRPr="00025B9C">
        <w:rPr>
          <w:rFonts w:asciiTheme="minorHAnsi" w:hAnsiTheme="minorHAnsi" w:cstheme="minorHAnsi"/>
          <w:sz w:val="20"/>
          <w:szCs w:val="20"/>
        </w:rPr>
        <w:t xml:space="preserve"> </w:t>
      </w:r>
      <w:proofErr w:type="spellStart"/>
      <w:r w:rsidR="00E93754" w:rsidRPr="00025B9C">
        <w:rPr>
          <w:rFonts w:asciiTheme="minorHAnsi" w:hAnsiTheme="minorHAnsi" w:cstheme="minorHAnsi"/>
          <w:sz w:val="20"/>
          <w:szCs w:val="20"/>
        </w:rPr>
        <w:t>Tufan</w:t>
      </w:r>
      <w:proofErr w:type="spellEnd"/>
      <w:r w:rsidR="00E93754" w:rsidRPr="00025B9C">
        <w:rPr>
          <w:rFonts w:asciiTheme="minorHAnsi" w:hAnsiTheme="minorHAnsi" w:cstheme="minorHAnsi"/>
          <w:sz w:val="20"/>
          <w:szCs w:val="20"/>
        </w:rPr>
        <w:t xml:space="preserve"> </w:t>
      </w:r>
      <w:proofErr w:type="spellStart"/>
      <w:r w:rsidR="00E93754" w:rsidRPr="00025B9C">
        <w:rPr>
          <w:rFonts w:asciiTheme="minorHAnsi" w:hAnsiTheme="minorHAnsi" w:cstheme="minorHAnsi"/>
          <w:sz w:val="20"/>
          <w:szCs w:val="20"/>
        </w:rPr>
        <w:t>Erginbilgic</w:t>
      </w:r>
      <w:proofErr w:type="spellEnd"/>
      <w:r w:rsidR="00E93754" w:rsidRPr="00025B9C">
        <w:rPr>
          <w:rFonts w:asciiTheme="minorHAnsi" w:hAnsiTheme="minorHAnsi" w:cstheme="minorHAnsi"/>
          <w:sz w:val="20"/>
          <w:szCs w:val="20"/>
        </w:rPr>
        <w:t xml:space="preserve"> </w:t>
      </w:r>
      <w:r w:rsidR="00D671C7" w:rsidRPr="00025B9C">
        <w:rPr>
          <w:rFonts w:asciiTheme="minorHAnsi" w:hAnsiTheme="minorHAnsi" w:cstheme="minorHAnsi"/>
          <w:sz w:val="20"/>
          <w:szCs w:val="20"/>
        </w:rPr>
        <w:t xml:space="preserve">on 9 May 2011, the </w:t>
      </w:r>
      <w:r w:rsidR="00E93754" w:rsidRPr="00025B9C">
        <w:rPr>
          <w:rFonts w:asciiTheme="minorHAnsi" w:hAnsiTheme="minorHAnsi" w:cstheme="minorHAnsi"/>
          <w:sz w:val="20"/>
          <w:szCs w:val="20"/>
        </w:rPr>
        <w:t>board comprised five executive D</w:t>
      </w:r>
      <w:r w:rsidR="00D671C7" w:rsidRPr="00025B9C">
        <w:rPr>
          <w:rFonts w:asciiTheme="minorHAnsi" w:hAnsiTheme="minorHAnsi" w:cstheme="minorHAnsi"/>
          <w:sz w:val="20"/>
          <w:szCs w:val="20"/>
        </w:rPr>
        <w:t>irectors</w:t>
      </w:r>
      <w:r w:rsidR="00E93754" w:rsidRPr="00025B9C">
        <w:rPr>
          <w:rFonts w:asciiTheme="minorHAnsi" w:hAnsiTheme="minorHAnsi" w:cstheme="minorHAnsi"/>
          <w:sz w:val="20"/>
          <w:szCs w:val="20"/>
        </w:rPr>
        <w:t xml:space="preserve"> and four non-executive D</w:t>
      </w:r>
      <w:r w:rsidR="00D671C7" w:rsidRPr="00025B9C">
        <w:rPr>
          <w:rFonts w:asciiTheme="minorHAnsi" w:hAnsiTheme="minorHAnsi" w:cstheme="minorHAnsi"/>
          <w:sz w:val="20"/>
          <w:szCs w:val="20"/>
        </w:rPr>
        <w:t>irectors (excluding the Chairman). Since this date, the company had been in compliance with provision B.1.2 and currently comprises four executive Directors and five independent non-executive directors (excluding the Chairman). The Board is content that the independent judgement of the non-executive directors was not adversely impacted during the period of non-compliance.</w:t>
      </w:r>
    </w:p>
    <w:p w:rsidR="00D671C7" w:rsidRPr="00025B9C" w:rsidRDefault="00D671C7" w:rsidP="00D665D9">
      <w:pPr>
        <w:autoSpaceDE w:val="0"/>
        <w:autoSpaceDN w:val="0"/>
        <w:adjustRightInd w:val="0"/>
        <w:ind w:left="567" w:right="804"/>
        <w:jc w:val="both"/>
        <w:rPr>
          <w:rFonts w:asciiTheme="minorHAnsi" w:hAnsiTheme="minorHAnsi" w:cstheme="minorHAnsi"/>
          <w:sz w:val="20"/>
          <w:szCs w:val="20"/>
        </w:rPr>
      </w:pPr>
      <w:r w:rsidRPr="00025B9C">
        <w:rPr>
          <w:rFonts w:asciiTheme="minorHAnsi" w:hAnsiTheme="minorHAnsi" w:cstheme="minorHAnsi"/>
          <w:sz w:val="20"/>
          <w:szCs w:val="20"/>
        </w:rPr>
        <w:t>Source: GKN plc annual report 2011, p. 52.</w:t>
      </w:r>
    </w:p>
    <w:p w:rsidR="007C6999" w:rsidRPr="00025B9C" w:rsidRDefault="007C6999" w:rsidP="00D665D9">
      <w:pPr>
        <w:spacing w:line="360" w:lineRule="auto"/>
        <w:ind w:right="804"/>
        <w:jc w:val="both"/>
        <w:rPr>
          <w:rFonts w:asciiTheme="minorHAnsi" w:hAnsiTheme="minorHAnsi" w:cstheme="minorHAnsi"/>
          <w:b/>
        </w:rPr>
      </w:pPr>
    </w:p>
    <w:p w:rsidR="0057242F" w:rsidRPr="00025B9C" w:rsidRDefault="00C57ED7" w:rsidP="00D665D9">
      <w:pPr>
        <w:spacing w:line="360" w:lineRule="auto"/>
        <w:jc w:val="both"/>
        <w:rPr>
          <w:rFonts w:asciiTheme="minorHAnsi" w:hAnsiTheme="minorHAnsi" w:cstheme="minorHAnsi"/>
        </w:rPr>
      </w:pPr>
      <w:r w:rsidRPr="00025B9C">
        <w:rPr>
          <w:rFonts w:asciiTheme="minorHAnsi" w:hAnsiTheme="minorHAnsi" w:cstheme="minorHAnsi"/>
        </w:rPr>
        <w:t xml:space="preserve">It is interesting to consider to what extent the use of these </w:t>
      </w:r>
      <w:r w:rsidR="0063662F" w:rsidRPr="00025B9C">
        <w:rPr>
          <w:rFonts w:asciiTheme="minorHAnsi" w:hAnsiTheme="minorHAnsi" w:cstheme="minorHAnsi"/>
        </w:rPr>
        <w:t xml:space="preserve">rhetorical </w:t>
      </w:r>
      <w:r w:rsidRPr="00025B9C">
        <w:rPr>
          <w:rFonts w:asciiTheme="minorHAnsi" w:hAnsiTheme="minorHAnsi" w:cstheme="minorHAnsi"/>
        </w:rPr>
        <w:t xml:space="preserve">strategies together might </w:t>
      </w:r>
      <w:r w:rsidR="00655CAA" w:rsidRPr="00025B9C">
        <w:rPr>
          <w:rFonts w:asciiTheme="minorHAnsi" w:hAnsiTheme="minorHAnsi" w:cstheme="minorHAnsi"/>
        </w:rPr>
        <w:t>reinforce rhetorical power</w:t>
      </w:r>
      <w:r w:rsidRPr="00025B9C">
        <w:rPr>
          <w:rFonts w:asciiTheme="minorHAnsi" w:hAnsiTheme="minorHAnsi" w:cstheme="minorHAnsi"/>
        </w:rPr>
        <w:t xml:space="preserve">. </w:t>
      </w:r>
      <w:r w:rsidR="0057242F" w:rsidRPr="00025B9C">
        <w:rPr>
          <w:rFonts w:asciiTheme="minorHAnsi" w:hAnsiTheme="minorHAnsi" w:cstheme="minorHAnsi"/>
        </w:rPr>
        <w:t xml:space="preserve">One perspective might question why the period of non-compliance occurred at all. </w:t>
      </w:r>
      <w:r w:rsidR="00D92BFE" w:rsidRPr="00025B9C">
        <w:rPr>
          <w:rFonts w:asciiTheme="minorHAnsi" w:hAnsiTheme="minorHAnsi" w:cstheme="minorHAnsi"/>
        </w:rPr>
        <w:t xml:space="preserve">The last sentence </w:t>
      </w:r>
      <w:r w:rsidR="00321B13" w:rsidRPr="00025B9C">
        <w:rPr>
          <w:rFonts w:asciiTheme="minorHAnsi" w:hAnsiTheme="minorHAnsi" w:cstheme="minorHAnsi"/>
        </w:rPr>
        <w:t>in Example 10</w:t>
      </w:r>
      <w:r w:rsidR="00D92BFE" w:rsidRPr="00025B9C">
        <w:rPr>
          <w:rFonts w:asciiTheme="minorHAnsi" w:hAnsiTheme="minorHAnsi" w:cstheme="minorHAnsi"/>
        </w:rPr>
        <w:t xml:space="preserve"> shows that the company has considered the period of non-compliance and believes independen</w:t>
      </w:r>
      <w:r w:rsidR="0078784B" w:rsidRPr="00025B9C">
        <w:rPr>
          <w:rFonts w:asciiTheme="minorHAnsi" w:hAnsiTheme="minorHAnsi" w:cstheme="minorHAnsi"/>
        </w:rPr>
        <w:t>ce</w:t>
      </w:r>
      <w:r w:rsidR="00D92BFE" w:rsidRPr="00025B9C">
        <w:rPr>
          <w:rFonts w:asciiTheme="minorHAnsi" w:hAnsiTheme="minorHAnsi" w:cstheme="minorHAnsi"/>
        </w:rPr>
        <w:t xml:space="preserve"> was upheld. </w:t>
      </w:r>
      <w:r w:rsidR="0078784B" w:rsidRPr="00025B9C">
        <w:rPr>
          <w:rFonts w:asciiTheme="minorHAnsi" w:hAnsiTheme="minorHAnsi" w:cstheme="minorHAnsi"/>
        </w:rPr>
        <w:t>In particular</w:t>
      </w:r>
      <w:r w:rsidR="006C32A7" w:rsidRPr="00025B9C">
        <w:rPr>
          <w:rFonts w:asciiTheme="minorHAnsi" w:hAnsiTheme="minorHAnsi" w:cstheme="minorHAnsi"/>
        </w:rPr>
        <w:t>,</w:t>
      </w:r>
      <w:r w:rsidR="0078784B" w:rsidRPr="00025B9C">
        <w:rPr>
          <w:rFonts w:asciiTheme="minorHAnsi" w:hAnsiTheme="minorHAnsi" w:cstheme="minorHAnsi"/>
        </w:rPr>
        <w:t xml:space="preserve"> there are more independent</w:t>
      </w:r>
      <w:r w:rsidR="00EA4463" w:rsidRPr="00025B9C">
        <w:rPr>
          <w:rFonts w:asciiTheme="minorHAnsi" w:hAnsiTheme="minorHAnsi" w:cstheme="minorHAnsi"/>
        </w:rPr>
        <w:t xml:space="preserve"> non-executive</w:t>
      </w:r>
      <w:r w:rsidR="0078784B" w:rsidRPr="00025B9C">
        <w:rPr>
          <w:rFonts w:asciiTheme="minorHAnsi" w:hAnsiTheme="minorHAnsi" w:cstheme="minorHAnsi"/>
        </w:rPr>
        <w:t xml:space="preserve"> directors after </w:t>
      </w:r>
      <w:r w:rsidR="009322F8" w:rsidRPr="00025B9C">
        <w:rPr>
          <w:rFonts w:asciiTheme="minorHAnsi" w:hAnsiTheme="minorHAnsi" w:cstheme="minorHAnsi"/>
        </w:rPr>
        <w:t xml:space="preserve">the </w:t>
      </w:r>
      <w:r w:rsidR="00BA6ABE" w:rsidRPr="00025B9C">
        <w:rPr>
          <w:rFonts w:asciiTheme="minorHAnsi" w:hAnsiTheme="minorHAnsi" w:cstheme="minorHAnsi"/>
        </w:rPr>
        <w:t>corrective action</w:t>
      </w:r>
      <w:r w:rsidR="0078784B" w:rsidRPr="00025B9C">
        <w:rPr>
          <w:rFonts w:asciiTheme="minorHAnsi" w:hAnsiTheme="minorHAnsi" w:cstheme="minorHAnsi"/>
        </w:rPr>
        <w:t xml:space="preserve"> </w:t>
      </w:r>
      <w:r w:rsidR="0057242F" w:rsidRPr="00025B9C">
        <w:rPr>
          <w:rFonts w:asciiTheme="minorHAnsi" w:hAnsiTheme="minorHAnsi" w:cstheme="minorHAnsi"/>
        </w:rPr>
        <w:t xml:space="preserve">has occurred </w:t>
      </w:r>
      <w:r w:rsidR="0078784B" w:rsidRPr="00025B9C">
        <w:rPr>
          <w:rFonts w:asciiTheme="minorHAnsi" w:hAnsiTheme="minorHAnsi" w:cstheme="minorHAnsi"/>
        </w:rPr>
        <w:t>than executive</w:t>
      </w:r>
      <w:r w:rsidR="00903FAB" w:rsidRPr="00025B9C">
        <w:rPr>
          <w:rFonts w:asciiTheme="minorHAnsi" w:hAnsiTheme="minorHAnsi" w:cstheme="minorHAnsi"/>
        </w:rPr>
        <w:t xml:space="preserve"> director</w:t>
      </w:r>
      <w:r w:rsidR="0078784B" w:rsidRPr="00025B9C">
        <w:rPr>
          <w:rFonts w:asciiTheme="minorHAnsi" w:hAnsiTheme="minorHAnsi" w:cstheme="minorHAnsi"/>
        </w:rPr>
        <w:t>s</w:t>
      </w:r>
      <w:r w:rsidR="006C32A7" w:rsidRPr="00025B9C">
        <w:rPr>
          <w:rFonts w:asciiTheme="minorHAnsi" w:hAnsiTheme="minorHAnsi" w:cstheme="minorHAnsi"/>
        </w:rPr>
        <w:t>,</w:t>
      </w:r>
      <w:r w:rsidR="0078784B" w:rsidRPr="00025B9C">
        <w:rPr>
          <w:rFonts w:asciiTheme="minorHAnsi" w:hAnsiTheme="minorHAnsi" w:cstheme="minorHAnsi"/>
        </w:rPr>
        <w:t xml:space="preserve"> so thi</w:t>
      </w:r>
      <w:r w:rsidR="00F1485B" w:rsidRPr="00025B9C">
        <w:rPr>
          <w:rFonts w:asciiTheme="minorHAnsi" w:hAnsiTheme="minorHAnsi" w:cstheme="minorHAnsi"/>
        </w:rPr>
        <w:t xml:space="preserve">s means there </w:t>
      </w:r>
      <w:r w:rsidR="00003DB4" w:rsidRPr="00025B9C">
        <w:rPr>
          <w:rFonts w:asciiTheme="minorHAnsi" w:hAnsiTheme="minorHAnsi" w:cstheme="minorHAnsi"/>
        </w:rPr>
        <w:t xml:space="preserve">is </w:t>
      </w:r>
      <w:r w:rsidR="00F1485B" w:rsidRPr="00025B9C">
        <w:rPr>
          <w:rFonts w:asciiTheme="minorHAnsi" w:hAnsiTheme="minorHAnsi" w:cstheme="minorHAnsi"/>
        </w:rPr>
        <w:t xml:space="preserve">now </w:t>
      </w:r>
      <w:r w:rsidR="00003DB4" w:rsidRPr="00025B9C">
        <w:rPr>
          <w:rFonts w:asciiTheme="minorHAnsi" w:hAnsiTheme="minorHAnsi" w:cstheme="minorHAnsi"/>
        </w:rPr>
        <w:t xml:space="preserve">an element of </w:t>
      </w:r>
      <w:r w:rsidR="00853216" w:rsidRPr="00025B9C">
        <w:rPr>
          <w:rFonts w:asciiTheme="minorHAnsi" w:hAnsiTheme="minorHAnsi" w:cstheme="minorHAnsi"/>
        </w:rPr>
        <w:t>‘</w:t>
      </w:r>
      <w:r w:rsidR="00F1485B" w:rsidRPr="00025B9C">
        <w:rPr>
          <w:rFonts w:asciiTheme="minorHAnsi" w:hAnsiTheme="minorHAnsi" w:cstheme="minorHAnsi"/>
        </w:rPr>
        <w:t>reserve</w:t>
      </w:r>
      <w:r w:rsidR="00853216" w:rsidRPr="00025B9C">
        <w:rPr>
          <w:rFonts w:asciiTheme="minorHAnsi" w:hAnsiTheme="minorHAnsi" w:cstheme="minorHAnsi"/>
        </w:rPr>
        <w:t>’</w:t>
      </w:r>
      <w:r w:rsidR="00F1485B" w:rsidRPr="00025B9C">
        <w:rPr>
          <w:rFonts w:asciiTheme="minorHAnsi" w:hAnsiTheme="minorHAnsi" w:cstheme="minorHAnsi"/>
        </w:rPr>
        <w:t xml:space="preserve"> for future event</w:t>
      </w:r>
      <w:r w:rsidR="0082720F" w:rsidRPr="00025B9C">
        <w:rPr>
          <w:rFonts w:asciiTheme="minorHAnsi" w:hAnsiTheme="minorHAnsi" w:cstheme="minorHAnsi"/>
        </w:rPr>
        <w:t>ualities.</w:t>
      </w:r>
    </w:p>
    <w:p w:rsidR="000B13F5" w:rsidRPr="00025B9C" w:rsidRDefault="0078784B" w:rsidP="00D665D9">
      <w:pPr>
        <w:spacing w:line="360" w:lineRule="auto"/>
        <w:jc w:val="both"/>
        <w:rPr>
          <w:rFonts w:asciiTheme="minorHAnsi" w:hAnsiTheme="minorHAnsi" w:cstheme="minorHAnsi"/>
        </w:rPr>
      </w:pPr>
      <w:r w:rsidRPr="00025B9C">
        <w:rPr>
          <w:rFonts w:asciiTheme="minorHAnsi" w:hAnsiTheme="minorHAnsi" w:cstheme="minorHAnsi"/>
        </w:rPr>
        <w:t xml:space="preserve"> </w:t>
      </w:r>
    </w:p>
    <w:p w:rsidR="000B13F5" w:rsidRPr="00025B9C" w:rsidRDefault="00A2705F" w:rsidP="00D665D9">
      <w:pPr>
        <w:spacing w:line="360" w:lineRule="auto"/>
        <w:jc w:val="both"/>
        <w:rPr>
          <w:rFonts w:asciiTheme="minorHAnsi" w:hAnsiTheme="minorHAnsi" w:cstheme="minorHAnsi"/>
        </w:rPr>
      </w:pPr>
      <w:r w:rsidRPr="00025B9C">
        <w:rPr>
          <w:rFonts w:asciiTheme="minorHAnsi" w:hAnsiTheme="minorHAnsi" w:cstheme="minorHAnsi"/>
        </w:rPr>
        <w:t xml:space="preserve">In contrast, </w:t>
      </w:r>
      <w:r w:rsidR="000E5654" w:rsidRPr="00025B9C">
        <w:rPr>
          <w:rFonts w:asciiTheme="minorHAnsi" w:hAnsiTheme="minorHAnsi" w:cstheme="minorHAnsi"/>
          <w:szCs w:val="22"/>
        </w:rPr>
        <w:t>rhetorical strategy</w:t>
      </w:r>
      <w:r w:rsidR="00003DB4" w:rsidRPr="00025B9C">
        <w:rPr>
          <w:rFonts w:asciiTheme="minorHAnsi" w:hAnsiTheme="minorHAnsi" w:cstheme="minorHAnsi"/>
        </w:rPr>
        <w:t xml:space="preserve"> 4</w:t>
      </w:r>
      <w:r w:rsidR="001D6155" w:rsidRPr="00025B9C">
        <w:rPr>
          <w:rFonts w:asciiTheme="minorHAnsi" w:hAnsiTheme="minorHAnsi" w:cstheme="minorHAnsi"/>
        </w:rPr>
        <w:t xml:space="preserve"> </w:t>
      </w:r>
      <w:r w:rsidR="000B13F5" w:rsidRPr="00025B9C">
        <w:rPr>
          <w:rFonts w:asciiTheme="minorHAnsi" w:hAnsiTheme="minorHAnsi" w:cstheme="minorHAnsi"/>
        </w:rPr>
        <w:t xml:space="preserve">(transcendence) </w:t>
      </w:r>
      <w:r w:rsidR="00003DB4" w:rsidRPr="00025B9C">
        <w:rPr>
          <w:rFonts w:asciiTheme="minorHAnsi" w:hAnsiTheme="minorHAnsi" w:cstheme="minorHAnsi"/>
        </w:rPr>
        <w:t xml:space="preserve">and </w:t>
      </w:r>
      <w:r w:rsidR="000E5654" w:rsidRPr="00025B9C">
        <w:rPr>
          <w:rFonts w:asciiTheme="minorHAnsi" w:hAnsiTheme="minorHAnsi" w:cstheme="minorHAnsi"/>
          <w:szCs w:val="22"/>
        </w:rPr>
        <w:t>rhetorical strategy</w:t>
      </w:r>
      <w:r w:rsidR="0063662F" w:rsidRPr="00025B9C">
        <w:rPr>
          <w:rFonts w:asciiTheme="minorHAnsi" w:hAnsiTheme="minorHAnsi" w:cstheme="minorHAnsi"/>
        </w:rPr>
        <w:t xml:space="preserve"> </w:t>
      </w:r>
      <w:r w:rsidR="00003DB4" w:rsidRPr="00025B9C">
        <w:rPr>
          <w:rFonts w:asciiTheme="minorHAnsi" w:hAnsiTheme="minorHAnsi" w:cstheme="minorHAnsi"/>
        </w:rPr>
        <w:t>1</w:t>
      </w:r>
      <w:r w:rsidR="001D6155" w:rsidRPr="00025B9C">
        <w:rPr>
          <w:rFonts w:asciiTheme="minorHAnsi" w:hAnsiTheme="minorHAnsi" w:cstheme="minorHAnsi"/>
        </w:rPr>
        <w:t xml:space="preserve"> </w:t>
      </w:r>
      <w:r w:rsidR="000B13F5" w:rsidRPr="00025B9C">
        <w:rPr>
          <w:rFonts w:asciiTheme="minorHAnsi" w:hAnsiTheme="minorHAnsi" w:cstheme="minorHAnsi"/>
        </w:rPr>
        <w:t>(</w:t>
      </w:r>
      <w:r w:rsidR="00BA6ABE" w:rsidRPr="00025B9C">
        <w:rPr>
          <w:rFonts w:asciiTheme="minorHAnsi" w:hAnsiTheme="minorHAnsi" w:cstheme="minorHAnsi"/>
        </w:rPr>
        <w:t>corrective action</w:t>
      </w:r>
      <w:r w:rsidR="000B13F5" w:rsidRPr="00025B9C">
        <w:rPr>
          <w:rFonts w:asciiTheme="minorHAnsi" w:hAnsiTheme="minorHAnsi" w:cstheme="minorHAnsi"/>
        </w:rPr>
        <w:t xml:space="preserve">) </w:t>
      </w:r>
      <w:r w:rsidR="001D6155" w:rsidRPr="00025B9C">
        <w:rPr>
          <w:rFonts w:asciiTheme="minorHAnsi" w:hAnsiTheme="minorHAnsi" w:cstheme="minorHAnsi"/>
        </w:rPr>
        <w:t>seem i</w:t>
      </w:r>
      <w:r w:rsidR="00224EAB" w:rsidRPr="00025B9C">
        <w:rPr>
          <w:rFonts w:asciiTheme="minorHAnsi" w:hAnsiTheme="minorHAnsi" w:cstheme="minorHAnsi"/>
        </w:rPr>
        <w:t>nconsistent because one emphasiz</w:t>
      </w:r>
      <w:r w:rsidR="001D6155" w:rsidRPr="00025B9C">
        <w:rPr>
          <w:rFonts w:asciiTheme="minorHAnsi" w:hAnsiTheme="minorHAnsi" w:cstheme="minorHAnsi"/>
        </w:rPr>
        <w:t xml:space="preserve">es </w:t>
      </w:r>
      <w:r w:rsidR="00277495" w:rsidRPr="00025B9C">
        <w:rPr>
          <w:rFonts w:asciiTheme="minorHAnsi" w:hAnsiTheme="minorHAnsi" w:cstheme="minorHAnsi"/>
        </w:rPr>
        <w:t>breaching</w:t>
      </w:r>
      <w:r w:rsidR="001D6155" w:rsidRPr="00025B9C">
        <w:rPr>
          <w:rFonts w:asciiTheme="minorHAnsi" w:hAnsiTheme="minorHAnsi" w:cstheme="minorHAnsi"/>
        </w:rPr>
        <w:t xml:space="preserve"> the Code for a good reason and the other is about fixing the breach. However</w:t>
      </w:r>
      <w:r w:rsidR="00507582" w:rsidRPr="00025B9C">
        <w:rPr>
          <w:rFonts w:asciiTheme="minorHAnsi" w:hAnsiTheme="minorHAnsi" w:cstheme="minorHAnsi"/>
        </w:rPr>
        <w:t>,</w:t>
      </w:r>
      <w:r w:rsidR="001D6155" w:rsidRPr="00025B9C">
        <w:rPr>
          <w:rFonts w:asciiTheme="minorHAnsi" w:hAnsiTheme="minorHAnsi" w:cstheme="minorHAnsi"/>
        </w:rPr>
        <w:t xml:space="preserve"> under certain circumstances</w:t>
      </w:r>
      <w:r w:rsidR="000B13F5" w:rsidRPr="00025B9C">
        <w:rPr>
          <w:rFonts w:asciiTheme="minorHAnsi" w:hAnsiTheme="minorHAnsi" w:cstheme="minorHAnsi"/>
        </w:rPr>
        <w:t>,</w:t>
      </w:r>
      <w:r w:rsidR="001D6155" w:rsidRPr="00025B9C">
        <w:rPr>
          <w:rFonts w:asciiTheme="minorHAnsi" w:hAnsiTheme="minorHAnsi" w:cstheme="minorHAnsi"/>
        </w:rPr>
        <w:t xml:space="preserve"> they can be consistent if the breach is for a limited period of time.</w:t>
      </w:r>
      <w:r w:rsidR="000D58BD" w:rsidRPr="00025B9C">
        <w:rPr>
          <w:rFonts w:asciiTheme="minorHAnsi" w:hAnsiTheme="minorHAnsi" w:cstheme="minorHAnsi"/>
        </w:rPr>
        <w:t xml:space="preserve"> </w:t>
      </w:r>
      <w:r w:rsidR="00960823" w:rsidRPr="00025B9C">
        <w:rPr>
          <w:rFonts w:asciiTheme="minorHAnsi" w:hAnsiTheme="minorHAnsi" w:cstheme="minorHAnsi"/>
        </w:rPr>
        <w:t xml:space="preserve">In </w:t>
      </w:r>
      <w:r w:rsidR="00277495" w:rsidRPr="00025B9C">
        <w:rPr>
          <w:rFonts w:asciiTheme="minorHAnsi" w:hAnsiTheme="minorHAnsi" w:cstheme="minorHAnsi"/>
        </w:rPr>
        <w:t xml:space="preserve">Example </w:t>
      </w:r>
      <w:r w:rsidR="00644AB3" w:rsidRPr="00025B9C">
        <w:rPr>
          <w:rFonts w:asciiTheme="minorHAnsi" w:hAnsiTheme="minorHAnsi" w:cstheme="minorHAnsi"/>
        </w:rPr>
        <w:t>11(</w:t>
      </w:r>
      <w:proofErr w:type="spellStart"/>
      <w:r w:rsidR="00644AB3" w:rsidRPr="00025B9C">
        <w:rPr>
          <w:rFonts w:asciiTheme="minorHAnsi" w:hAnsiTheme="minorHAnsi" w:cstheme="minorHAnsi"/>
        </w:rPr>
        <w:t>i</w:t>
      </w:r>
      <w:proofErr w:type="spellEnd"/>
      <w:r w:rsidR="00644AB3" w:rsidRPr="00025B9C">
        <w:rPr>
          <w:rFonts w:asciiTheme="minorHAnsi" w:hAnsiTheme="minorHAnsi" w:cstheme="minorHAnsi"/>
        </w:rPr>
        <w:t>)</w:t>
      </w:r>
      <w:r w:rsidR="008C6F57" w:rsidRPr="00025B9C">
        <w:rPr>
          <w:rFonts w:asciiTheme="minorHAnsi" w:hAnsiTheme="minorHAnsi" w:cstheme="minorHAnsi"/>
        </w:rPr>
        <w:t>,</w:t>
      </w:r>
      <w:r w:rsidR="00960823" w:rsidRPr="00025B9C">
        <w:rPr>
          <w:rFonts w:asciiTheme="minorHAnsi" w:hAnsiTheme="minorHAnsi" w:cstheme="minorHAnsi"/>
        </w:rPr>
        <w:t xml:space="preserve"> reader</w:t>
      </w:r>
      <w:r w:rsidR="001430CF" w:rsidRPr="00025B9C">
        <w:rPr>
          <w:rFonts w:asciiTheme="minorHAnsi" w:hAnsiTheme="minorHAnsi" w:cstheme="minorHAnsi"/>
        </w:rPr>
        <w:t>s are</w:t>
      </w:r>
      <w:r w:rsidR="00960823" w:rsidRPr="00025B9C">
        <w:rPr>
          <w:rFonts w:asciiTheme="minorHAnsi" w:hAnsiTheme="minorHAnsi" w:cstheme="minorHAnsi"/>
        </w:rPr>
        <w:t xml:space="preserve"> likely to be impressed by Olga </w:t>
      </w:r>
      <w:proofErr w:type="spellStart"/>
      <w:r w:rsidR="00960823" w:rsidRPr="00025B9C">
        <w:rPr>
          <w:rFonts w:asciiTheme="minorHAnsi" w:hAnsiTheme="minorHAnsi" w:cstheme="minorHAnsi"/>
        </w:rPr>
        <w:t>Pokrovskaya’s</w:t>
      </w:r>
      <w:proofErr w:type="spellEnd"/>
      <w:r w:rsidR="00960823" w:rsidRPr="00025B9C">
        <w:rPr>
          <w:rFonts w:asciiTheme="minorHAnsi" w:hAnsiTheme="minorHAnsi" w:cstheme="minorHAnsi"/>
        </w:rPr>
        <w:t xml:space="preserve"> credentials but also that the issue with the Code is now </w:t>
      </w:r>
      <w:r w:rsidR="00960823" w:rsidRPr="00025B9C">
        <w:rPr>
          <w:rFonts w:asciiTheme="minorHAnsi" w:hAnsiTheme="minorHAnsi" w:cstheme="minorHAnsi"/>
          <w:i/>
        </w:rPr>
        <w:t>fixed</w:t>
      </w:r>
      <w:r w:rsidR="00960823" w:rsidRPr="00025B9C">
        <w:rPr>
          <w:rFonts w:asciiTheme="minorHAnsi" w:hAnsiTheme="minorHAnsi" w:cstheme="minorHAnsi"/>
        </w:rPr>
        <w:t xml:space="preserve"> by Sir Michael Peat’s appointment.</w:t>
      </w:r>
      <w:r w:rsidR="000F0D8A" w:rsidRPr="00025B9C">
        <w:rPr>
          <w:rFonts w:asciiTheme="minorHAnsi" w:hAnsiTheme="minorHAnsi" w:cstheme="minorHAnsi"/>
        </w:rPr>
        <w:t xml:space="preserve"> This explanation is much better than one which just says the problem is now </w:t>
      </w:r>
      <w:r w:rsidR="006E00E9" w:rsidRPr="00025B9C">
        <w:rPr>
          <w:rFonts w:asciiTheme="minorHAnsi" w:hAnsiTheme="minorHAnsi" w:cstheme="minorHAnsi"/>
        </w:rPr>
        <w:t>resolved</w:t>
      </w:r>
      <w:r w:rsidR="00BA6ABE" w:rsidRPr="00025B9C">
        <w:rPr>
          <w:rFonts w:asciiTheme="minorHAnsi" w:hAnsiTheme="minorHAnsi" w:cstheme="minorHAnsi"/>
        </w:rPr>
        <w:t>,</w:t>
      </w:r>
      <w:r w:rsidR="000F0D8A" w:rsidRPr="00025B9C">
        <w:rPr>
          <w:rFonts w:asciiTheme="minorHAnsi" w:hAnsiTheme="minorHAnsi" w:cstheme="minorHAnsi"/>
        </w:rPr>
        <w:t xml:space="preserve"> but provides no explanation as to </w:t>
      </w:r>
      <w:r w:rsidR="00451A23" w:rsidRPr="00025B9C">
        <w:rPr>
          <w:rFonts w:asciiTheme="minorHAnsi" w:hAnsiTheme="minorHAnsi" w:cstheme="minorHAnsi"/>
        </w:rPr>
        <w:t>the s</w:t>
      </w:r>
      <w:r w:rsidR="008C6F57" w:rsidRPr="00025B9C">
        <w:rPr>
          <w:rFonts w:asciiTheme="minorHAnsi" w:hAnsiTheme="minorHAnsi" w:cstheme="minorHAnsi"/>
        </w:rPr>
        <w:t>olution</w:t>
      </w:r>
      <w:r w:rsidR="000F0D8A" w:rsidRPr="00025B9C">
        <w:rPr>
          <w:rFonts w:asciiTheme="minorHAnsi" w:hAnsiTheme="minorHAnsi" w:cstheme="minorHAnsi"/>
        </w:rPr>
        <w:t xml:space="preserve"> in the meantime. </w:t>
      </w:r>
      <w:r w:rsidR="00446F1C" w:rsidRPr="00025B9C">
        <w:rPr>
          <w:rFonts w:asciiTheme="minorHAnsi" w:hAnsiTheme="minorHAnsi" w:cstheme="minorHAnsi"/>
        </w:rPr>
        <w:t xml:space="preserve">Code provision C.3.1 requires audit committee members to be independent non-executive directors. It is therefore not </w:t>
      </w:r>
      <w:r w:rsidR="00B10F62" w:rsidRPr="00025B9C">
        <w:rPr>
          <w:rFonts w:asciiTheme="minorHAnsi" w:hAnsiTheme="minorHAnsi" w:cstheme="minorHAnsi"/>
        </w:rPr>
        <w:t>very</w:t>
      </w:r>
      <w:r w:rsidR="009E1280" w:rsidRPr="00025B9C">
        <w:rPr>
          <w:rFonts w:asciiTheme="minorHAnsi" w:hAnsiTheme="minorHAnsi" w:cstheme="minorHAnsi"/>
        </w:rPr>
        <w:t xml:space="preserve"> </w:t>
      </w:r>
      <w:r w:rsidR="00DD6A19" w:rsidRPr="00025B9C">
        <w:rPr>
          <w:rFonts w:asciiTheme="minorHAnsi" w:hAnsiTheme="minorHAnsi" w:cstheme="minorHAnsi"/>
        </w:rPr>
        <w:t>clear why Example 1</w:t>
      </w:r>
      <w:r w:rsidR="00644AB3" w:rsidRPr="00025B9C">
        <w:rPr>
          <w:rFonts w:asciiTheme="minorHAnsi" w:hAnsiTheme="minorHAnsi" w:cstheme="minorHAnsi"/>
        </w:rPr>
        <w:t>1(</w:t>
      </w:r>
      <w:proofErr w:type="spellStart"/>
      <w:r w:rsidR="00644AB3" w:rsidRPr="00025B9C">
        <w:rPr>
          <w:rFonts w:asciiTheme="minorHAnsi" w:hAnsiTheme="minorHAnsi" w:cstheme="minorHAnsi"/>
        </w:rPr>
        <w:t>i</w:t>
      </w:r>
      <w:proofErr w:type="spellEnd"/>
      <w:r w:rsidR="00644AB3" w:rsidRPr="00025B9C">
        <w:rPr>
          <w:rFonts w:asciiTheme="minorHAnsi" w:hAnsiTheme="minorHAnsi" w:cstheme="minorHAnsi"/>
        </w:rPr>
        <w:t>)</w:t>
      </w:r>
      <w:r w:rsidR="00446F1C" w:rsidRPr="00025B9C">
        <w:rPr>
          <w:rFonts w:asciiTheme="minorHAnsi" w:hAnsiTheme="minorHAnsi" w:cstheme="minorHAnsi"/>
        </w:rPr>
        <w:t xml:space="preserve"> claims compliance with provision C.3.1 when one of its members does not meet the independence criteria of the Code.</w:t>
      </w:r>
      <w:r w:rsidR="00321B13" w:rsidRPr="00025B9C">
        <w:rPr>
          <w:rFonts w:asciiTheme="minorHAnsi" w:hAnsiTheme="minorHAnsi" w:cstheme="minorHAnsi"/>
        </w:rPr>
        <w:t xml:space="preserve"> This could be down</w:t>
      </w:r>
      <w:r w:rsidR="009E1280" w:rsidRPr="00025B9C">
        <w:rPr>
          <w:rFonts w:asciiTheme="minorHAnsi" w:hAnsiTheme="minorHAnsi" w:cstheme="minorHAnsi"/>
        </w:rPr>
        <w:t xml:space="preserve"> to interpretation of the Code</w:t>
      </w:r>
      <w:r w:rsidR="0043741F" w:rsidRPr="00025B9C">
        <w:rPr>
          <w:rFonts w:asciiTheme="minorHAnsi" w:hAnsiTheme="minorHAnsi" w:cstheme="minorHAnsi"/>
        </w:rPr>
        <w:t>.</w:t>
      </w:r>
      <w:r w:rsidR="009E1280" w:rsidRPr="00025B9C">
        <w:rPr>
          <w:rFonts w:asciiTheme="minorHAnsi" w:hAnsiTheme="minorHAnsi" w:cstheme="minorHAnsi"/>
        </w:rPr>
        <w:t xml:space="preserve"> </w:t>
      </w:r>
      <w:r w:rsidR="0043741F" w:rsidRPr="00025B9C">
        <w:rPr>
          <w:rFonts w:asciiTheme="minorHAnsi" w:hAnsiTheme="minorHAnsi" w:cstheme="minorHAnsi"/>
        </w:rPr>
        <w:t>P</w:t>
      </w:r>
      <w:r w:rsidR="009E1280" w:rsidRPr="00025B9C">
        <w:rPr>
          <w:rFonts w:asciiTheme="minorHAnsi" w:hAnsiTheme="minorHAnsi" w:cstheme="minorHAnsi"/>
        </w:rPr>
        <w:t xml:space="preserve">erhaps the </w:t>
      </w:r>
      <w:r w:rsidR="00321B13" w:rsidRPr="00025B9C">
        <w:rPr>
          <w:rFonts w:asciiTheme="minorHAnsi" w:hAnsiTheme="minorHAnsi" w:cstheme="minorHAnsi"/>
        </w:rPr>
        <w:t>board</w:t>
      </w:r>
      <w:r w:rsidR="009E1280" w:rsidRPr="00025B9C">
        <w:rPr>
          <w:rFonts w:asciiTheme="minorHAnsi" w:hAnsiTheme="minorHAnsi" w:cstheme="minorHAnsi"/>
        </w:rPr>
        <w:t xml:space="preserve"> </w:t>
      </w:r>
      <w:r w:rsidR="00321B13" w:rsidRPr="00025B9C">
        <w:rPr>
          <w:rFonts w:asciiTheme="minorHAnsi" w:hAnsiTheme="minorHAnsi" w:cstheme="minorHAnsi"/>
        </w:rPr>
        <w:t>believes</w:t>
      </w:r>
      <w:r w:rsidR="009E1280" w:rsidRPr="00025B9C">
        <w:rPr>
          <w:rFonts w:asciiTheme="minorHAnsi" w:hAnsiTheme="minorHAnsi" w:cstheme="minorHAnsi"/>
        </w:rPr>
        <w:t xml:space="preserve"> it has the three independent members </w:t>
      </w:r>
      <w:r w:rsidR="00635BDD" w:rsidRPr="00025B9C">
        <w:rPr>
          <w:rFonts w:asciiTheme="minorHAnsi" w:hAnsiTheme="minorHAnsi" w:cstheme="minorHAnsi"/>
        </w:rPr>
        <w:t xml:space="preserve">required </w:t>
      </w:r>
      <w:r w:rsidR="009E1280" w:rsidRPr="00025B9C">
        <w:rPr>
          <w:rFonts w:asciiTheme="minorHAnsi" w:hAnsiTheme="minorHAnsi" w:cstheme="minorHAnsi"/>
        </w:rPr>
        <w:t>plus an additional (a</w:t>
      </w:r>
      <w:r w:rsidR="00003DB4" w:rsidRPr="00025B9C">
        <w:rPr>
          <w:rFonts w:asciiTheme="minorHAnsi" w:hAnsiTheme="minorHAnsi" w:cstheme="minorHAnsi"/>
        </w:rPr>
        <w:t>lbeit non-independent) member</w:t>
      </w:r>
      <w:r w:rsidR="0043741F" w:rsidRPr="00025B9C">
        <w:rPr>
          <w:rFonts w:asciiTheme="minorHAnsi" w:hAnsiTheme="minorHAnsi" w:cstheme="minorHAnsi"/>
        </w:rPr>
        <w:t xml:space="preserve">. </w:t>
      </w:r>
      <w:r w:rsidR="00635BDD" w:rsidRPr="00025B9C">
        <w:rPr>
          <w:rFonts w:asciiTheme="minorHAnsi" w:hAnsiTheme="minorHAnsi" w:cstheme="minorHAnsi"/>
        </w:rPr>
        <w:t>Interestingly in the following year</w:t>
      </w:r>
      <w:r w:rsidR="00002B28" w:rsidRPr="00025B9C">
        <w:rPr>
          <w:rFonts w:asciiTheme="minorHAnsi" w:hAnsiTheme="minorHAnsi" w:cstheme="minorHAnsi"/>
        </w:rPr>
        <w:t>s (</w:t>
      </w:r>
      <w:r w:rsidR="00EA4463" w:rsidRPr="00025B9C">
        <w:rPr>
          <w:rFonts w:asciiTheme="minorHAnsi" w:hAnsiTheme="minorHAnsi" w:cstheme="minorHAnsi"/>
        </w:rPr>
        <w:t>up to annual report 2015</w:t>
      </w:r>
      <w:r w:rsidR="002B7543" w:rsidRPr="00025B9C">
        <w:rPr>
          <w:rFonts w:asciiTheme="minorHAnsi" w:hAnsiTheme="minorHAnsi" w:cstheme="minorHAnsi"/>
        </w:rPr>
        <w:t>)</w:t>
      </w:r>
      <w:r w:rsidR="00635BDD" w:rsidRPr="00025B9C">
        <w:rPr>
          <w:rFonts w:asciiTheme="minorHAnsi" w:hAnsiTheme="minorHAnsi" w:cstheme="minorHAnsi"/>
        </w:rPr>
        <w:t xml:space="preserve"> the </w:t>
      </w:r>
      <w:r w:rsidR="001E3D0A" w:rsidRPr="00025B9C">
        <w:rPr>
          <w:rFonts w:asciiTheme="minorHAnsi" w:hAnsiTheme="minorHAnsi" w:cstheme="minorHAnsi"/>
        </w:rPr>
        <w:t xml:space="preserve">explanation </w:t>
      </w:r>
      <w:r w:rsidR="00BA6ABE" w:rsidRPr="00025B9C">
        <w:rPr>
          <w:rFonts w:asciiTheme="minorHAnsi" w:hAnsiTheme="minorHAnsi" w:cstheme="minorHAnsi"/>
        </w:rPr>
        <w:t>is different in that</w:t>
      </w:r>
      <w:r w:rsidR="002B7543" w:rsidRPr="00025B9C">
        <w:rPr>
          <w:rFonts w:asciiTheme="minorHAnsi" w:hAnsiTheme="minorHAnsi" w:cstheme="minorHAnsi"/>
        </w:rPr>
        <w:t xml:space="preserve"> the board seems to have changed its mind </w:t>
      </w:r>
      <w:r w:rsidR="00BA6ABE" w:rsidRPr="00025B9C">
        <w:rPr>
          <w:rFonts w:asciiTheme="minorHAnsi" w:hAnsiTheme="minorHAnsi" w:cstheme="minorHAnsi"/>
        </w:rPr>
        <w:t xml:space="preserve">and admits </w:t>
      </w:r>
      <w:r w:rsidR="00BA6ABE" w:rsidRPr="00025B9C">
        <w:rPr>
          <w:rFonts w:asciiTheme="minorHAnsi" w:hAnsiTheme="minorHAnsi" w:cstheme="minorHAnsi"/>
          <w:i/>
        </w:rPr>
        <w:t>non-compliance</w:t>
      </w:r>
      <w:r w:rsidR="00BA6ABE" w:rsidRPr="00025B9C">
        <w:rPr>
          <w:rFonts w:asciiTheme="minorHAnsi" w:hAnsiTheme="minorHAnsi" w:cstheme="minorHAnsi"/>
        </w:rPr>
        <w:t xml:space="preserve"> </w:t>
      </w:r>
      <w:r w:rsidR="00DD6A19" w:rsidRPr="00025B9C">
        <w:rPr>
          <w:rFonts w:asciiTheme="minorHAnsi" w:hAnsiTheme="minorHAnsi" w:cstheme="minorHAnsi"/>
        </w:rPr>
        <w:t>(see Example 1</w:t>
      </w:r>
      <w:r w:rsidR="00570CF5" w:rsidRPr="00025B9C">
        <w:rPr>
          <w:rFonts w:asciiTheme="minorHAnsi" w:hAnsiTheme="minorHAnsi" w:cstheme="minorHAnsi"/>
        </w:rPr>
        <w:t>1</w:t>
      </w:r>
      <w:r w:rsidR="001E3D0A" w:rsidRPr="00025B9C">
        <w:rPr>
          <w:rFonts w:asciiTheme="minorHAnsi" w:hAnsiTheme="minorHAnsi" w:cstheme="minorHAnsi"/>
        </w:rPr>
        <w:t>(ii)</w:t>
      </w:r>
      <w:r w:rsidR="002B7543" w:rsidRPr="00025B9C">
        <w:rPr>
          <w:rFonts w:asciiTheme="minorHAnsi" w:hAnsiTheme="minorHAnsi" w:cstheme="minorHAnsi"/>
        </w:rPr>
        <w:t xml:space="preserve"> which refers to 2013)</w:t>
      </w:r>
      <w:r w:rsidR="001E3D0A" w:rsidRPr="00025B9C">
        <w:rPr>
          <w:rFonts w:asciiTheme="minorHAnsi" w:hAnsiTheme="minorHAnsi" w:cstheme="minorHAnsi"/>
        </w:rPr>
        <w:t xml:space="preserve">. </w:t>
      </w:r>
      <w:r w:rsidR="005F7A04" w:rsidRPr="00025B9C">
        <w:rPr>
          <w:rFonts w:asciiTheme="minorHAnsi" w:hAnsiTheme="minorHAnsi" w:cstheme="minorHAnsi"/>
        </w:rPr>
        <w:t xml:space="preserve">This illustrates </w:t>
      </w:r>
      <w:r w:rsidR="00B64377" w:rsidRPr="00025B9C">
        <w:rPr>
          <w:rFonts w:asciiTheme="minorHAnsi" w:hAnsiTheme="minorHAnsi" w:cstheme="minorHAnsi"/>
        </w:rPr>
        <w:t xml:space="preserve">one of </w:t>
      </w:r>
      <w:r w:rsidR="005F7A04" w:rsidRPr="00025B9C">
        <w:rPr>
          <w:rFonts w:asciiTheme="minorHAnsi" w:hAnsiTheme="minorHAnsi" w:cstheme="minorHAnsi"/>
        </w:rPr>
        <w:t>the problems of interpreting the Code.</w:t>
      </w:r>
    </w:p>
    <w:p w:rsidR="00171300" w:rsidRPr="00025B9C" w:rsidRDefault="00171300">
      <w:pPr>
        <w:rPr>
          <w:rFonts w:asciiTheme="minorHAnsi" w:hAnsiTheme="minorHAnsi" w:cstheme="minorHAnsi"/>
          <w:b/>
          <w:sz w:val="20"/>
          <w:szCs w:val="20"/>
        </w:rPr>
      </w:pPr>
    </w:p>
    <w:p w:rsidR="000B13F5" w:rsidRPr="00025B9C" w:rsidRDefault="00003DB4" w:rsidP="00171300">
      <w:pPr>
        <w:keepNext/>
        <w:ind w:left="567" w:right="804"/>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644AB3" w:rsidRPr="00025B9C">
        <w:rPr>
          <w:rFonts w:asciiTheme="minorHAnsi" w:hAnsiTheme="minorHAnsi" w:cstheme="minorHAnsi"/>
          <w:b/>
          <w:sz w:val="20"/>
          <w:szCs w:val="20"/>
        </w:rPr>
        <w:t>11</w:t>
      </w:r>
      <w:r w:rsidR="000B13F5" w:rsidRPr="00025B9C">
        <w:rPr>
          <w:rFonts w:asciiTheme="minorHAnsi" w:hAnsiTheme="minorHAnsi" w:cstheme="minorHAnsi"/>
          <w:b/>
          <w:sz w:val="20"/>
          <w:szCs w:val="20"/>
        </w:rPr>
        <w:t>(</w:t>
      </w:r>
      <w:proofErr w:type="spellStart"/>
      <w:r w:rsidR="000B13F5" w:rsidRPr="00025B9C">
        <w:rPr>
          <w:rFonts w:asciiTheme="minorHAnsi" w:hAnsiTheme="minorHAnsi" w:cstheme="minorHAnsi"/>
          <w:b/>
          <w:sz w:val="20"/>
          <w:szCs w:val="20"/>
        </w:rPr>
        <w:t>i</w:t>
      </w:r>
      <w:proofErr w:type="spellEnd"/>
      <w:r w:rsidR="000B13F5" w:rsidRPr="00025B9C">
        <w:rPr>
          <w:rFonts w:asciiTheme="minorHAnsi" w:hAnsiTheme="minorHAnsi" w:cstheme="minorHAnsi"/>
          <w:b/>
          <w:sz w:val="20"/>
          <w:szCs w:val="20"/>
        </w:rPr>
        <w:t>)</w:t>
      </w:r>
      <w:r w:rsidR="00115B47" w:rsidRPr="00025B9C">
        <w:rPr>
          <w:rFonts w:asciiTheme="minorHAnsi" w:hAnsiTheme="minorHAnsi" w:cstheme="minorHAnsi"/>
          <w:b/>
          <w:sz w:val="20"/>
          <w:szCs w:val="20"/>
        </w:rPr>
        <w:t>:</w:t>
      </w:r>
      <w:r w:rsidR="00853216" w:rsidRPr="00025B9C">
        <w:rPr>
          <w:rFonts w:asciiTheme="minorHAnsi" w:hAnsiTheme="minorHAnsi" w:cstheme="minorHAnsi"/>
          <w:b/>
          <w:sz w:val="20"/>
          <w:szCs w:val="20"/>
        </w:rPr>
        <w:t xml:space="preserve"> </w:t>
      </w:r>
      <w:r w:rsidR="000E5654" w:rsidRPr="00025B9C">
        <w:rPr>
          <w:rFonts w:asciiTheme="minorHAnsi" w:hAnsiTheme="minorHAnsi" w:cstheme="minorHAnsi"/>
          <w:b/>
          <w:sz w:val="20"/>
          <w:szCs w:val="20"/>
        </w:rPr>
        <w:t>T</w:t>
      </w:r>
      <w:r w:rsidR="00115B47" w:rsidRPr="00025B9C">
        <w:rPr>
          <w:rFonts w:asciiTheme="minorHAnsi" w:hAnsiTheme="minorHAnsi" w:cstheme="minorHAnsi"/>
          <w:b/>
          <w:sz w:val="20"/>
          <w:szCs w:val="20"/>
        </w:rPr>
        <w:t>ranscendence</w:t>
      </w:r>
      <w:r w:rsidR="000E5654" w:rsidRPr="00025B9C">
        <w:rPr>
          <w:rFonts w:asciiTheme="minorHAnsi" w:hAnsiTheme="minorHAnsi" w:cstheme="minorHAnsi"/>
          <w:b/>
          <w:sz w:val="20"/>
          <w:szCs w:val="20"/>
        </w:rPr>
        <w:t xml:space="preserve"> (4</w:t>
      </w:r>
      <w:r w:rsidR="00BC36D4" w:rsidRPr="00025B9C">
        <w:rPr>
          <w:rFonts w:asciiTheme="minorHAnsi" w:hAnsiTheme="minorHAnsi" w:cstheme="minorHAnsi"/>
          <w:b/>
          <w:sz w:val="20"/>
          <w:szCs w:val="20"/>
        </w:rPr>
        <w:t xml:space="preserve">) and </w:t>
      </w:r>
      <w:r w:rsidR="000E5654" w:rsidRPr="00025B9C">
        <w:rPr>
          <w:rFonts w:asciiTheme="minorHAnsi" w:hAnsiTheme="minorHAnsi" w:cstheme="minorHAnsi"/>
          <w:b/>
          <w:sz w:val="20"/>
          <w:szCs w:val="20"/>
        </w:rPr>
        <w:t>C</w:t>
      </w:r>
      <w:r w:rsidR="00BA6ABE" w:rsidRPr="00025B9C">
        <w:rPr>
          <w:rFonts w:asciiTheme="minorHAnsi" w:hAnsiTheme="minorHAnsi" w:cstheme="minorHAnsi"/>
          <w:b/>
          <w:sz w:val="20"/>
          <w:szCs w:val="20"/>
        </w:rPr>
        <w:t>orrective action</w:t>
      </w:r>
      <w:r w:rsidR="00115B47" w:rsidRPr="00025B9C">
        <w:rPr>
          <w:rFonts w:asciiTheme="minorHAnsi" w:hAnsiTheme="minorHAnsi" w:cstheme="minorHAnsi"/>
          <w:b/>
          <w:sz w:val="20"/>
          <w:szCs w:val="20"/>
        </w:rPr>
        <w:t xml:space="preserve"> already taken</w:t>
      </w:r>
      <w:r w:rsidR="000E5654" w:rsidRPr="00025B9C">
        <w:rPr>
          <w:rFonts w:asciiTheme="minorHAnsi" w:hAnsiTheme="minorHAnsi" w:cstheme="minorHAnsi"/>
          <w:b/>
          <w:sz w:val="20"/>
          <w:szCs w:val="20"/>
        </w:rPr>
        <w:t xml:space="preserve"> (1a</w:t>
      </w:r>
      <w:r w:rsidR="000B13F5" w:rsidRPr="00025B9C">
        <w:rPr>
          <w:rFonts w:asciiTheme="minorHAnsi" w:hAnsiTheme="minorHAnsi" w:cstheme="minorHAnsi"/>
          <w:b/>
          <w:sz w:val="20"/>
          <w:szCs w:val="20"/>
        </w:rPr>
        <w:t>)</w:t>
      </w:r>
    </w:p>
    <w:p w:rsidR="00960823" w:rsidRPr="00025B9C" w:rsidRDefault="00960823" w:rsidP="00171300">
      <w:pPr>
        <w:keepNext/>
        <w:autoSpaceDE w:val="0"/>
        <w:autoSpaceDN w:val="0"/>
        <w:adjustRightInd w:val="0"/>
        <w:ind w:left="567" w:right="-46"/>
        <w:jc w:val="both"/>
        <w:rPr>
          <w:rFonts w:asciiTheme="minorHAnsi" w:hAnsiTheme="minorHAnsi" w:cstheme="minorHAnsi"/>
          <w:sz w:val="20"/>
          <w:szCs w:val="20"/>
        </w:rPr>
      </w:pPr>
      <w:r w:rsidRPr="00025B9C">
        <w:rPr>
          <w:rFonts w:asciiTheme="minorHAnsi" w:hAnsiTheme="minorHAnsi" w:cstheme="minorHAnsi"/>
          <w:sz w:val="20"/>
          <w:szCs w:val="20"/>
        </w:rPr>
        <w:t xml:space="preserve">Contrary to provision C.3.1 of the UK Corporate Governance Code, only two of the three members of the Audit Committee were independent non-executive directors during 2011. Olga </w:t>
      </w:r>
      <w:proofErr w:type="spellStart"/>
      <w:r w:rsidRPr="00025B9C">
        <w:rPr>
          <w:rFonts w:asciiTheme="minorHAnsi" w:hAnsiTheme="minorHAnsi" w:cstheme="minorHAnsi"/>
          <w:sz w:val="20"/>
          <w:szCs w:val="20"/>
        </w:rPr>
        <w:t>Pokrovskaya</w:t>
      </w:r>
      <w:proofErr w:type="spellEnd"/>
      <w:r w:rsidRPr="00025B9C">
        <w:rPr>
          <w:rFonts w:asciiTheme="minorHAnsi" w:hAnsiTheme="minorHAnsi" w:cstheme="minorHAnsi"/>
          <w:sz w:val="20"/>
          <w:szCs w:val="20"/>
        </w:rPr>
        <w:t xml:space="preserve"> is a member of the Audit Committee, but does not meet the independence criteria set out in the UK Corporate Governance Code. Since more than 50% of EVRAZ activities and operations are based in the Russian Federation, Olga </w:t>
      </w:r>
      <w:proofErr w:type="spellStart"/>
      <w:r w:rsidRPr="00025B9C">
        <w:rPr>
          <w:rFonts w:asciiTheme="minorHAnsi" w:hAnsiTheme="minorHAnsi" w:cstheme="minorHAnsi"/>
          <w:sz w:val="20"/>
          <w:szCs w:val="20"/>
        </w:rPr>
        <w:t>Pokrovskaya’s</w:t>
      </w:r>
      <w:proofErr w:type="spellEnd"/>
      <w:r w:rsidRPr="00025B9C">
        <w:rPr>
          <w:rFonts w:asciiTheme="minorHAnsi" w:hAnsiTheme="minorHAnsi" w:cstheme="minorHAnsi"/>
          <w:sz w:val="20"/>
          <w:szCs w:val="20"/>
        </w:rPr>
        <w:t xml:space="preserve"> technical and regional experience and qualifications, as a past senior audit manager at Arthur Anderson</w:t>
      </w:r>
      <w:r w:rsidR="00277495" w:rsidRPr="00025B9C">
        <w:rPr>
          <w:rFonts w:asciiTheme="minorHAnsi" w:hAnsiTheme="minorHAnsi" w:cstheme="minorHAnsi"/>
          <w:sz w:val="20"/>
          <w:szCs w:val="20"/>
        </w:rPr>
        <w:t xml:space="preserve"> </w:t>
      </w:r>
      <w:r w:rsidR="00277495" w:rsidRPr="00025B9C">
        <w:rPr>
          <w:rFonts w:asciiTheme="minorHAnsi" w:hAnsiTheme="minorHAnsi" w:cstheme="minorHAnsi"/>
          <w:i/>
          <w:sz w:val="20"/>
          <w:szCs w:val="20"/>
        </w:rPr>
        <w:t>[sic]</w:t>
      </w:r>
      <w:r w:rsidRPr="00025B9C">
        <w:rPr>
          <w:rFonts w:asciiTheme="minorHAnsi" w:hAnsiTheme="minorHAnsi" w:cstheme="minorHAnsi"/>
          <w:sz w:val="20"/>
          <w:szCs w:val="20"/>
        </w:rPr>
        <w:t xml:space="preserve"> and as Head of Corporate Finance at </w:t>
      </w:r>
      <w:proofErr w:type="spellStart"/>
      <w:r w:rsidRPr="00025B9C">
        <w:rPr>
          <w:rFonts w:asciiTheme="minorHAnsi" w:hAnsiTheme="minorHAnsi" w:cstheme="minorHAnsi"/>
          <w:sz w:val="20"/>
          <w:szCs w:val="20"/>
        </w:rPr>
        <w:t>Sibneft</w:t>
      </w:r>
      <w:proofErr w:type="spellEnd"/>
      <w:r w:rsidRPr="00025B9C">
        <w:rPr>
          <w:rFonts w:asciiTheme="minorHAnsi" w:hAnsiTheme="minorHAnsi" w:cstheme="minorHAnsi"/>
          <w:sz w:val="20"/>
          <w:szCs w:val="20"/>
        </w:rPr>
        <w:t>, is of particular value to the Committee and her experience would be extremely difficult to replicate, particularly as EVRAZ is seeking to strengthen diversity on its Board. The Company considers that, in light of her involvement with the Group over a number of years and her experience in this area, her membership of the Audit Committee is to the benefit of the Group. Furthermore, on 28 February 2012 Sir Michael Peat, an independent non-executive director, was appointed to the Audit Committee, and the Company has therefore been compliant with provision C.3.1 of the UK Corporate Governance Code since that date.</w:t>
      </w:r>
    </w:p>
    <w:p w:rsidR="000F0D8A" w:rsidRPr="00025B9C" w:rsidRDefault="000F0D8A" w:rsidP="00171300">
      <w:pPr>
        <w:keepNext/>
        <w:autoSpaceDE w:val="0"/>
        <w:autoSpaceDN w:val="0"/>
        <w:adjustRightInd w:val="0"/>
        <w:ind w:left="567" w:right="805"/>
        <w:jc w:val="both"/>
        <w:rPr>
          <w:rFonts w:asciiTheme="minorHAnsi" w:hAnsiTheme="minorHAnsi" w:cstheme="minorHAnsi"/>
          <w:sz w:val="20"/>
          <w:szCs w:val="20"/>
        </w:rPr>
      </w:pPr>
      <w:r w:rsidRPr="00025B9C">
        <w:rPr>
          <w:rFonts w:asciiTheme="minorHAnsi" w:hAnsiTheme="minorHAnsi" w:cstheme="minorHAnsi"/>
          <w:sz w:val="20"/>
          <w:szCs w:val="20"/>
        </w:rPr>
        <w:t xml:space="preserve">Source: </w:t>
      </w:r>
      <w:proofErr w:type="spellStart"/>
      <w:r w:rsidRPr="00025B9C">
        <w:rPr>
          <w:rFonts w:asciiTheme="minorHAnsi" w:hAnsiTheme="minorHAnsi" w:cstheme="minorHAnsi"/>
          <w:sz w:val="20"/>
          <w:szCs w:val="20"/>
        </w:rPr>
        <w:t>Evraz</w:t>
      </w:r>
      <w:proofErr w:type="spellEnd"/>
      <w:r w:rsidRPr="00025B9C">
        <w:rPr>
          <w:rFonts w:asciiTheme="minorHAnsi" w:hAnsiTheme="minorHAnsi" w:cstheme="minorHAnsi"/>
          <w:sz w:val="20"/>
          <w:szCs w:val="20"/>
        </w:rPr>
        <w:t xml:space="preserve"> plc 2011 annual report, p.</w:t>
      </w:r>
      <w:r w:rsidR="006C2C8A" w:rsidRPr="00025B9C">
        <w:rPr>
          <w:rFonts w:asciiTheme="minorHAnsi" w:hAnsiTheme="minorHAnsi" w:cstheme="minorHAnsi"/>
          <w:sz w:val="20"/>
          <w:szCs w:val="20"/>
        </w:rPr>
        <w:t xml:space="preserve"> </w:t>
      </w:r>
      <w:r w:rsidRPr="00025B9C">
        <w:rPr>
          <w:rFonts w:asciiTheme="minorHAnsi" w:hAnsiTheme="minorHAnsi" w:cstheme="minorHAnsi"/>
          <w:sz w:val="20"/>
          <w:szCs w:val="20"/>
        </w:rPr>
        <w:t>61.</w:t>
      </w:r>
    </w:p>
    <w:p w:rsidR="003630F2" w:rsidRPr="00025B9C" w:rsidRDefault="003630F2" w:rsidP="00171300">
      <w:pPr>
        <w:keepNext/>
        <w:ind w:left="567" w:right="804"/>
        <w:jc w:val="both"/>
        <w:rPr>
          <w:rFonts w:asciiTheme="minorHAnsi" w:hAnsiTheme="minorHAnsi" w:cstheme="minorHAnsi"/>
          <w:b/>
          <w:sz w:val="20"/>
          <w:szCs w:val="20"/>
        </w:rPr>
      </w:pPr>
    </w:p>
    <w:p w:rsidR="00635BDD" w:rsidRPr="00025B9C" w:rsidRDefault="00DD6A19" w:rsidP="00171300">
      <w:pPr>
        <w:keepNext/>
        <w:ind w:left="567" w:right="804"/>
        <w:jc w:val="both"/>
        <w:rPr>
          <w:rFonts w:asciiTheme="minorHAnsi" w:hAnsiTheme="minorHAnsi" w:cstheme="minorHAnsi"/>
          <w:b/>
          <w:sz w:val="20"/>
          <w:szCs w:val="20"/>
        </w:rPr>
      </w:pPr>
      <w:r w:rsidRPr="00025B9C">
        <w:rPr>
          <w:rFonts w:asciiTheme="minorHAnsi" w:hAnsiTheme="minorHAnsi" w:cstheme="minorHAnsi"/>
          <w:b/>
          <w:sz w:val="20"/>
          <w:szCs w:val="20"/>
        </w:rPr>
        <w:t>Example 1</w:t>
      </w:r>
      <w:r w:rsidR="00BC36D4" w:rsidRPr="00025B9C">
        <w:rPr>
          <w:rFonts w:asciiTheme="minorHAnsi" w:hAnsiTheme="minorHAnsi" w:cstheme="minorHAnsi"/>
          <w:b/>
          <w:sz w:val="20"/>
          <w:szCs w:val="20"/>
        </w:rPr>
        <w:t>1</w:t>
      </w:r>
      <w:r w:rsidR="00635BDD" w:rsidRPr="00025B9C">
        <w:rPr>
          <w:rFonts w:asciiTheme="minorHAnsi" w:hAnsiTheme="minorHAnsi" w:cstheme="minorHAnsi"/>
          <w:b/>
          <w:sz w:val="20"/>
          <w:szCs w:val="20"/>
        </w:rPr>
        <w:t>(ii)</w:t>
      </w:r>
      <w:r w:rsidR="005F7A04" w:rsidRPr="00025B9C">
        <w:rPr>
          <w:rFonts w:asciiTheme="minorHAnsi" w:hAnsiTheme="minorHAnsi" w:cstheme="minorHAnsi"/>
          <w:b/>
          <w:sz w:val="20"/>
          <w:szCs w:val="20"/>
        </w:rPr>
        <w:t>:</w:t>
      </w:r>
      <w:r w:rsidR="00EA4463" w:rsidRPr="00025B9C">
        <w:rPr>
          <w:rFonts w:asciiTheme="minorHAnsi" w:hAnsiTheme="minorHAnsi" w:cstheme="minorHAnsi"/>
          <w:b/>
          <w:sz w:val="20"/>
          <w:szCs w:val="20"/>
        </w:rPr>
        <w:t xml:space="preserve"> Inconsistency in explanation</w:t>
      </w:r>
    </w:p>
    <w:p w:rsidR="005F7A04" w:rsidRPr="00025B9C" w:rsidRDefault="002B7543" w:rsidP="00D665D9">
      <w:pPr>
        <w:autoSpaceDE w:val="0"/>
        <w:autoSpaceDN w:val="0"/>
        <w:adjustRightInd w:val="0"/>
        <w:ind w:left="567" w:right="-46"/>
        <w:jc w:val="both"/>
        <w:rPr>
          <w:rFonts w:asciiTheme="minorHAnsi" w:hAnsiTheme="minorHAnsi" w:cstheme="minorHAnsi"/>
          <w:sz w:val="20"/>
          <w:szCs w:val="20"/>
        </w:rPr>
      </w:pPr>
      <w:r w:rsidRPr="00025B9C">
        <w:rPr>
          <w:rFonts w:asciiTheme="minorHAnsi" w:hAnsiTheme="minorHAnsi" w:cstheme="minorHAnsi"/>
          <w:sz w:val="20"/>
          <w:szCs w:val="20"/>
        </w:rPr>
        <w:t xml:space="preserve">As of 31 December 2013 EVRAZ complied with all the principles and provisions of the UK Corporate Governance Code (2012 version) with the following exception: </w:t>
      </w:r>
    </w:p>
    <w:p w:rsidR="005F7A04" w:rsidRPr="00025B9C" w:rsidRDefault="005F7A04" w:rsidP="00D665D9">
      <w:pPr>
        <w:autoSpaceDE w:val="0"/>
        <w:autoSpaceDN w:val="0"/>
        <w:adjustRightInd w:val="0"/>
        <w:ind w:left="567" w:right="805"/>
        <w:jc w:val="both"/>
        <w:rPr>
          <w:rFonts w:asciiTheme="minorHAnsi" w:hAnsiTheme="minorHAnsi" w:cstheme="minorHAnsi"/>
          <w:sz w:val="20"/>
          <w:szCs w:val="20"/>
        </w:rPr>
      </w:pPr>
    </w:p>
    <w:p w:rsidR="002B7543" w:rsidRPr="00025B9C" w:rsidRDefault="002B7543" w:rsidP="00D665D9">
      <w:pPr>
        <w:autoSpaceDE w:val="0"/>
        <w:autoSpaceDN w:val="0"/>
        <w:adjustRightInd w:val="0"/>
        <w:ind w:left="567" w:right="-46"/>
        <w:jc w:val="both"/>
        <w:rPr>
          <w:rFonts w:asciiTheme="minorHAnsi" w:hAnsiTheme="minorHAnsi" w:cstheme="minorHAnsi"/>
          <w:sz w:val="20"/>
          <w:szCs w:val="20"/>
        </w:rPr>
      </w:pPr>
      <w:r w:rsidRPr="00025B9C">
        <w:rPr>
          <w:rFonts w:asciiTheme="minorHAnsi" w:hAnsiTheme="minorHAnsi" w:cstheme="minorHAnsi"/>
          <w:sz w:val="20"/>
          <w:szCs w:val="20"/>
        </w:rPr>
        <w:t xml:space="preserve">Contrary to provision C.3.1 of the UK Corporate Governance Code, Olga </w:t>
      </w:r>
      <w:proofErr w:type="spellStart"/>
      <w:r w:rsidRPr="00025B9C">
        <w:rPr>
          <w:rFonts w:asciiTheme="minorHAnsi" w:hAnsiTheme="minorHAnsi" w:cstheme="minorHAnsi"/>
          <w:sz w:val="20"/>
          <w:szCs w:val="20"/>
        </w:rPr>
        <w:t>Pokrovskaya</w:t>
      </w:r>
      <w:proofErr w:type="spellEnd"/>
      <w:r w:rsidRPr="00025B9C">
        <w:rPr>
          <w:rFonts w:asciiTheme="minorHAnsi" w:hAnsiTheme="minorHAnsi" w:cstheme="minorHAnsi"/>
          <w:sz w:val="20"/>
          <w:szCs w:val="20"/>
        </w:rPr>
        <w:t xml:space="preserve"> is a member of the Audit Committee, but does not meet the independence criteria set out in the UK Corporate Governance Code. More than 50% of EVRAZ activities and operations are based in the Russian Federation, and Olga </w:t>
      </w:r>
      <w:proofErr w:type="spellStart"/>
      <w:r w:rsidRPr="00025B9C">
        <w:rPr>
          <w:rFonts w:asciiTheme="minorHAnsi" w:hAnsiTheme="minorHAnsi" w:cstheme="minorHAnsi"/>
          <w:sz w:val="20"/>
          <w:szCs w:val="20"/>
        </w:rPr>
        <w:t>Pokrovskaya’s</w:t>
      </w:r>
      <w:proofErr w:type="spellEnd"/>
      <w:r w:rsidRPr="00025B9C">
        <w:rPr>
          <w:rFonts w:asciiTheme="minorHAnsi" w:hAnsiTheme="minorHAnsi" w:cstheme="minorHAnsi"/>
          <w:sz w:val="20"/>
          <w:szCs w:val="20"/>
        </w:rPr>
        <w:t xml:space="preserve"> technical and regional experience and qualification, as a past senior audit manager at Arthur Andersen and as Head of Corporate Finance at Russian oil company </w:t>
      </w:r>
      <w:proofErr w:type="spellStart"/>
      <w:r w:rsidRPr="00025B9C">
        <w:rPr>
          <w:rFonts w:asciiTheme="minorHAnsi" w:hAnsiTheme="minorHAnsi" w:cstheme="minorHAnsi"/>
          <w:sz w:val="20"/>
          <w:szCs w:val="20"/>
        </w:rPr>
        <w:t>Sibneft</w:t>
      </w:r>
      <w:proofErr w:type="spellEnd"/>
      <w:r w:rsidRPr="00025B9C">
        <w:rPr>
          <w:rFonts w:asciiTheme="minorHAnsi" w:hAnsiTheme="minorHAnsi" w:cstheme="minorHAnsi"/>
          <w:sz w:val="20"/>
          <w:szCs w:val="20"/>
        </w:rPr>
        <w:t xml:space="preserve"> is of particular value to the Committee. Her experience would be extremely difficult to replicate, particularly as EVRAZ is seeking to strengthen diversity on its Board. The Company considers that, in light of her involvement with the Group over a number of years and her experience in this area, her membership of the Audit Committee is to the benefit of the Group. The Audit Committee includes three non-executive directors, all independent, which we believe mitigates any potential risks.</w:t>
      </w:r>
    </w:p>
    <w:p w:rsidR="00635BDD" w:rsidRPr="00025B9C" w:rsidRDefault="00635BDD" w:rsidP="00D665D9">
      <w:pPr>
        <w:autoSpaceDE w:val="0"/>
        <w:autoSpaceDN w:val="0"/>
        <w:adjustRightInd w:val="0"/>
        <w:ind w:left="567" w:right="805"/>
        <w:jc w:val="both"/>
        <w:rPr>
          <w:rFonts w:asciiTheme="minorHAnsi" w:hAnsiTheme="minorHAnsi" w:cstheme="minorHAnsi"/>
          <w:sz w:val="20"/>
          <w:szCs w:val="20"/>
        </w:rPr>
      </w:pPr>
      <w:r w:rsidRPr="00025B9C">
        <w:rPr>
          <w:rFonts w:asciiTheme="minorHAnsi" w:hAnsiTheme="minorHAnsi" w:cstheme="minorHAnsi"/>
          <w:sz w:val="20"/>
          <w:szCs w:val="20"/>
        </w:rPr>
        <w:t xml:space="preserve">Source: </w:t>
      </w:r>
      <w:proofErr w:type="spellStart"/>
      <w:r w:rsidRPr="00025B9C">
        <w:rPr>
          <w:rFonts w:asciiTheme="minorHAnsi" w:hAnsiTheme="minorHAnsi" w:cstheme="minorHAnsi"/>
          <w:sz w:val="20"/>
          <w:szCs w:val="20"/>
        </w:rPr>
        <w:t>Evraz</w:t>
      </w:r>
      <w:proofErr w:type="spellEnd"/>
      <w:r w:rsidRPr="00025B9C">
        <w:rPr>
          <w:rFonts w:asciiTheme="minorHAnsi" w:hAnsiTheme="minorHAnsi" w:cstheme="minorHAnsi"/>
          <w:sz w:val="20"/>
          <w:szCs w:val="20"/>
        </w:rPr>
        <w:t xml:space="preserve"> plc 201</w:t>
      </w:r>
      <w:r w:rsidR="005F7A04" w:rsidRPr="00025B9C">
        <w:rPr>
          <w:rFonts w:asciiTheme="minorHAnsi" w:hAnsiTheme="minorHAnsi" w:cstheme="minorHAnsi"/>
          <w:sz w:val="20"/>
          <w:szCs w:val="20"/>
        </w:rPr>
        <w:t>3</w:t>
      </w:r>
      <w:r w:rsidRPr="00025B9C">
        <w:rPr>
          <w:rFonts w:asciiTheme="minorHAnsi" w:hAnsiTheme="minorHAnsi" w:cstheme="minorHAnsi"/>
          <w:sz w:val="20"/>
          <w:szCs w:val="20"/>
        </w:rPr>
        <w:t xml:space="preserve"> annual report, p. 7</w:t>
      </w:r>
      <w:r w:rsidR="00B64377" w:rsidRPr="00025B9C">
        <w:rPr>
          <w:rFonts w:asciiTheme="minorHAnsi" w:hAnsiTheme="minorHAnsi" w:cstheme="minorHAnsi"/>
          <w:sz w:val="20"/>
          <w:szCs w:val="20"/>
        </w:rPr>
        <w:t>9</w:t>
      </w:r>
      <w:r w:rsidRPr="00025B9C">
        <w:rPr>
          <w:rFonts w:asciiTheme="minorHAnsi" w:hAnsiTheme="minorHAnsi" w:cstheme="minorHAnsi"/>
          <w:sz w:val="20"/>
          <w:szCs w:val="20"/>
        </w:rPr>
        <w:t>.</w:t>
      </w:r>
    </w:p>
    <w:p w:rsidR="00153C4E" w:rsidRPr="00025B9C" w:rsidRDefault="00153C4E" w:rsidP="00D26D00">
      <w:pPr>
        <w:autoSpaceDE w:val="0"/>
        <w:autoSpaceDN w:val="0"/>
        <w:adjustRightInd w:val="0"/>
        <w:spacing w:line="360" w:lineRule="auto"/>
        <w:jc w:val="both"/>
        <w:rPr>
          <w:rFonts w:asciiTheme="minorHAnsi" w:hAnsiTheme="minorHAnsi" w:cstheme="minorHAnsi"/>
          <w:b/>
        </w:rPr>
      </w:pPr>
    </w:p>
    <w:p w:rsidR="002B320A" w:rsidRPr="00025B9C" w:rsidRDefault="00DD6A19" w:rsidP="00D665D9">
      <w:pPr>
        <w:spacing w:line="360" w:lineRule="auto"/>
        <w:jc w:val="both"/>
        <w:rPr>
          <w:rFonts w:asciiTheme="minorHAnsi" w:hAnsiTheme="minorHAnsi" w:cstheme="minorHAnsi"/>
        </w:rPr>
      </w:pPr>
      <w:r w:rsidRPr="00025B9C">
        <w:rPr>
          <w:rFonts w:asciiTheme="minorHAnsi" w:hAnsiTheme="minorHAnsi" w:cstheme="minorHAnsi"/>
        </w:rPr>
        <w:t xml:space="preserve">Finally, </w:t>
      </w:r>
      <w:r w:rsidR="00EA4463" w:rsidRPr="00025B9C">
        <w:rPr>
          <w:rFonts w:asciiTheme="minorHAnsi" w:hAnsiTheme="minorHAnsi" w:cstheme="minorHAnsi"/>
        </w:rPr>
        <w:t>in</w:t>
      </w:r>
      <w:r w:rsidRPr="00025B9C">
        <w:rPr>
          <w:rFonts w:asciiTheme="minorHAnsi" w:hAnsiTheme="minorHAnsi" w:cstheme="minorHAnsi"/>
        </w:rPr>
        <w:t xml:space="preserve"> Example 1</w:t>
      </w:r>
      <w:r w:rsidR="009F06D1" w:rsidRPr="00025B9C">
        <w:rPr>
          <w:rFonts w:asciiTheme="minorHAnsi" w:hAnsiTheme="minorHAnsi" w:cstheme="minorHAnsi"/>
        </w:rPr>
        <w:t>2</w:t>
      </w:r>
      <w:r w:rsidR="00D13AA6" w:rsidRPr="00025B9C">
        <w:rPr>
          <w:rFonts w:asciiTheme="minorHAnsi" w:hAnsiTheme="minorHAnsi" w:cstheme="minorHAnsi"/>
        </w:rPr>
        <w:t>,</w:t>
      </w:r>
      <w:r w:rsidR="00AB7A74" w:rsidRPr="00025B9C">
        <w:rPr>
          <w:rFonts w:asciiTheme="minorHAnsi" w:hAnsiTheme="minorHAnsi" w:cstheme="minorHAnsi"/>
        </w:rPr>
        <w:t xml:space="preserve"> the </w:t>
      </w:r>
      <w:r w:rsidR="00003DB4" w:rsidRPr="00025B9C">
        <w:rPr>
          <w:rFonts w:asciiTheme="minorHAnsi" w:hAnsiTheme="minorHAnsi" w:cstheme="minorHAnsi"/>
        </w:rPr>
        <w:t xml:space="preserve">effort to persuade </w:t>
      </w:r>
      <w:r w:rsidR="00A44564" w:rsidRPr="00025B9C">
        <w:rPr>
          <w:rFonts w:asciiTheme="minorHAnsi" w:hAnsiTheme="minorHAnsi" w:cstheme="minorHAnsi"/>
        </w:rPr>
        <w:t>raises</w:t>
      </w:r>
      <w:r w:rsidR="00257118" w:rsidRPr="00025B9C">
        <w:rPr>
          <w:rFonts w:asciiTheme="minorHAnsi" w:hAnsiTheme="minorHAnsi" w:cstheme="minorHAnsi"/>
        </w:rPr>
        <w:t xml:space="preserve"> three </w:t>
      </w:r>
      <w:r w:rsidR="00D13AA6" w:rsidRPr="00025B9C">
        <w:rPr>
          <w:rFonts w:asciiTheme="minorHAnsi" w:hAnsiTheme="minorHAnsi" w:cstheme="minorHAnsi"/>
        </w:rPr>
        <w:t>issues:</w:t>
      </w:r>
      <w:r w:rsidR="00AB7A74" w:rsidRPr="00025B9C">
        <w:rPr>
          <w:rFonts w:asciiTheme="minorHAnsi" w:hAnsiTheme="minorHAnsi" w:cstheme="minorHAnsi"/>
        </w:rPr>
        <w:t xml:space="preserve"> first</w:t>
      </w:r>
      <w:r w:rsidR="00D13AA6" w:rsidRPr="00025B9C">
        <w:rPr>
          <w:rFonts w:asciiTheme="minorHAnsi" w:hAnsiTheme="minorHAnsi" w:cstheme="minorHAnsi"/>
        </w:rPr>
        <w:t>,</w:t>
      </w:r>
      <w:r w:rsidR="00AB7A74" w:rsidRPr="00025B9C">
        <w:rPr>
          <w:rFonts w:asciiTheme="minorHAnsi" w:hAnsiTheme="minorHAnsi" w:cstheme="minorHAnsi"/>
        </w:rPr>
        <w:t xml:space="preserve"> an aspect of corporate governance is not thought to be of value</w:t>
      </w:r>
      <w:r w:rsidR="0003579F" w:rsidRPr="00025B9C">
        <w:rPr>
          <w:rFonts w:asciiTheme="minorHAnsi" w:hAnsiTheme="minorHAnsi" w:cstheme="minorHAnsi"/>
        </w:rPr>
        <w:t xml:space="preserve"> (</w:t>
      </w:r>
      <w:r w:rsidR="00F57B34" w:rsidRPr="00025B9C">
        <w:rPr>
          <w:rFonts w:asciiTheme="minorHAnsi" w:hAnsiTheme="minorHAnsi" w:cstheme="minorHAnsi"/>
        </w:rPr>
        <w:t>minimization</w:t>
      </w:r>
      <w:r w:rsidR="00634A79" w:rsidRPr="00025B9C">
        <w:rPr>
          <w:rFonts w:asciiTheme="minorHAnsi" w:hAnsiTheme="minorHAnsi" w:cstheme="minorHAnsi"/>
        </w:rPr>
        <w:t xml:space="preserve"> of negative feelings, </w:t>
      </w:r>
      <w:r w:rsidR="00634A79" w:rsidRPr="00025B9C">
        <w:rPr>
          <w:rFonts w:asciiTheme="minorHAnsi" w:hAnsiTheme="minorHAnsi" w:cstheme="minorHAnsi"/>
          <w:szCs w:val="22"/>
        </w:rPr>
        <w:t>rhetorical strategy</w:t>
      </w:r>
      <w:r w:rsidR="0003579F" w:rsidRPr="00025B9C">
        <w:rPr>
          <w:rFonts w:asciiTheme="minorHAnsi" w:hAnsiTheme="minorHAnsi" w:cstheme="minorHAnsi"/>
        </w:rPr>
        <w:t xml:space="preserve"> 3)</w:t>
      </w:r>
      <w:r w:rsidR="00257118" w:rsidRPr="00025B9C">
        <w:rPr>
          <w:rFonts w:asciiTheme="minorHAnsi" w:hAnsiTheme="minorHAnsi" w:cstheme="minorHAnsi"/>
        </w:rPr>
        <w:t>;</w:t>
      </w:r>
      <w:r w:rsidR="00AB7A74" w:rsidRPr="00025B9C">
        <w:rPr>
          <w:rFonts w:asciiTheme="minorHAnsi" w:hAnsiTheme="minorHAnsi" w:cstheme="minorHAnsi"/>
        </w:rPr>
        <w:t xml:space="preserve"> second</w:t>
      </w:r>
      <w:r w:rsidR="00D13AA6" w:rsidRPr="00025B9C">
        <w:rPr>
          <w:rFonts w:asciiTheme="minorHAnsi" w:hAnsiTheme="minorHAnsi" w:cstheme="minorHAnsi"/>
        </w:rPr>
        <w:t>,</w:t>
      </w:r>
      <w:r w:rsidR="00AB7A74" w:rsidRPr="00025B9C">
        <w:rPr>
          <w:rFonts w:asciiTheme="minorHAnsi" w:hAnsiTheme="minorHAnsi" w:cstheme="minorHAnsi"/>
        </w:rPr>
        <w:t xml:space="preserve"> the contradictory promise of </w:t>
      </w:r>
      <w:r w:rsidR="00F61E31" w:rsidRPr="00025B9C">
        <w:rPr>
          <w:rFonts w:asciiTheme="minorHAnsi" w:hAnsiTheme="minorHAnsi" w:cstheme="minorHAnsi"/>
        </w:rPr>
        <w:t>this</w:t>
      </w:r>
      <w:r w:rsidR="00477334" w:rsidRPr="00025B9C">
        <w:rPr>
          <w:rFonts w:asciiTheme="minorHAnsi" w:hAnsiTheme="minorHAnsi" w:cstheme="minorHAnsi"/>
        </w:rPr>
        <w:t xml:space="preserve"> </w:t>
      </w:r>
      <w:r w:rsidR="00257118" w:rsidRPr="00025B9C">
        <w:rPr>
          <w:rFonts w:asciiTheme="minorHAnsi" w:hAnsiTheme="minorHAnsi" w:cstheme="minorHAnsi"/>
        </w:rPr>
        <w:t xml:space="preserve">issue </w:t>
      </w:r>
      <w:r w:rsidR="00AB7A74" w:rsidRPr="00025B9C">
        <w:rPr>
          <w:rFonts w:asciiTheme="minorHAnsi" w:hAnsiTheme="minorHAnsi" w:cstheme="minorHAnsi"/>
        </w:rPr>
        <w:t>being fixed</w:t>
      </w:r>
      <w:r w:rsidR="00CF10D3" w:rsidRPr="00025B9C">
        <w:rPr>
          <w:rFonts w:asciiTheme="minorHAnsi" w:hAnsiTheme="minorHAnsi" w:cstheme="minorHAnsi"/>
        </w:rPr>
        <w:t>;</w:t>
      </w:r>
      <w:r w:rsidR="00AB7A74" w:rsidRPr="00025B9C">
        <w:rPr>
          <w:rFonts w:asciiTheme="minorHAnsi" w:hAnsiTheme="minorHAnsi" w:cstheme="minorHAnsi"/>
        </w:rPr>
        <w:t xml:space="preserve"> and third, the construction of </w:t>
      </w:r>
      <w:r w:rsidR="00EE2D90" w:rsidRPr="00025B9C">
        <w:rPr>
          <w:rFonts w:asciiTheme="minorHAnsi" w:hAnsiTheme="minorHAnsi" w:cstheme="minorHAnsi"/>
        </w:rPr>
        <w:t xml:space="preserve">the second </w:t>
      </w:r>
      <w:r w:rsidR="00AB7A74" w:rsidRPr="00025B9C">
        <w:rPr>
          <w:rFonts w:asciiTheme="minorHAnsi" w:hAnsiTheme="minorHAnsi" w:cstheme="minorHAnsi"/>
        </w:rPr>
        <w:t>sentence</w:t>
      </w:r>
      <w:r w:rsidR="00EE2D90" w:rsidRPr="00025B9C">
        <w:rPr>
          <w:rFonts w:asciiTheme="minorHAnsi" w:hAnsiTheme="minorHAnsi" w:cstheme="minorHAnsi"/>
        </w:rPr>
        <w:t xml:space="preserve"> </w:t>
      </w:r>
      <w:r w:rsidR="00AB7A74" w:rsidRPr="00025B9C">
        <w:rPr>
          <w:rFonts w:asciiTheme="minorHAnsi" w:hAnsiTheme="minorHAnsi" w:cstheme="minorHAnsi"/>
        </w:rPr>
        <w:t>involv</w:t>
      </w:r>
      <w:r w:rsidR="00A44564" w:rsidRPr="00025B9C">
        <w:rPr>
          <w:rFonts w:asciiTheme="minorHAnsi" w:hAnsiTheme="minorHAnsi" w:cstheme="minorHAnsi"/>
        </w:rPr>
        <w:t>ing</w:t>
      </w:r>
      <w:r w:rsidR="00AB7A74" w:rsidRPr="00025B9C">
        <w:rPr>
          <w:rFonts w:asciiTheme="minorHAnsi" w:hAnsiTheme="minorHAnsi" w:cstheme="minorHAnsi"/>
        </w:rPr>
        <w:t xml:space="preserve"> a double negative mak</w:t>
      </w:r>
      <w:r w:rsidR="00A44564" w:rsidRPr="00025B9C">
        <w:rPr>
          <w:rFonts w:asciiTheme="minorHAnsi" w:hAnsiTheme="minorHAnsi" w:cstheme="minorHAnsi"/>
        </w:rPr>
        <w:t>es</w:t>
      </w:r>
      <w:r w:rsidR="00AB7A74" w:rsidRPr="00025B9C">
        <w:rPr>
          <w:rFonts w:asciiTheme="minorHAnsi" w:hAnsiTheme="minorHAnsi" w:cstheme="minorHAnsi"/>
        </w:rPr>
        <w:t xml:space="preserve"> the </w:t>
      </w:r>
      <w:r w:rsidR="00853216" w:rsidRPr="00025B9C">
        <w:rPr>
          <w:rFonts w:asciiTheme="minorHAnsi" w:hAnsiTheme="minorHAnsi" w:cstheme="minorHAnsi"/>
        </w:rPr>
        <w:t>‘</w:t>
      </w:r>
      <w:r w:rsidR="00AB7A74" w:rsidRPr="00025B9C">
        <w:rPr>
          <w:rFonts w:asciiTheme="minorHAnsi" w:hAnsiTheme="minorHAnsi" w:cstheme="minorHAnsi"/>
        </w:rPr>
        <w:t>explanation</w:t>
      </w:r>
      <w:r w:rsidR="00853216" w:rsidRPr="00025B9C">
        <w:rPr>
          <w:rFonts w:asciiTheme="minorHAnsi" w:hAnsiTheme="minorHAnsi" w:cstheme="minorHAnsi"/>
        </w:rPr>
        <w:t>’</w:t>
      </w:r>
      <w:r w:rsidR="00AB7A74" w:rsidRPr="00025B9C">
        <w:rPr>
          <w:rFonts w:asciiTheme="minorHAnsi" w:hAnsiTheme="minorHAnsi" w:cstheme="minorHAnsi"/>
        </w:rPr>
        <w:t xml:space="preserve"> quite clumsy.</w:t>
      </w:r>
      <w:r w:rsidR="0003579F" w:rsidRPr="00025B9C">
        <w:rPr>
          <w:rFonts w:asciiTheme="minorHAnsi" w:hAnsiTheme="minorHAnsi" w:cstheme="minorHAnsi"/>
        </w:rPr>
        <w:t xml:space="preserve"> </w:t>
      </w:r>
      <w:r w:rsidR="00EA4463" w:rsidRPr="00025B9C">
        <w:rPr>
          <w:rFonts w:asciiTheme="minorHAnsi" w:hAnsiTheme="minorHAnsi" w:cstheme="minorHAnsi"/>
        </w:rPr>
        <w:t>T</w:t>
      </w:r>
      <w:r w:rsidR="0003579F" w:rsidRPr="00025B9C">
        <w:rPr>
          <w:rFonts w:asciiTheme="minorHAnsi" w:hAnsiTheme="minorHAnsi" w:cstheme="minorHAnsi"/>
        </w:rPr>
        <w:t xml:space="preserve">he </w:t>
      </w:r>
      <w:r w:rsidR="00244860" w:rsidRPr="00025B9C">
        <w:rPr>
          <w:rFonts w:asciiTheme="minorHAnsi" w:hAnsiTheme="minorHAnsi" w:cstheme="minorHAnsi"/>
        </w:rPr>
        <w:t xml:space="preserve">inconsistency </w:t>
      </w:r>
      <w:r w:rsidR="00394FC0" w:rsidRPr="00025B9C">
        <w:rPr>
          <w:rFonts w:asciiTheme="minorHAnsi" w:hAnsiTheme="minorHAnsi" w:cstheme="minorHAnsi"/>
        </w:rPr>
        <w:t xml:space="preserve">and the </w:t>
      </w:r>
      <w:r w:rsidR="008B7816" w:rsidRPr="00025B9C">
        <w:rPr>
          <w:rFonts w:asciiTheme="minorHAnsi" w:hAnsiTheme="minorHAnsi" w:cstheme="minorHAnsi"/>
        </w:rPr>
        <w:t xml:space="preserve">awkward </w:t>
      </w:r>
      <w:r w:rsidR="00394FC0" w:rsidRPr="00025B9C">
        <w:rPr>
          <w:rFonts w:asciiTheme="minorHAnsi" w:hAnsiTheme="minorHAnsi" w:cstheme="minorHAnsi"/>
        </w:rPr>
        <w:t xml:space="preserve">sentence construction </w:t>
      </w:r>
      <w:r w:rsidR="00B90285" w:rsidRPr="00025B9C">
        <w:rPr>
          <w:rFonts w:asciiTheme="minorHAnsi" w:hAnsiTheme="minorHAnsi" w:cstheme="minorHAnsi"/>
        </w:rPr>
        <w:t xml:space="preserve">which </w:t>
      </w:r>
      <w:r w:rsidR="00394FC0" w:rsidRPr="00025B9C">
        <w:rPr>
          <w:rFonts w:asciiTheme="minorHAnsi" w:hAnsiTheme="minorHAnsi" w:cstheme="minorHAnsi"/>
        </w:rPr>
        <w:t>led the authors to code this to</w:t>
      </w:r>
      <w:r w:rsidR="00B90285" w:rsidRPr="00025B9C">
        <w:rPr>
          <w:rFonts w:asciiTheme="minorHAnsi" w:hAnsiTheme="minorHAnsi" w:cstheme="minorHAnsi"/>
        </w:rPr>
        <w:t xml:space="preserve"> </w:t>
      </w:r>
      <w:r w:rsidR="00972A37" w:rsidRPr="00025B9C">
        <w:rPr>
          <w:rFonts w:asciiTheme="minorHAnsi" w:hAnsiTheme="minorHAnsi" w:cstheme="minorHAnsi"/>
        </w:rPr>
        <w:t>‘weasel words’</w:t>
      </w:r>
      <w:r w:rsidR="00634A79" w:rsidRPr="00025B9C">
        <w:rPr>
          <w:rFonts w:asciiTheme="minorHAnsi" w:hAnsiTheme="minorHAnsi" w:cstheme="minorHAnsi"/>
        </w:rPr>
        <w:t xml:space="preserve"> (</w:t>
      </w:r>
      <w:r w:rsidR="00634A79" w:rsidRPr="00025B9C">
        <w:rPr>
          <w:rFonts w:asciiTheme="minorHAnsi" w:hAnsiTheme="minorHAnsi" w:cstheme="minorHAnsi"/>
          <w:szCs w:val="22"/>
        </w:rPr>
        <w:t>rhetorical strategy</w:t>
      </w:r>
      <w:r w:rsidR="00B90285" w:rsidRPr="00025B9C">
        <w:rPr>
          <w:rFonts w:asciiTheme="minorHAnsi" w:hAnsiTheme="minorHAnsi" w:cstheme="minorHAnsi"/>
        </w:rPr>
        <w:t xml:space="preserve"> 9b).</w:t>
      </w:r>
      <w:r w:rsidR="00F61E31" w:rsidRPr="00025B9C">
        <w:rPr>
          <w:rFonts w:asciiTheme="minorHAnsi" w:hAnsiTheme="minorHAnsi" w:cstheme="minorHAnsi"/>
        </w:rPr>
        <w:t xml:space="preserve"> </w:t>
      </w:r>
      <w:r w:rsidR="00394FC0" w:rsidRPr="00025B9C">
        <w:rPr>
          <w:rFonts w:asciiTheme="minorHAnsi" w:hAnsiTheme="minorHAnsi" w:cstheme="minorHAnsi"/>
        </w:rPr>
        <w:t>W</w:t>
      </w:r>
      <w:r w:rsidR="00F61E31" w:rsidRPr="00025B9C">
        <w:rPr>
          <w:rFonts w:asciiTheme="minorHAnsi" w:hAnsiTheme="minorHAnsi" w:cstheme="minorHAnsi"/>
        </w:rPr>
        <w:t>hy promise to fix something</w:t>
      </w:r>
      <w:r w:rsidR="00B50540" w:rsidRPr="00025B9C">
        <w:rPr>
          <w:rFonts w:asciiTheme="minorHAnsi" w:hAnsiTheme="minorHAnsi" w:cstheme="minorHAnsi"/>
        </w:rPr>
        <w:t xml:space="preserve"> (</w:t>
      </w:r>
      <w:r w:rsidR="00634A79" w:rsidRPr="00025B9C">
        <w:rPr>
          <w:rFonts w:asciiTheme="minorHAnsi" w:hAnsiTheme="minorHAnsi" w:cstheme="minorHAnsi"/>
          <w:szCs w:val="22"/>
        </w:rPr>
        <w:t>rhetorical strategy</w:t>
      </w:r>
      <w:r w:rsidR="00F61E31" w:rsidRPr="00025B9C">
        <w:rPr>
          <w:rFonts w:asciiTheme="minorHAnsi" w:hAnsiTheme="minorHAnsi" w:cstheme="minorHAnsi"/>
        </w:rPr>
        <w:t xml:space="preserve"> 1c</w:t>
      </w:r>
      <w:r w:rsidR="00B50540" w:rsidRPr="00025B9C">
        <w:rPr>
          <w:rFonts w:asciiTheme="minorHAnsi" w:hAnsiTheme="minorHAnsi" w:cstheme="minorHAnsi"/>
        </w:rPr>
        <w:t>)</w:t>
      </w:r>
      <w:r w:rsidR="00F61E31" w:rsidRPr="00025B9C">
        <w:rPr>
          <w:rFonts w:asciiTheme="minorHAnsi" w:hAnsiTheme="minorHAnsi" w:cstheme="minorHAnsi"/>
        </w:rPr>
        <w:t xml:space="preserve"> that </w:t>
      </w:r>
      <w:r w:rsidR="00B50540" w:rsidRPr="00025B9C">
        <w:rPr>
          <w:rFonts w:asciiTheme="minorHAnsi" w:hAnsiTheme="minorHAnsi" w:cstheme="minorHAnsi"/>
        </w:rPr>
        <w:t xml:space="preserve">the company </w:t>
      </w:r>
      <w:r w:rsidR="00EE2D90" w:rsidRPr="00025B9C">
        <w:rPr>
          <w:rFonts w:asciiTheme="minorHAnsi" w:hAnsiTheme="minorHAnsi" w:cstheme="minorHAnsi"/>
        </w:rPr>
        <w:t>believes</w:t>
      </w:r>
      <w:r w:rsidR="00B53AF8" w:rsidRPr="00025B9C">
        <w:rPr>
          <w:rFonts w:asciiTheme="minorHAnsi" w:hAnsiTheme="minorHAnsi" w:cstheme="minorHAnsi"/>
        </w:rPr>
        <w:t xml:space="preserve"> </w:t>
      </w:r>
      <w:r w:rsidR="00F61E31" w:rsidRPr="00025B9C">
        <w:rPr>
          <w:rFonts w:asciiTheme="minorHAnsi" w:hAnsiTheme="minorHAnsi" w:cstheme="minorHAnsi"/>
        </w:rPr>
        <w:t xml:space="preserve">is not a problem and will use up valuable directors’ time </w:t>
      </w:r>
      <w:r w:rsidR="00EA4463" w:rsidRPr="00025B9C">
        <w:rPr>
          <w:rFonts w:asciiTheme="minorHAnsi" w:hAnsiTheme="minorHAnsi" w:cstheme="minorHAnsi"/>
        </w:rPr>
        <w:t>and</w:t>
      </w:r>
      <w:r w:rsidR="00F61E31" w:rsidRPr="00025B9C">
        <w:rPr>
          <w:rFonts w:asciiTheme="minorHAnsi" w:hAnsiTheme="minorHAnsi" w:cstheme="minorHAnsi"/>
        </w:rPr>
        <w:t xml:space="preserve"> resources?</w:t>
      </w:r>
      <w:r w:rsidR="00B50540" w:rsidRPr="00025B9C">
        <w:rPr>
          <w:rFonts w:asciiTheme="minorHAnsi" w:hAnsiTheme="minorHAnsi" w:cstheme="minorHAnsi"/>
        </w:rPr>
        <w:t xml:space="preserve"> </w:t>
      </w:r>
      <w:r w:rsidR="00B53AF8" w:rsidRPr="00025B9C">
        <w:rPr>
          <w:rFonts w:asciiTheme="minorHAnsi" w:hAnsiTheme="minorHAnsi" w:cstheme="minorHAnsi"/>
        </w:rPr>
        <w:t xml:space="preserve">Yet </w:t>
      </w:r>
      <w:r w:rsidR="002B320A" w:rsidRPr="00025B9C">
        <w:rPr>
          <w:rFonts w:asciiTheme="minorHAnsi" w:hAnsiTheme="minorHAnsi" w:cstheme="minorHAnsi"/>
        </w:rPr>
        <w:t>the authors of the Code</w:t>
      </w:r>
      <w:r w:rsidR="00B53AF8" w:rsidRPr="00025B9C">
        <w:rPr>
          <w:rFonts w:asciiTheme="minorHAnsi" w:hAnsiTheme="minorHAnsi" w:cstheme="minorHAnsi"/>
        </w:rPr>
        <w:t xml:space="preserve"> </w:t>
      </w:r>
      <w:r w:rsidR="002B320A" w:rsidRPr="00025B9C">
        <w:rPr>
          <w:rFonts w:asciiTheme="minorHAnsi" w:hAnsiTheme="minorHAnsi" w:cstheme="minorHAnsi"/>
        </w:rPr>
        <w:t xml:space="preserve">believe it </w:t>
      </w:r>
      <w:r w:rsidR="00B50540" w:rsidRPr="00025B9C">
        <w:rPr>
          <w:rFonts w:asciiTheme="minorHAnsi" w:hAnsiTheme="minorHAnsi" w:cstheme="minorHAnsi"/>
        </w:rPr>
        <w:t>clearly makes sense f</w:t>
      </w:r>
      <w:r w:rsidR="00445D82" w:rsidRPr="00025B9C">
        <w:rPr>
          <w:rFonts w:asciiTheme="minorHAnsi" w:hAnsiTheme="minorHAnsi" w:cstheme="minorHAnsi"/>
        </w:rPr>
        <w:t>or the Chairman to see the non-</w:t>
      </w:r>
      <w:r w:rsidR="00B50540" w:rsidRPr="00025B9C">
        <w:rPr>
          <w:rFonts w:asciiTheme="minorHAnsi" w:hAnsiTheme="minorHAnsi" w:cstheme="minorHAnsi"/>
        </w:rPr>
        <w:t>executive</w:t>
      </w:r>
      <w:r w:rsidR="00903FAB" w:rsidRPr="00025B9C">
        <w:rPr>
          <w:rFonts w:asciiTheme="minorHAnsi" w:hAnsiTheme="minorHAnsi" w:cstheme="minorHAnsi"/>
        </w:rPr>
        <w:t xml:space="preserve"> director</w:t>
      </w:r>
      <w:r w:rsidR="00B50540" w:rsidRPr="00025B9C">
        <w:rPr>
          <w:rFonts w:asciiTheme="minorHAnsi" w:hAnsiTheme="minorHAnsi" w:cstheme="minorHAnsi"/>
        </w:rPr>
        <w:t>s without the executive</w:t>
      </w:r>
      <w:r w:rsidR="00903FAB" w:rsidRPr="00025B9C">
        <w:rPr>
          <w:rFonts w:asciiTheme="minorHAnsi" w:hAnsiTheme="minorHAnsi" w:cstheme="minorHAnsi"/>
        </w:rPr>
        <w:t xml:space="preserve"> director</w:t>
      </w:r>
      <w:r w:rsidR="00B50540" w:rsidRPr="00025B9C">
        <w:rPr>
          <w:rFonts w:asciiTheme="minorHAnsi" w:hAnsiTheme="minorHAnsi" w:cstheme="minorHAnsi"/>
        </w:rPr>
        <w:t>s being present</w:t>
      </w:r>
      <w:r w:rsidR="00B53AF8" w:rsidRPr="00025B9C">
        <w:rPr>
          <w:rFonts w:asciiTheme="minorHAnsi" w:hAnsiTheme="minorHAnsi" w:cstheme="minorHAnsi"/>
        </w:rPr>
        <w:t xml:space="preserve"> (for instance if an executive director was to be </w:t>
      </w:r>
      <w:r w:rsidR="002D2CAA" w:rsidRPr="00025B9C">
        <w:rPr>
          <w:rFonts w:asciiTheme="minorHAnsi" w:hAnsiTheme="minorHAnsi" w:cstheme="minorHAnsi"/>
        </w:rPr>
        <w:t>performance managed</w:t>
      </w:r>
      <w:r w:rsidR="00B53AF8" w:rsidRPr="00025B9C">
        <w:rPr>
          <w:rFonts w:asciiTheme="minorHAnsi" w:hAnsiTheme="minorHAnsi" w:cstheme="minorHAnsi"/>
        </w:rPr>
        <w:t>) and this remains a relatively uncontroversial item of the Code</w:t>
      </w:r>
      <w:r w:rsidR="002D2CAA" w:rsidRPr="00025B9C">
        <w:rPr>
          <w:rFonts w:asciiTheme="minorHAnsi" w:hAnsiTheme="minorHAnsi" w:cstheme="minorHAnsi"/>
        </w:rPr>
        <w:t xml:space="preserve"> </w:t>
      </w:r>
      <w:r w:rsidR="00D13AA6" w:rsidRPr="00025B9C">
        <w:rPr>
          <w:rFonts w:asciiTheme="minorHAnsi" w:hAnsiTheme="minorHAnsi" w:cstheme="minorHAnsi"/>
        </w:rPr>
        <w:t xml:space="preserve">with </w:t>
      </w:r>
      <w:r w:rsidR="002D2CAA" w:rsidRPr="00025B9C">
        <w:rPr>
          <w:rFonts w:asciiTheme="minorHAnsi" w:hAnsiTheme="minorHAnsi" w:cstheme="minorHAnsi"/>
        </w:rPr>
        <w:t>wh</w:t>
      </w:r>
      <w:r w:rsidR="00D13AA6" w:rsidRPr="00025B9C">
        <w:rPr>
          <w:rFonts w:asciiTheme="minorHAnsi" w:hAnsiTheme="minorHAnsi" w:cstheme="minorHAnsi"/>
        </w:rPr>
        <w:t>ich nearly all companies comply</w:t>
      </w:r>
      <w:r w:rsidR="002D2CAA" w:rsidRPr="00025B9C">
        <w:rPr>
          <w:rFonts w:asciiTheme="minorHAnsi" w:hAnsiTheme="minorHAnsi" w:cstheme="minorHAnsi"/>
        </w:rPr>
        <w:t xml:space="preserve"> (see Shrives &amp; Bre</w:t>
      </w:r>
      <w:r w:rsidR="009F06D1" w:rsidRPr="00025B9C">
        <w:rPr>
          <w:rFonts w:asciiTheme="minorHAnsi" w:hAnsiTheme="minorHAnsi" w:cstheme="minorHAnsi"/>
        </w:rPr>
        <w:t>n</w:t>
      </w:r>
      <w:r w:rsidR="002D2CAA" w:rsidRPr="00025B9C">
        <w:rPr>
          <w:rFonts w:asciiTheme="minorHAnsi" w:hAnsiTheme="minorHAnsi" w:cstheme="minorHAnsi"/>
        </w:rPr>
        <w:t>nan, 201</w:t>
      </w:r>
      <w:r w:rsidR="00F650D5" w:rsidRPr="00025B9C">
        <w:rPr>
          <w:rFonts w:asciiTheme="minorHAnsi" w:hAnsiTheme="minorHAnsi" w:cstheme="minorHAnsi"/>
        </w:rPr>
        <w:t>5</w:t>
      </w:r>
      <w:r w:rsidR="002D2CAA" w:rsidRPr="00025B9C">
        <w:rPr>
          <w:rFonts w:asciiTheme="minorHAnsi" w:hAnsiTheme="minorHAnsi" w:cstheme="minorHAnsi"/>
        </w:rPr>
        <w:t>)</w:t>
      </w:r>
      <w:r w:rsidR="00090ED3" w:rsidRPr="00025B9C">
        <w:rPr>
          <w:rFonts w:asciiTheme="minorHAnsi" w:hAnsiTheme="minorHAnsi" w:cstheme="minorHAnsi"/>
        </w:rPr>
        <w:t>.</w:t>
      </w:r>
      <w:r w:rsidR="002B320A" w:rsidRPr="00025B9C">
        <w:rPr>
          <w:rFonts w:asciiTheme="minorHAnsi" w:hAnsiTheme="minorHAnsi" w:cstheme="minorHAnsi"/>
        </w:rPr>
        <w:t xml:space="preserve"> </w:t>
      </w:r>
      <w:r w:rsidR="00D13AA6" w:rsidRPr="00025B9C">
        <w:rPr>
          <w:rFonts w:asciiTheme="minorHAnsi" w:hAnsiTheme="minorHAnsi" w:cstheme="minorHAnsi"/>
        </w:rPr>
        <w:t>T</w:t>
      </w:r>
      <w:r w:rsidR="002B320A" w:rsidRPr="00025B9C">
        <w:rPr>
          <w:rFonts w:asciiTheme="minorHAnsi" w:hAnsiTheme="minorHAnsi" w:cstheme="minorHAnsi"/>
        </w:rPr>
        <w:t xml:space="preserve">his explanation </w:t>
      </w:r>
      <w:r w:rsidR="00CB0C82" w:rsidRPr="00025B9C">
        <w:rPr>
          <w:rFonts w:asciiTheme="minorHAnsi" w:hAnsiTheme="minorHAnsi" w:cstheme="minorHAnsi"/>
          <w:i/>
        </w:rPr>
        <w:t>arguably</w:t>
      </w:r>
      <w:r w:rsidR="00CB0C82" w:rsidRPr="00025B9C">
        <w:rPr>
          <w:rFonts w:asciiTheme="minorHAnsi" w:hAnsiTheme="minorHAnsi" w:cstheme="minorHAnsi"/>
        </w:rPr>
        <w:t xml:space="preserve"> </w:t>
      </w:r>
      <w:r w:rsidR="00D13AA6" w:rsidRPr="00025B9C">
        <w:rPr>
          <w:rFonts w:asciiTheme="minorHAnsi" w:hAnsiTheme="minorHAnsi" w:cstheme="minorHAnsi"/>
        </w:rPr>
        <w:t xml:space="preserve">is </w:t>
      </w:r>
      <w:r w:rsidR="002B320A" w:rsidRPr="00025B9C">
        <w:rPr>
          <w:rFonts w:asciiTheme="minorHAnsi" w:hAnsiTheme="minorHAnsi" w:cstheme="minorHAnsi"/>
        </w:rPr>
        <w:t xml:space="preserve">not quite as convincing as it should be. </w:t>
      </w:r>
      <w:r w:rsidR="00DA70A9" w:rsidRPr="00025B9C">
        <w:rPr>
          <w:rFonts w:asciiTheme="minorHAnsi" w:hAnsiTheme="minorHAnsi" w:cstheme="minorHAnsi"/>
        </w:rPr>
        <w:t>Concluding this section, where rhetorical strategies are used together it has to be acknowledged that even though this can be powerful in terms of crafting an explanation, where the strategies are inconsistent reader</w:t>
      </w:r>
      <w:r w:rsidR="006A1E5B" w:rsidRPr="00025B9C">
        <w:rPr>
          <w:rFonts w:asciiTheme="minorHAnsi" w:hAnsiTheme="minorHAnsi" w:cstheme="minorHAnsi"/>
        </w:rPr>
        <w:t>s</w:t>
      </w:r>
      <w:r w:rsidR="00DA70A9" w:rsidRPr="00025B9C">
        <w:rPr>
          <w:rFonts w:asciiTheme="minorHAnsi" w:hAnsiTheme="minorHAnsi" w:cstheme="minorHAnsi"/>
        </w:rPr>
        <w:t xml:space="preserve"> </w:t>
      </w:r>
      <w:r w:rsidR="006A1E5B" w:rsidRPr="00025B9C">
        <w:rPr>
          <w:rFonts w:asciiTheme="minorHAnsi" w:hAnsiTheme="minorHAnsi" w:cstheme="minorHAnsi"/>
        </w:rPr>
        <w:t>have</w:t>
      </w:r>
      <w:r w:rsidR="00DA70A9" w:rsidRPr="00025B9C">
        <w:rPr>
          <w:rFonts w:asciiTheme="minorHAnsi" w:hAnsiTheme="minorHAnsi" w:cstheme="minorHAnsi"/>
        </w:rPr>
        <w:t xml:space="preserve"> to be alerted that the overall explanation as a whole is arguably less meaningful and may even </w:t>
      </w:r>
      <w:r w:rsidR="00A1735A" w:rsidRPr="00025B9C">
        <w:rPr>
          <w:rFonts w:asciiTheme="minorHAnsi" w:hAnsiTheme="minorHAnsi" w:cstheme="minorHAnsi"/>
        </w:rPr>
        <w:t xml:space="preserve">be </w:t>
      </w:r>
      <w:r w:rsidR="00DA70A9" w:rsidRPr="00025B9C">
        <w:rPr>
          <w:rFonts w:asciiTheme="minorHAnsi" w:hAnsiTheme="minorHAnsi" w:cstheme="minorHAnsi"/>
        </w:rPr>
        <w:t>meaningless.</w:t>
      </w:r>
    </w:p>
    <w:p w:rsidR="00AB7A74" w:rsidRPr="00025B9C" w:rsidRDefault="00AB7A74" w:rsidP="00D665D9">
      <w:pPr>
        <w:spacing w:line="360" w:lineRule="auto"/>
        <w:jc w:val="both"/>
        <w:rPr>
          <w:rFonts w:asciiTheme="minorHAnsi" w:hAnsiTheme="minorHAnsi" w:cstheme="minorHAnsi"/>
        </w:rPr>
      </w:pPr>
    </w:p>
    <w:p w:rsidR="00DF0397" w:rsidRPr="00025B9C" w:rsidRDefault="00AB7A74" w:rsidP="00E86E9E">
      <w:pPr>
        <w:keepNext/>
        <w:ind w:left="539" w:right="804"/>
        <w:jc w:val="both"/>
        <w:rPr>
          <w:rFonts w:asciiTheme="minorHAnsi" w:hAnsiTheme="minorHAnsi" w:cstheme="minorHAnsi"/>
          <w:b/>
          <w:sz w:val="20"/>
          <w:szCs w:val="20"/>
        </w:rPr>
      </w:pPr>
      <w:r w:rsidRPr="00025B9C">
        <w:rPr>
          <w:rFonts w:asciiTheme="minorHAnsi" w:hAnsiTheme="minorHAnsi" w:cstheme="minorHAnsi"/>
          <w:b/>
          <w:sz w:val="20"/>
          <w:szCs w:val="20"/>
        </w:rPr>
        <w:t xml:space="preserve">Example </w:t>
      </w:r>
      <w:r w:rsidR="00DD6A19" w:rsidRPr="00025B9C">
        <w:rPr>
          <w:rFonts w:asciiTheme="minorHAnsi" w:hAnsiTheme="minorHAnsi" w:cstheme="minorHAnsi"/>
          <w:b/>
          <w:sz w:val="20"/>
          <w:szCs w:val="20"/>
        </w:rPr>
        <w:t>1</w:t>
      </w:r>
      <w:r w:rsidR="009F06D1" w:rsidRPr="00025B9C">
        <w:rPr>
          <w:rFonts w:asciiTheme="minorHAnsi" w:hAnsiTheme="minorHAnsi" w:cstheme="minorHAnsi"/>
          <w:b/>
          <w:sz w:val="20"/>
          <w:szCs w:val="20"/>
        </w:rPr>
        <w:t>2</w:t>
      </w:r>
      <w:r w:rsidRPr="00025B9C">
        <w:rPr>
          <w:rFonts w:asciiTheme="minorHAnsi" w:hAnsiTheme="minorHAnsi" w:cstheme="minorHAnsi"/>
          <w:b/>
          <w:sz w:val="20"/>
          <w:szCs w:val="20"/>
        </w:rPr>
        <w:t>:</w:t>
      </w:r>
      <w:r w:rsidR="00853216" w:rsidRPr="00025B9C">
        <w:rPr>
          <w:rFonts w:asciiTheme="minorHAnsi" w:hAnsiTheme="minorHAnsi" w:cstheme="minorHAnsi"/>
          <w:b/>
          <w:sz w:val="20"/>
          <w:szCs w:val="20"/>
        </w:rPr>
        <w:t xml:space="preserve"> </w:t>
      </w:r>
      <w:r w:rsidR="000E5654" w:rsidRPr="00025B9C">
        <w:rPr>
          <w:rFonts w:asciiTheme="minorHAnsi" w:hAnsiTheme="minorHAnsi" w:cstheme="minorHAnsi"/>
          <w:b/>
          <w:sz w:val="20"/>
          <w:szCs w:val="20"/>
        </w:rPr>
        <w:t>C</w:t>
      </w:r>
      <w:r w:rsidR="00BA6ABE" w:rsidRPr="00025B9C">
        <w:rPr>
          <w:rFonts w:asciiTheme="minorHAnsi" w:hAnsiTheme="minorHAnsi" w:cstheme="minorHAnsi"/>
          <w:b/>
          <w:sz w:val="20"/>
          <w:szCs w:val="20"/>
        </w:rPr>
        <w:t>orrective action</w:t>
      </w:r>
      <w:r w:rsidR="00DF0397" w:rsidRPr="00025B9C">
        <w:rPr>
          <w:rFonts w:asciiTheme="minorHAnsi" w:hAnsiTheme="minorHAnsi" w:cstheme="minorHAnsi"/>
          <w:b/>
          <w:sz w:val="20"/>
          <w:szCs w:val="20"/>
        </w:rPr>
        <w:t xml:space="preserve"> promised</w:t>
      </w:r>
      <w:r w:rsidR="000E5654" w:rsidRPr="00025B9C">
        <w:rPr>
          <w:rFonts w:asciiTheme="minorHAnsi" w:hAnsiTheme="minorHAnsi" w:cstheme="minorHAnsi"/>
          <w:b/>
          <w:sz w:val="20"/>
          <w:szCs w:val="20"/>
        </w:rPr>
        <w:t xml:space="preserve"> (1c</w:t>
      </w:r>
      <w:r w:rsidR="00DF0397" w:rsidRPr="00025B9C">
        <w:rPr>
          <w:rFonts w:asciiTheme="minorHAnsi" w:hAnsiTheme="minorHAnsi" w:cstheme="minorHAnsi"/>
          <w:b/>
          <w:sz w:val="20"/>
          <w:szCs w:val="20"/>
        </w:rPr>
        <w:t xml:space="preserve">), </w:t>
      </w:r>
      <w:r w:rsidR="000E5654" w:rsidRPr="00025B9C">
        <w:rPr>
          <w:rFonts w:asciiTheme="minorHAnsi" w:hAnsiTheme="minorHAnsi" w:cstheme="minorHAnsi"/>
          <w:b/>
          <w:sz w:val="20"/>
          <w:szCs w:val="20"/>
        </w:rPr>
        <w:t>M</w:t>
      </w:r>
      <w:r w:rsidR="00F57B34" w:rsidRPr="00025B9C">
        <w:rPr>
          <w:rFonts w:asciiTheme="minorHAnsi" w:hAnsiTheme="minorHAnsi" w:cstheme="minorHAnsi"/>
          <w:b/>
          <w:sz w:val="20"/>
          <w:szCs w:val="20"/>
        </w:rPr>
        <w:t>inimization</w:t>
      </w:r>
      <w:r w:rsidR="00DF0397" w:rsidRPr="00025B9C">
        <w:rPr>
          <w:rFonts w:asciiTheme="minorHAnsi" w:hAnsiTheme="minorHAnsi" w:cstheme="minorHAnsi"/>
          <w:b/>
          <w:sz w:val="20"/>
          <w:szCs w:val="20"/>
        </w:rPr>
        <w:t xml:space="preserve"> of negative feelings</w:t>
      </w:r>
      <w:r w:rsidR="000E5654" w:rsidRPr="00025B9C">
        <w:rPr>
          <w:rFonts w:asciiTheme="minorHAnsi" w:hAnsiTheme="minorHAnsi" w:cstheme="minorHAnsi"/>
          <w:b/>
          <w:sz w:val="20"/>
          <w:szCs w:val="20"/>
        </w:rPr>
        <w:t xml:space="preserve"> (</w:t>
      </w:r>
      <w:r w:rsidR="00845B37" w:rsidRPr="00025B9C">
        <w:rPr>
          <w:rFonts w:asciiTheme="minorHAnsi" w:hAnsiTheme="minorHAnsi" w:cstheme="minorHAnsi"/>
          <w:b/>
          <w:sz w:val="20"/>
          <w:szCs w:val="20"/>
        </w:rPr>
        <w:t>3</w:t>
      </w:r>
      <w:r w:rsidR="00DF0397" w:rsidRPr="00025B9C">
        <w:rPr>
          <w:rFonts w:asciiTheme="minorHAnsi" w:hAnsiTheme="minorHAnsi" w:cstheme="minorHAnsi"/>
          <w:b/>
          <w:sz w:val="20"/>
          <w:szCs w:val="20"/>
        </w:rPr>
        <w:t>) and</w:t>
      </w:r>
      <w:r w:rsidR="00003DB4" w:rsidRPr="00025B9C">
        <w:rPr>
          <w:rFonts w:asciiTheme="minorHAnsi" w:hAnsiTheme="minorHAnsi" w:cstheme="minorHAnsi"/>
          <w:b/>
          <w:sz w:val="20"/>
          <w:szCs w:val="20"/>
        </w:rPr>
        <w:t xml:space="preserve"> </w:t>
      </w:r>
      <w:r w:rsidR="00972A37" w:rsidRPr="00025B9C">
        <w:rPr>
          <w:rFonts w:asciiTheme="minorHAnsi" w:hAnsiTheme="minorHAnsi" w:cstheme="minorHAnsi"/>
          <w:b/>
          <w:sz w:val="20"/>
          <w:szCs w:val="20"/>
        </w:rPr>
        <w:t>‘weasel words’</w:t>
      </w:r>
      <w:r w:rsidR="00845B37" w:rsidRPr="00025B9C">
        <w:rPr>
          <w:rFonts w:asciiTheme="minorHAnsi" w:hAnsiTheme="minorHAnsi" w:cstheme="minorHAnsi"/>
          <w:b/>
          <w:sz w:val="20"/>
          <w:szCs w:val="20"/>
        </w:rPr>
        <w:t xml:space="preserve"> (9b</w:t>
      </w:r>
      <w:r w:rsidR="00DF0397" w:rsidRPr="00025B9C">
        <w:rPr>
          <w:rFonts w:asciiTheme="minorHAnsi" w:hAnsiTheme="minorHAnsi" w:cstheme="minorHAnsi"/>
          <w:b/>
          <w:sz w:val="20"/>
          <w:szCs w:val="20"/>
        </w:rPr>
        <w:t xml:space="preserve">). </w:t>
      </w:r>
    </w:p>
    <w:p w:rsidR="00DF0397" w:rsidRPr="00025B9C" w:rsidRDefault="00AB7A74" w:rsidP="00E86E9E">
      <w:pPr>
        <w:keepNext/>
        <w:autoSpaceDE w:val="0"/>
        <w:autoSpaceDN w:val="0"/>
        <w:adjustRightInd w:val="0"/>
        <w:ind w:left="539" w:right="-46"/>
        <w:jc w:val="both"/>
        <w:rPr>
          <w:rFonts w:asciiTheme="minorHAnsi" w:hAnsiTheme="minorHAnsi" w:cstheme="minorHAnsi"/>
          <w:sz w:val="20"/>
          <w:szCs w:val="20"/>
        </w:rPr>
      </w:pPr>
      <w:r w:rsidRPr="00025B9C">
        <w:rPr>
          <w:rFonts w:asciiTheme="minorHAnsi" w:hAnsiTheme="minorHAnsi" w:cstheme="minorHAnsi"/>
          <w:sz w:val="20"/>
          <w:szCs w:val="20"/>
        </w:rPr>
        <w:t xml:space="preserve">A.1.3 No formal meetings were held by the chairman with the non-executives, without the executives present. The board decided however at its September 2005 meeting that although not anticipated to be of significant value this could not be seen to be against the best interests of the company and have resolved to hold at least one such meeting during the next financial year. </w:t>
      </w:r>
    </w:p>
    <w:p w:rsidR="00AB7A74" w:rsidRPr="00025B9C" w:rsidRDefault="00AB7A74" w:rsidP="00D26D00">
      <w:pPr>
        <w:autoSpaceDE w:val="0"/>
        <w:autoSpaceDN w:val="0"/>
        <w:adjustRightInd w:val="0"/>
        <w:ind w:left="540" w:right="804"/>
        <w:jc w:val="both"/>
        <w:rPr>
          <w:rFonts w:asciiTheme="minorHAnsi" w:hAnsiTheme="minorHAnsi" w:cstheme="minorHAnsi"/>
          <w:sz w:val="20"/>
          <w:szCs w:val="20"/>
        </w:rPr>
      </w:pPr>
      <w:r w:rsidRPr="00025B9C">
        <w:rPr>
          <w:rFonts w:asciiTheme="minorHAnsi" w:hAnsiTheme="minorHAnsi" w:cstheme="minorHAnsi"/>
          <w:sz w:val="20"/>
          <w:szCs w:val="20"/>
        </w:rPr>
        <w:t>Source: Grainger Trust plc annual report 2005, p. 50.</w:t>
      </w:r>
    </w:p>
    <w:p w:rsidR="00FA5477" w:rsidRPr="00025B9C" w:rsidRDefault="00FA5477" w:rsidP="00D665D9">
      <w:pPr>
        <w:spacing w:line="360" w:lineRule="auto"/>
        <w:jc w:val="both"/>
        <w:rPr>
          <w:rFonts w:asciiTheme="minorHAnsi" w:hAnsiTheme="minorHAnsi" w:cstheme="minorHAnsi"/>
          <w:b/>
        </w:rPr>
      </w:pPr>
    </w:p>
    <w:p w:rsidR="002634AA" w:rsidRPr="00025B9C" w:rsidRDefault="008B2D4F" w:rsidP="00D665D9">
      <w:pPr>
        <w:spacing w:line="360" w:lineRule="auto"/>
        <w:jc w:val="both"/>
        <w:rPr>
          <w:rFonts w:asciiTheme="minorHAnsi" w:hAnsiTheme="minorHAnsi" w:cstheme="minorHAnsi"/>
        </w:rPr>
      </w:pPr>
      <w:r w:rsidRPr="00025B9C">
        <w:rPr>
          <w:rFonts w:asciiTheme="minorHAnsi" w:hAnsiTheme="minorHAnsi" w:cstheme="minorHAnsi"/>
        </w:rPr>
        <w:t xml:space="preserve">While the </w:t>
      </w:r>
      <w:r w:rsidR="00406F86" w:rsidRPr="00025B9C">
        <w:rPr>
          <w:rFonts w:asciiTheme="minorHAnsi" w:hAnsiTheme="minorHAnsi" w:cstheme="minorHAnsi"/>
        </w:rPr>
        <w:t>‘</w:t>
      </w:r>
      <w:r w:rsidRPr="00025B9C">
        <w:rPr>
          <w:rFonts w:asciiTheme="minorHAnsi" w:hAnsiTheme="minorHAnsi" w:cstheme="minorHAnsi"/>
        </w:rPr>
        <w:t>comply-or-explain</w:t>
      </w:r>
      <w:r w:rsidR="00406F86" w:rsidRPr="00025B9C">
        <w:rPr>
          <w:rFonts w:asciiTheme="minorHAnsi" w:hAnsiTheme="minorHAnsi" w:cstheme="minorHAnsi"/>
        </w:rPr>
        <w:t>’</w:t>
      </w:r>
      <w:r w:rsidRPr="00025B9C">
        <w:rPr>
          <w:rFonts w:asciiTheme="minorHAnsi" w:hAnsiTheme="minorHAnsi" w:cstheme="minorHAnsi"/>
        </w:rPr>
        <w:t xml:space="preserve"> system is widely supported, concern persists on the quality of the explanations. The FRC (2012b) introduced the notion of a “meaningful explanation”, which has three characteristics, including “a convincing rationale”</w:t>
      </w:r>
      <w:r w:rsidR="00881B54" w:rsidRPr="00025B9C">
        <w:rPr>
          <w:rFonts w:asciiTheme="minorHAnsi" w:hAnsiTheme="minorHAnsi" w:cstheme="minorHAnsi"/>
        </w:rPr>
        <w:t xml:space="preserve"> (p. 6)</w:t>
      </w:r>
      <w:r w:rsidRPr="00025B9C">
        <w:rPr>
          <w:rFonts w:asciiTheme="minorHAnsi" w:hAnsiTheme="minorHAnsi" w:cstheme="minorHAnsi"/>
        </w:rPr>
        <w:t>. Guidance is not provided</w:t>
      </w:r>
      <w:r w:rsidR="00B64C72" w:rsidRPr="00025B9C">
        <w:rPr>
          <w:rFonts w:asciiTheme="minorHAnsi" w:hAnsiTheme="minorHAnsi" w:cstheme="minorHAnsi"/>
        </w:rPr>
        <w:t>, and there is no common understanding,</w:t>
      </w:r>
      <w:r w:rsidRPr="00025B9C">
        <w:rPr>
          <w:rFonts w:asciiTheme="minorHAnsi" w:hAnsiTheme="minorHAnsi" w:cstheme="minorHAnsi"/>
        </w:rPr>
        <w:t xml:space="preserve"> on what constitutes “a convincing rationale”</w:t>
      </w:r>
      <w:r w:rsidR="006B55E5" w:rsidRPr="00025B9C">
        <w:rPr>
          <w:rFonts w:asciiTheme="minorHAnsi" w:hAnsiTheme="minorHAnsi" w:cstheme="minorHAnsi"/>
        </w:rPr>
        <w:t xml:space="preserve">, the elements of a </w:t>
      </w:r>
      <w:r w:rsidR="00881B54" w:rsidRPr="00025B9C">
        <w:rPr>
          <w:rFonts w:asciiTheme="minorHAnsi" w:hAnsiTheme="minorHAnsi" w:cstheme="minorHAnsi"/>
        </w:rPr>
        <w:t>“</w:t>
      </w:r>
      <w:r w:rsidR="006B55E5" w:rsidRPr="00025B9C">
        <w:rPr>
          <w:rFonts w:asciiTheme="minorHAnsi" w:hAnsiTheme="minorHAnsi" w:cstheme="minorHAnsi"/>
        </w:rPr>
        <w:t>convincing rationale</w:t>
      </w:r>
      <w:r w:rsidR="00881B54" w:rsidRPr="00025B9C">
        <w:rPr>
          <w:rFonts w:asciiTheme="minorHAnsi" w:hAnsiTheme="minorHAnsi" w:cstheme="minorHAnsi"/>
        </w:rPr>
        <w:t>”</w:t>
      </w:r>
      <w:r w:rsidR="006B55E5" w:rsidRPr="00025B9C">
        <w:rPr>
          <w:rFonts w:asciiTheme="minorHAnsi" w:hAnsiTheme="minorHAnsi" w:cstheme="minorHAnsi"/>
        </w:rPr>
        <w:t xml:space="preserve">, and on how to formulate a </w:t>
      </w:r>
      <w:r w:rsidR="00881B54" w:rsidRPr="00025B9C">
        <w:rPr>
          <w:rFonts w:asciiTheme="minorHAnsi" w:hAnsiTheme="minorHAnsi" w:cstheme="minorHAnsi"/>
        </w:rPr>
        <w:t>“</w:t>
      </w:r>
      <w:r w:rsidR="006B55E5" w:rsidRPr="00025B9C">
        <w:rPr>
          <w:rFonts w:asciiTheme="minorHAnsi" w:hAnsiTheme="minorHAnsi" w:cstheme="minorHAnsi"/>
        </w:rPr>
        <w:t>convincing rationale</w:t>
      </w:r>
      <w:r w:rsidR="00881B54" w:rsidRPr="00025B9C">
        <w:rPr>
          <w:rFonts w:asciiTheme="minorHAnsi" w:hAnsiTheme="minorHAnsi" w:cstheme="minorHAnsi"/>
        </w:rPr>
        <w:t>”</w:t>
      </w:r>
      <w:r w:rsidRPr="00025B9C">
        <w:rPr>
          <w:rFonts w:asciiTheme="minorHAnsi" w:hAnsiTheme="minorHAnsi" w:cstheme="minorHAnsi"/>
        </w:rPr>
        <w:t>.</w:t>
      </w:r>
      <w:r w:rsidR="006B55E5" w:rsidRPr="00025B9C">
        <w:rPr>
          <w:rFonts w:asciiTheme="minorHAnsi" w:hAnsiTheme="minorHAnsi" w:cstheme="minorHAnsi"/>
        </w:rPr>
        <w:t xml:space="preserve"> To this end, w</w:t>
      </w:r>
      <w:r w:rsidR="008E55A1" w:rsidRPr="00025B9C">
        <w:rPr>
          <w:rFonts w:asciiTheme="minorHAnsi" w:hAnsiTheme="minorHAnsi" w:cstheme="minorHAnsi"/>
        </w:rPr>
        <w:t xml:space="preserve">e have provided evidence of the use of rhetoric in non-compliance explanations. It is beyond the scope of our methodology to assess whether the rhetoric is convincing to readers. </w:t>
      </w:r>
      <w:r w:rsidR="00DE2C2F" w:rsidRPr="00025B9C">
        <w:rPr>
          <w:rFonts w:asciiTheme="minorHAnsi" w:hAnsiTheme="minorHAnsi" w:cstheme="minorHAnsi"/>
        </w:rPr>
        <w:t xml:space="preserve">Some explanations lean more towards sophistry than persuasion. </w:t>
      </w:r>
      <w:r w:rsidR="00002B28" w:rsidRPr="00025B9C">
        <w:rPr>
          <w:rFonts w:asciiTheme="minorHAnsi" w:hAnsiTheme="minorHAnsi" w:cstheme="minorHAnsi"/>
        </w:rPr>
        <w:t>Of our nine rhetorical strategies, all might be interpreted as sophistry, other than corrective action and possibly attribution</w:t>
      </w:r>
      <w:r w:rsidR="00782CBB" w:rsidRPr="00025B9C">
        <w:rPr>
          <w:rFonts w:asciiTheme="minorHAnsi" w:hAnsiTheme="minorHAnsi" w:cstheme="minorHAnsi"/>
        </w:rPr>
        <w:t>. Concealment/denial (</w:t>
      </w:r>
      <w:r w:rsidR="00634A79" w:rsidRPr="00025B9C">
        <w:rPr>
          <w:rFonts w:asciiTheme="minorHAnsi" w:hAnsiTheme="minorHAnsi" w:cstheme="minorHAnsi"/>
          <w:szCs w:val="22"/>
        </w:rPr>
        <w:t>rhetorical strategy</w:t>
      </w:r>
      <w:r w:rsidR="00782CBB" w:rsidRPr="00025B9C">
        <w:rPr>
          <w:rFonts w:asciiTheme="minorHAnsi" w:hAnsiTheme="minorHAnsi" w:cstheme="minorHAnsi"/>
        </w:rPr>
        <w:t xml:space="preserve"> 9) is a compelling example of sophistic – hiding something so that what is presented is plausible. However, because certain information is omitted or concealed it is not a </w:t>
      </w:r>
      <w:r w:rsidR="00CB0C82" w:rsidRPr="00025B9C">
        <w:rPr>
          <w:rFonts w:asciiTheme="minorHAnsi" w:hAnsiTheme="minorHAnsi" w:cstheme="minorHAnsi"/>
        </w:rPr>
        <w:t xml:space="preserve">totally </w:t>
      </w:r>
      <w:r w:rsidR="00782CBB" w:rsidRPr="00025B9C">
        <w:rPr>
          <w:rFonts w:asciiTheme="minorHAnsi" w:hAnsiTheme="minorHAnsi" w:cstheme="minorHAnsi"/>
        </w:rPr>
        <w:t>tr</w:t>
      </w:r>
      <w:r w:rsidR="00CB0C82" w:rsidRPr="00025B9C">
        <w:rPr>
          <w:rFonts w:asciiTheme="minorHAnsi" w:hAnsiTheme="minorHAnsi" w:cstheme="minorHAnsi"/>
        </w:rPr>
        <w:t xml:space="preserve">ansparent </w:t>
      </w:r>
      <w:r w:rsidR="00782CBB" w:rsidRPr="00025B9C">
        <w:rPr>
          <w:rFonts w:asciiTheme="minorHAnsi" w:hAnsiTheme="minorHAnsi" w:cstheme="minorHAnsi"/>
        </w:rPr>
        <w:t xml:space="preserve">story. It could be argued that the inherent contradiction of companies claiming their non-compliance is appropriate, and at the same time promising corrective action, is fallacious reasoning. The promise of corrective action, without explaining why non-compliance occurred in the first place, is also a specious argument. </w:t>
      </w:r>
      <w:r w:rsidR="008E55A1" w:rsidRPr="00025B9C">
        <w:rPr>
          <w:rFonts w:asciiTheme="minorHAnsi" w:hAnsiTheme="minorHAnsi" w:cstheme="minorHAnsi"/>
        </w:rPr>
        <w:t xml:space="preserve">Example 1e is a case in point, where the promise of corrective action was never actioned. Thus, it could be argued that the explanation was deceptive, although it is not possible to say whether it was intentionally so. </w:t>
      </w:r>
      <w:r w:rsidR="00DA6A28" w:rsidRPr="00025B9C">
        <w:rPr>
          <w:rFonts w:asciiTheme="minorHAnsi" w:hAnsiTheme="minorHAnsi" w:cstheme="minorHAnsi"/>
        </w:rPr>
        <w:t>Thus, the rhetorical strategies we found relate more to incorrect or misleading information</w:t>
      </w:r>
      <w:r w:rsidR="00E32E9E" w:rsidRPr="00025B9C">
        <w:rPr>
          <w:rFonts w:asciiTheme="minorHAnsi" w:hAnsiTheme="minorHAnsi" w:cstheme="minorHAnsi"/>
        </w:rPr>
        <w:t xml:space="preserve"> (sophistry) </w:t>
      </w:r>
      <w:r w:rsidR="00DA6A28" w:rsidRPr="00025B9C">
        <w:rPr>
          <w:rFonts w:asciiTheme="minorHAnsi" w:hAnsiTheme="minorHAnsi" w:cstheme="minorHAnsi"/>
        </w:rPr>
        <w:t>than to a convincing explanation</w:t>
      </w:r>
      <w:r w:rsidR="00E32E9E" w:rsidRPr="00025B9C">
        <w:rPr>
          <w:rFonts w:asciiTheme="minorHAnsi" w:hAnsiTheme="minorHAnsi" w:cstheme="minorHAnsi"/>
        </w:rPr>
        <w:t xml:space="preserve"> (rhetoric)</w:t>
      </w:r>
      <w:r w:rsidR="00DA6A28" w:rsidRPr="00025B9C">
        <w:rPr>
          <w:rFonts w:asciiTheme="minorHAnsi" w:hAnsiTheme="minorHAnsi" w:cstheme="minorHAnsi"/>
        </w:rPr>
        <w:t>.</w:t>
      </w:r>
    </w:p>
    <w:p w:rsidR="006046A2" w:rsidRPr="00025B9C" w:rsidRDefault="006046A2" w:rsidP="00D665D9">
      <w:pPr>
        <w:spacing w:line="360" w:lineRule="auto"/>
        <w:jc w:val="both"/>
        <w:rPr>
          <w:rFonts w:asciiTheme="minorHAnsi" w:hAnsiTheme="minorHAnsi" w:cstheme="minorHAnsi"/>
        </w:rPr>
      </w:pPr>
    </w:p>
    <w:p w:rsidR="006046A2" w:rsidRPr="00025B9C" w:rsidRDefault="00BF6198" w:rsidP="00D665D9">
      <w:pPr>
        <w:spacing w:line="360" w:lineRule="auto"/>
        <w:jc w:val="both"/>
        <w:rPr>
          <w:rFonts w:asciiTheme="minorHAnsi" w:hAnsiTheme="minorHAnsi" w:cstheme="minorHAnsi"/>
        </w:rPr>
      </w:pPr>
      <w:r w:rsidRPr="00025B9C">
        <w:rPr>
          <w:rFonts w:asciiTheme="minorHAnsi" w:hAnsiTheme="minorHAnsi" w:cstheme="minorHAnsi"/>
        </w:rPr>
        <w:t>In S</w:t>
      </w:r>
      <w:r w:rsidR="006046A2" w:rsidRPr="00025B9C">
        <w:rPr>
          <w:rFonts w:asciiTheme="minorHAnsi" w:hAnsiTheme="minorHAnsi" w:cstheme="minorHAnsi"/>
        </w:rPr>
        <w:t xml:space="preserve">ection 2, we discussed the power relations between </w:t>
      </w:r>
      <w:r w:rsidRPr="00025B9C">
        <w:rPr>
          <w:rFonts w:asciiTheme="minorHAnsi" w:hAnsiTheme="minorHAnsi" w:cstheme="minorHAnsi"/>
        </w:rPr>
        <w:t>corporates and their audiences. The FRC</w:t>
      </w:r>
      <w:r w:rsidR="00B8114D" w:rsidRPr="00025B9C">
        <w:rPr>
          <w:rFonts w:asciiTheme="minorHAnsi" w:hAnsiTheme="minorHAnsi" w:cstheme="minorHAnsi"/>
        </w:rPr>
        <w:t xml:space="preserve"> (2016, p. 4)</w:t>
      </w:r>
      <w:r w:rsidRPr="00025B9C">
        <w:rPr>
          <w:rFonts w:asciiTheme="minorHAnsi" w:hAnsiTheme="minorHAnsi" w:cstheme="minorHAnsi"/>
        </w:rPr>
        <w:t xml:space="preserve"> relies on investors to exercise their</w:t>
      </w:r>
      <w:r w:rsidR="006B65DB" w:rsidRPr="00025B9C">
        <w:rPr>
          <w:rFonts w:asciiTheme="minorHAnsi" w:hAnsiTheme="minorHAnsi" w:cstheme="minorHAnsi"/>
        </w:rPr>
        <w:t xml:space="preserve"> power by</w:t>
      </w:r>
      <w:r w:rsidRPr="00025B9C">
        <w:rPr>
          <w:rFonts w:asciiTheme="minorHAnsi" w:hAnsiTheme="minorHAnsi" w:cstheme="minorHAnsi"/>
        </w:rPr>
        <w:t xml:space="preserve"> act</w:t>
      </w:r>
      <w:r w:rsidR="006B65DB" w:rsidRPr="00025B9C">
        <w:rPr>
          <w:rFonts w:asciiTheme="minorHAnsi" w:hAnsiTheme="minorHAnsi" w:cstheme="minorHAnsi"/>
        </w:rPr>
        <w:t>ing</w:t>
      </w:r>
      <w:r w:rsidRPr="00025B9C">
        <w:rPr>
          <w:rFonts w:asciiTheme="minorHAnsi" w:hAnsiTheme="minorHAnsi" w:cstheme="minorHAnsi"/>
        </w:rPr>
        <w:t xml:space="preserve"> as monitors of the </w:t>
      </w:r>
      <w:r w:rsidR="00EA4463" w:rsidRPr="00025B9C">
        <w:rPr>
          <w:rFonts w:asciiTheme="minorHAnsi" w:hAnsiTheme="minorHAnsi" w:cstheme="minorHAnsi"/>
        </w:rPr>
        <w:t>‘</w:t>
      </w:r>
      <w:r w:rsidRPr="00025B9C">
        <w:rPr>
          <w:rFonts w:asciiTheme="minorHAnsi" w:hAnsiTheme="minorHAnsi" w:cstheme="minorHAnsi"/>
        </w:rPr>
        <w:t>comply-</w:t>
      </w:r>
      <w:r w:rsidR="00EA4463" w:rsidRPr="00025B9C">
        <w:rPr>
          <w:rFonts w:asciiTheme="minorHAnsi" w:hAnsiTheme="minorHAnsi" w:cstheme="minorHAnsi"/>
        </w:rPr>
        <w:t>or</w:t>
      </w:r>
      <w:r w:rsidRPr="00025B9C">
        <w:rPr>
          <w:rFonts w:asciiTheme="minorHAnsi" w:hAnsiTheme="minorHAnsi" w:cstheme="minorHAnsi"/>
        </w:rPr>
        <w:t>-explain</w:t>
      </w:r>
      <w:r w:rsidR="00EA4463" w:rsidRPr="00025B9C">
        <w:rPr>
          <w:rFonts w:asciiTheme="minorHAnsi" w:hAnsiTheme="minorHAnsi" w:cstheme="minorHAnsi"/>
        </w:rPr>
        <w:t>’</w:t>
      </w:r>
      <w:r w:rsidRPr="00025B9C">
        <w:rPr>
          <w:rFonts w:asciiTheme="minorHAnsi" w:hAnsiTheme="minorHAnsi" w:cstheme="minorHAnsi"/>
        </w:rPr>
        <w:t xml:space="preserve"> system</w:t>
      </w:r>
      <w:r w:rsidR="00B8114D" w:rsidRPr="00025B9C">
        <w:rPr>
          <w:rFonts w:asciiTheme="minorHAnsi" w:hAnsiTheme="minorHAnsi" w:cstheme="minorHAnsi"/>
        </w:rPr>
        <w:t xml:space="preserve"> (“shareholders have every right to challenge companies’ explanations if they are unconvincing”)</w:t>
      </w:r>
      <w:r w:rsidRPr="00025B9C">
        <w:rPr>
          <w:rFonts w:asciiTheme="minorHAnsi" w:hAnsiTheme="minorHAnsi" w:cstheme="minorHAnsi"/>
        </w:rPr>
        <w:t xml:space="preserve">, and </w:t>
      </w:r>
      <w:r w:rsidR="00195BFE" w:rsidRPr="00025B9C">
        <w:rPr>
          <w:rFonts w:asciiTheme="minorHAnsi" w:hAnsiTheme="minorHAnsi" w:cstheme="minorHAnsi"/>
        </w:rPr>
        <w:t xml:space="preserve">for </w:t>
      </w:r>
      <w:r w:rsidR="006B65DB" w:rsidRPr="00025B9C">
        <w:rPr>
          <w:rFonts w:asciiTheme="minorHAnsi" w:hAnsiTheme="minorHAnsi" w:cstheme="minorHAnsi"/>
        </w:rPr>
        <w:t xml:space="preserve">there to be </w:t>
      </w:r>
      <w:r w:rsidRPr="00025B9C">
        <w:rPr>
          <w:rFonts w:asciiTheme="minorHAnsi" w:hAnsiTheme="minorHAnsi" w:cstheme="minorHAnsi"/>
        </w:rPr>
        <w:t xml:space="preserve">dialogue </w:t>
      </w:r>
      <w:r w:rsidR="00195BFE" w:rsidRPr="00025B9C">
        <w:rPr>
          <w:rFonts w:asciiTheme="minorHAnsi" w:hAnsiTheme="minorHAnsi" w:cstheme="minorHAnsi"/>
        </w:rPr>
        <w:t xml:space="preserve">between </w:t>
      </w:r>
      <w:r w:rsidRPr="00025B9C">
        <w:rPr>
          <w:rFonts w:asciiTheme="minorHAnsi" w:hAnsiTheme="minorHAnsi" w:cstheme="minorHAnsi"/>
        </w:rPr>
        <w:t>company management</w:t>
      </w:r>
      <w:r w:rsidR="00195BFE" w:rsidRPr="00025B9C">
        <w:rPr>
          <w:rFonts w:asciiTheme="minorHAnsi" w:hAnsiTheme="minorHAnsi" w:cstheme="minorHAnsi"/>
        </w:rPr>
        <w:t xml:space="preserve"> and shareholders</w:t>
      </w:r>
      <w:r w:rsidRPr="00025B9C">
        <w:rPr>
          <w:rFonts w:asciiTheme="minorHAnsi" w:hAnsiTheme="minorHAnsi" w:cstheme="minorHAnsi"/>
        </w:rPr>
        <w:t xml:space="preserve">. Given our findings that rhetoric appears to be used more to mislead than convince, we revisit the company-shareholder dynamic. FRC assumptions that institutional investors will exercise their power in monitoring the quality of explanations has not been borne out by prior research, with </w:t>
      </w:r>
      <w:proofErr w:type="spellStart"/>
      <w:r w:rsidRPr="00025B9C">
        <w:rPr>
          <w:rFonts w:asciiTheme="minorHAnsi" w:hAnsiTheme="minorHAnsi" w:cstheme="minorHAnsi"/>
        </w:rPr>
        <w:t>Arcot</w:t>
      </w:r>
      <w:proofErr w:type="spellEnd"/>
      <w:r w:rsidR="006B65DB" w:rsidRPr="00025B9C">
        <w:rPr>
          <w:rFonts w:asciiTheme="minorHAnsi" w:hAnsiTheme="minorHAnsi" w:cstheme="minorHAnsi"/>
        </w:rPr>
        <w:t xml:space="preserve">, Bruno </w:t>
      </w:r>
      <w:r w:rsidR="00853216" w:rsidRPr="00025B9C">
        <w:rPr>
          <w:rFonts w:asciiTheme="minorHAnsi" w:hAnsiTheme="minorHAnsi" w:cstheme="minorHAnsi"/>
        </w:rPr>
        <w:t>and</w:t>
      </w:r>
      <w:r w:rsidR="006B65DB" w:rsidRPr="00025B9C">
        <w:rPr>
          <w:rFonts w:asciiTheme="minorHAnsi" w:hAnsiTheme="minorHAnsi" w:cstheme="minorHAnsi"/>
        </w:rPr>
        <w:t xml:space="preserve"> Faure-</w:t>
      </w:r>
      <w:proofErr w:type="spellStart"/>
      <w:r w:rsidR="006B65DB" w:rsidRPr="00025B9C">
        <w:rPr>
          <w:rFonts w:asciiTheme="minorHAnsi" w:hAnsiTheme="minorHAnsi" w:cstheme="minorHAnsi"/>
        </w:rPr>
        <w:t>Grimaud</w:t>
      </w:r>
      <w:proofErr w:type="spellEnd"/>
      <w:r w:rsidR="006B65DB" w:rsidRPr="00025B9C">
        <w:rPr>
          <w:rFonts w:asciiTheme="minorHAnsi" w:hAnsiTheme="minorHAnsi" w:cstheme="minorHAnsi"/>
        </w:rPr>
        <w:t xml:space="preserve"> (2010</w:t>
      </w:r>
      <w:r w:rsidR="00195BFE" w:rsidRPr="00025B9C">
        <w:rPr>
          <w:rFonts w:asciiTheme="minorHAnsi" w:hAnsiTheme="minorHAnsi" w:cstheme="minorHAnsi"/>
        </w:rPr>
        <w:t xml:space="preserve">) </w:t>
      </w:r>
      <w:r w:rsidRPr="00025B9C">
        <w:rPr>
          <w:rFonts w:asciiTheme="minorHAnsi" w:hAnsiTheme="minorHAnsi" w:cstheme="minorHAnsi"/>
        </w:rPr>
        <w:t>concluding that shareholders have limited monitoring capabilit</w:t>
      </w:r>
      <w:r w:rsidR="00051785" w:rsidRPr="00025B9C">
        <w:rPr>
          <w:rFonts w:asciiTheme="minorHAnsi" w:hAnsiTheme="minorHAnsi" w:cstheme="minorHAnsi"/>
        </w:rPr>
        <w:t>ies.</w:t>
      </w:r>
      <w:r w:rsidRPr="00025B9C">
        <w:rPr>
          <w:rFonts w:asciiTheme="minorHAnsi" w:hAnsiTheme="minorHAnsi" w:cstheme="minorHAnsi"/>
        </w:rPr>
        <w:t xml:space="preserve"> </w:t>
      </w:r>
      <w:proofErr w:type="spellStart"/>
      <w:r w:rsidRPr="00025B9C">
        <w:rPr>
          <w:rFonts w:asciiTheme="minorHAnsi" w:hAnsiTheme="minorHAnsi" w:cstheme="minorHAnsi"/>
        </w:rPr>
        <w:t>Sergakis</w:t>
      </w:r>
      <w:proofErr w:type="spellEnd"/>
      <w:r w:rsidRPr="00025B9C">
        <w:rPr>
          <w:rFonts w:asciiTheme="minorHAnsi" w:hAnsiTheme="minorHAnsi" w:cstheme="minorHAnsi"/>
        </w:rPr>
        <w:t xml:space="preserve"> (2013</w:t>
      </w:r>
      <w:r w:rsidR="00195BFE" w:rsidRPr="00025B9C">
        <w:rPr>
          <w:rFonts w:asciiTheme="minorHAnsi" w:hAnsiTheme="minorHAnsi" w:cstheme="minorHAnsi"/>
        </w:rPr>
        <w:t>, p. 425</w:t>
      </w:r>
      <w:r w:rsidRPr="00025B9C">
        <w:rPr>
          <w:rFonts w:asciiTheme="minorHAnsi" w:hAnsiTheme="minorHAnsi" w:cstheme="minorHAnsi"/>
        </w:rPr>
        <w:t>) conclude</w:t>
      </w:r>
      <w:r w:rsidR="00051785" w:rsidRPr="00025B9C">
        <w:rPr>
          <w:rFonts w:asciiTheme="minorHAnsi" w:hAnsiTheme="minorHAnsi" w:cstheme="minorHAnsi"/>
        </w:rPr>
        <w:t>s</w:t>
      </w:r>
      <w:r w:rsidRPr="00025B9C">
        <w:rPr>
          <w:rFonts w:asciiTheme="minorHAnsi" w:hAnsiTheme="minorHAnsi" w:cstheme="minorHAnsi"/>
        </w:rPr>
        <w:t xml:space="preserve"> that investors are </w:t>
      </w:r>
      <w:r w:rsidR="00195BFE" w:rsidRPr="00025B9C">
        <w:rPr>
          <w:rFonts w:asciiTheme="minorHAnsi" w:hAnsiTheme="minorHAnsi" w:cstheme="minorHAnsi"/>
        </w:rPr>
        <w:t>“</w:t>
      </w:r>
      <w:r w:rsidRPr="00025B9C">
        <w:rPr>
          <w:rFonts w:asciiTheme="minorHAnsi" w:hAnsiTheme="minorHAnsi" w:cstheme="minorHAnsi"/>
        </w:rPr>
        <w:t>apathetic</w:t>
      </w:r>
      <w:r w:rsidR="00195BFE" w:rsidRPr="00025B9C">
        <w:rPr>
          <w:rFonts w:asciiTheme="minorHAnsi" w:hAnsiTheme="minorHAnsi" w:cstheme="minorHAnsi"/>
        </w:rPr>
        <w:t>”</w:t>
      </w:r>
      <w:r w:rsidR="00051785" w:rsidRPr="00025B9C">
        <w:rPr>
          <w:rFonts w:asciiTheme="minorHAnsi" w:hAnsiTheme="minorHAnsi" w:cstheme="minorHAnsi"/>
        </w:rPr>
        <w:t xml:space="preserve"> even when companies provide insufficient explanation for non-compliance, adding that low shareholder engagement perpetuates poor quality explanations</w:t>
      </w:r>
      <w:r w:rsidRPr="00025B9C">
        <w:rPr>
          <w:rFonts w:asciiTheme="minorHAnsi" w:hAnsiTheme="minorHAnsi" w:cstheme="minorHAnsi"/>
        </w:rPr>
        <w:t xml:space="preserve">. </w:t>
      </w:r>
      <w:r w:rsidR="00195BFE" w:rsidRPr="00025B9C">
        <w:rPr>
          <w:rFonts w:asciiTheme="minorHAnsi" w:hAnsiTheme="minorHAnsi" w:cstheme="minorHAnsi"/>
        </w:rPr>
        <w:t xml:space="preserve">Given the weak monitoring by shareholders of the </w:t>
      </w:r>
      <w:r w:rsidR="00634A79" w:rsidRPr="00025B9C">
        <w:rPr>
          <w:rFonts w:asciiTheme="minorHAnsi" w:hAnsiTheme="minorHAnsi" w:cstheme="minorHAnsi"/>
        </w:rPr>
        <w:t>‘</w:t>
      </w:r>
      <w:r w:rsidR="00195BFE" w:rsidRPr="00025B9C">
        <w:rPr>
          <w:rFonts w:asciiTheme="minorHAnsi" w:hAnsiTheme="minorHAnsi" w:cstheme="minorHAnsi"/>
        </w:rPr>
        <w:t>comply-or-explain</w:t>
      </w:r>
      <w:r w:rsidR="00634A79" w:rsidRPr="00025B9C">
        <w:rPr>
          <w:rFonts w:asciiTheme="minorHAnsi" w:hAnsiTheme="minorHAnsi" w:cstheme="minorHAnsi"/>
        </w:rPr>
        <w:t>’</w:t>
      </w:r>
      <w:r w:rsidR="00195BFE" w:rsidRPr="00025B9C">
        <w:rPr>
          <w:rFonts w:asciiTheme="minorHAnsi" w:hAnsiTheme="minorHAnsi" w:cstheme="minorHAnsi"/>
        </w:rPr>
        <w:t xml:space="preserve"> system, </w:t>
      </w:r>
      <w:proofErr w:type="spellStart"/>
      <w:r w:rsidR="00195BFE" w:rsidRPr="00025B9C">
        <w:rPr>
          <w:rFonts w:asciiTheme="minorHAnsi" w:hAnsiTheme="minorHAnsi" w:cstheme="minorHAnsi"/>
        </w:rPr>
        <w:t>Sergakis</w:t>
      </w:r>
      <w:proofErr w:type="spellEnd"/>
      <w:r w:rsidR="00195BFE" w:rsidRPr="00025B9C">
        <w:rPr>
          <w:rFonts w:asciiTheme="minorHAnsi" w:hAnsiTheme="minorHAnsi" w:cstheme="minorHAnsi"/>
        </w:rPr>
        <w:t xml:space="preserve"> (2013, p. 431) recommends a review panel be established with “monitoring powers” over the quality of non-compliance explanations.</w:t>
      </w:r>
    </w:p>
    <w:p w:rsidR="002634AA" w:rsidRPr="00025B9C" w:rsidRDefault="002634AA" w:rsidP="00D665D9">
      <w:pPr>
        <w:spacing w:line="360" w:lineRule="auto"/>
        <w:jc w:val="both"/>
        <w:rPr>
          <w:rFonts w:asciiTheme="minorHAnsi" w:hAnsiTheme="minorHAnsi" w:cstheme="minorHAnsi"/>
        </w:rPr>
      </w:pPr>
    </w:p>
    <w:p w:rsidR="00016285" w:rsidRPr="00025B9C" w:rsidRDefault="00942BD3" w:rsidP="00383D39">
      <w:pPr>
        <w:keepNext/>
        <w:spacing w:line="360" w:lineRule="auto"/>
        <w:jc w:val="both"/>
        <w:rPr>
          <w:rFonts w:asciiTheme="minorHAnsi" w:hAnsiTheme="minorHAnsi" w:cstheme="minorHAnsi"/>
          <w:b/>
        </w:rPr>
      </w:pPr>
      <w:r w:rsidRPr="00025B9C">
        <w:rPr>
          <w:rFonts w:asciiTheme="minorHAnsi" w:hAnsiTheme="minorHAnsi" w:cstheme="minorHAnsi"/>
          <w:b/>
        </w:rPr>
        <w:t>6</w:t>
      </w:r>
      <w:r w:rsidR="00B13097" w:rsidRPr="00025B9C">
        <w:rPr>
          <w:rFonts w:asciiTheme="minorHAnsi" w:hAnsiTheme="minorHAnsi" w:cstheme="minorHAnsi"/>
          <w:b/>
        </w:rPr>
        <w:t>. Concluding c</w:t>
      </w:r>
      <w:r w:rsidR="00016285" w:rsidRPr="00025B9C">
        <w:rPr>
          <w:rFonts w:asciiTheme="minorHAnsi" w:hAnsiTheme="minorHAnsi" w:cstheme="minorHAnsi"/>
          <w:b/>
        </w:rPr>
        <w:t>omments</w:t>
      </w:r>
    </w:p>
    <w:p w:rsidR="00383D39" w:rsidRPr="00025B9C" w:rsidRDefault="00BC5804" w:rsidP="00383D39">
      <w:pPr>
        <w:spacing w:line="360" w:lineRule="auto"/>
        <w:jc w:val="both"/>
        <w:rPr>
          <w:rFonts w:asciiTheme="minorHAnsi" w:hAnsiTheme="minorHAnsi" w:cstheme="minorHAnsi"/>
        </w:rPr>
      </w:pPr>
      <w:r w:rsidRPr="00025B9C">
        <w:rPr>
          <w:rFonts w:asciiTheme="minorHAnsi" w:hAnsiTheme="minorHAnsi" w:cstheme="minorHAnsi"/>
        </w:rPr>
        <w:t xml:space="preserve">In this paper, we developed a typology to identify the use of different rhetorical strategies in the corporate governance non-compliance explanations. </w:t>
      </w:r>
      <w:r w:rsidR="00383D39" w:rsidRPr="00025B9C">
        <w:rPr>
          <w:rFonts w:asciiTheme="minorHAnsi" w:hAnsiTheme="minorHAnsi" w:cstheme="minorHAnsi"/>
        </w:rPr>
        <w:t xml:space="preserve">The typology provides a way of not just classifying the strategies used in explanations but also thinking critically about them and whether they are valid. This is important because if companies manipulate their explanations they are undermining the validity of the </w:t>
      </w:r>
      <w:r w:rsidR="00476312" w:rsidRPr="00025B9C">
        <w:rPr>
          <w:rFonts w:asciiTheme="minorHAnsi" w:hAnsiTheme="minorHAnsi" w:cstheme="minorHAnsi"/>
        </w:rPr>
        <w:t>‘comply-or-explain’</w:t>
      </w:r>
      <w:r w:rsidR="00383D39" w:rsidRPr="00025B9C">
        <w:rPr>
          <w:rFonts w:asciiTheme="minorHAnsi" w:hAnsiTheme="minorHAnsi" w:cstheme="minorHAnsi"/>
        </w:rPr>
        <w:t xml:space="preserve"> system. Companies may have incentives to make their non-compliance mimic compliance and readers need to be aware this is happening and to be willing to question those explanations (for instance at the AGM). It may be that we have not yet fully embraced the </w:t>
      </w:r>
      <w:r w:rsidR="00406F86" w:rsidRPr="00025B9C">
        <w:rPr>
          <w:rFonts w:asciiTheme="minorHAnsi" w:hAnsiTheme="minorHAnsi" w:cstheme="minorHAnsi"/>
        </w:rPr>
        <w:t>‘</w:t>
      </w:r>
      <w:r w:rsidR="00383D39" w:rsidRPr="00025B9C">
        <w:rPr>
          <w:rFonts w:asciiTheme="minorHAnsi" w:hAnsiTheme="minorHAnsi" w:cstheme="minorHAnsi"/>
        </w:rPr>
        <w:t>explain</w:t>
      </w:r>
      <w:r w:rsidR="00406F86" w:rsidRPr="00025B9C">
        <w:rPr>
          <w:rFonts w:asciiTheme="minorHAnsi" w:hAnsiTheme="minorHAnsi" w:cstheme="minorHAnsi"/>
        </w:rPr>
        <w:t>’</w:t>
      </w:r>
      <w:r w:rsidR="00383D39" w:rsidRPr="00025B9C">
        <w:rPr>
          <w:rFonts w:asciiTheme="minorHAnsi" w:hAnsiTheme="minorHAnsi" w:cstheme="minorHAnsi"/>
        </w:rPr>
        <w:t xml:space="preserve"> nature of </w:t>
      </w:r>
      <w:r w:rsidR="00406F86" w:rsidRPr="00025B9C">
        <w:rPr>
          <w:rFonts w:asciiTheme="minorHAnsi" w:hAnsiTheme="minorHAnsi" w:cstheme="minorHAnsi"/>
        </w:rPr>
        <w:t>‘</w:t>
      </w:r>
      <w:r w:rsidR="00383D39" w:rsidRPr="00025B9C">
        <w:rPr>
          <w:rFonts w:asciiTheme="minorHAnsi" w:hAnsiTheme="minorHAnsi" w:cstheme="minorHAnsi"/>
        </w:rPr>
        <w:t>comply-or-explain</w:t>
      </w:r>
      <w:r w:rsidR="00406F86" w:rsidRPr="00025B9C">
        <w:rPr>
          <w:rFonts w:asciiTheme="minorHAnsi" w:hAnsiTheme="minorHAnsi" w:cstheme="minorHAnsi"/>
        </w:rPr>
        <w:t>’</w:t>
      </w:r>
      <w:r w:rsidR="00972A37" w:rsidRPr="00025B9C">
        <w:rPr>
          <w:rFonts w:asciiTheme="minorHAnsi" w:hAnsiTheme="minorHAnsi" w:cstheme="minorHAnsi"/>
        </w:rPr>
        <w:t>.</w:t>
      </w:r>
      <w:r w:rsidR="00383D39" w:rsidRPr="00025B9C">
        <w:rPr>
          <w:rFonts w:asciiTheme="minorHAnsi" w:hAnsiTheme="minorHAnsi" w:cstheme="minorHAnsi"/>
        </w:rPr>
        <w:t xml:space="preserve"> </w:t>
      </w:r>
    </w:p>
    <w:p w:rsidR="00383D39" w:rsidRPr="00025B9C" w:rsidRDefault="00383D39" w:rsidP="00383D39">
      <w:pPr>
        <w:keepNext/>
        <w:spacing w:line="360" w:lineRule="auto"/>
        <w:jc w:val="both"/>
        <w:rPr>
          <w:rFonts w:asciiTheme="minorHAnsi" w:hAnsiTheme="minorHAnsi" w:cstheme="minorHAnsi"/>
        </w:rPr>
      </w:pPr>
    </w:p>
    <w:p w:rsidR="00D26D00" w:rsidRPr="00025B9C" w:rsidRDefault="00BC5804" w:rsidP="00383D39">
      <w:pPr>
        <w:keepNext/>
        <w:spacing w:line="360" w:lineRule="auto"/>
        <w:jc w:val="both"/>
        <w:rPr>
          <w:rFonts w:asciiTheme="minorHAnsi" w:hAnsiTheme="minorHAnsi" w:cstheme="minorHAnsi"/>
        </w:rPr>
      </w:pPr>
      <w:r w:rsidRPr="00025B9C">
        <w:rPr>
          <w:rFonts w:asciiTheme="minorHAnsi" w:hAnsiTheme="minorHAnsi" w:cstheme="minorHAnsi"/>
        </w:rPr>
        <w:t xml:space="preserve">We found extensive use of rhetoric, with </w:t>
      </w:r>
      <w:r w:rsidR="00F57B34" w:rsidRPr="00025B9C">
        <w:rPr>
          <w:rFonts w:asciiTheme="minorHAnsi" w:hAnsiTheme="minorHAnsi" w:cstheme="minorHAnsi"/>
        </w:rPr>
        <w:t>minimization</w:t>
      </w:r>
      <w:r w:rsidRPr="00025B9C">
        <w:rPr>
          <w:rFonts w:asciiTheme="minorHAnsi" w:hAnsiTheme="minorHAnsi" w:cstheme="minorHAnsi"/>
        </w:rPr>
        <w:t xml:space="preserve"> of negative feelings (</w:t>
      </w:r>
      <w:r w:rsidR="00634A79" w:rsidRPr="00025B9C">
        <w:rPr>
          <w:rFonts w:asciiTheme="minorHAnsi" w:hAnsiTheme="minorHAnsi" w:cstheme="minorHAnsi"/>
          <w:szCs w:val="22"/>
        </w:rPr>
        <w:t>rhetorical strategy</w:t>
      </w:r>
      <w:r w:rsidRPr="00025B9C">
        <w:rPr>
          <w:rFonts w:asciiTheme="minorHAnsi" w:hAnsiTheme="minorHAnsi" w:cstheme="minorHAnsi"/>
        </w:rPr>
        <w:t xml:space="preserve"> </w:t>
      </w:r>
      <w:r w:rsidR="003433CF" w:rsidRPr="00025B9C">
        <w:rPr>
          <w:rFonts w:asciiTheme="minorHAnsi" w:hAnsiTheme="minorHAnsi" w:cstheme="minorHAnsi"/>
        </w:rPr>
        <w:t>3</w:t>
      </w:r>
      <w:r w:rsidRPr="00025B9C">
        <w:rPr>
          <w:rFonts w:asciiTheme="minorHAnsi" w:hAnsiTheme="minorHAnsi" w:cstheme="minorHAnsi"/>
        </w:rPr>
        <w:t xml:space="preserve">), the use of </w:t>
      </w:r>
      <w:r w:rsidR="00972A37" w:rsidRPr="00025B9C">
        <w:rPr>
          <w:rFonts w:asciiTheme="minorHAnsi" w:hAnsiTheme="minorHAnsi" w:cstheme="minorHAnsi"/>
        </w:rPr>
        <w:t>‘weasel words’</w:t>
      </w:r>
      <w:r w:rsidRPr="00025B9C">
        <w:rPr>
          <w:rFonts w:asciiTheme="minorHAnsi" w:hAnsiTheme="minorHAnsi" w:cstheme="minorHAnsi"/>
        </w:rPr>
        <w:t xml:space="preserve"> (</w:t>
      </w:r>
      <w:r w:rsidR="00634A79" w:rsidRPr="00025B9C">
        <w:rPr>
          <w:rFonts w:asciiTheme="minorHAnsi" w:hAnsiTheme="minorHAnsi" w:cstheme="minorHAnsi"/>
          <w:szCs w:val="22"/>
        </w:rPr>
        <w:t>rhetorical strategy</w:t>
      </w:r>
      <w:r w:rsidRPr="00025B9C">
        <w:rPr>
          <w:rFonts w:asciiTheme="minorHAnsi" w:hAnsiTheme="minorHAnsi" w:cstheme="minorHAnsi"/>
        </w:rPr>
        <w:t xml:space="preserve"> </w:t>
      </w:r>
      <w:r w:rsidR="003433CF" w:rsidRPr="00025B9C">
        <w:rPr>
          <w:rFonts w:asciiTheme="minorHAnsi" w:hAnsiTheme="minorHAnsi" w:cstheme="minorHAnsi"/>
        </w:rPr>
        <w:t>9</w:t>
      </w:r>
      <w:r w:rsidRPr="00025B9C">
        <w:rPr>
          <w:rFonts w:asciiTheme="minorHAnsi" w:hAnsiTheme="minorHAnsi" w:cstheme="minorHAnsi"/>
        </w:rPr>
        <w:t>b) and transcendence (</w:t>
      </w:r>
      <w:r w:rsidR="00853216" w:rsidRPr="00025B9C">
        <w:rPr>
          <w:rFonts w:asciiTheme="minorHAnsi" w:hAnsiTheme="minorHAnsi" w:cstheme="minorHAnsi"/>
        </w:rPr>
        <w:t>‘</w:t>
      </w:r>
      <w:r w:rsidRPr="00025B9C">
        <w:rPr>
          <w:rFonts w:asciiTheme="minorHAnsi" w:hAnsiTheme="minorHAnsi" w:cstheme="minorHAnsi"/>
        </w:rPr>
        <w:t>ends justify the means</w:t>
      </w:r>
      <w:r w:rsidR="00853216" w:rsidRPr="00025B9C">
        <w:rPr>
          <w:rFonts w:asciiTheme="minorHAnsi" w:hAnsiTheme="minorHAnsi" w:cstheme="minorHAnsi"/>
        </w:rPr>
        <w:t>’</w:t>
      </w:r>
      <w:r w:rsidRPr="00025B9C">
        <w:rPr>
          <w:rFonts w:asciiTheme="minorHAnsi" w:hAnsiTheme="minorHAnsi" w:cstheme="minorHAnsi"/>
        </w:rPr>
        <w:t>) (</w:t>
      </w:r>
      <w:r w:rsidR="00634A79" w:rsidRPr="00025B9C">
        <w:rPr>
          <w:rFonts w:asciiTheme="minorHAnsi" w:hAnsiTheme="minorHAnsi" w:cstheme="minorHAnsi"/>
          <w:szCs w:val="22"/>
        </w:rPr>
        <w:t>rhetorical strategy</w:t>
      </w:r>
      <w:r w:rsidRPr="00025B9C">
        <w:rPr>
          <w:rFonts w:asciiTheme="minorHAnsi" w:hAnsiTheme="minorHAnsi" w:cstheme="minorHAnsi"/>
        </w:rPr>
        <w:t xml:space="preserve"> </w:t>
      </w:r>
      <w:r w:rsidR="003433CF" w:rsidRPr="00025B9C">
        <w:rPr>
          <w:rFonts w:asciiTheme="minorHAnsi" w:hAnsiTheme="minorHAnsi" w:cstheme="minorHAnsi"/>
        </w:rPr>
        <w:t>4</w:t>
      </w:r>
      <w:r w:rsidRPr="00025B9C">
        <w:rPr>
          <w:rFonts w:asciiTheme="minorHAnsi" w:hAnsiTheme="minorHAnsi" w:cstheme="minorHAnsi"/>
        </w:rPr>
        <w:t>) most common. A trend of increasing use of rhetoric is evident from the comparison of 200</w:t>
      </w:r>
      <w:r w:rsidR="00421F3F" w:rsidRPr="00025B9C">
        <w:rPr>
          <w:rFonts w:asciiTheme="minorHAnsi" w:hAnsiTheme="minorHAnsi" w:cstheme="minorHAnsi"/>
        </w:rPr>
        <w:t>4</w:t>
      </w:r>
      <w:r w:rsidRPr="00025B9C">
        <w:rPr>
          <w:rFonts w:asciiTheme="minorHAnsi" w:hAnsiTheme="minorHAnsi" w:cstheme="minorHAnsi"/>
        </w:rPr>
        <w:t>/0</w:t>
      </w:r>
      <w:r w:rsidR="00421F3F" w:rsidRPr="00025B9C">
        <w:rPr>
          <w:rFonts w:asciiTheme="minorHAnsi" w:hAnsiTheme="minorHAnsi" w:cstheme="minorHAnsi"/>
        </w:rPr>
        <w:t>5</w:t>
      </w:r>
      <w:r w:rsidRPr="00025B9C">
        <w:rPr>
          <w:rFonts w:asciiTheme="minorHAnsi" w:hAnsiTheme="minorHAnsi" w:cstheme="minorHAnsi"/>
        </w:rPr>
        <w:t xml:space="preserve"> and 201</w:t>
      </w:r>
      <w:r w:rsidR="00421F3F" w:rsidRPr="00025B9C">
        <w:rPr>
          <w:rFonts w:asciiTheme="minorHAnsi" w:hAnsiTheme="minorHAnsi" w:cstheme="minorHAnsi"/>
        </w:rPr>
        <w:t>1</w:t>
      </w:r>
      <w:r w:rsidRPr="00025B9C">
        <w:rPr>
          <w:rFonts w:asciiTheme="minorHAnsi" w:hAnsiTheme="minorHAnsi" w:cstheme="minorHAnsi"/>
        </w:rPr>
        <w:t>/1</w:t>
      </w:r>
      <w:r w:rsidR="00421F3F" w:rsidRPr="00025B9C">
        <w:rPr>
          <w:rFonts w:asciiTheme="minorHAnsi" w:hAnsiTheme="minorHAnsi" w:cstheme="minorHAnsi"/>
        </w:rPr>
        <w:t>2</w:t>
      </w:r>
      <w:r w:rsidRPr="00025B9C">
        <w:rPr>
          <w:rFonts w:asciiTheme="minorHAnsi" w:hAnsiTheme="minorHAnsi" w:cstheme="minorHAnsi"/>
        </w:rPr>
        <w:t xml:space="preserve">. We also provide some evidence </w:t>
      </w:r>
      <w:r w:rsidR="00333C4D" w:rsidRPr="00025B9C">
        <w:rPr>
          <w:rFonts w:asciiTheme="minorHAnsi" w:hAnsiTheme="minorHAnsi" w:cstheme="minorHAnsi"/>
        </w:rPr>
        <w:t xml:space="preserve">that </w:t>
      </w:r>
      <w:r w:rsidRPr="00025B9C">
        <w:rPr>
          <w:rFonts w:asciiTheme="minorHAnsi" w:hAnsiTheme="minorHAnsi" w:cstheme="minorHAnsi"/>
        </w:rPr>
        <w:t xml:space="preserve">rhetorical strategies </w:t>
      </w:r>
      <w:r w:rsidR="00333C4D" w:rsidRPr="00025B9C">
        <w:rPr>
          <w:rFonts w:asciiTheme="minorHAnsi" w:hAnsiTheme="minorHAnsi" w:cstheme="minorHAnsi"/>
        </w:rPr>
        <w:t xml:space="preserve">are </w:t>
      </w:r>
      <w:r w:rsidR="00CB0C82" w:rsidRPr="00025B9C">
        <w:rPr>
          <w:rFonts w:asciiTheme="minorHAnsi" w:hAnsiTheme="minorHAnsi" w:cstheme="minorHAnsi"/>
        </w:rPr>
        <w:t xml:space="preserve">used </w:t>
      </w:r>
      <w:r w:rsidRPr="00025B9C">
        <w:rPr>
          <w:rFonts w:asciiTheme="minorHAnsi" w:hAnsiTheme="minorHAnsi" w:cstheme="minorHAnsi"/>
        </w:rPr>
        <w:t xml:space="preserve">in combination. </w:t>
      </w:r>
      <w:r w:rsidR="00333C4D" w:rsidRPr="00025B9C">
        <w:rPr>
          <w:rFonts w:asciiTheme="minorHAnsi" w:hAnsiTheme="minorHAnsi" w:cstheme="minorHAnsi"/>
        </w:rPr>
        <w:t>We find some evidence of explanations</w:t>
      </w:r>
      <w:r w:rsidR="00A10565" w:rsidRPr="00025B9C">
        <w:rPr>
          <w:rFonts w:asciiTheme="minorHAnsi" w:hAnsiTheme="minorHAnsi" w:cstheme="minorHAnsi"/>
        </w:rPr>
        <w:t xml:space="preserve"> that do not appear to be substantive and may even be purely symbolic or ceremonial. </w:t>
      </w:r>
      <w:r w:rsidR="00812304" w:rsidRPr="00025B9C">
        <w:rPr>
          <w:rFonts w:asciiTheme="minorHAnsi" w:hAnsiTheme="minorHAnsi" w:cstheme="minorHAnsi"/>
        </w:rPr>
        <w:t xml:space="preserve">The FRC </w:t>
      </w:r>
      <w:r w:rsidR="000B3B0C" w:rsidRPr="00025B9C">
        <w:rPr>
          <w:rFonts w:asciiTheme="minorHAnsi" w:hAnsiTheme="minorHAnsi" w:cstheme="minorHAnsi"/>
        </w:rPr>
        <w:t>indicates</w:t>
      </w:r>
      <w:r w:rsidR="00812304" w:rsidRPr="00025B9C">
        <w:rPr>
          <w:rFonts w:asciiTheme="minorHAnsi" w:hAnsiTheme="minorHAnsi" w:cstheme="minorHAnsi"/>
        </w:rPr>
        <w:t xml:space="preserve"> that shareholders should raise questions</w:t>
      </w:r>
      <w:r w:rsidR="002609C2" w:rsidRPr="00025B9C">
        <w:rPr>
          <w:rFonts w:asciiTheme="minorHAnsi" w:hAnsiTheme="minorHAnsi" w:cstheme="minorHAnsi"/>
        </w:rPr>
        <w:t xml:space="preserve"> if they are unhappy with explanations</w:t>
      </w:r>
      <w:r w:rsidR="000B3B0C" w:rsidRPr="00025B9C">
        <w:rPr>
          <w:rFonts w:asciiTheme="minorHAnsi" w:hAnsiTheme="minorHAnsi" w:cstheme="minorHAnsi"/>
        </w:rPr>
        <w:t xml:space="preserve"> (FRC, 2012</w:t>
      </w:r>
      <w:r w:rsidR="00286D53" w:rsidRPr="00025B9C">
        <w:rPr>
          <w:rFonts w:asciiTheme="minorHAnsi" w:hAnsiTheme="minorHAnsi" w:cstheme="minorHAnsi"/>
        </w:rPr>
        <w:t>a</w:t>
      </w:r>
      <w:r w:rsidR="000B2E7E" w:rsidRPr="00025B9C">
        <w:rPr>
          <w:rFonts w:asciiTheme="minorHAnsi" w:hAnsiTheme="minorHAnsi" w:cstheme="minorHAnsi"/>
        </w:rPr>
        <w:t>,</w:t>
      </w:r>
      <w:r w:rsidR="000B3B0C" w:rsidRPr="00025B9C">
        <w:rPr>
          <w:rFonts w:asciiTheme="minorHAnsi" w:hAnsiTheme="minorHAnsi" w:cstheme="minorHAnsi"/>
        </w:rPr>
        <w:t xml:space="preserve"> p</w:t>
      </w:r>
      <w:r w:rsidR="00AE22B3" w:rsidRPr="00025B9C">
        <w:rPr>
          <w:rFonts w:asciiTheme="minorHAnsi" w:hAnsiTheme="minorHAnsi" w:cstheme="minorHAnsi"/>
        </w:rPr>
        <w:t>.</w:t>
      </w:r>
      <w:r w:rsidR="000B3B0C" w:rsidRPr="00025B9C">
        <w:rPr>
          <w:rFonts w:asciiTheme="minorHAnsi" w:hAnsiTheme="minorHAnsi" w:cstheme="minorHAnsi"/>
        </w:rPr>
        <w:t xml:space="preserve"> </w:t>
      </w:r>
      <w:r w:rsidR="00FF5B95" w:rsidRPr="00025B9C">
        <w:rPr>
          <w:rFonts w:asciiTheme="minorHAnsi" w:hAnsiTheme="minorHAnsi" w:cstheme="minorHAnsi"/>
        </w:rPr>
        <w:t>3</w:t>
      </w:r>
      <w:r w:rsidR="000B3B0C" w:rsidRPr="00025B9C">
        <w:rPr>
          <w:rFonts w:asciiTheme="minorHAnsi" w:hAnsiTheme="minorHAnsi" w:cstheme="minorHAnsi"/>
        </w:rPr>
        <w:t>),</w:t>
      </w:r>
      <w:r w:rsidR="00812304" w:rsidRPr="00025B9C">
        <w:rPr>
          <w:rFonts w:asciiTheme="minorHAnsi" w:hAnsiTheme="minorHAnsi" w:cstheme="minorHAnsi"/>
        </w:rPr>
        <w:t xml:space="preserve"> but there is a tendency </w:t>
      </w:r>
      <w:r w:rsidR="002609C2" w:rsidRPr="00025B9C">
        <w:rPr>
          <w:rFonts w:asciiTheme="minorHAnsi" w:hAnsiTheme="minorHAnsi" w:cstheme="minorHAnsi"/>
        </w:rPr>
        <w:t xml:space="preserve">for </w:t>
      </w:r>
      <w:r w:rsidR="00D258CC" w:rsidRPr="00025B9C">
        <w:rPr>
          <w:rFonts w:asciiTheme="minorHAnsi" w:hAnsiTheme="minorHAnsi" w:cstheme="minorHAnsi"/>
        </w:rPr>
        <w:t>(</w:t>
      </w:r>
      <w:r w:rsidR="00AC2499" w:rsidRPr="00025B9C">
        <w:rPr>
          <w:rFonts w:asciiTheme="minorHAnsi" w:hAnsiTheme="minorHAnsi" w:cstheme="minorHAnsi"/>
        </w:rPr>
        <w:t>even</w:t>
      </w:r>
      <w:r w:rsidR="00D258CC" w:rsidRPr="00025B9C">
        <w:rPr>
          <w:rFonts w:asciiTheme="minorHAnsi" w:hAnsiTheme="minorHAnsi" w:cstheme="minorHAnsi"/>
        </w:rPr>
        <w:t>)</w:t>
      </w:r>
      <w:r w:rsidR="00AC2499" w:rsidRPr="00025B9C">
        <w:rPr>
          <w:rFonts w:asciiTheme="minorHAnsi" w:hAnsiTheme="minorHAnsi" w:cstheme="minorHAnsi"/>
        </w:rPr>
        <w:t xml:space="preserve"> </w:t>
      </w:r>
      <w:r w:rsidR="002609C2" w:rsidRPr="00025B9C">
        <w:rPr>
          <w:rFonts w:asciiTheme="minorHAnsi" w:hAnsiTheme="minorHAnsi" w:cstheme="minorHAnsi"/>
        </w:rPr>
        <w:t xml:space="preserve">institutional investors </w:t>
      </w:r>
      <w:r w:rsidR="00812304" w:rsidRPr="00025B9C">
        <w:rPr>
          <w:rFonts w:asciiTheme="minorHAnsi" w:hAnsiTheme="minorHAnsi" w:cstheme="minorHAnsi"/>
        </w:rPr>
        <w:t xml:space="preserve">not to ask questions if performance is </w:t>
      </w:r>
      <w:r w:rsidR="001737BB" w:rsidRPr="00025B9C">
        <w:rPr>
          <w:rFonts w:asciiTheme="minorHAnsi" w:hAnsiTheme="minorHAnsi" w:cstheme="minorHAnsi"/>
        </w:rPr>
        <w:t>not in question</w:t>
      </w:r>
      <w:r w:rsidR="00812304" w:rsidRPr="00025B9C">
        <w:rPr>
          <w:rFonts w:asciiTheme="minorHAnsi" w:hAnsiTheme="minorHAnsi" w:cstheme="minorHAnsi"/>
        </w:rPr>
        <w:t xml:space="preserve">. </w:t>
      </w:r>
      <w:r w:rsidR="00681A85" w:rsidRPr="00025B9C">
        <w:rPr>
          <w:rFonts w:asciiTheme="minorHAnsi" w:hAnsiTheme="minorHAnsi" w:cstheme="minorHAnsi"/>
        </w:rPr>
        <w:t xml:space="preserve">There is a consensus that non-compliance explanations need to be better, but what is better? By </w:t>
      </w:r>
      <w:r w:rsidR="00406F86" w:rsidRPr="00025B9C">
        <w:rPr>
          <w:rFonts w:asciiTheme="minorHAnsi" w:hAnsiTheme="minorHAnsi" w:cstheme="minorHAnsi"/>
        </w:rPr>
        <w:t>‘</w:t>
      </w:r>
      <w:r w:rsidR="00681A85" w:rsidRPr="00025B9C">
        <w:rPr>
          <w:rFonts w:asciiTheme="minorHAnsi" w:hAnsiTheme="minorHAnsi" w:cstheme="minorHAnsi"/>
        </w:rPr>
        <w:t>lifting the lid</w:t>
      </w:r>
      <w:r w:rsidR="00406F86" w:rsidRPr="00025B9C">
        <w:rPr>
          <w:rFonts w:asciiTheme="minorHAnsi" w:hAnsiTheme="minorHAnsi" w:cstheme="minorHAnsi"/>
        </w:rPr>
        <w:t>’</w:t>
      </w:r>
      <w:r w:rsidR="00681A85" w:rsidRPr="00025B9C">
        <w:rPr>
          <w:rFonts w:asciiTheme="minorHAnsi" w:hAnsiTheme="minorHAnsi" w:cstheme="minorHAnsi"/>
        </w:rPr>
        <w:t xml:space="preserve"> on the rhetorical strategies adopted, we assist investors and others in understanding the crafting of non-compliance explanations.</w:t>
      </w:r>
      <w:r w:rsidR="00EE035C" w:rsidRPr="00025B9C">
        <w:rPr>
          <w:rFonts w:asciiTheme="minorHAnsi" w:hAnsiTheme="minorHAnsi" w:cstheme="minorHAnsi"/>
        </w:rPr>
        <w:t xml:space="preserve"> </w:t>
      </w:r>
      <w:r w:rsidR="00F53FAA" w:rsidRPr="00025B9C">
        <w:rPr>
          <w:rFonts w:asciiTheme="minorHAnsi" w:hAnsiTheme="minorHAnsi" w:cstheme="minorHAnsi"/>
        </w:rPr>
        <w:t xml:space="preserve">Although </w:t>
      </w:r>
      <w:r w:rsidR="00F129F1" w:rsidRPr="00025B9C">
        <w:rPr>
          <w:rFonts w:asciiTheme="minorHAnsi" w:hAnsiTheme="minorHAnsi" w:cstheme="minorHAnsi"/>
        </w:rPr>
        <w:t>some</w:t>
      </w:r>
      <w:r w:rsidR="00F53FAA" w:rsidRPr="00025B9C">
        <w:rPr>
          <w:rFonts w:asciiTheme="minorHAnsi" w:hAnsiTheme="minorHAnsi" w:cstheme="minorHAnsi"/>
        </w:rPr>
        <w:t xml:space="preserve"> may fe</w:t>
      </w:r>
      <w:r w:rsidR="006A0667" w:rsidRPr="00025B9C">
        <w:rPr>
          <w:rFonts w:asciiTheme="minorHAnsi" w:hAnsiTheme="minorHAnsi" w:cstheme="minorHAnsi"/>
        </w:rPr>
        <w:t>el that increased compliance is good</w:t>
      </w:r>
      <w:r w:rsidR="007748A6" w:rsidRPr="00025B9C">
        <w:rPr>
          <w:rFonts w:asciiTheme="minorHAnsi" w:hAnsiTheme="minorHAnsi" w:cstheme="minorHAnsi"/>
        </w:rPr>
        <w:t>,</w:t>
      </w:r>
      <w:r w:rsidR="00FB0D13" w:rsidRPr="00025B9C">
        <w:rPr>
          <w:rFonts w:asciiTheme="minorHAnsi" w:hAnsiTheme="minorHAnsi" w:cstheme="minorHAnsi"/>
        </w:rPr>
        <w:t xml:space="preserve"> </w:t>
      </w:r>
      <w:r w:rsidR="007748A6" w:rsidRPr="00025B9C">
        <w:rPr>
          <w:rFonts w:asciiTheme="minorHAnsi" w:hAnsiTheme="minorHAnsi" w:cstheme="minorHAnsi"/>
        </w:rPr>
        <w:t>a</w:t>
      </w:r>
      <w:r w:rsidR="00FB0D13" w:rsidRPr="00025B9C">
        <w:rPr>
          <w:rFonts w:asciiTheme="minorHAnsi" w:hAnsiTheme="minorHAnsi" w:cstheme="minorHAnsi"/>
        </w:rPr>
        <w:t xml:space="preserve">s </w:t>
      </w:r>
      <w:r w:rsidR="002609C2" w:rsidRPr="00025B9C">
        <w:rPr>
          <w:rFonts w:asciiTheme="minorHAnsi" w:hAnsiTheme="minorHAnsi" w:cstheme="minorHAnsi"/>
        </w:rPr>
        <w:t>m</w:t>
      </w:r>
      <w:r w:rsidR="00FB0D13" w:rsidRPr="00025B9C">
        <w:rPr>
          <w:rFonts w:asciiTheme="minorHAnsi" w:hAnsiTheme="minorHAnsi" w:cstheme="minorHAnsi"/>
        </w:rPr>
        <w:t xml:space="preserve">ore companies </w:t>
      </w:r>
      <w:r w:rsidR="002609C2" w:rsidRPr="00025B9C">
        <w:rPr>
          <w:rFonts w:asciiTheme="minorHAnsi" w:hAnsiTheme="minorHAnsi" w:cstheme="minorHAnsi"/>
          <w:i/>
        </w:rPr>
        <w:t>appear</w:t>
      </w:r>
      <w:r w:rsidR="002609C2" w:rsidRPr="00025B9C">
        <w:rPr>
          <w:rFonts w:asciiTheme="minorHAnsi" w:hAnsiTheme="minorHAnsi" w:cstheme="minorHAnsi"/>
        </w:rPr>
        <w:t xml:space="preserve"> to </w:t>
      </w:r>
      <w:r w:rsidR="00FB0D13" w:rsidRPr="00025B9C">
        <w:rPr>
          <w:rFonts w:asciiTheme="minorHAnsi" w:hAnsiTheme="minorHAnsi" w:cstheme="minorHAnsi"/>
        </w:rPr>
        <w:t>comply</w:t>
      </w:r>
      <w:r w:rsidR="00AC2499" w:rsidRPr="00025B9C">
        <w:rPr>
          <w:rFonts w:asciiTheme="minorHAnsi" w:hAnsiTheme="minorHAnsi" w:cstheme="minorHAnsi"/>
        </w:rPr>
        <w:t>,</w:t>
      </w:r>
      <w:r w:rsidR="00FB0D13" w:rsidRPr="00025B9C">
        <w:rPr>
          <w:rFonts w:asciiTheme="minorHAnsi" w:hAnsiTheme="minorHAnsi" w:cstheme="minorHAnsi"/>
        </w:rPr>
        <w:t xml:space="preserve"> </w:t>
      </w:r>
      <w:r w:rsidR="00AB5A94" w:rsidRPr="00025B9C">
        <w:rPr>
          <w:rFonts w:asciiTheme="minorHAnsi" w:hAnsiTheme="minorHAnsi" w:cstheme="minorHAnsi"/>
        </w:rPr>
        <w:t xml:space="preserve">the danger is that </w:t>
      </w:r>
      <w:r w:rsidR="00FB0D13" w:rsidRPr="00025B9C">
        <w:rPr>
          <w:rFonts w:asciiTheme="minorHAnsi" w:hAnsiTheme="minorHAnsi" w:cstheme="minorHAnsi"/>
        </w:rPr>
        <w:t xml:space="preserve">the concern for explanations </w:t>
      </w:r>
      <w:r w:rsidR="007748A6" w:rsidRPr="00025B9C">
        <w:rPr>
          <w:rFonts w:asciiTheme="minorHAnsi" w:hAnsiTheme="minorHAnsi" w:cstheme="minorHAnsi"/>
        </w:rPr>
        <w:t>may lessen</w:t>
      </w:r>
      <w:r w:rsidR="000B2E7E" w:rsidRPr="00025B9C">
        <w:rPr>
          <w:rFonts w:asciiTheme="minorHAnsi" w:hAnsiTheme="minorHAnsi" w:cstheme="minorHAnsi"/>
        </w:rPr>
        <w:t xml:space="preserve"> </w:t>
      </w:r>
      <w:r w:rsidR="00773951" w:rsidRPr="00025B9C">
        <w:rPr>
          <w:rFonts w:asciiTheme="minorHAnsi" w:hAnsiTheme="minorHAnsi" w:cstheme="minorHAnsi"/>
        </w:rPr>
        <w:t>and</w:t>
      </w:r>
      <w:r w:rsidR="00EE035C" w:rsidRPr="00025B9C">
        <w:rPr>
          <w:rFonts w:asciiTheme="minorHAnsi" w:hAnsiTheme="minorHAnsi" w:cstheme="minorHAnsi"/>
        </w:rPr>
        <w:t xml:space="preserve"> </w:t>
      </w:r>
      <w:r w:rsidR="00773951" w:rsidRPr="00025B9C">
        <w:rPr>
          <w:rFonts w:asciiTheme="minorHAnsi" w:hAnsiTheme="minorHAnsi" w:cstheme="minorHAnsi"/>
          <w:lang w:eastAsia="en-IE"/>
        </w:rPr>
        <w:t xml:space="preserve">investors and regulators may be less likely to interrogate </w:t>
      </w:r>
      <w:r w:rsidR="007748A6" w:rsidRPr="00025B9C">
        <w:rPr>
          <w:rFonts w:asciiTheme="minorHAnsi" w:hAnsiTheme="minorHAnsi" w:cstheme="minorHAnsi"/>
        </w:rPr>
        <w:t>poor</w:t>
      </w:r>
      <w:r w:rsidR="00394FBF" w:rsidRPr="00025B9C">
        <w:rPr>
          <w:rFonts w:asciiTheme="minorHAnsi" w:hAnsiTheme="minorHAnsi" w:cstheme="minorHAnsi"/>
        </w:rPr>
        <w:t>ly crafted</w:t>
      </w:r>
      <w:r w:rsidR="00773951" w:rsidRPr="00025B9C">
        <w:rPr>
          <w:rFonts w:asciiTheme="minorHAnsi" w:hAnsiTheme="minorHAnsi" w:cstheme="minorHAnsi"/>
        </w:rPr>
        <w:t xml:space="preserve"> explanations</w:t>
      </w:r>
      <w:r w:rsidR="007748A6" w:rsidRPr="00025B9C">
        <w:rPr>
          <w:rFonts w:asciiTheme="minorHAnsi" w:hAnsiTheme="minorHAnsi" w:cstheme="minorHAnsi"/>
        </w:rPr>
        <w:t xml:space="preserve">. </w:t>
      </w:r>
      <w:r w:rsidR="00184786" w:rsidRPr="00025B9C">
        <w:rPr>
          <w:rFonts w:asciiTheme="minorHAnsi" w:hAnsiTheme="minorHAnsi" w:cstheme="minorHAnsi"/>
        </w:rPr>
        <w:t>Compliance can</w:t>
      </w:r>
      <w:r w:rsidR="00F53FAA" w:rsidRPr="00025B9C">
        <w:rPr>
          <w:rFonts w:asciiTheme="minorHAnsi" w:hAnsiTheme="minorHAnsi" w:cstheme="minorHAnsi"/>
        </w:rPr>
        <w:t xml:space="preserve"> </w:t>
      </w:r>
      <w:r w:rsidR="007748A6" w:rsidRPr="00025B9C">
        <w:rPr>
          <w:rFonts w:asciiTheme="minorHAnsi" w:hAnsiTheme="minorHAnsi" w:cstheme="minorHAnsi"/>
        </w:rPr>
        <w:t xml:space="preserve">also </w:t>
      </w:r>
      <w:r w:rsidR="00F53FAA" w:rsidRPr="00025B9C">
        <w:rPr>
          <w:rFonts w:asciiTheme="minorHAnsi" w:hAnsiTheme="minorHAnsi" w:cstheme="minorHAnsi"/>
        </w:rPr>
        <w:t>be seen as a cause for concern</w:t>
      </w:r>
      <w:r w:rsidR="00BE6E11" w:rsidRPr="00025B9C">
        <w:rPr>
          <w:rFonts w:asciiTheme="minorHAnsi" w:hAnsiTheme="minorHAnsi" w:cstheme="minorHAnsi"/>
        </w:rPr>
        <w:t xml:space="preserve">. Companies may be tempted to take short cuts in order to demonstrate </w:t>
      </w:r>
      <w:r w:rsidR="00406F86" w:rsidRPr="00025B9C">
        <w:rPr>
          <w:rFonts w:asciiTheme="minorHAnsi" w:hAnsiTheme="minorHAnsi" w:cstheme="minorHAnsi"/>
        </w:rPr>
        <w:t>‘</w:t>
      </w:r>
      <w:r w:rsidR="00184786" w:rsidRPr="00025B9C">
        <w:rPr>
          <w:rFonts w:asciiTheme="minorHAnsi" w:hAnsiTheme="minorHAnsi" w:cstheme="minorHAnsi"/>
        </w:rPr>
        <w:t>so called</w:t>
      </w:r>
      <w:r w:rsidR="00406F86" w:rsidRPr="00025B9C">
        <w:rPr>
          <w:rFonts w:asciiTheme="minorHAnsi" w:hAnsiTheme="minorHAnsi" w:cstheme="minorHAnsi"/>
        </w:rPr>
        <w:t>’</w:t>
      </w:r>
      <w:r w:rsidR="00184786" w:rsidRPr="00025B9C">
        <w:rPr>
          <w:rFonts w:asciiTheme="minorHAnsi" w:hAnsiTheme="minorHAnsi" w:cstheme="minorHAnsi"/>
        </w:rPr>
        <w:t xml:space="preserve"> </w:t>
      </w:r>
      <w:r w:rsidR="00BE6E11" w:rsidRPr="00025B9C">
        <w:rPr>
          <w:rFonts w:asciiTheme="minorHAnsi" w:hAnsiTheme="minorHAnsi" w:cstheme="minorHAnsi"/>
        </w:rPr>
        <w:t xml:space="preserve">compliance. </w:t>
      </w:r>
      <w:r w:rsidR="001737BB" w:rsidRPr="00025B9C">
        <w:rPr>
          <w:rFonts w:asciiTheme="minorHAnsi" w:hAnsiTheme="minorHAnsi" w:cstheme="minorHAnsi"/>
        </w:rPr>
        <w:t xml:space="preserve">In many annual </w:t>
      </w:r>
      <w:r w:rsidR="00AD785B" w:rsidRPr="00025B9C">
        <w:rPr>
          <w:rFonts w:asciiTheme="minorHAnsi" w:hAnsiTheme="minorHAnsi" w:cstheme="minorHAnsi"/>
        </w:rPr>
        <w:t>reports, it</w:t>
      </w:r>
      <w:r w:rsidR="00BE6E11" w:rsidRPr="00025B9C">
        <w:rPr>
          <w:rFonts w:asciiTheme="minorHAnsi" w:hAnsiTheme="minorHAnsi" w:cstheme="minorHAnsi"/>
        </w:rPr>
        <w:t xml:space="preserve"> can become difficult to see which items are explanations for non-compliance and which </w:t>
      </w:r>
      <w:r w:rsidR="00D13AA6" w:rsidRPr="00025B9C">
        <w:rPr>
          <w:rFonts w:asciiTheme="minorHAnsi" w:hAnsiTheme="minorHAnsi" w:cstheme="minorHAnsi"/>
        </w:rPr>
        <w:t>are disclosures</w:t>
      </w:r>
      <w:r w:rsidR="00BE6E11" w:rsidRPr="00025B9C">
        <w:rPr>
          <w:rFonts w:asciiTheme="minorHAnsi" w:hAnsiTheme="minorHAnsi" w:cstheme="minorHAnsi"/>
        </w:rPr>
        <w:t xml:space="preserve"> trying to justify </w:t>
      </w:r>
      <w:r w:rsidR="002609C2" w:rsidRPr="00025B9C">
        <w:rPr>
          <w:rFonts w:asciiTheme="minorHAnsi" w:hAnsiTheme="minorHAnsi" w:cstheme="minorHAnsi"/>
        </w:rPr>
        <w:t>turning</w:t>
      </w:r>
      <w:r w:rsidR="00BE6E11" w:rsidRPr="00025B9C">
        <w:rPr>
          <w:rFonts w:asciiTheme="minorHAnsi" w:hAnsiTheme="minorHAnsi" w:cstheme="minorHAnsi"/>
        </w:rPr>
        <w:t xml:space="preserve"> non-compliance into what appears to be compliance. </w:t>
      </w:r>
      <w:r w:rsidR="002609C2" w:rsidRPr="00025B9C">
        <w:rPr>
          <w:rFonts w:asciiTheme="minorHAnsi" w:hAnsiTheme="minorHAnsi" w:cstheme="minorHAnsi"/>
        </w:rPr>
        <w:t>Inevitably</w:t>
      </w:r>
      <w:r w:rsidR="00D258CC" w:rsidRPr="00025B9C">
        <w:rPr>
          <w:rFonts w:asciiTheme="minorHAnsi" w:hAnsiTheme="minorHAnsi" w:cstheme="minorHAnsi"/>
        </w:rPr>
        <w:t>,</w:t>
      </w:r>
      <w:r w:rsidR="002609C2" w:rsidRPr="00025B9C">
        <w:rPr>
          <w:rFonts w:asciiTheme="minorHAnsi" w:hAnsiTheme="minorHAnsi" w:cstheme="minorHAnsi"/>
        </w:rPr>
        <w:t xml:space="preserve"> there are inconsistencies between companies</w:t>
      </w:r>
      <w:r w:rsidR="00F85DB2" w:rsidRPr="00025B9C">
        <w:rPr>
          <w:rFonts w:asciiTheme="minorHAnsi" w:hAnsiTheme="minorHAnsi" w:cstheme="minorHAnsi"/>
        </w:rPr>
        <w:t>.</w:t>
      </w:r>
      <w:r w:rsidR="00126202" w:rsidRPr="00025B9C">
        <w:rPr>
          <w:rFonts w:asciiTheme="minorHAnsi" w:hAnsiTheme="minorHAnsi" w:cstheme="minorHAnsi"/>
        </w:rPr>
        <w:t xml:space="preserve"> </w:t>
      </w:r>
      <w:r w:rsidR="00BE6E11" w:rsidRPr="00025B9C">
        <w:rPr>
          <w:rFonts w:asciiTheme="minorHAnsi" w:hAnsiTheme="minorHAnsi" w:cstheme="minorHAnsi"/>
        </w:rPr>
        <w:t>In many ways</w:t>
      </w:r>
      <w:r w:rsidR="00406F86" w:rsidRPr="00025B9C">
        <w:rPr>
          <w:rFonts w:asciiTheme="minorHAnsi" w:hAnsiTheme="minorHAnsi" w:cstheme="minorHAnsi"/>
        </w:rPr>
        <w:t>,</w:t>
      </w:r>
      <w:r w:rsidR="00BE6E11" w:rsidRPr="00025B9C">
        <w:rPr>
          <w:rFonts w:asciiTheme="minorHAnsi" w:hAnsiTheme="minorHAnsi" w:cstheme="minorHAnsi"/>
        </w:rPr>
        <w:t xml:space="preserve"> the </w:t>
      </w:r>
      <w:r w:rsidR="00406F86" w:rsidRPr="00025B9C">
        <w:rPr>
          <w:rFonts w:asciiTheme="minorHAnsi" w:hAnsiTheme="minorHAnsi" w:cstheme="minorHAnsi"/>
        </w:rPr>
        <w:t>‘</w:t>
      </w:r>
      <w:r w:rsidR="00BE6E11" w:rsidRPr="00025B9C">
        <w:rPr>
          <w:rFonts w:asciiTheme="minorHAnsi" w:hAnsiTheme="minorHAnsi" w:cstheme="minorHAnsi"/>
        </w:rPr>
        <w:t>explain</w:t>
      </w:r>
      <w:r w:rsidR="00406F86" w:rsidRPr="00025B9C">
        <w:rPr>
          <w:rFonts w:asciiTheme="minorHAnsi" w:hAnsiTheme="minorHAnsi" w:cstheme="minorHAnsi"/>
        </w:rPr>
        <w:t>’</w:t>
      </w:r>
      <w:r w:rsidR="00BE6E11" w:rsidRPr="00025B9C">
        <w:rPr>
          <w:rFonts w:asciiTheme="minorHAnsi" w:hAnsiTheme="minorHAnsi" w:cstheme="minorHAnsi"/>
        </w:rPr>
        <w:t xml:space="preserve"> part of </w:t>
      </w:r>
      <w:r w:rsidR="00476312" w:rsidRPr="00025B9C">
        <w:rPr>
          <w:rFonts w:asciiTheme="minorHAnsi" w:hAnsiTheme="minorHAnsi" w:cstheme="minorHAnsi"/>
        </w:rPr>
        <w:t>‘comply-or-explain’</w:t>
      </w:r>
      <w:r w:rsidR="00BE6E11" w:rsidRPr="00025B9C">
        <w:rPr>
          <w:rFonts w:asciiTheme="minorHAnsi" w:hAnsiTheme="minorHAnsi" w:cstheme="minorHAnsi"/>
        </w:rPr>
        <w:t xml:space="preserve"> is </w:t>
      </w:r>
      <w:r w:rsidR="00C74A53" w:rsidRPr="00025B9C">
        <w:rPr>
          <w:rFonts w:asciiTheme="minorHAnsi" w:hAnsiTheme="minorHAnsi" w:cstheme="minorHAnsi"/>
        </w:rPr>
        <w:t xml:space="preserve">at least as important as </w:t>
      </w:r>
      <w:r w:rsidR="007748A6" w:rsidRPr="00025B9C">
        <w:rPr>
          <w:rFonts w:asciiTheme="minorHAnsi" w:hAnsiTheme="minorHAnsi" w:cstheme="minorHAnsi"/>
        </w:rPr>
        <w:t>compliance</w:t>
      </w:r>
      <w:r w:rsidR="00BE6E11" w:rsidRPr="00025B9C">
        <w:rPr>
          <w:rFonts w:asciiTheme="minorHAnsi" w:hAnsiTheme="minorHAnsi" w:cstheme="minorHAnsi"/>
        </w:rPr>
        <w:t>.</w:t>
      </w:r>
      <w:r w:rsidR="007748A6" w:rsidRPr="00025B9C">
        <w:rPr>
          <w:rFonts w:asciiTheme="minorHAnsi" w:hAnsiTheme="minorHAnsi" w:cstheme="minorHAnsi"/>
        </w:rPr>
        <w:t xml:space="preserve"> </w:t>
      </w:r>
      <w:r w:rsidR="00676436" w:rsidRPr="00025B9C">
        <w:rPr>
          <w:rFonts w:asciiTheme="minorHAnsi" w:hAnsiTheme="minorHAnsi" w:cstheme="minorHAnsi"/>
        </w:rPr>
        <w:t>This is because a</w:t>
      </w:r>
      <w:r w:rsidR="007748A6" w:rsidRPr="00025B9C">
        <w:rPr>
          <w:rFonts w:asciiTheme="minorHAnsi" w:hAnsiTheme="minorHAnsi" w:cstheme="minorHAnsi"/>
        </w:rPr>
        <w:t>n explanation encourages companies to tell their story of how they are dealing with complex governance issues</w:t>
      </w:r>
      <w:r w:rsidR="00676436" w:rsidRPr="00025B9C">
        <w:rPr>
          <w:rFonts w:asciiTheme="minorHAnsi" w:hAnsiTheme="minorHAnsi" w:cstheme="minorHAnsi"/>
        </w:rPr>
        <w:t xml:space="preserve"> and is consistent with the spirit embodied </w:t>
      </w:r>
      <w:r w:rsidR="00D13AA6" w:rsidRPr="00025B9C">
        <w:rPr>
          <w:rFonts w:asciiTheme="minorHAnsi" w:hAnsiTheme="minorHAnsi" w:cstheme="minorHAnsi"/>
        </w:rPr>
        <w:t>in codes since</w:t>
      </w:r>
      <w:r w:rsidR="00676436" w:rsidRPr="00025B9C">
        <w:rPr>
          <w:rFonts w:asciiTheme="minorHAnsi" w:hAnsiTheme="minorHAnsi" w:cstheme="minorHAnsi"/>
        </w:rPr>
        <w:t xml:space="preserve"> the formation of the Cadbury Committee</w:t>
      </w:r>
      <w:r w:rsidR="007748A6" w:rsidRPr="00025B9C">
        <w:rPr>
          <w:rFonts w:asciiTheme="minorHAnsi" w:hAnsiTheme="minorHAnsi" w:cstheme="minorHAnsi"/>
        </w:rPr>
        <w:t xml:space="preserve">. </w:t>
      </w:r>
      <w:r w:rsidR="00DF0397" w:rsidRPr="00025B9C">
        <w:rPr>
          <w:rFonts w:asciiTheme="minorHAnsi" w:hAnsiTheme="minorHAnsi" w:cstheme="minorHAnsi"/>
        </w:rPr>
        <w:t>In contrast, c</w:t>
      </w:r>
      <w:r w:rsidR="007748A6" w:rsidRPr="00025B9C">
        <w:rPr>
          <w:rFonts w:asciiTheme="minorHAnsi" w:hAnsiTheme="minorHAnsi" w:cstheme="minorHAnsi"/>
        </w:rPr>
        <w:t>ompli</w:t>
      </w:r>
      <w:r w:rsidR="00E11B47" w:rsidRPr="00025B9C">
        <w:rPr>
          <w:rFonts w:asciiTheme="minorHAnsi" w:hAnsiTheme="minorHAnsi" w:cstheme="minorHAnsi"/>
        </w:rPr>
        <w:t>ance is silent, can be</w:t>
      </w:r>
      <w:r w:rsidR="007748A6" w:rsidRPr="00025B9C">
        <w:rPr>
          <w:rFonts w:asciiTheme="minorHAnsi" w:hAnsiTheme="minorHAnsi" w:cstheme="minorHAnsi"/>
        </w:rPr>
        <w:t xml:space="preserve"> difficult to substantiate</w:t>
      </w:r>
      <w:r w:rsidR="00E11B47" w:rsidRPr="00025B9C">
        <w:rPr>
          <w:rFonts w:asciiTheme="minorHAnsi" w:hAnsiTheme="minorHAnsi" w:cstheme="minorHAnsi"/>
        </w:rPr>
        <w:t xml:space="preserve"> and may not </w:t>
      </w:r>
      <w:r w:rsidR="00C74A53" w:rsidRPr="00025B9C">
        <w:rPr>
          <w:rFonts w:asciiTheme="minorHAnsi" w:hAnsiTheme="minorHAnsi" w:cstheme="minorHAnsi"/>
        </w:rPr>
        <w:t xml:space="preserve">always </w:t>
      </w:r>
      <w:r w:rsidR="00E11B47" w:rsidRPr="00025B9C">
        <w:rPr>
          <w:rFonts w:asciiTheme="minorHAnsi" w:hAnsiTheme="minorHAnsi" w:cstheme="minorHAnsi"/>
        </w:rPr>
        <w:t>be authentic</w:t>
      </w:r>
      <w:r w:rsidR="007748A6" w:rsidRPr="00025B9C">
        <w:rPr>
          <w:rFonts w:asciiTheme="minorHAnsi" w:hAnsiTheme="minorHAnsi" w:cstheme="minorHAnsi"/>
        </w:rPr>
        <w:t>.</w:t>
      </w:r>
    </w:p>
    <w:p w:rsidR="00171300" w:rsidRPr="00025B9C" w:rsidRDefault="00171300" w:rsidP="00D665D9">
      <w:pPr>
        <w:spacing w:line="360" w:lineRule="auto"/>
        <w:jc w:val="both"/>
        <w:rPr>
          <w:rFonts w:asciiTheme="minorHAnsi" w:hAnsiTheme="minorHAnsi" w:cstheme="minorHAnsi"/>
        </w:rPr>
      </w:pPr>
    </w:p>
    <w:p w:rsidR="008F00A2" w:rsidRPr="00025B9C" w:rsidRDefault="00BE6E11" w:rsidP="00D665D9">
      <w:pPr>
        <w:spacing w:line="360" w:lineRule="auto"/>
        <w:jc w:val="both"/>
        <w:rPr>
          <w:rFonts w:asciiTheme="minorHAnsi" w:hAnsiTheme="minorHAnsi" w:cstheme="minorHAnsi"/>
        </w:rPr>
      </w:pPr>
      <w:r w:rsidRPr="00025B9C">
        <w:rPr>
          <w:rFonts w:asciiTheme="minorHAnsi" w:hAnsiTheme="minorHAnsi" w:cstheme="minorHAnsi"/>
        </w:rPr>
        <w:t>N</w:t>
      </w:r>
      <w:r w:rsidR="00872569" w:rsidRPr="00025B9C">
        <w:rPr>
          <w:rFonts w:asciiTheme="minorHAnsi" w:hAnsiTheme="minorHAnsi" w:cstheme="minorHAnsi"/>
        </w:rPr>
        <w:t>on-compliance should</w:t>
      </w:r>
      <w:r w:rsidR="009A57C9" w:rsidRPr="00025B9C">
        <w:rPr>
          <w:rFonts w:asciiTheme="minorHAnsi" w:hAnsiTheme="minorHAnsi" w:cstheme="minorHAnsi"/>
        </w:rPr>
        <w:t>,</w:t>
      </w:r>
      <w:r w:rsidR="00872569" w:rsidRPr="00025B9C">
        <w:rPr>
          <w:rFonts w:asciiTheme="minorHAnsi" w:hAnsiTheme="minorHAnsi" w:cstheme="minorHAnsi"/>
        </w:rPr>
        <w:t xml:space="preserve"> </w:t>
      </w:r>
      <w:r w:rsidR="009A57C9" w:rsidRPr="00025B9C">
        <w:rPr>
          <w:rFonts w:asciiTheme="minorHAnsi" w:hAnsiTheme="minorHAnsi" w:cstheme="minorHAnsi"/>
        </w:rPr>
        <w:t xml:space="preserve">in fact, </w:t>
      </w:r>
      <w:r w:rsidR="00872569" w:rsidRPr="00025B9C">
        <w:rPr>
          <w:rFonts w:asciiTheme="minorHAnsi" w:hAnsiTheme="minorHAnsi" w:cstheme="minorHAnsi"/>
        </w:rPr>
        <w:t xml:space="preserve">be welcomed where company directors have made a clear </w:t>
      </w:r>
      <w:r w:rsidR="00B855CB" w:rsidRPr="00025B9C">
        <w:rPr>
          <w:rFonts w:asciiTheme="minorHAnsi" w:hAnsiTheme="minorHAnsi" w:cstheme="minorHAnsi"/>
        </w:rPr>
        <w:t xml:space="preserve">and conscious </w:t>
      </w:r>
      <w:r w:rsidR="00872569" w:rsidRPr="00025B9C">
        <w:rPr>
          <w:rFonts w:asciiTheme="minorHAnsi" w:hAnsiTheme="minorHAnsi" w:cstheme="minorHAnsi"/>
        </w:rPr>
        <w:t>decision</w:t>
      </w:r>
      <w:r w:rsidR="0059435D" w:rsidRPr="00025B9C">
        <w:rPr>
          <w:rFonts w:asciiTheme="minorHAnsi" w:hAnsiTheme="minorHAnsi" w:cstheme="minorHAnsi"/>
        </w:rPr>
        <w:t xml:space="preserve"> </w:t>
      </w:r>
      <w:r w:rsidR="00C74A53" w:rsidRPr="00025B9C">
        <w:rPr>
          <w:rFonts w:asciiTheme="minorHAnsi" w:hAnsiTheme="minorHAnsi" w:cstheme="minorHAnsi"/>
        </w:rPr>
        <w:t>that</w:t>
      </w:r>
      <w:r w:rsidR="003C1E31" w:rsidRPr="00025B9C">
        <w:rPr>
          <w:rFonts w:asciiTheme="minorHAnsi" w:hAnsiTheme="minorHAnsi" w:cstheme="minorHAnsi"/>
        </w:rPr>
        <w:t>,</w:t>
      </w:r>
      <w:r w:rsidR="00C74A53" w:rsidRPr="00025B9C">
        <w:rPr>
          <w:rFonts w:asciiTheme="minorHAnsi" w:hAnsiTheme="minorHAnsi" w:cstheme="minorHAnsi"/>
        </w:rPr>
        <w:t xml:space="preserve"> in their company’s</w:t>
      </w:r>
      <w:r w:rsidR="00B00C0C" w:rsidRPr="00025B9C">
        <w:rPr>
          <w:rFonts w:asciiTheme="minorHAnsi" w:hAnsiTheme="minorHAnsi" w:cstheme="minorHAnsi"/>
        </w:rPr>
        <w:t xml:space="preserve"> particular circumstance</w:t>
      </w:r>
      <w:r w:rsidR="003C1E31" w:rsidRPr="00025B9C">
        <w:rPr>
          <w:rFonts w:asciiTheme="minorHAnsi" w:hAnsiTheme="minorHAnsi" w:cstheme="minorHAnsi"/>
        </w:rPr>
        <w:t>,</w:t>
      </w:r>
      <w:r w:rsidR="00B00C0C" w:rsidRPr="00025B9C">
        <w:rPr>
          <w:rFonts w:asciiTheme="minorHAnsi" w:hAnsiTheme="minorHAnsi" w:cstheme="minorHAnsi"/>
        </w:rPr>
        <w:t xml:space="preserve"> not to comply is the best approach. Non-compliance </w:t>
      </w:r>
      <w:r w:rsidR="00872569" w:rsidRPr="00025B9C">
        <w:rPr>
          <w:rFonts w:asciiTheme="minorHAnsi" w:hAnsiTheme="minorHAnsi" w:cstheme="minorHAnsi"/>
        </w:rPr>
        <w:t xml:space="preserve">should only be questioned where the explanation is </w:t>
      </w:r>
      <w:r w:rsidR="00B00C0C" w:rsidRPr="00025B9C">
        <w:rPr>
          <w:rFonts w:asciiTheme="minorHAnsi" w:hAnsiTheme="minorHAnsi" w:cstheme="minorHAnsi"/>
        </w:rPr>
        <w:t>poorly crafted</w:t>
      </w:r>
      <w:r w:rsidR="001518B8" w:rsidRPr="00025B9C">
        <w:rPr>
          <w:rFonts w:asciiTheme="minorHAnsi" w:hAnsiTheme="minorHAnsi" w:cstheme="minorHAnsi"/>
        </w:rPr>
        <w:t>, seems inconsistent with other disclosures or</w:t>
      </w:r>
      <w:r w:rsidR="00B00C0C" w:rsidRPr="00025B9C">
        <w:rPr>
          <w:rFonts w:asciiTheme="minorHAnsi" w:hAnsiTheme="minorHAnsi" w:cstheme="minorHAnsi"/>
        </w:rPr>
        <w:t xml:space="preserve"> does not reflect </w:t>
      </w:r>
      <w:r w:rsidR="00C74A53" w:rsidRPr="00025B9C">
        <w:rPr>
          <w:rFonts w:asciiTheme="minorHAnsi" w:hAnsiTheme="minorHAnsi" w:cstheme="minorHAnsi"/>
        </w:rPr>
        <w:t>specific</w:t>
      </w:r>
      <w:r w:rsidR="00B00C0C" w:rsidRPr="00025B9C">
        <w:rPr>
          <w:rFonts w:asciiTheme="minorHAnsi" w:hAnsiTheme="minorHAnsi" w:cstheme="minorHAnsi"/>
        </w:rPr>
        <w:t xml:space="preserve"> circumstances</w:t>
      </w:r>
      <w:r w:rsidR="00872569" w:rsidRPr="00025B9C">
        <w:rPr>
          <w:rFonts w:asciiTheme="minorHAnsi" w:hAnsiTheme="minorHAnsi" w:cstheme="minorHAnsi"/>
        </w:rPr>
        <w:t>.</w:t>
      </w:r>
      <w:r w:rsidRPr="00025B9C">
        <w:rPr>
          <w:rFonts w:asciiTheme="minorHAnsi" w:hAnsiTheme="minorHAnsi" w:cstheme="minorHAnsi"/>
          <w:b/>
        </w:rPr>
        <w:t xml:space="preserve"> </w:t>
      </w:r>
      <w:r w:rsidR="00CD3647" w:rsidRPr="00025B9C">
        <w:rPr>
          <w:rFonts w:asciiTheme="minorHAnsi" w:hAnsiTheme="minorHAnsi" w:cstheme="minorHAnsi"/>
          <w:bCs/>
        </w:rPr>
        <w:t xml:space="preserve">Our analysis of non-compliance explanations using a rhetorical lens considering the persuasiveness </w:t>
      </w:r>
      <w:r w:rsidR="00CF10D3" w:rsidRPr="00025B9C">
        <w:rPr>
          <w:rFonts w:asciiTheme="minorHAnsi" w:hAnsiTheme="minorHAnsi" w:cstheme="minorHAnsi"/>
          <w:bCs/>
        </w:rPr>
        <w:t>of</w:t>
      </w:r>
      <w:r w:rsidR="00CD3647" w:rsidRPr="00025B9C">
        <w:rPr>
          <w:rFonts w:asciiTheme="minorHAnsi" w:hAnsiTheme="minorHAnsi" w:cstheme="minorHAnsi"/>
          <w:bCs/>
        </w:rPr>
        <w:t xml:space="preserve"> those explanations</w:t>
      </w:r>
      <w:r w:rsidR="006A0667" w:rsidRPr="00025B9C">
        <w:rPr>
          <w:rFonts w:asciiTheme="minorHAnsi" w:hAnsiTheme="minorHAnsi" w:cstheme="minorHAnsi"/>
          <w:bCs/>
        </w:rPr>
        <w:t>,</w:t>
      </w:r>
      <w:r w:rsidR="00CD3647" w:rsidRPr="00025B9C">
        <w:rPr>
          <w:rFonts w:asciiTheme="minorHAnsi" w:hAnsiTheme="minorHAnsi" w:cstheme="minorHAnsi"/>
          <w:bCs/>
        </w:rPr>
        <w:t xml:space="preserve"> reveals insights into how non-compliance explanations are crafted, </w:t>
      </w:r>
      <w:r w:rsidR="00B11553" w:rsidRPr="00025B9C">
        <w:rPr>
          <w:rFonts w:asciiTheme="minorHAnsi" w:hAnsiTheme="minorHAnsi" w:cstheme="minorHAnsi"/>
          <w:bCs/>
        </w:rPr>
        <w:t xml:space="preserve">something </w:t>
      </w:r>
      <w:r w:rsidR="00CD3647" w:rsidRPr="00025B9C">
        <w:rPr>
          <w:rFonts w:asciiTheme="minorHAnsi" w:hAnsiTheme="minorHAnsi" w:cstheme="minorHAnsi"/>
          <w:bCs/>
        </w:rPr>
        <w:t>investors and readers of annual reports might find helpful in their assessment of those disclosures.</w:t>
      </w:r>
    </w:p>
    <w:p w:rsidR="00431D53" w:rsidRPr="00025B9C" w:rsidRDefault="00431D53" w:rsidP="00D665D9">
      <w:pPr>
        <w:spacing w:line="360" w:lineRule="auto"/>
        <w:jc w:val="both"/>
        <w:rPr>
          <w:rFonts w:asciiTheme="minorHAnsi" w:hAnsiTheme="minorHAnsi" w:cstheme="minorHAnsi"/>
        </w:rPr>
      </w:pPr>
    </w:p>
    <w:p w:rsidR="00671303" w:rsidRPr="00025B9C" w:rsidRDefault="009A57C9" w:rsidP="00D665D9">
      <w:pPr>
        <w:spacing w:line="360" w:lineRule="auto"/>
        <w:jc w:val="both"/>
        <w:rPr>
          <w:rFonts w:asciiTheme="minorHAnsi" w:hAnsiTheme="minorHAnsi" w:cstheme="minorHAnsi"/>
        </w:rPr>
      </w:pPr>
      <w:r w:rsidRPr="00025B9C">
        <w:rPr>
          <w:rFonts w:asciiTheme="minorHAnsi" w:hAnsiTheme="minorHAnsi" w:cstheme="minorHAnsi"/>
        </w:rPr>
        <w:t xml:space="preserve">This paper has a number of limitations. The typology is not necessarily comprehensive and </w:t>
      </w:r>
      <w:r w:rsidR="002E35F5" w:rsidRPr="00025B9C">
        <w:rPr>
          <w:rFonts w:asciiTheme="minorHAnsi" w:hAnsiTheme="minorHAnsi" w:cstheme="minorHAnsi"/>
        </w:rPr>
        <w:t>inevitably involves</w:t>
      </w:r>
      <w:r w:rsidRPr="00025B9C">
        <w:rPr>
          <w:rFonts w:asciiTheme="minorHAnsi" w:hAnsiTheme="minorHAnsi" w:cstheme="minorHAnsi"/>
        </w:rPr>
        <w:t xml:space="preserve"> a </w:t>
      </w:r>
      <w:r w:rsidR="002E35F5" w:rsidRPr="00025B9C">
        <w:rPr>
          <w:rFonts w:asciiTheme="minorHAnsi" w:hAnsiTheme="minorHAnsi" w:cstheme="minorHAnsi"/>
        </w:rPr>
        <w:t>degree</w:t>
      </w:r>
      <w:r w:rsidRPr="00025B9C">
        <w:rPr>
          <w:rFonts w:asciiTheme="minorHAnsi" w:hAnsiTheme="minorHAnsi" w:cstheme="minorHAnsi"/>
        </w:rPr>
        <w:t xml:space="preserve"> of judgment</w:t>
      </w:r>
      <w:r w:rsidR="009F0468" w:rsidRPr="00025B9C">
        <w:rPr>
          <w:rFonts w:asciiTheme="minorHAnsi" w:hAnsiTheme="minorHAnsi" w:cstheme="minorHAnsi"/>
        </w:rPr>
        <w:t>.</w:t>
      </w:r>
      <w:r w:rsidRPr="00025B9C">
        <w:rPr>
          <w:rFonts w:asciiTheme="minorHAnsi" w:hAnsiTheme="minorHAnsi" w:cstheme="minorHAnsi"/>
        </w:rPr>
        <w:t xml:space="preserve"> Nevertheless, some important areas have been highlighted and these remain topic</w:t>
      </w:r>
      <w:r w:rsidR="00A0439A" w:rsidRPr="00025B9C">
        <w:rPr>
          <w:rFonts w:asciiTheme="minorHAnsi" w:hAnsiTheme="minorHAnsi" w:cstheme="minorHAnsi"/>
        </w:rPr>
        <w:t>s</w:t>
      </w:r>
      <w:r w:rsidRPr="00025B9C">
        <w:rPr>
          <w:rFonts w:asciiTheme="minorHAnsi" w:hAnsiTheme="minorHAnsi" w:cstheme="minorHAnsi"/>
        </w:rPr>
        <w:t xml:space="preserve"> for further research. </w:t>
      </w:r>
      <w:r w:rsidR="00C1523F" w:rsidRPr="00025B9C">
        <w:rPr>
          <w:rFonts w:asciiTheme="minorHAnsi" w:hAnsiTheme="minorHAnsi" w:cstheme="minorHAnsi"/>
        </w:rPr>
        <w:t>A</w:t>
      </w:r>
      <w:r w:rsidR="002A194B" w:rsidRPr="00025B9C">
        <w:rPr>
          <w:rFonts w:asciiTheme="minorHAnsi" w:hAnsiTheme="minorHAnsi" w:cstheme="minorHAnsi"/>
        </w:rPr>
        <w:t xml:space="preserve"> </w:t>
      </w:r>
      <w:r w:rsidR="00FB36C2" w:rsidRPr="00025B9C">
        <w:rPr>
          <w:rFonts w:asciiTheme="minorHAnsi" w:hAnsiTheme="minorHAnsi" w:cstheme="minorHAnsi"/>
        </w:rPr>
        <w:t xml:space="preserve">related </w:t>
      </w:r>
      <w:r w:rsidR="002A194B" w:rsidRPr="00025B9C">
        <w:rPr>
          <w:rFonts w:asciiTheme="minorHAnsi" w:hAnsiTheme="minorHAnsi" w:cstheme="minorHAnsi"/>
        </w:rPr>
        <w:t xml:space="preserve">rhetorical lens is </w:t>
      </w:r>
      <w:r w:rsidR="00FB36C2" w:rsidRPr="00025B9C">
        <w:rPr>
          <w:rFonts w:asciiTheme="minorHAnsi" w:hAnsiTheme="minorHAnsi" w:cstheme="minorHAnsi"/>
        </w:rPr>
        <w:t xml:space="preserve">that </w:t>
      </w:r>
      <w:r w:rsidR="002A194B" w:rsidRPr="00025B9C">
        <w:rPr>
          <w:rFonts w:asciiTheme="minorHAnsi" w:hAnsiTheme="minorHAnsi" w:cstheme="minorHAnsi"/>
        </w:rPr>
        <w:t xml:space="preserve">of compliance rhetoric. There is some evidence of compliance rhetoric in the explanations, possibly used merely to manage appearances (Parker, 2000). </w:t>
      </w:r>
      <w:r w:rsidR="00671303" w:rsidRPr="00025B9C">
        <w:rPr>
          <w:rFonts w:asciiTheme="minorHAnsi" w:hAnsiTheme="minorHAnsi" w:cstheme="minorHAnsi"/>
        </w:rPr>
        <w:t>In addition, the</w:t>
      </w:r>
      <w:r w:rsidR="00F14C20" w:rsidRPr="00025B9C">
        <w:rPr>
          <w:rFonts w:asciiTheme="minorHAnsi" w:hAnsiTheme="minorHAnsi" w:cstheme="minorHAnsi"/>
        </w:rPr>
        <w:t>re is the</w:t>
      </w:r>
      <w:r w:rsidR="00671303" w:rsidRPr="00025B9C">
        <w:rPr>
          <w:rFonts w:asciiTheme="minorHAnsi" w:hAnsiTheme="minorHAnsi" w:cstheme="minorHAnsi"/>
        </w:rPr>
        <w:t xml:space="preserve"> question of rhetoric versus reality</w:t>
      </w:r>
      <w:r w:rsidR="00F14C20" w:rsidRPr="00025B9C">
        <w:rPr>
          <w:rFonts w:asciiTheme="minorHAnsi" w:hAnsiTheme="minorHAnsi" w:cstheme="minorHAnsi"/>
        </w:rPr>
        <w:t xml:space="preserve"> </w:t>
      </w:r>
      <w:r w:rsidR="00671303" w:rsidRPr="00025B9C">
        <w:rPr>
          <w:rFonts w:asciiTheme="minorHAnsi" w:hAnsiTheme="minorHAnsi" w:cstheme="minorHAnsi"/>
        </w:rPr>
        <w:t xml:space="preserve">– how does the practical reality within organizations </w:t>
      </w:r>
      <w:r w:rsidR="00F14C20" w:rsidRPr="00025B9C">
        <w:rPr>
          <w:rFonts w:asciiTheme="minorHAnsi" w:hAnsiTheme="minorHAnsi" w:cstheme="minorHAnsi"/>
        </w:rPr>
        <w:t>reflect the substance in practice</w:t>
      </w:r>
      <w:r w:rsidR="00C74A53" w:rsidRPr="00025B9C">
        <w:rPr>
          <w:rFonts w:asciiTheme="minorHAnsi" w:hAnsiTheme="minorHAnsi" w:cstheme="minorHAnsi"/>
        </w:rPr>
        <w:t>?</w:t>
      </w:r>
      <w:r w:rsidR="00A7173A" w:rsidRPr="00025B9C">
        <w:rPr>
          <w:rFonts w:asciiTheme="minorHAnsi" w:hAnsiTheme="minorHAnsi" w:cstheme="minorHAnsi"/>
        </w:rPr>
        <w:t xml:space="preserve"> </w:t>
      </w:r>
      <w:r w:rsidR="00F14C20" w:rsidRPr="00025B9C">
        <w:rPr>
          <w:rFonts w:asciiTheme="minorHAnsi" w:hAnsiTheme="minorHAnsi" w:cstheme="minorHAnsi"/>
        </w:rPr>
        <w:t>In this paper, w</w:t>
      </w:r>
      <w:r w:rsidR="00A7173A" w:rsidRPr="00025B9C">
        <w:rPr>
          <w:rFonts w:asciiTheme="minorHAnsi" w:hAnsiTheme="minorHAnsi" w:cstheme="minorHAnsi"/>
        </w:rPr>
        <w:t xml:space="preserve">e use of the term rhetoric </w:t>
      </w:r>
      <w:r w:rsidR="00E27859" w:rsidRPr="00025B9C">
        <w:rPr>
          <w:rFonts w:asciiTheme="minorHAnsi" w:hAnsiTheme="minorHAnsi" w:cstheme="minorHAnsi"/>
        </w:rPr>
        <w:t xml:space="preserve">benignly </w:t>
      </w:r>
      <w:r w:rsidR="00A7173A" w:rsidRPr="00025B9C">
        <w:rPr>
          <w:rFonts w:asciiTheme="minorHAnsi" w:hAnsiTheme="minorHAnsi" w:cstheme="minorHAnsi"/>
        </w:rPr>
        <w:t xml:space="preserve">to mean persuasion. </w:t>
      </w:r>
      <w:r w:rsidR="00E27859" w:rsidRPr="00025B9C">
        <w:rPr>
          <w:rFonts w:asciiTheme="minorHAnsi" w:hAnsiTheme="minorHAnsi" w:cstheme="minorHAnsi"/>
        </w:rPr>
        <w:t>A darker</w:t>
      </w:r>
      <w:r w:rsidR="00A7173A" w:rsidRPr="00025B9C">
        <w:rPr>
          <w:rFonts w:asciiTheme="minorHAnsi" w:hAnsiTheme="minorHAnsi" w:cstheme="minorHAnsi"/>
        </w:rPr>
        <w:t xml:space="preserve"> alternative conceptualisation is that rhetoric is </w:t>
      </w:r>
      <w:r w:rsidR="00E27859" w:rsidRPr="00025B9C">
        <w:rPr>
          <w:rFonts w:asciiTheme="minorHAnsi" w:hAnsiTheme="minorHAnsi" w:cstheme="minorHAnsi"/>
        </w:rPr>
        <w:t>used for manipulative purposes</w:t>
      </w:r>
      <w:r w:rsidR="00A7173A" w:rsidRPr="00025B9C">
        <w:rPr>
          <w:rFonts w:asciiTheme="minorHAnsi" w:hAnsiTheme="minorHAnsi" w:cstheme="minorHAnsi"/>
        </w:rPr>
        <w:t xml:space="preserve"> (</w:t>
      </w:r>
      <w:proofErr w:type="spellStart"/>
      <w:r w:rsidR="00A7173A" w:rsidRPr="00025B9C">
        <w:rPr>
          <w:rFonts w:asciiTheme="minorHAnsi" w:hAnsiTheme="minorHAnsi" w:cstheme="minorHAnsi"/>
        </w:rPr>
        <w:t>Takala</w:t>
      </w:r>
      <w:proofErr w:type="spellEnd"/>
      <w:r w:rsidR="00A7173A" w:rsidRPr="00025B9C">
        <w:rPr>
          <w:rFonts w:asciiTheme="minorHAnsi" w:hAnsiTheme="minorHAnsi" w:cstheme="minorHAnsi"/>
        </w:rPr>
        <w:t xml:space="preserve">, </w:t>
      </w:r>
      <w:r w:rsidR="00AA5CE0" w:rsidRPr="00025B9C">
        <w:rPr>
          <w:rFonts w:asciiTheme="minorHAnsi" w:hAnsiTheme="minorHAnsi" w:cstheme="minorHAnsi"/>
        </w:rPr>
        <w:t>1998</w:t>
      </w:r>
      <w:r w:rsidR="00A7173A" w:rsidRPr="00025B9C">
        <w:rPr>
          <w:rFonts w:asciiTheme="minorHAnsi" w:hAnsiTheme="minorHAnsi" w:cstheme="minorHAnsi"/>
        </w:rPr>
        <w:t>).</w:t>
      </w:r>
      <w:r w:rsidR="00F14C20" w:rsidRPr="00025B9C">
        <w:rPr>
          <w:rFonts w:asciiTheme="minorHAnsi" w:hAnsiTheme="minorHAnsi" w:cstheme="minorHAnsi"/>
        </w:rPr>
        <w:t xml:space="preserve"> </w:t>
      </w:r>
      <w:r w:rsidR="006113DD" w:rsidRPr="00025B9C">
        <w:rPr>
          <w:rFonts w:asciiTheme="minorHAnsi" w:hAnsiTheme="minorHAnsi" w:cstheme="minorHAnsi"/>
        </w:rPr>
        <w:t xml:space="preserve">Further work needs to examine companies that persistently do not comply for a number of years (serial non-compliers), whether their explanations </w:t>
      </w:r>
      <w:r w:rsidR="006113DD" w:rsidRPr="00025B9C">
        <w:rPr>
          <w:rFonts w:asciiTheme="minorHAnsi" w:hAnsiTheme="minorHAnsi" w:cstheme="minorHAnsi"/>
          <w:lang w:val="en-IE"/>
        </w:rPr>
        <w:t xml:space="preserve">change over time </w:t>
      </w:r>
      <w:r w:rsidR="006113DD" w:rsidRPr="00025B9C">
        <w:rPr>
          <w:rFonts w:asciiTheme="minorHAnsi" w:hAnsiTheme="minorHAnsi" w:cstheme="minorHAnsi"/>
        </w:rPr>
        <w:t xml:space="preserve">and any </w:t>
      </w:r>
      <w:r w:rsidR="00336AC8" w:rsidRPr="00025B9C">
        <w:rPr>
          <w:rFonts w:asciiTheme="minorHAnsi" w:hAnsiTheme="minorHAnsi" w:cstheme="minorHAnsi"/>
        </w:rPr>
        <w:t xml:space="preserve">implications </w:t>
      </w:r>
      <w:r w:rsidR="006113DD" w:rsidRPr="00025B9C">
        <w:rPr>
          <w:rFonts w:asciiTheme="minorHAnsi" w:hAnsiTheme="minorHAnsi" w:cstheme="minorHAnsi"/>
        </w:rPr>
        <w:t xml:space="preserve">this might have on future changes to the Code. Future research could examine the use of rhetoric by non-compliance breach and within </w:t>
      </w:r>
      <w:r w:rsidR="00E06C5B" w:rsidRPr="00025B9C">
        <w:rPr>
          <w:rFonts w:asciiTheme="minorHAnsi" w:hAnsiTheme="minorHAnsi" w:cstheme="minorHAnsi"/>
        </w:rPr>
        <w:t xml:space="preserve">industry </w:t>
      </w:r>
      <w:r w:rsidR="006113DD" w:rsidRPr="00025B9C">
        <w:rPr>
          <w:rFonts w:asciiTheme="minorHAnsi" w:hAnsiTheme="minorHAnsi" w:cstheme="minorHAnsi"/>
        </w:rPr>
        <w:t xml:space="preserve">sectors. </w:t>
      </w:r>
    </w:p>
    <w:p w:rsidR="00E45B0F" w:rsidRPr="00025B9C" w:rsidRDefault="00EB2B12" w:rsidP="00D665D9">
      <w:pPr>
        <w:spacing w:line="360" w:lineRule="auto"/>
        <w:jc w:val="both"/>
        <w:rPr>
          <w:rFonts w:asciiTheme="minorHAnsi" w:hAnsiTheme="minorHAnsi" w:cstheme="minorHAnsi"/>
        </w:rPr>
      </w:pPr>
      <w:r w:rsidRPr="00025B9C">
        <w:rPr>
          <w:rFonts w:asciiTheme="minorHAnsi" w:hAnsiTheme="minorHAnsi" w:cstheme="minorHAnsi"/>
        </w:rPr>
        <w:t xml:space="preserve">Meaning-oriented content analysis was adopted in this research. </w:t>
      </w:r>
      <w:r w:rsidR="004751AD" w:rsidRPr="00025B9C">
        <w:rPr>
          <w:rFonts w:asciiTheme="minorHAnsi" w:hAnsiTheme="minorHAnsi" w:cstheme="minorHAnsi"/>
          <w:lang w:val="en-IE"/>
        </w:rPr>
        <w:t xml:space="preserve">While meaning-oriented coding approaches are well established in the financial reporting literature, </w:t>
      </w:r>
      <w:r w:rsidR="004751AD" w:rsidRPr="00025B9C">
        <w:rPr>
          <w:rFonts w:asciiTheme="minorHAnsi" w:hAnsiTheme="minorHAnsi" w:cstheme="minorHAnsi"/>
        </w:rPr>
        <w:t xml:space="preserve">we acknowledge the limitations of efforts to code segments of text that attempt to establish </w:t>
      </w:r>
      <w:r w:rsidR="00224EAB" w:rsidRPr="00025B9C">
        <w:rPr>
          <w:rFonts w:asciiTheme="minorHAnsi" w:hAnsiTheme="minorHAnsi" w:cstheme="minorHAnsi"/>
        </w:rPr>
        <w:t>and standardiz</w:t>
      </w:r>
      <w:r w:rsidR="004751AD" w:rsidRPr="00025B9C">
        <w:rPr>
          <w:rFonts w:asciiTheme="minorHAnsi" w:hAnsiTheme="minorHAnsi" w:cstheme="minorHAnsi"/>
        </w:rPr>
        <w:t>e their meaning, which may frustrate retrieval of the nuanced meanings that explain action (</w:t>
      </w:r>
      <w:proofErr w:type="spellStart"/>
      <w:r w:rsidR="004751AD" w:rsidRPr="00025B9C">
        <w:rPr>
          <w:rFonts w:asciiTheme="minorHAnsi" w:hAnsiTheme="minorHAnsi" w:cstheme="minorHAnsi"/>
        </w:rPr>
        <w:t>Biernacki</w:t>
      </w:r>
      <w:proofErr w:type="spellEnd"/>
      <w:r w:rsidR="004751AD" w:rsidRPr="00025B9C">
        <w:rPr>
          <w:rFonts w:asciiTheme="minorHAnsi" w:hAnsiTheme="minorHAnsi" w:cstheme="minorHAnsi"/>
        </w:rPr>
        <w:t xml:space="preserve">, 2014). </w:t>
      </w:r>
      <w:r w:rsidR="00E45B0F" w:rsidRPr="00025B9C">
        <w:rPr>
          <w:rFonts w:asciiTheme="minorHAnsi" w:hAnsiTheme="minorHAnsi" w:cstheme="minorHAnsi"/>
        </w:rPr>
        <w:t xml:space="preserve">In relation to interview data, Augustine (2014) suggests an alternative analytical approach that does not entail coding - rather she uses writing and reading (about and of the interview data) as methods of inquiry and analysis. </w:t>
      </w:r>
      <w:proofErr w:type="spellStart"/>
      <w:r w:rsidR="004751AD" w:rsidRPr="00025B9C">
        <w:rPr>
          <w:rFonts w:asciiTheme="minorHAnsi" w:hAnsiTheme="minorHAnsi" w:cstheme="minorHAnsi"/>
        </w:rPr>
        <w:t>Biernacki</w:t>
      </w:r>
      <w:proofErr w:type="spellEnd"/>
      <w:r w:rsidR="004751AD" w:rsidRPr="00025B9C">
        <w:rPr>
          <w:rFonts w:asciiTheme="minorHAnsi" w:hAnsiTheme="minorHAnsi" w:cstheme="minorHAnsi"/>
        </w:rPr>
        <w:t xml:space="preserve"> </w:t>
      </w:r>
      <w:r w:rsidR="004751AD" w:rsidRPr="00025B9C">
        <w:rPr>
          <w:rFonts w:asciiTheme="minorHAnsi" w:hAnsiTheme="minorHAnsi" w:cstheme="minorHAnsi"/>
          <w:lang w:val="en-IE"/>
        </w:rPr>
        <w:t>(</w:t>
      </w:r>
      <w:r w:rsidR="004751AD" w:rsidRPr="00025B9C">
        <w:rPr>
          <w:rFonts w:asciiTheme="minorHAnsi" w:hAnsiTheme="minorHAnsi" w:cstheme="minorHAnsi"/>
        </w:rPr>
        <w:t xml:space="preserve">2014) advocates a humanist approach where context is integral to the determination of meaning. </w:t>
      </w:r>
      <w:r w:rsidR="00D5789D" w:rsidRPr="00025B9C">
        <w:rPr>
          <w:rFonts w:asciiTheme="minorHAnsi" w:hAnsiTheme="minorHAnsi" w:cstheme="minorHAnsi"/>
        </w:rPr>
        <w:t xml:space="preserve">Explanations for non-compliance </w:t>
      </w:r>
      <w:r w:rsidR="00224EAB" w:rsidRPr="00025B9C">
        <w:rPr>
          <w:rFonts w:asciiTheme="minorHAnsi" w:hAnsiTheme="minorHAnsi" w:cstheme="minorHAnsi"/>
        </w:rPr>
        <w:t>should be customiz</w:t>
      </w:r>
      <w:r w:rsidR="00D5789D" w:rsidRPr="00025B9C">
        <w:rPr>
          <w:rFonts w:asciiTheme="minorHAnsi" w:hAnsiTheme="minorHAnsi" w:cstheme="minorHAnsi"/>
        </w:rPr>
        <w:t>ed to context</w:t>
      </w:r>
      <w:r w:rsidR="00D5789D" w:rsidRPr="00025B9C">
        <w:rPr>
          <w:rFonts w:asciiTheme="minorHAnsi" w:hAnsiTheme="minorHAnsi" w:cstheme="minorHAnsi"/>
          <w:lang w:val="en-IE"/>
        </w:rPr>
        <w:t xml:space="preserve">: </w:t>
      </w:r>
      <w:r w:rsidR="00D5789D" w:rsidRPr="00025B9C">
        <w:rPr>
          <w:rFonts w:asciiTheme="minorHAnsi" w:hAnsiTheme="minorHAnsi" w:cstheme="minorHAnsi"/>
          <w:lang w:eastAsia="en-IE"/>
        </w:rPr>
        <w:t xml:space="preserve">should </w:t>
      </w:r>
      <w:r w:rsidR="007400BE" w:rsidRPr="00025B9C">
        <w:rPr>
          <w:rFonts w:asciiTheme="minorHAnsi" w:hAnsiTheme="minorHAnsi" w:cstheme="minorHAnsi"/>
          <w:lang w:eastAsia="en-IE"/>
        </w:rPr>
        <w:t>“</w:t>
      </w:r>
      <w:r w:rsidR="00D5789D" w:rsidRPr="00025B9C">
        <w:rPr>
          <w:rFonts w:asciiTheme="minorHAnsi" w:hAnsiTheme="minorHAnsi" w:cstheme="minorHAnsi"/>
          <w:lang w:eastAsia="en-IE"/>
        </w:rPr>
        <w:t>set the context and historical background” (FRC</w:t>
      </w:r>
      <w:r w:rsidR="00AA5CE0" w:rsidRPr="00025B9C">
        <w:rPr>
          <w:rFonts w:asciiTheme="minorHAnsi" w:hAnsiTheme="minorHAnsi" w:cstheme="minorHAnsi"/>
          <w:lang w:eastAsia="en-IE"/>
        </w:rPr>
        <w:t>,</w:t>
      </w:r>
      <w:r w:rsidR="00D5789D" w:rsidRPr="00025B9C">
        <w:rPr>
          <w:rFonts w:asciiTheme="minorHAnsi" w:hAnsiTheme="minorHAnsi" w:cstheme="minorHAnsi"/>
          <w:lang w:eastAsia="en-IE"/>
        </w:rPr>
        <w:t xml:space="preserve"> 2012b, p. 6)</w:t>
      </w:r>
      <w:r w:rsidR="00D5789D" w:rsidRPr="00025B9C">
        <w:rPr>
          <w:rFonts w:asciiTheme="minorHAnsi" w:hAnsiTheme="minorHAnsi" w:cstheme="minorHAnsi"/>
        </w:rPr>
        <w:t xml:space="preserve">. </w:t>
      </w:r>
      <w:r w:rsidR="00E45B0F" w:rsidRPr="00025B9C">
        <w:rPr>
          <w:rFonts w:asciiTheme="minorHAnsi" w:hAnsiTheme="minorHAnsi" w:cstheme="minorHAnsi"/>
        </w:rPr>
        <w:t>Discourse analysis may offer an alternative methodological approach for future research, taking into consideration the wider context.</w:t>
      </w:r>
    </w:p>
    <w:p w:rsidR="00503B85" w:rsidRPr="00025B9C" w:rsidRDefault="00503B85" w:rsidP="00D665D9">
      <w:pPr>
        <w:spacing w:line="360" w:lineRule="auto"/>
        <w:jc w:val="both"/>
        <w:rPr>
          <w:rFonts w:asciiTheme="minorHAnsi" w:hAnsiTheme="minorHAnsi" w:cstheme="minorHAnsi"/>
        </w:rPr>
      </w:pPr>
    </w:p>
    <w:p w:rsidR="004025F6" w:rsidRPr="00025B9C" w:rsidRDefault="00195F85" w:rsidP="00D665D9">
      <w:pPr>
        <w:spacing w:line="360" w:lineRule="auto"/>
        <w:jc w:val="both"/>
        <w:rPr>
          <w:rFonts w:asciiTheme="minorHAnsi" w:hAnsiTheme="minorHAnsi" w:cstheme="minorHAnsi"/>
        </w:rPr>
      </w:pPr>
      <w:r w:rsidRPr="00025B9C">
        <w:rPr>
          <w:rFonts w:asciiTheme="minorHAnsi" w:hAnsiTheme="minorHAnsi" w:cstheme="minorHAnsi"/>
        </w:rPr>
        <w:t xml:space="preserve">Do readers care about </w:t>
      </w:r>
      <w:r w:rsidR="00634A79" w:rsidRPr="00025B9C">
        <w:rPr>
          <w:rFonts w:asciiTheme="minorHAnsi" w:hAnsiTheme="minorHAnsi" w:cstheme="minorHAnsi"/>
        </w:rPr>
        <w:t>‘</w:t>
      </w:r>
      <w:r w:rsidRPr="00025B9C">
        <w:rPr>
          <w:rFonts w:asciiTheme="minorHAnsi" w:hAnsiTheme="minorHAnsi" w:cstheme="minorHAnsi"/>
        </w:rPr>
        <w:t>comply-or-explain</w:t>
      </w:r>
      <w:r w:rsidR="00634A79" w:rsidRPr="00025B9C">
        <w:rPr>
          <w:rFonts w:asciiTheme="minorHAnsi" w:hAnsiTheme="minorHAnsi" w:cstheme="minorHAnsi"/>
        </w:rPr>
        <w:t>’</w:t>
      </w:r>
      <w:r w:rsidRPr="00025B9C">
        <w:rPr>
          <w:rFonts w:asciiTheme="minorHAnsi" w:hAnsiTheme="minorHAnsi" w:cstheme="minorHAnsi"/>
        </w:rPr>
        <w:t xml:space="preserve"> disclosures? </w:t>
      </w:r>
      <w:r w:rsidR="00950E12" w:rsidRPr="00025B9C">
        <w:rPr>
          <w:rFonts w:asciiTheme="minorHAnsi" w:hAnsiTheme="minorHAnsi" w:cstheme="minorHAnsi"/>
        </w:rPr>
        <w:t>Further w</w:t>
      </w:r>
      <w:r w:rsidR="00AC0A77" w:rsidRPr="00025B9C">
        <w:rPr>
          <w:rFonts w:asciiTheme="minorHAnsi" w:hAnsiTheme="minorHAnsi" w:cstheme="minorHAnsi"/>
        </w:rPr>
        <w:t xml:space="preserve">ork relating to the impact </w:t>
      </w:r>
      <w:r w:rsidR="00D46AA0" w:rsidRPr="00025B9C">
        <w:rPr>
          <w:rFonts w:asciiTheme="minorHAnsi" w:hAnsiTheme="minorHAnsi" w:cstheme="minorHAnsi"/>
        </w:rPr>
        <w:t xml:space="preserve">of </w:t>
      </w:r>
      <w:r w:rsidR="00DB7D5E" w:rsidRPr="00025B9C">
        <w:rPr>
          <w:rFonts w:asciiTheme="minorHAnsi" w:hAnsiTheme="minorHAnsi" w:cstheme="minorHAnsi"/>
        </w:rPr>
        <w:t xml:space="preserve">rhetorical </w:t>
      </w:r>
      <w:r w:rsidR="00D46AA0" w:rsidRPr="00025B9C">
        <w:rPr>
          <w:rFonts w:asciiTheme="minorHAnsi" w:hAnsiTheme="minorHAnsi" w:cstheme="minorHAnsi"/>
        </w:rPr>
        <w:t>strategies</w:t>
      </w:r>
      <w:r w:rsidR="00AC0A77" w:rsidRPr="00025B9C">
        <w:rPr>
          <w:rFonts w:asciiTheme="minorHAnsi" w:hAnsiTheme="minorHAnsi" w:cstheme="minorHAnsi"/>
        </w:rPr>
        <w:t xml:space="preserve"> on readers is also needed (see Stanton</w:t>
      </w:r>
      <w:r w:rsidR="00AB7626" w:rsidRPr="00025B9C">
        <w:rPr>
          <w:rFonts w:asciiTheme="minorHAnsi" w:hAnsiTheme="minorHAnsi" w:cstheme="minorHAnsi"/>
        </w:rPr>
        <w:t xml:space="preserve">, Stanton &amp; </w:t>
      </w:r>
      <w:proofErr w:type="spellStart"/>
      <w:r w:rsidR="00AB7626" w:rsidRPr="00025B9C">
        <w:rPr>
          <w:rFonts w:asciiTheme="minorHAnsi" w:hAnsiTheme="minorHAnsi" w:cstheme="minorHAnsi"/>
        </w:rPr>
        <w:t>Pires</w:t>
      </w:r>
      <w:proofErr w:type="spellEnd"/>
      <w:r w:rsidR="00AD785B" w:rsidRPr="00025B9C">
        <w:rPr>
          <w:rFonts w:asciiTheme="minorHAnsi" w:hAnsiTheme="minorHAnsi" w:cstheme="minorHAnsi"/>
        </w:rPr>
        <w:t xml:space="preserve">, </w:t>
      </w:r>
      <w:r w:rsidR="00AC0A77" w:rsidRPr="00025B9C">
        <w:rPr>
          <w:rFonts w:asciiTheme="minorHAnsi" w:hAnsiTheme="minorHAnsi" w:cstheme="minorHAnsi"/>
        </w:rPr>
        <w:t>20</w:t>
      </w:r>
      <w:r w:rsidR="00AD785B" w:rsidRPr="00025B9C">
        <w:rPr>
          <w:rFonts w:asciiTheme="minorHAnsi" w:hAnsiTheme="minorHAnsi" w:cstheme="minorHAnsi"/>
        </w:rPr>
        <w:t>0</w:t>
      </w:r>
      <w:r w:rsidR="00AC0A77" w:rsidRPr="00025B9C">
        <w:rPr>
          <w:rFonts w:asciiTheme="minorHAnsi" w:hAnsiTheme="minorHAnsi" w:cstheme="minorHAnsi"/>
        </w:rPr>
        <w:t>4</w:t>
      </w:r>
      <w:r w:rsidR="00AD785B" w:rsidRPr="00025B9C">
        <w:rPr>
          <w:rFonts w:asciiTheme="minorHAnsi" w:hAnsiTheme="minorHAnsi" w:cstheme="minorHAnsi"/>
        </w:rPr>
        <w:t xml:space="preserve">). </w:t>
      </w:r>
      <w:r w:rsidR="00126202" w:rsidRPr="00025B9C">
        <w:rPr>
          <w:rFonts w:asciiTheme="minorHAnsi" w:hAnsiTheme="minorHAnsi" w:cstheme="minorHAnsi"/>
        </w:rPr>
        <w:t xml:space="preserve">In particular, are certain </w:t>
      </w:r>
      <w:r w:rsidR="003C1E31" w:rsidRPr="00025B9C">
        <w:rPr>
          <w:rFonts w:asciiTheme="minorHAnsi" w:hAnsiTheme="minorHAnsi" w:cstheme="minorHAnsi"/>
        </w:rPr>
        <w:t>rhetorical strategies</w:t>
      </w:r>
      <w:r w:rsidR="00126202" w:rsidRPr="00025B9C">
        <w:rPr>
          <w:rFonts w:asciiTheme="minorHAnsi" w:hAnsiTheme="minorHAnsi" w:cstheme="minorHAnsi"/>
        </w:rPr>
        <w:t xml:space="preserve"> (alone or in combination) more effective than others at convincing readers? </w:t>
      </w:r>
      <w:r w:rsidRPr="00025B9C">
        <w:rPr>
          <w:rFonts w:asciiTheme="minorHAnsi" w:hAnsiTheme="minorHAnsi" w:cstheme="minorHAnsi"/>
        </w:rPr>
        <w:t>We believe</w:t>
      </w:r>
      <w:r w:rsidR="00375782" w:rsidRPr="00025B9C">
        <w:rPr>
          <w:rFonts w:asciiTheme="minorHAnsi" w:hAnsiTheme="minorHAnsi" w:cstheme="minorHAnsi"/>
        </w:rPr>
        <w:t xml:space="preserve"> that where </w:t>
      </w:r>
      <w:r w:rsidR="003C1E31" w:rsidRPr="00025B9C">
        <w:rPr>
          <w:rFonts w:asciiTheme="minorHAnsi" w:hAnsiTheme="minorHAnsi" w:cstheme="minorHAnsi"/>
        </w:rPr>
        <w:t>rhetorical strategies</w:t>
      </w:r>
      <w:r w:rsidR="00375782" w:rsidRPr="00025B9C">
        <w:rPr>
          <w:rFonts w:asciiTheme="minorHAnsi" w:hAnsiTheme="minorHAnsi" w:cstheme="minorHAnsi"/>
        </w:rPr>
        <w:t xml:space="preserve"> are used together they are likely to be more </w:t>
      </w:r>
      <w:r w:rsidRPr="00025B9C">
        <w:rPr>
          <w:rFonts w:asciiTheme="minorHAnsi" w:hAnsiTheme="minorHAnsi" w:cstheme="minorHAnsi"/>
        </w:rPr>
        <w:t>convincing</w:t>
      </w:r>
      <w:r w:rsidR="00375782" w:rsidRPr="00025B9C">
        <w:rPr>
          <w:rFonts w:asciiTheme="minorHAnsi" w:hAnsiTheme="minorHAnsi" w:cstheme="minorHAnsi"/>
        </w:rPr>
        <w:t xml:space="preserve"> but they may not be better explanations. </w:t>
      </w:r>
      <w:r w:rsidR="00AD785B" w:rsidRPr="00025B9C">
        <w:rPr>
          <w:rFonts w:asciiTheme="minorHAnsi" w:hAnsiTheme="minorHAnsi" w:cstheme="minorHAnsi"/>
        </w:rPr>
        <w:t>Finally</w:t>
      </w:r>
      <w:r w:rsidR="00D46AA0" w:rsidRPr="00025B9C">
        <w:rPr>
          <w:rFonts w:asciiTheme="minorHAnsi" w:hAnsiTheme="minorHAnsi" w:cstheme="minorHAnsi"/>
        </w:rPr>
        <w:t>,</w:t>
      </w:r>
      <w:r w:rsidR="00AD785B" w:rsidRPr="00025B9C">
        <w:rPr>
          <w:rFonts w:asciiTheme="minorHAnsi" w:hAnsiTheme="minorHAnsi" w:cstheme="minorHAnsi"/>
        </w:rPr>
        <w:t xml:space="preserve"> continued efforts are </w:t>
      </w:r>
      <w:r w:rsidR="00A0439A" w:rsidRPr="00025B9C">
        <w:rPr>
          <w:rFonts w:asciiTheme="minorHAnsi" w:hAnsiTheme="minorHAnsi" w:cstheme="minorHAnsi"/>
        </w:rPr>
        <w:t>required</w:t>
      </w:r>
      <w:r w:rsidR="001B2D53" w:rsidRPr="00025B9C">
        <w:rPr>
          <w:rFonts w:asciiTheme="minorHAnsi" w:hAnsiTheme="minorHAnsi" w:cstheme="minorHAnsi"/>
        </w:rPr>
        <w:t xml:space="preserve"> </w:t>
      </w:r>
      <w:r w:rsidR="00AD785B" w:rsidRPr="00025B9C">
        <w:rPr>
          <w:rFonts w:asciiTheme="minorHAnsi" w:hAnsiTheme="minorHAnsi" w:cstheme="minorHAnsi"/>
        </w:rPr>
        <w:t>to convince compan</w:t>
      </w:r>
      <w:r w:rsidR="00503B85" w:rsidRPr="00025B9C">
        <w:rPr>
          <w:rFonts w:asciiTheme="minorHAnsi" w:hAnsiTheme="minorHAnsi" w:cstheme="minorHAnsi"/>
        </w:rPr>
        <w:t>y managers</w:t>
      </w:r>
      <w:r w:rsidR="00AD785B" w:rsidRPr="00025B9C">
        <w:rPr>
          <w:rFonts w:asciiTheme="minorHAnsi" w:hAnsiTheme="minorHAnsi" w:cstheme="minorHAnsi"/>
        </w:rPr>
        <w:t xml:space="preserve"> and regulators of the importance of a properly working and authentic </w:t>
      </w:r>
      <w:r w:rsidR="00476312" w:rsidRPr="00025B9C">
        <w:rPr>
          <w:rFonts w:asciiTheme="minorHAnsi" w:hAnsiTheme="minorHAnsi" w:cstheme="minorHAnsi"/>
        </w:rPr>
        <w:t>‘comply-or-explain’</w:t>
      </w:r>
      <w:r w:rsidR="00AD785B" w:rsidRPr="00025B9C">
        <w:rPr>
          <w:rFonts w:asciiTheme="minorHAnsi" w:hAnsiTheme="minorHAnsi" w:cstheme="minorHAnsi"/>
        </w:rPr>
        <w:t xml:space="preserve"> system of corporate governance.</w:t>
      </w:r>
      <w:r w:rsidR="00375782" w:rsidRPr="00025B9C">
        <w:rPr>
          <w:rFonts w:asciiTheme="minorHAnsi" w:hAnsiTheme="minorHAnsi" w:cstheme="minorHAnsi"/>
        </w:rPr>
        <w:t xml:space="preserve"> To this </w:t>
      </w:r>
      <w:r w:rsidR="00B10F62" w:rsidRPr="00025B9C">
        <w:rPr>
          <w:rFonts w:asciiTheme="minorHAnsi" w:hAnsiTheme="minorHAnsi" w:cstheme="minorHAnsi"/>
        </w:rPr>
        <w:t>end,</w:t>
      </w:r>
      <w:r w:rsidR="00375782" w:rsidRPr="00025B9C">
        <w:rPr>
          <w:rFonts w:asciiTheme="minorHAnsi" w:hAnsiTheme="minorHAnsi" w:cstheme="minorHAnsi"/>
        </w:rPr>
        <w:t xml:space="preserve"> </w:t>
      </w:r>
      <w:r w:rsidR="001518B8" w:rsidRPr="00025B9C">
        <w:rPr>
          <w:rFonts w:asciiTheme="minorHAnsi" w:hAnsiTheme="minorHAnsi" w:cstheme="minorHAnsi"/>
        </w:rPr>
        <w:t xml:space="preserve">we believe that </w:t>
      </w:r>
      <w:r w:rsidR="00C74A53" w:rsidRPr="00025B9C">
        <w:rPr>
          <w:rFonts w:asciiTheme="minorHAnsi" w:hAnsiTheme="minorHAnsi" w:cstheme="minorHAnsi"/>
        </w:rPr>
        <w:t>as much</w:t>
      </w:r>
      <w:r w:rsidR="00375782" w:rsidRPr="00025B9C">
        <w:rPr>
          <w:rFonts w:asciiTheme="minorHAnsi" w:hAnsiTheme="minorHAnsi" w:cstheme="minorHAnsi"/>
        </w:rPr>
        <w:t xml:space="preserve"> emphasis should be p</w:t>
      </w:r>
      <w:r w:rsidR="00DF0397" w:rsidRPr="00025B9C">
        <w:rPr>
          <w:rFonts w:asciiTheme="minorHAnsi" w:hAnsiTheme="minorHAnsi" w:cstheme="minorHAnsi"/>
        </w:rPr>
        <w:t>laced</w:t>
      </w:r>
      <w:r w:rsidR="00375782" w:rsidRPr="00025B9C">
        <w:rPr>
          <w:rFonts w:asciiTheme="minorHAnsi" w:hAnsiTheme="minorHAnsi" w:cstheme="minorHAnsi"/>
        </w:rPr>
        <w:t xml:space="preserve"> on</w:t>
      </w:r>
      <w:r w:rsidR="001518B8" w:rsidRPr="00025B9C">
        <w:rPr>
          <w:rFonts w:asciiTheme="minorHAnsi" w:hAnsiTheme="minorHAnsi" w:cstheme="minorHAnsi"/>
        </w:rPr>
        <w:t xml:space="preserve"> </w:t>
      </w:r>
      <w:r w:rsidR="00406F86" w:rsidRPr="00025B9C">
        <w:rPr>
          <w:rFonts w:asciiTheme="minorHAnsi" w:hAnsiTheme="minorHAnsi" w:cstheme="minorHAnsi"/>
        </w:rPr>
        <w:t>‘</w:t>
      </w:r>
      <w:r w:rsidR="001518B8" w:rsidRPr="00025B9C">
        <w:rPr>
          <w:rFonts w:asciiTheme="minorHAnsi" w:hAnsiTheme="minorHAnsi" w:cstheme="minorHAnsi"/>
        </w:rPr>
        <w:t>explain</w:t>
      </w:r>
      <w:r w:rsidR="00406F86" w:rsidRPr="00025B9C">
        <w:rPr>
          <w:rFonts w:asciiTheme="minorHAnsi" w:hAnsiTheme="minorHAnsi" w:cstheme="minorHAnsi"/>
        </w:rPr>
        <w:t>’</w:t>
      </w:r>
      <w:r w:rsidR="001518B8" w:rsidRPr="00025B9C">
        <w:rPr>
          <w:rFonts w:asciiTheme="minorHAnsi" w:hAnsiTheme="minorHAnsi" w:cstheme="minorHAnsi"/>
        </w:rPr>
        <w:t xml:space="preserve"> </w:t>
      </w:r>
      <w:r w:rsidR="00C74A53" w:rsidRPr="00025B9C">
        <w:rPr>
          <w:rFonts w:asciiTheme="minorHAnsi" w:hAnsiTheme="minorHAnsi" w:cstheme="minorHAnsi"/>
        </w:rPr>
        <w:t>as</w:t>
      </w:r>
      <w:r w:rsidR="001518B8" w:rsidRPr="00025B9C">
        <w:rPr>
          <w:rFonts w:asciiTheme="minorHAnsi" w:hAnsiTheme="minorHAnsi" w:cstheme="minorHAnsi"/>
        </w:rPr>
        <w:t xml:space="preserve"> </w:t>
      </w:r>
      <w:r w:rsidR="00406F86" w:rsidRPr="00025B9C">
        <w:rPr>
          <w:rFonts w:asciiTheme="minorHAnsi" w:hAnsiTheme="minorHAnsi" w:cstheme="minorHAnsi"/>
        </w:rPr>
        <w:t>‘</w:t>
      </w:r>
      <w:r w:rsidR="001518B8" w:rsidRPr="00025B9C">
        <w:rPr>
          <w:rFonts w:asciiTheme="minorHAnsi" w:hAnsiTheme="minorHAnsi" w:cstheme="minorHAnsi"/>
        </w:rPr>
        <w:t>comply</w:t>
      </w:r>
      <w:r w:rsidR="00406F86" w:rsidRPr="00025B9C">
        <w:rPr>
          <w:rFonts w:asciiTheme="minorHAnsi" w:hAnsiTheme="minorHAnsi" w:cstheme="minorHAnsi"/>
        </w:rPr>
        <w:t>’</w:t>
      </w:r>
      <w:r w:rsidR="00972A37" w:rsidRPr="00025B9C">
        <w:rPr>
          <w:rFonts w:asciiTheme="minorHAnsi" w:hAnsiTheme="minorHAnsi" w:cstheme="minorHAnsi"/>
        </w:rPr>
        <w:t>.</w:t>
      </w:r>
      <w:r w:rsidR="00C013D8" w:rsidRPr="00025B9C">
        <w:rPr>
          <w:rFonts w:asciiTheme="minorHAnsi" w:hAnsiTheme="minorHAnsi" w:cstheme="minorHAnsi"/>
        </w:rPr>
        <w:t xml:space="preserve"> </w:t>
      </w:r>
    </w:p>
    <w:p w:rsidR="004025F6" w:rsidRPr="00025B9C" w:rsidRDefault="004025F6" w:rsidP="00D665D9">
      <w:pPr>
        <w:spacing w:line="360" w:lineRule="auto"/>
        <w:jc w:val="both"/>
        <w:rPr>
          <w:rFonts w:asciiTheme="minorHAnsi" w:hAnsiTheme="minorHAnsi" w:cstheme="minorHAnsi"/>
        </w:rPr>
      </w:pPr>
    </w:p>
    <w:p w:rsidR="002322C7" w:rsidRPr="00025B9C" w:rsidRDefault="002322C7" w:rsidP="00D665D9">
      <w:pPr>
        <w:spacing w:line="360" w:lineRule="auto"/>
        <w:jc w:val="both"/>
        <w:rPr>
          <w:rFonts w:asciiTheme="minorHAnsi" w:hAnsiTheme="minorHAnsi" w:cstheme="minorHAnsi"/>
        </w:rPr>
      </w:pPr>
      <w:r w:rsidRPr="00025B9C">
        <w:rPr>
          <w:rFonts w:asciiTheme="minorHAnsi" w:hAnsiTheme="minorHAnsi" w:cstheme="minorHAnsi"/>
          <w:szCs w:val="20"/>
          <w:lang w:eastAsia="en-IE"/>
        </w:rPr>
        <w:t xml:space="preserve">Rhetoric is influenced by culture. Rhetorical </w:t>
      </w:r>
      <w:r w:rsidR="003C1E31" w:rsidRPr="00025B9C">
        <w:rPr>
          <w:rFonts w:asciiTheme="minorHAnsi" w:hAnsiTheme="minorHAnsi" w:cstheme="minorHAnsi"/>
          <w:szCs w:val="20"/>
          <w:lang w:eastAsia="en-IE"/>
        </w:rPr>
        <w:t>strategies</w:t>
      </w:r>
      <w:r w:rsidRPr="00025B9C">
        <w:rPr>
          <w:rFonts w:asciiTheme="minorHAnsi" w:hAnsiTheme="minorHAnsi" w:cstheme="minorHAnsi"/>
          <w:szCs w:val="20"/>
          <w:lang w:eastAsia="en-IE"/>
        </w:rPr>
        <w:t xml:space="preserve"> in the UK may not be the same as in other countries. Indeed, rhetoric may be different across organisations and sectors. Future research might factor the effect of culture on the rhetoric in corporate governance non-compliance explanations, possibly across jurisdictions with </w:t>
      </w:r>
      <w:r w:rsidR="00634A79" w:rsidRPr="00025B9C">
        <w:rPr>
          <w:rFonts w:asciiTheme="minorHAnsi" w:hAnsiTheme="minorHAnsi" w:cstheme="minorHAnsi"/>
          <w:szCs w:val="20"/>
          <w:lang w:eastAsia="en-IE"/>
        </w:rPr>
        <w:t>‘</w:t>
      </w:r>
      <w:r w:rsidRPr="00025B9C">
        <w:rPr>
          <w:rFonts w:asciiTheme="minorHAnsi" w:hAnsiTheme="minorHAnsi" w:cstheme="minorHAnsi"/>
          <w:szCs w:val="20"/>
          <w:lang w:eastAsia="en-IE"/>
        </w:rPr>
        <w:t>comply</w:t>
      </w:r>
      <w:r w:rsidR="001518B8" w:rsidRPr="00025B9C">
        <w:rPr>
          <w:rFonts w:asciiTheme="minorHAnsi" w:hAnsiTheme="minorHAnsi" w:cstheme="minorHAnsi"/>
          <w:szCs w:val="20"/>
          <w:lang w:eastAsia="en-IE"/>
        </w:rPr>
        <w:t>-or-</w:t>
      </w:r>
      <w:r w:rsidRPr="00025B9C">
        <w:rPr>
          <w:rFonts w:asciiTheme="minorHAnsi" w:hAnsiTheme="minorHAnsi" w:cstheme="minorHAnsi"/>
          <w:szCs w:val="20"/>
          <w:lang w:eastAsia="en-IE"/>
        </w:rPr>
        <w:t>explain</w:t>
      </w:r>
      <w:r w:rsidR="00634A79" w:rsidRPr="00025B9C">
        <w:rPr>
          <w:rFonts w:asciiTheme="minorHAnsi" w:hAnsiTheme="minorHAnsi" w:cstheme="minorHAnsi"/>
          <w:szCs w:val="20"/>
          <w:lang w:eastAsia="en-IE"/>
        </w:rPr>
        <w:t>’</w:t>
      </w:r>
      <w:r w:rsidRPr="00025B9C">
        <w:rPr>
          <w:rFonts w:asciiTheme="minorHAnsi" w:hAnsiTheme="minorHAnsi" w:cstheme="minorHAnsi"/>
          <w:szCs w:val="20"/>
          <w:lang w:eastAsia="en-IE"/>
        </w:rPr>
        <w:t xml:space="preserve"> systems.</w:t>
      </w:r>
    </w:p>
    <w:p w:rsidR="002322C7" w:rsidRPr="00025B9C" w:rsidRDefault="002322C7" w:rsidP="00D665D9">
      <w:pPr>
        <w:spacing w:line="360" w:lineRule="auto"/>
        <w:jc w:val="both"/>
        <w:rPr>
          <w:rFonts w:asciiTheme="minorHAnsi" w:hAnsiTheme="minorHAnsi" w:cstheme="minorHAnsi"/>
        </w:rPr>
      </w:pPr>
    </w:p>
    <w:p w:rsidR="00051BCA" w:rsidRPr="00025B9C" w:rsidRDefault="00051BCA" w:rsidP="00D665D9">
      <w:pPr>
        <w:spacing w:line="360" w:lineRule="auto"/>
        <w:jc w:val="both"/>
        <w:rPr>
          <w:rFonts w:asciiTheme="minorHAnsi" w:hAnsiTheme="minorHAnsi" w:cstheme="minorHAnsi"/>
        </w:rPr>
      </w:pPr>
      <w:r w:rsidRPr="00025B9C">
        <w:rPr>
          <w:rFonts w:asciiTheme="minorHAnsi" w:hAnsiTheme="minorHAnsi" w:cstheme="minorHAnsi"/>
        </w:rPr>
        <w:t xml:space="preserve">The FRC’s (2012b, p. 6) characterises the </w:t>
      </w:r>
      <w:r w:rsidR="00634A79" w:rsidRPr="00025B9C">
        <w:rPr>
          <w:rFonts w:asciiTheme="minorHAnsi" w:hAnsiTheme="minorHAnsi" w:cstheme="minorHAnsi"/>
        </w:rPr>
        <w:t>‘</w:t>
      </w:r>
      <w:r w:rsidRPr="00025B9C">
        <w:rPr>
          <w:rFonts w:asciiTheme="minorHAnsi" w:hAnsiTheme="minorHAnsi" w:cstheme="minorHAnsi"/>
        </w:rPr>
        <w:t>comply-or-explain</w:t>
      </w:r>
      <w:r w:rsidR="00634A79" w:rsidRPr="00025B9C">
        <w:rPr>
          <w:rFonts w:asciiTheme="minorHAnsi" w:hAnsiTheme="minorHAnsi" w:cstheme="minorHAnsi"/>
        </w:rPr>
        <w:t>’</w:t>
      </w:r>
      <w:r w:rsidRPr="00025B9C">
        <w:rPr>
          <w:rFonts w:asciiTheme="minorHAnsi" w:hAnsiTheme="minorHAnsi" w:cstheme="minorHAnsi"/>
        </w:rPr>
        <w:t xml:space="preserve"> system as “widely admired and imitated internationally”. However, some respondents </w:t>
      </w:r>
      <w:r w:rsidR="00565DD6" w:rsidRPr="00025B9C">
        <w:rPr>
          <w:rFonts w:asciiTheme="minorHAnsi" w:hAnsiTheme="minorHAnsi" w:cstheme="minorHAnsi"/>
        </w:rPr>
        <w:t xml:space="preserve">on the </w:t>
      </w:r>
      <w:r w:rsidR="00634A79" w:rsidRPr="00025B9C">
        <w:rPr>
          <w:rFonts w:asciiTheme="minorHAnsi" w:hAnsiTheme="minorHAnsi" w:cstheme="minorHAnsi"/>
        </w:rPr>
        <w:t>‘</w:t>
      </w:r>
      <w:r w:rsidR="00565DD6" w:rsidRPr="00025B9C">
        <w:rPr>
          <w:rFonts w:asciiTheme="minorHAnsi" w:hAnsiTheme="minorHAnsi" w:cstheme="minorHAnsi"/>
        </w:rPr>
        <w:t>comply-or-explain</w:t>
      </w:r>
      <w:r w:rsidR="00634A79" w:rsidRPr="00025B9C">
        <w:rPr>
          <w:rFonts w:asciiTheme="minorHAnsi" w:hAnsiTheme="minorHAnsi" w:cstheme="minorHAnsi"/>
        </w:rPr>
        <w:t>’</w:t>
      </w:r>
      <w:r w:rsidR="00565DD6" w:rsidRPr="00025B9C">
        <w:rPr>
          <w:rFonts w:asciiTheme="minorHAnsi" w:hAnsiTheme="minorHAnsi" w:cstheme="minorHAnsi"/>
        </w:rPr>
        <w:t xml:space="preserve"> system </w:t>
      </w:r>
      <w:r w:rsidRPr="00025B9C">
        <w:rPr>
          <w:rFonts w:asciiTheme="minorHAnsi" w:hAnsiTheme="minorHAnsi" w:cstheme="minorHAnsi"/>
        </w:rPr>
        <w:t xml:space="preserve">do not share the same view, describing explanations as </w:t>
      </w:r>
      <w:r w:rsidR="00565DD6" w:rsidRPr="00025B9C">
        <w:rPr>
          <w:rFonts w:asciiTheme="minorHAnsi" w:hAnsiTheme="minorHAnsi" w:cstheme="minorHAnsi"/>
        </w:rPr>
        <w:t xml:space="preserve">“of limited use”, </w:t>
      </w:r>
      <w:r w:rsidRPr="00025B9C">
        <w:rPr>
          <w:rFonts w:asciiTheme="minorHAnsi" w:hAnsiTheme="minorHAnsi" w:cstheme="minorHAnsi"/>
        </w:rPr>
        <w:t>“</w:t>
      </w:r>
      <w:r w:rsidR="00565DD6" w:rsidRPr="00025B9C">
        <w:rPr>
          <w:rFonts w:asciiTheme="minorHAnsi" w:hAnsiTheme="minorHAnsi" w:cstheme="minorHAnsi"/>
        </w:rPr>
        <w:t xml:space="preserve">not … </w:t>
      </w:r>
      <w:r w:rsidRPr="00025B9C">
        <w:rPr>
          <w:rFonts w:asciiTheme="minorHAnsi" w:hAnsiTheme="minorHAnsi" w:cstheme="minorHAnsi"/>
        </w:rPr>
        <w:t>adequate”, “boilerplate”</w:t>
      </w:r>
      <w:r w:rsidR="00453856" w:rsidRPr="00025B9C">
        <w:rPr>
          <w:rFonts w:asciiTheme="minorHAnsi" w:hAnsiTheme="minorHAnsi" w:cstheme="minorHAnsi"/>
        </w:rPr>
        <w:t>, “lack of credibility”</w:t>
      </w:r>
      <w:r w:rsidR="00565DD6" w:rsidRPr="00025B9C">
        <w:rPr>
          <w:rFonts w:asciiTheme="minorHAnsi" w:hAnsiTheme="minorHAnsi" w:cstheme="minorHAnsi"/>
        </w:rPr>
        <w:t xml:space="preserve"> (FRC, 2009, p.</w:t>
      </w:r>
      <w:r w:rsidR="004D4786" w:rsidRPr="00025B9C">
        <w:rPr>
          <w:rFonts w:asciiTheme="minorHAnsi" w:hAnsiTheme="minorHAnsi" w:cstheme="minorHAnsi"/>
        </w:rPr>
        <w:t xml:space="preserve"> 37-38</w:t>
      </w:r>
      <w:r w:rsidR="00565DD6" w:rsidRPr="00025B9C">
        <w:rPr>
          <w:rFonts w:asciiTheme="minorHAnsi" w:hAnsiTheme="minorHAnsi" w:cstheme="minorHAnsi"/>
        </w:rPr>
        <w:t>)</w:t>
      </w:r>
      <w:r w:rsidRPr="00025B9C">
        <w:rPr>
          <w:rFonts w:asciiTheme="minorHAnsi" w:hAnsiTheme="minorHAnsi" w:cstheme="minorHAnsi"/>
        </w:rPr>
        <w:t xml:space="preserve">. </w:t>
      </w:r>
      <w:r w:rsidR="00063263" w:rsidRPr="00025B9C">
        <w:rPr>
          <w:rFonts w:asciiTheme="minorHAnsi" w:hAnsiTheme="minorHAnsi" w:cstheme="minorHAnsi"/>
        </w:rPr>
        <w:t>In t</w:t>
      </w:r>
      <w:r w:rsidRPr="00025B9C">
        <w:rPr>
          <w:rFonts w:asciiTheme="minorHAnsi" w:hAnsiTheme="minorHAnsi" w:cstheme="minorHAnsi"/>
        </w:rPr>
        <w:t>he FRC</w:t>
      </w:r>
      <w:r w:rsidR="00063263" w:rsidRPr="00025B9C">
        <w:rPr>
          <w:rFonts w:asciiTheme="minorHAnsi" w:hAnsiTheme="minorHAnsi" w:cstheme="minorHAnsi"/>
        </w:rPr>
        <w:t xml:space="preserve">’s (2012c, p. 44) celebration of the </w:t>
      </w:r>
      <w:r w:rsidR="00634A79" w:rsidRPr="00025B9C">
        <w:rPr>
          <w:rFonts w:asciiTheme="minorHAnsi" w:hAnsiTheme="minorHAnsi" w:cstheme="minorHAnsi"/>
        </w:rPr>
        <w:t>‘</w:t>
      </w:r>
      <w:r w:rsidR="00063263" w:rsidRPr="00025B9C">
        <w:rPr>
          <w:rFonts w:asciiTheme="minorHAnsi" w:hAnsiTheme="minorHAnsi" w:cstheme="minorHAnsi"/>
        </w:rPr>
        <w:t>comply-or-explain</w:t>
      </w:r>
      <w:r w:rsidR="00634A79" w:rsidRPr="00025B9C">
        <w:rPr>
          <w:rFonts w:asciiTheme="minorHAnsi" w:hAnsiTheme="minorHAnsi" w:cstheme="minorHAnsi"/>
        </w:rPr>
        <w:t>’</w:t>
      </w:r>
      <w:r w:rsidR="00063263" w:rsidRPr="00025B9C">
        <w:rPr>
          <w:rFonts w:asciiTheme="minorHAnsi" w:hAnsiTheme="minorHAnsi" w:cstheme="minorHAnsi"/>
        </w:rPr>
        <w:t xml:space="preserve"> system, cha</w:t>
      </w:r>
      <w:r w:rsidR="00565DD6" w:rsidRPr="00025B9C">
        <w:rPr>
          <w:rFonts w:asciiTheme="minorHAnsi" w:hAnsiTheme="minorHAnsi" w:cstheme="minorHAnsi"/>
        </w:rPr>
        <w:t xml:space="preserve">irman of </w:t>
      </w:r>
      <w:r w:rsidR="00063263" w:rsidRPr="00025B9C">
        <w:rPr>
          <w:rFonts w:asciiTheme="minorHAnsi" w:hAnsiTheme="minorHAnsi" w:cstheme="minorHAnsi"/>
        </w:rPr>
        <w:t>Anglo</w:t>
      </w:r>
      <w:r w:rsidR="004D4786" w:rsidRPr="00025B9C">
        <w:rPr>
          <w:rFonts w:asciiTheme="minorHAnsi" w:hAnsiTheme="minorHAnsi" w:cstheme="minorHAnsi"/>
        </w:rPr>
        <w:t xml:space="preserve"> </w:t>
      </w:r>
      <w:r w:rsidR="00063263" w:rsidRPr="00025B9C">
        <w:rPr>
          <w:rFonts w:asciiTheme="minorHAnsi" w:hAnsiTheme="minorHAnsi" w:cstheme="minorHAnsi"/>
        </w:rPr>
        <w:t>American</w:t>
      </w:r>
      <w:r w:rsidR="004D4786" w:rsidRPr="00025B9C">
        <w:rPr>
          <w:rFonts w:asciiTheme="minorHAnsi" w:hAnsiTheme="minorHAnsi" w:cstheme="minorHAnsi"/>
        </w:rPr>
        <w:t xml:space="preserve"> plc</w:t>
      </w:r>
      <w:r w:rsidR="00063263" w:rsidRPr="00025B9C">
        <w:rPr>
          <w:rFonts w:asciiTheme="minorHAnsi" w:hAnsiTheme="minorHAnsi" w:cstheme="minorHAnsi"/>
        </w:rPr>
        <w:t>, Sir John Parker,</w:t>
      </w:r>
      <w:r w:rsidR="00565DD6" w:rsidRPr="00025B9C">
        <w:rPr>
          <w:rFonts w:asciiTheme="minorHAnsi" w:hAnsiTheme="minorHAnsi" w:cstheme="minorHAnsi"/>
        </w:rPr>
        <w:t xml:space="preserve"> </w:t>
      </w:r>
      <w:r w:rsidR="00453856" w:rsidRPr="00025B9C">
        <w:rPr>
          <w:rFonts w:asciiTheme="minorHAnsi" w:hAnsiTheme="minorHAnsi" w:cstheme="minorHAnsi"/>
        </w:rPr>
        <w:t>dismisses</w:t>
      </w:r>
      <w:r w:rsidRPr="00025B9C">
        <w:rPr>
          <w:rFonts w:asciiTheme="minorHAnsi" w:hAnsiTheme="minorHAnsi" w:cstheme="minorHAnsi"/>
        </w:rPr>
        <w:t xml:space="preserve"> these criticisms by stating that </w:t>
      </w:r>
      <w:r w:rsidR="00853216" w:rsidRPr="00025B9C">
        <w:rPr>
          <w:rFonts w:asciiTheme="minorHAnsi" w:hAnsiTheme="minorHAnsi" w:cstheme="minorHAnsi"/>
        </w:rPr>
        <w:t>“…</w:t>
      </w:r>
      <w:r w:rsidR="00453856" w:rsidRPr="00025B9C">
        <w:rPr>
          <w:rFonts w:asciiTheme="minorHAnsi" w:hAnsiTheme="minorHAnsi" w:cstheme="minorHAnsi"/>
        </w:rPr>
        <w:t xml:space="preserve">this is a failure of the application of </w:t>
      </w:r>
      <w:r w:rsidR="00406F86" w:rsidRPr="00025B9C">
        <w:rPr>
          <w:rFonts w:asciiTheme="minorHAnsi" w:hAnsiTheme="minorHAnsi" w:cstheme="minorHAnsi"/>
        </w:rPr>
        <w:t>‘</w:t>
      </w:r>
      <w:r w:rsidR="00453856" w:rsidRPr="00025B9C">
        <w:rPr>
          <w:rFonts w:asciiTheme="minorHAnsi" w:hAnsiTheme="minorHAnsi" w:cstheme="minorHAnsi"/>
        </w:rPr>
        <w:t>comply</w:t>
      </w:r>
      <w:r w:rsidR="00406F86" w:rsidRPr="00025B9C">
        <w:rPr>
          <w:rFonts w:asciiTheme="minorHAnsi" w:hAnsiTheme="minorHAnsi" w:cstheme="minorHAnsi"/>
        </w:rPr>
        <w:t>-or-</w:t>
      </w:r>
      <w:r w:rsidR="00453856" w:rsidRPr="00025B9C">
        <w:rPr>
          <w:rFonts w:asciiTheme="minorHAnsi" w:hAnsiTheme="minorHAnsi" w:cstheme="minorHAnsi"/>
        </w:rPr>
        <w:t>explain</w:t>
      </w:r>
      <w:r w:rsidR="00406F86" w:rsidRPr="00025B9C">
        <w:rPr>
          <w:rFonts w:asciiTheme="minorHAnsi" w:hAnsiTheme="minorHAnsi" w:cstheme="minorHAnsi"/>
        </w:rPr>
        <w:t>’</w:t>
      </w:r>
      <w:r w:rsidR="00453856" w:rsidRPr="00025B9C">
        <w:rPr>
          <w:rFonts w:asciiTheme="minorHAnsi" w:hAnsiTheme="minorHAnsi" w:cstheme="minorHAnsi"/>
        </w:rPr>
        <w:t>, not the principle itself”</w:t>
      </w:r>
      <w:r w:rsidRPr="00025B9C">
        <w:rPr>
          <w:rFonts w:asciiTheme="minorHAnsi" w:hAnsiTheme="minorHAnsi" w:cstheme="minorHAnsi"/>
        </w:rPr>
        <w:t xml:space="preserve">. </w:t>
      </w:r>
      <w:r w:rsidR="008B2D4F" w:rsidRPr="00025B9C">
        <w:rPr>
          <w:rFonts w:asciiTheme="minorHAnsi" w:hAnsiTheme="minorHAnsi" w:cstheme="minorHAnsi"/>
        </w:rPr>
        <w:t xml:space="preserve">Our evidence contributes to the debate </w:t>
      </w:r>
      <w:r w:rsidR="006046A2" w:rsidRPr="00025B9C">
        <w:rPr>
          <w:rFonts w:asciiTheme="minorHAnsi" w:hAnsiTheme="minorHAnsi" w:cstheme="minorHAnsi"/>
        </w:rPr>
        <w:t xml:space="preserve">on the application of the </w:t>
      </w:r>
      <w:r w:rsidR="00634A79" w:rsidRPr="00025B9C">
        <w:rPr>
          <w:rFonts w:asciiTheme="minorHAnsi" w:hAnsiTheme="minorHAnsi" w:cstheme="minorHAnsi"/>
        </w:rPr>
        <w:t>‘</w:t>
      </w:r>
      <w:r w:rsidR="006046A2" w:rsidRPr="00025B9C">
        <w:rPr>
          <w:rFonts w:asciiTheme="minorHAnsi" w:hAnsiTheme="minorHAnsi" w:cstheme="minorHAnsi"/>
        </w:rPr>
        <w:t>comply-or-explain</w:t>
      </w:r>
      <w:r w:rsidR="00634A79" w:rsidRPr="00025B9C">
        <w:rPr>
          <w:rFonts w:asciiTheme="minorHAnsi" w:hAnsiTheme="minorHAnsi" w:cstheme="minorHAnsi"/>
        </w:rPr>
        <w:t>’</w:t>
      </w:r>
      <w:r w:rsidR="006046A2" w:rsidRPr="00025B9C">
        <w:rPr>
          <w:rFonts w:asciiTheme="minorHAnsi" w:hAnsiTheme="minorHAnsi" w:cstheme="minorHAnsi"/>
        </w:rPr>
        <w:t xml:space="preserve"> system, specifically </w:t>
      </w:r>
      <w:r w:rsidR="008B2D4F" w:rsidRPr="00025B9C">
        <w:rPr>
          <w:rFonts w:asciiTheme="minorHAnsi" w:hAnsiTheme="minorHAnsi" w:cstheme="minorHAnsi"/>
        </w:rPr>
        <w:t xml:space="preserve">what kinds of explanations are appropriate. </w:t>
      </w:r>
      <w:r w:rsidR="006046A2" w:rsidRPr="00025B9C">
        <w:rPr>
          <w:rFonts w:asciiTheme="minorHAnsi" w:hAnsiTheme="minorHAnsi" w:cstheme="minorHAnsi"/>
        </w:rPr>
        <w:t xml:space="preserve">Findings from our research indicate that more guidance is required from regulators on what constitutes a </w:t>
      </w:r>
      <w:r w:rsidR="00406F86" w:rsidRPr="00025B9C">
        <w:rPr>
          <w:rFonts w:asciiTheme="minorHAnsi" w:hAnsiTheme="minorHAnsi" w:cstheme="minorHAnsi"/>
        </w:rPr>
        <w:t>‘</w:t>
      </w:r>
      <w:r w:rsidR="006046A2" w:rsidRPr="00025B9C">
        <w:rPr>
          <w:rFonts w:asciiTheme="minorHAnsi" w:hAnsiTheme="minorHAnsi" w:cstheme="minorHAnsi"/>
        </w:rPr>
        <w:t>convincing rationale</w:t>
      </w:r>
      <w:r w:rsidR="00406F86" w:rsidRPr="00025B9C">
        <w:rPr>
          <w:rFonts w:asciiTheme="minorHAnsi" w:hAnsiTheme="minorHAnsi" w:cstheme="minorHAnsi"/>
        </w:rPr>
        <w:t>’</w:t>
      </w:r>
      <w:r w:rsidR="006046A2" w:rsidRPr="00025B9C">
        <w:rPr>
          <w:rFonts w:asciiTheme="minorHAnsi" w:hAnsiTheme="minorHAnsi" w:cstheme="minorHAnsi"/>
        </w:rPr>
        <w:t>.</w:t>
      </w:r>
    </w:p>
    <w:p w:rsidR="00CF522A" w:rsidRPr="00025B9C" w:rsidRDefault="00CF522A" w:rsidP="00D665D9">
      <w:pPr>
        <w:spacing w:line="360" w:lineRule="auto"/>
        <w:jc w:val="both"/>
        <w:rPr>
          <w:rFonts w:asciiTheme="minorHAnsi" w:hAnsiTheme="minorHAnsi" w:cstheme="minorHAnsi"/>
        </w:rPr>
      </w:pPr>
    </w:p>
    <w:p w:rsidR="00CF522A" w:rsidRPr="00025B9C" w:rsidRDefault="00CF522A" w:rsidP="00D665D9">
      <w:pPr>
        <w:spacing w:line="360" w:lineRule="auto"/>
        <w:jc w:val="both"/>
        <w:rPr>
          <w:rFonts w:asciiTheme="minorHAnsi" w:hAnsiTheme="minorHAnsi" w:cstheme="minorHAnsi"/>
        </w:rPr>
      </w:pPr>
    </w:p>
    <w:p w:rsidR="00CF522A" w:rsidRPr="00025B9C" w:rsidRDefault="00CF522A" w:rsidP="00D665D9">
      <w:pPr>
        <w:spacing w:line="360" w:lineRule="auto"/>
        <w:jc w:val="both"/>
        <w:rPr>
          <w:rFonts w:asciiTheme="minorHAnsi" w:hAnsiTheme="minorHAnsi" w:cstheme="minorHAnsi"/>
        </w:rPr>
        <w:sectPr w:rsidR="00CF522A" w:rsidRPr="00025B9C" w:rsidSect="009D5C3C">
          <w:footerReference w:type="default" r:id="rId9"/>
          <w:pgSz w:w="11906" w:h="16838"/>
          <w:pgMar w:top="1440" w:right="1440" w:bottom="1440" w:left="1440" w:header="709" w:footer="709" w:gutter="0"/>
          <w:pgNumType w:start="1"/>
          <w:cols w:space="708"/>
          <w:docGrid w:linePitch="360"/>
        </w:sectPr>
      </w:pPr>
    </w:p>
    <w:p w:rsidR="008B55B2" w:rsidRPr="00025B9C" w:rsidRDefault="008B55B2" w:rsidP="00D665D9">
      <w:pPr>
        <w:rPr>
          <w:rFonts w:asciiTheme="minorHAnsi" w:hAnsiTheme="minorHAnsi" w:cstheme="minorHAnsi"/>
          <w:lang w:val="en-IE"/>
        </w:rPr>
      </w:pPr>
    </w:p>
    <w:p w:rsidR="0031561D" w:rsidRPr="00025B9C" w:rsidRDefault="0031561D" w:rsidP="00D665D9">
      <w:pPr>
        <w:jc w:val="center"/>
        <w:rPr>
          <w:rFonts w:asciiTheme="minorHAnsi" w:hAnsiTheme="minorHAnsi" w:cstheme="minorHAnsi"/>
        </w:rPr>
      </w:pPr>
    </w:p>
    <w:p w:rsidR="00D36C96" w:rsidRPr="00025B9C" w:rsidRDefault="00D36C96" w:rsidP="00D665D9">
      <w:pPr>
        <w:autoSpaceDE w:val="0"/>
        <w:autoSpaceDN w:val="0"/>
        <w:adjustRightInd w:val="0"/>
        <w:spacing w:line="288" w:lineRule="auto"/>
        <w:rPr>
          <w:rFonts w:asciiTheme="minorHAnsi" w:hAnsiTheme="minorHAnsi" w:cstheme="minorHAnsi"/>
          <w:b/>
          <w:sz w:val="20"/>
          <w:szCs w:val="20"/>
          <w:lang w:eastAsia="en-IE"/>
        </w:rPr>
      </w:pPr>
      <w:r w:rsidRPr="00025B9C">
        <w:rPr>
          <w:rFonts w:asciiTheme="minorHAnsi" w:hAnsiTheme="minorHAnsi" w:cstheme="minorHAnsi"/>
          <w:b/>
          <w:sz w:val="20"/>
          <w:szCs w:val="20"/>
          <w:lang w:eastAsia="en-IE"/>
        </w:rPr>
        <w:t>Figure</w:t>
      </w:r>
      <w:r w:rsidR="007D578F" w:rsidRPr="00025B9C">
        <w:rPr>
          <w:rFonts w:asciiTheme="minorHAnsi" w:hAnsiTheme="minorHAnsi" w:cstheme="minorHAnsi"/>
          <w:b/>
          <w:sz w:val="20"/>
          <w:szCs w:val="20"/>
          <w:lang w:eastAsia="en-IE"/>
        </w:rPr>
        <w:t xml:space="preserve"> </w:t>
      </w:r>
      <w:r w:rsidR="00E23BCF" w:rsidRPr="00025B9C">
        <w:rPr>
          <w:rFonts w:asciiTheme="minorHAnsi" w:hAnsiTheme="minorHAnsi" w:cstheme="minorHAnsi"/>
          <w:b/>
          <w:sz w:val="20"/>
          <w:szCs w:val="20"/>
          <w:lang w:eastAsia="en-IE"/>
        </w:rPr>
        <w:t>1.</w:t>
      </w:r>
      <w:r w:rsidRPr="00025B9C">
        <w:rPr>
          <w:rFonts w:asciiTheme="minorHAnsi" w:hAnsiTheme="minorHAnsi" w:cstheme="minorHAnsi"/>
          <w:b/>
          <w:sz w:val="20"/>
          <w:szCs w:val="20"/>
          <w:lang w:eastAsia="en-IE"/>
        </w:rPr>
        <w:t xml:space="preserve"> Typology of rhetorical</w:t>
      </w:r>
      <w:r w:rsidR="002F6BC8" w:rsidRPr="00025B9C">
        <w:rPr>
          <w:rFonts w:asciiTheme="minorHAnsi" w:hAnsiTheme="minorHAnsi" w:cstheme="minorHAnsi"/>
          <w:b/>
          <w:sz w:val="20"/>
          <w:szCs w:val="20"/>
          <w:lang w:eastAsia="en-IE"/>
        </w:rPr>
        <w:t>/</w:t>
      </w:r>
      <w:proofErr w:type="spellStart"/>
      <w:r w:rsidR="002F6BC8" w:rsidRPr="00025B9C">
        <w:rPr>
          <w:rFonts w:asciiTheme="minorHAnsi" w:hAnsiTheme="minorHAnsi" w:cstheme="minorHAnsi"/>
          <w:b/>
          <w:sz w:val="20"/>
          <w:szCs w:val="20"/>
          <w:lang w:eastAsia="en-IE"/>
        </w:rPr>
        <w:t>sophistical</w:t>
      </w:r>
      <w:proofErr w:type="spellEnd"/>
      <w:r w:rsidRPr="00025B9C">
        <w:rPr>
          <w:rFonts w:asciiTheme="minorHAnsi" w:hAnsiTheme="minorHAnsi" w:cstheme="minorHAnsi"/>
          <w:b/>
          <w:sz w:val="20"/>
          <w:szCs w:val="20"/>
          <w:lang w:eastAsia="en-IE"/>
        </w:rPr>
        <w:t xml:space="preserve"> strategies in corporate governance non-compliance explanations (</w:t>
      </w:r>
      <w:r w:rsidR="00F5744A" w:rsidRPr="00025B9C">
        <w:rPr>
          <w:rFonts w:asciiTheme="minorHAnsi" w:hAnsiTheme="minorHAnsi" w:cstheme="minorHAnsi"/>
          <w:b/>
          <w:sz w:val="20"/>
          <w:szCs w:val="20"/>
          <w:lang w:eastAsia="en-IE"/>
        </w:rPr>
        <w:t>Styled</w:t>
      </w:r>
      <w:r w:rsidRPr="00025B9C">
        <w:rPr>
          <w:rFonts w:asciiTheme="minorHAnsi" w:hAnsiTheme="minorHAnsi" w:cstheme="minorHAnsi"/>
          <w:b/>
          <w:sz w:val="20"/>
          <w:szCs w:val="20"/>
          <w:lang w:eastAsia="en-IE"/>
        </w:rPr>
        <w:t xml:space="preserve"> on Figure</w:t>
      </w:r>
      <w:r w:rsidR="002F6BC8" w:rsidRPr="00025B9C">
        <w:rPr>
          <w:rFonts w:asciiTheme="minorHAnsi" w:hAnsiTheme="minorHAnsi" w:cstheme="minorHAnsi"/>
          <w:b/>
          <w:sz w:val="20"/>
          <w:szCs w:val="20"/>
          <w:lang w:eastAsia="en-IE"/>
        </w:rPr>
        <w:t>s</w:t>
      </w:r>
      <w:r w:rsidRPr="00025B9C">
        <w:rPr>
          <w:rFonts w:asciiTheme="minorHAnsi" w:hAnsiTheme="minorHAnsi" w:cstheme="minorHAnsi"/>
          <w:b/>
          <w:sz w:val="20"/>
          <w:szCs w:val="20"/>
          <w:lang w:eastAsia="en-IE"/>
        </w:rPr>
        <w:t xml:space="preserve"> 1 and 2</w:t>
      </w:r>
      <w:r w:rsidR="002F6BC8" w:rsidRPr="00025B9C">
        <w:rPr>
          <w:rFonts w:asciiTheme="minorHAnsi" w:hAnsiTheme="minorHAnsi" w:cstheme="minorHAnsi"/>
          <w:b/>
          <w:sz w:val="20"/>
          <w:szCs w:val="20"/>
          <w:lang w:eastAsia="en-IE"/>
        </w:rPr>
        <w:t xml:space="preserve"> from</w:t>
      </w:r>
      <w:r w:rsidRPr="00025B9C">
        <w:rPr>
          <w:rFonts w:asciiTheme="minorHAnsi" w:hAnsiTheme="minorHAnsi" w:cstheme="minorHAnsi"/>
          <w:b/>
          <w:sz w:val="20"/>
          <w:szCs w:val="20"/>
          <w:lang w:eastAsia="en-IE"/>
        </w:rPr>
        <w:t xml:space="preserve"> Beattie, </w:t>
      </w:r>
      <w:proofErr w:type="spellStart"/>
      <w:r w:rsidRPr="00025B9C">
        <w:rPr>
          <w:rFonts w:asciiTheme="minorHAnsi" w:hAnsiTheme="minorHAnsi" w:cstheme="minorHAnsi"/>
          <w:b/>
          <w:sz w:val="20"/>
          <w:szCs w:val="20"/>
          <w:lang w:eastAsia="en-IE"/>
        </w:rPr>
        <w:t>McInnes</w:t>
      </w:r>
      <w:proofErr w:type="spellEnd"/>
      <w:r w:rsidRPr="00025B9C">
        <w:rPr>
          <w:rFonts w:asciiTheme="minorHAnsi" w:hAnsiTheme="minorHAnsi" w:cstheme="minorHAnsi"/>
          <w:b/>
          <w:sz w:val="20"/>
          <w:szCs w:val="20"/>
          <w:lang w:eastAsia="en-IE"/>
        </w:rPr>
        <w:t xml:space="preserve"> &amp; </w:t>
      </w:r>
      <w:proofErr w:type="spellStart"/>
      <w:r w:rsidRPr="00025B9C">
        <w:rPr>
          <w:rFonts w:asciiTheme="minorHAnsi" w:hAnsiTheme="minorHAnsi" w:cstheme="minorHAnsi"/>
          <w:b/>
          <w:sz w:val="20"/>
          <w:szCs w:val="20"/>
          <w:lang w:eastAsia="en-IE"/>
        </w:rPr>
        <w:t>Fe</w:t>
      </w:r>
      <w:r w:rsidR="0037370D" w:rsidRPr="00025B9C">
        <w:rPr>
          <w:rFonts w:asciiTheme="minorHAnsi" w:hAnsiTheme="minorHAnsi" w:cstheme="minorHAnsi"/>
          <w:b/>
          <w:sz w:val="20"/>
          <w:szCs w:val="20"/>
          <w:lang w:eastAsia="en-IE"/>
        </w:rPr>
        <w:t>a</w:t>
      </w:r>
      <w:r w:rsidRPr="00025B9C">
        <w:rPr>
          <w:rFonts w:asciiTheme="minorHAnsi" w:hAnsiTheme="minorHAnsi" w:cstheme="minorHAnsi"/>
          <w:b/>
          <w:sz w:val="20"/>
          <w:szCs w:val="20"/>
          <w:lang w:eastAsia="en-IE"/>
        </w:rPr>
        <w:t>rnley</w:t>
      </w:r>
      <w:proofErr w:type="spellEnd"/>
      <w:r w:rsidRPr="00025B9C">
        <w:rPr>
          <w:rFonts w:asciiTheme="minorHAnsi" w:hAnsiTheme="minorHAnsi" w:cstheme="minorHAnsi"/>
          <w:b/>
          <w:sz w:val="20"/>
          <w:szCs w:val="20"/>
          <w:lang w:eastAsia="en-IE"/>
        </w:rPr>
        <w:t xml:space="preserve"> 2004</w:t>
      </w:r>
      <w:r w:rsidR="00B11553" w:rsidRPr="00025B9C">
        <w:rPr>
          <w:rFonts w:asciiTheme="minorHAnsi" w:hAnsiTheme="minorHAnsi" w:cstheme="minorHAnsi"/>
          <w:b/>
          <w:sz w:val="20"/>
          <w:szCs w:val="20"/>
          <w:lang w:eastAsia="en-IE"/>
        </w:rPr>
        <w:t>)</w:t>
      </w:r>
    </w:p>
    <w:p w:rsidR="002435E6" w:rsidRPr="00025B9C" w:rsidRDefault="005E28F9" w:rsidP="00D665D9">
      <w:pPr>
        <w:jc w:val="both"/>
        <w:rPr>
          <w:rFonts w:asciiTheme="minorHAnsi" w:hAnsiTheme="minorHAnsi" w:cstheme="minorHAnsi"/>
          <w:b/>
        </w:rPr>
      </w:pPr>
      <w:r w:rsidRPr="00025B9C">
        <w:rPr>
          <w:rFonts w:asciiTheme="minorHAnsi" w:hAnsiTheme="minorHAnsi" w:cstheme="minorHAnsi"/>
          <w:noProof/>
        </w:rPr>
        <w:object w:dxaOrig="1440" w:dyaOrig="1440" w14:anchorId="79E50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35pt;margin-top:4.05pt;width:495.85pt;height:311.6pt;z-index:251696128" wrapcoords="9930 78 9930 2378 10322 2573 11082 2573 9930 3197 9930 5497 10322 5692 11082 5692 11082 7564 2182 7876 1594 7876 1520 8812 736 8929 588 9045 588 10878 637 11463 1888 11931 2329 11931 2329 12555 441 12749 49 12866 25 13334 25 14270 662 14426 2329 14426 588 14582 123 14699 0 15635 25 16297 245 16921 147 17545 49 17857 0 18247 74 19222 834 19417 515 19456 49 19573 0 20664 196 21288 441 21522 539 21522 1643 21522 1741 21522 1961 21288 20619 21249 20595 20664 20791 20118 20889 20040 20963 19729 20963 11931 21110 11307 21159 9084 20987 8968 20202 8812 20178 7876 19639 7876 11205 7564 11205 5692 12038 5692 12430 5497 12381 3275 12357 3197 11205 2573 12038 2573 12430 2378 12381 156 12357 78 9930 78">
            <v:imagedata r:id="rId10" o:title=""/>
            <w10:wrap type="tight"/>
          </v:shape>
          <o:OLEObject Type="Embed" ProgID="Visio.Drawing.15" ShapeID="_x0000_s1028" DrawAspect="Content" ObjectID="_1564388195" r:id="rId11"/>
        </w:object>
      </w:r>
    </w:p>
    <w:p w:rsidR="00385DD8" w:rsidRPr="00025B9C" w:rsidRDefault="00680637" w:rsidP="00D665D9">
      <w:pPr>
        <w:rPr>
          <w:rFonts w:asciiTheme="minorHAnsi" w:hAnsiTheme="minorHAnsi" w:cstheme="minorHAnsi"/>
          <w:b/>
        </w:rPr>
      </w:pPr>
      <w:r w:rsidRPr="00025B9C">
        <w:rPr>
          <w:rFonts w:asciiTheme="minorHAnsi" w:hAnsiTheme="minorHAnsi" w:cstheme="minorHAnsi"/>
          <w:b/>
        </w:rPr>
        <w:t xml:space="preserve"> </w:t>
      </w:r>
      <w:r w:rsidR="00385DD8" w:rsidRPr="00025B9C">
        <w:rPr>
          <w:rFonts w:asciiTheme="minorHAnsi" w:hAnsiTheme="minorHAnsi" w:cstheme="minorHAnsi"/>
          <w:b/>
        </w:rPr>
        <w:br w:type="page"/>
      </w:r>
    </w:p>
    <w:p w:rsidR="00207F11" w:rsidRPr="00025B9C" w:rsidRDefault="00BD72E2">
      <w:pPr>
        <w:rPr>
          <w:rFonts w:asciiTheme="minorHAnsi" w:hAnsiTheme="minorHAnsi" w:cstheme="minorHAnsi"/>
          <w:b/>
          <w:sz w:val="20"/>
          <w:szCs w:val="20"/>
          <w:lang w:eastAsia="en-IE"/>
        </w:rPr>
      </w:pPr>
      <w:r w:rsidRPr="00025B9C">
        <w:rPr>
          <w:rFonts w:asciiTheme="minorHAnsi" w:hAnsiTheme="minorHAnsi" w:cstheme="minorHAnsi"/>
          <w:b/>
          <w:sz w:val="20"/>
          <w:szCs w:val="20"/>
          <w:lang w:eastAsia="en-IE"/>
        </w:rPr>
        <w:t>Figure 2</w:t>
      </w:r>
      <w:r w:rsidR="00587143">
        <w:rPr>
          <w:rFonts w:asciiTheme="minorHAnsi" w:hAnsiTheme="minorHAnsi" w:cstheme="minorHAnsi"/>
          <w:b/>
          <w:sz w:val="20"/>
          <w:szCs w:val="20"/>
          <w:lang w:eastAsia="en-IE"/>
        </w:rPr>
        <w:t>.</w:t>
      </w:r>
      <w:r w:rsidRPr="00025B9C">
        <w:rPr>
          <w:rFonts w:asciiTheme="minorHAnsi" w:hAnsiTheme="minorHAnsi" w:cstheme="minorHAnsi"/>
          <w:b/>
          <w:sz w:val="20"/>
          <w:szCs w:val="20"/>
          <w:lang w:eastAsia="en-IE"/>
        </w:rPr>
        <w:t xml:space="preserve"> Continuum classifying rhetorical strategies from meaningful to misleading</w:t>
      </w:r>
      <w:r w:rsidRPr="00025B9C">
        <w:rPr>
          <w:rStyle w:val="FootnoteReference"/>
          <w:rFonts w:asciiTheme="minorHAnsi" w:hAnsiTheme="minorHAnsi" w:cstheme="minorHAnsi"/>
          <w:b/>
          <w:sz w:val="20"/>
          <w:szCs w:val="20"/>
          <w:lang w:eastAsia="en-IE"/>
        </w:rPr>
        <w:footnoteReference w:id="9"/>
      </w:r>
      <w:r w:rsidRPr="00025B9C">
        <w:rPr>
          <w:rFonts w:asciiTheme="minorHAnsi" w:hAnsiTheme="minorHAnsi" w:cstheme="minorHAnsi"/>
          <w:b/>
          <w:sz w:val="20"/>
          <w:szCs w:val="20"/>
          <w:lang w:eastAsia="en-IE"/>
        </w:rPr>
        <w:t xml:space="preserve"> </w:t>
      </w:r>
    </w:p>
    <w:p w:rsidR="00207F11" w:rsidRPr="00025B9C" w:rsidRDefault="00207F11">
      <w:pPr>
        <w:rPr>
          <w:rFonts w:asciiTheme="minorHAnsi" w:hAnsiTheme="minorHAnsi" w:cstheme="minorHAnsi"/>
          <w:b/>
          <w:sz w:val="20"/>
          <w:szCs w:val="20"/>
          <w:lang w:eastAsia="en-IE"/>
        </w:rPr>
      </w:pPr>
    </w:p>
    <w:p w:rsidR="00216285" w:rsidRPr="00025B9C" w:rsidRDefault="00533476" w:rsidP="00533476">
      <w:pPr>
        <w:jc w:val="center"/>
        <w:rPr>
          <w:rFonts w:asciiTheme="minorHAnsi" w:hAnsiTheme="minorHAnsi" w:cstheme="minorHAnsi"/>
          <w:b/>
          <w:sz w:val="20"/>
          <w:szCs w:val="20"/>
        </w:rPr>
      </w:pPr>
      <w:r w:rsidRPr="00025B9C">
        <w:rPr>
          <w:rFonts w:asciiTheme="minorHAnsi" w:hAnsiTheme="minorHAnsi" w:cstheme="minorHAnsi"/>
          <w:b/>
          <w:noProof/>
          <w:sz w:val="20"/>
          <w:szCs w:val="20"/>
        </w:rPr>
        <w:drawing>
          <wp:anchor distT="0" distB="0" distL="114300" distR="114300" simplePos="0" relativeHeight="251697152" behindDoc="0" locked="0" layoutInCell="1" allowOverlap="1" wp14:anchorId="50C34C48" wp14:editId="6F523760">
            <wp:simplePos x="0" y="0"/>
            <wp:positionH relativeFrom="margin">
              <wp:posOffset>660400</wp:posOffset>
            </wp:positionH>
            <wp:positionV relativeFrom="margin">
              <wp:posOffset>1381125</wp:posOffset>
            </wp:positionV>
            <wp:extent cx="8432800" cy="33616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2800" cy="336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285" w:rsidRPr="00025B9C">
        <w:rPr>
          <w:rFonts w:asciiTheme="minorHAnsi" w:hAnsiTheme="minorHAnsi" w:cstheme="minorHAnsi"/>
          <w:b/>
          <w:sz w:val="20"/>
          <w:szCs w:val="20"/>
        </w:rPr>
        <w:br w:type="page"/>
      </w:r>
    </w:p>
    <w:p w:rsidR="00517AC0" w:rsidRPr="00025B9C" w:rsidRDefault="00517AC0"/>
    <w:tbl>
      <w:tblPr>
        <w:tblW w:w="13500" w:type="dxa"/>
        <w:jc w:val="center"/>
        <w:tblLayout w:type="fixed"/>
        <w:tblLook w:val="01E0" w:firstRow="1" w:lastRow="1" w:firstColumn="1" w:lastColumn="1" w:noHBand="0" w:noVBand="0"/>
      </w:tblPr>
      <w:tblGrid>
        <w:gridCol w:w="2520"/>
        <w:gridCol w:w="10980"/>
      </w:tblGrid>
      <w:tr w:rsidR="00025B9C" w:rsidRPr="00025B9C" w:rsidTr="00517AC0">
        <w:trPr>
          <w:jc w:val="center"/>
        </w:trPr>
        <w:tc>
          <w:tcPr>
            <w:tcW w:w="13500" w:type="dxa"/>
            <w:gridSpan w:val="2"/>
            <w:shd w:val="clear" w:color="auto" w:fill="auto"/>
          </w:tcPr>
          <w:p w:rsidR="00517AC0" w:rsidRPr="00025B9C" w:rsidRDefault="00517AC0" w:rsidP="00517AC0">
            <w:pPr>
              <w:rPr>
                <w:rFonts w:asciiTheme="minorHAnsi" w:hAnsiTheme="minorHAnsi" w:cstheme="minorHAnsi"/>
                <w:b/>
                <w:sz w:val="22"/>
                <w:szCs w:val="22"/>
              </w:rPr>
            </w:pPr>
            <w:r w:rsidRPr="00025B9C">
              <w:rPr>
                <w:rFonts w:asciiTheme="minorHAnsi" w:hAnsiTheme="minorHAnsi" w:cstheme="minorHAnsi"/>
                <w:b/>
                <w:sz w:val="22"/>
                <w:szCs w:val="22"/>
              </w:rPr>
              <w:br w:type="page"/>
              <w:t xml:space="preserve">Table 1. Historical development of the </w:t>
            </w:r>
            <w:r w:rsidR="00634A79" w:rsidRPr="00025B9C">
              <w:rPr>
                <w:rFonts w:asciiTheme="minorHAnsi" w:hAnsiTheme="minorHAnsi" w:cstheme="minorHAnsi"/>
                <w:b/>
                <w:sz w:val="22"/>
                <w:szCs w:val="22"/>
              </w:rPr>
              <w:t>‘</w:t>
            </w:r>
            <w:r w:rsidRPr="00025B9C">
              <w:rPr>
                <w:rFonts w:asciiTheme="minorHAnsi" w:hAnsiTheme="minorHAnsi" w:cstheme="minorHAnsi"/>
                <w:b/>
                <w:sz w:val="22"/>
                <w:szCs w:val="22"/>
              </w:rPr>
              <w:t>comply-or-explain</w:t>
            </w:r>
            <w:r w:rsidR="00634A79" w:rsidRPr="00025B9C">
              <w:rPr>
                <w:rFonts w:asciiTheme="minorHAnsi" w:hAnsiTheme="minorHAnsi" w:cstheme="minorHAnsi"/>
                <w:b/>
                <w:sz w:val="22"/>
                <w:szCs w:val="22"/>
              </w:rPr>
              <w:t>’</w:t>
            </w:r>
            <w:r w:rsidRPr="00025B9C">
              <w:rPr>
                <w:rFonts w:asciiTheme="minorHAnsi" w:hAnsiTheme="minorHAnsi" w:cstheme="minorHAnsi"/>
                <w:b/>
                <w:sz w:val="22"/>
                <w:szCs w:val="22"/>
              </w:rPr>
              <w:t xml:space="preserve"> system</w:t>
            </w:r>
          </w:p>
        </w:tc>
      </w:tr>
      <w:tr w:rsidR="00025B9C" w:rsidRPr="00025B9C" w:rsidTr="00C74EF8">
        <w:trPr>
          <w:jc w:val="center"/>
        </w:trPr>
        <w:tc>
          <w:tcPr>
            <w:tcW w:w="2520" w:type="dxa"/>
            <w:shd w:val="clear" w:color="auto" w:fill="auto"/>
          </w:tcPr>
          <w:p w:rsidR="00F84B31" w:rsidRPr="00025B9C" w:rsidRDefault="00F84B31" w:rsidP="001A75A5">
            <w:pPr>
              <w:ind w:right="-404"/>
              <w:rPr>
                <w:rFonts w:asciiTheme="minorHAnsi" w:hAnsiTheme="minorHAnsi" w:cstheme="minorHAnsi"/>
                <w:i/>
                <w:sz w:val="22"/>
                <w:szCs w:val="22"/>
              </w:rPr>
            </w:pPr>
            <w:r w:rsidRPr="00025B9C">
              <w:rPr>
                <w:rFonts w:asciiTheme="minorHAnsi" w:hAnsiTheme="minorHAnsi" w:cstheme="minorHAnsi"/>
                <w:i/>
                <w:sz w:val="22"/>
                <w:szCs w:val="22"/>
              </w:rPr>
              <w:t>Source</w:t>
            </w:r>
          </w:p>
        </w:tc>
        <w:tc>
          <w:tcPr>
            <w:tcW w:w="10980" w:type="dxa"/>
            <w:shd w:val="clear" w:color="auto" w:fill="auto"/>
          </w:tcPr>
          <w:p w:rsidR="00F84B31" w:rsidRPr="00025B9C" w:rsidRDefault="00F84B31" w:rsidP="007E4EED">
            <w:pPr>
              <w:rPr>
                <w:rFonts w:asciiTheme="minorHAnsi" w:hAnsiTheme="minorHAnsi" w:cstheme="minorHAnsi"/>
                <w:i/>
                <w:sz w:val="22"/>
                <w:szCs w:val="22"/>
              </w:rPr>
            </w:pPr>
            <w:r w:rsidRPr="00025B9C">
              <w:rPr>
                <w:rFonts w:asciiTheme="minorHAnsi" w:hAnsiTheme="minorHAnsi" w:cstheme="minorHAnsi"/>
                <w:i/>
                <w:sz w:val="22"/>
                <w:szCs w:val="22"/>
              </w:rPr>
              <w:t>Description of system</w:t>
            </w:r>
          </w:p>
        </w:tc>
      </w:tr>
      <w:tr w:rsidR="00025B9C" w:rsidRPr="00025B9C" w:rsidTr="00C74EF8">
        <w:trPr>
          <w:jc w:val="center"/>
        </w:trPr>
        <w:tc>
          <w:tcPr>
            <w:tcW w:w="2520" w:type="dxa"/>
            <w:tcBorders>
              <w:bottom w:val="dashed" w:sz="4" w:space="0" w:color="auto"/>
            </w:tcBorders>
            <w:shd w:val="clear" w:color="auto" w:fill="auto"/>
          </w:tcPr>
          <w:p w:rsidR="00F84B31" w:rsidRPr="00025B9C" w:rsidRDefault="00F84B31" w:rsidP="001A75A5">
            <w:pPr>
              <w:rPr>
                <w:rFonts w:asciiTheme="minorHAnsi" w:hAnsiTheme="minorHAnsi" w:cstheme="minorHAnsi"/>
                <w:sz w:val="22"/>
                <w:szCs w:val="22"/>
              </w:rPr>
            </w:pPr>
            <w:r w:rsidRPr="00025B9C">
              <w:rPr>
                <w:rFonts w:asciiTheme="minorHAnsi" w:hAnsiTheme="minorHAnsi" w:cstheme="minorHAnsi"/>
                <w:sz w:val="22"/>
                <w:szCs w:val="22"/>
              </w:rPr>
              <w:t>Cadbury Report (1992</w:t>
            </w:r>
            <w:r w:rsidR="00A42E1E" w:rsidRPr="00025B9C">
              <w:rPr>
                <w:rFonts w:asciiTheme="minorHAnsi" w:hAnsiTheme="minorHAnsi" w:cstheme="minorHAnsi"/>
                <w:sz w:val="22"/>
                <w:szCs w:val="22"/>
              </w:rPr>
              <w:t>, para 3.8</w:t>
            </w:r>
            <w:r w:rsidRPr="00025B9C">
              <w:rPr>
                <w:rFonts w:asciiTheme="minorHAnsi" w:hAnsiTheme="minorHAnsi" w:cstheme="minorHAnsi"/>
                <w:sz w:val="22"/>
                <w:szCs w:val="22"/>
              </w:rPr>
              <w:t>)</w:t>
            </w:r>
          </w:p>
        </w:tc>
        <w:tc>
          <w:tcPr>
            <w:tcW w:w="10980" w:type="dxa"/>
            <w:tcBorders>
              <w:bottom w:val="dashed" w:sz="4" w:space="0" w:color="auto"/>
            </w:tcBorders>
            <w:shd w:val="clear" w:color="auto" w:fill="auto"/>
          </w:tcPr>
          <w:p w:rsidR="00F84B31" w:rsidRPr="00025B9C" w:rsidRDefault="0085244D" w:rsidP="00A42E1E">
            <w:pPr>
              <w:rPr>
                <w:rFonts w:asciiTheme="minorHAnsi" w:hAnsiTheme="minorHAnsi" w:cstheme="minorHAnsi"/>
                <w:sz w:val="22"/>
                <w:szCs w:val="22"/>
              </w:rPr>
            </w:pPr>
            <w:r w:rsidRPr="00025B9C">
              <w:rPr>
                <w:rFonts w:asciiTheme="minorHAnsi" w:hAnsiTheme="minorHAnsi" w:cstheme="minorHAnsi"/>
                <w:sz w:val="22"/>
                <w:szCs w:val="22"/>
              </w:rPr>
              <w:t xml:space="preserve">… </w:t>
            </w:r>
            <w:r w:rsidR="00F84B31" w:rsidRPr="00025B9C">
              <w:rPr>
                <w:rFonts w:asciiTheme="minorHAnsi" w:hAnsiTheme="minorHAnsi" w:cstheme="minorHAnsi"/>
                <w:sz w:val="22"/>
                <w:szCs w:val="22"/>
              </w:rPr>
              <w:t xml:space="preserve">to state whether they are complying with the Code and to give </w:t>
            </w:r>
            <w:r w:rsidR="00F84B31" w:rsidRPr="00025B9C">
              <w:rPr>
                <w:rFonts w:asciiTheme="minorHAnsi" w:hAnsiTheme="minorHAnsi" w:cstheme="minorHAnsi"/>
                <w:sz w:val="22"/>
                <w:szCs w:val="22"/>
                <w:u w:val="single"/>
              </w:rPr>
              <w:t>reasons</w:t>
            </w:r>
            <w:r w:rsidR="00F84B31" w:rsidRPr="00025B9C">
              <w:rPr>
                <w:rFonts w:asciiTheme="minorHAnsi" w:hAnsiTheme="minorHAnsi" w:cstheme="minorHAnsi"/>
                <w:sz w:val="22"/>
                <w:szCs w:val="22"/>
              </w:rPr>
              <w:t xml:space="preserve"> for any areas of non-compliance (para 1.3) … but areas of non-compliance will have to be dealt with individually</w:t>
            </w:r>
          </w:p>
        </w:tc>
      </w:tr>
      <w:tr w:rsidR="00025B9C" w:rsidRPr="00025B9C" w:rsidTr="00C74EF8">
        <w:trPr>
          <w:jc w:val="center"/>
        </w:trPr>
        <w:tc>
          <w:tcPr>
            <w:tcW w:w="2520" w:type="dxa"/>
            <w:tcBorders>
              <w:top w:val="dashed" w:sz="4" w:space="0" w:color="auto"/>
              <w:bottom w:val="dashed" w:sz="4" w:space="0" w:color="auto"/>
            </w:tcBorders>
            <w:shd w:val="clear" w:color="auto" w:fill="auto"/>
          </w:tcPr>
          <w:p w:rsidR="00F84B31" w:rsidRPr="00025B9C" w:rsidRDefault="00F84B31" w:rsidP="001A75A5">
            <w:pPr>
              <w:rPr>
                <w:rFonts w:asciiTheme="minorHAnsi" w:hAnsiTheme="minorHAnsi" w:cstheme="minorHAnsi"/>
                <w:sz w:val="22"/>
                <w:szCs w:val="22"/>
              </w:rPr>
            </w:pPr>
            <w:proofErr w:type="spellStart"/>
            <w:r w:rsidRPr="00025B9C">
              <w:rPr>
                <w:rFonts w:asciiTheme="minorHAnsi" w:hAnsiTheme="minorHAnsi" w:cstheme="minorHAnsi"/>
                <w:sz w:val="22"/>
                <w:szCs w:val="22"/>
              </w:rPr>
              <w:t>Greenbury</w:t>
            </w:r>
            <w:proofErr w:type="spellEnd"/>
            <w:r w:rsidRPr="00025B9C">
              <w:rPr>
                <w:rFonts w:asciiTheme="minorHAnsi" w:hAnsiTheme="minorHAnsi" w:cstheme="minorHAnsi"/>
                <w:sz w:val="22"/>
                <w:szCs w:val="22"/>
              </w:rPr>
              <w:t xml:space="preserve"> Report (1995</w:t>
            </w:r>
            <w:r w:rsidR="00A42E1E" w:rsidRPr="00025B9C">
              <w:rPr>
                <w:rFonts w:asciiTheme="minorHAnsi" w:hAnsiTheme="minorHAnsi" w:cstheme="minorHAnsi"/>
                <w:sz w:val="22"/>
                <w:szCs w:val="22"/>
              </w:rPr>
              <w:t>, p. 13</w:t>
            </w:r>
            <w:r w:rsidRPr="00025B9C">
              <w:rPr>
                <w:rFonts w:asciiTheme="minorHAnsi" w:hAnsiTheme="minorHAnsi" w:cstheme="minorHAnsi"/>
                <w:sz w:val="22"/>
                <w:szCs w:val="22"/>
              </w:rPr>
              <w:t>)</w:t>
            </w:r>
          </w:p>
        </w:tc>
        <w:tc>
          <w:tcPr>
            <w:tcW w:w="10980" w:type="dxa"/>
            <w:tcBorders>
              <w:top w:val="dashed" w:sz="4" w:space="0" w:color="auto"/>
              <w:bottom w:val="dashed" w:sz="4" w:space="0" w:color="auto"/>
            </w:tcBorders>
            <w:shd w:val="clear" w:color="auto" w:fill="auto"/>
          </w:tcPr>
          <w:p w:rsidR="00F84B31" w:rsidRPr="00025B9C" w:rsidRDefault="0037370D" w:rsidP="00A42E1E">
            <w:pPr>
              <w:rPr>
                <w:rFonts w:asciiTheme="minorHAnsi" w:hAnsiTheme="minorHAnsi" w:cstheme="minorHAnsi"/>
                <w:sz w:val="22"/>
                <w:szCs w:val="22"/>
              </w:rPr>
            </w:pPr>
            <w:r w:rsidRPr="00025B9C">
              <w:rPr>
                <w:rFonts w:asciiTheme="minorHAnsi" w:hAnsiTheme="minorHAnsi" w:cstheme="minorHAnsi"/>
                <w:sz w:val="22"/>
                <w:szCs w:val="22"/>
              </w:rPr>
              <w:t>Include</w:t>
            </w:r>
            <w:r w:rsidR="00925FB3" w:rsidRPr="00025B9C">
              <w:rPr>
                <w:rFonts w:asciiTheme="minorHAnsi" w:hAnsiTheme="minorHAnsi" w:cstheme="minorHAnsi"/>
                <w:sz w:val="22"/>
                <w:szCs w:val="22"/>
              </w:rPr>
              <w:t xml:space="preserve"> </w:t>
            </w:r>
            <w:r w:rsidRPr="00025B9C">
              <w:rPr>
                <w:rFonts w:asciiTheme="minorHAnsi" w:hAnsiTheme="minorHAnsi" w:cstheme="minorHAnsi"/>
                <w:sz w:val="22"/>
                <w:szCs w:val="22"/>
              </w:rPr>
              <w:t>…</w:t>
            </w:r>
            <w:r w:rsidR="00925FB3" w:rsidRPr="00025B9C">
              <w:rPr>
                <w:rFonts w:asciiTheme="minorHAnsi" w:hAnsiTheme="minorHAnsi" w:cstheme="minorHAnsi"/>
                <w:sz w:val="22"/>
                <w:szCs w:val="22"/>
              </w:rPr>
              <w:t xml:space="preserve"> </w:t>
            </w:r>
            <w:r w:rsidR="00F84B31" w:rsidRPr="00025B9C">
              <w:rPr>
                <w:rFonts w:asciiTheme="minorHAnsi" w:hAnsiTheme="minorHAnsi" w:cstheme="minorHAnsi"/>
                <w:sz w:val="22"/>
                <w:szCs w:val="22"/>
              </w:rPr>
              <w:t xml:space="preserve">a general statement about their compliance … which should also </w:t>
            </w:r>
            <w:r w:rsidR="00F84B31" w:rsidRPr="00025B9C">
              <w:rPr>
                <w:rFonts w:asciiTheme="minorHAnsi" w:hAnsiTheme="minorHAnsi" w:cstheme="minorHAnsi"/>
                <w:sz w:val="22"/>
                <w:szCs w:val="22"/>
                <w:u w:val="single"/>
              </w:rPr>
              <w:t>explain and just</w:t>
            </w:r>
            <w:r w:rsidR="00A42E1E" w:rsidRPr="00025B9C">
              <w:rPr>
                <w:rFonts w:asciiTheme="minorHAnsi" w:hAnsiTheme="minorHAnsi" w:cstheme="minorHAnsi"/>
                <w:sz w:val="22"/>
                <w:szCs w:val="22"/>
                <w:u w:val="single"/>
              </w:rPr>
              <w:t>ify</w:t>
            </w:r>
            <w:r w:rsidR="00A42E1E" w:rsidRPr="00025B9C">
              <w:rPr>
                <w:rFonts w:asciiTheme="minorHAnsi" w:hAnsiTheme="minorHAnsi" w:cstheme="minorHAnsi"/>
                <w:sz w:val="22"/>
                <w:szCs w:val="22"/>
              </w:rPr>
              <w:t xml:space="preserve"> any areas of non-compliance</w:t>
            </w:r>
          </w:p>
        </w:tc>
      </w:tr>
      <w:tr w:rsidR="00025B9C" w:rsidRPr="00025B9C" w:rsidTr="00C74EF8">
        <w:trPr>
          <w:jc w:val="center"/>
        </w:trPr>
        <w:tc>
          <w:tcPr>
            <w:tcW w:w="2520" w:type="dxa"/>
            <w:tcBorders>
              <w:top w:val="dashed" w:sz="4" w:space="0" w:color="auto"/>
              <w:bottom w:val="dashed" w:sz="4" w:space="0" w:color="auto"/>
            </w:tcBorders>
            <w:shd w:val="clear" w:color="auto" w:fill="auto"/>
          </w:tcPr>
          <w:p w:rsidR="00F84B31" w:rsidRPr="00025B9C" w:rsidRDefault="00F84B31" w:rsidP="0037370D">
            <w:pPr>
              <w:rPr>
                <w:rFonts w:asciiTheme="minorHAnsi" w:hAnsiTheme="minorHAnsi" w:cstheme="minorHAnsi"/>
                <w:sz w:val="22"/>
                <w:szCs w:val="22"/>
              </w:rPr>
            </w:pPr>
            <w:proofErr w:type="spellStart"/>
            <w:r w:rsidRPr="00025B9C">
              <w:rPr>
                <w:rFonts w:asciiTheme="minorHAnsi" w:hAnsiTheme="minorHAnsi" w:cstheme="minorHAnsi"/>
                <w:sz w:val="22"/>
                <w:szCs w:val="22"/>
              </w:rPr>
              <w:t>H</w:t>
            </w:r>
            <w:r w:rsidR="0037370D" w:rsidRPr="00025B9C">
              <w:rPr>
                <w:rFonts w:asciiTheme="minorHAnsi" w:hAnsiTheme="minorHAnsi" w:cstheme="minorHAnsi"/>
                <w:sz w:val="22"/>
                <w:szCs w:val="22"/>
              </w:rPr>
              <w:t>a</w:t>
            </w:r>
            <w:r w:rsidRPr="00025B9C">
              <w:rPr>
                <w:rFonts w:asciiTheme="minorHAnsi" w:hAnsiTheme="minorHAnsi" w:cstheme="minorHAnsi"/>
                <w:sz w:val="22"/>
                <w:szCs w:val="22"/>
              </w:rPr>
              <w:t>mpel</w:t>
            </w:r>
            <w:proofErr w:type="spellEnd"/>
            <w:r w:rsidRPr="00025B9C">
              <w:rPr>
                <w:rFonts w:asciiTheme="minorHAnsi" w:hAnsiTheme="minorHAnsi" w:cstheme="minorHAnsi"/>
                <w:sz w:val="22"/>
                <w:szCs w:val="22"/>
              </w:rPr>
              <w:t xml:space="preserve"> Report (1998</w:t>
            </w:r>
            <w:r w:rsidR="00A42E1E" w:rsidRPr="00025B9C">
              <w:rPr>
                <w:rFonts w:asciiTheme="minorHAnsi" w:hAnsiTheme="minorHAnsi" w:cstheme="minorHAnsi"/>
                <w:sz w:val="22"/>
                <w:szCs w:val="22"/>
              </w:rPr>
              <w:t>, para 1.11</w:t>
            </w:r>
            <w:r w:rsidRPr="00025B9C">
              <w:rPr>
                <w:rFonts w:asciiTheme="minorHAnsi" w:hAnsiTheme="minorHAnsi" w:cstheme="minorHAnsi"/>
                <w:sz w:val="22"/>
                <w:szCs w:val="22"/>
              </w:rPr>
              <w:t>)</w:t>
            </w:r>
          </w:p>
        </w:tc>
        <w:tc>
          <w:tcPr>
            <w:tcW w:w="10980" w:type="dxa"/>
            <w:tcBorders>
              <w:top w:val="dashed" w:sz="4" w:space="0" w:color="auto"/>
              <w:bottom w:val="dashed" w:sz="4" w:space="0" w:color="auto"/>
            </w:tcBorders>
            <w:shd w:val="clear" w:color="auto" w:fill="auto"/>
          </w:tcPr>
          <w:p w:rsidR="00F84B31" w:rsidRPr="00025B9C" w:rsidRDefault="00C74EF8" w:rsidP="00A42E1E">
            <w:pPr>
              <w:rPr>
                <w:rFonts w:asciiTheme="minorHAnsi" w:hAnsiTheme="minorHAnsi" w:cstheme="minorHAnsi"/>
                <w:sz w:val="22"/>
                <w:szCs w:val="22"/>
              </w:rPr>
            </w:pPr>
            <w:r w:rsidRPr="00025B9C">
              <w:rPr>
                <w:rFonts w:asciiTheme="minorHAnsi" w:hAnsiTheme="minorHAnsi" w:cstheme="minorHAnsi"/>
                <w:sz w:val="22"/>
                <w:szCs w:val="22"/>
              </w:rPr>
              <w:t xml:space="preserve">… </w:t>
            </w:r>
            <w:r w:rsidR="00F84B31" w:rsidRPr="00025B9C">
              <w:rPr>
                <w:rFonts w:asciiTheme="minorHAnsi" w:hAnsiTheme="minorHAnsi" w:cstheme="minorHAnsi"/>
                <w:sz w:val="22"/>
                <w:szCs w:val="22"/>
              </w:rPr>
              <w:t xml:space="preserve">companies should be prepared to review and </w:t>
            </w:r>
            <w:r w:rsidR="00F84B31" w:rsidRPr="00025B9C">
              <w:rPr>
                <w:rFonts w:asciiTheme="minorHAnsi" w:hAnsiTheme="minorHAnsi" w:cstheme="minorHAnsi"/>
                <w:sz w:val="22"/>
                <w:szCs w:val="22"/>
                <w:u w:val="single"/>
              </w:rPr>
              <w:t>explain</w:t>
            </w:r>
            <w:r w:rsidR="00F84B31" w:rsidRPr="00025B9C">
              <w:rPr>
                <w:rFonts w:asciiTheme="minorHAnsi" w:hAnsiTheme="minorHAnsi" w:cstheme="minorHAnsi"/>
                <w:sz w:val="22"/>
                <w:szCs w:val="22"/>
              </w:rPr>
              <w:t xml:space="preserve"> their governance policies, </w:t>
            </w:r>
            <w:r w:rsidR="00F84B31" w:rsidRPr="00025B9C">
              <w:rPr>
                <w:rFonts w:asciiTheme="minorHAnsi" w:hAnsiTheme="minorHAnsi" w:cstheme="minorHAnsi"/>
                <w:sz w:val="22"/>
                <w:szCs w:val="22"/>
                <w:u w:val="single"/>
              </w:rPr>
              <w:t>including any special circumstances</w:t>
            </w:r>
            <w:r w:rsidR="00F84B31" w:rsidRPr="00025B9C">
              <w:rPr>
                <w:rFonts w:asciiTheme="minorHAnsi" w:hAnsiTheme="minorHAnsi" w:cstheme="minorHAnsi"/>
                <w:sz w:val="22"/>
                <w:szCs w:val="22"/>
              </w:rPr>
              <w:t xml:space="preserve"> which in their view justify departure from generally accepted best practice </w:t>
            </w:r>
          </w:p>
        </w:tc>
      </w:tr>
      <w:tr w:rsidR="00025B9C" w:rsidRPr="00025B9C" w:rsidTr="00C74EF8">
        <w:trPr>
          <w:jc w:val="center"/>
        </w:trPr>
        <w:tc>
          <w:tcPr>
            <w:tcW w:w="2520" w:type="dxa"/>
            <w:tcBorders>
              <w:top w:val="dashed" w:sz="4" w:space="0" w:color="auto"/>
              <w:bottom w:val="dashed" w:sz="4" w:space="0" w:color="auto"/>
            </w:tcBorders>
            <w:shd w:val="clear" w:color="auto" w:fill="auto"/>
          </w:tcPr>
          <w:p w:rsidR="00F84B31" w:rsidRPr="00025B9C" w:rsidRDefault="00F84B31" w:rsidP="001A75A5">
            <w:pPr>
              <w:rPr>
                <w:rFonts w:asciiTheme="minorHAnsi" w:hAnsiTheme="minorHAnsi" w:cstheme="minorHAnsi"/>
                <w:sz w:val="22"/>
                <w:szCs w:val="22"/>
              </w:rPr>
            </w:pPr>
            <w:r w:rsidRPr="00025B9C">
              <w:rPr>
                <w:rFonts w:asciiTheme="minorHAnsi" w:hAnsiTheme="minorHAnsi" w:cstheme="minorHAnsi"/>
                <w:sz w:val="22"/>
                <w:szCs w:val="22"/>
              </w:rPr>
              <w:t>Combined Code (1998</w:t>
            </w:r>
            <w:r w:rsidR="00A42E1E" w:rsidRPr="00025B9C">
              <w:rPr>
                <w:rFonts w:asciiTheme="minorHAnsi" w:hAnsiTheme="minorHAnsi" w:cstheme="minorHAnsi"/>
                <w:sz w:val="22"/>
                <w:szCs w:val="22"/>
              </w:rPr>
              <w:t>, p. 1</w:t>
            </w:r>
            <w:r w:rsidRPr="00025B9C">
              <w:rPr>
                <w:rFonts w:asciiTheme="minorHAnsi" w:hAnsiTheme="minorHAnsi" w:cstheme="minorHAnsi"/>
                <w:sz w:val="22"/>
                <w:szCs w:val="22"/>
              </w:rPr>
              <w:t>)</w:t>
            </w:r>
          </w:p>
        </w:tc>
        <w:tc>
          <w:tcPr>
            <w:tcW w:w="10980" w:type="dxa"/>
            <w:tcBorders>
              <w:top w:val="dashed" w:sz="4" w:space="0" w:color="auto"/>
              <w:bottom w:val="dashed" w:sz="4" w:space="0" w:color="auto"/>
            </w:tcBorders>
            <w:shd w:val="clear" w:color="auto" w:fill="auto"/>
          </w:tcPr>
          <w:p w:rsidR="00F84B31" w:rsidRPr="00025B9C" w:rsidRDefault="00F84B31" w:rsidP="00A42E1E">
            <w:pPr>
              <w:rPr>
                <w:rFonts w:asciiTheme="minorHAnsi" w:hAnsiTheme="minorHAnsi" w:cstheme="minorHAnsi"/>
                <w:sz w:val="22"/>
                <w:szCs w:val="22"/>
              </w:rPr>
            </w:pPr>
            <w:r w:rsidRPr="00025B9C">
              <w:rPr>
                <w:rFonts w:asciiTheme="minorHAnsi" w:hAnsiTheme="minorHAnsi" w:cstheme="minorHAnsi"/>
                <w:sz w:val="22"/>
                <w:szCs w:val="22"/>
              </w:rPr>
              <w:t xml:space="preserve">… the company will be required either to confirm that it complies with the Code provisions or </w:t>
            </w:r>
            <w:r w:rsidR="00C74EF8" w:rsidRPr="00025B9C">
              <w:rPr>
                <w:rFonts w:asciiTheme="minorHAnsi" w:hAnsiTheme="minorHAnsi" w:cstheme="minorHAnsi"/>
                <w:sz w:val="22"/>
                <w:szCs w:val="22"/>
              </w:rPr>
              <w:t>–</w:t>
            </w:r>
            <w:r w:rsidRPr="00025B9C">
              <w:rPr>
                <w:rFonts w:asciiTheme="minorHAnsi" w:hAnsiTheme="minorHAnsi" w:cstheme="minorHAnsi"/>
                <w:sz w:val="22"/>
                <w:szCs w:val="22"/>
              </w:rPr>
              <w:t xml:space="preserve"> where it does not </w:t>
            </w:r>
            <w:r w:rsidR="00C74EF8" w:rsidRPr="00025B9C">
              <w:rPr>
                <w:rFonts w:asciiTheme="minorHAnsi" w:hAnsiTheme="minorHAnsi" w:cstheme="minorHAnsi"/>
                <w:sz w:val="22"/>
                <w:szCs w:val="22"/>
              </w:rPr>
              <w:t>–</w:t>
            </w:r>
            <w:r w:rsidRPr="00025B9C">
              <w:rPr>
                <w:rFonts w:asciiTheme="minorHAnsi" w:hAnsiTheme="minorHAnsi" w:cstheme="minorHAnsi"/>
                <w:sz w:val="22"/>
                <w:szCs w:val="22"/>
              </w:rPr>
              <w:t xml:space="preserve"> </w:t>
            </w:r>
            <w:r w:rsidRPr="00025B9C">
              <w:rPr>
                <w:rFonts w:asciiTheme="minorHAnsi" w:hAnsiTheme="minorHAnsi" w:cstheme="minorHAnsi"/>
                <w:sz w:val="22"/>
                <w:szCs w:val="22"/>
                <w:u w:val="single"/>
              </w:rPr>
              <w:t>provide an explanation</w:t>
            </w:r>
            <w:r w:rsidRPr="00025B9C">
              <w:rPr>
                <w:rFonts w:asciiTheme="minorHAnsi" w:hAnsiTheme="minorHAnsi" w:cstheme="minorHAnsi"/>
                <w:sz w:val="22"/>
                <w:szCs w:val="22"/>
              </w:rPr>
              <w:t xml:space="preserve">. Again, it must be for shareholders and others to evaluate such explanations. </w:t>
            </w:r>
          </w:p>
        </w:tc>
      </w:tr>
      <w:tr w:rsidR="00025B9C" w:rsidRPr="00025B9C" w:rsidTr="00C74EF8">
        <w:trPr>
          <w:jc w:val="center"/>
        </w:trPr>
        <w:tc>
          <w:tcPr>
            <w:tcW w:w="2520" w:type="dxa"/>
            <w:tcBorders>
              <w:top w:val="dashed" w:sz="4" w:space="0" w:color="auto"/>
              <w:bottom w:val="dashed" w:sz="4" w:space="0" w:color="auto"/>
            </w:tcBorders>
            <w:shd w:val="clear" w:color="auto" w:fill="auto"/>
          </w:tcPr>
          <w:p w:rsidR="00F84B31" w:rsidRPr="00025B9C" w:rsidRDefault="00F84B31" w:rsidP="001A75A5">
            <w:pPr>
              <w:rPr>
                <w:rFonts w:asciiTheme="minorHAnsi" w:hAnsiTheme="minorHAnsi" w:cstheme="minorHAnsi"/>
                <w:sz w:val="22"/>
                <w:szCs w:val="22"/>
              </w:rPr>
            </w:pPr>
            <w:r w:rsidRPr="00025B9C">
              <w:rPr>
                <w:rFonts w:asciiTheme="minorHAnsi" w:hAnsiTheme="minorHAnsi" w:cstheme="minorHAnsi"/>
                <w:sz w:val="22"/>
                <w:szCs w:val="22"/>
              </w:rPr>
              <w:t>Higgs Report (2003</w:t>
            </w:r>
            <w:r w:rsidR="00A42E1E" w:rsidRPr="00025B9C">
              <w:rPr>
                <w:rFonts w:asciiTheme="minorHAnsi" w:hAnsiTheme="minorHAnsi" w:cstheme="minorHAnsi"/>
                <w:sz w:val="22"/>
                <w:szCs w:val="22"/>
              </w:rPr>
              <w:t>, para 1.14</w:t>
            </w:r>
            <w:r w:rsidRPr="00025B9C">
              <w:rPr>
                <w:rFonts w:asciiTheme="minorHAnsi" w:hAnsiTheme="minorHAnsi" w:cstheme="minorHAnsi"/>
                <w:sz w:val="22"/>
                <w:szCs w:val="22"/>
              </w:rPr>
              <w:t>)</w:t>
            </w:r>
          </w:p>
        </w:tc>
        <w:tc>
          <w:tcPr>
            <w:tcW w:w="10980" w:type="dxa"/>
            <w:tcBorders>
              <w:top w:val="dashed" w:sz="4" w:space="0" w:color="auto"/>
              <w:bottom w:val="dashed" w:sz="4" w:space="0" w:color="auto"/>
            </w:tcBorders>
            <w:shd w:val="clear" w:color="auto" w:fill="auto"/>
          </w:tcPr>
          <w:p w:rsidR="00F84B31" w:rsidRPr="00025B9C" w:rsidRDefault="00F84B31" w:rsidP="008645CC">
            <w:pPr>
              <w:rPr>
                <w:rFonts w:asciiTheme="minorHAnsi" w:hAnsiTheme="minorHAnsi" w:cstheme="minorHAnsi"/>
                <w:sz w:val="22"/>
                <w:szCs w:val="22"/>
              </w:rPr>
            </w:pPr>
            <w:r w:rsidRPr="00025B9C">
              <w:rPr>
                <w:rFonts w:asciiTheme="minorHAnsi" w:hAnsiTheme="minorHAnsi" w:cstheme="minorHAnsi"/>
                <w:sz w:val="22"/>
                <w:szCs w:val="22"/>
              </w:rPr>
              <w:t xml:space="preserve">Listed companies have to report on how they apply the Code’s principles and to state whether they comply with the detailed provisions and, </w:t>
            </w:r>
            <w:r w:rsidRPr="00025B9C">
              <w:rPr>
                <w:rFonts w:asciiTheme="minorHAnsi" w:hAnsiTheme="minorHAnsi" w:cstheme="minorHAnsi"/>
                <w:sz w:val="22"/>
                <w:szCs w:val="22"/>
                <w:u w:val="single"/>
              </w:rPr>
              <w:t>if not, why not</w:t>
            </w:r>
            <w:r w:rsidRPr="00025B9C">
              <w:rPr>
                <w:rFonts w:asciiTheme="minorHAnsi" w:hAnsiTheme="minorHAnsi" w:cstheme="minorHAnsi"/>
                <w:sz w:val="22"/>
                <w:szCs w:val="22"/>
              </w:rPr>
              <w:t xml:space="preserve">. </w:t>
            </w:r>
          </w:p>
        </w:tc>
      </w:tr>
      <w:tr w:rsidR="00025B9C" w:rsidRPr="00025B9C" w:rsidTr="00C74EF8">
        <w:trPr>
          <w:jc w:val="center"/>
        </w:trPr>
        <w:tc>
          <w:tcPr>
            <w:tcW w:w="2520" w:type="dxa"/>
            <w:tcBorders>
              <w:top w:val="dashed" w:sz="4" w:space="0" w:color="auto"/>
              <w:bottom w:val="dashed" w:sz="4" w:space="0" w:color="auto"/>
            </w:tcBorders>
            <w:shd w:val="clear" w:color="auto" w:fill="auto"/>
          </w:tcPr>
          <w:p w:rsidR="00F84B31" w:rsidRPr="00025B9C" w:rsidRDefault="00F84B31" w:rsidP="006E3A98">
            <w:pPr>
              <w:rPr>
                <w:rFonts w:asciiTheme="minorHAnsi" w:hAnsiTheme="minorHAnsi" w:cstheme="minorHAnsi"/>
                <w:sz w:val="22"/>
                <w:szCs w:val="22"/>
              </w:rPr>
            </w:pPr>
            <w:r w:rsidRPr="00025B9C">
              <w:rPr>
                <w:rFonts w:asciiTheme="minorHAnsi" w:hAnsiTheme="minorHAnsi" w:cstheme="minorHAnsi"/>
                <w:sz w:val="22"/>
                <w:szCs w:val="22"/>
              </w:rPr>
              <w:t>Combined Code (</w:t>
            </w:r>
            <w:r w:rsidR="00653F05" w:rsidRPr="00025B9C">
              <w:rPr>
                <w:rFonts w:asciiTheme="minorHAnsi" w:hAnsiTheme="minorHAnsi" w:cstheme="minorHAnsi"/>
                <w:sz w:val="22"/>
                <w:szCs w:val="22"/>
              </w:rPr>
              <w:t xml:space="preserve">FRC, </w:t>
            </w:r>
            <w:r w:rsidRPr="00025B9C">
              <w:rPr>
                <w:rFonts w:asciiTheme="minorHAnsi" w:hAnsiTheme="minorHAnsi" w:cstheme="minorHAnsi"/>
                <w:sz w:val="22"/>
                <w:szCs w:val="22"/>
              </w:rPr>
              <w:t>2008</w:t>
            </w:r>
            <w:r w:rsidR="00A42E1E" w:rsidRPr="00025B9C">
              <w:rPr>
                <w:rFonts w:asciiTheme="minorHAnsi" w:hAnsiTheme="minorHAnsi" w:cstheme="minorHAnsi"/>
                <w:sz w:val="22"/>
                <w:szCs w:val="22"/>
              </w:rPr>
              <w:t xml:space="preserve">, page </w:t>
            </w:r>
            <w:r w:rsidR="006E3A98" w:rsidRPr="00025B9C">
              <w:rPr>
                <w:rFonts w:asciiTheme="minorHAnsi" w:hAnsiTheme="minorHAnsi" w:cstheme="minorHAnsi"/>
                <w:sz w:val="22"/>
                <w:szCs w:val="22"/>
              </w:rPr>
              <w:t>2</w:t>
            </w:r>
            <w:r w:rsidRPr="00025B9C">
              <w:rPr>
                <w:rFonts w:asciiTheme="minorHAnsi" w:hAnsiTheme="minorHAnsi" w:cstheme="minorHAnsi"/>
                <w:sz w:val="22"/>
                <w:szCs w:val="22"/>
              </w:rPr>
              <w:t>)</w:t>
            </w:r>
            <w:r w:rsidR="00A52036" w:rsidRPr="00025B9C">
              <w:rPr>
                <w:rFonts w:asciiTheme="minorHAnsi" w:hAnsiTheme="minorHAnsi" w:cstheme="minorHAnsi"/>
                <w:sz w:val="22"/>
                <w:szCs w:val="22"/>
              </w:rPr>
              <w:t>, UK Corporate Governance Code (</w:t>
            </w:r>
            <w:r w:rsidR="00653F05" w:rsidRPr="00025B9C">
              <w:rPr>
                <w:rFonts w:asciiTheme="minorHAnsi" w:hAnsiTheme="minorHAnsi" w:cstheme="minorHAnsi"/>
                <w:sz w:val="22"/>
                <w:szCs w:val="22"/>
                <w:lang w:val="en-IE"/>
              </w:rPr>
              <w:t xml:space="preserve">FRC, </w:t>
            </w:r>
            <w:r w:rsidR="00A52036" w:rsidRPr="00025B9C">
              <w:rPr>
                <w:rFonts w:asciiTheme="minorHAnsi" w:hAnsiTheme="minorHAnsi" w:cstheme="minorHAnsi"/>
                <w:sz w:val="22"/>
                <w:szCs w:val="22"/>
              </w:rPr>
              <w:t>2010, p. 4)</w:t>
            </w:r>
          </w:p>
        </w:tc>
        <w:tc>
          <w:tcPr>
            <w:tcW w:w="10980" w:type="dxa"/>
            <w:tcBorders>
              <w:top w:val="dashed" w:sz="4" w:space="0" w:color="auto"/>
              <w:bottom w:val="dashed" w:sz="4" w:space="0" w:color="auto"/>
            </w:tcBorders>
            <w:shd w:val="clear" w:color="auto" w:fill="auto"/>
          </w:tcPr>
          <w:p w:rsidR="00F84B31" w:rsidRPr="00025B9C" w:rsidRDefault="006E3A98" w:rsidP="006E3A98">
            <w:pPr>
              <w:autoSpaceDE w:val="0"/>
              <w:autoSpaceDN w:val="0"/>
              <w:adjustRightInd w:val="0"/>
              <w:rPr>
                <w:rFonts w:asciiTheme="minorHAnsi" w:hAnsiTheme="minorHAnsi" w:cstheme="minorHAnsi"/>
                <w:strike/>
                <w:sz w:val="22"/>
                <w:szCs w:val="22"/>
              </w:rPr>
            </w:pPr>
            <w:r w:rsidRPr="00025B9C">
              <w:rPr>
                <w:rFonts w:asciiTheme="minorHAnsi" w:eastAsia="Calibri" w:hAnsiTheme="minorHAnsi" w:cstheme="minorHAnsi"/>
                <w:sz w:val="22"/>
                <w:szCs w:val="20"/>
                <w:lang w:val="en-IE" w:eastAsia="en-IE"/>
              </w:rPr>
              <w:t xml:space="preserve">If a company chooses not to comply with one or more provisions of the Code, it must give shareholders a </w:t>
            </w:r>
            <w:r w:rsidRPr="00025B9C">
              <w:rPr>
                <w:rFonts w:asciiTheme="minorHAnsi" w:eastAsia="Calibri" w:hAnsiTheme="minorHAnsi" w:cstheme="minorHAnsi"/>
                <w:sz w:val="22"/>
                <w:szCs w:val="20"/>
                <w:u w:val="single"/>
                <w:lang w:val="en-IE" w:eastAsia="en-IE"/>
              </w:rPr>
              <w:t>careful and clear explanation</w:t>
            </w:r>
            <w:r w:rsidRPr="00025B9C">
              <w:rPr>
                <w:rFonts w:asciiTheme="minorHAnsi" w:eastAsia="Calibri" w:hAnsiTheme="minorHAnsi" w:cstheme="minorHAnsi"/>
                <w:sz w:val="22"/>
                <w:szCs w:val="20"/>
                <w:lang w:val="en-IE" w:eastAsia="en-IE"/>
              </w:rPr>
              <w:t xml:space="preserve">… In providing an explanation, the company should aim to </w:t>
            </w:r>
            <w:r w:rsidRPr="00025B9C">
              <w:rPr>
                <w:rFonts w:asciiTheme="minorHAnsi" w:eastAsia="Calibri" w:hAnsiTheme="minorHAnsi" w:cstheme="minorHAnsi"/>
                <w:sz w:val="22"/>
                <w:szCs w:val="20"/>
                <w:u w:val="single"/>
                <w:lang w:val="en-IE" w:eastAsia="en-IE"/>
              </w:rPr>
              <w:t>illustrate how its actual practices are consistent with the principle</w:t>
            </w:r>
            <w:r w:rsidRPr="00025B9C">
              <w:rPr>
                <w:rFonts w:asciiTheme="minorHAnsi" w:eastAsia="Calibri" w:hAnsiTheme="minorHAnsi" w:cstheme="minorHAnsi"/>
                <w:sz w:val="22"/>
                <w:szCs w:val="20"/>
                <w:lang w:val="en-IE" w:eastAsia="en-IE"/>
              </w:rPr>
              <w:t xml:space="preserve"> to which the particular provision relates and contribute to good governance.</w:t>
            </w:r>
          </w:p>
        </w:tc>
      </w:tr>
      <w:tr w:rsidR="00025B9C" w:rsidRPr="00025B9C" w:rsidTr="00C74EF8">
        <w:trPr>
          <w:jc w:val="center"/>
        </w:trPr>
        <w:tc>
          <w:tcPr>
            <w:tcW w:w="2520" w:type="dxa"/>
            <w:tcBorders>
              <w:top w:val="dashed" w:sz="4" w:space="0" w:color="auto"/>
            </w:tcBorders>
            <w:shd w:val="clear" w:color="auto" w:fill="auto"/>
          </w:tcPr>
          <w:p w:rsidR="00A42E1E" w:rsidRPr="00025B9C" w:rsidRDefault="00A42E1E" w:rsidP="00A42E1E">
            <w:pPr>
              <w:spacing w:line="360" w:lineRule="auto"/>
              <w:jc w:val="both"/>
              <w:rPr>
                <w:rFonts w:asciiTheme="minorHAnsi" w:hAnsiTheme="minorHAnsi" w:cstheme="minorHAnsi"/>
                <w:sz w:val="22"/>
                <w:szCs w:val="22"/>
              </w:rPr>
            </w:pPr>
            <w:r w:rsidRPr="00025B9C">
              <w:rPr>
                <w:rFonts w:asciiTheme="minorHAnsi" w:hAnsiTheme="minorHAnsi" w:cstheme="minorHAnsi"/>
                <w:sz w:val="22"/>
                <w:szCs w:val="22"/>
              </w:rPr>
              <w:t>(FRC, 2012b, p. 3, p. 6):</w:t>
            </w:r>
          </w:p>
          <w:p w:rsidR="00A42E1E" w:rsidRPr="00025B9C" w:rsidRDefault="00A42E1E" w:rsidP="001A75A5">
            <w:pPr>
              <w:rPr>
                <w:rFonts w:asciiTheme="minorHAnsi" w:hAnsiTheme="minorHAnsi" w:cstheme="minorHAnsi"/>
                <w:sz w:val="22"/>
                <w:szCs w:val="22"/>
              </w:rPr>
            </w:pPr>
          </w:p>
        </w:tc>
        <w:tc>
          <w:tcPr>
            <w:tcW w:w="10980" w:type="dxa"/>
            <w:tcBorders>
              <w:top w:val="dashed" w:sz="4" w:space="0" w:color="auto"/>
            </w:tcBorders>
            <w:shd w:val="clear" w:color="auto" w:fill="auto"/>
          </w:tcPr>
          <w:p w:rsidR="00A42E1E" w:rsidRPr="00025B9C" w:rsidRDefault="00A42E1E" w:rsidP="00A42E1E">
            <w:pPr>
              <w:autoSpaceDE w:val="0"/>
              <w:autoSpaceDN w:val="0"/>
              <w:adjustRightInd w:val="0"/>
              <w:ind w:right="95"/>
              <w:jc w:val="both"/>
              <w:rPr>
                <w:rFonts w:asciiTheme="minorHAnsi" w:hAnsiTheme="minorHAnsi" w:cstheme="minorHAnsi"/>
                <w:sz w:val="22"/>
                <w:szCs w:val="22"/>
              </w:rPr>
            </w:pPr>
            <w:r w:rsidRPr="00025B9C">
              <w:rPr>
                <w:rFonts w:asciiTheme="minorHAnsi" w:hAnsiTheme="minorHAnsi" w:cstheme="minorHAnsi"/>
                <w:sz w:val="22"/>
                <w:szCs w:val="22"/>
                <w:lang w:eastAsia="en-IE"/>
              </w:rPr>
              <w:t xml:space="preserve">In providing an explanation, the company should aim to illustrate how its actual practices are both consistent with the principle to which the particular provision relates and contribute to good governance… It should set the context and historical background, should give a </w:t>
            </w:r>
            <w:r w:rsidRPr="00025B9C">
              <w:rPr>
                <w:rFonts w:asciiTheme="minorHAnsi" w:hAnsiTheme="minorHAnsi" w:cstheme="minorHAnsi"/>
                <w:sz w:val="22"/>
                <w:szCs w:val="22"/>
                <w:u w:val="single"/>
                <w:lang w:eastAsia="en-IE"/>
              </w:rPr>
              <w:t>convincing rationale</w:t>
            </w:r>
            <w:r w:rsidRPr="00025B9C">
              <w:rPr>
                <w:rFonts w:asciiTheme="minorHAnsi" w:hAnsiTheme="minorHAnsi" w:cstheme="minorHAnsi"/>
                <w:sz w:val="22"/>
                <w:szCs w:val="22"/>
                <w:lang w:eastAsia="en-IE"/>
              </w:rPr>
              <w:t xml:space="preserve"> for the action it was taking, and describe mitigating action to address any additional risk and to maintain conformity with the relevant principle. Also the explanation should indicate whether the deviation from the Code’s provision was limited in time and when the company intended to return to conformity with the Code’s provision.</w:t>
            </w:r>
            <w:r w:rsidRPr="00025B9C">
              <w:rPr>
                <w:rFonts w:asciiTheme="minorHAnsi" w:hAnsiTheme="minorHAnsi" w:cstheme="minorHAnsi"/>
                <w:sz w:val="22"/>
                <w:szCs w:val="22"/>
              </w:rPr>
              <w:t xml:space="preserve"> </w:t>
            </w:r>
          </w:p>
        </w:tc>
      </w:tr>
    </w:tbl>
    <w:p w:rsidR="00517AC0" w:rsidRPr="00025B9C" w:rsidRDefault="00517AC0">
      <w:r w:rsidRPr="00025B9C">
        <w:br w:type="page"/>
      </w:r>
    </w:p>
    <w:tbl>
      <w:tblPr>
        <w:tblW w:w="13500" w:type="dxa"/>
        <w:jc w:val="center"/>
        <w:tblLayout w:type="fixed"/>
        <w:tblLook w:val="01E0" w:firstRow="1" w:lastRow="1" w:firstColumn="1" w:lastColumn="1" w:noHBand="0" w:noVBand="0"/>
      </w:tblPr>
      <w:tblGrid>
        <w:gridCol w:w="540"/>
        <w:gridCol w:w="3420"/>
        <w:gridCol w:w="3739"/>
        <w:gridCol w:w="5801"/>
      </w:tblGrid>
      <w:tr w:rsidR="00025B9C" w:rsidRPr="00025B9C" w:rsidTr="006F3195">
        <w:trPr>
          <w:jc w:val="center"/>
        </w:trPr>
        <w:tc>
          <w:tcPr>
            <w:tcW w:w="13500" w:type="dxa"/>
            <w:gridSpan w:val="4"/>
            <w:shd w:val="clear" w:color="auto" w:fill="auto"/>
          </w:tcPr>
          <w:p w:rsidR="00385DD8" w:rsidRPr="00025B9C" w:rsidRDefault="00385DD8" w:rsidP="00D665D9">
            <w:pPr>
              <w:rPr>
                <w:rFonts w:asciiTheme="minorHAnsi" w:hAnsiTheme="minorHAnsi" w:cstheme="minorHAnsi"/>
                <w:b/>
                <w:sz w:val="22"/>
                <w:szCs w:val="22"/>
              </w:rPr>
            </w:pPr>
            <w:r w:rsidRPr="00025B9C">
              <w:rPr>
                <w:rFonts w:asciiTheme="minorHAnsi" w:hAnsiTheme="minorHAnsi" w:cstheme="minorHAnsi"/>
                <w:b/>
                <w:sz w:val="22"/>
                <w:szCs w:val="22"/>
              </w:rPr>
              <w:br w:type="page"/>
            </w:r>
            <w:r w:rsidR="00A23839" w:rsidRPr="00025B9C">
              <w:rPr>
                <w:rFonts w:asciiTheme="minorHAnsi" w:hAnsiTheme="minorHAnsi" w:cstheme="minorHAnsi"/>
                <w:b/>
                <w:sz w:val="22"/>
                <w:szCs w:val="22"/>
              </w:rPr>
              <w:t>Table 2</w:t>
            </w:r>
            <w:r w:rsidR="008D6226" w:rsidRPr="00025B9C">
              <w:rPr>
                <w:rFonts w:asciiTheme="minorHAnsi" w:hAnsiTheme="minorHAnsi" w:cstheme="minorHAnsi"/>
                <w:b/>
                <w:sz w:val="22"/>
                <w:szCs w:val="22"/>
              </w:rPr>
              <w:t>.</w:t>
            </w:r>
            <w:r w:rsidRPr="00025B9C">
              <w:rPr>
                <w:rFonts w:asciiTheme="minorHAnsi" w:hAnsiTheme="minorHAnsi" w:cstheme="minorHAnsi"/>
                <w:b/>
                <w:sz w:val="22"/>
                <w:szCs w:val="22"/>
              </w:rPr>
              <w:t xml:space="preserve"> Developing the typology</w:t>
            </w:r>
          </w:p>
        </w:tc>
      </w:tr>
      <w:tr w:rsidR="00025B9C" w:rsidRPr="00025B9C" w:rsidTr="00B97D41">
        <w:trPr>
          <w:jc w:val="center"/>
        </w:trPr>
        <w:tc>
          <w:tcPr>
            <w:tcW w:w="3960" w:type="dxa"/>
            <w:gridSpan w:val="2"/>
            <w:tcBorders>
              <w:bottom w:val="dashed" w:sz="4" w:space="0" w:color="auto"/>
            </w:tcBorders>
            <w:shd w:val="clear" w:color="auto" w:fill="auto"/>
          </w:tcPr>
          <w:p w:rsidR="000F6B82" w:rsidRPr="00025B9C" w:rsidRDefault="000F6B82" w:rsidP="00D665D9">
            <w:pPr>
              <w:ind w:right="-404"/>
              <w:rPr>
                <w:rFonts w:asciiTheme="minorHAnsi" w:hAnsiTheme="minorHAnsi" w:cstheme="minorHAnsi"/>
                <w:i/>
                <w:sz w:val="22"/>
                <w:szCs w:val="22"/>
              </w:rPr>
            </w:pPr>
          </w:p>
          <w:p w:rsidR="000F6B82" w:rsidRPr="00025B9C" w:rsidRDefault="000F6B82" w:rsidP="00D665D9">
            <w:pPr>
              <w:ind w:right="-404"/>
              <w:rPr>
                <w:rFonts w:asciiTheme="minorHAnsi" w:hAnsiTheme="minorHAnsi" w:cstheme="minorHAnsi"/>
                <w:i/>
                <w:sz w:val="22"/>
                <w:szCs w:val="22"/>
              </w:rPr>
            </w:pPr>
            <w:r w:rsidRPr="00025B9C">
              <w:rPr>
                <w:rFonts w:asciiTheme="minorHAnsi" w:hAnsiTheme="minorHAnsi" w:cstheme="minorHAnsi"/>
                <w:i/>
                <w:sz w:val="22"/>
                <w:szCs w:val="22"/>
              </w:rPr>
              <w:t>Benoit’s (1995) image restoration strategy</w:t>
            </w:r>
          </w:p>
        </w:tc>
        <w:tc>
          <w:tcPr>
            <w:tcW w:w="3739" w:type="dxa"/>
            <w:tcBorders>
              <w:bottom w:val="dashed" w:sz="4" w:space="0" w:color="auto"/>
            </w:tcBorders>
            <w:shd w:val="clear" w:color="auto" w:fill="auto"/>
          </w:tcPr>
          <w:p w:rsidR="000F6B82" w:rsidRPr="00025B9C" w:rsidRDefault="000F6B82" w:rsidP="00D665D9">
            <w:pPr>
              <w:ind w:right="-108"/>
              <w:rPr>
                <w:rFonts w:asciiTheme="minorHAnsi" w:hAnsiTheme="minorHAnsi" w:cstheme="minorHAnsi"/>
                <w:i/>
                <w:sz w:val="22"/>
                <w:szCs w:val="22"/>
              </w:rPr>
            </w:pPr>
          </w:p>
          <w:p w:rsidR="000F6B82" w:rsidRPr="00025B9C" w:rsidRDefault="000F6B82" w:rsidP="00D665D9">
            <w:pPr>
              <w:ind w:right="-108"/>
              <w:rPr>
                <w:rFonts w:asciiTheme="minorHAnsi" w:hAnsiTheme="minorHAnsi" w:cstheme="minorHAnsi"/>
                <w:i/>
                <w:sz w:val="22"/>
                <w:szCs w:val="22"/>
              </w:rPr>
            </w:pPr>
            <w:r w:rsidRPr="00025B9C">
              <w:rPr>
                <w:rFonts w:asciiTheme="minorHAnsi" w:hAnsiTheme="minorHAnsi" w:cstheme="minorHAnsi"/>
                <w:i/>
                <w:sz w:val="22"/>
                <w:szCs w:val="22"/>
              </w:rPr>
              <w:t xml:space="preserve">Included </w:t>
            </w:r>
            <w:r w:rsidRPr="00025B9C">
              <w:rPr>
                <w:rFonts w:asciiTheme="minorHAnsi" w:hAnsiTheme="minorHAnsi" w:cstheme="minorHAnsi"/>
                <w:sz w:val="22"/>
                <w:szCs w:val="22"/>
              </w:rPr>
              <w:sym w:font="Wingdings" w:char="F0FC"/>
            </w:r>
            <w:r w:rsidRPr="00025B9C">
              <w:rPr>
                <w:rFonts w:asciiTheme="minorHAnsi" w:hAnsiTheme="minorHAnsi" w:cstheme="minorHAnsi"/>
                <w:i/>
                <w:sz w:val="22"/>
                <w:szCs w:val="22"/>
              </w:rPr>
              <w:t xml:space="preserve">/excluded </w:t>
            </w:r>
            <w:r w:rsidRPr="00025B9C">
              <w:rPr>
                <w:rFonts w:asciiTheme="minorHAnsi" w:hAnsiTheme="minorHAnsi" w:cstheme="minorHAnsi"/>
                <w:sz w:val="22"/>
                <w:szCs w:val="22"/>
              </w:rPr>
              <w:sym w:font="Wingdings" w:char="F0FB"/>
            </w:r>
            <w:r w:rsidRPr="00025B9C">
              <w:rPr>
                <w:rFonts w:asciiTheme="minorHAnsi" w:hAnsiTheme="minorHAnsi" w:cstheme="minorHAnsi"/>
                <w:i/>
                <w:sz w:val="22"/>
                <w:szCs w:val="22"/>
              </w:rPr>
              <w:t xml:space="preserve"> in our typology</w:t>
            </w:r>
          </w:p>
        </w:tc>
        <w:tc>
          <w:tcPr>
            <w:tcW w:w="5801" w:type="dxa"/>
            <w:tcBorders>
              <w:bottom w:val="dashed" w:sz="4" w:space="0" w:color="auto"/>
            </w:tcBorders>
            <w:shd w:val="clear" w:color="auto" w:fill="auto"/>
          </w:tcPr>
          <w:p w:rsidR="000F6B82" w:rsidRPr="00025B9C" w:rsidRDefault="000F6B82" w:rsidP="00D665D9">
            <w:pPr>
              <w:ind w:right="-108"/>
              <w:rPr>
                <w:rFonts w:asciiTheme="minorHAnsi" w:hAnsiTheme="minorHAnsi" w:cstheme="minorHAnsi"/>
                <w:i/>
                <w:sz w:val="22"/>
                <w:szCs w:val="22"/>
              </w:rPr>
            </w:pPr>
          </w:p>
          <w:p w:rsidR="000F6B82" w:rsidRPr="00025B9C" w:rsidRDefault="000F6B82" w:rsidP="00D665D9">
            <w:pPr>
              <w:ind w:right="-108"/>
              <w:rPr>
                <w:rFonts w:asciiTheme="minorHAnsi" w:hAnsiTheme="minorHAnsi" w:cstheme="minorHAnsi"/>
                <w:i/>
                <w:sz w:val="22"/>
                <w:szCs w:val="22"/>
              </w:rPr>
            </w:pPr>
            <w:r w:rsidRPr="00025B9C">
              <w:rPr>
                <w:rFonts w:asciiTheme="minorHAnsi" w:hAnsiTheme="minorHAnsi" w:cstheme="minorHAnsi"/>
                <w:i/>
                <w:sz w:val="22"/>
                <w:szCs w:val="22"/>
              </w:rPr>
              <w:t>Prior studies</w:t>
            </w:r>
          </w:p>
        </w:tc>
      </w:tr>
      <w:tr w:rsidR="00025B9C" w:rsidRPr="00025B9C" w:rsidTr="00B97D41">
        <w:trPr>
          <w:jc w:val="center"/>
        </w:trPr>
        <w:tc>
          <w:tcPr>
            <w:tcW w:w="3960" w:type="dxa"/>
            <w:gridSpan w:val="2"/>
            <w:tcBorders>
              <w:top w:val="dashed" w:sz="4" w:space="0" w:color="auto"/>
              <w:left w:val="dashed" w:sz="4" w:space="0" w:color="auto"/>
            </w:tcBorders>
            <w:shd w:val="clear" w:color="auto" w:fill="auto"/>
          </w:tcPr>
          <w:p w:rsidR="000F6B82" w:rsidRPr="00025B9C" w:rsidRDefault="000F6B82" w:rsidP="00D665D9">
            <w:pPr>
              <w:rPr>
                <w:rFonts w:asciiTheme="minorHAnsi" w:hAnsiTheme="minorHAnsi" w:cstheme="minorHAnsi"/>
                <w:b/>
                <w:sz w:val="22"/>
                <w:szCs w:val="22"/>
              </w:rPr>
            </w:pPr>
            <w:r w:rsidRPr="00025B9C">
              <w:rPr>
                <w:rFonts w:asciiTheme="minorHAnsi" w:hAnsiTheme="minorHAnsi" w:cstheme="minorHAnsi"/>
                <w:b/>
                <w:sz w:val="22"/>
                <w:szCs w:val="22"/>
              </w:rPr>
              <w:t>1. Denial</w:t>
            </w:r>
          </w:p>
        </w:tc>
        <w:tc>
          <w:tcPr>
            <w:tcW w:w="3739" w:type="dxa"/>
            <w:tcBorders>
              <w:top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c>
          <w:tcPr>
            <w:tcW w:w="5801" w:type="dxa"/>
            <w:tcBorders>
              <w:top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98"/>
              <w:rPr>
                <w:rFonts w:asciiTheme="minorHAnsi" w:hAnsiTheme="minorHAnsi" w:cstheme="minorHAnsi"/>
                <w:sz w:val="22"/>
                <w:szCs w:val="22"/>
              </w:rPr>
            </w:pPr>
            <w:r w:rsidRPr="00025B9C">
              <w:rPr>
                <w:rFonts w:asciiTheme="minorHAnsi" w:hAnsiTheme="minorHAnsi" w:cstheme="minorHAnsi"/>
                <w:sz w:val="22"/>
                <w:szCs w:val="22"/>
              </w:rPr>
              <w:t>(</w:t>
            </w:r>
            <w:proofErr w:type="spellStart"/>
            <w:r w:rsidRPr="00025B9C">
              <w:rPr>
                <w:rFonts w:asciiTheme="minorHAnsi" w:hAnsiTheme="minorHAnsi" w:cstheme="minorHAnsi"/>
                <w:sz w:val="22"/>
                <w:szCs w:val="22"/>
              </w:rPr>
              <w:t>i</w:t>
            </w:r>
            <w:proofErr w:type="spellEnd"/>
            <w:r w:rsidRPr="00025B9C">
              <w:rPr>
                <w:rFonts w:asciiTheme="minorHAnsi" w:hAnsiTheme="minorHAnsi" w:cstheme="minorHAnsi"/>
                <w:sz w:val="22"/>
                <w:szCs w:val="22"/>
              </w:rPr>
              <w:t>)</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Simple denial</w:t>
            </w:r>
          </w:p>
        </w:tc>
        <w:tc>
          <w:tcPr>
            <w:tcW w:w="3739" w:type="dxa"/>
            <w:shd w:val="clear" w:color="auto" w:fill="auto"/>
          </w:tcPr>
          <w:p w:rsidR="000F6B82" w:rsidRPr="00025B9C" w:rsidRDefault="000F6B82" w:rsidP="007920C6">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[Rheto</w:t>
            </w:r>
            <w:r w:rsidR="00DB2019" w:rsidRPr="00025B9C">
              <w:rPr>
                <w:rFonts w:asciiTheme="minorHAnsi" w:hAnsiTheme="minorHAnsi" w:cstheme="minorHAnsi"/>
                <w:sz w:val="22"/>
                <w:szCs w:val="22"/>
              </w:rPr>
              <w:t xml:space="preserve">rical Strategy 9] </w:t>
            </w:r>
            <w:r w:rsidR="007920C6" w:rsidRPr="00025B9C">
              <w:rPr>
                <w:rFonts w:asciiTheme="minorHAnsi" w:hAnsiTheme="minorHAnsi" w:cstheme="minorHAnsi"/>
                <w:sz w:val="22"/>
                <w:szCs w:val="22"/>
              </w:rPr>
              <w:t>‘</w:t>
            </w:r>
            <w:r w:rsidR="00DB2019" w:rsidRPr="00025B9C">
              <w:rPr>
                <w:rFonts w:asciiTheme="minorHAnsi" w:hAnsiTheme="minorHAnsi" w:cstheme="minorHAnsi"/>
                <w:sz w:val="22"/>
                <w:szCs w:val="22"/>
              </w:rPr>
              <w:t>Concealment/D</w:t>
            </w:r>
            <w:r w:rsidRPr="00025B9C">
              <w:rPr>
                <w:rFonts w:asciiTheme="minorHAnsi" w:hAnsiTheme="minorHAnsi" w:cstheme="minorHAnsi"/>
                <w:sz w:val="22"/>
                <w:szCs w:val="22"/>
              </w:rPr>
              <w:t>enial</w:t>
            </w:r>
            <w:r w:rsidR="007920C6" w:rsidRPr="00025B9C">
              <w:rPr>
                <w:rFonts w:asciiTheme="minorHAnsi" w:hAnsiTheme="minorHAnsi" w:cstheme="minorHAnsi"/>
                <w:sz w:val="22"/>
                <w:szCs w:val="22"/>
              </w:rPr>
              <w:t>’</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 xml:space="preserve">Goffman, 1971; Ware &amp; </w:t>
            </w:r>
            <w:proofErr w:type="spellStart"/>
            <w:r w:rsidRPr="00025B9C">
              <w:rPr>
                <w:rFonts w:asciiTheme="minorHAnsi" w:hAnsiTheme="minorHAnsi" w:cstheme="minorHAnsi"/>
                <w:sz w:val="22"/>
                <w:szCs w:val="22"/>
              </w:rPr>
              <w:t>Linkugel</w:t>
            </w:r>
            <w:proofErr w:type="spellEnd"/>
            <w:r w:rsidRPr="00025B9C">
              <w:rPr>
                <w:rFonts w:asciiTheme="minorHAnsi" w:hAnsiTheme="minorHAnsi" w:cstheme="minorHAnsi"/>
                <w:sz w:val="22"/>
                <w:szCs w:val="22"/>
              </w:rPr>
              <w:t>, 1973; Oliver, 1991; Abrahamson &amp; Park, 1994.</w:t>
            </w:r>
          </w:p>
        </w:tc>
      </w:tr>
      <w:tr w:rsidR="00025B9C" w:rsidRPr="00025B9C" w:rsidTr="00B97D41">
        <w:trPr>
          <w:jc w:val="center"/>
        </w:trPr>
        <w:tc>
          <w:tcPr>
            <w:tcW w:w="540" w:type="dxa"/>
            <w:tcBorders>
              <w:left w:val="dashed" w:sz="4" w:space="0" w:color="auto"/>
              <w:bottom w:val="dashed" w:sz="4" w:space="0" w:color="auto"/>
            </w:tcBorders>
            <w:shd w:val="clear" w:color="auto" w:fill="auto"/>
          </w:tcPr>
          <w:p w:rsidR="000F6B82" w:rsidRPr="00025B9C" w:rsidRDefault="000F6B82" w:rsidP="00D665D9">
            <w:pPr>
              <w:ind w:right="-198"/>
              <w:rPr>
                <w:rFonts w:asciiTheme="minorHAnsi" w:hAnsiTheme="minorHAnsi" w:cstheme="minorHAnsi"/>
                <w:sz w:val="22"/>
                <w:szCs w:val="22"/>
              </w:rPr>
            </w:pPr>
            <w:r w:rsidRPr="00025B9C">
              <w:rPr>
                <w:rFonts w:asciiTheme="minorHAnsi" w:hAnsiTheme="minorHAnsi" w:cstheme="minorHAnsi"/>
                <w:sz w:val="22"/>
                <w:szCs w:val="22"/>
              </w:rPr>
              <w:t>(ii)</w:t>
            </w:r>
          </w:p>
        </w:tc>
        <w:tc>
          <w:tcPr>
            <w:tcW w:w="3420" w:type="dxa"/>
            <w:tcBorders>
              <w:bottom w:val="dashed" w:sz="4" w:space="0" w:color="auto"/>
            </w:tcBorders>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Shift the blame</w:t>
            </w:r>
          </w:p>
        </w:tc>
        <w:tc>
          <w:tcPr>
            <w:tcW w:w="3739" w:type="dxa"/>
            <w:tcBorders>
              <w:bottom w:val="dashed" w:sz="4" w:space="0" w:color="auto"/>
            </w:tcBorders>
            <w:shd w:val="clear" w:color="auto" w:fill="auto"/>
          </w:tcPr>
          <w:p w:rsidR="000F6B82" w:rsidRPr="00025B9C" w:rsidRDefault="000F6B82" w:rsidP="00D665D9">
            <w:pPr>
              <w:ind w:right="-206"/>
              <w:rPr>
                <w:rFonts w:asciiTheme="minorHAnsi" w:hAnsiTheme="minorHAnsi" w:cstheme="minorHAnsi"/>
                <w:sz w:val="22"/>
                <w:szCs w:val="22"/>
              </w:rPr>
            </w:pPr>
            <w:r w:rsidRPr="00025B9C">
              <w:rPr>
                <w:rFonts w:asciiTheme="minorHAnsi" w:hAnsiTheme="minorHAnsi" w:cstheme="minorHAnsi"/>
                <w:sz w:val="22"/>
                <w:szCs w:val="22"/>
              </w:rPr>
              <w:t>Someone else did it (see 5 (iii) below: Attribution)</w:t>
            </w:r>
          </w:p>
        </w:tc>
        <w:tc>
          <w:tcPr>
            <w:tcW w:w="5801" w:type="dxa"/>
            <w:tcBorders>
              <w:bottom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roofErr w:type="spellStart"/>
            <w:r w:rsidRPr="00025B9C">
              <w:rPr>
                <w:rFonts w:asciiTheme="minorHAnsi" w:hAnsiTheme="minorHAnsi" w:cstheme="minorHAnsi"/>
                <w:sz w:val="22"/>
                <w:szCs w:val="22"/>
              </w:rPr>
              <w:t>Schonbach</w:t>
            </w:r>
            <w:proofErr w:type="spellEnd"/>
            <w:r w:rsidRPr="00025B9C">
              <w:rPr>
                <w:rFonts w:asciiTheme="minorHAnsi" w:hAnsiTheme="minorHAnsi" w:cstheme="minorHAnsi"/>
                <w:sz w:val="22"/>
                <w:szCs w:val="22"/>
              </w:rPr>
              <w:t>, 1980.</w:t>
            </w:r>
          </w:p>
        </w:tc>
      </w:tr>
      <w:tr w:rsidR="00025B9C" w:rsidRPr="00025B9C" w:rsidTr="00B97D41">
        <w:trPr>
          <w:jc w:val="center"/>
        </w:trPr>
        <w:tc>
          <w:tcPr>
            <w:tcW w:w="3960" w:type="dxa"/>
            <w:gridSpan w:val="2"/>
            <w:tcBorders>
              <w:top w:val="dashed" w:sz="4" w:space="0" w:color="auto"/>
              <w:left w:val="dashed" w:sz="4" w:space="0" w:color="auto"/>
            </w:tcBorders>
            <w:shd w:val="clear" w:color="auto" w:fill="auto"/>
          </w:tcPr>
          <w:p w:rsidR="000F6B82" w:rsidRPr="00025B9C" w:rsidRDefault="000F6B82" w:rsidP="00D665D9">
            <w:pPr>
              <w:rPr>
                <w:rFonts w:asciiTheme="minorHAnsi" w:hAnsiTheme="minorHAnsi" w:cstheme="minorHAnsi"/>
                <w:b/>
                <w:sz w:val="22"/>
                <w:szCs w:val="22"/>
              </w:rPr>
            </w:pPr>
            <w:r w:rsidRPr="00025B9C">
              <w:rPr>
                <w:rFonts w:asciiTheme="minorHAnsi" w:hAnsiTheme="minorHAnsi" w:cstheme="minorHAnsi"/>
                <w:b/>
                <w:sz w:val="22"/>
                <w:szCs w:val="22"/>
              </w:rPr>
              <w:t>2. Evasion of responsibility</w:t>
            </w:r>
          </w:p>
        </w:tc>
        <w:tc>
          <w:tcPr>
            <w:tcW w:w="3739" w:type="dxa"/>
            <w:tcBorders>
              <w:top w:val="dashed" w:sz="4" w:space="0" w:color="auto"/>
            </w:tcBorders>
            <w:shd w:val="clear" w:color="auto" w:fill="auto"/>
          </w:tcPr>
          <w:p w:rsidR="000F6B82" w:rsidRPr="00025B9C" w:rsidRDefault="000F6B82" w:rsidP="00D665D9">
            <w:pPr>
              <w:ind w:right="-108"/>
              <w:rPr>
                <w:rFonts w:asciiTheme="minorHAnsi" w:hAnsiTheme="minorHAnsi" w:cstheme="minorHAnsi"/>
                <w:b/>
                <w:sz w:val="22"/>
                <w:szCs w:val="22"/>
              </w:rPr>
            </w:pPr>
          </w:p>
        </w:tc>
        <w:tc>
          <w:tcPr>
            <w:tcW w:w="5801" w:type="dxa"/>
            <w:tcBorders>
              <w:top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b/>
                <w:sz w:val="22"/>
                <w:szCs w:val="22"/>
              </w:rPr>
            </w:pP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(iii)</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Provocation</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vMerge w:val="restart"/>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*Note: Although these cate</w:t>
            </w:r>
            <w:r w:rsidR="007F11ED" w:rsidRPr="00025B9C">
              <w:rPr>
                <w:rFonts w:asciiTheme="minorHAnsi" w:hAnsiTheme="minorHAnsi" w:cstheme="minorHAnsi"/>
                <w:sz w:val="22"/>
                <w:szCs w:val="22"/>
              </w:rPr>
              <w:t>gories are in theory possible, the</w:t>
            </w:r>
            <w:r w:rsidRPr="00025B9C">
              <w:rPr>
                <w:rFonts w:asciiTheme="minorHAnsi" w:hAnsiTheme="minorHAnsi" w:cstheme="minorHAnsi"/>
                <w:sz w:val="22"/>
                <w:szCs w:val="22"/>
              </w:rPr>
              <w:t xml:space="preserve"> pilot study showed that in relation to corporate governance explanations by FTSE companies, they are unlikely, occurring rarely, if ever. Hence, they were excluded from the typology.</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(iv)</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Defeasibility (Lack of information)</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vMerge/>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(v)</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Accident</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vMerge/>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r>
      <w:tr w:rsidR="00025B9C" w:rsidRPr="00025B9C" w:rsidTr="00B97D41">
        <w:trPr>
          <w:jc w:val="center"/>
        </w:trPr>
        <w:tc>
          <w:tcPr>
            <w:tcW w:w="540" w:type="dxa"/>
            <w:tcBorders>
              <w:left w:val="dashed" w:sz="4" w:space="0" w:color="auto"/>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(vi)</w:t>
            </w:r>
          </w:p>
        </w:tc>
        <w:tc>
          <w:tcPr>
            <w:tcW w:w="3420" w:type="dxa"/>
            <w:tcBorders>
              <w:bottom w:val="dashed" w:sz="4" w:space="0" w:color="auto"/>
            </w:tcBorders>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Good intentions</w:t>
            </w:r>
          </w:p>
        </w:tc>
        <w:tc>
          <w:tcPr>
            <w:tcW w:w="3739" w:type="dxa"/>
            <w:tcBorders>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vMerge/>
            <w:tcBorders>
              <w:bottom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r>
      <w:tr w:rsidR="00025B9C" w:rsidRPr="00025B9C" w:rsidTr="00B97D41">
        <w:trPr>
          <w:jc w:val="center"/>
        </w:trPr>
        <w:tc>
          <w:tcPr>
            <w:tcW w:w="3960" w:type="dxa"/>
            <w:gridSpan w:val="2"/>
            <w:tcBorders>
              <w:top w:val="dashed" w:sz="4" w:space="0" w:color="auto"/>
              <w:left w:val="dashed" w:sz="4" w:space="0" w:color="auto"/>
            </w:tcBorders>
            <w:shd w:val="clear" w:color="auto" w:fill="auto"/>
          </w:tcPr>
          <w:p w:rsidR="000F6B82" w:rsidRPr="00025B9C" w:rsidRDefault="000F6B82" w:rsidP="00D665D9">
            <w:pPr>
              <w:rPr>
                <w:rFonts w:asciiTheme="minorHAnsi" w:hAnsiTheme="minorHAnsi" w:cstheme="minorHAnsi"/>
                <w:b/>
                <w:sz w:val="22"/>
                <w:szCs w:val="22"/>
              </w:rPr>
            </w:pPr>
            <w:r w:rsidRPr="00025B9C">
              <w:rPr>
                <w:rFonts w:asciiTheme="minorHAnsi" w:hAnsiTheme="minorHAnsi" w:cstheme="minorHAnsi"/>
                <w:b/>
                <w:sz w:val="22"/>
                <w:szCs w:val="22"/>
              </w:rPr>
              <w:t>3. Reducing offensiveness of event</w:t>
            </w:r>
          </w:p>
        </w:tc>
        <w:tc>
          <w:tcPr>
            <w:tcW w:w="3739" w:type="dxa"/>
            <w:tcBorders>
              <w:top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c>
          <w:tcPr>
            <w:tcW w:w="5801" w:type="dxa"/>
            <w:tcBorders>
              <w:top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lang w:val="da-DK"/>
              </w:rPr>
            </w:pPr>
            <w:r w:rsidRPr="00025B9C">
              <w:rPr>
                <w:rFonts w:asciiTheme="minorHAnsi" w:hAnsiTheme="minorHAnsi" w:cstheme="minorHAnsi"/>
                <w:sz w:val="22"/>
                <w:szCs w:val="22"/>
              </w:rPr>
              <w:t>(vii)</w:t>
            </w:r>
          </w:p>
        </w:tc>
        <w:tc>
          <w:tcPr>
            <w:tcW w:w="3420" w:type="dxa"/>
            <w:shd w:val="clear" w:color="auto" w:fill="auto"/>
          </w:tcPr>
          <w:p w:rsidR="000F6B82" w:rsidRPr="00025B9C" w:rsidRDefault="000F6B82" w:rsidP="00D665D9">
            <w:pPr>
              <w:rPr>
                <w:rFonts w:asciiTheme="minorHAnsi" w:hAnsiTheme="minorHAnsi" w:cstheme="minorHAnsi"/>
                <w:sz w:val="22"/>
                <w:szCs w:val="22"/>
                <w:lang w:val="da-DK"/>
              </w:rPr>
            </w:pPr>
            <w:r w:rsidRPr="00025B9C">
              <w:rPr>
                <w:rFonts w:asciiTheme="minorHAnsi" w:hAnsiTheme="minorHAnsi" w:cstheme="minorHAnsi"/>
                <w:sz w:val="22"/>
                <w:szCs w:val="22"/>
              </w:rPr>
              <w:t xml:space="preserve">Bolstering </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[Rhetorical Strategy 2]</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lang w:val="de-DE"/>
              </w:rPr>
            </w:pPr>
            <w:r w:rsidRPr="00025B9C">
              <w:rPr>
                <w:rFonts w:asciiTheme="minorHAnsi" w:hAnsiTheme="minorHAnsi" w:cstheme="minorHAnsi"/>
                <w:sz w:val="22"/>
                <w:szCs w:val="22"/>
                <w:lang w:val="da-DK"/>
              </w:rPr>
              <w:t xml:space="preserve">Ware &amp; Linkugel, 1973; Cheney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2004; Moerman &amp; van der Laan, 2007; Bebbington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2008</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(viii)</w:t>
            </w:r>
          </w:p>
        </w:tc>
        <w:tc>
          <w:tcPr>
            <w:tcW w:w="3420" w:type="dxa"/>
            <w:shd w:val="clear" w:color="auto" w:fill="auto"/>
          </w:tcPr>
          <w:p w:rsidR="000F6B82" w:rsidRPr="00025B9C" w:rsidRDefault="00F57B34" w:rsidP="00D665D9">
            <w:pPr>
              <w:rPr>
                <w:rFonts w:asciiTheme="minorHAnsi" w:hAnsiTheme="minorHAnsi" w:cstheme="minorHAnsi"/>
                <w:sz w:val="22"/>
                <w:szCs w:val="22"/>
              </w:rPr>
            </w:pPr>
            <w:r w:rsidRPr="00025B9C">
              <w:rPr>
                <w:rFonts w:asciiTheme="minorHAnsi" w:hAnsiTheme="minorHAnsi" w:cstheme="minorHAnsi"/>
                <w:sz w:val="22"/>
                <w:szCs w:val="22"/>
              </w:rPr>
              <w:t>Minimization</w:t>
            </w:r>
            <w:r w:rsidR="000F6B82" w:rsidRPr="00025B9C">
              <w:rPr>
                <w:rFonts w:asciiTheme="minorHAnsi" w:hAnsiTheme="minorHAnsi" w:cstheme="minorHAnsi"/>
                <w:sz w:val="22"/>
                <w:szCs w:val="22"/>
              </w:rPr>
              <w:t xml:space="preserve"> </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 Rhetorical Strategy 3]</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lang w:val="fr-FR"/>
              </w:rPr>
            </w:pPr>
            <w:r w:rsidRPr="00025B9C">
              <w:rPr>
                <w:rFonts w:asciiTheme="minorHAnsi" w:hAnsiTheme="minorHAnsi" w:cstheme="minorHAnsi"/>
                <w:sz w:val="22"/>
                <w:szCs w:val="22"/>
                <w:lang w:val="da-DK"/>
              </w:rPr>
              <w:t xml:space="preserve">Rosenfeld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1995; Bebbington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2008</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(ix)</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 xml:space="preserve">Differentiation </w:t>
            </w:r>
          </w:p>
          <w:p w:rsidR="000F6B82" w:rsidRPr="00025B9C" w:rsidRDefault="000F6B82" w:rsidP="00D665D9">
            <w:pPr>
              <w:rPr>
                <w:rFonts w:asciiTheme="minorHAnsi" w:hAnsiTheme="minorHAnsi" w:cstheme="minorHAnsi"/>
                <w:sz w:val="22"/>
                <w:szCs w:val="22"/>
              </w:rPr>
            </w:pP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tcBorders>
              <w:right w:val="dashed" w:sz="4" w:space="0" w:color="auto"/>
            </w:tcBorders>
            <w:shd w:val="clear" w:color="auto" w:fill="auto"/>
          </w:tcPr>
          <w:p w:rsidR="000F6B82" w:rsidRPr="00025B9C" w:rsidRDefault="000F6B82" w:rsidP="00D665D9">
            <w:pPr>
              <w:rPr>
                <w:rFonts w:asciiTheme="minorHAnsi" w:hAnsiTheme="minorHAnsi" w:cstheme="minorHAnsi"/>
                <w:sz w:val="22"/>
                <w:szCs w:val="22"/>
                <w:lang w:val="da-DK"/>
              </w:rPr>
            </w:pP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(x)</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Transcendence (end justifies the means)</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[Rhetorical Strategy 4]</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 xml:space="preserve">Ware &amp; </w:t>
            </w:r>
            <w:proofErr w:type="spellStart"/>
            <w:r w:rsidRPr="00025B9C">
              <w:rPr>
                <w:rFonts w:asciiTheme="minorHAnsi" w:hAnsiTheme="minorHAnsi" w:cstheme="minorHAnsi"/>
                <w:sz w:val="22"/>
                <w:szCs w:val="22"/>
              </w:rPr>
              <w:t>Linkugel</w:t>
            </w:r>
            <w:proofErr w:type="spellEnd"/>
            <w:r w:rsidRPr="00025B9C">
              <w:rPr>
                <w:rFonts w:asciiTheme="minorHAnsi" w:hAnsiTheme="minorHAnsi" w:cstheme="minorHAnsi"/>
                <w:sz w:val="22"/>
                <w:szCs w:val="22"/>
              </w:rPr>
              <w:t xml:space="preserve">, 1973; </w:t>
            </w:r>
            <w:proofErr w:type="spellStart"/>
            <w:r w:rsidRPr="00025B9C">
              <w:rPr>
                <w:rFonts w:asciiTheme="minorHAnsi" w:hAnsiTheme="minorHAnsi" w:cstheme="minorHAnsi"/>
                <w:sz w:val="22"/>
                <w:szCs w:val="22"/>
              </w:rPr>
              <w:t>Tedeschi</w:t>
            </w:r>
            <w:proofErr w:type="spellEnd"/>
            <w:r w:rsidRPr="00025B9C">
              <w:rPr>
                <w:rFonts w:asciiTheme="minorHAnsi" w:hAnsiTheme="minorHAnsi" w:cstheme="minorHAnsi"/>
                <w:sz w:val="22"/>
                <w:szCs w:val="22"/>
              </w:rPr>
              <w:t xml:space="preserve"> &amp; Reiss, 1981; Oliver, 1991; Jameson, 2000; </w:t>
            </w:r>
            <w:r w:rsidRPr="00025B9C">
              <w:rPr>
                <w:rFonts w:asciiTheme="minorHAnsi" w:hAnsiTheme="minorHAnsi" w:cstheme="minorHAnsi"/>
                <w:sz w:val="22"/>
                <w:szCs w:val="22"/>
                <w:lang w:val="da-DK"/>
              </w:rPr>
              <w:t xml:space="preserve">Cheney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2004; Bebbington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2008</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(xi)</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40235A2E" wp14:editId="27477DBD">
                      <wp:simplePos x="0" y="0"/>
                      <wp:positionH relativeFrom="column">
                        <wp:posOffset>1710055</wp:posOffset>
                      </wp:positionH>
                      <wp:positionV relativeFrom="paragraph">
                        <wp:posOffset>57149</wp:posOffset>
                      </wp:positionV>
                      <wp:extent cx="2540" cy="2047875"/>
                      <wp:effectExtent l="0" t="0" r="35560" b="9525"/>
                      <wp:wrapNone/>
                      <wp:docPr id="8" name="Straight Connector 8"/>
                      <wp:cNvGraphicFramePr/>
                      <a:graphic xmlns:a="http://schemas.openxmlformats.org/drawingml/2006/main">
                        <a:graphicData uri="http://schemas.microsoft.com/office/word/2010/wordprocessingShape">
                          <wps:wsp>
                            <wps:cNvCnPr/>
                            <wps:spPr>
                              <a:xfrm flipH="1" flipV="1">
                                <a:off x="0" y="0"/>
                                <a:ext cx="2540" cy="2047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68E6E" id="Straight Connector 8" o:spid="_x0000_s1026" style="position:absolute;flip:x 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65pt,4.5pt" to="134.8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UG4AEAABoEAAAOAAAAZHJzL2Uyb0RvYy54bWysU02P0zAQvSPxHyzfadJql62ipnvoauGA&#10;oGKBu9cZN5Zsj2WbJv33jJ02XQFCAnGx/DHvzbw34839aA07QogaXcuXi5ozcBI77Q4t//rl8c2a&#10;s5iE64RBBy0/QeT329evNoNvYIU9mg4CIxIXm8G3vE/JN1UVZQ9WxAV6cPSoMFiR6BgOVRfEQOzW&#10;VKu6flsNGDofUEKMdPswPfJt4VcKZPqkVITETMuptlTWUNbnvFbbjWgOQfhey3MZ4h+qsEI7SjpT&#10;PYgk2Pegf6GyWgaMqNJCoq1QKS2haCA1y/onNU+98FC0kDnRzzbF/0crPx73gemu5dQoJyy16CkF&#10;oQ99Yjt0jgzEwNbZp8HHhsJ3bh/Op+j3IYseVbBMGe3f0wjwsvuWd/mNJLKx+H2a/YYxMUmXq9sb&#10;6omkh1V9c7e+u81pqokvY32I6R2gZXnTcqNddkM04vghpin0EpKvjctrRKO7R21MOeQ5gp0J7Cho&#10;AtK4PKd4EUUJM7LK+iZFZZdOBibWz6DIIap3UlRm88oppASXLrzGUXSGKapgBtal7D8Cz/EZCmVu&#10;/wY8I0pmdGkGW+0w/C771Qo1xV8cmHRnC56xO5VeF2toAEtzzp8lT/jLc4Ffv/T2BwAAAP//AwBQ&#10;SwMEFAAGAAgAAAAhADF0bFneAAAACQEAAA8AAABkcnMvZG93bnJldi54bWxMj0FPwkAUhO8m/ofN&#10;M/EmW2hgpXZLUOPBeAGUeF26z7ah+7bpLlD+PY+THCcz+WYmXwyuFUfsQ+NJw3iUgEAqvW2o0vDz&#10;/fH0DCJEQ9a0nlDDGQMsivu73GTWn2iNx02sBEMoZEZDHWOXSRnKGp0JI98hsffne2ciy76Stjcn&#10;hrtWTpJkJp1piBtq0+FbjeV+c3Aa5jGo1bvy7nM//VLLV7WV59+t1o8Pw/IFRMQh/ofhOp+nQ8Gb&#10;dv5ANohWw2Q2TznKML7EPmsFYqchTcdTkEUubx8UFwAAAP//AwBQSwECLQAUAAYACAAAACEAtoM4&#10;kv4AAADhAQAAEwAAAAAAAAAAAAAAAAAAAAAAW0NvbnRlbnRfVHlwZXNdLnhtbFBLAQItABQABgAI&#10;AAAAIQA4/SH/1gAAAJQBAAALAAAAAAAAAAAAAAAAAC8BAABfcmVscy8ucmVsc1BLAQItABQABgAI&#10;AAAAIQBVuhUG4AEAABoEAAAOAAAAAAAAAAAAAAAAAC4CAABkcnMvZTJvRG9jLnhtbFBLAQItABQA&#10;BgAIAAAAIQAxdGxZ3gAAAAkBAAAPAAAAAAAAAAAAAAAAADoEAABkcnMvZG93bnJldi54bWxQSwUG&#10;AAAAAAQABADzAAAARQUAAAAA&#10;" strokecolor="black [3213]"/>
                  </w:pict>
                </mc:Fallback>
              </mc:AlternateContent>
            </w:r>
            <w:r w:rsidRPr="00025B9C">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7CAF8C21" wp14:editId="759FD156">
                      <wp:simplePos x="0" y="0"/>
                      <wp:positionH relativeFrom="column">
                        <wp:posOffset>975128</wp:posOffset>
                      </wp:positionH>
                      <wp:positionV relativeFrom="paragraph">
                        <wp:posOffset>61456</wp:posOffset>
                      </wp:positionV>
                      <wp:extent cx="73598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7359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B6C22D" id="_x0000_t32" coordsize="21600,21600" o:spt="32" o:oned="t" path="m,l21600,21600e" filled="f">
                      <v:path arrowok="t" fillok="f" o:connecttype="none"/>
                      <o:lock v:ext="edit" shapetype="t"/>
                    </v:shapetype>
                    <v:shape id="Straight Arrow Connector 7" o:spid="_x0000_s1026" type="#_x0000_t32" style="position:absolute;margin-left:76.8pt;margin-top:4.85pt;width:57.9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c7QEAADwEAAAOAAAAZHJzL2Uyb0RvYy54bWysU9uO0zAQfUfiHyy/07SLoEvUdIW6LDwg&#10;qNjlA7yO3VjyTeOhSf+esZOmwCIkEC+Wx55zZs7xeHMzOMuOCpIJvuGrxZIz5WVojT80/OvD3Ytr&#10;zhIK3wobvGr4SSV+s33+bNPHWl2FLthWASMSn+o+NrxDjHVVJdkpJ9IiROXpUgdwAimEQ9WC6Ind&#10;2epquXxd9QHaCEGqlOj0drzk28KvtZL4WeukkNmGU29YVijrY16r7UbUBxCxM3JqQ/xDF04YT0Vn&#10;qluBgn0D84TKGQkhBY0LGVwVtDZSFQ2kZrX8Rc19J6IqWsicFGeb0v+jlZ+Oe2CmbfiaMy8cPdE9&#10;gjCHDtlbgNCzXfCebAzA1tmtPqaaQDu/hylKcQ9Z+qDBMW1N/ECDUMwgeWwoXp9mr9WATNLh+uWr&#10;N9f0IvJ8VY0MmSlCwvcqOJY3DU9TQ3MnI7s4fkxIPRDwDMhg6/OagjXtnbG2BHma1M4COwqaAxxW&#10;WQnhfspCYew73zI8RXIBwQh/sGrKzKxV1j6qLTs8WTVW/KI0eUiqxs7K9F7qCSmVx3NN6yk7wzR1&#10;NwOXxbA/Aqf8DFVlsv8GPCNK5eBxBjvjA/yu+sUmPeafHRh1ZwseQ3sqc1CsoREtrk7fKf+BH+MC&#10;v3z67XcAAAD//wMAUEsDBBQABgAIAAAAIQCYRLKY2wAAAAcBAAAPAAAAZHJzL2Rvd25yZXYueG1s&#10;TI7BToNAFEX3Jv7D5Jm4s0MxRYsMjUpcmLgRmtTlwLwCkXlDmCnFv/fpRpcn9+bek+0WO4gZJ987&#10;UrBeRSCQGmd6ahXsq5ebexA+aDJ6cIQKvtDDLr+8yHRq3JnecS5DK3iEfKoVdCGMqZS+6dBqv3Ij&#10;EmdHN1kdGKdWmkmfedwOMo6iRFrdEz90esTnDpvP8mQVxFS9FYU5ruv96+FJlnP1MR0Kpa6vlscH&#10;EAGX8FeGH31Wh5ydanci48XAvLlNuKpgeweC8zjZbkDUvyzzTP73z78BAAD//wMAUEsBAi0AFAAG&#10;AAgAAAAhALaDOJL+AAAA4QEAABMAAAAAAAAAAAAAAAAAAAAAAFtDb250ZW50X1R5cGVzXS54bWxQ&#10;SwECLQAUAAYACAAAACEAOP0h/9YAAACUAQAACwAAAAAAAAAAAAAAAAAvAQAAX3JlbHMvLnJlbHNQ&#10;SwECLQAUAAYACAAAACEAvoku3O0BAAA8BAAADgAAAAAAAAAAAAAAAAAuAgAAZHJzL2Uyb0RvYy54&#10;bWxQSwECLQAUAAYACAAAACEAmESymNsAAAAHAQAADwAAAAAAAAAAAAAAAABHBAAAZHJzL2Rvd25y&#10;ZXYueG1sUEsFBgAAAAAEAAQA8wAAAE8FAAAAAA==&#10;" strokecolor="black [3213]">
                      <v:stroke endarrow="block"/>
                    </v:shape>
                  </w:pict>
                </mc:Fallback>
              </mc:AlternateContent>
            </w:r>
            <w:r w:rsidRPr="00025B9C">
              <w:rPr>
                <w:rFonts w:asciiTheme="minorHAnsi" w:hAnsiTheme="minorHAnsi" w:cstheme="minorHAnsi"/>
                <w:sz w:val="22"/>
                <w:szCs w:val="22"/>
              </w:rPr>
              <w:t>Attack accuser</w:t>
            </w:r>
          </w:p>
        </w:tc>
        <w:tc>
          <w:tcPr>
            <w:tcW w:w="3739" w:type="dxa"/>
            <w:shd w:val="clear" w:color="auto" w:fill="auto"/>
          </w:tcPr>
          <w:p w:rsidR="000F6B82" w:rsidRPr="00025B9C" w:rsidRDefault="000F6B82" w:rsidP="007920C6">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 xml:space="preserve">[Rhetorical Strategy 8] </w:t>
            </w:r>
            <w:r w:rsidR="007920C6" w:rsidRPr="00025B9C">
              <w:rPr>
                <w:rFonts w:asciiTheme="minorHAnsi" w:hAnsiTheme="minorHAnsi" w:cstheme="minorHAnsi"/>
                <w:sz w:val="22"/>
                <w:szCs w:val="22"/>
              </w:rPr>
              <w:t>‘</w:t>
            </w:r>
            <w:r w:rsidR="00DB2019" w:rsidRPr="00025B9C">
              <w:rPr>
                <w:rFonts w:asciiTheme="minorHAnsi" w:hAnsiTheme="minorHAnsi" w:cstheme="minorHAnsi"/>
                <w:sz w:val="22"/>
                <w:szCs w:val="22"/>
              </w:rPr>
              <w:t>Intimidation/Challenge</w:t>
            </w:r>
            <w:r w:rsidR="007920C6" w:rsidRPr="00025B9C">
              <w:rPr>
                <w:rFonts w:asciiTheme="minorHAnsi" w:hAnsiTheme="minorHAnsi" w:cstheme="minorHAnsi"/>
                <w:sz w:val="22"/>
                <w:szCs w:val="22"/>
              </w:rPr>
              <w:t>’</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lang w:val="es-ES"/>
              </w:rPr>
            </w:pPr>
            <w:r w:rsidRPr="00025B9C">
              <w:rPr>
                <w:rFonts w:asciiTheme="minorHAnsi" w:hAnsiTheme="minorHAnsi" w:cstheme="minorHAnsi"/>
                <w:sz w:val="22"/>
                <w:szCs w:val="22"/>
                <w:lang w:val="da-DK"/>
              </w:rPr>
              <w:t xml:space="preserve">Oliver, 1991; Rosenfeld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1995; Bolino &amp; Turnley, 2003</w:t>
            </w:r>
          </w:p>
        </w:tc>
      </w:tr>
      <w:tr w:rsidR="00025B9C" w:rsidRPr="00025B9C" w:rsidTr="00B97D41">
        <w:trPr>
          <w:jc w:val="center"/>
        </w:trPr>
        <w:tc>
          <w:tcPr>
            <w:tcW w:w="540" w:type="dxa"/>
            <w:tcBorders>
              <w:left w:val="dashed" w:sz="4" w:space="0" w:color="auto"/>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(xii)</w:t>
            </w:r>
          </w:p>
        </w:tc>
        <w:tc>
          <w:tcPr>
            <w:tcW w:w="3420" w:type="dxa"/>
            <w:tcBorders>
              <w:bottom w:val="dashed" w:sz="4" w:space="0" w:color="auto"/>
            </w:tcBorders>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Compensation</w:t>
            </w:r>
          </w:p>
        </w:tc>
        <w:tc>
          <w:tcPr>
            <w:tcW w:w="3739" w:type="dxa"/>
            <w:tcBorders>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tcBorders>
              <w:bottom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See note * above.</w:t>
            </w:r>
          </w:p>
        </w:tc>
      </w:tr>
      <w:tr w:rsidR="00025B9C" w:rsidRPr="00025B9C" w:rsidTr="00B97D41">
        <w:trPr>
          <w:jc w:val="center"/>
        </w:trPr>
        <w:tc>
          <w:tcPr>
            <w:tcW w:w="3960" w:type="dxa"/>
            <w:gridSpan w:val="2"/>
            <w:tcBorders>
              <w:top w:val="dashed" w:sz="4" w:space="0" w:color="auto"/>
              <w:left w:val="dashed" w:sz="4" w:space="0" w:color="auto"/>
              <w:bottom w:val="dashed" w:sz="4" w:space="0" w:color="auto"/>
            </w:tcBorders>
            <w:shd w:val="clear" w:color="auto" w:fill="auto"/>
          </w:tcPr>
          <w:p w:rsidR="000F6B82" w:rsidRPr="00025B9C" w:rsidRDefault="000F6B82" w:rsidP="00D665D9">
            <w:pPr>
              <w:jc w:val="both"/>
              <w:rPr>
                <w:rFonts w:asciiTheme="minorHAnsi" w:hAnsiTheme="minorHAnsi" w:cstheme="minorHAnsi"/>
                <w:b/>
                <w:sz w:val="22"/>
                <w:szCs w:val="22"/>
              </w:rPr>
            </w:pPr>
            <w:r w:rsidRPr="00025B9C">
              <w:rPr>
                <w:rFonts w:asciiTheme="minorHAnsi" w:hAnsiTheme="minorHAnsi" w:cstheme="minorHAnsi"/>
                <w:b/>
                <w:sz w:val="22"/>
                <w:szCs w:val="22"/>
              </w:rPr>
              <w:t xml:space="preserve">4. (xiii) </w:t>
            </w:r>
            <w:r w:rsidR="00BA6ABE" w:rsidRPr="00025B9C">
              <w:rPr>
                <w:rFonts w:asciiTheme="minorHAnsi" w:hAnsiTheme="minorHAnsi" w:cstheme="minorHAnsi"/>
                <w:b/>
                <w:sz w:val="22"/>
                <w:szCs w:val="22"/>
              </w:rPr>
              <w:t>Corrective action</w:t>
            </w:r>
            <w:r w:rsidRPr="00025B9C">
              <w:rPr>
                <w:rFonts w:asciiTheme="minorHAnsi" w:hAnsiTheme="minorHAnsi" w:cstheme="minorHAnsi"/>
                <w:b/>
                <w:sz w:val="22"/>
                <w:szCs w:val="22"/>
              </w:rPr>
              <w:t xml:space="preserve"> </w:t>
            </w:r>
          </w:p>
        </w:tc>
        <w:tc>
          <w:tcPr>
            <w:tcW w:w="3739" w:type="dxa"/>
            <w:tcBorders>
              <w:top w:val="dashed" w:sz="4" w:space="0" w:color="auto"/>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[Rhetorical Strategy 1]</w:t>
            </w:r>
          </w:p>
        </w:tc>
        <w:tc>
          <w:tcPr>
            <w:tcW w:w="5801" w:type="dxa"/>
            <w:tcBorders>
              <w:top w:val="dashed" w:sz="4" w:space="0" w:color="auto"/>
              <w:bottom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lang w:val="da-DK"/>
              </w:rPr>
              <w:t xml:space="preserve">Goffman, 1974; Bebbington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xml:space="preserve"> 2008</w:t>
            </w:r>
          </w:p>
        </w:tc>
      </w:tr>
      <w:tr w:rsidR="00025B9C" w:rsidRPr="00025B9C" w:rsidTr="00B97D41">
        <w:trPr>
          <w:jc w:val="center"/>
        </w:trPr>
        <w:tc>
          <w:tcPr>
            <w:tcW w:w="3960" w:type="dxa"/>
            <w:gridSpan w:val="2"/>
            <w:tcBorders>
              <w:top w:val="dashed" w:sz="4" w:space="0" w:color="auto"/>
              <w:bottom w:val="dashed" w:sz="4" w:space="0" w:color="auto"/>
            </w:tcBorders>
            <w:shd w:val="clear" w:color="auto" w:fill="auto"/>
          </w:tcPr>
          <w:p w:rsidR="000F6B82" w:rsidRPr="00025B9C" w:rsidRDefault="000F6B82" w:rsidP="00D665D9">
            <w:pPr>
              <w:rPr>
                <w:rFonts w:asciiTheme="minorHAnsi" w:hAnsiTheme="minorHAnsi" w:cstheme="minorHAnsi"/>
                <w:b/>
                <w:sz w:val="22"/>
                <w:szCs w:val="22"/>
              </w:rPr>
            </w:pPr>
            <w:r w:rsidRPr="00025B9C">
              <w:rPr>
                <w:rFonts w:asciiTheme="minorHAnsi" w:hAnsiTheme="minorHAnsi" w:cstheme="minorHAnsi"/>
                <w:b/>
                <w:sz w:val="22"/>
                <w:szCs w:val="22"/>
              </w:rPr>
              <w:t>5. (xiv) Mortification</w:t>
            </w:r>
          </w:p>
        </w:tc>
        <w:tc>
          <w:tcPr>
            <w:tcW w:w="3739" w:type="dxa"/>
            <w:tcBorders>
              <w:top w:val="dashed" w:sz="4" w:space="0" w:color="auto"/>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tcBorders>
              <w:top w:val="dashed" w:sz="4" w:space="0" w:color="auto"/>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See note * above</w:t>
            </w:r>
          </w:p>
        </w:tc>
      </w:tr>
      <w:tr w:rsidR="00025B9C" w:rsidRPr="00025B9C" w:rsidTr="00B97D41">
        <w:trPr>
          <w:jc w:val="center"/>
        </w:trPr>
        <w:tc>
          <w:tcPr>
            <w:tcW w:w="13500" w:type="dxa"/>
            <w:gridSpan w:val="4"/>
            <w:tcBorders>
              <w:top w:val="dashed" w:sz="4" w:space="0" w:color="auto"/>
              <w:left w:val="dashed" w:sz="4" w:space="0" w:color="auto"/>
              <w:right w:val="dashed" w:sz="4" w:space="0" w:color="auto"/>
            </w:tcBorders>
            <w:shd w:val="clear" w:color="auto" w:fill="auto"/>
          </w:tcPr>
          <w:p w:rsidR="00DB2019" w:rsidRPr="00025B9C" w:rsidRDefault="00DB2019" w:rsidP="00D665D9">
            <w:pPr>
              <w:ind w:right="-108"/>
              <w:rPr>
                <w:rFonts w:asciiTheme="minorHAnsi" w:hAnsiTheme="minorHAnsi" w:cstheme="minorHAnsi"/>
                <w:sz w:val="22"/>
                <w:szCs w:val="22"/>
              </w:rPr>
            </w:pPr>
            <w:r w:rsidRPr="00025B9C">
              <w:rPr>
                <w:rFonts w:asciiTheme="minorHAnsi" w:hAnsiTheme="minorHAnsi" w:cstheme="minorHAnsi"/>
                <w:i/>
                <w:sz w:val="22"/>
                <w:szCs w:val="22"/>
                <w:lang w:val="da-DK"/>
              </w:rPr>
              <w:t>Bolino &amp; Turnley</w:t>
            </w:r>
            <w:r w:rsidR="00FA75D0" w:rsidRPr="00025B9C">
              <w:rPr>
                <w:rFonts w:asciiTheme="minorHAnsi" w:hAnsiTheme="minorHAnsi" w:cstheme="minorHAnsi"/>
                <w:i/>
                <w:sz w:val="22"/>
                <w:szCs w:val="22"/>
                <w:lang w:val="da-DK"/>
              </w:rPr>
              <w:t>’s</w:t>
            </w:r>
            <w:r w:rsidRPr="00025B9C">
              <w:rPr>
                <w:rFonts w:asciiTheme="minorHAnsi" w:hAnsiTheme="minorHAnsi" w:cstheme="minorHAnsi"/>
                <w:i/>
                <w:sz w:val="22"/>
                <w:szCs w:val="22"/>
                <w:lang w:val="da-DK"/>
              </w:rPr>
              <w:t xml:space="preserve"> (2003) impression management profiles</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w:t>
            </w:r>
            <w:proofErr w:type="spellStart"/>
            <w:r w:rsidRPr="00025B9C">
              <w:rPr>
                <w:rFonts w:asciiTheme="minorHAnsi" w:hAnsiTheme="minorHAnsi" w:cstheme="minorHAnsi"/>
                <w:sz w:val="22"/>
                <w:szCs w:val="22"/>
              </w:rPr>
              <w:t>i</w:t>
            </w:r>
            <w:proofErr w:type="spellEnd"/>
            <w:r w:rsidRPr="00025B9C">
              <w:rPr>
                <w:rFonts w:asciiTheme="minorHAnsi" w:hAnsiTheme="minorHAnsi" w:cstheme="minorHAnsi"/>
                <w:sz w:val="22"/>
                <w:szCs w:val="22"/>
              </w:rPr>
              <w:t>)</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Ingratiation</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 xml:space="preserve"> [Rhetorical Strategy 6] </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(ii)</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Self-promotion</w:t>
            </w:r>
          </w:p>
        </w:tc>
        <w:tc>
          <w:tcPr>
            <w:tcW w:w="3739" w:type="dxa"/>
            <w:shd w:val="clear" w:color="auto" w:fill="auto"/>
          </w:tcPr>
          <w:p w:rsidR="000F6B82" w:rsidRPr="00025B9C" w:rsidRDefault="000F6B82" w:rsidP="000009EB">
            <w:pPr>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 xml:space="preserve"> [Rhetorical Strategy 7] </w:t>
            </w:r>
          </w:p>
        </w:tc>
        <w:tc>
          <w:tcPr>
            <w:tcW w:w="5801" w:type="dxa"/>
            <w:tcBorders>
              <w:right w:val="dashed" w:sz="4" w:space="0" w:color="auto"/>
            </w:tcBorders>
            <w:shd w:val="clear" w:color="auto" w:fill="auto"/>
          </w:tcPr>
          <w:p w:rsidR="000F6B82" w:rsidRPr="00025B9C" w:rsidRDefault="000F6B82" w:rsidP="00D665D9">
            <w:pPr>
              <w:rPr>
                <w:rFonts w:asciiTheme="minorHAnsi" w:hAnsiTheme="minorHAnsi" w:cstheme="minorHAnsi"/>
                <w:sz w:val="22"/>
                <w:szCs w:val="22"/>
                <w:lang w:val="da-DK"/>
              </w:rPr>
            </w:pPr>
            <w:r w:rsidRPr="00025B9C">
              <w:rPr>
                <w:rFonts w:asciiTheme="minorHAnsi" w:hAnsiTheme="minorHAnsi" w:cstheme="minorHAnsi"/>
                <w:sz w:val="22"/>
                <w:szCs w:val="22"/>
                <w:lang w:val="da-DK"/>
              </w:rPr>
              <w:t xml:space="preserve">Rosenfeld </w:t>
            </w:r>
            <w:r w:rsidRPr="00025B9C">
              <w:rPr>
                <w:rFonts w:asciiTheme="minorHAnsi" w:hAnsiTheme="minorHAnsi" w:cstheme="minorHAnsi"/>
                <w:i/>
                <w:sz w:val="22"/>
                <w:szCs w:val="22"/>
                <w:lang w:val="da-DK"/>
              </w:rPr>
              <w:t>et al.</w:t>
            </w:r>
            <w:r w:rsidRPr="00025B9C">
              <w:rPr>
                <w:rFonts w:asciiTheme="minorHAnsi" w:hAnsiTheme="minorHAnsi" w:cstheme="minorHAnsi"/>
                <w:sz w:val="22"/>
                <w:szCs w:val="22"/>
                <w:lang w:val="da-DK"/>
              </w:rPr>
              <w:t>, 1995; Bolino &amp; Turnley, 2003; Ogden &amp; Clarke, 2005</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(iii)</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 xml:space="preserve">Attribution </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 xml:space="preserve"> [Rhetorical Strategy 5] </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proofErr w:type="spellStart"/>
            <w:r w:rsidRPr="00025B9C">
              <w:rPr>
                <w:rFonts w:asciiTheme="minorHAnsi" w:hAnsiTheme="minorHAnsi" w:cstheme="minorHAnsi"/>
                <w:sz w:val="22"/>
                <w:szCs w:val="22"/>
              </w:rPr>
              <w:t>Tedeschi</w:t>
            </w:r>
            <w:proofErr w:type="spellEnd"/>
            <w:r w:rsidRPr="00025B9C">
              <w:rPr>
                <w:rFonts w:asciiTheme="minorHAnsi" w:hAnsiTheme="minorHAnsi" w:cstheme="minorHAnsi"/>
                <w:sz w:val="22"/>
                <w:szCs w:val="22"/>
              </w:rPr>
              <w:t xml:space="preserve"> &amp; Reiss, 1981; Oliver, 1991; Benoit, 1995; Jameson, 2000; </w:t>
            </w:r>
            <w:proofErr w:type="spellStart"/>
            <w:r w:rsidRPr="00025B9C">
              <w:rPr>
                <w:rFonts w:asciiTheme="minorHAnsi" w:hAnsiTheme="minorHAnsi" w:cstheme="minorHAnsi"/>
                <w:sz w:val="22"/>
                <w:szCs w:val="22"/>
              </w:rPr>
              <w:t>Aerts</w:t>
            </w:r>
            <w:proofErr w:type="spellEnd"/>
            <w:r w:rsidRPr="00025B9C">
              <w:rPr>
                <w:rFonts w:asciiTheme="minorHAnsi" w:hAnsiTheme="minorHAnsi" w:cstheme="minorHAnsi"/>
                <w:sz w:val="22"/>
                <w:szCs w:val="22"/>
              </w:rPr>
              <w:t>, 2005; Ogden &amp; Clarke, 2005</w:t>
            </w:r>
          </w:p>
        </w:tc>
      </w:tr>
      <w:tr w:rsidR="00025B9C" w:rsidRPr="00025B9C" w:rsidTr="00B97D41">
        <w:trPr>
          <w:jc w:val="center"/>
        </w:trPr>
        <w:tc>
          <w:tcPr>
            <w:tcW w:w="540" w:type="dxa"/>
            <w:tcBorders>
              <w:lef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(iv)</w:t>
            </w:r>
          </w:p>
        </w:tc>
        <w:tc>
          <w:tcPr>
            <w:tcW w:w="3420" w:type="dxa"/>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t>Supplication</w:t>
            </w:r>
          </w:p>
        </w:tc>
        <w:tc>
          <w:tcPr>
            <w:tcW w:w="3739" w:type="dxa"/>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sym w:font="Wingdings" w:char="F0FB"/>
            </w:r>
            <w:r w:rsidRPr="00025B9C">
              <w:rPr>
                <w:rFonts w:asciiTheme="minorHAnsi" w:hAnsiTheme="minorHAnsi" w:cstheme="minorHAnsi"/>
                <w:sz w:val="22"/>
                <w:szCs w:val="22"/>
              </w:rPr>
              <w:t xml:space="preserve"> Not applicable</w:t>
            </w:r>
          </w:p>
        </w:tc>
        <w:tc>
          <w:tcPr>
            <w:tcW w:w="5801" w:type="dxa"/>
            <w:tcBorders>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See note * above</w:t>
            </w:r>
          </w:p>
        </w:tc>
      </w:tr>
      <w:tr w:rsidR="00025B9C" w:rsidRPr="00025B9C" w:rsidTr="00B97D41">
        <w:trPr>
          <w:jc w:val="center"/>
        </w:trPr>
        <w:tc>
          <w:tcPr>
            <w:tcW w:w="540" w:type="dxa"/>
            <w:tcBorders>
              <w:left w:val="dashed" w:sz="4" w:space="0" w:color="auto"/>
              <w:bottom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rPr>
            </w:pPr>
            <w:r w:rsidRPr="00025B9C">
              <w:rPr>
                <w:rFonts w:asciiTheme="minorHAnsi" w:hAnsiTheme="minorHAnsi" w:cstheme="minorHAnsi"/>
                <w:sz w:val="22"/>
                <w:szCs w:val="22"/>
              </w:rPr>
              <w:t>(v)</w:t>
            </w:r>
          </w:p>
        </w:tc>
        <w:tc>
          <w:tcPr>
            <w:tcW w:w="3420" w:type="dxa"/>
            <w:tcBorders>
              <w:bottom w:val="dashed" w:sz="4" w:space="0" w:color="auto"/>
            </w:tcBorders>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0F2EBA1F" wp14:editId="0EA6DDB4">
                      <wp:simplePos x="0" y="0"/>
                      <wp:positionH relativeFrom="column">
                        <wp:posOffset>908220</wp:posOffset>
                      </wp:positionH>
                      <wp:positionV relativeFrom="paragraph">
                        <wp:posOffset>54951</wp:posOffset>
                      </wp:positionV>
                      <wp:extent cx="802888"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8028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90615" id="Straight Connector 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1.5pt,4.35pt" to="13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UXzQEAAAIEAAAOAAAAZHJzL2Uyb0RvYy54bWysU02P2yAQvVfqf0DcGzs5rLJWnD1ktb2s&#10;2qjb/gAWDzESMGig+fj3HUjirNpKVatesAfmvZn3GFYPR+/EHihZDL2cz1opIGgcbNj18tvXpw9L&#10;KVJWYVAOA/TyBEk+rN+/Wx1iBwsc0Q1AgklC6g6xl2POsWuapEfwKs0wQuBDg+RV5pB2zUDqwOze&#10;NYu2vWsOSEMk1JAS7z6eD+W68hsDOn82JkEWrpfcW64r1fW1rM16pbodqThafWlD/UMXXtnARSeq&#10;R5WV+E72FypvNWFCk2cafYPGWA1VA6uZtz+peRlVhKqFzUlxsin9P1r9ab8lYYde3ksRlOcresmk&#10;7G7MYoMhsIFI4r74dIip4/RN2NIlSnFLRfTRkC9fliOO1dvT5C0cs9C8uWwXyyUPg74eNTdcpJQ/&#10;AnpRfnrpbCiqVaf2zylzLU69ppRtF8qa0NnhyTpXgzIvsHEk9opvOh/npWPGvcniqCCbouPcef3L&#10;Jwdn1i9g2AnudV6r1xm8cSqtIeQrrwucXWCGO5iA7Z+Bl/wChTqffwOeELUyhjyBvQ1Iv6t+s8Kc&#10;868OnHUXC15xONU7rdbwoFXnLo+iTPLbuMJvT3f9AwAA//8DAFBLAwQUAAYACAAAACEAHbOvDtsA&#10;AAAHAQAADwAAAGRycy9kb3ducmV2LnhtbEyPQU+DQBCF7yb+h82YeLOLlSBSlsYYvRgvYA9628KU&#10;JWVnKbsU/PeOXvT45U3e+ybfLrYXZxx950jB7SoCgVS7pqNWwe795SYF4YOmRveOUMEXetgWlxe5&#10;zho3U4nnKrSCS8hnWoEJYcik9LVBq/3KDUicHdxodWAcW9mMeuZy28t1FCXS6o54wegBnwzWx2qy&#10;Cl5Pb34XJ+Vz+XFKq/nzMJnWoVLXV8vjBkTAJfwdw48+q0PBTns3UeNFzxzf8S9BQXoPgvN18hCD&#10;2P+yLHL537/4BgAA//8DAFBLAQItABQABgAIAAAAIQC2gziS/gAAAOEBAAATAAAAAAAAAAAAAAAA&#10;AAAAAABbQ29udGVudF9UeXBlc10ueG1sUEsBAi0AFAAGAAgAAAAhADj9If/WAAAAlAEAAAsAAAAA&#10;AAAAAAAAAAAALwEAAF9yZWxzLy5yZWxzUEsBAi0AFAAGAAgAAAAhACVgtRfNAQAAAgQAAA4AAAAA&#10;AAAAAAAAAAAALgIAAGRycy9lMm9Eb2MueG1sUEsBAi0AFAAGAAgAAAAhAB2zrw7bAAAABwEAAA8A&#10;AAAAAAAAAAAAAAAAJwQAAGRycy9kb3ducmV2LnhtbFBLBQYAAAAABAAEAPMAAAAvBQAAAAA=&#10;" strokecolor="black [3213]"/>
                  </w:pict>
                </mc:Fallback>
              </mc:AlternateContent>
            </w:r>
            <w:r w:rsidRPr="00025B9C">
              <w:rPr>
                <w:rFonts w:asciiTheme="minorHAnsi" w:hAnsiTheme="minorHAnsi" w:cstheme="minorHAnsi"/>
                <w:sz w:val="22"/>
                <w:szCs w:val="22"/>
              </w:rPr>
              <w:t>Intimidation</w:t>
            </w:r>
          </w:p>
        </w:tc>
        <w:tc>
          <w:tcPr>
            <w:tcW w:w="3739" w:type="dxa"/>
            <w:tcBorders>
              <w:bottom w:val="dashed" w:sz="4" w:space="0" w:color="auto"/>
            </w:tcBorders>
            <w:shd w:val="clear" w:color="auto" w:fill="auto"/>
          </w:tcPr>
          <w:p w:rsidR="000F6B82" w:rsidRPr="00025B9C" w:rsidRDefault="000F6B82" w:rsidP="00D665D9">
            <w:pPr>
              <w:rPr>
                <w:rFonts w:asciiTheme="minorHAnsi" w:hAnsiTheme="minorHAnsi" w:cstheme="minorHAnsi"/>
                <w:sz w:val="22"/>
                <w:szCs w:val="22"/>
              </w:rPr>
            </w:pPr>
            <w:r w:rsidRPr="00025B9C">
              <w:rPr>
                <w:rFonts w:asciiTheme="minorHAnsi" w:hAnsiTheme="minorHAnsi" w:cstheme="minorHAnsi"/>
                <w:sz w:val="22"/>
                <w:szCs w:val="22"/>
              </w:rPr>
              <w:sym w:font="Wingdings" w:char="F0FC"/>
            </w:r>
            <w:r w:rsidRPr="00025B9C">
              <w:rPr>
                <w:rFonts w:asciiTheme="minorHAnsi" w:hAnsiTheme="minorHAnsi" w:cstheme="minorHAnsi"/>
                <w:sz w:val="22"/>
                <w:szCs w:val="22"/>
              </w:rPr>
              <w:t xml:space="preserve"> [Rhetorical Strategy 8]</w:t>
            </w:r>
          </w:p>
        </w:tc>
        <w:tc>
          <w:tcPr>
            <w:tcW w:w="5801" w:type="dxa"/>
            <w:tcBorders>
              <w:bottom w:val="dashed" w:sz="4" w:space="0" w:color="auto"/>
              <w:right w:val="dashed" w:sz="4" w:space="0" w:color="auto"/>
            </w:tcBorders>
            <w:shd w:val="clear" w:color="auto" w:fill="auto"/>
          </w:tcPr>
          <w:p w:rsidR="000F6B82" w:rsidRPr="00025B9C" w:rsidRDefault="000F6B82" w:rsidP="00D665D9">
            <w:pPr>
              <w:ind w:right="-108"/>
              <w:rPr>
                <w:rFonts w:asciiTheme="minorHAnsi" w:hAnsiTheme="minorHAnsi" w:cstheme="minorHAnsi"/>
                <w:sz w:val="22"/>
                <w:szCs w:val="22"/>
                <w:lang w:val="da-DK"/>
              </w:rPr>
            </w:pPr>
            <w:r w:rsidRPr="00025B9C">
              <w:rPr>
                <w:rFonts w:asciiTheme="minorHAnsi" w:hAnsiTheme="minorHAnsi" w:cstheme="minorHAnsi"/>
                <w:sz w:val="22"/>
                <w:szCs w:val="22"/>
                <w:lang w:val="da-DK"/>
              </w:rPr>
              <w:t>See attack 3(xi) above</w:t>
            </w:r>
          </w:p>
        </w:tc>
      </w:tr>
      <w:tr w:rsidR="00E626F6" w:rsidRPr="00025B9C" w:rsidTr="00B97D41">
        <w:trPr>
          <w:jc w:val="center"/>
        </w:trPr>
        <w:tc>
          <w:tcPr>
            <w:tcW w:w="13500" w:type="dxa"/>
            <w:gridSpan w:val="4"/>
            <w:tcBorders>
              <w:top w:val="dashed" w:sz="4" w:space="0" w:color="auto"/>
            </w:tcBorders>
            <w:shd w:val="clear" w:color="auto" w:fill="auto"/>
          </w:tcPr>
          <w:p w:rsidR="00E626F6" w:rsidRPr="00025B9C" w:rsidRDefault="00E626F6" w:rsidP="00D665D9">
            <w:pPr>
              <w:rPr>
                <w:rFonts w:asciiTheme="minorHAnsi" w:hAnsiTheme="minorHAnsi" w:cstheme="minorHAnsi"/>
                <w:sz w:val="22"/>
                <w:szCs w:val="22"/>
              </w:rPr>
            </w:pPr>
            <w:r w:rsidRPr="00025B9C">
              <w:rPr>
                <w:rFonts w:asciiTheme="minorHAnsi" w:hAnsiTheme="minorHAnsi" w:cstheme="minorHAnsi"/>
                <w:sz w:val="22"/>
                <w:szCs w:val="22"/>
              </w:rPr>
              <w:t>Source: Adapted from Benoit (1995) and other authors cited above.</w:t>
            </w:r>
          </w:p>
        </w:tc>
      </w:tr>
    </w:tbl>
    <w:p w:rsidR="00385DD8" w:rsidRPr="00025B9C" w:rsidRDefault="00385DD8" w:rsidP="00D665D9">
      <w:pPr>
        <w:rPr>
          <w:rFonts w:asciiTheme="minorHAnsi" w:hAnsiTheme="minorHAnsi" w:cstheme="minorHAnsi"/>
          <w:b/>
        </w:rPr>
      </w:pPr>
    </w:p>
    <w:p w:rsidR="002435E6" w:rsidRPr="00025B9C" w:rsidRDefault="002435E6" w:rsidP="00D665D9">
      <w:pPr>
        <w:jc w:val="both"/>
        <w:rPr>
          <w:rFonts w:asciiTheme="minorHAnsi" w:hAnsiTheme="minorHAnsi" w:cstheme="minorHAnsi"/>
          <w:b/>
        </w:rPr>
        <w:sectPr w:rsidR="002435E6" w:rsidRPr="00025B9C" w:rsidSect="0004694B">
          <w:pgSz w:w="16838" w:h="11906" w:orient="landscape"/>
          <w:pgMar w:top="720" w:right="720" w:bottom="720" w:left="720" w:header="709" w:footer="709" w:gutter="0"/>
          <w:cols w:space="708"/>
          <w:docGrid w:linePitch="360"/>
        </w:sectPr>
      </w:pPr>
    </w:p>
    <w:p w:rsidR="00385DD8" w:rsidRPr="00025B9C" w:rsidRDefault="00385DD8" w:rsidP="00D665D9">
      <w:pPr>
        <w:rPr>
          <w:rFonts w:asciiTheme="minorHAnsi" w:hAnsiTheme="minorHAnsi" w:cstheme="minorHAnsi"/>
          <w:b/>
        </w:rPr>
      </w:pPr>
    </w:p>
    <w:p w:rsidR="00F84ED0" w:rsidRPr="00025B9C" w:rsidRDefault="00F84ED0" w:rsidP="00D665D9">
      <w:pPr>
        <w:rPr>
          <w:rFonts w:asciiTheme="minorHAnsi" w:hAnsiTheme="minorHAnsi" w:cstheme="minorHAnsi"/>
          <w:b/>
        </w:rPr>
      </w:pPr>
    </w:p>
    <w:tbl>
      <w:tblPr>
        <w:tblW w:w="7110" w:type="dxa"/>
        <w:jc w:val="center"/>
        <w:tblLayout w:type="fixed"/>
        <w:tblLook w:val="01E0" w:firstRow="1" w:lastRow="1" w:firstColumn="1" w:lastColumn="1" w:noHBand="0" w:noVBand="0"/>
      </w:tblPr>
      <w:tblGrid>
        <w:gridCol w:w="3690"/>
        <w:gridCol w:w="270"/>
        <w:gridCol w:w="24"/>
        <w:gridCol w:w="625"/>
        <w:gridCol w:w="791"/>
        <w:gridCol w:w="810"/>
        <w:gridCol w:w="630"/>
        <w:gridCol w:w="270"/>
      </w:tblGrid>
      <w:tr w:rsidR="00025B9C" w:rsidRPr="00025B9C" w:rsidTr="00A03C31">
        <w:trPr>
          <w:jc w:val="center"/>
        </w:trPr>
        <w:tc>
          <w:tcPr>
            <w:tcW w:w="7110" w:type="dxa"/>
            <w:gridSpan w:val="8"/>
            <w:shd w:val="clear" w:color="auto" w:fill="auto"/>
          </w:tcPr>
          <w:p w:rsidR="006322C7" w:rsidRPr="00025B9C" w:rsidRDefault="00A23839" w:rsidP="00D665D9">
            <w:pPr>
              <w:rPr>
                <w:rFonts w:asciiTheme="minorHAnsi" w:hAnsiTheme="minorHAnsi" w:cstheme="minorHAnsi"/>
                <w:b/>
                <w:sz w:val="22"/>
                <w:szCs w:val="22"/>
              </w:rPr>
            </w:pPr>
            <w:r w:rsidRPr="00025B9C">
              <w:rPr>
                <w:rFonts w:asciiTheme="minorHAnsi" w:hAnsiTheme="minorHAnsi" w:cstheme="minorHAnsi"/>
                <w:b/>
                <w:sz w:val="22"/>
                <w:szCs w:val="22"/>
              </w:rPr>
              <w:t>Table 3</w:t>
            </w:r>
            <w:r w:rsidR="008D6226" w:rsidRPr="00025B9C">
              <w:rPr>
                <w:rFonts w:asciiTheme="minorHAnsi" w:hAnsiTheme="minorHAnsi" w:cstheme="minorHAnsi"/>
                <w:b/>
                <w:sz w:val="22"/>
                <w:szCs w:val="22"/>
              </w:rPr>
              <w:t>.</w:t>
            </w:r>
            <w:r w:rsidR="006322C7" w:rsidRPr="00025B9C">
              <w:rPr>
                <w:rFonts w:asciiTheme="minorHAnsi" w:hAnsiTheme="minorHAnsi" w:cstheme="minorHAnsi"/>
                <w:b/>
                <w:sz w:val="22"/>
                <w:szCs w:val="22"/>
              </w:rPr>
              <w:t xml:space="preserve"> </w:t>
            </w:r>
            <w:r w:rsidR="000014ED" w:rsidRPr="00025B9C">
              <w:rPr>
                <w:rFonts w:asciiTheme="minorHAnsi" w:hAnsiTheme="minorHAnsi" w:cstheme="minorHAnsi"/>
                <w:b/>
                <w:sz w:val="22"/>
                <w:szCs w:val="22"/>
              </w:rPr>
              <w:t>E</w:t>
            </w:r>
            <w:r w:rsidR="006322C7" w:rsidRPr="00025B9C">
              <w:rPr>
                <w:rFonts w:asciiTheme="minorHAnsi" w:hAnsiTheme="minorHAnsi" w:cstheme="minorHAnsi"/>
                <w:b/>
                <w:sz w:val="22"/>
                <w:szCs w:val="22"/>
              </w:rPr>
              <w:t>xtent of non-compliance</w:t>
            </w:r>
            <w:r w:rsidR="00461BCF" w:rsidRPr="00025B9C">
              <w:rPr>
                <w:rFonts w:asciiTheme="minorHAnsi" w:hAnsiTheme="minorHAnsi" w:cstheme="minorHAnsi"/>
                <w:b/>
                <w:sz w:val="22"/>
                <w:szCs w:val="22"/>
              </w:rPr>
              <w:t xml:space="preserve"> </w:t>
            </w:r>
          </w:p>
        </w:tc>
      </w:tr>
      <w:tr w:rsidR="00025B9C" w:rsidRPr="00025B9C" w:rsidTr="00A03C31">
        <w:trPr>
          <w:jc w:val="center"/>
        </w:trPr>
        <w:tc>
          <w:tcPr>
            <w:tcW w:w="3984" w:type="dxa"/>
            <w:gridSpan w:val="3"/>
            <w:shd w:val="clear" w:color="auto" w:fill="auto"/>
          </w:tcPr>
          <w:p w:rsidR="000014ED" w:rsidRPr="00025B9C" w:rsidRDefault="000014ED" w:rsidP="00D665D9">
            <w:pPr>
              <w:jc w:val="center"/>
              <w:rPr>
                <w:rFonts w:asciiTheme="minorHAnsi" w:hAnsiTheme="minorHAnsi" w:cstheme="minorHAnsi"/>
                <w:b/>
                <w:sz w:val="22"/>
                <w:szCs w:val="22"/>
              </w:rPr>
            </w:pPr>
          </w:p>
        </w:tc>
        <w:tc>
          <w:tcPr>
            <w:tcW w:w="3126" w:type="dxa"/>
            <w:gridSpan w:val="5"/>
            <w:shd w:val="clear" w:color="auto" w:fill="auto"/>
          </w:tcPr>
          <w:p w:rsidR="000014ED" w:rsidRPr="00025B9C" w:rsidRDefault="000014ED" w:rsidP="00D665D9">
            <w:pPr>
              <w:ind w:left="-108" w:right="-108"/>
              <w:jc w:val="center"/>
              <w:rPr>
                <w:rFonts w:asciiTheme="minorHAnsi" w:hAnsiTheme="minorHAnsi" w:cstheme="minorHAnsi"/>
                <w:b/>
                <w:sz w:val="22"/>
                <w:szCs w:val="22"/>
              </w:rPr>
            </w:pPr>
            <w:r w:rsidRPr="00025B9C">
              <w:rPr>
                <w:rFonts w:asciiTheme="minorHAnsi" w:hAnsiTheme="minorHAnsi" w:cstheme="minorHAnsi"/>
                <w:b/>
                <w:sz w:val="22"/>
                <w:szCs w:val="22"/>
              </w:rPr>
              <w:t>FTSE 100 Companies</w:t>
            </w:r>
          </w:p>
        </w:tc>
      </w:tr>
      <w:tr w:rsidR="00025B9C" w:rsidRPr="00025B9C" w:rsidTr="00A03C31">
        <w:trPr>
          <w:jc w:val="center"/>
        </w:trPr>
        <w:tc>
          <w:tcPr>
            <w:tcW w:w="3984" w:type="dxa"/>
            <w:gridSpan w:val="3"/>
            <w:shd w:val="clear" w:color="auto" w:fill="auto"/>
          </w:tcPr>
          <w:p w:rsidR="00D65219" w:rsidRPr="00025B9C" w:rsidRDefault="000014ED" w:rsidP="00D665D9">
            <w:pPr>
              <w:rPr>
                <w:rFonts w:asciiTheme="minorHAnsi" w:hAnsiTheme="minorHAnsi" w:cstheme="minorHAnsi"/>
                <w:b/>
                <w:sz w:val="22"/>
                <w:szCs w:val="22"/>
              </w:rPr>
            </w:pPr>
            <w:r w:rsidRPr="00025B9C">
              <w:rPr>
                <w:rFonts w:asciiTheme="minorHAnsi" w:hAnsiTheme="minorHAnsi" w:cstheme="minorHAnsi"/>
                <w:b/>
                <w:sz w:val="22"/>
                <w:szCs w:val="22"/>
              </w:rPr>
              <w:t>Panel A: Unit of analysis: Companies</w:t>
            </w:r>
          </w:p>
        </w:tc>
        <w:tc>
          <w:tcPr>
            <w:tcW w:w="1416" w:type="dxa"/>
            <w:gridSpan w:val="2"/>
            <w:shd w:val="clear" w:color="auto" w:fill="auto"/>
          </w:tcPr>
          <w:p w:rsidR="00D65219" w:rsidRPr="00025B9C" w:rsidRDefault="000014ED" w:rsidP="00D665D9">
            <w:pPr>
              <w:ind w:left="-24" w:right="-30"/>
              <w:jc w:val="center"/>
              <w:rPr>
                <w:rFonts w:asciiTheme="minorHAnsi" w:hAnsiTheme="minorHAnsi" w:cstheme="minorHAnsi"/>
                <w:b/>
                <w:sz w:val="22"/>
                <w:szCs w:val="22"/>
              </w:rPr>
            </w:pPr>
            <w:r w:rsidRPr="00025B9C">
              <w:rPr>
                <w:rFonts w:asciiTheme="minorHAnsi" w:hAnsiTheme="minorHAnsi" w:cstheme="minorHAnsi"/>
                <w:b/>
                <w:sz w:val="22"/>
                <w:szCs w:val="22"/>
              </w:rPr>
              <w:t>2004/05</w:t>
            </w:r>
          </w:p>
        </w:tc>
        <w:tc>
          <w:tcPr>
            <w:tcW w:w="1440" w:type="dxa"/>
            <w:gridSpan w:val="2"/>
            <w:shd w:val="clear" w:color="auto" w:fill="auto"/>
          </w:tcPr>
          <w:p w:rsidR="00D65219" w:rsidRPr="00025B9C" w:rsidRDefault="000014ED" w:rsidP="00D665D9">
            <w:pPr>
              <w:ind w:left="-108" w:right="-108"/>
              <w:jc w:val="center"/>
              <w:rPr>
                <w:rFonts w:asciiTheme="minorHAnsi" w:hAnsiTheme="minorHAnsi" w:cstheme="minorHAnsi"/>
                <w:b/>
                <w:sz w:val="22"/>
                <w:szCs w:val="22"/>
              </w:rPr>
            </w:pPr>
            <w:r w:rsidRPr="00025B9C">
              <w:rPr>
                <w:rFonts w:asciiTheme="minorHAnsi" w:hAnsiTheme="minorHAnsi" w:cstheme="minorHAnsi"/>
                <w:b/>
                <w:sz w:val="22"/>
                <w:szCs w:val="22"/>
              </w:rPr>
              <w:t>2011/12</w:t>
            </w:r>
          </w:p>
        </w:tc>
        <w:tc>
          <w:tcPr>
            <w:tcW w:w="270" w:type="dxa"/>
            <w:shd w:val="clear" w:color="auto" w:fill="auto"/>
          </w:tcPr>
          <w:p w:rsidR="00D65219" w:rsidRPr="00025B9C" w:rsidRDefault="00D65219" w:rsidP="00D665D9">
            <w:pPr>
              <w:ind w:left="-108" w:right="-108"/>
              <w:jc w:val="center"/>
              <w:rPr>
                <w:rFonts w:asciiTheme="minorHAnsi" w:hAnsiTheme="minorHAnsi" w:cstheme="minorHAnsi"/>
                <w:b/>
                <w:sz w:val="22"/>
                <w:szCs w:val="22"/>
              </w:rPr>
            </w:pPr>
          </w:p>
        </w:tc>
      </w:tr>
      <w:tr w:rsidR="00025B9C" w:rsidRPr="00025B9C" w:rsidTr="00A03C31">
        <w:trPr>
          <w:jc w:val="center"/>
        </w:trPr>
        <w:tc>
          <w:tcPr>
            <w:tcW w:w="3984" w:type="dxa"/>
            <w:gridSpan w:val="3"/>
            <w:shd w:val="clear" w:color="auto" w:fill="auto"/>
          </w:tcPr>
          <w:p w:rsidR="000014ED" w:rsidRPr="00025B9C" w:rsidRDefault="003037F7" w:rsidP="00D665D9">
            <w:pPr>
              <w:rPr>
                <w:rFonts w:asciiTheme="minorHAnsi" w:hAnsiTheme="minorHAnsi" w:cstheme="minorHAnsi"/>
                <w:sz w:val="22"/>
                <w:szCs w:val="22"/>
              </w:rPr>
            </w:pPr>
            <w:r w:rsidRPr="00025B9C">
              <w:rPr>
                <w:rFonts w:asciiTheme="minorHAnsi" w:hAnsiTheme="minorHAnsi" w:cstheme="minorHAnsi"/>
                <w:b/>
                <w:sz w:val="22"/>
                <w:szCs w:val="22"/>
              </w:rPr>
              <w:t>No. non-</w:t>
            </w:r>
            <w:r w:rsidR="000014ED" w:rsidRPr="00025B9C">
              <w:rPr>
                <w:rFonts w:asciiTheme="minorHAnsi" w:hAnsiTheme="minorHAnsi" w:cstheme="minorHAnsi"/>
                <w:b/>
                <w:sz w:val="22"/>
                <w:szCs w:val="22"/>
              </w:rPr>
              <w:t>compliance items</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b/>
                <w:sz w:val="22"/>
                <w:szCs w:val="22"/>
              </w:rPr>
              <w:t>No.</w:t>
            </w:r>
          </w:p>
        </w:tc>
        <w:tc>
          <w:tcPr>
            <w:tcW w:w="791" w:type="dxa"/>
            <w:shd w:val="clear" w:color="auto" w:fill="auto"/>
          </w:tcPr>
          <w:p w:rsidR="000014ED" w:rsidRPr="00025B9C" w:rsidRDefault="000014ED" w:rsidP="00A03C31">
            <w:pPr>
              <w:ind w:left="-24" w:right="-30"/>
              <w:jc w:val="right"/>
              <w:rPr>
                <w:rFonts w:asciiTheme="minorHAnsi" w:hAnsiTheme="minorHAnsi" w:cstheme="minorHAnsi"/>
                <w:b/>
                <w:sz w:val="22"/>
                <w:szCs w:val="22"/>
              </w:rPr>
            </w:pPr>
            <w:r w:rsidRPr="00025B9C">
              <w:rPr>
                <w:rFonts w:asciiTheme="minorHAnsi" w:hAnsiTheme="minorHAnsi" w:cstheme="minorHAnsi"/>
                <w:b/>
                <w:sz w:val="22"/>
                <w:szCs w:val="22"/>
              </w:rPr>
              <w:t xml:space="preserve">% </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b/>
                <w:sz w:val="22"/>
                <w:szCs w:val="22"/>
              </w:rPr>
              <w:t>No.</w:t>
            </w:r>
          </w:p>
        </w:tc>
        <w:tc>
          <w:tcPr>
            <w:tcW w:w="630" w:type="dxa"/>
            <w:shd w:val="clear" w:color="auto" w:fill="auto"/>
          </w:tcPr>
          <w:p w:rsidR="000014ED" w:rsidRPr="00025B9C" w:rsidRDefault="000014ED" w:rsidP="00D665D9">
            <w:pPr>
              <w:ind w:left="-24" w:right="-30"/>
              <w:jc w:val="center"/>
              <w:rPr>
                <w:rFonts w:asciiTheme="minorHAnsi" w:hAnsiTheme="minorHAnsi" w:cstheme="minorHAnsi"/>
                <w:b/>
                <w:sz w:val="22"/>
                <w:szCs w:val="22"/>
              </w:rPr>
            </w:pPr>
            <w:r w:rsidRPr="00025B9C">
              <w:rPr>
                <w:rFonts w:asciiTheme="minorHAnsi" w:hAnsiTheme="minorHAnsi" w:cstheme="minorHAnsi"/>
                <w:b/>
                <w:sz w:val="22"/>
                <w:szCs w:val="22"/>
              </w:rPr>
              <w:t xml:space="preserve">% </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1</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21</w:t>
            </w:r>
          </w:p>
        </w:tc>
        <w:tc>
          <w:tcPr>
            <w:tcW w:w="791" w:type="dxa"/>
            <w:shd w:val="clear" w:color="auto" w:fill="auto"/>
          </w:tcPr>
          <w:p w:rsidR="000014ED" w:rsidRPr="00025B9C" w:rsidRDefault="000014ED" w:rsidP="00A03C31">
            <w:pPr>
              <w:jc w:val="right"/>
              <w:rPr>
                <w:rFonts w:asciiTheme="minorHAnsi" w:hAnsiTheme="minorHAnsi" w:cstheme="minorHAnsi"/>
                <w:sz w:val="22"/>
                <w:szCs w:val="22"/>
              </w:rPr>
            </w:pPr>
            <w:r w:rsidRPr="00025B9C">
              <w:rPr>
                <w:rFonts w:asciiTheme="minorHAnsi" w:hAnsiTheme="minorHAnsi" w:cstheme="minorHAnsi"/>
                <w:sz w:val="22"/>
                <w:szCs w:val="22"/>
              </w:rPr>
              <w:t>33%</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25</w:t>
            </w:r>
          </w:p>
        </w:tc>
        <w:tc>
          <w:tcPr>
            <w:tcW w:w="63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58%</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2</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16</w:t>
            </w:r>
          </w:p>
        </w:tc>
        <w:tc>
          <w:tcPr>
            <w:tcW w:w="791" w:type="dxa"/>
            <w:shd w:val="clear" w:color="auto" w:fill="auto"/>
          </w:tcPr>
          <w:p w:rsidR="000014ED" w:rsidRPr="00025B9C" w:rsidRDefault="000014ED" w:rsidP="00A03C31">
            <w:pPr>
              <w:jc w:val="right"/>
              <w:rPr>
                <w:rFonts w:asciiTheme="minorHAnsi" w:hAnsiTheme="minorHAnsi" w:cstheme="minorHAnsi"/>
                <w:sz w:val="22"/>
                <w:szCs w:val="22"/>
              </w:rPr>
            </w:pPr>
            <w:r w:rsidRPr="00025B9C">
              <w:rPr>
                <w:rFonts w:asciiTheme="minorHAnsi" w:hAnsiTheme="minorHAnsi" w:cstheme="minorHAnsi"/>
                <w:sz w:val="22"/>
                <w:szCs w:val="22"/>
              </w:rPr>
              <w:t>25%</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10</w:t>
            </w:r>
          </w:p>
        </w:tc>
        <w:tc>
          <w:tcPr>
            <w:tcW w:w="63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23%</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3</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15</w:t>
            </w:r>
          </w:p>
        </w:tc>
        <w:tc>
          <w:tcPr>
            <w:tcW w:w="791" w:type="dxa"/>
            <w:shd w:val="clear" w:color="auto" w:fill="auto"/>
          </w:tcPr>
          <w:p w:rsidR="000014ED" w:rsidRPr="00025B9C" w:rsidRDefault="000014ED" w:rsidP="00A03C31">
            <w:pPr>
              <w:jc w:val="right"/>
              <w:rPr>
                <w:rFonts w:asciiTheme="minorHAnsi" w:hAnsiTheme="minorHAnsi" w:cstheme="minorHAnsi"/>
                <w:sz w:val="22"/>
                <w:szCs w:val="22"/>
              </w:rPr>
            </w:pPr>
            <w:r w:rsidRPr="00025B9C">
              <w:rPr>
                <w:rFonts w:asciiTheme="minorHAnsi" w:hAnsiTheme="minorHAnsi" w:cstheme="minorHAnsi"/>
                <w:sz w:val="22"/>
                <w:szCs w:val="22"/>
              </w:rPr>
              <w:t>24%</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63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4</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6</w:t>
            </w:r>
          </w:p>
        </w:tc>
        <w:tc>
          <w:tcPr>
            <w:tcW w:w="791" w:type="dxa"/>
            <w:shd w:val="clear" w:color="auto" w:fill="auto"/>
          </w:tcPr>
          <w:p w:rsidR="000014ED" w:rsidRPr="00025B9C" w:rsidRDefault="000014ED" w:rsidP="00A03C31">
            <w:pPr>
              <w:jc w:val="right"/>
              <w:rPr>
                <w:rFonts w:asciiTheme="minorHAnsi" w:hAnsiTheme="minorHAnsi" w:cstheme="minorHAnsi"/>
                <w:sz w:val="22"/>
                <w:szCs w:val="22"/>
              </w:rPr>
            </w:pPr>
            <w:r w:rsidRPr="00025B9C">
              <w:rPr>
                <w:rFonts w:asciiTheme="minorHAnsi" w:hAnsiTheme="minorHAnsi" w:cstheme="minorHAnsi"/>
                <w:sz w:val="22"/>
                <w:szCs w:val="22"/>
              </w:rPr>
              <w:t>10%</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63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9%</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5</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791" w:type="dxa"/>
            <w:shd w:val="clear" w:color="auto" w:fill="auto"/>
          </w:tcPr>
          <w:p w:rsidR="000014ED" w:rsidRPr="00025B9C" w:rsidRDefault="000014ED" w:rsidP="00A03C31">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630" w:type="dxa"/>
            <w:shd w:val="clear" w:color="auto" w:fill="auto"/>
          </w:tcPr>
          <w:p w:rsidR="000014ED" w:rsidRPr="00025B9C" w:rsidRDefault="00A03C31" w:rsidP="00D665D9">
            <w:pPr>
              <w:jc w:val="right"/>
              <w:rPr>
                <w:rFonts w:asciiTheme="minorHAnsi" w:hAnsiTheme="minorHAnsi" w:cstheme="minorHAnsi"/>
                <w:sz w:val="22"/>
                <w:szCs w:val="22"/>
              </w:rPr>
            </w:pPr>
            <w:r w:rsidRPr="00025B9C">
              <w:rPr>
                <w:rFonts w:asciiTheme="minorHAnsi" w:hAnsiTheme="minorHAnsi" w:cstheme="minorHAnsi"/>
                <w:sz w:val="22"/>
                <w:szCs w:val="22"/>
              </w:rPr>
              <w:t>5</w:t>
            </w:r>
            <w:r w:rsidR="000014ED" w:rsidRPr="00025B9C">
              <w:rPr>
                <w:rFonts w:asciiTheme="minorHAnsi" w:hAnsiTheme="minorHAnsi" w:cstheme="minorHAnsi"/>
                <w:sz w:val="22"/>
                <w:szCs w:val="22"/>
              </w:rPr>
              <w:t>%</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6 or more</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791" w:type="dxa"/>
            <w:shd w:val="clear" w:color="auto" w:fill="auto"/>
          </w:tcPr>
          <w:p w:rsidR="000014ED" w:rsidRPr="00025B9C" w:rsidRDefault="000014ED" w:rsidP="00A03C31">
            <w:pPr>
              <w:jc w:val="right"/>
              <w:rPr>
                <w:rFonts w:asciiTheme="minorHAnsi" w:hAnsiTheme="minorHAnsi" w:cstheme="minorHAnsi"/>
                <w:sz w:val="22"/>
                <w:szCs w:val="22"/>
              </w:rPr>
            </w:pPr>
            <w:r w:rsidRPr="00025B9C">
              <w:rPr>
                <w:rFonts w:asciiTheme="minorHAnsi" w:hAnsiTheme="minorHAnsi" w:cstheme="minorHAnsi"/>
                <w:sz w:val="22"/>
                <w:szCs w:val="22"/>
              </w:rPr>
              <w:t>8%</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63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270" w:type="dxa"/>
            <w:shd w:val="clear" w:color="auto" w:fill="auto"/>
          </w:tcPr>
          <w:p w:rsidR="000014ED" w:rsidRPr="00025B9C" w:rsidRDefault="000014ED" w:rsidP="00D665D9">
            <w:pPr>
              <w:jc w:val="center"/>
              <w:rPr>
                <w:rFonts w:asciiTheme="minorHAnsi" w:hAnsiTheme="minorHAnsi" w:cstheme="minorHAnsi"/>
                <w:sz w:val="22"/>
                <w:szCs w:val="22"/>
              </w:rPr>
            </w:pPr>
          </w:p>
        </w:tc>
      </w:tr>
      <w:tr w:rsidR="00025B9C" w:rsidRPr="00025B9C" w:rsidTr="00A03C31">
        <w:trPr>
          <w:jc w:val="center"/>
        </w:trPr>
        <w:tc>
          <w:tcPr>
            <w:tcW w:w="3984" w:type="dxa"/>
            <w:gridSpan w:val="3"/>
            <w:shd w:val="clear" w:color="auto" w:fill="auto"/>
          </w:tcPr>
          <w:p w:rsidR="000014ED" w:rsidRPr="00025B9C" w:rsidRDefault="000014ED" w:rsidP="00D665D9">
            <w:pPr>
              <w:ind w:right="-166"/>
              <w:rPr>
                <w:rFonts w:asciiTheme="minorHAnsi" w:hAnsiTheme="minorHAnsi" w:cstheme="minorHAnsi"/>
                <w:sz w:val="22"/>
                <w:szCs w:val="22"/>
              </w:rPr>
            </w:pPr>
            <w:r w:rsidRPr="00025B9C">
              <w:rPr>
                <w:rFonts w:asciiTheme="minorHAnsi" w:hAnsiTheme="minorHAnsi" w:cstheme="minorHAnsi"/>
                <w:sz w:val="22"/>
                <w:szCs w:val="22"/>
              </w:rPr>
              <w:t xml:space="preserve">Total </w:t>
            </w:r>
            <w:r w:rsidR="00E421B1" w:rsidRPr="00025B9C">
              <w:rPr>
                <w:rFonts w:asciiTheme="minorHAnsi" w:hAnsiTheme="minorHAnsi" w:cstheme="minorHAnsi"/>
                <w:sz w:val="22"/>
                <w:szCs w:val="22"/>
              </w:rPr>
              <w:t>number of non-compliant companies</w:t>
            </w:r>
          </w:p>
        </w:tc>
        <w:tc>
          <w:tcPr>
            <w:tcW w:w="625"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63</w:t>
            </w:r>
          </w:p>
        </w:tc>
        <w:tc>
          <w:tcPr>
            <w:tcW w:w="791" w:type="dxa"/>
            <w:shd w:val="clear" w:color="auto" w:fill="auto"/>
          </w:tcPr>
          <w:p w:rsidR="000014ED" w:rsidRPr="00025B9C" w:rsidRDefault="000014ED" w:rsidP="00A03C31">
            <w:pPr>
              <w:ind w:left="-108"/>
              <w:jc w:val="right"/>
              <w:rPr>
                <w:rFonts w:asciiTheme="minorHAnsi" w:hAnsiTheme="minorHAnsi" w:cstheme="minorHAnsi"/>
                <w:sz w:val="22"/>
                <w:szCs w:val="22"/>
              </w:rPr>
            </w:pPr>
            <w:r w:rsidRPr="00025B9C">
              <w:rPr>
                <w:rFonts w:asciiTheme="minorHAnsi" w:hAnsiTheme="minorHAnsi" w:cstheme="minorHAnsi"/>
                <w:sz w:val="22"/>
                <w:szCs w:val="22"/>
              </w:rPr>
              <w:t>100%</w:t>
            </w:r>
          </w:p>
        </w:tc>
        <w:tc>
          <w:tcPr>
            <w:tcW w:w="810" w:type="dxa"/>
            <w:shd w:val="clear" w:color="auto" w:fill="auto"/>
          </w:tcPr>
          <w:p w:rsidR="000014ED" w:rsidRPr="00025B9C" w:rsidRDefault="000014E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43 </w:t>
            </w:r>
          </w:p>
        </w:tc>
        <w:tc>
          <w:tcPr>
            <w:tcW w:w="630" w:type="dxa"/>
            <w:shd w:val="clear" w:color="auto" w:fill="auto"/>
          </w:tcPr>
          <w:p w:rsidR="000014ED" w:rsidRPr="00025B9C" w:rsidRDefault="000014ED" w:rsidP="00D665D9">
            <w:pPr>
              <w:ind w:left="-83"/>
              <w:jc w:val="right"/>
              <w:rPr>
                <w:rFonts w:asciiTheme="minorHAnsi" w:hAnsiTheme="minorHAnsi" w:cstheme="minorHAnsi"/>
                <w:sz w:val="22"/>
                <w:szCs w:val="22"/>
              </w:rPr>
            </w:pPr>
            <w:r w:rsidRPr="00025B9C">
              <w:rPr>
                <w:rFonts w:asciiTheme="minorHAnsi" w:hAnsiTheme="minorHAnsi" w:cstheme="minorHAnsi"/>
                <w:sz w:val="22"/>
                <w:szCs w:val="22"/>
              </w:rPr>
              <w:t>100%</w:t>
            </w:r>
          </w:p>
        </w:tc>
        <w:tc>
          <w:tcPr>
            <w:tcW w:w="270" w:type="dxa"/>
            <w:shd w:val="clear" w:color="auto" w:fill="auto"/>
          </w:tcPr>
          <w:p w:rsidR="000014ED" w:rsidRPr="00025B9C" w:rsidRDefault="000014ED" w:rsidP="00D665D9">
            <w:pPr>
              <w:jc w:val="center"/>
              <w:rPr>
                <w:rFonts w:asciiTheme="minorHAnsi" w:hAnsiTheme="minorHAnsi" w:cstheme="minorHAnsi"/>
                <w:b/>
                <w:sz w:val="22"/>
                <w:szCs w:val="22"/>
              </w:rPr>
            </w:pPr>
          </w:p>
        </w:tc>
      </w:tr>
      <w:tr w:rsidR="00025B9C" w:rsidRPr="00025B9C" w:rsidTr="00A03C31">
        <w:trPr>
          <w:jc w:val="center"/>
        </w:trPr>
        <w:tc>
          <w:tcPr>
            <w:tcW w:w="3984" w:type="dxa"/>
            <w:gridSpan w:val="3"/>
            <w:shd w:val="clear" w:color="auto" w:fill="auto"/>
          </w:tcPr>
          <w:p w:rsidR="00E421B1" w:rsidRPr="00025B9C" w:rsidRDefault="00E421B1" w:rsidP="00D665D9">
            <w:pPr>
              <w:ind w:right="-166"/>
              <w:rPr>
                <w:rFonts w:asciiTheme="minorHAnsi" w:hAnsiTheme="minorHAnsi" w:cstheme="minorHAnsi"/>
                <w:sz w:val="22"/>
                <w:szCs w:val="22"/>
              </w:rPr>
            </w:pPr>
            <w:r w:rsidRPr="00025B9C">
              <w:rPr>
                <w:rFonts w:asciiTheme="minorHAnsi" w:hAnsiTheme="minorHAnsi" w:cstheme="minorHAnsi"/>
                <w:sz w:val="22"/>
                <w:szCs w:val="22"/>
              </w:rPr>
              <w:t>Total number non-compliance items</w:t>
            </w:r>
          </w:p>
        </w:tc>
        <w:tc>
          <w:tcPr>
            <w:tcW w:w="625" w:type="dxa"/>
            <w:shd w:val="clear" w:color="auto" w:fill="auto"/>
          </w:tcPr>
          <w:p w:rsidR="00E421B1" w:rsidRPr="00025B9C" w:rsidRDefault="00E421B1" w:rsidP="00D665D9">
            <w:pPr>
              <w:jc w:val="right"/>
              <w:rPr>
                <w:rFonts w:asciiTheme="minorHAnsi" w:hAnsiTheme="minorHAnsi" w:cstheme="minorHAnsi"/>
                <w:sz w:val="22"/>
                <w:szCs w:val="22"/>
              </w:rPr>
            </w:pPr>
            <w:r w:rsidRPr="00025B9C">
              <w:rPr>
                <w:rFonts w:asciiTheme="minorHAnsi" w:hAnsiTheme="minorHAnsi" w:cstheme="minorHAnsi"/>
                <w:sz w:val="22"/>
                <w:szCs w:val="22"/>
              </w:rPr>
              <w:t>168</w:t>
            </w:r>
          </w:p>
        </w:tc>
        <w:tc>
          <w:tcPr>
            <w:tcW w:w="791" w:type="dxa"/>
            <w:shd w:val="clear" w:color="auto" w:fill="auto"/>
          </w:tcPr>
          <w:p w:rsidR="00E421B1" w:rsidRPr="00025B9C" w:rsidRDefault="00E421B1" w:rsidP="00D665D9">
            <w:pPr>
              <w:ind w:left="-108"/>
              <w:jc w:val="center"/>
              <w:rPr>
                <w:rFonts w:asciiTheme="minorHAnsi" w:hAnsiTheme="minorHAnsi" w:cstheme="minorHAnsi"/>
                <w:sz w:val="22"/>
                <w:szCs w:val="22"/>
              </w:rPr>
            </w:pPr>
          </w:p>
        </w:tc>
        <w:tc>
          <w:tcPr>
            <w:tcW w:w="810" w:type="dxa"/>
            <w:shd w:val="clear" w:color="auto" w:fill="auto"/>
          </w:tcPr>
          <w:p w:rsidR="00E421B1" w:rsidRPr="00025B9C" w:rsidRDefault="00E421B1" w:rsidP="00D665D9">
            <w:pPr>
              <w:jc w:val="right"/>
              <w:rPr>
                <w:rFonts w:asciiTheme="minorHAnsi" w:hAnsiTheme="minorHAnsi" w:cstheme="minorHAnsi"/>
                <w:sz w:val="22"/>
                <w:szCs w:val="22"/>
              </w:rPr>
            </w:pPr>
            <w:r w:rsidRPr="00025B9C">
              <w:rPr>
                <w:rFonts w:asciiTheme="minorHAnsi" w:hAnsiTheme="minorHAnsi" w:cstheme="minorHAnsi"/>
                <w:sz w:val="22"/>
                <w:szCs w:val="22"/>
              </w:rPr>
              <w:t>77</w:t>
            </w:r>
          </w:p>
        </w:tc>
        <w:tc>
          <w:tcPr>
            <w:tcW w:w="630" w:type="dxa"/>
            <w:shd w:val="clear" w:color="auto" w:fill="auto"/>
          </w:tcPr>
          <w:p w:rsidR="00E421B1" w:rsidRPr="00025B9C" w:rsidRDefault="00E421B1" w:rsidP="00D665D9">
            <w:pPr>
              <w:ind w:left="-83"/>
              <w:jc w:val="right"/>
              <w:rPr>
                <w:rFonts w:asciiTheme="minorHAnsi" w:hAnsiTheme="minorHAnsi" w:cstheme="minorHAnsi"/>
                <w:sz w:val="22"/>
                <w:szCs w:val="22"/>
              </w:rPr>
            </w:pPr>
          </w:p>
        </w:tc>
        <w:tc>
          <w:tcPr>
            <w:tcW w:w="270" w:type="dxa"/>
            <w:shd w:val="clear" w:color="auto" w:fill="auto"/>
          </w:tcPr>
          <w:p w:rsidR="00E421B1" w:rsidRPr="00025B9C" w:rsidRDefault="00E421B1" w:rsidP="00D665D9">
            <w:pPr>
              <w:jc w:val="center"/>
              <w:rPr>
                <w:rFonts w:asciiTheme="minorHAnsi" w:hAnsiTheme="minorHAnsi" w:cstheme="minorHAnsi"/>
                <w:b/>
                <w:sz w:val="22"/>
                <w:szCs w:val="22"/>
              </w:rPr>
            </w:pPr>
          </w:p>
        </w:tc>
      </w:tr>
      <w:tr w:rsidR="00025B9C" w:rsidRPr="00025B9C" w:rsidTr="00A03C31">
        <w:trPr>
          <w:jc w:val="center"/>
        </w:trPr>
        <w:tc>
          <w:tcPr>
            <w:tcW w:w="3960" w:type="dxa"/>
            <w:gridSpan w:val="2"/>
            <w:shd w:val="clear" w:color="auto" w:fill="auto"/>
          </w:tcPr>
          <w:p w:rsidR="000014ED" w:rsidRPr="00025B9C" w:rsidRDefault="000014ED" w:rsidP="00D665D9">
            <w:pPr>
              <w:rPr>
                <w:rFonts w:asciiTheme="minorHAnsi" w:hAnsiTheme="minorHAnsi" w:cstheme="minorHAnsi"/>
                <w:sz w:val="22"/>
                <w:szCs w:val="22"/>
              </w:rPr>
            </w:pPr>
            <w:r w:rsidRPr="00025B9C">
              <w:rPr>
                <w:rFonts w:asciiTheme="minorHAnsi" w:hAnsiTheme="minorHAnsi" w:cstheme="minorHAnsi"/>
                <w:sz w:val="22"/>
                <w:szCs w:val="22"/>
              </w:rPr>
              <w:t>Average</w:t>
            </w:r>
          </w:p>
        </w:tc>
        <w:tc>
          <w:tcPr>
            <w:tcW w:w="1440" w:type="dxa"/>
            <w:gridSpan w:val="3"/>
            <w:shd w:val="clear" w:color="auto" w:fill="auto"/>
          </w:tcPr>
          <w:p w:rsidR="000014ED" w:rsidRPr="00025B9C" w:rsidRDefault="000014ED" w:rsidP="00A03C31">
            <w:pPr>
              <w:ind w:right="-36"/>
              <w:jc w:val="right"/>
              <w:rPr>
                <w:rFonts w:asciiTheme="minorHAnsi" w:hAnsiTheme="minorHAnsi" w:cstheme="minorHAnsi"/>
                <w:sz w:val="22"/>
                <w:szCs w:val="22"/>
                <w:lang w:val="en-IE"/>
              </w:rPr>
            </w:pPr>
            <w:r w:rsidRPr="00025B9C">
              <w:rPr>
                <w:rFonts w:asciiTheme="minorHAnsi" w:hAnsiTheme="minorHAnsi" w:cstheme="minorHAnsi"/>
                <w:sz w:val="22"/>
                <w:szCs w:val="22"/>
              </w:rPr>
              <w:t>2.67 breaches</w:t>
            </w:r>
          </w:p>
        </w:tc>
        <w:tc>
          <w:tcPr>
            <w:tcW w:w="1440" w:type="dxa"/>
            <w:gridSpan w:val="2"/>
            <w:shd w:val="clear" w:color="auto" w:fill="auto"/>
          </w:tcPr>
          <w:p w:rsidR="000014ED" w:rsidRPr="00025B9C" w:rsidRDefault="003B7F8E" w:rsidP="00A03C31">
            <w:pPr>
              <w:ind w:left="-108" w:right="-36"/>
              <w:jc w:val="right"/>
              <w:rPr>
                <w:rFonts w:asciiTheme="minorHAnsi" w:hAnsiTheme="minorHAnsi" w:cstheme="minorHAnsi"/>
                <w:sz w:val="22"/>
                <w:szCs w:val="22"/>
              </w:rPr>
            </w:pPr>
            <w:r w:rsidRPr="00025B9C">
              <w:rPr>
                <w:rFonts w:asciiTheme="minorHAnsi" w:hAnsiTheme="minorHAnsi" w:cstheme="minorHAnsi"/>
                <w:sz w:val="22"/>
                <w:szCs w:val="22"/>
              </w:rPr>
              <w:t>1.79</w:t>
            </w:r>
            <w:r w:rsidR="000014ED" w:rsidRPr="00025B9C">
              <w:rPr>
                <w:rFonts w:asciiTheme="minorHAnsi" w:hAnsiTheme="minorHAnsi" w:cstheme="minorHAnsi"/>
                <w:sz w:val="22"/>
                <w:szCs w:val="22"/>
              </w:rPr>
              <w:t xml:space="preserve"> breaches</w:t>
            </w:r>
          </w:p>
        </w:tc>
        <w:tc>
          <w:tcPr>
            <w:tcW w:w="270" w:type="dxa"/>
            <w:shd w:val="clear" w:color="auto" w:fill="auto"/>
          </w:tcPr>
          <w:p w:rsidR="000014ED" w:rsidRPr="00025B9C" w:rsidRDefault="000014ED" w:rsidP="00D665D9">
            <w:pPr>
              <w:jc w:val="center"/>
              <w:rPr>
                <w:rFonts w:asciiTheme="minorHAnsi" w:hAnsiTheme="minorHAnsi" w:cstheme="minorHAnsi"/>
                <w:b/>
                <w:sz w:val="22"/>
                <w:szCs w:val="22"/>
              </w:rPr>
            </w:pPr>
          </w:p>
        </w:tc>
      </w:tr>
      <w:tr w:rsidR="00025B9C" w:rsidRPr="00025B9C" w:rsidTr="00A03C31">
        <w:trPr>
          <w:jc w:val="center"/>
        </w:trPr>
        <w:tc>
          <w:tcPr>
            <w:tcW w:w="7110" w:type="dxa"/>
            <w:gridSpan w:val="8"/>
            <w:shd w:val="clear" w:color="auto" w:fill="auto"/>
          </w:tcPr>
          <w:p w:rsidR="008D6226" w:rsidRPr="00025B9C" w:rsidRDefault="008D6226" w:rsidP="00D665D9">
            <w:pPr>
              <w:rPr>
                <w:rFonts w:asciiTheme="minorHAnsi" w:hAnsiTheme="minorHAnsi" w:cstheme="minorHAnsi"/>
                <w:b/>
                <w:sz w:val="22"/>
                <w:szCs w:val="22"/>
              </w:rPr>
            </w:pPr>
          </w:p>
        </w:tc>
      </w:tr>
      <w:tr w:rsidR="00025B9C" w:rsidRPr="00025B9C" w:rsidTr="00A03C31">
        <w:trPr>
          <w:jc w:val="center"/>
        </w:trPr>
        <w:tc>
          <w:tcPr>
            <w:tcW w:w="7110" w:type="dxa"/>
            <w:gridSpan w:val="8"/>
            <w:shd w:val="clear" w:color="auto" w:fill="auto"/>
          </w:tcPr>
          <w:p w:rsidR="000014ED" w:rsidRPr="00025B9C" w:rsidRDefault="000014ED" w:rsidP="00D665D9">
            <w:pPr>
              <w:rPr>
                <w:rFonts w:asciiTheme="minorHAnsi" w:hAnsiTheme="minorHAnsi" w:cstheme="minorHAnsi"/>
                <w:b/>
                <w:sz w:val="22"/>
                <w:szCs w:val="22"/>
              </w:rPr>
            </w:pPr>
            <w:r w:rsidRPr="00025B9C">
              <w:rPr>
                <w:rFonts w:asciiTheme="minorHAnsi" w:hAnsiTheme="minorHAnsi" w:cstheme="minorHAnsi"/>
                <w:b/>
                <w:sz w:val="22"/>
                <w:szCs w:val="22"/>
              </w:rPr>
              <w:t>Panel B: Unit of analysis: Explanations</w:t>
            </w:r>
          </w:p>
        </w:tc>
      </w:tr>
      <w:tr w:rsidR="00025B9C" w:rsidRPr="00025B9C" w:rsidTr="00A03C31">
        <w:trPr>
          <w:jc w:val="center"/>
        </w:trPr>
        <w:tc>
          <w:tcPr>
            <w:tcW w:w="3984" w:type="dxa"/>
            <w:gridSpan w:val="3"/>
            <w:shd w:val="clear" w:color="auto" w:fill="auto"/>
          </w:tcPr>
          <w:p w:rsidR="000014ED" w:rsidRPr="00025B9C" w:rsidRDefault="000014ED" w:rsidP="00D665D9">
            <w:pPr>
              <w:ind w:right="-250"/>
              <w:rPr>
                <w:rFonts w:asciiTheme="minorHAnsi" w:hAnsiTheme="minorHAnsi" w:cstheme="minorHAnsi"/>
                <w:sz w:val="22"/>
                <w:szCs w:val="22"/>
              </w:rPr>
            </w:pPr>
            <w:r w:rsidRPr="00025B9C">
              <w:rPr>
                <w:rFonts w:asciiTheme="minorHAnsi" w:hAnsiTheme="minorHAnsi" w:cstheme="minorHAnsi"/>
                <w:sz w:val="22"/>
                <w:szCs w:val="22"/>
              </w:rPr>
              <w:t>Total explanations of non-compliance*</w:t>
            </w:r>
          </w:p>
        </w:tc>
        <w:tc>
          <w:tcPr>
            <w:tcW w:w="625" w:type="dxa"/>
            <w:shd w:val="clear" w:color="auto" w:fill="auto"/>
          </w:tcPr>
          <w:p w:rsidR="000014ED" w:rsidRPr="00025B9C" w:rsidRDefault="000014ED" w:rsidP="00D665D9">
            <w:pPr>
              <w:ind w:left="-250"/>
              <w:jc w:val="right"/>
              <w:rPr>
                <w:rFonts w:asciiTheme="minorHAnsi" w:hAnsiTheme="minorHAnsi" w:cstheme="minorHAnsi"/>
                <w:sz w:val="22"/>
                <w:szCs w:val="22"/>
              </w:rPr>
            </w:pPr>
            <w:r w:rsidRPr="00025B9C">
              <w:rPr>
                <w:rFonts w:asciiTheme="minorHAnsi" w:hAnsiTheme="minorHAnsi" w:cstheme="minorHAnsi"/>
                <w:sz w:val="22"/>
                <w:szCs w:val="22"/>
              </w:rPr>
              <w:t xml:space="preserve">146 </w:t>
            </w:r>
          </w:p>
        </w:tc>
        <w:tc>
          <w:tcPr>
            <w:tcW w:w="791" w:type="dxa"/>
            <w:shd w:val="clear" w:color="auto" w:fill="auto"/>
          </w:tcPr>
          <w:p w:rsidR="000014ED" w:rsidRPr="00025B9C" w:rsidRDefault="000014ED" w:rsidP="00D665D9">
            <w:pPr>
              <w:ind w:left="-250" w:right="-181"/>
              <w:jc w:val="center"/>
              <w:rPr>
                <w:rFonts w:asciiTheme="minorHAnsi" w:hAnsiTheme="minorHAnsi" w:cstheme="minorHAnsi"/>
                <w:sz w:val="22"/>
                <w:szCs w:val="22"/>
              </w:rPr>
            </w:pPr>
            <w:r w:rsidRPr="00025B9C">
              <w:rPr>
                <w:rFonts w:asciiTheme="minorHAnsi" w:hAnsiTheme="minorHAnsi" w:cstheme="minorHAnsi"/>
                <w:sz w:val="22"/>
                <w:szCs w:val="22"/>
              </w:rPr>
              <w:t>100%</w:t>
            </w:r>
          </w:p>
        </w:tc>
        <w:tc>
          <w:tcPr>
            <w:tcW w:w="810" w:type="dxa"/>
            <w:shd w:val="clear" w:color="auto" w:fill="auto"/>
          </w:tcPr>
          <w:p w:rsidR="000014ED" w:rsidRPr="00025B9C" w:rsidRDefault="000014ED" w:rsidP="00D665D9">
            <w:pPr>
              <w:ind w:left="-250"/>
              <w:jc w:val="right"/>
              <w:rPr>
                <w:rFonts w:asciiTheme="minorHAnsi" w:hAnsiTheme="minorHAnsi" w:cstheme="minorHAnsi"/>
                <w:sz w:val="22"/>
                <w:szCs w:val="22"/>
              </w:rPr>
            </w:pPr>
            <w:r w:rsidRPr="00025B9C">
              <w:rPr>
                <w:rFonts w:asciiTheme="minorHAnsi" w:hAnsiTheme="minorHAnsi" w:cstheme="minorHAnsi"/>
                <w:sz w:val="22"/>
                <w:szCs w:val="22"/>
              </w:rPr>
              <w:t xml:space="preserve">71 </w:t>
            </w:r>
          </w:p>
        </w:tc>
        <w:tc>
          <w:tcPr>
            <w:tcW w:w="900" w:type="dxa"/>
            <w:gridSpan w:val="2"/>
            <w:shd w:val="clear" w:color="auto" w:fill="auto"/>
          </w:tcPr>
          <w:p w:rsidR="000014ED" w:rsidRPr="00025B9C" w:rsidRDefault="000014ED" w:rsidP="00D665D9">
            <w:pPr>
              <w:ind w:left="-250" w:right="-181"/>
              <w:jc w:val="center"/>
              <w:rPr>
                <w:rFonts w:asciiTheme="minorHAnsi" w:hAnsiTheme="minorHAnsi" w:cstheme="minorHAnsi"/>
                <w:sz w:val="22"/>
                <w:szCs w:val="22"/>
              </w:rPr>
            </w:pPr>
            <w:r w:rsidRPr="00025B9C">
              <w:rPr>
                <w:rFonts w:asciiTheme="minorHAnsi" w:hAnsiTheme="minorHAnsi" w:cstheme="minorHAnsi"/>
                <w:sz w:val="22"/>
                <w:szCs w:val="22"/>
              </w:rPr>
              <w:t>100%</w:t>
            </w:r>
          </w:p>
        </w:tc>
      </w:tr>
      <w:tr w:rsidR="00025B9C" w:rsidRPr="00025B9C" w:rsidTr="00A03C31">
        <w:trPr>
          <w:jc w:val="center"/>
        </w:trPr>
        <w:tc>
          <w:tcPr>
            <w:tcW w:w="3690" w:type="dxa"/>
            <w:shd w:val="clear" w:color="auto" w:fill="auto"/>
          </w:tcPr>
          <w:p w:rsidR="000014ED" w:rsidRPr="00025B9C" w:rsidRDefault="000014ED" w:rsidP="00D665D9">
            <w:pPr>
              <w:ind w:right="-250"/>
              <w:rPr>
                <w:rFonts w:asciiTheme="minorHAnsi" w:hAnsiTheme="minorHAnsi" w:cstheme="minorHAnsi"/>
                <w:sz w:val="22"/>
                <w:szCs w:val="22"/>
              </w:rPr>
            </w:pPr>
            <w:r w:rsidRPr="00025B9C">
              <w:rPr>
                <w:rFonts w:asciiTheme="minorHAnsi" w:hAnsiTheme="minorHAnsi" w:cstheme="minorHAnsi"/>
                <w:sz w:val="22"/>
                <w:szCs w:val="22"/>
              </w:rPr>
              <w:t>Average per non-compliant company</w:t>
            </w:r>
          </w:p>
        </w:tc>
        <w:tc>
          <w:tcPr>
            <w:tcW w:w="1710" w:type="dxa"/>
            <w:gridSpan w:val="4"/>
            <w:shd w:val="clear" w:color="auto" w:fill="auto"/>
          </w:tcPr>
          <w:p w:rsidR="000014ED" w:rsidRPr="00025B9C" w:rsidRDefault="000014ED" w:rsidP="00A03C31">
            <w:pPr>
              <w:ind w:left="-123"/>
              <w:jc w:val="right"/>
              <w:rPr>
                <w:rFonts w:asciiTheme="minorHAnsi" w:hAnsiTheme="minorHAnsi" w:cstheme="minorHAnsi"/>
                <w:sz w:val="22"/>
                <w:szCs w:val="22"/>
              </w:rPr>
            </w:pPr>
            <w:r w:rsidRPr="00025B9C">
              <w:rPr>
                <w:rFonts w:asciiTheme="minorHAnsi" w:hAnsiTheme="minorHAnsi" w:cstheme="minorHAnsi"/>
                <w:sz w:val="22"/>
                <w:szCs w:val="22"/>
              </w:rPr>
              <w:t>2.32 explanations</w:t>
            </w:r>
          </w:p>
        </w:tc>
        <w:tc>
          <w:tcPr>
            <w:tcW w:w="1710" w:type="dxa"/>
            <w:gridSpan w:val="3"/>
            <w:shd w:val="clear" w:color="auto" w:fill="auto"/>
          </w:tcPr>
          <w:p w:rsidR="000014ED" w:rsidRPr="00025B9C" w:rsidRDefault="000014ED" w:rsidP="00A03C31">
            <w:pPr>
              <w:ind w:left="-123"/>
              <w:jc w:val="right"/>
              <w:rPr>
                <w:rFonts w:asciiTheme="minorHAnsi" w:hAnsiTheme="minorHAnsi" w:cstheme="minorHAnsi"/>
                <w:sz w:val="22"/>
                <w:szCs w:val="22"/>
              </w:rPr>
            </w:pPr>
            <w:r w:rsidRPr="00025B9C">
              <w:rPr>
                <w:rFonts w:asciiTheme="minorHAnsi" w:hAnsiTheme="minorHAnsi" w:cstheme="minorHAnsi"/>
                <w:sz w:val="22"/>
                <w:szCs w:val="22"/>
              </w:rPr>
              <w:t>1.65 explanations</w:t>
            </w:r>
          </w:p>
        </w:tc>
      </w:tr>
      <w:tr w:rsidR="00025B9C" w:rsidRPr="00025B9C" w:rsidTr="00A03C31">
        <w:trPr>
          <w:jc w:val="center"/>
        </w:trPr>
        <w:tc>
          <w:tcPr>
            <w:tcW w:w="7110" w:type="dxa"/>
            <w:gridSpan w:val="8"/>
            <w:shd w:val="clear" w:color="auto" w:fill="auto"/>
          </w:tcPr>
          <w:p w:rsidR="008D6226" w:rsidRPr="00025B9C" w:rsidRDefault="008D6226" w:rsidP="00D665D9">
            <w:pPr>
              <w:rPr>
                <w:rFonts w:asciiTheme="minorHAnsi" w:hAnsiTheme="minorHAnsi" w:cstheme="minorHAnsi"/>
                <w:strike/>
                <w:sz w:val="22"/>
                <w:szCs w:val="22"/>
              </w:rPr>
            </w:pPr>
          </w:p>
        </w:tc>
      </w:tr>
      <w:tr w:rsidR="000014ED" w:rsidRPr="00025B9C" w:rsidTr="00A03C31">
        <w:trPr>
          <w:jc w:val="center"/>
        </w:trPr>
        <w:tc>
          <w:tcPr>
            <w:tcW w:w="7110" w:type="dxa"/>
            <w:gridSpan w:val="8"/>
            <w:shd w:val="clear" w:color="auto" w:fill="auto"/>
          </w:tcPr>
          <w:p w:rsidR="000014ED" w:rsidRPr="00025B9C" w:rsidRDefault="00390ABC" w:rsidP="00D665D9">
            <w:pPr>
              <w:rPr>
                <w:rFonts w:asciiTheme="minorHAnsi" w:hAnsiTheme="minorHAnsi" w:cstheme="minorHAnsi"/>
                <w:sz w:val="22"/>
                <w:szCs w:val="22"/>
              </w:rPr>
            </w:pPr>
            <w:r w:rsidRPr="00025B9C">
              <w:rPr>
                <w:rFonts w:asciiTheme="minorHAnsi" w:hAnsiTheme="minorHAnsi" w:cstheme="minorHAnsi"/>
                <w:sz w:val="22"/>
                <w:szCs w:val="22"/>
              </w:rPr>
              <w:t>*This is lower than the</w:t>
            </w:r>
            <w:r w:rsidR="000014ED" w:rsidRPr="00025B9C">
              <w:rPr>
                <w:rFonts w:asciiTheme="minorHAnsi" w:hAnsiTheme="minorHAnsi" w:cstheme="minorHAnsi"/>
                <w:sz w:val="22"/>
                <w:szCs w:val="22"/>
              </w:rPr>
              <w:t xml:space="preserve"> number of Code items breached </w:t>
            </w:r>
            <w:r w:rsidRPr="00025B9C">
              <w:rPr>
                <w:rFonts w:asciiTheme="minorHAnsi" w:hAnsiTheme="minorHAnsi" w:cstheme="minorHAnsi"/>
                <w:sz w:val="22"/>
                <w:szCs w:val="22"/>
              </w:rPr>
              <w:t xml:space="preserve">(168/77) </w:t>
            </w:r>
            <w:r w:rsidR="000014ED" w:rsidRPr="00025B9C">
              <w:rPr>
                <w:rFonts w:asciiTheme="minorHAnsi" w:hAnsiTheme="minorHAnsi" w:cstheme="minorHAnsi"/>
                <w:sz w:val="22"/>
                <w:szCs w:val="22"/>
              </w:rPr>
              <w:t xml:space="preserve">as some Code </w:t>
            </w:r>
            <w:r w:rsidR="003037F7" w:rsidRPr="00025B9C">
              <w:rPr>
                <w:rFonts w:asciiTheme="minorHAnsi" w:hAnsiTheme="minorHAnsi" w:cstheme="minorHAnsi"/>
                <w:sz w:val="22"/>
                <w:szCs w:val="22"/>
                <w:lang w:val="en-IE"/>
              </w:rPr>
              <w:t>breaches</w:t>
            </w:r>
            <w:r w:rsidR="000014ED" w:rsidRPr="00025B9C">
              <w:rPr>
                <w:rFonts w:asciiTheme="minorHAnsi" w:hAnsiTheme="minorHAnsi" w:cstheme="minorHAnsi"/>
                <w:sz w:val="22"/>
                <w:szCs w:val="22"/>
              </w:rPr>
              <w:t xml:space="preserve"> are combined into one explanation.</w:t>
            </w:r>
          </w:p>
          <w:p w:rsidR="00282CAE" w:rsidRPr="00025B9C" w:rsidRDefault="00282CAE" w:rsidP="00D665D9">
            <w:pPr>
              <w:rPr>
                <w:rFonts w:asciiTheme="minorHAnsi" w:hAnsiTheme="minorHAnsi" w:cstheme="minorHAnsi"/>
                <w:sz w:val="22"/>
                <w:szCs w:val="22"/>
              </w:rPr>
            </w:pPr>
          </w:p>
          <w:p w:rsidR="00282CAE" w:rsidRPr="00025B9C" w:rsidRDefault="00282CAE" w:rsidP="00282CAE">
            <w:pPr>
              <w:rPr>
                <w:rFonts w:asciiTheme="minorHAnsi" w:hAnsiTheme="minorHAnsi" w:cstheme="minorHAnsi"/>
                <w:sz w:val="22"/>
                <w:szCs w:val="22"/>
              </w:rPr>
            </w:pPr>
            <w:r w:rsidRPr="00025B9C">
              <w:rPr>
                <w:rFonts w:asciiTheme="minorHAnsi" w:hAnsiTheme="minorHAnsi" w:cstheme="minorHAnsi"/>
                <w:sz w:val="22"/>
                <w:szCs w:val="22"/>
              </w:rPr>
              <w:t>Source: Shrives and Brennan (2015).</w:t>
            </w:r>
          </w:p>
        </w:tc>
      </w:tr>
    </w:tbl>
    <w:p w:rsidR="006322C7" w:rsidRPr="00025B9C" w:rsidRDefault="006322C7" w:rsidP="00D665D9">
      <w:pPr>
        <w:rPr>
          <w:rFonts w:asciiTheme="minorHAnsi" w:hAnsiTheme="minorHAnsi" w:cstheme="minorHAnsi"/>
        </w:rPr>
      </w:pPr>
    </w:p>
    <w:p w:rsidR="008D6226" w:rsidRPr="00025B9C" w:rsidRDefault="008D6226" w:rsidP="00D665D9">
      <w:pPr>
        <w:rPr>
          <w:rFonts w:asciiTheme="minorHAnsi" w:hAnsiTheme="minorHAnsi" w:cstheme="minorHAnsi"/>
        </w:rPr>
      </w:pPr>
      <w:r w:rsidRPr="00025B9C">
        <w:rPr>
          <w:rFonts w:asciiTheme="minorHAnsi" w:hAnsiTheme="minorHAnsi" w:cstheme="minorHAnsi"/>
        </w:rPr>
        <w:br w:type="page"/>
      </w:r>
    </w:p>
    <w:tbl>
      <w:tblPr>
        <w:tblW w:w="10339" w:type="dxa"/>
        <w:jc w:val="center"/>
        <w:tblLayout w:type="fixed"/>
        <w:tblLook w:val="01E0" w:firstRow="1" w:lastRow="1" w:firstColumn="1" w:lastColumn="1" w:noHBand="0" w:noVBand="0"/>
      </w:tblPr>
      <w:tblGrid>
        <w:gridCol w:w="1650"/>
        <w:gridCol w:w="2853"/>
        <w:gridCol w:w="567"/>
        <w:gridCol w:w="708"/>
        <w:gridCol w:w="284"/>
        <w:gridCol w:w="1442"/>
        <w:gridCol w:w="524"/>
        <w:gridCol w:w="610"/>
        <w:gridCol w:w="284"/>
        <w:gridCol w:w="1417"/>
      </w:tblGrid>
      <w:tr w:rsidR="00025B9C" w:rsidRPr="00025B9C" w:rsidTr="008D6226">
        <w:trPr>
          <w:tblHeader/>
          <w:jc w:val="center"/>
        </w:trPr>
        <w:tc>
          <w:tcPr>
            <w:tcW w:w="10339" w:type="dxa"/>
            <w:gridSpan w:val="10"/>
          </w:tcPr>
          <w:p w:rsidR="00A13004" w:rsidRPr="00025B9C" w:rsidRDefault="00A23839" w:rsidP="00D665D9">
            <w:pPr>
              <w:rPr>
                <w:rFonts w:asciiTheme="minorHAnsi" w:hAnsiTheme="minorHAnsi" w:cstheme="minorHAnsi"/>
                <w:b/>
                <w:sz w:val="22"/>
                <w:szCs w:val="22"/>
              </w:rPr>
            </w:pPr>
            <w:r w:rsidRPr="00025B9C">
              <w:rPr>
                <w:rFonts w:asciiTheme="minorHAnsi" w:hAnsiTheme="minorHAnsi" w:cstheme="minorHAnsi"/>
                <w:b/>
                <w:sz w:val="22"/>
                <w:szCs w:val="22"/>
              </w:rPr>
              <w:t>Table 4</w:t>
            </w:r>
            <w:r w:rsidR="008D6226" w:rsidRPr="00025B9C">
              <w:rPr>
                <w:rFonts w:asciiTheme="minorHAnsi" w:hAnsiTheme="minorHAnsi" w:cstheme="minorHAnsi"/>
                <w:b/>
                <w:sz w:val="22"/>
                <w:szCs w:val="22"/>
              </w:rPr>
              <w:t>.</w:t>
            </w:r>
            <w:r w:rsidR="006322C7" w:rsidRPr="00025B9C">
              <w:rPr>
                <w:rFonts w:asciiTheme="minorHAnsi" w:hAnsiTheme="minorHAnsi" w:cstheme="minorHAnsi"/>
                <w:b/>
                <w:sz w:val="22"/>
                <w:szCs w:val="22"/>
              </w:rPr>
              <w:t xml:space="preserve"> </w:t>
            </w:r>
            <w:r w:rsidR="00176C27" w:rsidRPr="00025B9C">
              <w:rPr>
                <w:rFonts w:asciiTheme="minorHAnsi" w:hAnsiTheme="minorHAnsi" w:cstheme="minorHAnsi"/>
                <w:b/>
                <w:sz w:val="22"/>
                <w:szCs w:val="22"/>
              </w:rPr>
              <w:t>Breaches</w:t>
            </w:r>
            <w:r w:rsidR="006322C7" w:rsidRPr="00025B9C">
              <w:rPr>
                <w:rFonts w:asciiTheme="minorHAnsi" w:hAnsiTheme="minorHAnsi" w:cstheme="minorHAnsi"/>
                <w:b/>
                <w:sz w:val="22"/>
                <w:szCs w:val="22"/>
              </w:rPr>
              <w:t xml:space="preserve"> by </w:t>
            </w:r>
            <w:r w:rsidR="003634C4" w:rsidRPr="00025B9C">
              <w:rPr>
                <w:rFonts w:asciiTheme="minorHAnsi" w:hAnsiTheme="minorHAnsi" w:cstheme="minorHAnsi"/>
                <w:b/>
                <w:sz w:val="22"/>
                <w:szCs w:val="22"/>
              </w:rPr>
              <w:t>Corporate Governance Code</w:t>
            </w:r>
            <w:r w:rsidR="006322C7" w:rsidRPr="00025B9C">
              <w:rPr>
                <w:rFonts w:asciiTheme="minorHAnsi" w:hAnsiTheme="minorHAnsi" w:cstheme="minorHAnsi"/>
                <w:b/>
                <w:sz w:val="22"/>
                <w:szCs w:val="22"/>
              </w:rPr>
              <w:t xml:space="preserve"> reference:</w:t>
            </w:r>
          </w:p>
          <w:p w:rsidR="006322C7" w:rsidRPr="00025B9C" w:rsidRDefault="00213974" w:rsidP="00A435DE">
            <w:pPr>
              <w:rPr>
                <w:rFonts w:asciiTheme="minorHAnsi" w:hAnsiTheme="minorHAnsi" w:cstheme="minorHAnsi"/>
                <w:b/>
                <w:sz w:val="22"/>
                <w:szCs w:val="22"/>
              </w:rPr>
            </w:pPr>
            <w:r w:rsidRPr="00025B9C">
              <w:rPr>
                <w:rFonts w:asciiTheme="minorHAnsi" w:hAnsiTheme="minorHAnsi" w:cstheme="minorHAnsi"/>
                <w:b/>
                <w:sz w:val="22"/>
                <w:szCs w:val="22"/>
              </w:rPr>
              <w:t xml:space="preserve">Most </w:t>
            </w:r>
            <w:r w:rsidR="001C7F3F" w:rsidRPr="00025B9C">
              <w:rPr>
                <w:rFonts w:asciiTheme="minorHAnsi" w:hAnsiTheme="minorHAnsi" w:cstheme="minorHAnsi"/>
                <w:b/>
                <w:sz w:val="22"/>
                <w:szCs w:val="22"/>
              </w:rPr>
              <w:t>c</w:t>
            </w:r>
            <w:r w:rsidRPr="00025B9C">
              <w:rPr>
                <w:rFonts w:asciiTheme="minorHAnsi" w:hAnsiTheme="minorHAnsi" w:cstheme="minorHAnsi"/>
                <w:b/>
                <w:sz w:val="22"/>
                <w:szCs w:val="22"/>
              </w:rPr>
              <w:t>ommon</w:t>
            </w:r>
            <w:r w:rsidR="006322C7" w:rsidRPr="00025B9C">
              <w:rPr>
                <w:rFonts w:asciiTheme="minorHAnsi" w:hAnsiTheme="minorHAnsi" w:cstheme="minorHAnsi"/>
                <w:b/>
                <w:sz w:val="22"/>
                <w:szCs w:val="22"/>
              </w:rPr>
              <w:t xml:space="preserve"> </w:t>
            </w:r>
            <w:r w:rsidR="00176C27" w:rsidRPr="00025B9C">
              <w:rPr>
                <w:rFonts w:asciiTheme="minorHAnsi" w:hAnsiTheme="minorHAnsi" w:cstheme="minorHAnsi"/>
                <w:b/>
                <w:sz w:val="22"/>
                <w:szCs w:val="22"/>
              </w:rPr>
              <w:t>breaches</w:t>
            </w:r>
            <w:r w:rsidR="006322C7" w:rsidRPr="00025B9C">
              <w:rPr>
                <w:rFonts w:asciiTheme="minorHAnsi" w:hAnsiTheme="minorHAnsi" w:cstheme="minorHAnsi"/>
                <w:b/>
                <w:sz w:val="22"/>
                <w:szCs w:val="22"/>
              </w:rPr>
              <w:t xml:space="preserve"> </w:t>
            </w:r>
            <w:r w:rsidR="00F550BA" w:rsidRPr="00025B9C">
              <w:rPr>
                <w:rFonts w:asciiTheme="minorHAnsi" w:hAnsiTheme="minorHAnsi" w:cstheme="minorHAnsi"/>
                <w:b/>
                <w:sz w:val="22"/>
                <w:szCs w:val="22"/>
              </w:rPr>
              <w:t>by FTSE 100 companies</w:t>
            </w:r>
            <w:r w:rsidR="003037F7" w:rsidRPr="00025B9C">
              <w:rPr>
                <w:rFonts w:asciiTheme="minorHAnsi" w:hAnsiTheme="minorHAnsi" w:cstheme="minorHAnsi"/>
                <w:b/>
                <w:sz w:val="22"/>
                <w:szCs w:val="22"/>
              </w:rPr>
              <w:t xml:space="preserve"> </w:t>
            </w:r>
            <w:r w:rsidR="00A31277" w:rsidRPr="00025B9C">
              <w:rPr>
                <w:rFonts w:asciiTheme="minorHAnsi" w:hAnsiTheme="minorHAnsi" w:cstheme="minorHAnsi"/>
                <w:b/>
                <w:sz w:val="22"/>
                <w:szCs w:val="22"/>
              </w:rPr>
              <w:t xml:space="preserve">(ranked by ‘top five’ breaches </w:t>
            </w:r>
            <w:r w:rsidR="00F512C9" w:rsidRPr="00025B9C">
              <w:rPr>
                <w:rFonts w:asciiTheme="minorHAnsi" w:hAnsiTheme="minorHAnsi" w:cstheme="minorHAnsi"/>
                <w:b/>
                <w:sz w:val="22"/>
                <w:szCs w:val="22"/>
              </w:rPr>
              <w:t>from</w:t>
            </w:r>
            <w:r w:rsidR="00A31277" w:rsidRPr="00025B9C">
              <w:rPr>
                <w:rFonts w:asciiTheme="minorHAnsi" w:hAnsiTheme="minorHAnsi" w:cstheme="minorHAnsi"/>
                <w:b/>
                <w:sz w:val="22"/>
                <w:szCs w:val="22"/>
              </w:rPr>
              <w:t xml:space="preserve"> </w:t>
            </w:r>
            <w:r w:rsidR="00A435DE" w:rsidRPr="00025B9C">
              <w:rPr>
                <w:rFonts w:asciiTheme="minorHAnsi" w:hAnsiTheme="minorHAnsi" w:cstheme="minorHAnsi"/>
                <w:b/>
                <w:sz w:val="22"/>
                <w:szCs w:val="22"/>
              </w:rPr>
              <w:t>2011/12)</w:t>
            </w:r>
          </w:p>
        </w:tc>
      </w:tr>
      <w:tr w:rsidR="00025B9C" w:rsidRPr="00025B9C" w:rsidTr="008D6226">
        <w:trPr>
          <w:tblHeader/>
          <w:jc w:val="center"/>
        </w:trPr>
        <w:tc>
          <w:tcPr>
            <w:tcW w:w="1650" w:type="dxa"/>
          </w:tcPr>
          <w:p w:rsidR="00EC0F3B" w:rsidRPr="00025B9C" w:rsidRDefault="00EC0F3B" w:rsidP="00D665D9">
            <w:pPr>
              <w:ind w:right="-108"/>
              <w:rPr>
                <w:rFonts w:asciiTheme="minorHAnsi" w:hAnsiTheme="minorHAnsi" w:cstheme="minorHAnsi"/>
                <w:b/>
                <w:sz w:val="22"/>
                <w:szCs w:val="22"/>
              </w:rPr>
            </w:pPr>
            <w:r w:rsidRPr="00025B9C">
              <w:rPr>
                <w:rFonts w:asciiTheme="minorHAnsi" w:hAnsiTheme="minorHAnsi" w:cstheme="minorHAnsi"/>
                <w:b/>
                <w:sz w:val="22"/>
                <w:szCs w:val="22"/>
              </w:rPr>
              <w:t>Code provision 2003/2010 (where different)</w:t>
            </w:r>
          </w:p>
        </w:tc>
        <w:tc>
          <w:tcPr>
            <w:tcW w:w="2853" w:type="dxa"/>
          </w:tcPr>
          <w:p w:rsidR="00EC0F3B" w:rsidRPr="00025B9C" w:rsidRDefault="00EC0F3B" w:rsidP="00D665D9">
            <w:pPr>
              <w:rPr>
                <w:rFonts w:asciiTheme="minorHAnsi" w:hAnsiTheme="minorHAnsi" w:cstheme="minorHAnsi"/>
                <w:b/>
                <w:sz w:val="22"/>
                <w:szCs w:val="22"/>
              </w:rPr>
            </w:pPr>
          </w:p>
          <w:p w:rsidR="00EC0F3B" w:rsidRPr="00025B9C" w:rsidRDefault="00EC0F3B" w:rsidP="00D665D9">
            <w:pPr>
              <w:rPr>
                <w:rFonts w:asciiTheme="minorHAnsi" w:hAnsiTheme="minorHAnsi" w:cstheme="minorHAnsi"/>
                <w:b/>
                <w:sz w:val="22"/>
                <w:szCs w:val="22"/>
              </w:rPr>
            </w:pPr>
          </w:p>
          <w:p w:rsidR="00EC0F3B" w:rsidRPr="00025B9C" w:rsidRDefault="00EC0F3B" w:rsidP="00D665D9">
            <w:pPr>
              <w:rPr>
                <w:rFonts w:asciiTheme="minorHAnsi" w:hAnsiTheme="minorHAnsi" w:cstheme="minorHAnsi"/>
                <w:b/>
                <w:sz w:val="22"/>
                <w:szCs w:val="22"/>
              </w:rPr>
            </w:pPr>
            <w:r w:rsidRPr="00025B9C">
              <w:rPr>
                <w:rFonts w:asciiTheme="minorHAnsi" w:hAnsiTheme="minorHAnsi" w:cstheme="minorHAnsi"/>
                <w:b/>
                <w:sz w:val="22"/>
                <w:szCs w:val="22"/>
              </w:rPr>
              <w:t>Code Details</w:t>
            </w:r>
          </w:p>
        </w:tc>
        <w:tc>
          <w:tcPr>
            <w:tcW w:w="3001" w:type="dxa"/>
            <w:gridSpan w:val="4"/>
          </w:tcPr>
          <w:p w:rsidR="00EC0F3B" w:rsidRPr="00025B9C" w:rsidRDefault="00EC0F3B" w:rsidP="00D665D9">
            <w:pPr>
              <w:jc w:val="center"/>
              <w:rPr>
                <w:rFonts w:asciiTheme="minorHAnsi" w:hAnsiTheme="minorHAnsi" w:cstheme="minorHAnsi"/>
                <w:b/>
                <w:sz w:val="22"/>
                <w:szCs w:val="22"/>
              </w:rPr>
            </w:pPr>
          </w:p>
          <w:p w:rsidR="00EC0F3B" w:rsidRPr="00025B9C" w:rsidRDefault="00EC0F3B" w:rsidP="00D665D9">
            <w:pPr>
              <w:jc w:val="center"/>
              <w:rPr>
                <w:rFonts w:asciiTheme="minorHAnsi" w:hAnsiTheme="minorHAnsi" w:cstheme="minorHAnsi"/>
                <w:b/>
                <w:sz w:val="22"/>
                <w:szCs w:val="22"/>
              </w:rPr>
            </w:pPr>
          </w:p>
          <w:p w:rsidR="00EC0F3B" w:rsidRPr="00025B9C" w:rsidRDefault="00EC0F3B" w:rsidP="00D665D9">
            <w:pPr>
              <w:jc w:val="center"/>
              <w:rPr>
                <w:rFonts w:asciiTheme="minorHAnsi" w:hAnsiTheme="minorHAnsi" w:cstheme="minorHAnsi"/>
                <w:b/>
                <w:sz w:val="22"/>
                <w:szCs w:val="22"/>
              </w:rPr>
            </w:pPr>
            <w:r w:rsidRPr="00025B9C">
              <w:rPr>
                <w:rFonts w:asciiTheme="minorHAnsi" w:hAnsiTheme="minorHAnsi" w:cstheme="minorHAnsi"/>
                <w:b/>
                <w:sz w:val="22"/>
                <w:szCs w:val="22"/>
              </w:rPr>
              <w:t>Breaches 2004/05</w:t>
            </w:r>
          </w:p>
        </w:tc>
        <w:tc>
          <w:tcPr>
            <w:tcW w:w="2835" w:type="dxa"/>
            <w:gridSpan w:val="4"/>
          </w:tcPr>
          <w:p w:rsidR="00EC0F3B" w:rsidRPr="00025B9C" w:rsidRDefault="00EC0F3B" w:rsidP="00D665D9">
            <w:pPr>
              <w:jc w:val="center"/>
              <w:rPr>
                <w:rFonts w:asciiTheme="minorHAnsi" w:hAnsiTheme="minorHAnsi" w:cstheme="minorHAnsi"/>
                <w:b/>
                <w:sz w:val="22"/>
                <w:szCs w:val="22"/>
              </w:rPr>
            </w:pPr>
          </w:p>
          <w:p w:rsidR="00EC0F3B" w:rsidRPr="00025B9C" w:rsidRDefault="00EC0F3B" w:rsidP="00D665D9">
            <w:pPr>
              <w:jc w:val="center"/>
              <w:rPr>
                <w:rFonts w:asciiTheme="minorHAnsi" w:hAnsiTheme="minorHAnsi" w:cstheme="minorHAnsi"/>
                <w:b/>
                <w:sz w:val="22"/>
                <w:szCs w:val="22"/>
              </w:rPr>
            </w:pPr>
          </w:p>
          <w:p w:rsidR="00EC0F3B" w:rsidRPr="00025B9C" w:rsidRDefault="00EC0F3B" w:rsidP="00D665D9">
            <w:pPr>
              <w:jc w:val="center"/>
              <w:rPr>
                <w:rFonts w:asciiTheme="minorHAnsi" w:hAnsiTheme="minorHAnsi" w:cstheme="minorHAnsi"/>
                <w:b/>
                <w:sz w:val="22"/>
                <w:szCs w:val="22"/>
              </w:rPr>
            </w:pPr>
            <w:r w:rsidRPr="00025B9C">
              <w:rPr>
                <w:rFonts w:asciiTheme="minorHAnsi" w:hAnsiTheme="minorHAnsi" w:cstheme="minorHAnsi"/>
                <w:b/>
                <w:sz w:val="22"/>
                <w:szCs w:val="22"/>
              </w:rPr>
              <w:t>Breaches 2011/12</w:t>
            </w:r>
          </w:p>
        </w:tc>
      </w:tr>
      <w:tr w:rsidR="00025B9C" w:rsidRPr="00025B9C" w:rsidTr="008D6226">
        <w:trPr>
          <w:jc w:val="center"/>
        </w:trPr>
        <w:tc>
          <w:tcPr>
            <w:tcW w:w="1650" w:type="dxa"/>
            <w:hideMark/>
          </w:tcPr>
          <w:p w:rsidR="00EC0F3B" w:rsidRPr="00025B9C" w:rsidRDefault="00EC0F3B" w:rsidP="00D665D9">
            <w:pPr>
              <w:rPr>
                <w:rFonts w:asciiTheme="minorHAnsi" w:hAnsiTheme="minorHAnsi" w:cstheme="minorHAnsi"/>
                <w:sz w:val="22"/>
                <w:szCs w:val="22"/>
              </w:rPr>
            </w:pPr>
          </w:p>
        </w:tc>
        <w:tc>
          <w:tcPr>
            <w:tcW w:w="2853" w:type="dxa"/>
            <w:hideMark/>
          </w:tcPr>
          <w:p w:rsidR="00EC0F3B" w:rsidRPr="00025B9C" w:rsidRDefault="00EC0F3B" w:rsidP="00D665D9">
            <w:pPr>
              <w:rPr>
                <w:rFonts w:asciiTheme="minorHAnsi" w:hAnsiTheme="minorHAnsi" w:cstheme="minorHAnsi"/>
                <w:sz w:val="22"/>
                <w:szCs w:val="22"/>
              </w:rPr>
            </w:pPr>
          </w:p>
        </w:tc>
        <w:tc>
          <w:tcPr>
            <w:tcW w:w="567"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b/>
                <w:sz w:val="22"/>
                <w:szCs w:val="22"/>
              </w:rPr>
              <w:t xml:space="preserve">No. </w:t>
            </w:r>
          </w:p>
        </w:tc>
        <w:tc>
          <w:tcPr>
            <w:tcW w:w="708" w:type="dxa"/>
          </w:tcPr>
          <w:p w:rsidR="00EC0F3B" w:rsidRPr="00025B9C" w:rsidRDefault="00EC0F3B" w:rsidP="00D665D9">
            <w:pPr>
              <w:jc w:val="right"/>
              <w:rPr>
                <w:rFonts w:asciiTheme="minorHAnsi" w:hAnsiTheme="minorHAnsi" w:cstheme="minorHAnsi"/>
                <w:b/>
                <w:sz w:val="22"/>
                <w:szCs w:val="22"/>
              </w:rPr>
            </w:pPr>
            <w:r w:rsidRPr="00025B9C">
              <w:rPr>
                <w:rFonts w:asciiTheme="minorHAnsi" w:hAnsiTheme="minorHAnsi" w:cstheme="minorHAnsi"/>
                <w:b/>
                <w:sz w:val="22"/>
                <w:szCs w:val="22"/>
              </w:rPr>
              <w:t>%</w:t>
            </w:r>
          </w:p>
        </w:tc>
        <w:tc>
          <w:tcPr>
            <w:tcW w:w="284" w:type="dxa"/>
          </w:tcPr>
          <w:p w:rsidR="00EC0F3B" w:rsidRPr="00025B9C" w:rsidRDefault="00EC0F3B" w:rsidP="00D665D9">
            <w:pPr>
              <w:jc w:val="right"/>
              <w:rPr>
                <w:rFonts w:asciiTheme="minorHAnsi" w:hAnsiTheme="minorHAnsi" w:cstheme="minorHAnsi"/>
                <w:sz w:val="22"/>
                <w:szCs w:val="22"/>
              </w:rPr>
            </w:pPr>
          </w:p>
        </w:tc>
        <w:tc>
          <w:tcPr>
            <w:tcW w:w="1442"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b/>
                <w:sz w:val="22"/>
                <w:szCs w:val="22"/>
              </w:rPr>
              <w:t>Rank</w:t>
            </w:r>
          </w:p>
        </w:tc>
        <w:tc>
          <w:tcPr>
            <w:tcW w:w="524" w:type="dxa"/>
          </w:tcPr>
          <w:p w:rsidR="00EC0F3B" w:rsidRPr="00025B9C" w:rsidRDefault="00EC0F3B" w:rsidP="00D665D9">
            <w:pPr>
              <w:ind w:left="-151"/>
              <w:jc w:val="right"/>
              <w:rPr>
                <w:rFonts w:asciiTheme="minorHAnsi" w:hAnsiTheme="minorHAnsi" w:cstheme="minorHAnsi"/>
                <w:sz w:val="22"/>
                <w:szCs w:val="22"/>
              </w:rPr>
            </w:pPr>
            <w:r w:rsidRPr="00025B9C">
              <w:rPr>
                <w:rFonts w:asciiTheme="minorHAnsi" w:hAnsiTheme="minorHAnsi" w:cstheme="minorHAnsi"/>
                <w:b/>
                <w:sz w:val="22"/>
                <w:szCs w:val="22"/>
              </w:rPr>
              <w:t xml:space="preserve">No. </w:t>
            </w:r>
          </w:p>
        </w:tc>
        <w:tc>
          <w:tcPr>
            <w:tcW w:w="610" w:type="dxa"/>
          </w:tcPr>
          <w:p w:rsidR="00EC0F3B" w:rsidRPr="00025B9C" w:rsidRDefault="00EC0F3B" w:rsidP="00D665D9">
            <w:pPr>
              <w:jc w:val="right"/>
              <w:rPr>
                <w:rFonts w:asciiTheme="minorHAnsi" w:hAnsiTheme="minorHAnsi" w:cstheme="minorHAnsi"/>
                <w:b/>
                <w:sz w:val="22"/>
                <w:szCs w:val="22"/>
              </w:rPr>
            </w:pPr>
            <w:r w:rsidRPr="00025B9C">
              <w:rPr>
                <w:rFonts w:asciiTheme="minorHAnsi" w:hAnsiTheme="minorHAnsi" w:cstheme="minorHAnsi"/>
                <w:b/>
                <w:sz w:val="22"/>
                <w:szCs w:val="22"/>
              </w:rPr>
              <w:t>%</w:t>
            </w:r>
          </w:p>
        </w:tc>
        <w:tc>
          <w:tcPr>
            <w:tcW w:w="284" w:type="dxa"/>
          </w:tcPr>
          <w:p w:rsidR="00EC0F3B" w:rsidRPr="00025B9C" w:rsidRDefault="00EC0F3B" w:rsidP="00D665D9">
            <w:pPr>
              <w:jc w:val="right"/>
              <w:rPr>
                <w:rFonts w:asciiTheme="minorHAnsi" w:hAnsiTheme="minorHAnsi" w:cstheme="minorHAnsi"/>
                <w:sz w:val="22"/>
                <w:szCs w:val="22"/>
              </w:rPr>
            </w:pPr>
          </w:p>
        </w:tc>
        <w:tc>
          <w:tcPr>
            <w:tcW w:w="1417"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b/>
                <w:sz w:val="22"/>
                <w:szCs w:val="22"/>
              </w:rPr>
              <w:t>Rank</w:t>
            </w:r>
          </w:p>
        </w:tc>
      </w:tr>
      <w:tr w:rsidR="00025B9C" w:rsidRPr="00025B9C" w:rsidTr="008D6226">
        <w:trPr>
          <w:jc w:val="center"/>
        </w:trPr>
        <w:tc>
          <w:tcPr>
            <w:tcW w:w="1650" w:type="dxa"/>
            <w:hideMark/>
          </w:tcPr>
          <w:p w:rsidR="00EC0F3B" w:rsidRPr="00025B9C" w:rsidRDefault="00EC0F3B" w:rsidP="00D665D9">
            <w:pPr>
              <w:rPr>
                <w:rFonts w:asciiTheme="minorHAnsi" w:hAnsiTheme="minorHAnsi" w:cstheme="minorHAnsi"/>
                <w:sz w:val="22"/>
                <w:szCs w:val="22"/>
              </w:rPr>
            </w:pPr>
            <w:r w:rsidRPr="00025B9C">
              <w:rPr>
                <w:rFonts w:asciiTheme="minorHAnsi" w:hAnsiTheme="minorHAnsi" w:cstheme="minorHAnsi"/>
                <w:sz w:val="22"/>
                <w:szCs w:val="22"/>
              </w:rPr>
              <w:t>A.3.2/B.1.2</w:t>
            </w:r>
          </w:p>
        </w:tc>
        <w:tc>
          <w:tcPr>
            <w:tcW w:w="2853" w:type="dxa"/>
            <w:hideMark/>
          </w:tcPr>
          <w:p w:rsidR="00EC0F3B" w:rsidRPr="00025B9C" w:rsidRDefault="0077460E" w:rsidP="00D665D9">
            <w:pPr>
              <w:rPr>
                <w:rFonts w:asciiTheme="minorHAnsi" w:hAnsiTheme="minorHAnsi" w:cstheme="minorHAnsi"/>
                <w:sz w:val="22"/>
                <w:szCs w:val="22"/>
              </w:rPr>
            </w:pPr>
            <w:r w:rsidRPr="00025B9C">
              <w:rPr>
                <w:rFonts w:asciiTheme="minorHAnsi" w:hAnsiTheme="minorHAnsi" w:cstheme="minorHAnsi"/>
                <w:sz w:val="22"/>
                <w:szCs w:val="22"/>
              </w:rPr>
              <w:t xml:space="preserve">At least 50% </w:t>
            </w:r>
            <w:r w:rsidR="00EC0F3B" w:rsidRPr="00025B9C">
              <w:rPr>
                <w:rFonts w:asciiTheme="minorHAnsi" w:hAnsiTheme="minorHAnsi" w:cstheme="minorHAnsi"/>
                <w:sz w:val="22"/>
                <w:szCs w:val="22"/>
              </w:rPr>
              <w:t>of the board to comprise independent non-executive directors</w:t>
            </w:r>
          </w:p>
        </w:tc>
        <w:tc>
          <w:tcPr>
            <w:tcW w:w="567" w:type="dxa"/>
          </w:tcPr>
          <w:p w:rsidR="00EC0F3B" w:rsidRPr="00025B9C" w:rsidRDefault="00EC0F3B" w:rsidP="00D665D9">
            <w:pPr>
              <w:ind w:left="-108"/>
              <w:jc w:val="right"/>
              <w:rPr>
                <w:rFonts w:asciiTheme="minorHAnsi" w:hAnsiTheme="minorHAnsi" w:cstheme="minorHAnsi"/>
                <w:sz w:val="22"/>
                <w:szCs w:val="22"/>
              </w:rPr>
            </w:pPr>
            <w:r w:rsidRPr="00025B9C">
              <w:rPr>
                <w:rFonts w:asciiTheme="minorHAnsi" w:hAnsiTheme="minorHAnsi" w:cstheme="minorHAnsi"/>
                <w:sz w:val="22"/>
                <w:szCs w:val="22"/>
              </w:rPr>
              <w:t>23</w:t>
            </w:r>
          </w:p>
        </w:tc>
        <w:tc>
          <w:tcPr>
            <w:tcW w:w="708" w:type="dxa"/>
          </w:tcPr>
          <w:p w:rsidR="00EC0F3B" w:rsidRPr="00025B9C" w:rsidRDefault="00EC0F3B" w:rsidP="00D665D9">
            <w:pPr>
              <w:jc w:val="right"/>
              <w:rPr>
                <w:rFonts w:asciiTheme="minorHAnsi" w:hAnsiTheme="minorHAnsi" w:cstheme="minorHAnsi"/>
                <w:sz w:val="22"/>
                <w:szCs w:val="22"/>
              </w:rPr>
            </w:pPr>
            <w:r w:rsidRPr="00025B9C">
              <w:rPr>
                <w:rFonts w:asciiTheme="minorHAnsi" w:hAnsiTheme="minorHAnsi" w:cstheme="minorHAnsi"/>
                <w:sz w:val="22"/>
                <w:szCs w:val="22"/>
              </w:rPr>
              <w:t>14%</w:t>
            </w:r>
          </w:p>
        </w:tc>
        <w:tc>
          <w:tcPr>
            <w:tcW w:w="284" w:type="dxa"/>
          </w:tcPr>
          <w:p w:rsidR="00EC0F3B" w:rsidRPr="00025B9C" w:rsidRDefault="00EC0F3B" w:rsidP="00D665D9">
            <w:pPr>
              <w:jc w:val="right"/>
              <w:rPr>
                <w:rFonts w:asciiTheme="minorHAnsi" w:hAnsiTheme="minorHAnsi" w:cstheme="minorHAnsi"/>
                <w:sz w:val="22"/>
                <w:szCs w:val="22"/>
              </w:rPr>
            </w:pPr>
          </w:p>
        </w:tc>
        <w:tc>
          <w:tcPr>
            <w:tcW w:w="1442"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sz w:val="22"/>
                <w:szCs w:val="22"/>
              </w:rPr>
              <w:t>2</w:t>
            </w:r>
          </w:p>
        </w:tc>
        <w:tc>
          <w:tcPr>
            <w:tcW w:w="524" w:type="dxa"/>
          </w:tcPr>
          <w:p w:rsidR="00EC0F3B" w:rsidRPr="00025B9C" w:rsidRDefault="00EC0F3B" w:rsidP="00D665D9">
            <w:pPr>
              <w:ind w:left="-108"/>
              <w:jc w:val="right"/>
              <w:rPr>
                <w:rFonts w:asciiTheme="minorHAnsi" w:hAnsiTheme="minorHAnsi" w:cstheme="minorHAnsi"/>
                <w:sz w:val="22"/>
                <w:szCs w:val="22"/>
              </w:rPr>
            </w:pPr>
            <w:r w:rsidRPr="00025B9C">
              <w:rPr>
                <w:rFonts w:asciiTheme="minorHAnsi" w:hAnsiTheme="minorHAnsi" w:cstheme="minorHAnsi"/>
                <w:sz w:val="22"/>
                <w:szCs w:val="22"/>
              </w:rPr>
              <w:t>14</w:t>
            </w:r>
          </w:p>
        </w:tc>
        <w:tc>
          <w:tcPr>
            <w:tcW w:w="610" w:type="dxa"/>
          </w:tcPr>
          <w:p w:rsidR="00EC0F3B" w:rsidRPr="00025B9C" w:rsidRDefault="00EC0F3B" w:rsidP="00D665D9">
            <w:pPr>
              <w:jc w:val="right"/>
              <w:rPr>
                <w:rFonts w:asciiTheme="minorHAnsi" w:hAnsiTheme="minorHAnsi" w:cstheme="minorHAnsi"/>
                <w:sz w:val="22"/>
                <w:szCs w:val="22"/>
              </w:rPr>
            </w:pPr>
            <w:r w:rsidRPr="00025B9C">
              <w:rPr>
                <w:rFonts w:asciiTheme="minorHAnsi" w:hAnsiTheme="minorHAnsi" w:cstheme="minorHAnsi"/>
                <w:sz w:val="22"/>
                <w:szCs w:val="22"/>
              </w:rPr>
              <w:t>18%</w:t>
            </w:r>
          </w:p>
        </w:tc>
        <w:tc>
          <w:tcPr>
            <w:tcW w:w="284" w:type="dxa"/>
          </w:tcPr>
          <w:p w:rsidR="00EC0F3B" w:rsidRPr="00025B9C" w:rsidRDefault="00EC0F3B" w:rsidP="00D665D9">
            <w:pPr>
              <w:jc w:val="right"/>
              <w:rPr>
                <w:rFonts w:asciiTheme="minorHAnsi" w:hAnsiTheme="minorHAnsi" w:cstheme="minorHAnsi"/>
                <w:sz w:val="22"/>
                <w:szCs w:val="22"/>
              </w:rPr>
            </w:pPr>
          </w:p>
        </w:tc>
        <w:tc>
          <w:tcPr>
            <w:tcW w:w="1417"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sz w:val="22"/>
                <w:szCs w:val="22"/>
              </w:rPr>
              <w:t>1</w:t>
            </w:r>
          </w:p>
        </w:tc>
      </w:tr>
      <w:tr w:rsidR="00025B9C" w:rsidRPr="00025B9C" w:rsidTr="008D6226">
        <w:trPr>
          <w:jc w:val="center"/>
        </w:trPr>
        <w:tc>
          <w:tcPr>
            <w:tcW w:w="1650" w:type="dxa"/>
          </w:tcPr>
          <w:p w:rsidR="00EC0F3B" w:rsidRPr="00025B9C" w:rsidRDefault="00EC0F3B" w:rsidP="00D665D9">
            <w:pPr>
              <w:rPr>
                <w:rFonts w:asciiTheme="minorHAnsi" w:hAnsiTheme="minorHAnsi" w:cstheme="minorHAnsi"/>
                <w:sz w:val="22"/>
                <w:szCs w:val="22"/>
              </w:rPr>
            </w:pPr>
            <w:r w:rsidRPr="00025B9C">
              <w:rPr>
                <w:rFonts w:asciiTheme="minorHAnsi" w:hAnsiTheme="minorHAnsi" w:cstheme="minorHAnsi"/>
                <w:sz w:val="22"/>
                <w:szCs w:val="22"/>
              </w:rPr>
              <w:t>B.2.1/D.2.1</w:t>
            </w:r>
          </w:p>
        </w:tc>
        <w:tc>
          <w:tcPr>
            <w:tcW w:w="2853" w:type="dxa"/>
          </w:tcPr>
          <w:p w:rsidR="00EC0F3B" w:rsidRPr="00025B9C" w:rsidRDefault="00EC0F3B" w:rsidP="00D665D9">
            <w:pPr>
              <w:rPr>
                <w:rFonts w:asciiTheme="minorHAnsi" w:hAnsiTheme="minorHAnsi" w:cstheme="minorHAnsi"/>
                <w:sz w:val="22"/>
                <w:szCs w:val="22"/>
              </w:rPr>
            </w:pPr>
            <w:r w:rsidRPr="00025B9C">
              <w:rPr>
                <w:rFonts w:asciiTheme="minorHAnsi" w:hAnsiTheme="minorHAnsi" w:cstheme="minorHAnsi"/>
                <w:sz w:val="22"/>
                <w:szCs w:val="22"/>
              </w:rPr>
              <w:t>Remuneration committee constitution</w:t>
            </w:r>
          </w:p>
        </w:tc>
        <w:tc>
          <w:tcPr>
            <w:tcW w:w="567" w:type="dxa"/>
          </w:tcPr>
          <w:p w:rsidR="00EC0F3B" w:rsidRPr="00025B9C" w:rsidRDefault="00EC0F3B" w:rsidP="00D665D9">
            <w:pPr>
              <w:ind w:left="-108"/>
              <w:jc w:val="right"/>
              <w:rPr>
                <w:rFonts w:asciiTheme="minorHAnsi" w:hAnsiTheme="minorHAnsi" w:cstheme="minorHAnsi"/>
                <w:sz w:val="22"/>
                <w:szCs w:val="22"/>
              </w:rPr>
            </w:pPr>
            <w:r w:rsidRPr="00025B9C">
              <w:rPr>
                <w:rFonts w:asciiTheme="minorHAnsi" w:hAnsiTheme="minorHAnsi" w:cstheme="minorHAnsi"/>
                <w:sz w:val="22"/>
                <w:szCs w:val="22"/>
              </w:rPr>
              <w:t>22</w:t>
            </w:r>
          </w:p>
        </w:tc>
        <w:tc>
          <w:tcPr>
            <w:tcW w:w="708" w:type="dxa"/>
          </w:tcPr>
          <w:p w:rsidR="00EC0F3B" w:rsidRPr="00025B9C" w:rsidRDefault="00EC0F3B" w:rsidP="00D665D9">
            <w:pPr>
              <w:jc w:val="right"/>
              <w:rPr>
                <w:rFonts w:asciiTheme="minorHAnsi" w:hAnsiTheme="minorHAnsi" w:cstheme="minorHAnsi"/>
                <w:sz w:val="22"/>
                <w:szCs w:val="22"/>
              </w:rPr>
            </w:pPr>
            <w:r w:rsidRPr="00025B9C">
              <w:rPr>
                <w:rFonts w:asciiTheme="minorHAnsi" w:hAnsiTheme="minorHAnsi" w:cstheme="minorHAnsi"/>
                <w:sz w:val="22"/>
                <w:szCs w:val="22"/>
              </w:rPr>
              <w:t>13%</w:t>
            </w:r>
          </w:p>
        </w:tc>
        <w:tc>
          <w:tcPr>
            <w:tcW w:w="284" w:type="dxa"/>
          </w:tcPr>
          <w:p w:rsidR="00EC0F3B" w:rsidRPr="00025B9C" w:rsidRDefault="00EC0F3B" w:rsidP="00D665D9">
            <w:pPr>
              <w:jc w:val="right"/>
              <w:rPr>
                <w:rFonts w:asciiTheme="minorHAnsi" w:hAnsiTheme="minorHAnsi" w:cstheme="minorHAnsi"/>
                <w:sz w:val="22"/>
                <w:szCs w:val="22"/>
              </w:rPr>
            </w:pPr>
          </w:p>
        </w:tc>
        <w:tc>
          <w:tcPr>
            <w:tcW w:w="1442"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sz w:val="22"/>
                <w:szCs w:val="22"/>
              </w:rPr>
              <w:t>3</w:t>
            </w:r>
          </w:p>
        </w:tc>
        <w:tc>
          <w:tcPr>
            <w:tcW w:w="524" w:type="dxa"/>
          </w:tcPr>
          <w:p w:rsidR="00EC0F3B" w:rsidRPr="00025B9C" w:rsidRDefault="00EC0F3B" w:rsidP="00D665D9">
            <w:pPr>
              <w:ind w:left="-108"/>
              <w:jc w:val="right"/>
              <w:rPr>
                <w:rFonts w:asciiTheme="minorHAnsi" w:hAnsiTheme="minorHAnsi" w:cstheme="minorHAnsi"/>
                <w:sz w:val="22"/>
                <w:szCs w:val="22"/>
              </w:rPr>
            </w:pPr>
            <w:r w:rsidRPr="00025B9C">
              <w:rPr>
                <w:rFonts w:asciiTheme="minorHAnsi" w:hAnsiTheme="minorHAnsi" w:cstheme="minorHAnsi"/>
                <w:sz w:val="22"/>
                <w:szCs w:val="22"/>
              </w:rPr>
              <w:t>12</w:t>
            </w:r>
          </w:p>
        </w:tc>
        <w:tc>
          <w:tcPr>
            <w:tcW w:w="610" w:type="dxa"/>
          </w:tcPr>
          <w:p w:rsidR="00EC0F3B" w:rsidRPr="00025B9C" w:rsidRDefault="00EC0F3B" w:rsidP="00D665D9">
            <w:pPr>
              <w:jc w:val="right"/>
              <w:rPr>
                <w:rFonts w:asciiTheme="minorHAnsi" w:hAnsiTheme="minorHAnsi" w:cstheme="minorHAnsi"/>
                <w:sz w:val="22"/>
                <w:szCs w:val="22"/>
              </w:rPr>
            </w:pPr>
            <w:r w:rsidRPr="00025B9C">
              <w:rPr>
                <w:rFonts w:asciiTheme="minorHAnsi" w:hAnsiTheme="minorHAnsi" w:cstheme="minorHAnsi"/>
                <w:sz w:val="22"/>
                <w:szCs w:val="22"/>
              </w:rPr>
              <w:t>16%</w:t>
            </w:r>
          </w:p>
        </w:tc>
        <w:tc>
          <w:tcPr>
            <w:tcW w:w="284" w:type="dxa"/>
          </w:tcPr>
          <w:p w:rsidR="00EC0F3B" w:rsidRPr="00025B9C" w:rsidRDefault="00EC0F3B" w:rsidP="00D665D9">
            <w:pPr>
              <w:jc w:val="right"/>
              <w:rPr>
                <w:rFonts w:asciiTheme="minorHAnsi" w:hAnsiTheme="minorHAnsi" w:cstheme="minorHAnsi"/>
                <w:sz w:val="22"/>
                <w:szCs w:val="22"/>
              </w:rPr>
            </w:pPr>
          </w:p>
        </w:tc>
        <w:tc>
          <w:tcPr>
            <w:tcW w:w="1417"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sz w:val="22"/>
                <w:szCs w:val="22"/>
              </w:rPr>
              <w:t>2</w:t>
            </w:r>
          </w:p>
        </w:tc>
      </w:tr>
      <w:tr w:rsidR="00025B9C" w:rsidRPr="00025B9C" w:rsidTr="008D6226">
        <w:trPr>
          <w:jc w:val="center"/>
        </w:trPr>
        <w:tc>
          <w:tcPr>
            <w:tcW w:w="1650" w:type="dxa"/>
            <w:hideMark/>
          </w:tcPr>
          <w:p w:rsidR="00EC0F3B" w:rsidRPr="00025B9C" w:rsidRDefault="00EC0F3B" w:rsidP="00D665D9">
            <w:pPr>
              <w:rPr>
                <w:rFonts w:asciiTheme="minorHAnsi" w:hAnsiTheme="minorHAnsi" w:cstheme="minorHAnsi"/>
                <w:sz w:val="22"/>
                <w:szCs w:val="22"/>
              </w:rPr>
            </w:pPr>
            <w:r w:rsidRPr="00025B9C">
              <w:rPr>
                <w:rFonts w:asciiTheme="minorHAnsi" w:hAnsiTheme="minorHAnsi" w:cstheme="minorHAnsi"/>
                <w:sz w:val="22"/>
                <w:szCs w:val="22"/>
              </w:rPr>
              <w:t>C.3.1</w:t>
            </w:r>
          </w:p>
        </w:tc>
        <w:tc>
          <w:tcPr>
            <w:tcW w:w="2853" w:type="dxa"/>
            <w:hideMark/>
          </w:tcPr>
          <w:p w:rsidR="00EC0F3B" w:rsidRPr="00025B9C" w:rsidRDefault="00EC0F3B" w:rsidP="00D665D9">
            <w:pPr>
              <w:rPr>
                <w:rFonts w:asciiTheme="minorHAnsi" w:hAnsiTheme="minorHAnsi" w:cstheme="minorHAnsi"/>
                <w:sz w:val="22"/>
                <w:szCs w:val="22"/>
              </w:rPr>
            </w:pPr>
            <w:r w:rsidRPr="00025B9C">
              <w:rPr>
                <w:rFonts w:asciiTheme="minorHAnsi" w:hAnsiTheme="minorHAnsi" w:cstheme="minorHAnsi"/>
                <w:sz w:val="22"/>
                <w:szCs w:val="22"/>
              </w:rPr>
              <w:t>Audit committee constitution</w:t>
            </w:r>
          </w:p>
        </w:tc>
        <w:tc>
          <w:tcPr>
            <w:tcW w:w="567" w:type="dxa"/>
          </w:tcPr>
          <w:p w:rsidR="00EC0F3B" w:rsidRPr="00025B9C" w:rsidRDefault="00EC0F3B" w:rsidP="00D665D9">
            <w:pPr>
              <w:ind w:left="-108"/>
              <w:jc w:val="right"/>
              <w:rPr>
                <w:rFonts w:asciiTheme="minorHAnsi" w:hAnsiTheme="minorHAnsi" w:cstheme="minorHAnsi"/>
                <w:sz w:val="22"/>
                <w:szCs w:val="22"/>
              </w:rPr>
            </w:pPr>
            <w:r w:rsidRPr="00025B9C">
              <w:rPr>
                <w:rFonts w:asciiTheme="minorHAnsi" w:hAnsiTheme="minorHAnsi" w:cstheme="minorHAnsi"/>
                <w:sz w:val="22"/>
                <w:szCs w:val="22"/>
              </w:rPr>
              <w:t>30</w:t>
            </w:r>
          </w:p>
        </w:tc>
        <w:tc>
          <w:tcPr>
            <w:tcW w:w="708" w:type="dxa"/>
          </w:tcPr>
          <w:p w:rsidR="00EC0F3B" w:rsidRPr="00025B9C" w:rsidRDefault="00EC0F3B" w:rsidP="00D665D9">
            <w:pPr>
              <w:jc w:val="right"/>
              <w:rPr>
                <w:rFonts w:asciiTheme="minorHAnsi" w:hAnsiTheme="minorHAnsi" w:cstheme="minorHAnsi"/>
                <w:sz w:val="22"/>
                <w:szCs w:val="22"/>
              </w:rPr>
            </w:pPr>
            <w:r w:rsidRPr="00025B9C">
              <w:rPr>
                <w:rFonts w:asciiTheme="minorHAnsi" w:hAnsiTheme="minorHAnsi" w:cstheme="minorHAnsi"/>
                <w:sz w:val="22"/>
                <w:szCs w:val="22"/>
              </w:rPr>
              <w:t>18%</w:t>
            </w:r>
          </w:p>
        </w:tc>
        <w:tc>
          <w:tcPr>
            <w:tcW w:w="284" w:type="dxa"/>
          </w:tcPr>
          <w:p w:rsidR="00EC0F3B" w:rsidRPr="00025B9C" w:rsidRDefault="00EC0F3B" w:rsidP="00D665D9">
            <w:pPr>
              <w:jc w:val="right"/>
              <w:rPr>
                <w:rFonts w:asciiTheme="minorHAnsi" w:hAnsiTheme="minorHAnsi" w:cstheme="minorHAnsi"/>
                <w:sz w:val="22"/>
                <w:szCs w:val="22"/>
              </w:rPr>
            </w:pPr>
          </w:p>
        </w:tc>
        <w:tc>
          <w:tcPr>
            <w:tcW w:w="1442"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sz w:val="22"/>
                <w:szCs w:val="22"/>
              </w:rPr>
              <w:t>1</w:t>
            </w:r>
          </w:p>
        </w:tc>
        <w:tc>
          <w:tcPr>
            <w:tcW w:w="524" w:type="dxa"/>
          </w:tcPr>
          <w:p w:rsidR="00EC0F3B" w:rsidRPr="00025B9C" w:rsidRDefault="00EC0F3B" w:rsidP="00D665D9">
            <w:pPr>
              <w:ind w:left="-108"/>
              <w:jc w:val="right"/>
              <w:rPr>
                <w:rFonts w:asciiTheme="minorHAnsi" w:hAnsiTheme="minorHAnsi" w:cstheme="minorHAnsi"/>
                <w:sz w:val="22"/>
                <w:szCs w:val="22"/>
              </w:rPr>
            </w:pPr>
            <w:r w:rsidRPr="00025B9C">
              <w:rPr>
                <w:rFonts w:asciiTheme="minorHAnsi" w:hAnsiTheme="minorHAnsi" w:cstheme="minorHAnsi"/>
                <w:sz w:val="22"/>
                <w:szCs w:val="22"/>
              </w:rPr>
              <w:t>10</w:t>
            </w:r>
          </w:p>
        </w:tc>
        <w:tc>
          <w:tcPr>
            <w:tcW w:w="610" w:type="dxa"/>
          </w:tcPr>
          <w:p w:rsidR="00EC0F3B" w:rsidRPr="00025B9C" w:rsidRDefault="00EC0F3B" w:rsidP="00D665D9">
            <w:pPr>
              <w:jc w:val="right"/>
              <w:rPr>
                <w:rFonts w:asciiTheme="minorHAnsi" w:hAnsiTheme="minorHAnsi" w:cstheme="minorHAnsi"/>
                <w:sz w:val="22"/>
                <w:szCs w:val="22"/>
              </w:rPr>
            </w:pPr>
            <w:r w:rsidRPr="00025B9C">
              <w:rPr>
                <w:rFonts w:asciiTheme="minorHAnsi" w:hAnsiTheme="minorHAnsi" w:cstheme="minorHAnsi"/>
                <w:sz w:val="22"/>
                <w:szCs w:val="22"/>
              </w:rPr>
              <w:t>13%</w:t>
            </w:r>
          </w:p>
        </w:tc>
        <w:tc>
          <w:tcPr>
            <w:tcW w:w="284" w:type="dxa"/>
          </w:tcPr>
          <w:p w:rsidR="00EC0F3B" w:rsidRPr="00025B9C" w:rsidRDefault="00EC0F3B" w:rsidP="00D665D9">
            <w:pPr>
              <w:jc w:val="right"/>
              <w:rPr>
                <w:rFonts w:asciiTheme="minorHAnsi" w:hAnsiTheme="minorHAnsi" w:cstheme="minorHAnsi"/>
                <w:sz w:val="22"/>
                <w:szCs w:val="22"/>
              </w:rPr>
            </w:pPr>
          </w:p>
        </w:tc>
        <w:tc>
          <w:tcPr>
            <w:tcW w:w="1417" w:type="dxa"/>
          </w:tcPr>
          <w:p w:rsidR="00EC0F3B" w:rsidRPr="00025B9C" w:rsidRDefault="00EC0F3B" w:rsidP="00D665D9">
            <w:pPr>
              <w:jc w:val="center"/>
              <w:rPr>
                <w:rFonts w:asciiTheme="minorHAnsi" w:hAnsiTheme="minorHAnsi" w:cstheme="minorHAnsi"/>
                <w:sz w:val="22"/>
                <w:szCs w:val="22"/>
              </w:rPr>
            </w:pPr>
            <w:r w:rsidRPr="00025B9C">
              <w:rPr>
                <w:rFonts w:asciiTheme="minorHAnsi" w:hAnsiTheme="minorHAnsi" w:cstheme="minorHAnsi"/>
                <w:sz w:val="22"/>
                <w:szCs w:val="22"/>
              </w:rPr>
              <w:t>3</w:t>
            </w:r>
          </w:p>
        </w:tc>
      </w:tr>
      <w:tr w:rsidR="00025B9C" w:rsidRPr="00025B9C" w:rsidTr="008D6226">
        <w:trPr>
          <w:jc w:val="center"/>
        </w:trPr>
        <w:tc>
          <w:tcPr>
            <w:tcW w:w="1650"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A.3.3/A.4.1</w:t>
            </w:r>
          </w:p>
        </w:tc>
        <w:tc>
          <w:tcPr>
            <w:tcW w:w="2853"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Guidance re senior independent director</w:t>
            </w:r>
          </w:p>
        </w:tc>
        <w:tc>
          <w:tcPr>
            <w:tcW w:w="567"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 xml:space="preserve">6 </w:t>
            </w:r>
          </w:p>
        </w:tc>
        <w:tc>
          <w:tcPr>
            <w:tcW w:w="708"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284" w:type="dxa"/>
          </w:tcPr>
          <w:p w:rsidR="009B6FD6" w:rsidRPr="00025B9C" w:rsidRDefault="009B6FD6" w:rsidP="009B6FD6">
            <w:pPr>
              <w:jc w:val="right"/>
              <w:rPr>
                <w:rFonts w:asciiTheme="minorHAnsi" w:hAnsiTheme="minorHAnsi" w:cstheme="minorHAnsi"/>
                <w:sz w:val="22"/>
                <w:szCs w:val="22"/>
              </w:rPr>
            </w:pPr>
          </w:p>
        </w:tc>
        <w:tc>
          <w:tcPr>
            <w:tcW w:w="1442" w:type="dxa"/>
          </w:tcPr>
          <w:p w:rsidR="009B6FD6" w:rsidRPr="00025B9C" w:rsidRDefault="009B6FD6" w:rsidP="009B6FD6">
            <w:pPr>
              <w:jc w:val="center"/>
              <w:rPr>
                <w:rFonts w:asciiTheme="minorHAnsi" w:hAnsiTheme="minorHAnsi" w:cstheme="minorHAnsi"/>
                <w:sz w:val="22"/>
                <w:szCs w:val="22"/>
              </w:rPr>
            </w:pPr>
            <w:r w:rsidRPr="00025B9C">
              <w:rPr>
                <w:rFonts w:asciiTheme="minorHAnsi" w:hAnsiTheme="minorHAnsi" w:cstheme="minorHAnsi"/>
                <w:sz w:val="22"/>
                <w:szCs w:val="22"/>
              </w:rPr>
              <w:t>Outside top 5</w:t>
            </w:r>
          </w:p>
        </w:tc>
        <w:tc>
          <w:tcPr>
            <w:tcW w:w="524"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610"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7%</w:t>
            </w:r>
          </w:p>
        </w:tc>
        <w:tc>
          <w:tcPr>
            <w:tcW w:w="284" w:type="dxa"/>
          </w:tcPr>
          <w:p w:rsidR="009B6FD6" w:rsidRPr="00025B9C" w:rsidRDefault="009B6FD6" w:rsidP="009B6FD6">
            <w:pPr>
              <w:jc w:val="right"/>
              <w:rPr>
                <w:rFonts w:asciiTheme="minorHAnsi" w:hAnsiTheme="minorHAnsi" w:cstheme="minorHAnsi"/>
                <w:sz w:val="22"/>
                <w:szCs w:val="22"/>
              </w:rPr>
            </w:pPr>
          </w:p>
        </w:tc>
        <w:tc>
          <w:tcPr>
            <w:tcW w:w="1417" w:type="dxa"/>
          </w:tcPr>
          <w:p w:rsidR="009B6FD6" w:rsidRPr="00025B9C" w:rsidRDefault="009B6FD6" w:rsidP="009B6FD6">
            <w:pPr>
              <w:jc w:val="center"/>
              <w:rPr>
                <w:rFonts w:asciiTheme="minorHAnsi" w:hAnsiTheme="minorHAnsi" w:cstheme="minorHAnsi"/>
                <w:sz w:val="22"/>
                <w:szCs w:val="22"/>
              </w:rPr>
            </w:pPr>
            <w:r w:rsidRPr="00025B9C">
              <w:rPr>
                <w:rFonts w:asciiTheme="minorHAnsi" w:hAnsiTheme="minorHAnsi" w:cstheme="minorHAnsi"/>
                <w:sz w:val="22"/>
                <w:szCs w:val="22"/>
              </w:rPr>
              <w:t>4=</w:t>
            </w:r>
          </w:p>
        </w:tc>
      </w:tr>
      <w:tr w:rsidR="00025B9C" w:rsidRPr="00025B9C" w:rsidTr="008D6226">
        <w:trPr>
          <w:jc w:val="center"/>
        </w:trPr>
        <w:tc>
          <w:tcPr>
            <w:tcW w:w="1650"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A.2.2/A.3.1</w:t>
            </w:r>
          </w:p>
        </w:tc>
        <w:tc>
          <w:tcPr>
            <w:tcW w:w="2853"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Appointment criteria for chair</w:t>
            </w:r>
          </w:p>
        </w:tc>
        <w:tc>
          <w:tcPr>
            <w:tcW w:w="567"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708"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284" w:type="dxa"/>
          </w:tcPr>
          <w:p w:rsidR="009B6FD6" w:rsidRPr="00025B9C" w:rsidRDefault="009B6FD6" w:rsidP="009B6FD6">
            <w:pPr>
              <w:jc w:val="right"/>
              <w:rPr>
                <w:rFonts w:asciiTheme="minorHAnsi" w:hAnsiTheme="minorHAnsi" w:cstheme="minorHAnsi"/>
                <w:sz w:val="22"/>
                <w:szCs w:val="22"/>
              </w:rPr>
            </w:pPr>
          </w:p>
        </w:tc>
        <w:tc>
          <w:tcPr>
            <w:tcW w:w="1442" w:type="dxa"/>
          </w:tcPr>
          <w:p w:rsidR="009B6FD6" w:rsidRPr="00025B9C" w:rsidRDefault="009B6FD6" w:rsidP="009B6FD6">
            <w:pPr>
              <w:jc w:val="center"/>
              <w:rPr>
                <w:rFonts w:asciiTheme="minorHAnsi" w:hAnsiTheme="minorHAnsi" w:cstheme="minorHAnsi"/>
                <w:sz w:val="22"/>
                <w:szCs w:val="22"/>
              </w:rPr>
            </w:pPr>
            <w:r w:rsidRPr="00025B9C">
              <w:rPr>
                <w:rFonts w:asciiTheme="minorHAnsi" w:hAnsiTheme="minorHAnsi" w:cstheme="minorHAnsi"/>
                <w:sz w:val="22"/>
                <w:szCs w:val="22"/>
              </w:rPr>
              <w:t>Outside top 5</w:t>
            </w:r>
          </w:p>
        </w:tc>
        <w:tc>
          <w:tcPr>
            <w:tcW w:w="524"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610"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7%</w:t>
            </w:r>
          </w:p>
        </w:tc>
        <w:tc>
          <w:tcPr>
            <w:tcW w:w="284" w:type="dxa"/>
          </w:tcPr>
          <w:p w:rsidR="009B6FD6" w:rsidRPr="00025B9C" w:rsidRDefault="009B6FD6" w:rsidP="009B6FD6">
            <w:pPr>
              <w:jc w:val="right"/>
              <w:rPr>
                <w:rFonts w:asciiTheme="minorHAnsi" w:hAnsiTheme="minorHAnsi" w:cstheme="minorHAnsi"/>
                <w:sz w:val="22"/>
                <w:szCs w:val="22"/>
              </w:rPr>
            </w:pPr>
          </w:p>
        </w:tc>
        <w:tc>
          <w:tcPr>
            <w:tcW w:w="1417" w:type="dxa"/>
          </w:tcPr>
          <w:p w:rsidR="009B6FD6" w:rsidRPr="00025B9C" w:rsidRDefault="009B6FD6" w:rsidP="009B6FD6">
            <w:pPr>
              <w:jc w:val="center"/>
              <w:rPr>
                <w:rFonts w:asciiTheme="minorHAnsi" w:hAnsiTheme="minorHAnsi" w:cstheme="minorHAnsi"/>
                <w:sz w:val="22"/>
                <w:szCs w:val="22"/>
              </w:rPr>
            </w:pPr>
            <w:r w:rsidRPr="00025B9C">
              <w:rPr>
                <w:rFonts w:asciiTheme="minorHAnsi" w:hAnsiTheme="minorHAnsi" w:cstheme="minorHAnsi"/>
                <w:sz w:val="22"/>
                <w:szCs w:val="22"/>
              </w:rPr>
              <w:t>4=</w:t>
            </w:r>
          </w:p>
        </w:tc>
      </w:tr>
      <w:tr w:rsidR="00025B9C" w:rsidRPr="00025B9C" w:rsidTr="009B6FD6">
        <w:trPr>
          <w:jc w:val="center"/>
        </w:trPr>
        <w:tc>
          <w:tcPr>
            <w:tcW w:w="1650"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A.4.1/B.2.1</w:t>
            </w:r>
          </w:p>
        </w:tc>
        <w:tc>
          <w:tcPr>
            <w:tcW w:w="2853"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Nomination committee constitution</w:t>
            </w:r>
          </w:p>
        </w:tc>
        <w:tc>
          <w:tcPr>
            <w:tcW w:w="567"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14</w:t>
            </w:r>
          </w:p>
        </w:tc>
        <w:tc>
          <w:tcPr>
            <w:tcW w:w="708"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8%</w:t>
            </w:r>
          </w:p>
        </w:tc>
        <w:tc>
          <w:tcPr>
            <w:tcW w:w="284" w:type="dxa"/>
          </w:tcPr>
          <w:p w:rsidR="009B6FD6" w:rsidRPr="00025B9C" w:rsidRDefault="009B6FD6" w:rsidP="009B6FD6">
            <w:pPr>
              <w:jc w:val="right"/>
              <w:rPr>
                <w:rFonts w:asciiTheme="minorHAnsi" w:hAnsiTheme="minorHAnsi" w:cstheme="minorHAnsi"/>
                <w:sz w:val="22"/>
                <w:szCs w:val="22"/>
              </w:rPr>
            </w:pPr>
          </w:p>
        </w:tc>
        <w:tc>
          <w:tcPr>
            <w:tcW w:w="1442" w:type="dxa"/>
          </w:tcPr>
          <w:p w:rsidR="009B6FD6" w:rsidRPr="00025B9C" w:rsidRDefault="009B6FD6" w:rsidP="009B6FD6">
            <w:pPr>
              <w:jc w:val="center"/>
              <w:rPr>
                <w:rFonts w:asciiTheme="minorHAnsi" w:hAnsiTheme="minorHAnsi" w:cstheme="minorHAnsi"/>
                <w:sz w:val="22"/>
                <w:szCs w:val="22"/>
              </w:rPr>
            </w:pPr>
            <w:r w:rsidRPr="00025B9C">
              <w:rPr>
                <w:rFonts w:asciiTheme="minorHAnsi" w:hAnsiTheme="minorHAnsi" w:cstheme="minorHAnsi"/>
                <w:sz w:val="22"/>
                <w:szCs w:val="22"/>
              </w:rPr>
              <w:t>4</w:t>
            </w:r>
          </w:p>
        </w:tc>
        <w:tc>
          <w:tcPr>
            <w:tcW w:w="524"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610"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284" w:type="dxa"/>
          </w:tcPr>
          <w:p w:rsidR="009B6FD6" w:rsidRPr="00025B9C" w:rsidRDefault="009B6FD6" w:rsidP="009B6FD6">
            <w:pPr>
              <w:jc w:val="right"/>
              <w:rPr>
                <w:rFonts w:asciiTheme="minorHAnsi" w:hAnsiTheme="minorHAnsi" w:cstheme="minorHAnsi"/>
                <w:sz w:val="22"/>
                <w:szCs w:val="22"/>
              </w:rPr>
            </w:pPr>
          </w:p>
        </w:tc>
        <w:tc>
          <w:tcPr>
            <w:tcW w:w="1417" w:type="dxa"/>
          </w:tcPr>
          <w:p w:rsidR="009B6FD6" w:rsidRPr="00025B9C" w:rsidRDefault="009B6FD6" w:rsidP="009B6FD6">
            <w:pPr>
              <w:ind w:left="-120" w:right="-119"/>
              <w:jc w:val="center"/>
              <w:rPr>
                <w:rFonts w:asciiTheme="minorHAnsi" w:hAnsiTheme="minorHAnsi" w:cstheme="minorHAnsi"/>
                <w:sz w:val="22"/>
                <w:szCs w:val="22"/>
              </w:rPr>
            </w:pPr>
            <w:r w:rsidRPr="00025B9C">
              <w:rPr>
                <w:rFonts w:asciiTheme="minorHAnsi" w:hAnsiTheme="minorHAnsi" w:cstheme="minorHAnsi"/>
                <w:sz w:val="22"/>
                <w:szCs w:val="22"/>
              </w:rPr>
              <w:t>Outside top 5</w:t>
            </w:r>
          </w:p>
        </w:tc>
      </w:tr>
      <w:tr w:rsidR="00025B9C" w:rsidRPr="00025B9C" w:rsidTr="008D6226">
        <w:trPr>
          <w:jc w:val="center"/>
        </w:trPr>
        <w:tc>
          <w:tcPr>
            <w:tcW w:w="1650"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A.2.1</w:t>
            </w:r>
          </w:p>
        </w:tc>
        <w:tc>
          <w:tcPr>
            <w:tcW w:w="2853" w:type="dxa"/>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 xml:space="preserve">Duality principle </w:t>
            </w:r>
          </w:p>
        </w:tc>
        <w:tc>
          <w:tcPr>
            <w:tcW w:w="567"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 xml:space="preserve">9 </w:t>
            </w:r>
          </w:p>
        </w:tc>
        <w:tc>
          <w:tcPr>
            <w:tcW w:w="708"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284" w:type="dxa"/>
          </w:tcPr>
          <w:p w:rsidR="009B6FD6" w:rsidRPr="00025B9C" w:rsidRDefault="009B6FD6" w:rsidP="009B6FD6">
            <w:pPr>
              <w:jc w:val="right"/>
              <w:rPr>
                <w:rFonts w:asciiTheme="minorHAnsi" w:hAnsiTheme="minorHAnsi" w:cstheme="minorHAnsi"/>
                <w:sz w:val="22"/>
                <w:szCs w:val="22"/>
              </w:rPr>
            </w:pPr>
          </w:p>
        </w:tc>
        <w:tc>
          <w:tcPr>
            <w:tcW w:w="1442" w:type="dxa"/>
          </w:tcPr>
          <w:p w:rsidR="009B6FD6" w:rsidRPr="00025B9C" w:rsidRDefault="009B6FD6" w:rsidP="009B6FD6">
            <w:pPr>
              <w:jc w:val="center"/>
              <w:rPr>
                <w:rFonts w:asciiTheme="minorHAnsi" w:hAnsiTheme="minorHAnsi" w:cstheme="minorHAnsi"/>
                <w:sz w:val="22"/>
                <w:szCs w:val="22"/>
              </w:rPr>
            </w:pPr>
            <w:r w:rsidRPr="00025B9C">
              <w:rPr>
                <w:rFonts w:asciiTheme="minorHAnsi" w:hAnsiTheme="minorHAnsi" w:cstheme="minorHAnsi"/>
                <w:sz w:val="22"/>
                <w:szCs w:val="22"/>
              </w:rPr>
              <w:t>5</w:t>
            </w:r>
          </w:p>
        </w:tc>
        <w:tc>
          <w:tcPr>
            <w:tcW w:w="524"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 xml:space="preserve">3 </w:t>
            </w:r>
          </w:p>
        </w:tc>
        <w:tc>
          <w:tcPr>
            <w:tcW w:w="610"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284" w:type="dxa"/>
          </w:tcPr>
          <w:p w:rsidR="009B6FD6" w:rsidRPr="00025B9C" w:rsidRDefault="009B6FD6" w:rsidP="009B6FD6">
            <w:pPr>
              <w:jc w:val="right"/>
              <w:rPr>
                <w:rFonts w:asciiTheme="minorHAnsi" w:hAnsiTheme="minorHAnsi" w:cstheme="minorHAnsi"/>
                <w:sz w:val="22"/>
                <w:szCs w:val="22"/>
              </w:rPr>
            </w:pPr>
          </w:p>
        </w:tc>
        <w:tc>
          <w:tcPr>
            <w:tcW w:w="1417" w:type="dxa"/>
          </w:tcPr>
          <w:p w:rsidR="009B6FD6" w:rsidRPr="00025B9C" w:rsidRDefault="009B6FD6" w:rsidP="009B6FD6">
            <w:pPr>
              <w:ind w:left="-120" w:right="-119"/>
              <w:jc w:val="center"/>
              <w:rPr>
                <w:rFonts w:asciiTheme="minorHAnsi" w:hAnsiTheme="minorHAnsi" w:cstheme="minorHAnsi"/>
                <w:sz w:val="22"/>
                <w:szCs w:val="22"/>
              </w:rPr>
            </w:pPr>
            <w:r w:rsidRPr="00025B9C">
              <w:rPr>
                <w:rFonts w:asciiTheme="minorHAnsi" w:hAnsiTheme="minorHAnsi" w:cstheme="minorHAnsi"/>
                <w:sz w:val="22"/>
                <w:szCs w:val="22"/>
              </w:rPr>
              <w:t>Outside top 5</w:t>
            </w:r>
          </w:p>
        </w:tc>
      </w:tr>
      <w:tr w:rsidR="00025B9C" w:rsidRPr="00025B9C" w:rsidTr="008D6226">
        <w:trPr>
          <w:jc w:val="center"/>
        </w:trPr>
        <w:tc>
          <w:tcPr>
            <w:tcW w:w="4503" w:type="dxa"/>
            <w:gridSpan w:val="2"/>
          </w:tcPr>
          <w:p w:rsidR="009B6FD6" w:rsidRPr="00025B9C" w:rsidRDefault="009B6FD6" w:rsidP="009B6FD6">
            <w:pPr>
              <w:rPr>
                <w:rFonts w:asciiTheme="minorHAnsi" w:hAnsiTheme="minorHAnsi" w:cstheme="minorHAnsi"/>
                <w:sz w:val="22"/>
                <w:szCs w:val="22"/>
              </w:rPr>
            </w:pPr>
            <w:r w:rsidRPr="00025B9C">
              <w:rPr>
                <w:rFonts w:asciiTheme="minorHAnsi" w:hAnsiTheme="minorHAnsi" w:cstheme="minorHAnsi"/>
                <w:sz w:val="22"/>
                <w:szCs w:val="22"/>
              </w:rPr>
              <w:t xml:space="preserve">Other breaches </w:t>
            </w:r>
          </w:p>
        </w:tc>
        <w:tc>
          <w:tcPr>
            <w:tcW w:w="567"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60</w:t>
            </w:r>
          </w:p>
        </w:tc>
        <w:tc>
          <w:tcPr>
            <w:tcW w:w="708"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 xml:space="preserve"> 36%</w:t>
            </w:r>
          </w:p>
        </w:tc>
        <w:tc>
          <w:tcPr>
            <w:tcW w:w="284" w:type="dxa"/>
          </w:tcPr>
          <w:p w:rsidR="009B6FD6" w:rsidRPr="00025B9C" w:rsidRDefault="009B6FD6" w:rsidP="009B6FD6">
            <w:pPr>
              <w:jc w:val="right"/>
              <w:rPr>
                <w:rFonts w:asciiTheme="minorHAnsi" w:hAnsiTheme="minorHAnsi" w:cstheme="minorHAnsi"/>
                <w:sz w:val="22"/>
                <w:szCs w:val="22"/>
              </w:rPr>
            </w:pPr>
          </w:p>
        </w:tc>
        <w:tc>
          <w:tcPr>
            <w:tcW w:w="1442" w:type="dxa"/>
            <w:shd w:val="clear" w:color="auto" w:fill="BFBFBF" w:themeFill="background1" w:themeFillShade="BF"/>
          </w:tcPr>
          <w:p w:rsidR="009B6FD6" w:rsidRPr="00025B9C" w:rsidRDefault="009B6FD6" w:rsidP="009B6FD6">
            <w:pPr>
              <w:jc w:val="center"/>
              <w:rPr>
                <w:rFonts w:asciiTheme="minorHAnsi" w:hAnsiTheme="minorHAnsi" w:cstheme="minorHAnsi"/>
                <w:sz w:val="22"/>
                <w:szCs w:val="22"/>
              </w:rPr>
            </w:pPr>
          </w:p>
        </w:tc>
        <w:tc>
          <w:tcPr>
            <w:tcW w:w="524"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24</w:t>
            </w:r>
          </w:p>
        </w:tc>
        <w:tc>
          <w:tcPr>
            <w:tcW w:w="610"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30%</w:t>
            </w:r>
          </w:p>
        </w:tc>
        <w:tc>
          <w:tcPr>
            <w:tcW w:w="284" w:type="dxa"/>
          </w:tcPr>
          <w:p w:rsidR="009B6FD6" w:rsidRPr="00025B9C" w:rsidRDefault="009B6FD6" w:rsidP="009B6FD6">
            <w:pPr>
              <w:jc w:val="right"/>
              <w:rPr>
                <w:rFonts w:asciiTheme="minorHAnsi" w:hAnsiTheme="minorHAnsi" w:cstheme="minorHAnsi"/>
                <w:sz w:val="22"/>
                <w:szCs w:val="22"/>
              </w:rPr>
            </w:pPr>
          </w:p>
        </w:tc>
        <w:tc>
          <w:tcPr>
            <w:tcW w:w="1417" w:type="dxa"/>
            <w:shd w:val="clear" w:color="auto" w:fill="BFBFBF" w:themeFill="background1" w:themeFillShade="BF"/>
          </w:tcPr>
          <w:p w:rsidR="009B6FD6" w:rsidRPr="00025B9C" w:rsidRDefault="009B6FD6" w:rsidP="009B6FD6">
            <w:pPr>
              <w:jc w:val="center"/>
              <w:rPr>
                <w:rFonts w:asciiTheme="minorHAnsi" w:hAnsiTheme="minorHAnsi" w:cstheme="minorHAnsi"/>
                <w:sz w:val="22"/>
                <w:szCs w:val="22"/>
              </w:rPr>
            </w:pPr>
          </w:p>
        </w:tc>
      </w:tr>
      <w:tr w:rsidR="00025B9C" w:rsidRPr="00025B9C" w:rsidTr="008D6226">
        <w:trPr>
          <w:jc w:val="center"/>
        </w:trPr>
        <w:tc>
          <w:tcPr>
            <w:tcW w:w="4503" w:type="dxa"/>
            <w:gridSpan w:val="2"/>
          </w:tcPr>
          <w:p w:rsidR="009B6FD6" w:rsidRPr="00025B9C" w:rsidRDefault="009B6FD6" w:rsidP="009B6FD6">
            <w:pPr>
              <w:rPr>
                <w:rFonts w:asciiTheme="minorHAnsi" w:hAnsiTheme="minorHAnsi" w:cstheme="minorHAnsi"/>
                <w:b/>
                <w:sz w:val="22"/>
                <w:szCs w:val="22"/>
              </w:rPr>
            </w:pPr>
            <w:r w:rsidRPr="00025B9C">
              <w:rPr>
                <w:rFonts w:asciiTheme="minorHAnsi" w:hAnsiTheme="minorHAnsi" w:cstheme="minorHAnsi"/>
                <w:b/>
                <w:sz w:val="22"/>
                <w:szCs w:val="22"/>
              </w:rPr>
              <w:t>Total Code breaches</w:t>
            </w:r>
          </w:p>
        </w:tc>
        <w:tc>
          <w:tcPr>
            <w:tcW w:w="567"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168</w:t>
            </w:r>
          </w:p>
        </w:tc>
        <w:tc>
          <w:tcPr>
            <w:tcW w:w="708" w:type="dxa"/>
          </w:tcPr>
          <w:p w:rsidR="009B6FD6" w:rsidRPr="00025B9C" w:rsidRDefault="009B6FD6" w:rsidP="009B6FD6">
            <w:pPr>
              <w:jc w:val="right"/>
              <w:rPr>
                <w:rFonts w:asciiTheme="minorHAnsi" w:hAnsiTheme="minorHAnsi" w:cstheme="minorHAnsi"/>
                <w:sz w:val="22"/>
                <w:szCs w:val="22"/>
              </w:rPr>
            </w:pPr>
            <w:r w:rsidRPr="00025B9C">
              <w:rPr>
                <w:rFonts w:asciiTheme="minorHAnsi" w:hAnsiTheme="minorHAnsi" w:cstheme="minorHAnsi"/>
                <w:sz w:val="22"/>
                <w:szCs w:val="22"/>
              </w:rPr>
              <w:t>100%</w:t>
            </w:r>
          </w:p>
        </w:tc>
        <w:tc>
          <w:tcPr>
            <w:tcW w:w="284" w:type="dxa"/>
          </w:tcPr>
          <w:p w:rsidR="009B6FD6" w:rsidRPr="00025B9C" w:rsidRDefault="009B6FD6" w:rsidP="009B6FD6">
            <w:pPr>
              <w:jc w:val="right"/>
              <w:rPr>
                <w:rFonts w:asciiTheme="minorHAnsi" w:hAnsiTheme="minorHAnsi" w:cstheme="minorHAnsi"/>
                <w:sz w:val="22"/>
                <w:szCs w:val="22"/>
              </w:rPr>
            </w:pPr>
          </w:p>
        </w:tc>
        <w:tc>
          <w:tcPr>
            <w:tcW w:w="1442" w:type="dxa"/>
            <w:shd w:val="clear" w:color="auto" w:fill="BFBFBF" w:themeFill="background1" w:themeFillShade="BF"/>
          </w:tcPr>
          <w:p w:rsidR="009B6FD6" w:rsidRPr="00025B9C" w:rsidRDefault="009B6FD6" w:rsidP="009B6FD6">
            <w:pPr>
              <w:jc w:val="center"/>
              <w:rPr>
                <w:rFonts w:asciiTheme="minorHAnsi" w:hAnsiTheme="minorHAnsi" w:cstheme="minorHAnsi"/>
                <w:sz w:val="22"/>
                <w:szCs w:val="22"/>
              </w:rPr>
            </w:pPr>
          </w:p>
        </w:tc>
        <w:tc>
          <w:tcPr>
            <w:tcW w:w="524" w:type="dxa"/>
          </w:tcPr>
          <w:p w:rsidR="009B6FD6" w:rsidRPr="00025B9C" w:rsidRDefault="009B6FD6" w:rsidP="009B6FD6">
            <w:pPr>
              <w:ind w:left="-108"/>
              <w:jc w:val="right"/>
              <w:rPr>
                <w:rFonts w:asciiTheme="minorHAnsi" w:hAnsiTheme="minorHAnsi" w:cstheme="minorHAnsi"/>
                <w:sz w:val="22"/>
                <w:szCs w:val="22"/>
              </w:rPr>
            </w:pPr>
            <w:r w:rsidRPr="00025B9C">
              <w:rPr>
                <w:rFonts w:asciiTheme="minorHAnsi" w:hAnsiTheme="minorHAnsi" w:cstheme="minorHAnsi"/>
                <w:sz w:val="22"/>
                <w:szCs w:val="22"/>
              </w:rPr>
              <w:t>77</w:t>
            </w:r>
          </w:p>
        </w:tc>
        <w:tc>
          <w:tcPr>
            <w:tcW w:w="610" w:type="dxa"/>
          </w:tcPr>
          <w:p w:rsidR="009B6FD6" w:rsidRPr="00025B9C" w:rsidRDefault="009B6FD6" w:rsidP="009B6FD6">
            <w:pPr>
              <w:ind w:left="-249"/>
              <w:jc w:val="right"/>
              <w:rPr>
                <w:rFonts w:asciiTheme="minorHAnsi" w:hAnsiTheme="minorHAnsi" w:cstheme="minorHAnsi"/>
                <w:sz w:val="22"/>
                <w:szCs w:val="22"/>
              </w:rPr>
            </w:pPr>
            <w:r w:rsidRPr="00025B9C">
              <w:rPr>
                <w:rFonts w:asciiTheme="minorHAnsi" w:hAnsiTheme="minorHAnsi" w:cstheme="minorHAnsi"/>
                <w:sz w:val="22"/>
                <w:szCs w:val="22"/>
              </w:rPr>
              <w:t>100%</w:t>
            </w:r>
          </w:p>
        </w:tc>
        <w:tc>
          <w:tcPr>
            <w:tcW w:w="284" w:type="dxa"/>
          </w:tcPr>
          <w:p w:rsidR="009B6FD6" w:rsidRPr="00025B9C" w:rsidRDefault="009B6FD6" w:rsidP="009B6FD6">
            <w:pPr>
              <w:jc w:val="right"/>
              <w:rPr>
                <w:rFonts w:asciiTheme="minorHAnsi" w:hAnsiTheme="minorHAnsi" w:cstheme="minorHAnsi"/>
                <w:sz w:val="22"/>
                <w:szCs w:val="22"/>
              </w:rPr>
            </w:pPr>
          </w:p>
        </w:tc>
        <w:tc>
          <w:tcPr>
            <w:tcW w:w="1417" w:type="dxa"/>
            <w:shd w:val="clear" w:color="auto" w:fill="BFBFBF" w:themeFill="background1" w:themeFillShade="BF"/>
          </w:tcPr>
          <w:p w:rsidR="009B6FD6" w:rsidRPr="00025B9C" w:rsidRDefault="009B6FD6" w:rsidP="009B6FD6">
            <w:pPr>
              <w:jc w:val="center"/>
              <w:rPr>
                <w:rFonts w:asciiTheme="minorHAnsi" w:hAnsiTheme="minorHAnsi" w:cstheme="minorHAnsi"/>
                <w:sz w:val="22"/>
                <w:szCs w:val="22"/>
              </w:rPr>
            </w:pPr>
          </w:p>
        </w:tc>
      </w:tr>
    </w:tbl>
    <w:p w:rsidR="004471E4" w:rsidRPr="00025B9C" w:rsidRDefault="004471E4" w:rsidP="00D665D9">
      <w:pPr>
        <w:rPr>
          <w:rFonts w:asciiTheme="minorHAnsi" w:hAnsiTheme="minorHAnsi" w:cstheme="minorHAnsi"/>
          <w:b/>
        </w:rPr>
      </w:pPr>
    </w:p>
    <w:p w:rsidR="004471E4" w:rsidRPr="00025B9C" w:rsidRDefault="004471E4" w:rsidP="00D665D9">
      <w:pPr>
        <w:rPr>
          <w:rFonts w:asciiTheme="minorHAnsi" w:hAnsiTheme="minorHAnsi" w:cstheme="minorHAnsi"/>
          <w:b/>
        </w:rPr>
      </w:pPr>
    </w:p>
    <w:p w:rsidR="00282CAE" w:rsidRPr="00025B9C" w:rsidRDefault="00282CAE" w:rsidP="00D665D9">
      <w:pPr>
        <w:rPr>
          <w:rFonts w:asciiTheme="minorHAnsi" w:hAnsiTheme="minorHAnsi" w:cstheme="minorHAnsi"/>
          <w:b/>
        </w:rPr>
        <w:sectPr w:rsidR="00282CAE" w:rsidRPr="00025B9C" w:rsidSect="0004694B">
          <w:pgSz w:w="11906" w:h="16838"/>
          <w:pgMar w:top="1440" w:right="1440" w:bottom="1440" w:left="1440" w:header="709" w:footer="709" w:gutter="0"/>
          <w:cols w:space="708"/>
          <w:docGrid w:linePitch="360"/>
        </w:sectPr>
      </w:pPr>
      <w:r w:rsidRPr="00025B9C">
        <w:rPr>
          <w:rFonts w:asciiTheme="minorHAnsi" w:hAnsiTheme="minorHAnsi" w:cstheme="minorHAnsi"/>
          <w:sz w:val="22"/>
          <w:szCs w:val="22"/>
        </w:rPr>
        <w:t>Source: Shrives and Brennan (2015).</w:t>
      </w:r>
    </w:p>
    <w:tbl>
      <w:tblPr>
        <w:tblW w:w="14699" w:type="dxa"/>
        <w:jc w:val="center"/>
        <w:tblLayout w:type="fixed"/>
        <w:tblLook w:val="01E0" w:firstRow="1" w:lastRow="1" w:firstColumn="1" w:lastColumn="1" w:noHBand="0" w:noVBand="0"/>
      </w:tblPr>
      <w:tblGrid>
        <w:gridCol w:w="426"/>
        <w:gridCol w:w="5343"/>
        <w:gridCol w:w="709"/>
        <w:gridCol w:w="992"/>
        <w:gridCol w:w="709"/>
        <w:gridCol w:w="992"/>
        <w:gridCol w:w="567"/>
        <w:gridCol w:w="972"/>
        <w:gridCol w:w="20"/>
        <w:gridCol w:w="709"/>
        <w:gridCol w:w="992"/>
        <w:gridCol w:w="1276"/>
        <w:gridCol w:w="992"/>
      </w:tblGrid>
      <w:tr w:rsidR="00025B9C" w:rsidRPr="00025B9C" w:rsidTr="008D6226">
        <w:trPr>
          <w:tblHeader/>
          <w:jc w:val="center"/>
        </w:trPr>
        <w:tc>
          <w:tcPr>
            <w:tcW w:w="14699" w:type="dxa"/>
            <w:gridSpan w:val="13"/>
            <w:shd w:val="clear" w:color="auto" w:fill="auto"/>
          </w:tcPr>
          <w:p w:rsidR="00317702" w:rsidRPr="00025B9C" w:rsidRDefault="00317702" w:rsidP="0037370D">
            <w:pPr>
              <w:rPr>
                <w:rFonts w:asciiTheme="minorHAnsi" w:hAnsiTheme="minorHAnsi" w:cstheme="minorHAnsi"/>
                <w:b/>
                <w:sz w:val="22"/>
                <w:szCs w:val="22"/>
              </w:rPr>
            </w:pPr>
            <w:r w:rsidRPr="00025B9C">
              <w:rPr>
                <w:rFonts w:asciiTheme="minorHAnsi" w:hAnsiTheme="minorHAnsi" w:cstheme="minorHAnsi"/>
                <w:b/>
                <w:sz w:val="22"/>
                <w:szCs w:val="22"/>
              </w:rPr>
              <w:br w:type="page"/>
            </w:r>
            <w:r w:rsidR="00A23839" w:rsidRPr="00025B9C">
              <w:rPr>
                <w:rFonts w:asciiTheme="minorHAnsi" w:hAnsiTheme="minorHAnsi" w:cstheme="minorHAnsi"/>
                <w:b/>
                <w:sz w:val="22"/>
                <w:szCs w:val="22"/>
              </w:rPr>
              <w:t>Table 5</w:t>
            </w:r>
            <w:r w:rsidR="008D6226" w:rsidRPr="00025B9C">
              <w:rPr>
                <w:rFonts w:asciiTheme="minorHAnsi" w:hAnsiTheme="minorHAnsi" w:cstheme="minorHAnsi"/>
                <w:b/>
                <w:sz w:val="22"/>
                <w:szCs w:val="22"/>
              </w:rPr>
              <w:t>.</w:t>
            </w:r>
            <w:r w:rsidRPr="00025B9C">
              <w:rPr>
                <w:rFonts w:asciiTheme="minorHAnsi" w:hAnsiTheme="minorHAnsi" w:cstheme="minorHAnsi"/>
                <w:b/>
                <w:sz w:val="22"/>
                <w:szCs w:val="22"/>
              </w:rPr>
              <w:t xml:space="preserve"> Incidence of rhetorical strategies in FTSE 100 companies</w:t>
            </w:r>
            <w:r w:rsidR="00E421B1" w:rsidRPr="00025B9C">
              <w:rPr>
                <w:rFonts w:asciiTheme="minorHAnsi" w:hAnsiTheme="minorHAnsi" w:cstheme="minorHAnsi"/>
                <w:b/>
                <w:sz w:val="22"/>
                <w:szCs w:val="22"/>
              </w:rPr>
              <w:t xml:space="preserve"> (ranked by </w:t>
            </w:r>
            <w:r w:rsidR="0037370D" w:rsidRPr="00025B9C">
              <w:rPr>
                <w:rFonts w:asciiTheme="minorHAnsi" w:hAnsiTheme="minorHAnsi" w:cstheme="minorHAnsi"/>
                <w:b/>
                <w:sz w:val="22"/>
                <w:szCs w:val="22"/>
              </w:rPr>
              <w:t>‘</w:t>
            </w:r>
            <w:r w:rsidR="00E421B1" w:rsidRPr="00025B9C">
              <w:rPr>
                <w:rFonts w:asciiTheme="minorHAnsi" w:hAnsiTheme="minorHAnsi" w:cstheme="minorHAnsi"/>
                <w:b/>
                <w:sz w:val="22"/>
                <w:szCs w:val="22"/>
              </w:rPr>
              <w:t>top five</w:t>
            </w:r>
            <w:r w:rsidR="0037370D" w:rsidRPr="00025B9C">
              <w:rPr>
                <w:rFonts w:asciiTheme="minorHAnsi" w:hAnsiTheme="minorHAnsi" w:cstheme="minorHAnsi"/>
                <w:b/>
                <w:sz w:val="22"/>
                <w:szCs w:val="22"/>
              </w:rPr>
              <w:t>’</w:t>
            </w:r>
            <w:r w:rsidR="00E421B1" w:rsidRPr="00025B9C">
              <w:rPr>
                <w:rFonts w:asciiTheme="minorHAnsi" w:hAnsiTheme="minorHAnsi" w:cstheme="minorHAnsi"/>
                <w:b/>
                <w:sz w:val="22"/>
                <w:szCs w:val="22"/>
              </w:rPr>
              <w:t xml:space="preserve"> rhetorical strategies in 2011/12)</w:t>
            </w:r>
          </w:p>
        </w:tc>
      </w:tr>
      <w:tr w:rsidR="00025B9C" w:rsidRPr="00025B9C" w:rsidTr="008D6226">
        <w:trPr>
          <w:tblHeader/>
          <w:jc w:val="center"/>
        </w:trPr>
        <w:tc>
          <w:tcPr>
            <w:tcW w:w="14699" w:type="dxa"/>
            <w:gridSpan w:val="13"/>
            <w:shd w:val="clear" w:color="auto" w:fill="auto"/>
          </w:tcPr>
          <w:p w:rsidR="008D6226" w:rsidRPr="00025B9C" w:rsidRDefault="008D6226" w:rsidP="00D665D9">
            <w:pPr>
              <w:rPr>
                <w:rFonts w:asciiTheme="minorHAnsi" w:hAnsiTheme="minorHAnsi" w:cstheme="minorHAnsi"/>
                <w:b/>
                <w:sz w:val="22"/>
                <w:szCs w:val="22"/>
              </w:rPr>
            </w:pPr>
          </w:p>
        </w:tc>
      </w:tr>
      <w:tr w:rsidR="00025B9C" w:rsidRPr="00025B9C" w:rsidTr="008D6226">
        <w:trPr>
          <w:tblHeader/>
          <w:jc w:val="center"/>
        </w:trPr>
        <w:tc>
          <w:tcPr>
            <w:tcW w:w="5769" w:type="dxa"/>
            <w:gridSpan w:val="2"/>
            <w:shd w:val="clear" w:color="auto" w:fill="auto"/>
          </w:tcPr>
          <w:p w:rsidR="00317702" w:rsidRPr="00025B9C" w:rsidRDefault="00317702" w:rsidP="00D665D9">
            <w:pPr>
              <w:contextualSpacing/>
              <w:jc w:val="both"/>
              <w:rPr>
                <w:rFonts w:asciiTheme="minorHAnsi" w:hAnsiTheme="minorHAnsi" w:cstheme="minorHAnsi"/>
                <w:b/>
                <w:sz w:val="22"/>
                <w:szCs w:val="22"/>
              </w:rPr>
            </w:pPr>
          </w:p>
        </w:tc>
        <w:tc>
          <w:tcPr>
            <w:tcW w:w="3402" w:type="dxa"/>
            <w:gridSpan w:val="4"/>
            <w:shd w:val="clear" w:color="auto" w:fill="auto"/>
            <w:vAlign w:val="center"/>
          </w:tcPr>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 xml:space="preserve">2004/05 </w:t>
            </w:r>
            <w:r w:rsidR="00F305B6" w:rsidRPr="00025B9C">
              <w:rPr>
                <w:rFonts w:asciiTheme="minorHAnsi" w:hAnsiTheme="minorHAnsi" w:cstheme="minorHAnsi"/>
                <w:b/>
                <w:sz w:val="22"/>
                <w:szCs w:val="22"/>
              </w:rPr>
              <w:t>(RQ 1)</w:t>
            </w:r>
          </w:p>
        </w:tc>
        <w:tc>
          <w:tcPr>
            <w:tcW w:w="3260" w:type="dxa"/>
            <w:gridSpan w:val="5"/>
            <w:shd w:val="clear" w:color="auto" w:fill="auto"/>
            <w:vAlign w:val="center"/>
          </w:tcPr>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 xml:space="preserve">2011/12 </w:t>
            </w:r>
            <w:r w:rsidR="00F305B6" w:rsidRPr="00025B9C">
              <w:rPr>
                <w:rFonts w:asciiTheme="minorHAnsi" w:hAnsiTheme="minorHAnsi" w:cstheme="minorHAnsi"/>
                <w:b/>
                <w:sz w:val="22"/>
                <w:szCs w:val="22"/>
              </w:rPr>
              <w:t>(RQ 1)</w:t>
            </w:r>
          </w:p>
        </w:tc>
        <w:tc>
          <w:tcPr>
            <w:tcW w:w="2268" w:type="dxa"/>
            <w:gridSpan w:val="2"/>
            <w:vMerge w:val="restart"/>
            <w:shd w:val="clear" w:color="auto" w:fill="auto"/>
            <w:vAlign w:val="center"/>
          </w:tcPr>
          <w:p w:rsidR="00317702" w:rsidRPr="00025B9C" w:rsidRDefault="00444A1C"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Comparison</w:t>
            </w:r>
            <w:r w:rsidR="00317702" w:rsidRPr="00025B9C">
              <w:rPr>
                <w:rFonts w:asciiTheme="minorHAnsi" w:hAnsiTheme="minorHAnsi" w:cstheme="minorHAnsi"/>
                <w:b/>
                <w:sz w:val="22"/>
                <w:szCs w:val="22"/>
              </w:rPr>
              <w:t xml:space="preserve"> </w:t>
            </w:r>
          </w:p>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 xml:space="preserve">(relates to </w:t>
            </w:r>
            <w:r w:rsidR="006828D5" w:rsidRPr="00025B9C">
              <w:rPr>
                <w:rFonts w:asciiTheme="minorHAnsi" w:hAnsiTheme="minorHAnsi" w:cstheme="minorHAnsi"/>
                <w:b/>
                <w:sz w:val="22"/>
                <w:szCs w:val="22"/>
              </w:rPr>
              <w:t>No.</w:t>
            </w:r>
            <w:r w:rsidRPr="00025B9C">
              <w:rPr>
                <w:rFonts w:asciiTheme="minorHAnsi" w:hAnsiTheme="minorHAnsi" w:cstheme="minorHAnsi"/>
                <w:b/>
                <w:sz w:val="22"/>
                <w:szCs w:val="22"/>
              </w:rPr>
              <w:t xml:space="preserve"> per </w:t>
            </w:r>
            <w:r w:rsidR="006828D5" w:rsidRPr="00025B9C">
              <w:rPr>
                <w:rFonts w:asciiTheme="minorHAnsi" w:hAnsiTheme="minorHAnsi" w:cstheme="minorHAnsi"/>
                <w:b/>
                <w:sz w:val="22"/>
                <w:szCs w:val="22"/>
              </w:rPr>
              <w:t>breach</w:t>
            </w:r>
            <w:r w:rsidRPr="00025B9C">
              <w:rPr>
                <w:rFonts w:asciiTheme="minorHAnsi" w:hAnsiTheme="minorHAnsi" w:cstheme="minorHAnsi"/>
                <w:b/>
                <w:sz w:val="22"/>
                <w:szCs w:val="22"/>
              </w:rPr>
              <w:t>)</w:t>
            </w:r>
            <w:r w:rsidR="00F305B6" w:rsidRPr="00025B9C">
              <w:rPr>
                <w:rFonts w:asciiTheme="minorHAnsi" w:hAnsiTheme="minorHAnsi" w:cstheme="minorHAnsi"/>
                <w:b/>
                <w:sz w:val="22"/>
                <w:szCs w:val="22"/>
              </w:rPr>
              <w:t xml:space="preserve"> (RQ 2)</w:t>
            </w:r>
          </w:p>
        </w:tc>
      </w:tr>
      <w:tr w:rsidR="00025B9C" w:rsidRPr="00025B9C" w:rsidTr="008D6226">
        <w:trPr>
          <w:trHeight w:val="802"/>
          <w:tblHeader/>
          <w:jc w:val="center"/>
        </w:trPr>
        <w:tc>
          <w:tcPr>
            <w:tcW w:w="5769" w:type="dxa"/>
            <w:gridSpan w:val="2"/>
            <w:shd w:val="clear" w:color="auto" w:fill="auto"/>
          </w:tcPr>
          <w:p w:rsidR="00317702" w:rsidRPr="00025B9C" w:rsidRDefault="00317702" w:rsidP="00D665D9">
            <w:pPr>
              <w:contextualSpacing/>
              <w:jc w:val="both"/>
              <w:rPr>
                <w:rFonts w:asciiTheme="minorHAnsi" w:hAnsiTheme="minorHAnsi" w:cstheme="minorHAnsi"/>
                <w:b/>
                <w:sz w:val="22"/>
                <w:szCs w:val="22"/>
              </w:rPr>
            </w:pPr>
          </w:p>
          <w:p w:rsidR="00317702" w:rsidRPr="00025B9C" w:rsidRDefault="00317702" w:rsidP="00D665D9">
            <w:pPr>
              <w:contextualSpacing/>
              <w:jc w:val="both"/>
              <w:rPr>
                <w:rFonts w:asciiTheme="minorHAnsi" w:hAnsiTheme="minorHAnsi" w:cstheme="minorHAnsi"/>
                <w:b/>
                <w:sz w:val="22"/>
                <w:szCs w:val="22"/>
              </w:rPr>
            </w:pPr>
            <w:r w:rsidRPr="00025B9C">
              <w:rPr>
                <w:rFonts w:asciiTheme="minorHAnsi" w:hAnsiTheme="minorHAnsi" w:cstheme="minorHAnsi"/>
                <w:b/>
                <w:sz w:val="22"/>
                <w:szCs w:val="22"/>
              </w:rPr>
              <w:t>Rhetorical strategy</w:t>
            </w:r>
          </w:p>
        </w:tc>
        <w:tc>
          <w:tcPr>
            <w:tcW w:w="1701" w:type="dxa"/>
            <w:gridSpan w:val="2"/>
            <w:shd w:val="clear" w:color="auto" w:fill="auto"/>
            <w:vAlign w:val="center"/>
          </w:tcPr>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 xml:space="preserve">Number (No. per </w:t>
            </w:r>
            <w:r w:rsidR="00AB6E0B" w:rsidRPr="00025B9C">
              <w:rPr>
                <w:rFonts w:asciiTheme="minorHAnsi" w:hAnsiTheme="minorHAnsi" w:cstheme="minorHAnsi"/>
                <w:b/>
                <w:sz w:val="22"/>
                <w:szCs w:val="22"/>
              </w:rPr>
              <w:t>breach</w:t>
            </w:r>
            <w:r w:rsidR="00BC11CF" w:rsidRPr="00025B9C">
              <w:rPr>
                <w:rFonts w:asciiTheme="minorHAnsi" w:hAnsiTheme="minorHAnsi" w:cstheme="minorHAnsi"/>
                <w:b/>
                <w:sz w:val="22"/>
                <w:szCs w:val="22"/>
                <w:vertAlign w:val="superscript"/>
              </w:rPr>
              <w:t xml:space="preserve"> Note 1</w:t>
            </w:r>
            <w:r w:rsidRPr="00025B9C">
              <w:rPr>
                <w:rFonts w:asciiTheme="minorHAnsi" w:hAnsiTheme="minorHAnsi" w:cstheme="minorHAnsi"/>
                <w:b/>
                <w:sz w:val="22"/>
                <w:szCs w:val="22"/>
              </w:rPr>
              <w:t>)</w:t>
            </w:r>
          </w:p>
        </w:tc>
        <w:tc>
          <w:tcPr>
            <w:tcW w:w="709" w:type="dxa"/>
            <w:shd w:val="clear" w:color="auto" w:fill="auto"/>
            <w:vAlign w:val="center"/>
          </w:tcPr>
          <w:p w:rsidR="00317702" w:rsidRPr="00025B9C" w:rsidRDefault="00317702" w:rsidP="00D665D9">
            <w:pPr>
              <w:contextualSpacing/>
              <w:jc w:val="right"/>
              <w:rPr>
                <w:rFonts w:asciiTheme="minorHAnsi" w:hAnsiTheme="minorHAnsi" w:cstheme="minorHAnsi"/>
                <w:b/>
                <w:sz w:val="22"/>
                <w:szCs w:val="22"/>
              </w:rPr>
            </w:pPr>
          </w:p>
          <w:p w:rsidR="00317702" w:rsidRPr="00025B9C" w:rsidRDefault="00317702" w:rsidP="00D665D9">
            <w:pPr>
              <w:contextualSpacing/>
              <w:jc w:val="right"/>
              <w:rPr>
                <w:rFonts w:asciiTheme="minorHAnsi" w:hAnsiTheme="minorHAnsi" w:cstheme="minorHAnsi"/>
                <w:b/>
                <w:sz w:val="22"/>
                <w:szCs w:val="22"/>
              </w:rPr>
            </w:pPr>
            <w:r w:rsidRPr="00025B9C">
              <w:rPr>
                <w:rFonts w:asciiTheme="minorHAnsi" w:hAnsiTheme="minorHAnsi" w:cstheme="minorHAnsi"/>
                <w:b/>
                <w:sz w:val="22"/>
                <w:szCs w:val="22"/>
              </w:rPr>
              <w:t>%</w:t>
            </w:r>
          </w:p>
        </w:tc>
        <w:tc>
          <w:tcPr>
            <w:tcW w:w="992" w:type="dxa"/>
            <w:vAlign w:val="center"/>
          </w:tcPr>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Ranking</w:t>
            </w:r>
          </w:p>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(top 5)</w:t>
            </w:r>
          </w:p>
        </w:tc>
        <w:tc>
          <w:tcPr>
            <w:tcW w:w="1559" w:type="dxa"/>
            <w:gridSpan w:val="3"/>
            <w:shd w:val="clear" w:color="auto" w:fill="auto"/>
            <w:vAlign w:val="center"/>
          </w:tcPr>
          <w:p w:rsidR="00BC11CF" w:rsidRPr="00025B9C" w:rsidRDefault="00317702" w:rsidP="00BC11CF">
            <w:pPr>
              <w:ind w:left="-189" w:right="-88"/>
              <w:contextualSpacing/>
              <w:jc w:val="center"/>
              <w:rPr>
                <w:rFonts w:asciiTheme="minorHAnsi" w:hAnsiTheme="minorHAnsi" w:cstheme="minorHAnsi"/>
                <w:b/>
                <w:sz w:val="22"/>
                <w:szCs w:val="22"/>
              </w:rPr>
            </w:pPr>
            <w:r w:rsidRPr="00025B9C">
              <w:rPr>
                <w:rFonts w:asciiTheme="minorHAnsi" w:hAnsiTheme="minorHAnsi" w:cstheme="minorHAnsi"/>
                <w:b/>
                <w:sz w:val="22"/>
                <w:szCs w:val="22"/>
              </w:rPr>
              <w:t xml:space="preserve">Number (No. </w:t>
            </w:r>
          </w:p>
          <w:p w:rsidR="00317702" w:rsidRPr="00025B9C" w:rsidRDefault="00317702" w:rsidP="00BC11CF">
            <w:pPr>
              <w:ind w:left="-189" w:right="-88"/>
              <w:contextualSpacing/>
              <w:jc w:val="center"/>
              <w:rPr>
                <w:rFonts w:asciiTheme="minorHAnsi" w:hAnsiTheme="minorHAnsi" w:cstheme="minorHAnsi"/>
                <w:b/>
                <w:sz w:val="22"/>
                <w:szCs w:val="22"/>
              </w:rPr>
            </w:pPr>
            <w:r w:rsidRPr="00025B9C">
              <w:rPr>
                <w:rFonts w:asciiTheme="minorHAnsi" w:hAnsiTheme="minorHAnsi" w:cstheme="minorHAnsi"/>
                <w:b/>
                <w:sz w:val="22"/>
                <w:szCs w:val="22"/>
              </w:rPr>
              <w:t xml:space="preserve">per </w:t>
            </w:r>
            <w:r w:rsidR="00AB6E0B" w:rsidRPr="00025B9C">
              <w:rPr>
                <w:rFonts w:asciiTheme="minorHAnsi" w:hAnsiTheme="minorHAnsi" w:cstheme="minorHAnsi"/>
                <w:b/>
                <w:sz w:val="22"/>
                <w:szCs w:val="22"/>
              </w:rPr>
              <w:t>breach</w:t>
            </w:r>
            <w:r w:rsidR="00BC11CF" w:rsidRPr="00025B9C">
              <w:rPr>
                <w:rFonts w:asciiTheme="minorHAnsi" w:hAnsiTheme="minorHAnsi" w:cstheme="minorHAnsi"/>
                <w:b/>
                <w:sz w:val="22"/>
                <w:szCs w:val="22"/>
                <w:vertAlign w:val="superscript"/>
              </w:rPr>
              <w:t xml:space="preserve"> Note 1</w:t>
            </w:r>
            <w:r w:rsidR="005A5D8C" w:rsidRPr="00025B9C">
              <w:rPr>
                <w:rFonts w:asciiTheme="minorHAnsi" w:hAnsiTheme="minorHAnsi" w:cstheme="minorHAnsi"/>
                <w:b/>
                <w:sz w:val="22"/>
                <w:szCs w:val="22"/>
              </w:rPr>
              <w:t>)</w:t>
            </w:r>
          </w:p>
        </w:tc>
        <w:tc>
          <w:tcPr>
            <w:tcW w:w="709" w:type="dxa"/>
            <w:shd w:val="clear" w:color="auto" w:fill="auto"/>
            <w:vAlign w:val="center"/>
          </w:tcPr>
          <w:p w:rsidR="00317702" w:rsidRPr="00025B9C" w:rsidRDefault="00317702" w:rsidP="00D665D9">
            <w:pPr>
              <w:contextualSpacing/>
              <w:jc w:val="right"/>
              <w:rPr>
                <w:rFonts w:asciiTheme="minorHAnsi" w:hAnsiTheme="minorHAnsi" w:cstheme="minorHAnsi"/>
                <w:b/>
                <w:sz w:val="22"/>
                <w:szCs w:val="22"/>
              </w:rPr>
            </w:pPr>
          </w:p>
          <w:p w:rsidR="00317702" w:rsidRPr="00025B9C" w:rsidRDefault="00317702" w:rsidP="00D665D9">
            <w:pPr>
              <w:contextualSpacing/>
              <w:jc w:val="right"/>
              <w:rPr>
                <w:rFonts w:asciiTheme="minorHAnsi" w:hAnsiTheme="minorHAnsi" w:cstheme="minorHAnsi"/>
                <w:b/>
                <w:sz w:val="22"/>
                <w:szCs w:val="22"/>
              </w:rPr>
            </w:pPr>
            <w:r w:rsidRPr="00025B9C">
              <w:rPr>
                <w:rFonts w:asciiTheme="minorHAnsi" w:hAnsiTheme="minorHAnsi" w:cstheme="minorHAnsi"/>
                <w:b/>
                <w:sz w:val="22"/>
                <w:szCs w:val="22"/>
              </w:rPr>
              <w:t>%</w:t>
            </w:r>
          </w:p>
        </w:tc>
        <w:tc>
          <w:tcPr>
            <w:tcW w:w="992" w:type="dxa"/>
            <w:shd w:val="clear" w:color="auto" w:fill="auto"/>
            <w:vAlign w:val="center"/>
          </w:tcPr>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Ranking</w:t>
            </w:r>
          </w:p>
          <w:p w:rsidR="00317702" w:rsidRPr="00025B9C" w:rsidRDefault="00317702" w:rsidP="00D665D9">
            <w:pPr>
              <w:contextualSpacing/>
              <w:jc w:val="center"/>
              <w:rPr>
                <w:rFonts w:asciiTheme="minorHAnsi" w:hAnsiTheme="minorHAnsi" w:cstheme="minorHAnsi"/>
                <w:b/>
                <w:sz w:val="22"/>
                <w:szCs w:val="22"/>
              </w:rPr>
            </w:pPr>
            <w:r w:rsidRPr="00025B9C">
              <w:rPr>
                <w:rFonts w:asciiTheme="minorHAnsi" w:hAnsiTheme="minorHAnsi" w:cstheme="minorHAnsi"/>
                <w:b/>
                <w:sz w:val="22"/>
                <w:szCs w:val="22"/>
              </w:rPr>
              <w:t>(top 5)</w:t>
            </w:r>
          </w:p>
        </w:tc>
        <w:tc>
          <w:tcPr>
            <w:tcW w:w="2268" w:type="dxa"/>
            <w:gridSpan w:val="2"/>
            <w:vMerge/>
            <w:shd w:val="clear" w:color="auto" w:fill="auto"/>
            <w:vAlign w:val="center"/>
          </w:tcPr>
          <w:p w:rsidR="00317702" w:rsidRPr="00025B9C" w:rsidRDefault="00317702" w:rsidP="00D665D9">
            <w:pPr>
              <w:contextualSpacing/>
              <w:jc w:val="center"/>
              <w:rPr>
                <w:rFonts w:asciiTheme="minorHAnsi" w:hAnsiTheme="minorHAnsi" w:cstheme="minorHAnsi"/>
                <w:b/>
                <w:sz w:val="22"/>
                <w:szCs w:val="22"/>
              </w:rPr>
            </w:pPr>
          </w:p>
        </w:tc>
      </w:tr>
      <w:tr w:rsidR="00025B9C" w:rsidRPr="00025B9C" w:rsidTr="008D6226">
        <w:trPr>
          <w:trHeight w:val="107"/>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3</w:t>
            </w:r>
          </w:p>
        </w:tc>
        <w:tc>
          <w:tcPr>
            <w:tcW w:w="5343" w:type="dxa"/>
            <w:shd w:val="clear" w:color="auto" w:fill="auto"/>
          </w:tcPr>
          <w:p w:rsidR="008A234D" w:rsidRPr="00025B9C" w:rsidRDefault="00F57B34" w:rsidP="00D665D9">
            <w:pPr>
              <w:rPr>
                <w:rFonts w:asciiTheme="minorHAnsi" w:hAnsiTheme="minorHAnsi" w:cstheme="minorHAnsi"/>
                <w:sz w:val="22"/>
                <w:szCs w:val="22"/>
              </w:rPr>
            </w:pPr>
            <w:r w:rsidRPr="00025B9C">
              <w:rPr>
                <w:rFonts w:asciiTheme="minorHAnsi" w:hAnsiTheme="minorHAnsi" w:cstheme="minorHAnsi"/>
                <w:sz w:val="22"/>
                <w:szCs w:val="22"/>
              </w:rPr>
              <w:t>Minimization</w:t>
            </w:r>
            <w:r w:rsidR="008A234D" w:rsidRPr="00025B9C">
              <w:rPr>
                <w:rFonts w:asciiTheme="minorHAnsi" w:hAnsiTheme="minorHAnsi" w:cstheme="minorHAnsi"/>
                <w:sz w:val="22"/>
                <w:szCs w:val="22"/>
              </w:rPr>
              <w:t xml:space="preserve"> of negative feelings</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51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(0.304)</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19%</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1</w:t>
            </w: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47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(0.610)</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24%</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1</w:t>
            </w: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 xml:space="preserve"> +100%</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9b</w:t>
            </w:r>
          </w:p>
        </w:tc>
        <w:tc>
          <w:tcPr>
            <w:tcW w:w="5343" w:type="dxa"/>
            <w:shd w:val="clear" w:color="auto" w:fill="auto"/>
          </w:tcPr>
          <w:p w:rsidR="008A234D" w:rsidRPr="00025B9C" w:rsidRDefault="008A234D" w:rsidP="00D665D9">
            <w:pPr>
              <w:rPr>
                <w:rFonts w:asciiTheme="minorHAnsi" w:hAnsiTheme="minorHAnsi" w:cstheme="minorHAnsi"/>
                <w:sz w:val="22"/>
                <w:szCs w:val="22"/>
              </w:rPr>
            </w:pPr>
            <w:r w:rsidRPr="00025B9C">
              <w:rPr>
                <w:rFonts w:asciiTheme="minorHAnsi" w:hAnsiTheme="minorHAnsi" w:cstheme="minorHAnsi"/>
                <w:sz w:val="22"/>
                <w:szCs w:val="22"/>
              </w:rPr>
              <w:t>Weasel words</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41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(0.244)</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16%</w:t>
            </w:r>
          </w:p>
        </w:tc>
        <w:tc>
          <w:tcPr>
            <w:tcW w:w="992" w:type="dxa"/>
            <w:shd w:val="clear" w:color="auto" w:fill="auto"/>
          </w:tcPr>
          <w:p w:rsidR="008A234D" w:rsidRPr="00025B9C" w:rsidRDefault="00A31277" w:rsidP="00D665D9">
            <w:pPr>
              <w:jc w:val="center"/>
              <w:rPr>
                <w:rFonts w:asciiTheme="minorHAnsi" w:hAnsiTheme="minorHAnsi" w:cstheme="minorHAnsi"/>
                <w:sz w:val="22"/>
                <w:szCs w:val="22"/>
              </w:rPr>
            </w:pPr>
            <w:r w:rsidRPr="00025B9C">
              <w:rPr>
                <w:rFonts w:asciiTheme="minorHAnsi" w:hAnsiTheme="minorHAnsi" w:cstheme="minorHAnsi"/>
                <w:sz w:val="22"/>
                <w:szCs w:val="22"/>
              </w:rPr>
              <w:t>3</w:t>
            </w: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39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(0.506)</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20%</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2</w:t>
            </w: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+107%</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5343" w:type="dxa"/>
            <w:shd w:val="clear" w:color="auto" w:fill="auto"/>
          </w:tcPr>
          <w:p w:rsidR="008A234D" w:rsidRPr="00025B9C" w:rsidRDefault="008A234D" w:rsidP="00D665D9">
            <w:pPr>
              <w:rPr>
                <w:rFonts w:asciiTheme="minorHAnsi" w:hAnsiTheme="minorHAnsi" w:cstheme="minorHAnsi"/>
                <w:sz w:val="22"/>
                <w:szCs w:val="22"/>
              </w:rPr>
            </w:pPr>
            <w:r w:rsidRPr="00025B9C">
              <w:rPr>
                <w:rFonts w:asciiTheme="minorHAnsi" w:hAnsiTheme="minorHAnsi" w:cstheme="minorHAnsi"/>
                <w:sz w:val="22"/>
                <w:szCs w:val="22"/>
              </w:rPr>
              <w:t>Transcendence</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38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(0.226)</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14%</w:t>
            </w:r>
          </w:p>
        </w:tc>
        <w:tc>
          <w:tcPr>
            <w:tcW w:w="992" w:type="dxa"/>
            <w:shd w:val="clear" w:color="auto" w:fill="auto"/>
          </w:tcPr>
          <w:p w:rsidR="008A234D" w:rsidRPr="00025B9C" w:rsidRDefault="00A31277" w:rsidP="00D665D9">
            <w:pPr>
              <w:jc w:val="center"/>
              <w:rPr>
                <w:rFonts w:asciiTheme="minorHAnsi" w:hAnsiTheme="minorHAnsi" w:cstheme="minorHAnsi"/>
                <w:sz w:val="22"/>
                <w:szCs w:val="22"/>
              </w:rPr>
            </w:pPr>
            <w:r w:rsidRPr="00025B9C">
              <w:rPr>
                <w:rFonts w:asciiTheme="minorHAnsi" w:hAnsiTheme="minorHAnsi" w:cstheme="minorHAnsi"/>
                <w:sz w:val="22"/>
                <w:szCs w:val="22"/>
              </w:rPr>
              <w:t>4</w:t>
            </w: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34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(0.442)</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17%</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3</w:t>
            </w: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+96%</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trHeight w:val="272"/>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1a</w:t>
            </w:r>
          </w:p>
        </w:tc>
        <w:tc>
          <w:tcPr>
            <w:tcW w:w="5343" w:type="dxa"/>
            <w:shd w:val="clear" w:color="auto" w:fill="auto"/>
          </w:tcPr>
          <w:p w:rsidR="008A234D" w:rsidRPr="00025B9C" w:rsidRDefault="00BA6ABE" w:rsidP="00D665D9">
            <w:pPr>
              <w:rPr>
                <w:rFonts w:asciiTheme="minorHAnsi" w:hAnsiTheme="minorHAnsi" w:cstheme="minorHAnsi"/>
                <w:sz w:val="22"/>
                <w:szCs w:val="22"/>
              </w:rPr>
            </w:pPr>
            <w:r w:rsidRPr="00025B9C">
              <w:rPr>
                <w:rFonts w:asciiTheme="minorHAnsi" w:hAnsiTheme="minorHAnsi" w:cstheme="minorHAnsi"/>
                <w:sz w:val="22"/>
                <w:szCs w:val="22"/>
              </w:rPr>
              <w:t>Corrective action</w:t>
            </w:r>
            <w:r w:rsidR="008A234D" w:rsidRPr="00025B9C">
              <w:rPr>
                <w:rFonts w:asciiTheme="minorHAnsi" w:hAnsiTheme="minorHAnsi" w:cstheme="minorHAnsi"/>
                <w:sz w:val="22"/>
                <w:szCs w:val="22"/>
              </w:rPr>
              <w:t xml:space="preserve"> taken</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50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(0.298)</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19%</w:t>
            </w:r>
          </w:p>
        </w:tc>
        <w:tc>
          <w:tcPr>
            <w:tcW w:w="992" w:type="dxa"/>
            <w:shd w:val="clear" w:color="auto" w:fill="auto"/>
          </w:tcPr>
          <w:p w:rsidR="008A234D" w:rsidRPr="00025B9C" w:rsidRDefault="00A31277" w:rsidP="00D665D9">
            <w:pPr>
              <w:jc w:val="center"/>
              <w:rPr>
                <w:rFonts w:asciiTheme="minorHAnsi" w:hAnsiTheme="minorHAnsi" w:cstheme="minorHAnsi"/>
                <w:sz w:val="22"/>
                <w:szCs w:val="22"/>
              </w:rPr>
            </w:pPr>
            <w:r w:rsidRPr="00025B9C">
              <w:rPr>
                <w:rFonts w:asciiTheme="minorHAnsi" w:hAnsiTheme="minorHAnsi" w:cstheme="minorHAnsi"/>
                <w:sz w:val="22"/>
                <w:szCs w:val="22"/>
              </w:rPr>
              <w:t>1</w:t>
            </w: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15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(0.195)</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8%</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4</w:t>
            </w: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-35%</w:t>
            </w: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9a</w:t>
            </w:r>
          </w:p>
        </w:tc>
        <w:tc>
          <w:tcPr>
            <w:tcW w:w="5343" w:type="dxa"/>
            <w:shd w:val="clear" w:color="auto" w:fill="auto"/>
          </w:tcPr>
          <w:p w:rsidR="008A234D" w:rsidRPr="00025B9C" w:rsidRDefault="008A234D" w:rsidP="00D665D9">
            <w:pPr>
              <w:rPr>
                <w:rFonts w:asciiTheme="minorHAnsi" w:hAnsiTheme="minorHAnsi" w:cstheme="minorHAnsi"/>
                <w:sz w:val="22"/>
                <w:szCs w:val="22"/>
              </w:rPr>
            </w:pPr>
            <w:r w:rsidRPr="00025B9C">
              <w:rPr>
                <w:rFonts w:asciiTheme="minorHAnsi" w:hAnsiTheme="minorHAnsi" w:cstheme="minorHAnsi"/>
                <w:sz w:val="22"/>
                <w:szCs w:val="22"/>
              </w:rPr>
              <w:t>No clear explanation/reason given</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16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(0.095)</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6%</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5</w:t>
            </w: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13 </w:t>
            </w:r>
          </w:p>
        </w:tc>
        <w:tc>
          <w:tcPr>
            <w:tcW w:w="992" w:type="dxa"/>
            <w:gridSpan w:val="2"/>
            <w:shd w:val="clear" w:color="auto" w:fill="auto"/>
          </w:tcPr>
          <w:p w:rsidR="008A234D" w:rsidRPr="00025B9C" w:rsidRDefault="009D7D07" w:rsidP="00D665D9">
            <w:pPr>
              <w:jc w:val="center"/>
              <w:rPr>
                <w:rFonts w:asciiTheme="minorHAnsi" w:hAnsiTheme="minorHAnsi" w:cstheme="minorHAnsi"/>
                <w:sz w:val="22"/>
                <w:szCs w:val="22"/>
              </w:rPr>
            </w:pPr>
            <w:r w:rsidRPr="00025B9C">
              <w:rPr>
                <w:rFonts w:asciiTheme="minorHAnsi" w:hAnsiTheme="minorHAnsi" w:cstheme="minorHAnsi"/>
                <w:sz w:val="22"/>
                <w:szCs w:val="22"/>
              </w:rPr>
              <w:t>(0.169</w:t>
            </w:r>
            <w:r w:rsidR="008A234D" w:rsidRPr="00025B9C">
              <w:rPr>
                <w:rFonts w:asciiTheme="minorHAnsi" w:hAnsiTheme="minorHAnsi" w:cstheme="minorHAnsi"/>
                <w:sz w:val="22"/>
                <w:szCs w:val="22"/>
              </w:rPr>
              <w:t>)</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7%</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5</w:t>
            </w: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+78%</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5b</w:t>
            </w:r>
          </w:p>
        </w:tc>
        <w:tc>
          <w:tcPr>
            <w:tcW w:w="5343" w:type="dxa"/>
            <w:shd w:val="clear" w:color="auto" w:fill="auto"/>
          </w:tcPr>
          <w:p w:rsidR="008A234D" w:rsidRPr="00025B9C" w:rsidRDefault="008A234D" w:rsidP="00D665D9">
            <w:pPr>
              <w:rPr>
                <w:rFonts w:asciiTheme="minorHAnsi" w:hAnsiTheme="minorHAnsi" w:cstheme="minorHAnsi"/>
                <w:sz w:val="22"/>
                <w:szCs w:val="22"/>
              </w:rPr>
            </w:pPr>
            <w:r w:rsidRPr="00025B9C">
              <w:rPr>
                <w:rFonts w:asciiTheme="minorHAnsi" w:hAnsiTheme="minorHAnsi" w:cstheme="minorHAnsi"/>
                <w:sz w:val="22"/>
                <w:szCs w:val="22"/>
              </w:rPr>
              <w:t>Attribution – internal</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16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(0.095)</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6%</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(0.039)</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-59%</w:t>
            </w: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5c</w:t>
            </w:r>
          </w:p>
        </w:tc>
        <w:tc>
          <w:tcPr>
            <w:tcW w:w="5343" w:type="dxa"/>
            <w:shd w:val="clear" w:color="auto" w:fill="auto"/>
          </w:tcPr>
          <w:p w:rsidR="008A234D" w:rsidRPr="00025B9C" w:rsidRDefault="008A234D" w:rsidP="00D665D9">
            <w:pPr>
              <w:rPr>
                <w:rFonts w:asciiTheme="minorHAnsi" w:hAnsiTheme="minorHAnsi" w:cstheme="minorHAnsi"/>
                <w:sz w:val="22"/>
                <w:szCs w:val="22"/>
              </w:rPr>
            </w:pPr>
            <w:r w:rsidRPr="00025B9C">
              <w:rPr>
                <w:rFonts w:asciiTheme="minorHAnsi" w:hAnsiTheme="minorHAnsi" w:cstheme="minorHAnsi"/>
                <w:sz w:val="22"/>
                <w:szCs w:val="22"/>
              </w:rPr>
              <w:t>Attribution – legal</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5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(0.030)</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6 </w:t>
            </w:r>
          </w:p>
        </w:tc>
        <w:tc>
          <w:tcPr>
            <w:tcW w:w="992" w:type="dxa"/>
            <w:gridSpan w:val="2"/>
            <w:shd w:val="clear" w:color="auto" w:fill="auto"/>
          </w:tcPr>
          <w:p w:rsidR="008A234D" w:rsidRPr="00025B9C" w:rsidRDefault="009D7D07" w:rsidP="00D665D9">
            <w:pPr>
              <w:jc w:val="center"/>
              <w:rPr>
                <w:rFonts w:asciiTheme="minorHAnsi" w:hAnsiTheme="minorHAnsi" w:cstheme="minorHAnsi"/>
                <w:sz w:val="22"/>
                <w:szCs w:val="22"/>
              </w:rPr>
            </w:pPr>
            <w:r w:rsidRPr="00025B9C">
              <w:rPr>
                <w:rFonts w:asciiTheme="minorHAnsi" w:hAnsiTheme="minorHAnsi" w:cstheme="minorHAnsi"/>
                <w:sz w:val="22"/>
                <w:szCs w:val="22"/>
              </w:rPr>
              <w:t>(0.078</w:t>
            </w:r>
            <w:r w:rsidR="008A234D" w:rsidRPr="00025B9C">
              <w:rPr>
                <w:rFonts w:asciiTheme="minorHAnsi" w:hAnsiTheme="minorHAnsi" w:cstheme="minorHAnsi"/>
                <w:sz w:val="22"/>
                <w:szCs w:val="22"/>
              </w:rPr>
              <w:t>)</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3%</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+160%</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1c</w:t>
            </w:r>
          </w:p>
        </w:tc>
        <w:tc>
          <w:tcPr>
            <w:tcW w:w="5343" w:type="dxa"/>
            <w:shd w:val="clear" w:color="auto" w:fill="auto"/>
          </w:tcPr>
          <w:p w:rsidR="008A234D" w:rsidRPr="00025B9C" w:rsidRDefault="008A234D" w:rsidP="00D665D9">
            <w:pPr>
              <w:ind w:right="-87"/>
              <w:rPr>
                <w:rFonts w:asciiTheme="minorHAnsi" w:hAnsiTheme="minorHAnsi" w:cstheme="minorHAnsi"/>
                <w:sz w:val="22"/>
                <w:szCs w:val="22"/>
              </w:rPr>
            </w:pPr>
            <w:r w:rsidRPr="00025B9C">
              <w:rPr>
                <w:rFonts w:asciiTheme="minorHAnsi" w:hAnsiTheme="minorHAnsi" w:cstheme="minorHAnsi"/>
                <w:sz w:val="22"/>
                <w:szCs w:val="22"/>
              </w:rPr>
              <w:t xml:space="preserve">Promise of </w:t>
            </w:r>
            <w:r w:rsidR="00BA6ABE" w:rsidRPr="00025B9C">
              <w:rPr>
                <w:rFonts w:asciiTheme="minorHAnsi" w:hAnsiTheme="minorHAnsi" w:cstheme="minorHAnsi"/>
                <w:sz w:val="22"/>
                <w:szCs w:val="22"/>
              </w:rPr>
              <w:t>corrective action</w:t>
            </w:r>
            <w:r w:rsidRPr="00025B9C">
              <w:rPr>
                <w:rFonts w:asciiTheme="minorHAnsi" w:hAnsiTheme="minorHAnsi" w:cstheme="minorHAnsi"/>
                <w:sz w:val="22"/>
                <w:szCs w:val="22"/>
              </w:rPr>
              <w:t xml:space="preserve"> in the future (no timescales)</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15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(0.089)</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6%</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12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(0.156)</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6%</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+75%</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1b</w:t>
            </w:r>
          </w:p>
        </w:tc>
        <w:tc>
          <w:tcPr>
            <w:tcW w:w="5343" w:type="dxa"/>
            <w:shd w:val="clear" w:color="auto" w:fill="auto"/>
          </w:tcPr>
          <w:p w:rsidR="008A234D" w:rsidRPr="00025B9C" w:rsidRDefault="00BA6ABE" w:rsidP="00D665D9">
            <w:pPr>
              <w:rPr>
                <w:rFonts w:asciiTheme="minorHAnsi" w:hAnsiTheme="minorHAnsi" w:cstheme="minorHAnsi"/>
                <w:sz w:val="22"/>
                <w:szCs w:val="22"/>
              </w:rPr>
            </w:pPr>
            <w:r w:rsidRPr="00025B9C">
              <w:rPr>
                <w:rFonts w:asciiTheme="minorHAnsi" w:hAnsiTheme="minorHAnsi" w:cstheme="minorHAnsi"/>
                <w:sz w:val="22"/>
                <w:szCs w:val="22"/>
              </w:rPr>
              <w:t>Corrective action</w:t>
            </w:r>
            <w:r w:rsidR="008A234D" w:rsidRPr="00025B9C">
              <w:rPr>
                <w:rFonts w:asciiTheme="minorHAnsi" w:hAnsiTheme="minorHAnsi" w:cstheme="minorHAnsi"/>
                <w:sz w:val="22"/>
                <w:szCs w:val="22"/>
              </w:rPr>
              <w:t xml:space="preserve"> to be taken with clear timescales</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13</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(0.077)</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5%</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6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(0.078)</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3%</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9D7D07"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+1%</w:t>
            </w:r>
          </w:p>
        </w:tc>
        <w:tc>
          <w:tcPr>
            <w:tcW w:w="992" w:type="dxa"/>
            <w:shd w:val="clear" w:color="auto" w:fill="auto"/>
          </w:tcPr>
          <w:p w:rsidR="008A234D" w:rsidRPr="00025B9C" w:rsidRDefault="008A234D" w:rsidP="00D665D9">
            <w:pPr>
              <w:jc w:val="right"/>
              <w:rPr>
                <w:rFonts w:asciiTheme="minorHAnsi" w:hAnsiTheme="minorHAnsi" w:cstheme="minorHAnsi"/>
                <w:strike/>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8a</w:t>
            </w:r>
          </w:p>
        </w:tc>
        <w:tc>
          <w:tcPr>
            <w:tcW w:w="5343" w:type="dxa"/>
            <w:shd w:val="clear" w:color="auto" w:fill="auto"/>
          </w:tcPr>
          <w:p w:rsidR="008A234D" w:rsidRPr="00025B9C" w:rsidRDefault="008A234D" w:rsidP="00D665D9">
            <w:pPr>
              <w:jc w:val="both"/>
              <w:rPr>
                <w:rFonts w:asciiTheme="minorHAnsi" w:hAnsiTheme="minorHAnsi" w:cstheme="minorHAnsi"/>
                <w:sz w:val="22"/>
                <w:szCs w:val="22"/>
              </w:rPr>
            </w:pPr>
            <w:r w:rsidRPr="00025B9C">
              <w:rPr>
                <w:rFonts w:asciiTheme="minorHAnsi" w:hAnsiTheme="minorHAnsi" w:cstheme="minorHAnsi"/>
                <w:sz w:val="22"/>
                <w:szCs w:val="22"/>
              </w:rPr>
              <w:t>Intimidation</w:t>
            </w:r>
            <w:r w:rsidR="007D578F" w:rsidRPr="00025B9C">
              <w:rPr>
                <w:rFonts w:asciiTheme="minorHAnsi" w:hAnsiTheme="minorHAnsi" w:cstheme="minorHAnsi"/>
                <w:sz w:val="22"/>
                <w:szCs w:val="22"/>
              </w:rPr>
              <w:t>/challenge</w:t>
            </w:r>
            <w:r w:rsidRPr="00025B9C">
              <w:rPr>
                <w:rFonts w:asciiTheme="minorHAnsi" w:hAnsiTheme="minorHAnsi" w:cstheme="minorHAnsi"/>
                <w:sz w:val="22"/>
                <w:szCs w:val="22"/>
              </w:rPr>
              <w:t xml:space="preserve"> – slight</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5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(0.030)</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(0.013)</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^-57%</w:t>
            </w: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5a</w:t>
            </w:r>
          </w:p>
        </w:tc>
        <w:tc>
          <w:tcPr>
            <w:tcW w:w="5343" w:type="dxa"/>
            <w:shd w:val="clear" w:color="auto" w:fill="auto"/>
          </w:tcPr>
          <w:p w:rsidR="008A234D" w:rsidRPr="00025B9C" w:rsidRDefault="008A234D" w:rsidP="00D665D9">
            <w:pPr>
              <w:jc w:val="both"/>
              <w:rPr>
                <w:rFonts w:asciiTheme="minorHAnsi" w:hAnsiTheme="minorHAnsi" w:cstheme="minorHAnsi"/>
                <w:sz w:val="22"/>
                <w:szCs w:val="22"/>
              </w:rPr>
            </w:pPr>
            <w:r w:rsidRPr="00025B9C">
              <w:rPr>
                <w:rFonts w:asciiTheme="minorHAnsi" w:hAnsiTheme="minorHAnsi" w:cstheme="minorHAnsi"/>
                <w:sz w:val="22"/>
                <w:szCs w:val="22"/>
              </w:rPr>
              <w:t>Attribution – external</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2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(0.012)</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0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^-100%</w:t>
            </w: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5d</w:t>
            </w:r>
          </w:p>
        </w:tc>
        <w:tc>
          <w:tcPr>
            <w:tcW w:w="5343" w:type="dxa"/>
            <w:shd w:val="clear" w:color="auto" w:fill="auto"/>
          </w:tcPr>
          <w:p w:rsidR="008A234D" w:rsidRPr="00025B9C" w:rsidRDefault="008A234D" w:rsidP="00D665D9">
            <w:pPr>
              <w:jc w:val="both"/>
              <w:rPr>
                <w:rFonts w:asciiTheme="minorHAnsi" w:hAnsiTheme="minorHAnsi" w:cstheme="minorHAnsi"/>
                <w:sz w:val="22"/>
                <w:szCs w:val="22"/>
              </w:rPr>
            </w:pPr>
            <w:r w:rsidRPr="00025B9C">
              <w:rPr>
                <w:rFonts w:asciiTheme="minorHAnsi" w:hAnsiTheme="minorHAnsi" w:cstheme="minorHAnsi"/>
                <w:sz w:val="22"/>
                <w:szCs w:val="22"/>
              </w:rPr>
              <w:t>Attribution – shareholders</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2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(0.012)</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(0.039)</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^+225%</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7</w:t>
            </w:r>
          </w:p>
        </w:tc>
        <w:tc>
          <w:tcPr>
            <w:tcW w:w="5343" w:type="dxa"/>
            <w:shd w:val="clear" w:color="auto" w:fill="auto"/>
          </w:tcPr>
          <w:p w:rsidR="008A234D" w:rsidRPr="00025B9C" w:rsidRDefault="008A234D" w:rsidP="00D665D9">
            <w:pPr>
              <w:jc w:val="both"/>
              <w:rPr>
                <w:rFonts w:asciiTheme="minorHAnsi" w:hAnsiTheme="minorHAnsi" w:cstheme="minorHAnsi"/>
                <w:sz w:val="22"/>
                <w:szCs w:val="22"/>
              </w:rPr>
            </w:pPr>
            <w:r w:rsidRPr="00025B9C">
              <w:rPr>
                <w:rFonts w:asciiTheme="minorHAnsi" w:hAnsiTheme="minorHAnsi" w:cstheme="minorHAnsi"/>
                <w:sz w:val="22"/>
                <w:szCs w:val="22"/>
              </w:rPr>
              <w:t xml:space="preserve">Self-promotion </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(0.006)</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7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(0.091)</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4%</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^+1417%</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5343" w:type="dxa"/>
            <w:shd w:val="clear" w:color="auto" w:fill="auto"/>
          </w:tcPr>
          <w:p w:rsidR="008A234D" w:rsidRPr="00025B9C" w:rsidRDefault="008A234D" w:rsidP="00D665D9">
            <w:pPr>
              <w:jc w:val="both"/>
              <w:rPr>
                <w:rFonts w:asciiTheme="minorHAnsi" w:hAnsiTheme="minorHAnsi" w:cstheme="minorHAnsi"/>
                <w:sz w:val="22"/>
                <w:szCs w:val="22"/>
              </w:rPr>
            </w:pPr>
            <w:r w:rsidRPr="00025B9C">
              <w:rPr>
                <w:rFonts w:asciiTheme="minorHAnsi" w:hAnsiTheme="minorHAnsi" w:cstheme="minorHAnsi"/>
                <w:sz w:val="22"/>
                <w:szCs w:val="22"/>
              </w:rPr>
              <w:t>Bolstering</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(0.018)</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4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(0.052)</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^+189%</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6</w:t>
            </w:r>
          </w:p>
        </w:tc>
        <w:tc>
          <w:tcPr>
            <w:tcW w:w="5343" w:type="dxa"/>
            <w:shd w:val="clear" w:color="auto" w:fill="auto"/>
          </w:tcPr>
          <w:p w:rsidR="008A234D" w:rsidRPr="00025B9C" w:rsidRDefault="008A234D" w:rsidP="00D665D9">
            <w:pPr>
              <w:jc w:val="both"/>
              <w:rPr>
                <w:rFonts w:asciiTheme="minorHAnsi" w:hAnsiTheme="minorHAnsi" w:cstheme="minorHAnsi"/>
                <w:sz w:val="22"/>
                <w:szCs w:val="22"/>
              </w:rPr>
            </w:pPr>
            <w:r w:rsidRPr="00025B9C">
              <w:rPr>
                <w:rFonts w:asciiTheme="minorHAnsi" w:hAnsiTheme="minorHAnsi" w:cstheme="minorHAnsi"/>
                <w:sz w:val="22"/>
                <w:szCs w:val="22"/>
              </w:rPr>
              <w:t>Ingratiation</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4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(0.052)</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284"/>
              <w:jc w:val="right"/>
              <w:rPr>
                <w:rFonts w:asciiTheme="minorHAnsi" w:hAnsiTheme="minorHAnsi" w:cstheme="minorHAnsi"/>
                <w:sz w:val="22"/>
                <w:szCs w:val="22"/>
              </w:rPr>
            </w:pPr>
            <w:r w:rsidRPr="00025B9C">
              <w:rPr>
                <w:rFonts w:asciiTheme="minorHAnsi" w:hAnsiTheme="minorHAnsi" w:cstheme="minorHAnsi"/>
                <w:sz w:val="22"/>
                <w:szCs w:val="22"/>
              </w:rPr>
              <w:t>^</w:t>
            </w:r>
            <w:r w:rsidRPr="00025B9C">
              <w:rPr>
                <w:rFonts w:asciiTheme="minorHAnsi" w:hAnsiTheme="minorHAnsi" w:cstheme="minorHAnsi"/>
                <w:sz w:val="22"/>
                <w:szCs w:val="22"/>
                <w:vertAlign w:val="subscript"/>
              </w:rPr>
              <w:t>increase from zero</w:t>
            </w: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z w:val="22"/>
                <w:szCs w:val="22"/>
              </w:rPr>
            </w:pPr>
            <w:r w:rsidRPr="00025B9C">
              <w:rPr>
                <w:rFonts w:asciiTheme="minorHAnsi" w:hAnsiTheme="minorHAnsi" w:cstheme="minorHAnsi"/>
                <w:sz w:val="22"/>
                <w:szCs w:val="22"/>
              </w:rPr>
              <w:t>8b</w:t>
            </w:r>
          </w:p>
        </w:tc>
        <w:tc>
          <w:tcPr>
            <w:tcW w:w="5343" w:type="dxa"/>
            <w:shd w:val="clear" w:color="auto" w:fill="auto"/>
          </w:tcPr>
          <w:p w:rsidR="008A234D" w:rsidRPr="00025B9C" w:rsidRDefault="008A234D" w:rsidP="003634C4">
            <w:pPr>
              <w:jc w:val="both"/>
              <w:rPr>
                <w:rFonts w:asciiTheme="minorHAnsi" w:hAnsiTheme="minorHAnsi" w:cstheme="minorHAnsi"/>
                <w:sz w:val="22"/>
                <w:szCs w:val="22"/>
              </w:rPr>
            </w:pPr>
            <w:r w:rsidRPr="00025B9C">
              <w:rPr>
                <w:rFonts w:asciiTheme="minorHAnsi" w:hAnsiTheme="minorHAnsi" w:cstheme="minorHAnsi"/>
                <w:sz w:val="22"/>
                <w:szCs w:val="22"/>
              </w:rPr>
              <w:t>Intimidation</w:t>
            </w:r>
            <w:r w:rsidR="007D578F" w:rsidRPr="00025B9C">
              <w:rPr>
                <w:rFonts w:asciiTheme="minorHAnsi" w:hAnsiTheme="minorHAnsi" w:cstheme="minorHAnsi"/>
                <w:sz w:val="22"/>
                <w:szCs w:val="22"/>
              </w:rPr>
              <w:t>/challenge</w:t>
            </w:r>
            <w:r w:rsidRPr="00025B9C">
              <w:rPr>
                <w:rFonts w:asciiTheme="minorHAnsi" w:hAnsiTheme="minorHAnsi" w:cstheme="minorHAnsi"/>
                <w:sz w:val="22"/>
                <w:szCs w:val="22"/>
              </w:rPr>
              <w:t xml:space="preserve"> – </w:t>
            </w:r>
            <w:r w:rsidR="00755F7C" w:rsidRPr="00025B9C">
              <w:rPr>
                <w:rFonts w:asciiTheme="minorHAnsi" w:hAnsiTheme="minorHAnsi" w:cstheme="minorHAnsi"/>
                <w:sz w:val="22"/>
                <w:szCs w:val="22"/>
              </w:rPr>
              <w:t>m</w:t>
            </w:r>
            <w:r w:rsidR="003634C4" w:rsidRPr="00025B9C">
              <w:rPr>
                <w:rFonts w:asciiTheme="minorHAnsi" w:hAnsiTheme="minorHAnsi" w:cstheme="minorHAnsi"/>
                <w:sz w:val="22"/>
                <w:szCs w:val="22"/>
              </w:rPr>
              <w:t>ore aggressive</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1 </w:t>
            </w:r>
          </w:p>
        </w:tc>
        <w:tc>
          <w:tcPr>
            <w:tcW w:w="992" w:type="dxa"/>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(0.006)</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0%</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sz w:val="22"/>
                <w:szCs w:val="22"/>
              </w:rPr>
            </w:pPr>
          </w:p>
        </w:tc>
        <w:tc>
          <w:tcPr>
            <w:tcW w:w="992"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^-100%</w:t>
            </w:r>
          </w:p>
        </w:tc>
      </w:tr>
      <w:tr w:rsidR="00025B9C" w:rsidRPr="00025B9C" w:rsidTr="008D6226">
        <w:trPr>
          <w:jc w:val="center"/>
        </w:trPr>
        <w:tc>
          <w:tcPr>
            <w:tcW w:w="426" w:type="dxa"/>
            <w:shd w:val="clear" w:color="auto" w:fill="auto"/>
          </w:tcPr>
          <w:p w:rsidR="008A234D" w:rsidRPr="00025B9C" w:rsidRDefault="008A234D" w:rsidP="00D665D9">
            <w:pPr>
              <w:ind w:left="-134"/>
              <w:jc w:val="right"/>
              <w:rPr>
                <w:rFonts w:asciiTheme="minorHAnsi" w:hAnsiTheme="minorHAnsi" w:cstheme="minorHAnsi"/>
                <w:strike/>
                <w:sz w:val="22"/>
                <w:szCs w:val="22"/>
              </w:rPr>
            </w:pPr>
            <w:r w:rsidRPr="00025B9C">
              <w:rPr>
                <w:rFonts w:asciiTheme="minorHAnsi" w:hAnsiTheme="minorHAnsi" w:cstheme="minorHAnsi"/>
                <w:sz w:val="22"/>
                <w:szCs w:val="22"/>
              </w:rPr>
              <w:t>1d</w:t>
            </w:r>
          </w:p>
        </w:tc>
        <w:tc>
          <w:tcPr>
            <w:tcW w:w="5343" w:type="dxa"/>
            <w:shd w:val="clear" w:color="auto" w:fill="auto"/>
          </w:tcPr>
          <w:p w:rsidR="008A234D" w:rsidRPr="00025B9C" w:rsidRDefault="008A234D" w:rsidP="00D665D9">
            <w:pPr>
              <w:rPr>
                <w:rFonts w:asciiTheme="minorHAnsi" w:hAnsiTheme="minorHAnsi" w:cstheme="minorHAnsi"/>
                <w:strike/>
                <w:sz w:val="22"/>
                <w:szCs w:val="22"/>
              </w:rPr>
            </w:pPr>
            <w:r w:rsidRPr="00025B9C">
              <w:rPr>
                <w:rFonts w:asciiTheme="minorHAnsi" w:hAnsiTheme="minorHAnsi" w:cstheme="minorHAnsi"/>
                <w:sz w:val="22"/>
                <w:szCs w:val="22"/>
              </w:rPr>
              <w:t>Keep situation under review</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6 </w:t>
            </w:r>
          </w:p>
        </w:tc>
        <w:tc>
          <w:tcPr>
            <w:tcW w:w="992" w:type="dxa"/>
            <w:shd w:val="clear" w:color="auto" w:fill="auto"/>
          </w:tcPr>
          <w:p w:rsidR="008A234D" w:rsidRPr="00025B9C" w:rsidRDefault="008A234D" w:rsidP="00FD0697">
            <w:pPr>
              <w:jc w:val="center"/>
              <w:rPr>
                <w:rFonts w:asciiTheme="minorHAnsi" w:hAnsiTheme="minorHAnsi" w:cstheme="minorHAnsi"/>
                <w:sz w:val="22"/>
                <w:szCs w:val="22"/>
              </w:rPr>
            </w:pPr>
            <w:r w:rsidRPr="00025B9C">
              <w:rPr>
                <w:rFonts w:asciiTheme="minorHAnsi" w:hAnsiTheme="minorHAnsi" w:cstheme="minorHAnsi"/>
                <w:sz w:val="22"/>
                <w:szCs w:val="22"/>
              </w:rPr>
              <w:t>(0.036)</w:t>
            </w:r>
          </w:p>
        </w:tc>
        <w:tc>
          <w:tcPr>
            <w:tcW w:w="709" w:type="dxa"/>
            <w:shd w:val="clear" w:color="auto" w:fill="auto"/>
          </w:tcPr>
          <w:p w:rsidR="008A234D" w:rsidRPr="00025B9C" w:rsidRDefault="008A234D" w:rsidP="00D665D9">
            <w:pPr>
              <w:tabs>
                <w:tab w:val="left" w:pos="315"/>
                <w:tab w:val="center" w:pos="802"/>
              </w:tabs>
              <w:jc w:val="right"/>
              <w:rPr>
                <w:rFonts w:asciiTheme="minorHAnsi" w:hAnsiTheme="minorHAnsi" w:cstheme="minorHAnsi"/>
                <w:sz w:val="22"/>
                <w:szCs w:val="22"/>
              </w:rPr>
            </w:pPr>
            <w:r w:rsidRPr="00025B9C">
              <w:rPr>
                <w:rFonts w:asciiTheme="minorHAnsi" w:hAnsiTheme="minorHAnsi" w:cstheme="minorHAnsi"/>
                <w:sz w:val="22"/>
                <w:szCs w:val="22"/>
              </w:rPr>
              <w:t>2%</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trike/>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 xml:space="preserve">3 </w:t>
            </w:r>
          </w:p>
        </w:tc>
        <w:tc>
          <w:tcPr>
            <w:tcW w:w="992" w:type="dxa"/>
            <w:gridSpan w:val="2"/>
            <w:shd w:val="clear" w:color="auto" w:fill="auto"/>
          </w:tcPr>
          <w:p w:rsidR="008A234D" w:rsidRPr="00025B9C" w:rsidRDefault="008A234D" w:rsidP="00D665D9">
            <w:pPr>
              <w:jc w:val="center"/>
              <w:rPr>
                <w:rFonts w:asciiTheme="minorHAnsi" w:hAnsiTheme="minorHAnsi" w:cstheme="minorHAnsi"/>
                <w:sz w:val="22"/>
                <w:szCs w:val="22"/>
              </w:rPr>
            </w:pPr>
            <w:r w:rsidRPr="00025B9C">
              <w:rPr>
                <w:rFonts w:asciiTheme="minorHAnsi" w:hAnsiTheme="minorHAnsi" w:cstheme="minorHAnsi"/>
                <w:sz w:val="22"/>
                <w:szCs w:val="22"/>
              </w:rPr>
              <w:t>(0.039)</w:t>
            </w:r>
          </w:p>
        </w:tc>
        <w:tc>
          <w:tcPr>
            <w:tcW w:w="709" w:type="dxa"/>
            <w:shd w:val="clear" w:color="auto" w:fill="auto"/>
          </w:tcPr>
          <w:p w:rsidR="008A234D" w:rsidRPr="00025B9C" w:rsidRDefault="008A234D" w:rsidP="00D665D9">
            <w:pPr>
              <w:jc w:val="right"/>
              <w:rPr>
                <w:rFonts w:asciiTheme="minorHAnsi" w:hAnsiTheme="minorHAnsi" w:cstheme="minorHAnsi"/>
                <w:sz w:val="22"/>
                <w:szCs w:val="22"/>
              </w:rPr>
            </w:pPr>
            <w:r w:rsidRPr="00025B9C">
              <w:rPr>
                <w:rFonts w:asciiTheme="minorHAnsi" w:hAnsiTheme="minorHAnsi" w:cstheme="minorHAnsi"/>
                <w:sz w:val="22"/>
                <w:szCs w:val="22"/>
              </w:rPr>
              <w:t>1%</w:t>
            </w:r>
          </w:p>
        </w:tc>
        <w:tc>
          <w:tcPr>
            <w:tcW w:w="992" w:type="dxa"/>
            <w:shd w:val="clear" w:color="auto" w:fill="BFBFBF" w:themeFill="background1" w:themeFillShade="BF"/>
          </w:tcPr>
          <w:p w:rsidR="008A234D" w:rsidRPr="00025B9C" w:rsidRDefault="008A234D" w:rsidP="00D665D9">
            <w:pPr>
              <w:rPr>
                <w:rFonts w:asciiTheme="minorHAnsi" w:hAnsiTheme="minorHAnsi" w:cstheme="minorHAnsi"/>
                <w:strike/>
                <w:sz w:val="22"/>
                <w:szCs w:val="22"/>
              </w:rPr>
            </w:pPr>
          </w:p>
        </w:tc>
        <w:tc>
          <w:tcPr>
            <w:tcW w:w="1276" w:type="dxa"/>
            <w:shd w:val="clear" w:color="auto" w:fill="auto"/>
          </w:tcPr>
          <w:p w:rsidR="008A234D" w:rsidRPr="00025B9C" w:rsidRDefault="009D7D07" w:rsidP="00D665D9">
            <w:pPr>
              <w:ind w:left="-118"/>
              <w:jc w:val="right"/>
              <w:rPr>
                <w:rFonts w:asciiTheme="minorHAnsi" w:hAnsiTheme="minorHAnsi" w:cstheme="minorHAnsi"/>
                <w:sz w:val="22"/>
                <w:szCs w:val="22"/>
              </w:rPr>
            </w:pPr>
            <w:r w:rsidRPr="00025B9C">
              <w:rPr>
                <w:rFonts w:asciiTheme="minorHAnsi" w:hAnsiTheme="minorHAnsi" w:cstheme="minorHAnsi"/>
                <w:sz w:val="22"/>
                <w:szCs w:val="22"/>
              </w:rPr>
              <w:t>+8%</w:t>
            </w:r>
          </w:p>
        </w:tc>
        <w:tc>
          <w:tcPr>
            <w:tcW w:w="992" w:type="dxa"/>
            <w:shd w:val="clear" w:color="auto" w:fill="auto"/>
          </w:tcPr>
          <w:p w:rsidR="008A234D" w:rsidRPr="00025B9C" w:rsidRDefault="008A234D" w:rsidP="00D665D9">
            <w:pPr>
              <w:jc w:val="right"/>
              <w:rPr>
                <w:rFonts w:asciiTheme="minorHAnsi" w:hAnsiTheme="minorHAnsi" w:cstheme="minorHAnsi"/>
                <w:strike/>
                <w:sz w:val="22"/>
                <w:szCs w:val="22"/>
              </w:rPr>
            </w:pPr>
          </w:p>
        </w:tc>
      </w:tr>
      <w:tr w:rsidR="00025B9C" w:rsidRPr="00025B9C" w:rsidTr="008D6226">
        <w:trPr>
          <w:jc w:val="center"/>
        </w:trPr>
        <w:tc>
          <w:tcPr>
            <w:tcW w:w="5769" w:type="dxa"/>
            <w:gridSpan w:val="2"/>
            <w:shd w:val="clear" w:color="auto" w:fill="auto"/>
          </w:tcPr>
          <w:p w:rsidR="008A234D" w:rsidRPr="00025B9C" w:rsidRDefault="00FD0697" w:rsidP="00D665D9">
            <w:pPr>
              <w:jc w:val="both"/>
              <w:rPr>
                <w:rFonts w:asciiTheme="minorHAnsi" w:hAnsiTheme="minorHAnsi" w:cstheme="minorHAnsi"/>
                <w:b/>
                <w:sz w:val="22"/>
                <w:szCs w:val="22"/>
              </w:rPr>
            </w:pPr>
            <w:r w:rsidRPr="00025B9C">
              <w:rPr>
                <w:rFonts w:asciiTheme="minorHAnsi" w:hAnsiTheme="minorHAnsi" w:cstheme="minorHAnsi"/>
                <w:b/>
                <w:sz w:val="22"/>
                <w:szCs w:val="22"/>
              </w:rPr>
              <w:t>Total strategies (excluding 9c and 9</w:t>
            </w:r>
            <w:r w:rsidR="00BC11CF" w:rsidRPr="00025B9C">
              <w:rPr>
                <w:rFonts w:asciiTheme="minorHAnsi" w:hAnsiTheme="minorHAnsi" w:cstheme="minorHAnsi"/>
                <w:b/>
                <w:sz w:val="22"/>
                <w:szCs w:val="22"/>
              </w:rPr>
              <w:t>d shown separately</w:t>
            </w:r>
            <w:r w:rsidR="00755F7C" w:rsidRPr="00025B9C">
              <w:rPr>
                <w:rFonts w:asciiTheme="minorHAnsi" w:hAnsiTheme="minorHAnsi" w:cstheme="minorHAnsi"/>
                <w:b/>
                <w:sz w:val="22"/>
                <w:szCs w:val="22"/>
              </w:rPr>
              <w:t xml:space="preserve"> </w:t>
            </w:r>
            <w:r w:rsidR="00BC11CF" w:rsidRPr="00025B9C">
              <w:rPr>
                <w:rFonts w:asciiTheme="minorHAnsi" w:hAnsiTheme="minorHAnsi" w:cstheme="minorHAnsi"/>
                <w:b/>
                <w:sz w:val="22"/>
                <w:szCs w:val="22"/>
                <w:vertAlign w:val="superscript"/>
              </w:rPr>
              <w:t>Note 2</w:t>
            </w:r>
            <w:r w:rsidR="008A234D" w:rsidRPr="00025B9C">
              <w:rPr>
                <w:rFonts w:asciiTheme="minorHAnsi" w:hAnsiTheme="minorHAnsi" w:cstheme="minorHAnsi"/>
                <w:b/>
                <w:sz w:val="22"/>
                <w:szCs w:val="22"/>
              </w:rPr>
              <w:t>)</w:t>
            </w:r>
          </w:p>
        </w:tc>
        <w:tc>
          <w:tcPr>
            <w:tcW w:w="709" w:type="dxa"/>
            <w:shd w:val="clear" w:color="auto" w:fill="auto"/>
          </w:tcPr>
          <w:p w:rsidR="008A234D" w:rsidRPr="00025B9C" w:rsidRDefault="008A234D" w:rsidP="00D665D9">
            <w:pPr>
              <w:jc w:val="right"/>
              <w:rPr>
                <w:rFonts w:asciiTheme="minorHAnsi" w:hAnsiTheme="minorHAnsi" w:cstheme="minorHAnsi"/>
                <w:b/>
                <w:sz w:val="22"/>
                <w:szCs w:val="22"/>
              </w:rPr>
            </w:pPr>
            <w:r w:rsidRPr="00025B9C">
              <w:rPr>
                <w:rFonts w:asciiTheme="minorHAnsi" w:hAnsiTheme="minorHAnsi" w:cstheme="minorHAnsi"/>
                <w:b/>
                <w:sz w:val="22"/>
                <w:szCs w:val="22"/>
              </w:rPr>
              <w:t>265</w:t>
            </w:r>
          </w:p>
        </w:tc>
        <w:tc>
          <w:tcPr>
            <w:tcW w:w="992" w:type="dxa"/>
            <w:shd w:val="clear" w:color="auto" w:fill="auto"/>
          </w:tcPr>
          <w:p w:rsidR="008A234D" w:rsidRPr="00025B9C" w:rsidRDefault="00FD0697" w:rsidP="00FD0697">
            <w:pPr>
              <w:ind w:left="-107"/>
              <w:jc w:val="center"/>
              <w:rPr>
                <w:rFonts w:asciiTheme="minorHAnsi" w:hAnsiTheme="minorHAnsi" w:cstheme="minorHAnsi"/>
                <w:b/>
                <w:sz w:val="22"/>
                <w:szCs w:val="22"/>
              </w:rPr>
            </w:pPr>
            <w:r w:rsidRPr="00025B9C">
              <w:rPr>
                <w:rFonts w:asciiTheme="minorHAnsi" w:hAnsiTheme="minorHAnsi" w:cstheme="minorHAnsi"/>
                <w:b/>
                <w:sz w:val="22"/>
                <w:szCs w:val="22"/>
              </w:rPr>
              <w:t xml:space="preserve"> </w:t>
            </w:r>
            <w:r w:rsidR="008A234D" w:rsidRPr="00025B9C">
              <w:rPr>
                <w:rFonts w:asciiTheme="minorHAnsi" w:hAnsiTheme="minorHAnsi" w:cstheme="minorHAnsi"/>
                <w:b/>
                <w:sz w:val="22"/>
                <w:szCs w:val="22"/>
              </w:rPr>
              <w:t>(1.577)</w:t>
            </w:r>
          </w:p>
        </w:tc>
        <w:tc>
          <w:tcPr>
            <w:tcW w:w="709" w:type="dxa"/>
            <w:shd w:val="clear" w:color="auto" w:fill="auto"/>
          </w:tcPr>
          <w:p w:rsidR="008A234D" w:rsidRPr="00025B9C" w:rsidRDefault="008A234D" w:rsidP="00D665D9">
            <w:pPr>
              <w:ind w:left="-108"/>
              <w:jc w:val="right"/>
              <w:rPr>
                <w:rFonts w:asciiTheme="minorHAnsi" w:hAnsiTheme="minorHAnsi" w:cstheme="minorHAnsi"/>
                <w:b/>
                <w:sz w:val="22"/>
                <w:szCs w:val="22"/>
              </w:rPr>
            </w:pPr>
            <w:r w:rsidRPr="00025B9C">
              <w:rPr>
                <w:rFonts w:asciiTheme="minorHAnsi" w:hAnsiTheme="minorHAnsi" w:cstheme="minorHAnsi"/>
                <w:b/>
                <w:sz w:val="22"/>
                <w:szCs w:val="22"/>
              </w:rPr>
              <w:t>100%</w:t>
            </w:r>
          </w:p>
        </w:tc>
        <w:tc>
          <w:tcPr>
            <w:tcW w:w="992" w:type="dxa"/>
            <w:shd w:val="clear" w:color="auto" w:fill="BFBFBF" w:themeFill="background1" w:themeFillShade="BF"/>
          </w:tcPr>
          <w:p w:rsidR="008A234D" w:rsidRPr="00025B9C" w:rsidRDefault="008A234D" w:rsidP="00D665D9">
            <w:pPr>
              <w:jc w:val="center"/>
              <w:rPr>
                <w:rFonts w:asciiTheme="minorHAnsi" w:hAnsiTheme="minorHAnsi" w:cstheme="minorHAnsi"/>
                <w:b/>
                <w:sz w:val="22"/>
                <w:szCs w:val="22"/>
              </w:rPr>
            </w:pPr>
          </w:p>
        </w:tc>
        <w:tc>
          <w:tcPr>
            <w:tcW w:w="567" w:type="dxa"/>
            <w:shd w:val="clear" w:color="auto" w:fill="auto"/>
          </w:tcPr>
          <w:p w:rsidR="008A234D" w:rsidRPr="00025B9C" w:rsidRDefault="008A234D" w:rsidP="00D665D9">
            <w:pPr>
              <w:jc w:val="right"/>
              <w:rPr>
                <w:rFonts w:asciiTheme="minorHAnsi" w:hAnsiTheme="minorHAnsi" w:cstheme="minorHAnsi"/>
                <w:b/>
                <w:sz w:val="22"/>
                <w:szCs w:val="22"/>
              </w:rPr>
            </w:pPr>
            <w:r w:rsidRPr="00025B9C">
              <w:rPr>
                <w:rFonts w:asciiTheme="minorHAnsi" w:hAnsiTheme="minorHAnsi" w:cstheme="minorHAnsi"/>
                <w:b/>
                <w:sz w:val="22"/>
                <w:szCs w:val="22"/>
              </w:rPr>
              <w:t>197</w:t>
            </w:r>
          </w:p>
        </w:tc>
        <w:tc>
          <w:tcPr>
            <w:tcW w:w="992" w:type="dxa"/>
            <w:gridSpan w:val="2"/>
            <w:shd w:val="clear" w:color="auto" w:fill="auto"/>
          </w:tcPr>
          <w:p w:rsidR="008A234D" w:rsidRPr="00025B9C" w:rsidRDefault="008A234D" w:rsidP="00D665D9">
            <w:pPr>
              <w:jc w:val="center"/>
              <w:rPr>
                <w:rFonts w:asciiTheme="minorHAnsi" w:hAnsiTheme="minorHAnsi" w:cstheme="minorHAnsi"/>
                <w:b/>
                <w:sz w:val="22"/>
                <w:szCs w:val="22"/>
              </w:rPr>
            </w:pPr>
            <w:r w:rsidRPr="00025B9C">
              <w:rPr>
                <w:rFonts w:asciiTheme="minorHAnsi" w:hAnsiTheme="minorHAnsi" w:cstheme="minorHAnsi"/>
                <w:b/>
                <w:sz w:val="22"/>
                <w:szCs w:val="22"/>
              </w:rPr>
              <w:t xml:space="preserve"> (2.558)</w:t>
            </w:r>
          </w:p>
        </w:tc>
        <w:tc>
          <w:tcPr>
            <w:tcW w:w="709" w:type="dxa"/>
            <w:shd w:val="clear" w:color="auto" w:fill="auto"/>
          </w:tcPr>
          <w:p w:rsidR="008A234D" w:rsidRPr="00025B9C" w:rsidRDefault="008A234D" w:rsidP="00D665D9">
            <w:pPr>
              <w:ind w:left="-108"/>
              <w:jc w:val="right"/>
              <w:rPr>
                <w:rFonts w:asciiTheme="minorHAnsi" w:hAnsiTheme="minorHAnsi" w:cstheme="minorHAnsi"/>
                <w:b/>
                <w:sz w:val="22"/>
                <w:szCs w:val="22"/>
              </w:rPr>
            </w:pPr>
            <w:r w:rsidRPr="00025B9C">
              <w:rPr>
                <w:rFonts w:asciiTheme="minorHAnsi" w:hAnsiTheme="minorHAnsi" w:cstheme="minorHAnsi"/>
                <w:b/>
                <w:sz w:val="22"/>
                <w:szCs w:val="22"/>
              </w:rPr>
              <w:t>100%</w:t>
            </w:r>
          </w:p>
        </w:tc>
        <w:tc>
          <w:tcPr>
            <w:tcW w:w="992" w:type="dxa"/>
            <w:shd w:val="clear" w:color="auto" w:fill="BFBFBF" w:themeFill="background1" w:themeFillShade="BF"/>
          </w:tcPr>
          <w:p w:rsidR="008A234D" w:rsidRPr="00025B9C" w:rsidRDefault="008A234D" w:rsidP="00D665D9">
            <w:pPr>
              <w:jc w:val="both"/>
              <w:rPr>
                <w:rFonts w:asciiTheme="minorHAnsi" w:hAnsiTheme="minorHAnsi" w:cstheme="minorHAnsi"/>
                <w:sz w:val="22"/>
                <w:szCs w:val="22"/>
              </w:rPr>
            </w:pPr>
          </w:p>
        </w:tc>
        <w:tc>
          <w:tcPr>
            <w:tcW w:w="1276" w:type="dxa"/>
            <w:shd w:val="clear" w:color="auto" w:fill="auto"/>
          </w:tcPr>
          <w:p w:rsidR="008A234D" w:rsidRPr="00025B9C" w:rsidRDefault="008A234D" w:rsidP="00D665D9">
            <w:pPr>
              <w:ind w:left="-118"/>
              <w:jc w:val="right"/>
              <w:rPr>
                <w:rFonts w:asciiTheme="minorHAnsi" w:hAnsiTheme="minorHAnsi" w:cstheme="minorHAnsi"/>
                <w:b/>
                <w:sz w:val="22"/>
                <w:szCs w:val="22"/>
              </w:rPr>
            </w:pPr>
            <w:r w:rsidRPr="00025B9C">
              <w:rPr>
                <w:rFonts w:asciiTheme="minorHAnsi" w:hAnsiTheme="minorHAnsi" w:cstheme="minorHAnsi"/>
                <w:b/>
                <w:sz w:val="22"/>
                <w:szCs w:val="22"/>
              </w:rPr>
              <w:t>+62%</w:t>
            </w:r>
          </w:p>
        </w:tc>
        <w:tc>
          <w:tcPr>
            <w:tcW w:w="992" w:type="dxa"/>
            <w:shd w:val="clear" w:color="auto" w:fill="auto"/>
          </w:tcPr>
          <w:p w:rsidR="008A234D" w:rsidRPr="00025B9C" w:rsidRDefault="008A234D" w:rsidP="00D665D9">
            <w:pPr>
              <w:jc w:val="right"/>
              <w:rPr>
                <w:rFonts w:asciiTheme="minorHAnsi" w:hAnsiTheme="minorHAnsi" w:cstheme="minorHAnsi"/>
                <w:b/>
                <w:sz w:val="22"/>
                <w:szCs w:val="22"/>
              </w:rPr>
            </w:pPr>
          </w:p>
        </w:tc>
      </w:tr>
      <w:tr w:rsidR="00025B9C" w:rsidRPr="00025B9C" w:rsidTr="008D6226">
        <w:trPr>
          <w:jc w:val="center"/>
        </w:trPr>
        <w:tc>
          <w:tcPr>
            <w:tcW w:w="426" w:type="dxa"/>
            <w:shd w:val="clear" w:color="auto" w:fill="auto"/>
          </w:tcPr>
          <w:p w:rsidR="008D6226" w:rsidRPr="00025B9C" w:rsidRDefault="008D6226" w:rsidP="00D665D9">
            <w:pPr>
              <w:ind w:left="-134"/>
              <w:jc w:val="right"/>
              <w:rPr>
                <w:rFonts w:asciiTheme="minorHAnsi" w:hAnsiTheme="minorHAnsi" w:cstheme="minorHAnsi"/>
                <w:sz w:val="22"/>
                <w:szCs w:val="22"/>
              </w:rPr>
            </w:pPr>
          </w:p>
        </w:tc>
        <w:tc>
          <w:tcPr>
            <w:tcW w:w="5343" w:type="dxa"/>
            <w:shd w:val="clear" w:color="auto" w:fill="auto"/>
          </w:tcPr>
          <w:p w:rsidR="008D6226" w:rsidRPr="00025B9C" w:rsidRDefault="008D6226" w:rsidP="00D665D9">
            <w:pPr>
              <w:jc w:val="both"/>
              <w:rPr>
                <w:rFonts w:asciiTheme="minorHAnsi" w:hAnsiTheme="minorHAnsi" w:cstheme="minorHAnsi"/>
                <w:sz w:val="22"/>
                <w:szCs w:val="22"/>
              </w:rPr>
            </w:pPr>
          </w:p>
        </w:tc>
        <w:tc>
          <w:tcPr>
            <w:tcW w:w="2410" w:type="dxa"/>
            <w:gridSpan w:val="3"/>
            <w:shd w:val="clear" w:color="auto" w:fill="auto"/>
          </w:tcPr>
          <w:p w:rsidR="008D6226" w:rsidRPr="00025B9C" w:rsidRDefault="008D6226" w:rsidP="00D665D9">
            <w:pPr>
              <w:jc w:val="center"/>
              <w:rPr>
                <w:rFonts w:asciiTheme="minorHAnsi" w:hAnsiTheme="minorHAnsi" w:cstheme="minorHAnsi"/>
                <w:sz w:val="22"/>
                <w:szCs w:val="22"/>
              </w:rPr>
            </w:pPr>
          </w:p>
        </w:tc>
        <w:tc>
          <w:tcPr>
            <w:tcW w:w="992" w:type="dxa"/>
            <w:shd w:val="clear" w:color="auto" w:fill="BFBFBF" w:themeFill="background1" w:themeFillShade="BF"/>
          </w:tcPr>
          <w:p w:rsidR="008D6226" w:rsidRPr="00025B9C" w:rsidRDefault="008D6226" w:rsidP="00D665D9">
            <w:pPr>
              <w:jc w:val="center"/>
              <w:rPr>
                <w:rFonts w:asciiTheme="minorHAnsi" w:hAnsiTheme="minorHAnsi" w:cstheme="minorHAnsi"/>
                <w:sz w:val="22"/>
                <w:szCs w:val="22"/>
              </w:rPr>
            </w:pPr>
          </w:p>
        </w:tc>
        <w:tc>
          <w:tcPr>
            <w:tcW w:w="2268" w:type="dxa"/>
            <w:gridSpan w:val="4"/>
            <w:shd w:val="clear" w:color="auto" w:fill="auto"/>
          </w:tcPr>
          <w:p w:rsidR="008D6226" w:rsidRPr="00025B9C" w:rsidRDefault="008D6226" w:rsidP="00D665D9">
            <w:pPr>
              <w:jc w:val="center"/>
              <w:rPr>
                <w:rFonts w:asciiTheme="minorHAnsi" w:hAnsiTheme="minorHAnsi" w:cstheme="minorHAnsi"/>
                <w:sz w:val="22"/>
                <w:szCs w:val="22"/>
              </w:rPr>
            </w:pPr>
          </w:p>
        </w:tc>
        <w:tc>
          <w:tcPr>
            <w:tcW w:w="992" w:type="dxa"/>
            <w:shd w:val="clear" w:color="auto" w:fill="BFBFBF" w:themeFill="background1" w:themeFillShade="BF"/>
          </w:tcPr>
          <w:p w:rsidR="008D6226" w:rsidRPr="00025B9C" w:rsidRDefault="008D6226" w:rsidP="00D665D9">
            <w:pPr>
              <w:jc w:val="both"/>
              <w:rPr>
                <w:rFonts w:asciiTheme="minorHAnsi" w:hAnsiTheme="minorHAnsi" w:cstheme="minorHAnsi"/>
                <w:sz w:val="22"/>
                <w:szCs w:val="22"/>
              </w:rPr>
            </w:pPr>
          </w:p>
        </w:tc>
        <w:tc>
          <w:tcPr>
            <w:tcW w:w="1276" w:type="dxa"/>
            <w:shd w:val="clear" w:color="auto" w:fill="auto"/>
          </w:tcPr>
          <w:p w:rsidR="008D6226" w:rsidRPr="00025B9C" w:rsidRDefault="008D6226" w:rsidP="00D665D9">
            <w:pPr>
              <w:ind w:left="-118"/>
              <w:jc w:val="right"/>
              <w:rPr>
                <w:rFonts w:asciiTheme="minorHAnsi" w:hAnsiTheme="minorHAnsi" w:cstheme="minorHAnsi"/>
                <w:sz w:val="22"/>
                <w:szCs w:val="22"/>
              </w:rPr>
            </w:pPr>
          </w:p>
        </w:tc>
        <w:tc>
          <w:tcPr>
            <w:tcW w:w="992" w:type="dxa"/>
          </w:tcPr>
          <w:p w:rsidR="008D6226" w:rsidRPr="00025B9C" w:rsidRDefault="008D6226" w:rsidP="00D665D9">
            <w:pPr>
              <w:jc w:val="right"/>
              <w:rPr>
                <w:rFonts w:asciiTheme="minorHAnsi" w:hAnsiTheme="minorHAnsi" w:cstheme="minorHAnsi"/>
                <w:sz w:val="22"/>
                <w:szCs w:val="22"/>
              </w:rPr>
            </w:pPr>
          </w:p>
        </w:tc>
      </w:tr>
      <w:tr w:rsidR="00025B9C" w:rsidRPr="00025B9C" w:rsidTr="00FD0697">
        <w:trPr>
          <w:jc w:val="center"/>
        </w:trPr>
        <w:tc>
          <w:tcPr>
            <w:tcW w:w="426" w:type="dxa"/>
            <w:shd w:val="clear" w:color="auto" w:fill="auto"/>
          </w:tcPr>
          <w:p w:rsidR="00FD0697" w:rsidRPr="00025B9C" w:rsidRDefault="00FD0697" w:rsidP="00FD0697">
            <w:pPr>
              <w:ind w:left="-134"/>
              <w:jc w:val="right"/>
              <w:rPr>
                <w:rFonts w:asciiTheme="minorHAnsi" w:hAnsiTheme="minorHAnsi" w:cstheme="minorHAnsi"/>
                <w:sz w:val="22"/>
                <w:szCs w:val="22"/>
              </w:rPr>
            </w:pPr>
            <w:r w:rsidRPr="00025B9C">
              <w:rPr>
                <w:rFonts w:asciiTheme="minorHAnsi" w:hAnsiTheme="minorHAnsi" w:cstheme="minorHAnsi"/>
                <w:sz w:val="22"/>
                <w:szCs w:val="22"/>
              </w:rPr>
              <w:t>9c</w:t>
            </w:r>
          </w:p>
        </w:tc>
        <w:tc>
          <w:tcPr>
            <w:tcW w:w="5343" w:type="dxa"/>
            <w:shd w:val="clear" w:color="auto" w:fill="auto"/>
          </w:tcPr>
          <w:p w:rsidR="00FD0697" w:rsidRPr="00025B9C" w:rsidRDefault="00FD0697" w:rsidP="007E74E6">
            <w:pPr>
              <w:jc w:val="both"/>
              <w:rPr>
                <w:rFonts w:asciiTheme="minorHAnsi" w:hAnsiTheme="minorHAnsi" w:cstheme="minorHAnsi"/>
                <w:sz w:val="22"/>
                <w:szCs w:val="22"/>
              </w:rPr>
            </w:pPr>
            <w:r w:rsidRPr="00025B9C">
              <w:rPr>
                <w:rFonts w:asciiTheme="minorHAnsi" w:hAnsiTheme="minorHAnsi" w:cstheme="minorHAnsi"/>
                <w:sz w:val="22"/>
                <w:szCs w:val="22"/>
              </w:rPr>
              <w:t xml:space="preserve"> </w:t>
            </w:r>
            <w:r w:rsidR="007E74E6" w:rsidRPr="00025B9C">
              <w:rPr>
                <w:rFonts w:asciiTheme="minorHAnsi" w:hAnsiTheme="minorHAnsi" w:cstheme="minorHAnsi"/>
                <w:sz w:val="22"/>
                <w:szCs w:val="22"/>
              </w:rPr>
              <w:t>“</w:t>
            </w:r>
            <w:r w:rsidRPr="00025B9C">
              <w:rPr>
                <w:rFonts w:asciiTheme="minorHAnsi" w:hAnsiTheme="minorHAnsi" w:cstheme="minorHAnsi"/>
                <w:sz w:val="22"/>
                <w:szCs w:val="22"/>
              </w:rPr>
              <w:t>Hunt the thimble</w:t>
            </w:r>
            <w:r w:rsidR="007E74E6" w:rsidRPr="00025B9C">
              <w:rPr>
                <w:rFonts w:asciiTheme="minorHAnsi" w:hAnsiTheme="minorHAnsi" w:cstheme="minorHAnsi"/>
                <w:sz w:val="22"/>
                <w:szCs w:val="22"/>
              </w:rPr>
              <w:t>”</w:t>
            </w:r>
          </w:p>
        </w:tc>
        <w:tc>
          <w:tcPr>
            <w:tcW w:w="1701" w:type="dxa"/>
            <w:gridSpan w:val="2"/>
            <w:shd w:val="clear" w:color="auto" w:fill="auto"/>
          </w:tcPr>
          <w:p w:rsidR="00FD0697" w:rsidRPr="00025B9C" w:rsidRDefault="00FD0697" w:rsidP="00FD0697">
            <w:pPr>
              <w:jc w:val="right"/>
              <w:rPr>
                <w:rFonts w:asciiTheme="minorHAnsi" w:hAnsiTheme="minorHAnsi" w:cstheme="minorHAnsi"/>
                <w:sz w:val="22"/>
                <w:szCs w:val="22"/>
              </w:rPr>
            </w:pPr>
            <w:r w:rsidRPr="00025B9C">
              <w:rPr>
                <w:rFonts w:asciiTheme="minorHAnsi" w:hAnsiTheme="minorHAnsi" w:cstheme="minorHAnsi"/>
                <w:sz w:val="22"/>
                <w:szCs w:val="22"/>
              </w:rPr>
              <w:t>6 cases (10%)</w:t>
            </w:r>
          </w:p>
        </w:tc>
        <w:tc>
          <w:tcPr>
            <w:tcW w:w="709" w:type="dxa"/>
            <w:shd w:val="clear" w:color="auto" w:fill="auto"/>
          </w:tcPr>
          <w:p w:rsidR="00FD0697" w:rsidRPr="00025B9C" w:rsidRDefault="00FD0697" w:rsidP="00FD0697">
            <w:pPr>
              <w:jc w:val="center"/>
              <w:rPr>
                <w:rFonts w:asciiTheme="minorHAnsi" w:hAnsiTheme="minorHAnsi" w:cstheme="minorHAnsi"/>
                <w:sz w:val="22"/>
                <w:szCs w:val="22"/>
              </w:rPr>
            </w:pPr>
          </w:p>
        </w:tc>
        <w:tc>
          <w:tcPr>
            <w:tcW w:w="992" w:type="dxa"/>
            <w:shd w:val="clear" w:color="auto" w:fill="BFBFBF" w:themeFill="background1" w:themeFillShade="BF"/>
          </w:tcPr>
          <w:p w:rsidR="00FD0697" w:rsidRPr="00025B9C" w:rsidRDefault="00FD0697" w:rsidP="00FD0697">
            <w:pPr>
              <w:jc w:val="center"/>
              <w:rPr>
                <w:rFonts w:asciiTheme="minorHAnsi" w:hAnsiTheme="minorHAnsi" w:cstheme="minorHAnsi"/>
                <w:sz w:val="22"/>
                <w:szCs w:val="22"/>
              </w:rPr>
            </w:pPr>
          </w:p>
        </w:tc>
        <w:tc>
          <w:tcPr>
            <w:tcW w:w="1539" w:type="dxa"/>
            <w:gridSpan w:val="2"/>
            <w:shd w:val="clear" w:color="auto" w:fill="auto"/>
          </w:tcPr>
          <w:p w:rsidR="00FD0697" w:rsidRPr="00025B9C" w:rsidRDefault="00FD0697" w:rsidP="00FD0697">
            <w:pPr>
              <w:jc w:val="right"/>
              <w:rPr>
                <w:rFonts w:asciiTheme="minorHAnsi" w:hAnsiTheme="minorHAnsi" w:cstheme="minorHAnsi"/>
                <w:sz w:val="22"/>
                <w:szCs w:val="22"/>
              </w:rPr>
            </w:pPr>
            <w:r w:rsidRPr="00025B9C">
              <w:rPr>
                <w:rFonts w:asciiTheme="minorHAnsi" w:hAnsiTheme="minorHAnsi" w:cstheme="minorHAnsi"/>
                <w:sz w:val="22"/>
                <w:szCs w:val="22"/>
              </w:rPr>
              <w:t>5 cases (12%)</w:t>
            </w:r>
          </w:p>
        </w:tc>
        <w:tc>
          <w:tcPr>
            <w:tcW w:w="729" w:type="dxa"/>
            <w:gridSpan w:val="2"/>
            <w:shd w:val="clear" w:color="auto" w:fill="auto"/>
          </w:tcPr>
          <w:p w:rsidR="00FD0697" w:rsidRPr="00025B9C" w:rsidRDefault="00FD0697" w:rsidP="00FD0697">
            <w:pPr>
              <w:jc w:val="center"/>
              <w:rPr>
                <w:rFonts w:asciiTheme="minorHAnsi" w:hAnsiTheme="minorHAnsi" w:cstheme="minorHAnsi"/>
                <w:sz w:val="22"/>
                <w:szCs w:val="22"/>
              </w:rPr>
            </w:pPr>
          </w:p>
        </w:tc>
        <w:tc>
          <w:tcPr>
            <w:tcW w:w="992" w:type="dxa"/>
            <w:shd w:val="clear" w:color="auto" w:fill="BFBFBF" w:themeFill="background1" w:themeFillShade="BF"/>
          </w:tcPr>
          <w:p w:rsidR="00FD0697" w:rsidRPr="00025B9C" w:rsidRDefault="00FD0697" w:rsidP="00FD0697">
            <w:pPr>
              <w:jc w:val="both"/>
              <w:rPr>
                <w:rFonts w:asciiTheme="minorHAnsi" w:hAnsiTheme="minorHAnsi" w:cstheme="minorHAnsi"/>
                <w:sz w:val="22"/>
                <w:szCs w:val="22"/>
              </w:rPr>
            </w:pPr>
          </w:p>
        </w:tc>
        <w:tc>
          <w:tcPr>
            <w:tcW w:w="1276" w:type="dxa"/>
            <w:shd w:val="clear" w:color="auto" w:fill="auto"/>
          </w:tcPr>
          <w:p w:rsidR="00FD0697" w:rsidRPr="00025B9C" w:rsidRDefault="00FD0697" w:rsidP="00FD0697">
            <w:pPr>
              <w:ind w:left="-118"/>
              <w:jc w:val="right"/>
              <w:rPr>
                <w:rFonts w:asciiTheme="minorHAnsi" w:hAnsiTheme="minorHAnsi" w:cstheme="minorHAnsi"/>
                <w:sz w:val="22"/>
                <w:szCs w:val="22"/>
              </w:rPr>
            </w:pPr>
            <w:r w:rsidRPr="00025B9C">
              <w:rPr>
                <w:rFonts w:asciiTheme="minorHAnsi" w:hAnsiTheme="minorHAnsi" w:cstheme="minorHAnsi"/>
                <w:sz w:val="22"/>
                <w:szCs w:val="22"/>
              </w:rPr>
              <w:t>+20%</w:t>
            </w:r>
          </w:p>
        </w:tc>
        <w:tc>
          <w:tcPr>
            <w:tcW w:w="992" w:type="dxa"/>
          </w:tcPr>
          <w:p w:rsidR="00FD0697" w:rsidRPr="00025B9C" w:rsidRDefault="00FD0697" w:rsidP="00FD0697">
            <w:pPr>
              <w:jc w:val="right"/>
              <w:rPr>
                <w:rFonts w:asciiTheme="minorHAnsi" w:hAnsiTheme="minorHAnsi" w:cstheme="minorHAnsi"/>
                <w:sz w:val="22"/>
                <w:szCs w:val="22"/>
              </w:rPr>
            </w:pPr>
          </w:p>
        </w:tc>
      </w:tr>
      <w:tr w:rsidR="00025B9C" w:rsidRPr="00025B9C" w:rsidTr="00FD0697">
        <w:trPr>
          <w:jc w:val="center"/>
        </w:trPr>
        <w:tc>
          <w:tcPr>
            <w:tcW w:w="426" w:type="dxa"/>
            <w:shd w:val="clear" w:color="auto" w:fill="auto"/>
          </w:tcPr>
          <w:p w:rsidR="00FD0697" w:rsidRPr="00025B9C" w:rsidRDefault="00FD0697" w:rsidP="00FD0697">
            <w:pPr>
              <w:ind w:left="-134"/>
              <w:jc w:val="right"/>
              <w:rPr>
                <w:rFonts w:asciiTheme="minorHAnsi" w:hAnsiTheme="minorHAnsi" w:cstheme="minorHAnsi"/>
                <w:sz w:val="22"/>
                <w:szCs w:val="22"/>
              </w:rPr>
            </w:pPr>
            <w:r w:rsidRPr="00025B9C">
              <w:rPr>
                <w:rFonts w:asciiTheme="minorHAnsi" w:hAnsiTheme="minorHAnsi" w:cstheme="minorHAnsi"/>
                <w:sz w:val="22"/>
                <w:szCs w:val="22"/>
              </w:rPr>
              <w:t>9d</w:t>
            </w:r>
          </w:p>
        </w:tc>
        <w:tc>
          <w:tcPr>
            <w:tcW w:w="5343" w:type="dxa"/>
            <w:shd w:val="clear" w:color="auto" w:fill="auto"/>
          </w:tcPr>
          <w:p w:rsidR="00FD0697" w:rsidRPr="00025B9C" w:rsidRDefault="007E74E6" w:rsidP="007E74E6">
            <w:pPr>
              <w:jc w:val="both"/>
              <w:rPr>
                <w:rFonts w:asciiTheme="minorHAnsi" w:hAnsiTheme="minorHAnsi" w:cstheme="minorHAnsi"/>
                <w:sz w:val="22"/>
                <w:szCs w:val="22"/>
              </w:rPr>
            </w:pPr>
            <w:r w:rsidRPr="00025B9C">
              <w:rPr>
                <w:rFonts w:asciiTheme="minorHAnsi" w:hAnsiTheme="minorHAnsi" w:cstheme="minorHAnsi"/>
                <w:sz w:val="22"/>
                <w:szCs w:val="22"/>
              </w:rPr>
              <w:t>“</w:t>
            </w:r>
            <w:r w:rsidR="00755F7C" w:rsidRPr="00025B9C">
              <w:rPr>
                <w:rFonts w:asciiTheme="minorHAnsi" w:hAnsiTheme="minorHAnsi" w:cstheme="minorHAnsi"/>
                <w:sz w:val="22"/>
                <w:szCs w:val="22"/>
              </w:rPr>
              <w:t>I</w:t>
            </w:r>
            <w:r w:rsidR="00FD0697" w:rsidRPr="00025B9C">
              <w:rPr>
                <w:rFonts w:asciiTheme="minorHAnsi" w:hAnsiTheme="minorHAnsi" w:cstheme="minorHAnsi"/>
                <w:sz w:val="22"/>
                <w:szCs w:val="22"/>
              </w:rPr>
              <w:t>ncomplete: No Code provision reference provided</w:t>
            </w:r>
            <w:r w:rsidRPr="00025B9C">
              <w:rPr>
                <w:rFonts w:asciiTheme="minorHAnsi" w:hAnsiTheme="minorHAnsi" w:cstheme="minorHAnsi"/>
                <w:sz w:val="22"/>
                <w:szCs w:val="22"/>
              </w:rPr>
              <w:t>”</w:t>
            </w:r>
            <w:r w:rsidR="00FD0697" w:rsidRPr="00025B9C">
              <w:rPr>
                <w:rFonts w:asciiTheme="minorHAnsi" w:hAnsiTheme="minorHAnsi" w:cstheme="minorHAnsi"/>
                <w:sz w:val="22"/>
                <w:szCs w:val="22"/>
              </w:rPr>
              <w:t xml:space="preserve"> </w:t>
            </w:r>
          </w:p>
        </w:tc>
        <w:tc>
          <w:tcPr>
            <w:tcW w:w="1701" w:type="dxa"/>
            <w:gridSpan w:val="2"/>
            <w:shd w:val="clear" w:color="auto" w:fill="auto"/>
          </w:tcPr>
          <w:p w:rsidR="00FD0697" w:rsidRPr="00025B9C" w:rsidRDefault="00FD0697" w:rsidP="00FD0697">
            <w:pPr>
              <w:jc w:val="right"/>
              <w:rPr>
                <w:rFonts w:asciiTheme="minorHAnsi" w:hAnsiTheme="minorHAnsi" w:cstheme="minorHAnsi"/>
                <w:sz w:val="22"/>
                <w:szCs w:val="22"/>
              </w:rPr>
            </w:pPr>
            <w:r w:rsidRPr="00025B9C">
              <w:rPr>
                <w:rFonts w:asciiTheme="minorHAnsi" w:hAnsiTheme="minorHAnsi" w:cstheme="minorHAnsi"/>
                <w:sz w:val="22"/>
                <w:szCs w:val="22"/>
              </w:rPr>
              <w:t>38 cases (60%)</w:t>
            </w:r>
          </w:p>
        </w:tc>
        <w:tc>
          <w:tcPr>
            <w:tcW w:w="709" w:type="dxa"/>
            <w:shd w:val="clear" w:color="auto" w:fill="auto"/>
          </w:tcPr>
          <w:p w:rsidR="00FD0697" w:rsidRPr="00025B9C" w:rsidRDefault="00FD0697" w:rsidP="00FD0697">
            <w:pPr>
              <w:jc w:val="center"/>
              <w:rPr>
                <w:rFonts w:asciiTheme="minorHAnsi" w:hAnsiTheme="minorHAnsi" w:cstheme="minorHAnsi"/>
                <w:sz w:val="22"/>
                <w:szCs w:val="22"/>
              </w:rPr>
            </w:pPr>
          </w:p>
        </w:tc>
        <w:tc>
          <w:tcPr>
            <w:tcW w:w="992" w:type="dxa"/>
            <w:shd w:val="clear" w:color="auto" w:fill="BFBFBF" w:themeFill="background1" w:themeFillShade="BF"/>
          </w:tcPr>
          <w:p w:rsidR="00FD0697" w:rsidRPr="00025B9C" w:rsidRDefault="00FD0697" w:rsidP="00FD0697">
            <w:pPr>
              <w:jc w:val="center"/>
              <w:rPr>
                <w:rFonts w:asciiTheme="minorHAnsi" w:hAnsiTheme="minorHAnsi" w:cstheme="minorHAnsi"/>
                <w:sz w:val="22"/>
                <w:szCs w:val="22"/>
              </w:rPr>
            </w:pPr>
          </w:p>
        </w:tc>
        <w:tc>
          <w:tcPr>
            <w:tcW w:w="1539" w:type="dxa"/>
            <w:gridSpan w:val="2"/>
            <w:shd w:val="clear" w:color="auto" w:fill="auto"/>
          </w:tcPr>
          <w:p w:rsidR="00FD0697" w:rsidRPr="00025B9C" w:rsidRDefault="00FD0697" w:rsidP="00FD0697">
            <w:pPr>
              <w:jc w:val="right"/>
              <w:rPr>
                <w:rFonts w:asciiTheme="minorHAnsi" w:hAnsiTheme="minorHAnsi" w:cstheme="minorHAnsi"/>
                <w:sz w:val="22"/>
                <w:szCs w:val="22"/>
              </w:rPr>
            </w:pPr>
            <w:r w:rsidRPr="00025B9C">
              <w:rPr>
                <w:rFonts w:asciiTheme="minorHAnsi" w:hAnsiTheme="minorHAnsi" w:cstheme="minorHAnsi"/>
                <w:sz w:val="22"/>
                <w:szCs w:val="22"/>
              </w:rPr>
              <w:t>16 cases (38%)</w:t>
            </w:r>
          </w:p>
        </w:tc>
        <w:tc>
          <w:tcPr>
            <w:tcW w:w="729" w:type="dxa"/>
            <w:gridSpan w:val="2"/>
            <w:shd w:val="clear" w:color="auto" w:fill="auto"/>
          </w:tcPr>
          <w:p w:rsidR="00FD0697" w:rsidRPr="00025B9C" w:rsidRDefault="00FD0697" w:rsidP="00FD0697">
            <w:pPr>
              <w:jc w:val="center"/>
              <w:rPr>
                <w:rFonts w:asciiTheme="minorHAnsi" w:hAnsiTheme="minorHAnsi" w:cstheme="minorHAnsi"/>
                <w:sz w:val="22"/>
                <w:szCs w:val="22"/>
              </w:rPr>
            </w:pPr>
          </w:p>
        </w:tc>
        <w:tc>
          <w:tcPr>
            <w:tcW w:w="992" w:type="dxa"/>
            <w:shd w:val="clear" w:color="auto" w:fill="BFBFBF" w:themeFill="background1" w:themeFillShade="BF"/>
          </w:tcPr>
          <w:p w:rsidR="00FD0697" w:rsidRPr="00025B9C" w:rsidRDefault="00FD0697" w:rsidP="00FD0697">
            <w:pPr>
              <w:jc w:val="both"/>
              <w:rPr>
                <w:rFonts w:asciiTheme="minorHAnsi" w:hAnsiTheme="minorHAnsi" w:cstheme="minorHAnsi"/>
                <w:sz w:val="22"/>
                <w:szCs w:val="22"/>
              </w:rPr>
            </w:pPr>
          </w:p>
        </w:tc>
        <w:tc>
          <w:tcPr>
            <w:tcW w:w="1276" w:type="dxa"/>
            <w:shd w:val="clear" w:color="auto" w:fill="auto"/>
          </w:tcPr>
          <w:p w:rsidR="00FD0697" w:rsidRPr="00025B9C" w:rsidRDefault="00FD0697" w:rsidP="00FD0697">
            <w:pPr>
              <w:ind w:left="-118"/>
              <w:jc w:val="right"/>
              <w:rPr>
                <w:rFonts w:asciiTheme="minorHAnsi" w:hAnsiTheme="minorHAnsi" w:cstheme="minorHAnsi"/>
                <w:sz w:val="22"/>
                <w:szCs w:val="22"/>
              </w:rPr>
            </w:pPr>
          </w:p>
        </w:tc>
        <w:tc>
          <w:tcPr>
            <w:tcW w:w="992" w:type="dxa"/>
          </w:tcPr>
          <w:p w:rsidR="00FD0697" w:rsidRPr="00025B9C" w:rsidRDefault="00FD0697" w:rsidP="00FD0697">
            <w:pPr>
              <w:jc w:val="right"/>
              <w:rPr>
                <w:rFonts w:asciiTheme="minorHAnsi" w:hAnsiTheme="minorHAnsi" w:cstheme="minorHAnsi"/>
                <w:sz w:val="22"/>
                <w:szCs w:val="22"/>
              </w:rPr>
            </w:pPr>
            <w:r w:rsidRPr="00025B9C">
              <w:rPr>
                <w:rFonts w:asciiTheme="minorHAnsi" w:hAnsiTheme="minorHAnsi" w:cstheme="minorHAnsi"/>
                <w:sz w:val="22"/>
                <w:szCs w:val="22"/>
              </w:rPr>
              <w:t>-37%</w:t>
            </w:r>
          </w:p>
        </w:tc>
      </w:tr>
      <w:tr w:rsidR="00025B9C" w:rsidRPr="00025B9C" w:rsidTr="008D6226">
        <w:trPr>
          <w:jc w:val="center"/>
        </w:trPr>
        <w:tc>
          <w:tcPr>
            <w:tcW w:w="14699" w:type="dxa"/>
            <w:gridSpan w:val="13"/>
            <w:shd w:val="clear" w:color="auto" w:fill="auto"/>
          </w:tcPr>
          <w:p w:rsidR="00FD0697" w:rsidRPr="00025B9C" w:rsidRDefault="00FD0697" w:rsidP="00FD0697">
            <w:pPr>
              <w:jc w:val="both"/>
              <w:rPr>
                <w:rFonts w:asciiTheme="minorHAnsi" w:hAnsiTheme="minorHAnsi" w:cstheme="minorHAnsi"/>
                <w:sz w:val="22"/>
                <w:szCs w:val="22"/>
                <w:lang w:val="en-IE"/>
              </w:rPr>
            </w:pPr>
          </w:p>
        </w:tc>
      </w:tr>
      <w:tr w:rsidR="00FD0697" w:rsidRPr="00025B9C" w:rsidTr="008D6226">
        <w:trPr>
          <w:jc w:val="center"/>
        </w:trPr>
        <w:tc>
          <w:tcPr>
            <w:tcW w:w="14699" w:type="dxa"/>
            <w:gridSpan w:val="13"/>
            <w:shd w:val="clear" w:color="auto" w:fill="auto"/>
          </w:tcPr>
          <w:p w:rsidR="00FD0697" w:rsidRPr="00025B9C" w:rsidRDefault="00FD0697" w:rsidP="00FD0697">
            <w:pPr>
              <w:jc w:val="both"/>
              <w:rPr>
                <w:rFonts w:asciiTheme="minorHAnsi" w:hAnsiTheme="minorHAnsi" w:cstheme="minorHAnsi"/>
                <w:sz w:val="22"/>
                <w:szCs w:val="22"/>
                <w:lang w:val="en-IE"/>
              </w:rPr>
            </w:pPr>
            <w:r w:rsidRPr="00025B9C">
              <w:rPr>
                <w:rFonts w:asciiTheme="minorHAnsi" w:hAnsiTheme="minorHAnsi" w:cstheme="minorHAnsi"/>
                <w:sz w:val="22"/>
                <w:szCs w:val="22"/>
                <w:lang w:val="en-IE"/>
              </w:rPr>
              <w:t xml:space="preserve">Notes: </w:t>
            </w:r>
          </w:p>
          <w:p w:rsidR="00BC11CF" w:rsidRPr="00025B9C" w:rsidRDefault="00BC11CF" w:rsidP="00FD0697">
            <w:pPr>
              <w:jc w:val="both"/>
              <w:rPr>
                <w:rFonts w:asciiTheme="minorHAnsi" w:hAnsiTheme="minorHAnsi" w:cstheme="minorHAnsi"/>
                <w:sz w:val="22"/>
                <w:szCs w:val="22"/>
                <w:lang w:val="en-IE"/>
              </w:rPr>
            </w:pPr>
            <w:r w:rsidRPr="00025B9C">
              <w:rPr>
                <w:rFonts w:asciiTheme="minorHAnsi" w:hAnsiTheme="minorHAnsi" w:cstheme="minorHAnsi"/>
                <w:sz w:val="22"/>
                <w:szCs w:val="22"/>
                <w:lang w:val="en-IE"/>
              </w:rPr>
              <w:t xml:space="preserve">Note 1: Calculated as </w:t>
            </w:r>
            <w:r w:rsidR="00C72EF1" w:rsidRPr="00025B9C">
              <w:rPr>
                <w:rFonts w:asciiTheme="minorHAnsi" w:hAnsiTheme="minorHAnsi" w:cstheme="minorHAnsi"/>
                <w:sz w:val="22"/>
                <w:szCs w:val="22"/>
                <w:lang w:val="en-IE"/>
              </w:rPr>
              <w:t>#/total strategies, e.g., 51/265 = 19</w:t>
            </w:r>
            <w:r w:rsidR="00544548" w:rsidRPr="00025B9C">
              <w:rPr>
                <w:rFonts w:asciiTheme="minorHAnsi" w:hAnsiTheme="minorHAnsi" w:cstheme="minorHAnsi"/>
                <w:sz w:val="22"/>
                <w:szCs w:val="22"/>
                <w:lang w:val="en-IE"/>
              </w:rPr>
              <w:t>%</w:t>
            </w:r>
            <w:r w:rsidR="00C72EF1" w:rsidRPr="00025B9C">
              <w:rPr>
                <w:rFonts w:asciiTheme="minorHAnsi" w:hAnsiTheme="minorHAnsi" w:cstheme="minorHAnsi"/>
                <w:sz w:val="22"/>
                <w:szCs w:val="22"/>
                <w:lang w:val="en-IE"/>
              </w:rPr>
              <w:t>; 47/197 = 24%</w:t>
            </w:r>
          </w:p>
          <w:p w:rsidR="00FD0697" w:rsidRPr="00025B9C" w:rsidRDefault="00BC11CF" w:rsidP="00FD0697">
            <w:pPr>
              <w:jc w:val="both"/>
              <w:rPr>
                <w:rFonts w:asciiTheme="minorHAnsi" w:hAnsiTheme="minorHAnsi" w:cstheme="minorHAnsi"/>
                <w:sz w:val="22"/>
                <w:szCs w:val="22"/>
                <w:lang w:val="en-IE"/>
              </w:rPr>
            </w:pPr>
            <w:r w:rsidRPr="00025B9C">
              <w:rPr>
                <w:rFonts w:asciiTheme="minorHAnsi" w:hAnsiTheme="minorHAnsi" w:cstheme="minorHAnsi"/>
                <w:sz w:val="22"/>
                <w:szCs w:val="22"/>
                <w:lang w:val="en-IE"/>
              </w:rPr>
              <w:t xml:space="preserve">Note 2: </w:t>
            </w:r>
            <w:r w:rsidR="000E5654" w:rsidRPr="00025B9C">
              <w:rPr>
                <w:rFonts w:asciiTheme="minorHAnsi" w:hAnsiTheme="minorHAnsi" w:cstheme="minorHAnsi"/>
                <w:sz w:val="22"/>
                <w:szCs w:val="22"/>
              </w:rPr>
              <w:t>Rhetorical strategies</w:t>
            </w:r>
            <w:r w:rsidR="00FD0697" w:rsidRPr="00025B9C">
              <w:rPr>
                <w:rFonts w:asciiTheme="minorHAnsi" w:hAnsiTheme="minorHAnsi" w:cstheme="minorHAnsi"/>
                <w:sz w:val="22"/>
                <w:szCs w:val="22"/>
                <w:lang w:val="en-IE"/>
              </w:rPr>
              <w:t xml:space="preserve"> 9c and 9d can only occur once for each non-compliant company so they are shown separately in this table. The percentage figures for these rhetorical strategies are in relation to the numbers of non-compliant companies (63</w:t>
            </w:r>
            <w:r w:rsidR="00A23839" w:rsidRPr="00025B9C">
              <w:rPr>
                <w:rFonts w:asciiTheme="minorHAnsi" w:hAnsiTheme="minorHAnsi" w:cstheme="minorHAnsi"/>
                <w:sz w:val="22"/>
                <w:szCs w:val="22"/>
                <w:lang w:val="en-IE"/>
              </w:rPr>
              <w:t xml:space="preserve"> and 43 respectively see Table 3</w:t>
            </w:r>
            <w:r w:rsidR="00FD0697" w:rsidRPr="00025B9C">
              <w:rPr>
                <w:rFonts w:asciiTheme="minorHAnsi" w:hAnsiTheme="minorHAnsi" w:cstheme="minorHAnsi"/>
                <w:sz w:val="22"/>
                <w:szCs w:val="22"/>
                <w:lang w:val="en-IE"/>
              </w:rPr>
              <w:t>). A full list of rhetorical strategies is provided in Figure 1.</w:t>
            </w:r>
          </w:p>
          <w:p w:rsidR="00FD0697" w:rsidRPr="00025B9C" w:rsidRDefault="00C72EF1" w:rsidP="00FD0697">
            <w:pPr>
              <w:tabs>
                <w:tab w:val="left" w:pos="5104"/>
              </w:tabs>
              <w:jc w:val="both"/>
              <w:rPr>
                <w:rFonts w:asciiTheme="minorHAnsi" w:hAnsiTheme="minorHAnsi" w:cstheme="minorHAnsi"/>
                <w:sz w:val="22"/>
                <w:szCs w:val="22"/>
              </w:rPr>
            </w:pPr>
            <w:r w:rsidRPr="00025B9C">
              <w:rPr>
                <w:rFonts w:asciiTheme="minorHAnsi" w:hAnsiTheme="minorHAnsi" w:cstheme="minorHAnsi"/>
                <w:sz w:val="22"/>
                <w:szCs w:val="22"/>
                <w:lang w:val="en-IE"/>
              </w:rPr>
              <w:t xml:space="preserve">Note 3: The symbol </w:t>
            </w:r>
            <w:r w:rsidR="00FD0697" w:rsidRPr="00025B9C">
              <w:rPr>
                <w:rFonts w:asciiTheme="minorHAnsi" w:hAnsiTheme="minorHAnsi" w:cstheme="minorHAnsi"/>
                <w:sz w:val="22"/>
                <w:szCs w:val="22"/>
                <w:lang w:val="en-IE"/>
              </w:rPr>
              <w:t xml:space="preserve">^ </w:t>
            </w:r>
            <w:r w:rsidRPr="00025B9C">
              <w:rPr>
                <w:rFonts w:asciiTheme="minorHAnsi" w:hAnsiTheme="minorHAnsi" w:cstheme="minorHAnsi"/>
                <w:sz w:val="22"/>
                <w:szCs w:val="22"/>
                <w:lang w:val="en-IE"/>
              </w:rPr>
              <w:t xml:space="preserve">in the two right-hand columns of the table </w:t>
            </w:r>
            <w:r w:rsidR="00FD0697" w:rsidRPr="00025B9C">
              <w:rPr>
                <w:rFonts w:asciiTheme="minorHAnsi" w:hAnsiTheme="minorHAnsi" w:cstheme="minorHAnsi"/>
                <w:sz w:val="22"/>
                <w:szCs w:val="22"/>
                <w:lang w:val="en-IE"/>
              </w:rPr>
              <w:t xml:space="preserve">Indicates small numbers in relation to the comparatives. </w:t>
            </w:r>
          </w:p>
        </w:tc>
      </w:tr>
    </w:tbl>
    <w:p w:rsidR="00317702" w:rsidRPr="00025B9C" w:rsidRDefault="00317702" w:rsidP="00D665D9">
      <w:pPr>
        <w:rPr>
          <w:rFonts w:asciiTheme="minorHAnsi" w:hAnsiTheme="minorHAnsi" w:cstheme="minorHAnsi"/>
        </w:rPr>
      </w:pPr>
    </w:p>
    <w:p w:rsidR="006322C7" w:rsidRPr="00025B9C" w:rsidRDefault="006322C7" w:rsidP="00D665D9">
      <w:pPr>
        <w:spacing w:line="480" w:lineRule="auto"/>
        <w:jc w:val="both"/>
        <w:rPr>
          <w:rFonts w:asciiTheme="minorHAnsi" w:hAnsiTheme="minorHAnsi" w:cstheme="minorHAnsi"/>
          <w:b/>
        </w:rPr>
      </w:pPr>
    </w:p>
    <w:p w:rsidR="004471E4" w:rsidRPr="00025B9C" w:rsidRDefault="004471E4" w:rsidP="00D665D9">
      <w:pPr>
        <w:spacing w:line="480" w:lineRule="auto"/>
        <w:jc w:val="both"/>
        <w:rPr>
          <w:rFonts w:asciiTheme="minorHAnsi" w:hAnsiTheme="minorHAnsi" w:cstheme="minorHAnsi"/>
          <w:b/>
        </w:rPr>
        <w:sectPr w:rsidR="004471E4" w:rsidRPr="00025B9C" w:rsidSect="009E4D93">
          <w:pgSz w:w="16838" w:h="11906" w:orient="landscape"/>
          <w:pgMar w:top="567" w:right="1440" w:bottom="567" w:left="1440" w:header="709" w:footer="709"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25B9C" w:rsidRPr="00025B9C" w:rsidTr="008D6226">
        <w:trPr>
          <w:jc w:val="center"/>
        </w:trPr>
        <w:tc>
          <w:tcPr>
            <w:tcW w:w="9242" w:type="dxa"/>
          </w:tcPr>
          <w:p w:rsidR="00BD5F02" w:rsidRPr="00025B9C" w:rsidRDefault="00B13097" w:rsidP="00D665D9">
            <w:pPr>
              <w:contextualSpacing/>
              <w:jc w:val="both"/>
              <w:rPr>
                <w:rFonts w:asciiTheme="minorHAnsi" w:hAnsiTheme="minorHAnsi" w:cstheme="minorHAnsi"/>
                <w:b/>
                <w:sz w:val="22"/>
                <w:szCs w:val="22"/>
              </w:rPr>
            </w:pPr>
            <w:r w:rsidRPr="00025B9C">
              <w:rPr>
                <w:rFonts w:asciiTheme="minorHAnsi" w:hAnsiTheme="minorHAnsi" w:cstheme="minorHAnsi"/>
                <w:b/>
                <w:sz w:val="22"/>
                <w:szCs w:val="22"/>
              </w:rPr>
              <w:t>Illustration</w:t>
            </w:r>
            <w:r w:rsidR="00316497" w:rsidRPr="00025B9C">
              <w:rPr>
                <w:rFonts w:asciiTheme="minorHAnsi" w:hAnsiTheme="minorHAnsi" w:cstheme="minorHAnsi"/>
                <w:b/>
                <w:sz w:val="22"/>
                <w:szCs w:val="22"/>
              </w:rPr>
              <w:t xml:space="preserve"> 1</w:t>
            </w:r>
            <w:r w:rsidR="008D6226" w:rsidRPr="00025B9C">
              <w:rPr>
                <w:rFonts w:asciiTheme="minorHAnsi" w:hAnsiTheme="minorHAnsi" w:cstheme="minorHAnsi"/>
                <w:b/>
                <w:sz w:val="22"/>
                <w:szCs w:val="22"/>
              </w:rPr>
              <w:t>.</w:t>
            </w:r>
            <w:r w:rsidR="001B2D53" w:rsidRPr="00025B9C">
              <w:rPr>
                <w:rFonts w:asciiTheme="minorHAnsi" w:hAnsiTheme="minorHAnsi" w:cstheme="minorHAnsi"/>
                <w:b/>
                <w:sz w:val="22"/>
                <w:szCs w:val="22"/>
              </w:rPr>
              <w:t xml:space="preserve"> </w:t>
            </w:r>
            <w:r w:rsidRPr="00025B9C">
              <w:rPr>
                <w:rFonts w:asciiTheme="minorHAnsi" w:hAnsiTheme="minorHAnsi" w:cstheme="minorHAnsi"/>
                <w:b/>
                <w:sz w:val="22"/>
                <w:szCs w:val="22"/>
              </w:rPr>
              <w:t>C</w:t>
            </w:r>
            <w:r w:rsidR="00BD5F02" w:rsidRPr="00025B9C">
              <w:rPr>
                <w:rFonts w:asciiTheme="minorHAnsi" w:hAnsiTheme="minorHAnsi" w:cstheme="minorHAnsi"/>
                <w:b/>
                <w:sz w:val="22"/>
                <w:szCs w:val="22"/>
              </w:rPr>
              <w:t>o</w:t>
            </w:r>
            <w:r w:rsidR="00160D8D" w:rsidRPr="00025B9C">
              <w:rPr>
                <w:rFonts w:asciiTheme="minorHAnsi" w:hAnsiTheme="minorHAnsi" w:cstheme="minorHAnsi"/>
                <w:b/>
                <w:sz w:val="22"/>
                <w:szCs w:val="22"/>
              </w:rPr>
              <w:t xml:space="preserve">ding different </w:t>
            </w:r>
            <w:r w:rsidR="00845046" w:rsidRPr="00025B9C">
              <w:rPr>
                <w:rFonts w:asciiTheme="minorHAnsi" w:hAnsiTheme="minorHAnsi" w:cstheme="minorHAnsi"/>
                <w:b/>
                <w:sz w:val="22"/>
                <w:szCs w:val="22"/>
              </w:rPr>
              <w:t>rhetorical</w:t>
            </w:r>
            <w:r w:rsidR="00BD5F02" w:rsidRPr="00025B9C">
              <w:rPr>
                <w:rFonts w:asciiTheme="minorHAnsi" w:hAnsiTheme="minorHAnsi" w:cstheme="minorHAnsi"/>
                <w:b/>
                <w:sz w:val="22"/>
                <w:szCs w:val="22"/>
              </w:rPr>
              <w:t xml:space="preserve"> strategies </w:t>
            </w:r>
            <w:r w:rsidRPr="00025B9C">
              <w:rPr>
                <w:rFonts w:asciiTheme="minorHAnsi" w:hAnsiTheme="minorHAnsi" w:cstheme="minorHAnsi"/>
                <w:b/>
                <w:sz w:val="22"/>
                <w:szCs w:val="22"/>
              </w:rPr>
              <w:t>in an explanation</w:t>
            </w:r>
          </w:p>
        </w:tc>
      </w:tr>
      <w:tr w:rsidR="00025B9C" w:rsidRPr="00025B9C" w:rsidTr="008D6226">
        <w:trPr>
          <w:jc w:val="center"/>
        </w:trPr>
        <w:tc>
          <w:tcPr>
            <w:tcW w:w="9242" w:type="dxa"/>
          </w:tcPr>
          <w:p w:rsidR="008D6226" w:rsidRPr="00025B9C" w:rsidRDefault="008D6226" w:rsidP="00D665D9">
            <w:pPr>
              <w:contextualSpacing/>
              <w:jc w:val="both"/>
              <w:rPr>
                <w:rFonts w:asciiTheme="minorHAnsi" w:hAnsiTheme="minorHAnsi" w:cstheme="minorHAnsi"/>
                <w:b/>
                <w:sz w:val="22"/>
                <w:szCs w:val="22"/>
              </w:rPr>
            </w:pPr>
          </w:p>
        </w:tc>
      </w:tr>
      <w:tr w:rsidR="00025B9C" w:rsidRPr="00025B9C" w:rsidTr="008D6226">
        <w:trPr>
          <w:jc w:val="center"/>
        </w:trPr>
        <w:tc>
          <w:tcPr>
            <w:tcW w:w="9242" w:type="dxa"/>
          </w:tcPr>
          <w:p w:rsidR="00E3141B" w:rsidRPr="00025B9C" w:rsidRDefault="00316497" w:rsidP="00D665D9">
            <w:pPr>
              <w:contextualSpacing/>
              <w:jc w:val="both"/>
              <w:rPr>
                <w:rFonts w:asciiTheme="minorHAnsi" w:hAnsiTheme="minorHAnsi" w:cstheme="minorHAnsi"/>
                <w:sz w:val="22"/>
                <w:szCs w:val="22"/>
              </w:rPr>
            </w:pPr>
            <w:r w:rsidRPr="00025B9C">
              <w:rPr>
                <w:rFonts w:asciiTheme="minorHAnsi" w:hAnsiTheme="minorHAnsi" w:cstheme="minorHAnsi"/>
                <w:sz w:val="22"/>
                <w:szCs w:val="22"/>
                <w:u w:val="single"/>
                <w:lang w:eastAsia="en-IE"/>
              </w:rPr>
              <w:t xml:space="preserve">Extract from </w:t>
            </w:r>
            <w:r w:rsidR="00F42410" w:rsidRPr="00025B9C">
              <w:rPr>
                <w:rFonts w:asciiTheme="minorHAnsi" w:hAnsiTheme="minorHAnsi" w:cstheme="minorHAnsi"/>
                <w:sz w:val="22"/>
                <w:szCs w:val="22"/>
                <w:u w:val="single"/>
              </w:rPr>
              <w:t>International Airlines Group</w:t>
            </w:r>
            <w:r w:rsidRPr="00025B9C">
              <w:rPr>
                <w:rFonts w:asciiTheme="minorHAnsi" w:hAnsiTheme="minorHAnsi" w:cstheme="minorHAnsi"/>
                <w:sz w:val="22"/>
                <w:szCs w:val="22"/>
                <w:u w:val="single"/>
              </w:rPr>
              <w:t xml:space="preserve"> Annual Report and Accounts 2011, p.</w:t>
            </w:r>
            <w:r w:rsidR="002F6BC8" w:rsidRPr="00025B9C">
              <w:rPr>
                <w:rFonts w:asciiTheme="minorHAnsi" w:hAnsiTheme="minorHAnsi" w:cstheme="minorHAnsi"/>
                <w:sz w:val="22"/>
                <w:szCs w:val="22"/>
                <w:u w:val="single"/>
              </w:rPr>
              <w:t xml:space="preserve"> </w:t>
            </w:r>
            <w:r w:rsidRPr="00025B9C">
              <w:rPr>
                <w:rFonts w:asciiTheme="minorHAnsi" w:hAnsiTheme="minorHAnsi" w:cstheme="minorHAnsi"/>
                <w:sz w:val="22"/>
                <w:szCs w:val="22"/>
                <w:u w:val="single"/>
              </w:rPr>
              <w:t>40</w:t>
            </w:r>
            <w:r w:rsidR="00E3141B" w:rsidRPr="00025B9C">
              <w:rPr>
                <w:rFonts w:asciiTheme="minorHAnsi" w:hAnsiTheme="minorHAnsi" w:cstheme="minorHAnsi"/>
                <w:sz w:val="22"/>
                <w:szCs w:val="22"/>
              </w:rPr>
              <w:t xml:space="preserve"> </w:t>
            </w:r>
          </w:p>
          <w:p w:rsidR="00316497" w:rsidRPr="00025B9C" w:rsidRDefault="00316497" w:rsidP="00D665D9">
            <w:pPr>
              <w:contextualSpacing/>
              <w:jc w:val="both"/>
              <w:rPr>
                <w:rFonts w:asciiTheme="minorHAnsi" w:hAnsiTheme="minorHAnsi" w:cstheme="minorHAnsi"/>
                <w:sz w:val="22"/>
                <w:szCs w:val="22"/>
              </w:rPr>
            </w:pPr>
            <w:r w:rsidRPr="00025B9C">
              <w:rPr>
                <w:rFonts w:asciiTheme="minorHAnsi" w:hAnsiTheme="minorHAnsi" w:cstheme="minorHAnsi"/>
                <w:sz w:val="22"/>
                <w:szCs w:val="22"/>
              </w:rPr>
              <w:t>(Keywords influencing coding decis</w:t>
            </w:r>
            <w:r w:rsidR="00E3141B" w:rsidRPr="00025B9C">
              <w:rPr>
                <w:rFonts w:asciiTheme="minorHAnsi" w:hAnsiTheme="minorHAnsi" w:cstheme="minorHAnsi"/>
                <w:sz w:val="22"/>
                <w:szCs w:val="22"/>
              </w:rPr>
              <w:t>ion underlined</w:t>
            </w:r>
            <w:r w:rsidRPr="00025B9C">
              <w:rPr>
                <w:rFonts w:asciiTheme="minorHAnsi" w:hAnsiTheme="minorHAnsi" w:cstheme="minorHAnsi"/>
                <w:sz w:val="22"/>
                <w:szCs w:val="22"/>
              </w:rPr>
              <w:t>)</w:t>
            </w:r>
          </w:p>
          <w:p w:rsidR="00316497" w:rsidRPr="00025B9C" w:rsidRDefault="00316497" w:rsidP="00D665D9">
            <w:pPr>
              <w:autoSpaceDE w:val="0"/>
              <w:autoSpaceDN w:val="0"/>
              <w:adjustRightInd w:val="0"/>
              <w:rPr>
                <w:rFonts w:asciiTheme="minorHAnsi" w:hAnsiTheme="minorHAnsi" w:cstheme="minorHAnsi"/>
                <w:sz w:val="22"/>
                <w:szCs w:val="22"/>
                <w:lang w:eastAsia="en-IE"/>
              </w:rPr>
            </w:pPr>
          </w:p>
          <w:p w:rsidR="00316497" w:rsidRPr="00025B9C" w:rsidRDefault="00316497" w:rsidP="00D665D9">
            <w:pPr>
              <w:autoSpaceDE w:val="0"/>
              <w:autoSpaceDN w:val="0"/>
              <w:adjustRightInd w:val="0"/>
              <w:rPr>
                <w:rFonts w:asciiTheme="minorHAnsi" w:hAnsiTheme="minorHAnsi" w:cstheme="minorHAnsi"/>
                <w:sz w:val="22"/>
                <w:szCs w:val="22"/>
                <w:lang w:eastAsia="en-IE"/>
              </w:rPr>
            </w:pPr>
            <w:r w:rsidRPr="00025B9C">
              <w:rPr>
                <w:rFonts w:asciiTheme="minorHAnsi" w:hAnsiTheme="minorHAnsi" w:cstheme="minorHAnsi"/>
                <w:sz w:val="22"/>
                <w:szCs w:val="22"/>
                <w:lang w:eastAsia="en-IE"/>
              </w:rPr>
              <w:t>(iv) Appointment of Senior Independent Director:</w:t>
            </w:r>
          </w:p>
          <w:p w:rsidR="00316497" w:rsidRPr="00025B9C" w:rsidRDefault="00316497" w:rsidP="00D665D9">
            <w:pPr>
              <w:autoSpaceDE w:val="0"/>
              <w:autoSpaceDN w:val="0"/>
              <w:adjustRightInd w:val="0"/>
              <w:rPr>
                <w:rFonts w:asciiTheme="minorHAnsi" w:hAnsiTheme="minorHAnsi" w:cstheme="minorHAnsi"/>
                <w:sz w:val="22"/>
                <w:szCs w:val="22"/>
                <w:lang w:eastAsia="en-IE"/>
              </w:rPr>
            </w:pPr>
            <w:r w:rsidRPr="00025B9C">
              <w:rPr>
                <w:rFonts w:asciiTheme="minorHAnsi" w:hAnsiTheme="minorHAnsi" w:cstheme="minorHAnsi"/>
                <w:sz w:val="22"/>
                <w:szCs w:val="22"/>
                <w:lang w:eastAsia="en-IE"/>
              </w:rPr>
              <w:t xml:space="preserve">The Board considered it to be in the </w:t>
            </w:r>
            <w:r w:rsidRPr="00025B9C">
              <w:rPr>
                <w:rFonts w:asciiTheme="minorHAnsi" w:hAnsiTheme="minorHAnsi" w:cstheme="minorHAnsi"/>
                <w:sz w:val="22"/>
                <w:szCs w:val="22"/>
                <w:u w:val="single"/>
                <w:lang w:eastAsia="en-IE"/>
              </w:rPr>
              <w:t>best interest of the Company</w:t>
            </w:r>
            <w:r w:rsidRPr="00025B9C">
              <w:rPr>
                <w:rFonts w:asciiTheme="minorHAnsi" w:hAnsiTheme="minorHAnsi" w:cstheme="minorHAnsi"/>
                <w:sz w:val="22"/>
                <w:szCs w:val="22"/>
                <w:vertAlign w:val="superscript"/>
                <w:lang w:eastAsia="en-IE"/>
              </w:rPr>
              <w:t>1</w:t>
            </w:r>
            <w:r w:rsidRPr="00025B9C">
              <w:rPr>
                <w:rFonts w:asciiTheme="minorHAnsi" w:hAnsiTheme="minorHAnsi" w:cstheme="minorHAnsi"/>
                <w:sz w:val="22"/>
                <w:szCs w:val="22"/>
                <w:lang w:eastAsia="en-IE"/>
              </w:rPr>
              <w:t xml:space="preserve"> to attribute the functions of the Senior Independent Director pursuant to the UK Corporate Governance Code to the Deputy Chairman of the Board.</w:t>
            </w:r>
          </w:p>
          <w:p w:rsidR="00316497" w:rsidRPr="00025B9C" w:rsidRDefault="00316497" w:rsidP="00D665D9">
            <w:pPr>
              <w:autoSpaceDE w:val="0"/>
              <w:autoSpaceDN w:val="0"/>
              <w:adjustRightInd w:val="0"/>
              <w:rPr>
                <w:rFonts w:asciiTheme="minorHAnsi" w:hAnsiTheme="minorHAnsi" w:cstheme="minorHAnsi"/>
                <w:sz w:val="22"/>
                <w:szCs w:val="22"/>
                <w:u w:val="single"/>
                <w:lang w:eastAsia="en-IE"/>
              </w:rPr>
            </w:pPr>
          </w:p>
          <w:p w:rsidR="00316497" w:rsidRPr="00025B9C" w:rsidRDefault="00316497" w:rsidP="00D665D9">
            <w:pPr>
              <w:autoSpaceDE w:val="0"/>
              <w:autoSpaceDN w:val="0"/>
              <w:adjustRightInd w:val="0"/>
              <w:rPr>
                <w:rFonts w:asciiTheme="minorHAnsi" w:hAnsiTheme="minorHAnsi" w:cstheme="minorHAnsi"/>
                <w:sz w:val="22"/>
                <w:szCs w:val="22"/>
                <w:lang w:eastAsia="en-IE"/>
              </w:rPr>
            </w:pPr>
            <w:r w:rsidRPr="00025B9C">
              <w:rPr>
                <w:rFonts w:asciiTheme="minorHAnsi" w:hAnsiTheme="minorHAnsi" w:cstheme="minorHAnsi"/>
                <w:sz w:val="22"/>
                <w:szCs w:val="22"/>
                <w:lang w:eastAsia="en-IE"/>
              </w:rPr>
              <w:t>Throughout the reporting year, Sir Martin Broughton had all the responsibilities and duties of a Senior Independent Director; he was Senior Independent Director</w:t>
            </w:r>
            <w:r w:rsidRPr="00025B9C">
              <w:rPr>
                <w:rFonts w:asciiTheme="minorHAnsi" w:hAnsiTheme="minorHAnsi" w:cstheme="minorHAnsi"/>
                <w:sz w:val="22"/>
                <w:szCs w:val="22"/>
                <w:u w:val="single"/>
                <w:lang w:eastAsia="en-IE"/>
              </w:rPr>
              <w:t xml:space="preserve"> in all but</w:t>
            </w:r>
            <w:r w:rsidRPr="00025B9C">
              <w:rPr>
                <w:rFonts w:asciiTheme="minorHAnsi" w:hAnsiTheme="minorHAnsi" w:cstheme="minorHAnsi"/>
                <w:sz w:val="22"/>
                <w:szCs w:val="22"/>
                <w:lang w:eastAsia="en-IE"/>
              </w:rPr>
              <w:t xml:space="preserve"> </w:t>
            </w:r>
            <w:r w:rsidR="00473520" w:rsidRPr="00025B9C">
              <w:rPr>
                <w:rFonts w:asciiTheme="minorHAnsi" w:hAnsiTheme="minorHAnsi" w:cstheme="minorHAnsi"/>
                <w:sz w:val="22"/>
                <w:szCs w:val="22"/>
                <w:u w:val="single"/>
                <w:lang w:eastAsia="en-IE"/>
              </w:rPr>
              <w:t>n</w:t>
            </w:r>
            <w:r w:rsidRPr="00025B9C">
              <w:rPr>
                <w:rFonts w:asciiTheme="minorHAnsi" w:hAnsiTheme="minorHAnsi" w:cstheme="minorHAnsi"/>
                <w:sz w:val="22"/>
                <w:szCs w:val="22"/>
                <w:u w:val="single"/>
                <w:lang w:eastAsia="en-IE"/>
              </w:rPr>
              <w:t>ame</w:t>
            </w:r>
            <w:r w:rsidRPr="00025B9C">
              <w:rPr>
                <w:rFonts w:asciiTheme="minorHAnsi" w:hAnsiTheme="minorHAnsi" w:cstheme="minorHAnsi"/>
                <w:sz w:val="22"/>
                <w:szCs w:val="22"/>
                <w:lang w:eastAsia="en-IE"/>
              </w:rPr>
              <w:t>.</w:t>
            </w:r>
            <w:r w:rsidRPr="00025B9C">
              <w:rPr>
                <w:rFonts w:asciiTheme="minorHAnsi" w:hAnsiTheme="minorHAnsi" w:cstheme="minorHAnsi"/>
                <w:sz w:val="22"/>
                <w:szCs w:val="22"/>
                <w:vertAlign w:val="superscript"/>
                <w:lang w:eastAsia="en-IE"/>
              </w:rPr>
              <w:t>2</w:t>
            </w:r>
            <w:r w:rsidRPr="00025B9C">
              <w:rPr>
                <w:rFonts w:asciiTheme="minorHAnsi" w:hAnsiTheme="minorHAnsi" w:cstheme="minorHAnsi"/>
                <w:sz w:val="22"/>
                <w:szCs w:val="22"/>
                <w:lang w:eastAsia="en-IE"/>
              </w:rPr>
              <w:t xml:space="preserve"> On February 28, 2012, </w:t>
            </w:r>
            <w:r w:rsidRPr="00025B9C">
              <w:rPr>
                <w:rFonts w:asciiTheme="minorHAnsi" w:hAnsiTheme="minorHAnsi" w:cstheme="minorHAnsi"/>
                <w:sz w:val="22"/>
                <w:szCs w:val="22"/>
                <w:u w:val="single"/>
                <w:lang w:eastAsia="en-IE"/>
              </w:rPr>
              <w:t>the Company formally</w:t>
            </w:r>
            <w:r w:rsidRPr="00025B9C">
              <w:rPr>
                <w:rFonts w:asciiTheme="minorHAnsi" w:hAnsiTheme="minorHAnsi" w:cstheme="minorHAnsi"/>
                <w:sz w:val="22"/>
                <w:szCs w:val="22"/>
                <w:lang w:eastAsia="en-IE"/>
              </w:rPr>
              <w:t xml:space="preserve"> </w:t>
            </w:r>
            <w:r w:rsidRPr="00025B9C">
              <w:rPr>
                <w:rFonts w:asciiTheme="minorHAnsi" w:hAnsiTheme="minorHAnsi" w:cstheme="minorHAnsi"/>
                <w:sz w:val="22"/>
                <w:szCs w:val="22"/>
                <w:u w:val="single"/>
                <w:lang w:eastAsia="en-IE"/>
              </w:rPr>
              <w:t>appointed Sir Martin Broughton to the role</w:t>
            </w:r>
            <w:r w:rsidRPr="00025B9C">
              <w:rPr>
                <w:rFonts w:asciiTheme="minorHAnsi" w:hAnsiTheme="minorHAnsi" w:cstheme="minorHAnsi"/>
                <w:sz w:val="22"/>
                <w:szCs w:val="22"/>
                <w:lang w:eastAsia="en-IE"/>
              </w:rPr>
              <w:t>.</w:t>
            </w:r>
            <w:r w:rsidRPr="00025B9C">
              <w:rPr>
                <w:rFonts w:asciiTheme="minorHAnsi" w:hAnsiTheme="minorHAnsi" w:cstheme="minorHAnsi"/>
                <w:sz w:val="22"/>
                <w:szCs w:val="22"/>
                <w:vertAlign w:val="superscript"/>
                <w:lang w:eastAsia="en-IE"/>
              </w:rPr>
              <w:t>3</w:t>
            </w:r>
            <w:r w:rsidRPr="00025B9C">
              <w:rPr>
                <w:rFonts w:asciiTheme="minorHAnsi" w:hAnsiTheme="minorHAnsi" w:cstheme="minorHAnsi"/>
                <w:sz w:val="22"/>
                <w:szCs w:val="22"/>
                <w:lang w:eastAsia="en-IE"/>
              </w:rPr>
              <w:t xml:space="preserve"> Sir Martin Broughton </w:t>
            </w:r>
            <w:r w:rsidRPr="00025B9C">
              <w:rPr>
                <w:rFonts w:asciiTheme="minorHAnsi" w:hAnsiTheme="minorHAnsi" w:cstheme="minorHAnsi"/>
                <w:sz w:val="22"/>
                <w:szCs w:val="22"/>
                <w:u w:val="single"/>
                <w:lang w:eastAsia="en-IE"/>
              </w:rPr>
              <w:t>was available to meet major shareholders</w:t>
            </w:r>
            <w:r w:rsidRPr="00025B9C">
              <w:rPr>
                <w:rFonts w:asciiTheme="minorHAnsi" w:hAnsiTheme="minorHAnsi" w:cstheme="minorHAnsi"/>
                <w:sz w:val="22"/>
                <w:szCs w:val="22"/>
                <w:lang w:eastAsia="en-IE"/>
              </w:rPr>
              <w:t xml:space="preserve"> </w:t>
            </w:r>
            <w:r w:rsidRPr="00025B9C">
              <w:rPr>
                <w:rFonts w:asciiTheme="minorHAnsi" w:hAnsiTheme="minorHAnsi" w:cstheme="minorHAnsi"/>
                <w:sz w:val="22"/>
                <w:szCs w:val="22"/>
                <w:u w:val="single"/>
                <w:lang w:eastAsia="en-IE"/>
              </w:rPr>
              <w:t>during the reporting period</w:t>
            </w:r>
            <w:r w:rsidRPr="00025B9C">
              <w:rPr>
                <w:rFonts w:asciiTheme="minorHAnsi" w:hAnsiTheme="minorHAnsi" w:cstheme="minorHAnsi"/>
                <w:sz w:val="22"/>
                <w:szCs w:val="22"/>
                <w:vertAlign w:val="superscript"/>
                <w:lang w:eastAsia="en-IE"/>
              </w:rPr>
              <w:t>4</w:t>
            </w:r>
            <w:r w:rsidRPr="00025B9C">
              <w:rPr>
                <w:rFonts w:asciiTheme="minorHAnsi" w:hAnsiTheme="minorHAnsi" w:cstheme="minorHAnsi"/>
                <w:sz w:val="22"/>
                <w:szCs w:val="22"/>
                <w:lang w:eastAsia="en-IE"/>
              </w:rPr>
              <w:t xml:space="preserve"> but no such meetings took place.</w:t>
            </w:r>
          </w:p>
        </w:tc>
      </w:tr>
      <w:tr w:rsidR="00025B9C" w:rsidRPr="00025B9C" w:rsidTr="008D6226">
        <w:trPr>
          <w:jc w:val="center"/>
        </w:trPr>
        <w:tc>
          <w:tcPr>
            <w:tcW w:w="9242" w:type="dxa"/>
          </w:tcPr>
          <w:p w:rsidR="00B13097" w:rsidRPr="00025B9C" w:rsidRDefault="00B13097" w:rsidP="00D665D9">
            <w:pPr>
              <w:contextualSpacing/>
              <w:jc w:val="both"/>
              <w:rPr>
                <w:rFonts w:asciiTheme="minorHAnsi" w:hAnsiTheme="minorHAnsi" w:cstheme="minorHAnsi"/>
                <w:b/>
                <w:sz w:val="22"/>
                <w:szCs w:val="22"/>
              </w:rPr>
            </w:pPr>
          </w:p>
        </w:tc>
      </w:tr>
      <w:tr w:rsidR="00025B9C" w:rsidRPr="00025B9C" w:rsidTr="008D6226">
        <w:trPr>
          <w:jc w:val="center"/>
        </w:trPr>
        <w:tc>
          <w:tcPr>
            <w:tcW w:w="9242" w:type="dxa"/>
          </w:tcPr>
          <w:p w:rsidR="00316497" w:rsidRPr="00025B9C" w:rsidRDefault="00316497" w:rsidP="00D665D9">
            <w:pPr>
              <w:contextualSpacing/>
              <w:jc w:val="both"/>
              <w:rPr>
                <w:rFonts w:asciiTheme="minorHAnsi" w:hAnsiTheme="minorHAnsi" w:cstheme="minorHAnsi"/>
                <w:sz w:val="22"/>
                <w:szCs w:val="22"/>
                <w:u w:val="single"/>
              </w:rPr>
            </w:pPr>
            <w:r w:rsidRPr="00025B9C">
              <w:rPr>
                <w:rFonts w:asciiTheme="minorHAnsi" w:hAnsiTheme="minorHAnsi" w:cstheme="minorHAnsi"/>
                <w:sz w:val="22"/>
                <w:szCs w:val="22"/>
                <w:u w:val="single"/>
              </w:rPr>
              <w:t xml:space="preserve">Key: </w:t>
            </w:r>
            <w:r w:rsidR="00845046" w:rsidRPr="00025B9C">
              <w:rPr>
                <w:rFonts w:asciiTheme="minorHAnsi" w:hAnsiTheme="minorHAnsi" w:cstheme="minorHAnsi"/>
                <w:sz w:val="22"/>
                <w:szCs w:val="22"/>
                <w:u w:val="single"/>
              </w:rPr>
              <w:t>Rhetorical</w:t>
            </w:r>
            <w:r w:rsidRPr="00025B9C">
              <w:rPr>
                <w:rFonts w:asciiTheme="minorHAnsi" w:hAnsiTheme="minorHAnsi" w:cstheme="minorHAnsi"/>
                <w:sz w:val="22"/>
                <w:szCs w:val="22"/>
                <w:u w:val="single"/>
              </w:rPr>
              <w:t xml:space="preserve"> strategy </w:t>
            </w:r>
          </w:p>
          <w:p w:rsidR="00316497" w:rsidRPr="00025B9C" w:rsidRDefault="00845046" w:rsidP="00D665D9">
            <w:pPr>
              <w:jc w:val="both"/>
              <w:rPr>
                <w:rFonts w:asciiTheme="minorHAnsi" w:hAnsiTheme="minorHAnsi" w:cstheme="minorHAnsi"/>
                <w:sz w:val="22"/>
                <w:szCs w:val="22"/>
              </w:rPr>
            </w:pPr>
            <w:r w:rsidRPr="00025B9C">
              <w:rPr>
                <w:rFonts w:asciiTheme="minorHAnsi" w:hAnsiTheme="minorHAnsi" w:cstheme="minorHAnsi"/>
                <w:sz w:val="22"/>
                <w:szCs w:val="22"/>
                <w:vertAlign w:val="superscript"/>
              </w:rPr>
              <w:t>1</w:t>
            </w:r>
            <w:r w:rsidRPr="00025B9C">
              <w:rPr>
                <w:rFonts w:asciiTheme="minorHAnsi" w:hAnsiTheme="minorHAnsi" w:cstheme="minorHAnsi"/>
                <w:sz w:val="22"/>
                <w:szCs w:val="22"/>
              </w:rPr>
              <w:t xml:space="preserve">= </w:t>
            </w:r>
            <w:r w:rsidR="000E5654" w:rsidRPr="00025B9C">
              <w:rPr>
                <w:rFonts w:asciiTheme="minorHAnsi" w:hAnsiTheme="minorHAnsi" w:cstheme="minorHAnsi"/>
                <w:sz w:val="22"/>
                <w:szCs w:val="22"/>
              </w:rPr>
              <w:t>Rhetorical strategy</w:t>
            </w:r>
            <w:r w:rsidRPr="00025B9C">
              <w:rPr>
                <w:rFonts w:asciiTheme="minorHAnsi" w:hAnsiTheme="minorHAnsi" w:cstheme="minorHAnsi"/>
                <w:sz w:val="22"/>
                <w:szCs w:val="22"/>
              </w:rPr>
              <w:t xml:space="preserve"> 4</w:t>
            </w:r>
            <w:r w:rsidR="00316497" w:rsidRPr="00025B9C">
              <w:rPr>
                <w:rFonts w:asciiTheme="minorHAnsi" w:hAnsiTheme="minorHAnsi" w:cstheme="minorHAnsi"/>
                <w:sz w:val="22"/>
                <w:szCs w:val="22"/>
              </w:rPr>
              <w:t xml:space="preserve"> Transcendence</w:t>
            </w:r>
          </w:p>
          <w:p w:rsidR="00316497" w:rsidRPr="00025B9C" w:rsidRDefault="00316497" w:rsidP="00D665D9">
            <w:pPr>
              <w:contextualSpacing/>
              <w:jc w:val="both"/>
              <w:rPr>
                <w:rFonts w:asciiTheme="minorHAnsi" w:hAnsiTheme="minorHAnsi" w:cstheme="minorHAnsi"/>
                <w:sz w:val="22"/>
                <w:szCs w:val="22"/>
              </w:rPr>
            </w:pPr>
            <w:r w:rsidRPr="00025B9C">
              <w:rPr>
                <w:rFonts w:asciiTheme="minorHAnsi" w:hAnsiTheme="minorHAnsi" w:cstheme="minorHAnsi"/>
                <w:sz w:val="22"/>
                <w:szCs w:val="22"/>
                <w:vertAlign w:val="superscript"/>
              </w:rPr>
              <w:t>2</w:t>
            </w:r>
            <w:r w:rsidRPr="00025B9C">
              <w:rPr>
                <w:rFonts w:asciiTheme="minorHAnsi" w:hAnsiTheme="minorHAnsi" w:cstheme="minorHAnsi"/>
                <w:sz w:val="22"/>
                <w:szCs w:val="22"/>
              </w:rPr>
              <w:t xml:space="preserve">= </w:t>
            </w:r>
            <w:r w:rsidR="000E5654" w:rsidRPr="00025B9C">
              <w:rPr>
                <w:rFonts w:asciiTheme="minorHAnsi" w:hAnsiTheme="minorHAnsi" w:cstheme="minorHAnsi"/>
                <w:sz w:val="22"/>
                <w:szCs w:val="22"/>
              </w:rPr>
              <w:t>Rhetorical strategy</w:t>
            </w:r>
            <w:r w:rsidR="00845046" w:rsidRPr="00025B9C">
              <w:rPr>
                <w:rFonts w:asciiTheme="minorHAnsi" w:hAnsiTheme="minorHAnsi" w:cstheme="minorHAnsi"/>
                <w:sz w:val="22"/>
                <w:szCs w:val="22"/>
              </w:rPr>
              <w:t xml:space="preserve"> 3</w:t>
            </w:r>
            <w:r w:rsidR="00224EAB" w:rsidRPr="00025B9C">
              <w:rPr>
                <w:rFonts w:asciiTheme="minorHAnsi" w:hAnsiTheme="minorHAnsi" w:cstheme="minorHAnsi"/>
                <w:sz w:val="22"/>
                <w:szCs w:val="22"/>
              </w:rPr>
              <w:t xml:space="preserve"> </w:t>
            </w:r>
            <w:r w:rsidR="00F57B34" w:rsidRPr="00025B9C">
              <w:rPr>
                <w:rFonts w:asciiTheme="minorHAnsi" w:hAnsiTheme="minorHAnsi" w:cstheme="minorHAnsi"/>
                <w:sz w:val="22"/>
                <w:szCs w:val="22"/>
              </w:rPr>
              <w:t>Minimization</w:t>
            </w:r>
            <w:r w:rsidRPr="00025B9C">
              <w:rPr>
                <w:rFonts w:asciiTheme="minorHAnsi" w:hAnsiTheme="minorHAnsi" w:cstheme="minorHAnsi"/>
                <w:sz w:val="22"/>
                <w:szCs w:val="22"/>
              </w:rPr>
              <w:t xml:space="preserve"> of negative feelings</w:t>
            </w:r>
          </w:p>
          <w:p w:rsidR="00316497" w:rsidRPr="00025B9C" w:rsidRDefault="00845046" w:rsidP="00D665D9">
            <w:pPr>
              <w:contextualSpacing/>
              <w:jc w:val="both"/>
              <w:rPr>
                <w:rFonts w:asciiTheme="minorHAnsi" w:hAnsiTheme="minorHAnsi" w:cstheme="minorHAnsi"/>
                <w:sz w:val="22"/>
                <w:szCs w:val="22"/>
              </w:rPr>
            </w:pPr>
            <w:r w:rsidRPr="00025B9C">
              <w:rPr>
                <w:rFonts w:asciiTheme="minorHAnsi" w:hAnsiTheme="minorHAnsi" w:cstheme="minorHAnsi"/>
                <w:sz w:val="22"/>
                <w:szCs w:val="22"/>
                <w:vertAlign w:val="superscript"/>
              </w:rPr>
              <w:t>3</w:t>
            </w:r>
            <w:r w:rsidRPr="00025B9C">
              <w:rPr>
                <w:rFonts w:asciiTheme="minorHAnsi" w:hAnsiTheme="minorHAnsi" w:cstheme="minorHAnsi"/>
                <w:sz w:val="22"/>
                <w:szCs w:val="22"/>
              </w:rPr>
              <w:t xml:space="preserve">= </w:t>
            </w:r>
            <w:r w:rsidR="000E5654" w:rsidRPr="00025B9C">
              <w:rPr>
                <w:rFonts w:asciiTheme="minorHAnsi" w:hAnsiTheme="minorHAnsi" w:cstheme="minorHAnsi"/>
                <w:sz w:val="22"/>
                <w:szCs w:val="22"/>
              </w:rPr>
              <w:t>Rhetorical strategy</w:t>
            </w:r>
            <w:r w:rsidRPr="00025B9C">
              <w:rPr>
                <w:rFonts w:asciiTheme="minorHAnsi" w:hAnsiTheme="minorHAnsi" w:cstheme="minorHAnsi"/>
                <w:sz w:val="22"/>
                <w:szCs w:val="22"/>
              </w:rPr>
              <w:t xml:space="preserve"> 1</w:t>
            </w:r>
            <w:r w:rsidR="00316497" w:rsidRPr="00025B9C">
              <w:rPr>
                <w:rFonts w:asciiTheme="minorHAnsi" w:hAnsiTheme="minorHAnsi" w:cstheme="minorHAnsi"/>
                <w:sz w:val="22"/>
                <w:szCs w:val="22"/>
              </w:rPr>
              <w:t xml:space="preserve">a </w:t>
            </w:r>
            <w:r w:rsidR="00BA6ABE" w:rsidRPr="00025B9C">
              <w:rPr>
                <w:rFonts w:asciiTheme="minorHAnsi" w:hAnsiTheme="minorHAnsi" w:cstheme="minorHAnsi"/>
                <w:sz w:val="22"/>
                <w:szCs w:val="22"/>
              </w:rPr>
              <w:t>Corrective action</w:t>
            </w:r>
            <w:r w:rsidR="00316497" w:rsidRPr="00025B9C">
              <w:rPr>
                <w:rFonts w:asciiTheme="minorHAnsi" w:hAnsiTheme="minorHAnsi" w:cstheme="minorHAnsi"/>
                <w:sz w:val="22"/>
                <w:szCs w:val="22"/>
              </w:rPr>
              <w:t xml:space="preserve"> already taken</w:t>
            </w:r>
          </w:p>
          <w:p w:rsidR="00316497" w:rsidRPr="00025B9C" w:rsidRDefault="00845046" w:rsidP="00D665D9">
            <w:pPr>
              <w:contextualSpacing/>
              <w:jc w:val="both"/>
              <w:rPr>
                <w:rFonts w:asciiTheme="minorHAnsi" w:hAnsiTheme="minorHAnsi" w:cstheme="minorHAnsi"/>
                <w:b/>
                <w:sz w:val="22"/>
                <w:szCs w:val="22"/>
              </w:rPr>
            </w:pPr>
            <w:r w:rsidRPr="00025B9C">
              <w:rPr>
                <w:rFonts w:asciiTheme="minorHAnsi" w:hAnsiTheme="minorHAnsi" w:cstheme="minorHAnsi"/>
                <w:sz w:val="22"/>
                <w:szCs w:val="22"/>
                <w:vertAlign w:val="superscript"/>
              </w:rPr>
              <w:t>4</w:t>
            </w:r>
            <w:r w:rsidRPr="00025B9C">
              <w:rPr>
                <w:rFonts w:asciiTheme="minorHAnsi" w:hAnsiTheme="minorHAnsi" w:cstheme="minorHAnsi"/>
                <w:sz w:val="22"/>
                <w:szCs w:val="22"/>
              </w:rPr>
              <w:t xml:space="preserve">= </w:t>
            </w:r>
            <w:r w:rsidR="000E5654" w:rsidRPr="00025B9C">
              <w:rPr>
                <w:rFonts w:asciiTheme="minorHAnsi" w:hAnsiTheme="minorHAnsi" w:cstheme="minorHAnsi"/>
                <w:sz w:val="22"/>
                <w:szCs w:val="22"/>
              </w:rPr>
              <w:t>Rhetorical strategy</w:t>
            </w:r>
            <w:r w:rsidRPr="00025B9C">
              <w:rPr>
                <w:rFonts w:asciiTheme="minorHAnsi" w:hAnsiTheme="minorHAnsi" w:cstheme="minorHAnsi"/>
                <w:sz w:val="22"/>
                <w:szCs w:val="22"/>
              </w:rPr>
              <w:t xml:space="preserve"> 3</w:t>
            </w:r>
            <w:r w:rsidR="00224EAB" w:rsidRPr="00025B9C">
              <w:rPr>
                <w:rFonts w:asciiTheme="minorHAnsi" w:hAnsiTheme="minorHAnsi" w:cstheme="minorHAnsi"/>
                <w:sz w:val="22"/>
                <w:szCs w:val="22"/>
              </w:rPr>
              <w:t xml:space="preserve"> </w:t>
            </w:r>
            <w:r w:rsidR="00F57B34" w:rsidRPr="00025B9C">
              <w:rPr>
                <w:rFonts w:asciiTheme="minorHAnsi" w:hAnsiTheme="minorHAnsi" w:cstheme="minorHAnsi"/>
                <w:sz w:val="22"/>
                <w:szCs w:val="22"/>
              </w:rPr>
              <w:t>Minimization</w:t>
            </w:r>
            <w:r w:rsidR="00316497" w:rsidRPr="00025B9C">
              <w:rPr>
                <w:rFonts w:asciiTheme="minorHAnsi" w:hAnsiTheme="minorHAnsi" w:cstheme="minorHAnsi"/>
                <w:sz w:val="22"/>
                <w:szCs w:val="22"/>
              </w:rPr>
              <w:t xml:space="preserve"> of negative feelings</w:t>
            </w:r>
          </w:p>
        </w:tc>
      </w:tr>
      <w:tr w:rsidR="00025B9C" w:rsidRPr="00025B9C" w:rsidTr="008D6226">
        <w:trPr>
          <w:jc w:val="center"/>
        </w:trPr>
        <w:tc>
          <w:tcPr>
            <w:tcW w:w="9242" w:type="dxa"/>
          </w:tcPr>
          <w:p w:rsidR="00B13097" w:rsidRPr="00025B9C" w:rsidRDefault="00B13097" w:rsidP="00D665D9">
            <w:pPr>
              <w:contextualSpacing/>
              <w:jc w:val="both"/>
              <w:rPr>
                <w:rFonts w:asciiTheme="minorHAnsi" w:hAnsiTheme="minorHAnsi" w:cstheme="minorHAnsi"/>
                <w:sz w:val="22"/>
                <w:szCs w:val="22"/>
              </w:rPr>
            </w:pPr>
          </w:p>
        </w:tc>
      </w:tr>
      <w:tr w:rsidR="00A865A6" w:rsidRPr="00025B9C" w:rsidTr="008D6226">
        <w:trPr>
          <w:jc w:val="center"/>
        </w:trPr>
        <w:tc>
          <w:tcPr>
            <w:tcW w:w="9242" w:type="dxa"/>
          </w:tcPr>
          <w:p w:rsidR="00B13097" w:rsidRPr="00025B9C" w:rsidRDefault="00BD5F02" w:rsidP="00634A79">
            <w:pPr>
              <w:contextualSpacing/>
              <w:jc w:val="both"/>
              <w:rPr>
                <w:rFonts w:asciiTheme="minorHAnsi" w:hAnsiTheme="minorHAnsi" w:cstheme="minorHAnsi"/>
                <w:sz w:val="22"/>
                <w:szCs w:val="22"/>
              </w:rPr>
            </w:pPr>
            <w:r w:rsidRPr="00025B9C">
              <w:rPr>
                <w:rFonts w:asciiTheme="minorHAnsi" w:hAnsiTheme="minorHAnsi" w:cstheme="minorHAnsi"/>
                <w:sz w:val="22"/>
                <w:szCs w:val="22"/>
              </w:rPr>
              <w:t xml:space="preserve">Note also that </w:t>
            </w:r>
            <w:r w:rsidR="00F42410" w:rsidRPr="00025B9C">
              <w:rPr>
                <w:rFonts w:asciiTheme="minorHAnsi" w:hAnsiTheme="minorHAnsi" w:cstheme="minorHAnsi"/>
                <w:sz w:val="22"/>
                <w:szCs w:val="22"/>
              </w:rPr>
              <w:t>International Airlines Group</w:t>
            </w:r>
            <w:r w:rsidRPr="00025B9C">
              <w:rPr>
                <w:rFonts w:asciiTheme="minorHAnsi" w:hAnsiTheme="minorHAnsi" w:cstheme="minorHAnsi"/>
                <w:sz w:val="22"/>
                <w:szCs w:val="22"/>
              </w:rPr>
              <w:t xml:space="preserve"> in this and other explanations did not </w:t>
            </w:r>
            <w:r w:rsidR="008A234D" w:rsidRPr="00025B9C">
              <w:rPr>
                <w:rFonts w:asciiTheme="minorHAnsi" w:hAnsiTheme="minorHAnsi" w:cstheme="minorHAnsi"/>
                <w:sz w:val="22"/>
                <w:szCs w:val="22"/>
              </w:rPr>
              <w:t>identify</w:t>
            </w:r>
            <w:r w:rsidRPr="00025B9C">
              <w:rPr>
                <w:rFonts w:asciiTheme="minorHAnsi" w:hAnsiTheme="minorHAnsi" w:cstheme="minorHAnsi"/>
                <w:sz w:val="22"/>
                <w:szCs w:val="22"/>
              </w:rPr>
              <w:t xml:space="preserve"> the Code </w:t>
            </w:r>
            <w:r w:rsidR="00316497" w:rsidRPr="00025B9C">
              <w:rPr>
                <w:rFonts w:asciiTheme="minorHAnsi" w:hAnsiTheme="minorHAnsi" w:cstheme="minorHAnsi"/>
                <w:sz w:val="22"/>
                <w:szCs w:val="22"/>
              </w:rPr>
              <w:t>provision</w:t>
            </w:r>
            <w:r w:rsidRPr="00025B9C">
              <w:rPr>
                <w:rFonts w:asciiTheme="minorHAnsi" w:hAnsiTheme="minorHAnsi" w:cstheme="minorHAnsi"/>
                <w:sz w:val="22"/>
                <w:szCs w:val="22"/>
              </w:rPr>
              <w:t xml:space="preserve"> </w:t>
            </w:r>
            <w:r w:rsidR="008A234D" w:rsidRPr="00025B9C">
              <w:rPr>
                <w:rFonts w:asciiTheme="minorHAnsi" w:hAnsiTheme="minorHAnsi" w:cstheme="minorHAnsi"/>
                <w:sz w:val="22"/>
                <w:szCs w:val="22"/>
              </w:rPr>
              <w:t xml:space="preserve">breached </w:t>
            </w:r>
            <w:r w:rsidRPr="00025B9C">
              <w:rPr>
                <w:rFonts w:asciiTheme="minorHAnsi" w:hAnsiTheme="minorHAnsi" w:cstheme="minorHAnsi"/>
                <w:sz w:val="22"/>
                <w:szCs w:val="22"/>
              </w:rPr>
              <w:t>(</w:t>
            </w:r>
            <w:r w:rsidR="00634A79" w:rsidRPr="00025B9C">
              <w:rPr>
                <w:rFonts w:asciiTheme="minorHAnsi" w:hAnsiTheme="minorHAnsi" w:cstheme="minorHAnsi"/>
                <w:sz w:val="22"/>
                <w:szCs w:val="22"/>
              </w:rPr>
              <w:t>rhetorical strategy</w:t>
            </w:r>
            <w:r w:rsidR="00845046" w:rsidRPr="00025B9C">
              <w:rPr>
                <w:rFonts w:asciiTheme="minorHAnsi" w:hAnsiTheme="minorHAnsi" w:cstheme="minorHAnsi"/>
                <w:sz w:val="22"/>
                <w:szCs w:val="22"/>
              </w:rPr>
              <w:t xml:space="preserve"> 9</w:t>
            </w:r>
            <w:r w:rsidRPr="00025B9C">
              <w:rPr>
                <w:rFonts w:asciiTheme="minorHAnsi" w:hAnsiTheme="minorHAnsi" w:cstheme="minorHAnsi"/>
                <w:sz w:val="22"/>
                <w:szCs w:val="22"/>
              </w:rPr>
              <w:t xml:space="preserve">d - no Code </w:t>
            </w:r>
            <w:r w:rsidR="00316497" w:rsidRPr="00025B9C">
              <w:rPr>
                <w:rFonts w:asciiTheme="minorHAnsi" w:hAnsiTheme="minorHAnsi" w:cstheme="minorHAnsi"/>
                <w:sz w:val="22"/>
                <w:szCs w:val="22"/>
              </w:rPr>
              <w:t xml:space="preserve">provision </w:t>
            </w:r>
            <w:r w:rsidR="00845046" w:rsidRPr="00025B9C">
              <w:rPr>
                <w:rFonts w:asciiTheme="minorHAnsi" w:hAnsiTheme="minorHAnsi" w:cstheme="minorHAnsi"/>
                <w:sz w:val="22"/>
                <w:szCs w:val="22"/>
              </w:rPr>
              <w:t xml:space="preserve">number </w:t>
            </w:r>
            <w:r w:rsidR="009E2C92" w:rsidRPr="00025B9C">
              <w:rPr>
                <w:rFonts w:asciiTheme="minorHAnsi" w:hAnsiTheme="minorHAnsi" w:cstheme="minorHAnsi"/>
                <w:sz w:val="22"/>
                <w:szCs w:val="22"/>
              </w:rPr>
              <w:t>provided). International Airlines Group</w:t>
            </w:r>
            <w:r w:rsidRPr="00025B9C">
              <w:rPr>
                <w:rFonts w:asciiTheme="minorHAnsi" w:hAnsiTheme="minorHAnsi" w:cstheme="minorHAnsi"/>
                <w:sz w:val="22"/>
                <w:szCs w:val="22"/>
              </w:rPr>
              <w:t xml:space="preserve"> was formed by the merger of British Airways and Iberia and has its headquarters in London.</w:t>
            </w:r>
          </w:p>
        </w:tc>
      </w:tr>
    </w:tbl>
    <w:p w:rsidR="009A4DEB" w:rsidRPr="00025B9C" w:rsidRDefault="009A4DEB" w:rsidP="00D665D9">
      <w:pPr>
        <w:rPr>
          <w:rFonts w:asciiTheme="minorHAnsi" w:hAnsiTheme="minorHAnsi" w:cstheme="minorHAnsi"/>
          <w:b/>
        </w:rPr>
      </w:pPr>
    </w:p>
    <w:p w:rsidR="006B283E" w:rsidRPr="00025B9C" w:rsidRDefault="009246EA" w:rsidP="00D665D9">
      <w:pPr>
        <w:spacing w:line="360" w:lineRule="auto"/>
        <w:jc w:val="both"/>
        <w:rPr>
          <w:rFonts w:asciiTheme="minorHAnsi" w:hAnsiTheme="minorHAnsi" w:cstheme="minorHAnsi"/>
          <w:b/>
        </w:rPr>
      </w:pPr>
      <w:r w:rsidRPr="00025B9C">
        <w:rPr>
          <w:rFonts w:asciiTheme="minorHAnsi" w:hAnsiTheme="minorHAnsi" w:cstheme="minorHAnsi"/>
          <w:b/>
        </w:rPr>
        <w:br w:type="page"/>
      </w:r>
      <w:r w:rsidR="006B283E" w:rsidRPr="00025B9C">
        <w:rPr>
          <w:rFonts w:asciiTheme="minorHAnsi" w:hAnsiTheme="minorHAnsi" w:cstheme="minorHAnsi"/>
          <w:b/>
        </w:rPr>
        <w:t>References</w:t>
      </w:r>
    </w:p>
    <w:p w:rsidR="00665622" w:rsidRPr="00025B9C" w:rsidRDefault="00665622" w:rsidP="002C36A3">
      <w:pPr>
        <w:spacing w:line="360" w:lineRule="auto"/>
        <w:ind w:left="720" w:hanging="720"/>
        <w:jc w:val="both"/>
        <w:rPr>
          <w:rFonts w:asciiTheme="minorHAnsi" w:hAnsiTheme="minorHAnsi" w:cstheme="minorHAnsi"/>
        </w:rPr>
      </w:pPr>
      <w:r w:rsidRPr="00025B9C">
        <w:rPr>
          <w:rFonts w:asciiTheme="minorHAnsi" w:hAnsiTheme="minorHAnsi" w:cstheme="minorHAnsi"/>
        </w:rPr>
        <w:t>Abrahamson, E</w:t>
      </w:r>
      <w:r w:rsidR="00780D26" w:rsidRPr="00025B9C">
        <w:rPr>
          <w:rFonts w:asciiTheme="minorHAnsi" w:hAnsiTheme="minorHAnsi" w:cstheme="minorHAnsi"/>
        </w:rPr>
        <w:t>., &amp;</w:t>
      </w:r>
      <w:r w:rsidRPr="00025B9C">
        <w:rPr>
          <w:rFonts w:asciiTheme="minorHAnsi" w:hAnsiTheme="minorHAnsi" w:cstheme="minorHAnsi"/>
        </w:rPr>
        <w:t xml:space="preserve"> Park, C. (1994). Concealment of negative organizational outcome</w:t>
      </w:r>
      <w:r w:rsidR="003A1F3C" w:rsidRPr="00025B9C">
        <w:rPr>
          <w:rFonts w:asciiTheme="minorHAnsi" w:hAnsiTheme="minorHAnsi" w:cstheme="minorHAnsi"/>
        </w:rPr>
        <w:t>s: An agency theory perspective.</w:t>
      </w:r>
      <w:r w:rsidRPr="00025B9C">
        <w:rPr>
          <w:rFonts w:asciiTheme="minorHAnsi" w:hAnsiTheme="minorHAnsi" w:cstheme="minorHAnsi"/>
        </w:rPr>
        <w:t xml:space="preserve"> </w:t>
      </w:r>
      <w:r w:rsidRPr="00025B9C">
        <w:rPr>
          <w:rFonts w:asciiTheme="minorHAnsi" w:hAnsiTheme="minorHAnsi" w:cstheme="minorHAnsi"/>
          <w:i/>
        </w:rPr>
        <w:t>Academy of Management Journal</w:t>
      </w:r>
      <w:r w:rsidRPr="00025B9C">
        <w:rPr>
          <w:rFonts w:asciiTheme="minorHAnsi" w:hAnsiTheme="minorHAnsi" w:cstheme="minorHAnsi"/>
        </w:rPr>
        <w:t xml:space="preserve">, </w:t>
      </w:r>
      <w:r w:rsidRPr="00025B9C">
        <w:rPr>
          <w:rFonts w:asciiTheme="minorHAnsi" w:hAnsiTheme="minorHAnsi" w:cstheme="minorHAnsi"/>
          <w:i/>
        </w:rPr>
        <w:t>37</w:t>
      </w:r>
      <w:r w:rsidRPr="00025B9C">
        <w:rPr>
          <w:rFonts w:asciiTheme="minorHAnsi" w:hAnsiTheme="minorHAnsi" w:cstheme="minorHAnsi"/>
        </w:rPr>
        <w:t>(5), 1302</w:t>
      </w:r>
      <w:r w:rsidR="002C36A3" w:rsidRPr="00025B9C">
        <w:rPr>
          <w:rFonts w:asciiTheme="minorHAnsi" w:hAnsiTheme="minorHAnsi" w:cstheme="minorHAnsi"/>
        </w:rPr>
        <w:t>–</w:t>
      </w:r>
      <w:r w:rsidRPr="00025B9C">
        <w:rPr>
          <w:rFonts w:asciiTheme="minorHAnsi" w:hAnsiTheme="minorHAnsi" w:cstheme="minorHAnsi"/>
        </w:rPr>
        <w:t>1334.</w:t>
      </w:r>
    </w:p>
    <w:p w:rsidR="00AF7EA8" w:rsidRPr="00025B9C" w:rsidRDefault="00AF7EA8"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Aerts</w:t>
      </w:r>
      <w:proofErr w:type="spellEnd"/>
      <w:r w:rsidRPr="00025B9C">
        <w:rPr>
          <w:rFonts w:asciiTheme="minorHAnsi" w:hAnsiTheme="minorHAnsi" w:cstheme="minorHAnsi"/>
        </w:rPr>
        <w:t>, W. (2001</w:t>
      </w:r>
      <w:r w:rsidR="00800388" w:rsidRPr="00025B9C">
        <w:rPr>
          <w:rFonts w:asciiTheme="minorHAnsi" w:hAnsiTheme="minorHAnsi" w:cstheme="minorHAnsi"/>
        </w:rPr>
        <w:t>)</w:t>
      </w:r>
      <w:r w:rsidR="000268BD" w:rsidRPr="00025B9C">
        <w:rPr>
          <w:rFonts w:asciiTheme="minorHAnsi" w:hAnsiTheme="minorHAnsi" w:cstheme="minorHAnsi"/>
        </w:rPr>
        <w:t>.</w:t>
      </w:r>
      <w:r w:rsidRPr="00025B9C">
        <w:rPr>
          <w:rFonts w:asciiTheme="minorHAnsi" w:hAnsiTheme="minorHAnsi" w:cstheme="minorHAnsi"/>
        </w:rPr>
        <w:t xml:space="preserve"> Inertia in the</w:t>
      </w:r>
      <w:r w:rsidR="001F6FBD" w:rsidRPr="00025B9C">
        <w:rPr>
          <w:rFonts w:asciiTheme="minorHAnsi" w:hAnsiTheme="minorHAnsi" w:cstheme="minorHAnsi"/>
        </w:rPr>
        <w:t xml:space="preserve"> </w:t>
      </w:r>
      <w:r w:rsidRPr="00025B9C">
        <w:rPr>
          <w:rFonts w:asciiTheme="minorHAnsi" w:hAnsiTheme="minorHAnsi" w:cstheme="minorHAnsi"/>
        </w:rPr>
        <w:t>attributional content of annual accounting narratives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European Accounting Review</w:t>
      </w:r>
      <w:r w:rsidRPr="00025B9C">
        <w:rPr>
          <w:rFonts w:asciiTheme="minorHAnsi" w:hAnsiTheme="minorHAnsi" w:cstheme="minorHAnsi"/>
        </w:rPr>
        <w:t xml:space="preserve">, </w:t>
      </w:r>
      <w:r w:rsidRPr="00025B9C">
        <w:rPr>
          <w:rFonts w:asciiTheme="minorHAnsi" w:hAnsiTheme="minorHAnsi" w:cstheme="minorHAnsi"/>
          <w:i/>
        </w:rPr>
        <w:t>10</w:t>
      </w:r>
      <w:r w:rsidR="000268BD" w:rsidRPr="00025B9C">
        <w:rPr>
          <w:rFonts w:asciiTheme="minorHAnsi" w:hAnsiTheme="minorHAnsi" w:cstheme="minorHAnsi"/>
        </w:rPr>
        <w:t>(</w:t>
      </w:r>
      <w:r w:rsidR="00D4548E" w:rsidRPr="00025B9C">
        <w:rPr>
          <w:rFonts w:asciiTheme="minorHAnsi" w:hAnsiTheme="minorHAnsi" w:cstheme="minorHAnsi"/>
        </w:rPr>
        <w:t>1</w:t>
      </w:r>
      <w:r w:rsidR="000268BD" w:rsidRPr="00025B9C">
        <w:rPr>
          <w:rFonts w:asciiTheme="minorHAnsi" w:hAnsiTheme="minorHAnsi" w:cstheme="minorHAnsi"/>
        </w:rPr>
        <w:t>)</w:t>
      </w:r>
      <w:r w:rsidR="008C6999" w:rsidRPr="00025B9C">
        <w:rPr>
          <w:rFonts w:asciiTheme="minorHAnsi" w:hAnsiTheme="minorHAnsi" w:cstheme="minorHAnsi"/>
        </w:rPr>
        <w:t xml:space="preserve">, </w:t>
      </w:r>
      <w:r w:rsidR="002C36A3" w:rsidRPr="00025B9C">
        <w:rPr>
          <w:rFonts w:asciiTheme="minorHAnsi" w:hAnsiTheme="minorHAnsi" w:cstheme="minorHAnsi"/>
        </w:rPr>
        <w:t>3–</w:t>
      </w:r>
      <w:r w:rsidRPr="00025B9C">
        <w:rPr>
          <w:rFonts w:asciiTheme="minorHAnsi" w:hAnsiTheme="minorHAnsi" w:cstheme="minorHAnsi"/>
        </w:rPr>
        <w:t>32.</w:t>
      </w:r>
    </w:p>
    <w:p w:rsidR="00F6172B" w:rsidRPr="00025B9C" w:rsidRDefault="00AF7EA8"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Aerts</w:t>
      </w:r>
      <w:proofErr w:type="spellEnd"/>
      <w:r w:rsidRPr="00025B9C">
        <w:rPr>
          <w:rFonts w:asciiTheme="minorHAnsi" w:hAnsiTheme="minorHAnsi" w:cstheme="minorHAnsi"/>
        </w:rPr>
        <w:t>, W. (2005</w:t>
      </w:r>
      <w:r w:rsidR="00800388" w:rsidRPr="00025B9C">
        <w:rPr>
          <w:rFonts w:asciiTheme="minorHAnsi" w:hAnsiTheme="minorHAnsi" w:cstheme="minorHAnsi"/>
        </w:rPr>
        <w:t>)</w:t>
      </w:r>
      <w:r w:rsidR="000268BD" w:rsidRPr="00025B9C">
        <w:rPr>
          <w:rFonts w:asciiTheme="minorHAnsi" w:hAnsiTheme="minorHAnsi" w:cstheme="minorHAnsi"/>
        </w:rPr>
        <w:t>.</w:t>
      </w:r>
      <w:r w:rsidRPr="00025B9C">
        <w:rPr>
          <w:rFonts w:asciiTheme="minorHAnsi" w:hAnsiTheme="minorHAnsi" w:cstheme="minorHAnsi"/>
        </w:rPr>
        <w:t xml:space="preserve"> Picking up the pieces: Impression management in the retrospective attributional framing of accounting outcomes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Accounting, Organizations and Society</w:t>
      </w:r>
      <w:r w:rsidRPr="00025B9C">
        <w:rPr>
          <w:rFonts w:asciiTheme="minorHAnsi" w:hAnsiTheme="minorHAnsi" w:cstheme="minorHAnsi"/>
        </w:rPr>
        <w:t xml:space="preserve">, </w:t>
      </w:r>
      <w:r w:rsidRPr="00025B9C">
        <w:rPr>
          <w:rFonts w:asciiTheme="minorHAnsi" w:hAnsiTheme="minorHAnsi" w:cstheme="minorHAnsi"/>
          <w:i/>
        </w:rPr>
        <w:t>30</w:t>
      </w:r>
      <w:r w:rsidR="008C6999" w:rsidRPr="00025B9C">
        <w:rPr>
          <w:rFonts w:asciiTheme="minorHAnsi" w:hAnsiTheme="minorHAnsi" w:cstheme="minorHAnsi"/>
        </w:rPr>
        <w:t>(</w:t>
      </w:r>
      <w:r w:rsidR="00D4548E" w:rsidRPr="00025B9C">
        <w:rPr>
          <w:rFonts w:asciiTheme="minorHAnsi" w:hAnsiTheme="minorHAnsi" w:cstheme="minorHAnsi"/>
        </w:rPr>
        <w:t>6</w:t>
      </w:r>
      <w:r w:rsidR="008C6999" w:rsidRPr="00025B9C">
        <w:rPr>
          <w:rFonts w:asciiTheme="minorHAnsi" w:hAnsiTheme="minorHAnsi" w:cstheme="minorHAnsi"/>
        </w:rPr>
        <w:t>)</w:t>
      </w:r>
      <w:r w:rsidR="002C36A3" w:rsidRPr="00025B9C">
        <w:rPr>
          <w:rFonts w:asciiTheme="minorHAnsi" w:hAnsiTheme="minorHAnsi" w:cstheme="minorHAnsi"/>
        </w:rPr>
        <w:t>, 439–</w:t>
      </w:r>
      <w:r w:rsidRPr="00025B9C">
        <w:rPr>
          <w:rFonts w:asciiTheme="minorHAnsi" w:hAnsiTheme="minorHAnsi" w:cstheme="minorHAnsi"/>
        </w:rPr>
        <w:t>517.</w:t>
      </w:r>
    </w:p>
    <w:p w:rsidR="0018224D" w:rsidRPr="00025B9C" w:rsidRDefault="0018224D" w:rsidP="00D665D9">
      <w:pPr>
        <w:spacing w:line="360" w:lineRule="auto"/>
        <w:ind w:left="720" w:hanging="720"/>
        <w:jc w:val="both"/>
        <w:rPr>
          <w:rFonts w:asciiTheme="minorHAnsi" w:hAnsiTheme="minorHAnsi" w:cstheme="minorHAnsi"/>
          <w:sz w:val="32"/>
          <w:lang w:val="fr-FR"/>
        </w:rPr>
      </w:pPr>
      <w:proofErr w:type="spellStart"/>
      <w:r w:rsidRPr="00025B9C">
        <w:rPr>
          <w:rFonts w:asciiTheme="minorHAnsi" w:hAnsiTheme="minorHAnsi" w:cstheme="minorHAnsi"/>
          <w:szCs w:val="20"/>
        </w:rPr>
        <w:t>Aerts</w:t>
      </w:r>
      <w:proofErr w:type="spellEnd"/>
      <w:r w:rsidRPr="00025B9C">
        <w:rPr>
          <w:rFonts w:asciiTheme="minorHAnsi" w:hAnsiTheme="minorHAnsi" w:cstheme="minorHAnsi"/>
          <w:szCs w:val="20"/>
        </w:rPr>
        <w:t xml:space="preserve">, W. </w:t>
      </w:r>
      <w:r w:rsidR="00FC01A4" w:rsidRPr="00025B9C">
        <w:rPr>
          <w:rFonts w:asciiTheme="minorHAnsi" w:hAnsiTheme="minorHAnsi" w:cstheme="minorHAnsi"/>
          <w:szCs w:val="20"/>
        </w:rPr>
        <w:t>&amp;</w:t>
      </w:r>
      <w:r w:rsidRPr="00025B9C">
        <w:rPr>
          <w:rFonts w:asciiTheme="minorHAnsi" w:hAnsiTheme="minorHAnsi" w:cstheme="minorHAnsi"/>
          <w:szCs w:val="20"/>
        </w:rPr>
        <w:t xml:space="preserve"> </w:t>
      </w:r>
      <w:proofErr w:type="spellStart"/>
      <w:r w:rsidRPr="00025B9C">
        <w:rPr>
          <w:rFonts w:asciiTheme="minorHAnsi" w:hAnsiTheme="minorHAnsi" w:cstheme="minorHAnsi"/>
          <w:szCs w:val="20"/>
        </w:rPr>
        <w:t>Theunisse</w:t>
      </w:r>
      <w:proofErr w:type="spellEnd"/>
      <w:r w:rsidRPr="00025B9C">
        <w:rPr>
          <w:rFonts w:asciiTheme="minorHAnsi" w:hAnsiTheme="minorHAnsi" w:cstheme="minorHAnsi"/>
          <w:szCs w:val="20"/>
        </w:rPr>
        <w:t>, H. (200</w:t>
      </w:r>
      <w:r w:rsidR="00433A0D" w:rsidRPr="00025B9C">
        <w:rPr>
          <w:rFonts w:asciiTheme="minorHAnsi" w:hAnsiTheme="minorHAnsi" w:cstheme="minorHAnsi"/>
          <w:szCs w:val="20"/>
        </w:rPr>
        <w:t>1</w:t>
      </w:r>
      <w:r w:rsidRPr="00025B9C">
        <w:rPr>
          <w:rFonts w:asciiTheme="minorHAnsi" w:hAnsiTheme="minorHAnsi" w:cstheme="minorHAnsi"/>
          <w:szCs w:val="20"/>
        </w:rPr>
        <w:t xml:space="preserve">). </w:t>
      </w:r>
      <w:r w:rsidRPr="00025B9C">
        <w:rPr>
          <w:rFonts w:asciiTheme="minorHAnsi" w:hAnsiTheme="minorHAnsi" w:cstheme="minorHAnsi"/>
          <w:iCs/>
          <w:szCs w:val="20"/>
        </w:rPr>
        <w:t>Listing status of the firm as motivational factor for attributional search in annual reporting</w:t>
      </w:r>
      <w:r w:rsidRPr="00025B9C">
        <w:rPr>
          <w:rFonts w:asciiTheme="minorHAnsi" w:hAnsiTheme="minorHAnsi" w:cstheme="minorHAnsi"/>
          <w:szCs w:val="20"/>
        </w:rPr>
        <w:t xml:space="preserve">. </w:t>
      </w:r>
      <w:r w:rsidR="00097EBD" w:rsidRPr="00025B9C">
        <w:rPr>
          <w:rFonts w:asciiTheme="minorHAnsi" w:hAnsiTheme="minorHAnsi" w:cstheme="minorHAnsi"/>
          <w:i/>
          <w:szCs w:val="20"/>
          <w:lang w:val="fr-FR"/>
        </w:rPr>
        <w:t>Cahiers Économique de Bruxelles</w:t>
      </w:r>
      <w:r w:rsidR="00097EBD" w:rsidRPr="00025B9C">
        <w:rPr>
          <w:rFonts w:asciiTheme="minorHAnsi" w:hAnsiTheme="minorHAnsi" w:cstheme="minorHAnsi"/>
          <w:szCs w:val="20"/>
          <w:lang w:val="fr-FR"/>
        </w:rPr>
        <w:t>, 171, 91-127.</w:t>
      </w:r>
    </w:p>
    <w:p w:rsidR="009A721D" w:rsidRPr="00025B9C" w:rsidRDefault="004B5AC3"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lang w:val="fr-FR"/>
        </w:rPr>
        <w:t>Arcot</w:t>
      </w:r>
      <w:proofErr w:type="spellEnd"/>
      <w:r w:rsidRPr="00025B9C">
        <w:rPr>
          <w:rFonts w:asciiTheme="minorHAnsi" w:hAnsiTheme="minorHAnsi" w:cstheme="minorHAnsi"/>
          <w:lang w:val="fr-FR"/>
        </w:rPr>
        <w:t>, S., Bruno,</w:t>
      </w:r>
      <w:r w:rsidR="00983B73" w:rsidRPr="00025B9C">
        <w:rPr>
          <w:rFonts w:asciiTheme="minorHAnsi" w:hAnsiTheme="minorHAnsi" w:cstheme="minorHAnsi"/>
          <w:lang w:val="fr-FR"/>
        </w:rPr>
        <w:t xml:space="preserve"> </w:t>
      </w:r>
      <w:r w:rsidRPr="00025B9C">
        <w:rPr>
          <w:rFonts w:asciiTheme="minorHAnsi" w:hAnsiTheme="minorHAnsi" w:cstheme="minorHAnsi"/>
          <w:lang w:val="fr-FR"/>
        </w:rPr>
        <w:t xml:space="preserve">V., </w:t>
      </w:r>
      <w:r w:rsidR="0028442D" w:rsidRPr="00025B9C">
        <w:rPr>
          <w:rFonts w:asciiTheme="minorHAnsi" w:hAnsiTheme="minorHAnsi" w:cstheme="minorHAnsi"/>
          <w:lang w:val="fr-FR"/>
        </w:rPr>
        <w:t>&amp;</w:t>
      </w:r>
      <w:r w:rsidRPr="00025B9C">
        <w:rPr>
          <w:rFonts w:asciiTheme="minorHAnsi" w:hAnsiTheme="minorHAnsi" w:cstheme="minorHAnsi"/>
          <w:lang w:val="fr-FR"/>
        </w:rPr>
        <w:t xml:space="preserve"> Faure-Grimaud, A. (2010</w:t>
      </w:r>
      <w:r w:rsidR="00800388" w:rsidRPr="00025B9C">
        <w:rPr>
          <w:rFonts w:asciiTheme="minorHAnsi" w:hAnsiTheme="minorHAnsi" w:cstheme="minorHAnsi"/>
          <w:lang w:val="fr-FR"/>
        </w:rPr>
        <w:t>)</w:t>
      </w:r>
      <w:r w:rsidR="008C6999" w:rsidRPr="00025B9C">
        <w:rPr>
          <w:rFonts w:asciiTheme="minorHAnsi" w:hAnsiTheme="minorHAnsi" w:cstheme="minorHAnsi"/>
          <w:lang w:val="fr-FR"/>
        </w:rPr>
        <w:t>.</w:t>
      </w:r>
      <w:r w:rsidRPr="00025B9C">
        <w:rPr>
          <w:rFonts w:asciiTheme="minorHAnsi" w:hAnsiTheme="minorHAnsi" w:cstheme="minorHAnsi"/>
          <w:lang w:val="fr-FR"/>
        </w:rPr>
        <w:t xml:space="preserve"> </w:t>
      </w:r>
      <w:r w:rsidRPr="00025B9C">
        <w:rPr>
          <w:rFonts w:asciiTheme="minorHAnsi" w:hAnsiTheme="minorHAnsi" w:cstheme="minorHAnsi"/>
        </w:rPr>
        <w:t xml:space="preserve">Corporate governance in the UK: Is the </w:t>
      </w:r>
      <w:r w:rsidR="00476312" w:rsidRPr="00025B9C">
        <w:rPr>
          <w:rFonts w:asciiTheme="minorHAnsi" w:hAnsiTheme="minorHAnsi" w:cstheme="minorHAnsi"/>
        </w:rPr>
        <w:t>‘comply-or-explain’</w:t>
      </w:r>
      <w:r w:rsidRPr="00025B9C">
        <w:rPr>
          <w:rFonts w:asciiTheme="minorHAnsi" w:hAnsiTheme="minorHAnsi" w:cstheme="minorHAnsi"/>
        </w:rPr>
        <w:t xml:space="preserve"> approach working? </w:t>
      </w:r>
      <w:r w:rsidRPr="00025B9C">
        <w:rPr>
          <w:rFonts w:asciiTheme="minorHAnsi" w:hAnsiTheme="minorHAnsi" w:cstheme="minorHAnsi"/>
          <w:i/>
        </w:rPr>
        <w:t xml:space="preserve">International Review of </w:t>
      </w:r>
      <w:r w:rsidR="00323E2D" w:rsidRPr="00025B9C">
        <w:rPr>
          <w:rFonts w:asciiTheme="minorHAnsi" w:hAnsiTheme="minorHAnsi" w:cstheme="minorHAnsi"/>
          <w:i/>
        </w:rPr>
        <w:t xml:space="preserve">Law and </w:t>
      </w:r>
      <w:r w:rsidRPr="00025B9C">
        <w:rPr>
          <w:rFonts w:asciiTheme="minorHAnsi" w:hAnsiTheme="minorHAnsi" w:cstheme="minorHAnsi"/>
          <w:i/>
        </w:rPr>
        <w:t>Economics</w:t>
      </w:r>
      <w:r w:rsidR="00323E2D" w:rsidRPr="00025B9C">
        <w:rPr>
          <w:rFonts w:asciiTheme="minorHAnsi" w:hAnsiTheme="minorHAnsi" w:cstheme="minorHAnsi"/>
        </w:rPr>
        <w:t>,</w:t>
      </w:r>
      <w:r w:rsidR="009E677D" w:rsidRPr="00025B9C">
        <w:rPr>
          <w:rFonts w:asciiTheme="minorHAnsi" w:hAnsiTheme="minorHAnsi" w:cstheme="minorHAnsi"/>
        </w:rPr>
        <w:t xml:space="preserve"> </w:t>
      </w:r>
      <w:r w:rsidR="00323E2D" w:rsidRPr="00025B9C">
        <w:rPr>
          <w:rFonts w:asciiTheme="minorHAnsi" w:hAnsiTheme="minorHAnsi" w:cstheme="minorHAnsi"/>
          <w:i/>
        </w:rPr>
        <w:t>30</w:t>
      </w:r>
      <w:r w:rsidR="008C6999" w:rsidRPr="00025B9C">
        <w:rPr>
          <w:rFonts w:asciiTheme="minorHAnsi" w:hAnsiTheme="minorHAnsi" w:cstheme="minorHAnsi"/>
        </w:rPr>
        <w:t>(</w:t>
      </w:r>
      <w:r w:rsidR="009E677D" w:rsidRPr="00025B9C">
        <w:rPr>
          <w:rFonts w:asciiTheme="minorHAnsi" w:hAnsiTheme="minorHAnsi" w:cstheme="minorHAnsi"/>
        </w:rPr>
        <w:t>2</w:t>
      </w:r>
      <w:r w:rsidR="008C6999" w:rsidRPr="00025B9C">
        <w:rPr>
          <w:rFonts w:asciiTheme="minorHAnsi" w:hAnsiTheme="minorHAnsi" w:cstheme="minorHAnsi"/>
        </w:rPr>
        <w:t>)</w:t>
      </w:r>
      <w:r w:rsidR="00323E2D" w:rsidRPr="00025B9C">
        <w:rPr>
          <w:rFonts w:asciiTheme="minorHAnsi" w:hAnsiTheme="minorHAnsi" w:cstheme="minorHAnsi"/>
        </w:rPr>
        <w:t>, 193</w:t>
      </w:r>
      <w:r w:rsidR="002C36A3" w:rsidRPr="00025B9C">
        <w:rPr>
          <w:rFonts w:asciiTheme="minorHAnsi" w:hAnsiTheme="minorHAnsi" w:cstheme="minorHAnsi"/>
        </w:rPr>
        <w:t>–</w:t>
      </w:r>
      <w:r w:rsidR="00323E2D" w:rsidRPr="00025B9C">
        <w:rPr>
          <w:rFonts w:asciiTheme="minorHAnsi" w:hAnsiTheme="minorHAnsi" w:cstheme="minorHAnsi"/>
        </w:rPr>
        <w:t>201.</w:t>
      </w:r>
    </w:p>
    <w:p w:rsidR="003C58BD" w:rsidRPr="00025B9C" w:rsidRDefault="003C58BD"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Aristotle (</w:t>
      </w:r>
      <w:r w:rsidRPr="00025B9C">
        <w:rPr>
          <w:rFonts w:asciiTheme="minorHAnsi" w:hAnsiTheme="minorHAnsi" w:cstheme="minorHAnsi"/>
          <w:lang w:val="en-IE" w:eastAsia="en-IE"/>
        </w:rPr>
        <w:t>350BC/</w:t>
      </w:r>
      <w:r w:rsidR="00F91E17" w:rsidRPr="00025B9C">
        <w:rPr>
          <w:rFonts w:asciiTheme="minorHAnsi" w:hAnsiTheme="minorHAnsi" w:cstheme="minorHAnsi"/>
        </w:rPr>
        <w:t>2010).</w:t>
      </w:r>
      <w:r w:rsidRPr="00025B9C">
        <w:rPr>
          <w:rFonts w:asciiTheme="minorHAnsi" w:hAnsiTheme="minorHAnsi" w:cstheme="minorHAnsi"/>
        </w:rPr>
        <w:t xml:space="preserve"> </w:t>
      </w:r>
      <w:r w:rsidRPr="00025B9C">
        <w:rPr>
          <w:rFonts w:asciiTheme="minorHAnsi" w:hAnsiTheme="minorHAnsi" w:cstheme="minorHAnsi"/>
          <w:i/>
        </w:rPr>
        <w:t>Rhetoric</w:t>
      </w:r>
      <w:r w:rsidR="003A1F3C" w:rsidRPr="00025B9C">
        <w:rPr>
          <w:rFonts w:asciiTheme="minorHAnsi" w:hAnsiTheme="minorHAnsi" w:cstheme="minorHAnsi"/>
        </w:rPr>
        <w:t>. Translated by W. Rhys Roberts.</w:t>
      </w:r>
      <w:r w:rsidRPr="00025B9C">
        <w:rPr>
          <w:rFonts w:asciiTheme="minorHAnsi" w:hAnsiTheme="minorHAnsi" w:cstheme="minorHAnsi"/>
        </w:rPr>
        <w:t xml:space="preserve"> </w:t>
      </w:r>
      <w:r w:rsidR="003A1F3C" w:rsidRPr="00025B9C">
        <w:rPr>
          <w:rFonts w:asciiTheme="minorHAnsi" w:hAnsiTheme="minorHAnsi" w:cstheme="minorHAnsi"/>
        </w:rPr>
        <w:t xml:space="preserve">Pennsylvania, PA: </w:t>
      </w:r>
      <w:r w:rsidRPr="00025B9C">
        <w:rPr>
          <w:rFonts w:asciiTheme="minorHAnsi" w:hAnsiTheme="minorHAnsi" w:cstheme="minorHAnsi"/>
        </w:rPr>
        <w:t>The Pennsylvania State University.</w:t>
      </w:r>
    </w:p>
    <w:p w:rsidR="00EC2145" w:rsidRPr="00025B9C" w:rsidRDefault="00EC2145" w:rsidP="00D665D9">
      <w:pPr>
        <w:spacing w:line="360" w:lineRule="auto"/>
        <w:ind w:left="720" w:hanging="720"/>
        <w:jc w:val="both"/>
        <w:rPr>
          <w:rFonts w:asciiTheme="minorHAnsi" w:hAnsiTheme="minorHAnsi" w:cstheme="minorHAnsi"/>
        </w:rPr>
      </w:pPr>
      <w:r w:rsidRPr="00025B9C">
        <w:rPr>
          <w:rFonts w:asciiTheme="minorHAnsi" w:hAnsiTheme="minorHAnsi" w:cstheme="minorHAnsi"/>
          <w:lang w:eastAsia="en-AU"/>
        </w:rPr>
        <w:t xml:space="preserve">Augustine, S. M. (2014). Living in a post-coding world: Analysis as assemblage. </w:t>
      </w:r>
      <w:r w:rsidRPr="00025B9C">
        <w:rPr>
          <w:rFonts w:asciiTheme="minorHAnsi" w:hAnsiTheme="minorHAnsi" w:cstheme="minorHAnsi"/>
          <w:i/>
          <w:iCs/>
          <w:lang w:eastAsia="en-AU"/>
        </w:rPr>
        <w:t>Qualitative Inquiry</w:t>
      </w:r>
      <w:r w:rsidRPr="00025B9C">
        <w:rPr>
          <w:rFonts w:asciiTheme="minorHAnsi" w:hAnsiTheme="minorHAnsi" w:cstheme="minorHAnsi"/>
          <w:lang w:eastAsia="en-AU"/>
        </w:rPr>
        <w:t xml:space="preserve"> </w:t>
      </w:r>
      <w:r w:rsidRPr="00025B9C">
        <w:rPr>
          <w:rFonts w:asciiTheme="minorHAnsi" w:hAnsiTheme="minorHAnsi" w:cstheme="minorHAnsi"/>
          <w:i/>
          <w:lang w:eastAsia="en-AU"/>
        </w:rPr>
        <w:t>20</w:t>
      </w:r>
      <w:r w:rsidRPr="00025B9C">
        <w:rPr>
          <w:rFonts w:asciiTheme="minorHAnsi" w:hAnsiTheme="minorHAnsi" w:cstheme="minorHAnsi"/>
          <w:lang w:eastAsia="en-AU"/>
        </w:rPr>
        <w:t>(6), 747</w:t>
      </w:r>
      <w:r w:rsidR="002C36A3" w:rsidRPr="00025B9C">
        <w:rPr>
          <w:rFonts w:asciiTheme="minorHAnsi" w:hAnsiTheme="minorHAnsi" w:cstheme="minorHAnsi"/>
        </w:rPr>
        <w:t>–</w:t>
      </w:r>
      <w:r w:rsidRPr="00025B9C">
        <w:rPr>
          <w:rFonts w:asciiTheme="minorHAnsi" w:hAnsiTheme="minorHAnsi" w:cstheme="minorHAnsi"/>
          <w:lang w:eastAsia="en-AU"/>
        </w:rPr>
        <w:t>753.</w:t>
      </w:r>
    </w:p>
    <w:p w:rsidR="00CB5A83" w:rsidRPr="00025B9C" w:rsidRDefault="002B5E1B" w:rsidP="00D665D9">
      <w:pPr>
        <w:pStyle w:val="BodyTextIndent2"/>
        <w:adjustRightInd w:val="0"/>
        <w:snapToGrid w:val="0"/>
        <w:spacing w:after="0" w:line="360" w:lineRule="auto"/>
        <w:ind w:left="709" w:hanging="709"/>
        <w:jc w:val="both"/>
        <w:rPr>
          <w:rFonts w:asciiTheme="minorHAnsi" w:hAnsiTheme="minorHAnsi" w:cstheme="minorHAnsi"/>
          <w:sz w:val="24"/>
          <w:szCs w:val="24"/>
        </w:rPr>
      </w:pPr>
      <w:r w:rsidRPr="00025B9C">
        <w:rPr>
          <w:rFonts w:asciiTheme="minorHAnsi" w:hAnsiTheme="minorHAnsi" w:cstheme="minorHAnsi"/>
          <w:sz w:val="24"/>
          <w:szCs w:val="24"/>
        </w:rPr>
        <w:t>Bailey, K.</w:t>
      </w:r>
      <w:r w:rsidR="007810F4" w:rsidRPr="00025B9C">
        <w:rPr>
          <w:rFonts w:asciiTheme="minorHAnsi" w:hAnsiTheme="minorHAnsi" w:cstheme="minorHAnsi"/>
          <w:sz w:val="24"/>
          <w:szCs w:val="24"/>
        </w:rPr>
        <w:t xml:space="preserve"> </w:t>
      </w:r>
      <w:r w:rsidRPr="00025B9C">
        <w:rPr>
          <w:rFonts w:asciiTheme="minorHAnsi" w:hAnsiTheme="minorHAnsi" w:cstheme="minorHAnsi"/>
          <w:sz w:val="24"/>
          <w:szCs w:val="24"/>
        </w:rPr>
        <w:t>D.</w:t>
      </w:r>
      <w:r w:rsidR="00983B73" w:rsidRPr="00025B9C">
        <w:rPr>
          <w:rFonts w:asciiTheme="minorHAnsi" w:hAnsiTheme="minorHAnsi" w:cstheme="minorHAnsi"/>
          <w:sz w:val="24"/>
          <w:szCs w:val="24"/>
        </w:rPr>
        <w:t xml:space="preserve"> </w:t>
      </w:r>
      <w:r w:rsidRPr="00025B9C">
        <w:rPr>
          <w:rFonts w:asciiTheme="minorHAnsi" w:hAnsiTheme="minorHAnsi" w:cstheme="minorHAnsi"/>
          <w:sz w:val="24"/>
          <w:szCs w:val="24"/>
        </w:rPr>
        <w:t>(1994</w:t>
      </w:r>
      <w:r w:rsidR="00800388" w:rsidRPr="00025B9C">
        <w:rPr>
          <w:rFonts w:asciiTheme="minorHAnsi" w:hAnsiTheme="minorHAnsi" w:cstheme="minorHAnsi"/>
          <w:sz w:val="24"/>
          <w:szCs w:val="24"/>
        </w:rPr>
        <w:t>)</w:t>
      </w:r>
      <w:r w:rsidR="008C6999" w:rsidRPr="00025B9C">
        <w:rPr>
          <w:rFonts w:asciiTheme="minorHAnsi" w:hAnsiTheme="minorHAnsi" w:cstheme="minorHAnsi"/>
          <w:sz w:val="24"/>
          <w:szCs w:val="24"/>
        </w:rPr>
        <w:t>.</w:t>
      </w:r>
      <w:r w:rsidRPr="00025B9C">
        <w:rPr>
          <w:rFonts w:asciiTheme="minorHAnsi" w:hAnsiTheme="minorHAnsi" w:cstheme="minorHAnsi"/>
          <w:sz w:val="24"/>
          <w:szCs w:val="24"/>
        </w:rPr>
        <w:t xml:space="preserve"> </w:t>
      </w:r>
      <w:r w:rsidRPr="00025B9C">
        <w:rPr>
          <w:rFonts w:asciiTheme="minorHAnsi" w:hAnsiTheme="minorHAnsi" w:cstheme="minorHAnsi"/>
          <w:i/>
          <w:sz w:val="24"/>
          <w:szCs w:val="24"/>
        </w:rPr>
        <w:t xml:space="preserve">Typologies and </w:t>
      </w:r>
      <w:r w:rsidR="00642B81" w:rsidRPr="00025B9C">
        <w:rPr>
          <w:rFonts w:asciiTheme="minorHAnsi" w:hAnsiTheme="minorHAnsi" w:cstheme="minorHAnsi"/>
          <w:i/>
          <w:sz w:val="24"/>
          <w:szCs w:val="24"/>
        </w:rPr>
        <w:t>taxonomies – an introduction to classification techniques</w:t>
      </w:r>
      <w:r w:rsidR="00E00B18" w:rsidRPr="00025B9C">
        <w:rPr>
          <w:rFonts w:asciiTheme="minorHAnsi" w:hAnsiTheme="minorHAnsi" w:cstheme="minorHAnsi"/>
          <w:i/>
          <w:sz w:val="24"/>
          <w:szCs w:val="24"/>
        </w:rPr>
        <w:t>.</w:t>
      </w:r>
      <w:r w:rsidRPr="00025B9C">
        <w:rPr>
          <w:rFonts w:asciiTheme="minorHAnsi" w:hAnsiTheme="minorHAnsi" w:cstheme="minorHAnsi"/>
          <w:sz w:val="24"/>
          <w:szCs w:val="24"/>
        </w:rPr>
        <w:t xml:space="preserve"> Thousand Oaks, CA</w:t>
      </w:r>
      <w:r w:rsidR="00791047" w:rsidRPr="00025B9C">
        <w:rPr>
          <w:rFonts w:asciiTheme="minorHAnsi" w:hAnsiTheme="minorHAnsi" w:cstheme="minorHAnsi"/>
          <w:sz w:val="24"/>
          <w:szCs w:val="24"/>
        </w:rPr>
        <w:t>: Sage Publications</w:t>
      </w:r>
      <w:r w:rsidRPr="00025B9C">
        <w:rPr>
          <w:rFonts w:asciiTheme="minorHAnsi" w:hAnsiTheme="minorHAnsi" w:cstheme="minorHAnsi"/>
          <w:sz w:val="24"/>
          <w:szCs w:val="24"/>
        </w:rPr>
        <w:t>.</w:t>
      </w:r>
    </w:p>
    <w:p w:rsidR="00CB5A83" w:rsidRPr="00025B9C" w:rsidRDefault="00CB5A83" w:rsidP="00D665D9">
      <w:pPr>
        <w:pStyle w:val="BodyTextIndent2"/>
        <w:adjustRightInd w:val="0"/>
        <w:snapToGrid w:val="0"/>
        <w:spacing w:after="0" w:line="360" w:lineRule="auto"/>
        <w:ind w:left="709" w:hanging="709"/>
        <w:jc w:val="both"/>
        <w:rPr>
          <w:rFonts w:asciiTheme="minorHAnsi" w:eastAsia="Times New Roman" w:hAnsiTheme="minorHAnsi" w:cstheme="minorHAnsi"/>
          <w:sz w:val="24"/>
          <w:szCs w:val="24"/>
          <w:lang w:val="en-IE" w:eastAsia="en-AU"/>
        </w:rPr>
      </w:pPr>
      <w:proofErr w:type="spellStart"/>
      <w:r w:rsidRPr="00025B9C">
        <w:rPr>
          <w:rFonts w:asciiTheme="minorHAnsi" w:eastAsia="Times New Roman" w:hAnsiTheme="minorHAnsi" w:cstheme="minorHAnsi"/>
          <w:sz w:val="24"/>
          <w:szCs w:val="24"/>
          <w:lang w:eastAsia="en-AU"/>
        </w:rPr>
        <w:t>Beare</w:t>
      </w:r>
      <w:proofErr w:type="spellEnd"/>
      <w:r w:rsidRPr="00025B9C">
        <w:rPr>
          <w:rFonts w:asciiTheme="minorHAnsi" w:eastAsia="Times New Roman" w:hAnsiTheme="minorHAnsi" w:cstheme="minorHAnsi"/>
          <w:sz w:val="24"/>
          <w:szCs w:val="24"/>
          <w:lang w:eastAsia="en-AU"/>
        </w:rPr>
        <w:t>, M</w:t>
      </w:r>
      <w:r w:rsidR="00B37099" w:rsidRPr="00025B9C">
        <w:rPr>
          <w:rFonts w:asciiTheme="minorHAnsi" w:eastAsia="Times New Roman" w:hAnsiTheme="minorHAnsi" w:cstheme="minorHAnsi"/>
          <w:sz w:val="24"/>
          <w:szCs w:val="24"/>
          <w:lang w:eastAsia="en-AU"/>
        </w:rPr>
        <w:t>.</w:t>
      </w:r>
      <w:r w:rsidR="007810F4" w:rsidRPr="00025B9C">
        <w:rPr>
          <w:rFonts w:asciiTheme="minorHAnsi" w:eastAsia="Times New Roman" w:hAnsiTheme="minorHAnsi" w:cstheme="minorHAnsi"/>
          <w:sz w:val="24"/>
          <w:szCs w:val="24"/>
          <w:lang w:eastAsia="en-AU"/>
        </w:rPr>
        <w:t xml:space="preserve"> </w:t>
      </w:r>
      <w:r w:rsidRPr="00025B9C">
        <w:rPr>
          <w:rFonts w:asciiTheme="minorHAnsi" w:eastAsia="Times New Roman" w:hAnsiTheme="minorHAnsi" w:cstheme="minorHAnsi"/>
          <w:sz w:val="24"/>
          <w:szCs w:val="24"/>
          <w:lang w:eastAsia="en-AU"/>
        </w:rPr>
        <w:t xml:space="preserve">E. (2005). </w:t>
      </w:r>
      <w:r w:rsidR="008B4854" w:rsidRPr="00025B9C">
        <w:rPr>
          <w:rFonts w:asciiTheme="minorHAnsi" w:eastAsia="Times New Roman" w:hAnsiTheme="minorHAnsi" w:cstheme="minorHAnsi"/>
          <w:sz w:val="24"/>
          <w:szCs w:val="24"/>
          <w:lang w:eastAsia="en-AU"/>
        </w:rPr>
        <w:t>“</w:t>
      </w:r>
      <w:r w:rsidRPr="00025B9C">
        <w:rPr>
          <w:rFonts w:asciiTheme="minorHAnsi" w:eastAsia="Times New Roman" w:hAnsiTheme="minorHAnsi" w:cstheme="minorHAnsi"/>
          <w:sz w:val="24"/>
          <w:szCs w:val="24"/>
          <w:lang w:eastAsia="en-AU"/>
        </w:rPr>
        <w:t>Voluntary</w:t>
      </w:r>
      <w:r w:rsidR="008B4854" w:rsidRPr="00025B9C">
        <w:rPr>
          <w:rFonts w:asciiTheme="minorHAnsi" w:eastAsia="Times New Roman" w:hAnsiTheme="minorHAnsi" w:cstheme="minorHAnsi"/>
          <w:sz w:val="24"/>
          <w:szCs w:val="24"/>
          <w:lang w:eastAsia="en-AU"/>
        </w:rPr>
        <w:t>”</w:t>
      </w:r>
      <w:r w:rsidRPr="00025B9C">
        <w:rPr>
          <w:rFonts w:asciiTheme="minorHAnsi" w:eastAsia="Times New Roman" w:hAnsiTheme="minorHAnsi" w:cstheme="minorHAnsi"/>
          <w:sz w:val="24"/>
          <w:szCs w:val="24"/>
          <w:lang w:eastAsia="en-AU"/>
        </w:rPr>
        <w:t xml:space="preserve"> ethical conduct: Anti-money laundering compliance and the financial sector. In </w:t>
      </w:r>
      <w:r w:rsidR="00F91E17" w:rsidRPr="00025B9C">
        <w:rPr>
          <w:rFonts w:asciiTheme="minorHAnsi" w:eastAsia="Times New Roman" w:hAnsiTheme="minorHAnsi" w:cstheme="minorHAnsi"/>
          <w:sz w:val="24"/>
          <w:szCs w:val="24"/>
          <w:lang w:eastAsia="en-AU"/>
        </w:rPr>
        <w:t xml:space="preserve">W. </w:t>
      </w:r>
      <w:proofErr w:type="spellStart"/>
      <w:r w:rsidR="00F91E17" w:rsidRPr="00025B9C">
        <w:rPr>
          <w:rFonts w:asciiTheme="minorHAnsi" w:eastAsia="Times New Roman" w:hAnsiTheme="minorHAnsi" w:cstheme="minorHAnsi"/>
          <w:sz w:val="24"/>
          <w:szCs w:val="24"/>
          <w:lang w:eastAsia="en-AU"/>
        </w:rPr>
        <w:t>Cragg</w:t>
      </w:r>
      <w:proofErr w:type="spellEnd"/>
      <w:r w:rsidR="00F91E17" w:rsidRPr="00025B9C">
        <w:rPr>
          <w:rFonts w:asciiTheme="minorHAnsi" w:eastAsia="Times New Roman" w:hAnsiTheme="minorHAnsi" w:cstheme="minorHAnsi"/>
          <w:sz w:val="24"/>
          <w:szCs w:val="24"/>
          <w:lang w:eastAsia="en-AU"/>
        </w:rPr>
        <w:t xml:space="preserve"> (E</w:t>
      </w:r>
      <w:r w:rsidR="00DE57D7" w:rsidRPr="00025B9C">
        <w:rPr>
          <w:rFonts w:asciiTheme="minorHAnsi" w:eastAsia="Times New Roman" w:hAnsiTheme="minorHAnsi" w:cstheme="minorHAnsi"/>
          <w:sz w:val="24"/>
          <w:szCs w:val="24"/>
          <w:lang w:eastAsia="en-AU"/>
        </w:rPr>
        <w:t>d.),</w:t>
      </w:r>
      <w:r w:rsidRPr="00025B9C">
        <w:rPr>
          <w:rFonts w:asciiTheme="minorHAnsi" w:eastAsia="Times New Roman" w:hAnsiTheme="minorHAnsi" w:cstheme="minorHAnsi"/>
          <w:sz w:val="24"/>
          <w:szCs w:val="24"/>
          <w:lang w:eastAsia="en-AU"/>
        </w:rPr>
        <w:t xml:space="preserve"> </w:t>
      </w:r>
      <w:r w:rsidRPr="00025B9C">
        <w:rPr>
          <w:rFonts w:asciiTheme="minorHAnsi" w:eastAsia="Times New Roman" w:hAnsiTheme="minorHAnsi" w:cstheme="minorHAnsi"/>
          <w:i/>
          <w:iCs/>
          <w:sz w:val="24"/>
          <w:szCs w:val="24"/>
          <w:lang w:eastAsia="en-AU"/>
        </w:rPr>
        <w:t xml:space="preserve">Ethics </w:t>
      </w:r>
      <w:r w:rsidR="00B37099" w:rsidRPr="00025B9C">
        <w:rPr>
          <w:rFonts w:asciiTheme="minorHAnsi" w:eastAsia="Times New Roman" w:hAnsiTheme="minorHAnsi" w:cstheme="minorHAnsi"/>
          <w:i/>
          <w:iCs/>
          <w:sz w:val="24"/>
          <w:szCs w:val="24"/>
          <w:lang w:eastAsia="en-AU"/>
        </w:rPr>
        <w:t>codes, corporations, and the challenge of globalization</w:t>
      </w:r>
      <w:r w:rsidR="00BF2C72" w:rsidRPr="00025B9C">
        <w:rPr>
          <w:rFonts w:asciiTheme="minorHAnsi" w:eastAsia="Times New Roman" w:hAnsiTheme="minorHAnsi" w:cstheme="minorHAnsi"/>
          <w:i/>
          <w:iCs/>
          <w:sz w:val="24"/>
          <w:szCs w:val="24"/>
          <w:lang w:eastAsia="en-AU"/>
        </w:rPr>
        <w:t xml:space="preserve"> </w:t>
      </w:r>
      <w:r w:rsidR="00BF2C72" w:rsidRPr="00025B9C">
        <w:rPr>
          <w:rFonts w:asciiTheme="minorHAnsi" w:hAnsiTheme="minorHAnsi" w:cstheme="minorHAnsi"/>
          <w:sz w:val="24"/>
          <w:szCs w:val="24"/>
        </w:rPr>
        <w:t>(</w:t>
      </w:r>
      <w:r w:rsidR="00C2222B" w:rsidRPr="00025B9C">
        <w:rPr>
          <w:rFonts w:asciiTheme="minorHAnsi" w:hAnsiTheme="minorHAnsi" w:cstheme="minorHAnsi"/>
          <w:sz w:val="24"/>
          <w:szCs w:val="24"/>
        </w:rPr>
        <w:t xml:space="preserve">Chapter 6, </w:t>
      </w:r>
      <w:r w:rsidR="00BF2C72" w:rsidRPr="00025B9C">
        <w:rPr>
          <w:rFonts w:asciiTheme="minorHAnsi" w:hAnsiTheme="minorHAnsi" w:cstheme="minorHAnsi"/>
          <w:sz w:val="24"/>
          <w:szCs w:val="24"/>
        </w:rPr>
        <w:t>pp. 154</w:t>
      </w:r>
      <w:r w:rsidR="002C36A3" w:rsidRPr="00025B9C">
        <w:rPr>
          <w:rFonts w:asciiTheme="minorHAnsi" w:hAnsiTheme="minorHAnsi" w:cstheme="minorHAnsi"/>
          <w:sz w:val="24"/>
          <w:szCs w:val="24"/>
        </w:rPr>
        <w:t>–</w:t>
      </w:r>
      <w:r w:rsidR="00BF2C72" w:rsidRPr="00025B9C">
        <w:rPr>
          <w:rFonts w:asciiTheme="minorHAnsi" w:hAnsiTheme="minorHAnsi" w:cstheme="minorHAnsi"/>
          <w:sz w:val="24"/>
          <w:szCs w:val="24"/>
        </w:rPr>
        <w:t>193)</w:t>
      </w:r>
      <w:r w:rsidR="00B37099" w:rsidRPr="00025B9C">
        <w:rPr>
          <w:rFonts w:asciiTheme="minorHAnsi" w:eastAsia="Times New Roman" w:hAnsiTheme="minorHAnsi" w:cstheme="minorHAnsi"/>
          <w:sz w:val="24"/>
          <w:szCs w:val="24"/>
          <w:lang w:eastAsia="en-AU"/>
        </w:rPr>
        <w:t xml:space="preserve">. </w:t>
      </w:r>
      <w:r w:rsidR="00B37099" w:rsidRPr="00025B9C">
        <w:rPr>
          <w:rFonts w:asciiTheme="minorHAnsi" w:eastAsia="Times New Roman" w:hAnsiTheme="minorHAnsi" w:cstheme="minorHAnsi"/>
          <w:sz w:val="24"/>
          <w:szCs w:val="24"/>
          <w:lang w:val="en-IE" w:eastAsia="en-AU"/>
        </w:rPr>
        <w:t xml:space="preserve">Cheltenham, UK: </w:t>
      </w:r>
      <w:r w:rsidR="00DE57D7" w:rsidRPr="00025B9C">
        <w:rPr>
          <w:rFonts w:asciiTheme="minorHAnsi" w:eastAsia="Times New Roman" w:hAnsiTheme="minorHAnsi" w:cstheme="minorHAnsi"/>
          <w:sz w:val="24"/>
          <w:szCs w:val="24"/>
          <w:lang w:val="en-IE" w:eastAsia="en-AU"/>
        </w:rPr>
        <w:t>Edward Elgar Publications</w:t>
      </w:r>
      <w:r w:rsidRPr="00025B9C">
        <w:rPr>
          <w:rFonts w:asciiTheme="minorHAnsi" w:eastAsia="Times New Roman" w:hAnsiTheme="minorHAnsi" w:cstheme="minorHAnsi"/>
          <w:sz w:val="24"/>
          <w:szCs w:val="24"/>
          <w:lang w:eastAsia="en-AU"/>
        </w:rPr>
        <w:t>.</w:t>
      </w:r>
    </w:p>
    <w:p w:rsidR="00FC318C" w:rsidRPr="00025B9C" w:rsidRDefault="00FC318C"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Beattie, V., </w:t>
      </w:r>
      <w:proofErr w:type="spellStart"/>
      <w:r w:rsidRPr="00025B9C">
        <w:rPr>
          <w:rFonts w:asciiTheme="minorHAnsi" w:hAnsiTheme="minorHAnsi" w:cstheme="minorHAnsi"/>
        </w:rPr>
        <w:t>McInnes</w:t>
      </w:r>
      <w:proofErr w:type="spellEnd"/>
      <w:r w:rsidRPr="00025B9C">
        <w:rPr>
          <w:rFonts w:asciiTheme="minorHAnsi" w:hAnsiTheme="minorHAnsi" w:cstheme="minorHAnsi"/>
        </w:rPr>
        <w:t>, W</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Fearnley</w:t>
      </w:r>
      <w:proofErr w:type="spellEnd"/>
      <w:r w:rsidRPr="00025B9C">
        <w:rPr>
          <w:rFonts w:asciiTheme="minorHAnsi" w:hAnsiTheme="minorHAnsi" w:cstheme="minorHAnsi"/>
        </w:rPr>
        <w:t>, S. (2004</w:t>
      </w:r>
      <w:r w:rsidR="00800388" w:rsidRPr="00025B9C">
        <w:rPr>
          <w:rFonts w:asciiTheme="minorHAnsi" w:hAnsiTheme="minorHAnsi" w:cstheme="minorHAnsi"/>
        </w:rPr>
        <w:t>)</w:t>
      </w:r>
      <w:r w:rsidR="008C6999" w:rsidRPr="00025B9C">
        <w:rPr>
          <w:rFonts w:asciiTheme="minorHAnsi" w:hAnsiTheme="minorHAnsi" w:cstheme="minorHAnsi"/>
        </w:rPr>
        <w:t>.</w:t>
      </w:r>
      <w:r w:rsidRPr="00025B9C">
        <w:rPr>
          <w:rFonts w:asciiTheme="minorHAnsi" w:hAnsiTheme="minorHAnsi" w:cstheme="minorHAnsi"/>
        </w:rPr>
        <w:t xml:space="preserve"> A methodology for analysing and evaluating narratives in annual reports: A comprehensive descriptive profile and metrics for disclosure quality attributes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Accounting Forum</w:t>
      </w:r>
      <w:r w:rsidRPr="00025B9C">
        <w:rPr>
          <w:rFonts w:asciiTheme="minorHAnsi" w:hAnsiTheme="minorHAnsi" w:cstheme="minorHAnsi"/>
        </w:rPr>
        <w:t xml:space="preserve">, </w:t>
      </w:r>
      <w:r w:rsidRPr="00025B9C">
        <w:rPr>
          <w:rFonts w:asciiTheme="minorHAnsi" w:hAnsiTheme="minorHAnsi" w:cstheme="minorHAnsi"/>
          <w:i/>
        </w:rPr>
        <w:t>28</w:t>
      </w:r>
      <w:r w:rsidR="008C6999" w:rsidRPr="00025B9C">
        <w:rPr>
          <w:rFonts w:asciiTheme="minorHAnsi" w:hAnsiTheme="minorHAnsi" w:cstheme="minorHAnsi"/>
        </w:rPr>
        <w:t>(</w:t>
      </w:r>
      <w:r w:rsidR="00114076" w:rsidRPr="00025B9C">
        <w:rPr>
          <w:rFonts w:asciiTheme="minorHAnsi" w:hAnsiTheme="minorHAnsi" w:cstheme="minorHAnsi"/>
        </w:rPr>
        <w:t>3</w:t>
      </w:r>
      <w:r w:rsidR="008C6999" w:rsidRPr="00025B9C">
        <w:rPr>
          <w:rFonts w:asciiTheme="minorHAnsi" w:hAnsiTheme="minorHAnsi" w:cstheme="minorHAnsi"/>
        </w:rPr>
        <w:t>)</w:t>
      </w:r>
      <w:r w:rsidRPr="00025B9C">
        <w:rPr>
          <w:rFonts w:asciiTheme="minorHAnsi" w:hAnsiTheme="minorHAnsi" w:cstheme="minorHAnsi"/>
        </w:rPr>
        <w:t>,</w:t>
      </w:r>
      <w:r w:rsidR="00114076" w:rsidRPr="00025B9C">
        <w:rPr>
          <w:rFonts w:asciiTheme="minorHAnsi" w:hAnsiTheme="minorHAnsi" w:cstheme="minorHAnsi"/>
        </w:rPr>
        <w:t xml:space="preserve"> </w:t>
      </w:r>
      <w:r w:rsidRPr="00025B9C">
        <w:rPr>
          <w:rFonts w:asciiTheme="minorHAnsi" w:hAnsiTheme="minorHAnsi" w:cstheme="minorHAnsi"/>
        </w:rPr>
        <w:t>205</w:t>
      </w:r>
      <w:r w:rsidR="002C36A3" w:rsidRPr="00025B9C">
        <w:rPr>
          <w:rFonts w:asciiTheme="minorHAnsi" w:hAnsiTheme="minorHAnsi" w:cstheme="minorHAnsi"/>
        </w:rPr>
        <w:t>–</w:t>
      </w:r>
      <w:r w:rsidRPr="00025B9C">
        <w:rPr>
          <w:rFonts w:asciiTheme="minorHAnsi" w:hAnsiTheme="minorHAnsi" w:cstheme="minorHAnsi"/>
        </w:rPr>
        <w:t>236.</w:t>
      </w:r>
    </w:p>
    <w:p w:rsidR="00AF7EA8" w:rsidRPr="00025B9C" w:rsidRDefault="00AF7EA8"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Bebbington</w:t>
      </w:r>
      <w:proofErr w:type="spellEnd"/>
      <w:r w:rsidRPr="00025B9C">
        <w:rPr>
          <w:rFonts w:asciiTheme="minorHAnsi" w:hAnsiTheme="minorHAnsi" w:cstheme="minorHAnsi"/>
        </w:rPr>
        <w:t>, J., Larrinaga, C</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Moneva</w:t>
      </w:r>
      <w:proofErr w:type="spellEnd"/>
      <w:r w:rsidRPr="00025B9C">
        <w:rPr>
          <w:rFonts w:asciiTheme="minorHAnsi" w:hAnsiTheme="minorHAnsi" w:cstheme="minorHAnsi"/>
        </w:rPr>
        <w:t>, J.</w:t>
      </w:r>
      <w:r w:rsidR="007810F4" w:rsidRPr="00025B9C">
        <w:rPr>
          <w:rFonts w:asciiTheme="minorHAnsi" w:hAnsiTheme="minorHAnsi" w:cstheme="minorHAnsi"/>
        </w:rPr>
        <w:t xml:space="preserve"> </w:t>
      </w:r>
      <w:r w:rsidRPr="00025B9C">
        <w:rPr>
          <w:rFonts w:asciiTheme="minorHAnsi" w:hAnsiTheme="minorHAnsi" w:cstheme="minorHAnsi"/>
        </w:rPr>
        <w:t>M. (2008</w:t>
      </w:r>
      <w:r w:rsidR="00800388" w:rsidRPr="00025B9C">
        <w:rPr>
          <w:rFonts w:asciiTheme="minorHAnsi" w:hAnsiTheme="minorHAnsi" w:cstheme="minorHAnsi"/>
        </w:rPr>
        <w:t>)</w:t>
      </w:r>
      <w:r w:rsidR="008C6999" w:rsidRPr="00025B9C">
        <w:rPr>
          <w:rFonts w:asciiTheme="minorHAnsi" w:hAnsiTheme="minorHAnsi" w:cstheme="minorHAnsi"/>
        </w:rPr>
        <w:t>.</w:t>
      </w:r>
      <w:r w:rsidRPr="00025B9C">
        <w:rPr>
          <w:rFonts w:asciiTheme="minorHAnsi" w:hAnsiTheme="minorHAnsi" w:cstheme="minorHAnsi"/>
        </w:rPr>
        <w:t xml:space="preserve"> Corporate social reporting and reputation risk management</w:t>
      </w:r>
      <w:r w:rsidR="00791047" w:rsidRPr="00025B9C">
        <w:rPr>
          <w:rFonts w:asciiTheme="minorHAnsi" w:hAnsiTheme="minorHAnsi" w:cstheme="minorHAnsi"/>
        </w:rPr>
        <w:t>.</w:t>
      </w:r>
      <w:r w:rsidRPr="00025B9C">
        <w:rPr>
          <w:rFonts w:asciiTheme="minorHAnsi" w:hAnsiTheme="minorHAnsi" w:cstheme="minorHAnsi"/>
          <w:i/>
        </w:rPr>
        <w:t xml:space="preserve"> Accounting, Auditing </w:t>
      </w:r>
      <w:r w:rsidR="00A5574F" w:rsidRPr="00025B9C">
        <w:rPr>
          <w:rFonts w:asciiTheme="minorHAnsi" w:hAnsiTheme="minorHAnsi" w:cstheme="minorHAnsi"/>
          <w:i/>
        </w:rPr>
        <w:t>&amp;</w:t>
      </w:r>
      <w:r w:rsidRPr="00025B9C">
        <w:rPr>
          <w:rFonts w:asciiTheme="minorHAnsi" w:hAnsiTheme="minorHAnsi" w:cstheme="minorHAnsi"/>
          <w:i/>
        </w:rPr>
        <w:t xml:space="preserve"> Accountability Journal</w:t>
      </w:r>
      <w:r w:rsidRPr="00025B9C">
        <w:rPr>
          <w:rFonts w:asciiTheme="minorHAnsi" w:hAnsiTheme="minorHAnsi" w:cstheme="minorHAnsi"/>
        </w:rPr>
        <w:t xml:space="preserve">, </w:t>
      </w:r>
      <w:r w:rsidRPr="00025B9C">
        <w:rPr>
          <w:rFonts w:asciiTheme="minorHAnsi" w:hAnsiTheme="minorHAnsi" w:cstheme="minorHAnsi"/>
          <w:i/>
        </w:rPr>
        <w:t>21</w:t>
      </w:r>
      <w:r w:rsidR="008C6999" w:rsidRPr="00025B9C">
        <w:rPr>
          <w:rFonts w:asciiTheme="minorHAnsi" w:hAnsiTheme="minorHAnsi" w:cstheme="minorHAnsi"/>
        </w:rPr>
        <w:t>(</w:t>
      </w:r>
      <w:r w:rsidR="00114076" w:rsidRPr="00025B9C">
        <w:rPr>
          <w:rFonts w:asciiTheme="minorHAnsi" w:hAnsiTheme="minorHAnsi" w:cstheme="minorHAnsi"/>
        </w:rPr>
        <w:t>3</w:t>
      </w:r>
      <w:r w:rsidR="008C6999" w:rsidRPr="00025B9C">
        <w:rPr>
          <w:rFonts w:asciiTheme="minorHAnsi" w:hAnsiTheme="minorHAnsi" w:cstheme="minorHAnsi"/>
        </w:rPr>
        <w:t>)</w:t>
      </w:r>
      <w:r w:rsidRPr="00025B9C">
        <w:rPr>
          <w:rFonts w:asciiTheme="minorHAnsi" w:hAnsiTheme="minorHAnsi" w:cstheme="minorHAnsi"/>
        </w:rPr>
        <w:t>, 337</w:t>
      </w:r>
      <w:r w:rsidR="002C36A3" w:rsidRPr="00025B9C">
        <w:rPr>
          <w:rFonts w:asciiTheme="minorHAnsi" w:hAnsiTheme="minorHAnsi" w:cstheme="minorHAnsi"/>
        </w:rPr>
        <w:t>–</w:t>
      </w:r>
      <w:r w:rsidRPr="00025B9C">
        <w:rPr>
          <w:rFonts w:asciiTheme="minorHAnsi" w:hAnsiTheme="minorHAnsi" w:cstheme="minorHAnsi"/>
        </w:rPr>
        <w:t>361.</w:t>
      </w:r>
    </w:p>
    <w:p w:rsidR="007920C6" w:rsidRPr="00025B9C" w:rsidRDefault="00AD51E4" w:rsidP="003A3164">
      <w:pPr>
        <w:spacing w:line="360" w:lineRule="auto"/>
        <w:ind w:left="720" w:hanging="720"/>
        <w:jc w:val="both"/>
        <w:rPr>
          <w:rFonts w:asciiTheme="minorHAnsi" w:hAnsiTheme="minorHAnsi" w:cstheme="minorHAnsi"/>
        </w:rPr>
      </w:pPr>
      <w:r w:rsidRPr="00025B9C">
        <w:rPr>
          <w:rFonts w:asciiTheme="minorHAnsi" w:hAnsiTheme="minorHAnsi" w:cstheme="minorHAnsi"/>
        </w:rPr>
        <w:t>Benoit, W.</w:t>
      </w:r>
      <w:r w:rsidR="007810F4" w:rsidRPr="00025B9C">
        <w:rPr>
          <w:rFonts w:asciiTheme="minorHAnsi" w:hAnsiTheme="minorHAnsi" w:cstheme="minorHAnsi"/>
        </w:rPr>
        <w:t xml:space="preserve"> </w:t>
      </w:r>
      <w:r w:rsidR="003C18F7" w:rsidRPr="00025B9C">
        <w:rPr>
          <w:rFonts w:asciiTheme="minorHAnsi" w:hAnsiTheme="minorHAnsi" w:cstheme="minorHAnsi"/>
        </w:rPr>
        <w:t>L.</w:t>
      </w:r>
      <w:r w:rsidRPr="00025B9C">
        <w:rPr>
          <w:rFonts w:asciiTheme="minorHAnsi" w:hAnsiTheme="minorHAnsi" w:cstheme="minorHAnsi"/>
        </w:rPr>
        <w:t xml:space="preserve"> (1995</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Accounts, </w:t>
      </w:r>
      <w:r w:rsidR="00B37099" w:rsidRPr="00025B9C">
        <w:rPr>
          <w:rFonts w:asciiTheme="minorHAnsi" w:hAnsiTheme="minorHAnsi" w:cstheme="minorHAnsi"/>
          <w:i/>
        </w:rPr>
        <w:t>excuses and apologies: a theory of image restoration</w:t>
      </w:r>
      <w:r w:rsidR="00B37099" w:rsidRPr="00025B9C">
        <w:rPr>
          <w:rFonts w:asciiTheme="minorHAnsi" w:hAnsiTheme="minorHAnsi" w:cstheme="minorHAnsi"/>
        </w:rPr>
        <w:t>.</w:t>
      </w:r>
      <w:r w:rsidR="00800388" w:rsidRPr="00025B9C">
        <w:rPr>
          <w:rFonts w:asciiTheme="minorHAnsi" w:hAnsiTheme="minorHAnsi" w:cstheme="minorHAnsi"/>
        </w:rPr>
        <w:t xml:space="preserve"> </w:t>
      </w:r>
      <w:r w:rsidR="00DB2019" w:rsidRPr="00025B9C">
        <w:rPr>
          <w:rFonts w:asciiTheme="minorHAnsi" w:hAnsiTheme="minorHAnsi" w:cstheme="minorHAnsi"/>
        </w:rPr>
        <w:t xml:space="preserve">Albany, New York: </w:t>
      </w:r>
      <w:r w:rsidRPr="00025B9C">
        <w:rPr>
          <w:rFonts w:asciiTheme="minorHAnsi" w:hAnsiTheme="minorHAnsi" w:cstheme="minorHAnsi"/>
        </w:rPr>
        <w:t>State</w:t>
      </w:r>
      <w:r w:rsidR="00800388" w:rsidRPr="00025B9C">
        <w:rPr>
          <w:rFonts w:asciiTheme="minorHAnsi" w:hAnsiTheme="minorHAnsi" w:cstheme="minorHAnsi"/>
        </w:rPr>
        <w:t xml:space="preserve"> University of New York Press</w:t>
      </w:r>
      <w:r w:rsidR="008228A4" w:rsidRPr="00025B9C">
        <w:rPr>
          <w:rFonts w:asciiTheme="minorHAnsi" w:hAnsiTheme="minorHAnsi" w:cstheme="minorHAnsi"/>
        </w:rPr>
        <w:t>.</w:t>
      </w:r>
    </w:p>
    <w:p w:rsidR="007920C6" w:rsidRPr="00025B9C" w:rsidRDefault="007920C6" w:rsidP="007920C6">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Benoit, W. L. (2015). </w:t>
      </w:r>
      <w:r w:rsidRPr="00025B9C">
        <w:rPr>
          <w:rFonts w:asciiTheme="minorHAnsi" w:hAnsiTheme="minorHAnsi" w:cstheme="minorHAnsi"/>
          <w:i/>
        </w:rPr>
        <w:t>Accounts, excuses and apologies: image repair theory and research, (2</w:t>
      </w:r>
      <w:r w:rsidRPr="00025B9C">
        <w:rPr>
          <w:rFonts w:asciiTheme="minorHAnsi" w:hAnsiTheme="minorHAnsi" w:cstheme="minorHAnsi"/>
          <w:i/>
          <w:vertAlign w:val="superscript"/>
        </w:rPr>
        <w:t>nd</w:t>
      </w:r>
      <w:r w:rsidRPr="00025B9C">
        <w:rPr>
          <w:rFonts w:asciiTheme="minorHAnsi" w:hAnsiTheme="minorHAnsi" w:cstheme="minorHAnsi"/>
          <w:i/>
        </w:rPr>
        <w:t xml:space="preserve"> ed.).</w:t>
      </w:r>
      <w:r w:rsidRPr="00025B9C">
        <w:rPr>
          <w:rFonts w:asciiTheme="minorHAnsi" w:hAnsiTheme="minorHAnsi" w:cstheme="minorHAnsi"/>
        </w:rPr>
        <w:t xml:space="preserve"> Albany, New York: State University of New York Press.</w:t>
      </w:r>
    </w:p>
    <w:p w:rsidR="00EF0C1D" w:rsidRPr="00025B9C" w:rsidRDefault="00EF0C1D" w:rsidP="00D665D9">
      <w:pPr>
        <w:spacing w:line="360" w:lineRule="auto"/>
        <w:ind w:left="720" w:hanging="720"/>
        <w:jc w:val="both"/>
        <w:rPr>
          <w:rFonts w:asciiTheme="minorHAnsi" w:hAnsiTheme="minorHAnsi" w:cstheme="minorHAnsi"/>
          <w:lang w:val="en-IE" w:eastAsia="en-IE"/>
        </w:rPr>
      </w:pPr>
      <w:proofErr w:type="spellStart"/>
      <w:r w:rsidRPr="00025B9C">
        <w:rPr>
          <w:rFonts w:asciiTheme="minorHAnsi" w:hAnsiTheme="minorHAnsi" w:cstheme="minorHAnsi"/>
          <w:lang w:val="en-IE" w:eastAsia="en-IE"/>
        </w:rPr>
        <w:t>Bernays</w:t>
      </w:r>
      <w:proofErr w:type="spellEnd"/>
      <w:r w:rsidRPr="00025B9C">
        <w:rPr>
          <w:rFonts w:asciiTheme="minorHAnsi" w:hAnsiTheme="minorHAnsi" w:cstheme="minorHAnsi"/>
          <w:lang w:val="en-IE" w:eastAsia="en-IE"/>
        </w:rPr>
        <w:t>, E.</w:t>
      </w:r>
      <w:r w:rsidR="007810F4" w:rsidRPr="00025B9C">
        <w:rPr>
          <w:rFonts w:asciiTheme="minorHAnsi" w:hAnsiTheme="minorHAnsi" w:cstheme="minorHAnsi"/>
          <w:lang w:val="en-IE" w:eastAsia="en-IE"/>
        </w:rPr>
        <w:t xml:space="preserve"> </w:t>
      </w:r>
      <w:r w:rsidRPr="00025B9C">
        <w:rPr>
          <w:rFonts w:asciiTheme="minorHAnsi" w:hAnsiTheme="minorHAnsi" w:cstheme="minorHAnsi"/>
          <w:lang w:val="en-IE" w:eastAsia="en-IE"/>
        </w:rPr>
        <w:t>L. (1947). The engineering of consent</w:t>
      </w:r>
      <w:r w:rsidR="00DB2019" w:rsidRPr="00025B9C">
        <w:rPr>
          <w:rFonts w:asciiTheme="minorHAnsi" w:hAnsiTheme="minorHAnsi" w:cstheme="minorHAnsi"/>
          <w:lang w:val="en-IE" w:eastAsia="en-IE"/>
        </w:rPr>
        <w:t>.</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The Annals of the American Academy of</w:t>
      </w:r>
      <w:r w:rsidRPr="00025B9C">
        <w:rPr>
          <w:rFonts w:asciiTheme="minorHAnsi" w:hAnsiTheme="minorHAnsi" w:cstheme="minorHAnsi"/>
          <w:i/>
        </w:rPr>
        <w:t xml:space="preserve"> </w:t>
      </w:r>
      <w:r w:rsidRPr="00025B9C">
        <w:rPr>
          <w:rFonts w:asciiTheme="minorHAnsi" w:hAnsiTheme="minorHAnsi" w:cstheme="minorHAnsi"/>
          <w:i/>
          <w:lang w:val="en-IE" w:eastAsia="en-IE"/>
        </w:rPr>
        <w:t>Political and Social Science</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250</w:t>
      </w:r>
      <w:r w:rsidRPr="00025B9C">
        <w:rPr>
          <w:rFonts w:asciiTheme="minorHAnsi" w:hAnsiTheme="minorHAnsi" w:cstheme="minorHAnsi"/>
          <w:lang w:val="en-IE" w:eastAsia="en-IE"/>
        </w:rPr>
        <w:t>(1), 113</w:t>
      </w:r>
      <w:r w:rsidR="002C36A3" w:rsidRPr="00025B9C">
        <w:rPr>
          <w:rFonts w:asciiTheme="minorHAnsi" w:hAnsiTheme="minorHAnsi" w:cstheme="minorHAnsi"/>
        </w:rPr>
        <w:t>–</w:t>
      </w:r>
      <w:r w:rsidRPr="00025B9C">
        <w:rPr>
          <w:rFonts w:asciiTheme="minorHAnsi" w:hAnsiTheme="minorHAnsi" w:cstheme="minorHAnsi"/>
          <w:lang w:val="en-IE" w:eastAsia="en-IE"/>
        </w:rPr>
        <w:t>120.</w:t>
      </w:r>
    </w:p>
    <w:p w:rsidR="008F0E2F" w:rsidRPr="00025B9C" w:rsidRDefault="00EC2145" w:rsidP="00D665D9">
      <w:pPr>
        <w:spacing w:line="360" w:lineRule="auto"/>
        <w:ind w:left="720" w:hanging="720"/>
        <w:jc w:val="both"/>
        <w:rPr>
          <w:rFonts w:asciiTheme="minorHAnsi" w:hAnsiTheme="minorHAnsi" w:cstheme="minorHAnsi"/>
          <w:lang w:val="fr-FR" w:eastAsia="en-AU"/>
        </w:rPr>
      </w:pPr>
      <w:proofErr w:type="spellStart"/>
      <w:r w:rsidRPr="00025B9C">
        <w:rPr>
          <w:rFonts w:asciiTheme="minorHAnsi" w:hAnsiTheme="minorHAnsi" w:cstheme="minorHAnsi"/>
          <w:lang w:val="fr-FR" w:eastAsia="en-AU"/>
        </w:rPr>
        <w:t>Biernacki</w:t>
      </w:r>
      <w:proofErr w:type="spellEnd"/>
      <w:r w:rsidRPr="00025B9C">
        <w:rPr>
          <w:rFonts w:asciiTheme="minorHAnsi" w:hAnsiTheme="minorHAnsi" w:cstheme="minorHAnsi"/>
          <w:lang w:val="fr-FR" w:eastAsia="en-AU"/>
        </w:rPr>
        <w:t>, R. (2014)</w:t>
      </w:r>
      <w:r w:rsidR="0000049A" w:rsidRPr="00025B9C">
        <w:rPr>
          <w:rFonts w:asciiTheme="minorHAnsi" w:hAnsiTheme="minorHAnsi" w:cstheme="minorHAnsi"/>
          <w:lang w:val="fr-FR" w:eastAsia="en-AU"/>
        </w:rPr>
        <w:t>.</w:t>
      </w:r>
      <w:r w:rsidRPr="00025B9C">
        <w:rPr>
          <w:rFonts w:asciiTheme="minorHAnsi" w:hAnsiTheme="minorHAnsi" w:cstheme="minorHAnsi"/>
          <w:lang w:val="fr-FR" w:eastAsia="en-AU"/>
        </w:rPr>
        <w:t xml:space="preserve"> </w:t>
      </w:r>
      <w:proofErr w:type="spellStart"/>
      <w:r w:rsidRPr="00025B9C">
        <w:rPr>
          <w:rFonts w:asciiTheme="minorHAnsi" w:hAnsiTheme="minorHAnsi" w:cstheme="minorHAnsi"/>
          <w:lang w:val="fr-FR" w:eastAsia="en-AU"/>
        </w:rPr>
        <w:t>Humanist</w:t>
      </w:r>
      <w:proofErr w:type="spellEnd"/>
      <w:r w:rsidRPr="00025B9C">
        <w:rPr>
          <w:rFonts w:asciiTheme="minorHAnsi" w:hAnsiTheme="minorHAnsi" w:cstheme="minorHAnsi"/>
          <w:lang w:val="fr-FR" w:eastAsia="en-AU"/>
        </w:rPr>
        <w:t xml:space="preserve"> </w:t>
      </w:r>
      <w:proofErr w:type="spellStart"/>
      <w:r w:rsidRPr="00025B9C">
        <w:rPr>
          <w:rFonts w:asciiTheme="minorHAnsi" w:hAnsiTheme="minorHAnsi" w:cstheme="minorHAnsi"/>
          <w:lang w:val="fr-FR" w:eastAsia="en-AU"/>
        </w:rPr>
        <w:t>interpretation</w:t>
      </w:r>
      <w:proofErr w:type="spellEnd"/>
      <w:r w:rsidRPr="00025B9C">
        <w:rPr>
          <w:rFonts w:asciiTheme="minorHAnsi" w:hAnsiTheme="minorHAnsi" w:cstheme="minorHAnsi"/>
          <w:lang w:val="fr-FR" w:eastAsia="en-AU"/>
        </w:rPr>
        <w:t xml:space="preserve"> versus </w:t>
      </w:r>
      <w:proofErr w:type="spellStart"/>
      <w:r w:rsidRPr="00025B9C">
        <w:rPr>
          <w:rFonts w:asciiTheme="minorHAnsi" w:hAnsiTheme="minorHAnsi" w:cstheme="minorHAnsi"/>
          <w:lang w:val="fr-FR" w:eastAsia="en-AU"/>
        </w:rPr>
        <w:t>coding</w:t>
      </w:r>
      <w:proofErr w:type="spellEnd"/>
      <w:r w:rsidRPr="00025B9C">
        <w:rPr>
          <w:rFonts w:asciiTheme="minorHAnsi" w:hAnsiTheme="minorHAnsi" w:cstheme="minorHAnsi"/>
          <w:lang w:val="fr-FR" w:eastAsia="en-AU"/>
        </w:rPr>
        <w:t xml:space="preserve"> </w:t>
      </w:r>
      <w:proofErr w:type="spellStart"/>
      <w:r w:rsidRPr="00025B9C">
        <w:rPr>
          <w:rFonts w:asciiTheme="minorHAnsi" w:hAnsiTheme="minorHAnsi" w:cstheme="minorHAnsi"/>
          <w:lang w:val="fr-FR" w:eastAsia="en-AU"/>
        </w:rPr>
        <w:t>text</w:t>
      </w:r>
      <w:proofErr w:type="spellEnd"/>
      <w:r w:rsidRPr="00025B9C">
        <w:rPr>
          <w:rFonts w:asciiTheme="minorHAnsi" w:hAnsiTheme="minorHAnsi" w:cstheme="minorHAnsi"/>
          <w:lang w:val="fr-FR" w:eastAsia="en-AU"/>
        </w:rPr>
        <w:t xml:space="preserve"> </w:t>
      </w:r>
      <w:proofErr w:type="spellStart"/>
      <w:r w:rsidRPr="00025B9C">
        <w:rPr>
          <w:rFonts w:asciiTheme="minorHAnsi" w:hAnsiTheme="minorHAnsi" w:cstheme="minorHAnsi"/>
          <w:lang w:val="fr-FR" w:eastAsia="en-AU"/>
        </w:rPr>
        <w:t>samples</w:t>
      </w:r>
      <w:proofErr w:type="spellEnd"/>
      <w:r w:rsidRPr="00025B9C">
        <w:rPr>
          <w:rFonts w:asciiTheme="minorHAnsi" w:hAnsiTheme="minorHAnsi" w:cstheme="minorHAnsi"/>
          <w:lang w:val="fr-FR" w:eastAsia="en-AU"/>
        </w:rPr>
        <w:t xml:space="preserve">. </w:t>
      </w:r>
      <w:r w:rsidRPr="00025B9C">
        <w:rPr>
          <w:rFonts w:asciiTheme="minorHAnsi" w:hAnsiTheme="minorHAnsi" w:cstheme="minorHAnsi"/>
          <w:i/>
          <w:iCs/>
          <w:lang w:val="fr-FR" w:eastAsia="en-AU"/>
        </w:rPr>
        <w:t xml:space="preserve">Qualitative </w:t>
      </w:r>
      <w:proofErr w:type="spellStart"/>
      <w:r w:rsidRPr="00025B9C">
        <w:rPr>
          <w:rFonts w:asciiTheme="minorHAnsi" w:hAnsiTheme="minorHAnsi" w:cstheme="minorHAnsi"/>
          <w:i/>
          <w:iCs/>
          <w:lang w:val="fr-FR" w:eastAsia="en-AU"/>
        </w:rPr>
        <w:t>Sociology</w:t>
      </w:r>
      <w:proofErr w:type="spellEnd"/>
      <w:r w:rsidRPr="00025B9C">
        <w:rPr>
          <w:rFonts w:asciiTheme="minorHAnsi" w:hAnsiTheme="minorHAnsi" w:cstheme="minorHAnsi"/>
          <w:lang w:val="fr-FR" w:eastAsia="en-AU"/>
        </w:rPr>
        <w:t xml:space="preserve">, </w:t>
      </w:r>
      <w:r w:rsidRPr="00025B9C">
        <w:rPr>
          <w:rFonts w:asciiTheme="minorHAnsi" w:hAnsiTheme="minorHAnsi" w:cstheme="minorHAnsi"/>
          <w:i/>
          <w:lang w:val="fr-FR" w:eastAsia="en-AU"/>
        </w:rPr>
        <w:t>37</w:t>
      </w:r>
      <w:r w:rsidRPr="00025B9C">
        <w:rPr>
          <w:rFonts w:asciiTheme="minorHAnsi" w:hAnsiTheme="minorHAnsi" w:cstheme="minorHAnsi"/>
          <w:lang w:val="fr-FR" w:eastAsia="en-AU"/>
        </w:rPr>
        <w:t>(2), 173</w:t>
      </w:r>
      <w:r w:rsidR="002C36A3" w:rsidRPr="00025B9C">
        <w:rPr>
          <w:rFonts w:asciiTheme="minorHAnsi" w:hAnsiTheme="minorHAnsi" w:cstheme="minorHAnsi"/>
          <w:lang w:val="fr-FR"/>
        </w:rPr>
        <w:t>–</w:t>
      </w:r>
      <w:r w:rsidRPr="00025B9C">
        <w:rPr>
          <w:rFonts w:asciiTheme="minorHAnsi" w:hAnsiTheme="minorHAnsi" w:cstheme="minorHAnsi"/>
          <w:lang w:val="fr-FR" w:eastAsia="en-AU"/>
        </w:rPr>
        <w:t>188.</w:t>
      </w:r>
    </w:p>
    <w:p w:rsidR="0000049A" w:rsidRPr="00025B9C" w:rsidRDefault="0000049A"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lang w:eastAsia="en-AU"/>
        </w:rPr>
        <w:t>Boiral</w:t>
      </w:r>
      <w:proofErr w:type="spellEnd"/>
      <w:r w:rsidRPr="00025B9C">
        <w:rPr>
          <w:rFonts w:asciiTheme="minorHAnsi" w:hAnsiTheme="minorHAnsi" w:cstheme="minorHAnsi"/>
          <w:lang w:eastAsia="en-AU"/>
        </w:rPr>
        <w:t xml:space="preserve">, O. (2013). Sustainability reports as simulacra? A counter-account of A and A+ GRI reports. </w:t>
      </w:r>
      <w:r w:rsidRPr="00025B9C">
        <w:rPr>
          <w:rFonts w:asciiTheme="minorHAnsi" w:hAnsiTheme="minorHAnsi" w:cstheme="minorHAnsi"/>
          <w:i/>
          <w:iCs/>
          <w:lang w:eastAsia="en-AU"/>
        </w:rPr>
        <w:t>Accounting, Auditing &amp; Accountability Journal</w:t>
      </w:r>
      <w:r w:rsidRPr="00025B9C">
        <w:rPr>
          <w:rFonts w:asciiTheme="minorHAnsi" w:hAnsiTheme="minorHAnsi" w:cstheme="minorHAnsi"/>
          <w:lang w:eastAsia="en-AU"/>
        </w:rPr>
        <w:t xml:space="preserve">, </w:t>
      </w:r>
      <w:r w:rsidRPr="00025B9C">
        <w:rPr>
          <w:rFonts w:asciiTheme="minorHAnsi" w:hAnsiTheme="minorHAnsi" w:cstheme="minorHAnsi"/>
          <w:i/>
          <w:lang w:eastAsia="en-AU"/>
        </w:rPr>
        <w:t>26</w:t>
      </w:r>
      <w:r w:rsidRPr="00025B9C">
        <w:rPr>
          <w:rFonts w:asciiTheme="minorHAnsi" w:hAnsiTheme="minorHAnsi" w:cstheme="minorHAnsi"/>
          <w:lang w:eastAsia="en-AU"/>
        </w:rPr>
        <w:t>(7), 1036</w:t>
      </w:r>
      <w:r w:rsidR="002C36A3" w:rsidRPr="00025B9C">
        <w:rPr>
          <w:rFonts w:asciiTheme="minorHAnsi" w:hAnsiTheme="minorHAnsi" w:cstheme="minorHAnsi"/>
        </w:rPr>
        <w:t>–</w:t>
      </w:r>
      <w:r w:rsidRPr="00025B9C">
        <w:rPr>
          <w:rFonts w:asciiTheme="minorHAnsi" w:hAnsiTheme="minorHAnsi" w:cstheme="minorHAnsi"/>
          <w:lang w:eastAsia="en-AU"/>
        </w:rPr>
        <w:t>1071.</w:t>
      </w:r>
    </w:p>
    <w:p w:rsidR="0000049A" w:rsidRPr="00025B9C" w:rsidRDefault="00AD51E4"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Bolino</w:t>
      </w:r>
      <w:proofErr w:type="spellEnd"/>
      <w:r w:rsidRPr="00025B9C">
        <w:rPr>
          <w:rFonts w:asciiTheme="minorHAnsi" w:hAnsiTheme="minorHAnsi" w:cstheme="minorHAnsi"/>
        </w:rPr>
        <w:t>, M.</w:t>
      </w:r>
      <w:r w:rsidR="007810F4" w:rsidRPr="00025B9C">
        <w:rPr>
          <w:rFonts w:asciiTheme="minorHAnsi" w:hAnsiTheme="minorHAnsi" w:cstheme="minorHAnsi"/>
        </w:rPr>
        <w:t xml:space="preserve"> </w:t>
      </w:r>
      <w:r w:rsidRPr="00025B9C">
        <w:rPr>
          <w:rFonts w:asciiTheme="minorHAnsi" w:hAnsiTheme="minorHAnsi" w:cstheme="minorHAnsi"/>
        </w:rPr>
        <w:t>C</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Turnley</w:t>
      </w:r>
      <w:proofErr w:type="spellEnd"/>
      <w:r w:rsidRPr="00025B9C">
        <w:rPr>
          <w:rFonts w:asciiTheme="minorHAnsi" w:hAnsiTheme="minorHAnsi" w:cstheme="minorHAnsi"/>
        </w:rPr>
        <w:t>, W.</w:t>
      </w:r>
      <w:r w:rsidR="007810F4" w:rsidRPr="00025B9C">
        <w:rPr>
          <w:rFonts w:asciiTheme="minorHAnsi" w:hAnsiTheme="minorHAnsi" w:cstheme="minorHAnsi"/>
        </w:rPr>
        <w:t xml:space="preserve"> </w:t>
      </w:r>
      <w:r w:rsidRPr="00025B9C">
        <w:rPr>
          <w:rFonts w:asciiTheme="minorHAnsi" w:hAnsiTheme="minorHAnsi" w:cstheme="minorHAnsi"/>
        </w:rPr>
        <w:t>H. (2003</w:t>
      </w:r>
      <w:r w:rsidR="00800388" w:rsidRPr="00025B9C">
        <w:rPr>
          <w:rFonts w:asciiTheme="minorHAnsi" w:hAnsiTheme="minorHAnsi" w:cstheme="minorHAnsi"/>
        </w:rPr>
        <w:t>)</w:t>
      </w:r>
      <w:r w:rsidR="008C6999" w:rsidRPr="00025B9C">
        <w:rPr>
          <w:rFonts w:asciiTheme="minorHAnsi" w:hAnsiTheme="minorHAnsi" w:cstheme="minorHAnsi"/>
        </w:rPr>
        <w:t>.</w:t>
      </w:r>
      <w:r w:rsidRPr="00025B9C">
        <w:rPr>
          <w:rFonts w:asciiTheme="minorHAnsi" w:hAnsiTheme="minorHAnsi" w:cstheme="minorHAnsi"/>
        </w:rPr>
        <w:t xml:space="preserve"> More than </w:t>
      </w:r>
      <w:r w:rsidR="00AD1389" w:rsidRPr="00025B9C">
        <w:rPr>
          <w:rFonts w:asciiTheme="minorHAnsi" w:hAnsiTheme="minorHAnsi" w:cstheme="minorHAnsi"/>
        </w:rPr>
        <w:t xml:space="preserve">one way to make an impression: </w:t>
      </w:r>
      <w:r w:rsidR="00374655" w:rsidRPr="00025B9C">
        <w:rPr>
          <w:rFonts w:asciiTheme="minorHAnsi" w:hAnsiTheme="minorHAnsi" w:cstheme="minorHAnsi"/>
        </w:rPr>
        <w:t>E</w:t>
      </w:r>
      <w:r w:rsidRPr="00025B9C">
        <w:rPr>
          <w:rFonts w:asciiTheme="minorHAnsi" w:hAnsiTheme="minorHAnsi" w:cstheme="minorHAnsi"/>
        </w:rPr>
        <w:t>xploring profiles of impression management</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Journal of Management</w:t>
      </w:r>
      <w:r w:rsidRPr="00025B9C">
        <w:rPr>
          <w:rFonts w:asciiTheme="minorHAnsi" w:hAnsiTheme="minorHAnsi" w:cstheme="minorHAnsi"/>
        </w:rPr>
        <w:t xml:space="preserve">, </w:t>
      </w:r>
      <w:r w:rsidRPr="00025B9C">
        <w:rPr>
          <w:rFonts w:asciiTheme="minorHAnsi" w:hAnsiTheme="minorHAnsi" w:cstheme="minorHAnsi"/>
          <w:i/>
        </w:rPr>
        <w:t>29</w:t>
      </w:r>
      <w:r w:rsidR="008C6999" w:rsidRPr="00025B9C">
        <w:rPr>
          <w:rFonts w:asciiTheme="minorHAnsi" w:hAnsiTheme="minorHAnsi" w:cstheme="minorHAnsi"/>
        </w:rPr>
        <w:t>(</w:t>
      </w:r>
      <w:r w:rsidR="00114076" w:rsidRPr="00025B9C">
        <w:rPr>
          <w:rFonts w:asciiTheme="minorHAnsi" w:hAnsiTheme="minorHAnsi" w:cstheme="minorHAnsi"/>
        </w:rPr>
        <w:t>2</w:t>
      </w:r>
      <w:r w:rsidR="008C6999" w:rsidRPr="00025B9C">
        <w:rPr>
          <w:rFonts w:asciiTheme="minorHAnsi" w:hAnsiTheme="minorHAnsi" w:cstheme="minorHAnsi"/>
        </w:rPr>
        <w:t>)</w:t>
      </w:r>
      <w:r w:rsidR="0000049A" w:rsidRPr="00025B9C">
        <w:rPr>
          <w:rFonts w:asciiTheme="minorHAnsi" w:hAnsiTheme="minorHAnsi" w:cstheme="minorHAnsi"/>
        </w:rPr>
        <w:t>, 141</w:t>
      </w:r>
      <w:r w:rsidR="002C36A3" w:rsidRPr="00025B9C">
        <w:rPr>
          <w:rFonts w:asciiTheme="minorHAnsi" w:hAnsiTheme="minorHAnsi" w:cstheme="minorHAnsi"/>
        </w:rPr>
        <w:t>–</w:t>
      </w:r>
      <w:r w:rsidR="0000049A" w:rsidRPr="00025B9C">
        <w:rPr>
          <w:rFonts w:asciiTheme="minorHAnsi" w:hAnsiTheme="minorHAnsi" w:cstheme="minorHAnsi"/>
        </w:rPr>
        <w:t>160.</w:t>
      </w:r>
    </w:p>
    <w:p w:rsidR="00B77DB0" w:rsidRPr="00025B9C" w:rsidRDefault="00B77DB0"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Brennan, N.</w:t>
      </w:r>
      <w:r w:rsidR="007810F4" w:rsidRPr="00025B9C">
        <w:rPr>
          <w:rFonts w:asciiTheme="minorHAnsi" w:hAnsiTheme="minorHAnsi" w:cstheme="minorHAnsi"/>
        </w:rPr>
        <w:t xml:space="preserve"> </w:t>
      </w:r>
      <w:r w:rsidRPr="00025B9C">
        <w:rPr>
          <w:rFonts w:asciiTheme="minorHAnsi" w:hAnsiTheme="minorHAnsi" w:cstheme="minorHAnsi"/>
        </w:rPr>
        <w:t>M</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Merkl</w:t>
      </w:r>
      <w:proofErr w:type="spellEnd"/>
      <w:r w:rsidRPr="00025B9C">
        <w:rPr>
          <w:rFonts w:asciiTheme="minorHAnsi" w:hAnsiTheme="minorHAnsi" w:cstheme="minorHAnsi"/>
        </w:rPr>
        <w:t>-Davies, D.</w:t>
      </w:r>
      <w:r w:rsidR="007810F4" w:rsidRPr="00025B9C">
        <w:rPr>
          <w:rFonts w:asciiTheme="minorHAnsi" w:hAnsiTheme="minorHAnsi" w:cstheme="minorHAnsi"/>
        </w:rPr>
        <w:t xml:space="preserve"> </w:t>
      </w:r>
      <w:r w:rsidRPr="00025B9C">
        <w:rPr>
          <w:rFonts w:asciiTheme="minorHAnsi" w:hAnsiTheme="minorHAnsi" w:cstheme="minorHAnsi"/>
        </w:rPr>
        <w:t xml:space="preserve">M. (2014). </w:t>
      </w:r>
      <w:r w:rsidRPr="00025B9C">
        <w:rPr>
          <w:rFonts w:asciiTheme="minorHAnsi" w:hAnsiTheme="minorHAnsi" w:cstheme="minorHAnsi"/>
          <w:lang w:val="en-IE"/>
        </w:rPr>
        <w:t>Rhetoric and argument in social and environmental re</w:t>
      </w:r>
      <w:r w:rsidR="003A1F3C" w:rsidRPr="00025B9C">
        <w:rPr>
          <w:rFonts w:asciiTheme="minorHAnsi" w:hAnsiTheme="minorHAnsi" w:cstheme="minorHAnsi"/>
          <w:lang w:val="en-IE"/>
        </w:rPr>
        <w:t>porting: The Dirty Laundry case.</w:t>
      </w:r>
      <w:r w:rsidRPr="00025B9C">
        <w:rPr>
          <w:rFonts w:asciiTheme="minorHAnsi" w:hAnsiTheme="minorHAnsi" w:cstheme="minorHAnsi"/>
        </w:rPr>
        <w:t xml:space="preserve"> </w:t>
      </w:r>
      <w:r w:rsidRPr="00025B9C">
        <w:rPr>
          <w:rFonts w:asciiTheme="minorHAnsi" w:hAnsiTheme="minorHAnsi" w:cstheme="minorHAnsi"/>
          <w:i/>
        </w:rPr>
        <w:t>Accounting, Auditing &amp; Accountability Journal</w:t>
      </w:r>
      <w:r w:rsidRPr="00025B9C">
        <w:rPr>
          <w:rFonts w:asciiTheme="minorHAnsi" w:hAnsiTheme="minorHAnsi" w:cstheme="minorHAnsi"/>
        </w:rPr>
        <w:t xml:space="preserve">, </w:t>
      </w:r>
      <w:r w:rsidRPr="00025B9C">
        <w:rPr>
          <w:rFonts w:asciiTheme="minorHAnsi" w:hAnsiTheme="minorHAnsi" w:cstheme="minorHAnsi"/>
          <w:i/>
        </w:rPr>
        <w:t>27</w:t>
      </w:r>
      <w:r w:rsidRPr="00025B9C">
        <w:rPr>
          <w:rFonts w:asciiTheme="minorHAnsi" w:hAnsiTheme="minorHAnsi" w:cstheme="minorHAnsi"/>
        </w:rPr>
        <w:t>(4), 602</w:t>
      </w:r>
      <w:r w:rsidR="002C36A3" w:rsidRPr="00025B9C">
        <w:rPr>
          <w:rFonts w:asciiTheme="minorHAnsi" w:hAnsiTheme="minorHAnsi" w:cstheme="minorHAnsi"/>
        </w:rPr>
        <w:t>–</w:t>
      </w:r>
      <w:r w:rsidRPr="00025B9C">
        <w:rPr>
          <w:rFonts w:asciiTheme="minorHAnsi" w:hAnsiTheme="minorHAnsi" w:cstheme="minorHAnsi"/>
        </w:rPr>
        <w:t>633.</w:t>
      </w:r>
    </w:p>
    <w:p w:rsidR="009A721D" w:rsidRPr="00025B9C" w:rsidRDefault="009A721D"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Brennan, R</w:t>
      </w:r>
      <w:r w:rsidR="00780D26" w:rsidRPr="00025B9C">
        <w:rPr>
          <w:rFonts w:asciiTheme="minorHAnsi" w:hAnsiTheme="minorHAnsi" w:cstheme="minorHAnsi"/>
        </w:rPr>
        <w:t>., &amp;</w:t>
      </w:r>
      <w:r w:rsidRPr="00025B9C">
        <w:rPr>
          <w:rFonts w:asciiTheme="minorHAnsi" w:hAnsiTheme="minorHAnsi" w:cstheme="minorHAnsi"/>
        </w:rPr>
        <w:t xml:space="preserve"> Turnbull, P.</w:t>
      </w:r>
      <w:r w:rsidR="007810F4" w:rsidRPr="00025B9C">
        <w:rPr>
          <w:rFonts w:asciiTheme="minorHAnsi" w:hAnsiTheme="minorHAnsi" w:cstheme="minorHAnsi"/>
        </w:rPr>
        <w:t xml:space="preserve"> </w:t>
      </w:r>
      <w:r w:rsidRPr="00025B9C">
        <w:rPr>
          <w:rFonts w:asciiTheme="minorHAnsi" w:hAnsiTheme="minorHAnsi" w:cstheme="minorHAnsi"/>
        </w:rPr>
        <w:t xml:space="preserve">W. (2002). Sophistry, relevance and technology transfer in management research: an IMP perspective. </w:t>
      </w:r>
      <w:r w:rsidRPr="00025B9C">
        <w:rPr>
          <w:rFonts w:asciiTheme="minorHAnsi" w:hAnsiTheme="minorHAnsi" w:cstheme="minorHAnsi"/>
          <w:i/>
          <w:iCs/>
        </w:rPr>
        <w:t>Journal of Business Research</w:t>
      </w:r>
      <w:r w:rsidRPr="00025B9C">
        <w:rPr>
          <w:rFonts w:asciiTheme="minorHAnsi" w:hAnsiTheme="minorHAnsi" w:cstheme="minorHAnsi"/>
        </w:rPr>
        <w:t xml:space="preserve">, </w:t>
      </w:r>
      <w:r w:rsidRPr="00025B9C">
        <w:rPr>
          <w:rFonts w:asciiTheme="minorHAnsi" w:hAnsiTheme="minorHAnsi" w:cstheme="minorHAnsi"/>
          <w:i/>
          <w:iCs/>
        </w:rPr>
        <w:t>55</w:t>
      </w:r>
      <w:r w:rsidRPr="00025B9C">
        <w:rPr>
          <w:rFonts w:asciiTheme="minorHAnsi" w:hAnsiTheme="minorHAnsi" w:cstheme="minorHAnsi"/>
        </w:rPr>
        <w:t>(7), 595</w:t>
      </w:r>
      <w:r w:rsidR="002C36A3" w:rsidRPr="00025B9C">
        <w:rPr>
          <w:rFonts w:asciiTheme="minorHAnsi" w:hAnsiTheme="minorHAnsi" w:cstheme="minorHAnsi"/>
        </w:rPr>
        <w:t>–</w:t>
      </w:r>
      <w:r w:rsidRPr="00025B9C">
        <w:rPr>
          <w:rFonts w:asciiTheme="minorHAnsi" w:hAnsiTheme="minorHAnsi" w:cstheme="minorHAnsi"/>
        </w:rPr>
        <w:t>602.</w:t>
      </w:r>
    </w:p>
    <w:p w:rsidR="0000049A" w:rsidRPr="00025B9C" w:rsidRDefault="0000049A"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lang w:eastAsia="en-AU"/>
        </w:rPr>
        <w:t>Bujaki</w:t>
      </w:r>
      <w:proofErr w:type="spellEnd"/>
      <w:r w:rsidRPr="00025B9C">
        <w:rPr>
          <w:rFonts w:asciiTheme="minorHAnsi" w:hAnsiTheme="minorHAnsi" w:cstheme="minorHAnsi"/>
          <w:lang w:eastAsia="en-AU"/>
        </w:rPr>
        <w:t>, M</w:t>
      </w:r>
      <w:r w:rsidR="00780D26" w:rsidRPr="00025B9C">
        <w:rPr>
          <w:rFonts w:asciiTheme="minorHAnsi" w:hAnsiTheme="minorHAnsi" w:cstheme="minorHAnsi"/>
          <w:lang w:eastAsia="en-AU"/>
        </w:rPr>
        <w:t>., &amp;</w:t>
      </w:r>
      <w:r w:rsidRPr="00025B9C">
        <w:rPr>
          <w:rFonts w:asciiTheme="minorHAnsi" w:hAnsiTheme="minorHAnsi" w:cstheme="minorHAnsi"/>
          <w:lang w:eastAsia="en-AU"/>
        </w:rPr>
        <w:t xml:space="preserve"> </w:t>
      </w:r>
      <w:proofErr w:type="spellStart"/>
      <w:r w:rsidRPr="00025B9C">
        <w:rPr>
          <w:rFonts w:asciiTheme="minorHAnsi" w:hAnsiTheme="minorHAnsi" w:cstheme="minorHAnsi"/>
          <w:lang w:eastAsia="en-AU"/>
        </w:rPr>
        <w:t>McConomy</w:t>
      </w:r>
      <w:proofErr w:type="spellEnd"/>
      <w:r w:rsidRPr="00025B9C">
        <w:rPr>
          <w:rFonts w:asciiTheme="minorHAnsi" w:hAnsiTheme="minorHAnsi" w:cstheme="minorHAnsi"/>
          <w:lang w:eastAsia="en-AU"/>
        </w:rPr>
        <w:t>, B. (2012). Metaphor in Nortel's letters to shareholders 1997</w:t>
      </w:r>
      <w:r w:rsidR="002C36A3" w:rsidRPr="00025B9C">
        <w:rPr>
          <w:rFonts w:asciiTheme="minorHAnsi" w:hAnsiTheme="minorHAnsi" w:cstheme="minorHAnsi"/>
        </w:rPr>
        <w:t>–</w:t>
      </w:r>
      <w:r w:rsidRPr="00025B9C">
        <w:rPr>
          <w:rFonts w:asciiTheme="minorHAnsi" w:hAnsiTheme="minorHAnsi" w:cstheme="minorHAnsi"/>
          <w:lang w:eastAsia="en-AU"/>
        </w:rPr>
        <w:t xml:space="preserve">2006. </w:t>
      </w:r>
      <w:r w:rsidRPr="00025B9C">
        <w:rPr>
          <w:rFonts w:asciiTheme="minorHAnsi" w:hAnsiTheme="minorHAnsi" w:cstheme="minorHAnsi"/>
          <w:i/>
          <w:iCs/>
          <w:lang w:eastAsia="en-AU"/>
        </w:rPr>
        <w:t>Accounting, Auditing &amp; Accountability Journal</w:t>
      </w:r>
      <w:r w:rsidRPr="00025B9C">
        <w:rPr>
          <w:rFonts w:asciiTheme="minorHAnsi" w:hAnsiTheme="minorHAnsi" w:cstheme="minorHAnsi"/>
          <w:lang w:eastAsia="en-AU"/>
        </w:rPr>
        <w:t xml:space="preserve">, </w:t>
      </w:r>
      <w:r w:rsidRPr="00025B9C">
        <w:rPr>
          <w:rFonts w:asciiTheme="minorHAnsi" w:hAnsiTheme="minorHAnsi" w:cstheme="minorHAnsi"/>
          <w:i/>
          <w:lang w:eastAsia="en-AU"/>
        </w:rPr>
        <w:t>25</w:t>
      </w:r>
      <w:r w:rsidRPr="00025B9C">
        <w:rPr>
          <w:rFonts w:asciiTheme="minorHAnsi" w:hAnsiTheme="minorHAnsi" w:cstheme="minorHAnsi"/>
          <w:lang w:eastAsia="en-AU"/>
        </w:rPr>
        <w:t>(7), 1113</w:t>
      </w:r>
      <w:r w:rsidR="002C36A3" w:rsidRPr="00025B9C">
        <w:rPr>
          <w:rFonts w:asciiTheme="minorHAnsi" w:hAnsiTheme="minorHAnsi" w:cstheme="minorHAnsi"/>
        </w:rPr>
        <w:t>–</w:t>
      </w:r>
      <w:r w:rsidRPr="00025B9C">
        <w:rPr>
          <w:rFonts w:asciiTheme="minorHAnsi" w:hAnsiTheme="minorHAnsi" w:cstheme="minorHAnsi"/>
          <w:lang w:eastAsia="en-AU"/>
        </w:rPr>
        <w:t>1139.</w:t>
      </w:r>
    </w:p>
    <w:p w:rsidR="00434D99" w:rsidRPr="00025B9C" w:rsidRDefault="00434D99" w:rsidP="00D665D9">
      <w:pPr>
        <w:spacing w:line="360" w:lineRule="auto"/>
        <w:ind w:left="720" w:hanging="720"/>
        <w:jc w:val="both"/>
        <w:rPr>
          <w:rFonts w:asciiTheme="minorHAnsi" w:hAnsiTheme="minorHAnsi" w:cstheme="minorHAnsi"/>
          <w:sz w:val="32"/>
          <w:lang w:val="en-IE" w:eastAsia="en-IE"/>
        </w:rPr>
      </w:pPr>
      <w:r w:rsidRPr="00025B9C">
        <w:rPr>
          <w:rFonts w:asciiTheme="minorHAnsi" w:hAnsiTheme="minorHAnsi" w:cstheme="minorHAnsi"/>
          <w:szCs w:val="20"/>
        </w:rPr>
        <w:t xml:space="preserve">Cadbury, A. (1992). </w:t>
      </w:r>
      <w:r w:rsidRPr="00025B9C">
        <w:rPr>
          <w:rFonts w:asciiTheme="minorHAnsi" w:hAnsiTheme="minorHAnsi" w:cstheme="minorHAnsi"/>
          <w:i/>
          <w:szCs w:val="20"/>
        </w:rPr>
        <w:t>The financial aspects of corporate governance (Cadbury Report)</w:t>
      </w:r>
      <w:r w:rsidRPr="00025B9C">
        <w:rPr>
          <w:rFonts w:asciiTheme="minorHAnsi" w:hAnsiTheme="minorHAnsi" w:cstheme="minorHAnsi"/>
          <w:szCs w:val="20"/>
        </w:rPr>
        <w:t xml:space="preserve">. </w:t>
      </w:r>
      <w:r w:rsidRPr="00025B9C">
        <w:rPr>
          <w:rFonts w:asciiTheme="minorHAnsi" w:hAnsiTheme="minorHAnsi" w:cstheme="minorHAnsi"/>
          <w:iCs/>
          <w:szCs w:val="20"/>
        </w:rPr>
        <w:t>London: The Committee on the Financial Aspect</w:t>
      </w:r>
      <w:r w:rsidR="00374655" w:rsidRPr="00025B9C">
        <w:rPr>
          <w:rFonts w:asciiTheme="minorHAnsi" w:hAnsiTheme="minorHAnsi" w:cstheme="minorHAnsi"/>
          <w:iCs/>
          <w:szCs w:val="20"/>
        </w:rPr>
        <w:t>s</w:t>
      </w:r>
      <w:r w:rsidRPr="00025B9C">
        <w:rPr>
          <w:rFonts w:asciiTheme="minorHAnsi" w:hAnsiTheme="minorHAnsi" w:cstheme="minorHAnsi"/>
          <w:iCs/>
          <w:szCs w:val="20"/>
        </w:rPr>
        <w:t xml:space="preserve"> of Corporate Governance (The Cadbury Committee) and Gee </w:t>
      </w:r>
      <w:r w:rsidR="00374655" w:rsidRPr="00025B9C">
        <w:rPr>
          <w:rFonts w:asciiTheme="minorHAnsi" w:hAnsiTheme="minorHAnsi" w:cstheme="minorHAnsi"/>
          <w:iCs/>
          <w:szCs w:val="20"/>
        </w:rPr>
        <w:t>&amp;</w:t>
      </w:r>
      <w:r w:rsidRPr="00025B9C">
        <w:rPr>
          <w:rFonts w:asciiTheme="minorHAnsi" w:hAnsiTheme="minorHAnsi" w:cstheme="minorHAnsi"/>
          <w:iCs/>
          <w:szCs w:val="20"/>
        </w:rPr>
        <w:t xml:space="preserve"> Co</w:t>
      </w:r>
      <w:r w:rsidR="005F1A4E" w:rsidRPr="00025B9C">
        <w:rPr>
          <w:rFonts w:asciiTheme="minorHAnsi" w:hAnsiTheme="minorHAnsi" w:cstheme="minorHAnsi"/>
          <w:iCs/>
          <w:szCs w:val="20"/>
        </w:rPr>
        <w:t>.</w:t>
      </w:r>
      <w:r w:rsidRPr="00025B9C">
        <w:rPr>
          <w:rFonts w:asciiTheme="minorHAnsi" w:hAnsiTheme="minorHAnsi" w:cstheme="minorHAnsi"/>
          <w:iCs/>
          <w:szCs w:val="20"/>
        </w:rPr>
        <w:t xml:space="preserve"> Ltd</w:t>
      </w:r>
      <w:r w:rsidRPr="00025B9C">
        <w:rPr>
          <w:rFonts w:asciiTheme="minorHAnsi" w:hAnsiTheme="minorHAnsi" w:cstheme="minorHAnsi"/>
          <w:szCs w:val="20"/>
        </w:rPr>
        <w:t>.</w:t>
      </w:r>
      <w:r w:rsidRPr="00025B9C">
        <w:rPr>
          <w:rFonts w:asciiTheme="minorHAnsi" w:hAnsiTheme="minorHAnsi" w:cstheme="minorHAnsi"/>
          <w:sz w:val="32"/>
          <w:lang w:val="en-IE" w:eastAsia="en-IE"/>
        </w:rPr>
        <w:t xml:space="preserve"> </w:t>
      </w:r>
    </w:p>
    <w:p w:rsidR="00EB007C" w:rsidRPr="00025B9C" w:rsidRDefault="00EB007C" w:rsidP="00D665D9">
      <w:pPr>
        <w:spacing w:line="360" w:lineRule="auto"/>
        <w:ind w:left="720" w:hanging="720"/>
        <w:jc w:val="both"/>
        <w:rPr>
          <w:rFonts w:asciiTheme="minorHAnsi" w:hAnsiTheme="minorHAnsi" w:cstheme="minorHAnsi"/>
          <w:lang w:val="en-IE" w:eastAsia="en-IE"/>
        </w:rPr>
      </w:pPr>
      <w:r w:rsidRPr="00025B9C">
        <w:rPr>
          <w:rFonts w:asciiTheme="minorHAnsi" w:hAnsiTheme="minorHAnsi" w:cstheme="minorHAnsi"/>
          <w:lang w:val="es-ES" w:eastAsia="en-IE"/>
        </w:rPr>
        <w:t>Castelló, I</w:t>
      </w:r>
      <w:r w:rsidR="00780D26" w:rsidRPr="00025B9C">
        <w:rPr>
          <w:rFonts w:asciiTheme="minorHAnsi" w:hAnsiTheme="minorHAnsi" w:cstheme="minorHAnsi"/>
          <w:lang w:val="es-ES" w:eastAsia="en-IE"/>
        </w:rPr>
        <w:t>., &amp;</w:t>
      </w:r>
      <w:r w:rsidR="00F91E17" w:rsidRPr="00025B9C">
        <w:rPr>
          <w:rFonts w:asciiTheme="minorHAnsi" w:hAnsiTheme="minorHAnsi" w:cstheme="minorHAnsi"/>
          <w:lang w:val="es-ES" w:eastAsia="en-IE"/>
        </w:rPr>
        <w:t xml:space="preserve"> Lozano, J.</w:t>
      </w:r>
      <w:r w:rsidR="007810F4" w:rsidRPr="00025B9C">
        <w:rPr>
          <w:rFonts w:asciiTheme="minorHAnsi" w:hAnsiTheme="minorHAnsi" w:cstheme="minorHAnsi"/>
          <w:lang w:val="es-ES" w:eastAsia="en-IE"/>
        </w:rPr>
        <w:t xml:space="preserve"> </w:t>
      </w:r>
      <w:r w:rsidR="00F91E17" w:rsidRPr="00025B9C">
        <w:rPr>
          <w:rFonts w:asciiTheme="minorHAnsi" w:hAnsiTheme="minorHAnsi" w:cstheme="minorHAnsi"/>
          <w:lang w:val="es-ES" w:eastAsia="en-IE"/>
        </w:rPr>
        <w:t>M. (2011).</w:t>
      </w:r>
      <w:r w:rsidRPr="00025B9C">
        <w:rPr>
          <w:rFonts w:asciiTheme="minorHAnsi" w:hAnsiTheme="minorHAnsi" w:cstheme="minorHAnsi"/>
          <w:lang w:val="es-ES" w:eastAsia="en-IE"/>
        </w:rPr>
        <w:t xml:space="preserve"> </w:t>
      </w:r>
      <w:r w:rsidRPr="00025B9C">
        <w:rPr>
          <w:rFonts w:asciiTheme="minorHAnsi" w:hAnsiTheme="minorHAnsi" w:cstheme="minorHAnsi"/>
          <w:lang w:val="en-IE" w:eastAsia="en-IE"/>
        </w:rPr>
        <w:t xml:space="preserve">Searching for new forms of legitimacy through corporate </w:t>
      </w:r>
      <w:r w:rsidR="00A5574F" w:rsidRPr="00025B9C">
        <w:rPr>
          <w:rFonts w:asciiTheme="minorHAnsi" w:hAnsiTheme="minorHAnsi" w:cstheme="minorHAnsi"/>
          <w:lang w:val="en-IE" w:eastAsia="en-IE"/>
        </w:rPr>
        <w:t>responsibility rhetoric.</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Journal of Business Ethics,</w:t>
      </w:r>
      <w:r w:rsidRPr="00025B9C">
        <w:rPr>
          <w:rFonts w:asciiTheme="minorHAnsi" w:hAnsiTheme="minorHAnsi" w:cstheme="minorHAnsi"/>
          <w:lang w:val="en-IE" w:eastAsia="en-IE"/>
        </w:rPr>
        <w:t xml:space="preserve"> </w:t>
      </w:r>
      <w:r w:rsidR="00AA26A5" w:rsidRPr="00025B9C">
        <w:rPr>
          <w:rFonts w:asciiTheme="minorHAnsi" w:hAnsiTheme="minorHAnsi" w:cstheme="minorHAnsi"/>
          <w:i/>
          <w:lang w:val="en-IE" w:eastAsia="en-IE"/>
        </w:rPr>
        <w:t>100</w:t>
      </w:r>
      <w:r w:rsidR="00AA26A5" w:rsidRPr="00025B9C">
        <w:rPr>
          <w:rFonts w:asciiTheme="minorHAnsi" w:hAnsiTheme="minorHAnsi" w:cstheme="minorHAnsi"/>
          <w:lang w:val="en-IE" w:eastAsia="en-IE"/>
        </w:rPr>
        <w:t>(1), 11</w:t>
      </w:r>
      <w:r w:rsidR="002C36A3" w:rsidRPr="00025B9C">
        <w:rPr>
          <w:rFonts w:asciiTheme="minorHAnsi" w:hAnsiTheme="minorHAnsi" w:cstheme="minorHAnsi"/>
        </w:rPr>
        <w:t>–</w:t>
      </w:r>
      <w:r w:rsidR="00AA26A5" w:rsidRPr="00025B9C">
        <w:rPr>
          <w:rFonts w:asciiTheme="minorHAnsi" w:hAnsiTheme="minorHAnsi" w:cstheme="minorHAnsi"/>
          <w:lang w:val="en-IE" w:eastAsia="en-IE"/>
        </w:rPr>
        <w:t>29.</w:t>
      </w:r>
    </w:p>
    <w:p w:rsidR="00320C36" w:rsidRPr="00025B9C" w:rsidRDefault="00791047" w:rsidP="00320C36">
      <w:pPr>
        <w:spacing w:line="360" w:lineRule="auto"/>
        <w:ind w:left="720" w:hanging="720"/>
        <w:jc w:val="both"/>
        <w:rPr>
          <w:rFonts w:asciiTheme="minorHAnsi" w:hAnsiTheme="minorHAnsi" w:cstheme="minorHAnsi"/>
        </w:rPr>
      </w:pPr>
      <w:r w:rsidRPr="00025B9C">
        <w:rPr>
          <w:rFonts w:asciiTheme="minorHAnsi" w:hAnsiTheme="minorHAnsi" w:cstheme="minorHAnsi"/>
        </w:rPr>
        <w:t>Cheney, G., Christensen, L., Conrad, C</w:t>
      </w:r>
      <w:r w:rsidR="00780D26" w:rsidRPr="00025B9C">
        <w:rPr>
          <w:rFonts w:asciiTheme="minorHAnsi" w:hAnsiTheme="minorHAnsi" w:cstheme="minorHAnsi"/>
        </w:rPr>
        <w:t>., &amp;</w:t>
      </w:r>
      <w:r w:rsidRPr="00025B9C">
        <w:rPr>
          <w:rFonts w:asciiTheme="minorHAnsi" w:hAnsiTheme="minorHAnsi" w:cstheme="minorHAnsi"/>
        </w:rPr>
        <w:t xml:space="preserve"> Lair, D. (2004). Corporate rhetoric as organizational discourse. In D. Grant, C.</w:t>
      </w:r>
      <w:r w:rsidR="00C747C7" w:rsidRPr="00025B9C">
        <w:rPr>
          <w:rFonts w:asciiTheme="minorHAnsi" w:hAnsiTheme="minorHAnsi" w:cstheme="minorHAnsi"/>
        </w:rPr>
        <w:t xml:space="preserve"> Hardy, C. </w:t>
      </w:r>
      <w:proofErr w:type="spellStart"/>
      <w:r w:rsidR="00C747C7" w:rsidRPr="00025B9C">
        <w:rPr>
          <w:rFonts w:asciiTheme="minorHAnsi" w:hAnsiTheme="minorHAnsi" w:cstheme="minorHAnsi"/>
        </w:rPr>
        <w:t>Oswick</w:t>
      </w:r>
      <w:proofErr w:type="spellEnd"/>
      <w:r w:rsidR="00C747C7" w:rsidRPr="00025B9C">
        <w:rPr>
          <w:rFonts w:asciiTheme="minorHAnsi" w:hAnsiTheme="minorHAnsi" w:cstheme="minorHAnsi"/>
        </w:rPr>
        <w:t xml:space="preserve"> &amp; L. Putnam (E</w:t>
      </w:r>
      <w:r w:rsidRPr="00025B9C">
        <w:rPr>
          <w:rFonts w:asciiTheme="minorHAnsi" w:hAnsiTheme="minorHAnsi" w:cstheme="minorHAnsi"/>
        </w:rPr>
        <w:t>ds</w:t>
      </w:r>
      <w:r w:rsidR="00A5574F"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The Sage </w:t>
      </w:r>
      <w:r w:rsidR="00BF2C72" w:rsidRPr="00025B9C">
        <w:rPr>
          <w:rFonts w:asciiTheme="minorHAnsi" w:hAnsiTheme="minorHAnsi" w:cstheme="minorHAnsi"/>
          <w:i/>
        </w:rPr>
        <w:t xml:space="preserve">handbook of organizational discourse </w:t>
      </w:r>
      <w:r w:rsidRPr="00025B9C">
        <w:rPr>
          <w:rFonts w:asciiTheme="minorHAnsi" w:hAnsiTheme="minorHAnsi" w:cstheme="minorHAnsi"/>
        </w:rPr>
        <w:t>(</w:t>
      </w:r>
      <w:r w:rsidR="00C2222B" w:rsidRPr="00025B9C">
        <w:rPr>
          <w:rFonts w:asciiTheme="minorHAnsi" w:hAnsiTheme="minorHAnsi" w:cstheme="minorHAnsi"/>
        </w:rPr>
        <w:t xml:space="preserve">Chapter 3, </w:t>
      </w:r>
      <w:r w:rsidRPr="00025B9C">
        <w:rPr>
          <w:rFonts w:asciiTheme="minorHAnsi" w:hAnsiTheme="minorHAnsi" w:cstheme="minorHAnsi"/>
        </w:rPr>
        <w:t>pp. 79</w:t>
      </w:r>
      <w:r w:rsidR="002C36A3" w:rsidRPr="00025B9C">
        <w:rPr>
          <w:rFonts w:asciiTheme="minorHAnsi" w:hAnsiTheme="minorHAnsi" w:cstheme="minorHAnsi"/>
        </w:rPr>
        <w:t>–</w:t>
      </w:r>
      <w:r w:rsidRPr="00025B9C">
        <w:rPr>
          <w:rFonts w:asciiTheme="minorHAnsi" w:hAnsiTheme="minorHAnsi" w:cstheme="minorHAnsi"/>
        </w:rPr>
        <w:t>103)</w:t>
      </w:r>
      <w:r w:rsidR="00F77991" w:rsidRPr="00025B9C">
        <w:rPr>
          <w:rFonts w:asciiTheme="minorHAnsi" w:hAnsiTheme="minorHAnsi" w:cstheme="minorHAnsi"/>
        </w:rPr>
        <w:t>.</w:t>
      </w:r>
      <w:r w:rsidRPr="00025B9C">
        <w:rPr>
          <w:rFonts w:asciiTheme="minorHAnsi" w:hAnsiTheme="minorHAnsi" w:cstheme="minorHAnsi"/>
        </w:rPr>
        <w:t xml:space="preserve"> London: Sage Publications.</w:t>
      </w:r>
    </w:p>
    <w:p w:rsidR="00653F05" w:rsidRPr="00025B9C" w:rsidRDefault="00653F05" w:rsidP="00D665D9">
      <w:pPr>
        <w:spacing w:line="360" w:lineRule="auto"/>
        <w:ind w:left="720" w:hanging="720"/>
        <w:jc w:val="both"/>
        <w:rPr>
          <w:rFonts w:asciiTheme="minorHAnsi" w:hAnsiTheme="minorHAnsi" w:cstheme="minorHAnsi"/>
          <w:szCs w:val="20"/>
        </w:rPr>
      </w:pPr>
      <w:r w:rsidRPr="00025B9C">
        <w:rPr>
          <w:rFonts w:asciiTheme="minorHAnsi" w:hAnsiTheme="minorHAnsi" w:cstheme="minorHAnsi"/>
          <w:szCs w:val="20"/>
        </w:rPr>
        <w:t xml:space="preserve">Combined Code (1998). </w:t>
      </w:r>
      <w:r w:rsidRPr="00025B9C">
        <w:rPr>
          <w:rFonts w:asciiTheme="minorHAnsi" w:hAnsiTheme="minorHAnsi" w:cstheme="minorHAnsi"/>
          <w:i/>
          <w:szCs w:val="20"/>
        </w:rPr>
        <w:t>Principles of good governance and code of best practice</w:t>
      </w:r>
      <w:r w:rsidRPr="00025B9C">
        <w:rPr>
          <w:rFonts w:asciiTheme="minorHAnsi" w:hAnsiTheme="minorHAnsi" w:cstheme="minorHAnsi"/>
          <w:szCs w:val="20"/>
        </w:rPr>
        <w:t xml:space="preserve">. </w:t>
      </w:r>
      <w:r w:rsidRPr="00025B9C">
        <w:rPr>
          <w:rFonts w:asciiTheme="minorHAnsi" w:hAnsiTheme="minorHAnsi" w:cstheme="minorHAnsi"/>
          <w:i/>
          <w:iCs/>
          <w:szCs w:val="20"/>
        </w:rPr>
        <w:t>London: Gee &amp; Co. Ltd</w:t>
      </w:r>
      <w:r w:rsidRPr="00025B9C">
        <w:rPr>
          <w:rFonts w:asciiTheme="minorHAnsi" w:hAnsiTheme="minorHAnsi" w:cstheme="minorHAnsi"/>
          <w:szCs w:val="20"/>
        </w:rPr>
        <w:t>.</w:t>
      </w:r>
    </w:p>
    <w:p w:rsidR="00FE1654" w:rsidRPr="00025B9C" w:rsidRDefault="00FE1654" w:rsidP="00D665D9">
      <w:pPr>
        <w:spacing w:line="360" w:lineRule="auto"/>
        <w:ind w:left="720" w:hanging="720"/>
        <w:jc w:val="both"/>
        <w:rPr>
          <w:rFonts w:asciiTheme="minorHAnsi" w:hAnsiTheme="minorHAnsi" w:cstheme="minorHAnsi"/>
          <w:lang w:val="en-IE" w:eastAsia="en-IE"/>
        </w:rPr>
      </w:pPr>
      <w:proofErr w:type="spellStart"/>
      <w:r w:rsidRPr="00025B9C">
        <w:rPr>
          <w:rFonts w:asciiTheme="minorHAnsi" w:hAnsiTheme="minorHAnsi" w:cstheme="minorHAnsi"/>
          <w:lang w:val="en-IE" w:eastAsia="en-IE"/>
        </w:rPr>
        <w:t>Coupland</w:t>
      </w:r>
      <w:proofErr w:type="spellEnd"/>
      <w:r w:rsidRPr="00025B9C">
        <w:rPr>
          <w:rFonts w:asciiTheme="minorHAnsi" w:hAnsiTheme="minorHAnsi" w:cstheme="minorHAnsi"/>
          <w:lang w:val="en-IE" w:eastAsia="en-IE"/>
        </w:rPr>
        <w:t>, C. (2005). Corporate social respon</w:t>
      </w:r>
      <w:r w:rsidR="00A5574F" w:rsidRPr="00025B9C">
        <w:rPr>
          <w:rFonts w:asciiTheme="minorHAnsi" w:hAnsiTheme="minorHAnsi" w:cstheme="minorHAnsi"/>
          <w:lang w:val="en-IE" w:eastAsia="en-IE"/>
        </w:rPr>
        <w:t>sibility as argument on the web.</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Journal of</w:t>
      </w:r>
      <w:r w:rsidRPr="00025B9C">
        <w:rPr>
          <w:rFonts w:asciiTheme="minorHAnsi" w:hAnsiTheme="minorHAnsi" w:cstheme="minorHAnsi"/>
          <w:i/>
        </w:rPr>
        <w:t xml:space="preserve"> </w:t>
      </w:r>
      <w:r w:rsidRPr="00025B9C">
        <w:rPr>
          <w:rFonts w:asciiTheme="minorHAnsi" w:hAnsiTheme="minorHAnsi" w:cstheme="minorHAnsi"/>
          <w:i/>
          <w:lang w:val="en-IE" w:eastAsia="en-IE"/>
        </w:rPr>
        <w:t>Business Ethics</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62</w:t>
      </w:r>
      <w:r w:rsidRPr="00025B9C">
        <w:rPr>
          <w:rFonts w:asciiTheme="minorHAnsi" w:hAnsiTheme="minorHAnsi" w:cstheme="minorHAnsi"/>
          <w:lang w:val="en-IE" w:eastAsia="en-IE"/>
        </w:rPr>
        <w:t>(4), 355</w:t>
      </w:r>
      <w:r w:rsidR="002C36A3" w:rsidRPr="00025B9C">
        <w:rPr>
          <w:rFonts w:asciiTheme="minorHAnsi" w:hAnsiTheme="minorHAnsi" w:cstheme="minorHAnsi"/>
        </w:rPr>
        <w:t>–</w:t>
      </w:r>
      <w:r w:rsidRPr="00025B9C">
        <w:rPr>
          <w:rFonts w:asciiTheme="minorHAnsi" w:hAnsiTheme="minorHAnsi" w:cstheme="minorHAnsi"/>
          <w:lang w:val="en-IE" w:eastAsia="en-IE"/>
        </w:rPr>
        <w:t>366.</w:t>
      </w:r>
    </w:p>
    <w:p w:rsidR="00A27389" w:rsidRPr="00025B9C" w:rsidRDefault="0006255F" w:rsidP="00D665D9">
      <w:pPr>
        <w:spacing w:line="360" w:lineRule="auto"/>
        <w:ind w:left="720" w:hanging="720"/>
        <w:jc w:val="both"/>
        <w:rPr>
          <w:rFonts w:asciiTheme="minorHAnsi" w:hAnsiTheme="minorHAnsi" w:cstheme="minorHAnsi"/>
          <w:i/>
        </w:rPr>
      </w:pPr>
      <w:r w:rsidRPr="00025B9C">
        <w:rPr>
          <w:rFonts w:asciiTheme="minorHAnsi" w:hAnsiTheme="minorHAnsi" w:cstheme="minorHAnsi"/>
        </w:rPr>
        <w:t>DiMaggio, P.</w:t>
      </w:r>
      <w:r w:rsidR="00FC01A4" w:rsidRPr="00025B9C">
        <w:rPr>
          <w:rFonts w:asciiTheme="minorHAnsi" w:hAnsiTheme="minorHAnsi" w:cstheme="minorHAnsi"/>
        </w:rPr>
        <w:t xml:space="preserve"> </w:t>
      </w:r>
      <w:r w:rsidRPr="00025B9C">
        <w:rPr>
          <w:rFonts w:asciiTheme="minorHAnsi" w:hAnsiTheme="minorHAnsi" w:cstheme="minorHAnsi"/>
        </w:rPr>
        <w:t>J., &amp; Powell, W.</w:t>
      </w:r>
      <w:r w:rsidR="00FC01A4" w:rsidRPr="00025B9C">
        <w:rPr>
          <w:rFonts w:asciiTheme="minorHAnsi" w:hAnsiTheme="minorHAnsi" w:cstheme="minorHAnsi"/>
        </w:rPr>
        <w:t xml:space="preserve"> </w:t>
      </w:r>
      <w:r w:rsidRPr="00025B9C">
        <w:rPr>
          <w:rFonts w:asciiTheme="minorHAnsi" w:hAnsiTheme="minorHAnsi" w:cstheme="minorHAnsi"/>
        </w:rPr>
        <w:t>W. (1983). The iron cage revisited</w:t>
      </w:r>
      <w:r w:rsidR="00E43A2F" w:rsidRPr="00025B9C">
        <w:rPr>
          <w:rFonts w:asciiTheme="minorHAnsi" w:hAnsiTheme="minorHAnsi" w:cstheme="minorHAnsi"/>
        </w:rPr>
        <w:t>:</w:t>
      </w:r>
      <w:r w:rsidRPr="00025B9C">
        <w:rPr>
          <w:rFonts w:asciiTheme="minorHAnsi" w:hAnsiTheme="minorHAnsi" w:cstheme="minorHAnsi"/>
        </w:rPr>
        <w:t xml:space="preserve"> </w:t>
      </w:r>
      <w:r w:rsidR="00E43A2F" w:rsidRPr="00025B9C">
        <w:rPr>
          <w:rFonts w:asciiTheme="minorHAnsi" w:hAnsiTheme="minorHAnsi" w:cstheme="minorHAnsi"/>
        </w:rPr>
        <w:t>I</w:t>
      </w:r>
      <w:r w:rsidRPr="00025B9C">
        <w:rPr>
          <w:rFonts w:asciiTheme="minorHAnsi" w:hAnsiTheme="minorHAnsi" w:cstheme="minorHAnsi"/>
        </w:rPr>
        <w:t xml:space="preserve">nstitutional isomorphism and collective rationality in organizational fields. </w:t>
      </w:r>
      <w:r w:rsidRPr="00025B9C">
        <w:rPr>
          <w:rFonts w:asciiTheme="minorHAnsi" w:hAnsiTheme="minorHAnsi" w:cstheme="minorHAnsi"/>
          <w:i/>
        </w:rPr>
        <w:t>American Sociological Review, 48</w:t>
      </w:r>
      <w:r w:rsidRPr="00025B9C">
        <w:rPr>
          <w:rFonts w:asciiTheme="minorHAnsi" w:hAnsiTheme="minorHAnsi" w:cstheme="minorHAnsi"/>
        </w:rPr>
        <w:t>(</w:t>
      </w:r>
      <w:r w:rsidR="007E4ADC" w:rsidRPr="00025B9C">
        <w:rPr>
          <w:rFonts w:asciiTheme="minorHAnsi" w:hAnsiTheme="minorHAnsi" w:cstheme="minorHAnsi"/>
        </w:rPr>
        <w:t>2</w:t>
      </w:r>
      <w:r w:rsidRPr="00025B9C">
        <w:rPr>
          <w:rFonts w:asciiTheme="minorHAnsi" w:hAnsiTheme="minorHAnsi" w:cstheme="minorHAnsi"/>
        </w:rPr>
        <w:t>), 147–160.</w:t>
      </w:r>
    </w:p>
    <w:p w:rsidR="00E677D9" w:rsidRPr="00025B9C" w:rsidRDefault="00E677D9"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Elsbach</w:t>
      </w:r>
      <w:proofErr w:type="spellEnd"/>
      <w:r w:rsidRPr="00025B9C">
        <w:rPr>
          <w:rFonts w:asciiTheme="minorHAnsi" w:hAnsiTheme="minorHAnsi" w:cstheme="minorHAnsi"/>
        </w:rPr>
        <w:t>, K</w:t>
      </w:r>
      <w:r w:rsidR="00780D26" w:rsidRPr="00025B9C">
        <w:rPr>
          <w:rFonts w:asciiTheme="minorHAnsi" w:hAnsiTheme="minorHAnsi" w:cstheme="minorHAnsi"/>
        </w:rPr>
        <w:t>., &amp;</w:t>
      </w:r>
      <w:r w:rsidRPr="00025B9C">
        <w:rPr>
          <w:rFonts w:asciiTheme="minorHAnsi" w:hAnsiTheme="minorHAnsi" w:cstheme="minorHAnsi"/>
        </w:rPr>
        <w:t xml:space="preserve"> Sutton, R. (1992)</w:t>
      </w:r>
      <w:r w:rsidR="00E8356D" w:rsidRPr="00025B9C">
        <w:rPr>
          <w:rFonts w:asciiTheme="minorHAnsi" w:hAnsiTheme="minorHAnsi" w:cstheme="minorHAnsi"/>
        </w:rPr>
        <w:t>.</w:t>
      </w:r>
      <w:r w:rsidRPr="00025B9C">
        <w:rPr>
          <w:rFonts w:asciiTheme="minorHAnsi" w:hAnsiTheme="minorHAnsi" w:cstheme="minorHAnsi"/>
        </w:rPr>
        <w:t xml:space="preserve"> Acquiring organizational legitimacy through illegitimate actions: A marriage of institutional and impression management theories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Academy of Management Journal</w:t>
      </w:r>
      <w:r w:rsidRPr="00025B9C">
        <w:rPr>
          <w:rFonts w:asciiTheme="minorHAnsi" w:hAnsiTheme="minorHAnsi" w:cstheme="minorHAnsi"/>
        </w:rPr>
        <w:t xml:space="preserve">, </w:t>
      </w:r>
      <w:r w:rsidRPr="00025B9C">
        <w:rPr>
          <w:rFonts w:asciiTheme="minorHAnsi" w:hAnsiTheme="minorHAnsi" w:cstheme="minorHAnsi"/>
          <w:i/>
        </w:rPr>
        <w:t>35</w:t>
      </w:r>
      <w:r w:rsidR="00E8356D" w:rsidRPr="00025B9C">
        <w:rPr>
          <w:rFonts w:asciiTheme="minorHAnsi" w:hAnsiTheme="minorHAnsi" w:cstheme="minorHAnsi"/>
        </w:rPr>
        <w:t>(</w:t>
      </w:r>
      <w:r w:rsidR="00114076" w:rsidRPr="00025B9C">
        <w:rPr>
          <w:rFonts w:asciiTheme="minorHAnsi" w:hAnsiTheme="minorHAnsi" w:cstheme="minorHAnsi"/>
        </w:rPr>
        <w:t>4</w:t>
      </w:r>
      <w:r w:rsidR="00E8356D" w:rsidRPr="00025B9C">
        <w:rPr>
          <w:rFonts w:asciiTheme="minorHAnsi" w:hAnsiTheme="minorHAnsi" w:cstheme="minorHAnsi"/>
        </w:rPr>
        <w:t>)</w:t>
      </w:r>
      <w:r w:rsidRPr="00025B9C">
        <w:rPr>
          <w:rFonts w:asciiTheme="minorHAnsi" w:hAnsiTheme="minorHAnsi" w:cstheme="minorHAnsi"/>
        </w:rPr>
        <w:t>, 699</w:t>
      </w:r>
      <w:r w:rsidR="002C36A3" w:rsidRPr="00025B9C">
        <w:rPr>
          <w:rFonts w:asciiTheme="minorHAnsi" w:hAnsiTheme="minorHAnsi" w:cstheme="minorHAnsi"/>
        </w:rPr>
        <w:t>–</w:t>
      </w:r>
      <w:r w:rsidRPr="00025B9C">
        <w:rPr>
          <w:rFonts w:asciiTheme="minorHAnsi" w:hAnsiTheme="minorHAnsi" w:cstheme="minorHAnsi"/>
        </w:rPr>
        <w:t>738.</w:t>
      </w:r>
    </w:p>
    <w:p w:rsidR="00286D53" w:rsidRPr="00025B9C" w:rsidRDefault="00286D53"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European Commission (2011).</w:t>
      </w:r>
      <w:r w:rsidR="002C2C65" w:rsidRPr="00025B9C">
        <w:rPr>
          <w:rFonts w:asciiTheme="minorHAnsi" w:hAnsiTheme="minorHAnsi" w:cstheme="minorHAnsi"/>
        </w:rPr>
        <w:t xml:space="preserve"> </w:t>
      </w:r>
      <w:r w:rsidR="002C2C65" w:rsidRPr="00025B9C">
        <w:rPr>
          <w:rFonts w:asciiTheme="minorHAnsi" w:hAnsiTheme="minorHAnsi" w:cstheme="minorHAnsi"/>
          <w:bCs/>
          <w:lang w:eastAsia="en-IE"/>
        </w:rPr>
        <w:t>The EU</w:t>
      </w:r>
      <w:r w:rsidR="00791047" w:rsidRPr="00025B9C">
        <w:rPr>
          <w:rFonts w:asciiTheme="minorHAnsi" w:hAnsiTheme="minorHAnsi" w:cstheme="minorHAnsi"/>
          <w:bCs/>
          <w:lang w:eastAsia="en-IE"/>
        </w:rPr>
        <w:t xml:space="preserve"> corporate governance framework.</w:t>
      </w:r>
      <w:r w:rsidR="002C2C65" w:rsidRPr="00025B9C">
        <w:rPr>
          <w:rFonts w:asciiTheme="minorHAnsi" w:hAnsiTheme="minorHAnsi" w:cstheme="minorHAnsi"/>
          <w:bCs/>
          <w:lang w:eastAsia="en-IE"/>
        </w:rPr>
        <w:t xml:space="preserve"> </w:t>
      </w:r>
      <w:r w:rsidR="00A5574F" w:rsidRPr="00025B9C">
        <w:rPr>
          <w:rFonts w:asciiTheme="minorHAnsi" w:hAnsiTheme="minorHAnsi" w:cstheme="minorHAnsi"/>
        </w:rPr>
        <w:t xml:space="preserve">Brussels: </w:t>
      </w:r>
      <w:r w:rsidR="002C2C65" w:rsidRPr="00025B9C">
        <w:rPr>
          <w:rFonts w:asciiTheme="minorHAnsi" w:hAnsiTheme="minorHAnsi" w:cstheme="minorHAnsi"/>
        </w:rPr>
        <w:t>European Commission.</w:t>
      </w:r>
    </w:p>
    <w:p w:rsidR="00382C30" w:rsidRPr="00025B9C" w:rsidRDefault="00382C30" w:rsidP="00D665D9">
      <w:pPr>
        <w:spacing w:line="360" w:lineRule="auto"/>
        <w:ind w:left="720" w:hanging="720"/>
        <w:jc w:val="both"/>
        <w:rPr>
          <w:rFonts w:asciiTheme="minorHAnsi" w:hAnsiTheme="minorHAnsi" w:cstheme="minorHAnsi"/>
        </w:rPr>
      </w:pPr>
      <w:r w:rsidRPr="00025B9C">
        <w:rPr>
          <w:rFonts w:asciiTheme="minorHAnsi" w:hAnsiTheme="minorHAnsi" w:cstheme="minorHAnsi"/>
          <w:lang w:val="en"/>
        </w:rPr>
        <w:t xml:space="preserve">Fairfax, L. M. </w:t>
      </w:r>
      <w:r w:rsidRPr="00025B9C">
        <w:rPr>
          <w:rFonts w:asciiTheme="minorHAnsi" w:hAnsiTheme="minorHAnsi" w:cstheme="minorHAnsi"/>
          <w:lang w:val="en-IE"/>
        </w:rPr>
        <w:t xml:space="preserve">(2007). </w:t>
      </w:r>
      <w:r w:rsidRPr="00025B9C">
        <w:rPr>
          <w:rFonts w:asciiTheme="minorHAnsi" w:hAnsiTheme="minorHAnsi" w:cstheme="minorHAnsi"/>
          <w:lang w:val="en"/>
        </w:rPr>
        <w:t>Easier said than done - a corporate law theory for actualizing social responsibility rhetoric</w:t>
      </w:r>
      <w:r w:rsidR="00A5574F" w:rsidRPr="00025B9C">
        <w:rPr>
          <w:rFonts w:asciiTheme="minorHAnsi" w:hAnsiTheme="minorHAnsi" w:cstheme="minorHAnsi"/>
          <w:lang w:val="en"/>
        </w:rPr>
        <w:t>.</w:t>
      </w:r>
      <w:r w:rsidRPr="00025B9C">
        <w:rPr>
          <w:rFonts w:asciiTheme="minorHAnsi" w:hAnsiTheme="minorHAnsi" w:cstheme="minorHAnsi"/>
          <w:lang w:val="en"/>
        </w:rPr>
        <w:t xml:space="preserve"> </w:t>
      </w:r>
      <w:r w:rsidR="003567EE" w:rsidRPr="00025B9C">
        <w:rPr>
          <w:rFonts w:asciiTheme="minorHAnsi" w:hAnsiTheme="minorHAnsi" w:cstheme="minorHAnsi"/>
          <w:i/>
          <w:iCs/>
          <w:lang w:val="en"/>
        </w:rPr>
        <w:t>Florida</w:t>
      </w:r>
      <w:r w:rsidRPr="00025B9C">
        <w:rPr>
          <w:rFonts w:asciiTheme="minorHAnsi" w:hAnsiTheme="minorHAnsi" w:cstheme="minorHAnsi"/>
          <w:i/>
          <w:iCs/>
          <w:lang w:val="en"/>
        </w:rPr>
        <w:t xml:space="preserve"> Law Review</w:t>
      </w:r>
      <w:r w:rsidRPr="00025B9C">
        <w:rPr>
          <w:rFonts w:asciiTheme="minorHAnsi" w:hAnsiTheme="minorHAnsi" w:cstheme="minorHAnsi"/>
          <w:iCs/>
          <w:lang w:val="en"/>
        </w:rPr>
        <w:t xml:space="preserve">, </w:t>
      </w:r>
      <w:r w:rsidRPr="00025B9C">
        <w:rPr>
          <w:rFonts w:asciiTheme="minorHAnsi" w:hAnsiTheme="minorHAnsi" w:cstheme="minorHAnsi"/>
          <w:i/>
          <w:iCs/>
          <w:lang w:val="en"/>
        </w:rPr>
        <w:t>59</w:t>
      </w:r>
      <w:r w:rsidRPr="00025B9C">
        <w:rPr>
          <w:rFonts w:asciiTheme="minorHAnsi" w:hAnsiTheme="minorHAnsi" w:cstheme="minorHAnsi"/>
          <w:iCs/>
          <w:lang w:val="en"/>
        </w:rPr>
        <w:t>(4), 771</w:t>
      </w:r>
      <w:r w:rsidR="002C36A3" w:rsidRPr="00025B9C">
        <w:rPr>
          <w:rFonts w:asciiTheme="minorHAnsi" w:hAnsiTheme="minorHAnsi" w:cstheme="minorHAnsi"/>
        </w:rPr>
        <w:t>–</w:t>
      </w:r>
      <w:r w:rsidRPr="00025B9C">
        <w:rPr>
          <w:rFonts w:asciiTheme="minorHAnsi" w:hAnsiTheme="minorHAnsi" w:cstheme="minorHAnsi"/>
          <w:lang w:val="en"/>
        </w:rPr>
        <w:t>828.</w:t>
      </w:r>
    </w:p>
    <w:p w:rsidR="00F6172B" w:rsidRPr="00025B9C" w:rsidRDefault="008A035A"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Financial Reporting Council (FRC) (2003</w:t>
      </w:r>
      <w:r w:rsidR="00800388" w:rsidRPr="00025B9C">
        <w:rPr>
          <w:rFonts w:asciiTheme="minorHAnsi" w:hAnsiTheme="minorHAnsi" w:cstheme="minorHAnsi"/>
        </w:rPr>
        <w:t>)</w:t>
      </w:r>
      <w:r w:rsidR="009F0468"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The </w:t>
      </w:r>
      <w:r w:rsidR="007920C6" w:rsidRPr="00025B9C">
        <w:rPr>
          <w:rFonts w:asciiTheme="minorHAnsi" w:hAnsiTheme="minorHAnsi" w:cstheme="minorHAnsi"/>
          <w:i/>
        </w:rPr>
        <w:t>C</w:t>
      </w:r>
      <w:r w:rsidR="00A5574F" w:rsidRPr="00025B9C">
        <w:rPr>
          <w:rFonts w:asciiTheme="minorHAnsi" w:hAnsiTheme="minorHAnsi" w:cstheme="minorHAnsi"/>
          <w:i/>
        </w:rPr>
        <w:t xml:space="preserve">ombined </w:t>
      </w:r>
      <w:r w:rsidR="007920C6" w:rsidRPr="00025B9C">
        <w:rPr>
          <w:rFonts w:asciiTheme="minorHAnsi" w:hAnsiTheme="minorHAnsi" w:cstheme="minorHAnsi"/>
          <w:i/>
        </w:rPr>
        <w:t>C</w:t>
      </w:r>
      <w:r w:rsidR="00A5574F" w:rsidRPr="00025B9C">
        <w:rPr>
          <w:rFonts w:asciiTheme="minorHAnsi" w:hAnsiTheme="minorHAnsi" w:cstheme="minorHAnsi"/>
          <w:i/>
        </w:rPr>
        <w:t>ode on corporate governance</w:t>
      </w:r>
      <w:r w:rsidR="00791047" w:rsidRPr="00025B9C">
        <w:rPr>
          <w:rFonts w:asciiTheme="minorHAnsi" w:hAnsiTheme="minorHAnsi" w:cstheme="minorHAnsi"/>
        </w:rPr>
        <w:t>.</w:t>
      </w:r>
      <w:r w:rsidR="003330B7" w:rsidRPr="00025B9C">
        <w:rPr>
          <w:rFonts w:asciiTheme="minorHAnsi" w:hAnsiTheme="minorHAnsi" w:cstheme="minorHAnsi"/>
        </w:rPr>
        <w:t xml:space="preserve"> London: FRC</w:t>
      </w:r>
      <w:r w:rsidR="00565DD6" w:rsidRPr="00025B9C">
        <w:rPr>
          <w:rFonts w:asciiTheme="minorHAnsi" w:hAnsiTheme="minorHAnsi" w:cstheme="minorHAnsi"/>
        </w:rPr>
        <w:t>.</w:t>
      </w:r>
    </w:p>
    <w:p w:rsidR="00565DD6" w:rsidRPr="00025B9C" w:rsidRDefault="00565DD6" w:rsidP="00565DD6">
      <w:pPr>
        <w:spacing w:line="360" w:lineRule="auto"/>
        <w:ind w:left="720" w:hanging="720"/>
        <w:jc w:val="both"/>
        <w:rPr>
          <w:rFonts w:asciiTheme="minorHAnsi" w:hAnsiTheme="minorHAnsi" w:cstheme="minorHAnsi"/>
        </w:rPr>
      </w:pPr>
      <w:r w:rsidRPr="00025B9C">
        <w:rPr>
          <w:rFonts w:asciiTheme="minorHAnsi" w:hAnsiTheme="minorHAnsi" w:cstheme="minorHAnsi"/>
        </w:rPr>
        <w:t>Financial Reporting Council (FRC) (2009). Review of the effectiveness of the Combined Code. Summary of the main points raised in responses to the March 2009 call for evidence. London: FRC.</w:t>
      </w:r>
    </w:p>
    <w:p w:rsidR="007201E9" w:rsidRPr="00025B9C" w:rsidRDefault="007201E9" w:rsidP="007201E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Financial Reporting Council (FRC) (2008). The </w:t>
      </w:r>
      <w:r w:rsidR="00374655" w:rsidRPr="00025B9C">
        <w:rPr>
          <w:rFonts w:asciiTheme="minorHAnsi" w:hAnsiTheme="minorHAnsi" w:cstheme="minorHAnsi"/>
        </w:rPr>
        <w:t>C</w:t>
      </w:r>
      <w:r w:rsidRPr="00025B9C">
        <w:rPr>
          <w:rFonts w:asciiTheme="minorHAnsi" w:hAnsiTheme="minorHAnsi" w:cstheme="minorHAnsi"/>
        </w:rPr>
        <w:t xml:space="preserve">ombined </w:t>
      </w:r>
      <w:r w:rsidR="00374655" w:rsidRPr="00025B9C">
        <w:rPr>
          <w:rFonts w:asciiTheme="minorHAnsi" w:hAnsiTheme="minorHAnsi" w:cstheme="minorHAnsi"/>
        </w:rPr>
        <w:t>C</w:t>
      </w:r>
      <w:r w:rsidRPr="00025B9C">
        <w:rPr>
          <w:rFonts w:asciiTheme="minorHAnsi" w:hAnsiTheme="minorHAnsi" w:cstheme="minorHAnsi"/>
        </w:rPr>
        <w:t>ode on corporate governance. London: FRC.</w:t>
      </w:r>
    </w:p>
    <w:p w:rsidR="00F6172B" w:rsidRPr="00025B9C" w:rsidRDefault="00B26B61"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Financial Reporting Council (FRC) (2010</w:t>
      </w:r>
      <w:r w:rsidR="00800388" w:rsidRPr="00025B9C">
        <w:rPr>
          <w:rFonts w:asciiTheme="minorHAnsi" w:hAnsiTheme="minorHAnsi" w:cstheme="minorHAnsi"/>
        </w:rPr>
        <w:t>)</w:t>
      </w:r>
      <w:r w:rsidR="009F0468"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The UK </w:t>
      </w:r>
      <w:r w:rsidR="00A5574F" w:rsidRPr="00025B9C">
        <w:rPr>
          <w:rFonts w:asciiTheme="minorHAnsi" w:hAnsiTheme="minorHAnsi" w:cstheme="minorHAnsi"/>
          <w:i/>
        </w:rPr>
        <w:t xml:space="preserve">corporate governance </w:t>
      </w:r>
      <w:r w:rsidR="007920C6" w:rsidRPr="00025B9C">
        <w:rPr>
          <w:rFonts w:asciiTheme="minorHAnsi" w:hAnsiTheme="minorHAnsi" w:cstheme="minorHAnsi"/>
          <w:i/>
        </w:rPr>
        <w:t>C</w:t>
      </w:r>
      <w:r w:rsidR="00A5574F" w:rsidRPr="00025B9C">
        <w:rPr>
          <w:rFonts w:asciiTheme="minorHAnsi" w:hAnsiTheme="minorHAnsi" w:cstheme="minorHAnsi"/>
          <w:i/>
        </w:rPr>
        <w:t>ode</w:t>
      </w:r>
      <w:r w:rsidR="00791047" w:rsidRPr="00025B9C">
        <w:rPr>
          <w:rFonts w:asciiTheme="minorHAnsi" w:hAnsiTheme="minorHAnsi" w:cstheme="minorHAnsi"/>
        </w:rPr>
        <w:t>.</w:t>
      </w:r>
      <w:r w:rsidR="00C86FDB" w:rsidRPr="00025B9C">
        <w:rPr>
          <w:rFonts w:asciiTheme="minorHAnsi" w:hAnsiTheme="minorHAnsi" w:cstheme="minorHAnsi"/>
        </w:rPr>
        <w:t xml:space="preserve"> London: FRC</w:t>
      </w:r>
      <w:r w:rsidRPr="00025B9C">
        <w:rPr>
          <w:rFonts w:asciiTheme="minorHAnsi" w:hAnsiTheme="minorHAnsi" w:cstheme="minorHAnsi"/>
        </w:rPr>
        <w:t>.</w:t>
      </w:r>
    </w:p>
    <w:p w:rsidR="00F6172B" w:rsidRPr="00025B9C" w:rsidRDefault="00B26B61"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Financia</w:t>
      </w:r>
      <w:r w:rsidR="00286D53" w:rsidRPr="00025B9C">
        <w:rPr>
          <w:rFonts w:asciiTheme="minorHAnsi" w:hAnsiTheme="minorHAnsi" w:cstheme="minorHAnsi"/>
        </w:rPr>
        <w:t>l Reporting Council (FRC) (2012a</w:t>
      </w:r>
      <w:r w:rsidR="00800388" w:rsidRPr="00025B9C">
        <w:rPr>
          <w:rFonts w:asciiTheme="minorHAnsi" w:hAnsiTheme="minorHAnsi" w:cstheme="minorHAnsi"/>
        </w:rPr>
        <w:t>)</w:t>
      </w:r>
      <w:r w:rsidR="009F0468"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The UK </w:t>
      </w:r>
      <w:r w:rsidR="00A5574F" w:rsidRPr="00025B9C">
        <w:rPr>
          <w:rFonts w:asciiTheme="minorHAnsi" w:hAnsiTheme="minorHAnsi" w:cstheme="minorHAnsi"/>
          <w:i/>
        </w:rPr>
        <w:t xml:space="preserve">corporate governance </w:t>
      </w:r>
      <w:r w:rsidR="007920C6" w:rsidRPr="00025B9C">
        <w:rPr>
          <w:rFonts w:asciiTheme="minorHAnsi" w:hAnsiTheme="minorHAnsi" w:cstheme="minorHAnsi"/>
          <w:i/>
        </w:rPr>
        <w:t>C</w:t>
      </w:r>
      <w:r w:rsidR="00A5574F" w:rsidRPr="00025B9C">
        <w:rPr>
          <w:rFonts w:asciiTheme="minorHAnsi" w:hAnsiTheme="minorHAnsi" w:cstheme="minorHAnsi"/>
          <w:i/>
        </w:rPr>
        <w:t>ode</w:t>
      </w:r>
      <w:r w:rsidR="00791047" w:rsidRPr="00025B9C">
        <w:rPr>
          <w:rFonts w:asciiTheme="minorHAnsi" w:hAnsiTheme="minorHAnsi" w:cstheme="minorHAnsi"/>
        </w:rPr>
        <w:t>.</w:t>
      </w:r>
      <w:r w:rsidR="00C86FDB" w:rsidRPr="00025B9C">
        <w:rPr>
          <w:rFonts w:asciiTheme="minorHAnsi" w:hAnsiTheme="minorHAnsi" w:cstheme="minorHAnsi"/>
        </w:rPr>
        <w:t xml:space="preserve"> London: FRC</w:t>
      </w:r>
      <w:r w:rsidRPr="00025B9C">
        <w:rPr>
          <w:rFonts w:asciiTheme="minorHAnsi" w:hAnsiTheme="minorHAnsi" w:cstheme="minorHAnsi"/>
        </w:rPr>
        <w:t>.</w:t>
      </w:r>
    </w:p>
    <w:p w:rsidR="003330B7" w:rsidRPr="00025B9C" w:rsidRDefault="00286D53"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Financial Reporting Council (FRC) (2012b)</w:t>
      </w:r>
      <w:r w:rsidR="009F0468"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What constitu</w:t>
      </w:r>
      <w:r w:rsidR="00BA5125" w:rsidRPr="00025B9C">
        <w:rPr>
          <w:rFonts w:asciiTheme="minorHAnsi" w:hAnsiTheme="minorHAnsi" w:cstheme="minorHAnsi"/>
          <w:i/>
        </w:rPr>
        <w:t>tes an explanation under comply</w:t>
      </w:r>
      <w:r w:rsidR="006F0E1C" w:rsidRPr="00025B9C">
        <w:rPr>
          <w:rFonts w:asciiTheme="minorHAnsi" w:hAnsiTheme="minorHAnsi" w:cstheme="minorHAnsi"/>
          <w:i/>
        </w:rPr>
        <w:t>-</w:t>
      </w:r>
      <w:r w:rsidR="00BA5125" w:rsidRPr="00025B9C">
        <w:rPr>
          <w:rFonts w:asciiTheme="minorHAnsi" w:hAnsiTheme="minorHAnsi" w:cstheme="minorHAnsi"/>
          <w:i/>
        </w:rPr>
        <w:t>or</w:t>
      </w:r>
      <w:r w:rsidR="006F0E1C" w:rsidRPr="00025B9C">
        <w:rPr>
          <w:rFonts w:asciiTheme="minorHAnsi" w:hAnsiTheme="minorHAnsi" w:cstheme="minorHAnsi"/>
          <w:i/>
        </w:rPr>
        <w:t>-</w:t>
      </w:r>
      <w:r w:rsidRPr="00025B9C">
        <w:rPr>
          <w:rFonts w:asciiTheme="minorHAnsi" w:hAnsiTheme="minorHAnsi" w:cstheme="minorHAnsi"/>
          <w:i/>
        </w:rPr>
        <w:t>explain? Report of discussions between companies and investors</w:t>
      </w:r>
      <w:r w:rsidR="00791047" w:rsidRPr="00025B9C">
        <w:rPr>
          <w:rFonts w:asciiTheme="minorHAnsi" w:hAnsiTheme="minorHAnsi" w:cstheme="minorHAnsi"/>
        </w:rPr>
        <w:t>.</w:t>
      </w:r>
      <w:r w:rsidRPr="00025B9C">
        <w:rPr>
          <w:rFonts w:asciiTheme="minorHAnsi" w:hAnsiTheme="minorHAnsi" w:cstheme="minorHAnsi"/>
        </w:rPr>
        <w:t xml:space="preserve"> London: FRC.</w:t>
      </w:r>
    </w:p>
    <w:p w:rsidR="00453856" w:rsidRPr="00025B9C" w:rsidRDefault="00453856" w:rsidP="00453856">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Financial Reporting Council (FRC) (2012c). </w:t>
      </w:r>
      <w:r w:rsidRPr="00025B9C">
        <w:rPr>
          <w:rFonts w:asciiTheme="minorHAnsi" w:hAnsiTheme="minorHAnsi" w:cstheme="minorHAnsi"/>
          <w:i/>
        </w:rPr>
        <w:t>Comply or explain: 20</w:t>
      </w:r>
      <w:r w:rsidRPr="00025B9C">
        <w:rPr>
          <w:rFonts w:asciiTheme="minorHAnsi" w:hAnsiTheme="minorHAnsi" w:cstheme="minorHAnsi"/>
          <w:i/>
          <w:vertAlign w:val="superscript"/>
        </w:rPr>
        <w:t>th</w:t>
      </w:r>
      <w:r w:rsidRPr="00025B9C">
        <w:rPr>
          <w:rFonts w:asciiTheme="minorHAnsi" w:hAnsiTheme="minorHAnsi" w:cstheme="minorHAnsi"/>
          <w:i/>
        </w:rPr>
        <w:t xml:space="preserve"> anniversary of the UK </w:t>
      </w:r>
      <w:r w:rsidR="00374655" w:rsidRPr="00025B9C">
        <w:rPr>
          <w:rFonts w:asciiTheme="minorHAnsi" w:hAnsiTheme="minorHAnsi" w:cstheme="minorHAnsi"/>
          <w:i/>
        </w:rPr>
        <w:t>c</w:t>
      </w:r>
      <w:r w:rsidRPr="00025B9C">
        <w:rPr>
          <w:rFonts w:asciiTheme="minorHAnsi" w:hAnsiTheme="minorHAnsi" w:cstheme="minorHAnsi"/>
          <w:i/>
        </w:rPr>
        <w:t xml:space="preserve">orporate </w:t>
      </w:r>
      <w:r w:rsidR="00374655" w:rsidRPr="00025B9C">
        <w:rPr>
          <w:rFonts w:asciiTheme="minorHAnsi" w:hAnsiTheme="minorHAnsi" w:cstheme="minorHAnsi"/>
          <w:i/>
        </w:rPr>
        <w:t>g</w:t>
      </w:r>
      <w:r w:rsidRPr="00025B9C">
        <w:rPr>
          <w:rFonts w:asciiTheme="minorHAnsi" w:hAnsiTheme="minorHAnsi" w:cstheme="minorHAnsi"/>
          <w:i/>
        </w:rPr>
        <w:t>overnance Code</w:t>
      </w:r>
      <w:r w:rsidRPr="00025B9C">
        <w:rPr>
          <w:rFonts w:asciiTheme="minorHAnsi" w:hAnsiTheme="minorHAnsi" w:cstheme="minorHAnsi"/>
        </w:rPr>
        <w:t>. London: FRC.</w:t>
      </w:r>
    </w:p>
    <w:p w:rsidR="00286D53" w:rsidRPr="00025B9C" w:rsidRDefault="00286D53"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Financial Reporting Council (FRC) (2013)</w:t>
      </w:r>
      <w:r w:rsidR="009F0468" w:rsidRPr="00025B9C">
        <w:rPr>
          <w:rFonts w:asciiTheme="minorHAnsi" w:hAnsiTheme="minorHAnsi" w:cstheme="minorHAnsi"/>
        </w:rPr>
        <w:t>.</w:t>
      </w:r>
      <w:r w:rsidR="003330B7" w:rsidRPr="00025B9C">
        <w:rPr>
          <w:rFonts w:asciiTheme="minorHAnsi" w:hAnsiTheme="minorHAnsi" w:cstheme="minorHAnsi"/>
        </w:rPr>
        <w:t xml:space="preserve"> </w:t>
      </w:r>
      <w:r w:rsidR="003330B7" w:rsidRPr="00025B9C">
        <w:rPr>
          <w:rFonts w:asciiTheme="minorHAnsi" w:hAnsiTheme="minorHAnsi" w:cstheme="minorHAnsi"/>
          <w:i/>
          <w:lang w:eastAsia="en-IE"/>
        </w:rPr>
        <w:t xml:space="preserve">Developments in </w:t>
      </w:r>
      <w:r w:rsidR="00A5574F" w:rsidRPr="00025B9C">
        <w:rPr>
          <w:rFonts w:asciiTheme="minorHAnsi" w:hAnsiTheme="minorHAnsi" w:cstheme="minorHAnsi"/>
          <w:i/>
          <w:lang w:eastAsia="en-IE"/>
        </w:rPr>
        <w:t xml:space="preserve">corporate governance </w:t>
      </w:r>
      <w:r w:rsidR="003330B7" w:rsidRPr="00025B9C">
        <w:rPr>
          <w:rFonts w:asciiTheme="minorHAnsi" w:hAnsiTheme="minorHAnsi" w:cstheme="minorHAnsi"/>
          <w:i/>
          <w:lang w:eastAsia="en-IE"/>
        </w:rPr>
        <w:t xml:space="preserve">2013. The impact and implementation of the UK </w:t>
      </w:r>
      <w:r w:rsidR="00A5574F" w:rsidRPr="00025B9C">
        <w:rPr>
          <w:rFonts w:asciiTheme="minorHAnsi" w:hAnsiTheme="minorHAnsi" w:cstheme="minorHAnsi"/>
          <w:i/>
          <w:lang w:eastAsia="en-IE"/>
        </w:rPr>
        <w:t>corporate governance and stewardship codes</w:t>
      </w:r>
      <w:r w:rsidR="00791047" w:rsidRPr="00025B9C">
        <w:rPr>
          <w:rFonts w:asciiTheme="minorHAnsi" w:hAnsiTheme="minorHAnsi" w:cstheme="minorHAnsi"/>
          <w:lang w:eastAsia="en-IE"/>
        </w:rPr>
        <w:t>.</w:t>
      </w:r>
      <w:r w:rsidR="003330B7" w:rsidRPr="00025B9C">
        <w:rPr>
          <w:rFonts w:asciiTheme="minorHAnsi" w:hAnsiTheme="minorHAnsi" w:cstheme="minorHAnsi"/>
          <w:lang w:eastAsia="en-IE"/>
        </w:rPr>
        <w:t xml:space="preserve"> </w:t>
      </w:r>
      <w:r w:rsidR="003330B7" w:rsidRPr="00025B9C">
        <w:rPr>
          <w:rFonts w:asciiTheme="minorHAnsi" w:hAnsiTheme="minorHAnsi" w:cstheme="minorHAnsi"/>
        </w:rPr>
        <w:t>London: FRC.</w:t>
      </w:r>
    </w:p>
    <w:p w:rsidR="00CB5A83" w:rsidRPr="00025B9C" w:rsidRDefault="009F0468"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Financial Reporting Council (FRC) (2015). </w:t>
      </w:r>
      <w:r w:rsidRPr="00025B9C">
        <w:rPr>
          <w:rFonts w:asciiTheme="minorHAnsi" w:hAnsiTheme="minorHAnsi" w:cstheme="minorHAnsi"/>
          <w:i/>
          <w:lang w:eastAsia="en-IE"/>
        </w:rPr>
        <w:t xml:space="preserve">Developments in </w:t>
      </w:r>
      <w:r w:rsidR="00A5574F" w:rsidRPr="00025B9C">
        <w:rPr>
          <w:rFonts w:asciiTheme="minorHAnsi" w:hAnsiTheme="minorHAnsi" w:cstheme="minorHAnsi"/>
          <w:i/>
          <w:lang w:eastAsia="en-IE"/>
        </w:rPr>
        <w:t xml:space="preserve">corporate governance and stewardship </w:t>
      </w:r>
      <w:r w:rsidRPr="00025B9C">
        <w:rPr>
          <w:rFonts w:asciiTheme="minorHAnsi" w:hAnsiTheme="minorHAnsi" w:cstheme="minorHAnsi"/>
          <w:i/>
          <w:lang w:eastAsia="en-IE"/>
        </w:rPr>
        <w:t xml:space="preserve">2014. </w:t>
      </w:r>
      <w:r w:rsidRPr="00025B9C">
        <w:rPr>
          <w:rFonts w:asciiTheme="minorHAnsi" w:hAnsiTheme="minorHAnsi" w:cstheme="minorHAnsi"/>
        </w:rPr>
        <w:t>London: FRC.</w:t>
      </w:r>
    </w:p>
    <w:p w:rsidR="00B8114D" w:rsidRPr="00025B9C" w:rsidRDefault="00B8114D" w:rsidP="00B8114D">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Financial Reporting Council (FRC) (2016). </w:t>
      </w:r>
      <w:r w:rsidRPr="00025B9C">
        <w:rPr>
          <w:rFonts w:asciiTheme="minorHAnsi" w:hAnsiTheme="minorHAnsi" w:cstheme="minorHAnsi"/>
          <w:i/>
        </w:rPr>
        <w:t xml:space="preserve">The UK corporate governance </w:t>
      </w:r>
      <w:r w:rsidR="00BB3494" w:rsidRPr="00025B9C">
        <w:rPr>
          <w:rFonts w:asciiTheme="minorHAnsi" w:hAnsiTheme="minorHAnsi" w:cstheme="minorHAnsi"/>
          <w:i/>
        </w:rPr>
        <w:t>C</w:t>
      </w:r>
      <w:r w:rsidRPr="00025B9C">
        <w:rPr>
          <w:rFonts w:asciiTheme="minorHAnsi" w:hAnsiTheme="minorHAnsi" w:cstheme="minorHAnsi"/>
          <w:i/>
        </w:rPr>
        <w:t>ode</w:t>
      </w:r>
      <w:r w:rsidRPr="00025B9C">
        <w:rPr>
          <w:rFonts w:asciiTheme="minorHAnsi" w:hAnsiTheme="minorHAnsi" w:cstheme="minorHAnsi"/>
        </w:rPr>
        <w:t>. London: FRC.</w:t>
      </w:r>
    </w:p>
    <w:p w:rsidR="006808ED" w:rsidRPr="00025B9C" w:rsidRDefault="00BA4B18" w:rsidP="00D665D9">
      <w:pPr>
        <w:spacing w:line="360" w:lineRule="auto"/>
        <w:ind w:left="720" w:hanging="720"/>
        <w:jc w:val="both"/>
        <w:rPr>
          <w:rFonts w:asciiTheme="minorHAnsi" w:hAnsiTheme="minorHAnsi" w:cstheme="minorHAnsi"/>
          <w:lang w:val="en-US"/>
        </w:rPr>
      </w:pPr>
      <w:proofErr w:type="spellStart"/>
      <w:r w:rsidRPr="00025B9C">
        <w:rPr>
          <w:rFonts w:asciiTheme="minorHAnsi" w:hAnsiTheme="minorHAnsi" w:cstheme="minorHAnsi"/>
          <w:lang w:val="en-US"/>
        </w:rPr>
        <w:t>Gendron</w:t>
      </w:r>
      <w:proofErr w:type="spellEnd"/>
      <w:r w:rsidRPr="00025B9C">
        <w:rPr>
          <w:rFonts w:asciiTheme="minorHAnsi" w:hAnsiTheme="minorHAnsi" w:cstheme="minorHAnsi"/>
          <w:lang w:val="en-US"/>
        </w:rPr>
        <w:t xml:space="preserve">, Y. (2016). Venturing beyond conventional boundaries: </w:t>
      </w:r>
      <w:r w:rsidR="00374655" w:rsidRPr="00025B9C">
        <w:rPr>
          <w:rFonts w:asciiTheme="minorHAnsi" w:hAnsiTheme="minorHAnsi" w:cstheme="minorHAnsi"/>
          <w:lang w:val="en-US"/>
        </w:rPr>
        <w:t>C</w:t>
      </w:r>
      <w:r w:rsidRPr="00025B9C">
        <w:rPr>
          <w:rFonts w:asciiTheme="minorHAnsi" w:hAnsiTheme="minorHAnsi" w:cstheme="minorHAnsi"/>
          <w:lang w:val="en-US"/>
        </w:rPr>
        <w:t xml:space="preserve">orporate governance as an inspiring site for critical accounting research, </w:t>
      </w:r>
      <w:r w:rsidR="00BB3494" w:rsidRPr="00025B9C">
        <w:rPr>
          <w:rFonts w:asciiTheme="minorHAnsi" w:hAnsiTheme="minorHAnsi" w:cstheme="minorHAnsi"/>
          <w:lang w:val="en-US"/>
        </w:rPr>
        <w:t xml:space="preserve">Working paper, </w:t>
      </w:r>
      <w:proofErr w:type="spellStart"/>
      <w:r w:rsidR="00BB3494" w:rsidRPr="00025B9C">
        <w:rPr>
          <w:rFonts w:asciiTheme="minorHAnsi" w:hAnsiTheme="minorHAnsi" w:cstheme="minorHAnsi"/>
        </w:rPr>
        <w:t>Université</w:t>
      </w:r>
      <w:proofErr w:type="spellEnd"/>
      <w:r w:rsidR="00BB3494" w:rsidRPr="00025B9C">
        <w:rPr>
          <w:rFonts w:asciiTheme="minorHAnsi" w:hAnsiTheme="minorHAnsi" w:cstheme="minorHAnsi"/>
        </w:rPr>
        <w:t xml:space="preserve"> Laval, Québec.</w:t>
      </w:r>
    </w:p>
    <w:p w:rsidR="00CB5A83" w:rsidRPr="00025B9C" w:rsidRDefault="00DC5E22"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Goffman, E. (1959</w:t>
      </w:r>
      <w:r w:rsidR="00800388" w:rsidRPr="00025B9C">
        <w:rPr>
          <w:rFonts w:asciiTheme="minorHAnsi" w:hAnsiTheme="minorHAnsi" w:cstheme="minorHAnsi"/>
        </w:rPr>
        <w:t>)</w:t>
      </w:r>
      <w:r w:rsidR="00E8356D"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The </w:t>
      </w:r>
      <w:r w:rsidR="00DB2019" w:rsidRPr="00025B9C">
        <w:rPr>
          <w:rFonts w:asciiTheme="minorHAnsi" w:hAnsiTheme="minorHAnsi" w:cstheme="minorHAnsi"/>
          <w:i/>
        </w:rPr>
        <w:t>presentation of self in everyday life</w:t>
      </w:r>
      <w:r w:rsidR="00791047" w:rsidRPr="00025B9C">
        <w:rPr>
          <w:rFonts w:asciiTheme="minorHAnsi" w:hAnsiTheme="minorHAnsi" w:cstheme="minorHAnsi"/>
          <w:i/>
        </w:rPr>
        <w:t>.</w:t>
      </w:r>
      <w:r w:rsidR="00ED1563" w:rsidRPr="00025B9C">
        <w:rPr>
          <w:rFonts w:asciiTheme="minorHAnsi" w:hAnsiTheme="minorHAnsi" w:cstheme="minorHAnsi"/>
          <w:i/>
        </w:rPr>
        <w:t xml:space="preserve"> </w:t>
      </w:r>
      <w:r w:rsidR="00DB2019" w:rsidRPr="00025B9C">
        <w:rPr>
          <w:rFonts w:asciiTheme="minorHAnsi" w:hAnsiTheme="minorHAnsi" w:cstheme="minorHAnsi"/>
        </w:rPr>
        <w:t xml:space="preserve">New York: </w:t>
      </w:r>
      <w:r w:rsidR="00ED1563" w:rsidRPr="00025B9C">
        <w:rPr>
          <w:rFonts w:asciiTheme="minorHAnsi" w:hAnsiTheme="minorHAnsi" w:cstheme="minorHAnsi"/>
        </w:rPr>
        <w:t>Doubleday/</w:t>
      </w:r>
      <w:r w:rsidRPr="00025B9C">
        <w:rPr>
          <w:rFonts w:asciiTheme="minorHAnsi" w:hAnsiTheme="minorHAnsi" w:cstheme="minorHAnsi"/>
        </w:rPr>
        <w:t>Anchor Books.</w:t>
      </w:r>
    </w:p>
    <w:p w:rsidR="00DB2019" w:rsidRPr="00025B9C" w:rsidRDefault="00DB2019" w:rsidP="00DB201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Goffman, E. (1971). </w:t>
      </w:r>
      <w:r w:rsidRPr="00025B9C">
        <w:rPr>
          <w:rFonts w:asciiTheme="minorHAnsi" w:hAnsiTheme="minorHAnsi" w:cstheme="minorHAnsi"/>
          <w:i/>
        </w:rPr>
        <w:t>Relations in public: Micr</w:t>
      </w:r>
      <w:r w:rsidR="001F2E5A" w:rsidRPr="00025B9C">
        <w:rPr>
          <w:rFonts w:asciiTheme="minorHAnsi" w:hAnsiTheme="minorHAnsi" w:cstheme="minorHAnsi"/>
          <w:i/>
        </w:rPr>
        <w:t>o studies of the public order</w:t>
      </w:r>
      <w:r w:rsidR="00A5574F" w:rsidRPr="00025B9C">
        <w:rPr>
          <w:rFonts w:asciiTheme="minorHAnsi" w:hAnsiTheme="minorHAnsi" w:cstheme="minorHAnsi"/>
        </w:rPr>
        <w:t>.</w:t>
      </w:r>
      <w:r w:rsidRPr="00025B9C">
        <w:rPr>
          <w:rFonts w:asciiTheme="minorHAnsi" w:hAnsiTheme="minorHAnsi" w:cstheme="minorHAnsi"/>
          <w:lang w:eastAsia="en-AU"/>
        </w:rPr>
        <w:t xml:space="preserve"> </w:t>
      </w:r>
      <w:r w:rsidR="0020224B" w:rsidRPr="00025B9C">
        <w:rPr>
          <w:rFonts w:asciiTheme="minorHAnsi" w:hAnsiTheme="minorHAnsi" w:cstheme="minorHAnsi"/>
          <w:lang w:eastAsia="en-AU"/>
        </w:rPr>
        <w:t xml:space="preserve">New Brunswick, </w:t>
      </w:r>
      <w:r w:rsidR="00A5574F" w:rsidRPr="00025B9C">
        <w:rPr>
          <w:rFonts w:asciiTheme="minorHAnsi" w:hAnsiTheme="minorHAnsi" w:cstheme="minorHAnsi"/>
          <w:lang w:eastAsia="en-AU"/>
        </w:rPr>
        <w:t>NJ</w:t>
      </w:r>
      <w:r w:rsidR="0020224B" w:rsidRPr="00025B9C">
        <w:rPr>
          <w:rFonts w:asciiTheme="minorHAnsi" w:hAnsiTheme="minorHAnsi" w:cstheme="minorHAnsi"/>
          <w:lang w:eastAsia="en-AU"/>
        </w:rPr>
        <w:t xml:space="preserve">: </w:t>
      </w:r>
      <w:r w:rsidR="0020224B" w:rsidRPr="00025B9C">
        <w:rPr>
          <w:rFonts w:asciiTheme="minorHAnsi" w:hAnsiTheme="minorHAnsi" w:cstheme="minorHAnsi"/>
        </w:rPr>
        <w:t>Transaction Publishers</w:t>
      </w:r>
      <w:r w:rsidRPr="00025B9C">
        <w:rPr>
          <w:rFonts w:asciiTheme="minorHAnsi" w:hAnsiTheme="minorHAnsi" w:cstheme="minorHAnsi"/>
        </w:rPr>
        <w:t>.</w:t>
      </w:r>
    </w:p>
    <w:p w:rsidR="00DB2019" w:rsidRPr="00025B9C" w:rsidRDefault="00DB2019" w:rsidP="00DB201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Goffman, E. (1974). </w:t>
      </w:r>
      <w:r w:rsidRPr="00025B9C">
        <w:rPr>
          <w:rFonts w:asciiTheme="minorHAnsi" w:hAnsiTheme="minorHAnsi" w:cstheme="minorHAnsi"/>
          <w:i/>
        </w:rPr>
        <w:t>The presentation of self in everyday life</w:t>
      </w:r>
      <w:r w:rsidRPr="00025B9C">
        <w:rPr>
          <w:rFonts w:asciiTheme="minorHAnsi" w:hAnsiTheme="minorHAnsi" w:cstheme="minorHAnsi"/>
        </w:rPr>
        <w:t xml:space="preserve">. </w:t>
      </w:r>
      <w:proofErr w:type="spellStart"/>
      <w:r w:rsidRPr="00025B9C">
        <w:rPr>
          <w:rFonts w:asciiTheme="minorHAnsi" w:hAnsiTheme="minorHAnsi" w:cstheme="minorHAnsi"/>
        </w:rPr>
        <w:t>Harmondsworth</w:t>
      </w:r>
      <w:proofErr w:type="spellEnd"/>
      <w:r w:rsidRPr="00025B9C">
        <w:rPr>
          <w:rFonts w:asciiTheme="minorHAnsi" w:hAnsiTheme="minorHAnsi" w:cstheme="minorHAnsi"/>
        </w:rPr>
        <w:t>, UK: Penguin.</w:t>
      </w:r>
    </w:p>
    <w:p w:rsidR="005F1A4E" w:rsidRPr="00025B9C" w:rsidRDefault="005F1A4E" w:rsidP="00D665D9">
      <w:pPr>
        <w:spacing w:line="360" w:lineRule="auto"/>
        <w:ind w:left="539" w:right="-198" w:hanging="539"/>
        <w:jc w:val="both"/>
        <w:rPr>
          <w:rFonts w:asciiTheme="minorHAnsi" w:hAnsiTheme="minorHAnsi" w:cstheme="minorHAnsi"/>
          <w:szCs w:val="20"/>
        </w:rPr>
      </w:pPr>
      <w:proofErr w:type="spellStart"/>
      <w:r w:rsidRPr="00025B9C">
        <w:rPr>
          <w:rFonts w:asciiTheme="minorHAnsi" w:hAnsiTheme="minorHAnsi" w:cstheme="minorHAnsi"/>
          <w:szCs w:val="20"/>
        </w:rPr>
        <w:t>Greenbury</w:t>
      </w:r>
      <w:proofErr w:type="spellEnd"/>
      <w:r w:rsidRPr="00025B9C">
        <w:rPr>
          <w:rFonts w:asciiTheme="minorHAnsi" w:hAnsiTheme="minorHAnsi" w:cstheme="minorHAnsi"/>
          <w:szCs w:val="20"/>
        </w:rPr>
        <w:t xml:space="preserve">, R. (1995). </w:t>
      </w:r>
      <w:r w:rsidRPr="00025B9C">
        <w:rPr>
          <w:rFonts w:asciiTheme="minorHAnsi" w:hAnsiTheme="minorHAnsi" w:cstheme="minorHAnsi"/>
          <w:i/>
          <w:iCs/>
          <w:szCs w:val="20"/>
        </w:rPr>
        <w:t xml:space="preserve">Directors’ Remuneration: Report of a Study Group Chaired by Sir Richard </w:t>
      </w:r>
      <w:proofErr w:type="spellStart"/>
      <w:r w:rsidRPr="00025B9C">
        <w:rPr>
          <w:rFonts w:asciiTheme="minorHAnsi" w:hAnsiTheme="minorHAnsi" w:cstheme="minorHAnsi"/>
          <w:i/>
          <w:iCs/>
          <w:szCs w:val="20"/>
        </w:rPr>
        <w:t>Greenbury</w:t>
      </w:r>
      <w:proofErr w:type="spellEnd"/>
      <w:r w:rsidRPr="00025B9C">
        <w:rPr>
          <w:rFonts w:asciiTheme="minorHAnsi" w:hAnsiTheme="minorHAnsi" w:cstheme="minorHAnsi"/>
          <w:szCs w:val="20"/>
        </w:rPr>
        <w:t xml:space="preserve"> (</w:t>
      </w:r>
      <w:proofErr w:type="spellStart"/>
      <w:r w:rsidRPr="00025B9C">
        <w:rPr>
          <w:rFonts w:asciiTheme="minorHAnsi" w:hAnsiTheme="minorHAnsi" w:cstheme="minorHAnsi"/>
          <w:szCs w:val="20"/>
        </w:rPr>
        <w:t>Greenbury</w:t>
      </w:r>
      <w:proofErr w:type="spellEnd"/>
      <w:r w:rsidRPr="00025B9C">
        <w:rPr>
          <w:rFonts w:asciiTheme="minorHAnsi" w:hAnsiTheme="minorHAnsi" w:cstheme="minorHAnsi"/>
          <w:szCs w:val="20"/>
        </w:rPr>
        <w:t xml:space="preserve"> Report). </w:t>
      </w:r>
      <w:r w:rsidRPr="00025B9C">
        <w:rPr>
          <w:rFonts w:asciiTheme="minorHAnsi" w:hAnsiTheme="minorHAnsi" w:cstheme="minorHAnsi"/>
          <w:iCs/>
          <w:szCs w:val="20"/>
        </w:rPr>
        <w:t xml:space="preserve">London: Gee </w:t>
      </w:r>
      <w:r w:rsidR="00925FB3" w:rsidRPr="00025B9C">
        <w:rPr>
          <w:rFonts w:asciiTheme="minorHAnsi" w:hAnsiTheme="minorHAnsi" w:cstheme="minorHAnsi"/>
          <w:iCs/>
          <w:szCs w:val="20"/>
        </w:rPr>
        <w:t>&amp;</w:t>
      </w:r>
      <w:r w:rsidRPr="00025B9C">
        <w:rPr>
          <w:rFonts w:asciiTheme="minorHAnsi" w:hAnsiTheme="minorHAnsi" w:cstheme="minorHAnsi"/>
          <w:iCs/>
          <w:szCs w:val="20"/>
        </w:rPr>
        <w:t xml:space="preserve"> Co. Ltd</w:t>
      </w:r>
      <w:r w:rsidRPr="00025B9C">
        <w:rPr>
          <w:rFonts w:asciiTheme="minorHAnsi" w:hAnsiTheme="minorHAnsi" w:cstheme="minorHAnsi"/>
          <w:szCs w:val="20"/>
        </w:rPr>
        <w:t>.</w:t>
      </w:r>
    </w:p>
    <w:p w:rsidR="00DB1605" w:rsidRPr="00025B9C" w:rsidRDefault="00DB1605" w:rsidP="00374655">
      <w:pPr>
        <w:spacing w:line="360" w:lineRule="auto"/>
        <w:ind w:left="539" w:right="-198" w:hanging="539"/>
        <w:jc w:val="both"/>
        <w:rPr>
          <w:rFonts w:asciiTheme="minorHAnsi" w:hAnsiTheme="minorHAnsi" w:cstheme="minorHAnsi"/>
        </w:rPr>
      </w:pPr>
      <w:r w:rsidRPr="00025B9C">
        <w:rPr>
          <w:rFonts w:asciiTheme="minorHAnsi" w:hAnsiTheme="minorHAnsi" w:cstheme="minorHAnsi"/>
        </w:rPr>
        <w:t xml:space="preserve">Haldane, </w:t>
      </w:r>
      <w:r w:rsidRPr="00025B9C">
        <w:rPr>
          <w:rFonts w:asciiTheme="minorHAnsi" w:hAnsiTheme="minorHAnsi" w:cstheme="minorHAnsi"/>
          <w:lang w:val="en-IE"/>
        </w:rPr>
        <w:t>A.</w:t>
      </w:r>
      <w:r w:rsidR="007810F4" w:rsidRPr="00025B9C">
        <w:rPr>
          <w:rFonts w:asciiTheme="minorHAnsi" w:hAnsiTheme="minorHAnsi" w:cstheme="minorHAnsi"/>
          <w:lang w:val="en-IE"/>
        </w:rPr>
        <w:t xml:space="preserve"> </w:t>
      </w:r>
      <w:r w:rsidRPr="00025B9C">
        <w:rPr>
          <w:rFonts w:asciiTheme="minorHAnsi" w:hAnsiTheme="minorHAnsi" w:cstheme="minorHAnsi"/>
          <w:lang w:val="en-IE"/>
        </w:rPr>
        <w:t xml:space="preserve">G. </w:t>
      </w:r>
      <w:r w:rsidRPr="00025B9C">
        <w:rPr>
          <w:rFonts w:asciiTheme="minorHAnsi" w:hAnsiTheme="minorHAnsi" w:cstheme="minorHAnsi"/>
        </w:rPr>
        <w:t>(2012)</w:t>
      </w:r>
      <w:r w:rsidR="008F1330" w:rsidRPr="00025B9C">
        <w:rPr>
          <w:rFonts w:asciiTheme="minorHAnsi" w:hAnsiTheme="minorHAnsi" w:cstheme="minorHAnsi"/>
        </w:rPr>
        <w:t>.</w:t>
      </w:r>
      <w:r w:rsidRPr="00025B9C">
        <w:rPr>
          <w:rFonts w:asciiTheme="minorHAnsi" w:hAnsiTheme="minorHAnsi" w:cstheme="minorHAnsi"/>
        </w:rPr>
        <w:t xml:space="preserve"> </w:t>
      </w:r>
      <w:r w:rsidR="00A5574F" w:rsidRPr="00025B9C">
        <w:rPr>
          <w:rFonts w:asciiTheme="minorHAnsi" w:hAnsiTheme="minorHAnsi" w:cstheme="minorHAnsi"/>
          <w:i/>
        </w:rPr>
        <w:t xml:space="preserve">The dog and the </w:t>
      </w:r>
      <w:proofErr w:type="spellStart"/>
      <w:r w:rsidR="00A5574F" w:rsidRPr="00025B9C">
        <w:rPr>
          <w:rFonts w:asciiTheme="minorHAnsi" w:hAnsiTheme="minorHAnsi" w:cstheme="minorHAnsi"/>
          <w:i/>
        </w:rPr>
        <w:t>frisbee</w:t>
      </w:r>
      <w:proofErr w:type="spellEnd"/>
      <w:r w:rsidR="00A5574F" w:rsidRPr="00025B9C">
        <w:rPr>
          <w:rFonts w:asciiTheme="minorHAnsi" w:hAnsiTheme="minorHAnsi" w:cstheme="minorHAnsi"/>
        </w:rPr>
        <w:t>. Speech 596. London: Bank of England</w:t>
      </w:r>
      <w:r w:rsidRPr="00025B9C">
        <w:rPr>
          <w:rFonts w:asciiTheme="minorHAnsi" w:hAnsiTheme="minorHAnsi" w:cstheme="minorHAnsi"/>
        </w:rPr>
        <w:t xml:space="preserve">. Available at: </w:t>
      </w:r>
      <w:hyperlink r:id="rId13" w:history="1">
        <w:r w:rsidR="00374655" w:rsidRPr="00025B9C">
          <w:rPr>
            <w:rStyle w:val="Hyperlink"/>
            <w:rFonts w:asciiTheme="minorHAnsi" w:hAnsiTheme="minorHAnsi" w:cstheme="minorHAnsi"/>
            <w:color w:val="auto"/>
          </w:rPr>
          <w:t>http://www.bankofengland.co.uk/publications/Documents/speeches/2012/speech596.pdf</w:t>
        </w:r>
      </w:hyperlink>
      <w:r w:rsidR="00374655" w:rsidRPr="00025B9C">
        <w:rPr>
          <w:rFonts w:asciiTheme="minorHAnsi" w:hAnsiTheme="minorHAnsi" w:cstheme="minorHAnsi"/>
        </w:rPr>
        <w:t xml:space="preserve"> </w:t>
      </w:r>
      <w:r w:rsidR="00733580" w:rsidRPr="00025B9C">
        <w:rPr>
          <w:rFonts w:asciiTheme="minorHAnsi" w:hAnsiTheme="minorHAnsi" w:cstheme="minorHAnsi"/>
        </w:rPr>
        <w:t>[accessed 17</w:t>
      </w:r>
      <w:r w:rsidRPr="00025B9C">
        <w:rPr>
          <w:rFonts w:asciiTheme="minorHAnsi" w:hAnsiTheme="minorHAnsi" w:cstheme="minorHAnsi"/>
        </w:rPr>
        <w:t xml:space="preserve"> </w:t>
      </w:r>
      <w:r w:rsidR="00733580" w:rsidRPr="00025B9C">
        <w:rPr>
          <w:rFonts w:asciiTheme="minorHAnsi" w:hAnsiTheme="minorHAnsi" w:cstheme="minorHAnsi"/>
        </w:rPr>
        <w:t>December 2016</w:t>
      </w:r>
      <w:r w:rsidRPr="00025B9C">
        <w:rPr>
          <w:rFonts w:asciiTheme="minorHAnsi" w:hAnsiTheme="minorHAnsi" w:cstheme="minorHAnsi"/>
        </w:rPr>
        <w:t>].</w:t>
      </w:r>
    </w:p>
    <w:p w:rsidR="00434D99" w:rsidRPr="00025B9C" w:rsidRDefault="00434D99" w:rsidP="00434D99">
      <w:pPr>
        <w:spacing w:line="360" w:lineRule="auto"/>
        <w:ind w:left="720" w:hanging="720"/>
        <w:jc w:val="both"/>
        <w:rPr>
          <w:rFonts w:asciiTheme="minorHAnsi" w:hAnsiTheme="minorHAnsi" w:cstheme="minorHAnsi"/>
          <w:sz w:val="32"/>
          <w:lang w:val="en-IE" w:eastAsia="en-IE"/>
        </w:rPr>
      </w:pPr>
      <w:proofErr w:type="spellStart"/>
      <w:r w:rsidRPr="00025B9C">
        <w:rPr>
          <w:rFonts w:asciiTheme="minorHAnsi" w:hAnsiTheme="minorHAnsi" w:cstheme="minorHAnsi"/>
          <w:szCs w:val="20"/>
        </w:rPr>
        <w:t>Hampel</w:t>
      </w:r>
      <w:proofErr w:type="spellEnd"/>
      <w:r w:rsidRPr="00025B9C">
        <w:rPr>
          <w:rFonts w:asciiTheme="minorHAnsi" w:hAnsiTheme="minorHAnsi" w:cstheme="minorHAnsi"/>
          <w:szCs w:val="20"/>
        </w:rPr>
        <w:t>, R. (199</w:t>
      </w:r>
      <w:r w:rsidR="005F1A4E" w:rsidRPr="00025B9C">
        <w:rPr>
          <w:rFonts w:asciiTheme="minorHAnsi" w:hAnsiTheme="minorHAnsi" w:cstheme="minorHAnsi"/>
          <w:szCs w:val="20"/>
        </w:rPr>
        <w:t>8</w:t>
      </w:r>
      <w:r w:rsidRPr="00025B9C">
        <w:rPr>
          <w:rFonts w:asciiTheme="minorHAnsi" w:hAnsiTheme="minorHAnsi" w:cstheme="minorHAnsi"/>
          <w:szCs w:val="20"/>
        </w:rPr>
        <w:t xml:space="preserve">). </w:t>
      </w:r>
      <w:r w:rsidRPr="00025B9C">
        <w:rPr>
          <w:rFonts w:asciiTheme="minorHAnsi" w:hAnsiTheme="minorHAnsi" w:cstheme="minorHAnsi"/>
          <w:i/>
          <w:szCs w:val="20"/>
        </w:rPr>
        <w:t>Committee on corporate governance: Final report (</w:t>
      </w:r>
      <w:proofErr w:type="spellStart"/>
      <w:r w:rsidRPr="00025B9C">
        <w:rPr>
          <w:rFonts w:asciiTheme="minorHAnsi" w:hAnsiTheme="minorHAnsi" w:cstheme="minorHAnsi"/>
          <w:i/>
          <w:szCs w:val="20"/>
        </w:rPr>
        <w:t>H</w:t>
      </w:r>
      <w:r w:rsidR="00145DFD" w:rsidRPr="00025B9C">
        <w:rPr>
          <w:rFonts w:asciiTheme="minorHAnsi" w:hAnsiTheme="minorHAnsi" w:cstheme="minorHAnsi"/>
          <w:i/>
          <w:szCs w:val="20"/>
        </w:rPr>
        <w:t>a</w:t>
      </w:r>
      <w:r w:rsidRPr="00025B9C">
        <w:rPr>
          <w:rFonts w:asciiTheme="minorHAnsi" w:hAnsiTheme="minorHAnsi" w:cstheme="minorHAnsi"/>
          <w:i/>
          <w:szCs w:val="20"/>
        </w:rPr>
        <w:t>mpel</w:t>
      </w:r>
      <w:proofErr w:type="spellEnd"/>
      <w:r w:rsidRPr="00025B9C">
        <w:rPr>
          <w:rFonts w:asciiTheme="minorHAnsi" w:hAnsiTheme="minorHAnsi" w:cstheme="minorHAnsi"/>
          <w:i/>
          <w:szCs w:val="20"/>
        </w:rPr>
        <w:t xml:space="preserve"> Report)</w:t>
      </w:r>
      <w:r w:rsidRPr="00025B9C">
        <w:rPr>
          <w:rFonts w:asciiTheme="minorHAnsi" w:hAnsiTheme="minorHAnsi" w:cstheme="minorHAnsi"/>
          <w:szCs w:val="20"/>
        </w:rPr>
        <w:t xml:space="preserve">. </w:t>
      </w:r>
      <w:r w:rsidRPr="00025B9C">
        <w:rPr>
          <w:rFonts w:asciiTheme="minorHAnsi" w:hAnsiTheme="minorHAnsi" w:cstheme="minorHAnsi"/>
          <w:iCs/>
          <w:szCs w:val="20"/>
        </w:rPr>
        <w:t xml:space="preserve">London: The Committee on Corporate Governance (The </w:t>
      </w:r>
      <w:proofErr w:type="spellStart"/>
      <w:r w:rsidR="005F1A4E" w:rsidRPr="00025B9C">
        <w:rPr>
          <w:rFonts w:asciiTheme="minorHAnsi" w:hAnsiTheme="minorHAnsi" w:cstheme="minorHAnsi"/>
          <w:iCs/>
          <w:szCs w:val="20"/>
        </w:rPr>
        <w:t>H</w:t>
      </w:r>
      <w:r w:rsidR="00145DFD" w:rsidRPr="00025B9C">
        <w:rPr>
          <w:rFonts w:asciiTheme="minorHAnsi" w:hAnsiTheme="minorHAnsi" w:cstheme="minorHAnsi"/>
          <w:iCs/>
          <w:szCs w:val="20"/>
        </w:rPr>
        <w:t>a</w:t>
      </w:r>
      <w:r w:rsidR="005F1A4E" w:rsidRPr="00025B9C">
        <w:rPr>
          <w:rFonts w:asciiTheme="minorHAnsi" w:hAnsiTheme="minorHAnsi" w:cstheme="minorHAnsi"/>
          <w:iCs/>
          <w:szCs w:val="20"/>
        </w:rPr>
        <w:t>mpel</w:t>
      </w:r>
      <w:proofErr w:type="spellEnd"/>
      <w:r w:rsidR="005F1A4E" w:rsidRPr="00025B9C">
        <w:rPr>
          <w:rFonts w:asciiTheme="minorHAnsi" w:hAnsiTheme="minorHAnsi" w:cstheme="minorHAnsi"/>
          <w:iCs/>
          <w:szCs w:val="20"/>
        </w:rPr>
        <w:t xml:space="preserve"> </w:t>
      </w:r>
      <w:r w:rsidR="00925FB3" w:rsidRPr="00025B9C">
        <w:rPr>
          <w:rFonts w:asciiTheme="minorHAnsi" w:hAnsiTheme="minorHAnsi" w:cstheme="minorHAnsi"/>
          <w:iCs/>
          <w:szCs w:val="20"/>
        </w:rPr>
        <w:t>Committee) and Gee &amp;</w:t>
      </w:r>
      <w:r w:rsidRPr="00025B9C">
        <w:rPr>
          <w:rFonts w:asciiTheme="minorHAnsi" w:hAnsiTheme="minorHAnsi" w:cstheme="minorHAnsi"/>
          <w:iCs/>
          <w:szCs w:val="20"/>
        </w:rPr>
        <w:t xml:space="preserve"> Co</w:t>
      </w:r>
      <w:r w:rsidR="005F1A4E" w:rsidRPr="00025B9C">
        <w:rPr>
          <w:rFonts w:asciiTheme="minorHAnsi" w:hAnsiTheme="minorHAnsi" w:cstheme="minorHAnsi"/>
          <w:iCs/>
          <w:szCs w:val="20"/>
        </w:rPr>
        <w:t>.</w:t>
      </w:r>
      <w:r w:rsidRPr="00025B9C">
        <w:rPr>
          <w:rFonts w:asciiTheme="minorHAnsi" w:hAnsiTheme="minorHAnsi" w:cstheme="minorHAnsi"/>
          <w:iCs/>
          <w:szCs w:val="20"/>
        </w:rPr>
        <w:t xml:space="preserve"> Ltd</w:t>
      </w:r>
      <w:r w:rsidRPr="00025B9C">
        <w:rPr>
          <w:rFonts w:asciiTheme="minorHAnsi" w:hAnsiTheme="minorHAnsi" w:cstheme="minorHAnsi"/>
          <w:szCs w:val="20"/>
        </w:rPr>
        <w:t>.</w:t>
      </w:r>
      <w:r w:rsidRPr="00025B9C">
        <w:rPr>
          <w:rFonts w:asciiTheme="minorHAnsi" w:hAnsiTheme="minorHAnsi" w:cstheme="minorHAnsi"/>
          <w:sz w:val="32"/>
          <w:lang w:val="en-IE" w:eastAsia="en-IE"/>
        </w:rPr>
        <w:t xml:space="preserve"> </w:t>
      </w:r>
    </w:p>
    <w:p w:rsidR="002E2D2A" w:rsidRPr="00025B9C" w:rsidRDefault="002E2D2A"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lang w:val="es-ES_tradnl"/>
        </w:rPr>
        <w:t>Haxhi</w:t>
      </w:r>
      <w:proofErr w:type="spellEnd"/>
      <w:r w:rsidRPr="00025B9C">
        <w:rPr>
          <w:rFonts w:asciiTheme="minorHAnsi" w:hAnsiTheme="minorHAnsi" w:cstheme="minorHAnsi"/>
          <w:lang w:val="es-ES_tradnl"/>
        </w:rPr>
        <w:t>, I</w:t>
      </w:r>
      <w:r w:rsidR="00780D26" w:rsidRPr="00025B9C">
        <w:rPr>
          <w:rFonts w:asciiTheme="minorHAnsi" w:hAnsiTheme="minorHAnsi" w:cstheme="minorHAnsi"/>
          <w:lang w:val="es-ES_tradnl"/>
        </w:rPr>
        <w:t>., &amp;</w:t>
      </w:r>
      <w:r w:rsidRPr="00025B9C">
        <w:rPr>
          <w:rFonts w:asciiTheme="minorHAnsi" w:hAnsiTheme="minorHAnsi" w:cstheme="minorHAnsi"/>
          <w:lang w:val="es-ES_tradnl"/>
        </w:rPr>
        <w:t xml:space="preserve"> Van </w:t>
      </w:r>
      <w:proofErr w:type="spellStart"/>
      <w:r w:rsidRPr="00025B9C">
        <w:rPr>
          <w:rFonts w:asciiTheme="minorHAnsi" w:hAnsiTheme="minorHAnsi" w:cstheme="minorHAnsi"/>
          <w:lang w:val="es-ES_tradnl"/>
        </w:rPr>
        <w:t>Ees</w:t>
      </w:r>
      <w:proofErr w:type="spellEnd"/>
      <w:r w:rsidRPr="00025B9C">
        <w:rPr>
          <w:rFonts w:asciiTheme="minorHAnsi" w:hAnsiTheme="minorHAnsi" w:cstheme="minorHAnsi"/>
          <w:lang w:val="es-ES_tradnl"/>
        </w:rPr>
        <w:t xml:space="preserve">, H. (2010). </w:t>
      </w:r>
      <w:r w:rsidRPr="00025B9C">
        <w:rPr>
          <w:rFonts w:asciiTheme="minorHAnsi" w:hAnsiTheme="minorHAnsi" w:cstheme="minorHAnsi"/>
        </w:rPr>
        <w:t xml:space="preserve">Explaining diversity in the worldwide diffusion of codes of good governance. </w:t>
      </w:r>
      <w:r w:rsidRPr="00025B9C">
        <w:rPr>
          <w:rFonts w:asciiTheme="minorHAnsi" w:hAnsiTheme="minorHAnsi" w:cstheme="minorHAnsi"/>
          <w:i/>
          <w:iCs/>
        </w:rPr>
        <w:t>Journal of International Business Studies</w:t>
      </w:r>
      <w:r w:rsidRPr="00025B9C">
        <w:rPr>
          <w:rFonts w:asciiTheme="minorHAnsi" w:hAnsiTheme="minorHAnsi" w:cstheme="minorHAnsi"/>
        </w:rPr>
        <w:t xml:space="preserve">, </w:t>
      </w:r>
      <w:r w:rsidRPr="00025B9C">
        <w:rPr>
          <w:rFonts w:asciiTheme="minorHAnsi" w:hAnsiTheme="minorHAnsi" w:cstheme="minorHAnsi"/>
          <w:i/>
        </w:rPr>
        <w:t>41</w:t>
      </w:r>
      <w:r w:rsidRPr="00025B9C">
        <w:rPr>
          <w:rFonts w:asciiTheme="minorHAnsi" w:hAnsiTheme="minorHAnsi" w:cstheme="minorHAnsi"/>
        </w:rPr>
        <w:t>(4), 710</w:t>
      </w:r>
      <w:r w:rsidR="002C36A3" w:rsidRPr="00025B9C">
        <w:rPr>
          <w:rFonts w:asciiTheme="minorHAnsi" w:hAnsiTheme="minorHAnsi" w:cstheme="minorHAnsi"/>
        </w:rPr>
        <w:t>–</w:t>
      </w:r>
      <w:r w:rsidRPr="00025B9C">
        <w:rPr>
          <w:rFonts w:asciiTheme="minorHAnsi" w:hAnsiTheme="minorHAnsi" w:cstheme="minorHAnsi"/>
        </w:rPr>
        <w:t xml:space="preserve">726. </w:t>
      </w:r>
    </w:p>
    <w:p w:rsidR="007201E9" w:rsidRPr="00025B9C" w:rsidRDefault="007201E9" w:rsidP="00D665D9">
      <w:pPr>
        <w:spacing w:line="360" w:lineRule="auto"/>
        <w:ind w:left="720" w:hanging="720"/>
        <w:jc w:val="both"/>
        <w:rPr>
          <w:rFonts w:asciiTheme="minorHAnsi" w:hAnsiTheme="minorHAnsi" w:cstheme="minorHAnsi"/>
          <w:szCs w:val="20"/>
        </w:rPr>
      </w:pPr>
      <w:r w:rsidRPr="00025B9C">
        <w:rPr>
          <w:rFonts w:asciiTheme="minorHAnsi" w:hAnsiTheme="minorHAnsi" w:cstheme="minorHAnsi"/>
          <w:szCs w:val="20"/>
        </w:rPr>
        <w:t xml:space="preserve">Higgs, D. (2003). </w:t>
      </w:r>
      <w:r w:rsidRPr="00025B9C">
        <w:rPr>
          <w:rFonts w:asciiTheme="minorHAnsi" w:hAnsiTheme="minorHAnsi" w:cstheme="minorHAnsi"/>
          <w:i/>
          <w:iCs/>
          <w:szCs w:val="20"/>
        </w:rPr>
        <w:t>Review of the role and effectiveness of non-executive directors</w:t>
      </w:r>
      <w:r w:rsidRPr="00025B9C">
        <w:rPr>
          <w:rFonts w:asciiTheme="minorHAnsi" w:hAnsiTheme="minorHAnsi" w:cstheme="minorHAnsi"/>
          <w:szCs w:val="20"/>
        </w:rPr>
        <w:t>. London: Department of Trade and Industry.</w:t>
      </w:r>
    </w:p>
    <w:p w:rsidR="00C86FDB" w:rsidRPr="00025B9C" w:rsidRDefault="00C86FDB"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Hooghiemstra</w:t>
      </w:r>
      <w:proofErr w:type="spellEnd"/>
      <w:r w:rsidRPr="00025B9C">
        <w:rPr>
          <w:rFonts w:asciiTheme="minorHAnsi" w:hAnsiTheme="minorHAnsi" w:cstheme="minorHAnsi"/>
        </w:rPr>
        <w:t>, R. (2012)</w:t>
      </w:r>
      <w:r w:rsidR="00F77991" w:rsidRPr="00025B9C">
        <w:rPr>
          <w:rFonts w:asciiTheme="minorHAnsi" w:hAnsiTheme="minorHAnsi" w:cstheme="minorHAnsi"/>
        </w:rPr>
        <w:t>.</w:t>
      </w:r>
      <w:r w:rsidRPr="00025B9C">
        <w:rPr>
          <w:rFonts w:asciiTheme="minorHAnsi" w:hAnsiTheme="minorHAnsi" w:cstheme="minorHAnsi"/>
        </w:rPr>
        <w:t xml:space="preserve"> What determines the </w:t>
      </w:r>
      <w:proofErr w:type="spellStart"/>
      <w:r w:rsidRPr="00025B9C">
        <w:rPr>
          <w:rFonts w:asciiTheme="minorHAnsi" w:hAnsiTheme="minorHAnsi" w:cstheme="minorHAnsi"/>
        </w:rPr>
        <w:t>informativeness</w:t>
      </w:r>
      <w:proofErr w:type="spellEnd"/>
      <w:r w:rsidRPr="00025B9C">
        <w:rPr>
          <w:rFonts w:asciiTheme="minorHAnsi" w:hAnsiTheme="minorHAnsi" w:cstheme="minorHAnsi"/>
        </w:rPr>
        <w:t xml:space="preserve"> of firms' explanations for deviations from the Du</w:t>
      </w:r>
      <w:r w:rsidR="00791047" w:rsidRPr="00025B9C">
        <w:rPr>
          <w:rFonts w:asciiTheme="minorHAnsi" w:hAnsiTheme="minorHAnsi" w:cstheme="minorHAnsi"/>
        </w:rPr>
        <w:t>tch corporate governance code?</w:t>
      </w:r>
      <w:r w:rsidRPr="00025B9C">
        <w:rPr>
          <w:rFonts w:asciiTheme="minorHAnsi" w:hAnsiTheme="minorHAnsi" w:cstheme="minorHAnsi"/>
        </w:rPr>
        <w:t xml:space="preserve"> </w:t>
      </w:r>
      <w:r w:rsidRPr="00025B9C">
        <w:rPr>
          <w:rFonts w:asciiTheme="minorHAnsi" w:hAnsiTheme="minorHAnsi" w:cstheme="minorHAnsi"/>
          <w:i/>
          <w:iCs/>
        </w:rPr>
        <w:t>Accounting and Business Research</w:t>
      </w:r>
      <w:r w:rsidRPr="00025B9C">
        <w:rPr>
          <w:rFonts w:asciiTheme="minorHAnsi" w:hAnsiTheme="minorHAnsi" w:cstheme="minorHAnsi"/>
        </w:rPr>
        <w:t xml:space="preserve">, </w:t>
      </w:r>
      <w:r w:rsidRPr="00025B9C">
        <w:rPr>
          <w:rFonts w:asciiTheme="minorHAnsi" w:hAnsiTheme="minorHAnsi" w:cstheme="minorHAnsi"/>
          <w:i/>
        </w:rPr>
        <w:t>42</w:t>
      </w:r>
      <w:r w:rsidRPr="00025B9C">
        <w:rPr>
          <w:rFonts w:asciiTheme="minorHAnsi" w:hAnsiTheme="minorHAnsi" w:cstheme="minorHAnsi"/>
        </w:rPr>
        <w:t>(1), 1</w:t>
      </w:r>
      <w:r w:rsidR="002C36A3" w:rsidRPr="00025B9C">
        <w:rPr>
          <w:rFonts w:asciiTheme="minorHAnsi" w:hAnsiTheme="minorHAnsi" w:cstheme="minorHAnsi"/>
        </w:rPr>
        <w:t>–</w:t>
      </w:r>
      <w:r w:rsidRPr="00025B9C">
        <w:rPr>
          <w:rFonts w:asciiTheme="minorHAnsi" w:hAnsiTheme="minorHAnsi" w:cstheme="minorHAnsi"/>
        </w:rPr>
        <w:t xml:space="preserve">27. </w:t>
      </w:r>
    </w:p>
    <w:p w:rsidR="00CB5A83" w:rsidRPr="00025B9C" w:rsidRDefault="008F1330"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Hooghiemstra</w:t>
      </w:r>
      <w:proofErr w:type="spellEnd"/>
      <w:r w:rsidRPr="00025B9C">
        <w:rPr>
          <w:rFonts w:asciiTheme="minorHAnsi" w:hAnsiTheme="minorHAnsi" w:cstheme="minorHAnsi"/>
        </w:rPr>
        <w:t>, R</w:t>
      </w:r>
      <w:r w:rsidR="00780D26" w:rsidRPr="00025B9C">
        <w:rPr>
          <w:rFonts w:asciiTheme="minorHAnsi" w:hAnsiTheme="minorHAnsi" w:cstheme="minorHAnsi"/>
        </w:rPr>
        <w:t>., &amp;</w:t>
      </w:r>
      <w:r w:rsidRPr="00025B9C">
        <w:rPr>
          <w:rFonts w:asciiTheme="minorHAnsi" w:hAnsiTheme="minorHAnsi" w:cstheme="minorHAnsi"/>
        </w:rPr>
        <w:t xml:space="preserve"> van </w:t>
      </w:r>
      <w:proofErr w:type="spellStart"/>
      <w:r w:rsidRPr="00025B9C">
        <w:rPr>
          <w:rFonts w:asciiTheme="minorHAnsi" w:hAnsiTheme="minorHAnsi" w:cstheme="minorHAnsi"/>
        </w:rPr>
        <w:t>Ees</w:t>
      </w:r>
      <w:proofErr w:type="spellEnd"/>
      <w:r w:rsidR="00C86FDB" w:rsidRPr="00025B9C">
        <w:rPr>
          <w:rFonts w:asciiTheme="minorHAnsi" w:hAnsiTheme="minorHAnsi" w:cstheme="minorHAnsi"/>
        </w:rPr>
        <w:t xml:space="preserve">, </w:t>
      </w:r>
      <w:r w:rsidRPr="00025B9C">
        <w:rPr>
          <w:rFonts w:asciiTheme="minorHAnsi" w:hAnsiTheme="minorHAnsi" w:cstheme="minorHAnsi"/>
        </w:rPr>
        <w:t xml:space="preserve">H. (2011). Uniformity as response to soft law: Evidence from compliance and non‐compliance with the Dutch corporate governance code. </w:t>
      </w:r>
      <w:r w:rsidRPr="00025B9C">
        <w:rPr>
          <w:rFonts w:asciiTheme="minorHAnsi" w:hAnsiTheme="minorHAnsi" w:cstheme="minorHAnsi"/>
          <w:i/>
          <w:iCs/>
        </w:rPr>
        <w:t>Regulation &amp; Governance</w:t>
      </w:r>
      <w:r w:rsidRPr="00025B9C">
        <w:rPr>
          <w:rFonts w:asciiTheme="minorHAnsi" w:hAnsiTheme="minorHAnsi" w:cstheme="minorHAnsi"/>
        </w:rPr>
        <w:t xml:space="preserve">, </w:t>
      </w:r>
      <w:r w:rsidRPr="00025B9C">
        <w:rPr>
          <w:rFonts w:asciiTheme="minorHAnsi" w:hAnsiTheme="minorHAnsi" w:cstheme="minorHAnsi"/>
          <w:i/>
        </w:rPr>
        <w:t>5</w:t>
      </w:r>
      <w:r w:rsidRPr="00025B9C">
        <w:rPr>
          <w:rFonts w:asciiTheme="minorHAnsi" w:hAnsiTheme="minorHAnsi" w:cstheme="minorHAnsi"/>
        </w:rPr>
        <w:t>(4), 480</w:t>
      </w:r>
      <w:r w:rsidR="002C36A3" w:rsidRPr="00025B9C">
        <w:rPr>
          <w:rFonts w:asciiTheme="minorHAnsi" w:hAnsiTheme="minorHAnsi" w:cstheme="minorHAnsi"/>
        </w:rPr>
        <w:t>–</w:t>
      </w:r>
      <w:r w:rsidRPr="00025B9C">
        <w:rPr>
          <w:rFonts w:asciiTheme="minorHAnsi" w:hAnsiTheme="minorHAnsi" w:cstheme="minorHAnsi"/>
        </w:rPr>
        <w:t>498.</w:t>
      </w:r>
    </w:p>
    <w:p w:rsidR="00D14FCA" w:rsidRPr="00025B9C" w:rsidRDefault="00D14FCA"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Jameson, D.</w:t>
      </w:r>
      <w:r w:rsidR="007810F4" w:rsidRPr="00025B9C">
        <w:rPr>
          <w:rFonts w:asciiTheme="minorHAnsi" w:hAnsiTheme="minorHAnsi" w:cstheme="minorHAnsi"/>
        </w:rPr>
        <w:t xml:space="preserve"> </w:t>
      </w:r>
      <w:r w:rsidRPr="00025B9C">
        <w:rPr>
          <w:rFonts w:asciiTheme="minorHAnsi" w:hAnsiTheme="minorHAnsi" w:cstheme="minorHAnsi"/>
        </w:rPr>
        <w:t>A. (2000</w:t>
      </w:r>
      <w:r w:rsidR="00800388" w:rsidRPr="00025B9C">
        <w:rPr>
          <w:rFonts w:asciiTheme="minorHAnsi" w:hAnsiTheme="minorHAnsi" w:cstheme="minorHAnsi"/>
        </w:rPr>
        <w:t>)</w:t>
      </w:r>
      <w:r w:rsidR="00E8356D" w:rsidRPr="00025B9C">
        <w:rPr>
          <w:rFonts w:asciiTheme="minorHAnsi" w:hAnsiTheme="minorHAnsi" w:cstheme="minorHAnsi"/>
        </w:rPr>
        <w:t>.</w:t>
      </w:r>
      <w:r w:rsidRPr="00025B9C">
        <w:rPr>
          <w:rFonts w:asciiTheme="minorHAnsi" w:hAnsiTheme="minorHAnsi" w:cstheme="minorHAnsi"/>
        </w:rPr>
        <w:t xml:space="preserve"> Telling the investment story: A narrative analysis of shareholder reports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The Journal of Business Communication</w:t>
      </w:r>
      <w:r w:rsidRPr="00025B9C">
        <w:rPr>
          <w:rFonts w:asciiTheme="minorHAnsi" w:hAnsiTheme="minorHAnsi" w:cstheme="minorHAnsi"/>
        </w:rPr>
        <w:t>,</w:t>
      </w:r>
      <w:r w:rsidR="00114076" w:rsidRPr="00025B9C">
        <w:rPr>
          <w:rFonts w:asciiTheme="minorHAnsi" w:hAnsiTheme="minorHAnsi" w:cstheme="minorHAnsi"/>
        </w:rPr>
        <w:t xml:space="preserve"> </w:t>
      </w:r>
      <w:r w:rsidRPr="00025B9C">
        <w:rPr>
          <w:rFonts w:asciiTheme="minorHAnsi" w:hAnsiTheme="minorHAnsi" w:cstheme="minorHAnsi"/>
          <w:i/>
        </w:rPr>
        <w:t>37</w:t>
      </w:r>
      <w:r w:rsidR="00E8356D" w:rsidRPr="00025B9C">
        <w:rPr>
          <w:rFonts w:asciiTheme="minorHAnsi" w:hAnsiTheme="minorHAnsi" w:cstheme="minorHAnsi"/>
        </w:rPr>
        <w:t>(</w:t>
      </w:r>
      <w:r w:rsidR="00114076" w:rsidRPr="00025B9C">
        <w:rPr>
          <w:rFonts w:asciiTheme="minorHAnsi" w:hAnsiTheme="minorHAnsi" w:cstheme="minorHAnsi"/>
        </w:rPr>
        <w:t>1</w:t>
      </w:r>
      <w:r w:rsidR="00E8356D" w:rsidRPr="00025B9C">
        <w:rPr>
          <w:rFonts w:asciiTheme="minorHAnsi" w:hAnsiTheme="minorHAnsi" w:cstheme="minorHAnsi"/>
        </w:rPr>
        <w:t>)</w:t>
      </w:r>
      <w:r w:rsidRPr="00025B9C">
        <w:rPr>
          <w:rFonts w:asciiTheme="minorHAnsi" w:hAnsiTheme="minorHAnsi" w:cstheme="minorHAnsi"/>
        </w:rPr>
        <w:t>, 7</w:t>
      </w:r>
      <w:r w:rsidR="002C36A3" w:rsidRPr="00025B9C">
        <w:rPr>
          <w:rFonts w:asciiTheme="minorHAnsi" w:hAnsiTheme="minorHAnsi" w:cstheme="minorHAnsi"/>
        </w:rPr>
        <w:t>–</w:t>
      </w:r>
      <w:r w:rsidRPr="00025B9C">
        <w:rPr>
          <w:rFonts w:asciiTheme="minorHAnsi" w:hAnsiTheme="minorHAnsi" w:cstheme="minorHAnsi"/>
        </w:rPr>
        <w:t>38.</w:t>
      </w:r>
    </w:p>
    <w:p w:rsidR="0000049A" w:rsidRPr="00025B9C" w:rsidRDefault="00D14FCA" w:rsidP="00F84B31">
      <w:pPr>
        <w:spacing w:line="360" w:lineRule="auto"/>
        <w:ind w:left="720" w:hanging="720"/>
        <w:jc w:val="both"/>
        <w:rPr>
          <w:rFonts w:asciiTheme="minorHAnsi" w:hAnsiTheme="minorHAnsi" w:cstheme="minorHAnsi"/>
        </w:rPr>
      </w:pPr>
      <w:r w:rsidRPr="00025B9C">
        <w:rPr>
          <w:rFonts w:asciiTheme="minorHAnsi" w:hAnsiTheme="minorHAnsi" w:cstheme="minorHAnsi"/>
        </w:rPr>
        <w:t>Jones, E</w:t>
      </w:r>
      <w:r w:rsidR="00780D26" w:rsidRPr="00025B9C">
        <w:rPr>
          <w:rFonts w:asciiTheme="minorHAnsi" w:hAnsiTheme="minorHAnsi" w:cstheme="minorHAnsi"/>
        </w:rPr>
        <w:t>., &amp;</w:t>
      </w:r>
      <w:r w:rsidRPr="00025B9C">
        <w:rPr>
          <w:rFonts w:asciiTheme="minorHAnsi" w:hAnsiTheme="minorHAnsi" w:cstheme="minorHAnsi"/>
        </w:rPr>
        <w:t xml:space="preserve"> Pittman, T. (1982</w:t>
      </w:r>
      <w:r w:rsidR="00800388" w:rsidRPr="00025B9C">
        <w:rPr>
          <w:rFonts w:asciiTheme="minorHAnsi" w:hAnsiTheme="minorHAnsi" w:cstheme="minorHAnsi"/>
        </w:rPr>
        <w:t>)</w:t>
      </w:r>
      <w:r w:rsidR="00E8356D" w:rsidRPr="00025B9C">
        <w:rPr>
          <w:rFonts w:asciiTheme="minorHAnsi" w:hAnsiTheme="minorHAnsi" w:cstheme="minorHAnsi"/>
        </w:rPr>
        <w:t>.</w:t>
      </w:r>
      <w:r w:rsidRPr="00025B9C">
        <w:rPr>
          <w:rFonts w:asciiTheme="minorHAnsi" w:hAnsiTheme="minorHAnsi" w:cstheme="minorHAnsi"/>
        </w:rPr>
        <w:t xml:space="preserve"> Toward a general theory</w:t>
      </w:r>
      <w:r w:rsidR="00791047" w:rsidRPr="00025B9C">
        <w:rPr>
          <w:rFonts w:asciiTheme="minorHAnsi" w:hAnsiTheme="minorHAnsi" w:cstheme="minorHAnsi"/>
        </w:rPr>
        <w:t xml:space="preserve"> of strategic self</w:t>
      </w:r>
      <w:r w:rsidR="00AE6B87" w:rsidRPr="00025B9C">
        <w:rPr>
          <w:rFonts w:asciiTheme="minorHAnsi" w:hAnsiTheme="minorHAnsi" w:cstheme="minorHAnsi"/>
        </w:rPr>
        <w:t>-</w:t>
      </w:r>
      <w:r w:rsidR="00791047" w:rsidRPr="00025B9C">
        <w:rPr>
          <w:rFonts w:asciiTheme="minorHAnsi" w:hAnsiTheme="minorHAnsi" w:cstheme="minorHAnsi"/>
        </w:rPr>
        <w:t>presentation.</w:t>
      </w:r>
      <w:r w:rsidRPr="00025B9C">
        <w:rPr>
          <w:rFonts w:asciiTheme="minorHAnsi" w:hAnsiTheme="minorHAnsi" w:cstheme="minorHAnsi"/>
        </w:rPr>
        <w:t xml:space="preserve"> </w:t>
      </w:r>
      <w:r w:rsidR="00E8356D" w:rsidRPr="00025B9C">
        <w:rPr>
          <w:rFonts w:asciiTheme="minorHAnsi" w:hAnsiTheme="minorHAnsi" w:cstheme="minorHAnsi"/>
        </w:rPr>
        <w:t>I</w:t>
      </w:r>
      <w:r w:rsidRPr="00025B9C">
        <w:rPr>
          <w:rFonts w:asciiTheme="minorHAnsi" w:hAnsiTheme="minorHAnsi" w:cstheme="minorHAnsi"/>
        </w:rPr>
        <w:t xml:space="preserve">n J. </w:t>
      </w:r>
      <w:proofErr w:type="spellStart"/>
      <w:r w:rsidRPr="00025B9C">
        <w:rPr>
          <w:rFonts w:asciiTheme="minorHAnsi" w:hAnsiTheme="minorHAnsi" w:cstheme="minorHAnsi"/>
        </w:rPr>
        <w:t>Suls</w:t>
      </w:r>
      <w:proofErr w:type="spellEnd"/>
      <w:r w:rsidRPr="00025B9C">
        <w:rPr>
          <w:rFonts w:asciiTheme="minorHAnsi" w:hAnsiTheme="minorHAnsi" w:cstheme="minorHAnsi"/>
        </w:rPr>
        <w:t xml:space="preserve"> (Ed</w:t>
      </w:r>
      <w:r w:rsidR="00D4548E" w:rsidRPr="00025B9C">
        <w:rPr>
          <w:rFonts w:asciiTheme="minorHAnsi" w:hAnsiTheme="minorHAnsi" w:cstheme="minorHAnsi"/>
        </w:rPr>
        <w:t>.</w:t>
      </w:r>
      <w:r w:rsidRPr="00025B9C">
        <w:rPr>
          <w:rFonts w:asciiTheme="minorHAnsi" w:hAnsiTheme="minorHAnsi" w:cstheme="minorHAnsi"/>
        </w:rPr>
        <w:t>)</w:t>
      </w:r>
      <w:r w:rsidR="00374655"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Psychological </w:t>
      </w:r>
      <w:r w:rsidR="00A5574F" w:rsidRPr="00025B9C">
        <w:rPr>
          <w:rFonts w:asciiTheme="minorHAnsi" w:hAnsiTheme="minorHAnsi" w:cstheme="minorHAnsi"/>
          <w:i/>
        </w:rPr>
        <w:t>perspectives on the self</w:t>
      </w:r>
      <w:r w:rsidR="008C18DC" w:rsidRPr="00025B9C">
        <w:rPr>
          <w:rFonts w:asciiTheme="minorHAnsi" w:hAnsiTheme="minorHAnsi" w:cstheme="minorHAnsi"/>
          <w:i/>
        </w:rPr>
        <w:t xml:space="preserve"> </w:t>
      </w:r>
      <w:r w:rsidR="008C18DC" w:rsidRPr="00025B9C">
        <w:rPr>
          <w:rFonts w:asciiTheme="minorHAnsi" w:hAnsiTheme="minorHAnsi" w:cstheme="minorHAnsi"/>
        </w:rPr>
        <w:t>(pp. 231-262)</w:t>
      </w:r>
      <w:r w:rsidR="00A5574F" w:rsidRPr="00025B9C">
        <w:rPr>
          <w:rFonts w:asciiTheme="minorHAnsi" w:hAnsiTheme="minorHAnsi" w:cstheme="minorHAnsi"/>
        </w:rPr>
        <w:t>. Hillsdale, NJ: Lawrence Erlbaum Associates</w:t>
      </w:r>
      <w:r w:rsidR="0000049A" w:rsidRPr="00025B9C">
        <w:rPr>
          <w:rFonts w:asciiTheme="minorHAnsi" w:hAnsiTheme="minorHAnsi" w:cstheme="minorHAnsi"/>
        </w:rPr>
        <w:t>.</w:t>
      </w:r>
    </w:p>
    <w:p w:rsidR="0000049A" w:rsidRPr="00025B9C" w:rsidRDefault="0000049A" w:rsidP="00F84B31">
      <w:pPr>
        <w:spacing w:line="360" w:lineRule="auto"/>
        <w:ind w:left="720" w:hanging="720"/>
        <w:jc w:val="both"/>
        <w:rPr>
          <w:rFonts w:asciiTheme="minorHAnsi" w:hAnsiTheme="minorHAnsi" w:cstheme="minorHAnsi"/>
          <w:lang w:val="en-IE" w:eastAsia="en-IE"/>
        </w:rPr>
      </w:pPr>
      <w:proofErr w:type="spellStart"/>
      <w:r w:rsidRPr="00025B9C">
        <w:rPr>
          <w:rFonts w:asciiTheme="minorHAnsi" w:hAnsiTheme="minorHAnsi" w:cstheme="minorHAnsi"/>
          <w:lang w:val="en-IE" w:eastAsia="en-IE"/>
        </w:rPr>
        <w:t>Kamla</w:t>
      </w:r>
      <w:proofErr w:type="spellEnd"/>
      <w:r w:rsidRPr="00025B9C">
        <w:rPr>
          <w:rFonts w:asciiTheme="minorHAnsi" w:hAnsiTheme="minorHAnsi" w:cstheme="minorHAnsi"/>
          <w:lang w:val="en-IE" w:eastAsia="en-IE"/>
        </w:rPr>
        <w:t>, R</w:t>
      </w:r>
      <w:r w:rsidR="00780D26" w:rsidRPr="00025B9C">
        <w:rPr>
          <w:rFonts w:asciiTheme="minorHAnsi" w:hAnsiTheme="minorHAnsi" w:cstheme="minorHAnsi"/>
          <w:lang w:val="en-IE" w:eastAsia="en-IE"/>
        </w:rPr>
        <w:t>., &amp;</w:t>
      </w:r>
      <w:r w:rsidRPr="00025B9C">
        <w:rPr>
          <w:rFonts w:asciiTheme="minorHAnsi" w:hAnsiTheme="minorHAnsi" w:cstheme="minorHAnsi"/>
          <w:lang w:eastAsia="en-IE"/>
        </w:rPr>
        <w:t xml:space="preserve"> </w:t>
      </w:r>
      <w:proofErr w:type="spellStart"/>
      <w:r w:rsidRPr="00025B9C">
        <w:rPr>
          <w:rFonts w:asciiTheme="minorHAnsi" w:hAnsiTheme="minorHAnsi" w:cstheme="minorHAnsi"/>
          <w:lang w:val="en-IE" w:eastAsia="en-IE"/>
        </w:rPr>
        <w:t>Rammal</w:t>
      </w:r>
      <w:proofErr w:type="spellEnd"/>
      <w:r w:rsidRPr="00025B9C">
        <w:rPr>
          <w:rFonts w:asciiTheme="minorHAnsi" w:hAnsiTheme="minorHAnsi" w:cstheme="minorHAnsi"/>
          <w:lang w:val="en-IE" w:eastAsia="en-IE"/>
        </w:rPr>
        <w:t>, H. G. (2013)</w:t>
      </w:r>
      <w:r w:rsidR="008257F0" w:rsidRPr="00025B9C">
        <w:rPr>
          <w:rFonts w:asciiTheme="minorHAnsi" w:hAnsiTheme="minorHAnsi" w:cstheme="minorHAnsi"/>
          <w:lang w:val="en-IE" w:eastAsia="en-IE"/>
        </w:rPr>
        <w:t>.</w:t>
      </w:r>
      <w:r w:rsidRPr="00025B9C">
        <w:rPr>
          <w:rFonts w:asciiTheme="minorHAnsi" w:hAnsiTheme="minorHAnsi" w:cstheme="minorHAnsi"/>
          <w:lang w:val="en-IE" w:eastAsia="en-IE"/>
        </w:rPr>
        <w:t xml:space="preserve"> Social reporting by Islamic banks: does social justice matter? </w:t>
      </w:r>
      <w:r w:rsidRPr="00025B9C">
        <w:rPr>
          <w:rFonts w:asciiTheme="minorHAnsi" w:hAnsiTheme="minorHAnsi" w:cstheme="minorHAnsi"/>
          <w:i/>
          <w:iCs/>
          <w:lang w:val="en-IE" w:eastAsia="en-IE"/>
        </w:rPr>
        <w:t>Accounting, Auditing &amp; Accountability Journal</w:t>
      </w:r>
      <w:r w:rsidRPr="00025B9C">
        <w:rPr>
          <w:rFonts w:asciiTheme="minorHAnsi" w:hAnsiTheme="minorHAnsi" w:cstheme="minorHAnsi"/>
          <w:lang w:eastAsia="en-IE"/>
        </w:rPr>
        <w:t xml:space="preserve">, </w:t>
      </w:r>
      <w:r w:rsidRPr="00025B9C">
        <w:rPr>
          <w:rFonts w:asciiTheme="minorHAnsi" w:hAnsiTheme="minorHAnsi" w:cstheme="minorHAnsi"/>
          <w:i/>
          <w:lang w:val="en-IE" w:eastAsia="en-IE"/>
        </w:rPr>
        <w:t>26</w:t>
      </w:r>
      <w:r w:rsidRPr="00025B9C">
        <w:rPr>
          <w:rFonts w:asciiTheme="minorHAnsi" w:hAnsiTheme="minorHAnsi" w:cstheme="minorHAnsi"/>
          <w:lang w:val="en-IE" w:eastAsia="en-IE"/>
        </w:rPr>
        <w:t>(6), 911</w:t>
      </w:r>
      <w:r w:rsidR="002C36A3" w:rsidRPr="00025B9C">
        <w:rPr>
          <w:rFonts w:asciiTheme="minorHAnsi" w:hAnsiTheme="minorHAnsi" w:cstheme="minorHAnsi"/>
        </w:rPr>
        <w:t>–</w:t>
      </w:r>
      <w:r w:rsidRPr="00025B9C">
        <w:rPr>
          <w:rFonts w:asciiTheme="minorHAnsi" w:hAnsiTheme="minorHAnsi" w:cstheme="minorHAnsi"/>
          <w:lang w:val="en-IE" w:eastAsia="en-IE"/>
        </w:rPr>
        <w:t>945.</w:t>
      </w:r>
    </w:p>
    <w:p w:rsidR="00F84B31" w:rsidRPr="00025B9C" w:rsidRDefault="00F84B31" w:rsidP="00F84B31">
      <w:pPr>
        <w:spacing w:line="360" w:lineRule="auto"/>
        <w:ind w:left="720" w:hanging="720"/>
        <w:jc w:val="both"/>
        <w:rPr>
          <w:rFonts w:asciiTheme="minorHAnsi" w:hAnsiTheme="minorHAnsi" w:cstheme="minorHAnsi"/>
          <w:bdr w:val="none" w:sz="0" w:space="0" w:color="auto" w:frame="1"/>
          <w:shd w:val="clear" w:color="auto" w:fill="FFFFFF"/>
        </w:rPr>
      </w:pPr>
      <w:r w:rsidRPr="00025B9C">
        <w:rPr>
          <w:rFonts w:asciiTheme="minorHAnsi" w:hAnsiTheme="minorHAnsi" w:cstheme="minorHAnsi"/>
          <w:lang w:val="en-IE" w:eastAsia="en-IE"/>
        </w:rPr>
        <w:t xml:space="preserve">Kay, W. (1992). </w:t>
      </w:r>
      <w:r w:rsidRPr="00025B9C">
        <w:rPr>
          <w:rStyle w:val="ssl0"/>
          <w:rFonts w:asciiTheme="minorHAnsi" w:hAnsiTheme="minorHAnsi" w:cstheme="minorHAnsi"/>
          <w:bdr w:val="none" w:sz="0" w:space="0" w:color="auto" w:frame="1"/>
          <w:shd w:val="clear" w:color="auto" w:fill="FFFFFF"/>
        </w:rPr>
        <w:t xml:space="preserve">Tracking high-flying entrepreneurs inflates risks for shareholders, </w:t>
      </w:r>
      <w:r w:rsidRPr="00025B9C">
        <w:rPr>
          <w:rFonts w:asciiTheme="minorHAnsi" w:hAnsiTheme="minorHAnsi" w:cstheme="minorHAnsi"/>
          <w:i/>
          <w:bdr w:val="none" w:sz="0" w:space="0" w:color="auto" w:frame="1"/>
          <w:shd w:val="clear" w:color="auto" w:fill="FFFFFF"/>
        </w:rPr>
        <w:t>The Times</w:t>
      </w:r>
      <w:r w:rsidRPr="00025B9C">
        <w:rPr>
          <w:rFonts w:asciiTheme="minorHAnsi" w:hAnsiTheme="minorHAnsi" w:cstheme="minorHAnsi"/>
          <w:bdr w:val="none" w:sz="0" w:space="0" w:color="auto" w:frame="1"/>
          <w:shd w:val="clear" w:color="auto" w:fill="FFFFFF"/>
        </w:rPr>
        <w:t>, 10 December 1992.</w:t>
      </w:r>
    </w:p>
    <w:p w:rsidR="00005162" w:rsidRPr="00025B9C" w:rsidRDefault="002B4C54" w:rsidP="00F84B31">
      <w:pPr>
        <w:spacing w:line="360" w:lineRule="auto"/>
        <w:ind w:left="720" w:hanging="720"/>
        <w:jc w:val="both"/>
        <w:rPr>
          <w:rFonts w:asciiTheme="minorHAnsi" w:hAnsiTheme="minorHAnsi" w:cstheme="minorHAnsi"/>
          <w:bdr w:val="none" w:sz="0" w:space="0" w:color="auto" w:frame="1"/>
          <w:shd w:val="clear" w:color="auto" w:fill="FFFFFF"/>
        </w:rPr>
      </w:pPr>
      <w:proofErr w:type="spellStart"/>
      <w:r w:rsidRPr="00025B9C">
        <w:rPr>
          <w:rFonts w:asciiTheme="minorHAnsi" w:hAnsiTheme="minorHAnsi" w:cstheme="minorHAnsi"/>
        </w:rPr>
        <w:t>Keay</w:t>
      </w:r>
      <w:proofErr w:type="spellEnd"/>
      <w:r w:rsidRPr="00025B9C">
        <w:rPr>
          <w:rFonts w:asciiTheme="minorHAnsi" w:hAnsiTheme="minorHAnsi" w:cstheme="minorHAnsi"/>
        </w:rPr>
        <w:t xml:space="preserve">, A. (2014). Comply or explain in corporate governance codes: In need </w:t>
      </w:r>
      <w:r w:rsidR="00A5574F" w:rsidRPr="00025B9C">
        <w:rPr>
          <w:rFonts w:asciiTheme="minorHAnsi" w:hAnsiTheme="minorHAnsi" w:cstheme="minorHAnsi"/>
        </w:rPr>
        <w:t>of greater regulatory oversight.</w:t>
      </w:r>
      <w:r w:rsidRPr="00025B9C">
        <w:rPr>
          <w:rFonts w:asciiTheme="minorHAnsi" w:hAnsiTheme="minorHAnsi" w:cstheme="minorHAnsi"/>
        </w:rPr>
        <w:t xml:space="preserve"> </w:t>
      </w:r>
      <w:r w:rsidRPr="00025B9C">
        <w:rPr>
          <w:rFonts w:asciiTheme="minorHAnsi" w:hAnsiTheme="minorHAnsi" w:cstheme="minorHAnsi"/>
          <w:i/>
        </w:rPr>
        <w:t>Legal Studies</w:t>
      </w:r>
      <w:r w:rsidRPr="00025B9C">
        <w:rPr>
          <w:rFonts w:asciiTheme="minorHAnsi" w:hAnsiTheme="minorHAnsi" w:cstheme="minorHAnsi"/>
        </w:rPr>
        <w:t xml:space="preserve">, </w:t>
      </w:r>
      <w:r w:rsidRPr="00025B9C">
        <w:rPr>
          <w:rFonts w:asciiTheme="minorHAnsi" w:hAnsiTheme="minorHAnsi" w:cstheme="minorHAnsi"/>
          <w:i/>
        </w:rPr>
        <w:t>34</w:t>
      </w:r>
      <w:r w:rsidRPr="00025B9C">
        <w:rPr>
          <w:rFonts w:asciiTheme="minorHAnsi" w:hAnsiTheme="minorHAnsi" w:cstheme="minorHAnsi"/>
        </w:rPr>
        <w:t>(2)</w:t>
      </w:r>
      <w:r w:rsidR="006C286B" w:rsidRPr="00025B9C">
        <w:rPr>
          <w:rFonts w:asciiTheme="minorHAnsi" w:hAnsiTheme="minorHAnsi" w:cstheme="minorHAnsi"/>
        </w:rPr>
        <w:t>,</w:t>
      </w:r>
      <w:r w:rsidRPr="00025B9C">
        <w:rPr>
          <w:rFonts w:asciiTheme="minorHAnsi" w:hAnsiTheme="minorHAnsi" w:cstheme="minorHAnsi"/>
        </w:rPr>
        <w:t xml:space="preserve"> 279</w:t>
      </w:r>
      <w:r w:rsidR="002C36A3" w:rsidRPr="00025B9C">
        <w:rPr>
          <w:rFonts w:asciiTheme="minorHAnsi" w:hAnsiTheme="minorHAnsi" w:cstheme="minorHAnsi"/>
        </w:rPr>
        <w:t>–</w:t>
      </w:r>
      <w:r w:rsidR="00005162" w:rsidRPr="00025B9C">
        <w:rPr>
          <w:rFonts w:asciiTheme="minorHAnsi" w:hAnsiTheme="minorHAnsi" w:cstheme="minorHAnsi"/>
        </w:rPr>
        <w:t>304.</w:t>
      </w:r>
    </w:p>
    <w:p w:rsidR="0020658B" w:rsidRPr="00025B9C" w:rsidRDefault="0020658B" w:rsidP="00005162">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Keil</w:t>
      </w:r>
      <w:proofErr w:type="spellEnd"/>
      <w:r w:rsidRPr="00025B9C">
        <w:rPr>
          <w:rFonts w:asciiTheme="minorHAnsi" w:hAnsiTheme="minorHAnsi" w:cstheme="minorHAnsi"/>
        </w:rPr>
        <w:t>, F.</w:t>
      </w:r>
      <w:r w:rsidR="007810F4" w:rsidRPr="00025B9C">
        <w:rPr>
          <w:rFonts w:asciiTheme="minorHAnsi" w:hAnsiTheme="minorHAnsi" w:cstheme="minorHAnsi"/>
        </w:rPr>
        <w:t xml:space="preserve"> </w:t>
      </w:r>
      <w:r w:rsidR="00962C3E" w:rsidRPr="00025B9C">
        <w:rPr>
          <w:rFonts w:asciiTheme="minorHAnsi" w:hAnsiTheme="minorHAnsi" w:cstheme="minorHAnsi"/>
        </w:rPr>
        <w:t>C. (2006). Explanation and u</w:t>
      </w:r>
      <w:r w:rsidRPr="00025B9C">
        <w:rPr>
          <w:rFonts w:asciiTheme="minorHAnsi" w:hAnsiTheme="minorHAnsi" w:cstheme="minorHAnsi"/>
        </w:rPr>
        <w:t xml:space="preserve">nderstanding, </w:t>
      </w:r>
      <w:r w:rsidRPr="00025B9C">
        <w:rPr>
          <w:rFonts w:asciiTheme="minorHAnsi" w:hAnsiTheme="minorHAnsi" w:cstheme="minorHAnsi"/>
          <w:i/>
        </w:rPr>
        <w:t>Annual Review of Psychology, 57</w:t>
      </w:r>
      <w:r w:rsidRPr="00025B9C">
        <w:rPr>
          <w:rFonts w:asciiTheme="minorHAnsi" w:hAnsiTheme="minorHAnsi" w:cstheme="minorHAnsi"/>
        </w:rPr>
        <w:t>, 227–254.</w:t>
      </w:r>
    </w:p>
    <w:p w:rsidR="00005162" w:rsidRPr="00025B9C" w:rsidRDefault="00005162" w:rsidP="00005162">
      <w:pPr>
        <w:spacing w:line="360" w:lineRule="auto"/>
        <w:ind w:left="720" w:hanging="720"/>
        <w:jc w:val="both"/>
        <w:rPr>
          <w:rFonts w:asciiTheme="minorHAnsi" w:hAnsiTheme="minorHAnsi" w:cstheme="minorHAnsi"/>
        </w:rPr>
      </w:pPr>
      <w:r w:rsidRPr="00025B9C">
        <w:rPr>
          <w:rFonts w:asciiTheme="minorHAnsi" w:eastAsia="Calibri" w:hAnsiTheme="minorHAnsi" w:cstheme="minorHAnsi"/>
          <w:lang w:eastAsia="en-IE"/>
        </w:rPr>
        <w:t xml:space="preserve">Kennedy, G. A. (1991). </w:t>
      </w:r>
      <w:r w:rsidRPr="00025B9C">
        <w:rPr>
          <w:rFonts w:asciiTheme="minorHAnsi" w:eastAsia="Calibri" w:hAnsiTheme="minorHAnsi" w:cstheme="minorHAnsi"/>
          <w:i/>
          <w:lang w:eastAsia="en-IE"/>
        </w:rPr>
        <w:t>Aristotle on rhetoric. A theory of</w:t>
      </w:r>
      <w:r w:rsidRPr="00025B9C">
        <w:rPr>
          <w:rFonts w:asciiTheme="minorHAnsi" w:hAnsiTheme="minorHAnsi" w:cstheme="minorHAnsi"/>
          <w:i/>
        </w:rPr>
        <w:t xml:space="preserve"> </w:t>
      </w:r>
      <w:r w:rsidRPr="00025B9C">
        <w:rPr>
          <w:rFonts w:asciiTheme="minorHAnsi" w:eastAsia="Calibri" w:hAnsiTheme="minorHAnsi" w:cstheme="minorHAnsi"/>
          <w:i/>
          <w:lang w:eastAsia="en-IE"/>
        </w:rPr>
        <w:t>civic discourse</w:t>
      </w:r>
      <w:r w:rsidRPr="00025B9C">
        <w:rPr>
          <w:rFonts w:asciiTheme="minorHAnsi" w:eastAsia="Calibri" w:hAnsiTheme="minorHAnsi" w:cstheme="minorHAnsi"/>
          <w:lang w:eastAsia="en-IE"/>
        </w:rPr>
        <w:t>. Oxford: Oxford University Press.</w:t>
      </w:r>
    </w:p>
    <w:p w:rsidR="009F0468" w:rsidRPr="00025B9C" w:rsidRDefault="00EC0734" w:rsidP="00005162">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Lauf</w:t>
      </w:r>
      <w:r w:rsidR="009F0468" w:rsidRPr="00025B9C">
        <w:rPr>
          <w:rFonts w:asciiTheme="minorHAnsi" w:hAnsiTheme="minorHAnsi" w:cstheme="minorHAnsi"/>
        </w:rPr>
        <w:t>er</w:t>
      </w:r>
      <w:proofErr w:type="spellEnd"/>
      <w:r w:rsidR="009F0468" w:rsidRPr="00025B9C">
        <w:rPr>
          <w:rFonts w:asciiTheme="minorHAnsi" w:hAnsiTheme="minorHAnsi" w:cstheme="minorHAnsi"/>
        </w:rPr>
        <w:t>, W.</w:t>
      </w:r>
      <w:r w:rsidR="00A5574F" w:rsidRPr="00025B9C">
        <w:rPr>
          <w:rFonts w:asciiTheme="minorHAnsi" w:hAnsiTheme="minorHAnsi" w:cstheme="minorHAnsi"/>
        </w:rPr>
        <w:t xml:space="preserve"> </w:t>
      </w:r>
      <w:r w:rsidR="009F0468" w:rsidRPr="00025B9C">
        <w:rPr>
          <w:rFonts w:asciiTheme="minorHAnsi" w:hAnsiTheme="minorHAnsi" w:cstheme="minorHAnsi"/>
        </w:rPr>
        <w:t xml:space="preserve">S. (2006). Illusions of compliance and governance. </w:t>
      </w:r>
      <w:r w:rsidR="009F0468" w:rsidRPr="00025B9C">
        <w:rPr>
          <w:rFonts w:asciiTheme="minorHAnsi" w:hAnsiTheme="minorHAnsi" w:cstheme="minorHAnsi"/>
          <w:i/>
        </w:rPr>
        <w:t xml:space="preserve">Corporate Governance: The </w:t>
      </w:r>
      <w:r w:rsidR="007366CB" w:rsidRPr="00025B9C">
        <w:rPr>
          <w:rFonts w:asciiTheme="minorHAnsi" w:hAnsiTheme="minorHAnsi" w:cstheme="minorHAnsi"/>
          <w:i/>
        </w:rPr>
        <w:t>I</w:t>
      </w:r>
      <w:r w:rsidR="009F0468" w:rsidRPr="00025B9C">
        <w:rPr>
          <w:rFonts w:asciiTheme="minorHAnsi" w:hAnsiTheme="minorHAnsi" w:cstheme="minorHAnsi"/>
          <w:i/>
        </w:rPr>
        <w:t xml:space="preserve">nternational </w:t>
      </w:r>
      <w:r w:rsidR="007366CB" w:rsidRPr="00025B9C">
        <w:rPr>
          <w:rFonts w:asciiTheme="minorHAnsi" w:hAnsiTheme="minorHAnsi" w:cstheme="minorHAnsi"/>
          <w:i/>
        </w:rPr>
        <w:t>J</w:t>
      </w:r>
      <w:r w:rsidR="009F0468" w:rsidRPr="00025B9C">
        <w:rPr>
          <w:rFonts w:asciiTheme="minorHAnsi" w:hAnsiTheme="minorHAnsi" w:cstheme="minorHAnsi"/>
          <w:i/>
        </w:rPr>
        <w:t xml:space="preserve">ournal of </w:t>
      </w:r>
      <w:r w:rsidR="007366CB" w:rsidRPr="00025B9C">
        <w:rPr>
          <w:rFonts w:asciiTheme="minorHAnsi" w:hAnsiTheme="minorHAnsi" w:cstheme="minorHAnsi"/>
          <w:i/>
        </w:rPr>
        <w:t>B</w:t>
      </w:r>
      <w:r w:rsidR="009F0468" w:rsidRPr="00025B9C">
        <w:rPr>
          <w:rFonts w:asciiTheme="minorHAnsi" w:hAnsiTheme="minorHAnsi" w:cstheme="minorHAnsi"/>
          <w:i/>
        </w:rPr>
        <w:t xml:space="preserve">usiness in </w:t>
      </w:r>
      <w:r w:rsidR="007366CB" w:rsidRPr="00025B9C">
        <w:rPr>
          <w:rFonts w:asciiTheme="minorHAnsi" w:hAnsiTheme="minorHAnsi" w:cstheme="minorHAnsi"/>
          <w:i/>
        </w:rPr>
        <w:t>S</w:t>
      </w:r>
      <w:r w:rsidR="009F0468" w:rsidRPr="00025B9C">
        <w:rPr>
          <w:rFonts w:asciiTheme="minorHAnsi" w:hAnsiTheme="minorHAnsi" w:cstheme="minorHAnsi"/>
          <w:i/>
        </w:rPr>
        <w:t>ociety</w:t>
      </w:r>
      <w:r w:rsidR="006C286B" w:rsidRPr="00025B9C">
        <w:rPr>
          <w:rFonts w:asciiTheme="minorHAnsi" w:hAnsiTheme="minorHAnsi" w:cstheme="minorHAnsi"/>
          <w:i/>
        </w:rPr>
        <w:t>,</w:t>
      </w:r>
      <w:r w:rsidR="007366CB" w:rsidRPr="00025B9C">
        <w:rPr>
          <w:rFonts w:asciiTheme="minorHAnsi" w:hAnsiTheme="minorHAnsi" w:cstheme="minorHAnsi"/>
          <w:i/>
        </w:rPr>
        <w:t xml:space="preserve"> 6</w:t>
      </w:r>
      <w:r w:rsidR="007366CB" w:rsidRPr="00025B9C">
        <w:rPr>
          <w:rFonts w:asciiTheme="minorHAnsi" w:hAnsiTheme="minorHAnsi" w:cstheme="minorHAnsi"/>
        </w:rPr>
        <w:t>(3), 239</w:t>
      </w:r>
      <w:r w:rsidR="002C36A3" w:rsidRPr="00025B9C">
        <w:rPr>
          <w:rFonts w:asciiTheme="minorHAnsi" w:hAnsiTheme="minorHAnsi" w:cstheme="minorHAnsi"/>
        </w:rPr>
        <w:t>–</w:t>
      </w:r>
      <w:r w:rsidR="007366CB" w:rsidRPr="00025B9C">
        <w:rPr>
          <w:rFonts w:asciiTheme="minorHAnsi" w:hAnsiTheme="minorHAnsi" w:cstheme="minorHAnsi"/>
        </w:rPr>
        <w:t>249.</w:t>
      </w:r>
    </w:p>
    <w:p w:rsidR="007810F4" w:rsidRPr="00025B9C" w:rsidRDefault="007810F4" w:rsidP="009167A5">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MacNeil</w:t>
      </w:r>
      <w:proofErr w:type="spellEnd"/>
      <w:r w:rsidRPr="00025B9C">
        <w:rPr>
          <w:rFonts w:asciiTheme="minorHAnsi" w:hAnsiTheme="minorHAnsi" w:cstheme="minorHAnsi"/>
        </w:rPr>
        <w:t xml:space="preserve">, I., &amp; Li, X. (2006). </w:t>
      </w:r>
      <w:r w:rsidR="006808ED" w:rsidRPr="00025B9C">
        <w:rPr>
          <w:rFonts w:asciiTheme="minorHAnsi" w:hAnsiTheme="minorHAnsi" w:cstheme="minorHAnsi"/>
        </w:rPr>
        <w:t>‘</w:t>
      </w:r>
      <w:r w:rsidR="00962C3E" w:rsidRPr="00025B9C">
        <w:rPr>
          <w:rFonts w:asciiTheme="minorHAnsi" w:hAnsiTheme="minorHAnsi" w:cstheme="minorHAnsi"/>
        </w:rPr>
        <w:t>Comply or e</w:t>
      </w:r>
      <w:r w:rsidRPr="00025B9C">
        <w:rPr>
          <w:rFonts w:asciiTheme="minorHAnsi" w:hAnsiTheme="minorHAnsi" w:cstheme="minorHAnsi"/>
        </w:rPr>
        <w:t>xplain</w:t>
      </w:r>
      <w:r w:rsidR="006808ED" w:rsidRPr="00025B9C">
        <w:rPr>
          <w:rFonts w:asciiTheme="minorHAnsi" w:hAnsiTheme="minorHAnsi" w:cstheme="minorHAnsi"/>
        </w:rPr>
        <w:t>’</w:t>
      </w:r>
      <w:r w:rsidRPr="00025B9C">
        <w:rPr>
          <w:rFonts w:asciiTheme="minorHAnsi" w:hAnsiTheme="minorHAnsi" w:cstheme="minorHAnsi"/>
        </w:rPr>
        <w:t xml:space="preserve">: </w:t>
      </w:r>
      <w:r w:rsidR="00374655" w:rsidRPr="00025B9C">
        <w:rPr>
          <w:rFonts w:asciiTheme="minorHAnsi" w:hAnsiTheme="minorHAnsi" w:cstheme="minorHAnsi"/>
        </w:rPr>
        <w:t>M</w:t>
      </w:r>
      <w:r w:rsidRPr="00025B9C">
        <w:rPr>
          <w:rFonts w:asciiTheme="minorHAnsi" w:hAnsiTheme="minorHAnsi" w:cstheme="minorHAnsi"/>
        </w:rPr>
        <w:t xml:space="preserve">arket discipline and non‐compliance with the Combined Code. </w:t>
      </w:r>
      <w:r w:rsidRPr="00025B9C">
        <w:rPr>
          <w:rFonts w:asciiTheme="minorHAnsi" w:hAnsiTheme="minorHAnsi" w:cstheme="minorHAnsi"/>
          <w:i/>
          <w:iCs/>
        </w:rPr>
        <w:t>Corporate Governance: An International Review</w:t>
      </w:r>
      <w:r w:rsidRPr="00025B9C">
        <w:rPr>
          <w:rFonts w:asciiTheme="minorHAnsi" w:hAnsiTheme="minorHAnsi" w:cstheme="minorHAnsi"/>
        </w:rPr>
        <w:t xml:space="preserve">, </w:t>
      </w:r>
      <w:r w:rsidRPr="00025B9C">
        <w:rPr>
          <w:rFonts w:asciiTheme="minorHAnsi" w:hAnsiTheme="minorHAnsi" w:cstheme="minorHAnsi"/>
          <w:i/>
        </w:rPr>
        <w:t>14</w:t>
      </w:r>
      <w:r w:rsidRPr="00025B9C">
        <w:rPr>
          <w:rFonts w:asciiTheme="minorHAnsi" w:hAnsiTheme="minorHAnsi" w:cstheme="minorHAnsi"/>
        </w:rPr>
        <w:t>(5), 486-496.</w:t>
      </w:r>
    </w:p>
    <w:p w:rsidR="0020292A" w:rsidRPr="00025B9C" w:rsidRDefault="0020292A" w:rsidP="0020292A">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Merkl</w:t>
      </w:r>
      <w:proofErr w:type="spellEnd"/>
      <w:r w:rsidRPr="00025B9C">
        <w:rPr>
          <w:rFonts w:asciiTheme="minorHAnsi" w:hAnsiTheme="minorHAnsi" w:cstheme="minorHAnsi"/>
        </w:rPr>
        <w:t>-Davies, D.</w:t>
      </w:r>
      <w:r w:rsidR="00D966F6" w:rsidRPr="00025B9C">
        <w:rPr>
          <w:rFonts w:asciiTheme="minorHAnsi" w:hAnsiTheme="minorHAnsi" w:cstheme="minorHAnsi"/>
        </w:rPr>
        <w:t xml:space="preserve"> </w:t>
      </w:r>
      <w:r w:rsidRPr="00025B9C">
        <w:rPr>
          <w:rFonts w:asciiTheme="minorHAnsi" w:hAnsiTheme="minorHAnsi" w:cstheme="minorHAnsi"/>
        </w:rPr>
        <w:t xml:space="preserve">M. </w:t>
      </w:r>
      <w:r w:rsidR="00C747C7" w:rsidRPr="00025B9C">
        <w:rPr>
          <w:rFonts w:asciiTheme="minorHAnsi" w:hAnsiTheme="minorHAnsi" w:cstheme="minorHAnsi"/>
        </w:rPr>
        <w:t xml:space="preserve">&amp; </w:t>
      </w:r>
      <w:r w:rsidRPr="00025B9C">
        <w:rPr>
          <w:rFonts w:asciiTheme="minorHAnsi" w:hAnsiTheme="minorHAnsi" w:cstheme="minorHAnsi"/>
        </w:rPr>
        <w:t>Brennan, N.</w:t>
      </w:r>
      <w:r w:rsidR="00D966F6" w:rsidRPr="00025B9C">
        <w:rPr>
          <w:rFonts w:asciiTheme="minorHAnsi" w:hAnsiTheme="minorHAnsi" w:cstheme="minorHAnsi"/>
        </w:rPr>
        <w:t xml:space="preserve"> </w:t>
      </w:r>
      <w:r w:rsidRPr="00025B9C">
        <w:rPr>
          <w:rFonts w:asciiTheme="minorHAnsi" w:hAnsiTheme="minorHAnsi" w:cstheme="minorHAnsi"/>
        </w:rPr>
        <w:t xml:space="preserve">M. (2017). </w:t>
      </w:r>
      <w:r w:rsidRPr="00025B9C">
        <w:rPr>
          <w:rFonts w:asciiTheme="minorHAnsi" w:hAnsiTheme="minorHAnsi" w:cstheme="minorHAnsi"/>
          <w:bCs/>
          <w:lang w:val="en-IE"/>
        </w:rPr>
        <w:t>A theoretical framework of external accounting communication: research perspectives, traditions and theories</w:t>
      </w:r>
      <w:r w:rsidRPr="00025B9C">
        <w:rPr>
          <w:rFonts w:asciiTheme="minorHAnsi" w:hAnsiTheme="minorHAnsi" w:cstheme="minorHAnsi"/>
          <w:lang w:val="en-IE"/>
        </w:rPr>
        <w:t>,</w:t>
      </w:r>
      <w:r w:rsidRPr="00025B9C">
        <w:rPr>
          <w:rFonts w:asciiTheme="minorHAnsi" w:hAnsiTheme="minorHAnsi" w:cstheme="minorHAnsi"/>
        </w:rPr>
        <w:t xml:space="preserve"> </w:t>
      </w:r>
      <w:r w:rsidRPr="00025B9C">
        <w:rPr>
          <w:rFonts w:asciiTheme="minorHAnsi" w:hAnsiTheme="minorHAnsi" w:cstheme="minorHAnsi"/>
          <w:i/>
        </w:rPr>
        <w:t>Accounting, Auditing &amp; Accountability Journal</w:t>
      </w:r>
      <w:r w:rsidRPr="00025B9C">
        <w:rPr>
          <w:rFonts w:asciiTheme="minorHAnsi" w:hAnsiTheme="minorHAnsi" w:cstheme="minorHAnsi"/>
        </w:rPr>
        <w:t xml:space="preserve">, </w:t>
      </w:r>
      <w:r w:rsidRPr="00025B9C">
        <w:rPr>
          <w:rFonts w:asciiTheme="minorHAnsi" w:hAnsiTheme="minorHAnsi" w:cstheme="minorHAnsi"/>
          <w:i/>
        </w:rPr>
        <w:t>30</w:t>
      </w:r>
      <w:r w:rsidRPr="00025B9C">
        <w:rPr>
          <w:rFonts w:asciiTheme="minorHAnsi" w:hAnsiTheme="minorHAnsi" w:cstheme="minorHAnsi"/>
        </w:rPr>
        <w:t>(2), 433–469.</w:t>
      </w:r>
      <w:r w:rsidRPr="00025B9C">
        <w:rPr>
          <w:rFonts w:asciiTheme="minorHAnsi" w:hAnsiTheme="minorHAnsi" w:cstheme="minorHAnsi"/>
          <w:lang w:val="en-IE"/>
        </w:rPr>
        <w:t xml:space="preserve"> </w:t>
      </w:r>
    </w:p>
    <w:p w:rsidR="009E3EC0" w:rsidRPr="00025B9C" w:rsidRDefault="009E3EC0"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Moerman</w:t>
      </w:r>
      <w:proofErr w:type="spellEnd"/>
      <w:r w:rsidRPr="00025B9C">
        <w:rPr>
          <w:rFonts w:asciiTheme="minorHAnsi" w:hAnsiTheme="minorHAnsi" w:cstheme="minorHAnsi"/>
        </w:rPr>
        <w:t>, L</w:t>
      </w:r>
      <w:r w:rsidR="00780D26" w:rsidRPr="00025B9C">
        <w:rPr>
          <w:rFonts w:asciiTheme="minorHAnsi" w:hAnsiTheme="minorHAnsi" w:cstheme="minorHAnsi"/>
        </w:rPr>
        <w:t>., &amp;</w:t>
      </w:r>
      <w:r w:rsidRPr="00025B9C">
        <w:rPr>
          <w:rFonts w:asciiTheme="minorHAnsi" w:hAnsiTheme="minorHAnsi" w:cstheme="minorHAnsi"/>
        </w:rPr>
        <w:t xml:space="preserve"> van der </w:t>
      </w:r>
      <w:proofErr w:type="spellStart"/>
      <w:r w:rsidRPr="00025B9C">
        <w:rPr>
          <w:rFonts w:asciiTheme="minorHAnsi" w:hAnsiTheme="minorHAnsi" w:cstheme="minorHAnsi"/>
        </w:rPr>
        <w:t>Laan</w:t>
      </w:r>
      <w:proofErr w:type="spellEnd"/>
      <w:r w:rsidRPr="00025B9C">
        <w:rPr>
          <w:rFonts w:asciiTheme="minorHAnsi" w:hAnsiTheme="minorHAnsi" w:cstheme="minorHAnsi"/>
        </w:rPr>
        <w:t>, S. (2007). Pursuing shareholder valu</w:t>
      </w:r>
      <w:r w:rsidR="00791047" w:rsidRPr="00025B9C">
        <w:rPr>
          <w:rFonts w:asciiTheme="minorHAnsi" w:hAnsiTheme="minorHAnsi" w:cstheme="minorHAnsi"/>
        </w:rPr>
        <w:t xml:space="preserve">e: The rhetoric of James </w:t>
      </w:r>
      <w:proofErr w:type="spellStart"/>
      <w:r w:rsidR="00791047" w:rsidRPr="00025B9C">
        <w:rPr>
          <w:rFonts w:asciiTheme="minorHAnsi" w:hAnsiTheme="minorHAnsi" w:cstheme="minorHAnsi"/>
        </w:rPr>
        <w:t>Hardie</w:t>
      </w:r>
      <w:proofErr w:type="spellEnd"/>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Accounting Forum, 31</w:t>
      </w:r>
      <w:r w:rsidRPr="00025B9C">
        <w:rPr>
          <w:rFonts w:asciiTheme="minorHAnsi" w:hAnsiTheme="minorHAnsi" w:cstheme="minorHAnsi"/>
        </w:rPr>
        <w:t>(4), 354</w:t>
      </w:r>
      <w:r w:rsidR="002C36A3" w:rsidRPr="00025B9C">
        <w:rPr>
          <w:rFonts w:asciiTheme="minorHAnsi" w:hAnsiTheme="minorHAnsi" w:cstheme="minorHAnsi"/>
        </w:rPr>
        <w:t>–</w:t>
      </w:r>
      <w:r w:rsidRPr="00025B9C">
        <w:rPr>
          <w:rFonts w:asciiTheme="minorHAnsi" w:hAnsiTheme="minorHAnsi" w:cstheme="minorHAnsi"/>
        </w:rPr>
        <w:t>369.</w:t>
      </w:r>
    </w:p>
    <w:p w:rsidR="00092D5E" w:rsidRPr="00025B9C" w:rsidRDefault="00092D5E"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Nielsen, J. (2007). </w:t>
      </w:r>
      <w:r w:rsidRPr="00025B9C">
        <w:rPr>
          <w:rFonts w:asciiTheme="minorHAnsi" w:hAnsiTheme="minorHAnsi" w:cstheme="minorHAnsi"/>
          <w:iCs/>
        </w:rPr>
        <w:t>Show numbers as numerals w</w:t>
      </w:r>
      <w:r w:rsidR="00A5574F" w:rsidRPr="00025B9C">
        <w:rPr>
          <w:rFonts w:asciiTheme="minorHAnsi" w:hAnsiTheme="minorHAnsi" w:cstheme="minorHAnsi"/>
          <w:iCs/>
        </w:rPr>
        <w:t>hen writing for on-line readers.</w:t>
      </w:r>
      <w:r w:rsidRPr="00025B9C">
        <w:rPr>
          <w:rFonts w:asciiTheme="minorHAnsi" w:hAnsiTheme="minorHAnsi" w:cstheme="minorHAnsi"/>
          <w:iCs/>
        </w:rPr>
        <w:t xml:space="preserve"> </w:t>
      </w:r>
      <w:r w:rsidR="00A5574F" w:rsidRPr="00025B9C">
        <w:rPr>
          <w:rFonts w:asciiTheme="minorHAnsi" w:hAnsiTheme="minorHAnsi" w:cstheme="minorHAnsi"/>
        </w:rPr>
        <w:t xml:space="preserve">Fremont, CA: </w:t>
      </w:r>
      <w:r w:rsidRPr="00025B9C">
        <w:rPr>
          <w:rFonts w:asciiTheme="minorHAnsi" w:hAnsiTheme="minorHAnsi" w:cstheme="minorHAnsi"/>
        </w:rPr>
        <w:t>Nielsen Norman Group. Available at</w:t>
      </w:r>
      <w:r w:rsidR="00374655" w:rsidRPr="00025B9C">
        <w:rPr>
          <w:rFonts w:asciiTheme="minorHAnsi" w:hAnsiTheme="minorHAnsi" w:cstheme="minorHAnsi"/>
        </w:rPr>
        <w:t>:</w:t>
      </w:r>
      <w:r w:rsidRPr="00025B9C">
        <w:rPr>
          <w:rFonts w:asciiTheme="minorHAnsi" w:hAnsiTheme="minorHAnsi" w:cstheme="minorHAnsi"/>
        </w:rPr>
        <w:t xml:space="preserve"> </w:t>
      </w:r>
      <w:hyperlink r:id="rId14" w:history="1">
        <w:r w:rsidRPr="00025B9C">
          <w:rPr>
            <w:rStyle w:val="Hyperlink"/>
            <w:rFonts w:asciiTheme="minorHAnsi" w:hAnsiTheme="minorHAnsi" w:cstheme="minorHAnsi"/>
            <w:color w:val="auto"/>
          </w:rPr>
          <w:t>http://www.nngroup.com/articles/web-writing-show-numbers-as-numerals/</w:t>
        </w:r>
      </w:hyperlink>
      <w:r w:rsidRPr="00025B9C">
        <w:rPr>
          <w:rFonts w:asciiTheme="minorHAnsi" w:hAnsiTheme="minorHAnsi" w:cstheme="minorHAnsi"/>
        </w:rPr>
        <w:t xml:space="preserve"> </w:t>
      </w:r>
      <w:r w:rsidR="006C286B" w:rsidRPr="00025B9C">
        <w:rPr>
          <w:rFonts w:asciiTheme="minorHAnsi" w:hAnsiTheme="minorHAnsi" w:cstheme="minorHAnsi"/>
        </w:rPr>
        <w:t>[a</w:t>
      </w:r>
      <w:r w:rsidR="009C1D38" w:rsidRPr="00025B9C">
        <w:rPr>
          <w:rFonts w:asciiTheme="minorHAnsi" w:hAnsiTheme="minorHAnsi" w:cstheme="minorHAnsi"/>
        </w:rPr>
        <w:t>ccessed 17</w:t>
      </w:r>
      <w:r w:rsidR="006C286B" w:rsidRPr="00025B9C">
        <w:rPr>
          <w:rFonts w:asciiTheme="minorHAnsi" w:hAnsiTheme="minorHAnsi" w:cstheme="minorHAnsi"/>
        </w:rPr>
        <w:t xml:space="preserve"> December </w:t>
      </w:r>
      <w:r w:rsidR="009C1D38" w:rsidRPr="00025B9C">
        <w:rPr>
          <w:rFonts w:asciiTheme="minorHAnsi" w:hAnsiTheme="minorHAnsi" w:cstheme="minorHAnsi"/>
        </w:rPr>
        <w:t>2016</w:t>
      </w:r>
      <w:r w:rsidR="006C286B" w:rsidRPr="00025B9C">
        <w:rPr>
          <w:rFonts w:asciiTheme="minorHAnsi" w:hAnsiTheme="minorHAnsi" w:cstheme="minorHAnsi"/>
        </w:rPr>
        <w:t>]</w:t>
      </w:r>
      <w:r w:rsidRPr="00025B9C">
        <w:rPr>
          <w:rFonts w:asciiTheme="minorHAnsi" w:hAnsiTheme="minorHAnsi" w:cstheme="minorHAnsi"/>
        </w:rPr>
        <w:t>.</w:t>
      </w:r>
    </w:p>
    <w:p w:rsidR="00D14FCA" w:rsidRPr="00025B9C" w:rsidRDefault="00D14FCA"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Ogden, S</w:t>
      </w:r>
      <w:r w:rsidR="00780D26" w:rsidRPr="00025B9C">
        <w:rPr>
          <w:rFonts w:asciiTheme="minorHAnsi" w:hAnsiTheme="minorHAnsi" w:cstheme="minorHAnsi"/>
        </w:rPr>
        <w:t>., &amp;</w:t>
      </w:r>
      <w:r w:rsidRPr="00025B9C">
        <w:rPr>
          <w:rFonts w:asciiTheme="minorHAnsi" w:hAnsiTheme="minorHAnsi" w:cstheme="minorHAnsi"/>
        </w:rPr>
        <w:t xml:space="preserve"> Clarke, J. (2005</w:t>
      </w:r>
      <w:r w:rsidR="00800388" w:rsidRPr="00025B9C">
        <w:rPr>
          <w:rFonts w:asciiTheme="minorHAnsi" w:hAnsiTheme="minorHAnsi" w:cstheme="minorHAnsi"/>
        </w:rPr>
        <w:t>)</w:t>
      </w:r>
      <w:r w:rsidR="00343F6D" w:rsidRPr="00025B9C">
        <w:rPr>
          <w:rFonts w:asciiTheme="minorHAnsi" w:hAnsiTheme="minorHAnsi" w:cstheme="minorHAnsi"/>
        </w:rPr>
        <w:t xml:space="preserve">. </w:t>
      </w:r>
      <w:r w:rsidRPr="00025B9C">
        <w:rPr>
          <w:rFonts w:asciiTheme="minorHAnsi" w:hAnsiTheme="minorHAnsi" w:cstheme="minorHAnsi"/>
        </w:rPr>
        <w:t>Customer disclosures, impression management and the construction of legitimacy</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 xml:space="preserve">Accounting, Auditing </w:t>
      </w:r>
      <w:r w:rsidR="00A5574F" w:rsidRPr="00025B9C">
        <w:rPr>
          <w:rFonts w:asciiTheme="minorHAnsi" w:hAnsiTheme="minorHAnsi" w:cstheme="minorHAnsi"/>
          <w:i/>
        </w:rPr>
        <w:t>&amp;</w:t>
      </w:r>
      <w:r w:rsidRPr="00025B9C">
        <w:rPr>
          <w:rFonts w:asciiTheme="minorHAnsi" w:hAnsiTheme="minorHAnsi" w:cstheme="minorHAnsi"/>
          <w:i/>
        </w:rPr>
        <w:t xml:space="preserve"> Accountability Journal</w:t>
      </w:r>
      <w:r w:rsidRPr="00025B9C">
        <w:rPr>
          <w:rFonts w:asciiTheme="minorHAnsi" w:hAnsiTheme="minorHAnsi" w:cstheme="minorHAnsi"/>
        </w:rPr>
        <w:t xml:space="preserve">, </w:t>
      </w:r>
      <w:r w:rsidRPr="00025B9C">
        <w:rPr>
          <w:rFonts w:asciiTheme="minorHAnsi" w:hAnsiTheme="minorHAnsi" w:cstheme="minorHAnsi"/>
          <w:i/>
        </w:rPr>
        <w:t>18</w:t>
      </w:r>
      <w:r w:rsidR="00343F6D" w:rsidRPr="00025B9C">
        <w:rPr>
          <w:rFonts w:asciiTheme="minorHAnsi" w:hAnsiTheme="minorHAnsi" w:cstheme="minorHAnsi"/>
        </w:rPr>
        <w:t>(</w:t>
      </w:r>
      <w:r w:rsidR="00337945" w:rsidRPr="00025B9C">
        <w:rPr>
          <w:rFonts w:asciiTheme="minorHAnsi" w:hAnsiTheme="minorHAnsi" w:cstheme="minorHAnsi"/>
        </w:rPr>
        <w:t>3</w:t>
      </w:r>
      <w:r w:rsidR="00343F6D" w:rsidRPr="00025B9C">
        <w:rPr>
          <w:rFonts w:asciiTheme="minorHAnsi" w:hAnsiTheme="minorHAnsi" w:cstheme="minorHAnsi"/>
        </w:rPr>
        <w:t>)</w:t>
      </w:r>
      <w:r w:rsidRPr="00025B9C">
        <w:rPr>
          <w:rFonts w:asciiTheme="minorHAnsi" w:hAnsiTheme="minorHAnsi" w:cstheme="minorHAnsi"/>
        </w:rPr>
        <w:t>, 313</w:t>
      </w:r>
      <w:r w:rsidR="002C36A3" w:rsidRPr="00025B9C">
        <w:rPr>
          <w:rFonts w:asciiTheme="minorHAnsi" w:hAnsiTheme="minorHAnsi" w:cstheme="minorHAnsi"/>
        </w:rPr>
        <w:t>–</w:t>
      </w:r>
      <w:r w:rsidRPr="00025B9C">
        <w:rPr>
          <w:rFonts w:asciiTheme="minorHAnsi" w:hAnsiTheme="minorHAnsi" w:cstheme="minorHAnsi"/>
        </w:rPr>
        <w:t>345.</w:t>
      </w:r>
    </w:p>
    <w:p w:rsidR="00341795" w:rsidRPr="00025B9C" w:rsidRDefault="00113B6F"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Oliver, C. (1991</w:t>
      </w:r>
      <w:r w:rsidR="00800388" w:rsidRPr="00025B9C">
        <w:rPr>
          <w:rFonts w:asciiTheme="minorHAnsi" w:hAnsiTheme="minorHAnsi" w:cstheme="minorHAnsi"/>
        </w:rPr>
        <w:t>)</w:t>
      </w:r>
      <w:r w:rsidR="00343F6D" w:rsidRPr="00025B9C">
        <w:rPr>
          <w:rFonts w:asciiTheme="minorHAnsi" w:hAnsiTheme="minorHAnsi" w:cstheme="minorHAnsi"/>
        </w:rPr>
        <w:t>.</w:t>
      </w:r>
      <w:r w:rsidRPr="00025B9C">
        <w:rPr>
          <w:rFonts w:asciiTheme="minorHAnsi" w:hAnsiTheme="minorHAnsi" w:cstheme="minorHAnsi"/>
        </w:rPr>
        <w:t xml:space="preserve"> Strategic responses to institutional processes</w:t>
      </w:r>
      <w:r w:rsidR="00791047" w:rsidRPr="00025B9C">
        <w:rPr>
          <w:rFonts w:asciiTheme="minorHAnsi" w:hAnsiTheme="minorHAnsi" w:cstheme="minorHAnsi"/>
        </w:rPr>
        <w:t>.</w:t>
      </w:r>
      <w:r w:rsidRPr="00025B9C">
        <w:rPr>
          <w:rFonts w:asciiTheme="minorHAnsi" w:hAnsiTheme="minorHAnsi" w:cstheme="minorHAnsi"/>
        </w:rPr>
        <w:t xml:space="preserve"> </w:t>
      </w:r>
      <w:r w:rsidR="00343F6D" w:rsidRPr="00025B9C">
        <w:rPr>
          <w:rFonts w:asciiTheme="minorHAnsi" w:hAnsiTheme="minorHAnsi" w:cstheme="minorHAnsi"/>
          <w:i/>
        </w:rPr>
        <w:t>Academy of Management Review,</w:t>
      </w:r>
      <w:r w:rsidRPr="00025B9C">
        <w:rPr>
          <w:rFonts w:asciiTheme="minorHAnsi" w:hAnsiTheme="minorHAnsi" w:cstheme="minorHAnsi"/>
          <w:i/>
        </w:rPr>
        <w:t xml:space="preserve"> 16</w:t>
      </w:r>
      <w:r w:rsidR="00343F6D" w:rsidRPr="00025B9C">
        <w:rPr>
          <w:rFonts w:asciiTheme="minorHAnsi" w:hAnsiTheme="minorHAnsi" w:cstheme="minorHAnsi"/>
        </w:rPr>
        <w:t>(</w:t>
      </w:r>
      <w:r w:rsidR="00337945" w:rsidRPr="00025B9C">
        <w:rPr>
          <w:rFonts w:asciiTheme="minorHAnsi" w:hAnsiTheme="minorHAnsi" w:cstheme="minorHAnsi"/>
        </w:rPr>
        <w:t>1</w:t>
      </w:r>
      <w:r w:rsidR="00343F6D" w:rsidRPr="00025B9C">
        <w:rPr>
          <w:rFonts w:asciiTheme="minorHAnsi" w:hAnsiTheme="minorHAnsi" w:cstheme="minorHAnsi"/>
        </w:rPr>
        <w:t>)</w:t>
      </w:r>
      <w:r w:rsidRPr="00025B9C">
        <w:rPr>
          <w:rFonts w:asciiTheme="minorHAnsi" w:hAnsiTheme="minorHAnsi" w:cstheme="minorHAnsi"/>
        </w:rPr>
        <w:t>, 145</w:t>
      </w:r>
      <w:r w:rsidR="002C36A3" w:rsidRPr="00025B9C">
        <w:rPr>
          <w:rFonts w:asciiTheme="minorHAnsi" w:hAnsiTheme="minorHAnsi" w:cstheme="minorHAnsi"/>
        </w:rPr>
        <w:t>–</w:t>
      </w:r>
      <w:r w:rsidRPr="00025B9C">
        <w:rPr>
          <w:rFonts w:asciiTheme="minorHAnsi" w:hAnsiTheme="minorHAnsi" w:cstheme="minorHAnsi"/>
        </w:rPr>
        <w:t>179.</w:t>
      </w:r>
    </w:p>
    <w:p w:rsidR="00374655" w:rsidRPr="00025B9C" w:rsidRDefault="001D058A" w:rsidP="00374655">
      <w:pPr>
        <w:spacing w:line="360" w:lineRule="auto"/>
        <w:ind w:left="720" w:hanging="720"/>
        <w:jc w:val="both"/>
        <w:rPr>
          <w:rFonts w:asciiTheme="minorHAnsi" w:hAnsiTheme="minorHAnsi" w:cstheme="minorHAnsi"/>
          <w:lang w:eastAsia="en-AU"/>
        </w:rPr>
      </w:pPr>
      <w:r w:rsidRPr="00025B9C">
        <w:rPr>
          <w:rFonts w:asciiTheme="minorHAnsi" w:hAnsiTheme="minorHAnsi" w:cstheme="minorHAnsi"/>
          <w:lang w:eastAsia="en-AU"/>
        </w:rPr>
        <w:t>Oxford Dictionaries (2016)</w:t>
      </w:r>
      <w:r w:rsidR="006D3ABB" w:rsidRPr="00025B9C">
        <w:rPr>
          <w:rFonts w:asciiTheme="minorHAnsi" w:hAnsiTheme="minorHAnsi" w:cstheme="minorHAnsi"/>
          <w:lang w:eastAsia="en-AU"/>
        </w:rPr>
        <w:t>.</w:t>
      </w:r>
      <w:r w:rsidRPr="00025B9C">
        <w:rPr>
          <w:rFonts w:asciiTheme="minorHAnsi" w:hAnsiTheme="minorHAnsi" w:cstheme="minorHAnsi"/>
          <w:lang w:eastAsia="en-AU"/>
        </w:rPr>
        <w:t xml:space="preserve"> </w:t>
      </w:r>
      <w:r w:rsidR="00374655" w:rsidRPr="00025B9C">
        <w:rPr>
          <w:rFonts w:asciiTheme="minorHAnsi" w:hAnsiTheme="minorHAnsi" w:cstheme="minorHAnsi"/>
          <w:lang w:eastAsia="en-AU"/>
        </w:rPr>
        <w:t>Available at:</w:t>
      </w:r>
    </w:p>
    <w:p w:rsidR="001D058A" w:rsidRPr="00025B9C" w:rsidRDefault="005E28F9" w:rsidP="00374655">
      <w:pPr>
        <w:spacing w:line="360" w:lineRule="auto"/>
        <w:ind w:left="720"/>
        <w:jc w:val="both"/>
        <w:rPr>
          <w:rFonts w:asciiTheme="minorHAnsi" w:hAnsiTheme="minorHAnsi" w:cstheme="minorHAnsi"/>
          <w:lang w:eastAsia="en-AU"/>
        </w:rPr>
      </w:pPr>
      <w:hyperlink r:id="rId15" w:history="1">
        <w:r w:rsidR="00374655" w:rsidRPr="00025B9C">
          <w:rPr>
            <w:rStyle w:val="Hyperlink"/>
            <w:rFonts w:asciiTheme="minorHAnsi" w:hAnsiTheme="minorHAnsi" w:cstheme="minorHAnsi"/>
            <w:color w:val="auto"/>
            <w:lang w:eastAsia="en-AU"/>
          </w:rPr>
          <w:t>https://en.oxforddictionaries.com/definition/sophistry</w:t>
        </w:r>
      </w:hyperlink>
      <w:r w:rsidR="00374655" w:rsidRPr="00025B9C">
        <w:rPr>
          <w:rFonts w:asciiTheme="minorHAnsi" w:hAnsiTheme="minorHAnsi" w:cstheme="minorHAnsi"/>
          <w:lang w:eastAsia="en-AU"/>
        </w:rPr>
        <w:t xml:space="preserve"> </w:t>
      </w:r>
      <w:r w:rsidR="00A5574F" w:rsidRPr="00025B9C">
        <w:rPr>
          <w:rFonts w:asciiTheme="minorHAnsi" w:hAnsiTheme="minorHAnsi" w:cstheme="minorHAnsi"/>
          <w:lang w:eastAsia="en-AU"/>
        </w:rPr>
        <w:t>[acc</w:t>
      </w:r>
      <w:r w:rsidR="001D058A" w:rsidRPr="00025B9C">
        <w:rPr>
          <w:rFonts w:asciiTheme="minorHAnsi" w:hAnsiTheme="minorHAnsi" w:cstheme="minorHAnsi"/>
          <w:lang w:eastAsia="en-AU"/>
        </w:rPr>
        <w:t>essed 11 November 2016</w:t>
      </w:r>
      <w:r w:rsidR="00374655" w:rsidRPr="00025B9C">
        <w:rPr>
          <w:rFonts w:asciiTheme="minorHAnsi" w:hAnsiTheme="minorHAnsi" w:cstheme="minorHAnsi"/>
          <w:lang w:eastAsia="en-AU"/>
        </w:rPr>
        <w:t>]</w:t>
      </w:r>
      <w:r w:rsidR="00C2222B" w:rsidRPr="00025B9C">
        <w:rPr>
          <w:rFonts w:asciiTheme="minorHAnsi" w:hAnsiTheme="minorHAnsi" w:cstheme="minorHAnsi"/>
          <w:lang w:eastAsia="en-AU"/>
        </w:rPr>
        <w:t>.</w:t>
      </w:r>
    </w:p>
    <w:p w:rsidR="00341795" w:rsidRPr="00025B9C" w:rsidRDefault="00341795" w:rsidP="00D665D9">
      <w:pPr>
        <w:spacing w:line="360" w:lineRule="auto"/>
        <w:ind w:left="720" w:hanging="720"/>
        <w:jc w:val="both"/>
        <w:rPr>
          <w:rFonts w:asciiTheme="minorHAnsi" w:hAnsiTheme="minorHAnsi" w:cstheme="minorHAnsi"/>
          <w:lang w:eastAsia="en-AU"/>
        </w:rPr>
      </w:pPr>
      <w:r w:rsidRPr="00025B9C">
        <w:rPr>
          <w:rFonts w:asciiTheme="minorHAnsi" w:hAnsiTheme="minorHAnsi" w:cstheme="minorHAnsi"/>
          <w:lang w:eastAsia="en-AU"/>
        </w:rPr>
        <w:t xml:space="preserve">Parker, C. (2000). Reinventing regulation within the corporation compliance-oriented regulatory innovation. </w:t>
      </w:r>
      <w:r w:rsidRPr="00025B9C">
        <w:rPr>
          <w:rFonts w:asciiTheme="minorHAnsi" w:hAnsiTheme="minorHAnsi" w:cstheme="minorHAnsi"/>
          <w:i/>
          <w:iCs/>
          <w:lang w:eastAsia="en-AU"/>
        </w:rPr>
        <w:t>Administration &amp; Society</w:t>
      </w:r>
      <w:r w:rsidRPr="00025B9C">
        <w:rPr>
          <w:rFonts w:asciiTheme="minorHAnsi" w:hAnsiTheme="minorHAnsi" w:cstheme="minorHAnsi"/>
          <w:lang w:eastAsia="en-AU"/>
        </w:rPr>
        <w:t xml:space="preserve">, </w:t>
      </w:r>
      <w:r w:rsidRPr="00025B9C">
        <w:rPr>
          <w:rFonts w:asciiTheme="minorHAnsi" w:hAnsiTheme="minorHAnsi" w:cstheme="minorHAnsi"/>
          <w:i/>
          <w:lang w:eastAsia="en-AU"/>
        </w:rPr>
        <w:t>32</w:t>
      </w:r>
      <w:r w:rsidRPr="00025B9C">
        <w:rPr>
          <w:rFonts w:asciiTheme="minorHAnsi" w:hAnsiTheme="minorHAnsi" w:cstheme="minorHAnsi"/>
          <w:lang w:eastAsia="en-AU"/>
        </w:rPr>
        <w:t>(5), 529</w:t>
      </w:r>
      <w:r w:rsidR="002C36A3" w:rsidRPr="00025B9C">
        <w:rPr>
          <w:rFonts w:asciiTheme="minorHAnsi" w:hAnsiTheme="minorHAnsi" w:cstheme="minorHAnsi"/>
        </w:rPr>
        <w:t>–</w:t>
      </w:r>
      <w:r w:rsidRPr="00025B9C">
        <w:rPr>
          <w:rFonts w:asciiTheme="minorHAnsi" w:hAnsiTheme="minorHAnsi" w:cstheme="minorHAnsi"/>
          <w:lang w:eastAsia="en-AU"/>
        </w:rPr>
        <w:t>565.</w:t>
      </w:r>
    </w:p>
    <w:p w:rsidR="00320C36" w:rsidRPr="00025B9C" w:rsidRDefault="000A51DB" w:rsidP="00320C36">
      <w:pPr>
        <w:spacing w:line="360" w:lineRule="auto"/>
        <w:ind w:left="720" w:hanging="720"/>
        <w:jc w:val="both"/>
        <w:rPr>
          <w:rFonts w:asciiTheme="minorHAnsi" w:hAnsiTheme="minorHAnsi" w:cstheme="minorHAnsi"/>
        </w:rPr>
      </w:pPr>
      <w:r w:rsidRPr="00025B9C">
        <w:rPr>
          <w:rFonts w:asciiTheme="minorHAnsi" w:hAnsiTheme="minorHAnsi" w:cstheme="minorHAnsi"/>
        </w:rPr>
        <w:t>Pass, C. (2006</w:t>
      </w:r>
      <w:r w:rsidR="00800388" w:rsidRPr="00025B9C">
        <w:rPr>
          <w:rFonts w:asciiTheme="minorHAnsi" w:hAnsiTheme="minorHAnsi" w:cstheme="minorHAnsi"/>
        </w:rPr>
        <w:t>)</w:t>
      </w:r>
      <w:r w:rsidR="00343F6D" w:rsidRPr="00025B9C">
        <w:rPr>
          <w:rFonts w:asciiTheme="minorHAnsi" w:hAnsiTheme="minorHAnsi" w:cstheme="minorHAnsi"/>
        </w:rPr>
        <w:t xml:space="preserve">. </w:t>
      </w:r>
      <w:r w:rsidRPr="00025B9C">
        <w:rPr>
          <w:rFonts w:asciiTheme="minorHAnsi" w:hAnsiTheme="minorHAnsi" w:cstheme="minorHAnsi"/>
        </w:rPr>
        <w:t>The revised Combined Code and corporate governance: An empirical sample of 50 large UK companies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Managerial Law</w:t>
      </w:r>
      <w:r w:rsidRPr="00025B9C">
        <w:rPr>
          <w:rFonts w:asciiTheme="minorHAnsi" w:hAnsiTheme="minorHAnsi" w:cstheme="minorHAnsi"/>
        </w:rPr>
        <w:t xml:space="preserve">, </w:t>
      </w:r>
      <w:r w:rsidRPr="00025B9C">
        <w:rPr>
          <w:rFonts w:asciiTheme="minorHAnsi" w:hAnsiTheme="minorHAnsi" w:cstheme="minorHAnsi"/>
          <w:i/>
        </w:rPr>
        <w:t>48</w:t>
      </w:r>
      <w:r w:rsidR="00343F6D" w:rsidRPr="00025B9C">
        <w:rPr>
          <w:rFonts w:asciiTheme="minorHAnsi" w:hAnsiTheme="minorHAnsi" w:cstheme="minorHAnsi"/>
        </w:rPr>
        <w:t>(</w:t>
      </w:r>
      <w:r w:rsidR="00337945" w:rsidRPr="00025B9C">
        <w:rPr>
          <w:rFonts w:asciiTheme="minorHAnsi" w:hAnsiTheme="minorHAnsi" w:cstheme="minorHAnsi"/>
        </w:rPr>
        <w:t>5</w:t>
      </w:r>
      <w:r w:rsidR="00343F6D" w:rsidRPr="00025B9C">
        <w:rPr>
          <w:rFonts w:asciiTheme="minorHAnsi" w:hAnsiTheme="minorHAnsi" w:cstheme="minorHAnsi"/>
        </w:rPr>
        <w:t>)</w:t>
      </w:r>
      <w:r w:rsidR="002B5E1B" w:rsidRPr="00025B9C">
        <w:rPr>
          <w:rFonts w:asciiTheme="minorHAnsi" w:hAnsiTheme="minorHAnsi" w:cstheme="minorHAnsi"/>
        </w:rPr>
        <w:t>,</w:t>
      </w:r>
      <w:r w:rsidR="00337945" w:rsidRPr="00025B9C">
        <w:rPr>
          <w:rFonts w:asciiTheme="minorHAnsi" w:hAnsiTheme="minorHAnsi" w:cstheme="minorHAnsi"/>
        </w:rPr>
        <w:t xml:space="preserve"> </w:t>
      </w:r>
      <w:r w:rsidRPr="00025B9C">
        <w:rPr>
          <w:rFonts w:asciiTheme="minorHAnsi" w:hAnsiTheme="minorHAnsi" w:cstheme="minorHAnsi"/>
        </w:rPr>
        <w:t>467</w:t>
      </w:r>
      <w:r w:rsidR="002C36A3" w:rsidRPr="00025B9C">
        <w:rPr>
          <w:rFonts w:asciiTheme="minorHAnsi" w:hAnsiTheme="minorHAnsi" w:cstheme="minorHAnsi"/>
        </w:rPr>
        <w:t>–</w:t>
      </w:r>
      <w:r w:rsidRPr="00025B9C">
        <w:rPr>
          <w:rFonts w:asciiTheme="minorHAnsi" w:hAnsiTheme="minorHAnsi" w:cstheme="minorHAnsi"/>
        </w:rPr>
        <w:t>478.</w:t>
      </w:r>
    </w:p>
    <w:p w:rsidR="002A3286" w:rsidRPr="00025B9C" w:rsidRDefault="002A3286" w:rsidP="002A3286">
      <w:pPr>
        <w:spacing w:line="360" w:lineRule="auto"/>
        <w:ind w:left="720" w:hanging="720"/>
        <w:jc w:val="both"/>
        <w:rPr>
          <w:rFonts w:asciiTheme="minorHAnsi" w:hAnsiTheme="minorHAnsi" w:cstheme="minorHAnsi"/>
          <w:szCs w:val="20"/>
        </w:rPr>
      </w:pPr>
      <w:r w:rsidRPr="00025B9C">
        <w:rPr>
          <w:rFonts w:asciiTheme="minorHAnsi" w:hAnsiTheme="minorHAnsi" w:cstheme="minorHAnsi"/>
          <w:szCs w:val="20"/>
        </w:rPr>
        <w:t xml:space="preserve">Roberts, J. (2009). No one is perfect: The limits of transparency and an ethic for ‘intelligent’ accountability. </w:t>
      </w:r>
      <w:r w:rsidRPr="00025B9C">
        <w:rPr>
          <w:rFonts w:asciiTheme="minorHAnsi" w:hAnsiTheme="minorHAnsi" w:cstheme="minorHAnsi"/>
          <w:i/>
          <w:iCs/>
          <w:szCs w:val="20"/>
        </w:rPr>
        <w:t>Accounting, Organizations and Society</w:t>
      </w:r>
      <w:r w:rsidRPr="00025B9C">
        <w:rPr>
          <w:rFonts w:asciiTheme="minorHAnsi" w:hAnsiTheme="minorHAnsi" w:cstheme="minorHAnsi"/>
          <w:szCs w:val="20"/>
        </w:rPr>
        <w:t xml:space="preserve">, </w:t>
      </w:r>
      <w:r w:rsidRPr="00025B9C">
        <w:rPr>
          <w:rFonts w:asciiTheme="minorHAnsi" w:hAnsiTheme="minorHAnsi" w:cstheme="minorHAnsi"/>
          <w:i/>
          <w:szCs w:val="20"/>
        </w:rPr>
        <w:t>34</w:t>
      </w:r>
      <w:r w:rsidRPr="00025B9C">
        <w:rPr>
          <w:rFonts w:asciiTheme="minorHAnsi" w:hAnsiTheme="minorHAnsi" w:cstheme="minorHAnsi"/>
          <w:szCs w:val="20"/>
        </w:rPr>
        <w:t>(8), 957–970.</w:t>
      </w:r>
    </w:p>
    <w:p w:rsidR="008258A6" w:rsidRPr="00025B9C" w:rsidRDefault="008258A6"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Roberts, J. (2012)</w:t>
      </w:r>
      <w:r w:rsidR="00982839" w:rsidRPr="00025B9C">
        <w:rPr>
          <w:rFonts w:asciiTheme="minorHAnsi" w:hAnsiTheme="minorHAnsi" w:cstheme="minorHAnsi"/>
        </w:rPr>
        <w:t>.</w:t>
      </w:r>
      <w:r w:rsidRPr="00025B9C">
        <w:rPr>
          <w:rFonts w:asciiTheme="minorHAnsi" w:hAnsiTheme="minorHAnsi" w:cstheme="minorHAnsi"/>
        </w:rPr>
        <w:t xml:space="preserve"> Between the letter and the spirit: defensive and extensive modes of compliance with the UK Code of Corporate Governance. </w:t>
      </w:r>
      <w:r w:rsidRPr="00025B9C">
        <w:rPr>
          <w:rFonts w:asciiTheme="minorHAnsi" w:hAnsiTheme="minorHAnsi" w:cstheme="minorHAnsi"/>
          <w:i/>
          <w:iCs/>
        </w:rPr>
        <w:t>The S</w:t>
      </w:r>
      <w:r w:rsidR="007366CB" w:rsidRPr="00025B9C">
        <w:rPr>
          <w:rFonts w:asciiTheme="minorHAnsi" w:hAnsiTheme="minorHAnsi" w:cstheme="minorHAnsi"/>
          <w:i/>
          <w:iCs/>
        </w:rPr>
        <w:t>age</w:t>
      </w:r>
      <w:r w:rsidRPr="00025B9C">
        <w:rPr>
          <w:rFonts w:asciiTheme="minorHAnsi" w:hAnsiTheme="minorHAnsi" w:cstheme="minorHAnsi"/>
          <w:i/>
          <w:iCs/>
        </w:rPr>
        <w:t xml:space="preserve"> Handbook of Corporate Governance</w:t>
      </w:r>
      <w:r w:rsidR="001A4A3D" w:rsidRPr="00025B9C">
        <w:rPr>
          <w:rFonts w:asciiTheme="minorHAnsi" w:hAnsiTheme="minorHAnsi" w:cstheme="minorHAnsi"/>
          <w:iCs/>
        </w:rPr>
        <w:t xml:space="preserve"> </w:t>
      </w:r>
      <w:r w:rsidR="001A4A3D" w:rsidRPr="00025B9C">
        <w:rPr>
          <w:rFonts w:asciiTheme="minorHAnsi" w:hAnsiTheme="minorHAnsi" w:cstheme="minorHAnsi"/>
          <w:iCs/>
          <w:lang w:val="en-IE"/>
        </w:rPr>
        <w:t>(</w:t>
      </w:r>
      <w:r w:rsidR="001A4A3D" w:rsidRPr="00025B9C">
        <w:rPr>
          <w:rFonts w:asciiTheme="minorHAnsi" w:hAnsiTheme="minorHAnsi" w:cstheme="minorHAnsi"/>
          <w:iCs/>
        </w:rPr>
        <w:t>Chapter</w:t>
      </w:r>
      <w:r w:rsidR="001A4A3D" w:rsidRPr="00025B9C">
        <w:rPr>
          <w:rFonts w:asciiTheme="minorHAnsi" w:hAnsiTheme="minorHAnsi" w:cstheme="minorHAnsi"/>
        </w:rPr>
        <w:t xml:space="preserve"> 9, pp. 196</w:t>
      </w:r>
      <w:r w:rsidR="002C36A3" w:rsidRPr="00025B9C">
        <w:rPr>
          <w:rFonts w:asciiTheme="minorHAnsi" w:hAnsiTheme="minorHAnsi" w:cstheme="minorHAnsi"/>
        </w:rPr>
        <w:t>–</w:t>
      </w:r>
      <w:r w:rsidR="001A4A3D" w:rsidRPr="00025B9C">
        <w:rPr>
          <w:rFonts w:asciiTheme="minorHAnsi" w:hAnsiTheme="minorHAnsi" w:cstheme="minorHAnsi"/>
        </w:rPr>
        <w:t>216).</w:t>
      </w:r>
      <w:r w:rsidR="00A5574F" w:rsidRPr="00025B9C">
        <w:rPr>
          <w:rFonts w:asciiTheme="minorHAnsi" w:hAnsiTheme="minorHAnsi" w:cstheme="minorHAnsi"/>
          <w:iCs/>
        </w:rPr>
        <w:t xml:space="preserve"> Thousand Oaks, CA:</w:t>
      </w:r>
      <w:r w:rsidR="001A4A3D" w:rsidRPr="00025B9C">
        <w:rPr>
          <w:rFonts w:asciiTheme="minorHAnsi" w:hAnsiTheme="minorHAnsi" w:cstheme="minorHAnsi"/>
          <w:iCs/>
        </w:rPr>
        <w:t xml:space="preserve"> </w:t>
      </w:r>
      <w:r w:rsidR="001A4A3D" w:rsidRPr="00025B9C">
        <w:rPr>
          <w:rFonts w:asciiTheme="minorHAnsi" w:hAnsiTheme="minorHAnsi" w:cstheme="minorHAnsi"/>
          <w:iCs/>
          <w:lang w:val="en-IE"/>
        </w:rPr>
        <w:t>Sage Publications</w:t>
      </w:r>
      <w:r w:rsidRPr="00025B9C">
        <w:rPr>
          <w:rFonts w:asciiTheme="minorHAnsi" w:hAnsiTheme="minorHAnsi" w:cstheme="minorHAnsi"/>
        </w:rPr>
        <w:t>.</w:t>
      </w:r>
    </w:p>
    <w:p w:rsidR="00207847" w:rsidRPr="00025B9C" w:rsidRDefault="00207847" w:rsidP="00207847">
      <w:pPr>
        <w:spacing w:line="360" w:lineRule="auto"/>
        <w:ind w:left="720" w:hanging="720"/>
        <w:jc w:val="both"/>
        <w:rPr>
          <w:rFonts w:asciiTheme="minorHAnsi" w:hAnsiTheme="minorHAnsi" w:cstheme="minorHAnsi"/>
          <w:szCs w:val="20"/>
          <w:lang w:val="en-IE"/>
        </w:rPr>
      </w:pPr>
      <w:r w:rsidRPr="00025B9C">
        <w:rPr>
          <w:rFonts w:asciiTheme="minorHAnsi" w:hAnsiTheme="minorHAnsi" w:cstheme="minorHAnsi"/>
          <w:szCs w:val="20"/>
        </w:rPr>
        <w:t xml:space="preserve">Rose, C. (2016). Firm performance and comply or explain disclosure in corporate governance. </w:t>
      </w:r>
      <w:r w:rsidRPr="00025B9C">
        <w:rPr>
          <w:rFonts w:asciiTheme="minorHAnsi" w:hAnsiTheme="minorHAnsi" w:cstheme="minorHAnsi"/>
          <w:i/>
          <w:iCs/>
          <w:szCs w:val="20"/>
        </w:rPr>
        <w:t>European Management Journal</w:t>
      </w:r>
      <w:r w:rsidRPr="00025B9C">
        <w:rPr>
          <w:rFonts w:asciiTheme="minorHAnsi" w:hAnsiTheme="minorHAnsi" w:cstheme="minorHAnsi"/>
          <w:szCs w:val="20"/>
        </w:rPr>
        <w:t xml:space="preserve">, </w:t>
      </w:r>
      <w:r w:rsidRPr="00025B9C">
        <w:rPr>
          <w:rFonts w:asciiTheme="minorHAnsi" w:hAnsiTheme="minorHAnsi" w:cstheme="minorHAnsi"/>
          <w:i/>
          <w:szCs w:val="20"/>
        </w:rPr>
        <w:t>34</w:t>
      </w:r>
      <w:r w:rsidRPr="00025B9C">
        <w:rPr>
          <w:rFonts w:asciiTheme="minorHAnsi" w:hAnsiTheme="minorHAnsi" w:cstheme="minorHAnsi"/>
          <w:szCs w:val="20"/>
        </w:rPr>
        <w:t>(3)</w:t>
      </w:r>
      <w:r w:rsidR="00B808B2" w:rsidRPr="00025B9C">
        <w:rPr>
          <w:rFonts w:asciiTheme="minorHAnsi" w:hAnsiTheme="minorHAnsi" w:cstheme="minorHAnsi"/>
          <w:szCs w:val="20"/>
        </w:rPr>
        <w:t>,</w:t>
      </w:r>
      <w:r w:rsidRPr="00025B9C">
        <w:rPr>
          <w:rFonts w:asciiTheme="minorHAnsi" w:hAnsiTheme="minorHAnsi" w:cstheme="minorHAnsi"/>
          <w:szCs w:val="20"/>
        </w:rPr>
        <w:t xml:space="preserve"> 202–222.</w:t>
      </w:r>
    </w:p>
    <w:p w:rsidR="00343C1A" w:rsidRPr="00025B9C" w:rsidRDefault="00343C1A" w:rsidP="00343C1A">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Rosenfeld, P., </w:t>
      </w:r>
      <w:proofErr w:type="spellStart"/>
      <w:r w:rsidRPr="00025B9C">
        <w:rPr>
          <w:rFonts w:asciiTheme="minorHAnsi" w:hAnsiTheme="minorHAnsi" w:cstheme="minorHAnsi"/>
        </w:rPr>
        <w:t>Giacalone</w:t>
      </w:r>
      <w:proofErr w:type="spellEnd"/>
      <w:r w:rsidRPr="00025B9C">
        <w:rPr>
          <w:rFonts w:asciiTheme="minorHAnsi" w:hAnsiTheme="minorHAnsi" w:cstheme="minorHAnsi"/>
        </w:rPr>
        <w:t xml:space="preserve">, R., &amp; Riordan, C. (1995). </w:t>
      </w:r>
      <w:r w:rsidRPr="00025B9C">
        <w:rPr>
          <w:rFonts w:asciiTheme="minorHAnsi" w:hAnsiTheme="minorHAnsi" w:cstheme="minorHAnsi"/>
          <w:i/>
        </w:rPr>
        <w:t>Impression management in organizations</w:t>
      </w:r>
      <w:r w:rsidRPr="00025B9C">
        <w:rPr>
          <w:rFonts w:asciiTheme="minorHAnsi" w:hAnsiTheme="minorHAnsi" w:cstheme="minorHAnsi"/>
        </w:rPr>
        <w:t>. London: Routledge.</w:t>
      </w:r>
    </w:p>
    <w:p w:rsidR="004861F9" w:rsidRPr="00025B9C" w:rsidRDefault="004861F9" w:rsidP="00B808B2">
      <w:pPr>
        <w:spacing w:line="360" w:lineRule="auto"/>
        <w:ind w:left="720" w:hanging="720"/>
        <w:jc w:val="both"/>
        <w:rPr>
          <w:rFonts w:asciiTheme="minorHAnsi" w:hAnsiTheme="minorHAnsi" w:cstheme="minorHAnsi"/>
          <w:szCs w:val="20"/>
        </w:rPr>
      </w:pPr>
      <w:r w:rsidRPr="00025B9C">
        <w:rPr>
          <w:rFonts w:asciiTheme="minorHAnsi" w:hAnsiTheme="minorHAnsi" w:cstheme="minorHAnsi"/>
          <w:szCs w:val="20"/>
        </w:rPr>
        <w:t xml:space="preserve">Sanderson, P., </w:t>
      </w:r>
      <w:proofErr w:type="spellStart"/>
      <w:r w:rsidRPr="00025B9C">
        <w:rPr>
          <w:rFonts w:asciiTheme="minorHAnsi" w:hAnsiTheme="minorHAnsi" w:cstheme="minorHAnsi"/>
          <w:szCs w:val="20"/>
        </w:rPr>
        <w:t>Seidl</w:t>
      </w:r>
      <w:proofErr w:type="spellEnd"/>
      <w:r w:rsidRPr="00025B9C">
        <w:rPr>
          <w:rFonts w:asciiTheme="minorHAnsi" w:hAnsiTheme="minorHAnsi" w:cstheme="minorHAnsi"/>
          <w:szCs w:val="20"/>
        </w:rPr>
        <w:t xml:space="preserve">, D. and Roberts, J. (2013). </w:t>
      </w:r>
      <w:r w:rsidRPr="00025B9C">
        <w:rPr>
          <w:rFonts w:asciiTheme="minorHAnsi" w:hAnsiTheme="minorHAnsi" w:cstheme="minorHAnsi"/>
          <w:i/>
          <w:iCs/>
          <w:szCs w:val="20"/>
        </w:rPr>
        <w:t xml:space="preserve">The limits of flexible regulation: managers' perceptions of corporate governance codes and </w:t>
      </w:r>
      <w:r w:rsidR="006808ED" w:rsidRPr="00025B9C">
        <w:rPr>
          <w:rFonts w:asciiTheme="minorHAnsi" w:hAnsiTheme="minorHAnsi" w:cstheme="minorHAnsi"/>
          <w:i/>
          <w:iCs/>
          <w:szCs w:val="20"/>
        </w:rPr>
        <w:t>‘</w:t>
      </w:r>
      <w:r w:rsidRPr="00025B9C">
        <w:rPr>
          <w:rFonts w:asciiTheme="minorHAnsi" w:hAnsiTheme="minorHAnsi" w:cstheme="minorHAnsi"/>
          <w:i/>
          <w:iCs/>
          <w:szCs w:val="20"/>
        </w:rPr>
        <w:t>comply-or-explain</w:t>
      </w:r>
      <w:r w:rsidR="006808ED" w:rsidRPr="00025B9C">
        <w:rPr>
          <w:rFonts w:asciiTheme="minorHAnsi" w:hAnsiTheme="minorHAnsi" w:cstheme="minorHAnsi"/>
          <w:i/>
          <w:iCs/>
          <w:szCs w:val="20"/>
        </w:rPr>
        <w:t>’</w:t>
      </w:r>
      <w:r w:rsidRPr="00025B9C">
        <w:rPr>
          <w:rFonts w:asciiTheme="minorHAnsi" w:hAnsiTheme="minorHAnsi" w:cstheme="minorHAnsi"/>
          <w:szCs w:val="20"/>
        </w:rPr>
        <w:t xml:space="preserve">. Centre for Business Research, University of Cambridge. Available at: </w:t>
      </w:r>
      <w:hyperlink r:id="rId16" w:history="1">
        <w:r w:rsidR="00B808B2" w:rsidRPr="00025B9C">
          <w:rPr>
            <w:rStyle w:val="Hyperlink"/>
            <w:rFonts w:asciiTheme="minorHAnsi" w:hAnsiTheme="minorHAnsi" w:cstheme="minorHAnsi"/>
            <w:color w:val="auto"/>
            <w:szCs w:val="20"/>
          </w:rPr>
          <w:t>https://www.cbr.cam.ac.uk/fileadmin/user_upload/centre-for-business-research/downloads/working-papers/wp439.pdf</w:t>
        </w:r>
      </w:hyperlink>
      <w:r w:rsidRPr="00025B9C">
        <w:rPr>
          <w:rFonts w:asciiTheme="minorHAnsi" w:hAnsiTheme="minorHAnsi" w:cstheme="minorHAnsi"/>
          <w:szCs w:val="20"/>
        </w:rPr>
        <w:t xml:space="preserve"> [accessed 7 April 2017].</w:t>
      </w:r>
      <w:r w:rsidRPr="00025B9C">
        <w:rPr>
          <w:rFonts w:asciiTheme="minorHAnsi" w:hAnsiTheme="minorHAnsi" w:cstheme="minorHAnsi"/>
          <w:sz w:val="32"/>
        </w:rPr>
        <w:t xml:space="preserve"> </w:t>
      </w:r>
    </w:p>
    <w:p w:rsidR="00D14FCA" w:rsidRPr="00025B9C" w:rsidRDefault="00D14FCA"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Schlenker</w:t>
      </w:r>
      <w:proofErr w:type="spellEnd"/>
      <w:r w:rsidRPr="00025B9C">
        <w:rPr>
          <w:rFonts w:asciiTheme="minorHAnsi" w:hAnsiTheme="minorHAnsi" w:cstheme="minorHAnsi"/>
        </w:rPr>
        <w:t>, B. (1980</w:t>
      </w:r>
      <w:r w:rsidR="00800388" w:rsidRPr="00025B9C">
        <w:rPr>
          <w:rFonts w:asciiTheme="minorHAnsi" w:hAnsiTheme="minorHAnsi" w:cstheme="minorHAnsi"/>
        </w:rPr>
        <w:t>)</w:t>
      </w:r>
      <w:r w:rsidR="00343F6D" w:rsidRPr="00025B9C">
        <w:rPr>
          <w:rFonts w:asciiTheme="minorHAnsi" w:hAnsiTheme="minorHAnsi" w:cstheme="minorHAnsi"/>
        </w:rPr>
        <w:t>.</w:t>
      </w:r>
      <w:r w:rsidRPr="00025B9C">
        <w:rPr>
          <w:rFonts w:asciiTheme="minorHAnsi" w:hAnsiTheme="minorHAnsi" w:cstheme="minorHAnsi"/>
        </w:rPr>
        <w:t xml:space="preserve"> </w:t>
      </w:r>
      <w:r w:rsidR="00A5574F" w:rsidRPr="00025B9C">
        <w:rPr>
          <w:rFonts w:asciiTheme="minorHAnsi" w:hAnsiTheme="minorHAnsi" w:cstheme="minorHAnsi"/>
          <w:i/>
        </w:rPr>
        <w:t>Impression m</w:t>
      </w:r>
      <w:r w:rsidRPr="00025B9C">
        <w:rPr>
          <w:rFonts w:asciiTheme="minorHAnsi" w:hAnsiTheme="minorHAnsi" w:cstheme="minorHAnsi"/>
          <w:i/>
        </w:rPr>
        <w:t xml:space="preserve">anagement: The </w:t>
      </w:r>
      <w:proofErr w:type="spellStart"/>
      <w:r w:rsidR="00A5574F" w:rsidRPr="00025B9C">
        <w:rPr>
          <w:rFonts w:asciiTheme="minorHAnsi" w:hAnsiTheme="minorHAnsi" w:cstheme="minorHAnsi"/>
          <w:i/>
        </w:rPr>
        <w:t>self concept</w:t>
      </w:r>
      <w:proofErr w:type="spellEnd"/>
      <w:r w:rsidR="00A5574F" w:rsidRPr="00025B9C">
        <w:rPr>
          <w:rFonts w:asciiTheme="minorHAnsi" w:hAnsiTheme="minorHAnsi" w:cstheme="minorHAnsi"/>
          <w:i/>
        </w:rPr>
        <w:t>, social identity and interpersonal relations</w:t>
      </w:r>
      <w:r w:rsidRPr="00025B9C">
        <w:rPr>
          <w:rFonts w:asciiTheme="minorHAnsi" w:hAnsiTheme="minorHAnsi" w:cstheme="minorHAnsi"/>
          <w:i/>
        </w:rPr>
        <w:t>.</w:t>
      </w:r>
      <w:r w:rsidR="00A5574F" w:rsidRPr="00025B9C">
        <w:rPr>
          <w:rFonts w:asciiTheme="minorHAnsi" w:hAnsiTheme="minorHAnsi" w:cstheme="minorHAnsi"/>
        </w:rPr>
        <w:t xml:space="preserve"> Monterey, CA: </w:t>
      </w:r>
      <w:r w:rsidRPr="00025B9C">
        <w:rPr>
          <w:rFonts w:asciiTheme="minorHAnsi" w:hAnsiTheme="minorHAnsi" w:cstheme="minorHAnsi"/>
        </w:rPr>
        <w:t>Brooks/Cole publishing.</w:t>
      </w:r>
    </w:p>
    <w:p w:rsidR="00F9678D" w:rsidRPr="00025B9C" w:rsidRDefault="00F9678D"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Schonbach</w:t>
      </w:r>
      <w:proofErr w:type="spellEnd"/>
      <w:r w:rsidRPr="00025B9C">
        <w:rPr>
          <w:rFonts w:asciiTheme="minorHAnsi" w:hAnsiTheme="minorHAnsi" w:cstheme="minorHAnsi"/>
        </w:rPr>
        <w:t>, P. (1980</w:t>
      </w:r>
      <w:r w:rsidR="00800388" w:rsidRPr="00025B9C">
        <w:rPr>
          <w:rFonts w:asciiTheme="minorHAnsi" w:hAnsiTheme="minorHAnsi" w:cstheme="minorHAnsi"/>
        </w:rPr>
        <w:t>)</w:t>
      </w:r>
      <w:r w:rsidR="00343F6D" w:rsidRPr="00025B9C">
        <w:rPr>
          <w:rFonts w:asciiTheme="minorHAnsi" w:hAnsiTheme="minorHAnsi" w:cstheme="minorHAnsi"/>
        </w:rPr>
        <w:t>.</w:t>
      </w:r>
      <w:r w:rsidRPr="00025B9C">
        <w:rPr>
          <w:rFonts w:asciiTheme="minorHAnsi" w:hAnsiTheme="minorHAnsi" w:cstheme="minorHAnsi"/>
        </w:rPr>
        <w:t xml:space="preserve"> A category system for account phrases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European Journal of Social Psychology</w:t>
      </w:r>
      <w:r w:rsidRPr="00025B9C">
        <w:rPr>
          <w:rFonts w:asciiTheme="minorHAnsi" w:hAnsiTheme="minorHAnsi" w:cstheme="minorHAnsi"/>
        </w:rPr>
        <w:t xml:space="preserve">, </w:t>
      </w:r>
      <w:r w:rsidRPr="00025B9C">
        <w:rPr>
          <w:rFonts w:asciiTheme="minorHAnsi" w:hAnsiTheme="minorHAnsi" w:cstheme="minorHAnsi"/>
          <w:i/>
        </w:rPr>
        <w:t>10</w:t>
      </w:r>
      <w:r w:rsidR="00343F6D" w:rsidRPr="00025B9C">
        <w:rPr>
          <w:rFonts w:asciiTheme="minorHAnsi" w:hAnsiTheme="minorHAnsi" w:cstheme="minorHAnsi"/>
        </w:rPr>
        <w:t>(</w:t>
      </w:r>
      <w:r w:rsidR="00337945" w:rsidRPr="00025B9C">
        <w:rPr>
          <w:rFonts w:asciiTheme="minorHAnsi" w:hAnsiTheme="minorHAnsi" w:cstheme="minorHAnsi"/>
        </w:rPr>
        <w:t>2</w:t>
      </w:r>
      <w:r w:rsidR="00343F6D" w:rsidRPr="00025B9C">
        <w:rPr>
          <w:rFonts w:asciiTheme="minorHAnsi" w:hAnsiTheme="minorHAnsi" w:cstheme="minorHAnsi"/>
        </w:rPr>
        <w:t>)</w:t>
      </w:r>
      <w:r w:rsidRPr="00025B9C">
        <w:rPr>
          <w:rFonts w:asciiTheme="minorHAnsi" w:hAnsiTheme="minorHAnsi" w:cstheme="minorHAnsi"/>
        </w:rPr>
        <w:t>, 195</w:t>
      </w:r>
      <w:r w:rsidR="002C36A3" w:rsidRPr="00025B9C">
        <w:rPr>
          <w:rFonts w:asciiTheme="minorHAnsi" w:hAnsiTheme="minorHAnsi" w:cstheme="minorHAnsi"/>
        </w:rPr>
        <w:t>–</w:t>
      </w:r>
      <w:r w:rsidRPr="00025B9C">
        <w:rPr>
          <w:rFonts w:asciiTheme="minorHAnsi" w:hAnsiTheme="minorHAnsi" w:cstheme="minorHAnsi"/>
        </w:rPr>
        <w:t>200.</w:t>
      </w:r>
    </w:p>
    <w:p w:rsidR="00D14FCA" w:rsidRPr="00025B9C" w:rsidRDefault="00D14FCA"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Scott, M</w:t>
      </w:r>
      <w:r w:rsidR="00780D26" w:rsidRPr="00025B9C">
        <w:rPr>
          <w:rFonts w:asciiTheme="minorHAnsi" w:hAnsiTheme="minorHAnsi" w:cstheme="minorHAnsi"/>
        </w:rPr>
        <w:t>., &amp;</w:t>
      </w:r>
      <w:r w:rsidRPr="00025B9C">
        <w:rPr>
          <w:rFonts w:asciiTheme="minorHAnsi" w:hAnsiTheme="minorHAnsi" w:cstheme="minorHAnsi"/>
        </w:rPr>
        <w:t xml:space="preserve"> Lyman, S. (1968</w:t>
      </w:r>
      <w:r w:rsidR="00800388" w:rsidRPr="00025B9C">
        <w:rPr>
          <w:rFonts w:asciiTheme="minorHAnsi" w:hAnsiTheme="minorHAnsi" w:cstheme="minorHAnsi"/>
        </w:rPr>
        <w:t>)</w:t>
      </w:r>
      <w:r w:rsidR="00343F6D" w:rsidRPr="00025B9C">
        <w:rPr>
          <w:rFonts w:asciiTheme="minorHAnsi" w:hAnsiTheme="minorHAnsi" w:cstheme="minorHAnsi"/>
        </w:rPr>
        <w:t>. Accounts</w:t>
      </w:r>
      <w:r w:rsidR="00791047" w:rsidRPr="00025B9C">
        <w:rPr>
          <w:rFonts w:asciiTheme="minorHAnsi" w:hAnsiTheme="minorHAnsi" w:cstheme="minorHAnsi"/>
        </w:rPr>
        <w:t>.</w:t>
      </w:r>
      <w:r w:rsidRPr="00025B9C">
        <w:rPr>
          <w:rFonts w:asciiTheme="minorHAnsi" w:hAnsiTheme="minorHAnsi" w:cstheme="minorHAnsi"/>
        </w:rPr>
        <w:t xml:space="preserve"> </w:t>
      </w:r>
      <w:r w:rsidRPr="00025B9C">
        <w:rPr>
          <w:rFonts w:asciiTheme="minorHAnsi" w:hAnsiTheme="minorHAnsi" w:cstheme="minorHAnsi"/>
          <w:i/>
        </w:rPr>
        <w:t>American Sociological Review</w:t>
      </w:r>
      <w:r w:rsidRPr="00025B9C">
        <w:rPr>
          <w:rFonts w:asciiTheme="minorHAnsi" w:hAnsiTheme="minorHAnsi" w:cstheme="minorHAnsi"/>
        </w:rPr>
        <w:t xml:space="preserve">, </w:t>
      </w:r>
      <w:r w:rsidRPr="00025B9C">
        <w:rPr>
          <w:rFonts w:asciiTheme="minorHAnsi" w:hAnsiTheme="minorHAnsi" w:cstheme="minorHAnsi"/>
          <w:i/>
        </w:rPr>
        <w:t>33</w:t>
      </w:r>
      <w:r w:rsidR="00343F6D" w:rsidRPr="00025B9C">
        <w:rPr>
          <w:rFonts w:asciiTheme="minorHAnsi" w:hAnsiTheme="minorHAnsi" w:cstheme="minorHAnsi"/>
        </w:rPr>
        <w:t>(</w:t>
      </w:r>
      <w:r w:rsidR="00D4548E" w:rsidRPr="00025B9C">
        <w:rPr>
          <w:rFonts w:asciiTheme="minorHAnsi" w:hAnsiTheme="minorHAnsi" w:cstheme="minorHAnsi"/>
        </w:rPr>
        <w:t>1</w:t>
      </w:r>
      <w:r w:rsidR="00343F6D" w:rsidRPr="00025B9C">
        <w:rPr>
          <w:rFonts w:asciiTheme="minorHAnsi" w:hAnsiTheme="minorHAnsi" w:cstheme="minorHAnsi"/>
        </w:rPr>
        <w:t>)</w:t>
      </w:r>
      <w:r w:rsidRPr="00025B9C">
        <w:rPr>
          <w:rFonts w:asciiTheme="minorHAnsi" w:hAnsiTheme="minorHAnsi" w:cstheme="minorHAnsi"/>
        </w:rPr>
        <w:t>, 46</w:t>
      </w:r>
      <w:r w:rsidR="002C36A3" w:rsidRPr="00025B9C">
        <w:rPr>
          <w:rFonts w:asciiTheme="minorHAnsi" w:hAnsiTheme="minorHAnsi" w:cstheme="minorHAnsi"/>
        </w:rPr>
        <w:t>–</w:t>
      </w:r>
      <w:r w:rsidRPr="00025B9C">
        <w:rPr>
          <w:rFonts w:asciiTheme="minorHAnsi" w:hAnsiTheme="minorHAnsi" w:cstheme="minorHAnsi"/>
        </w:rPr>
        <w:t>62.</w:t>
      </w:r>
    </w:p>
    <w:p w:rsidR="00A27389" w:rsidRPr="00025B9C" w:rsidRDefault="00A27389"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 xml:space="preserve">Scott, R. (2014). </w:t>
      </w:r>
      <w:r w:rsidRPr="00025B9C">
        <w:rPr>
          <w:rFonts w:asciiTheme="minorHAnsi" w:hAnsiTheme="minorHAnsi" w:cstheme="minorHAnsi"/>
          <w:i/>
        </w:rPr>
        <w:t>Institutions and Organizations: Ideas, interests and identities (4</w:t>
      </w:r>
      <w:r w:rsidRPr="00025B9C">
        <w:rPr>
          <w:rFonts w:asciiTheme="minorHAnsi" w:hAnsiTheme="minorHAnsi" w:cstheme="minorHAnsi"/>
          <w:i/>
          <w:vertAlign w:val="superscript"/>
        </w:rPr>
        <w:t>th</w:t>
      </w:r>
      <w:r w:rsidRPr="00025B9C">
        <w:rPr>
          <w:rFonts w:asciiTheme="minorHAnsi" w:hAnsiTheme="minorHAnsi" w:cstheme="minorHAnsi"/>
          <w:i/>
        </w:rPr>
        <w:t xml:space="preserve"> ed</w:t>
      </w:r>
      <w:r w:rsidR="00374655" w:rsidRPr="00025B9C">
        <w:rPr>
          <w:rFonts w:asciiTheme="minorHAnsi" w:hAnsiTheme="minorHAnsi" w:cstheme="minorHAnsi"/>
          <w:i/>
        </w:rPr>
        <w:t>.</w:t>
      </w:r>
      <w:r w:rsidRPr="00025B9C">
        <w:rPr>
          <w:rFonts w:asciiTheme="minorHAnsi" w:hAnsiTheme="minorHAnsi" w:cstheme="minorHAnsi"/>
          <w:i/>
        </w:rPr>
        <w:t xml:space="preserve">). </w:t>
      </w:r>
      <w:r w:rsidRPr="00025B9C">
        <w:rPr>
          <w:rFonts w:asciiTheme="minorHAnsi" w:hAnsiTheme="minorHAnsi" w:cstheme="minorHAnsi"/>
        </w:rPr>
        <w:t>Thousand Oaks, CA: Sage Publications.</w:t>
      </w:r>
    </w:p>
    <w:p w:rsidR="00964924" w:rsidRPr="00025B9C" w:rsidRDefault="002C3F44" w:rsidP="00964924">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Seidl</w:t>
      </w:r>
      <w:proofErr w:type="spellEnd"/>
      <w:r w:rsidRPr="00025B9C">
        <w:rPr>
          <w:rFonts w:asciiTheme="minorHAnsi" w:hAnsiTheme="minorHAnsi" w:cstheme="minorHAnsi"/>
        </w:rPr>
        <w:t>, D., Sanderson, P</w:t>
      </w:r>
      <w:r w:rsidR="00780D26" w:rsidRPr="00025B9C">
        <w:rPr>
          <w:rFonts w:asciiTheme="minorHAnsi" w:hAnsiTheme="minorHAnsi" w:cstheme="minorHAnsi"/>
        </w:rPr>
        <w:t>., &amp;</w:t>
      </w:r>
      <w:r w:rsidRPr="00025B9C">
        <w:rPr>
          <w:rFonts w:asciiTheme="minorHAnsi" w:hAnsiTheme="minorHAnsi" w:cstheme="minorHAnsi"/>
        </w:rPr>
        <w:t xml:space="preserve"> Roberts, J. (2013). Applying the </w:t>
      </w:r>
      <w:r w:rsidR="00476312" w:rsidRPr="00025B9C">
        <w:rPr>
          <w:rFonts w:asciiTheme="minorHAnsi" w:hAnsiTheme="minorHAnsi" w:cstheme="minorHAnsi"/>
        </w:rPr>
        <w:t>‘comply-or-explain’</w:t>
      </w:r>
      <w:r w:rsidRPr="00025B9C">
        <w:rPr>
          <w:rFonts w:asciiTheme="minorHAnsi" w:hAnsiTheme="minorHAnsi" w:cstheme="minorHAnsi"/>
        </w:rPr>
        <w:t xml:space="preserve"> principle: discursive legitimacy tactics with regard to</w:t>
      </w:r>
      <w:r w:rsidR="00791047" w:rsidRPr="00025B9C">
        <w:rPr>
          <w:rFonts w:asciiTheme="minorHAnsi" w:hAnsiTheme="minorHAnsi" w:cstheme="minorHAnsi"/>
        </w:rPr>
        <w:t xml:space="preserve"> codes of corporate governance.</w:t>
      </w:r>
      <w:r w:rsidRPr="00025B9C">
        <w:rPr>
          <w:rFonts w:asciiTheme="minorHAnsi" w:hAnsiTheme="minorHAnsi" w:cstheme="minorHAnsi"/>
        </w:rPr>
        <w:t xml:space="preserve"> </w:t>
      </w:r>
      <w:r w:rsidRPr="00025B9C">
        <w:rPr>
          <w:rFonts w:asciiTheme="minorHAnsi" w:hAnsiTheme="minorHAnsi" w:cstheme="minorHAnsi"/>
          <w:i/>
          <w:iCs/>
        </w:rPr>
        <w:t>Journal of Management &amp; Governance</w:t>
      </w:r>
      <w:r w:rsidRPr="00025B9C">
        <w:rPr>
          <w:rFonts w:asciiTheme="minorHAnsi" w:hAnsiTheme="minorHAnsi" w:cstheme="minorHAnsi"/>
        </w:rPr>
        <w:t xml:space="preserve">, </w:t>
      </w:r>
      <w:r w:rsidRPr="00025B9C">
        <w:rPr>
          <w:rFonts w:asciiTheme="minorHAnsi" w:hAnsiTheme="minorHAnsi" w:cstheme="minorHAnsi"/>
          <w:i/>
        </w:rPr>
        <w:t>17</w:t>
      </w:r>
      <w:r w:rsidRPr="00025B9C">
        <w:rPr>
          <w:rFonts w:asciiTheme="minorHAnsi" w:hAnsiTheme="minorHAnsi" w:cstheme="minorHAnsi"/>
        </w:rPr>
        <w:t>(3), 791</w:t>
      </w:r>
      <w:r w:rsidR="002C36A3" w:rsidRPr="00025B9C">
        <w:rPr>
          <w:rFonts w:asciiTheme="minorHAnsi" w:hAnsiTheme="minorHAnsi" w:cstheme="minorHAnsi"/>
        </w:rPr>
        <w:t>–</w:t>
      </w:r>
      <w:r w:rsidR="00964924" w:rsidRPr="00025B9C">
        <w:rPr>
          <w:rFonts w:asciiTheme="minorHAnsi" w:hAnsiTheme="minorHAnsi" w:cstheme="minorHAnsi"/>
        </w:rPr>
        <w:t xml:space="preserve">826. </w:t>
      </w:r>
    </w:p>
    <w:p w:rsidR="00D2549E" w:rsidRPr="00025B9C" w:rsidRDefault="00D2549E" w:rsidP="00FF276E">
      <w:pPr>
        <w:spacing w:line="360" w:lineRule="auto"/>
        <w:ind w:left="720" w:hanging="720"/>
        <w:jc w:val="both"/>
        <w:rPr>
          <w:rFonts w:asciiTheme="minorHAnsi" w:hAnsiTheme="minorHAnsi" w:cstheme="minorHAnsi"/>
          <w:szCs w:val="20"/>
        </w:rPr>
      </w:pPr>
      <w:proofErr w:type="spellStart"/>
      <w:r w:rsidRPr="00025B9C">
        <w:rPr>
          <w:rFonts w:asciiTheme="minorHAnsi" w:hAnsiTheme="minorHAnsi" w:cstheme="minorHAnsi"/>
          <w:szCs w:val="20"/>
        </w:rPr>
        <w:t>Sergakis</w:t>
      </w:r>
      <w:proofErr w:type="spellEnd"/>
      <w:r w:rsidRPr="00025B9C">
        <w:rPr>
          <w:rFonts w:asciiTheme="minorHAnsi" w:hAnsiTheme="minorHAnsi" w:cstheme="minorHAnsi"/>
          <w:szCs w:val="20"/>
        </w:rPr>
        <w:t xml:space="preserve">, K. (2013). EU corporate governance: A new supervisory mechanism for the </w:t>
      </w:r>
      <w:r w:rsidR="006808ED" w:rsidRPr="00025B9C">
        <w:rPr>
          <w:rFonts w:asciiTheme="minorHAnsi" w:hAnsiTheme="minorHAnsi" w:cstheme="minorHAnsi"/>
          <w:szCs w:val="20"/>
        </w:rPr>
        <w:t>‘</w:t>
      </w:r>
      <w:r w:rsidRPr="00025B9C">
        <w:rPr>
          <w:rFonts w:asciiTheme="minorHAnsi" w:hAnsiTheme="minorHAnsi" w:cstheme="minorHAnsi"/>
          <w:szCs w:val="20"/>
        </w:rPr>
        <w:t>comply</w:t>
      </w:r>
      <w:r w:rsidR="006808ED" w:rsidRPr="00025B9C">
        <w:rPr>
          <w:rFonts w:asciiTheme="minorHAnsi" w:hAnsiTheme="minorHAnsi" w:cstheme="minorHAnsi"/>
          <w:szCs w:val="20"/>
        </w:rPr>
        <w:t>-</w:t>
      </w:r>
      <w:r w:rsidRPr="00025B9C">
        <w:rPr>
          <w:rFonts w:asciiTheme="minorHAnsi" w:hAnsiTheme="minorHAnsi" w:cstheme="minorHAnsi"/>
          <w:szCs w:val="20"/>
        </w:rPr>
        <w:t xml:space="preserve"> </w:t>
      </w:r>
      <w:r w:rsidR="006808ED" w:rsidRPr="00025B9C">
        <w:rPr>
          <w:rFonts w:asciiTheme="minorHAnsi" w:hAnsiTheme="minorHAnsi" w:cstheme="minorHAnsi"/>
          <w:szCs w:val="20"/>
        </w:rPr>
        <w:t>or-</w:t>
      </w:r>
      <w:r w:rsidRPr="00025B9C">
        <w:rPr>
          <w:rFonts w:asciiTheme="minorHAnsi" w:hAnsiTheme="minorHAnsi" w:cstheme="minorHAnsi"/>
          <w:szCs w:val="20"/>
        </w:rPr>
        <w:t>explain</w:t>
      </w:r>
      <w:r w:rsidR="006808ED" w:rsidRPr="00025B9C">
        <w:rPr>
          <w:rFonts w:asciiTheme="minorHAnsi" w:hAnsiTheme="minorHAnsi" w:cstheme="minorHAnsi"/>
          <w:szCs w:val="20"/>
        </w:rPr>
        <w:t>’</w:t>
      </w:r>
      <w:r w:rsidRPr="00025B9C">
        <w:rPr>
          <w:rFonts w:asciiTheme="minorHAnsi" w:hAnsiTheme="minorHAnsi" w:cstheme="minorHAnsi"/>
          <w:szCs w:val="20"/>
        </w:rPr>
        <w:t xml:space="preserve"> principle. </w:t>
      </w:r>
      <w:r w:rsidRPr="00025B9C">
        <w:rPr>
          <w:rFonts w:asciiTheme="minorHAnsi" w:hAnsiTheme="minorHAnsi" w:cstheme="minorHAnsi"/>
          <w:i/>
          <w:iCs/>
          <w:szCs w:val="20"/>
        </w:rPr>
        <w:t>European Company and Financial Law Review</w:t>
      </w:r>
      <w:r w:rsidRPr="00025B9C">
        <w:rPr>
          <w:rFonts w:asciiTheme="minorHAnsi" w:hAnsiTheme="minorHAnsi" w:cstheme="minorHAnsi"/>
          <w:szCs w:val="20"/>
        </w:rPr>
        <w:t xml:space="preserve">, </w:t>
      </w:r>
      <w:r w:rsidR="00FF276E" w:rsidRPr="00025B9C">
        <w:rPr>
          <w:rFonts w:asciiTheme="minorHAnsi" w:hAnsiTheme="minorHAnsi" w:cstheme="minorHAnsi"/>
          <w:i/>
          <w:szCs w:val="20"/>
        </w:rPr>
        <w:t>10</w:t>
      </w:r>
      <w:r w:rsidR="00FF276E" w:rsidRPr="00025B9C">
        <w:rPr>
          <w:rFonts w:asciiTheme="minorHAnsi" w:hAnsiTheme="minorHAnsi" w:cstheme="minorHAnsi"/>
          <w:szCs w:val="20"/>
        </w:rPr>
        <w:t>(</w:t>
      </w:r>
      <w:r w:rsidRPr="00025B9C">
        <w:rPr>
          <w:rFonts w:asciiTheme="minorHAnsi" w:hAnsiTheme="minorHAnsi" w:cstheme="minorHAnsi"/>
          <w:szCs w:val="20"/>
        </w:rPr>
        <w:t>3</w:t>
      </w:r>
      <w:r w:rsidR="00FF276E" w:rsidRPr="00025B9C">
        <w:rPr>
          <w:rFonts w:asciiTheme="minorHAnsi" w:hAnsiTheme="minorHAnsi" w:cstheme="minorHAnsi"/>
          <w:szCs w:val="20"/>
        </w:rPr>
        <w:t>),</w:t>
      </w:r>
      <w:r w:rsidRPr="00025B9C">
        <w:rPr>
          <w:rFonts w:asciiTheme="minorHAnsi" w:hAnsiTheme="minorHAnsi" w:cstheme="minorHAnsi"/>
          <w:szCs w:val="20"/>
        </w:rPr>
        <w:t xml:space="preserve"> 394</w:t>
      </w:r>
      <w:r w:rsidR="00FF276E" w:rsidRPr="00025B9C">
        <w:rPr>
          <w:rFonts w:asciiTheme="minorHAnsi" w:hAnsiTheme="minorHAnsi" w:cstheme="minorHAnsi"/>
          <w:szCs w:val="20"/>
        </w:rPr>
        <w:t>–</w:t>
      </w:r>
      <w:r w:rsidRPr="00025B9C">
        <w:rPr>
          <w:rFonts w:asciiTheme="minorHAnsi" w:hAnsiTheme="minorHAnsi" w:cstheme="minorHAnsi"/>
          <w:szCs w:val="20"/>
        </w:rPr>
        <w:t>431.</w:t>
      </w:r>
      <w:r w:rsidRPr="00025B9C">
        <w:rPr>
          <w:rFonts w:asciiTheme="minorHAnsi" w:hAnsiTheme="minorHAnsi" w:cstheme="minorHAnsi"/>
          <w:sz w:val="32"/>
          <w:szCs w:val="20"/>
        </w:rPr>
        <w:t xml:space="preserve"> </w:t>
      </w:r>
    </w:p>
    <w:p w:rsidR="004D4786" w:rsidRPr="00025B9C" w:rsidRDefault="004D4786" w:rsidP="004D4786">
      <w:pPr>
        <w:spacing w:line="360" w:lineRule="auto"/>
        <w:ind w:left="720" w:hanging="720"/>
        <w:jc w:val="both"/>
        <w:rPr>
          <w:rFonts w:asciiTheme="minorHAnsi" w:hAnsiTheme="minorHAnsi" w:cstheme="minorHAnsi"/>
          <w:szCs w:val="20"/>
        </w:rPr>
      </w:pPr>
      <w:proofErr w:type="spellStart"/>
      <w:r w:rsidRPr="00025B9C">
        <w:rPr>
          <w:rFonts w:asciiTheme="minorHAnsi" w:hAnsiTheme="minorHAnsi" w:cstheme="minorHAnsi"/>
          <w:szCs w:val="20"/>
        </w:rPr>
        <w:t>Sergakis</w:t>
      </w:r>
      <w:proofErr w:type="spellEnd"/>
      <w:r w:rsidRPr="00025B9C">
        <w:rPr>
          <w:rFonts w:asciiTheme="minorHAnsi" w:hAnsiTheme="minorHAnsi" w:cstheme="minorHAnsi"/>
          <w:szCs w:val="20"/>
        </w:rPr>
        <w:t xml:space="preserve">, K. (2015). Deconstruction and reconstruction of the </w:t>
      </w:r>
      <w:r w:rsidR="008C18DC" w:rsidRPr="00025B9C">
        <w:rPr>
          <w:rFonts w:asciiTheme="minorHAnsi" w:hAnsiTheme="minorHAnsi" w:cstheme="minorHAnsi"/>
          <w:szCs w:val="20"/>
        </w:rPr>
        <w:t>‘</w:t>
      </w:r>
      <w:r w:rsidRPr="00025B9C">
        <w:rPr>
          <w:rFonts w:asciiTheme="minorHAnsi" w:hAnsiTheme="minorHAnsi" w:cstheme="minorHAnsi"/>
          <w:szCs w:val="20"/>
        </w:rPr>
        <w:t>comply</w:t>
      </w:r>
      <w:r w:rsidR="008C18DC" w:rsidRPr="00025B9C">
        <w:rPr>
          <w:rFonts w:asciiTheme="minorHAnsi" w:hAnsiTheme="minorHAnsi" w:cstheme="minorHAnsi"/>
          <w:szCs w:val="20"/>
        </w:rPr>
        <w:t>-or-</w:t>
      </w:r>
      <w:r w:rsidRPr="00025B9C">
        <w:rPr>
          <w:rFonts w:asciiTheme="minorHAnsi" w:hAnsiTheme="minorHAnsi" w:cstheme="minorHAnsi"/>
          <w:szCs w:val="20"/>
        </w:rPr>
        <w:t>explain</w:t>
      </w:r>
      <w:r w:rsidR="008C18DC" w:rsidRPr="00025B9C">
        <w:rPr>
          <w:rFonts w:asciiTheme="minorHAnsi" w:hAnsiTheme="minorHAnsi" w:cstheme="minorHAnsi"/>
          <w:szCs w:val="20"/>
        </w:rPr>
        <w:t>’</w:t>
      </w:r>
      <w:r w:rsidRPr="00025B9C">
        <w:rPr>
          <w:rFonts w:asciiTheme="minorHAnsi" w:hAnsiTheme="minorHAnsi" w:cstheme="minorHAnsi"/>
          <w:szCs w:val="20"/>
        </w:rPr>
        <w:t xml:space="preserve"> principle in EU capital markets. </w:t>
      </w:r>
      <w:r w:rsidRPr="00025B9C">
        <w:rPr>
          <w:rFonts w:asciiTheme="minorHAnsi" w:hAnsiTheme="minorHAnsi" w:cstheme="minorHAnsi"/>
          <w:i/>
          <w:iCs/>
          <w:szCs w:val="20"/>
        </w:rPr>
        <w:t xml:space="preserve">Accounting, Economics and Law - A </w:t>
      </w:r>
      <w:proofErr w:type="spellStart"/>
      <w:r w:rsidRPr="00025B9C">
        <w:rPr>
          <w:rFonts w:asciiTheme="minorHAnsi" w:hAnsiTheme="minorHAnsi" w:cstheme="minorHAnsi"/>
          <w:i/>
          <w:iCs/>
          <w:szCs w:val="20"/>
        </w:rPr>
        <w:t>Convivium</w:t>
      </w:r>
      <w:proofErr w:type="spellEnd"/>
      <w:r w:rsidRPr="00025B9C">
        <w:rPr>
          <w:rFonts w:asciiTheme="minorHAnsi" w:hAnsiTheme="minorHAnsi" w:cstheme="minorHAnsi"/>
          <w:szCs w:val="20"/>
        </w:rPr>
        <w:t xml:space="preserve">, </w:t>
      </w:r>
      <w:r w:rsidRPr="00025B9C">
        <w:rPr>
          <w:rFonts w:asciiTheme="minorHAnsi" w:hAnsiTheme="minorHAnsi" w:cstheme="minorHAnsi"/>
          <w:i/>
          <w:szCs w:val="20"/>
        </w:rPr>
        <w:t>5</w:t>
      </w:r>
      <w:r w:rsidRPr="00025B9C">
        <w:rPr>
          <w:rFonts w:asciiTheme="minorHAnsi" w:hAnsiTheme="minorHAnsi" w:cstheme="minorHAnsi"/>
          <w:szCs w:val="20"/>
        </w:rPr>
        <w:t>(3), 233–288.</w:t>
      </w:r>
    </w:p>
    <w:p w:rsidR="00677C2A" w:rsidRPr="00025B9C" w:rsidRDefault="00964924" w:rsidP="00AB6655">
      <w:pPr>
        <w:spacing w:line="360" w:lineRule="auto"/>
        <w:ind w:left="720" w:hanging="720"/>
        <w:jc w:val="both"/>
        <w:rPr>
          <w:rFonts w:asciiTheme="minorHAnsi" w:eastAsia="Calibri" w:hAnsiTheme="minorHAnsi" w:cstheme="minorHAnsi"/>
          <w:lang w:eastAsia="en-IE"/>
        </w:rPr>
      </w:pPr>
      <w:r w:rsidRPr="00025B9C">
        <w:rPr>
          <w:rFonts w:asciiTheme="minorHAnsi" w:eastAsia="Calibri" w:hAnsiTheme="minorHAnsi" w:cstheme="minorHAnsi"/>
          <w:lang w:eastAsia="en-IE"/>
        </w:rPr>
        <w:t xml:space="preserve">Shearing, C. D. (1993). A constitutive conception of regulation. In P. </w:t>
      </w:r>
      <w:proofErr w:type="spellStart"/>
      <w:r w:rsidRPr="00025B9C">
        <w:rPr>
          <w:rFonts w:asciiTheme="minorHAnsi" w:eastAsia="Calibri" w:hAnsiTheme="minorHAnsi" w:cstheme="minorHAnsi"/>
          <w:lang w:eastAsia="en-IE"/>
        </w:rPr>
        <w:t>Grabosky</w:t>
      </w:r>
      <w:proofErr w:type="spellEnd"/>
      <w:r w:rsidRPr="00025B9C">
        <w:rPr>
          <w:rFonts w:asciiTheme="minorHAnsi" w:eastAsia="Calibri" w:hAnsiTheme="minorHAnsi" w:cstheme="minorHAnsi"/>
          <w:lang w:eastAsia="en-IE"/>
        </w:rPr>
        <w:t xml:space="preserve"> &amp; J. Braithwaite (Eds.). </w:t>
      </w:r>
      <w:r w:rsidRPr="00025B9C">
        <w:rPr>
          <w:rFonts w:asciiTheme="minorHAnsi" w:eastAsia="Calibri" w:hAnsiTheme="minorHAnsi" w:cstheme="minorHAnsi"/>
          <w:i/>
          <w:iCs/>
          <w:lang w:eastAsia="en-IE"/>
        </w:rPr>
        <w:t xml:space="preserve">Business regulation and Australia’s future </w:t>
      </w:r>
      <w:r w:rsidRPr="00025B9C">
        <w:rPr>
          <w:rFonts w:asciiTheme="minorHAnsi" w:eastAsia="Calibri" w:hAnsiTheme="minorHAnsi" w:cstheme="minorHAnsi"/>
          <w:lang w:eastAsia="en-IE"/>
        </w:rPr>
        <w:t>(Chapter 5, pp. 67</w:t>
      </w:r>
      <w:r w:rsidR="00AB6655" w:rsidRPr="00025B9C">
        <w:rPr>
          <w:rFonts w:asciiTheme="minorHAnsi" w:eastAsia="Calibri" w:hAnsiTheme="minorHAnsi" w:cstheme="minorHAnsi"/>
          <w:lang w:eastAsia="en-IE"/>
        </w:rPr>
        <w:t>–</w:t>
      </w:r>
      <w:r w:rsidRPr="00025B9C">
        <w:rPr>
          <w:rFonts w:asciiTheme="minorHAnsi" w:eastAsia="Calibri" w:hAnsiTheme="minorHAnsi" w:cstheme="minorHAnsi"/>
          <w:lang w:eastAsia="en-IE"/>
        </w:rPr>
        <w:t>79). Canberra: Australian Institute of Criminology.</w:t>
      </w:r>
    </w:p>
    <w:p w:rsidR="0051670F" w:rsidRPr="00025B9C" w:rsidRDefault="0051670F" w:rsidP="00D665D9">
      <w:pPr>
        <w:spacing w:line="360" w:lineRule="auto"/>
        <w:ind w:left="720" w:hanging="720"/>
        <w:jc w:val="both"/>
        <w:rPr>
          <w:rFonts w:asciiTheme="minorHAnsi" w:hAnsiTheme="minorHAnsi" w:cstheme="minorHAnsi"/>
          <w:lang w:eastAsia="zh-CN"/>
        </w:rPr>
      </w:pPr>
      <w:r w:rsidRPr="00025B9C">
        <w:rPr>
          <w:rFonts w:asciiTheme="minorHAnsi" w:hAnsiTheme="minorHAnsi" w:cstheme="minorHAnsi"/>
          <w:lang w:eastAsia="zh-CN"/>
        </w:rPr>
        <w:t>Shrives</w:t>
      </w:r>
      <w:r w:rsidR="0094644E" w:rsidRPr="00025B9C">
        <w:rPr>
          <w:rFonts w:asciiTheme="minorHAnsi" w:hAnsiTheme="minorHAnsi" w:cstheme="minorHAnsi"/>
          <w:lang w:eastAsia="zh-CN"/>
        </w:rPr>
        <w:t>,</w:t>
      </w:r>
      <w:r w:rsidRPr="00025B9C">
        <w:rPr>
          <w:rFonts w:asciiTheme="minorHAnsi" w:hAnsiTheme="minorHAnsi" w:cstheme="minorHAnsi"/>
          <w:lang w:eastAsia="zh-CN"/>
        </w:rPr>
        <w:t xml:space="preserve"> P.</w:t>
      </w:r>
      <w:r w:rsidR="007810F4" w:rsidRPr="00025B9C">
        <w:rPr>
          <w:rFonts w:asciiTheme="minorHAnsi" w:hAnsiTheme="minorHAnsi" w:cstheme="minorHAnsi"/>
          <w:lang w:eastAsia="zh-CN"/>
        </w:rPr>
        <w:t xml:space="preserve"> </w:t>
      </w:r>
      <w:r w:rsidRPr="00025B9C">
        <w:rPr>
          <w:rFonts w:asciiTheme="minorHAnsi" w:hAnsiTheme="minorHAnsi" w:cstheme="minorHAnsi"/>
          <w:lang w:eastAsia="zh-CN"/>
        </w:rPr>
        <w:t>J</w:t>
      </w:r>
      <w:r w:rsidR="00780D26" w:rsidRPr="00025B9C">
        <w:rPr>
          <w:rFonts w:asciiTheme="minorHAnsi" w:hAnsiTheme="minorHAnsi" w:cstheme="minorHAnsi"/>
          <w:lang w:eastAsia="zh-CN"/>
        </w:rPr>
        <w:t>., &amp;</w:t>
      </w:r>
      <w:r w:rsidRPr="00025B9C">
        <w:rPr>
          <w:rFonts w:asciiTheme="minorHAnsi" w:hAnsiTheme="minorHAnsi" w:cstheme="minorHAnsi"/>
          <w:lang w:eastAsia="zh-CN"/>
        </w:rPr>
        <w:t xml:space="preserve"> </w:t>
      </w:r>
      <w:r w:rsidR="006C286B" w:rsidRPr="00025B9C">
        <w:rPr>
          <w:rFonts w:asciiTheme="minorHAnsi" w:hAnsiTheme="minorHAnsi" w:cstheme="minorHAnsi"/>
          <w:lang w:eastAsia="zh-CN"/>
        </w:rPr>
        <w:t>Brennan</w:t>
      </w:r>
      <w:r w:rsidRPr="00025B9C">
        <w:rPr>
          <w:rFonts w:asciiTheme="minorHAnsi" w:hAnsiTheme="minorHAnsi" w:cstheme="minorHAnsi"/>
          <w:lang w:eastAsia="zh-CN"/>
        </w:rPr>
        <w:t>, N.</w:t>
      </w:r>
      <w:r w:rsidR="007810F4" w:rsidRPr="00025B9C">
        <w:rPr>
          <w:rFonts w:asciiTheme="minorHAnsi" w:hAnsiTheme="minorHAnsi" w:cstheme="minorHAnsi"/>
          <w:lang w:eastAsia="zh-CN"/>
        </w:rPr>
        <w:t xml:space="preserve"> </w:t>
      </w:r>
      <w:r w:rsidRPr="00025B9C">
        <w:rPr>
          <w:rFonts w:asciiTheme="minorHAnsi" w:hAnsiTheme="minorHAnsi" w:cstheme="minorHAnsi"/>
          <w:lang w:eastAsia="zh-CN"/>
        </w:rPr>
        <w:t>M. (201</w:t>
      </w:r>
      <w:r w:rsidR="00343F6D" w:rsidRPr="00025B9C">
        <w:rPr>
          <w:rFonts w:asciiTheme="minorHAnsi" w:hAnsiTheme="minorHAnsi" w:cstheme="minorHAnsi"/>
          <w:lang w:eastAsia="zh-CN"/>
        </w:rPr>
        <w:t>5</w:t>
      </w:r>
      <w:r w:rsidR="00800388" w:rsidRPr="00025B9C">
        <w:rPr>
          <w:rFonts w:asciiTheme="minorHAnsi" w:hAnsiTheme="minorHAnsi" w:cstheme="minorHAnsi"/>
          <w:lang w:eastAsia="zh-CN"/>
        </w:rPr>
        <w:t>)</w:t>
      </w:r>
      <w:r w:rsidR="00343F6D" w:rsidRPr="00025B9C">
        <w:rPr>
          <w:rFonts w:asciiTheme="minorHAnsi" w:hAnsiTheme="minorHAnsi" w:cstheme="minorHAnsi"/>
          <w:lang w:eastAsia="zh-CN"/>
        </w:rPr>
        <w:t>.</w:t>
      </w:r>
      <w:r w:rsidRPr="00025B9C">
        <w:rPr>
          <w:rFonts w:asciiTheme="minorHAnsi" w:hAnsiTheme="minorHAnsi" w:cstheme="minorHAnsi"/>
          <w:lang w:eastAsia="zh-CN"/>
        </w:rPr>
        <w:t xml:space="preserve"> A typology for exploring the quality of explanations for non-compliance with UK Corporate Governance </w:t>
      </w:r>
      <w:r w:rsidR="00DD3A22" w:rsidRPr="00025B9C">
        <w:rPr>
          <w:rFonts w:asciiTheme="minorHAnsi" w:hAnsiTheme="minorHAnsi" w:cstheme="minorHAnsi"/>
          <w:lang w:eastAsia="zh-CN"/>
        </w:rPr>
        <w:t>r</w:t>
      </w:r>
      <w:r w:rsidRPr="00025B9C">
        <w:rPr>
          <w:rFonts w:asciiTheme="minorHAnsi" w:hAnsiTheme="minorHAnsi" w:cstheme="minorHAnsi"/>
          <w:lang w:eastAsia="zh-CN"/>
        </w:rPr>
        <w:t>egulations</w:t>
      </w:r>
      <w:r w:rsidR="00791047" w:rsidRPr="00025B9C">
        <w:rPr>
          <w:rFonts w:asciiTheme="minorHAnsi" w:hAnsiTheme="minorHAnsi" w:cstheme="minorHAnsi"/>
          <w:lang w:eastAsia="zh-CN"/>
        </w:rPr>
        <w:t>.</w:t>
      </w:r>
      <w:r w:rsidRPr="00025B9C">
        <w:rPr>
          <w:rFonts w:asciiTheme="minorHAnsi" w:hAnsiTheme="minorHAnsi" w:cstheme="minorHAnsi"/>
          <w:lang w:eastAsia="zh-CN"/>
        </w:rPr>
        <w:t xml:space="preserve"> </w:t>
      </w:r>
      <w:r w:rsidR="0094644E" w:rsidRPr="00025B9C">
        <w:rPr>
          <w:rFonts w:asciiTheme="minorHAnsi" w:hAnsiTheme="minorHAnsi" w:cstheme="minorHAnsi"/>
          <w:i/>
        </w:rPr>
        <w:t>The British Accounting Review</w:t>
      </w:r>
      <w:r w:rsidR="0094644E" w:rsidRPr="00025B9C">
        <w:rPr>
          <w:rFonts w:asciiTheme="minorHAnsi" w:hAnsiTheme="minorHAnsi" w:cstheme="minorHAnsi"/>
        </w:rPr>
        <w:t>,</w:t>
      </w:r>
      <w:r w:rsidR="00343F6D" w:rsidRPr="00025B9C">
        <w:rPr>
          <w:rFonts w:asciiTheme="minorHAnsi" w:hAnsiTheme="minorHAnsi" w:cstheme="minorHAnsi"/>
        </w:rPr>
        <w:t xml:space="preserve"> </w:t>
      </w:r>
      <w:r w:rsidR="00AE7C4C" w:rsidRPr="00025B9C">
        <w:rPr>
          <w:rFonts w:asciiTheme="minorHAnsi" w:hAnsiTheme="minorHAnsi" w:cstheme="minorHAnsi"/>
          <w:i/>
        </w:rPr>
        <w:t>47</w:t>
      </w:r>
      <w:r w:rsidR="00AE7C4C" w:rsidRPr="00025B9C">
        <w:rPr>
          <w:rFonts w:asciiTheme="minorHAnsi" w:hAnsiTheme="minorHAnsi" w:cstheme="minorHAnsi"/>
        </w:rPr>
        <w:t>(1), 85</w:t>
      </w:r>
      <w:r w:rsidR="002C36A3" w:rsidRPr="00025B9C">
        <w:rPr>
          <w:rFonts w:asciiTheme="minorHAnsi" w:hAnsiTheme="minorHAnsi" w:cstheme="minorHAnsi"/>
        </w:rPr>
        <w:t>–</w:t>
      </w:r>
      <w:r w:rsidR="00AE7C4C" w:rsidRPr="00025B9C">
        <w:rPr>
          <w:rFonts w:asciiTheme="minorHAnsi" w:hAnsiTheme="minorHAnsi" w:cstheme="minorHAnsi"/>
        </w:rPr>
        <w:t>99</w:t>
      </w:r>
      <w:r w:rsidR="00307CB4" w:rsidRPr="00025B9C">
        <w:rPr>
          <w:rFonts w:asciiTheme="minorHAnsi" w:hAnsiTheme="minorHAnsi" w:cstheme="minorHAnsi"/>
        </w:rPr>
        <w:t>.</w:t>
      </w:r>
    </w:p>
    <w:p w:rsidR="00AB6E85" w:rsidRPr="00025B9C" w:rsidRDefault="00AB6E85"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Smith, M</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Taffler</w:t>
      </w:r>
      <w:proofErr w:type="spellEnd"/>
      <w:r w:rsidRPr="00025B9C">
        <w:rPr>
          <w:rFonts w:asciiTheme="minorHAnsi" w:hAnsiTheme="minorHAnsi" w:cstheme="minorHAnsi"/>
        </w:rPr>
        <w:t>, R.</w:t>
      </w:r>
      <w:r w:rsidR="007810F4" w:rsidRPr="00025B9C">
        <w:rPr>
          <w:rFonts w:asciiTheme="minorHAnsi" w:hAnsiTheme="minorHAnsi" w:cstheme="minorHAnsi"/>
        </w:rPr>
        <w:t xml:space="preserve"> </w:t>
      </w:r>
      <w:r w:rsidRPr="00025B9C">
        <w:rPr>
          <w:rFonts w:asciiTheme="minorHAnsi" w:hAnsiTheme="minorHAnsi" w:cstheme="minorHAnsi"/>
        </w:rPr>
        <w:t xml:space="preserve">J. </w:t>
      </w:r>
      <w:r w:rsidR="00D4548E" w:rsidRPr="00025B9C">
        <w:rPr>
          <w:rFonts w:asciiTheme="minorHAnsi" w:hAnsiTheme="minorHAnsi" w:cstheme="minorHAnsi"/>
        </w:rPr>
        <w:t>(</w:t>
      </w:r>
      <w:r w:rsidRPr="00025B9C">
        <w:rPr>
          <w:rFonts w:asciiTheme="minorHAnsi" w:hAnsiTheme="minorHAnsi" w:cstheme="minorHAnsi"/>
        </w:rPr>
        <w:t>2000</w:t>
      </w:r>
      <w:r w:rsidR="00D4548E" w:rsidRPr="00025B9C">
        <w:rPr>
          <w:rFonts w:asciiTheme="minorHAnsi" w:hAnsiTheme="minorHAnsi" w:cstheme="minorHAnsi"/>
        </w:rPr>
        <w:t>)</w:t>
      </w:r>
      <w:r w:rsidR="00343F6D" w:rsidRPr="00025B9C">
        <w:rPr>
          <w:rFonts w:asciiTheme="minorHAnsi" w:hAnsiTheme="minorHAnsi" w:cstheme="minorHAnsi"/>
        </w:rPr>
        <w:t xml:space="preserve">. </w:t>
      </w:r>
      <w:r w:rsidRPr="00025B9C">
        <w:rPr>
          <w:rFonts w:asciiTheme="minorHAnsi" w:hAnsiTheme="minorHAnsi" w:cstheme="minorHAnsi"/>
        </w:rPr>
        <w:t>The chairman’s statement: a content analysis of disc</w:t>
      </w:r>
      <w:r w:rsidR="00791047" w:rsidRPr="00025B9C">
        <w:rPr>
          <w:rFonts w:asciiTheme="minorHAnsi" w:hAnsiTheme="minorHAnsi" w:cstheme="minorHAnsi"/>
        </w:rPr>
        <w:t>retionary narrative disclosures.</w:t>
      </w:r>
      <w:r w:rsidRPr="00025B9C">
        <w:rPr>
          <w:rFonts w:asciiTheme="minorHAnsi" w:hAnsiTheme="minorHAnsi" w:cstheme="minorHAnsi"/>
          <w:i/>
        </w:rPr>
        <w:t xml:space="preserve"> Accounting, Auditing &amp; Accountability Journal</w:t>
      </w:r>
      <w:r w:rsidRPr="00025B9C">
        <w:rPr>
          <w:rFonts w:asciiTheme="minorHAnsi" w:hAnsiTheme="minorHAnsi" w:cstheme="minorHAnsi"/>
        </w:rPr>
        <w:t>,</w:t>
      </w:r>
      <w:r w:rsidR="000D61FC" w:rsidRPr="00025B9C">
        <w:rPr>
          <w:rFonts w:asciiTheme="minorHAnsi" w:hAnsiTheme="minorHAnsi" w:cstheme="minorHAnsi"/>
        </w:rPr>
        <w:t xml:space="preserve"> </w:t>
      </w:r>
      <w:r w:rsidRPr="00025B9C">
        <w:rPr>
          <w:rFonts w:asciiTheme="minorHAnsi" w:hAnsiTheme="minorHAnsi" w:cstheme="minorHAnsi"/>
          <w:i/>
        </w:rPr>
        <w:t>13</w:t>
      </w:r>
      <w:r w:rsidR="00343F6D" w:rsidRPr="00025B9C">
        <w:rPr>
          <w:rFonts w:asciiTheme="minorHAnsi" w:hAnsiTheme="minorHAnsi" w:cstheme="minorHAnsi"/>
        </w:rPr>
        <w:t>(</w:t>
      </w:r>
      <w:r w:rsidRPr="00025B9C">
        <w:rPr>
          <w:rFonts w:asciiTheme="minorHAnsi" w:hAnsiTheme="minorHAnsi" w:cstheme="minorHAnsi"/>
        </w:rPr>
        <w:t>5</w:t>
      </w:r>
      <w:r w:rsidR="00343F6D" w:rsidRPr="00025B9C">
        <w:rPr>
          <w:rFonts w:asciiTheme="minorHAnsi" w:hAnsiTheme="minorHAnsi" w:cstheme="minorHAnsi"/>
        </w:rPr>
        <w:t>)</w:t>
      </w:r>
      <w:r w:rsidRPr="00025B9C">
        <w:rPr>
          <w:rFonts w:asciiTheme="minorHAnsi" w:hAnsiTheme="minorHAnsi" w:cstheme="minorHAnsi"/>
        </w:rPr>
        <w:t>, 624</w:t>
      </w:r>
      <w:r w:rsidR="002C36A3" w:rsidRPr="00025B9C">
        <w:rPr>
          <w:rFonts w:asciiTheme="minorHAnsi" w:hAnsiTheme="minorHAnsi" w:cstheme="minorHAnsi"/>
        </w:rPr>
        <w:t>–</w:t>
      </w:r>
      <w:r w:rsidR="008C18DC" w:rsidRPr="00025B9C">
        <w:rPr>
          <w:rFonts w:asciiTheme="minorHAnsi" w:hAnsiTheme="minorHAnsi" w:cstheme="minorHAnsi"/>
        </w:rPr>
        <w:t>6</w:t>
      </w:r>
      <w:r w:rsidRPr="00025B9C">
        <w:rPr>
          <w:rFonts w:asciiTheme="minorHAnsi" w:hAnsiTheme="minorHAnsi" w:cstheme="minorHAnsi"/>
        </w:rPr>
        <w:t>46.</w:t>
      </w:r>
    </w:p>
    <w:p w:rsidR="002634AA" w:rsidRPr="00025B9C" w:rsidRDefault="002634AA"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Spira</w:t>
      </w:r>
      <w:proofErr w:type="spellEnd"/>
      <w:r w:rsidRPr="00025B9C">
        <w:rPr>
          <w:rFonts w:asciiTheme="minorHAnsi" w:hAnsiTheme="minorHAnsi" w:cstheme="minorHAnsi"/>
        </w:rPr>
        <w:t>, L.</w:t>
      </w:r>
      <w:r w:rsidR="007810F4" w:rsidRPr="00025B9C">
        <w:rPr>
          <w:rFonts w:asciiTheme="minorHAnsi" w:hAnsiTheme="minorHAnsi" w:cstheme="minorHAnsi"/>
        </w:rPr>
        <w:t xml:space="preserve"> </w:t>
      </w:r>
      <w:r w:rsidRPr="00025B9C">
        <w:rPr>
          <w:rFonts w:asciiTheme="minorHAnsi" w:hAnsiTheme="minorHAnsi" w:cstheme="minorHAnsi"/>
        </w:rPr>
        <w:t>F</w:t>
      </w:r>
      <w:r w:rsidR="00780D26" w:rsidRPr="00025B9C">
        <w:rPr>
          <w:rFonts w:asciiTheme="minorHAnsi" w:hAnsiTheme="minorHAnsi" w:cstheme="minorHAnsi"/>
        </w:rPr>
        <w:t>., &amp;</w:t>
      </w:r>
      <w:r w:rsidRPr="00025B9C">
        <w:rPr>
          <w:rFonts w:asciiTheme="minorHAnsi" w:hAnsiTheme="minorHAnsi" w:cstheme="minorHAnsi"/>
        </w:rPr>
        <w:t xml:space="preserve"> Page, M. (2003). Risk management: The reinvention of internal control and the changing role of internal audit. </w:t>
      </w:r>
      <w:r w:rsidRPr="00025B9C">
        <w:rPr>
          <w:rFonts w:asciiTheme="minorHAnsi" w:hAnsiTheme="minorHAnsi" w:cstheme="minorHAnsi"/>
          <w:i/>
          <w:iCs/>
        </w:rPr>
        <w:t>Accounting, Auditing &amp; Accountability Journal</w:t>
      </w:r>
      <w:r w:rsidRPr="00025B9C">
        <w:rPr>
          <w:rFonts w:asciiTheme="minorHAnsi" w:hAnsiTheme="minorHAnsi" w:cstheme="minorHAnsi"/>
        </w:rPr>
        <w:t xml:space="preserve">, </w:t>
      </w:r>
      <w:r w:rsidRPr="00025B9C">
        <w:rPr>
          <w:rFonts w:asciiTheme="minorHAnsi" w:hAnsiTheme="minorHAnsi" w:cstheme="minorHAnsi"/>
          <w:i/>
        </w:rPr>
        <w:t>16</w:t>
      </w:r>
      <w:r w:rsidRPr="00025B9C">
        <w:rPr>
          <w:rFonts w:asciiTheme="minorHAnsi" w:hAnsiTheme="minorHAnsi" w:cstheme="minorHAnsi"/>
        </w:rPr>
        <w:t>(4), 640</w:t>
      </w:r>
      <w:r w:rsidR="002C36A3" w:rsidRPr="00025B9C">
        <w:rPr>
          <w:rFonts w:asciiTheme="minorHAnsi" w:hAnsiTheme="minorHAnsi" w:cstheme="minorHAnsi"/>
        </w:rPr>
        <w:t>–</w:t>
      </w:r>
      <w:r w:rsidRPr="00025B9C">
        <w:rPr>
          <w:rFonts w:asciiTheme="minorHAnsi" w:hAnsiTheme="minorHAnsi" w:cstheme="minorHAnsi"/>
        </w:rPr>
        <w:t>661.</w:t>
      </w:r>
    </w:p>
    <w:p w:rsidR="00B70AD0" w:rsidRPr="00025B9C" w:rsidRDefault="00B70AD0"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Stanton, P., Stanton, J</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Pires</w:t>
      </w:r>
      <w:proofErr w:type="spellEnd"/>
      <w:r w:rsidRPr="00025B9C">
        <w:rPr>
          <w:rFonts w:asciiTheme="minorHAnsi" w:hAnsiTheme="minorHAnsi" w:cstheme="minorHAnsi"/>
        </w:rPr>
        <w:t xml:space="preserve">, G. (2004). Impressions of an annual report: An experimental study. </w:t>
      </w:r>
      <w:r w:rsidRPr="00025B9C">
        <w:rPr>
          <w:rFonts w:asciiTheme="minorHAnsi" w:hAnsiTheme="minorHAnsi" w:cstheme="minorHAnsi"/>
          <w:i/>
        </w:rPr>
        <w:t>Corporate Communications: An International Journal</w:t>
      </w:r>
      <w:r w:rsidRPr="00025B9C">
        <w:rPr>
          <w:rFonts w:asciiTheme="minorHAnsi" w:hAnsiTheme="minorHAnsi" w:cstheme="minorHAnsi"/>
        </w:rPr>
        <w:t xml:space="preserve">, </w:t>
      </w:r>
      <w:r w:rsidRPr="00025B9C">
        <w:rPr>
          <w:rFonts w:asciiTheme="minorHAnsi" w:hAnsiTheme="minorHAnsi" w:cstheme="minorHAnsi"/>
          <w:i/>
        </w:rPr>
        <w:t>9</w:t>
      </w:r>
      <w:r w:rsidRPr="00025B9C">
        <w:rPr>
          <w:rFonts w:asciiTheme="minorHAnsi" w:hAnsiTheme="minorHAnsi" w:cstheme="minorHAnsi"/>
        </w:rPr>
        <w:t>(1), 57</w:t>
      </w:r>
      <w:r w:rsidR="002C36A3" w:rsidRPr="00025B9C">
        <w:rPr>
          <w:rFonts w:asciiTheme="minorHAnsi" w:hAnsiTheme="minorHAnsi" w:cstheme="minorHAnsi"/>
        </w:rPr>
        <w:t>–</w:t>
      </w:r>
      <w:r w:rsidRPr="00025B9C">
        <w:rPr>
          <w:rFonts w:asciiTheme="minorHAnsi" w:hAnsiTheme="minorHAnsi" w:cstheme="minorHAnsi"/>
        </w:rPr>
        <w:t>69.</w:t>
      </w:r>
    </w:p>
    <w:p w:rsidR="00FE1654" w:rsidRPr="00025B9C" w:rsidRDefault="00C57BDF" w:rsidP="008C18DC">
      <w:pPr>
        <w:spacing w:line="360" w:lineRule="auto"/>
        <w:ind w:left="720" w:hanging="720"/>
        <w:contextualSpacing/>
        <w:jc w:val="both"/>
        <w:rPr>
          <w:rFonts w:asciiTheme="minorHAnsi" w:hAnsiTheme="minorHAnsi" w:cstheme="minorHAnsi"/>
        </w:rPr>
      </w:pPr>
      <w:proofErr w:type="spellStart"/>
      <w:r w:rsidRPr="00025B9C">
        <w:rPr>
          <w:rFonts w:asciiTheme="minorHAnsi" w:hAnsiTheme="minorHAnsi" w:cstheme="minorHAnsi"/>
        </w:rPr>
        <w:t>Stemler</w:t>
      </w:r>
      <w:proofErr w:type="spellEnd"/>
      <w:r w:rsidRPr="00025B9C">
        <w:rPr>
          <w:rFonts w:asciiTheme="minorHAnsi" w:hAnsiTheme="minorHAnsi" w:cstheme="minorHAnsi"/>
        </w:rPr>
        <w:t>, S. (2001)</w:t>
      </w:r>
      <w:r w:rsidR="002A6DD4" w:rsidRPr="00025B9C">
        <w:rPr>
          <w:rFonts w:asciiTheme="minorHAnsi" w:hAnsiTheme="minorHAnsi" w:cstheme="minorHAnsi"/>
        </w:rPr>
        <w:t>.</w:t>
      </w:r>
      <w:r w:rsidRPr="00025B9C">
        <w:rPr>
          <w:rFonts w:asciiTheme="minorHAnsi" w:hAnsiTheme="minorHAnsi" w:cstheme="minorHAnsi"/>
        </w:rPr>
        <w:t xml:space="preserve"> </w:t>
      </w:r>
      <w:r w:rsidR="00791047" w:rsidRPr="00025B9C">
        <w:rPr>
          <w:rFonts w:asciiTheme="minorHAnsi" w:hAnsiTheme="minorHAnsi" w:cstheme="minorHAnsi"/>
        </w:rPr>
        <w:t>An overview of content analysis.</w:t>
      </w:r>
      <w:r w:rsidRPr="00025B9C">
        <w:rPr>
          <w:rFonts w:asciiTheme="minorHAnsi" w:hAnsiTheme="minorHAnsi" w:cstheme="minorHAnsi"/>
        </w:rPr>
        <w:t xml:space="preserve"> </w:t>
      </w:r>
      <w:r w:rsidRPr="00025B9C">
        <w:rPr>
          <w:rFonts w:asciiTheme="minorHAnsi" w:hAnsiTheme="minorHAnsi" w:cstheme="minorHAnsi"/>
          <w:i/>
        </w:rPr>
        <w:t>Practical Assessment, Research and Evaluation, 7</w:t>
      </w:r>
      <w:r w:rsidRPr="00025B9C">
        <w:rPr>
          <w:rFonts w:asciiTheme="minorHAnsi" w:hAnsiTheme="minorHAnsi" w:cstheme="minorHAnsi"/>
        </w:rPr>
        <w:t>(17)</w:t>
      </w:r>
      <w:r w:rsidR="00DD3A22" w:rsidRPr="00025B9C">
        <w:rPr>
          <w:rFonts w:asciiTheme="minorHAnsi" w:hAnsiTheme="minorHAnsi" w:cstheme="minorHAnsi"/>
        </w:rPr>
        <w:t>.</w:t>
      </w:r>
      <w:r w:rsidRPr="00025B9C">
        <w:rPr>
          <w:rFonts w:asciiTheme="minorHAnsi" w:hAnsiTheme="minorHAnsi" w:cstheme="minorHAnsi"/>
        </w:rPr>
        <w:t xml:space="preserve"> Available at</w:t>
      </w:r>
      <w:r w:rsidR="008C18DC" w:rsidRPr="00025B9C">
        <w:rPr>
          <w:rFonts w:asciiTheme="minorHAnsi" w:hAnsiTheme="minorHAnsi" w:cstheme="minorHAnsi"/>
        </w:rPr>
        <w:t>:</w:t>
      </w:r>
      <w:r w:rsidRPr="00025B9C">
        <w:rPr>
          <w:rFonts w:asciiTheme="minorHAnsi" w:hAnsiTheme="minorHAnsi" w:cstheme="minorHAnsi"/>
        </w:rPr>
        <w:t xml:space="preserve"> </w:t>
      </w:r>
      <w:hyperlink r:id="rId17" w:history="1">
        <w:r w:rsidR="008C18DC" w:rsidRPr="00025B9C">
          <w:rPr>
            <w:rStyle w:val="Hyperlink"/>
            <w:rFonts w:asciiTheme="minorHAnsi" w:hAnsiTheme="minorHAnsi" w:cstheme="minorHAnsi"/>
            <w:color w:val="auto"/>
          </w:rPr>
          <w:t>www.pareonline.net/getvn.asp?v=7&amp;n=17</w:t>
        </w:r>
      </w:hyperlink>
      <w:r w:rsidR="008C18DC" w:rsidRPr="00025B9C">
        <w:rPr>
          <w:rFonts w:asciiTheme="minorHAnsi" w:hAnsiTheme="minorHAnsi" w:cstheme="minorHAnsi"/>
        </w:rPr>
        <w:t xml:space="preserve"> </w:t>
      </w:r>
      <w:r w:rsidR="00DD3A22" w:rsidRPr="00025B9C">
        <w:rPr>
          <w:rFonts w:asciiTheme="minorHAnsi" w:hAnsiTheme="minorHAnsi" w:cstheme="minorHAnsi"/>
        </w:rPr>
        <w:t>[</w:t>
      </w:r>
      <w:r w:rsidRPr="00025B9C">
        <w:rPr>
          <w:rFonts w:asciiTheme="minorHAnsi" w:hAnsiTheme="minorHAnsi" w:cstheme="minorHAnsi"/>
        </w:rPr>
        <w:t xml:space="preserve">accessed 17 </w:t>
      </w:r>
      <w:r w:rsidR="009C1D38" w:rsidRPr="00025B9C">
        <w:rPr>
          <w:rFonts w:asciiTheme="minorHAnsi" w:hAnsiTheme="minorHAnsi" w:cstheme="minorHAnsi"/>
        </w:rPr>
        <w:t>December 2016</w:t>
      </w:r>
      <w:r w:rsidR="00DD3A22" w:rsidRPr="00025B9C">
        <w:rPr>
          <w:rFonts w:asciiTheme="minorHAnsi" w:hAnsiTheme="minorHAnsi" w:cstheme="minorHAnsi"/>
        </w:rPr>
        <w:t>]</w:t>
      </w:r>
      <w:r w:rsidRPr="00025B9C">
        <w:rPr>
          <w:rFonts w:asciiTheme="minorHAnsi" w:hAnsiTheme="minorHAnsi" w:cstheme="minorHAnsi"/>
        </w:rPr>
        <w:t>.</w:t>
      </w:r>
    </w:p>
    <w:p w:rsidR="00D00D09" w:rsidRPr="00025B9C" w:rsidRDefault="00D00D09" w:rsidP="00AB6655">
      <w:pPr>
        <w:spacing w:line="360" w:lineRule="auto"/>
        <w:ind w:left="720" w:hanging="720"/>
        <w:contextualSpacing/>
        <w:jc w:val="both"/>
        <w:rPr>
          <w:rFonts w:asciiTheme="minorHAnsi" w:hAnsiTheme="minorHAnsi" w:cstheme="minorHAnsi"/>
        </w:rPr>
      </w:pPr>
      <w:proofErr w:type="spellStart"/>
      <w:r w:rsidRPr="00025B9C">
        <w:rPr>
          <w:rFonts w:asciiTheme="minorHAnsi" w:hAnsiTheme="minorHAnsi" w:cstheme="minorHAnsi"/>
        </w:rPr>
        <w:t>Suchman</w:t>
      </w:r>
      <w:proofErr w:type="spellEnd"/>
      <w:r w:rsidRPr="00025B9C">
        <w:rPr>
          <w:rFonts w:asciiTheme="minorHAnsi" w:hAnsiTheme="minorHAnsi" w:cstheme="minorHAnsi"/>
        </w:rPr>
        <w:t>, M. C. (1995).</w:t>
      </w:r>
      <w:r w:rsidR="00F47B36" w:rsidRPr="00025B9C">
        <w:rPr>
          <w:rFonts w:asciiTheme="minorHAnsi" w:hAnsiTheme="minorHAnsi" w:cstheme="minorHAnsi"/>
        </w:rPr>
        <w:t xml:space="preserve"> Managing l</w:t>
      </w:r>
      <w:r w:rsidR="00461BDB" w:rsidRPr="00025B9C">
        <w:rPr>
          <w:rFonts w:asciiTheme="minorHAnsi" w:hAnsiTheme="minorHAnsi" w:cstheme="minorHAnsi"/>
        </w:rPr>
        <w:t>egitimacy: Strategic and institutional approaches</w:t>
      </w:r>
      <w:r w:rsidR="006808ED" w:rsidRPr="00025B9C">
        <w:rPr>
          <w:rFonts w:asciiTheme="minorHAnsi" w:hAnsiTheme="minorHAnsi" w:cstheme="minorHAnsi"/>
        </w:rPr>
        <w:t>.</w:t>
      </w:r>
      <w:r w:rsidR="00461BDB" w:rsidRPr="00025B9C">
        <w:rPr>
          <w:rFonts w:asciiTheme="minorHAnsi" w:hAnsiTheme="minorHAnsi" w:cstheme="minorHAnsi"/>
        </w:rPr>
        <w:t xml:space="preserve"> </w:t>
      </w:r>
      <w:r w:rsidR="00461BDB" w:rsidRPr="00025B9C">
        <w:rPr>
          <w:rFonts w:asciiTheme="minorHAnsi" w:hAnsiTheme="minorHAnsi" w:cstheme="minorHAnsi"/>
          <w:i/>
        </w:rPr>
        <w:t>Academy of Management Review 20</w:t>
      </w:r>
      <w:r w:rsidR="00461BDB" w:rsidRPr="00025B9C">
        <w:rPr>
          <w:rFonts w:asciiTheme="minorHAnsi" w:hAnsiTheme="minorHAnsi" w:cstheme="minorHAnsi"/>
        </w:rPr>
        <w:t>(3), 571</w:t>
      </w:r>
      <w:r w:rsidR="00AB6655" w:rsidRPr="00025B9C">
        <w:rPr>
          <w:rFonts w:asciiTheme="minorHAnsi" w:hAnsiTheme="minorHAnsi" w:cstheme="minorHAnsi"/>
        </w:rPr>
        <w:t>–</w:t>
      </w:r>
      <w:r w:rsidR="00461BDB" w:rsidRPr="00025B9C">
        <w:rPr>
          <w:rFonts w:asciiTheme="minorHAnsi" w:hAnsiTheme="minorHAnsi" w:cstheme="minorHAnsi"/>
        </w:rPr>
        <w:t xml:space="preserve">610. </w:t>
      </w:r>
    </w:p>
    <w:p w:rsidR="00FE1654" w:rsidRPr="00025B9C" w:rsidRDefault="00FE1654" w:rsidP="00D665D9">
      <w:pPr>
        <w:spacing w:line="360" w:lineRule="auto"/>
        <w:ind w:left="720" w:hanging="720"/>
        <w:contextualSpacing/>
        <w:jc w:val="both"/>
        <w:rPr>
          <w:rFonts w:asciiTheme="minorHAnsi" w:hAnsiTheme="minorHAnsi" w:cstheme="minorHAnsi"/>
        </w:rPr>
      </w:pPr>
      <w:proofErr w:type="spellStart"/>
      <w:r w:rsidRPr="00025B9C">
        <w:rPr>
          <w:rFonts w:asciiTheme="minorHAnsi" w:hAnsiTheme="minorHAnsi" w:cstheme="minorHAnsi"/>
          <w:lang w:val="en-IE" w:eastAsia="en-IE"/>
        </w:rPr>
        <w:t>Suddaby</w:t>
      </w:r>
      <w:proofErr w:type="spellEnd"/>
      <w:r w:rsidRPr="00025B9C">
        <w:rPr>
          <w:rFonts w:asciiTheme="minorHAnsi" w:hAnsiTheme="minorHAnsi" w:cstheme="minorHAnsi"/>
          <w:lang w:val="en-IE" w:eastAsia="en-IE"/>
        </w:rPr>
        <w:t>, R</w:t>
      </w:r>
      <w:r w:rsidR="00780D26" w:rsidRPr="00025B9C">
        <w:rPr>
          <w:rFonts w:asciiTheme="minorHAnsi" w:hAnsiTheme="minorHAnsi" w:cstheme="minorHAnsi"/>
          <w:lang w:val="en-IE" w:eastAsia="en-IE"/>
        </w:rPr>
        <w:t>., &amp;</w:t>
      </w:r>
      <w:r w:rsidRPr="00025B9C">
        <w:rPr>
          <w:rFonts w:asciiTheme="minorHAnsi" w:hAnsiTheme="minorHAnsi" w:cstheme="minorHAnsi"/>
          <w:lang w:val="en-IE" w:eastAsia="en-IE"/>
        </w:rPr>
        <w:t xml:space="preserve"> Greenwood, R. (2005). Rhet</w:t>
      </w:r>
      <w:r w:rsidR="00F87A8F" w:rsidRPr="00025B9C">
        <w:rPr>
          <w:rFonts w:asciiTheme="minorHAnsi" w:hAnsiTheme="minorHAnsi" w:cstheme="minorHAnsi"/>
          <w:lang w:val="en-IE" w:eastAsia="en-IE"/>
        </w:rPr>
        <w:t>orical strategies of legitimacy.</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Administrative</w:t>
      </w:r>
      <w:r w:rsidRPr="00025B9C">
        <w:rPr>
          <w:rFonts w:asciiTheme="minorHAnsi" w:hAnsiTheme="minorHAnsi" w:cstheme="minorHAnsi"/>
          <w:i/>
        </w:rPr>
        <w:t xml:space="preserve"> </w:t>
      </w:r>
      <w:r w:rsidRPr="00025B9C">
        <w:rPr>
          <w:rFonts w:asciiTheme="minorHAnsi" w:hAnsiTheme="minorHAnsi" w:cstheme="minorHAnsi"/>
          <w:i/>
          <w:lang w:val="en-IE" w:eastAsia="en-IE"/>
        </w:rPr>
        <w:t>Science Quarterly</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50</w:t>
      </w:r>
      <w:r w:rsidR="001651E4" w:rsidRPr="00025B9C">
        <w:rPr>
          <w:rFonts w:asciiTheme="minorHAnsi" w:hAnsiTheme="minorHAnsi" w:cstheme="minorHAnsi"/>
          <w:lang w:val="en-IE" w:eastAsia="en-IE"/>
        </w:rPr>
        <w:t xml:space="preserve">(1), </w:t>
      </w:r>
      <w:r w:rsidRPr="00025B9C">
        <w:rPr>
          <w:rFonts w:asciiTheme="minorHAnsi" w:hAnsiTheme="minorHAnsi" w:cstheme="minorHAnsi"/>
          <w:lang w:val="en-IE" w:eastAsia="en-IE"/>
        </w:rPr>
        <w:t>35</w:t>
      </w:r>
      <w:r w:rsidR="002C36A3" w:rsidRPr="00025B9C">
        <w:rPr>
          <w:rFonts w:asciiTheme="minorHAnsi" w:hAnsiTheme="minorHAnsi" w:cstheme="minorHAnsi"/>
        </w:rPr>
        <w:t>–</w:t>
      </w:r>
      <w:r w:rsidRPr="00025B9C">
        <w:rPr>
          <w:rFonts w:asciiTheme="minorHAnsi" w:hAnsiTheme="minorHAnsi" w:cstheme="minorHAnsi"/>
          <w:lang w:val="en-IE" w:eastAsia="en-IE"/>
        </w:rPr>
        <w:t>67.</w:t>
      </w:r>
    </w:p>
    <w:p w:rsidR="00A7173A" w:rsidRPr="00025B9C" w:rsidRDefault="00A7173A" w:rsidP="00D665D9">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Takala</w:t>
      </w:r>
      <w:proofErr w:type="spellEnd"/>
      <w:r w:rsidRPr="00025B9C">
        <w:rPr>
          <w:rFonts w:asciiTheme="minorHAnsi" w:hAnsiTheme="minorHAnsi" w:cstheme="minorHAnsi"/>
        </w:rPr>
        <w:t>,</w:t>
      </w:r>
      <w:r w:rsidR="00F87A8F" w:rsidRPr="00025B9C">
        <w:rPr>
          <w:rFonts w:asciiTheme="minorHAnsi" w:hAnsiTheme="minorHAnsi" w:cstheme="minorHAnsi"/>
        </w:rPr>
        <w:t xml:space="preserve"> T. (1998). Plato on leadership.</w:t>
      </w:r>
      <w:r w:rsidRPr="00025B9C">
        <w:rPr>
          <w:rFonts w:asciiTheme="minorHAnsi" w:hAnsiTheme="minorHAnsi" w:cstheme="minorHAnsi"/>
        </w:rPr>
        <w:t xml:space="preserve"> </w:t>
      </w:r>
      <w:r w:rsidRPr="00025B9C">
        <w:rPr>
          <w:rFonts w:asciiTheme="minorHAnsi" w:hAnsiTheme="minorHAnsi" w:cstheme="minorHAnsi"/>
          <w:i/>
        </w:rPr>
        <w:t>Journal of Business Ethics</w:t>
      </w:r>
      <w:r w:rsidRPr="00025B9C">
        <w:rPr>
          <w:rFonts w:asciiTheme="minorHAnsi" w:hAnsiTheme="minorHAnsi" w:cstheme="minorHAnsi"/>
        </w:rPr>
        <w:t xml:space="preserve">, </w:t>
      </w:r>
      <w:r w:rsidRPr="00025B9C">
        <w:rPr>
          <w:rFonts w:asciiTheme="minorHAnsi" w:hAnsiTheme="minorHAnsi" w:cstheme="minorHAnsi"/>
          <w:i/>
        </w:rPr>
        <w:t>17</w:t>
      </w:r>
      <w:r w:rsidRPr="00025B9C">
        <w:rPr>
          <w:rFonts w:asciiTheme="minorHAnsi" w:hAnsiTheme="minorHAnsi" w:cstheme="minorHAnsi"/>
        </w:rPr>
        <w:t>(7), 785</w:t>
      </w:r>
      <w:r w:rsidR="002C36A3" w:rsidRPr="00025B9C">
        <w:rPr>
          <w:rFonts w:asciiTheme="minorHAnsi" w:hAnsiTheme="minorHAnsi" w:cstheme="minorHAnsi"/>
        </w:rPr>
        <w:t>–</w:t>
      </w:r>
      <w:r w:rsidRPr="00025B9C">
        <w:rPr>
          <w:rFonts w:asciiTheme="minorHAnsi" w:hAnsiTheme="minorHAnsi" w:cstheme="minorHAnsi"/>
        </w:rPr>
        <w:t>798.</w:t>
      </w:r>
    </w:p>
    <w:p w:rsidR="00D14FCA" w:rsidRPr="00025B9C" w:rsidRDefault="00D14FCA" w:rsidP="00F87A8F">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Tedeschi</w:t>
      </w:r>
      <w:proofErr w:type="spellEnd"/>
      <w:r w:rsidRPr="00025B9C">
        <w:rPr>
          <w:rFonts w:asciiTheme="minorHAnsi" w:hAnsiTheme="minorHAnsi" w:cstheme="minorHAnsi"/>
        </w:rPr>
        <w:t>, J</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Melburg</w:t>
      </w:r>
      <w:proofErr w:type="spellEnd"/>
      <w:r w:rsidRPr="00025B9C">
        <w:rPr>
          <w:rFonts w:asciiTheme="minorHAnsi" w:hAnsiTheme="minorHAnsi" w:cstheme="minorHAnsi"/>
        </w:rPr>
        <w:t>, V. (1984</w:t>
      </w:r>
      <w:r w:rsidR="00800388" w:rsidRPr="00025B9C">
        <w:rPr>
          <w:rFonts w:asciiTheme="minorHAnsi" w:hAnsiTheme="minorHAnsi" w:cstheme="minorHAnsi"/>
        </w:rPr>
        <w:t>)</w:t>
      </w:r>
      <w:r w:rsidR="002A6DD4" w:rsidRPr="00025B9C">
        <w:rPr>
          <w:rFonts w:asciiTheme="minorHAnsi" w:hAnsiTheme="minorHAnsi" w:cstheme="minorHAnsi"/>
        </w:rPr>
        <w:t>.</w:t>
      </w:r>
      <w:r w:rsidRPr="00025B9C">
        <w:rPr>
          <w:rFonts w:asciiTheme="minorHAnsi" w:hAnsiTheme="minorHAnsi" w:cstheme="minorHAnsi"/>
        </w:rPr>
        <w:t xml:space="preserve"> Impression management and influence in </w:t>
      </w:r>
      <w:r w:rsidR="00337945" w:rsidRPr="00025B9C">
        <w:rPr>
          <w:rFonts w:asciiTheme="minorHAnsi" w:hAnsiTheme="minorHAnsi" w:cstheme="minorHAnsi"/>
        </w:rPr>
        <w:t xml:space="preserve">the </w:t>
      </w:r>
      <w:r w:rsidRPr="00025B9C">
        <w:rPr>
          <w:rFonts w:asciiTheme="minorHAnsi" w:hAnsiTheme="minorHAnsi" w:cstheme="minorHAnsi"/>
        </w:rPr>
        <w:t>organization</w:t>
      </w:r>
      <w:r w:rsidR="0028442D" w:rsidRPr="00025B9C">
        <w:rPr>
          <w:rFonts w:asciiTheme="minorHAnsi" w:hAnsiTheme="minorHAnsi" w:cstheme="minorHAnsi"/>
        </w:rPr>
        <w:t>.</w:t>
      </w:r>
      <w:r w:rsidRPr="00025B9C">
        <w:rPr>
          <w:rFonts w:asciiTheme="minorHAnsi" w:hAnsiTheme="minorHAnsi" w:cstheme="minorHAnsi"/>
        </w:rPr>
        <w:t xml:space="preserve"> </w:t>
      </w:r>
      <w:r w:rsidR="002A6DD4" w:rsidRPr="00025B9C">
        <w:rPr>
          <w:rFonts w:asciiTheme="minorHAnsi" w:hAnsiTheme="minorHAnsi" w:cstheme="minorHAnsi"/>
        </w:rPr>
        <w:t>I</w:t>
      </w:r>
      <w:r w:rsidRPr="00025B9C">
        <w:rPr>
          <w:rFonts w:asciiTheme="minorHAnsi" w:hAnsiTheme="minorHAnsi" w:cstheme="minorHAnsi"/>
        </w:rPr>
        <w:t xml:space="preserve">n </w:t>
      </w:r>
      <w:r w:rsidR="00F91E17" w:rsidRPr="00025B9C">
        <w:rPr>
          <w:rFonts w:asciiTheme="minorHAnsi" w:hAnsiTheme="minorHAnsi" w:cstheme="minorHAnsi"/>
        </w:rPr>
        <w:t xml:space="preserve">S. </w:t>
      </w:r>
      <w:r w:rsidRPr="00025B9C">
        <w:rPr>
          <w:rFonts w:asciiTheme="minorHAnsi" w:hAnsiTheme="minorHAnsi" w:cstheme="minorHAnsi"/>
        </w:rPr>
        <w:t xml:space="preserve">Bacharach </w:t>
      </w:r>
      <w:r w:rsidR="0028442D" w:rsidRPr="00025B9C">
        <w:rPr>
          <w:rFonts w:asciiTheme="minorHAnsi" w:hAnsiTheme="minorHAnsi" w:cstheme="minorHAnsi"/>
        </w:rPr>
        <w:t>&amp;</w:t>
      </w:r>
      <w:r w:rsidRPr="00025B9C">
        <w:rPr>
          <w:rFonts w:asciiTheme="minorHAnsi" w:hAnsiTheme="minorHAnsi" w:cstheme="minorHAnsi"/>
        </w:rPr>
        <w:t xml:space="preserve"> </w:t>
      </w:r>
      <w:r w:rsidR="00F91E17" w:rsidRPr="00025B9C">
        <w:rPr>
          <w:rFonts w:asciiTheme="minorHAnsi" w:hAnsiTheme="minorHAnsi" w:cstheme="minorHAnsi"/>
        </w:rPr>
        <w:t xml:space="preserve">E. </w:t>
      </w:r>
      <w:r w:rsidRPr="00025B9C">
        <w:rPr>
          <w:rFonts w:asciiTheme="minorHAnsi" w:hAnsiTheme="minorHAnsi" w:cstheme="minorHAnsi"/>
        </w:rPr>
        <w:t xml:space="preserve">Lawler (Eds.), </w:t>
      </w:r>
      <w:r w:rsidRPr="00025B9C">
        <w:rPr>
          <w:rFonts w:asciiTheme="minorHAnsi" w:hAnsiTheme="minorHAnsi" w:cstheme="minorHAnsi"/>
          <w:i/>
        </w:rPr>
        <w:t xml:space="preserve">Research in the </w:t>
      </w:r>
      <w:r w:rsidR="006808ED" w:rsidRPr="00025B9C">
        <w:rPr>
          <w:rFonts w:asciiTheme="minorHAnsi" w:hAnsiTheme="minorHAnsi" w:cstheme="minorHAnsi"/>
          <w:i/>
        </w:rPr>
        <w:t>s</w:t>
      </w:r>
      <w:r w:rsidRPr="00025B9C">
        <w:rPr>
          <w:rFonts w:asciiTheme="minorHAnsi" w:hAnsiTheme="minorHAnsi" w:cstheme="minorHAnsi"/>
          <w:i/>
        </w:rPr>
        <w:t xml:space="preserve">ociology of </w:t>
      </w:r>
      <w:r w:rsidR="006808ED" w:rsidRPr="00025B9C">
        <w:rPr>
          <w:rFonts w:asciiTheme="minorHAnsi" w:hAnsiTheme="minorHAnsi" w:cstheme="minorHAnsi"/>
          <w:i/>
        </w:rPr>
        <w:t>o</w:t>
      </w:r>
      <w:r w:rsidRPr="00025B9C">
        <w:rPr>
          <w:rFonts w:asciiTheme="minorHAnsi" w:hAnsiTheme="minorHAnsi" w:cstheme="minorHAnsi"/>
          <w:i/>
        </w:rPr>
        <w:t>rganizations</w:t>
      </w:r>
      <w:r w:rsidRPr="00025B9C">
        <w:rPr>
          <w:rFonts w:asciiTheme="minorHAnsi" w:hAnsiTheme="minorHAnsi" w:cstheme="minorHAnsi"/>
        </w:rPr>
        <w:t xml:space="preserve">, </w:t>
      </w:r>
      <w:r w:rsidR="00ED1563" w:rsidRPr="00025B9C">
        <w:rPr>
          <w:rFonts w:asciiTheme="minorHAnsi" w:hAnsiTheme="minorHAnsi" w:cstheme="minorHAnsi"/>
          <w:i/>
        </w:rPr>
        <w:t>3</w:t>
      </w:r>
      <w:r w:rsidR="00F87A8F" w:rsidRPr="00025B9C">
        <w:rPr>
          <w:rFonts w:asciiTheme="minorHAnsi" w:hAnsiTheme="minorHAnsi" w:cstheme="minorHAnsi"/>
        </w:rPr>
        <w:t xml:space="preserve"> (pp. 31–58).</w:t>
      </w:r>
      <w:r w:rsidR="00ED1563" w:rsidRPr="00025B9C">
        <w:rPr>
          <w:rFonts w:asciiTheme="minorHAnsi" w:hAnsiTheme="minorHAnsi" w:cstheme="minorHAnsi"/>
        </w:rPr>
        <w:t xml:space="preserve"> </w:t>
      </w:r>
      <w:r w:rsidR="00F87A8F" w:rsidRPr="00025B9C">
        <w:rPr>
          <w:rFonts w:asciiTheme="minorHAnsi" w:hAnsiTheme="minorHAnsi" w:cstheme="minorHAnsi"/>
        </w:rPr>
        <w:t>Greenwich, CT: JAI Press</w:t>
      </w:r>
      <w:r w:rsidR="00337945" w:rsidRPr="00025B9C">
        <w:rPr>
          <w:rFonts w:asciiTheme="minorHAnsi" w:hAnsiTheme="minorHAnsi" w:cstheme="minorHAnsi"/>
        </w:rPr>
        <w:t>.</w:t>
      </w:r>
    </w:p>
    <w:p w:rsidR="00263AE2" w:rsidRPr="00025B9C" w:rsidRDefault="00D14FCA" w:rsidP="00263AE2">
      <w:pPr>
        <w:spacing w:line="360" w:lineRule="auto"/>
        <w:ind w:left="720" w:hanging="720"/>
        <w:jc w:val="both"/>
        <w:rPr>
          <w:rFonts w:asciiTheme="minorHAnsi" w:hAnsiTheme="minorHAnsi" w:cstheme="minorHAnsi"/>
        </w:rPr>
      </w:pPr>
      <w:proofErr w:type="spellStart"/>
      <w:r w:rsidRPr="00025B9C">
        <w:rPr>
          <w:rFonts w:asciiTheme="minorHAnsi" w:hAnsiTheme="minorHAnsi" w:cstheme="minorHAnsi"/>
        </w:rPr>
        <w:t>Tedeschi</w:t>
      </w:r>
      <w:proofErr w:type="spellEnd"/>
      <w:r w:rsidRPr="00025B9C">
        <w:rPr>
          <w:rFonts w:asciiTheme="minorHAnsi" w:hAnsiTheme="minorHAnsi" w:cstheme="minorHAnsi"/>
        </w:rPr>
        <w:t>, J</w:t>
      </w:r>
      <w:r w:rsidR="00780D26" w:rsidRPr="00025B9C">
        <w:rPr>
          <w:rFonts w:asciiTheme="minorHAnsi" w:hAnsiTheme="minorHAnsi" w:cstheme="minorHAnsi"/>
        </w:rPr>
        <w:t>., &amp;</w:t>
      </w:r>
      <w:r w:rsidRPr="00025B9C">
        <w:rPr>
          <w:rFonts w:asciiTheme="minorHAnsi" w:hAnsiTheme="minorHAnsi" w:cstheme="minorHAnsi"/>
        </w:rPr>
        <w:t xml:space="preserve"> Reiss, M. (1981</w:t>
      </w:r>
      <w:r w:rsidR="00800388" w:rsidRPr="00025B9C">
        <w:rPr>
          <w:rFonts w:asciiTheme="minorHAnsi" w:hAnsiTheme="minorHAnsi" w:cstheme="minorHAnsi"/>
        </w:rPr>
        <w:t>)</w:t>
      </w:r>
      <w:r w:rsidR="002A6DD4" w:rsidRPr="00025B9C">
        <w:rPr>
          <w:rFonts w:asciiTheme="minorHAnsi" w:hAnsiTheme="minorHAnsi" w:cstheme="minorHAnsi"/>
        </w:rPr>
        <w:t>.</w:t>
      </w:r>
      <w:r w:rsidRPr="00025B9C">
        <w:rPr>
          <w:rFonts w:asciiTheme="minorHAnsi" w:hAnsiTheme="minorHAnsi" w:cstheme="minorHAnsi"/>
        </w:rPr>
        <w:t xml:space="preserve"> Verbal strategies in impression management</w:t>
      </w:r>
      <w:r w:rsidR="00A11BF2" w:rsidRPr="00025B9C">
        <w:rPr>
          <w:rFonts w:asciiTheme="minorHAnsi" w:hAnsiTheme="minorHAnsi" w:cstheme="minorHAnsi"/>
        </w:rPr>
        <w:t>.</w:t>
      </w:r>
      <w:r w:rsidRPr="00025B9C">
        <w:rPr>
          <w:rFonts w:asciiTheme="minorHAnsi" w:hAnsiTheme="minorHAnsi" w:cstheme="minorHAnsi"/>
        </w:rPr>
        <w:t xml:space="preserve"> </w:t>
      </w:r>
      <w:r w:rsidR="002A6DD4" w:rsidRPr="00025B9C">
        <w:rPr>
          <w:rFonts w:asciiTheme="minorHAnsi" w:hAnsiTheme="minorHAnsi" w:cstheme="minorHAnsi"/>
        </w:rPr>
        <w:t>I</w:t>
      </w:r>
      <w:r w:rsidRPr="00025B9C">
        <w:rPr>
          <w:rFonts w:asciiTheme="minorHAnsi" w:hAnsiTheme="minorHAnsi" w:cstheme="minorHAnsi"/>
        </w:rPr>
        <w:t xml:space="preserve">n </w:t>
      </w:r>
      <w:r w:rsidR="00F91E17" w:rsidRPr="00025B9C">
        <w:rPr>
          <w:rFonts w:asciiTheme="minorHAnsi" w:hAnsiTheme="minorHAnsi" w:cstheme="minorHAnsi"/>
        </w:rPr>
        <w:t xml:space="preserve">C. </w:t>
      </w:r>
      <w:proofErr w:type="spellStart"/>
      <w:r w:rsidRPr="00025B9C">
        <w:rPr>
          <w:rFonts w:asciiTheme="minorHAnsi" w:hAnsiTheme="minorHAnsi" w:cstheme="minorHAnsi"/>
        </w:rPr>
        <w:t>Antaki</w:t>
      </w:r>
      <w:proofErr w:type="spellEnd"/>
      <w:r w:rsidRPr="00025B9C">
        <w:rPr>
          <w:rFonts w:asciiTheme="minorHAnsi" w:hAnsiTheme="minorHAnsi" w:cstheme="minorHAnsi"/>
        </w:rPr>
        <w:t xml:space="preserve"> (Ed.), </w:t>
      </w:r>
      <w:r w:rsidRPr="00025B9C">
        <w:rPr>
          <w:rFonts w:asciiTheme="minorHAnsi" w:hAnsiTheme="minorHAnsi" w:cstheme="minorHAnsi"/>
          <w:i/>
        </w:rPr>
        <w:t xml:space="preserve">The </w:t>
      </w:r>
      <w:r w:rsidR="00F87A8F" w:rsidRPr="00025B9C">
        <w:rPr>
          <w:rFonts w:asciiTheme="minorHAnsi" w:hAnsiTheme="minorHAnsi" w:cstheme="minorHAnsi"/>
          <w:i/>
        </w:rPr>
        <w:t xml:space="preserve">psychology of </w:t>
      </w:r>
      <w:r w:rsidR="000D2552" w:rsidRPr="00025B9C">
        <w:rPr>
          <w:rFonts w:asciiTheme="minorHAnsi" w:hAnsiTheme="minorHAnsi" w:cstheme="minorHAnsi"/>
          <w:i/>
        </w:rPr>
        <w:t>ordinary</w:t>
      </w:r>
      <w:r w:rsidR="00F87A8F" w:rsidRPr="00025B9C">
        <w:rPr>
          <w:rFonts w:asciiTheme="minorHAnsi" w:hAnsiTheme="minorHAnsi" w:cstheme="minorHAnsi"/>
          <w:i/>
        </w:rPr>
        <w:t xml:space="preserve"> explanations of social behaviour</w:t>
      </w:r>
      <w:r w:rsidR="00F87A8F" w:rsidRPr="00025B9C">
        <w:rPr>
          <w:rFonts w:asciiTheme="minorHAnsi" w:hAnsiTheme="minorHAnsi" w:cstheme="minorHAnsi"/>
        </w:rPr>
        <w:t xml:space="preserve"> (pp. 271–309).</w:t>
      </w:r>
      <w:r w:rsidR="00ED1563" w:rsidRPr="00025B9C">
        <w:rPr>
          <w:rFonts w:asciiTheme="minorHAnsi" w:hAnsiTheme="minorHAnsi" w:cstheme="minorHAnsi"/>
        </w:rPr>
        <w:t xml:space="preserve"> London</w:t>
      </w:r>
      <w:r w:rsidR="00F87A8F" w:rsidRPr="00025B9C">
        <w:rPr>
          <w:rFonts w:asciiTheme="minorHAnsi" w:hAnsiTheme="minorHAnsi" w:cstheme="minorHAnsi"/>
        </w:rPr>
        <w:t>: Academic Press</w:t>
      </w:r>
      <w:r w:rsidRPr="00025B9C">
        <w:rPr>
          <w:rFonts w:asciiTheme="minorHAnsi" w:hAnsiTheme="minorHAnsi" w:cstheme="minorHAnsi"/>
        </w:rPr>
        <w:t>.</w:t>
      </w:r>
    </w:p>
    <w:p w:rsidR="00263AE2" w:rsidRPr="00025B9C" w:rsidRDefault="00263AE2" w:rsidP="00263AE2">
      <w:pPr>
        <w:spacing w:line="360" w:lineRule="auto"/>
        <w:ind w:left="720" w:hanging="720"/>
        <w:jc w:val="both"/>
        <w:rPr>
          <w:rFonts w:asciiTheme="minorHAnsi" w:hAnsiTheme="minorHAnsi" w:cstheme="minorHAnsi"/>
        </w:rPr>
      </w:pPr>
      <w:r w:rsidRPr="00025B9C">
        <w:rPr>
          <w:rFonts w:asciiTheme="minorHAnsi" w:hAnsiTheme="minorHAnsi" w:cstheme="minorHAnsi"/>
          <w:lang w:val="en-IE" w:eastAsia="en-AU"/>
        </w:rPr>
        <w:t xml:space="preserve">The Association of Investment Companies (2016). </w:t>
      </w:r>
      <w:r w:rsidRPr="00025B9C">
        <w:rPr>
          <w:rFonts w:asciiTheme="minorHAnsi" w:hAnsiTheme="minorHAnsi" w:cstheme="minorHAnsi"/>
          <w:i/>
          <w:lang w:eastAsia="en-AU"/>
        </w:rPr>
        <w:t>The AIC code of corporate governance: a framework of best practice for member companies</w:t>
      </w:r>
      <w:r w:rsidRPr="00025B9C">
        <w:rPr>
          <w:rFonts w:asciiTheme="minorHAnsi" w:hAnsiTheme="minorHAnsi" w:cstheme="minorHAnsi"/>
          <w:lang w:eastAsia="en-AU"/>
        </w:rPr>
        <w:t xml:space="preserve">. </w:t>
      </w:r>
      <w:r w:rsidRPr="00025B9C">
        <w:rPr>
          <w:rFonts w:asciiTheme="minorHAnsi" w:hAnsiTheme="minorHAnsi" w:cstheme="minorHAnsi"/>
          <w:lang w:val="en-IE" w:eastAsia="en-AU"/>
        </w:rPr>
        <w:t>London: The Association of Investment Companies.</w:t>
      </w:r>
    </w:p>
    <w:p w:rsidR="00320C36" w:rsidRPr="00025B9C" w:rsidRDefault="00CB5A83" w:rsidP="00AB6655">
      <w:pPr>
        <w:spacing w:line="360" w:lineRule="auto"/>
        <w:ind w:left="720" w:hanging="720"/>
        <w:jc w:val="both"/>
        <w:rPr>
          <w:rFonts w:asciiTheme="minorHAnsi" w:hAnsiTheme="minorHAnsi" w:cstheme="minorHAnsi"/>
          <w:iCs/>
        </w:rPr>
      </w:pPr>
      <w:proofErr w:type="spellStart"/>
      <w:r w:rsidRPr="00025B9C">
        <w:rPr>
          <w:rFonts w:asciiTheme="minorHAnsi" w:hAnsiTheme="minorHAnsi" w:cstheme="minorHAnsi"/>
          <w:lang w:eastAsia="en-AU"/>
        </w:rPr>
        <w:t>Tomasic</w:t>
      </w:r>
      <w:proofErr w:type="spellEnd"/>
      <w:r w:rsidRPr="00025B9C">
        <w:rPr>
          <w:rFonts w:asciiTheme="minorHAnsi" w:hAnsiTheme="minorHAnsi" w:cstheme="minorHAnsi"/>
          <w:lang w:eastAsia="en-AU"/>
        </w:rPr>
        <w:t xml:space="preserve">, R. (2011). </w:t>
      </w:r>
      <w:r w:rsidRPr="00025B9C">
        <w:rPr>
          <w:rFonts w:asciiTheme="minorHAnsi" w:hAnsiTheme="minorHAnsi" w:cstheme="minorHAnsi"/>
          <w:iCs/>
          <w:lang w:eastAsia="en-AU"/>
        </w:rPr>
        <w:t xml:space="preserve">The </w:t>
      </w:r>
      <w:r w:rsidR="0096386B" w:rsidRPr="00025B9C">
        <w:rPr>
          <w:rFonts w:asciiTheme="minorHAnsi" w:hAnsiTheme="minorHAnsi" w:cstheme="minorHAnsi"/>
          <w:iCs/>
          <w:lang w:eastAsia="en-AU"/>
        </w:rPr>
        <w:t>failure of corporate governance and the limits of law</w:t>
      </w:r>
      <w:r w:rsidRPr="00025B9C">
        <w:rPr>
          <w:rFonts w:asciiTheme="minorHAnsi" w:hAnsiTheme="minorHAnsi" w:cstheme="minorHAnsi"/>
          <w:iCs/>
          <w:lang w:eastAsia="en-AU"/>
        </w:rPr>
        <w:t xml:space="preserve">: British </w:t>
      </w:r>
      <w:r w:rsidR="0096386B" w:rsidRPr="00025B9C">
        <w:rPr>
          <w:rFonts w:asciiTheme="minorHAnsi" w:hAnsiTheme="minorHAnsi" w:cstheme="minorHAnsi"/>
          <w:iCs/>
          <w:lang w:eastAsia="en-AU"/>
        </w:rPr>
        <w:t>banks and the global financial crisis</w:t>
      </w:r>
      <w:r w:rsidRPr="00025B9C">
        <w:rPr>
          <w:rFonts w:asciiTheme="minorHAnsi" w:hAnsiTheme="minorHAnsi" w:cstheme="minorHAnsi"/>
          <w:lang w:eastAsia="en-AU"/>
        </w:rPr>
        <w:t>.</w:t>
      </w:r>
      <w:r w:rsidR="00A37510" w:rsidRPr="00025B9C">
        <w:rPr>
          <w:rFonts w:asciiTheme="minorHAnsi" w:hAnsiTheme="minorHAnsi" w:cstheme="minorHAnsi"/>
          <w:lang w:eastAsia="en-AU"/>
        </w:rPr>
        <w:t xml:space="preserve"> In </w:t>
      </w:r>
      <w:r w:rsidR="00A37510" w:rsidRPr="00025B9C">
        <w:rPr>
          <w:rFonts w:asciiTheme="minorHAnsi" w:hAnsiTheme="minorHAnsi" w:cstheme="minorHAnsi"/>
          <w:iCs/>
        </w:rPr>
        <w:t>W</w:t>
      </w:r>
      <w:r w:rsidR="00C747C7" w:rsidRPr="00025B9C">
        <w:rPr>
          <w:rFonts w:asciiTheme="minorHAnsi" w:hAnsiTheme="minorHAnsi" w:cstheme="minorHAnsi"/>
          <w:iCs/>
        </w:rPr>
        <w:t>. Sun, J. Stewart, D. Pollard (E</w:t>
      </w:r>
      <w:r w:rsidR="008C18DC" w:rsidRPr="00025B9C">
        <w:rPr>
          <w:rFonts w:asciiTheme="minorHAnsi" w:hAnsiTheme="minorHAnsi" w:cstheme="minorHAnsi"/>
          <w:iCs/>
        </w:rPr>
        <w:t>ds.),</w:t>
      </w:r>
      <w:r w:rsidR="00A37510" w:rsidRPr="00025B9C">
        <w:rPr>
          <w:rFonts w:asciiTheme="minorHAnsi" w:hAnsiTheme="minorHAnsi" w:cstheme="minorHAnsi"/>
          <w:i/>
          <w:iCs/>
        </w:rPr>
        <w:t xml:space="preserve"> Corporate governance and the global financial crisis – international perspectives</w:t>
      </w:r>
      <w:r w:rsidR="00A37510" w:rsidRPr="00025B9C">
        <w:rPr>
          <w:rFonts w:asciiTheme="minorHAnsi" w:hAnsiTheme="minorHAnsi" w:cstheme="minorHAnsi"/>
          <w:iCs/>
        </w:rPr>
        <w:t xml:space="preserve"> (Chapter 3, pp. 50</w:t>
      </w:r>
      <w:r w:rsidR="00AB6655" w:rsidRPr="00025B9C">
        <w:rPr>
          <w:rFonts w:asciiTheme="minorHAnsi" w:hAnsiTheme="minorHAnsi" w:cstheme="minorHAnsi"/>
          <w:iCs/>
        </w:rPr>
        <w:t>–</w:t>
      </w:r>
      <w:r w:rsidR="00A37510" w:rsidRPr="00025B9C">
        <w:rPr>
          <w:rFonts w:asciiTheme="minorHAnsi" w:hAnsiTheme="minorHAnsi" w:cstheme="minorHAnsi"/>
          <w:iCs/>
        </w:rPr>
        <w:t xml:space="preserve">74). </w:t>
      </w:r>
      <w:r w:rsidR="0096386B" w:rsidRPr="00025B9C">
        <w:rPr>
          <w:rFonts w:asciiTheme="minorHAnsi" w:hAnsiTheme="minorHAnsi" w:cstheme="minorHAnsi"/>
          <w:lang w:eastAsia="en-AU"/>
        </w:rPr>
        <w:t>Cambridge:</w:t>
      </w:r>
      <w:r w:rsidRPr="00025B9C">
        <w:rPr>
          <w:rFonts w:asciiTheme="minorHAnsi" w:hAnsiTheme="minorHAnsi" w:cstheme="minorHAnsi"/>
          <w:lang w:eastAsia="en-AU"/>
        </w:rPr>
        <w:t xml:space="preserve"> Cambridge University Press.</w:t>
      </w:r>
    </w:p>
    <w:p w:rsidR="0056618A" w:rsidRPr="00025B9C" w:rsidRDefault="0056618A" w:rsidP="0056618A">
      <w:pPr>
        <w:spacing w:line="360" w:lineRule="auto"/>
        <w:ind w:left="720" w:hanging="720"/>
        <w:jc w:val="both"/>
        <w:rPr>
          <w:rFonts w:ascii="Calibri" w:hAnsi="Calibri" w:cs="Calibri"/>
        </w:rPr>
      </w:pPr>
      <w:r w:rsidRPr="00025B9C">
        <w:rPr>
          <w:rFonts w:ascii="Calibri" w:hAnsi="Calibri" w:cs="Calibri"/>
          <w:szCs w:val="20"/>
        </w:rPr>
        <w:t xml:space="preserve">Tremblay, M.‐S. (2012). Illusions of control? The extension of new public management through corporate governance regulation. </w:t>
      </w:r>
      <w:r w:rsidRPr="00025B9C">
        <w:rPr>
          <w:rFonts w:ascii="Calibri" w:hAnsi="Calibri" w:cs="Calibri"/>
          <w:i/>
          <w:iCs/>
          <w:szCs w:val="20"/>
        </w:rPr>
        <w:t xml:space="preserve">Financial </w:t>
      </w:r>
      <w:r w:rsidR="00564BD2" w:rsidRPr="00025B9C">
        <w:rPr>
          <w:rFonts w:ascii="Calibri" w:hAnsi="Calibri" w:cs="Calibri"/>
          <w:i/>
          <w:iCs/>
          <w:szCs w:val="20"/>
        </w:rPr>
        <w:t>Accountability &amp; Management</w:t>
      </w:r>
      <w:r w:rsidRPr="00025B9C">
        <w:rPr>
          <w:rFonts w:ascii="Calibri" w:hAnsi="Calibri" w:cs="Calibri"/>
          <w:szCs w:val="20"/>
        </w:rPr>
        <w:t xml:space="preserve">, </w:t>
      </w:r>
      <w:r w:rsidRPr="00025B9C">
        <w:rPr>
          <w:rFonts w:ascii="Calibri" w:hAnsi="Calibri" w:cs="Calibri"/>
          <w:i/>
          <w:szCs w:val="20"/>
        </w:rPr>
        <w:t>28</w:t>
      </w:r>
      <w:r w:rsidRPr="00025B9C">
        <w:rPr>
          <w:rFonts w:ascii="Calibri" w:hAnsi="Calibri" w:cs="Calibri"/>
          <w:szCs w:val="20"/>
        </w:rPr>
        <w:t>(4), 395–416.</w:t>
      </w:r>
    </w:p>
    <w:p w:rsidR="00320C36" w:rsidRPr="00025B9C" w:rsidRDefault="00320C36" w:rsidP="00320C36">
      <w:pPr>
        <w:spacing w:line="360" w:lineRule="auto"/>
        <w:ind w:left="720" w:hanging="720"/>
        <w:jc w:val="both"/>
        <w:rPr>
          <w:rFonts w:ascii="Calibri" w:hAnsi="Calibri" w:cs="Calibri"/>
        </w:rPr>
      </w:pPr>
      <w:r w:rsidRPr="00025B9C">
        <w:rPr>
          <w:rFonts w:ascii="Calibri" w:hAnsi="Calibri" w:cs="Calibri"/>
        </w:rPr>
        <w:t>Tremblay, M</w:t>
      </w:r>
      <w:r w:rsidR="0056618A" w:rsidRPr="00025B9C">
        <w:rPr>
          <w:rFonts w:ascii="Calibri" w:hAnsi="Calibri" w:cs="Calibri"/>
        </w:rPr>
        <w:t>.</w:t>
      </w:r>
      <w:r w:rsidRPr="00025B9C">
        <w:rPr>
          <w:rFonts w:ascii="Calibri" w:hAnsi="Calibri" w:cs="Calibri"/>
        </w:rPr>
        <w:t>-S</w:t>
      </w:r>
      <w:r w:rsidR="0056618A" w:rsidRPr="00025B9C">
        <w:rPr>
          <w:rFonts w:ascii="Calibri" w:hAnsi="Calibri" w:cs="Calibri"/>
        </w:rPr>
        <w:t>.</w:t>
      </w:r>
      <w:r w:rsidRPr="00025B9C">
        <w:rPr>
          <w:rFonts w:ascii="Calibri" w:hAnsi="Calibri" w:cs="Calibri"/>
        </w:rPr>
        <w:t xml:space="preserve">, </w:t>
      </w:r>
      <w:r w:rsidR="002A73FF" w:rsidRPr="00025B9C">
        <w:rPr>
          <w:rFonts w:ascii="Calibri" w:hAnsi="Calibri" w:cs="Calibri"/>
        </w:rPr>
        <w:t>&amp;</w:t>
      </w:r>
      <w:r w:rsidRPr="00025B9C">
        <w:rPr>
          <w:rFonts w:ascii="Calibri" w:hAnsi="Calibri" w:cs="Calibri"/>
        </w:rPr>
        <w:t xml:space="preserve"> </w:t>
      </w:r>
      <w:proofErr w:type="spellStart"/>
      <w:r w:rsidRPr="00025B9C">
        <w:rPr>
          <w:rFonts w:ascii="Calibri" w:hAnsi="Calibri" w:cs="Calibri"/>
        </w:rPr>
        <w:t>Gendron</w:t>
      </w:r>
      <w:proofErr w:type="spellEnd"/>
      <w:r w:rsidRPr="00025B9C">
        <w:rPr>
          <w:rFonts w:ascii="Calibri" w:hAnsi="Calibri" w:cs="Calibri"/>
        </w:rPr>
        <w:t xml:space="preserve">, Y. (2011). Governance prescriptions under trial: On the interplay between the logics of resistance and compliance in audit committees. </w:t>
      </w:r>
      <w:r w:rsidR="00564BD2" w:rsidRPr="00025B9C">
        <w:rPr>
          <w:rFonts w:ascii="Calibri" w:hAnsi="Calibri" w:cs="Calibri"/>
          <w:i/>
          <w:iCs/>
        </w:rPr>
        <w:t>Critical Perspectives on A</w:t>
      </w:r>
      <w:r w:rsidRPr="00025B9C">
        <w:rPr>
          <w:rFonts w:ascii="Calibri" w:hAnsi="Calibri" w:cs="Calibri"/>
          <w:i/>
          <w:iCs/>
        </w:rPr>
        <w:t>ccounting</w:t>
      </w:r>
      <w:r w:rsidRPr="00025B9C">
        <w:rPr>
          <w:rFonts w:ascii="Calibri" w:hAnsi="Calibri" w:cs="Calibri"/>
        </w:rPr>
        <w:t xml:space="preserve">, </w:t>
      </w:r>
      <w:r w:rsidRPr="00025B9C">
        <w:rPr>
          <w:rFonts w:ascii="Calibri" w:hAnsi="Calibri" w:cs="Calibri"/>
          <w:i/>
        </w:rPr>
        <w:t>22</w:t>
      </w:r>
      <w:r w:rsidRPr="00025B9C">
        <w:rPr>
          <w:rFonts w:ascii="Calibri" w:hAnsi="Calibri" w:cs="Calibri"/>
        </w:rPr>
        <w:t>(3</w:t>
      </w:r>
      <w:r w:rsidR="0056618A" w:rsidRPr="00025B9C">
        <w:rPr>
          <w:rFonts w:ascii="Calibri" w:hAnsi="Calibri" w:cs="Calibri"/>
        </w:rPr>
        <w:t>),</w:t>
      </w:r>
      <w:r w:rsidR="00CF522A" w:rsidRPr="00025B9C">
        <w:rPr>
          <w:rFonts w:ascii="Calibri" w:hAnsi="Calibri" w:cs="Calibri"/>
        </w:rPr>
        <w:t xml:space="preserve"> 259–272.</w:t>
      </w:r>
    </w:p>
    <w:p w:rsidR="008B1341" w:rsidRPr="00025B9C" w:rsidRDefault="008B1341" w:rsidP="00D665D9">
      <w:pPr>
        <w:spacing w:line="360" w:lineRule="auto"/>
        <w:ind w:left="720" w:hanging="720"/>
        <w:jc w:val="both"/>
        <w:rPr>
          <w:rFonts w:asciiTheme="minorHAnsi" w:hAnsiTheme="minorHAnsi" w:cstheme="minorHAnsi"/>
          <w:lang w:val="en-IE" w:eastAsia="en-IE"/>
        </w:rPr>
      </w:pPr>
      <w:proofErr w:type="spellStart"/>
      <w:r w:rsidRPr="00025B9C">
        <w:rPr>
          <w:rFonts w:asciiTheme="minorHAnsi" w:hAnsiTheme="minorHAnsi" w:cstheme="minorHAnsi"/>
        </w:rPr>
        <w:t>Veldman</w:t>
      </w:r>
      <w:proofErr w:type="spellEnd"/>
      <w:r w:rsidRPr="00025B9C">
        <w:rPr>
          <w:rFonts w:asciiTheme="minorHAnsi" w:hAnsiTheme="minorHAnsi" w:cstheme="minorHAnsi"/>
        </w:rPr>
        <w:t>, J</w:t>
      </w:r>
      <w:r w:rsidR="00780D26" w:rsidRPr="00025B9C">
        <w:rPr>
          <w:rFonts w:asciiTheme="minorHAnsi" w:hAnsiTheme="minorHAnsi" w:cstheme="minorHAnsi"/>
        </w:rPr>
        <w:t>., &amp;</w:t>
      </w:r>
      <w:r w:rsidR="00E26AF1" w:rsidRPr="00025B9C">
        <w:rPr>
          <w:rFonts w:asciiTheme="minorHAnsi" w:hAnsiTheme="minorHAnsi" w:cstheme="minorHAnsi"/>
        </w:rPr>
        <w:t xml:space="preserve"> Willmott, H.C. (2016</w:t>
      </w:r>
      <w:r w:rsidRPr="00025B9C">
        <w:rPr>
          <w:rFonts w:asciiTheme="minorHAnsi" w:hAnsiTheme="minorHAnsi" w:cstheme="minorHAnsi"/>
        </w:rPr>
        <w:t xml:space="preserve">). </w:t>
      </w:r>
      <w:r w:rsidR="006B6873" w:rsidRPr="00025B9C">
        <w:rPr>
          <w:rFonts w:asciiTheme="minorHAnsi" w:hAnsiTheme="minorHAnsi" w:cstheme="minorHAnsi"/>
        </w:rPr>
        <w:t xml:space="preserve">The cultural grammar of governance: The UK Code of Corporate Governance, reflexivity, and the limits of ‘soft’ regulation. </w:t>
      </w:r>
      <w:r w:rsidR="006B6873" w:rsidRPr="00025B9C">
        <w:rPr>
          <w:rFonts w:asciiTheme="minorHAnsi" w:hAnsiTheme="minorHAnsi" w:cstheme="minorHAnsi"/>
          <w:i/>
          <w:iCs/>
        </w:rPr>
        <w:t xml:space="preserve">Human </w:t>
      </w:r>
      <w:r w:rsidR="00564BD2" w:rsidRPr="00025B9C">
        <w:rPr>
          <w:rFonts w:asciiTheme="minorHAnsi" w:hAnsiTheme="minorHAnsi" w:cstheme="minorHAnsi"/>
          <w:i/>
          <w:iCs/>
        </w:rPr>
        <w:t>R</w:t>
      </w:r>
      <w:r w:rsidRPr="00025B9C">
        <w:rPr>
          <w:rFonts w:asciiTheme="minorHAnsi" w:hAnsiTheme="minorHAnsi" w:cstheme="minorHAnsi"/>
          <w:i/>
          <w:iCs/>
        </w:rPr>
        <w:t>elations</w:t>
      </w:r>
      <w:r w:rsidRPr="00025B9C">
        <w:rPr>
          <w:rFonts w:asciiTheme="minorHAnsi" w:hAnsiTheme="minorHAnsi" w:cstheme="minorHAnsi"/>
        </w:rPr>
        <w:t xml:space="preserve">, </w:t>
      </w:r>
      <w:r w:rsidR="00E26AF1" w:rsidRPr="00025B9C">
        <w:rPr>
          <w:rFonts w:asciiTheme="minorHAnsi" w:hAnsiTheme="minorHAnsi" w:cstheme="minorHAnsi"/>
          <w:i/>
        </w:rPr>
        <w:t>69</w:t>
      </w:r>
      <w:r w:rsidR="00E26AF1" w:rsidRPr="00025B9C">
        <w:rPr>
          <w:rFonts w:asciiTheme="minorHAnsi" w:hAnsiTheme="minorHAnsi" w:cstheme="minorHAnsi"/>
        </w:rPr>
        <w:t>(3), 581</w:t>
      </w:r>
      <w:r w:rsidR="002C36A3" w:rsidRPr="00025B9C">
        <w:rPr>
          <w:rFonts w:asciiTheme="minorHAnsi" w:hAnsiTheme="minorHAnsi" w:cstheme="minorHAnsi"/>
        </w:rPr>
        <w:t>–</w:t>
      </w:r>
      <w:r w:rsidR="00E26AF1" w:rsidRPr="00025B9C">
        <w:rPr>
          <w:rFonts w:asciiTheme="minorHAnsi" w:hAnsiTheme="minorHAnsi" w:cstheme="minorHAnsi"/>
        </w:rPr>
        <w:t>603</w:t>
      </w:r>
      <w:r w:rsidRPr="00025B9C">
        <w:rPr>
          <w:rFonts w:asciiTheme="minorHAnsi" w:hAnsiTheme="minorHAnsi" w:cstheme="minorHAnsi"/>
        </w:rPr>
        <w:t>.</w:t>
      </w:r>
      <w:r w:rsidRPr="00025B9C">
        <w:rPr>
          <w:rFonts w:asciiTheme="minorHAnsi" w:hAnsiTheme="minorHAnsi" w:cstheme="minorHAnsi"/>
          <w:lang w:val="en-IE" w:eastAsia="en-IE"/>
        </w:rPr>
        <w:t xml:space="preserve"> </w:t>
      </w:r>
    </w:p>
    <w:p w:rsidR="001536AC" w:rsidRPr="00025B9C" w:rsidRDefault="001536AC" w:rsidP="00D665D9">
      <w:pPr>
        <w:spacing w:line="360" w:lineRule="auto"/>
        <w:ind w:left="720" w:hanging="720"/>
        <w:jc w:val="both"/>
        <w:rPr>
          <w:rFonts w:asciiTheme="minorHAnsi" w:hAnsiTheme="minorHAnsi" w:cstheme="minorHAnsi"/>
        </w:rPr>
      </w:pPr>
      <w:r w:rsidRPr="00025B9C">
        <w:rPr>
          <w:rFonts w:asciiTheme="minorHAnsi" w:hAnsiTheme="minorHAnsi" w:cstheme="minorHAnsi"/>
        </w:rPr>
        <w:t>Ware, B.L</w:t>
      </w:r>
      <w:r w:rsidR="00780D26" w:rsidRPr="00025B9C">
        <w:rPr>
          <w:rFonts w:asciiTheme="minorHAnsi" w:hAnsiTheme="minorHAnsi" w:cstheme="minorHAnsi"/>
        </w:rPr>
        <w:t>., &amp;</w:t>
      </w:r>
      <w:r w:rsidRPr="00025B9C">
        <w:rPr>
          <w:rFonts w:asciiTheme="minorHAnsi" w:hAnsiTheme="minorHAnsi" w:cstheme="minorHAnsi"/>
        </w:rPr>
        <w:t xml:space="preserve"> </w:t>
      </w:r>
      <w:proofErr w:type="spellStart"/>
      <w:r w:rsidRPr="00025B9C">
        <w:rPr>
          <w:rFonts w:asciiTheme="minorHAnsi" w:hAnsiTheme="minorHAnsi" w:cstheme="minorHAnsi"/>
        </w:rPr>
        <w:t>Linkugel</w:t>
      </w:r>
      <w:proofErr w:type="spellEnd"/>
      <w:r w:rsidRPr="00025B9C">
        <w:rPr>
          <w:rFonts w:asciiTheme="minorHAnsi" w:hAnsiTheme="minorHAnsi" w:cstheme="minorHAnsi"/>
        </w:rPr>
        <w:t xml:space="preserve">, W.A. (1973). They spoke in </w:t>
      </w:r>
      <w:proofErr w:type="spellStart"/>
      <w:r w:rsidRPr="00025B9C">
        <w:rPr>
          <w:rFonts w:asciiTheme="minorHAnsi" w:hAnsiTheme="minorHAnsi" w:cstheme="minorHAnsi"/>
        </w:rPr>
        <w:t>defense</w:t>
      </w:r>
      <w:proofErr w:type="spellEnd"/>
      <w:r w:rsidRPr="00025B9C">
        <w:rPr>
          <w:rFonts w:asciiTheme="minorHAnsi" w:hAnsiTheme="minorHAnsi" w:cstheme="minorHAnsi"/>
        </w:rPr>
        <w:t xml:space="preserve"> of themselves: On th</w:t>
      </w:r>
      <w:r w:rsidR="0096386B" w:rsidRPr="00025B9C">
        <w:rPr>
          <w:rFonts w:asciiTheme="minorHAnsi" w:hAnsiTheme="minorHAnsi" w:cstheme="minorHAnsi"/>
        </w:rPr>
        <w:t>e generic criticism of apologia.</w:t>
      </w:r>
      <w:r w:rsidRPr="00025B9C">
        <w:rPr>
          <w:rFonts w:asciiTheme="minorHAnsi" w:hAnsiTheme="minorHAnsi" w:cstheme="minorHAnsi"/>
        </w:rPr>
        <w:t xml:space="preserve"> </w:t>
      </w:r>
      <w:r w:rsidRPr="00025B9C">
        <w:rPr>
          <w:rFonts w:asciiTheme="minorHAnsi" w:hAnsiTheme="minorHAnsi" w:cstheme="minorHAnsi"/>
          <w:i/>
        </w:rPr>
        <w:t>Quarterly Journal of Speech</w:t>
      </w:r>
      <w:r w:rsidRPr="00025B9C">
        <w:rPr>
          <w:rFonts w:asciiTheme="minorHAnsi" w:hAnsiTheme="minorHAnsi" w:cstheme="minorHAnsi"/>
        </w:rPr>
        <w:t xml:space="preserve">, </w:t>
      </w:r>
      <w:r w:rsidRPr="00025B9C">
        <w:rPr>
          <w:rFonts w:asciiTheme="minorHAnsi" w:hAnsiTheme="minorHAnsi" w:cstheme="minorHAnsi"/>
          <w:i/>
        </w:rPr>
        <w:t>59</w:t>
      </w:r>
      <w:r w:rsidRPr="00025B9C">
        <w:rPr>
          <w:rFonts w:asciiTheme="minorHAnsi" w:hAnsiTheme="minorHAnsi" w:cstheme="minorHAnsi"/>
        </w:rPr>
        <w:t>(3), 273</w:t>
      </w:r>
      <w:r w:rsidR="002C36A3" w:rsidRPr="00025B9C">
        <w:rPr>
          <w:rFonts w:asciiTheme="minorHAnsi" w:hAnsiTheme="minorHAnsi" w:cstheme="minorHAnsi"/>
        </w:rPr>
        <w:t>–</w:t>
      </w:r>
      <w:r w:rsidRPr="00025B9C">
        <w:rPr>
          <w:rFonts w:asciiTheme="minorHAnsi" w:hAnsiTheme="minorHAnsi" w:cstheme="minorHAnsi"/>
        </w:rPr>
        <w:t>283.</w:t>
      </w:r>
    </w:p>
    <w:p w:rsidR="005A1B2D" w:rsidRPr="00025B9C" w:rsidRDefault="005A1B2D" w:rsidP="008C18DC">
      <w:pPr>
        <w:spacing w:line="360" w:lineRule="auto"/>
        <w:ind w:left="720" w:hanging="720"/>
        <w:jc w:val="both"/>
        <w:rPr>
          <w:rFonts w:asciiTheme="minorHAnsi" w:hAnsiTheme="minorHAnsi" w:cstheme="minorHAnsi"/>
        </w:rPr>
      </w:pPr>
      <w:r w:rsidRPr="00025B9C">
        <w:rPr>
          <w:rFonts w:asciiTheme="minorHAnsi" w:hAnsiTheme="minorHAnsi" w:cstheme="minorHAnsi"/>
        </w:rPr>
        <w:t>Whitehead, P. (2013)</w:t>
      </w:r>
      <w:r w:rsidR="00F77991" w:rsidRPr="00025B9C">
        <w:rPr>
          <w:rFonts w:asciiTheme="minorHAnsi" w:hAnsiTheme="minorHAnsi" w:cstheme="minorHAnsi"/>
        </w:rPr>
        <w:t>.</w:t>
      </w:r>
      <w:r w:rsidR="002C36A3" w:rsidRPr="00025B9C">
        <w:rPr>
          <w:rFonts w:asciiTheme="minorHAnsi" w:hAnsiTheme="minorHAnsi" w:cstheme="minorHAnsi"/>
        </w:rPr>
        <w:t xml:space="preserve"> Non-e</w:t>
      </w:r>
      <w:r w:rsidRPr="00025B9C">
        <w:rPr>
          <w:rFonts w:asciiTheme="minorHAnsi" w:hAnsiTheme="minorHAnsi" w:cstheme="minorHAnsi"/>
        </w:rPr>
        <w:t>xecutive director: A tas</w:t>
      </w:r>
      <w:r w:rsidR="002C36A3" w:rsidRPr="00025B9C">
        <w:rPr>
          <w:rFonts w:asciiTheme="minorHAnsi" w:hAnsiTheme="minorHAnsi" w:cstheme="minorHAnsi"/>
        </w:rPr>
        <w:t xml:space="preserve">k for which no </w:t>
      </w:r>
      <w:r w:rsidR="0096386B" w:rsidRPr="00025B9C">
        <w:rPr>
          <w:rFonts w:asciiTheme="minorHAnsi" w:hAnsiTheme="minorHAnsi" w:cstheme="minorHAnsi"/>
        </w:rPr>
        <w:t>one is qualified.</w:t>
      </w:r>
      <w:r w:rsidRPr="00025B9C">
        <w:rPr>
          <w:rFonts w:asciiTheme="minorHAnsi" w:hAnsiTheme="minorHAnsi" w:cstheme="minorHAnsi"/>
        </w:rPr>
        <w:t xml:space="preserve"> </w:t>
      </w:r>
      <w:r w:rsidRPr="00025B9C">
        <w:rPr>
          <w:rFonts w:asciiTheme="minorHAnsi" w:hAnsiTheme="minorHAnsi" w:cstheme="minorHAnsi"/>
          <w:i/>
        </w:rPr>
        <w:t>Financial Times</w:t>
      </w:r>
      <w:r w:rsidR="0096386B" w:rsidRPr="00025B9C">
        <w:rPr>
          <w:rFonts w:asciiTheme="minorHAnsi" w:hAnsiTheme="minorHAnsi" w:cstheme="minorHAnsi"/>
        </w:rPr>
        <w:t xml:space="preserve">, 10 April 2013. </w:t>
      </w:r>
      <w:r w:rsidR="009C1D38" w:rsidRPr="00025B9C">
        <w:rPr>
          <w:rFonts w:asciiTheme="minorHAnsi" w:hAnsiTheme="minorHAnsi" w:cstheme="minorHAnsi"/>
        </w:rPr>
        <w:t xml:space="preserve">Available at: </w:t>
      </w:r>
      <w:hyperlink r:id="rId18" w:history="1">
        <w:r w:rsidR="008C18DC" w:rsidRPr="00025B9C">
          <w:rPr>
            <w:rStyle w:val="Hyperlink"/>
            <w:rFonts w:asciiTheme="minorHAnsi" w:hAnsiTheme="minorHAnsi" w:cstheme="minorHAnsi"/>
            <w:color w:val="auto"/>
          </w:rPr>
          <w:t>https://www.ft.com/content/33ec6b3e-9099-11e2-a456-00144feabdc0</w:t>
        </w:r>
      </w:hyperlink>
      <w:r w:rsidR="009C1D38" w:rsidRPr="00025B9C">
        <w:rPr>
          <w:rFonts w:asciiTheme="minorHAnsi" w:hAnsiTheme="minorHAnsi" w:cstheme="minorHAnsi"/>
        </w:rPr>
        <w:t>.</w:t>
      </w:r>
      <w:r w:rsidR="008C18DC" w:rsidRPr="00025B9C">
        <w:rPr>
          <w:rFonts w:asciiTheme="minorHAnsi" w:hAnsiTheme="minorHAnsi" w:cstheme="minorHAnsi"/>
        </w:rPr>
        <w:t xml:space="preserve"> </w:t>
      </w:r>
      <w:r w:rsidR="00DD3A22" w:rsidRPr="00025B9C">
        <w:rPr>
          <w:rFonts w:asciiTheme="minorHAnsi" w:hAnsiTheme="minorHAnsi" w:cstheme="minorHAnsi"/>
        </w:rPr>
        <w:t>[accessed 1</w:t>
      </w:r>
      <w:r w:rsidR="009C1D38" w:rsidRPr="00025B9C">
        <w:rPr>
          <w:rFonts w:asciiTheme="minorHAnsi" w:hAnsiTheme="minorHAnsi" w:cstheme="minorHAnsi"/>
        </w:rPr>
        <w:t>7</w:t>
      </w:r>
      <w:r w:rsidR="00DD3A22" w:rsidRPr="00025B9C">
        <w:rPr>
          <w:rFonts w:asciiTheme="minorHAnsi" w:hAnsiTheme="minorHAnsi" w:cstheme="minorHAnsi"/>
        </w:rPr>
        <w:t xml:space="preserve"> December</w:t>
      </w:r>
      <w:r w:rsidRPr="00025B9C">
        <w:rPr>
          <w:rFonts w:asciiTheme="minorHAnsi" w:hAnsiTheme="minorHAnsi" w:cstheme="minorHAnsi"/>
        </w:rPr>
        <w:t xml:space="preserve"> </w:t>
      </w:r>
      <w:r w:rsidR="009C1D38" w:rsidRPr="00025B9C">
        <w:rPr>
          <w:rFonts w:asciiTheme="minorHAnsi" w:hAnsiTheme="minorHAnsi" w:cstheme="minorHAnsi"/>
        </w:rPr>
        <w:t>2016</w:t>
      </w:r>
      <w:r w:rsidR="00DD3A22" w:rsidRPr="00025B9C">
        <w:rPr>
          <w:rFonts w:asciiTheme="minorHAnsi" w:hAnsiTheme="minorHAnsi" w:cstheme="minorHAnsi"/>
        </w:rPr>
        <w:t>].</w:t>
      </w:r>
    </w:p>
    <w:p w:rsidR="001C7F3F" w:rsidRPr="00025B9C" w:rsidRDefault="00B94137" w:rsidP="000578C1">
      <w:pPr>
        <w:spacing w:line="360" w:lineRule="auto"/>
        <w:ind w:left="720" w:hanging="720"/>
        <w:jc w:val="both"/>
        <w:rPr>
          <w:rFonts w:asciiTheme="minorHAnsi" w:hAnsiTheme="minorHAnsi" w:cstheme="minorHAnsi"/>
          <w:lang w:val="en-IE" w:eastAsia="en-IE"/>
        </w:rPr>
      </w:pPr>
      <w:proofErr w:type="spellStart"/>
      <w:r w:rsidRPr="00025B9C">
        <w:rPr>
          <w:rFonts w:asciiTheme="minorHAnsi" w:hAnsiTheme="minorHAnsi" w:cstheme="minorHAnsi"/>
          <w:lang w:val="en-IE" w:eastAsia="en-IE"/>
        </w:rPr>
        <w:t>Yermack</w:t>
      </w:r>
      <w:proofErr w:type="spellEnd"/>
      <w:r w:rsidRPr="00025B9C">
        <w:rPr>
          <w:rFonts w:asciiTheme="minorHAnsi" w:hAnsiTheme="minorHAnsi" w:cstheme="minorHAnsi"/>
          <w:lang w:val="en-IE" w:eastAsia="en-IE"/>
        </w:rPr>
        <w:t>, D. (1996)</w:t>
      </w:r>
      <w:r w:rsidR="002A6DD4" w:rsidRPr="00025B9C">
        <w:rPr>
          <w:rFonts w:asciiTheme="minorHAnsi" w:hAnsiTheme="minorHAnsi" w:cstheme="minorHAnsi"/>
          <w:lang w:val="en-IE" w:eastAsia="en-IE"/>
        </w:rPr>
        <w:t>.</w:t>
      </w:r>
      <w:r w:rsidRPr="00025B9C">
        <w:rPr>
          <w:rFonts w:asciiTheme="minorHAnsi" w:hAnsiTheme="minorHAnsi" w:cstheme="minorHAnsi"/>
          <w:lang w:val="en-IE" w:eastAsia="en-IE"/>
        </w:rPr>
        <w:t xml:space="preserve"> Higher market valuation of companies </w:t>
      </w:r>
      <w:r w:rsidR="00791047" w:rsidRPr="00025B9C">
        <w:rPr>
          <w:rFonts w:asciiTheme="minorHAnsi" w:hAnsiTheme="minorHAnsi" w:cstheme="minorHAnsi"/>
          <w:lang w:val="en-IE" w:eastAsia="en-IE"/>
        </w:rPr>
        <w:t>with a small board of directors.</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Journal of Financial Economics,</w:t>
      </w:r>
      <w:r w:rsidRPr="00025B9C">
        <w:rPr>
          <w:rFonts w:asciiTheme="minorHAnsi" w:hAnsiTheme="minorHAnsi" w:cstheme="minorHAnsi"/>
          <w:lang w:val="en-IE" w:eastAsia="en-IE"/>
        </w:rPr>
        <w:t xml:space="preserve"> </w:t>
      </w:r>
      <w:r w:rsidRPr="00025B9C">
        <w:rPr>
          <w:rFonts w:asciiTheme="minorHAnsi" w:hAnsiTheme="minorHAnsi" w:cstheme="minorHAnsi"/>
          <w:i/>
          <w:lang w:val="en-IE" w:eastAsia="en-IE"/>
        </w:rPr>
        <w:t>40</w:t>
      </w:r>
      <w:r w:rsidR="00935F6C" w:rsidRPr="00025B9C">
        <w:rPr>
          <w:rFonts w:asciiTheme="minorHAnsi" w:hAnsiTheme="minorHAnsi" w:cstheme="minorHAnsi"/>
          <w:lang w:val="en-IE" w:eastAsia="en-IE"/>
        </w:rPr>
        <w:t>(2)</w:t>
      </w:r>
      <w:r w:rsidRPr="00025B9C">
        <w:rPr>
          <w:rFonts w:asciiTheme="minorHAnsi" w:hAnsiTheme="minorHAnsi" w:cstheme="minorHAnsi"/>
          <w:lang w:val="en-IE" w:eastAsia="en-IE"/>
        </w:rPr>
        <w:t>, 185</w:t>
      </w:r>
      <w:r w:rsidR="002C36A3" w:rsidRPr="00025B9C">
        <w:rPr>
          <w:rFonts w:asciiTheme="minorHAnsi" w:hAnsiTheme="minorHAnsi" w:cstheme="minorHAnsi"/>
        </w:rPr>
        <w:t>–</w:t>
      </w:r>
      <w:r w:rsidR="000578C1" w:rsidRPr="00025B9C">
        <w:rPr>
          <w:rFonts w:asciiTheme="minorHAnsi" w:hAnsiTheme="minorHAnsi" w:cstheme="minorHAnsi"/>
          <w:lang w:val="en-IE" w:eastAsia="en-IE"/>
        </w:rPr>
        <w:t>211.</w:t>
      </w:r>
    </w:p>
    <w:sectPr w:rsidR="001C7F3F" w:rsidRPr="00025B9C" w:rsidSect="0004694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06" w:rsidRDefault="00CC3706" w:rsidP="00EC7E0F">
      <w:r>
        <w:separator/>
      </w:r>
    </w:p>
  </w:endnote>
  <w:endnote w:type="continuationSeparator" w:id="0">
    <w:p w:rsidR="00CC3706" w:rsidRDefault="00CC3706" w:rsidP="00EC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MT W1G">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 Sterling Book">
    <w:altName w:val="Foundry Sterling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Std">
    <w:altName w:val="MS Mincho"/>
    <w:panose1 w:val="00000000000000000000"/>
    <w:charset w:val="80"/>
    <w:family w:val="roman"/>
    <w:notTrueType/>
    <w:pitch w:val="default"/>
    <w:sig w:usb0="00000001" w:usb1="08070000" w:usb2="00000010" w:usb3="00000000" w:csb0="00020000" w:csb1="00000000"/>
  </w:font>
  <w:font w:name="MinionPro-Regular">
    <w:altName w:val="MS Gothic"/>
    <w:panose1 w:val="00000000000000000000"/>
    <w:charset w:val="80"/>
    <w:family w:val="roman"/>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F9" w:rsidRDefault="005E28F9">
    <w:pPr>
      <w:pStyle w:val="Footer"/>
      <w:jc w:val="right"/>
    </w:pPr>
  </w:p>
  <w:p w:rsidR="005E28F9" w:rsidRDefault="005E28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5603"/>
      <w:docPartObj>
        <w:docPartGallery w:val="Page Numbers (Bottom of Page)"/>
        <w:docPartUnique/>
      </w:docPartObj>
    </w:sdtPr>
    <w:sdtEndPr>
      <w:rPr>
        <w:noProof/>
      </w:rPr>
    </w:sdtEndPr>
    <w:sdtContent>
      <w:p w:rsidR="005E28F9" w:rsidRDefault="005E28F9">
        <w:pPr>
          <w:pStyle w:val="Footer"/>
          <w:jc w:val="right"/>
        </w:pPr>
        <w:r>
          <w:fldChar w:fldCharType="begin"/>
        </w:r>
        <w:r>
          <w:instrText xml:space="preserve"> PAGE   \* MERGEFORMAT </w:instrText>
        </w:r>
        <w:r>
          <w:fldChar w:fldCharType="separate"/>
        </w:r>
        <w:r w:rsidR="001E083E">
          <w:rPr>
            <w:noProof/>
          </w:rPr>
          <w:t>53</w:t>
        </w:r>
        <w:r>
          <w:rPr>
            <w:noProof/>
          </w:rPr>
          <w:fldChar w:fldCharType="end"/>
        </w:r>
      </w:p>
    </w:sdtContent>
  </w:sdt>
  <w:p w:rsidR="005E28F9" w:rsidRDefault="005E28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06" w:rsidRDefault="00CC3706" w:rsidP="00EC7E0F">
      <w:r>
        <w:separator/>
      </w:r>
    </w:p>
  </w:footnote>
  <w:footnote w:type="continuationSeparator" w:id="0">
    <w:p w:rsidR="00CC3706" w:rsidRDefault="00CC3706" w:rsidP="00EC7E0F">
      <w:r>
        <w:continuationSeparator/>
      </w:r>
    </w:p>
  </w:footnote>
  <w:footnote w:id="1">
    <w:p w:rsidR="005E28F9" w:rsidRPr="00716102" w:rsidRDefault="005E28F9">
      <w:pPr>
        <w:pStyle w:val="FootnoteText"/>
        <w:rPr>
          <w:rFonts w:asciiTheme="minorHAnsi" w:hAnsiTheme="minorHAnsi" w:cstheme="minorHAnsi"/>
          <w:lang w:val="en-GB"/>
        </w:rPr>
      </w:pPr>
      <w:r w:rsidRPr="00716102">
        <w:rPr>
          <w:rStyle w:val="FootnoteReference"/>
          <w:rFonts w:asciiTheme="minorHAnsi" w:hAnsiTheme="minorHAnsi" w:cstheme="minorHAnsi"/>
        </w:rPr>
        <w:footnoteRef/>
      </w:r>
      <w:r w:rsidRPr="00716102">
        <w:rPr>
          <w:rFonts w:asciiTheme="minorHAnsi" w:hAnsiTheme="minorHAnsi" w:cstheme="minorHAnsi"/>
        </w:rPr>
        <w:t xml:space="preserve"> </w:t>
      </w:r>
      <w:proofErr w:type="spellStart"/>
      <w:r w:rsidRPr="00716102">
        <w:rPr>
          <w:rFonts w:asciiTheme="minorHAnsi" w:hAnsiTheme="minorHAnsi" w:cstheme="minorHAnsi"/>
        </w:rPr>
        <w:t>Sergakis</w:t>
      </w:r>
      <w:proofErr w:type="spellEnd"/>
      <w:r w:rsidRPr="00716102">
        <w:rPr>
          <w:rFonts w:asciiTheme="minorHAnsi" w:hAnsiTheme="minorHAnsi" w:cstheme="minorHAnsi"/>
        </w:rPr>
        <w:t xml:space="preserve"> (2015) questions whether ‘one concept fits all’. </w:t>
      </w:r>
    </w:p>
  </w:footnote>
  <w:footnote w:id="2">
    <w:p w:rsidR="005E28F9" w:rsidRPr="00716102" w:rsidRDefault="005E28F9">
      <w:pPr>
        <w:pStyle w:val="FootnoteText"/>
        <w:rPr>
          <w:rFonts w:asciiTheme="minorHAnsi" w:hAnsiTheme="minorHAnsi" w:cstheme="minorHAnsi"/>
          <w:lang w:val="en-GB"/>
        </w:rPr>
      </w:pPr>
      <w:r w:rsidRPr="00716102">
        <w:rPr>
          <w:rStyle w:val="FootnoteReference"/>
          <w:rFonts w:asciiTheme="minorHAnsi" w:hAnsiTheme="minorHAnsi" w:cstheme="minorHAnsi"/>
        </w:rPr>
        <w:footnoteRef/>
      </w:r>
      <w:r w:rsidRPr="00716102">
        <w:rPr>
          <w:rFonts w:asciiTheme="minorHAnsi" w:hAnsiTheme="minorHAnsi" w:cstheme="minorHAnsi"/>
        </w:rPr>
        <w:t xml:space="preserve"> </w:t>
      </w:r>
      <w:r w:rsidRPr="00716102">
        <w:rPr>
          <w:rFonts w:asciiTheme="minorHAnsi" w:hAnsiTheme="minorHAnsi" w:cstheme="minorHAnsi"/>
          <w:lang w:val="en-GB"/>
        </w:rPr>
        <w:t>The first reference we could find of usage of the phrase ‘comply-or-explain’ was by Kay (1992), commenting on the Cadbury Report (1992).</w:t>
      </w:r>
    </w:p>
  </w:footnote>
  <w:footnote w:id="3">
    <w:p w:rsidR="005E28F9" w:rsidRPr="00716102" w:rsidRDefault="005E28F9" w:rsidP="009F2BA0">
      <w:pPr>
        <w:pStyle w:val="FootnoteText"/>
        <w:jc w:val="both"/>
        <w:rPr>
          <w:rFonts w:asciiTheme="minorHAnsi" w:hAnsiTheme="minorHAnsi" w:cstheme="minorHAnsi"/>
          <w:lang w:val="en-GB"/>
        </w:rPr>
      </w:pPr>
      <w:r w:rsidRPr="000B7BCC">
        <w:rPr>
          <w:rStyle w:val="FootnoteReference"/>
          <w:rFonts w:asciiTheme="minorHAnsi" w:hAnsiTheme="minorHAnsi" w:cstheme="minorHAnsi"/>
        </w:rPr>
        <w:footnoteRef/>
      </w:r>
      <w:r w:rsidRPr="000B7BCC">
        <w:rPr>
          <w:rFonts w:asciiTheme="minorHAnsi" w:hAnsiTheme="minorHAnsi" w:cstheme="minorHAnsi"/>
        </w:rPr>
        <w:t xml:space="preserve"> </w:t>
      </w:r>
      <w:r w:rsidRPr="000B7BCC">
        <w:rPr>
          <w:rFonts w:asciiTheme="minorHAnsi" w:hAnsiTheme="minorHAnsi" w:cstheme="minorHAnsi"/>
          <w:lang w:val="en-GB"/>
        </w:rPr>
        <w:t xml:space="preserve">The other two suggested by the FRC (2012b, p. 6) are (1) to provide the context and historical background to the non-compliance and (2) any mitigating action(s) to address any additional risk and to maintain conformity with the overarching Code principle. Often perfunctory explanations do not address these and commonly affirm that the particular non-compliance is unlikely to do any damage without explaining why that is, or why non-compliance occurred in the first instance. </w:t>
      </w:r>
    </w:p>
  </w:footnote>
  <w:footnote w:id="4">
    <w:p w:rsidR="005E28F9" w:rsidRPr="00716102" w:rsidRDefault="005E28F9">
      <w:pPr>
        <w:pStyle w:val="FootnoteText"/>
        <w:rPr>
          <w:rFonts w:asciiTheme="minorHAnsi" w:hAnsiTheme="minorHAnsi" w:cstheme="minorHAnsi"/>
          <w:lang w:val="en-GB"/>
        </w:rPr>
      </w:pPr>
      <w:r w:rsidRPr="00716102">
        <w:rPr>
          <w:rStyle w:val="FootnoteReference"/>
          <w:rFonts w:asciiTheme="minorHAnsi" w:hAnsiTheme="minorHAnsi" w:cstheme="minorHAnsi"/>
        </w:rPr>
        <w:footnoteRef/>
      </w:r>
      <w:r w:rsidRPr="00716102">
        <w:rPr>
          <w:rFonts w:asciiTheme="minorHAnsi" w:hAnsiTheme="minorHAnsi" w:cstheme="minorHAnsi"/>
          <w:lang w:val="en-GB"/>
        </w:rPr>
        <w:t xml:space="preserve"> We thank one of the reviewers for this point.</w:t>
      </w:r>
    </w:p>
  </w:footnote>
  <w:footnote w:id="5">
    <w:p w:rsidR="005E28F9" w:rsidRPr="00716102" w:rsidRDefault="005E28F9" w:rsidP="006B6873">
      <w:pPr>
        <w:pStyle w:val="FootnoteText"/>
        <w:rPr>
          <w:rFonts w:asciiTheme="minorHAnsi" w:hAnsiTheme="minorHAnsi" w:cstheme="minorHAnsi"/>
          <w:lang w:val="en-GB"/>
        </w:rPr>
      </w:pPr>
      <w:r w:rsidRPr="00716102">
        <w:rPr>
          <w:rStyle w:val="FootnoteReference"/>
          <w:rFonts w:asciiTheme="minorHAnsi" w:hAnsiTheme="minorHAnsi" w:cstheme="minorHAnsi"/>
        </w:rPr>
        <w:footnoteRef/>
      </w:r>
      <w:r w:rsidRPr="00716102">
        <w:rPr>
          <w:rFonts w:asciiTheme="minorHAnsi" w:hAnsiTheme="minorHAnsi" w:cstheme="minorHAnsi"/>
        </w:rPr>
        <w:t xml:space="preserve"> </w:t>
      </w:r>
      <w:r w:rsidRPr="00716102">
        <w:rPr>
          <w:rFonts w:asciiTheme="minorHAnsi" w:hAnsiTheme="minorHAnsi" w:cstheme="minorHAnsi"/>
          <w:lang w:val="en-GB"/>
        </w:rPr>
        <w:t>We thank one of the reviewers for suggesting this rhetorical perspective.</w:t>
      </w:r>
    </w:p>
  </w:footnote>
  <w:footnote w:id="6">
    <w:p w:rsidR="005E28F9" w:rsidRPr="009E7E49" w:rsidRDefault="005E28F9" w:rsidP="00AD19EA">
      <w:pPr>
        <w:pStyle w:val="FootnoteText"/>
        <w:jc w:val="both"/>
        <w:rPr>
          <w:rFonts w:asciiTheme="minorHAnsi" w:hAnsiTheme="minorHAnsi" w:cstheme="minorHAnsi"/>
          <w:lang w:val="en-GB"/>
        </w:rPr>
      </w:pPr>
      <w:r w:rsidRPr="009E7E49">
        <w:rPr>
          <w:rStyle w:val="FootnoteReference"/>
          <w:rFonts w:asciiTheme="minorHAnsi" w:hAnsiTheme="minorHAnsi" w:cstheme="minorHAnsi"/>
        </w:rPr>
        <w:footnoteRef/>
      </w:r>
      <w:r w:rsidRPr="009E7E49">
        <w:rPr>
          <w:rFonts w:asciiTheme="minorHAnsi" w:hAnsiTheme="minorHAnsi" w:cstheme="minorHAnsi"/>
        </w:rPr>
        <w:t xml:space="preserve"> The changes in the 2010 Code were substantial and included new principles on the composition and selection of the board including an acknowledgement of the benefits of diversity (to avoid ‘groupthink’), new principles on leadership and the time commitment expected of directors. Development reviews with each director (to be carried out by the chair) were also introduced, together with evaluation reviews of the board (which were to be external every three years). All directors were also required to be re-elected annually and non-executive directors were reminded of their responsibility to provide ‘constructive challenge’. Finally, the 2010 Code required the company’s business model, its link to the risks faced as a result of that model, together with the alignment to performance related pay, to be disclosed (FRC, 2010). </w:t>
      </w:r>
    </w:p>
  </w:footnote>
  <w:footnote w:id="7">
    <w:p w:rsidR="005E28F9" w:rsidRPr="00716102" w:rsidRDefault="005E28F9" w:rsidP="00563BA0">
      <w:pPr>
        <w:pStyle w:val="FootnoteText"/>
        <w:jc w:val="both"/>
        <w:rPr>
          <w:rFonts w:asciiTheme="minorHAnsi" w:hAnsiTheme="minorHAnsi" w:cstheme="minorHAnsi"/>
          <w:lang w:val="en-GB"/>
        </w:rPr>
      </w:pPr>
      <w:r w:rsidRPr="009E7E49">
        <w:rPr>
          <w:rStyle w:val="FootnoteReference"/>
          <w:rFonts w:asciiTheme="minorHAnsi" w:hAnsiTheme="minorHAnsi" w:cstheme="minorHAnsi"/>
        </w:rPr>
        <w:footnoteRef/>
      </w:r>
      <w:r w:rsidRPr="009E7E49">
        <w:rPr>
          <w:rFonts w:asciiTheme="minorHAnsi" w:hAnsiTheme="minorHAnsi" w:cstheme="minorHAnsi"/>
        </w:rPr>
        <w:t xml:space="preserve"> It is possible companies claimed compliance falsely (which we refer to earlier as the rhetoric of silence). We do not test this. To claim that a breach of the Code did not occur when accused of it, is an example of an image-protection approach (see for example, Ware &amp; </w:t>
      </w:r>
      <w:proofErr w:type="spellStart"/>
      <w:r w:rsidRPr="009E7E49">
        <w:rPr>
          <w:rFonts w:asciiTheme="minorHAnsi" w:hAnsiTheme="minorHAnsi" w:cstheme="minorHAnsi"/>
        </w:rPr>
        <w:t>Linkugel</w:t>
      </w:r>
      <w:proofErr w:type="spellEnd"/>
      <w:r w:rsidRPr="009E7E49">
        <w:rPr>
          <w:rFonts w:asciiTheme="minorHAnsi" w:hAnsiTheme="minorHAnsi" w:cstheme="minorHAnsi"/>
        </w:rPr>
        <w:t>, 1973). The only example identified during this study of that particular type of denial was from Liberty International’s 2004 annual report which stated, “</w:t>
      </w:r>
      <w:r w:rsidRPr="009E7E49">
        <w:rPr>
          <w:rFonts w:asciiTheme="minorHAnsi" w:hAnsiTheme="minorHAnsi" w:cstheme="minorHAnsi"/>
          <w:i/>
        </w:rPr>
        <w:t xml:space="preserve">The board </w:t>
      </w:r>
      <w:r w:rsidRPr="00716102">
        <w:rPr>
          <w:rFonts w:asciiTheme="minorHAnsi" w:hAnsiTheme="minorHAnsi" w:cstheme="minorHAnsi"/>
          <w:i/>
        </w:rPr>
        <w:t>considers that Mr Rapp is fully independent... As noted above, some external commentators have expressed the opinion that Mr Rapp is not independent</w:t>
      </w:r>
      <w:r w:rsidRPr="00716102">
        <w:rPr>
          <w:rFonts w:asciiTheme="minorHAnsi" w:hAnsiTheme="minorHAnsi" w:cstheme="minorHAnsi"/>
        </w:rPr>
        <w:t>” (pp. 58-59). Liberty seems anxious to claim independence for Mr Rapp because he is on both remuneration and audit committees, but he exceeded the nine-year guidance on independence, beyond which annual re-election was required (2003 Code provisions A.3.1 and A.7.2).</w:t>
      </w:r>
    </w:p>
  </w:footnote>
  <w:footnote w:id="8">
    <w:p w:rsidR="005E28F9" w:rsidRPr="00BD0B1B" w:rsidRDefault="005E28F9">
      <w:pPr>
        <w:pStyle w:val="FootnoteText"/>
        <w:rPr>
          <w:lang w:val="en-GB"/>
        </w:rPr>
      </w:pPr>
      <w:r w:rsidRPr="00716102">
        <w:rPr>
          <w:rStyle w:val="FootnoteReference"/>
          <w:rFonts w:asciiTheme="minorHAnsi" w:hAnsiTheme="minorHAnsi" w:cstheme="minorHAnsi"/>
        </w:rPr>
        <w:footnoteRef/>
      </w:r>
      <w:r w:rsidRPr="00716102">
        <w:rPr>
          <w:rFonts w:asciiTheme="minorHAnsi" w:hAnsiTheme="minorHAnsi" w:cstheme="minorHAnsi"/>
        </w:rPr>
        <w:t xml:space="preserve"> </w:t>
      </w:r>
      <w:r w:rsidRPr="00716102">
        <w:rPr>
          <w:rFonts w:asciiTheme="minorHAnsi" w:hAnsiTheme="minorHAnsi" w:cstheme="minorHAnsi"/>
          <w:lang w:val="en-GB"/>
        </w:rPr>
        <w:t>The coding sheet is available from the authors on request.</w:t>
      </w:r>
    </w:p>
  </w:footnote>
  <w:footnote w:id="9">
    <w:p w:rsidR="005E28F9" w:rsidRPr="00BD72E2" w:rsidRDefault="005E28F9">
      <w:pPr>
        <w:pStyle w:val="FootnoteText"/>
        <w:rPr>
          <w:lang w:val="en-GB"/>
        </w:rPr>
      </w:pPr>
      <w:r w:rsidRPr="00C37C05">
        <w:rPr>
          <w:rStyle w:val="FootnoteReference"/>
        </w:rPr>
        <w:footnoteRef/>
      </w:r>
      <w:r w:rsidRPr="00C37C05">
        <w:t xml:space="preserve"> </w:t>
      </w:r>
      <w:r w:rsidRPr="00C37C05">
        <w:rPr>
          <w:rFonts w:asciiTheme="minorHAnsi" w:hAnsiTheme="minorHAnsi" w:cstheme="minorHAnsi"/>
          <w:lang w:eastAsia="en-IE"/>
        </w:rPr>
        <w:t>The authors are grateful to the editor for suggesting the idea of this continuum.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525"/>
    <w:multiLevelType w:val="hybridMultilevel"/>
    <w:tmpl w:val="F068824C"/>
    <w:lvl w:ilvl="0" w:tplc="9776089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416C9"/>
    <w:multiLevelType w:val="hybridMultilevel"/>
    <w:tmpl w:val="C6E49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32782"/>
    <w:multiLevelType w:val="multilevel"/>
    <w:tmpl w:val="B81453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D0D4C"/>
    <w:multiLevelType w:val="hybridMultilevel"/>
    <w:tmpl w:val="81BCA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0499D"/>
    <w:multiLevelType w:val="hybridMultilevel"/>
    <w:tmpl w:val="DEE6D530"/>
    <w:lvl w:ilvl="0" w:tplc="D59656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E5AC4"/>
    <w:multiLevelType w:val="hybridMultilevel"/>
    <w:tmpl w:val="8E5625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74B4D"/>
    <w:multiLevelType w:val="hybridMultilevel"/>
    <w:tmpl w:val="30662B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868AF"/>
    <w:multiLevelType w:val="hybridMultilevel"/>
    <w:tmpl w:val="04E2A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674A2"/>
    <w:multiLevelType w:val="hybridMultilevel"/>
    <w:tmpl w:val="97FC425C"/>
    <w:lvl w:ilvl="0" w:tplc="6660E288">
      <w:start w:val="1"/>
      <w:numFmt w:val="decimal"/>
      <w:lvlText w:val="%1."/>
      <w:lvlJc w:val="left"/>
      <w:pPr>
        <w:ind w:left="720" w:hanging="360"/>
      </w:pPr>
      <w:rPr>
        <w:rFonts w:ascii="Calibri" w:hAnsi="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7B3927"/>
    <w:multiLevelType w:val="multilevel"/>
    <w:tmpl w:val="9A7E6F04"/>
    <w:lvl w:ilvl="0">
      <w:start w:val="2"/>
      <w:numFmt w:val="upperLetter"/>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10026AF"/>
    <w:multiLevelType w:val="hybridMultilevel"/>
    <w:tmpl w:val="9EA4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73632"/>
    <w:multiLevelType w:val="hybridMultilevel"/>
    <w:tmpl w:val="970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C37D2"/>
    <w:multiLevelType w:val="hybridMultilevel"/>
    <w:tmpl w:val="6A02519E"/>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492037"/>
    <w:multiLevelType w:val="hybridMultilevel"/>
    <w:tmpl w:val="0E3679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5B75A05"/>
    <w:multiLevelType w:val="hybridMultilevel"/>
    <w:tmpl w:val="DE2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03836"/>
    <w:multiLevelType w:val="hybridMultilevel"/>
    <w:tmpl w:val="6B949E28"/>
    <w:lvl w:ilvl="0" w:tplc="18090001">
      <w:start w:val="1"/>
      <w:numFmt w:val="bullet"/>
      <w:lvlText w:val=""/>
      <w:lvlJc w:val="left"/>
      <w:pPr>
        <w:ind w:left="1298" w:hanging="360"/>
      </w:pPr>
      <w:rPr>
        <w:rFonts w:ascii="Symbol" w:hAnsi="Symbol" w:hint="default"/>
      </w:rPr>
    </w:lvl>
    <w:lvl w:ilvl="1" w:tplc="18090003" w:tentative="1">
      <w:start w:val="1"/>
      <w:numFmt w:val="bullet"/>
      <w:lvlText w:val="o"/>
      <w:lvlJc w:val="left"/>
      <w:pPr>
        <w:ind w:left="2018" w:hanging="360"/>
      </w:pPr>
      <w:rPr>
        <w:rFonts w:ascii="Courier New" w:hAnsi="Courier New" w:cs="Courier New" w:hint="default"/>
      </w:rPr>
    </w:lvl>
    <w:lvl w:ilvl="2" w:tplc="18090005" w:tentative="1">
      <w:start w:val="1"/>
      <w:numFmt w:val="bullet"/>
      <w:lvlText w:val=""/>
      <w:lvlJc w:val="left"/>
      <w:pPr>
        <w:ind w:left="2738" w:hanging="360"/>
      </w:pPr>
      <w:rPr>
        <w:rFonts w:ascii="Wingdings" w:hAnsi="Wingdings" w:hint="default"/>
      </w:rPr>
    </w:lvl>
    <w:lvl w:ilvl="3" w:tplc="18090001" w:tentative="1">
      <w:start w:val="1"/>
      <w:numFmt w:val="bullet"/>
      <w:lvlText w:val=""/>
      <w:lvlJc w:val="left"/>
      <w:pPr>
        <w:ind w:left="3458" w:hanging="360"/>
      </w:pPr>
      <w:rPr>
        <w:rFonts w:ascii="Symbol" w:hAnsi="Symbol" w:hint="default"/>
      </w:rPr>
    </w:lvl>
    <w:lvl w:ilvl="4" w:tplc="18090003" w:tentative="1">
      <w:start w:val="1"/>
      <w:numFmt w:val="bullet"/>
      <w:lvlText w:val="o"/>
      <w:lvlJc w:val="left"/>
      <w:pPr>
        <w:ind w:left="4178" w:hanging="360"/>
      </w:pPr>
      <w:rPr>
        <w:rFonts w:ascii="Courier New" w:hAnsi="Courier New" w:cs="Courier New" w:hint="default"/>
      </w:rPr>
    </w:lvl>
    <w:lvl w:ilvl="5" w:tplc="18090005" w:tentative="1">
      <w:start w:val="1"/>
      <w:numFmt w:val="bullet"/>
      <w:lvlText w:val=""/>
      <w:lvlJc w:val="left"/>
      <w:pPr>
        <w:ind w:left="4898" w:hanging="360"/>
      </w:pPr>
      <w:rPr>
        <w:rFonts w:ascii="Wingdings" w:hAnsi="Wingdings" w:hint="default"/>
      </w:rPr>
    </w:lvl>
    <w:lvl w:ilvl="6" w:tplc="18090001" w:tentative="1">
      <w:start w:val="1"/>
      <w:numFmt w:val="bullet"/>
      <w:lvlText w:val=""/>
      <w:lvlJc w:val="left"/>
      <w:pPr>
        <w:ind w:left="5618" w:hanging="360"/>
      </w:pPr>
      <w:rPr>
        <w:rFonts w:ascii="Symbol" w:hAnsi="Symbol" w:hint="default"/>
      </w:rPr>
    </w:lvl>
    <w:lvl w:ilvl="7" w:tplc="18090003" w:tentative="1">
      <w:start w:val="1"/>
      <w:numFmt w:val="bullet"/>
      <w:lvlText w:val="o"/>
      <w:lvlJc w:val="left"/>
      <w:pPr>
        <w:ind w:left="6338" w:hanging="360"/>
      </w:pPr>
      <w:rPr>
        <w:rFonts w:ascii="Courier New" w:hAnsi="Courier New" w:cs="Courier New" w:hint="default"/>
      </w:rPr>
    </w:lvl>
    <w:lvl w:ilvl="8" w:tplc="18090005" w:tentative="1">
      <w:start w:val="1"/>
      <w:numFmt w:val="bullet"/>
      <w:lvlText w:val=""/>
      <w:lvlJc w:val="left"/>
      <w:pPr>
        <w:ind w:left="7058" w:hanging="360"/>
      </w:pPr>
      <w:rPr>
        <w:rFonts w:ascii="Wingdings" w:hAnsi="Wingdings" w:hint="default"/>
      </w:rPr>
    </w:lvl>
  </w:abstractNum>
  <w:abstractNum w:abstractNumId="16" w15:restartNumberingAfterBreak="0">
    <w:nsid w:val="37EA453A"/>
    <w:multiLevelType w:val="hybridMultilevel"/>
    <w:tmpl w:val="1C9AB28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8776C9E"/>
    <w:multiLevelType w:val="multilevel"/>
    <w:tmpl w:val="BAD40B50"/>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A047DD"/>
    <w:multiLevelType w:val="hybridMultilevel"/>
    <w:tmpl w:val="ABC63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E69DD"/>
    <w:multiLevelType w:val="hybridMultilevel"/>
    <w:tmpl w:val="0204CD74"/>
    <w:lvl w:ilvl="0" w:tplc="B908DDC6">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A023C9"/>
    <w:multiLevelType w:val="hybridMultilevel"/>
    <w:tmpl w:val="E89A0D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6D64D91"/>
    <w:multiLevelType w:val="hybridMultilevel"/>
    <w:tmpl w:val="D730E854"/>
    <w:lvl w:ilvl="0" w:tplc="18090001">
      <w:start w:val="1"/>
      <w:numFmt w:val="bullet"/>
      <w:lvlText w:val=""/>
      <w:lvlJc w:val="left"/>
      <w:pPr>
        <w:ind w:left="1298" w:hanging="360"/>
      </w:pPr>
      <w:rPr>
        <w:rFonts w:ascii="Symbol" w:hAnsi="Symbol" w:hint="default"/>
      </w:rPr>
    </w:lvl>
    <w:lvl w:ilvl="1" w:tplc="18090003" w:tentative="1">
      <w:start w:val="1"/>
      <w:numFmt w:val="bullet"/>
      <w:lvlText w:val="o"/>
      <w:lvlJc w:val="left"/>
      <w:pPr>
        <w:ind w:left="2018" w:hanging="360"/>
      </w:pPr>
      <w:rPr>
        <w:rFonts w:ascii="Courier New" w:hAnsi="Courier New" w:cs="Courier New" w:hint="default"/>
      </w:rPr>
    </w:lvl>
    <w:lvl w:ilvl="2" w:tplc="18090005" w:tentative="1">
      <w:start w:val="1"/>
      <w:numFmt w:val="bullet"/>
      <w:lvlText w:val=""/>
      <w:lvlJc w:val="left"/>
      <w:pPr>
        <w:ind w:left="2738" w:hanging="360"/>
      </w:pPr>
      <w:rPr>
        <w:rFonts w:ascii="Wingdings" w:hAnsi="Wingdings" w:hint="default"/>
      </w:rPr>
    </w:lvl>
    <w:lvl w:ilvl="3" w:tplc="18090001" w:tentative="1">
      <w:start w:val="1"/>
      <w:numFmt w:val="bullet"/>
      <w:lvlText w:val=""/>
      <w:lvlJc w:val="left"/>
      <w:pPr>
        <w:ind w:left="3458" w:hanging="360"/>
      </w:pPr>
      <w:rPr>
        <w:rFonts w:ascii="Symbol" w:hAnsi="Symbol" w:hint="default"/>
      </w:rPr>
    </w:lvl>
    <w:lvl w:ilvl="4" w:tplc="18090003" w:tentative="1">
      <w:start w:val="1"/>
      <w:numFmt w:val="bullet"/>
      <w:lvlText w:val="o"/>
      <w:lvlJc w:val="left"/>
      <w:pPr>
        <w:ind w:left="4178" w:hanging="360"/>
      </w:pPr>
      <w:rPr>
        <w:rFonts w:ascii="Courier New" w:hAnsi="Courier New" w:cs="Courier New" w:hint="default"/>
      </w:rPr>
    </w:lvl>
    <w:lvl w:ilvl="5" w:tplc="18090005" w:tentative="1">
      <w:start w:val="1"/>
      <w:numFmt w:val="bullet"/>
      <w:lvlText w:val=""/>
      <w:lvlJc w:val="left"/>
      <w:pPr>
        <w:ind w:left="4898" w:hanging="360"/>
      </w:pPr>
      <w:rPr>
        <w:rFonts w:ascii="Wingdings" w:hAnsi="Wingdings" w:hint="default"/>
      </w:rPr>
    </w:lvl>
    <w:lvl w:ilvl="6" w:tplc="18090001" w:tentative="1">
      <w:start w:val="1"/>
      <w:numFmt w:val="bullet"/>
      <w:lvlText w:val=""/>
      <w:lvlJc w:val="left"/>
      <w:pPr>
        <w:ind w:left="5618" w:hanging="360"/>
      </w:pPr>
      <w:rPr>
        <w:rFonts w:ascii="Symbol" w:hAnsi="Symbol" w:hint="default"/>
      </w:rPr>
    </w:lvl>
    <w:lvl w:ilvl="7" w:tplc="18090003" w:tentative="1">
      <w:start w:val="1"/>
      <w:numFmt w:val="bullet"/>
      <w:lvlText w:val="o"/>
      <w:lvlJc w:val="left"/>
      <w:pPr>
        <w:ind w:left="6338" w:hanging="360"/>
      </w:pPr>
      <w:rPr>
        <w:rFonts w:ascii="Courier New" w:hAnsi="Courier New" w:cs="Courier New" w:hint="default"/>
      </w:rPr>
    </w:lvl>
    <w:lvl w:ilvl="8" w:tplc="18090005" w:tentative="1">
      <w:start w:val="1"/>
      <w:numFmt w:val="bullet"/>
      <w:lvlText w:val=""/>
      <w:lvlJc w:val="left"/>
      <w:pPr>
        <w:ind w:left="7058" w:hanging="360"/>
      </w:pPr>
      <w:rPr>
        <w:rFonts w:ascii="Wingdings" w:hAnsi="Wingdings" w:hint="default"/>
      </w:rPr>
    </w:lvl>
  </w:abstractNum>
  <w:abstractNum w:abstractNumId="22" w15:restartNumberingAfterBreak="0">
    <w:nsid w:val="48C74A25"/>
    <w:multiLevelType w:val="hybridMultilevel"/>
    <w:tmpl w:val="B00C4012"/>
    <w:lvl w:ilvl="0" w:tplc="DE804EC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932F30"/>
    <w:multiLevelType w:val="hybridMultilevel"/>
    <w:tmpl w:val="71AEAA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4D581F"/>
    <w:multiLevelType w:val="hybridMultilevel"/>
    <w:tmpl w:val="F21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221BA"/>
    <w:multiLevelType w:val="hybridMultilevel"/>
    <w:tmpl w:val="3F02A7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7776F"/>
    <w:multiLevelType w:val="hybridMultilevel"/>
    <w:tmpl w:val="CAA22E3C"/>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2C1F15"/>
    <w:multiLevelType w:val="hybridMultilevel"/>
    <w:tmpl w:val="253E417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8B84A51"/>
    <w:multiLevelType w:val="hybridMultilevel"/>
    <w:tmpl w:val="90661D6E"/>
    <w:lvl w:ilvl="0" w:tplc="18090001">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ADB"/>
    <w:multiLevelType w:val="hybridMultilevel"/>
    <w:tmpl w:val="F51E1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9861AC"/>
    <w:multiLevelType w:val="hybridMultilevel"/>
    <w:tmpl w:val="DC929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30D70"/>
    <w:multiLevelType w:val="multilevel"/>
    <w:tmpl w:val="8A488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0859"/>
    <w:multiLevelType w:val="hybridMultilevel"/>
    <w:tmpl w:val="C9C64F30"/>
    <w:lvl w:ilvl="0" w:tplc="CCB4C86E">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15:restartNumberingAfterBreak="0">
    <w:nsid w:val="62186C0D"/>
    <w:multiLevelType w:val="hybridMultilevel"/>
    <w:tmpl w:val="1DFC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5BD"/>
    <w:multiLevelType w:val="hybridMultilevel"/>
    <w:tmpl w:val="9810048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84C94"/>
    <w:multiLevelType w:val="hybridMultilevel"/>
    <w:tmpl w:val="2C2E6F88"/>
    <w:lvl w:ilvl="0" w:tplc="18090001">
      <w:start w:val="1"/>
      <w:numFmt w:val="bullet"/>
      <w:lvlText w:val=""/>
      <w:lvlJc w:val="left"/>
      <w:pPr>
        <w:ind w:left="1298" w:hanging="360"/>
      </w:pPr>
      <w:rPr>
        <w:rFonts w:ascii="Symbol" w:hAnsi="Symbol" w:hint="default"/>
      </w:rPr>
    </w:lvl>
    <w:lvl w:ilvl="1" w:tplc="18090003" w:tentative="1">
      <w:start w:val="1"/>
      <w:numFmt w:val="bullet"/>
      <w:lvlText w:val="o"/>
      <w:lvlJc w:val="left"/>
      <w:pPr>
        <w:ind w:left="2018" w:hanging="360"/>
      </w:pPr>
      <w:rPr>
        <w:rFonts w:ascii="Courier New" w:hAnsi="Courier New" w:cs="Courier New" w:hint="default"/>
      </w:rPr>
    </w:lvl>
    <w:lvl w:ilvl="2" w:tplc="18090005" w:tentative="1">
      <w:start w:val="1"/>
      <w:numFmt w:val="bullet"/>
      <w:lvlText w:val=""/>
      <w:lvlJc w:val="left"/>
      <w:pPr>
        <w:ind w:left="2738" w:hanging="360"/>
      </w:pPr>
      <w:rPr>
        <w:rFonts w:ascii="Wingdings" w:hAnsi="Wingdings" w:hint="default"/>
      </w:rPr>
    </w:lvl>
    <w:lvl w:ilvl="3" w:tplc="18090001" w:tentative="1">
      <w:start w:val="1"/>
      <w:numFmt w:val="bullet"/>
      <w:lvlText w:val=""/>
      <w:lvlJc w:val="left"/>
      <w:pPr>
        <w:ind w:left="3458" w:hanging="360"/>
      </w:pPr>
      <w:rPr>
        <w:rFonts w:ascii="Symbol" w:hAnsi="Symbol" w:hint="default"/>
      </w:rPr>
    </w:lvl>
    <w:lvl w:ilvl="4" w:tplc="18090003" w:tentative="1">
      <w:start w:val="1"/>
      <w:numFmt w:val="bullet"/>
      <w:lvlText w:val="o"/>
      <w:lvlJc w:val="left"/>
      <w:pPr>
        <w:ind w:left="4178" w:hanging="360"/>
      </w:pPr>
      <w:rPr>
        <w:rFonts w:ascii="Courier New" w:hAnsi="Courier New" w:cs="Courier New" w:hint="default"/>
      </w:rPr>
    </w:lvl>
    <w:lvl w:ilvl="5" w:tplc="18090005" w:tentative="1">
      <w:start w:val="1"/>
      <w:numFmt w:val="bullet"/>
      <w:lvlText w:val=""/>
      <w:lvlJc w:val="left"/>
      <w:pPr>
        <w:ind w:left="4898" w:hanging="360"/>
      </w:pPr>
      <w:rPr>
        <w:rFonts w:ascii="Wingdings" w:hAnsi="Wingdings" w:hint="default"/>
      </w:rPr>
    </w:lvl>
    <w:lvl w:ilvl="6" w:tplc="18090001" w:tentative="1">
      <w:start w:val="1"/>
      <w:numFmt w:val="bullet"/>
      <w:lvlText w:val=""/>
      <w:lvlJc w:val="left"/>
      <w:pPr>
        <w:ind w:left="5618" w:hanging="360"/>
      </w:pPr>
      <w:rPr>
        <w:rFonts w:ascii="Symbol" w:hAnsi="Symbol" w:hint="default"/>
      </w:rPr>
    </w:lvl>
    <w:lvl w:ilvl="7" w:tplc="18090003" w:tentative="1">
      <w:start w:val="1"/>
      <w:numFmt w:val="bullet"/>
      <w:lvlText w:val="o"/>
      <w:lvlJc w:val="left"/>
      <w:pPr>
        <w:ind w:left="6338" w:hanging="360"/>
      </w:pPr>
      <w:rPr>
        <w:rFonts w:ascii="Courier New" w:hAnsi="Courier New" w:cs="Courier New" w:hint="default"/>
      </w:rPr>
    </w:lvl>
    <w:lvl w:ilvl="8" w:tplc="18090005" w:tentative="1">
      <w:start w:val="1"/>
      <w:numFmt w:val="bullet"/>
      <w:lvlText w:val=""/>
      <w:lvlJc w:val="left"/>
      <w:pPr>
        <w:ind w:left="7058" w:hanging="360"/>
      </w:pPr>
      <w:rPr>
        <w:rFonts w:ascii="Wingdings" w:hAnsi="Wingdings" w:hint="default"/>
      </w:rPr>
    </w:lvl>
  </w:abstractNum>
  <w:abstractNum w:abstractNumId="36" w15:restartNumberingAfterBreak="0">
    <w:nsid w:val="67CD6EEA"/>
    <w:multiLevelType w:val="hybridMultilevel"/>
    <w:tmpl w:val="7DA4997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8D340F2"/>
    <w:multiLevelType w:val="hybridMultilevel"/>
    <w:tmpl w:val="6FA47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DB5602"/>
    <w:multiLevelType w:val="hybridMultilevel"/>
    <w:tmpl w:val="A72A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E7C06"/>
    <w:multiLevelType w:val="hybridMultilevel"/>
    <w:tmpl w:val="6C56A884"/>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C3D2FBD"/>
    <w:multiLevelType w:val="hybridMultilevel"/>
    <w:tmpl w:val="23FA773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E3661CA"/>
    <w:multiLevelType w:val="multilevel"/>
    <w:tmpl w:val="9D987C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775C35"/>
    <w:multiLevelType w:val="multilevel"/>
    <w:tmpl w:val="9E32687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E0007A"/>
    <w:multiLevelType w:val="hybridMultilevel"/>
    <w:tmpl w:val="D2D6054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367CC1"/>
    <w:multiLevelType w:val="hybridMultilevel"/>
    <w:tmpl w:val="87460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62F3081"/>
    <w:multiLevelType w:val="hybridMultilevel"/>
    <w:tmpl w:val="0446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50DA1"/>
    <w:multiLevelType w:val="hybridMultilevel"/>
    <w:tmpl w:val="09D2FC10"/>
    <w:lvl w:ilvl="0" w:tplc="B908DDC6">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9755237"/>
    <w:multiLevelType w:val="hybridMultilevel"/>
    <w:tmpl w:val="A8DCB0B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7AE04741"/>
    <w:multiLevelType w:val="hybridMultilevel"/>
    <w:tmpl w:val="7FA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E4483"/>
    <w:multiLevelType w:val="hybridMultilevel"/>
    <w:tmpl w:val="146CB3C4"/>
    <w:lvl w:ilvl="0" w:tplc="B908DDC6">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34"/>
  </w:num>
  <w:num w:numId="7">
    <w:abstractNumId w:val="30"/>
  </w:num>
  <w:num w:numId="8">
    <w:abstractNumId w:val="4"/>
  </w:num>
  <w:num w:numId="9">
    <w:abstractNumId w:val="37"/>
  </w:num>
  <w:num w:numId="10">
    <w:abstractNumId w:val="18"/>
  </w:num>
  <w:num w:numId="11">
    <w:abstractNumId w:val="22"/>
  </w:num>
  <w:num w:numId="12">
    <w:abstractNumId w:val="31"/>
  </w:num>
  <w:num w:numId="13">
    <w:abstractNumId w:val="17"/>
  </w:num>
  <w:num w:numId="14">
    <w:abstractNumId w:val="9"/>
  </w:num>
  <w:num w:numId="15">
    <w:abstractNumId w:val="45"/>
  </w:num>
  <w:num w:numId="16">
    <w:abstractNumId w:val="23"/>
  </w:num>
  <w:num w:numId="17">
    <w:abstractNumId w:val="0"/>
  </w:num>
  <w:num w:numId="18">
    <w:abstractNumId w:val="10"/>
  </w:num>
  <w:num w:numId="19">
    <w:abstractNumId w:val="43"/>
  </w:num>
  <w:num w:numId="20">
    <w:abstractNumId w:val="25"/>
  </w:num>
  <w:num w:numId="21">
    <w:abstractNumId w:val="38"/>
  </w:num>
  <w:num w:numId="22">
    <w:abstractNumId w:val="6"/>
  </w:num>
  <w:num w:numId="23">
    <w:abstractNumId w:val="2"/>
  </w:num>
  <w:num w:numId="24">
    <w:abstractNumId w:val="19"/>
  </w:num>
  <w:num w:numId="25">
    <w:abstractNumId w:val="28"/>
  </w:num>
  <w:num w:numId="26">
    <w:abstractNumId w:val="8"/>
  </w:num>
  <w:num w:numId="27">
    <w:abstractNumId w:val="49"/>
  </w:num>
  <w:num w:numId="28">
    <w:abstractNumId w:val="46"/>
  </w:num>
  <w:num w:numId="29">
    <w:abstractNumId w:val="32"/>
  </w:num>
  <w:num w:numId="30">
    <w:abstractNumId w:val="29"/>
  </w:num>
  <w:num w:numId="31">
    <w:abstractNumId w:val="11"/>
  </w:num>
  <w:num w:numId="32">
    <w:abstractNumId w:val="33"/>
  </w:num>
  <w:num w:numId="33">
    <w:abstractNumId w:val="14"/>
  </w:num>
  <w:num w:numId="34">
    <w:abstractNumId w:val="5"/>
  </w:num>
  <w:num w:numId="35">
    <w:abstractNumId w:val="27"/>
  </w:num>
  <w:num w:numId="36">
    <w:abstractNumId w:val="47"/>
  </w:num>
  <w:num w:numId="37">
    <w:abstractNumId w:val="40"/>
  </w:num>
  <w:num w:numId="38">
    <w:abstractNumId w:val="39"/>
  </w:num>
  <w:num w:numId="39">
    <w:abstractNumId w:val="36"/>
  </w:num>
  <w:num w:numId="40">
    <w:abstractNumId w:val="20"/>
  </w:num>
  <w:num w:numId="41">
    <w:abstractNumId w:val="16"/>
  </w:num>
  <w:num w:numId="42">
    <w:abstractNumId w:val="26"/>
  </w:num>
  <w:num w:numId="43">
    <w:abstractNumId w:val="12"/>
  </w:num>
  <w:num w:numId="44">
    <w:abstractNumId w:val="44"/>
  </w:num>
  <w:num w:numId="45">
    <w:abstractNumId w:val="41"/>
  </w:num>
  <w:num w:numId="46">
    <w:abstractNumId w:val="1"/>
  </w:num>
  <w:num w:numId="47">
    <w:abstractNumId w:val="48"/>
  </w:num>
  <w:num w:numId="48">
    <w:abstractNumId w:val="15"/>
  </w:num>
  <w:num w:numId="49">
    <w:abstractNumId w:val="2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IE"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53"/>
    <w:rsid w:val="0000049A"/>
    <w:rsid w:val="00000947"/>
    <w:rsid w:val="000009EB"/>
    <w:rsid w:val="00000D90"/>
    <w:rsid w:val="0000138B"/>
    <w:rsid w:val="000014ED"/>
    <w:rsid w:val="00001F62"/>
    <w:rsid w:val="00002B28"/>
    <w:rsid w:val="00003C30"/>
    <w:rsid w:val="00003DB4"/>
    <w:rsid w:val="00004088"/>
    <w:rsid w:val="00004965"/>
    <w:rsid w:val="00004EEA"/>
    <w:rsid w:val="00005162"/>
    <w:rsid w:val="00006D61"/>
    <w:rsid w:val="000076D9"/>
    <w:rsid w:val="00011165"/>
    <w:rsid w:val="000114D6"/>
    <w:rsid w:val="000115DF"/>
    <w:rsid w:val="00011CA5"/>
    <w:rsid w:val="0001440F"/>
    <w:rsid w:val="000147EC"/>
    <w:rsid w:val="00014F5D"/>
    <w:rsid w:val="00015070"/>
    <w:rsid w:val="00016285"/>
    <w:rsid w:val="0001654F"/>
    <w:rsid w:val="00017324"/>
    <w:rsid w:val="00017C3C"/>
    <w:rsid w:val="0002063A"/>
    <w:rsid w:val="000208BC"/>
    <w:rsid w:val="0002104E"/>
    <w:rsid w:val="000219F5"/>
    <w:rsid w:val="00021A2B"/>
    <w:rsid w:val="000236B0"/>
    <w:rsid w:val="00023A90"/>
    <w:rsid w:val="000244DD"/>
    <w:rsid w:val="00025B9C"/>
    <w:rsid w:val="00025D87"/>
    <w:rsid w:val="00026411"/>
    <w:rsid w:val="00026833"/>
    <w:rsid w:val="000268BD"/>
    <w:rsid w:val="00026CED"/>
    <w:rsid w:val="00026FB0"/>
    <w:rsid w:val="00026FBC"/>
    <w:rsid w:val="000271FA"/>
    <w:rsid w:val="00031096"/>
    <w:rsid w:val="0003191F"/>
    <w:rsid w:val="00031C48"/>
    <w:rsid w:val="0003451E"/>
    <w:rsid w:val="00034D3B"/>
    <w:rsid w:val="0003579F"/>
    <w:rsid w:val="00035B0E"/>
    <w:rsid w:val="0003606F"/>
    <w:rsid w:val="00036F8E"/>
    <w:rsid w:val="000370BE"/>
    <w:rsid w:val="000400F7"/>
    <w:rsid w:val="000401C5"/>
    <w:rsid w:val="00040F81"/>
    <w:rsid w:val="00041247"/>
    <w:rsid w:val="00044408"/>
    <w:rsid w:val="00044D56"/>
    <w:rsid w:val="00044E09"/>
    <w:rsid w:val="000458D0"/>
    <w:rsid w:val="00046325"/>
    <w:rsid w:val="000468CB"/>
    <w:rsid w:val="0004694B"/>
    <w:rsid w:val="00050FFB"/>
    <w:rsid w:val="00051785"/>
    <w:rsid w:val="00051B12"/>
    <w:rsid w:val="00051BCA"/>
    <w:rsid w:val="00052387"/>
    <w:rsid w:val="000532DF"/>
    <w:rsid w:val="000552ED"/>
    <w:rsid w:val="00055B93"/>
    <w:rsid w:val="00057417"/>
    <w:rsid w:val="000578C1"/>
    <w:rsid w:val="00057B04"/>
    <w:rsid w:val="000604E6"/>
    <w:rsid w:val="00060BC6"/>
    <w:rsid w:val="00060E88"/>
    <w:rsid w:val="00060EA9"/>
    <w:rsid w:val="00061782"/>
    <w:rsid w:val="0006255F"/>
    <w:rsid w:val="00062AF8"/>
    <w:rsid w:val="00062C1A"/>
    <w:rsid w:val="00062D43"/>
    <w:rsid w:val="00063263"/>
    <w:rsid w:val="000633D5"/>
    <w:rsid w:val="000647CF"/>
    <w:rsid w:val="000647E4"/>
    <w:rsid w:val="00064C89"/>
    <w:rsid w:val="00066421"/>
    <w:rsid w:val="000666E4"/>
    <w:rsid w:val="00066828"/>
    <w:rsid w:val="00066D2C"/>
    <w:rsid w:val="00067544"/>
    <w:rsid w:val="000700AC"/>
    <w:rsid w:val="000704ED"/>
    <w:rsid w:val="000711CE"/>
    <w:rsid w:val="00071377"/>
    <w:rsid w:val="00072783"/>
    <w:rsid w:val="00073B55"/>
    <w:rsid w:val="000740BB"/>
    <w:rsid w:val="0007461B"/>
    <w:rsid w:val="000747E7"/>
    <w:rsid w:val="000770A1"/>
    <w:rsid w:val="000770CC"/>
    <w:rsid w:val="00077F3D"/>
    <w:rsid w:val="00080D87"/>
    <w:rsid w:val="0008111B"/>
    <w:rsid w:val="00081222"/>
    <w:rsid w:val="00084132"/>
    <w:rsid w:val="00085B68"/>
    <w:rsid w:val="00085C51"/>
    <w:rsid w:val="00085C8B"/>
    <w:rsid w:val="00086F76"/>
    <w:rsid w:val="00087327"/>
    <w:rsid w:val="000874CF"/>
    <w:rsid w:val="00087B32"/>
    <w:rsid w:val="000906A3"/>
    <w:rsid w:val="00090D46"/>
    <w:rsid w:val="00090DD0"/>
    <w:rsid w:val="00090E86"/>
    <w:rsid w:val="00090ED3"/>
    <w:rsid w:val="00091F1B"/>
    <w:rsid w:val="0009243D"/>
    <w:rsid w:val="00092D5E"/>
    <w:rsid w:val="00092DE6"/>
    <w:rsid w:val="0009343B"/>
    <w:rsid w:val="000936DF"/>
    <w:rsid w:val="000963F5"/>
    <w:rsid w:val="00097C11"/>
    <w:rsid w:val="00097EBD"/>
    <w:rsid w:val="000A0AE8"/>
    <w:rsid w:val="000A1678"/>
    <w:rsid w:val="000A1DA8"/>
    <w:rsid w:val="000A2137"/>
    <w:rsid w:val="000A2E22"/>
    <w:rsid w:val="000A449F"/>
    <w:rsid w:val="000A49E9"/>
    <w:rsid w:val="000A4BE9"/>
    <w:rsid w:val="000A51DB"/>
    <w:rsid w:val="000A5396"/>
    <w:rsid w:val="000A5900"/>
    <w:rsid w:val="000A6518"/>
    <w:rsid w:val="000A7C9B"/>
    <w:rsid w:val="000B046E"/>
    <w:rsid w:val="000B0D5F"/>
    <w:rsid w:val="000B13F5"/>
    <w:rsid w:val="000B1C71"/>
    <w:rsid w:val="000B2E7E"/>
    <w:rsid w:val="000B378D"/>
    <w:rsid w:val="000B3B0C"/>
    <w:rsid w:val="000B3E28"/>
    <w:rsid w:val="000B416B"/>
    <w:rsid w:val="000B4BAC"/>
    <w:rsid w:val="000B4E61"/>
    <w:rsid w:val="000B5FF9"/>
    <w:rsid w:val="000B60EB"/>
    <w:rsid w:val="000B636D"/>
    <w:rsid w:val="000B6383"/>
    <w:rsid w:val="000B73EC"/>
    <w:rsid w:val="000B7BCC"/>
    <w:rsid w:val="000C00A8"/>
    <w:rsid w:val="000C0B91"/>
    <w:rsid w:val="000C1AB0"/>
    <w:rsid w:val="000C1C0B"/>
    <w:rsid w:val="000C2168"/>
    <w:rsid w:val="000C3D97"/>
    <w:rsid w:val="000C4250"/>
    <w:rsid w:val="000C474F"/>
    <w:rsid w:val="000C4A2B"/>
    <w:rsid w:val="000C55F5"/>
    <w:rsid w:val="000C5A8C"/>
    <w:rsid w:val="000C6E91"/>
    <w:rsid w:val="000C70F0"/>
    <w:rsid w:val="000C7F8E"/>
    <w:rsid w:val="000D0190"/>
    <w:rsid w:val="000D05FD"/>
    <w:rsid w:val="000D0772"/>
    <w:rsid w:val="000D07BE"/>
    <w:rsid w:val="000D18F6"/>
    <w:rsid w:val="000D1A13"/>
    <w:rsid w:val="000D2552"/>
    <w:rsid w:val="000D3172"/>
    <w:rsid w:val="000D38D9"/>
    <w:rsid w:val="000D5200"/>
    <w:rsid w:val="000D5694"/>
    <w:rsid w:val="000D58BD"/>
    <w:rsid w:val="000D61FC"/>
    <w:rsid w:val="000D68BF"/>
    <w:rsid w:val="000E2051"/>
    <w:rsid w:val="000E2055"/>
    <w:rsid w:val="000E4CCD"/>
    <w:rsid w:val="000E5654"/>
    <w:rsid w:val="000E5A6F"/>
    <w:rsid w:val="000E5CBB"/>
    <w:rsid w:val="000E7857"/>
    <w:rsid w:val="000F0D8A"/>
    <w:rsid w:val="000F0ECC"/>
    <w:rsid w:val="000F148C"/>
    <w:rsid w:val="000F194D"/>
    <w:rsid w:val="000F1D3F"/>
    <w:rsid w:val="000F2124"/>
    <w:rsid w:val="000F3422"/>
    <w:rsid w:val="000F3EF1"/>
    <w:rsid w:val="000F49A1"/>
    <w:rsid w:val="000F523F"/>
    <w:rsid w:val="000F5500"/>
    <w:rsid w:val="000F5CC1"/>
    <w:rsid w:val="000F6B82"/>
    <w:rsid w:val="000F78E4"/>
    <w:rsid w:val="000F794B"/>
    <w:rsid w:val="0010052A"/>
    <w:rsid w:val="00100CFB"/>
    <w:rsid w:val="00100D24"/>
    <w:rsid w:val="00101F27"/>
    <w:rsid w:val="001027B4"/>
    <w:rsid w:val="0010382E"/>
    <w:rsid w:val="001040A0"/>
    <w:rsid w:val="00105D6F"/>
    <w:rsid w:val="00106850"/>
    <w:rsid w:val="001070FA"/>
    <w:rsid w:val="00107C93"/>
    <w:rsid w:val="0011004D"/>
    <w:rsid w:val="001107AA"/>
    <w:rsid w:val="001110C6"/>
    <w:rsid w:val="00112952"/>
    <w:rsid w:val="00112FFD"/>
    <w:rsid w:val="00113B6F"/>
    <w:rsid w:val="00114076"/>
    <w:rsid w:val="001145AD"/>
    <w:rsid w:val="001145BC"/>
    <w:rsid w:val="001156FC"/>
    <w:rsid w:val="00115B47"/>
    <w:rsid w:val="00116440"/>
    <w:rsid w:val="00116EA3"/>
    <w:rsid w:val="001176A5"/>
    <w:rsid w:val="001201E4"/>
    <w:rsid w:val="001203CB"/>
    <w:rsid w:val="001209D5"/>
    <w:rsid w:val="00121266"/>
    <w:rsid w:val="00121E81"/>
    <w:rsid w:val="001236E1"/>
    <w:rsid w:val="0012453C"/>
    <w:rsid w:val="00124815"/>
    <w:rsid w:val="00124F18"/>
    <w:rsid w:val="00125169"/>
    <w:rsid w:val="00125802"/>
    <w:rsid w:val="00125C29"/>
    <w:rsid w:val="00125E66"/>
    <w:rsid w:val="00126202"/>
    <w:rsid w:val="0012633D"/>
    <w:rsid w:val="00126EF3"/>
    <w:rsid w:val="001274D4"/>
    <w:rsid w:val="001300D1"/>
    <w:rsid w:val="00131712"/>
    <w:rsid w:val="001329AB"/>
    <w:rsid w:val="00132AC3"/>
    <w:rsid w:val="00132D8B"/>
    <w:rsid w:val="00133596"/>
    <w:rsid w:val="00133A5C"/>
    <w:rsid w:val="00133D46"/>
    <w:rsid w:val="001340D0"/>
    <w:rsid w:val="00134235"/>
    <w:rsid w:val="00134690"/>
    <w:rsid w:val="00134826"/>
    <w:rsid w:val="001351F5"/>
    <w:rsid w:val="0014019E"/>
    <w:rsid w:val="001413B6"/>
    <w:rsid w:val="00142175"/>
    <w:rsid w:val="001430CF"/>
    <w:rsid w:val="001448C4"/>
    <w:rsid w:val="00144B7C"/>
    <w:rsid w:val="00144EFB"/>
    <w:rsid w:val="00145DFD"/>
    <w:rsid w:val="001463E4"/>
    <w:rsid w:val="001463EF"/>
    <w:rsid w:val="001464EA"/>
    <w:rsid w:val="00146B01"/>
    <w:rsid w:val="001518B8"/>
    <w:rsid w:val="001519FF"/>
    <w:rsid w:val="00152435"/>
    <w:rsid w:val="001534AA"/>
    <w:rsid w:val="001536AC"/>
    <w:rsid w:val="00153C4E"/>
    <w:rsid w:val="001546E0"/>
    <w:rsid w:val="00154B00"/>
    <w:rsid w:val="00154EA6"/>
    <w:rsid w:val="0015518A"/>
    <w:rsid w:val="0015561A"/>
    <w:rsid w:val="00155FCB"/>
    <w:rsid w:val="001564CE"/>
    <w:rsid w:val="00156AD0"/>
    <w:rsid w:val="00156B40"/>
    <w:rsid w:val="0015711D"/>
    <w:rsid w:val="00160D8D"/>
    <w:rsid w:val="00161B9C"/>
    <w:rsid w:val="00162990"/>
    <w:rsid w:val="001629C7"/>
    <w:rsid w:val="00163451"/>
    <w:rsid w:val="00163E89"/>
    <w:rsid w:val="00164D77"/>
    <w:rsid w:val="0016500C"/>
    <w:rsid w:val="001651D2"/>
    <w:rsid w:val="001651E4"/>
    <w:rsid w:val="00167230"/>
    <w:rsid w:val="001672F5"/>
    <w:rsid w:val="001675C6"/>
    <w:rsid w:val="00167950"/>
    <w:rsid w:val="00171300"/>
    <w:rsid w:val="00171B45"/>
    <w:rsid w:val="0017237E"/>
    <w:rsid w:val="001725BB"/>
    <w:rsid w:val="001727E9"/>
    <w:rsid w:val="001729BF"/>
    <w:rsid w:val="00172B91"/>
    <w:rsid w:val="001737BB"/>
    <w:rsid w:val="0017405F"/>
    <w:rsid w:val="00174EC1"/>
    <w:rsid w:val="00175851"/>
    <w:rsid w:val="0017613C"/>
    <w:rsid w:val="0017641F"/>
    <w:rsid w:val="00176510"/>
    <w:rsid w:val="001769EB"/>
    <w:rsid w:val="00176C27"/>
    <w:rsid w:val="00176C2F"/>
    <w:rsid w:val="0017727F"/>
    <w:rsid w:val="0017784D"/>
    <w:rsid w:val="00181CF2"/>
    <w:rsid w:val="0018224D"/>
    <w:rsid w:val="00183034"/>
    <w:rsid w:val="00183309"/>
    <w:rsid w:val="001838AA"/>
    <w:rsid w:val="00183D87"/>
    <w:rsid w:val="00184786"/>
    <w:rsid w:val="00184DDF"/>
    <w:rsid w:val="00185A32"/>
    <w:rsid w:val="0018657C"/>
    <w:rsid w:val="00186D49"/>
    <w:rsid w:val="00187018"/>
    <w:rsid w:val="00187597"/>
    <w:rsid w:val="00192562"/>
    <w:rsid w:val="00192669"/>
    <w:rsid w:val="00195BFE"/>
    <w:rsid w:val="00195CEB"/>
    <w:rsid w:val="00195F85"/>
    <w:rsid w:val="00196CFD"/>
    <w:rsid w:val="0019747C"/>
    <w:rsid w:val="00197A7D"/>
    <w:rsid w:val="00197AE0"/>
    <w:rsid w:val="001A0F77"/>
    <w:rsid w:val="001A135E"/>
    <w:rsid w:val="001A1546"/>
    <w:rsid w:val="001A168A"/>
    <w:rsid w:val="001A1A9F"/>
    <w:rsid w:val="001A4A3D"/>
    <w:rsid w:val="001A4C50"/>
    <w:rsid w:val="001A54FA"/>
    <w:rsid w:val="001A58D3"/>
    <w:rsid w:val="001A6275"/>
    <w:rsid w:val="001A63F0"/>
    <w:rsid w:val="001A69B6"/>
    <w:rsid w:val="001A6FEA"/>
    <w:rsid w:val="001A75A5"/>
    <w:rsid w:val="001A75A8"/>
    <w:rsid w:val="001A7DBF"/>
    <w:rsid w:val="001A7FA4"/>
    <w:rsid w:val="001B04D4"/>
    <w:rsid w:val="001B09BF"/>
    <w:rsid w:val="001B1121"/>
    <w:rsid w:val="001B1352"/>
    <w:rsid w:val="001B1771"/>
    <w:rsid w:val="001B2B91"/>
    <w:rsid w:val="001B2D36"/>
    <w:rsid w:val="001B2D53"/>
    <w:rsid w:val="001B324E"/>
    <w:rsid w:val="001B3CB5"/>
    <w:rsid w:val="001B4765"/>
    <w:rsid w:val="001B4E21"/>
    <w:rsid w:val="001B596F"/>
    <w:rsid w:val="001B7596"/>
    <w:rsid w:val="001C06B5"/>
    <w:rsid w:val="001C2917"/>
    <w:rsid w:val="001C5373"/>
    <w:rsid w:val="001C58BA"/>
    <w:rsid w:val="001C59D7"/>
    <w:rsid w:val="001C7F3F"/>
    <w:rsid w:val="001C7F49"/>
    <w:rsid w:val="001D02FB"/>
    <w:rsid w:val="001D058A"/>
    <w:rsid w:val="001D0B25"/>
    <w:rsid w:val="001D0CB2"/>
    <w:rsid w:val="001D1945"/>
    <w:rsid w:val="001D215C"/>
    <w:rsid w:val="001D2B2D"/>
    <w:rsid w:val="001D38C7"/>
    <w:rsid w:val="001D556E"/>
    <w:rsid w:val="001D59BC"/>
    <w:rsid w:val="001D6155"/>
    <w:rsid w:val="001D6450"/>
    <w:rsid w:val="001D7078"/>
    <w:rsid w:val="001D70BC"/>
    <w:rsid w:val="001D7329"/>
    <w:rsid w:val="001E083E"/>
    <w:rsid w:val="001E08A7"/>
    <w:rsid w:val="001E0C3C"/>
    <w:rsid w:val="001E0D7B"/>
    <w:rsid w:val="001E16A3"/>
    <w:rsid w:val="001E19EB"/>
    <w:rsid w:val="001E1CD2"/>
    <w:rsid w:val="001E21D4"/>
    <w:rsid w:val="001E3D0A"/>
    <w:rsid w:val="001E5D1F"/>
    <w:rsid w:val="001E5E17"/>
    <w:rsid w:val="001E672C"/>
    <w:rsid w:val="001E67ED"/>
    <w:rsid w:val="001E695C"/>
    <w:rsid w:val="001E7B04"/>
    <w:rsid w:val="001E7E42"/>
    <w:rsid w:val="001F005D"/>
    <w:rsid w:val="001F2C0D"/>
    <w:rsid w:val="001F2CF4"/>
    <w:rsid w:val="001F2E5A"/>
    <w:rsid w:val="001F2FBD"/>
    <w:rsid w:val="001F43CD"/>
    <w:rsid w:val="001F4EA3"/>
    <w:rsid w:val="001F51A9"/>
    <w:rsid w:val="001F5A68"/>
    <w:rsid w:val="001F6FBD"/>
    <w:rsid w:val="001F7507"/>
    <w:rsid w:val="001F791B"/>
    <w:rsid w:val="001F7DD5"/>
    <w:rsid w:val="00200A17"/>
    <w:rsid w:val="0020156B"/>
    <w:rsid w:val="00201A52"/>
    <w:rsid w:val="0020224B"/>
    <w:rsid w:val="0020292A"/>
    <w:rsid w:val="0020384D"/>
    <w:rsid w:val="00203EDC"/>
    <w:rsid w:val="00204F11"/>
    <w:rsid w:val="002064AF"/>
    <w:rsid w:val="0020658B"/>
    <w:rsid w:val="00206D57"/>
    <w:rsid w:val="00207847"/>
    <w:rsid w:val="00207F11"/>
    <w:rsid w:val="002102A8"/>
    <w:rsid w:val="00210C49"/>
    <w:rsid w:val="00210F50"/>
    <w:rsid w:val="00211BEB"/>
    <w:rsid w:val="00212225"/>
    <w:rsid w:val="00212AD5"/>
    <w:rsid w:val="002132BD"/>
    <w:rsid w:val="00213974"/>
    <w:rsid w:val="0021467B"/>
    <w:rsid w:val="00216285"/>
    <w:rsid w:val="002174E2"/>
    <w:rsid w:val="00217A92"/>
    <w:rsid w:val="002201AA"/>
    <w:rsid w:val="002201BD"/>
    <w:rsid w:val="00220522"/>
    <w:rsid w:val="00220550"/>
    <w:rsid w:val="00220A4F"/>
    <w:rsid w:val="00220F7E"/>
    <w:rsid w:val="00221DC3"/>
    <w:rsid w:val="00221E92"/>
    <w:rsid w:val="00223B1F"/>
    <w:rsid w:val="00224D2B"/>
    <w:rsid w:val="00224EAB"/>
    <w:rsid w:val="00225B8D"/>
    <w:rsid w:val="00226A8A"/>
    <w:rsid w:val="00226F0C"/>
    <w:rsid w:val="0022759E"/>
    <w:rsid w:val="00227AC8"/>
    <w:rsid w:val="002300DD"/>
    <w:rsid w:val="00230287"/>
    <w:rsid w:val="00230935"/>
    <w:rsid w:val="0023153F"/>
    <w:rsid w:val="00231747"/>
    <w:rsid w:val="002320F8"/>
    <w:rsid w:val="002322C7"/>
    <w:rsid w:val="00232DA9"/>
    <w:rsid w:val="00232E2C"/>
    <w:rsid w:val="00232F37"/>
    <w:rsid w:val="002330A4"/>
    <w:rsid w:val="002338C8"/>
    <w:rsid w:val="0023637B"/>
    <w:rsid w:val="002366C0"/>
    <w:rsid w:val="00237488"/>
    <w:rsid w:val="002378AC"/>
    <w:rsid w:val="002378F8"/>
    <w:rsid w:val="00240A2E"/>
    <w:rsid w:val="00240CC9"/>
    <w:rsid w:val="00241A66"/>
    <w:rsid w:val="00242B85"/>
    <w:rsid w:val="00242C01"/>
    <w:rsid w:val="002435E6"/>
    <w:rsid w:val="00243BE0"/>
    <w:rsid w:val="00244860"/>
    <w:rsid w:val="00245262"/>
    <w:rsid w:val="002455E1"/>
    <w:rsid w:val="00246348"/>
    <w:rsid w:val="00247063"/>
    <w:rsid w:val="002472D9"/>
    <w:rsid w:val="0024745A"/>
    <w:rsid w:val="00247AC0"/>
    <w:rsid w:val="00247B9A"/>
    <w:rsid w:val="002504CA"/>
    <w:rsid w:val="00252359"/>
    <w:rsid w:val="00253BA2"/>
    <w:rsid w:val="002544B3"/>
    <w:rsid w:val="0025645D"/>
    <w:rsid w:val="00256827"/>
    <w:rsid w:val="00257084"/>
    <w:rsid w:val="00257118"/>
    <w:rsid w:val="00257860"/>
    <w:rsid w:val="00257FC3"/>
    <w:rsid w:val="002609C2"/>
    <w:rsid w:val="00261A61"/>
    <w:rsid w:val="002620F3"/>
    <w:rsid w:val="002634AA"/>
    <w:rsid w:val="00263AE2"/>
    <w:rsid w:val="002655DC"/>
    <w:rsid w:val="00270AED"/>
    <w:rsid w:val="002716C4"/>
    <w:rsid w:val="00271C87"/>
    <w:rsid w:val="00274EF9"/>
    <w:rsid w:val="0027637D"/>
    <w:rsid w:val="0027725A"/>
    <w:rsid w:val="00277495"/>
    <w:rsid w:val="002821AF"/>
    <w:rsid w:val="0028240A"/>
    <w:rsid w:val="00282CAE"/>
    <w:rsid w:val="00283B4F"/>
    <w:rsid w:val="0028442D"/>
    <w:rsid w:val="00284576"/>
    <w:rsid w:val="002849CF"/>
    <w:rsid w:val="00285A25"/>
    <w:rsid w:val="00286629"/>
    <w:rsid w:val="00286D53"/>
    <w:rsid w:val="00286D7F"/>
    <w:rsid w:val="0028708D"/>
    <w:rsid w:val="00287619"/>
    <w:rsid w:val="00291D31"/>
    <w:rsid w:val="00292043"/>
    <w:rsid w:val="00292CEE"/>
    <w:rsid w:val="002937E1"/>
    <w:rsid w:val="002937F5"/>
    <w:rsid w:val="0029438B"/>
    <w:rsid w:val="00295C8C"/>
    <w:rsid w:val="00296A68"/>
    <w:rsid w:val="00297BF2"/>
    <w:rsid w:val="002A0049"/>
    <w:rsid w:val="002A015B"/>
    <w:rsid w:val="002A07D3"/>
    <w:rsid w:val="002A0D22"/>
    <w:rsid w:val="002A194B"/>
    <w:rsid w:val="002A1E0B"/>
    <w:rsid w:val="002A1FC5"/>
    <w:rsid w:val="002A22DD"/>
    <w:rsid w:val="002A2601"/>
    <w:rsid w:val="002A26A5"/>
    <w:rsid w:val="002A31B3"/>
    <w:rsid w:val="002A3286"/>
    <w:rsid w:val="002A3805"/>
    <w:rsid w:val="002A5AA0"/>
    <w:rsid w:val="002A6DD4"/>
    <w:rsid w:val="002A73FF"/>
    <w:rsid w:val="002A753F"/>
    <w:rsid w:val="002A76C2"/>
    <w:rsid w:val="002B0387"/>
    <w:rsid w:val="002B03CE"/>
    <w:rsid w:val="002B053A"/>
    <w:rsid w:val="002B0991"/>
    <w:rsid w:val="002B114B"/>
    <w:rsid w:val="002B1494"/>
    <w:rsid w:val="002B1CA9"/>
    <w:rsid w:val="002B1DEC"/>
    <w:rsid w:val="002B2AFC"/>
    <w:rsid w:val="002B320A"/>
    <w:rsid w:val="002B34AB"/>
    <w:rsid w:val="002B4C54"/>
    <w:rsid w:val="002B596E"/>
    <w:rsid w:val="002B5E1B"/>
    <w:rsid w:val="002B5EA7"/>
    <w:rsid w:val="002B6734"/>
    <w:rsid w:val="002B69BE"/>
    <w:rsid w:val="002B7543"/>
    <w:rsid w:val="002B7DC4"/>
    <w:rsid w:val="002B7F5E"/>
    <w:rsid w:val="002C044D"/>
    <w:rsid w:val="002C14A5"/>
    <w:rsid w:val="002C2C65"/>
    <w:rsid w:val="002C2D35"/>
    <w:rsid w:val="002C36A3"/>
    <w:rsid w:val="002C3F44"/>
    <w:rsid w:val="002C5E53"/>
    <w:rsid w:val="002C6A31"/>
    <w:rsid w:val="002C738C"/>
    <w:rsid w:val="002D047B"/>
    <w:rsid w:val="002D1EAB"/>
    <w:rsid w:val="002D2077"/>
    <w:rsid w:val="002D2416"/>
    <w:rsid w:val="002D2885"/>
    <w:rsid w:val="002D2CAA"/>
    <w:rsid w:val="002D307C"/>
    <w:rsid w:val="002D4E02"/>
    <w:rsid w:val="002D5E7A"/>
    <w:rsid w:val="002D7FC4"/>
    <w:rsid w:val="002E029C"/>
    <w:rsid w:val="002E0912"/>
    <w:rsid w:val="002E2D2A"/>
    <w:rsid w:val="002E35F5"/>
    <w:rsid w:val="002E46DB"/>
    <w:rsid w:val="002E5339"/>
    <w:rsid w:val="002E5A21"/>
    <w:rsid w:val="002E5E83"/>
    <w:rsid w:val="002E65C4"/>
    <w:rsid w:val="002E6CCA"/>
    <w:rsid w:val="002F3049"/>
    <w:rsid w:val="002F3F1D"/>
    <w:rsid w:val="002F57FB"/>
    <w:rsid w:val="002F6A10"/>
    <w:rsid w:val="002F6BC8"/>
    <w:rsid w:val="00300E8F"/>
    <w:rsid w:val="0030105E"/>
    <w:rsid w:val="00301077"/>
    <w:rsid w:val="00301869"/>
    <w:rsid w:val="0030243D"/>
    <w:rsid w:val="00302E1A"/>
    <w:rsid w:val="003037F7"/>
    <w:rsid w:val="00303AC4"/>
    <w:rsid w:val="003045A8"/>
    <w:rsid w:val="00304EDA"/>
    <w:rsid w:val="00305D19"/>
    <w:rsid w:val="00306DBE"/>
    <w:rsid w:val="00307321"/>
    <w:rsid w:val="003074AF"/>
    <w:rsid w:val="00307CB4"/>
    <w:rsid w:val="00310599"/>
    <w:rsid w:val="00310DB5"/>
    <w:rsid w:val="0031252C"/>
    <w:rsid w:val="0031274F"/>
    <w:rsid w:val="003129CD"/>
    <w:rsid w:val="00313FE1"/>
    <w:rsid w:val="00314223"/>
    <w:rsid w:val="00315140"/>
    <w:rsid w:val="0031561D"/>
    <w:rsid w:val="003158B9"/>
    <w:rsid w:val="00315950"/>
    <w:rsid w:val="00315BC3"/>
    <w:rsid w:val="00315D9A"/>
    <w:rsid w:val="00316497"/>
    <w:rsid w:val="003173E8"/>
    <w:rsid w:val="00317462"/>
    <w:rsid w:val="00317702"/>
    <w:rsid w:val="00317CED"/>
    <w:rsid w:val="00317E9C"/>
    <w:rsid w:val="003201A7"/>
    <w:rsid w:val="003202DB"/>
    <w:rsid w:val="00320757"/>
    <w:rsid w:val="00320C36"/>
    <w:rsid w:val="00320CEF"/>
    <w:rsid w:val="00320E1F"/>
    <w:rsid w:val="00321AF5"/>
    <w:rsid w:val="00321B13"/>
    <w:rsid w:val="00321F57"/>
    <w:rsid w:val="0032364B"/>
    <w:rsid w:val="0032371D"/>
    <w:rsid w:val="003238C4"/>
    <w:rsid w:val="00323E2D"/>
    <w:rsid w:val="003243D8"/>
    <w:rsid w:val="00325330"/>
    <w:rsid w:val="00325840"/>
    <w:rsid w:val="0032691E"/>
    <w:rsid w:val="00326D6C"/>
    <w:rsid w:val="003271A8"/>
    <w:rsid w:val="003277A4"/>
    <w:rsid w:val="003307E4"/>
    <w:rsid w:val="00330B0A"/>
    <w:rsid w:val="003316C5"/>
    <w:rsid w:val="003330B7"/>
    <w:rsid w:val="00333C4D"/>
    <w:rsid w:val="00333FFE"/>
    <w:rsid w:val="00336AC8"/>
    <w:rsid w:val="00336B37"/>
    <w:rsid w:val="00336E5A"/>
    <w:rsid w:val="0033734B"/>
    <w:rsid w:val="0033742A"/>
    <w:rsid w:val="00337945"/>
    <w:rsid w:val="00337B3C"/>
    <w:rsid w:val="00337ED8"/>
    <w:rsid w:val="00340848"/>
    <w:rsid w:val="003408D3"/>
    <w:rsid w:val="00340CC7"/>
    <w:rsid w:val="00341795"/>
    <w:rsid w:val="0034256C"/>
    <w:rsid w:val="0034316F"/>
    <w:rsid w:val="003433CF"/>
    <w:rsid w:val="00343C1A"/>
    <w:rsid w:val="00343F6D"/>
    <w:rsid w:val="003451D0"/>
    <w:rsid w:val="00345417"/>
    <w:rsid w:val="00345CE3"/>
    <w:rsid w:val="00346B8B"/>
    <w:rsid w:val="0034728C"/>
    <w:rsid w:val="0035043A"/>
    <w:rsid w:val="003506A1"/>
    <w:rsid w:val="00350BAB"/>
    <w:rsid w:val="00350EC6"/>
    <w:rsid w:val="0035154C"/>
    <w:rsid w:val="00352AE7"/>
    <w:rsid w:val="00352B10"/>
    <w:rsid w:val="00354650"/>
    <w:rsid w:val="00354885"/>
    <w:rsid w:val="00354D88"/>
    <w:rsid w:val="00355460"/>
    <w:rsid w:val="0035567C"/>
    <w:rsid w:val="0035635B"/>
    <w:rsid w:val="003567EE"/>
    <w:rsid w:val="00356D41"/>
    <w:rsid w:val="00356E40"/>
    <w:rsid w:val="00361183"/>
    <w:rsid w:val="0036208A"/>
    <w:rsid w:val="0036267C"/>
    <w:rsid w:val="003630F2"/>
    <w:rsid w:val="003634C4"/>
    <w:rsid w:val="00363ABD"/>
    <w:rsid w:val="00366535"/>
    <w:rsid w:val="0036655D"/>
    <w:rsid w:val="00366B4B"/>
    <w:rsid w:val="00367AC4"/>
    <w:rsid w:val="00372148"/>
    <w:rsid w:val="00373464"/>
    <w:rsid w:val="0037370D"/>
    <w:rsid w:val="00373CBC"/>
    <w:rsid w:val="003742C3"/>
    <w:rsid w:val="00374606"/>
    <w:rsid w:val="00374655"/>
    <w:rsid w:val="00375782"/>
    <w:rsid w:val="00375B39"/>
    <w:rsid w:val="00375F2D"/>
    <w:rsid w:val="00376083"/>
    <w:rsid w:val="00376FCA"/>
    <w:rsid w:val="0037719C"/>
    <w:rsid w:val="00377CC3"/>
    <w:rsid w:val="003804A5"/>
    <w:rsid w:val="00380851"/>
    <w:rsid w:val="00380C6F"/>
    <w:rsid w:val="003821FB"/>
    <w:rsid w:val="00382C30"/>
    <w:rsid w:val="00383118"/>
    <w:rsid w:val="00383D39"/>
    <w:rsid w:val="00384026"/>
    <w:rsid w:val="003840D7"/>
    <w:rsid w:val="00384DED"/>
    <w:rsid w:val="00385257"/>
    <w:rsid w:val="00385DD8"/>
    <w:rsid w:val="00387097"/>
    <w:rsid w:val="003905B9"/>
    <w:rsid w:val="00390ABC"/>
    <w:rsid w:val="00390BDD"/>
    <w:rsid w:val="00391315"/>
    <w:rsid w:val="00391360"/>
    <w:rsid w:val="003913B3"/>
    <w:rsid w:val="003916DC"/>
    <w:rsid w:val="00391724"/>
    <w:rsid w:val="0039213E"/>
    <w:rsid w:val="00392697"/>
    <w:rsid w:val="003932AF"/>
    <w:rsid w:val="00393D1B"/>
    <w:rsid w:val="00394A72"/>
    <w:rsid w:val="00394FBF"/>
    <w:rsid w:val="00394FC0"/>
    <w:rsid w:val="00395B92"/>
    <w:rsid w:val="003961FE"/>
    <w:rsid w:val="00396743"/>
    <w:rsid w:val="00396957"/>
    <w:rsid w:val="003969AA"/>
    <w:rsid w:val="00397A70"/>
    <w:rsid w:val="00397E60"/>
    <w:rsid w:val="003A0852"/>
    <w:rsid w:val="003A0C0E"/>
    <w:rsid w:val="003A0CB2"/>
    <w:rsid w:val="003A1A19"/>
    <w:rsid w:val="003A1DBE"/>
    <w:rsid w:val="003A1F3C"/>
    <w:rsid w:val="003A2420"/>
    <w:rsid w:val="003A2EB1"/>
    <w:rsid w:val="003A3164"/>
    <w:rsid w:val="003A3379"/>
    <w:rsid w:val="003A3388"/>
    <w:rsid w:val="003A4C2C"/>
    <w:rsid w:val="003A4F05"/>
    <w:rsid w:val="003A4F68"/>
    <w:rsid w:val="003A52DA"/>
    <w:rsid w:val="003A638B"/>
    <w:rsid w:val="003A66D6"/>
    <w:rsid w:val="003A6B81"/>
    <w:rsid w:val="003A733C"/>
    <w:rsid w:val="003A774F"/>
    <w:rsid w:val="003A7BAE"/>
    <w:rsid w:val="003A7F0D"/>
    <w:rsid w:val="003B07B7"/>
    <w:rsid w:val="003B0B85"/>
    <w:rsid w:val="003B235A"/>
    <w:rsid w:val="003B3483"/>
    <w:rsid w:val="003B4DE8"/>
    <w:rsid w:val="003B56CE"/>
    <w:rsid w:val="003B67F1"/>
    <w:rsid w:val="003B7F8E"/>
    <w:rsid w:val="003C08B1"/>
    <w:rsid w:val="003C18F7"/>
    <w:rsid w:val="003C1E31"/>
    <w:rsid w:val="003C2237"/>
    <w:rsid w:val="003C25A9"/>
    <w:rsid w:val="003C3373"/>
    <w:rsid w:val="003C3749"/>
    <w:rsid w:val="003C3943"/>
    <w:rsid w:val="003C4B1E"/>
    <w:rsid w:val="003C53AC"/>
    <w:rsid w:val="003C5854"/>
    <w:rsid w:val="003C58BD"/>
    <w:rsid w:val="003C5B31"/>
    <w:rsid w:val="003C68A5"/>
    <w:rsid w:val="003D0756"/>
    <w:rsid w:val="003D0DC3"/>
    <w:rsid w:val="003D119F"/>
    <w:rsid w:val="003D17FE"/>
    <w:rsid w:val="003D2727"/>
    <w:rsid w:val="003D2D30"/>
    <w:rsid w:val="003D3143"/>
    <w:rsid w:val="003D314A"/>
    <w:rsid w:val="003D545A"/>
    <w:rsid w:val="003D5F72"/>
    <w:rsid w:val="003D62E7"/>
    <w:rsid w:val="003D6FB5"/>
    <w:rsid w:val="003E07F0"/>
    <w:rsid w:val="003E14B5"/>
    <w:rsid w:val="003E19B6"/>
    <w:rsid w:val="003E1FE8"/>
    <w:rsid w:val="003E23BA"/>
    <w:rsid w:val="003E383D"/>
    <w:rsid w:val="003E4708"/>
    <w:rsid w:val="003E6454"/>
    <w:rsid w:val="003E6929"/>
    <w:rsid w:val="003E6B74"/>
    <w:rsid w:val="003E6EAC"/>
    <w:rsid w:val="003E7B04"/>
    <w:rsid w:val="003F0762"/>
    <w:rsid w:val="003F1076"/>
    <w:rsid w:val="003F3349"/>
    <w:rsid w:val="003F3A7A"/>
    <w:rsid w:val="003F3B34"/>
    <w:rsid w:val="003F4075"/>
    <w:rsid w:val="003F4341"/>
    <w:rsid w:val="003F5ADD"/>
    <w:rsid w:val="003F5F8C"/>
    <w:rsid w:val="003F63A5"/>
    <w:rsid w:val="003F7223"/>
    <w:rsid w:val="003F7A5B"/>
    <w:rsid w:val="00401AB2"/>
    <w:rsid w:val="004023EF"/>
    <w:rsid w:val="004024A4"/>
    <w:rsid w:val="004025F6"/>
    <w:rsid w:val="00402753"/>
    <w:rsid w:val="00402927"/>
    <w:rsid w:val="00403101"/>
    <w:rsid w:val="004036B5"/>
    <w:rsid w:val="004039CA"/>
    <w:rsid w:val="0040498C"/>
    <w:rsid w:val="004057C4"/>
    <w:rsid w:val="004058DD"/>
    <w:rsid w:val="00405F67"/>
    <w:rsid w:val="00406D9C"/>
    <w:rsid w:val="00406F86"/>
    <w:rsid w:val="0040739A"/>
    <w:rsid w:val="0040790C"/>
    <w:rsid w:val="00410469"/>
    <w:rsid w:val="00410A3E"/>
    <w:rsid w:val="00410D41"/>
    <w:rsid w:val="00411C16"/>
    <w:rsid w:val="004127BF"/>
    <w:rsid w:val="00416129"/>
    <w:rsid w:val="00416487"/>
    <w:rsid w:val="00416BCB"/>
    <w:rsid w:val="00417042"/>
    <w:rsid w:val="00420224"/>
    <w:rsid w:val="00420809"/>
    <w:rsid w:val="00421752"/>
    <w:rsid w:val="00421C19"/>
    <w:rsid w:val="00421D1B"/>
    <w:rsid w:val="00421F3F"/>
    <w:rsid w:val="00422507"/>
    <w:rsid w:val="004232BA"/>
    <w:rsid w:val="0042351F"/>
    <w:rsid w:val="00425C2C"/>
    <w:rsid w:val="004269CA"/>
    <w:rsid w:val="00426A07"/>
    <w:rsid w:val="004270E0"/>
    <w:rsid w:val="0042790E"/>
    <w:rsid w:val="00430084"/>
    <w:rsid w:val="00430CC2"/>
    <w:rsid w:val="00430EAD"/>
    <w:rsid w:val="00431735"/>
    <w:rsid w:val="00431CBC"/>
    <w:rsid w:val="00431D53"/>
    <w:rsid w:val="00432121"/>
    <w:rsid w:val="0043297F"/>
    <w:rsid w:val="004331A6"/>
    <w:rsid w:val="0043330E"/>
    <w:rsid w:val="00433A0D"/>
    <w:rsid w:val="0043480B"/>
    <w:rsid w:val="00434D99"/>
    <w:rsid w:val="00435E46"/>
    <w:rsid w:val="00435F53"/>
    <w:rsid w:val="0043600A"/>
    <w:rsid w:val="00436F2D"/>
    <w:rsid w:val="0043741F"/>
    <w:rsid w:val="0043742D"/>
    <w:rsid w:val="004377F6"/>
    <w:rsid w:val="004379AD"/>
    <w:rsid w:val="00437F62"/>
    <w:rsid w:val="004401A4"/>
    <w:rsid w:val="00440243"/>
    <w:rsid w:val="00440AD3"/>
    <w:rsid w:val="00441247"/>
    <w:rsid w:val="00441434"/>
    <w:rsid w:val="004425F7"/>
    <w:rsid w:val="00442D34"/>
    <w:rsid w:val="00443132"/>
    <w:rsid w:val="004442FF"/>
    <w:rsid w:val="0044436C"/>
    <w:rsid w:val="00444A1C"/>
    <w:rsid w:val="00444BDD"/>
    <w:rsid w:val="0044523B"/>
    <w:rsid w:val="0044542B"/>
    <w:rsid w:val="004455CC"/>
    <w:rsid w:val="00445B1D"/>
    <w:rsid w:val="00445D82"/>
    <w:rsid w:val="00445EAD"/>
    <w:rsid w:val="00445F4F"/>
    <w:rsid w:val="00446455"/>
    <w:rsid w:val="00446C00"/>
    <w:rsid w:val="00446DDC"/>
    <w:rsid w:val="00446F1C"/>
    <w:rsid w:val="004470A1"/>
    <w:rsid w:val="004471E4"/>
    <w:rsid w:val="0044746C"/>
    <w:rsid w:val="004474EC"/>
    <w:rsid w:val="00447E0B"/>
    <w:rsid w:val="004500B0"/>
    <w:rsid w:val="00451246"/>
    <w:rsid w:val="00451345"/>
    <w:rsid w:val="00451A23"/>
    <w:rsid w:val="0045205C"/>
    <w:rsid w:val="00452088"/>
    <w:rsid w:val="004520F8"/>
    <w:rsid w:val="00452147"/>
    <w:rsid w:val="00452A39"/>
    <w:rsid w:val="00452D60"/>
    <w:rsid w:val="00453856"/>
    <w:rsid w:val="00454128"/>
    <w:rsid w:val="00454F1D"/>
    <w:rsid w:val="00455CCE"/>
    <w:rsid w:val="004569F9"/>
    <w:rsid w:val="00460747"/>
    <w:rsid w:val="00460F74"/>
    <w:rsid w:val="00461BCF"/>
    <w:rsid w:val="00461BDB"/>
    <w:rsid w:val="00462514"/>
    <w:rsid w:val="00462F70"/>
    <w:rsid w:val="00463651"/>
    <w:rsid w:val="00463B3E"/>
    <w:rsid w:val="00463D79"/>
    <w:rsid w:val="00464142"/>
    <w:rsid w:val="00464241"/>
    <w:rsid w:val="00464AB4"/>
    <w:rsid w:val="004650E0"/>
    <w:rsid w:val="00465ACB"/>
    <w:rsid w:val="00466480"/>
    <w:rsid w:val="004666AE"/>
    <w:rsid w:val="00466872"/>
    <w:rsid w:val="00466C36"/>
    <w:rsid w:val="00467DB2"/>
    <w:rsid w:val="004703FD"/>
    <w:rsid w:val="004704D2"/>
    <w:rsid w:val="00470924"/>
    <w:rsid w:val="00470F23"/>
    <w:rsid w:val="0047141D"/>
    <w:rsid w:val="00471945"/>
    <w:rsid w:val="00471FD9"/>
    <w:rsid w:val="00473520"/>
    <w:rsid w:val="004735F9"/>
    <w:rsid w:val="004748F4"/>
    <w:rsid w:val="004751AD"/>
    <w:rsid w:val="00476312"/>
    <w:rsid w:val="0047645F"/>
    <w:rsid w:val="00476AF6"/>
    <w:rsid w:val="00476E0A"/>
    <w:rsid w:val="00476F6E"/>
    <w:rsid w:val="00477016"/>
    <w:rsid w:val="00477194"/>
    <w:rsid w:val="0047723E"/>
    <w:rsid w:val="00477296"/>
    <w:rsid w:val="00477334"/>
    <w:rsid w:val="004777AE"/>
    <w:rsid w:val="00477CF0"/>
    <w:rsid w:val="00480026"/>
    <w:rsid w:val="004826E1"/>
    <w:rsid w:val="0048292A"/>
    <w:rsid w:val="0048304C"/>
    <w:rsid w:val="004832BA"/>
    <w:rsid w:val="00483FD0"/>
    <w:rsid w:val="004861F9"/>
    <w:rsid w:val="004866B4"/>
    <w:rsid w:val="004868FD"/>
    <w:rsid w:val="00486C8A"/>
    <w:rsid w:val="004909CB"/>
    <w:rsid w:val="00491835"/>
    <w:rsid w:val="00491B0A"/>
    <w:rsid w:val="00491D23"/>
    <w:rsid w:val="0049249B"/>
    <w:rsid w:val="004932BF"/>
    <w:rsid w:val="00496E0B"/>
    <w:rsid w:val="004976BB"/>
    <w:rsid w:val="004A1AD0"/>
    <w:rsid w:val="004A1FB7"/>
    <w:rsid w:val="004A232B"/>
    <w:rsid w:val="004A3683"/>
    <w:rsid w:val="004A6593"/>
    <w:rsid w:val="004A7B56"/>
    <w:rsid w:val="004A7E46"/>
    <w:rsid w:val="004B0793"/>
    <w:rsid w:val="004B0C0A"/>
    <w:rsid w:val="004B3D94"/>
    <w:rsid w:val="004B5AC3"/>
    <w:rsid w:val="004B6090"/>
    <w:rsid w:val="004B6589"/>
    <w:rsid w:val="004B6786"/>
    <w:rsid w:val="004B6BF8"/>
    <w:rsid w:val="004B7839"/>
    <w:rsid w:val="004B7BB8"/>
    <w:rsid w:val="004B7F2C"/>
    <w:rsid w:val="004C03B4"/>
    <w:rsid w:val="004C088D"/>
    <w:rsid w:val="004C0C19"/>
    <w:rsid w:val="004C196F"/>
    <w:rsid w:val="004C32F4"/>
    <w:rsid w:val="004C5014"/>
    <w:rsid w:val="004C549C"/>
    <w:rsid w:val="004C6637"/>
    <w:rsid w:val="004D033B"/>
    <w:rsid w:val="004D14C6"/>
    <w:rsid w:val="004D3D82"/>
    <w:rsid w:val="004D4641"/>
    <w:rsid w:val="004D4786"/>
    <w:rsid w:val="004D5126"/>
    <w:rsid w:val="004D5367"/>
    <w:rsid w:val="004D5EED"/>
    <w:rsid w:val="004D651F"/>
    <w:rsid w:val="004D6BD3"/>
    <w:rsid w:val="004E0313"/>
    <w:rsid w:val="004E183F"/>
    <w:rsid w:val="004E1A39"/>
    <w:rsid w:val="004E1F8E"/>
    <w:rsid w:val="004E25E6"/>
    <w:rsid w:val="004E4CD7"/>
    <w:rsid w:val="004E51E8"/>
    <w:rsid w:val="004E768E"/>
    <w:rsid w:val="004F15EB"/>
    <w:rsid w:val="004F19DA"/>
    <w:rsid w:val="004F1C60"/>
    <w:rsid w:val="004F1DB2"/>
    <w:rsid w:val="004F28B3"/>
    <w:rsid w:val="004F2944"/>
    <w:rsid w:val="004F29E5"/>
    <w:rsid w:val="004F364C"/>
    <w:rsid w:val="004F37E7"/>
    <w:rsid w:val="004F4893"/>
    <w:rsid w:val="004F5210"/>
    <w:rsid w:val="004F556C"/>
    <w:rsid w:val="004F6426"/>
    <w:rsid w:val="004F6B3D"/>
    <w:rsid w:val="004F6FDC"/>
    <w:rsid w:val="004F77AD"/>
    <w:rsid w:val="00500909"/>
    <w:rsid w:val="00500EBA"/>
    <w:rsid w:val="00502D44"/>
    <w:rsid w:val="00503B85"/>
    <w:rsid w:val="00503CF3"/>
    <w:rsid w:val="00503D79"/>
    <w:rsid w:val="00504DF5"/>
    <w:rsid w:val="00504E97"/>
    <w:rsid w:val="0050554C"/>
    <w:rsid w:val="00505827"/>
    <w:rsid w:val="00505A4B"/>
    <w:rsid w:val="00505E7D"/>
    <w:rsid w:val="00507582"/>
    <w:rsid w:val="0051000D"/>
    <w:rsid w:val="005115A7"/>
    <w:rsid w:val="00512A1A"/>
    <w:rsid w:val="0051346C"/>
    <w:rsid w:val="00513F13"/>
    <w:rsid w:val="00515524"/>
    <w:rsid w:val="005155D5"/>
    <w:rsid w:val="0051670F"/>
    <w:rsid w:val="005168EE"/>
    <w:rsid w:val="00516C0D"/>
    <w:rsid w:val="00516D8A"/>
    <w:rsid w:val="00517AC0"/>
    <w:rsid w:val="00520034"/>
    <w:rsid w:val="00520150"/>
    <w:rsid w:val="00522017"/>
    <w:rsid w:val="005223D5"/>
    <w:rsid w:val="005225D6"/>
    <w:rsid w:val="0052365C"/>
    <w:rsid w:val="005238EA"/>
    <w:rsid w:val="00523AAB"/>
    <w:rsid w:val="005241DD"/>
    <w:rsid w:val="0052435D"/>
    <w:rsid w:val="00525F45"/>
    <w:rsid w:val="00526C65"/>
    <w:rsid w:val="0052722E"/>
    <w:rsid w:val="00527595"/>
    <w:rsid w:val="00532711"/>
    <w:rsid w:val="00533476"/>
    <w:rsid w:val="00533A30"/>
    <w:rsid w:val="005365BF"/>
    <w:rsid w:val="0053686E"/>
    <w:rsid w:val="005368A4"/>
    <w:rsid w:val="00540468"/>
    <w:rsid w:val="00540474"/>
    <w:rsid w:val="005411D2"/>
    <w:rsid w:val="00541606"/>
    <w:rsid w:val="00541ED8"/>
    <w:rsid w:val="005424C7"/>
    <w:rsid w:val="005427E2"/>
    <w:rsid w:val="00542B36"/>
    <w:rsid w:val="005434AB"/>
    <w:rsid w:val="00544548"/>
    <w:rsid w:val="00544A09"/>
    <w:rsid w:val="005457D5"/>
    <w:rsid w:val="005464D1"/>
    <w:rsid w:val="00546735"/>
    <w:rsid w:val="00546FBD"/>
    <w:rsid w:val="00550755"/>
    <w:rsid w:val="005511D9"/>
    <w:rsid w:val="005515AC"/>
    <w:rsid w:val="00551F83"/>
    <w:rsid w:val="00552009"/>
    <w:rsid w:val="0055328B"/>
    <w:rsid w:val="00553F42"/>
    <w:rsid w:val="00554D0C"/>
    <w:rsid w:val="005551B9"/>
    <w:rsid w:val="00555535"/>
    <w:rsid w:val="00555768"/>
    <w:rsid w:val="00555AA1"/>
    <w:rsid w:val="00556104"/>
    <w:rsid w:val="00556F8A"/>
    <w:rsid w:val="005575CB"/>
    <w:rsid w:val="00557D52"/>
    <w:rsid w:val="005621AB"/>
    <w:rsid w:val="00562AEB"/>
    <w:rsid w:val="00563BA0"/>
    <w:rsid w:val="005643B3"/>
    <w:rsid w:val="00564B35"/>
    <w:rsid w:val="00564BD2"/>
    <w:rsid w:val="00565610"/>
    <w:rsid w:val="00565C02"/>
    <w:rsid w:val="00565DD6"/>
    <w:rsid w:val="0056618A"/>
    <w:rsid w:val="0056628F"/>
    <w:rsid w:val="00566800"/>
    <w:rsid w:val="00566844"/>
    <w:rsid w:val="00567086"/>
    <w:rsid w:val="005672DF"/>
    <w:rsid w:val="00567A5D"/>
    <w:rsid w:val="005707CD"/>
    <w:rsid w:val="00570CF5"/>
    <w:rsid w:val="0057242F"/>
    <w:rsid w:val="0057280C"/>
    <w:rsid w:val="00573453"/>
    <w:rsid w:val="00573551"/>
    <w:rsid w:val="005737F3"/>
    <w:rsid w:val="005744D4"/>
    <w:rsid w:val="00574C20"/>
    <w:rsid w:val="005751AA"/>
    <w:rsid w:val="005757BA"/>
    <w:rsid w:val="00577D72"/>
    <w:rsid w:val="00580F88"/>
    <w:rsid w:val="00581A48"/>
    <w:rsid w:val="005820AF"/>
    <w:rsid w:val="0058265E"/>
    <w:rsid w:val="00583954"/>
    <w:rsid w:val="00583BA4"/>
    <w:rsid w:val="005841F3"/>
    <w:rsid w:val="00585316"/>
    <w:rsid w:val="00586E6F"/>
    <w:rsid w:val="00587143"/>
    <w:rsid w:val="00587D30"/>
    <w:rsid w:val="00590808"/>
    <w:rsid w:val="00590A6C"/>
    <w:rsid w:val="00590FE1"/>
    <w:rsid w:val="0059251E"/>
    <w:rsid w:val="00592845"/>
    <w:rsid w:val="005934CA"/>
    <w:rsid w:val="0059372E"/>
    <w:rsid w:val="0059435D"/>
    <w:rsid w:val="00595201"/>
    <w:rsid w:val="00596528"/>
    <w:rsid w:val="00596755"/>
    <w:rsid w:val="00596B96"/>
    <w:rsid w:val="00596D1B"/>
    <w:rsid w:val="00596F50"/>
    <w:rsid w:val="005975D2"/>
    <w:rsid w:val="00597993"/>
    <w:rsid w:val="00597EC0"/>
    <w:rsid w:val="005A1491"/>
    <w:rsid w:val="005A1B2D"/>
    <w:rsid w:val="005A2582"/>
    <w:rsid w:val="005A39B7"/>
    <w:rsid w:val="005A418F"/>
    <w:rsid w:val="005A5D8C"/>
    <w:rsid w:val="005A6200"/>
    <w:rsid w:val="005A6B5C"/>
    <w:rsid w:val="005A6B6A"/>
    <w:rsid w:val="005A6C6B"/>
    <w:rsid w:val="005A7042"/>
    <w:rsid w:val="005B0301"/>
    <w:rsid w:val="005B1561"/>
    <w:rsid w:val="005B1D5A"/>
    <w:rsid w:val="005B288F"/>
    <w:rsid w:val="005B4F24"/>
    <w:rsid w:val="005B52FE"/>
    <w:rsid w:val="005B54A9"/>
    <w:rsid w:val="005B6590"/>
    <w:rsid w:val="005B69BA"/>
    <w:rsid w:val="005B75BB"/>
    <w:rsid w:val="005B7AC4"/>
    <w:rsid w:val="005B7C16"/>
    <w:rsid w:val="005C088E"/>
    <w:rsid w:val="005C1355"/>
    <w:rsid w:val="005C1B80"/>
    <w:rsid w:val="005C1CEE"/>
    <w:rsid w:val="005C1DA9"/>
    <w:rsid w:val="005C20CA"/>
    <w:rsid w:val="005C3273"/>
    <w:rsid w:val="005C4117"/>
    <w:rsid w:val="005C4225"/>
    <w:rsid w:val="005C4AFB"/>
    <w:rsid w:val="005C5E93"/>
    <w:rsid w:val="005C6866"/>
    <w:rsid w:val="005C6E51"/>
    <w:rsid w:val="005C7F5F"/>
    <w:rsid w:val="005D06AD"/>
    <w:rsid w:val="005D1848"/>
    <w:rsid w:val="005D2563"/>
    <w:rsid w:val="005D2D67"/>
    <w:rsid w:val="005D3CD2"/>
    <w:rsid w:val="005D414E"/>
    <w:rsid w:val="005D448D"/>
    <w:rsid w:val="005D5311"/>
    <w:rsid w:val="005D5617"/>
    <w:rsid w:val="005D5D5F"/>
    <w:rsid w:val="005D69C5"/>
    <w:rsid w:val="005E0E0D"/>
    <w:rsid w:val="005E0F98"/>
    <w:rsid w:val="005E15C4"/>
    <w:rsid w:val="005E1809"/>
    <w:rsid w:val="005E1A96"/>
    <w:rsid w:val="005E1D38"/>
    <w:rsid w:val="005E24FF"/>
    <w:rsid w:val="005E28F9"/>
    <w:rsid w:val="005E399D"/>
    <w:rsid w:val="005E465D"/>
    <w:rsid w:val="005E4F1F"/>
    <w:rsid w:val="005E51D2"/>
    <w:rsid w:val="005E52E2"/>
    <w:rsid w:val="005E54AA"/>
    <w:rsid w:val="005E68EA"/>
    <w:rsid w:val="005E6A6B"/>
    <w:rsid w:val="005E6BC7"/>
    <w:rsid w:val="005E7577"/>
    <w:rsid w:val="005F0044"/>
    <w:rsid w:val="005F0A3A"/>
    <w:rsid w:val="005F1A4E"/>
    <w:rsid w:val="005F24BB"/>
    <w:rsid w:val="005F2F66"/>
    <w:rsid w:val="005F38F2"/>
    <w:rsid w:val="005F3E8A"/>
    <w:rsid w:val="005F48C8"/>
    <w:rsid w:val="005F4A13"/>
    <w:rsid w:val="005F5EC8"/>
    <w:rsid w:val="005F5FF2"/>
    <w:rsid w:val="005F73AC"/>
    <w:rsid w:val="005F7A04"/>
    <w:rsid w:val="0060026A"/>
    <w:rsid w:val="00601463"/>
    <w:rsid w:val="00601764"/>
    <w:rsid w:val="0060176F"/>
    <w:rsid w:val="00601803"/>
    <w:rsid w:val="006027E7"/>
    <w:rsid w:val="0060297E"/>
    <w:rsid w:val="00602A65"/>
    <w:rsid w:val="006043BE"/>
    <w:rsid w:val="006046A2"/>
    <w:rsid w:val="006048F7"/>
    <w:rsid w:val="006050E7"/>
    <w:rsid w:val="0060562B"/>
    <w:rsid w:val="00606991"/>
    <w:rsid w:val="006073D1"/>
    <w:rsid w:val="006073FF"/>
    <w:rsid w:val="00610752"/>
    <w:rsid w:val="006108E8"/>
    <w:rsid w:val="006113DD"/>
    <w:rsid w:val="006119D3"/>
    <w:rsid w:val="00612A31"/>
    <w:rsid w:val="00612A38"/>
    <w:rsid w:val="00612CEC"/>
    <w:rsid w:val="00612DF8"/>
    <w:rsid w:val="00614F67"/>
    <w:rsid w:val="006159FB"/>
    <w:rsid w:val="00616562"/>
    <w:rsid w:val="00617D09"/>
    <w:rsid w:val="00617FAC"/>
    <w:rsid w:val="006206A5"/>
    <w:rsid w:val="00621551"/>
    <w:rsid w:val="0062157F"/>
    <w:rsid w:val="00622524"/>
    <w:rsid w:val="00622CB5"/>
    <w:rsid w:val="00623335"/>
    <w:rsid w:val="006233AA"/>
    <w:rsid w:val="00624816"/>
    <w:rsid w:val="00626CEC"/>
    <w:rsid w:val="00627116"/>
    <w:rsid w:val="00627B46"/>
    <w:rsid w:val="00630389"/>
    <w:rsid w:val="0063042C"/>
    <w:rsid w:val="0063096E"/>
    <w:rsid w:val="006310D7"/>
    <w:rsid w:val="00631A00"/>
    <w:rsid w:val="006322C7"/>
    <w:rsid w:val="006336EC"/>
    <w:rsid w:val="006342F7"/>
    <w:rsid w:val="006344C2"/>
    <w:rsid w:val="00634A79"/>
    <w:rsid w:val="006354B4"/>
    <w:rsid w:val="00635BDD"/>
    <w:rsid w:val="00635D90"/>
    <w:rsid w:val="0063662F"/>
    <w:rsid w:val="00637245"/>
    <w:rsid w:val="006373F4"/>
    <w:rsid w:val="00637979"/>
    <w:rsid w:val="006403F1"/>
    <w:rsid w:val="00640479"/>
    <w:rsid w:val="006404B3"/>
    <w:rsid w:val="00640759"/>
    <w:rsid w:val="00641D35"/>
    <w:rsid w:val="00641E59"/>
    <w:rsid w:val="006422A6"/>
    <w:rsid w:val="00642925"/>
    <w:rsid w:val="00642B81"/>
    <w:rsid w:val="00643783"/>
    <w:rsid w:val="00643E65"/>
    <w:rsid w:val="00643FF3"/>
    <w:rsid w:val="006442E9"/>
    <w:rsid w:val="00644682"/>
    <w:rsid w:val="00644AB3"/>
    <w:rsid w:val="00644D8B"/>
    <w:rsid w:val="00644F92"/>
    <w:rsid w:val="00645789"/>
    <w:rsid w:val="00645BDC"/>
    <w:rsid w:val="00647328"/>
    <w:rsid w:val="00647C2E"/>
    <w:rsid w:val="006502FD"/>
    <w:rsid w:val="00650725"/>
    <w:rsid w:val="0065155C"/>
    <w:rsid w:val="006539E9"/>
    <w:rsid w:val="00653C7A"/>
    <w:rsid w:val="00653F05"/>
    <w:rsid w:val="00655655"/>
    <w:rsid w:val="00655A1F"/>
    <w:rsid w:val="00655B7D"/>
    <w:rsid w:val="00655CAA"/>
    <w:rsid w:val="0065679C"/>
    <w:rsid w:val="006568E7"/>
    <w:rsid w:val="00657CAC"/>
    <w:rsid w:val="006602F0"/>
    <w:rsid w:val="00660F65"/>
    <w:rsid w:val="00661A23"/>
    <w:rsid w:val="00661DF5"/>
    <w:rsid w:val="0066252A"/>
    <w:rsid w:val="00662E32"/>
    <w:rsid w:val="006638B2"/>
    <w:rsid w:val="00663C47"/>
    <w:rsid w:val="00665622"/>
    <w:rsid w:val="00665ED4"/>
    <w:rsid w:val="00666D00"/>
    <w:rsid w:val="0066713B"/>
    <w:rsid w:val="00667262"/>
    <w:rsid w:val="00667275"/>
    <w:rsid w:val="00667D4C"/>
    <w:rsid w:val="00670F4D"/>
    <w:rsid w:val="00671303"/>
    <w:rsid w:val="0067306C"/>
    <w:rsid w:val="00673B5F"/>
    <w:rsid w:val="00673C08"/>
    <w:rsid w:val="00674517"/>
    <w:rsid w:val="006751AD"/>
    <w:rsid w:val="006755D8"/>
    <w:rsid w:val="0067565C"/>
    <w:rsid w:val="006759D5"/>
    <w:rsid w:val="00676436"/>
    <w:rsid w:val="00677C2A"/>
    <w:rsid w:val="00677DC5"/>
    <w:rsid w:val="00677EDA"/>
    <w:rsid w:val="006805CB"/>
    <w:rsid w:val="00680637"/>
    <w:rsid w:val="006808ED"/>
    <w:rsid w:val="006811A9"/>
    <w:rsid w:val="00681620"/>
    <w:rsid w:val="00681A85"/>
    <w:rsid w:val="00682211"/>
    <w:rsid w:val="006828D5"/>
    <w:rsid w:val="0068595E"/>
    <w:rsid w:val="00685D06"/>
    <w:rsid w:val="00687767"/>
    <w:rsid w:val="0069098D"/>
    <w:rsid w:val="00690A69"/>
    <w:rsid w:val="006921E3"/>
    <w:rsid w:val="00693A6F"/>
    <w:rsid w:val="006948A6"/>
    <w:rsid w:val="0069513D"/>
    <w:rsid w:val="0069582E"/>
    <w:rsid w:val="006970F9"/>
    <w:rsid w:val="00697E41"/>
    <w:rsid w:val="006A0667"/>
    <w:rsid w:val="006A0A29"/>
    <w:rsid w:val="006A0FDC"/>
    <w:rsid w:val="006A1046"/>
    <w:rsid w:val="006A10FA"/>
    <w:rsid w:val="006A175B"/>
    <w:rsid w:val="006A1E5B"/>
    <w:rsid w:val="006A2864"/>
    <w:rsid w:val="006A36D9"/>
    <w:rsid w:val="006A6A5E"/>
    <w:rsid w:val="006A71DE"/>
    <w:rsid w:val="006A74D2"/>
    <w:rsid w:val="006A7F71"/>
    <w:rsid w:val="006B0F2F"/>
    <w:rsid w:val="006B283E"/>
    <w:rsid w:val="006B34DE"/>
    <w:rsid w:val="006B4D51"/>
    <w:rsid w:val="006B4E0C"/>
    <w:rsid w:val="006B55E5"/>
    <w:rsid w:val="006B65DB"/>
    <w:rsid w:val="006B6873"/>
    <w:rsid w:val="006B7784"/>
    <w:rsid w:val="006B7F23"/>
    <w:rsid w:val="006C0BA0"/>
    <w:rsid w:val="006C11F0"/>
    <w:rsid w:val="006C1229"/>
    <w:rsid w:val="006C1706"/>
    <w:rsid w:val="006C286B"/>
    <w:rsid w:val="006C2A45"/>
    <w:rsid w:val="006C2C8A"/>
    <w:rsid w:val="006C32A7"/>
    <w:rsid w:val="006C3481"/>
    <w:rsid w:val="006C3E06"/>
    <w:rsid w:val="006C5049"/>
    <w:rsid w:val="006C56D5"/>
    <w:rsid w:val="006C6CC7"/>
    <w:rsid w:val="006C764A"/>
    <w:rsid w:val="006D0FE6"/>
    <w:rsid w:val="006D1873"/>
    <w:rsid w:val="006D2151"/>
    <w:rsid w:val="006D2A20"/>
    <w:rsid w:val="006D37DD"/>
    <w:rsid w:val="006D3ABB"/>
    <w:rsid w:val="006D4F8D"/>
    <w:rsid w:val="006D50FA"/>
    <w:rsid w:val="006D51E9"/>
    <w:rsid w:val="006D5626"/>
    <w:rsid w:val="006D594A"/>
    <w:rsid w:val="006E00E9"/>
    <w:rsid w:val="006E080A"/>
    <w:rsid w:val="006E0CAB"/>
    <w:rsid w:val="006E2FFA"/>
    <w:rsid w:val="006E3940"/>
    <w:rsid w:val="006E3A98"/>
    <w:rsid w:val="006E4AAE"/>
    <w:rsid w:val="006E644D"/>
    <w:rsid w:val="006E669D"/>
    <w:rsid w:val="006E69CC"/>
    <w:rsid w:val="006E7BD8"/>
    <w:rsid w:val="006F07F8"/>
    <w:rsid w:val="006F0BB5"/>
    <w:rsid w:val="006F0E1C"/>
    <w:rsid w:val="006F0E44"/>
    <w:rsid w:val="006F1E0C"/>
    <w:rsid w:val="006F1F44"/>
    <w:rsid w:val="006F259E"/>
    <w:rsid w:val="006F28ED"/>
    <w:rsid w:val="006F3195"/>
    <w:rsid w:val="006F5E1A"/>
    <w:rsid w:val="006F696F"/>
    <w:rsid w:val="006F7BA4"/>
    <w:rsid w:val="006F7EEA"/>
    <w:rsid w:val="007018D2"/>
    <w:rsid w:val="00701A0B"/>
    <w:rsid w:val="00701B16"/>
    <w:rsid w:val="00701DD4"/>
    <w:rsid w:val="00704026"/>
    <w:rsid w:val="00704896"/>
    <w:rsid w:val="00705B16"/>
    <w:rsid w:val="00705FC7"/>
    <w:rsid w:val="007075AA"/>
    <w:rsid w:val="0071045D"/>
    <w:rsid w:val="00711EA1"/>
    <w:rsid w:val="007131DF"/>
    <w:rsid w:val="00713608"/>
    <w:rsid w:val="00713A70"/>
    <w:rsid w:val="00714B31"/>
    <w:rsid w:val="0071590F"/>
    <w:rsid w:val="00716102"/>
    <w:rsid w:val="007164B7"/>
    <w:rsid w:val="00716D0C"/>
    <w:rsid w:val="0071723B"/>
    <w:rsid w:val="007173BF"/>
    <w:rsid w:val="0071759F"/>
    <w:rsid w:val="00717E3F"/>
    <w:rsid w:val="007201E9"/>
    <w:rsid w:val="00720409"/>
    <w:rsid w:val="007212A9"/>
    <w:rsid w:val="00721560"/>
    <w:rsid w:val="00721804"/>
    <w:rsid w:val="00723CDF"/>
    <w:rsid w:val="00723FB0"/>
    <w:rsid w:val="0072494B"/>
    <w:rsid w:val="00724E59"/>
    <w:rsid w:val="00725AAC"/>
    <w:rsid w:val="0072626F"/>
    <w:rsid w:val="007262CE"/>
    <w:rsid w:val="00726D2F"/>
    <w:rsid w:val="00727382"/>
    <w:rsid w:val="00727597"/>
    <w:rsid w:val="007277BD"/>
    <w:rsid w:val="0073050C"/>
    <w:rsid w:val="00730C51"/>
    <w:rsid w:val="007317DB"/>
    <w:rsid w:val="00732172"/>
    <w:rsid w:val="007324AC"/>
    <w:rsid w:val="007328B7"/>
    <w:rsid w:val="00733580"/>
    <w:rsid w:val="00733CD5"/>
    <w:rsid w:val="007340A5"/>
    <w:rsid w:val="00735283"/>
    <w:rsid w:val="00735656"/>
    <w:rsid w:val="00735827"/>
    <w:rsid w:val="00735862"/>
    <w:rsid w:val="007361BC"/>
    <w:rsid w:val="007366CB"/>
    <w:rsid w:val="00736BFA"/>
    <w:rsid w:val="00737395"/>
    <w:rsid w:val="007378C2"/>
    <w:rsid w:val="00737DAF"/>
    <w:rsid w:val="00737F0F"/>
    <w:rsid w:val="00737F21"/>
    <w:rsid w:val="007400BE"/>
    <w:rsid w:val="0074229F"/>
    <w:rsid w:val="00742DF6"/>
    <w:rsid w:val="00743FEB"/>
    <w:rsid w:val="00744696"/>
    <w:rsid w:val="007457F4"/>
    <w:rsid w:val="00745E4C"/>
    <w:rsid w:val="007468DD"/>
    <w:rsid w:val="00747EBA"/>
    <w:rsid w:val="00750442"/>
    <w:rsid w:val="00751CC1"/>
    <w:rsid w:val="00751D85"/>
    <w:rsid w:val="007525A2"/>
    <w:rsid w:val="007532E8"/>
    <w:rsid w:val="00753B72"/>
    <w:rsid w:val="007542B7"/>
    <w:rsid w:val="007547F3"/>
    <w:rsid w:val="00754DAA"/>
    <w:rsid w:val="00755330"/>
    <w:rsid w:val="00755A6B"/>
    <w:rsid w:val="00755F7C"/>
    <w:rsid w:val="0075702D"/>
    <w:rsid w:val="00757E9F"/>
    <w:rsid w:val="0076053F"/>
    <w:rsid w:val="00760E26"/>
    <w:rsid w:val="00761B75"/>
    <w:rsid w:val="00763C01"/>
    <w:rsid w:val="00763DD0"/>
    <w:rsid w:val="00764199"/>
    <w:rsid w:val="007653FF"/>
    <w:rsid w:val="00765661"/>
    <w:rsid w:val="00767983"/>
    <w:rsid w:val="0077039B"/>
    <w:rsid w:val="007703FB"/>
    <w:rsid w:val="00771CE2"/>
    <w:rsid w:val="00773951"/>
    <w:rsid w:val="0077460E"/>
    <w:rsid w:val="007748A6"/>
    <w:rsid w:val="00774A3C"/>
    <w:rsid w:val="0077668D"/>
    <w:rsid w:val="0078014E"/>
    <w:rsid w:val="00780D26"/>
    <w:rsid w:val="007810F4"/>
    <w:rsid w:val="00781A97"/>
    <w:rsid w:val="00782265"/>
    <w:rsid w:val="007823D1"/>
    <w:rsid w:val="00782821"/>
    <w:rsid w:val="00782CBB"/>
    <w:rsid w:val="0078319E"/>
    <w:rsid w:val="00783961"/>
    <w:rsid w:val="00784918"/>
    <w:rsid w:val="00785168"/>
    <w:rsid w:val="007853D3"/>
    <w:rsid w:val="0078596A"/>
    <w:rsid w:val="0078672F"/>
    <w:rsid w:val="0078784B"/>
    <w:rsid w:val="00790D8F"/>
    <w:rsid w:val="00791047"/>
    <w:rsid w:val="0079184C"/>
    <w:rsid w:val="007920C6"/>
    <w:rsid w:val="00792312"/>
    <w:rsid w:val="00792672"/>
    <w:rsid w:val="007939D7"/>
    <w:rsid w:val="00794066"/>
    <w:rsid w:val="0079466A"/>
    <w:rsid w:val="00794A6D"/>
    <w:rsid w:val="007960F4"/>
    <w:rsid w:val="0079640E"/>
    <w:rsid w:val="00796BB0"/>
    <w:rsid w:val="0079722E"/>
    <w:rsid w:val="00797EC1"/>
    <w:rsid w:val="007A014A"/>
    <w:rsid w:val="007A067D"/>
    <w:rsid w:val="007A10E9"/>
    <w:rsid w:val="007A19FC"/>
    <w:rsid w:val="007A1D49"/>
    <w:rsid w:val="007A247C"/>
    <w:rsid w:val="007A5DBF"/>
    <w:rsid w:val="007A6BAF"/>
    <w:rsid w:val="007A712D"/>
    <w:rsid w:val="007A77B7"/>
    <w:rsid w:val="007A7C7D"/>
    <w:rsid w:val="007B09A2"/>
    <w:rsid w:val="007B0A38"/>
    <w:rsid w:val="007B1B94"/>
    <w:rsid w:val="007B2620"/>
    <w:rsid w:val="007B2AD6"/>
    <w:rsid w:val="007B2B02"/>
    <w:rsid w:val="007B351E"/>
    <w:rsid w:val="007B36D8"/>
    <w:rsid w:val="007B3E2F"/>
    <w:rsid w:val="007B50D0"/>
    <w:rsid w:val="007B5DD0"/>
    <w:rsid w:val="007B6B25"/>
    <w:rsid w:val="007B6C8A"/>
    <w:rsid w:val="007B77D9"/>
    <w:rsid w:val="007C02AC"/>
    <w:rsid w:val="007C0659"/>
    <w:rsid w:val="007C09E9"/>
    <w:rsid w:val="007C1EF1"/>
    <w:rsid w:val="007C213A"/>
    <w:rsid w:val="007C26DC"/>
    <w:rsid w:val="007C3984"/>
    <w:rsid w:val="007C52CF"/>
    <w:rsid w:val="007C58BA"/>
    <w:rsid w:val="007C6999"/>
    <w:rsid w:val="007C6C30"/>
    <w:rsid w:val="007C6C73"/>
    <w:rsid w:val="007D0317"/>
    <w:rsid w:val="007D09ED"/>
    <w:rsid w:val="007D1FF4"/>
    <w:rsid w:val="007D227D"/>
    <w:rsid w:val="007D2591"/>
    <w:rsid w:val="007D2B73"/>
    <w:rsid w:val="007D2D57"/>
    <w:rsid w:val="007D3402"/>
    <w:rsid w:val="007D392A"/>
    <w:rsid w:val="007D3D02"/>
    <w:rsid w:val="007D4590"/>
    <w:rsid w:val="007D4CB0"/>
    <w:rsid w:val="007D578F"/>
    <w:rsid w:val="007D59C4"/>
    <w:rsid w:val="007D5AD0"/>
    <w:rsid w:val="007D7103"/>
    <w:rsid w:val="007E0AA8"/>
    <w:rsid w:val="007E140B"/>
    <w:rsid w:val="007E160A"/>
    <w:rsid w:val="007E19A0"/>
    <w:rsid w:val="007E3302"/>
    <w:rsid w:val="007E38CD"/>
    <w:rsid w:val="007E411F"/>
    <w:rsid w:val="007E4ADC"/>
    <w:rsid w:val="007E4CE3"/>
    <w:rsid w:val="007E4D12"/>
    <w:rsid w:val="007E4EED"/>
    <w:rsid w:val="007E5401"/>
    <w:rsid w:val="007E5631"/>
    <w:rsid w:val="007E7298"/>
    <w:rsid w:val="007E74E6"/>
    <w:rsid w:val="007E76BD"/>
    <w:rsid w:val="007E7A8A"/>
    <w:rsid w:val="007F0457"/>
    <w:rsid w:val="007F10F6"/>
    <w:rsid w:val="007F11ED"/>
    <w:rsid w:val="007F15C7"/>
    <w:rsid w:val="007F1CC4"/>
    <w:rsid w:val="007F2431"/>
    <w:rsid w:val="007F25D3"/>
    <w:rsid w:val="007F26FE"/>
    <w:rsid w:val="007F3565"/>
    <w:rsid w:val="007F45E2"/>
    <w:rsid w:val="007F4913"/>
    <w:rsid w:val="007F58A0"/>
    <w:rsid w:val="007F6181"/>
    <w:rsid w:val="00800388"/>
    <w:rsid w:val="008006F0"/>
    <w:rsid w:val="00800B42"/>
    <w:rsid w:val="0080216F"/>
    <w:rsid w:val="00802259"/>
    <w:rsid w:val="008026FF"/>
    <w:rsid w:val="0080314E"/>
    <w:rsid w:val="008033E6"/>
    <w:rsid w:val="00803F9D"/>
    <w:rsid w:val="00806584"/>
    <w:rsid w:val="00806678"/>
    <w:rsid w:val="008067D7"/>
    <w:rsid w:val="00806B1D"/>
    <w:rsid w:val="00806D97"/>
    <w:rsid w:val="008071BD"/>
    <w:rsid w:val="008077DA"/>
    <w:rsid w:val="0080797D"/>
    <w:rsid w:val="00807FD4"/>
    <w:rsid w:val="00811139"/>
    <w:rsid w:val="008111CD"/>
    <w:rsid w:val="00811459"/>
    <w:rsid w:val="0081180D"/>
    <w:rsid w:val="008119AC"/>
    <w:rsid w:val="00812304"/>
    <w:rsid w:val="00812965"/>
    <w:rsid w:val="00812E25"/>
    <w:rsid w:val="008138AD"/>
    <w:rsid w:val="008138B1"/>
    <w:rsid w:val="008138E6"/>
    <w:rsid w:val="00814981"/>
    <w:rsid w:val="00814D78"/>
    <w:rsid w:val="008165B6"/>
    <w:rsid w:val="008175F2"/>
    <w:rsid w:val="00817666"/>
    <w:rsid w:val="00817F26"/>
    <w:rsid w:val="008203A1"/>
    <w:rsid w:val="00820E6F"/>
    <w:rsid w:val="00821375"/>
    <w:rsid w:val="00821817"/>
    <w:rsid w:val="00821A74"/>
    <w:rsid w:val="00822113"/>
    <w:rsid w:val="008228A4"/>
    <w:rsid w:val="0082298F"/>
    <w:rsid w:val="00823530"/>
    <w:rsid w:val="00823DD3"/>
    <w:rsid w:val="0082491D"/>
    <w:rsid w:val="00824D2A"/>
    <w:rsid w:val="00824F6D"/>
    <w:rsid w:val="008257F0"/>
    <w:rsid w:val="008258A6"/>
    <w:rsid w:val="00825996"/>
    <w:rsid w:val="008260A4"/>
    <w:rsid w:val="008263E7"/>
    <w:rsid w:val="0082720F"/>
    <w:rsid w:val="00827968"/>
    <w:rsid w:val="00827C75"/>
    <w:rsid w:val="00830813"/>
    <w:rsid w:val="00830AFD"/>
    <w:rsid w:val="00830F83"/>
    <w:rsid w:val="00833176"/>
    <w:rsid w:val="008338AC"/>
    <w:rsid w:val="008340B6"/>
    <w:rsid w:val="008345DA"/>
    <w:rsid w:val="00834CFA"/>
    <w:rsid w:val="0083534B"/>
    <w:rsid w:val="00835FD8"/>
    <w:rsid w:val="008362DB"/>
    <w:rsid w:val="00836650"/>
    <w:rsid w:val="00836FC2"/>
    <w:rsid w:val="008371DC"/>
    <w:rsid w:val="00837D37"/>
    <w:rsid w:val="008424C1"/>
    <w:rsid w:val="00842B5C"/>
    <w:rsid w:val="00843689"/>
    <w:rsid w:val="00845046"/>
    <w:rsid w:val="0084547A"/>
    <w:rsid w:val="00845B37"/>
    <w:rsid w:val="00846A3C"/>
    <w:rsid w:val="00846D81"/>
    <w:rsid w:val="00846EF2"/>
    <w:rsid w:val="008504E9"/>
    <w:rsid w:val="00850E53"/>
    <w:rsid w:val="0085244D"/>
    <w:rsid w:val="00852BC8"/>
    <w:rsid w:val="00853002"/>
    <w:rsid w:val="00853216"/>
    <w:rsid w:val="008542AB"/>
    <w:rsid w:val="00855317"/>
    <w:rsid w:val="00856301"/>
    <w:rsid w:val="008574AE"/>
    <w:rsid w:val="00857B35"/>
    <w:rsid w:val="00857C11"/>
    <w:rsid w:val="008601BB"/>
    <w:rsid w:val="008608B1"/>
    <w:rsid w:val="00860B7F"/>
    <w:rsid w:val="00860D72"/>
    <w:rsid w:val="00860D8F"/>
    <w:rsid w:val="00860DD9"/>
    <w:rsid w:val="00861DA5"/>
    <w:rsid w:val="00861EB9"/>
    <w:rsid w:val="00862440"/>
    <w:rsid w:val="00862A50"/>
    <w:rsid w:val="00862AE1"/>
    <w:rsid w:val="00862B59"/>
    <w:rsid w:val="00862BDB"/>
    <w:rsid w:val="00862DD5"/>
    <w:rsid w:val="008645CC"/>
    <w:rsid w:val="00864BBF"/>
    <w:rsid w:val="00865554"/>
    <w:rsid w:val="00865697"/>
    <w:rsid w:val="008660A9"/>
    <w:rsid w:val="00866797"/>
    <w:rsid w:val="008669CD"/>
    <w:rsid w:val="00866BA4"/>
    <w:rsid w:val="00866BF0"/>
    <w:rsid w:val="00866F06"/>
    <w:rsid w:val="008679D4"/>
    <w:rsid w:val="008713C1"/>
    <w:rsid w:val="00871966"/>
    <w:rsid w:val="00872569"/>
    <w:rsid w:val="00872C84"/>
    <w:rsid w:val="0087332D"/>
    <w:rsid w:val="008741C9"/>
    <w:rsid w:val="00874626"/>
    <w:rsid w:val="008748F4"/>
    <w:rsid w:val="00875B1F"/>
    <w:rsid w:val="00875CF5"/>
    <w:rsid w:val="008760D4"/>
    <w:rsid w:val="008776CF"/>
    <w:rsid w:val="008803C1"/>
    <w:rsid w:val="008804BB"/>
    <w:rsid w:val="008807A2"/>
    <w:rsid w:val="00880FB3"/>
    <w:rsid w:val="008813AC"/>
    <w:rsid w:val="00881B54"/>
    <w:rsid w:val="00881E01"/>
    <w:rsid w:val="008820D0"/>
    <w:rsid w:val="008821B5"/>
    <w:rsid w:val="0088234E"/>
    <w:rsid w:val="0088266F"/>
    <w:rsid w:val="00883B64"/>
    <w:rsid w:val="00884018"/>
    <w:rsid w:val="0088440E"/>
    <w:rsid w:val="00884502"/>
    <w:rsid w:val="00884C42"/>
    <w:rsid w:val="008850AC"/>
    <w:rsid w:val="008852F0"/>
    <w:rsid w:val="00887F40"/>
    <w:rsid w:val="00890894"/>
    <w:rsid w:val="00891597"/>
    <w:rsid w:val="0089252C"/>
    <w:rsid w:val="00895593"/>
    <w:rsid w:val="0089566D"/>
    <w:rsid w:val="00896674"/>
    <w:rsid w:val="00896830"/>
    <w:rsid w:val="008979D0"/>
    <w:rsid w:val="00897FC2"/>
    <w:rsid w:val="008A035A"/>
    <w:rsid w:val="008A10BB"/>
    <w:rsid w:val="008A1EB1"/>
    <w:rsid w:val="008A22E4"/>
    <w:rsid w:val="008A234D"/>
    <w:rsid w:val="008A2AC7"/>
    <w:rsid w:val="008A3318"/>
    <w:rsid w:val="008A39AA"/>
    <w:rsid w:val="008A3B88"/>
    <w:rsid w:val="008A4392"/>
    <w:rsid w:val="008A472B"/>
    <w:rsid w:val="008A5E80"/>
    <w:rsid w:val="008A665B"/>
    <w:rsid w:val="008A7083"/>
    <w:rsid w:val="008A71CC"/>
    <w:rsid w:val="008A75DD"/>
    <w:rsid w:val="008A7A9B"/>
    <w:rsid w:val="008B05AA"/>
    <w:rsid w:val="008B0669"/>
    <w:rsid w:val="008B0BB6"/>
    <w:rsid w:val="008B1341"/>
    <w:rsid w:val="008B1409"/>
    <w:rsid w:val="008B1642"/>
    <w:rsid w:val="008B2D4F"/>
    <w:rsid w:val="008B3039"/>
    <w:rsid w:val="008B4854"/>
    <w:rsid w:val="008B4882"/>
    <w:rsid w:val="008B4ADE"/>
    <w:rsid w:val="008B55B2"/>
    <w:rsid w:val="008B560B"/>
    <w:rsid w:val="008B63E4"/>
    <w:rsid w:val="008B6F32"/>
    <w:rsid w:val="008B7816"/>
    <w:rsid w:val="008C0846"/>
    <w:rsid w:val="008C17D5"/>
    <w:rsid w:val="008C18DC"/>
    <w:rsid w:val="008C28DB"/>
    <w:rsid w:val="008C2E2D"/>
    <w:rsid w:val="008C346E"/>
    <w:rsid w:val="008C3D00"/>
    <w:rsid w:val="008C3D50"/>
    <w:rsid w:val="008C4ADD"/>
    <w:rsid w:val="008C4DC9"/>
    <w:rsid w:val="008C5164"/>
    <w:rsid w:val="008C5BA9"/>
    <w:rsid w:val="008C6999"/>
    <w:rsid w:val="008C6F57"/>
    <w:rsid w:val="008C7932"/>
    <w:rsid w:val="008D009A"/>
    <w:rsid w:val="008D02D0"/>
    <w:rsid w:val="008D1803"/>
    <w:rsid w:val="008D1BA3"/>
    <w:rsid w:val="008D2446"/>
    <w:rsid w:val="008D5808"/>
    <w:rsid w:val="008D5B62"/>
    <w:rsid w:val="008D5CBF"/>
    <w:rsid w:val="008D6226"/>
    <w:rsid w:val="008D6CF7"/>
    <w:rsid w:val="008D6DA4"/>
    <w:rsid w:val="008E17EC"/>
    <w:rsid w:val="008E1861"/>
    <w:rsid w:val="008E2058"/>
    <w:rsid w:val="008E2260"/>
    <w:rsid w:val="008E2287"/>
    <w:rsid w:val="008E31A3"/>
    <w:rsid w:val="008E41B9"/>
    <w:rsid w:val="008E5075"/>
    <w:rsid w:val="008E528E"/>
    <w:rsid w:val="008E55A1"/>
    <w:rsid w:val="008E5C8A"/>
    <w:rsid w:val="008E6345"/>
    <w:rsid w:val="008F00A2"/>
    <w:rsid w:val="008F0935"/>
    <w:rsid w:val="008F0E2F"/>
    <w:rsid w:val="008F1330"/>
    <w:rsid w:val="008F151C"/>
    <w:rsid w:val="008F16B9"/>
    <w:rsid w:val="008F1BBC"/>
    <w:rsid w:val="008F2F30"/>
    <w:rsid w:val="008F33FC"/>
    <w:rsid w:val="008F3433"/>
    <w:rsid w:val="008F429D"/>
    <w:rsid w:val="008F494F"/>
    <w:rsid w:val="008F4AAA"/>
    <w:rsid w:val="008F4B8A"/>
    <w:rsid w:val="008F4F61"/>
    <w:rsid w:val="008F51E1"/>
    <w:rsid w:val="008F5F31"/>
    <w:rsid w:val="008F6466"/>
    <w:rsid w:val="008F6B28"/>
    <w:rsid w:val="008F6CDD"/>
    <w:rsid w:val="00902761"/>
    <w:rsid w:val="009031AF"/>
    <w:rsid w:val="009032DB"/>
    <w:rsid w:val="00903C2F"/>
    <w:rsid w:val="00903FAB"/>
    <w:rsid w:val="009047C8"/>
    <w:rsid w:val="00905885"/>
    <w:rsid w:val="0090624F"/>
    <w:rsid w:val="00906F9A"/>
    <w:rsid w:val="00911361"/>
    <w:rsid w:val="00912C9F"/>
    <w:rsid w:val="00913055"/>
    <w:rsid w:val="0091339A"/>
    <w:rsid w:val="00913DB0"/>
    <w:rsid w:val="009149E0"/>
    <w:rsid w:val="00915D8A"/>
    <w:rsid w:val="009167A5"/>
    <w:rsid w:val="00917003"/>
    <w:rsid w:val="00917A04"/>
    <w:rsid w:val="0092001A"/>
    <w:rsid w:val="009205FC"/>
    <w:rsid w:val="009215DD"/>
    <w:rsid w:val="009228B7"/>
    <w:rsid w:val="00922D81"/>
    <w:rsid w:val="009246EA"/>
    <w:rsid w:val="00924CED"/>
    <w:rsid w:val="00924E40"/>
    <w:rsid w:val="00925FB3"/>
    <w:rsid w:val="009262B7"/>
    <w:rsid w:val="00926C29"/>
    <w:rsid w:val="00930351"/>
    <w:rsid w:val="00930DB8"/>
    <w:rsid w:val="00931368"/>
    <w:rsid w:val="0093172A"/>
    <w:rsid w:val="00931DF7"/>
    <w:rsid w:val="00932239"/>
    <w:rsid w:val="009322F8"/>
    <w:rsid w:val="0093296C"/>
    <w:rsid w:val="00932990"/>
    <w:rsid w:val="00932B93"/>
    <w:rsid w:val="0093340F"/>
    <w:rsid w:val="00934D31"/>
    <w:rsid w:val="0093561D"/>
    <w:rsid w:val="009356DC"/>
    <w:rsid w:val="00935F6C"/>
    <w:rsid w:val="00936F2A"/>
    <w:rsid w:val="009374CA"/>
    <w:rsid w:val="00937842"/>
    <w:rsid w:val="00937C2E"/>
    <w:rsid w:val="00940BBC"/>
    <w:rsid w:val="00942BD3"/>
    <w:rsid w:val="00943AD6"/>
    <w:rsid w:val="00943BA3"/>
    <w:rsid w:val="009445BA"/>
    <w:rsid w:val="00944C65"/>
    <w:rsid w:val="00945AEF"/>
    <w:rsid w:val="0094644E"/>
    <w:rsid w:val="00946EBB"/>
    <w:rsid w:val="009500D2"/>
    <w:rsid w:val="00950B4E"/>
    <w:rsid w:val="00950E12"/>
    <w:rsid w:val="009513E1"/>
    <w:rsid w:val="009515F2"/>
    <w:rsid w:val="0095200A"/>
    <w:rsid w:val="009520B2"/>
    <w:rsid w:val="00954455"/>
    <w:rsid w:val="00954C36"/>
    <w:rsid w:val="00954DF3"/>
    <w:rsid w:val="0095602E"/>
    <w:rsid w:val="009563BB"/>
    <w:rsid w:val="00956D2E"/>
    <w:rsid w:val="0095721F"/>
    <w:rsid w:val="00960823"/>
    <w:rsid w:val="00960DB7"/>
    <w:rsid w:val="009615CC"/>
    <w:rsid w:val="00962C3E"/>
    <w:rsid w:val="00962D61"/>
    <w:rsid w:val="009637EC"/>
    <w:rsid w:val="0096386B"/>
    <w:rsid w:val="00964194"/>
    <w:rsid w:val="00964328"/>
    <w:rsid w:val="00964924"/>
    <w:rsid w:val="00965342"/>
    <w:rsid w:val="009657AA"/>
    <w:rsid w:val="009670B7"/>
    <w:rsid w:val="0097059B"/>
    <w:rsid w:val="00970918"/>
    <w:rsid w:val="00970FFE"/>
    <w:rsid w:val="0097186E"/>
    <w:rsid w:val="0097230D"/>
    <w:rsid w:val="00972A37"/>
    <w:rsid w:val="00973DA5"/>
    <w:rsid w:val="00974159"/>
    <w:rsid w:val="00974A3C"/>
    <w:rsid w:val="00975FE1"/>
    <w:rsid w:val="0097677A"/>
    <w:rsid w:val="00976DF5"/>
    <w:rsid w:val="00976E76"/>
    <w:rsid w:val="009774FB"/>
    <w:rsid w:val="00977574"/>
    <w:rsid w:val="00977E4D"/>
    <w:rsid w:val="00980275"/>
    <w:rsid w:val="00980B17"/>
    <w:rsid w:val="0098107D"/>
    <w:rsid w:val="009811FC"/>
    <w:rsid w:val="0098152E"/>
    <w:rsid w:val="009816EB"/>
    <w:rsid w:val="00981C8E"/>
    <w:rsid w:val="00982839"/>
    <w:rsid w:val="00983B73"/>
    <w:rsid w:val="00984157"/>
    <w:rsid w:val="00984367"/>
    <w:rsid w:val="009843A6"/>
    <w:rsid w:val="00984C2E"/>
    <w:rsid w:val="00984FAC"/>
    <w:rsid w:val="009854DF"/>
    <w:rsid w:val="0098568F"/>
    <w:rsid w:val="00986656"/>
    <w:rsid w:val="00986BB3"/>
    <w:rsid w:val="0098767B"/>
    <w:rsid w:val="00987C21"/>
    <w:rsid w:val="00990D57"/>
    <w:rsid w:val="00990DD4"/>
    <w:rsid w:val="00990ECC"/>
    <w:rsid w:val="0099125E"/>
    <w:rsid w:val="00991374"/>
    <w:rsid w:val="009916DF"/>
    <w:rsid w:val="009918B2"/>
    <w:rsid w:val="009918D0"/>
    <w:rsid w:val="00991AD9"/>
    <w:rsid w:val="00992C9C"/>
    <w:rsid w:val="00993A65"/>
    <w:rsid w:val="00993D81"/>
    <w:rsid w:val="00993E69"/>
    <w:rsid w:val="00994E59"/>
    <w:rsid w:val="009952EF"/>
    <w:rsid w:val="00995611"/>
    <w:rsid w:val="00996FBC"/>
    <w:rsid w:val="009A0286"/>
    <w:rsid w:val="009A1548"/>
    <w:rsid w:val="009A1DF6"/>
    <w:rsid w:val="009A218B"/>
    <w:rsid w:val="009A2475"/>
    <w:rsid w:val="009A2A53"/>
    <w:rsid w:val="009A3D0B"/>
    <w:rsid w:val="009A3F41"/>
    <w:rsid w:val="009A427F"/>
    <w:rsid w:val="009A4D62"/>
    <w:rsid w:val="009A4DEB"/>
    <w:rsid w:val="009A57C9"/>
    <w:rsid w:val="009A5D84"/>
    <w:rsid w:val="009A6201"/>
    <w:rsid w:val="009A62F9"/>
    <w:rsid w:val="009A721D"/>
    <w:rsid w:val="009A7D64"/>
    <w:rsid w:val="009B0A4C"/>
    <w:rsid w:val="009B194B"/>
    <w:rsid w:val="009B1F51"/>
    <w:rsid w:val="009B2192"/>
    <w:rsid w:val="009B288C"/>
    <w:rsid w:val="009B2AA2"/>
    <w:rsid w:val="009B2AFD"/>
    <w:rsid w:val="009B32A8"/>
    <w:rsid w:val="009B3602"/>
    <w:rsid w:val="009B557C"/>
    <w:rsid w:val="009B5638"/>
    <w:rsid w:val="009B5A18"/>
    <w:rsid w:val="009B60D7"/>
    <w:rsid w:val="009B6C57"/>
    <w:rsid w:val="009B6FD6"/>
    <w:rsid w:val="009C0DAB"/>
    <w:rsid w:val="009C0FBA"/>
    <w:rsid w:val="009C1815"/>
    <w:rsid w:val="009C1D38"/>
    <w:rsid w:val="009C211F"/>
    <w:rsid w:val="009C27EC"/>
    <w:rsid w:val="009C2C57"/>
    <w:rsid w:val="009C3D1F"/>
    <w:rsid w:val="009C494C"/>
    <w:rsid w:val="009C4CF1"/>
    <w:rsid w:val="009C52B9"/>
    <w:rsid w:val="009C57AC"/>
    <w:rsid w:val="009C62B2"/>
    <w:rsid w:val="009C64A2"/>
    <w:rsid w:val="009C67CF"/>
    <w:rsid w:val="009C68A5"/>
    <w:rsid w:val="009C6ACB"/>
    <w:rsid w:val="009D0845"/>
    <w:rsid w:val="009D1E67"/>
    <w:rsid w:val="009D2547"/>
    <w:rsid w:val="009D34A2"/>
    <w:rsid w:val="009D39ED"/>
    <w:rsid w:val="009D3F96"/>
    <w:rsid w:val="009D4F9D"/>
    <w:rsid w:val="009D5C3C"/>
    <w:rsid w:val="009D5ECC"/>
    <w:rsid w:val="009D7323"/>
    <w:rsid w:val="009D74E9"/>
    <w:rsid w:val="009D74F7"/>
    <w:rsid w:val="009D7D07"/>
    <w:rsid w:val="009E0210"/>
    <w:rsid w:val="009E046F"/>
    <w:rsid w:val="009E0F21"/>
    <w:rsid w:val="009E1280"/>
    <w:rsid w:val="009E1A5A"/>
    <w:rsid w:val="009E23E8"/>
    <w:rsid w:val="009E2676"/>
    <w:rsid w:val="009E2B63"/>
    <w:rsid w:val="009E2C92"/>
    <w:rsid w:val="009E3B7F"/>
    <w:rsid w:val="009E3EC0"/>
    <w:rsid w:val="009E4D93"/>
    <w:rsid w:val="009E6658"/>
    <w:rsid w:val="009E677D"/>
    <w:rsid w:val="009E6BAF"/>
    <w:rsid w:val="009E7E49"/>
    <w:rsid w:val="009F025A"/>
    <w:rsid w:val="009F0468"/>
    <w:rsid w:val="009F06D1"/>
    <w:rsid w:val="009F2105"/>
    <w:rsid w:val="009F2989"/>
    <w:rsid w:val="009F2BA0"/>
    <w:rsid w:val="009F491D"/>
    <w:rsid w:val="009F51FF"/>
    <w:rsid w:val="00A00733"/>
    <w:rsid w:val="00A03C31"/>
    <w:rsid w:val="00A0439A"/>
    <w:rsid w:val="00A06157"/>
    <w:rsid w:val="00A071AB"/>
    <w:rsid w:val="00A10565"/>
    <w:rsid w:val="00A107C2"/>
    <w:rsid w:val="00A11BF2"/>
    <w:rsid w:val="00A12FF6"/>
    <w:rsid w:val="00A13004"/>
    <w:rsid w:val="00A1417E"/>
    <w:rsid w:val="00A14B30"/>
    <w:rsid w:val="00A15889"/>
    <w:rsid w:val="00A15AAB"/>
    <w:rsid w:val="00A15F16"/>
    <w:rsid w:val="00A170CC"/>
    <w:rsid w:val="00A1735A"/>
    <w:rsid w:val="00A1798F"/>
    <w:rsid w:val="00A17C15"/>
    <w:rsid w:val="00A20FB0"/>
    <w:rsid w:val="00A21A8E"/>
    <w:rsid w:val="00A21F5F"/>
    <w:rsid w:val="00A22C61"/>
    <w:rsid w:val="00A22D4F"/>
    <w:rsid w:val="00A23839"/>
    <w:rsid w:val="00A23FFB"/>
    <w:rsid w:val="00A24692"/>
    <w:rsid w:val="00A24CDE"/>
    <w:rsid w:val="00A250EE"/>
    <w:rsid w:val="00A25F8A"/>
    <w:rsid w:val="00A26FB1"/>
    <w:rsid w:val="00A2705F"/>
    <w:rsid w:val="00A2711B"/>
    <w:rsid w:val="00A272ED"/>
    <w:rsid w:val="00A27389"/>
    <w:rsid w:val="00A274FD"/>
    <w:rsid w:val="00A27620"/>
    <w:rsid w:val="00A27887"/>
    <w:rsid w:val="00A27991"/>
    <w:rsid w:val="00A302EA"/>
    <w:rsid w:val="00A30916"/>
    <w:rsid w:val="00A30C71"/>
    <w:rsid w:val="00A31277"/>
    <w:rsid w:val="00A31453"/>
    <w:rsid w:val="00A3251B"/>
    <w:rsid w:val="00A33533"/>
    <w:rsid w:val="00A33A2B"/>
    <w:rsid w:val="00A34548"/>
    <w:rsid w:val="00A34D91"/>
    <w:rsid w:val="00A34FF9"/>
    <w:rsid w:val="00A35FA8"/>
    <w:rsid w:val="00A36706"/>
    <w:rsid w:val="00A36968"/>
    <w:rsid w:val="00A36EA9"/>
    <w:rsid w:val="00A37042"/>
    <w:rsid w:val="00A37510"/>
    <w:rsid w:val="00A403F3"/>
    <w:rsid w:val="00A40663"/>
    <w:rsid w:val="00A40E21"/>
    <w:rsid w:val="00A40F30"/>
    <w:rsid w:val="00A418CA"/>
    <w:rsid w:val="00A4196F"/>
    <w:rsid w:val="00A42412"/>
    <w:rsid w:val="00A42E1E"/>
    <w:rsid w:val="00A435DE"/>
    <w:rsid w:val="00A43781"/>
    <w:rsid w:val="00A43E31"/>
    <w:rsid w:val="00A44564"/>
    <w:rsid w:val="00A446A6"/>
    <w:rsid w:val="00A44A03"/>
    <w:rsid w:val="00A44F9E"/>
    <w:rsid w:val="00A4565E"/>
    <w:rsid w:val="00A475AC"/>
    <w:rsid w:val="00A4770C"/>
    <w:rsid w:val="00A47FC7"/>
    <w:rsid w:val="00A500BE"/>
    <w:rsid w:val="00A50174"/>
    <w:rsid w:val="00A505BC"/>
    <w:rsid w:val="00A52036"/>
    <w:rsid w:val="00A537CF"/>
    <w:rsid w:val="00A53DAD"/>
    <w:rsid w:val="00A5574F"/>
    <w:rsid w:val="00A566AA"/>
    <w:rsid w:val="00A5705C"/>
    <w:rsid w:val="00A57227"/>
    <w:rsid w:val="00A57280"/>
    <w:rsid w:val="00A579F7"/>
    <w:rsid w:val="00A603CA"/>
    <w:rsid w:val="00A6099E"/>
    <w:rsid w:val="00A618EB"/>
    <w:rsid w:val="00A64690"/>
    <w:rsid w:val="00A6471B"/>
    <w:rsid w:val="00A647A4"/>
    <w:rsid w:val="00A64C0E"/>
    <w:rsid w:val="00A6513B"/>
    <w:rsid w:val="00A651D4"/>
    <w:rsid w:val="00A65B35"/>
    <w:rsid w:val="00A6600A"/>
    <w:rsid w:val="00A66300"/>
    <w:rsid w:val="00A675B7"/>
    <w:rsid w:val="00A67750"/>
    <w:rsid w:val="00A67B69"/>
    <w:rsid w:val="00A71415"/>
    <w:rsid w:val="00A7173A"/>
    <w:rsid w:val="00A73764"/>
    <w:rsid w:val="00A73AF6"/>
    <w:rsid w:val="00A74C22"/>
    <w:rsid w:val="00A75380"/>
    <w:rsid w:val="00A7596A"/>
    <w:rsid w:val="00A75BE5"/>
    <w:rsid w:val="00A76F88"/>
    <w:rsid w:val="00A770C2"/>
    <w:rsid w:val="00A77202"/>
    <w:rsid w:val="00A809A3"/>
    <w:rsid w:val="00A80BC3"/>
    <w:rsid w:val="00A8112E"/>
    <w:rsid w:val="00A816FF"/>
    <w:rsid w:val="00A81B28"/>
    <w:rsid w:val="00A8215C"/>
    <w:rsid w:val="00A8310B"/>
    <w:rsid w:val="00A83652"/>
    <w:rsid w:val="00A83B4A"/>
    <w:rsid w:val="00A83BC3"/>
    <w:rsid w:val="00A84882"/>
    <w:rsid w:val="00A84C5B"/>
    <w:rsid w:val="00A85DED"/>
    <w:rsid w:val="00A865A6"/>
    <w:rsid w:val="00A86647"/>
    <w:rsid w:val="00A8728F"/>
    <w:rsid w:val="00A87415"/>
    <w:rsid w:val="00A87C1E"/>
    <w:rsid w:val="00A904A2"/>
    <w:rsid w:val="00A912B3"/>
    <w:rsid w:val="00A918E2"/>
    <w:rsid w:val="00A929A8"/>
    <w:rsid w:val="00A93BDC"/>
    <w:rsid w:val="00A9465A"/>
    <w:rsid w:val="00A947EF"/>
    <w:rsid w:val="00A95FEB"/>
    <w:rsid w:val="00A964CA"/>
    <w:rsid w:val="00A96D7C"/>
    <w:rsid w:val="00A97F89"/>
    <w:rsid w:val="00AA1998"/>
    <w:rsid w:val="00AA26A5"/>
    <w:rsid w:val="00AA4E9F"/>
    <w:rsid w:val="00AA5CE0"/>
    <w:rsid w:val="00AA684D"/>
    <w:rsid w:val="00AB17D2"/>
    <w:rsid w:val="00AB17E8"/>
    <w:rsid w:val="00AB38C8"/>
    <w:rsid w:val="00AB4718"/>
    <w:rsid w:val="00AB5A94"/>
    <w:rsid w:val="00AB5C7E"/>
    <w:rsid w:val="00AB6655"/>
    <w:rsid w:val="00AB6E0B"/>
    <w:rsid w:val="00AB6E85"/>
    <w:rsid w:val="00AB722D"/>
    <w:rsid w:val="00AB7626"/>
    <w:rsid w:val="00AB7A74"/>
    <w:rsid w:val="00AC0A77"/>
    <w:rsid w:val="00AC0E34"/>
    <w:rsid w:val="00AC1015"/>
    <w:rsid w:val="00AC2499"/>
    <w:rsid w:val="00AC308A"/>
    <w:rsid w:val="00AC4117"/>
    <w:rsid w:val="00AC43BD"/>
    <w:rsid w:val="00AC4C41"/>
    <w:rsid w:val="00AC4C46"/>
    <w:rsid w:val="00AC64BD"/>
    <w:rsid w:val="00AC6598"/>
    <w:rsid w:val="00AC6C2D"/>
    <w:rsid w:val="00AC74A5"/>
    <w:rsid w:val="00AC75A0"/>
    <w:rsid w:val="00AC7A3A"/>
    <w:rsid w:val="00AC7A98"/>
    <w:rsid w:val="00AD0421"/>
    <w:rsid w:val="00AD0A58"/>
    <w:rsid w:val="00AD0C7A"/>
    <w:rsid w:val="00AD1389"/>
    <w:rsid w:val="00AD15F1"/>
    <w:rsid w:val="00AD1955"/>
    <w:rsid w:val="00AD19EA"/>
    <w:rsid w:val="00AD427A"/>
    <w:rsid w:val="00AD43E3"/>
    <w:rsid w:val="00AD4D89"/>
    <w:rsid w:val="00AD51E4"/>
    <w:rsid w:val="00AD5F8A"/>
    <w:rsid w:val="00AD61DD"/>
    <w:rsid w:val="00AD77F5"/>
    <w:rsid w:val="00AD785B"/>
    <w:rsid w:val="00AD7A6D"/>
    <w:rsid w:val="00AE07DF"/>
    <w:rsid w:val="00AE1082"/>
    <w:rsid w:val="00AE1132"/>
    <w:rsid w:val="00AE22B3"/>
    <w:rsid w:val="00AE3713"/>
    <w:rsid w:val="00AE4BC5"/>
    <w:rsid w:val="00AE4CA1"/>
    <w:rsid w:val="00AE587C"/>
    <w:rsid w:val="00AE661B"/>
    <w:rsid w:val="00AE6B87"/>
    <w:rsid w:val="00AE6E1A"/>
    <w:rsid w:val="00AE6E4A"/>
    <w:rsid w:val="00AE77B3"/>
    <w:rsid w:val="00AE7C4C"/>
    <w:rsid w:val="00AF0E7C"/>
    <w:rsid w:val="00AF140F"/>
    <w:rsid w:val="00AF15A3"/>
    <w:rsid w:val="00AF1BB1"/>
    <w:rsid w:val="00AF267F"/>
    <w:rsid w:val="00AF365C"/>
    <w:rsid w:val="00AF4045"/>
    <w:rsid w:val="00AF4714"/>
    <w:rsid w:val="00AF5509"/>
    <w:rsid w:val="00AF568B"/>
    <w:rsid w:val="00AF6EDE"/>
    <w:rsid w:val="00AF7B53"/>
    <w:rsid w:val="00AF7C57"/>
    <w:rsid w:val="00AF7E68"/>
    <w:rsid w:val="00AF7EA8"/>
    <w:rsid w:val="00B00C0C"/>
    <w:rsid w:val="00B016D4"/>
    <w:rsid w:val="00B03156"/>
    <w:rsid w:val="00B0380C"/>
    <w:rsid w:val="00B040A9"/>
    <w:rsid w:val="00B04AE5"/>
    <w:rsid w:val="00B04EA6"/>
    <w:rsid w:val="00B06947"/>
    <w:rsid w:val="00B079FB"/>
    <w:rsid w:val="00B07B6B"/>
    <w:rsid w:val="00B10424"/>
    <w:rsid w:val="00B1050A"/>
    <w:rsid w:val="00B10F62"/>
    <w:rsid w:val="00B11553"/>
    <w:rsid w:val="00B11F74"/>
    <w:rsid w:val="00B12D3F"/>
    <w:rsid w:val="00B13097"/>
    <w:rsid w:val="00B13309"/>
    <w:rsid w:val="00B13918"/>
    <w:rsid w:val="00B1465C"/>
    <w:rsid w:val="00B14A6E"/>
    <w:rsid w:val="00B15E06"/>
    <w:rsid w:val="00B1668E"/>
    <w:rsid w:val="00B16F64"/>
    <w:rsid w:val="00B16F87"/>
    <w:rsid w:val="00B17874"/>
    <w:rsid w:val="00B21144"/>
    <w:rsid w:val="00B235A9"/>
    <w:rsid w:val="00B242D6"/>
    <w:rsid w:val="00B24DCF"/>
    <w:rsid w:val="00B2524D"/>
    <w:rsid w:val="00B25434"/>
    <w:rsid w:val="00B25E51"/>
    <w:rsid w:val="00B26012"/>
    <w:rsid w:val="00B26B61"/>
    <w:rsid w:val="00B26EA4"/>
    <w:rsid w:val="00B27747"/>
    <w:rsid w:val="00B303FC"/>
    <w:rsid w:val="00B3204D"/>
    <w:rsid w:val="00B320B6"/>
    <w:rsid w:val="00B324A6"/>
    <w:rsid w:val="00B32DA1"/>
    <w:rsid w:val="00B34E79"/>
    <w:rsid w:val="00B34F97"/>
    <w:rsid w:val="00B355A0"/>
    <w:rsid w:val="00B35A79"/>
    <w:rsid w:val="00B37099"/>
    <w:rsid w:val="00B372F4"/>
    <w:rsid w:val="00B37641"/>
    <w:rsid w:val="00B42348"/>
    <w:rsid w:val="00B42CAD"/>
    <w:rsid w:val="00B42D1B"/>
    <w:rsid w:val="00B42DBB"/>
    <w:rsid w:val="00B43016"/>
    <w:rsid w:val="00B431FE"/>
    <w:rsid w:val="00B440AD"/>
    <w:rsid w:val="00B4469F"/>
    <w:rsid w:val="00B45835"/>
    <w:rsid w:val="00B45CA8"/>
    <w:rsid w:val="00B465D7"/>
    <w:rsid w:val="00B4672A"/>
    <w:rsid w:val="00B46732"/>
    <w:rsid w:val="00B46881"/>
    <w:rsid w:val="00B46B93"/>
    <w:rsid w:val="00B46C73"/>
    <w:rsid w:val="00B47D72"/>
    <w:rsid w:val="00B47E78"/>
    <w:rsid w:val="00B5040C"/>
    <w:rsid w:val="00B50540"/>
    <w:rsid w:val="00B513DB"/>
    <w:rsid w:val="00B51407"/>
    <w:rsid w:val="00B51601"/>
    <w:rsid w:val="00B5174D"/>
    <w:rsid w:val="00B5193A"/>
    <w:rsid w:val="00B52346"/>
    <w:rsid w:val="00B5302E"/>
    <w:rsid w:val="00B53932"/>
    <w:rsid w:val="00B53AF8"/>
    <w:rsid w:val="00B54856"/>
    <w:rsid w:val="00B548F6"/>
    <w:rsid w:val="00B55F33"/>
    <w:rsid w:val="00B56176"/>
    <w:rsid w:val="00B603FB"/>
    <w:rsid w:val="00B62A80"/>
    <w:rsid w:val="00B62CB4"/>
    <w:rsid w:val="00B62DE2"/>
    <w:rsid w:val="00B64160"/>
    <w:rsid w:val="00B64377"/>
    <w:rsid w:val="00B6486C"/>
    <w:rsid w:val="00B64C72"/>
    <w:rsid w:val="00B64D66"/>
    <w:rsid w:val="00B65123"/>
    <w:rsid w:val="00B67393"/>
    <w:rsid w:val="00B67C09"/>
    <w:rsid w:val="00B70220"/>
    <w:rsid w:val="00B70731"/>
    <w:rsid w:val="00B7078D"/>
    <w:rsid w:val="00B70AD0"/>
    <w:rsid w:val="00B74120"/>
    <w:rsid w:val="00B74A54"/>
    <w:rsid w:val="00B74E76"/>
    <w:rsid w:val="00B74EC9"/>
    <w:rsid w:val="00B755D7"/>
    <w:rsid w:val="00B76080"/>
    <w:rsid w:val="00B762B5"/>
    <w:rsid w:val="00B765C3"/>
    <w:rsid w:val="00B7763A"/>
    <w:rsid w:val="00B77DB0"/>
    <w:rsid w:val="00B77E51"/>
    <w:rsid w:val="00B808B2"/>
    <w:rsid w:val="00B80A63"/>
    <w:rsid w:val="00B80CCA"/>
    <w:rsid w:val="00B8114D"/>
    <w:rsid w:val="00B81DFC"/>
    <w:rsid w:val="00B8235F"/>
    <w:rsid w:val="00B823DC"/>
    <w:rsid w:val="00B8252A"/>
    <w:rsid w:val="00B836DE"/>
    <w:rsid w:val="00B83991"/>
    <w:rsid w:val="00B840DA"/>
    <w:rsid w:val="00B853FD"/>
    <w:rsid w:val="00B85406"/>
    <w:rsid w:val="00B855CB"/>
    <w:rsid w:val="00B85BC2"/>
    <w:rsid w:val="00B86758"/>
    <w:rsid w:val="00B86A20"/>
    <w:rsid w:val="00B877F2"/>
    <w:rsid w:val="00B90285"/>
    <w:rsid w:val="00B91BBA"/>
    <w:rsid w:val="00B93608"/>
    <w:rsid w:val="00B938F8"/>
    <w:rsid w:val="00B94137"/>
    <w:rsid w:val="00B94DC1"/>
    <w:rsid w:val="00B95018"/>
    <w:rsid w:val="00B9564A"/>
    <w:rsid w:val="00B971A3"/>
    <w:rsid w:val="00B97D41"/>
    <w:rsid w:val="00BA049F"/>
    <w:rsid w:val="00BA2E50"/>
    <w:rsid w:val="00BA3C96"/>
    <w:rsid w:val="00BA3D58"/>
    <w:rsid w:val="00BA4383"/>
    <w:rsid w:val="00BA4B18"/>
    <w:rsid w:val="00BA5125"/>
    <w:rsid w:val="00BA561C"/>
    <w:rsid w:val="00BA6ABE"/>
    <w:rsid w:val="00BA766A"/>
    <w:rsid w:val="00BB079F"/>
    <w:rsid w:val="00BB1184"/>
    <w:rsid w:val="00BB15D6"/>
    <w:rsid w:val="00BB1A10"/>
    <w:rsid w:val="00BB1B1F"/>
    <w:rsid w:val="00BB1DC6"/>
    <w:rsid w:val="00BB23EE"/>
    <w:rsid w:val="00BB2958"/>
    <w:rsid w:val="00BB2D16"/>
    <w:rsid w:val="00BB3494"/>
    <w:rsid w:val="00BB49A7"/>
    <w:rsid w:val="00BB4C5E"/>
    <w:rsid w:val="00BB4DE8"/>
    <w:rsid w:val="00BB5285"/>
    <w:rsid w:val="00BB5E20"/>
    <w:rsid w:val="00BC0C96"/>
    <w:rsid w:val="00BC114E"/>
    <w:rsid w:val="00BC11CF"/>
    <w:rsid w:val="00BC132D"/>
    <w:rsid w:val="00BC25A7"/>
    <w:rsid w:val="00BC352B"/>
    <w:rsid w:val="00BC36D4"/>
    <w:rsid w:val="00BC3C18"/>
    <w:rsid w:val="00BC441C"/>
    <w:rsid w:val="00BC5024"/>
    <w:rsid w:val="00BC5041"/>
    <w:rsid w:val="00BC5804"/>
    <w:rsid w:val="00BC5CB0"/>
    <w:rsid w:val="00BC6044"/>
    <w:rsid w:val="00BC608F"/>
    <w:rsid w:val="00BC63F7"/>
    <w:rsid w:val="00BC6756"/>
    <w:rsid w:val="00BC6B36"/>
    <w:rsid w:val="00BC7680"/>
    <w:rsid w:val="00BD038F"/>
    <w:rsid w:val="00BD0B1B"/>
    <w:rsid w:val="00BD0B59"/>
    <w:rsid w:val="00BD11D3"/>
    <w:rsid w:val="00BD1B96"/>
    <w:rsid w:val="00BD28B7"/>
    <w:rsid w:val="00BD37DD"/>
    <w:rsid w:val="00BD3A27"/>
    <w:rsid w:val="00BD4218"/>
    <w:rsid w:val="00BD433A"/>
    <w:rsid w:val="00BD4CA2"/>
    <w:rsid w:val="00BD4CEC"/>
    <w:rsid w:val="00BD5D33"/>
    <w:rsid w:val="00BD5D42"/>
    <w:rsid w:val="00BD5F02"/>
    <w:rsid w:val="00BD606C"/>
    <w:rsid w:val="00BD6919"/>
    <w:rsid w:val="00BD6DE2"/>
    <w:rsid w:val="00BD72E2"/>
    <w:rsid w:val="00BE0938"/>
    <w:rsid w:val="00BE0A0C"/>
    <w:rsid w:val="00BE0F54"/>
    <w:rsid w:val="00BE3134"/>
    <w:rsid w:val="00BE3B6A"/>
    <w:rsid w:val="00BE3C0F"/>
    <w:rsid w:val="00BE4E40"/>
    <w:rsid w:val="00BE564C"/>
    <w:rsid w:val="00BE57FB"/>
    <w:rsid w:val="00BE602E"/>
    <w:rsid w:val="00BE6C8A"/>
    <w:rsid w:val="00BE6E11"/>
    <w:rsid w:val="00BE702C"/>
    <w:rsid w:val="00BF0F05"/>
    <w:rsid w:val="00BF18F7"/>
    <w:rsid w:val="00BF226D"/>
    <w:rsid w:val="00BF25D7"/>
    <w:rsid w:val="00BF2673"/>
    <w:rsid w:val="00BF2C72"/>
    <w:rsid w:val="00BF3A0E"/>
    <w:rsid w:val="00BF5A5A"/>
    <w:rsid w:val="00BF6198"/>
    <w:rsid w:val="00BF6439"/>
    <w:rsid w:val="00BF683B"/>
    <w:rsid w:val="00BF6A10"/>
    <w:rsid w:val="00BF7375"/>
    <w:rsid w:val="00C00CF4"/>
    <w:rsid w:val="00C013D8"/>
    <w:rsid w:val="00C039A1"/>
    <w:rsid w:val="00C04CCF"/>
    <w:rsid w:val="00C0523E"/>
    <w:rsid w:val="00C06230"/>
    <w:rsid w:val="00C06F21"/>
    <w:rsid w:val="00C10294"/>
    <w:rsid w:val="00C10B52"/>
    <w:rsid w:val="00C113A4"/>
    <w:rsid w:val="00C15074"/>
    <w:rsid w:val="00C1523F"/>
    <w:rsid w:val="00C15A17"/>
    <w:rsid w:val="00C1683A"/>
    <w:rsid w:val="00C1718E"/>
    <w:rsid w:val="00C17971"/>
    <w:rsid w:val="00C2132B"/>
    <w:rsid w:val="00C2222B"/>
    <w:rsid w:val="00C226FA"/>
    <w:rsid w:val="00C233B6"/>
    <w:rsid w:val="00C2361F"/>
    <w:rsid w:val="00C23655"/>
    <w:rsid w:val="00C237A3"/>
    <w:rsid w:val="00C23C3D"/>
    <w:rsid w:val="00C23E4D"/>
    <w:rsid w:val="00C241CA"/>
    <w:rsid w:val="00C2455B"/>
    <w:rsid w:val="00C2456D"/>
    <w:rsid w:val="00C24FC5"/>
    <w:rsid w:val="00C258FC"/>
    <w:rsid w:val="00C26B72"/>
    <w:rsid w:val="00C278B6"/>
    <w:rsid w:val="00C278C3"/>
    <w:rsid w:val="00C27F9D"/>
    <w:rsid w:val="00C31768"/>
    <w:rsid w:val="00C31F1E"/>
    <w:rsid w:val="00C321D9"/>
    <w:rsid w:val="00C338E4"/>
    <w:rsid w:val="00C33991"/>
    <w:rsid w:val="00C3451C"/>
    <w:rsid w:val="00C34CE3"/>
    <w:rsid w:val="00C35257"/>
    <w:rsid w:val="00C35540"/>
    <w:rsid w:val="00C36CD2"/>
    <w:rsid w:val="00C37A21"/>
    <w:rsid w:val="00C37C05"/>
    <w:rsid w:val="00C40FA4"/>
    <w:rsid w:val="00C41457"/>
    <w:rsid w:val="00C41DE0"/>
    <w:rsid w:val="00C41E93"/>
    <w:rsid w:val="00C42268"/>
    <w:rsid w:val="00C42527"/>
    <w:rsid w:val="00C42A1A"/>
    <w:rsid w:val="00C43A0B"/>
    <w:rsid w:val="00C445F2"/>
    <w:rsid w:val="00C4489F"/>
    <w:rsid w:val="00C45819"/>
    <w:rsid w:val="00C45BEE"/>
    <w:rsid w:val="00C45CEC"/>
    <w:rsid w:val="00C466A2"/>
    <w:rsid w:val="00C4792E"/>
    <w:rsid w:val="00C503ED"/>
    <w:rsid w:val="00C51F47"/>
    <w:rsid w:val="00C52149"/>
    <w:rsid w:val="00C525A4"/>
    <w:rsid w:val="00C52763"/>
    <w:rsid w:val="00C52E1F"/>
    <w:rsid w:val="00C53F43"/>
    <w:rsid w:val="00C54669"/>
    <w:rsid w:val="00C558A8"/>
    <w:rsid w:val="00C562F6"/>
    <w:rsid w:val="00C565E5"/>
    <w:rsid w:val="00C570B4"/>
    <w:rsid w:val="00C570BE"/>
    <w:rsid w:val="00C57BDF"/>
    <w:rsid w:val="00C57ED7"/>
    <w:rsid w:val="00C60110"/>
    <w:rsid w:val="00C60787"/>
    <w:rsid w:val="00C61C7A"/>
    <w:rsid w:val="00C626DF"/>
    <w:rsid w:val="00C62879"/>
    <w:rsid w:val="00C62A29"/>
    <w:rsid w:val="00C62FAB"/>
    <w:rsid w:val="00C63ABA"/>
    <w:rsid w:val="00C6429F"/>
    <w:rsid w:val="00C64539"/>
    <w:rsid w:val="00C6458D"/>
    <w:rsid w:val="00C64B6A"/>
    <w:rsid w:val="00C6609A"/>
    <w:rsid w:val="00C66D66"/>
    <w:rsid w:val="00C6705E"/>
    <w:rsid w:val="00C679A0"/>
    <w:rsid w:val="00C67E3E"/>
    <w:rsid w:val="00C707E2"/>
    <w:rsid w:val="00C70809"/>
    <w:rsid w:val="00C713AD"/>
    <w:rsid w:val="00C71DDF"/>
    <w:rsid w:val="00C72530"/>
    <w:rsid w:val="00C72EF1"/>
    <w:rsid w:val="00C73079"/>
    <w:rsid w:val="00C7374D"/>
    <w:rsid w:val="00C739E5"/>
    <w:rsid w:val="00C743A7"/>
    <w:rsid w:val="00C747C7"/>
    <w:rsid w:val="00C74A53"/>
    <w:rsid w:val="00C74EF8"/>
    <w:rsid w:val="00C753CD"/>
    <w:rsid w:val="00C758E6"/>
    <w:rsid w:val="00C762CC"/>
    <w:rsid w:val="00C764AD"/>
    <w:rsid w:val="00C765C7"/>
    <w:rsid w:val="00C76634"/>
    <w:rsid w:val="00C76A38"/>
    <w:rsid w:val="00C77296"/>
    <w:rsid w:val="00C7756F"/>
    <w:rsid w:val="00C77AD4"/>
    <w:rsid w:val="00C802CE"/>
    <w:rsid w:val="00C80681"/>
    <w:rsid w:val="00C8075E"/>
    <w:rsid w:val="00C80F0B"/>
    <w:rsid w:val="00C81035"/>
    <w:rsid w:val="00C812A3"/>
    <w:rsid w:val="00C8322F"/>
    <w:rsid w:val="00C83381"/>
    <w:rsid w:val="00C8358A"/>
    <w:rsid w:val="00C84353"/>
    <w:rsid w:val="00C859A7"/>
    <w:rsid w:val="00C8669B"/>
    <w:rsid w:val="00C86B21"/>
    <w:rsid w:val="00C86FDB"/>
    <w:rsid w:val="00C87208"/>
    <w:rsid w:val="00C87290"/>
    <w:rsid w:val="00C90036"/>
    <w:rsid w:val="00C90A48"/>
    <w:rsid w:val="00C91C86"/>
    <w:rsid w:val="00C91DD3"/>
    <w:rsid w:val="00C92BC3"/>
    <w:rsid w:val="00C936F2"/>
    <w:rsid w:val="00C93C03"/>
    <w:rsid w:val="00C93C39"/>
    <w:rsid w:val="00C94244"/>
    <w:rsid w:val="00C95A97"/>
    <w:rsid w:val="00C9697C"/>
    <w:rsid w:val="00CA00C2"/>
    <w:rsid w:val="00CA0D29"/>
    <w:rsid w:val="00CA1B5F"/>
    <w:rsid w:val="00CA21FE"/>
    <w:rsid w:val="00CA28F3"/>
    <w:rsid w:val="00CA2991"/>
    <w:rsid w:val="00CA2B75"/>
    <w:rsid w:val="00CA3C98"/>
    <w:rsid w:val="00CA5473"/>
    <w:rsid w:val="00CA5C94"/>
    <w:rsid w:val="00CA718A"/>
    <w:rsid w:val="00CA7427"/>
    <w:rsid w:val="00CB0C82"/>
    <w:rsid w:val="00CB112B"/>
    <w:rsid w:val="00CB1E67"/>
    <w:rsid w:val="00CB21D8"/>
    <w:rsid w:val="00CB2C7D"/>
    <w:rsid w:val="00CB3D88"/>
    <w:rsid w:val="00CB4F03"/>
    <w:rsid w:val="00CB5A83"/>
    <w:rsid w:val="00CB5E2E"/>
    <w:rsid w:val="00CB7213"/>
    <w:rsid w:val="00CB7466"/>
    <w:rsid w:val="00CB79E2"/>
    <w:rsid w:val="00CB7B17"/>
    <w:rsid w:val="00CC07BB"/>
    <w:rsid w:val="00CC15A9"/>
    <w:rsid w:val="00CC1611"/>
    <w:rsid w:val="00CC194B"/>
    <w:rsid w:val="00CC23B4"/>
    <w:rsid w:val="00CC2D0E"/>
    <w:rsid w:val="00CC3706"/>
    <w:rsid w:val="00CC39E9"/>
    <w:rsid w:val="00CC50BD"/>
    <w:rsid w:val="00CC51FC"/>
    <w:rsid w:val="00CC65C5"/>
    <w:rsid w:val="00CC65C9"/>
    <w:rsid w:val="00CC69F9"/>
    <w:rsid w:val="00CC7409"/>
    <w:rsid w:val="00CC78E1"/>
    <w:rsid w:val="00CD0091"/>
    <w:rsid w:val="00CD1D2F"/>
    <w:rsid w:val="00CD27F6"/>
    <w:rsid w:val="00CD2A3C"/>
    <w:rsid w:val="00CD2E95"/>
    <w:rsid w:val="00CD2FF4"/>
    <w:rsid w:val="00CD3647"/>
    <w:rsid w:val="00CD3AFA"/>
    <w:rsid w:val="00CD4BFA"/>
    <w:rsid w:val="00CD547C"/>
    <w:rsid w:val="00CD54CC"/>
    <w:rsid w:val="00CD5559"/>
    <w:rsid w:val="00CD5798"/>
    <w:rsid w:val="00CD5CAF"/>
    <w:rsid w:val="00CD6359"/>
    <w:rsid w:val="00CE0C28"/>
    <w:rsid w:val="00CE0F89"/>
    <w:rsid w:val="00CE1BF2"/>
    <w:rsid w:val="00CE1FBF"/>
    <w:rsid w:val="00CE2432"/>
    <w:rsid w:val="00CE6991"/>
    <w:rsid w:val="00CE6B66"/>
    <w:rsid w:val="00CE7A58"/>
    <w:rsid w:val="00CF0347"/>
    <w:rsid w:val="00CF07D4"/>
    <w:rsid w:val="00CF10D3"/>
    <w:rsid w:val="00CF1713"/>
    <w:rsid w:val="00CF2351"/>
    <w:rsid w:val="00CF23D8"/>
    <w:rsid w:val="00CF2911"/>
    <w:rsid w:val="00CF38CD"/>
    <w:rsid w:val="00CF3CC1"/>
    <w:rsid w:val="00CF3DB5"/>
    <w:rsid w:val="00CF522A"/>
    <w:rsid w:val="00CF54F3"/>
    <w:rsid w:val="00CF5AF5"/>
    <w:rsid w:val="00CF61A5"/>
    <w:rsid w:val="00CF6F01"/>
    <w:rsid w:val="00CF71C7"/>
    <w:rsid w:val="00CF7200"/>
    <w:rsid w:val="00CF76CA"/>
    <w:rsid w:val="00CF7869"/>
    <w:rsid w:val="00CF7FC8"/>
    <w:rsid w:val="00D00D09"/>
    <w:rsid w:val="00D00D93"/>
    <w:rsid w:val="00D01272"/>
    <w:rsid w:val="00D012FA"/>
    <w:rsid w:val="00D022E9"/>
    <w:rsid w:val="00D030B0"/>
    <w:rsid w:val="00D033F1"/>
    <w:rsid w:val="00D038D9"/>
    <w:rsid w:val="00D038DB"/>
    <w:rsid w:val="00D055BB"/>
    <w:rsid w:val="00D05C0E"/>
    <w:rsid w:val="00D060D0"/>
    <w:rsid w:val="00D06C93"/>
    <w:rsid w:val="00D10A5F"/>
    <w:rsid w:val="00D10BE0"/>
    <w:rsid w:val="00D10EA7"/>
    <w:rsid w:val="00D112E3"/>
    <w:rsid w:val="00D11CCD"/>
    <w:rsid w:val="00D11EA2"/>
    <w:rsid w:val="00D125BA"/>
    <w:rsid w:val="00D12A06"/>
    <w:rsid w:val="00D12BC4"/>
    <w:rsid w:val="00D13AA6"/>
    <w:rsid w:val="00D13AD5"/>
    <w:rsid w:val="00D14FCA"/>
    <w:rsid w:val="00D171C5"/>
    <w:rsid w:val="00D17609"/>
    <w:rsid w:val="00D178EF"/>
    <w:rsid w:val="00D20522"/>
    <w:rsid w:val="00D20742"/>
    <w:rsid w:val="00D21015"/>
    <w:rsid w:val="00D226E7"/>
    <w:rsid w:val="00D22772"/>
    <w:rsid w:val="00D22B1E"/>
    <w:rsid w:val="00D22EF8"/>
    <w:rsid w:val="00D2363C"/>
    <w:rsid w:val="00D23E49"/>
    <w:rsid w:val="00D24C1B"/>
    <w:rsid w:val="00D24F4C"/>
    <w:rsid w:val="00D2549E"/>
    <w:rsid w:val="00D258CC"/>
    <w:rsid w:val="00D25B08"/>
    <w:rsid w:val="00D25ED2"/>
    <w:rsid w:val="00D26B61"/>
    <w:rsid w:val="00D26D00"/>
    <w:rsid w:val="00D27242"/>
    <w:rsid w:val="00D27957"/>
    <w:rsid w:val="00D27F2F"/>
    <w:rsid w:val="00D27F92"/>
    <w:rsid w:val="00D30284"/>
    <w:rsid w:val="00D31702"/>
    <w:rsid w:val="00D329B3"/>
    <w:rsid w:val="00D330EA"/>
    <w:rsid w:val="00D33BCB"/>
    <w:rsid w:val="00D345D3"/>
    <w:rsid w:val="00D35D25"/>
    <w:rsid w:val="00D36C96"/>
    <w:rsid w:val="00D37405"/>
    <w:rsid w:val="00D375C0"/>
    <w:rsid w:val="00D376A9"/>
    <w:rsid w:val="00D404FA"/>
    <w:rsid w:val="00D40BBB"/>
    <w:rsid w:val="00D410F4"/>
    <w:rsid w:val="00D41160"/>
    <w:rsid w:val="00D41501"/>
    <w:rsid w:val="00D41F87"/>
    <w:rsid w:val="00D423C8"/>
    <w:rsid w:val="00D43745"/>
    <w:rsid w:val="00D43B9D"/>
    <w:rsid w:val="00D4486B"/>
    <w:rsid w:val="00D44D07"/>
    <w:rsid w:val="00D44DAD"/>
    <w:rsid w:val="00D4548E"/>
    <w:rsid w:val="00D45B86"/>
    <w:rsid w:val="00D461BC"/>
    <w:rsid w:val="00D46946"/>
    <w:rsid w:val="00D46AA0"/>
    <w:rsid w:val="00D471DC"/>
    <w:rsid w:val="00D472A9"/>
    <w:rsid w:val="00D47699"/>
    <w:rsid w:val="00D50AB0"/>
    <w:rsid w:val="00D51141"/>
    <w:rsid w:val="00D516AF"/>
    <w:rsid w:val="00D51D01"/>
    <w:rsid w:val="00D52D6F"/>
    <w:rsid w:val="00D543DC"/>
    <w:rsid w:val="00D54F83"/>
    <w:rsid w:val="00D5789D"/>
    <w:rsid w:val="00D6013D"/>
    <w:rsid w:val="00D602E5"/>
    <w:rsid w:val="00D60EBC"/>
    <w:rsid w:val="00D6235B"/>
    <w:rsid w:val="00D62FF2"/>
    <w:rsid w:val="00D63131"/>
    <w:rsid w:val="00D631F3"/>
    <w:rsid w:val="00D635C5"/>
    <w:rsid w:val="00D636A4"/>
    <w:rsid w:val="00D65219"/>
    <w:rsid w:val="00D665D9"/>
    <w:rsid w:val="00D66C79"/>
    <w:rsid w:val="00D671C7"/>
    <w:rsid w:val="00D67564"/>
    <w:rsid w:val="00D67A31"/>
    <w:rsid w:val="00D72798"/>
    <w:rsid w:val="00D72BEB"/>
    <w:rsid w:val="00D73095"/>
    <w:rsid w:val="00D731B3"/>
    <w:rsid w:val="00D738BC"/>
    <w:rsid w:val="00D74099"/>
    <w:rsid w:val="00D74D67"/>
    <w:rsid w:val="00D755A5"/>
    <w:rsid w:val="00D76DA7"/>
    <w:rsid w:val="00D80665"/>
    <w:rsid w:val="00D80762"/>
    <w:rsid w:val="00D80FB7"/>
    <w:rsid w:val="00D8165F"/>
    <w:rsid w:val="00D82B72"/>
    <w:rsid w:val="00D82F75"/>
    <w:rsid w:val="00D8320D"/>
    <w:rsid w:val="00D83A2E"/>
    <w:rsid w:val="00D83A37"/>
    <w:rsid w:val="00D846D9"/>
    <w:rsid w:val="00D8513C"/>
    <w:rsid w:val="00D851DD"/>
    <w:rsid w:val="00D855BB"/>
    <w:rsid w:val="00D85683"/>
    <w:rsid w:val="00D86176"/>
    <w:rsid w:val="00D86810"/>
    <w:rsid w:val="00D90310"/>
    <w:rsid w:val="00D91251"/>
    <w:rsid w:val="00D9272E"/>
    <w:rsid w:val="00D92BFE"/>
    <w:rsid w:val="00D9517B"/>
    <w:rsid w:val="00D95708"/>
    <w:rsid w:val="00D95B75"/>
    <w:rsid w:val="00D9617F"/>
    <w:rsid w:val="00D966F6"/>
    <w:rsid w:val="00D96CAF"/>
    <w:rsid w:val="00D97457"/>
    <w:rsid w:val="00DA18E4"/>
    <w:rsid w:val="00DA2828"/>
    <w:rsid w:val="00DA2B3F"/>
    <w:rsid w:val="00DA3CF3"/>
    <w:rsid w:val="00DA4497"/>
    <w:rsid w:val="00DA59FF"/>
    <w:rsid w:val="00DA6317"/>
    <w:rsid w:val="00DA683D"/>
    <w:rsid w:val="00DA6A28"/>
    <w:rsid w:val="00DA70A9"/>
    <w:rsid w:val="00DA7622"/>
    <w:rsid w:val="00DA7765"/>
    <w:rsid w:val="00DB04C0"/>
    <w:rsid w:val="00DB0683"/>
    <w:rsid w:val="00DB08C1"/>
    <w:rsid w:val="00DB0BDD"/>
    <w:rsid w:val="00DB137B"/>
    <w:rsid w:val="00DB1605"/>
    <w:rsid w:val="00DB16B2"/>
    <w:rsid w:val="00DB2019"/>
    <w:rsid w:val="00DB21BA"/>
    <w:rsid w:val="00DB2653"/>
    <w:rsid w:val="00DB2E26"/>
    <w:rsid w:val="00DB3329"/>
    <w:rsid w:val="00DB3DF9"/>
    <w:rsid w:val="00DB4EBB"/>
    <w:rsid w:val="00DB6486"/>
    <w:rsid w:val="00DB7D5E"/>
    <w:rsid w:val="00DC01FF"/>
    <w:rsid w:val="00DC091C"/>
    <w:rsid w:val="00DC0BB5"/>
    <w:rsid w:val="00DC0E13"/>
    <w:rsid w:val="00DC1709"/>
    <w:rsid w:val="00DC1FF4"/>
    <w:rsid w:val="00DC423D"/>
    <w:rsid w:val="00DC4FF4"/>
    <w:rsid w:val="00DC510D"/>
    <w:rsid w:val="00DC5943"/>
    <w:rsid w:val="00DC5E22"/>
    <w:rsid w:val="00DC6403"/>
    <w:rsid w:val="00DC6BBE"/>
    <w:rsid w:val="00DC7172"/>
    <w:rsid w:val="00DD0559"/>
    <w:rsid w:val="00DD08D5"/>
    <w:rsid w:val="00DD0EB6"/>
    <w:rsid w:val="00DD1EA7"/>
    <w:rsid w:val="00DD38DC"/>
    <w:rsid w:val="00DD3A22"/>
    <w:rsid w:val="00DD4D77"/>
    <w:rsid w:val="00DD5C13"/>
    <w:rsid w:val="00DD6A19"/>
    <w:rsid w:val="00DE148D"/>
    <w:rsid w:val="00DE1B3E"/>
    <w:rsid w:val="00DE24C1"/>
    <w:rsid w:val="00DE2C2F"/>
    <w:rsid w:val="00DE3738"/>
    <w:rsid w:val="00DE388A"/>
    <w:rsid w:val="00DE3C68"/>
    <w:rsid w:val="00DE4190"/>
    <w:rsid w:val="00DE5626"/>
    <w:rsid w:val="00DE57D7"/>
    <w:rsid w:val="00DE586F"/>
    <w:rsid w:val="00DE72FA"/>
    <w:rsid w:val="00DE7A58"/>
    <w:rsid w:val="00DF002B"/>
    <w:rsid w:val="00DF0168"/>
    <w:rsid w:val="00DF0397"/>
    <w:rsid w:val="00DF04B0"/>
    <w:rsid w:val="00DF1AFE"/>
    <w:rsid w:val="00DF1C42"/>
    <w:rsid w:val="00DF2AC7"/>
    <w:rsid w:val="00DF3161"/>
    <w:rsid w:val="00DF3EE6"/>
    <w:rsid w:val="00DF3FF8"/>
    <w:rsid w:val="00DF6EF3"/>
    <w:rsid w:val="00DF72EC"/>
    <w:rsid w:val="00DF7380"/>
    <w:rsid w:val="00DF7600"/>
    <w:rsid w:val="00DF7A00"/>
    <w:rsid w:val="00E0095A"/>
    <w:rsid w:val="00E00B18"/>
    <w:rsid w:val="00E00F85"/>
    <w:rsid w:val="00E01CC3"/>
    <w:rsid w:val="00E03848"/>
    <w:rsid w:val="00E04252"/>
    <w:rsid w:val="00E0444A"/>
    <w:rsid w:val="00E04EA6"/>
    <w:rsid w:val="00E06244"/>
    <w:rsid w:val="00E06AF2"/>
    <w:rsid w:val="00E06B85"/>
    <w:rsid w:val="00E06C5B"/>
    <w:rsid w:val="00E07D1D"/>
    <w:rsid w:val="00E10227"/>
    <w:rsid w:val="00E10A03"/>
    <w:rsid w:val="00E1131D"/>
    <w:rsid w:val="00E11B47"/>
    <w:rsid w:val="00E120A1"/>
    <w:rsid w:val="00E12BF1"/>
    <w:rsid w:val="00E130D6"/>
    <w:rsid w:val="00E13FE0"/>
    <w:rsid w:val="00E14BFC"/>
    <w:rsid w:val="00E14D1E"/>
    <w:rsid w:val="00E14E6C"/>
    <w:rsid w:val="00E1531F"/>
    <w:rsid w:val="00E15A3F"/>
    <w:rsid w:val="00E162DA"/>
    <w:rsid w:val="00E16C0D"/>
    <w:rsid w:val="00E17801"/>
    <w:rsid w:val="00E20317"/>
    <w:rsid w:val="00E21BDF"/>
    <w:rsid w:val="00E21CF2"/>
    <w:rsid w:val="00E22056"/>
    <w:rsid w:val="00E238DA"/>
    <w:rsid w:val="00E23B28"/>
    <w:rsid w:val="00E23BCF"/>
    <w:rsid w:val="00E24C71"/>
    <w:rsid w:val="00E24FE8"/>
    <w:rsid w:val="00E2663B"/>
    <w:rsid w:val="00E26AF1"/>
    <w:rsid w:val="00E27859"/>
    <w:rsid w:val="00E27F35"/>
    <w:rsid w:val="00E3141B"/>
    <w:rsid w:val="00E31F57"/>
    <w:rsid w:val="00E32165"/>
    <w:rsid w:val="00E32E9E"/>
    <w:rsid w:val="00E33923"/>
    <w:rsid w:val="00E33F56"/>
    <w:rsid w:val="00E3451B"/>
    <w:rsid w:val="00E360A8"/>
    <w:rsid w:val="00E36EA9"/>
    <w:rsid w:val="00E36EDC"/>
    <w:rsid w:val="00E373D9"/>
    <w:rsid w:val="00E3752C"/>
    <w:rsid w:val="00E378F3"/>
    <w:rsid w:val="00E40FB2"/>
    <w:rsid w:val="00E415C7"/>
    <w:rsid w:val="00E4201A"/>
    <w:rsid w:val="00E421B1"/>
    <w:rsid w:val="00E4275D"/>
    <w:rsid w:val="00E42924"/>
    <w:rsid w:val="00E42944"/>
    <w:rsid w:val="00E43566"/>
    <w:rsid w:val="00E43A2F"/>
    <w:rsid w:val="00E45B0F"/>
    <w:rsid w:val="00E467AF"/>
    <w:rsid w:val="00E46AF8"/>
    <w:rsid w:val="00E46CE0"/>
    <w:rsid w:val="00E478B2"/>
    <w:rsid w:val="00E47A93"/>
    <w:rsid w:val="00E50400"/>
    <w:rsid w:val="00E504AF"/>
    <w:rsid w:val="00E50DA1"/>
    <w:rsid w:val="00E51645"/>
    <w:rsid w:val="00E528EC"/>
    <w:rsid w:val="00E52A7F"/>
    <w:rsid w:val="00E52A96"/>
    <w:rsid w:val="00E535E6"/>
    <w:rsid w:val="00E54212"/>
    <w:rsid w:val="00E5485E"/>
    <w:rsid w:val="00E548B3"/>
    <w:rsid w:val="00E54B50"/>
    <w:rsid w:val="00E54BC7"/>
    <w:rsid w:val="00E54D6F"/>
    <w:rsid w:val="00E55042"/>
    <w:rsid w:val="00E5514F"/>
    <w:rsid w:val="00E5590A"/>
    <w:rsid w:val="00E56F52"/>
    <w:rsid w:val="00E572E3"/>
    <w:rsid w:val="00E5779C"/>
    <w:rsid w:val="00E57B82"/>
    <w:rsid w:val="00E57EC4"/>
    <w:rsid w:val="00E6038B"/>
    <w:rsid w:val="00E60BBB"/>
    <w:rsid w:val="00E61811"/>
    <w:rsid w:val="00E62288"/>
    <w:rsid w:val="00E626F6"/>
    <w:rsid w:val="00E63D81"/>
    <w:rsid w:val="00E64F6C"/>
    <w:rsid w:val="00E662BC"/>
    <w:rsid w:val="00E677D9"/>
    <w:rsid w:val="00E67DD7"/>
    <w:rsid w:val="00E70536"/>
    <w:rsid w:val="00E705AC"/>
    <w:rsid w:val="00E70888"/>
    <w:rsid w:val="00E7106B"/>
    <w:rsid w:val="00E7300A"/>
    <w:rsid w:val="00E73D3D"/>
    <w:rsid w:val="00E745F3"/>
    <w:rsid w:val="00E750A3"/>
    <w:rsid w:val="00E75FD9"/>
    <w:rsid w:val="00E76031"/>
    <w:rsid w:val="00E76993"/>
    <w:rsid w:val="00E77A40"/>
    <w:rsid w:val="00E80E64"/>
    <w:rsid w:val="00E81A99"/>
    <w:rsid w:val="00E82354"/>
    <w:rsid w:val="00E82519"/>
    <w:rsid w:val="00E82730"/>
    <w:rsid w:val="00E832A1"/>
    <w:rsid w:val="00E8356D"/>
    <w:rsid w:val="00E83958"/>
    <w:rsid w:val="00E840D3"/>
    <w:rsid w:val="00E851E0"/>
    <w:rsid w:val="00E863C9"/>
    <w:rsid w:val="00E868B6"/>
    <w:rsid w:val="00E86E9E"/>
    <w:rsid w:val="00E87141"/>
    <w:rsid w:val="00E873AA"/>
    <w:rsid w:val="00E90360"/>
    <w:rsid w:val="00E90507"/>
    <w:rsid w:val="00E90540"/>
    <w:rsid w:val="00E905D5"/>
    <w:rsid w:val="00E90F8D"/>
    <w:rsid w:val="00E91CFE"/>
    <w:rsid w:val="00E925A9"/>
    <w:rsid w:val="00E92F24"/>
    <w:rsid w:val="00E93433"/>
    <w:rsid w:val="00E93754"/>
    <w:rsid w:val="00E95A41"/>
    <w:rsid w:val="00E95B0D"/>
    <w:rsid w:val="00E9746E"/>
    <w:rsid w:val="00E97626"/>
    <w:rsid w:val="00EA081A"/>
    <w:rsid w:val="00EA1471"/>
    <w:rsid w:val="00EA160C"/>
    <w:rsid w:val="00EA2697"/>
    <w:rsid w:val="00EA2871"/>
    <w:rsid w:val="00EA2B2C"/>
    <w:rsid w:val="00EA4463"/>
    <w:rsid w:val="00EA4625"/>
    <w:rsid w:val="00EA5BE5"/>
    <w:rsid w:val="00EA5E97"/>
    <w:rsid w:val="00EA670B"/>
    <w:rsid w:val="00EA6EBC"/>
    <w:rsid w:val="00EA79D4"/>
    <w:rsid w:val="00EB007C"/>
    <w:rsid w:val="00EB0424"/>
    <w:rsid w:val="00EB0DFE"/>
    <w:rsid w:val="00EB0F63"/>
    <w:rsid w:val="00EB19E8"/>
    <w:rsid w:val="00EB1DC6"/>
    <w:rsid w:val="00EB2B12"/>
    <w:rsid w:val="00EB2CA8"/>
    <w:rsid w:val="00EB36AB"/>
    <w:rsid w:val="00EB37B7"/>
    <w:rsid w:val="00EB38B4"/>
    <w:rsid w:val="00EB3A77"/>
    <w:rsid w:val="00EB5497"/>
    <w:rsid w:val="00EB55E6"/>
    <w:rsid w:val="00EB5AA8"/>
    <w:rsid w:val="00EB5FE4"/>
    <w:rsid w:val="00EB67B5"/>
    <w:rsid w:val="00EB684F"/>
    <w:rsid w:val="00EB6B1B"/>
    <w:rsid w:val="00EB6DE1"/>
    <w:rsid w:val="00EB7E5B"/>
    <w:rsid w:val="00EC04BB"/>
    <w:rsid w:val="00EC0734"/>
    <w:rsid w:val="00EC0F3B"/>
    <w:rsid w:val="00EC1EB3"/>
    <w:rsid w:val="00EC2145"/>
    <w:rsid w:val="00EC2D72"/>
    <w:rsid w:val="00EC4950"/>
    <w:rsid w:val="00EC4E7F"/>
    <w:rsid w:val="00EC5B15"/>
    <w:rsid w:val="00EC7B1A"/>
    <w:rsid w:val="00EC7C2B"/>
    <w:rsid w:val="00EC7E0F"/>
    <w:rsid w:val="00ED062C"/>
    <w:rsid w:val="00ED0B69"/>
    <w:rsid w:val="00ED1563"/>
    <w:rsid w:val="00ED24E0"/>
    <w:rsid w:val="00ED2532"/>
    <w:rsid w:val="00ED471E"/>
    <w:rsid w:val="00ED52F5"/>
    <w:rsid w:val="00ED5512"/>
    <w:rsid w:val="00ED7476"/>
    <w:rsid w:val="00ED748D"/>
    <w:rsid w:val="00ED750E"/>
    <w:rsid w:val="00EE035C"/>
    <w:rsid w:val="00EE0D08"/>
    <w:rsid w:val="00EE1528"/>
    <w:rsid w:val="00EE212F"/>
    <w:rsid w:val="00EE258F"/>
    <w:rsid w:val="00EE280B"/>
    <w:rsid w:val="00EE2876"/>
    <w:rsid w:val="00EE2C7C"/>
    <w:rsid w:val="00EE2D90"/>
    <w:rsid w:val="00EE5211"/>
    <w:rsid w:val="00EE5D7B"/>
    <w:rsid w:val="00EE773A"/>
    <w:rsid w:val="00EE7996"/>
    <w:rsid w:val="00EF0BCD"/>
    <w:rsid w:val="00EF0C1D"/>
    <w:rsid w:val="00EF1B66"/>
    <w:rsid w:val="00EF1D3A"/>
    <w:rsid w:val="00EF2E1F"/>
    <w:rsid w:val="00EF3593"/>
    <w:rsid w:val="00EF363C"/>
    <w:rsid w:val="00EF3A53"/>
    <w:rsid w:val="00EF3E8E"/>
    <w:rsid w:val="00EF46DE"/>
    <w:rsid w:val="00EF5004"/>
    <w:rsid w:val="00EF5D43"/>
    <w:rsid w:val="00EF5DD6"/>
    <w:rsid w:val="00EF5F6C"/>
    <w:rsid w:val="00EF6DFC"/>
    <w:rsid w:val="00EF7E23"/>
    <w:rsid w:val="00EF7F80"/>
    <w:rsid w:val="00F00470"/>
    <w:rsid w:val="00F00688"/>
    <w:rsid w:val="00F0294B"/>
    <w:rsid w:val="00F03139"/>
    <w:rsid w:val="00F0328D"/>
    <w:rsid w:val="00F03B9B"/>
    <w:rsid w:val="00F03E1C"/>
    <w:rsid w:val="00F053BF"/>
    <w:rsid w:val="00F05CE4"/>
    <w:rsid w:val="00F0617B"/>
    <w:rsid w:val="00F06907"/>
    <w:rsid w:val="00F072BC"/>
    <w:rsid w:val="00F07343"/>
    <w:rsid w:val="00F0784C"/>
    <w:rsid w:val="00F07970"/>
    <w:rsid w:val="00F10166"/>
    <w:rsid w:val="00F112AD"/>
    <w:rsid w:val="00F11797"/>
    <w:rsid w:val="00F11B3C"/>
    <w:rsid w:val="00F11C23"/>
    <w:rsid w:val="00F12221"/>
    <w:rsid w:val="00F129F1"/>
    <w:rsid w:val="00F12C36"/>
    <w:rsid w:val="00F1419B"/>
    <w:rsid w:val="00F1427E"/>
    <w:rsid w:val="00F1485B"/>
    <w:rsid w:val="00F14C20"/>
    <w:rsid w:val="00F14DC0"/>
    <w:rsid w:val="00F1535C"/>
    <w:rsid w:val="00F153D6"/>
    <w:rsid w:val="00F17C8F"/>
    <w:rsid w:val="00F206E2"/>
    <w:rsid w:val="00F210FB"/>
    <w:rsid w:val="00F228EA"/>
    <w:rsid w:val="00F229A1"/>
    <w:rsid w:val="00F230C1"/>
    <w:rsid w:val="00F23390"/>
    <w:rsid w:val="00F2438E"/>
    <w:rsid w:val="00F2485E"/>
    <w:rsid w:val="00F2497D"/>
    <w:rsid w:val="00F24BC7"/>
    <w:rsid w:val="00F24F51"/>
    <w:rsid w:val="00F260A4"/>
    <w:rsid w:val="00F26CEE"/>
    <w:rsid w:val="00F27096"/>
    <w:rsid w:val="00F305B6"/>
    <w:rsid w:val="00F30655"/>
    <w:rsid w:val="00F30B9E"/>
    <w:rsid w:val="00F30ED9"/>
    <w:rsid w:val="00F312C7"/>
    <w:rsid w:val="00F31EB2"/>
    <w:rsid w:val="00F3260F"/>
    <w:rsid w:val="00F326AD"/>
    <w:rsid w:val="00F336B6"/>
    <w:rsid w:val="00F33C11"/>
    <w:rsid w:val="00F3409D"/>
    <w:rsid w:val="00F343A1"/>
    <w:rsid w:val="00F34F03"/>
    <w:rsid w:val="00F35DE5"/>
    <w:rsid w:val="00F377D6"/>
    <w:rsid w:val="00F40CF6"/>
    <w:rsid w:val="00F4116D"/>
    <w:rsid w:val="00F412DD"/>
    <w:rsid w:val="00F41C1A"/>
    <w:rsid w:val="00F42410"/>
    <w:rsid w:val="00F4248C"/>
    <w:rsid w:val="00F4304C"/>
    <w:rsid w:val="00F43701"/>
    <w:rsid w:val="00F43B09"/>
    <w:rsid w:val="00F43C8C"/>
    <w:rsid w:val="00F43EBB"/>
    <w:rsid w:val="00F44A88"/>
    <w:rsid w:val="00F451AA"/>
    <w:rsid w:val="00F460C4"/>
    <w:rsid w:val="00F47B36"/>
    <w:rsid w:val="00F512C9"/>
    <w:rsid w:val="00F527F1"/>
    <w:rsid w:val="00F52B3F"/>
    <w:rsid w:val="00F52BA0"/>
    <w:rsid w:val="00F53653"/>
    <w:rsid w:val="00F53BC9"/>
    <w:rsid w:val="00F53FAA"/>
    <w:rsid w:val="00F54005"/>
    <w:rsid w:val="00F5442F"/>
    <w:rsid w:val="00F54E1A"/>
    <w:rsid w:val="00F54EFA"/>
    <w:rsid w:val="00F54F9F"/>
    <w:rsid w:val="00F550BA"/>
    <w:rsid w:val="00F56691"/>
    <w:rsid w:val="00F56A89"/>
    <w:rsid w:val="00F5744A"/>
    <w:rsid w:val="00F57B34"/>
    <w:rsid w:val="00F57D39"/>
    <w:rsid w:val="00F57FC1"/>
    <w:rsid w:val="00F60078"/>
    <w:rsid w:val="00F60DBC"/>
    <w:rsid w:val="00F60F08"/>
    <w:rsid w:val="00F610FC"/>
    <w:rsid w:val="00F615FB"/>
    <w:rsid w:val="00F616B0"/>
    <w:rsid w:val="00F6172B"/>
    <w:rsid w:val="00F61E31"/>
    <w:rsid w:val="00F62243"/>
    <w:rsid w:val="00F62D0E"/>
    <w:rsid w:val="00F6373E"/>
    <w:rsid w:val="00F63969"/>
    <w:rsid w:val="00F642F2"/>
    <w:rsid w:val="00F643E7"/>
    <w:rsid w:val="00F64EF5"/>
    <w:rsid w:val="00F650D5"/>
    <w:rsid w:val="00F65C1A"/>
    <w:rsid w:val="00F71556"/>
    <w:rsid w:val="00F71839"/>
    <w:rsid w:val="00F719C1"/>
    <w:rsid w:val="00F72390"/>
    <w:rsid w:val="00F72E04"/>
    <w:rsid w:val="00F72FA1"/>
    <w:rsid w:val="00F739EA"/>
    <w:rsid w:val="00F73ABA"/>
    <w:rsid w:val="00F74C9A"/>
    <w:rsid w:val="00F76375"/>
    <w:rsid w:val="00F76377"/>
    <w:rsid w:val="00F7744E"/>
    <w:rsid w:val="00F77991"/>
    <w:rsid w:val="00F77EF5"/>
    <w:rsid w:val="00F807EB"/>
    <w:rsid w:val="00F808CA"/>
    <w:rsid w:val="00F811C3"/>
    <w:rsid w:val="00F8292F"/>
    <w:rsid w:val="00F83376"/>
    <w:rsid w:val="00F835D9"/>
    <w:rsid w:val="00F842E6"/>
    <w:rsid w:val="00F84B31"/>
    <w:rsid w:val="00F84ED0"/>
    <w:rsid w:val="00F85A1E"/>
    <w:rsid w:val="00F85DB2"/>
    <w:rsid w:val="00F864DF"/>
    <w:rsid w:val="00F86D82"/>
    <w:rsid w:val="00F87116"/>
    <w:rsid w:val="00F8713E"/>
    <w:rsid w:val="00F87A8F"/>
    <w:rsid w:val="00F87C6D"/>
    <w:rsid w:val="00F9113C"/>
    <w:rsid w:val="00F914D3"/>
    <w:rsid w:val="00F91AE2"/>
    <w:rsid w:val="00F91E17"/>
    <w:rsid w:val="00F92666"/>
    <w:rsid w:val="00F92CCD"/>
    <w:rsid w:val="00F938CE"/>
    <w:rsid w:val="00F94DFB"/>
    <w:rsid w:val="00F95D1C"/>
    <w:rsid w:val="00F95D50"/>
    <w:rsid w:val="00F964FF"/>
    <w:rsid w:val="00F9678D"/>
    <w:rsid w:val="00F97078"/>
    <w:rsid w:val="00F97338"/>
    <w:rsid w:val="00FA0E01"/>
    <w:rsid w:val="00FA0EAC"/>
    <w:rsid w:val="00FA1648"/>
    <w:rsid w:val="00FA28EC"/>
    <w:rsid w:val="00FA2A87"/>
    <w:rsid w:val="00FA2B9B"/>
    <w:rsid w:val="00FA3600"/>
    <w:rsid w:val="00FA362A"/>
    <w:rsid w:val="00FA3BD3"/>
    <w:rsid w:val="00FA473C"/>
    <w:rsid w:val="00FA506C"/>
    <w:rsid w:val="00FA5198"/>
    <w:rsid w:val="00FA5236"/>
    <w:rsid w:val="00FA53AC"/>
    <w:rsid w:val="00FA5477"/>
    <w:rsid w:val="00FA5FDA"/>
    <w:rsid w:val="00FA7142"/>
    <w:rsid w:val="00FA75D0"/>
    <w:rsid w:val="00FA7E3B"/>
    <w:rsid w:val="00FA7F57"/>
    <w:rsid w:val="00FB0BAA"/>
    <w:rsid w:val="00FB0D13"/>
    <w:rsid w:val="00FB127D"/>
    <w:rsid w:val="00FB2391"/>
    <w:rsid w:val="00FB2719"/>
    <w:rsid w:val="00FB2D2E"/>
    <w:rsid w:val="00FB32DD"/>
    <w:rsid w:val="00FB36C2"/>
    <w:rsid w:val="00FB5AE7"/>
    <w:rsid w:val="00FB5D00"/>
    <w:rsid w:val="00FB5D78"/>
    <w:rsid w:val="00FB602A"/>
    <w:rsid w:val="00FB628F"/>
    <w:rsid w:val="00FB74BA"/>
    <w:rsid w:val="00FB75A5"/>
    <w:rsid w:val="00FC015D"/>
    <w:rsid w:val="00FC01A4"/>
    <w:rsid w:val="00FC06E9"/>
    <w:rsid w:val="00FC085C"/>
    <w:rsid w:val="00FC08D7"/>
    <w:rsid w:val="00FC0ADB"/>
    <w:rsid w:val="00FC1D38"/>
    <w:rsid w:val="00FC2186"/>
    <w:rsid w:val="00FC2710"/>
    <w:rsid w:val="00FC318C"/>
    <w:rsid w:val="00FC3280"/>
    <w:rsid w:val="00FC35B4"/>
    <w:rsid w:val="00FC39C6"/>
    <w:rsid w:val="00FC3E07"/>
    <w:rsid w:val="00FC6037"/>
    <w:rsid w:val="00FC7929"/>
    <w:rsid w:val="00FC7FFD"/>
    <w:rsid w:val="00FD0697"/>
    <w:rsid w:val="00FD0EB1"/>
    <w:rsid w:val="00FD1480"/>
    <w:rsid w:val="00FD1954"/>
    <w:rsid w:val="00FD2892"/>
    <w:rsid w:val="00FD290C"/>
    <w:rsid w:val="00FD353B"/>
    <w:rsid w:val="00FD36E7"/>
    <w:rsid w:val="00FD3E9C"/>
    <w:rsid w:val="00FD4BAC"/>
    <w:rsid w:val="00FD56F7"/>
    <w:rsid w:val="00FD5B8C"/>
    <w:rsid w:val="00FD6BA1"/>
    <w:rsid w:val="00FD6C0F"/>
    <w:rsid w:val="00FD6C33"/>
    <w:rsid w:val="00FD71EE"/>
    <w:rsid w:val="00FD766A"/>
    <w:rsid w:val="00FE0478"/>
    <w:rsid w:val="00FE04BD"/>
    <w:rsid w:val="00FE1654"/>
    <w:rsid w:val="00FE1F35"/>
    <w:rsid w:val="00FE3EED"/>
    <w:rsid w:val="00FE5284"/>
    <w:rsid w:val="00FE539F"/>
    <w:rsid w:val="00FE59E8"/>
    <w:rsid w:val="00FE6328"/>
    <w:rsid w:val="00FE6445"/>
    <w:rsid w:val="00FE66FD"/>
    <w:rsid w:val="00FF1266"/>
    <w:rsid w:val="00FF1CAF"/>
    <w:rsid w:val="00FF1E0E"/>
    <w:rsid w:val="00FF1E36"/>
    <w:rsid w:val="00FF1EDE"/>
    <w:rsid w:val="00FF276E"/>
    <w:rsid w:val="00FF2A6B"/>
    <w:rsid w:val="00FF33BE"/>
    <w:rsid w:val="00FF3BCB"/>
    <w:rsid w:val="00FF49D3"/>
    <w:rsid w:val="00FF4D42"/>
    <w:rsid w:val="00FF5B95"/>
    <w:rsid w:val="00FF61B8"/>
    <w:rsid w:val="00FF6650"/>
    <w:rsid w:val="00FF6856"/>
    <w:rsid w:val="00FF720A"/>
    <w:rsid w:val="00FF769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25A8"/>
  <w15:docId w15:val="{0C17934E-8B78-4E43-BB3B-48863048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62"/>
    <w:rPr>
      <w:rFonts w:ascii="Times New Roman" w:eastAsia="Times New Roman" w:hAnsi="Times New Roman"/>
      <w:sz w:val="24"/>
      <w:szCs w:val="24"/>
      <w:lang w:val="en-GB" w:eastAsia="en-GB"/>
    </w:rPr>
  </w:style>
  <w:style w:type="paragraph" w:styleId="Heading3">
    <w:name w:val="heading 3"/>
    <w:basedOn w:val="Normal"/>
    <w:link w:val="Heading3Char"/>
    <w:uiPriority w:val="9"/>
    <w:qFormat/>
    <w:rsid w:val="001D058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05"/>
    <w:rPr>
      <w:rFonts w:ascii="Tahoma" w:eastAsia="Calibri" w:hAnsi="Tahoma"/>
      <w:sz w:val="16"/>
      <w:szCs w:val="16"/>
      <w:lang w:eastAsia="en-US"/>
    </w:rPr>
  </w:style>
  <w:style w:type="character" w:customStyle="1" w:styleId="BalloonTextChar">
    <w:name w:val="Balloon Text Char"/>
    <w:link w:val="BalloonText"/>
    <w:uiPriority w:val="99"/>
    <w:semiHidden/>
    <w:rsid w:val="002A3805"/>
    <w:rPr>
      <w:rFonts w:ascii="Tahoma" w:hAnsi="Tahoma" w:cs="Tahoma"/>
      <w:sz w:val="16"/>
      <w:szCs w:val="16"/>
      <w:lang w:eastAsia="en-US"/>
    </w:rPr>
  </w:style>
  <w:style w:type="paragraph" w:styleId="ListParagraph">
    <w:name w:val="List Paragraph"/>
    <w:basedOn w:val="Normal"/>
    <w:qFormat/>
    <w:rsid w:val="00E31F57"/>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C7E0F"/>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EC7E0F"/>
    <w:rPr>
      <w:sz w:val="22"/>
      <w:szCs w:val="22"/>
      <w:lang w:eastAsia="en-US"/>
    </w:rPr>
  </w:style>
  <w:style w:type="paragraph" w:styleId="Footer">
    <w:name w:val="footer"/>
    <w:basedOn w:val="Normal"/>
    <w:link w:val="FooterChar"/>
    <w:uiPriority w:val="99"/>
    <w:unhideWhenUsed/>
    <w:rsid w:val="00EC7E0F"/>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EC7E0F"/>
    <w:rPr>
      <w:sz w:val="22"/>
      <w:szCs w:val="22"/>
      <w:lang w:eastAsia="en-US"/>
    </w:rPr>
  </w:style>
  <w:style w:type="table" w:styleId="TableGrid">
    <w:name w:val="Table Grid"/>
    <w:basedOn w:val="TableNormal"/>
    <w:uiPriority w:val="59"/>
    <w:rsid w:val="00656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A77B7"/>
    <w:rPr>
      <w:sz w:val="20"/>
      <w:szCs w:val="20"/>
      <w:lang w:val="en-IE" w:eastAsia="en-US"/>
    </w:rPr>
  </w:style>
  <w:style w:type="character" w:customStyle="1" w:styleId="FootnoteTextChar">
    <w:name w:val="Footnote Text Char"/>
    <w:link w:val="FootnoteText"/>
    <w:semiHidden/>
    <w:rsid w:val="007A77B7"/>
    <w:rPr>
      <w:rFonts w:ascii="Times New Roman" w:eastAsia="Times New Roman" w:hAnsi="Times New Roman"/>
      <w:lang w:val="en-IE" w:eastAsia="en-US"/>
    </w:rPr>
  </w:style>
  <w:style w:type="character" w:styleId="FootnoteReference">
    <w:name w:val="footnote reference"/>
    <w:semiHidden/>
    <w:rsid w:val="007A77B7"/>
    <w:rPr>
      <w:vertAlign w:val="superscript"/>
    </w:rPr>
  </w:style>
  <w:style w:type="character" w:styleId="Emphasis">
    <w:name w:val="Emphasis"/>
    <w:uiPriority w:val="20"/>
    <w:qFormat/>
    <w:rsid w:val="007C26DC"/>
    <w:rPr>
      <w:i/>
      <w:iCs/>
    </w:rPr>
  </w:style>
  <w:style w:type="paragraph" w:customStyle="1" w:styleId="body-paragraph">
    <w:name w:val="body-paragraph"/>
    <w:basedOn w:val="Normal"/>
    <w:rsid w:val="007C26DC"/>
    <w:pPr>
      <w:spacing w:before="100" w:beforeAutospacing="1" w:after="100" w:afterAutospacing="1"/>
    </w:pPr>
    <w:rPr>
      <w:lang w:eastAsia="zh-CN"/>
    </w:rPr>
  </w:style>
  <w:style w:type="table" w:customStyle="1" w:styleId="LightList1">
    <w:name w:val="Light List1"/>
    <w:basedOn w:val="TableNormal"/>
    <w:uiPriority w:val="61"/>
    <w:rsid w:val="001274D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1274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8">
    <w:name w:val="A8"/>
    <w:uiPriority w:val="99"/>
    <w:rsid w:val="00627B46"/>
    <w:rPr>
      <w:rFonts w:cs="Garamond MT W1G"/>
      <w:color w:val="000000"/>
    </w:rPr>
  </w:style>
  <w:style w:type="character" w:styleId="Hyperlink">
    <w:name w:val="Hyperlink"/>
    <w:uiPriority w:val="99"/>
    <w:unhideWhenUsed/>
    <w:rsid w:val="00B603FB"/>
    <w:rPr>
      <w:color w:val="0000FF"/>
      <w:u w:val="single"/>
    </w:rPr>
  </w:style>
  <w:style w:type="paragraph" w:customStyle="1" w:styleId="xl24">
    <w:name w:val="xl24"/>
    <w:basedOn w:val="Normal"/>
    <w:rsid w:val="008D6DA4"/>
    <w:pPr>
      <w:pBdr>
        <w:bottom w:val="single" w:sz="8" w:space="0" w:color="auto"/>
      </w:pBdr>
      <w:spacing w:before="100" w:beforeAutospacing="1" w:after="100" w:afterAutospacing="1"/>
    </w:pPr>
    <w:rPr>
      <w:lang w:val="en-IE" w:eastAsia="en-US"/>
    </w:rPr>
  </w:style>
  <w:style w:type="paragraph" w:styleId="BodyTextIndent2">
    <w:name w:val="Body Text Indent 2"/>
    <w:basedOn w:val="Normal"/>
    <w:link w:val="BodyTextIndent2Char"/>
    <w:uiPriority w:val="99"/>
    <w:unhideWhenUsed/>
    <w:rsid w:val="002B5E1B"/>
    <w:pPr>
      <w:spacing w:after="120" w:line="480" w:lineRule="auto"/>
      <w:ind w:left="283"/>
    </w:pPr>
    <w:rPr>
      <w:rFonts w:ascii="Calibri" w:eastAsia="Calibri" w:hAnsi="Calibri" w:cs="Arial"/>
      <w:sz w:val="22"/>
      <w:szCs w:val="22"/>
      <w:lang w:eastAsia="en-US"/>
    </w:rPr>
  </w:style>
  <w:style w:type="character" w:customStyle="1" w:styleId="BodyTextIndent2Char">
    <w:name w:val="Body Text Indent 2 Char"/>
    <w:basedOn w:val="DefaultParagraphFont"/>
    <w:link w:val="BodyTextIndent2"/>
    <w:uiPriority w:val="99"/>
    <w:rsid w:val="002B5E1B"/>
    <w:rPr>
      <w:rFonts w:cs="Arial"/>
      <w:sz w:val="22"/>
      <w:szCs w:val="22"/>
      <w:lang w:val="en-GB" w:eastAsia="en-US"/>
    </w:rPr>
  </w:style>
  <w:style w:type="paragraph" w:styleId="EndnoteText">
    <w:name w:val="endnote text"/>
    <w:basedOn w:val="Normal"/>
    <w:link w:val="EndnoteTextChar"/>
    <w:uiPriority w:val="99"/>
    <w:semiHidden/>
    <w:unhideWhenUsed/>
    <w:rsid w:val="000F523F"/>
    <w:rPr>
      <w:sz w:val="20"/>
      <w:szCs w:val="20"/>
    </w:rPr>
  </w:style>
  <w:style w:type="character" w:customStyle="1" w:styleId="EndnoteTextChar">
    <w:name w:val="Endnote Text Char"/>
    <w:basedOn w:val="DefaultParagraphFont"/>
    <w:link w:val="EndnoteText"/>
    <w:uiPriority w:val="99"/>
    <w:semiHidden/>
    <w:rsid w:val="000F523F"/>
    <w:rPr>
      <w:lang w:val="en-GB" w:eastAsia="en-US"/>
    </w:rPr>
  </w:style>
  <w:style w:type="character" w:styleId="EndnoteReference">
    <w:name w:val="endnote reference"/>
    <w:basedOn w:val="DefaultParagraphFont"/>
    <w:uiPriority w:val="99"/>
    <w:semiHidden/>
    <w:unhideWhenUsed/>
    <w:rsid w:val="000F523F"/>
    <w:rPr>
      <w:vertAlign w:val="superscript"/>
    </w:rPr>
  </w:style>
  <w:style w:type="character" w:styleId="FollowedHyperlink">
    <w:name w:val="FollowedHyperlink"/>
    <w:basedOn w:val="DefaultParagraphFont"/>
    <w:uiPriority w:val="99"/>
    <w:semiHidden/>
    <w:unhideWhenUsed/>
    <w:rsid w:val="001F2C0D"/>
    <w:rPr>
      <w:color w:val="800080" w:themeColor="followedHyperlink"/>
      <w:u w:val="single"/>
    </w:rPr>
  </w:style>
  <w:style w:type="character" w:customStyle="1" w:styleId="linebreaks">
    <w:name w:val="linebreaks"/>
    <w:rsid w:val="00090D46"/>
  </w:style>
  <w:style w:type="paragraph" w:customStyle="1" w:styleId="Pa32">
    <w:name w:val="Pa3+2"/>
    <w:basedOn w:val="Normal"/>
    <w:next w:val="Normal"/>
    <w:uiPriority w:val="99"/>
    <w:rsid w:val="00A87C1E"/>
    <w:pPr>
      <w:autoSpaceDE w:val="0"/>
      <w:autoSpaceDN w:val="0"/>
      <w:adjustRightInd w:val="0"/>
      <w:spacing w:line="181" w:lineRule="atLeast"/>
    </w:pPr>
    <w:rPr>
      <w:rFonts w:ascii="Foundry Sterling Book" w:eastAsia="Calibri" w:hAnsi="Foundry Sterling Book"/>
      <w:lang w:eastAsia="en-IE"/>
    </w:rPr>
  </w:style>
  <w:style w:type="character" w:styleId="CommentReference">
    <w:name w:val="annotation reference"/>
    <w:basedOn w:val="DefaultParagraphFont"/>
    <w:uiPriority w:val="99"/>
    <w:semiHidden/>
    <w:unhideWhenUsed/>
    <w:rsid w:val="00827C75"/>
    <w:rPr>
      <w:sz w:val="16"/>
      <w:szCs w:val="16"/>
    </w:rPr>
  </w:style>
  <w:style w:type="paragraph" w:styleId="CommentText">
    <w:name w:val="annotation text"/>
    <w:basedOn w:val="Normal"/>
    <w:link w:val="CommentTextChar"/>
    <w:uiPriority w:val="99"/>
    <w:semiHidden/>
    <w:unhideWhenUsed/>
    <w:rsid w:val="00827C75"/>
    <w:rPr>
      <w:sz w:val="20"/>
      <w:szCs w:val="20"/>
    </w:rPr>
  </w:style>
  <w:style w:type="character" w:customStyle="1" w:styleId="CommentTextChar">
    <w:name w:val="Comment Text Char"/>
    <w:basedOn w:val="DefaultParagraphFont"/>
    <w:link w:val="CommentText"/>
    <w:uiPriority w:val="99"/>
    <w:semiHidden/>
    <w:rsid w:val="00827C75"/>
    <w:rPr>
      <w:lang w:val="en-GB" w:eastAsia="en-US"/>
    </w:rPr>
  </w:style>
  <w:style w:type="paragraph" w:styleId="CommentSubject">
    <w:name w:val="annotation subject"/>
    <w:basedOn w:val="CommentText"/>
    <w:next w:val="CommentText"/>
    <w:link w:val="CommentSubjectChar"/>
    <w:uiPriority w:val="99"/>
    <w:semiHidden/>
    <w:unhideWhenUsed/>
    <w:rsid w:val="00827C75"/>
    <w:rPr>
      <w:b/>
      <w:bCs/>
    </w:rPr>
  </w:style>
  <w:style w:type="character" w:customStyle="1" w:styleId="CommentSubjectChar">
    <w:name w:val="Comment Subject Char"/>
    <w:basedOn w:val="CommentTextChar"/>
    <w:link w:val="CommentSubject"/>
    <w:uiPriority w:val="99"/>
    <w:semiHidden/>
    <w:rsid w:val="00827C75"/>
    <w:rPr>
      <w:b/>
      <w:bCs/>
      <w:lang w:val="en-GB" w:eastAsia="en-US"/>
    </w:rPr>
  </w:style>
  <w:style w:type="character" w:customStyle="1" w:styleId="Heading3Char">
    <w:name w:val="Heading 3 Char"/>
    <w:basedOn w:val="DefaultParagraphFont"/>
    <w:link w:val="Heading3"/>
    <w:uiPriority w:val="9"/>
    <w:rsid w:val="001D058A"/>
    <w:rPr>
      <w:rFonts w:ascii="Times New Roman" w:eastAsia="Times New Roman" w:hAnsi="Times New Roman"/>
      <w:b/>
      <w:bCs/>
      <w:sz w:val="27"/>
      <w:szCs w:val="27"/>
      <w:lang w:val="en-GB" w:eastAsia="en-GB"/>
    </w:rPr>
  </w:style>
  <w:style w:type="character" w:customStyle="1" w:styleId="apple-converted-space">
    <w:name w:val="apple-converted-space"/>
    <w:basedOn w:val="DefaultParagraphFont"/>
    <w:rsid w:val="00A37510"/>
  </w:style>
  <w:style w:type="character" w:styleId="Strong">
    <w:name w:val="Strong"/>
    <w:basedOn w:val="DefaultParagraphFont"/>
    <w:uiPriority w:val="22"/>
    <w:qFormat/>
    <w:rsid w:val="00A37510"/>
    <w:rPr>
      <w:b/>
      <w:bCs/>
    </w:rPr>
  </w:style>
  <w:style w:type="character" w:customStyle="1" w:styleId="hit">
    <w:name w:val="hit"/>
    <w:basedOn w:val="DefaultParagraphFont"/>
    <w:rsid w:val="00F84B31"/>
  </w:style>
  <w:style w:type="character" w:customStyle="1" w:styleId="ssl0">
    <w:name w:val="ss_l0"/>
    <w:basedOn w:val="DefaultParagraphFont"/>
    <w:rsid w:val="00F84B31"/>
  </w:style>
  <w:style w:type="character" w:customStyle="1" w:styleId="titleauthoretc">
    <w:name w:val="titleauthoretc"/>
    <w:basedOn w:val="DefaultParagraphFont"/>
    <w:rsid w:val="0091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709">
      <w:bodyDiv w:val="1"/>
      <w:marLeft w:val="0"/>
      <w:marRight w:val="0"/>
      <w:marTop w:val="0"/>
      <w:marBottom w:val="0"/>
      <w:divBdr>
        <w:top w:val="none" w:sz="0" w:space="0" w:color="auto"/>
        <w:left w:val="none" w:sz="0" w:space="0" w:color="auto"/>
        <w:bottom w:val="none" w:sz="0" w:space="0" w:color="auto"/>
        <w:right w:val="none" w:sz="0" w:space="0" w:color="auto"/>
      </w:divBdr>
      <w:divsChild>
        <w:div w:id="411582792">
          <w:marLeft w:val="0"/>
          <w:marRight w:val="0"/>
          <w:marTop w:val="0"/>
          <w:marBottom w:val="0"/>
          <w:divBdr>
            <w:top w:val="none" w:sz="0" w:space="0" w:color="auto"/>
            <w:left w:val="none" w:sz="0" w:space="0" w:color="auto"/>
            <w:bottom w:val="none" w:sz="0" w:space="0" w:color="auto"/>
            <w:right w:val="none" w:sz="0" w:space="0" w:color="auto"/>
          </w:divBdr>
          <w:divsChild>
            <w:div w:id="1958097467">
              <w:marLeft w:val="0"/>
              <w:marRight w:val="0"/>
              <w:marTop w:val="0"/>
              <w:marBottom w:val="0"/>
              <w:divBdr>
                <w:top w:val="none" w:sz="0" w:space="0" w:color="auto"/>
                <w:left w:val="none" w:sz="0" w:space="0" w:color="auto"/>
                <w:bottom w:val="none" w:sz="0" w:space="0" w:color="auto"/>
                <w:right w:val="none" w:sz="0" w:space="0" w:color="auto"/>
              </w:divBdr>
              <w:divsChild>
                <w:div w:id="1284071327">
                  <w:marLeft w:val="0"/>
                  <w:marRight w:val="0"/>
                  <w:marTop w:val="0"/>
                  <w:marBottom w:val="0"/>
                  <w:divBdr>
                    <w:top w:val="none" w:sz="0" w:space="0" w:color="auto"/>
                    <w:left w:val="none" w:sz="0" w:space="0" w:color="auto"/>
                    <w:bottom w:val="none" w:sz="0" w:space="0" w:color="auto"/>
                    <w:right w:val="none" w:sz="0" w:space="0" w:color="auto"/>
                  </w:divBdr>
                  <w:divsChild>
                    <w:div w:id="757215401">
                      <w:marLeft w:val="0"/>
                      <w:marRight w:val="0"/>
                      <w:marTop w:val="0"/>
                      <w:marBottom w:val="0"/>
                      <w:divBdr>
                        <w:top w:val="none" w:sz="0" w:space="0" w:color="auto"/>
                        <w:left w:val="none" w:sz="0" w:space="0" w:color="auto"/>
                        <w:bottom w:val="none" w:sz="0" w:space="0" w:color="auto"/>
                        <w:right w:val="none" w:sz="0" w:space="0" w:color="auto"/>
                      </w:divBdr>
                      <w:divsChild>
                        <w:div w:id="94176684">
                          <w:marLeft w:val="0"/>
                          <w:marRight w:val="0"/>
                          <w:marTop w:val="0"/>
                          <w:marBottom w:val="0"/>
                          <w:divBdr>
                            <w:top w:val="none" w:sz="0" w:space="0" w:color="auto"/>
                            <w:left w:val="none" w:sz="0" w:space="0" w:color="auto"/>
                            <w:bottom w:val="none" w:sz="0" w:space="0" w:color="auto"/>
                            <w:right w:val="none" w:sz="0" w:space="0" w:color="auto"/>
                          </w:divBdr>
                          <w:divsChild>
                            <w:div w:id="8959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66584">
      <w:bodyDiv w:val="1"/>
      <w:marLeft w:val="0"/>
      <w:marRight w:val="0"/>
      <w:marTop w:val="0"/>
      <w:marBottom w:val="0"/>
      <w:divBdr>
        <w:top w:val="none" w:sz="0" w:space="0" w:color="auto"/>
        <w:left w:val="none" w:sz="0" w:space="0" w:color="auto"/>
        <w:bottom w:val="none" w:sz="0" w:space="0" w:color="auto"/>
        <w:right w:val="none" w:sz="0" w:space="0" w:color="auto"/>
      </w:divBdr>
      <w:divsChild>
        <w:div w:id="2140299711">
          <w:marLeft w:val="0"/>
          <w:marRight w:val="0"/>
          <w:marTop w:val="0"/>
          <w:marBottom w:val="0"/>
          <w:divBdr>
            <w:top w:val="none" w:sz="0" w:space="0" w:color="auto"/>
            <w:left w:val="none" w:sz="0" w:space="0" w:color="auto"/>
            <w:bottom w:val="none" w:sz="0" w:space="0" w:color="auto"/>
            <w:right w:val="none" w:sz="0" w:space="0" w:color="auto"/>
          </w:divBdr>
          <w:divsChild>
            <w:div w:id="322010961">
              <w:marLeft w:val="0"/>
              <w:marRight w:val="0"/>
              <w:marTop w:val="0"/>
              <w:marBottom w:val="0"/>
              <w:divBdr>
                <w:top w:val="none" w:sz="0" w:space="0" w:color="auto"/>
                <w:left w:val="none" w:sz="0" w:space="0" w:color="auto"/>
                <w:bottom w:val="none" w:sz="0" w:space="0" w:color="auto"/>
                <w:right w:val="none" w:sz="0" w:space="0" w:color="auto"/>
              </w:divBdr>
              <w:divsChild>
                <w:div w:id="707686462">
                  <w:marLeft w:val="0"/>
                  <w:marRight w:val="0"/>
                  <w:marTop w:val="0"/>
                  <w:marBottom w:val="0"/>
                  <w:divBdr>
                    <w:top w:val="single" w:sz="6" w:space="0" w:color="BFCCD5"/>
                    <w:left w:val="none" w:sz="0" w:space="0" w:color="auto"/>
                    <w:bottom w:val="none" w:sz="0" w:space="0" w:color="auto"/>
                    <w:right w:val="none" w:sz="0" w:space="0" w:color="auto"/>
                  </w:divBdr>
                  <w:divsChild>
                    <w:div w:id="8123335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3158">
      <w:bodyDiv w:val="1"/>
      <w:marLeft w:val="0"/>
      <w:marRight w:val="0"/>
      <w:marTop w:val="0"/>
      <w:marBottom w:val="0"/>
      <w:divBdr>
        <w:top w:val="none" w:sz="0" w:space="0" w:color="auto"/>
        <w:left w:val="none" w:sz="0" w:space="0" w:color="auto"/>
        <w:bottom w:val="none" w:sz="0" w:space="0" w:color="auto"/>
        <w:right w:val="none" w:sz="0" w:space="0" w:color="auto"/>
      </w:divBdr>
    </w:div>
    <w:div w:id="420031055">
      <w:bodyDiv w:val="1"/>
      <w:marLeft w:val="0"/>
      <w:marRight w:val="0"/>
      <w:marTop w:val="0"/>
      <w:marBottom w:val="0"/>
      <w:divBdr>
        <w:top w:val="none" w:sz="0" w:space="0" w:color="auto"/>
        <w:left w:val="none" w:sz="0" w:space="0" w:color="auto"/>
        <w:bottom w:val="none" w:sz="0" w:space="0" w:color="auto"/>
        <w:right w:val="none" w:sz="0" w:space="0" w:color="auto"/>
      </w:divBdr>
      <w:divsChild>
        <w:div w:id="149444007">
          <w:marLeft w:val="0"/>
          <w:marRight w:val="0"/>
          <w:marTop w:val="0"/>
          <w:marBottom w:val="0"/>
          <w:divBdr>
            <w:top w:val="none" w:sz="0" w:space="0" w:color="auto"/>
            <w:left w:val="none" w:sz="0" w:space="0" w:color="auto"/>
            <w:bottom w:val="none" w:sz="0" w:space="0" w:color="auto"/>
            <w:right w:val="none" w:sz="0" w:space="0" w:color="auto"/>
          </w:divBdr>
          <w:divsChild>
            <w:div w:id="651519263">
              <w:marLeft w:val="0"/>
              <w:marRight w:val="0"/>
              <w:marTop w:val="0"/>
              <w:marBottom w:val="0"/>
              <w:divBdr>
                <w:top w:val="none" w:sz="0" w:space="0" w:color="auto"/>
                <w:left w:val="none" w:sz="0" w:space="0" w:color="auto"/>
                <w:bottom w:val="none" w:sz="0" w:space="0" w:color="auto"/>
                <w:right w:val="none" w:sz="0" w:space="0" w:color="auto"/>
              </w:divBdr>
              <w:divsChild>
                <w:div w:id="648902859">
                  <w:marLeft w:val="0"/>
                  <w:marRight w:val="0"/>
                  <w:marTop w:val="0"/>
                  <w:marBottom w:val="0"/>
                  <w:divBdr>
                    <w:top w:val="none" w:sz="0" w:space="0" w:color="auto"/>
                    <w:left w:val="none" w:sz="0" w:space="0" w:color="auto"/>
                    <w:bottom w:val="none" w:sz="0" w:space="0" w:color="auto"/>
                    <w:right w:val="none" w:sz="0" w:space="0" w:color="auto"/>
                  </w:divBdr>
                  <w:divsChild>
                    <w:div w:id="1873570851">
                      <w:marLeft w:val="0"/>
                      <w:marRight w:val="0"/>
                      <w:marTop w:val="0"/>
                      <w:marBottom w:val="0"/>
                      <w:divBdr>
                        <w:top w:val="none" w:sz="0" w:space="0" w:color="auto"/>
                        <w:left w:val="none" w:sz="0" w:space="0" w:color="auto"/>
                        <w:bottom w:val="none" w:sz="0" w:space="0" w:color="auto"/>
                        <w:right w:val="none" w:sz="0" w:space="0" w:color="auto"/>
                      </w:divBdr>
                      <w:divsChild>
                        <w:div w:id="796994669">
                          <w:marLeft w:val="0"/>
                          <w:marRight w:val="0"/>
                          <w:marTop w:val="0"/>
                          <w:marBottom w:val="0"/>
                          <w:divBdr>
                            <w:top w:val="none" w:sz="0" w:space="0" w:color="auto"/>
                            <w:left w:val="none" w:sz="0" w:space="0" w:color="auto"/>
                            <w:bottom w:val="none" w:sz="0" w:space="0" w:color="auto"/>
                            <w:right w:val="none" w:sz="0" w:space="0" w:color="auto"/>
                          </w:divBdr>
                          <w:divsChild>
                            <w:div w:id="147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67443">
      <w:bodyDiv w:val="1"/>
      <w:marLeft w:val="0"/>
      <w:marRight w:val="0"/>
      <w:marTop w:val="0"/>
      <w:marBottom w:val="0"/>
      <w:divBdr>
        <w:top w:val="none" w:sz="0" w:space="0" w:color="auto"/>
        <w:left w:val="none" w:sz="0" w:space="0" w:color="auto"/>
        <w:bottom w:val="none" w:sz="0" w:space="0" w:color="auto"/>
        <w:right w:val="none" w:sz="0" w:space="0" w:color="auto"/>
      </w:divBdr>
    </w:div>
    <w:div w:id="824126513">
      <w:bodyDiv w:val="1"/>
      <w:marLeft w:val="0"/>
      <w:marRight w:val="0"/>
      <w:marTop w:val="0"/>
      <w:marBottom w:val="0"/>
      <w:divBdr>
        <w:top w:val="none" w:sz="0" w:space="0" w:color="auto"/>
        <w:left w:val="none" w:sz="0" w:space="0" w:color="auto"/>
        <w:bottom w:val="none" w:sz="0" w:space="0" w:color="auto"/>
        <w:right w:val="none" w:sz="0" w:space="0" w:color="auto"/>
      </w:divBdr>
    </w:div>
    <w:div w:id="852110079">
      <w:bodyDiv w:val="1"/>
      <w:marLeft w:val="0"/>
      <w:marRight w:val="0"/>
      <w:marTop w:val="0"/>
      <w:marBottom w:val="0"/>
      <w:divBdr>
        <w:top w:val="none" w:sz="0" w:space="0" w:color="auto"/>
        <w:left w:val="none" w:sz="0" w:space="0" w:color="auto"/>
        <w:bottom w:val="none" w:sz="0" w:space="0" w:color="auto"/>
        <w:right w:val="none" w:sz="0" w:space="0" w:color="auto"/>
      </w:divBdr>
    </w:div>
    <w:div w:id="986084559">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06357464">
      <w:bodyDiv w:val="1"/>
      <w:marLeft w:val="0"/>
      <w:marRight w:val="0"/>
      <w:marTop w:val="0"/>
      <w:marBottom w:val="0"/>
      <w:divBdr>
        <w:top w:val="none" w:sz="0" w:space="0" w:color="auto"/>
        <w:left w:val="none" w:sz="0" w:space="0" w:color="auto"/>
        <w:bottom w:val="none" w:sz="0" w:space="0" w:color="auto"/>
        <w:right w:val="none" w:sz="0" w:space="0" w:color="auto"/>
      </w:divBdr>
    </w:div>
    <w:div w:id="1388844354">
      <w:bodyDiv w:val="1"/>
      <w:marLeft w:val="0"/>
      <w:marRight w:val="0"/>
      <w:marTop w:val="0"/>
      <w:marBottom w:val="0"/>
      <w:divBdr>
        <w:top w:val="none" w:sz="0" w:space="0" w:color="auto"/>
        <w:left w:val="none" w:sz="0" w:space="0" w:color="auto"/>
        <w:bottom w:val="none" w:sz="0" w:space="0" w:color="auto"/>
        <w:right w:val="none" w:sz="0" w:space="0" w:color="auto"/>
      </w:divBdr>
      <w:divsChild>
        <w:div w:id="1671910168">
          <w:marLeft w:val="0"/>
          <w:marRight w:val="0"/>
          <w:marTop w:val="0"/>
          <w:marBottom w:val="0"/>
          <w:divBdr>
            <w:top w:val="none" w:sz="0" w:space="0" w:color="auto"/>
            <w:left w:val="none" w:sz="0" w:space="0" w:color="auto"/>
            <w:bottom w:val="none" w:sz="0" w:space="0" w:color="auto"/>
            <w:right w:val="none" w:sz="0" w:space="0" w:color="auto"/>
          </w:divBdr>
          <w:divsChild>
            <w:div w:id="68432195">
              <w:marLeft w:val="0"/>
              <w:marRight w:val="0"/>
              <w:marTop w:val="0"/>
              <w:marBottom w:val="0"/>
              <w:divBdr>
                <w:top w:val="none" w:sz="0" w:space="0" w:color="auto"/>
                <w:left w:val="none" w:sz="0" w:space="0" w:color="auto"/>
                <w:bottom w:val="none" w:sz="0" w:space="0" w:color="auto"/>
                <w:right w:val="none" w:sz="0" w:space="0" w:color="auto"/>
              </w:divBdr>
              <w:divsChild>
                <w:div w:id="1702509162">
                  <w:marLeft w:val="0"/>
                  <w:marRight w:val="0"/>
                  <w:marTop w:val="0"/>
                  <w:marBottom w:val="0"/>
                  <w:divBdr>
                    <w:top w:val="none" w:sz="0" w:space="0" w:color="auto"/>
                    <w:left w:val="none" w:sz="0" w:space="0" w:color="auto"/>
                    <w:bottom w:val="none" w:sz="0" w:space="0" w:color="auto"/>
                    <w:right w:val="none" w:sz="0" w:space="0" w:color="auto"/>
                  </w:divBdr>
                  <w:divsChild>
                    <w:div w:id="563419827">
                      <w:marLeft w:val="0"/>
                      <w:marRight w:val="0"/>
                      <w:marTop w:val="0"/>
                      <w:marBottom w:val="0"/>
                      <w:divBdr>
                        <w:top w:val="none" w:sz="0" w:space="0" w:color="auto"/>
                        <w:left w:val="none" w:sz="0" w:space="0" w:color="auto"/>
                        <w:bottom w:val="none" w:sz="0" w:space="0" w:color="auto"/>
                        <w:right w:val="none" w:sz="0" w:space="0" w:color="auto"/>
                      </w:divBdr>
                      <w:divsChild>
                        <w:div w:id="268049017">
                          <w:marLeft w:val="0"/>
                          <w:marRight w:val="0"/>
                          <w:marTop w:val="0"/>
                          <w:marBottom w:val="0"/>
                          <w:divBdr>
                            <w:top w:val="none" w:sz="0" w:space="0" w:color="auto"/>
                            <w:left w:val="none" w:sz="0" w:space="0" w:color="auto"/>
                            <w:bottom w:val="none" w:sz="0" w:space="0" w:color="auto"/>
                            <w:right w:val="none" w:sz="0" w:space="0" w:color="auto"/>
                          </w:divBdr>
                          <w:divsChild>
                            <w:div w:id="760643108">
                              <w:marLeft w:val="0"/>
                              <w:marRight w:val="0"/>
                              <w:marTop w:val="0"/>
                              <w:marBottom w:val="0"/>
                              <w:divBdr>
                                <w:top w:val="none" w:sz="0" w:space="0" w:color="auto"/>
                                <w:left w:val="none" w:sz="0" w:space="0" w:color="auto"/>
                                <w:bottom w:val="none" w:sz="0" w:space="0" w:color="auto"/>
                                <w:right w:val="none" w:sz="0" w:space="0" w:color="auto"/>
                              </w:divBdr>
                            </w:div>
                            <w:div w:id="848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17458">
      <w:bodyDiv w:val="1"/>
      <w:marLeft w:val="0"/>
      <w:marRight w:val="0"/>
      <w:marTop w:val="0"/>
      <w:marBottom w:val="0"/>
      <w:divBdr>
        <w:top w:val="none" w:sz="0" w:space="0" w:color="auto"/>
        <w:left w:val="none" w:sz="0" w:space="0" w:color="auto"/>
        <w:bottom w:val="none" w:sz="0" w:space="0" w:color="auto"/>
        <w:right w:val="none" w:sz="0" w:space="0" w:color="auto"/>
      </w:divBdr>
    </w:div>
    <w:div w:id="1465006397">
      <w:bodyDiv w:val="1"/>
      <w:marLeft w:val="0"/>
      <w:marRight w:val="0"/>
      <w:marTop w:val="0"/>
      <w:marBottom w:val="0"/>
      <w:divBdr>
        <w:top w:val="none" w:sz="0" w:space="0" w:color="auto"/>
        <w:left w:val="none" w:sz="0" w:space="0" w:color="auto"/>
        <w:bottom w:val="none" w:sz="0" w:space="0" w:color="auto"/>
        <w:right w:val="none" w:sz="0" w:space="0" w:color="auto"/>
      </w:divBdr>
    </w:div>
    <w:div w:id="1554194724">
      <w:bodyDiv w:val="1"/>
      <w:marLeft w:val="0"/>
      <w:marRight w:val="0"/>
      <w:marTop w:val="0"/>
      <w:marBottom w:val="0"/>
      <w:divBdr>
        <w:top w:val="none" w:sz="0" w:space="0" w:color="auto"/>
        <w:left w:val="none" w:sz="0" w:space="0" w:color="auto"/>
        <w:bottom w:val="none" w:sz="0" w:space="0" w:color="auto"/>
        <w:right w:val="none" w:sz="0" w:space="0" w:color="auto"/>
      </w:divBdr>
    </w:div>
    <w:div w:id="1597861251">
      <w:bodyDiv w:val="1"/>
      <w:marLeft w:val="0"/>
      <w:marRight w:val="0"/>
      <w:marTop w:val="0"/>
      <w:marBottom w:val="0"/>
      <w:divBdr>
        <w:top w:val="none" w:sz="0" w:space="0" w:color="auto"/>
        <w:left w:val="none" w:sz="0" w:space="0" w:color="auto"/>
        <w:bottom w:val="none" w:sz="0" w:space="0" w:color="auto"/>
        <w:right w:val="none" w:sz="0" w:space="0" w:color="auto"/>
      </w:divBdr>
    </w:div>
    <w:div w:id="1701276013">
      <w:bodyDiv w:val="1"/>
      <w:marLeft w:val="0"/>
      <w:marRight w:val="0"/>
      <w:marTop w:val="0"/>
      <w:marBottom w:val="0"/>
      <w:divBdr>
        <w:top w:val="none" w:sz="0" w:space="0" w:color="auto"/>
        <w:left w:val="none" w:sz="0" w:space="0" w:color="auto"/>
        <w:bottom w:val="none" w:sz="0" w:space="0" w:color="auto"/>
        <w:right w:val="none" w:sz="0" w:space="0" w:color="auto"/>
      </w:divBdr>
    </w:div>
    <w:div w:id="1904674767">
      <w:bodyDiv w:val="1"/>
      <w:marLeft w:val="0"/>
      <w:marRight w:val="0"/>
      <w:marTop w:val="0"/>
      <w:marBottom w:val="0"/>
      <w:divBdr>
        <w:top w:val="none" w:sz="0" w:space="0" w:color="auto"/>
        <w:left w:val="none" w:sz="0" w:space="0" w:color="auto"/>
        <w:bottom w:val="none" w:sz="0" w:space="0" w:color="auto"/>
        <w:right w:val="none" w:sz="0" w:space="0" w:color="auto"/>
      </w:divBdr>
    </w:div>
    <w:div w:id="1958220017">
      <w:bodyDiv w:val="1"/>
      <w:marLeft w:val="0"/>
      <w:marRight w:val="0"/>
      <w:marTop w:val="0"/>
      <w:marBottom w:val="0"/>
      <w:divBdr>
        <w:top w:val="none" w:sz="0" w:space="0" w:color="auto"/>
        <w:left w:val="none" w:sz="0" w:space="0" w:color="auto"/>
        <w:bottom w:val="none" w:sz="0" w:space="0" w:color="auto"/>
        <w:right w:val="none" w:sz="0" w:space="0" w:color="auto"/>
      </w:divBdr>
    </w:div>
    <w:div w:id="2049335589">
      <w:bodyDiv w:val="1"/>
      <w:marLeft w:val="0"/>
      <w:marRight w:val="0"/>
      <w:marTop w:val="0"/>
      <w:marBottom w:val="0"/>
      <w:divBdr>
        <w:top w:val="none" w:sz="0" w:space="0" w:color="auto"/>
        <w:left w:val="none" w:sz="0" w:space="0" w:color="auto"/>
        <w:bottom w:val="none" w:sz="0" w:space="0" w:color="auto"/>
        <w:right w:val="none" w:sz="0" w:space="0" w:color="auto"/>
      </w:divBdr>
    </w:div>
    <w:div w:id="2095777298">
      <w:bodyDiv w:val="1"/>
      <w:marLeft w:val="0"/>
      <w:marRight w:val="0"/>
      <w:marTop w:val="0"/>
      <w:marBottom w:val="0"/>
      <w:divBdr>
        <w:top w:val="none" w:sz="0" w:space="0" w:color="auto"/>
        <w:left w:val="none" w:sz="0" w:space="0" w:color="auto"/>
        <w:bottom w:val="none" w:sz="0" w:space="0" w:color="auto"/>
        <w:right w:val="none" w:sz="0" w:space="0" w:color="auto"/>
      </w:divBdr>
    </w:div>
    <w:div w:id="2098280030">
      <w:bodyDiv w:val="1"/>
      <w:marLeft w:val="0"/>
      <w:marRight w:val="0"/>
      <w:marTop w:val="0"/>
      <w:marBottom w:val="0"/>
      <w:divBdr>
        <w:top w:val="none" w:sz="0" w:space="0" w:color="auto"/>
        <w:left w:val="none" w:sz="0" w:space="0" w:color="auto"/>
        <w:bottom w:val="none" w:sz="0" w:space="0" w:color="auto"/>
        <w:right w:val="none" w:sz="0" w:space="0" w:color="auto"/>
      </w:divBdr>
      <w:divsChild>
        <w:div w:id="1377586715">
          <w:marLeft w:val="0"/>
          <w:marRight w:val="0"/>
          <w:marTop w:val="0"/>
          <w:marBottom w:val="0"/>
          <w:divBdr>
            <w:top w:val="none" w:sz="0" w:space="0" w:color="auto"/>
            <w:left w:val="none" w:sz="0" w:space="0" w:color="auto"/>
            <w:bottom w:val="none" w:sz="0" w:space="0" w:color="auto"/>
            <w:right w:val="none" w:sz="0" w:space="0" w:color="auto"/>
          </w:divBdr>
          <w:divsChild>
            <w:div w:id="1854345679">
              <w:marLeft w:val="0"/>
              <w:marRight w:val="0"/>
              <w:marTop w:val="0"/>
              <w:marBottom w:val="0"/>
              <w:divBdr>
                <w:top w:val="none" w:sz="0" w:space="0" w:color="auto"/>
                <w:left w:val="none" w:sz="0" w:space="0" w:color="auto"/>
                <w:bottom w:val="none" w:sz="0" w:space="0" w:color="auto"/>
                <w:right w:val="none" w:sz="0" w:space="0" w:color="auto"/>
              </w:divBdr>
              <w:divsChild>
                <w:div w:id="1506745826">
                  <w:marLeft w:val="0"/>
                  <w:marRight w:val="0"/>
                  <w:marTop w:val="0"/>
                  <w:marBottom w:val="0"/>
                  <w:divBdr>
                    <w:top w:val="none" w:sz="0" w:space="0" w:color="auto"/>
                    <w:left w:val="none" w:sz="0" w:space="0" w:color="auto"/>
                    <w:bottom w:val="none" w:sz="0" w:space="0" w:color="auto"/>
                    <w:right w:val="none" w:sz="0" w:space="0" w:color="auto"/>
                  </w:divBdr>
                  <w:divsChild>
                    <w:div w:id="1862010846">
                      <w:marLeft w:val="0"/>
                      <w:marRight w:val="0"/>
                      <w:marTop w:val="0"/>
                      <w:marBottom w:val="0"/>
                      <w:divBdr>
                        <w:top w:val="none" w:sz="0" w:space="0" w:color="auto"/>
                        <w:left w:val="none" w:sz="0" w:space="0" w:color="auto"/>
                        <w:bottom w:val="none" w:sz="0" w:space="0" w:color="auto"/>
                        <w:right w:val="none" w:sz="0" w:space="0" w:color="auto"/>
                      </w:divBdr>
                      <w:divsChild>
                        <w:div w:id="1977487227">
                          <w:marLeft w:val="0"/>
                          <w:marRight w:val="0"/>
                          <w:marTop w:val="0"/>
                          <w:marBottom w:val="0"/>
                          <w:divBdr>
                            <w:top w:val="none" w:sz="0" w:space="0" w:color="auto"/>
                            <w:left w:val="none" w:sz="0" w:space="0" w:color="auto"/>
                            <w:bottom w:val="none" w:sz="0" w:space="0" w:color="auto"/>
                            <w:right w:val="none" w:sz="0" w:space="0" w:color="auto"/>
                          </w:divBdr>
                          <w:divsChild>
                            <w:div w:id="287247762">
                              <w:marLeft w:val="0"/>
                              <w:marRight w:val="0"/>
                              <w:marTop w:val="0"/>
                              <w:marBottom w:val="0"/>
                              <w:divBdr>
                                <w:top w:val="none" w:sz="0" w:space="0" w:color="auto"/>
                                <w:left w:val="none" w:sz="0" w:space="0" w:color="auto"/>
                                <w:bottom w:val="none" w:sz="0" w:space="0" w:color="auto"/>
                                <w:right w:val="none" w:sz="0" w:space="0" w:color="auto"/>
                              </w:divBdr>
                            </w:div>
                            <w:div w:id="4404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nkofengland.co.uk/publications/Documents/speeches/2012/speech596.pdf" TargetMode="External"/><Relationship Id="rId18" Type="http://schemas.openxmlformats.org/officeDocument/2006/relationships/hyperlink" Target="https://www.ft.com/content/33ec6b3e-9099-11e2-a456-00144feabd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areonline.net/getvn.asp?v=7&amp;n=17" TargetMode="External"/><Relationship Id="rId2" Type="http://schemas.openxmlformats.org/officeDocument/2006/relationships/numbering" Target="numbering.xml"/><Relationship Id="rId16" Type="http://schemas.openxmlformats.org/officeDocument/2006/relationships/hyperlink" Target="https://www.cbr.cam.ac.uk/fileadmin/user_upload/centre-for-business-research/downloads/working-papers/wp43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yperlink" Target="https://en.oxforddictionaries.com/definition/sophistry"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ngroup.com/articles/web-writing-show-numbers-as-num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B481-111B-4319-ADCC-90ACB374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18659</Words>
  <Characters>106362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124772</CharactersWithSpaces>
  <SharedDoc>false</SharedDoc>
  <HLinks>
    <vt:vector size="6" baseType="variant">
      <vt:variant>
        <vt:i4>5308491</vt:i4>
      </vt:variant>
      <vt:variant>
        <vt:i4>0</vt:i4>
      </vt:variant>
      <vt:variant>
        <vt:i4>0</vt:i4>
      </vt:variant>
      <vt:variant>
        <vt:i4>5</vt:i4>
      </vt:variant>
      <vt:variant>
        <vt:lpwstr>http://www.frc.org.uk/Our-Work/Publications/Corporate-Governance/Review-of-the-effectiveness-of-the-Combined-Code-C/Responses-to-March-consultation-on-the-2009-Review/Boatman,-Timothy.aspx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fnps2</dc:creator>
  <cp:keywords/>
  <dc:description/>
  <cp:lastModifiedBy>Philip Shrives</cp:lastModifiedBy>
  <cp:revision>3</cp:revision>
  <cp:lastPrinted>2017-04-05T10:40:00Z</cp:lastPrinted>
  <dcterms:created xsi:type="dcterms:W3CDTF">2017-08-16T10:27:00Z</dcterms:created>
  <dcterms:modified xsi:type="dcterms:W3CDTF">2017-08-16T10:30:00Z</dcterms:modified>
</cp:coreProperties>
</file>