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86B" w:rsidRPr="00F65341" w:rsidRDefault="00EA7DEA" w:rsidP="001D05D3">
      <w:pPr>
        <w:spacing w:after="120" w:line="280" w:lineRule="exact"/>
        <w:ind w:left="0"/>
        <w:rPr>
          <w:sz w:val="21"/>
          <w:szCs w:val="21"/>
        </w:rPr>
      </w:pPr>
      <w:r w:rsidRPr="00F65341">
        <w:rPr>
          <w:sz w:val="21"/>
          <w:szCs w:val="21"/>
        </w:rPr>
        <w:t>‘A CRITICAL GAP’: ADDRESSING THE RELIABILITY OF FORENSIC SCIENCE EVIDENCE</w:t>
      </w:r>
    </w:p>
    <w:p w:rsidR="002B587D" w:rsidRPr="00F65341" w:rsidRDefault="00EA7DEA" w:rsidP="001D05D3">
      <w:pPr>
        <w:spacing w:after="240" w:line="280" w:lineRule="exact"/>
        <w:ind w:left="0"/>
        <w:rPr>
          <w:b w:val="0"/>
          <w:sz w:val="21"/>
          <w:szCs w:val="21"/>
        </w:rPr>
      </w:pPr>
      <w:r w:rsidRPr="00F65341">
        <w:rPr>
          <w:b w:val="0"/>
          <w:sz w:val="21"/>
          <w:szCs w:val="21"/>
        </w:rPr>
        <w:t>Tony Ward and Natalie Wortley, Northumbria University</w:t>
      </w:r>
    </w:p>
    <w:p w:rsidR="00EA7DEA" w:rsidRPr="00F65341" w:rsidRDefault="00EA7DEA" w:rsidP="001D05D3">
      <w:pPr>
        <w:pStyle w:val="ListParagraph"/>
        <w:numPr>
          <w:ilvl w:val="0"/>
          <w:numId w:val="1"/>
        </w:numPr>
        <w:spacing w:after="0" w:line="280" w:lineRule="exact"/>
        <w:ind w:left="426" w:hanging="426"/>
        <w:rPr>
          <w:sz w:val="21"/>
          <w:szCs w:val="21"/>
        </w:rPr>
      </w:pPr>
      <w:r w:rsidRPr="00F65341">
        <w:rPr>
          <w:sz w:val="21"/>
          <w:szCs w:val="21"/>
        </w:rPr>
        <w:t>Two US Reports</w:t>
      </w:r>
    </w:p>
    <w:p w:rsidR="00EA7DEA" w:rsidRPr="00F65341" w:rsidRDefault="001F25C5" w:rsidP="001D05D3">
      <w:pPr>
        <w:pStyle w:val="ListParagraph"/>
        <w:numPr>
          <w:ilvl w:val="1"/>
          <w:numId w:val="1"/>
        </w:numPr>
        <w:spacing w:after="0" w:line="280" w:lineRule="exact"/>
        <w:ind w:left="851" w:hanging="425"/>
        <w:rPr>
          <w:b w:val="0"/>
          <w:sz w:val="21"/>
          <w:szCs w:val="21"/>
        </w:rPr>
      </w:pPr>
      <w:r>
        <w:rPr>
          <w:sz w:val="21"/>
          <w:szCs w:val="21"/>
        </w:rPr>
        <w:t>National Research Council</w:t>
      </w:r>
      <w:r w:rsidR="00DF598E" w:rsidRPr="00F65341">
        <w:rPr>
          <w:sz w:val="21"/>
          <w:szCs w:val="21"/>
        </w:rPr>
        <w:t xml:space="preserve"> (2009</w:t>
      </w:r>
      <w:r w:rsidR="00DF598E" w:rsidRPr="00F65341">
        <w:rPr>
          <w:b w:val="0"/>
          <w:sz w:val="21"/>
          <w:szCs w:val="21"/>
        </w:rPr>
        <w:t>) – pointed to lack of research to prove validity of many forensic disciplines</w:t>
      </w:r>
    </w:p>
    <w:p w:rsidR="002B587D" w:rsidRPr="00F65341" w:rsidRDefault="00DF598E" w:rsidP="001D05D3">
      <w:pPr>
        <w:pStyle w:val="ListParagraph"/>
        <w:numPr>
          <w:ilvl w:val="1"/>
          <w:numId w:val="1"/>
        </w:numPr>
        <w:spacing w:after="240" w:line="280" w:lineRule="exact"/>
        <w:ind w:left="850" w:hanging="425"/>
        <w:contextualSpacing w:val="0"/>
        <w:rPr>
          <w:b w:val="0"/>
          <w:sz w:val="21"/>
          <w:szCs w:val="21"/>
        </w:rPr>
      </w:pPr>
      <w:r w:rsidRPr="00F65341">
        <w:rPr>
          <w:sz w:val="21"/>
          <w:szCs w:val="21"/>
        </w:rPr>
        <w:t>President’s Council of Advisors on Science and Technology (PCAST) 2016</w:t>
      </w:r>
      <w:r w:rsidRPr="00F65341">
        <w:rPr>
          <w:b w:val="0"/>
          <w:sz w:val="21"/>
          <w:szCs w:val="21"/>
        </w:rPr>
        <w:t xml:space="preserve"> – some action to address NRC recommendations but validity remains ‘a critical gap’.</w:t>
      </w:r>
    </w:p>
    <w:p w:rsidR="00DF598E" w:rsidRPr="00F65341" w:rsidRDefault="00DF598E" w:rsidP="001D05D3">
      <w:pPr>
        <w:pStyle w:val="ListParagraph"/>
        <w:numPr>
          <w:ilvl w:val="0"/>
          <w:numId w:val="1"/>
        </w:numPr>
        <w:spacing w:after="0" w:line="280" w:lineRule="exact"/>
        <w:ind w:left="426" w:hanging="426"/>
        <w:rPr>
          <w:sz w:val="21"/>
          <w:szCs w:val="21"/>
        </w:rPr>
      </w:pPr>
      <w:r w:rsidRPr="00F65341">
        <w:rPr>
          <w:sz w:val="21"/>
          <w:szCs w:val="21"/>
        </w:rPr>
        <w:t>Validity (= ‘reliability’ in legal sense) according to PCAST</w:t>
      </w:r>
    </w:p>
    <w:p w:rsidR="00DF598E" w:rsidRPr="00F65341" w:rsidRDefault="00DF598E" w:rsidP="001D05D3">
      <w:pPr>
        <w:pStyle w:val="ListParagraph"/>
        <w:numPr>
          <w:ilvl w:val="1"/>
          <w:numId w:val="1"/>
        </w:numPr>
        <w:spacing w:after="0" w:line="280" w:lineRule="exact"/>
        <w:ind w:left="851" w:hanging="425"/>
        <w:rPr>
          <w:b w:val="0"/>
          <w:sz w:val="21"/>
          <w:szCs w:val="21"/>
        </w:rPr>
      </w:pPr>
      <w:r w:rsidRPr="00F65341">
        <w:rPr>
          <w:sz w:val="21"/>
          <w:szCs w:val="21"/>
        </w:rPr>
        <w:t>Foundational validity</w:t>
      </w:r>
      <w:r w:rsidRPr="00F65341">
        <w:rPr>
          <w:b w:val="0"/>
          <w:sz w:val="21"/>
          <w:szCs w:val="21"/>
        </w:rPr>
        <w:t xml:space="preserve"> of the method</w:t>
      </w:r>
    </w:p>
    <w:p w:rsidR="00DF598E" w:rsidRPr="00F65341" w:rsidRDefault="001F25C5" w:rsidP="001D05D3">
      <w:pPr>
        <w:pStyle w:val="ListParagraph"/>
        <w:numPr>
          <w:ilvl w:val="2"/>
          <w:numId w:val="1"/>
        </w:numPr>
        <w:spacing w:after="0" w:line="280" w:lineRule="exact"/>
        <w:ind w:left="1276" w:hanging="283"/>
        <w:rPr>
          <w:b w:val="0"/>
          <w:sz w:val="21"/>
          <w:szCs w:val="21"/>
        </w:rPr>
      </w:pPr>
      <w:r>
        <w:rPr>
          <w:b w:val="0"/>
          <w:i/>
          <w:sz w:val="21"/>
          <w:szCs w:val="21"/>
        </w:rPr>
        <w:t>repeatability</w:t>
      </w:r>
      <w:r w:rsidR="00DF598E" w:rsidRPr="00F65341">
        <w:rPr>
          <w:b w:val="0"/>
          <w:sz w:val="21"/>
          <w:szCs w:val="21"/>
        </w:rPr>
        <w:t xml:space="preserve"> (consistent results from same sample)</w:t>
      </w:r>
    </w:p>
    <w:p w:rsidR="00DF598E" w:rsidRPr="00F65341" w:rsidRDefault="00DF598E" w:rsidP="001D05D3">
      <w:pPr>
        <w:pStyle w:val="ListParagraph"/>
        <w:numPr>
          <w:ilvl w:val="2"/>
          <w:numId w:val="1"/>
        </w:numPr>
        <w:spacing w:after="0" w:line="280" w:lineRule="exact"/>
        <w:ind w:left="1276" w:hanging="283"/>
        <w:rPr>
          <w:b w:val="0"/>
          <w:sz w:val="21"/>
          <w:szCs w:val="21"/>
        </w:rPr>
      </w:pPr>
      <w:r w:rsidRPr="00F65341">
        <w:rPr>
          <w:b w:val="0"/>
          <w:i/>
          <w:sz w:val="21"/>
          <w:szCs w:val="21"/>
        </w:rPr>
        <w:t>reproducibility</w:t>
      </w:r>
      <w:r w:rsidRPr="00F65341">
        <w:rPr>
          <w:b w:val="0"/>
          <w:sz w:val="21"/>
          <w:szCs w:val="21"/>
        </w:rPr>
        <w:t xml:space="preserve"> (different analysts get same results)</w:t>
      </w:r>
    </w:p>
    <w:p w:rsidR="00DF598E" w:rsidRPr="00F65341" w:rsidRDefault="00DF598E" w:rsidP="001D05D3">
      <w:pPr>
        <w:pStyle w:val="ListParagraph"/>
        <w:numPr>
          <w:ilvl w:val="2"/>
          <w:numId w:val="1"/>
        </w:numPr>
        <w:spacing w:after="0" w:line="280" w:lineRule="exact"/>
        <w:ind w:left="1276" w:hanging="283"/>
        <w:rPr>
          <w:b w:val="0"/>
          <w:sz w:val="21"/>
          <w:szCs w:val="21"/>
        </w:rPr>
      </w:pPr>
      <w:r w:rsidRPr="00F65341">
        <w:rPr>
          <w:b w:val="0"/>
          <w:i/>
          <w:sz w:val="21"/>
          <w:szCs w:val="21"/>
        </w:rPr>
        <w:t>accuracy</w:t>
      </w:r>
      <w:r w:rsidRPr="00F65341">
        <w:rPr>
          <w:b w:val="0"/>
          <w:sz w:val="21"/>
          <w:szCs w:val="21"/>
        </w:rPr>
        <w:t xml:space="preserve"> – with </w:t>
      </w:r>
      <w:r w:rsidRPr="00F65341">
        <w:rPr>
          <w:sz w:val="21"/>
          <w:szCs w:val="21"/>
        </w:rPr>
        <w:t>known rate of error</w:t>
      </w:r>
    </w:p>
    <w:p w:rsidR="00DF598E" w:rsidRPr="00F65341" w:rsidRDefault="00DF598E" w:rsidP="001D05D3">
      <w:pPr>
        <w:pStyle w:val="ListParagraph"/>
        <w:numPr>
          <w:ilvl w:val="1"/>
          <w:numId w:val="1"/>
        </w:numPr>
        <w:spacing w:after="240" w:line="280" w:lineRule="exact"/>
        <w:ind w:left="850" w:hanging="425"/>
        <w:contextualSpacing w:val="0"/>
        <w:rPr>
          <w:b w:val="0"/>
          <w:sz w:val="21"/>
          <w:szCs w:val="21"/>
        </w:rPr>
      </w:pPr>
      <w:r w:rsidRPr="00F65341">
        <w:rPr>
          <w:sz w:val="21"/>
          <w:szCs w:val="21"/>
        </w:rPr>
        <w:t>Validity as applied</w:t>
      </w:r>
      <w:r w:rsidRPr="00F65341">
        <w:rPr>
          <w:b w:val="0"/>
          <w:sz w:val="21"/>
          <w:szCs w:val="21"/>
        </w:rPr>
        <w:t xml:space="preserve"> – did the expert apply the method appropriately?</w:t>
      </w:r>
    </w:p>
    <w:p w:rsidR="00DF598E" w:rsidRPr="00F65341" w:rsidRDefault="00DF598E" w:rsidP="001D05D3">
      <w:pPr>
        <w:pStyle w:val="ListParagraph"/>
        <w:numPr>
          <w:ilvl w:val="0"/>
          <w:numId w:val="1"/>
        </w:numPr>
        <w:spacing w:after="0" w:line="280" w:lineRule="exact"/>
        <w:ind w:left="426" w:hanging="426"/>
        <w:rPr>
          <w:sz w:val="21"/>
          <w:szCs w:val="21"/>
        </w:rPr>
      </w:pPr>
      <w:r w:rsidRPr="00F65341">
        <w:rPr>
          <w:sz w:val="21"/>
          <w:szCs w:val="21"/>
        </w:rPr>
        <w:t>Valid and questionable sciences</w:t>
      </w:r>
    </w:p>
    <w:p w:rsidR="00DF598E" w:rsidRPr="00F65341" w:rsidRDefault="00B30DDE" w:rsidP="001D05D3">
      <w:pPr>
        <w:pStyle w:val="ListParagraph"/>
        <w:numPr>
          <w:ilvl w:val="1"/>
          <w:numId w:val="1"/>
        </w:numPr>
        <w:spacing w:after="0" w:line="280" w:lineRule="exact"/>
        <w:ind w:left="851" w:hanging="425"/>
        <w:rPr>
          <w:sz w:val="21"/>
          <w:szCs w:val="21"/>
        </w:rPr>
      </w:pPr>
      <w:r w:rsidRPr="00F65341">
        <w:rPr>
          <w:sz w:val="21"/>
          <w:szCs w:val="21"/>
        </w:rPr>
        <w:t xml:space="preserve">Valid (PCAST) – </w:t>
      </w:r>
      <w:r w:rsidRPr="00F65341">
        <w:rPr>
          <w:b w:val="0"/>
          <w:sz w:val="21"/>
          <w:szCs w:val="21"/>
        </w:rPr>
        <w:t>DNA (single source or simple mixture); fingerprints</w:t>
      </w:r>
    </w:p>
    <w:p w:rsidR="00B30DDE" w:rsidRPr="00F65341" w:rsidRDefault="00B30DDE" w:rsidP="001D05D3">
      <w:pPr>
        <w:pStyle w:val="ListParagraph"/>
        <w:numPr>
          <w:ilvl w:val="1"/>
          <w:numId w:val="1"/>
        </w:numPr>
        <w:spacing w:after="0" w:line="280" w:lineRule="exact"/>
        <w:ind w:left="851" w:hanging="425"/>
        <w:rPr>
          <w:sz w:val="21"/>
          <w:szCs w:val="21"/>
        </w:rPr>
      </w:pPr>
      <w:r w:rsidRPr="00F65341">
        <w:rPr>
          <w:sz w:val="21"/>
          <w:szCs w:val="21"/>
        </w:rPr>
        <w:t>Validity not established (PCAST)</w:t>
      </w:r>
      <w:r w:rsidRPr="00F65341">
        <w:rPr>
          <w:b w:val="0"/>
          <w:sz w:val="21"/>
          <w:szCs w:val="21"/>
        </w:rPr>
        <w:t xml:space="preserve"> – DNA (complex mixtures); footwear (identifying marks); firearms (</w:t>
      </w:r>
      <w:proofErr w:type="spellStart"/>
      <w:r w:rsidRPr="00F65341">
        <w:rPr>
          <w:b w:val="0"/>
          <w:sz w:val="21"/>
          <w:szCs w:val="21"/>
        </w:rPr>
        <w:t>toolmarks</w:t>
      </w:r>
      <w:proofErr w:type="spellEnd"/>
      <w:r w:rsidRPr="00F65341">
        <w:rPr>
          <w:b w:val="0"/>
          <w:sz w:val="21"/>
          <w:szCs w:val="21"/>
        </w:rPr>
        <w:t xml:space="preserve"> – but one substantial study supports); hair; bitemarks</w:t>
      </w:r>
    </w:p>
    <w:p w:rsidR="0068664B" w:rsidRPr="00F65341" w:rsidRDefault="00B30DDE" w:rsidP="001D05D3">
      <w:pPr>
        <w:pStyle w:val="ListParagraph"/>
        <w:numPr>
          <w:ilvl w:val="1"/>
          <w:numId w:val="1"/>
        </w:numPr>
        <w:spacing w:after="240" w:line="280" w:lineRule="exact"/>
        <w:ind w:left="850" w:hanging="425"/>
        <w:contextualSpacing w:val="0"/>
        <w:rPr>
          <w:sz w:val="21"/>
          <w:szCs w:val="21"/>
        </w:rPr>
      </w:pPr>
      <w:r w:rsidRPr="00F65341">
        <w:rPr>
          <w:sz w:val="21"/>
          <w:szCs w:val="21"/>
        </w:rPr>
        <w:t xml:space="preserve">Other questionable disciplines include – </w:t>
      </w:r>
      <w:r w:rsidRPr="00F65341">
        <w:rPr>
          <w:b w:val="0"/>
          <w:sz w:val="21"/>
          <w:szCs w:val="21"/>
        </w:rPr>
        <w:t>handwriting, facial comparison, forensic podiatry</w:t>
      </w:r>
      <w:r w:rsidR="006F4ED4" w:rsidRPr="00F65341">
        <w:rPr>
          <w:b w:val="0"/>
          <w:sz w:val="21"/>
          <w:szCs w:val="21"/>
        </w:rPr>
        <w:t>.</w:t>
      </w:r>
    </w:p>
    <w:p w:rsidR="0068664B" w:rsidRPr="00F65341" w:rsidRDefault="0068664B" w:rsidP="001D05D3">
      <w:pPr>
        <w:pStyle w:val="ListParagraph"/>
        <w:numPr>
          <w:ilvl w:val="0"/>
          <w:numId w:val="1"/>
        </w:numPr>
        <w:spacing w:after="120" w:line="280" w:lineRule="exact"/>
        <w:ind w:left="425" w:hanging="425"/>
        <w:rPr>
          <w:sz w:val="21"/>
          <w:szCs w:val="21"/>
        </w:rPr>
      </w:pPr>
      <w:r w:rsidRPr="00F65341">
        <w:rPr>
          <w:sz w:val="21"/>
          <w:szCs w:val="21"/>
        </w:rPr>
        <w:t>Crim PR and Crim PD</w:t>
      </w:r>
    </w:p>
    <w:p w:rsidR="0068664B" w:rsidRPr="00F65341" w:rsidRDefault="003A13A5" w:rsidP="001D05D3">
      <w:pPr>
        <w:spacing w:after="0" w:line="280" w:lineRule="exact"/>
        <w:ind w:left="426"/>
        <w:rPr>
          <w:sz w:val="21"/>
          <w:szCs w:val="21"/>
        </w:rPr>
      </w:pPr>
      <w:proofErr w:type="spellStart"/>
      <w:r w:rsidRPr="00F65341">
        <w:rPr>
          <w:sz w:val="21"/>
          <w:szCs w:val="21"/>
        </w:rPr>
        <w:t>CrimPR</w:t>
      </w:r>
      <w:proofErr w:type="spellEnd"/>
      <w:r w:rsidRPr="00F65341">
        <w:rPr>
          <w:sz w:val="21"/>
          <w:szCs w:val="21"/>
        </w:rPr>
        <w:t xml:space="preserve"> 19. 4 – expert’s report must:</w:t>
      </w:r>
    </w:p>
    <w:p w:rsidR="003A13A5" w:rsidRPr="00F65341" w:rsidRDefault="003A13A5" w:rsidP="001D05D3">
      <w:pPr>
        <w:spacing w:after="0" w:line="280" w:lineRule="exact"/>
        <w:ind w:left="851" w:hanging="425"/>
        <w:contextualSpacing/>
        <w:rPr>
          <w:b w:val="0"/>
          <w:sz w:val="21"/>
          <w:szCs w:val="21"/>
        </w:rPr>
      </w:pPr>
      <w:r w:rsidRPr="00F65341">
        <w:rPr>
          <w:b w:val="0"/>
          <w:sz w:val="21"/>
          <w:szCs w:val="21"/>
        </w:rPr>
        <w:t xml:space="preserve">(f) </w:t>
      </w:r>
      <w:r w:rsidR="002B587D" w:rsidRPr="00F65341">
        <w:rPr>
          <w:b w:val="0"/>
          <w:sz w:val="21"/>
          <w:szCs w:val="21"/>
        </w:rPr>
        <w:tab/>
      </w:r>
      <w:r w:rsidRPr="00F65341">
        <w:rPr>
          <w:b w:val="0"/>
          <w:sz w:val="21"/>
          <w:szCs w:val="21"/>
        </w:rPr>
        <w:t>where there is a range of opinion on the matters dealt with in the report—</w:t>
      </w:r>
    </w:p>
    <w:p w:rsidR="003A13A5" w:rsidRPr="00F65341" w:rsidRDefault="003A13A5" w:rsidP="001D05D3">
      <w:pPr>
        <w:spacing w:after="0" w:line="280" w:lineRule="exact"/>
        <w:ind w:left="1276" w:hanging="425"/>
        <w:contextualSpacing/>
        <w:rPr>
          <w:b w:val="0"/>
          <w:sz w:val="21"/>
          <w:szCs w:val="21"/>
        </w:rPr>
      </w:pPr>
      <w:r w:rsidRPr="00F65341">
        <w:rPr>
          <w:b w:val="0"/>
          <w:sz w:val="21"/>
          <w:szCs w:val="21"/>
        </w:rPr>
        <w:t>(</w:t>
      </w:r>
      <w:proofErr w:type="spellStart"/>
      <w:r w:rsidRPr="00F65341">
        <w:rPr>
          <w:b w:val="0"/>
          <w:sz w:val="21"/>
          <w:szCs w:val="21"/>
        </w:rPr>
        <w:t>i</w:t>
      </w:r>
      <w:proofErr w:type="spellEnd"/>
      <w:r w:rsidRPr="00F65341">
        <w:rPr>
          <w:b w:val="0"/>
          <w:sz w:val="21"/>
          <w:szCs w:val="21"/>
        </w:rPr>
        <w:t xml:space="preserve">) </w:t>
      </w:r>
      <w:r w:rsidR="002B587D" w:rsidRPr="00F65341">
        <w:rPr>
          <w:b w:val="0"/>
          <w:sz w:val="21"/>
          <w:szCs w:val="21"/>
        </w:rPr>
        <w:tab/>
      </w:r>
      <w:r w:rsidRPr="00F65341">
        <w:rPr>
          <w:b w:val="0"/>
          <w:sz w:val="21"/>
          <w:szCs w:val="21"/>
        </w:rPr>
        <w:t>summarise the range of opinion, and</w:t>
      </w:r>
    </w:p>
    <w:p w:rsidR="003A13A5" w:rsidRPr="00F65341" w:rsidRDefault="003A13A5" w:rsidP="001D05D3">
      <w:pPr>
        <w:spacing w:after="0" w:line="280" w:lineRule="exact"/>
        <w:ind w:left="1276" w:hanging="425"/>
        <w:contextualSpacing/>
        <w:rPr>
          <w:b w:val="0"/>
          <w:sz w:val="21"/>
          <w:szCs w:val="21"/>
        </w:rPr>
      </w:pPr>
      <w:r w:rsidRPr="00F65341">
        <w:rPr>
          <w:b w:val="0"/>
          <w:sz w:val="21"/>
          <w:szCs w:val="21"/>
        </w:rPr>
        <w:t xml:space="preserve">(ii) </w:t>
      </w:r>
      <w:r w:rsidR="002B587D" w:rsidRPr="00F65341">
        <w:rPr>
          <w:b w:val="0"/>
          <w:sz w:val="21"/>
          <w:szCs w:val="21"/>
        </w:rPr>
        <w:tab/>
      </w:r>
      <w:r w:rsidRPr="00F65341">
        <w:rPr>
          <w:b w:val="0"/>
          <w:sz w:val="21"/>
          <w:szCs w:val="21"/>
        </w:rPr>
        <w:t>give reasons for the expert's own opinion;</w:t>
      </w:r>
    </w:p>
    <w:p w:rsidR="003A13A5" w:rsidRPr="00F65341" w:rsidRDefault="003A13A5" w:rsidP="001D05D3">
      <w:pPr>
        <w:spacing w:after="0" w:line="280" w:lineRule="exact"/>
        <w:ind w:left="851" w:hanging="425"/>
        <w:contextualSpacing/>
        <w:rPr>
          <w:b w:val="0"/>
          <w:sz w:val="21"/>
          <w:szCs w:val="21"/>
        </w:rPr>
      </w:pPr>
      <w:r w:rsidRPr="00F65341">
        <w:rPr>
          <w:b w:val="0"/>
          <w:sz w:val="21"/>
          <w:szCs w:val="21"/>
        </w:rPr>
        <w:t xml:space="preserve">(g) </w:t>
      </w:r>
      <w:r w:rsidR="002829C0" w:rsidRPr="00F65341">
        <w:rPr>
          <w:b w:val="0"/>
          <w:sz w:val="21"/>
          <w:szCs w:val="21"/>
        </w:rPr>
        <w:tab/>
      </w:r>
      <w:r w:rsidRPr="00F65341">
        <w:rPr>
          <w:b w:val="0"/>
          <w:sz w:val="21"/>
          <w:szCs w:val="21"/>
        </w:rPr>
        <w:t>if the expert is not able to give an opinion without qualification, state the qualification;</w:t>
      </w:r>
    </w:p>
    <w:p w:rsidR="003A13A5" w:rsidRPr="00F65341" w:rsidRDefault="003A13A5" w:rsidP="001D05D3">
      <w:pPr>
        <w:spacing w:after="120" w:line="280" w:lineRule="exact"/>
        <w:ind w:left="851" w:hanging="425"/>
        <w:rPr>
          <w:b w:val="0"/>
          <w:sz w:val="21"/>
          <w:szCs w:val="21"/>
        </w:rPr>
      </w:pPr>
      <w:r w:rsidRPr="00F65341">
        <w:rPr>
          <w:b w:val="0"/>
          <w:sz w:val="21"/>
          <w:szCs w:val="21"/>
        </w:rPr>
        <w:t xml:space="preserve">(h) </w:t>
      </w:r>
      <w:r w:rsidR="002829C0" w:rsidRPr="00F65341">
        <w:rPr>
          <w:b w:val="0"/>
          <w:sz w:val="21"/>
          <w:szCs w:val="21"/>
        </w:rPr>
        <w:tab/>
      </w:r>
      <w:r w:rsidRPr="00F65341">
        <w:rPr>
          <w:b w:val="0"/>
          <w:sz w:val="21"/>
          <w:szCs w:val="21"/>
        </w:rPr>
        <w:t>include such information as the court may need to decide whether the expert's opinion is sufficiently reliable to be admissible as evidence;</w:t>
      </w:r>
    </w:p>
    <w:p w:rsidR="003A13A5" w:rsidRPr="00F65341" w:rsidRDefault="003A13A5" w:rsidP="001D05D3">
      <w:pPr>
        <w:spacing w:after="120" w:line="280" w:lineRule="exact"/>
        <w:ind w:left="425"/>
        <w:rPr>
          <w:b w:val="0"/>
          <w:sz w:val="21"/>
          <w:szCs w:val="21"/>
        </w:rPr>
      </w:pPr>
      <w:r w:rsidRPr="00F65341">
        <w:rPr>
          <w:b w:val="0"/>
          <w:sz w:val="21"/>
          <w:szCs w:val="21"/>
        </w:rPr>
        <w:t>‘a very important safeguard…</w:t>
      </w:r>
      <w:r w:rsidRPr="00F65341">
        <w:rPr>
          <w:rFonts w:ascii="Verdana" w:hAnsi="Verdana" w:cs="Verdana"/>
          <w:b w:val="0"/>
          <w:sz w:val="21"/>
          <w:szCs w:val="21"/>
        </w:rPr>
        <w:t xml:space="preserve"> </w:t>
      </w:r>
      <w:r w:rsidRPr="00F65341">
        <w:rPr>
          <w:b w:val="0"/>
          <w:sz w:val="21"/>
          <w:szCs w:val="21"/>
        </w:rPr>
        <w:t>it is particularly important that this rule is followed in the expert report obtained by the Crown</w:t>
      </w:r>
      <w:r w:rsidR="001B2A39" w:rsidRPr="00F65341">
        <w:rPr>
          <w:b w:val="0"/>
          <w:sz w:val="21"/>
          <w:szCs w:val="21"/>
        </w:rPr>
        <w:t xml:space="preserve">’ – </w:t>
      </w:r>
      <w:r w:rsidR="001B2A39" w:rsidRPr="00F65341">
        <w:rPr>
          <w:b w:val="0"/>
          <w:i/>
          <w:sz w:val="21"/>
          <w:szCs w:val="21"/>
        </w:rPr>
        <w:t xml:space="preserve">Reed and Reed </w:t>
      </w:r>
      <w:r w:rsidR="001B2A39" w:rsidRPr="00F65341">
        <w:rPr>
          <w:b w:val="0"/>
          <w:sz w:val="21"/>
          <w:szCs w:val="21"/>
        </w:rPr>
        <w:t>[2010] 1 Cr App R 23 at [169]</w:t>
      </w:r>
    </w:p>
    <w:p w:rsidR="003A13A5" w:rsidRPr="00F65341" w:rsidRDefault="003A13A5" w:rsidP="001D05D3">
      <w:pPr>
        <w:spacing w:after="0" w:line="280" w:lineRule="exact"/>
        <w:ind w:left="425"/>
        <w:rPr>
          <w:b w:val="0"/>
          <w:sz w:val="21"/>
          <w:szCs w:val="21"/>
        </w:rPr>
      </w:pPr>
      <w:r w:rsidRPr="00F65341">
        <w:rPr>
          <w:sz w:val="21"/>
          <w:szCs w:val="21"/>
        </w:rPr>
        <w:t>Crim PD 19A.5 – factor</w:t>
      </w:r>
      <w:r w:rsidR="002B587D" w:rsidRPr="00F65341">
        <w:rPr>
          <w:sz w:val="21"/>
          <w:szCs w:val="21"/>
        </w:rPr>
        <w:t>s to take into account include</w:t>
      </w:r>
      <w:r w:rsidR="002829C0" w:rsidRPr="00F65341">
        <w:rPr>
          <w:sz w:val="21"/>
          <w:szCs w:val="21"/>
        </w:rPr>
        <w:t>:</w:t>
      </w:r>
      <w:r w:rsidR="002B587D" w:rsidRPr="00F65341">
        <w:rPr>
          <w:sz w:val="21"/>
          <w:szCs w:val="21"/>
        </w:rPr>
        <w:t xml:space="preserve"> </w:t>
      </w:r>
      <w:r w:rsidR="002829C0" w:rsidRPr="00F65341">
        <w:rPr>
          <w:b w:val="0"/>
          <w:sz w:val="21"/>
          <w:szCs w:val="21"/>
        </w:rPr>
        <w:t>(</w:t>
      </w:r>
      <w:r w:rsidRPr="00F65341">
        <w:rPr>
          <w:b w:val="0"/>
          <w:sz w:val="21"/>
          <w:szCs w:val="21"/>
        </w:rPr>
        <w:t>a) the extent and quality of the data on which the expert’s opinion is</w:t>
      </w:r>
      <w:r w:rsidR="002B587D" w:rsidRPr="00F65341">
        <w:rPr>
          <w:b w:val="0"/>
          <w:sz w:val="21"/>
          <w:szCs w:val="21"/>
        </w:rPr>
        <w:t xml:space="preserve"> </w:t>
      </w:r>
      <w:r w:rsidRPr="00F65341">
        <w:rPr>
          <w:b w:val="0"/>
          <w:sz w:val="21"/>
          <w:szCs w:val="21"/>
        </w:rPr>
        <w:t>based, and the validity of the meth</w:t>
      </w:r>
      <w:r w:rsidR="002B587D" w:rsidRPr="00F65341">
        <w:rPr>
          <w:b w:val="0"/>
          <w:sz w:val="21"/>
          <w:szCs w:val="21"/>
        </w:rPr>
        <w:t>ods by which they were obtained</w:t>
      </w:r>
    </w:p>
    <w:p w:rsidR="001B3E4C" w:rsidRPr="00F65341" w:rsidRDefault="003A13A5" w:rsidP="001D05D3">
      <w:pPr>
        <w:autoSpaceDE w:val="0"/>
        <w:autoSpaceDN w:val="0"/>
        <w:adjustRightInd w:val="0"/>
        <w:spacing w:after="240" w:line="280" w:lineRule="exact"/>
        <w:ind w:left="425"/>
        <w:rPr>
          <w:sz w:val="21"/>
          <w:szCs w:val="21"/>
        </w:rPr>
      </w:pPr>
      <w:r w:rsidRPr="00F65341">
        <w:rPr>
          <w:sz w:val="21"/>
          <w:szCs w:val="21"/>
        </w:rPr>
        <w:t>Court should be ‘astute to identify’ flaws such as</w:t>
      </w:r>
      <w:r w:rsidR="002829C0" w:rsidRPr="00F65341">
        <w:rPr>
          <w:sz w:val="21"/>
          <w:szCs w:val="21"/>
        </w:rPr>
        <w:t>:</w:t>
      </w:r>
      <w:r w:rsidRPr="00F65341">
        <w:rPr>
          <w:sz w:val="21"/>
          <w:szCs w:val="21"/>
        </w:rPr>
        <w:t xml:space="preserve"> </w:t>
      </w:r>
      <w:r w:rsidRPr="00F65341">
        <w:rPr>
          <w:b w:val="0"/>
          <w:sz w:val="21"/>
          <w:szCs w:val="21"/>
        </w:rPr>
        <w:t>(a) being based on a hypothesis which has not been subjected to</w:t>
      </w:r>
      <w:r w:rsidR="002B587D" w:rsidRPr="00F65341">
        <w:rPr>
          <w:b w:val="0"/>
          <w:sz w:val="21"/>
          <w:szCs w:val="21"/>
        </w:rPr>
        <w:t xml:space="preserve"> </w:t>
      </w:r>
      <w:r w:rsidRPr="00F65341">
        <w:rPr>
          <w:b w:val="0"/>
          <w:sz w:val="21"/>
          <w:szCs w:val="21"/>
        </w:rPr>
        <w:t>sufficient scrutiny (including, where appropriate, experimental or other testing), or which has failed to stand up to scrutiny;</w:t>
      </w:r>
    </w:p>
    <w:p w:rsidR="000E639D" w:rsidRPr="00F65341" w:rsidRDefault="003A13A5" w:rsidP="001D05D3">
      <w:pPr>
        <w:pStyle w:val="ListParagraph"/>
        <w:numPr>
          <w:ilvl w:val="0"/>
          <w:numId w:val="1"/>
        </w:numPr>
        <w:autoSpaceDE w:val="0"/>
        <w:autoSpaceDN w:val="0"/>
        <w:adjustRightInd w:val="0"/>
        <w:spacing w:after="120" w:line="280" w:lineRule="exact"/>
        <w:ind w:left="425" w:hanging="425"/>
        <w:contextualSpacing w:val="0"/>
        <w:rPr>
          <w:b w:val="0"/>
          <w:sz w:val="21"/>
          <w:szCs w:val="21"/>
        </w:rPr>
      </w:pPr>
      <w:r w:rsidRPr="00F65341">
        <w:rPr>
          <w:sz w:val="21"/>
          <w:szCs w:val="21"/>
        </w:rPr>
        <w:t xml:space="preserve">Controlling </w:t>
      </w:r>
      <w:r w:rsidR="001B3E4C" w:rsidRPr="00F65341">
        <w:rPr>
          <w:sz w:val="21"/>
          <w:szCs w:val="21"/>
        </w:rPr>
        <w:t xml:space="preserve">(but not excluding) </w:t>
      </w:r>
      <w:r w:rsidRPr="00F65341">
        <w:rPr>
          <w:sz w:val="21"/>
          <w:szCs w:val="21"/>
        </w:rPr>
        <w:t>expert evidence</w:t>
      </w:r>
    </w:p>
    <w:p w:rsidR="00281B80" w:rsidRDefault="001B2A39" w:rsidP="001D05D3">
      <w:pPr>
        <w:spacing w:after="120" w:line="280" w:lineRule="exact"/>
        <w:ind w:left="425"/>
        <w:rPr>
          <w:b w:val="0"/>
          <w:sz w:val="21"/>
          <w:szCs w:val="21"/>
        </w:rPr>
      </w:pPr>
      <w:r w:rsidRPr="00F65341">
        <w:rPr>
          <w:b w:val="0"/>
          <w:i/>
          <w:sz w:val="21"/>
          <w:szCs w:val="21"/>
        </w:rPr>
        <w:t xml:space="preserve">Reed </w:t>
      </w:r>
      <w:r w:rsidRPr="00F65341">
        <w:rPr>
          <w:b w:val="0"/>
          <w:sz w:val="21"/>
          <w:szCs w:val="21"/>
        </w:rPr>
        <w:t>[2010] 1 Cr App R 23 at [12</w:t>
      </w:r>
      <w:r w:rsidR="000E639D" w:rsidRPr="00F65341">
        <w:rPr>
          <w:b w:val="0"/>
          <w:sz w:val="21"/>
          <w:szCs w:val="21"/>
        </w:rPr>
        <w:t>1-</w:t>
      </w:r>
      <w:r w:rsidRPr="00F65341">
        <w:rPr>
          <w:b w:val="0"/>
          <w:sz w:val="21"/>
          <w:szCs w:val="21"/>
        </w:rPr>
        <w:t xml:space="preserve">2]: </w:t>
      </w:r>
      <w:r w:rsidR="000E639D" w:rsidRPr="00F65341">
        <w:rPr>
          <w:b w:val="0"/>
          <w:sz w:val="21"/>
          <w:szCs w:val="21"/>
        </w:rPr>
        <w:t xml:space="preserve">‘care must be taken to guard against the dangers of [an] evaluation [based on experience] being tainted with the verisimilitude of scientific certainty…. </w:t>
      </w:r>
      <w:r w:rsidRPr="00F65341">
        <w:rPr>
          <w:b w:val="0"/>
          <w:sz w:val="21"/>
          <w:szCs w:val="21"/>
        </w:rPr>
        <w:t>It is … essential… that the court exercise a firm degree of control over the admissibility of this type of evidence …The evidence … must be clearly set out in full in the terms in which it is to be given</w:t>
      </w:r>
      <w:r w:rsidR="007F0AEA" w:rsidRPr="00F65341">
        <w:rPr>
          <w:b w:val="0"/>
          <w:sz w:val="21"/>
          <w:szCs w:val="21"/>
        </w:rPr>
        <w:t>’</w:t>
      </w:r>
      <w:r w:rsidR="00281B80">
        <w:rPr>
          <w:b w:val="0"/>
          <w:sz w:val="21"/>
          <w:szCs w:val="21"/>
        </w:rPr>
        <w:t>.</w:t>
      </w:r>
    </w:p>
    <w:p w:rsidR="00F65341" w:rsidRDefault="007F0AEA" w:rsidP="001D05D3">
      <w:pPr>
        <w:spacing w:after="120" w:line="280" w:lineRule="exact"/>
        <w:ind w:left="425"/>
        <w:rPr>
          <w:b w:val="0"/>
          <w:sz w:val="21"/>
          <w:szCs w:val="21"/>
        </w:rPr>
      </w:pPr>
      <w:bookmarkStart w:id="0" w:name="_GoBack"/>
      <w:bookmarkEnd w:id="0"/>
      <w:r w:rsidRPr="00F65341">
        <w:rPr>
          <w:b w:val="0"/>
          <w:sz w:val="21"/>
          <w:szCs w:val="21"/>
        </w:rPr>
        <w:t>Part of evidence should have been identified as inadmissible.</w:t>
      </w:r>
    </w:p>
    <w:p w:rsidR="00FB069D" w:rsidRPr="00F65341" w:rsidRDefault="00FB069D" w:rsidP="001D05D3">
      <w:pPr>
        <w:spacing w:after="120" w:line="280" w:lineRule="exact"/>
        <w:ind w:left="425"/>
        <w:rPr>
          <w:b w:val="0"/>
          <w:i/>
          <w:sz w:val="21"/>
          <w:szCs w:val="21"/>
        </w:rPr>
      </w:pPr>
      <w:proofErr w:type="spellStart"/>
      <w:r w:rsidRPr="00F65341">
        <w:rPr>
          <w:b w:val="0"/>
          <w:i/>
          <w:sz w:val="21"/>
          <w:szCs w:val="21"/>
        </w:rPr>
        <w:t>Dlugosz</w:t>
      </w:r>
      <w:proofErr w:type="spellEnd"/>
      <w:r w:rsidRPr="00F65341">
        <w:rPr>
          <w:b w:val="0"/>
          <w:i/>
          <w:sz w:val="21"/>
          <w:szCs w:val="21"/>
        </w:rPr>
        <w:t xml:space="preserve"> </w:t>
      </w:r>
      <w:r w:rsidRPr="00F65341">
        <w:rPr>
          <w:b w:val="0"/>
          <w:sz w:val="21"/>
          <w:szCs w:val="21"/>
        </w:rPr>
        <w:t>[2013] 1 Cr App R</w:t>
      </w:r>
      <w:r w:rsidR="001B3E4C" w:rsidRPr="00F65341">
        <w:rPr>
          <w:b w:val="0"/>
          <w:sz w:val="21"/>
          <w:szCs w:val="21"/>
        </w:rPr>
        <w:t xml:space="preserve"> 32 at [24]:</w:t>
      </w:r>
      <w:r w:rsidR="00F65341">
        <w:rPr>
          <w:b w:val="0"/>
          <w:i/>
          <w:sz w:val="21"/>
          <w:szCs w:val="21"/>
        </w:rPr>
        <w:t xml:space="preserve"> </w:t>
      </w:r>
      <w:r w:rsidR="00281B80">
        <w:rPr>
          <w:b w:val="0"/>
          <w:i/>
          <w:sz w:val="21"/>
          <w:szCs w:val="21"/>
        </w:rPr>
        <w:t>‘</w:t>
      </w:r>
      <w:r w:rsidR="001B3E4C" w:rsidRPr="00F65341">
        <w:rPr>
          <w:b w:val="0"/>
          <w:sz w:val="21"/>
          <w:szCs w:val="21"/>
        </w:rPr>
        <w:t xml:space="preserve">provided it is made clear to the jury the very limited basis upon which an evaluation can be made </w:t>
      </w:r>
      <w:r w:rsidR="000510ED" w:rsidRPr="00F65341">
        <w:rPr>
          <w:b w:val="0"/>
          <w:sz w:val="21"/>
          <w:szCs w:val="21"/>
        </w:rPr>
        <w:t>…</w:t>
      </w:r>
      <w:r w:rsidR="001B3E4C" w:rsidRPr="00F65341">
        <w:rPr>
          <w:b w:val="0"/>
          <w:sz w:val="21"/>
          <w:szCs w:val="21"/>
        </w:rPr>
        <w:t xml:space="preserve"> a jury can be assisted in its consideration of the evidence by an expression of an evaluative opinion ….  It must be emphasised that the opinion expressed is quite different from the usual DNA evidence based on statistical match probability</w:t>
      </w:r>
      <w:r w:rsidR="000510ED" w:rsidRPr="00F65341">
        <w:rPr>
          <w:b w:val="0"/>
          <w:sz w:val="21"/>
          <w:szCs w:val="21"/>
        </w:rPr>
        <w:t xml:space="preserve"> …[and]</w:t>
      </w:r>
      <w:r w:rsidR="001B3E4C" w:rsidRPr="00F65341">
        <w:rPr>
          <w:b w:val="0"/>
          <w:sz w:val="21"/>
          <w:szCs w:val="21"/>
        </w:rPr>
        <w:t xml:space="preserve"> that, in contrast to the usual type of DNA evidence, it is of more limited assistance.’</w:t>
      </w:r>
    </w:p>
    <w:p w:rsidR="007F15FE" w:rsidRPr="00F65341" w:rsidRDefault="007F15FE" w:rsidP="001D05D3">
      <w:pPr>
        <w:spacing w:after="120" w:line="280" w:lineRule="exact"/>
        <w:ind w:left="425"/>
        <w:rPr>
          <w:b w:val="0"/>
          <w:sz w:val="21"/>
          <w:szCs w:val="21"/>
        </w:rPr>
      </w:pPr>
      <w:r w:rsidRPr="00F65341">
        <w:rPr>
          <w:b w:val="0"/>
          <w:i/>
          <w:sz w:val="21"/>
          <w:szCs w:val="21"/>
        </w:rPr>
        <w:lastRenderedPageBreak/>
        <w:t xml:space="preserve">Henderson </w:t>
      </w:r>
      <w:r w:rsidRPr="00F65341">
        <w:rPr>
          <w:b w:val="0"/>
          <w:sz w:val="21"/>
          <w:szCs w:val="21"/>
        </w:rPr>
        <w:t>[2010] 2 Cr App R 24 at [220]:</w:t>
      </w:r>
      <w:r w:rsidR="00F65341">
        <w:rPr>
          <w:b w:val="0"/>
          <w:sz w:val="21"/>
          <w:szCs w:val="21"/>
        </w:rPr>
        <w:t xml:space="preserve"> </w:t>
      </w:r>
      <w:r w:rsidR="00281B80">
        <w:rPr>
          <w:b w:val="0"/>
          <w:sz w:val="21"/>
          <w:szCs w:val="21"/>
        </w:rPr>
        <w:t>‘</w:t>
      </w:r>
      <w:r w:rsidRPr="00F65341">
        <w:rPr>
          <w:b w:val="0"/>
          <w:sz w:val="21"/>
          <w:szCs w:val="21"/>
        </w:rPr>
        <w:t>An overall impression can never be the substitute for a rational process of analysis. The jury are not required to produce reasons for their conclusion. Nevertheless, the judge should guide them by identifying those reasons which would justify either accepting or rejecting any conflicting expert opinion on which either side relies.</w:t>
      </w:r>
      <w:r w:rsidR="00281B80">
        <w:rPr>
          <w:b w:val="0"/>
          <w:sz w:val="21"/>
          <w:szCs w:val="21"/>
        </w:rPr>
        <w:t>’</w:t>
      </w:r>
      <w:r w:rsidRPr="00F65341">
        <w:rPr>
          <w:b w:val="0"/>
          <w:sz w:val="21"/>
          <w:szCs w:val="21"/>
        </w:rPr>
        <w:t xml:space="preserve"> </w:t>
      </w:r>
    </w:p>
    <w:p w:rsidR="001A6A88" w:rsidRPr="00F65341" w:rsidRDefault="007F15FE" w:rsidP="001D05D3">
      <w:pPr>
        <w:spacing w:after="120" w:line="280" w:lineRule="exact"/>
        <w:ind w:left="425"/>
        <w:rPr>
          <w:b w:val="0"/>
          <w:sz w:val="21"/>
          <w:szCs w:val="21"/>
        </w:rPr>
      </w:pPr>
      <w:r w:rsidRPr="00F65341">
        <w:rPr>
          <w:b w:val="0"/>
          <w:i/>
          <w:sz w:val="21"/>
          <w:szCs w:val="21"/>
        </w:rPr>
        <w:t xml:space="preserve">Luttrell </w:t>
      </w:r>
      <w:r w:rsidR="001A6A88" w:rsidRPr="00F65341">
        <w:rPr>
          <w:b w:val="0"/>
          <w:sz w:val="21"/>
          <w:szCs w:val="21"/>
        </w:rPr>
        <w:t>[2004] 2 Cr App R 31 at [42]</w:t>
      </w:r>
      <w:r w:rsidR="00F65341">
        <w:rPr>
          <w:b w:val="0"/>
          <w:sz w:val="21"/>
          <w:szCs w:val="21"/>
        </w:rPr>
        <w:t xml:space="preserve">: </w:t>
      </w:r>
      <w:r w:rsidR="00281B80">
        <w:rPr>
          <w:b w:val="0"/>
          <w:sz w:val="21"/>
          <w:szCs w:val="21"/>
        </w:rPr>
        <w:t>‘</w:t>
      </w:r>
      <w:r w:rsidR="001A6A88" w:rsidRPr="00F65341">
        <w:rPr>
          <w:b w:val="0"/>
          <w:color w:val="000000"/>
          <w:sz w:val="21"/>
          <w:szCs w:val="21"/>
        </w:rPr>
        <w:t>The general principle …</w:t>
      </w:r>
      <w:r w:rsidR="00B737E1">
        <w:rPr>
          <w:b w:val="0"/>
          <w:color w:val="000000"/>
          <w:sz w:val="21"/>
          <w:szCs w:val="21"/>
        </w:rPr>
        <w:t xml:space="preserve"> is that a </w:t>
      </w:r>
      <w:r w:rsidR="001A6A88" w:rsidRPr="00F65341">
        <w:rPr>
          <w:b w:val="0"/>
          <w:color w:val="000000"/>
          <w:sz w:val="21"/>
          <w:szCs w:val="21"/>
        </w:rPr>
        <w:t>“special warning” is necessary if experience, research or common sense has indicated that there is a difficulty with a certain type of evidence that requires giving the jury a warning of its dangers and the need for caution, tailored to meet the needs of the case. This will often be the case where jurors may be unaware of the difficulty, or may insufficiently understand it.</w:t>
      </w:r>
      <w:r w:rsidR="00281B80">
        <w:rPr>
          <w:b w:val="0"/>
          <w:color w:val="000000"/>
          <w:sz w:val="21"/>
          <w:szCs w:val="21"/>
        </w:rPr>
        <w:t>’</w:t>
      </w:r>
    </w:p>
    <w:p w:rsidR="00CA5BE1" w:rsidRDefault="00094FB8" w:rsidP="001D05D3">
      <w:pPr>
        <w:widowControl w:val="0"/>
        <w:autoSpaceDE w:val="0"/>
        <w:autoSpaceDN w:val="0"/>
        <w:adjustRightInd w:val="0"/>
        <w:spacing w:after="0" w:line="280" w:lineRule="exact"/>
        <w:ind w:left="426"/>
        <w:rPr>
          <w:b w:val="0"/>
          <w:sz w:val="21"/>
          <w:szCs w:val="21"/>
        </w:rPr>
      </w:pPr>
      <w:r w:rsidRPr="00F65341">
        <w:rPr>
          <w:color w:val="000000"/>
          <w:sz w:val="21"/>
          <w:szCs w:val="21"/>
        </w:rPr>
        <w:t xml:space="preserve">NB </w:t>
      </w:r>
      <w:proofErr w:type="spellStart"/>
      <w:r w:rsidRPr="00F65341">
        <w:rPr>
          <w:b w:val="0"/>
          <w:color w:val="000000"/>
          <w:sz w:val="21"/>
          <w:szCs w:val="21"/>
        </w:rPr>
        <w:t>CrimPR</w:t>
      </w:r>
      <w:proofErr w:type="spellEnd"/>
      <w:r w:rsidRPr="00F65341">
        <w:rPr>
          <w:b w:val="0"/>
          <w:color w:val="000000"/>
          <w:sz w:val="21"/>
          <w:szCs w:val="21"/>
        </w:rPr>
        <w:t xml:space="preserve"> 25.</w:t>
      </w:r>
      <w:r w:rsidR="006F4ED4" w:rsidRPr="00F65341">
        <w:rPr>
          <w:b w:val="0"/>
          <w:color w:val="000000"/>
          <w:sz w:val="21"/>
          <w:szCs w:val="21"/>
        </w:rPr>
        <w:t>1</w:t>
      </w:r>
      <w:r w:rsidRPr="00F65341">
        <w:rPr>
          <w:b w:val="0"/>
          <w:color w:val="000000"/>
          <w:sz w:val="21"/>
          <w:szCs w:val="21"/>
        </w:rPr>
        <w:t>4</w:t>
      </w:r>
      <w:r w:rsidR="006F4ED4" w:rsidRPr="00F65341">
        <w:rPr>
          <w:b w:val="0"/>
          <w:color w:val="000000"/>
          <w:sz w:val="21"/>
          <w:szCs w:val="21"/>
        </w:rPr>
        <w:t>(2) – directions to be given ‘</w:t>
      </w:r>
      <w:r w:rsidR="006F4ED4" w:rsidRPr="00F65341">
        <w:rPr>
          <w:b w:val="0"/>
          <w:sz w:val="21"/>
          <w:szCs w:val="21"/>
        </w:rPr>
        <w:t>at any time at which to do so will assist jurors to evaluate the evidence</w:t>
      </w:r>
      <w:r w:rsidR="008804CD">
        <w:rPr>
          <w:b w:val="0"/>
          <w:sz w:val="21"/>
          <w:szCs w:val="21"/>
        </w:rPr>
        <w:t>’ – e.g</w:t>
      </w:r>
      <w:r w:rsidR="006F4ED4" w:rsidRPr="00F65341">
        <w:rPr>
          <w:b w:val="0"/>
          <w:sz w:val="21"/>
          <w:szCs w:val="21"/>
        </w:rPr>
        <w:t xml:space="preserve">. </w:t>
      </w:r>
      <w:r w:rsidR="006F4ED4" w:rsidRPr="00F65341">
        <w:rPr>
          <w:b w:val="0"/>
          <w:i/>
          <w:sz w:val="21"/>
          <w:szCs w:val="21"/>
        </w:rPr>
        <w:t xml:space="preserve">before </w:t>
      </w:r>
      <w:r w:rsidR="006F4ED4" w:rsidRPr="00F65341">
        <w:rPr>
          <w:b w:val="0"/>
          <w:sz w:val="21"/>
          <w:szCs w:val="21"/>
        </w:rPr>
        <w:t>they hear the expert (? more effective than directions at end of trial).</w:t>
      </w:r>
      <w:r w:rsidR="00BB2C5D">
        <w:rPr>
          <w:b w:val="0"/>
          <w:sz w:val="21"/>
          <w:szCs w:val="21"/>
        </w:rPr>
        <w:t xml:space="preserve"> </w:t>
      </w:r>
    </w:p>
    <w:p w:rsidR="00BB2C5D" w:rsidRPr="00BB2C5D" w:rsidRDefault="00112FD8" w:rsidP="001D05D3">
      <w:pPr>
        <w:widowControl w:val="0"/>
        <w:autoSpaceDE w:val="0"/>
        <w:autoSpaceDN w:val="0"/>
        <w:adjustRightInd w:val="0"/>
        <w:spacing w:after="0" w:line="280" w:lineRule="exact"/>
        <w:ind w:left="426"/>
        <w:rPr>
          <w:b w:val="0"/>
          <w:sz w:val="21"/>
          <w:szCs w:val="21"/>
        </w:rPr>
      </w:pPr>
      <w:r>
        <w:rPr>
          <w:b w:val="0"/>
          <w:color w:val="000000"/>
          <w:sz w:val="21"/>
          <w:szCs w:val="21"/>
        </w:rPr>
        <w:t>But</w:t>
      </w:r>
      <w:r w:rsidR="00BB2C5D" w:rsidRPr="00BB2C5D">
        <w:rPr>
          <w:b w:val="0"/>
          <w:color w:val="000000"/>
          <w:sz w:val="21"/>
          <w:szCs w:val="21"/>
        </w:rPr>
        <w:t xml:space="preserve"> the </w:t>
      </w:r>
      <w:r w:rsidR="00BB2C5D" w:rsidRPr="00BB2C5D">
        <w:rPr>
          <w:b w:val="0"/>
          <w:i/>
          <w:color w:val="000000"/>
          <w:sz w:val="21"/>
          <w:szCs w:val="21"/>
        </w:rPr>
        <w:t xml:space="preserve">Crown Court Compendium </w:t>
      </w:r>
      <w:r w:rsidR="00BB2C5D" w:rsidRPr="00BB2C5D">
        <w:rPr>
          <w:b w:val="0"/>
          <w:color w:val="000000"/>
          <w:sz w:val="21"/>
          <w:szCs w:val="21"/>
        </w:rPr>
        <w:t xml:space="preserve">does not </w:t>
      </w:r>
      <w:r>
        <w:rPr>
          <w:b w:val="0"/>
          <w:color w:val="000000"/>
          <w:sz w:val="21"/>
          <w:szCs w:val="21"/>
        </w:rPr>
        <w:t>encourage</w:t>
      </w:r>
      <w:r w:rsidR="00BB2C5D" w:rsidRPr="00BB2C5D">
        <w:rPr>
          <w:b w:val="0"/>
          <w:color w:val="000000"/>
          <w:sz w:val="21"/>
          <w:szCs w:val="21"/>
        </w:rPr>
        <w:t xml:space="preserve"> this</w:t>
      </w:r>
      <w:r>
        <w:rPr>
          <w:b w:val="0"/>
          <w:color w:val="000000"/>
          <w:sz w:val="21"/>
          <w:szCs w:val="21"/>
        </w:rPr>
        <w:t xml:space="preserve"> </w:t>
      </w:r>
      <w:r w:rsidR="00CA5BE1">
        <w:rPr>
          <w:b w:val="0"/>
          <w:color w:val="000000"/>
          <w:sz w:val="21"/>
          <w:szCs w:val="21"/>
        </w:rPr>
        <w:t>or provide examples</w:t>
      </w:r>
      <w:r w:rsidR="00BB2C5D" w:rsidRPr="00BB2C5D">
        <w:rPr>
          <w:b w:val="0"/>
          <w:color w:val="000000"/>
          <w:sz w:val="21"/>
          <w:szCs w:val="21"/>
        </w:rPr>
        <w:t xml:space="preserve">: </w:t>
      </w:r>
      <w:r w:rsidR="00BB2C5D" w:rsidRPr="00BB2C5D">
        <w:rPr>
          <w:b w:val="0"/>
          <w:sz w:val="21"/>
          <w:szCs w:val="21"/>
        </w:rPr>
        <w:t>‘There is no invariable rule as to when a direction on expert evidence should be given. It is often best included in the legal directions at the beginning of the summing up; but</w:t>
      </w:r>
      <w:r w:rsidR="00CA5BE1">
        <w:rPr>
          <w:b w:val="0"/>
          <w:sz w:val="21"/>
          <w:szCs w:val="21"/>
        </w:rPr>
        <w:t xml:space="preserve"> </w:t>
      </w:r>
      <w:r w:rsidR="00BB2C5D" w:rsidRPr="00BB2C5D">
        <w:rPr>
          <w:b w:val="0"/>
          <w:sz w:val="21"/>
          <w:szCs w:val="21"/>
        </w:rPr>
        <w:t>… it may be preferable to give the direction immediately before the expert evidence is summarised.’</w:t>
      </w:r>
    </w:p>
    <w:p w:rsidR="00B30DDE" w:rsidRPr="00F65341" w:rsidRDefault="00B30DDE" w:rsidP="001D05D3">
      <w:pPr>
        <w:widowControl w:val="0"/>
        <w:autoSpaceDE w:val="0"/>
        <w:autoSpaceDN w:val="0"/>
        <w:adjustRightInd w:val="0"/>
        <w:spacing w:after="0" w:line="280" w:lineRule="exact"/>
        <w:ind w:left="0"/>
        <w:rPr>
          <w:b w:val="0"/>
          <w:sz w:val="21"/>
          <w:szCs w:val="21"/>
        </w:rPr>
      </w:pPr>
    </w:p>
    <w:p w:rsidR="00A80789" w:rsidRDefault="00112FD8" w:rsidP="001D05D3">
      <w:pPr>
        <w:pStyle w:val="ListParagraph"/>
        <w:numPr>
          <w:ilvl w:val="0"/>
          <w:numId w:val="1"/>
        </w:numPr>
        <w:spacing w:after="120" w:line="280" w:lineRule="exact"/>
        <w:ind w:left="425" w:hanging="425"/>
        <w:rPr>
          <w:sz w:val="21"/>
          <w:szCs w:val="21"/>
        </w:rPr>
      </w:pPr>
      <w:r>
        <w:rPr>
          <w:sz w:val="21"/>
          <w:szCs w:val="21"/>
        </w:rPr>
        <w:t>How effective are the t</w:t>
      </w:r>
      <w:r w:rsidR="002829C0" w:rsidRPr="00F65341">
        <w:rPr>
          <w:sz w:val="21"/>
          <w:szCs w:val="21"/>
        </w:rPr>
        <w:t xml:space="preserve">raditional </w:t>
      </w:r>
      <w:r w:rsidR="008804CD">
        <w:rPr>
          <w:sz w:val="21"/>
          <w:szCs w:val="21"/>
        </w:rPr>
        <w:t>‘</w:t>
      </w:r>
      <w:r w:rsidR="002829C0" w:rsidRPr="00F65341">
        <w:rPr>
          <w:sz w:val="21"/>
          <w:szCs w:val="21"/>
        </w:rPr>
        <w:t>safeguards</w:t>
      </w:r>
      <w:r w:rsidR="008804CD">
        <w:rPr>
          <w:sz w:val="21"/>
          <w:szCs w:val="21"/>
        </w:rPr>
        <w:t>’</w:t>
      </w:r>
      <w:r>
        <w:rPr>
          <w:sz w:val="21"/>
          <w:szCs w:val="21"/>
        </w:rPr>
        <w:t>?</w:t>
      </w:r>
    </w:p>
    <w:p w:rsidR="008804CD" w:rsidRPr="00F65341" w:rsidRDefault="008804CD" w:rsidP="001D05D3">
      <w:pPr>
        <w:pStyle w:val="ListParagraph"/>
        <w:widowControl w:val="0"/>
        <w:numPr>
          <w:ilvl w:val="1"/>
          <w:numId w:val="1"/>
        </w:numPr>
        <w:autoSpaceDE w:val="0"/>
        <w:autoSpaceDN w:val="0"/>
        <w:adjustRightInd w:val="0"/>
        <w:spacing w:after="0" w:line="280" w:lineRule="exact"/>
        <w:ind w:left="851" w:hanging="425"/>
        <w:rPr>
          <w:b w:val="0"/>
          <w:sz w:val="21"/>
          <w:szCs w:val="21"/>
        </w:rPr>
      </w:pPr>
      <w:r>
        <w:rPr>
          <w:b w:val="0"/>
          <w:sz w:val="21"/>
          <w:szCs w:val="21"/>
        </w:rPr>
        <w:t>Cross-examination</w:t>
      </w:r>
      <w:r w:rsidR="00112FD8">
        <w:rPr>
          <w:b w:val="0"/>
          <w:sz w:val="21"/>
          <w:szCs w:val="21"/>
        </w:rPr>
        <w:t xml:space="preserve"> – see </w:t>
      </w:r>
      <w:r w:rsidR="00281B80">
        <w:rPr>
          <w:b w:val="0"/>
          <w:sz w:val="21"/>
          <w:szCs w:val="21"/>
        </w:rPr>
        <w:t xml:space="preserve">(7) </w:t>
      </w:r>
      <w:r w:rsidR="00112FD8">
        <w:rPr>
          <w:b w:val="0"/>
          <w:sz w:val="21"/>
          <w:szCs w:val="21"/>
        </w:rPr>
        <w:t>below.</w:t>
      </w:r>
    </w:p>
    <w:p w:rsidR="008804CD" w:rsidRDefault="008804CD" w:rsidP="001D05D3">
      <w:pPr>
        <w:pStyle w:val="ListParagraph"/>
        <w:widowControl w:val="0"/>
        <w:numPr>
          <w:ilvl w:val="1"/>
          <w:numId w:val="1"/>
        </w:numPr>
        <w:autoSpaceDE w:val="0"/>
        <w:autoSpaceDN w:val="0"/>
        <w:adjustRightInd w:val="0"/>
        <w:spacing w:after="120" w:line="280" w:lineRule="exact"/>
        <w:ind w:left="850" w:hanging="425"/>
        <w:contextualSpacing w:val="0"/>
        <w:rPr>
          <w:b w:val="0"/>
          <w:sz w:val="21"/>
          <w:szCs w:val="21"/>
        </w:rPr>
      </w:pPr>
      <w:r>
        <w:rPr>
          <w:b w:val="0"/>
          <w:sz w:val="21"/>
          <w:szCs w:val="21"/>
        </w:rPr>
        <w:t>Jury directions –</w:t>
      </w:r>
      <w:r w:rsidR="00BB2C5D">
        <w:rPr>
          <w:b w:val="0"/>
          <w:sz w:val="21"/>
          <w:szCs w:val="21"/>
        </w:rPr>
        <w:t xml:space="preserve"> the </w:t>
      </w:r>
      <w:r w:rsidR="00BB2C5D">
        <w:rPr>
          <w:b w:val="0"/>
          <w:i/>
          <w:sz w:val="21"/>
          <w:szCs w:val="21"/>
        </w:rPr>
        <w:t>Crown Court Compendium</w:t>
      </w:r>
      <w:r w:rsidR="00BB2C5D">
        <w:rPr>
          <w:b w:val="0"/>
          <w:sz w:val="21"/>
          <w:szCs w:val="21"/>
        </w:rPr>
        <w:t xml:space="preserve"> does not </w:t>
      </w:r>
      <w:r w:rsidR="003A753B">
        <w:rPr>
          <w:b w:val="0"/>
          <w:sz w:val="21"/>
          <w:szCs w:val="21"/>
        </w:rPr>
        <w:t xml:space="preserve">adequately </w:t>
      </w:r>
      <w:r w:rsidR="00CA5BE1">
        <w:rPr>
          <w:b w:val="0"/>
          <w:sz w:val="21"/>
          <w:szCs w:val="21"/>
        </w:rPr>
        <w:t>address</w:t>
      </w:r>
      <w:r w:rsidR="00BB2C5D">
        <w:rPr>
          <w:b w:val="0"/>
          <w:sz w:val="21"/>
          <w:szCs w:val="21"/>
        </w:rPr>
        <w:t xml:space="preserve"> validity/reliability:</w:t>
      </w:r>
    </w:p>
    <w:p w:rsidR="008804CD" w:rsidRPr="008804CD" w:rsidRDefault="008804CD" w:rsidP="001D05D3">
      <w:pPr>
        <w:pStyle w:val="ListParagraph"/>
        <w:widowControl w:val="0"/>
        <w:autoSpaceDE w:val="0"/>
        <w:autoSpaceDN w:val="0"/>
        <w:adjustRightInd w:val="0"/>
        <w:spacing w:after="120" w:line="280" w:lineRule="exact"/>
        <w:ind w:left="426"/>
        <w:contextualSpacing w:val="0"/>
        <w:rPr>
          <w:b w:val="0"/>
          <w:i/>
          <w:sz w:val="21"/>
          <w:szCs w:val="21"/>
        </w:rPr>
      </w:pPr>
      <w:r>
        <w:rPr>
          <w:b w:val="0"/>
          <w:sz w:val="21"/>
          <w:szCs w:val="21"/>
        </w:rPr>
        <w:t>‘If an expert expresses his conclusions in relative terms (e.g. “no support, limited support, moderate support, support, strong support, powerful support”) it may help the jury to explain that these terms are no more than labels which the witness has applied to his opinion of the significance of his findings and that because such opinion is entirely subjective different experts may not attach the same label to the same degree of comparability.’</w:t>
      </w:r>
    </w:p>
    <w:p w:rsidR="008804CD" w:rsidRPr="00BB2C5D" w:rsidRDefault="00BB2C5D" w:rsidP="001D05D3">
      <w:pPr>
        <w:pStyle w:val="ListParagraph"/>
        <w:widowControl w:val="0"/>
        <w:autoSpaceDE w:val="0"/>
        <w:autoSpaceDN w:val="0"/>
        <w:adjustRightInd w:val="0"/>
        <w:spacing w:after="240" w:line="280" w:lineRule="exact"/>
        <w:ind w:left="425"/>
        <w:contextualSpacing w:val="0"/>
        <w:rPr>
          <w:b w:val="0"/>
          <w:i/>
          <w:sz w:val="21"/>
          <w:szCs w:val="21"/>
        </w:rPr>
      </w:pPr>
      <w:r>
        <w:rPr>
          <w:b w:val="0"/>
          <w:sz w:val="21"/>
          <w:szCs w:val="21"/>
        </w:rPr>
        <w:t>‘</w:t>
      </w:r>
      <w:r w:rsidR="008804CD">
        <w:rPr>
          <w:b w:val="0"/>
          <w:sz w:val="21"/>
          <w:szCs w:val="21"/>
        </w:rPr>
        <w:t>The jury should take into account [as appropriate] the qualifications/practical experience/ methodology/source material/quality of analysis/objectivity of the experts, and the impression they made when giving evidence.’</w:t>
      </w:r>
      <w:r w:rsidR="008804CD" w:rsidRPr="00BB2C5D">
        <w:rPr>
          <w:b w:val="0"/>
          <w:sz w:val="21"/>
          <w:szCs w:val="21"/>
        </w:rPr>
        <w:t xml:space="preserve"> </w:t>
      </w:r>
    </w:p>
    <w:p w:rsidR="00B30DDE" w:rsidRPr="00A80789" w:rsidRDefault="00B30DDE" w:rsidP="001D05D3">
      <w:pPr>
        <w:pStyle w:val="ListParagraph"/>
        <w:numPr>
          <w:ilvl w:val="0"/>
          <w:numId w:val="1"/>
        </w:numPr>
        <w:spacing w:after="240" w:line="280" w:lineRule="exact"/>
        <w:ind w:left="425" w:hanging="425"/>
        <w:rPr>
          <w:sz w:val="21"/>
          <w:szCs w:val="21"/>
        </w:rPr>
      </w:pPr>
      <w:r w:rsidRPr="00A80789">
        <w:rPr>
          <w:sz w:val="21"/>
          <w:szCs w:val="21"/>
        </w:rPr>
        <w:t>Why the lack of case law</w:t>
      </w:r>
      <w:r w:rsidR="006F4ED4" w:rsidRPr="00A80789">
        <w:rPr>
          <w:sz w:val="21"/>
          <w:szCs w:val="21"/>
        </w:rPr>
        <w:t xml:space="preserve"> on CPD 19? </w:t>
      </w:r>
      <w:r w:rsidRPr="00A80789">
        <w:rPr>
          <w:sz w:val="21"/>
          <w:szCs w:val="21"/>
        </w:rPr>
        <w:t>Two hypotheses:</w:t>
      </w:r>
    </w:p>
    <w:p w:rsidR="00B30DDE" w:rsidRPr="00F65341" w:rsidRDefault="00B30DDE" w:rsidP="001D05D3">
      <w:pPr>
        <w:pStyle w:val="ListParagraph"/>
        <w:widowControl w:val="0"/>
        <w:numPr>
          <w:ilvl w:val="1"/>
          <w:numId w:val="1"/>
        </w:numPr>
        <w:autoSpaceDE w:val="0"/>
        <w:autoSpaceDN w:val="0"/>
        <w:adjustRightInd w:val="0"/>
        <w:spacing w:after="0" w:line="280" w:lineRule="exact"/>
        <w:ind w:left="851" w:hanging="425"/>
        <w:rPr>
          <w:b w:val="0"/>
          <w:sz w:val="21"/>
          <w:szCs w:val="21"/>
        </w:rPr>
      </w:pPr>
      <w:r w:rsidRPr="00F65341">
        <w:rPr>
          <w:b w:val="0"/>
          <w:sz w:val="21"/>
          <w:szCs w:val="21"/>
        </w:rPr>
        <w:t xml:space="preserve">Defence counsel rarely challenge expert evidence on ‘sufficient reliability’ grounds – prefer traditional </w:t>
      </w:r>
      <w:r w:rsidRPr="00F65341">
        <w:rPr>
          <w:b w:val="0"/>
          <w:i/>
          <w:sz w:val="21"/>
          <w:szCs w:val="21"/>
        </w:rPr>
        <w:t xml:space="preserve">ad hominem </w:t>
      </w:r>
      <w:r w:rsidRPr="00F65341">
        <w:rPr>
          <w:b w:val="0"/>
          <w:sz w:val="21"/>
          <w:szCs w:val="21"/>
        </w:rPr>
        <w:t>cross-examination (some anecdotal evidence)</w:t>
      </w:r>
      <w:r w:rsidR="00112FD8">
        <w:rPr>
          <w:b w:val="0"/>
          <w:sz w:val="21"/>
          <w:szCs w:val="21"/>
        </w:rPr>
        <w:t>.</w:t>
      </w:r>
    </w:p>
    <w:p w:rsidR="00B30DDE" w:rsidRPr="00F65341" w:rsidRDefault="00094FB8" w:rsidP="001D05D3">
      <w:pPr>
        <w:pStyle w:val="ListParagraph"/>
        <w:widowControl w:val="0"/>
        <w:numPr>
          <w:ilvl w:val="1"/>
          <w:numId w:val="1"/>
        </w:numPr>
        <w:autoSpaceDE w:val="0"/>
        <w:autoSpaceDN w:val="0"/>
        <w:adjustRightInd w:val="0"/>
        <w:spacing w:after="0" w:line="280" w:lineRule="exact"/>
        <w:ind w:left="851" w:hanging="425"/>
        <w:rPr>
          <w:b w:val="0"/>
          <w:sz w:val="21"/>
          <w:szCs w:val="21"/>
        </w:rPr>
      </w:pPr>
      <w:r w:rsidRPr="00F65341">
        <w:rPr>
          <w:b w:val="0"/>
          <w:sz w:val="21"/>
          <w:szCs w:val="21"/>
        </w:rPr>
        <w:t xml:space="preserve">Trial judges are in fact controlling expert evidence in the way envisaged in </w:t>
      </w:r>
      <w:r w:rsidR="00BE30EC" w:rsidRPr="00F65341">
        <w:rPr>
          <w:b w:val="0"/>
          <w:i/>
          <w:sz w:val="21"/>
          <w:szCs w:val="21"/>
        </w:rPr>
        <w:t>Ree</w:t>
      </w:r>
      <w:r w:rsidRPr="00F65341">
        <w:rPr>
          <w:b w:val="0"/>
          <w:i/>
          <w:sz w:val="21"/>
          <w:szCs w:val="21"/>
        </w:rPr>
        <w:t xml:space="preserve">d </w:t>
      </w:r>
      <w:r w:rsidRPr="00F65341">
        <w:rPr>
          <w:b w:val="0"/>
          <w:sz w:val="21"/>
          <w:szCs w:val="21"/>
        </w:rPr>
        <w:t>etc. (and/or prosecutors and experts are more cautious in the claims they make) – acceptable forms of words are agreed pre-trial so no need to challenge evidence on appeal. (No evidence, but seems possible.)</w:t>
      </w:r>
    </w:p>
    <w:p w:rsidR="00162ABB" w:rsidRPr="00F65341" w:rsidRDefault="00162ABB" w:rsidP="001D05D3">
      <w:pPr>
        <w:widowControl w:val="0"/>
        <w:autoSpaceDE w:val="0"/>
        <w:autoSpaceDN w:val="0"/>
        <w:adjustRightInd w:val="0"/>
        <w:spacing w:after="0" w:line="280" w:lineRule="exact"/>
        <w:ind w:left="709" w:hanging="283"/>
        <w:rPr>
          <w:b w:val="0"/>
          <w:sz w:val="21"/>
          <w:szCs w:val="21"/>
        </w:rPr>
      </w:pPr>
    </w:p>
    <w:p w:rsidR="006F4ED4" w:rsidRPr="00F65341" w:rsidRDefault="006F4ED4" w:rsidP="001D05D3">
      <w:pPr>
        <w:widowControl w:val="0"/>
        <w:autoSpaceDE w:val="0"/>
        <w:autoSpaceDN w:val="0"/>
        <w:adjustRightInd w:val="0"/>
        <w:spacing w:after="0" w:line="280" w:lineRule="exact"/>
        <w:ind w:left="0"/>
        <w:rPr>
          <w:sz w:val="21"/>
          <w:szCs w:val="21"/>
        </w:rPr>
      </w:pPr>
      <w:r w:rsidRPr="00F65341">
        <w:rPr>
          <w:sz w:val="21"/>
          <w:szCs w:val="21"/>
        </w:rPr>
        <w:t>Further reading</w:t>
      </w:r>
      <w:r w:rsidR="00162ABB" w:rsidRPr="00F65341">
        <w:rPr>
          <w:sz w:val="21"/>
          <w:szCs w:val="21"/>
        </w:rPr>
        <w:t xml:space="preserve"> from the Northumbria Centre for Evidence and Criminal Justice Studies</w:t>
      </w:r>
      <w:r w:rsidRPr="00F65341">
        <w:rPr>
          <w:sz w:val="21"/>
          <w:szCs w:val="21"/>
        </w:rPr>
        <w:t>:</w:t>
      </w:r>
    </w:p>
    <w:p w:rsidR="006F4ED4" w:rsidRPr="00F65341" w:rsidRDefault="006F4ED4" w:rsidP="001D05D3">
      <w:pPr>
        <w:widowControl w:val="0"/>
        <w:autoSpaceDE w:val="0"/>
        <w:autoSpaceDN w:val="0"/>
        <w:adjustRightInd w:val="0"/>
        <w:spacing w:after="0" w:line="280" w:lineRule="exact"/>
        <w:ind w:left="0"/>
        <w:rPr>
          <w:b w:val="0"/>
          <w:sz w:val="21"/>
          <w:szCs w:val="21"/>
        </w:rPr>
      </w:pPr>
      <w:r w:rsidRPr="00F65341">
        <w:rPr>
          <w:b w:val="0"/>
          <w:sz w:val="21"/>
          <w:szCs w:val="21"/>
        </w:rPr>
        <w:t>G. Davies and E. Piasecki, ‘No More Laissez-Faire? Expert Evidence, Rule Changes and Reliability’ (2016) 80 J Crim L 327</w:t>
      </w:r>
    </w:p>
    <w:p w:rsidR="00162ABB" w:rsidRPr="00F65341" w:rsidRDefault="00162ABB" w:rsidP="001D05D3">
      <w:pPr>
        <w:widowControl w:val="0"/>
        <w:autoSpaceDE w:val="0"/>
        <w:autoSpaceDN w:val="0"/>
        <w:adjustRightInd w:val="0"/>
        <w:spacing w:after="0" w:line="280" w:lineRule="exact"/>
        <w:ind w:left="0"/>
        <w:rPr>
          <w:b w:val="0"/>
          <w:sz w:val="21"/>
          <w:szCs w:val="21"/>
        </w:rPr>
      </w:pPr>
      <w:r w:rsidRPr="00F65341">
        <w:rPr>
          <w:b w:val="0"/>
          <w:sz w:val="21"/>
          <w:szCs w:val="21"/>
        </w:rPr>
        <w:t>M. Stockdale and A. Jackson, ‘Expert Evidence in Criminal Proceedings: Current Challenges and Opportunities’ (2016) 80 J Crim L 344</w:t>
      </w:r>
    </w:p>
    <w:p w:rsidR="006F4ED4" w:rsidRPr="00F65341" w:rsidRDefault="006F4ED4" w:rsidP="001D05D3">
      <w:pPr>
        <w:widowControl w:val="0"/>
        <w:autoSpaceDE w:val="0"/>
        <w:autoSpaceDN w:val="0"/>
        <w:adjustRightInd w:val="0"/>
        <w:spacing w:after="0" w:line="280" w:lineRule="exact"/>
        <w:ind w:left="0"/>
        <w:rPr>
          <w:b w:val="0"/>
          <w:sz w:val="21"/>
          <w:szCs w:val="21"/>
        </w:rPr>
      </w:pPr>
      <w:r w:rsidRPr="00F65341">
        <w:rPr>
          <w:b w:val="0"/>
          <w:sz w:val="21"/>
          <w:szCs w:val="21"/>
        </w:rPr>
        <w:t>T.</w:t>
      </w:r>
      <w:r w:rsidR="00F65341">
        <w:rPr>
          <w:b w:val="0"/>
          <w:sz w:val="21"/>
          <w:szCs w:val="21"/>
        </w:rPr>
        <w:t xml:space="preserve"> </w:t>
      </w:r>
      <w:r w:rsidRPr="00F65341">
        <w:rPr>
          <w:b w:val="0"/>
          <w:sz w:val="21"/>
          <w:szCs w:val="21"/>
        </w:rPr>
        <w:t>Ward, G. Edmond, K. Martire and N. Wortley</w:t>
      </w:r>
      <w:r w:rsidR="00162ABB" w:rsidRPr="00F65341">
        <w:rPr>
          <w:b w:val="0"/>
          <w:sz w:val="21"/>
          <w:szCs w:val="21"/>
        </w:rPr>
        <w:t>, ‘Forensic Science, Validity and Reliability: Advice from America’ [2017] Crim LR 357</w:t>
      </w:r>
    </w:p>
    <w:p w:rsidR="001A6A88" w:rsidRPr="00F65341" w:rsidRDefault="001A6A88" w:rsidP="001D05D3">
      <w:pPr>
        <w:spacing w:after="0" w:line="280" w:lineRule="exact"/>
        <w:ind w:left="0"/>
        <w:rPr>
          <w:b w:val="0"/>
          <w:sz w:val="21"/>
          <w:szCs w:val="21"/>
        </w:rPr>
      </w:pPr>
    </w:p>
    <w:p w:rsidR="007F15FE" w:rsidRPr="00F65341" w:rsidRDefault="007F15FE" w:rsidP="001D05D3">
      <w:pPr>
        <w:spacing w:after="0" w:line="280" w:lineRule="exact"/>
        <w:ind w:left="0"/>
        <w:rPr>
          <w:b w:val="0"/>
          <w:sz w:val="21"/>
          <w:szCs w:val="21"/>
        </w:rPr>
      </w:pPr>
    </w:p>
    <w:p w:rsidR="003A13A5" w:rsidRPr="00F65341" w:rsidRDefault="003A13A5" w:rsidP="001D05D3">
      <w:pPr>
        <w:spacing w:after="0" w:line="280" w:lineRule="exact"/>
        <w:rPr>
          <w:sz w:val="21"/>
          <w:szCs w:val="21"/>
        </w:rPr>
      </w:pPr>
    </w:p>
    <w:sectPr w:rsidR="003A13A5" w:rsidRPr="00F65341" w:rsidSect="00F65341">
      <w:pgSz w:w="11906" w:h="16838"/>
      <w:pgMar w:top="1247" w:right="1361" w:bottom="119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engXian">
    <w:altName w:val="等线"/>
    <w:panose1 w:val="02010600030101010101"/>
    <w:charset w:val="86"/>
    <w:family w:val="modern"/>
    <w:pitch w:val="fixed"/>
    <w:sig w:usb0="00000000"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291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8B1071"/>
    <w:multiLevelType w:val="hybridMultilevel"/>
    <w:tmpl w:val="C52244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565803"/>
    <w:multiLevelType w:val="hybridMultilevel"/>
    <w:tmpl w:val="5E848B0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9D55BA0"/>
    <w:multiLevelType w:val="hybridMultilevel"/>
    <w:tmpl w:val="0C2A13F0"/>
    <w:lvl w:ilvl="0" w:tplc="2A36BA58">
      <w:start w:val="1"/>
      <w:numFmt w:val="decimal"/>
      <w:lvlText w:val="%1."/>
      <w:lvlJc w:val="left"/>
      <w:pPr>
        <w:ind w:left="643" w:hanging="360"/>
      </w:pPr>
      <w:rPr>
        <w:b/>
      </w:rPr>
    </w:lvl>
    <w:lvl w:ilvl="1" w:tplc="645A70EE">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404982"/>
    <w:multiLevelType w:val="multilevel"/>
    <w:tmpl w:val="663688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DEA"/>
    <w:rsid w:val="000510ED"/>
    <w:rsid w:val="00094FB8"/>
    <w:rsid w:val="000E639D"/>
    <w:rsid w:val="00112FD8"/>
    <w:rsid w:val="001329E1"/>
    <w:rsid w:val="00162ABB"/>
    <w:rsid w:val="001A6A88"/>
    <w:rsid w:val="001B2A39"/>
    <w:rsid w:val="001B3E4C"/>
    <w:rsid w:val="001D05D3"/>
    <w:rsid w:val="001D0BC7"/>
    <w:rsid w:val="001F25C5"/>
    <w:rsid w:val="00281B80"/>
    <w:rsid w:val="002829C0"/>
    <w:rsid w:val="002B587D"/>
    <w:rsid w:val="003A13A5"/>
    <w:rsid w:val="003A753B"/>
    <w:rsid w:val="00615CDE"/>
    <w:rsid w:val="00642045"/>
    <w:rsid w:val="0068664B"/>
    <w:rsid w:val="006F4ED4"/>
    <w:rsid w:val="007901B9"/>
    <w:rsid w:val="007F0AEA"/>
    <w:rsid w:val="007F15FE"/>
    <w:rsid w:val="00803994"/>
    <w:rsid w:val="00853EAF"/>
    <w:rsid w:val="00866E91"/>
    <w:rsid w:val="008804CD"/>
    <w:rsid w:val="00A80789"/>
    <w:rsid w:val="00AB59FC"/>
    <w:rsid w:val="00B30DDE"/>
    <w:rsid w:val="00B737E1"/>
    <w:rsid w:val="00BB2C5D"/>
    <w:rsid w:val="00BE30EC"/>
    <w:rsid w:val="00C972AE"/>
    <w:rsid w:val="00CA5BE1"/>
    <w:rsid w:val="00D41BF4"/>
    <w:rsid w:val="00D5066C"/>
    <w:rsid w:val="00DA1D90"/>
    <w:rsid w:val="00DF598E"/>
    <w:rsid w:val="00EA7DEA"/>
    <w:rsid w:val="00F65341"/>
    <w:rsid w:val="00FB069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3C35"/>
  <w15:docId w15:val="{E8C2142C-8DEE-4F87-A225-5F7E2666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3A5"/>
    <w:pPr>
      <w:ind w:left="36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C972AE"/>
    <w:pPr>
      <w:tabs>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76" w:lineRule="auto"/>
    </w:pPr>
    <w:rPr>
      <w:rFonts w:ascii="Garamond" w:eastAsia="Arial" w:hAnsi="Garamond" w:cs="Times New Roman"/>
      <w:sz w:val="24"/>
      <w:szCs w:val="20"/>
    </w:rPr>
  </w:style>
  <w:style w:type="paragraph" w:styleId="ListParagraph">
    <w:name w:val="List Paragraph"/>
    <w:basedOn w:val="Normal"/>
    <w:uiPriority w:val="34"/>
    <w:qFormat/>
    <w:rsid w:val="00EA7DEA"/>
    <w:pPr>
      <w:ind w:left="720"/>
      <w:contextualSpacing/>
    </w:pPr>
  </w:style>
  <w:style w:type="paragraph" w:styleId="NormalWeb">
    <w:name w:val="Normal (Web)"/>
    <w:basedOn w:val="Normal"/>
    <w:uiPriority w:val="99"/>
    <w:semiHidden/>
    <w:unhideWhenUsed/>
    <w:rsid w:val="003A1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F4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131180">
      <w:bodyDiv w:val="1"/>
      <w:marLeft w:val="0"/>
      <w:marRight w:val="0"/>
      <w:marTop w:val="0"/>
      <w:marBottom w:val="0"/>
      <w:divBdr>
        <w:top w:val="none" w:sz="0" w:space="0" w:color="auto"/>
        <w:left w:val="none" w:sz="0" w:space="0" w:color="auto"/>
        <w:bottom w:val="none" w:sz="0" w:space="0" w:color="auto"/>
        <w:right w:val="none" w:sz="0" w:space="0" w:color="auto"/>
      </w:divBdr>
      <w:divsChild>
        <w:div w:id="2084333425">
          <w:marLeft w:val="0"/>
          <w:marRight w:val="0"/>
          <w:marTop w:val="0"/>
          <w:marBottom w:val="0"/>
          <w:divBdr>
            <w:top w:val="none" w:sz="0" w:space="0" w:color="auto"/>
            <w:left w:val="none" w:sz="0" w:space="0" w:color="auto"/>
            <w:bottom w:val="none" w:sz="0" w:space="0" w:color="auto"/>
            <w:right w:val="none" w:sz="0" w:space="0" w:color="auto"/>
          </w:divBdr>
          <w:divsChild>
            <w:div w:id="897401288">
              <w:marLeft w:val="0"/>
              <w:marRight w:val="0"/>
              <w:marTop w:val="0"/>
              <w:marBottom w:val="0"/>
              <w:divBdr>
                <w:top w:val="none" w:sz="0" w:space="0" w:color="auto"/>
                <w:left w:val="none" w:sz="0" w:space="0" w:color="auto"/>
                <w:bottom w:val="none" w:sz="0" w:space="0" w:color="auto"/>
                <w:right w:val="none" w:sz="0" w:space="0" w:color="auto"/>
              </w:divBdr>
            </w:div>
            <w:div w:id="964316789">
              <w:marLeft w:val="0"/>
              <w:marRight w:val="0"/>
              <w:marTop w:val="0"/>
              <w:marBottom w:val="0"/>
              <w:divBdr>
                <w:top w:val="none" w:sz="0" w:space="0" w:color="auto"/>
                <w:left w:val="none" w:sz="0" w:space="0" w:color="auto"/>
                <w:bottom w:val="none" w:sz="0" w:space="0" w:color="auto"/>
                <w:right w:val="none" w:sz="0" w:space="0" w:color="auto"/>
              </w:divBdr>
            </w:div>
          </w:divsChild>
        </w:div>
        <w:div w:id="2018581633">
          <w:marLeft w:val="0"/>
          <w:marRight w:val="0"/>
          <w:marTop w:val="0"/>
          <w:marBottom w:val="0"/>
          <w:divBdr>
            <w:top w:val="none" w:sz="0" w:space="0" w:color="auto"/>
            <w:left w:val="none" w:sz="0" w:space="0" w:color="auto"/>
            <w:bottom w:val="none" w:sz="0" w:space="0" w:color="auto"/>
            <w:right w:val="none" w:sz="0" w:space="0" w:color="auto"/>
          </w:divBdr>
        </w:div>
        <w:div w:id="447816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Ward</dc:creator>
  <cp:lastModifiedBy>Natalie Wortley</cp:lastModifiedBy>
  <cp:revision>5</cp:revision>
  <dcterms:created xsi:type="dcterms:W3CDTF">2017-05-15T08:09:00Z</dcterms:created>
  <dcterms:modified xsi:type="dcterms:W3CDTF">2017-05-15T08:17:00Z</dcterms:modified>
</cp:coreProperties>
</file>