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58604A">
        <w:rPr>
          <w:rFonts w:cstheme="minorHAnsi"/>
          <w:sz w:val="36"/>
          <w:szCs w:val="36"/>
        </w:rPr>
        <w:t>Duress by indirect threats</w:t>
      </w:r>
    </w:p>
    <w:p w:rsid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36"/>
          <w:szCs w:val="36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58604A">
        <w:rPr>
          <w:rFonts w:cstheme="minorHAnsi"/>
          <w:i/>
          <w:sz w:val="36"/>
          <w:szCs w:val="36"/>
        </w:rPr>
        <w:t xml:space="preserve">R v </w:t>
      </w:r>
      <w:proofErr w:type="spellStart"/>
      <w:r w:rsidRPr="0058604A">
        <w:rPr>
          <w:rFonts w:cstheme="minorHAnsi"/>
          <w:i/>
          <w:sz w:val="36"/>
          <w:szCs w:val="36"/>
        </w:rPr>
        <w:t>Brandford</w:t>
      </w:r>
      <w:proofErr w:type="spellEnd"/>
      <w:r w:rsidRPr="0058604A">
        <w:rPr>
          <w:rFonts w:cstheme="minorHAnsi"/>
          <w:sz w:val="36"/>
          <w:szCs w:val="36"/>
        </w:rPr>
        <w:t xml:space="preserve"> [2016] EWCA Crim 1794, [2017] 4WLR 17,</w:t>
      </w:r>
      <w:r>
        <w:rPr>
          <w:rFonts w:cstheme="minorHAnsi"/>
          <w:sz w:val="36"/>
          <w:szCs w:val="36"/>
        </w:rPr>
        <w:t xml:space="preserve"> </w:t>
      </w:r>
      <w:r w:rsidRPr="0058604A">
        <w:rPr>
          <w:rFonts w:cstheme="minorHAnsi"/>
          <w:sz w:val="36"/>
          <w:szCs w:val="36"/>
        </w:rPr>
        <w:t>Court of Appeal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8604A">
        <w:rPr>
          <w:rFonts w:cstheme="minorHAnsi"/>
          <w:b/>
          <w:sz w:val="18"/>
          <w:szCs w:val="18"/>
        </w:rPr>
        <w:t>Keywords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604A">
        <w:rPr>
          <w:rFonts w:cstheme="minorHAnsi"/>
          <w:sz w:val="18"/>
          <w:szCs w:val="18"/>
        </w:rPr>
        <w:t>Conspiracy to supply controlled drugs; duress by threats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 xml:space="preserve">Olivia </w:t>
      </w:r>
      <w:proofErr w:type="spellStart"/>
      <w:r w:rsidRPr="0058604A">
        <w:rPr>
          <w:rFonts w:cstheme="minorHAnsi"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(B) was in a relationship with Dean Alford (A). In August 2014, the pair </w:t>
      </w:r>
      <w:proofErr w:type="gramStart"/>
      <w:r w:rsidRPr="0058604A">
        <w:rPr>
          <w:rFonts w:cstheme="minorHAnsi"/>
          <w:sz w:val="20"/>
          <w:szCs w:val="20"/>
        </w:rPr>
        <w:t>was arrested</w:t>
      </w:r>
      <w:proofErr w:type="gramEnd"/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when driving from London to Portsmouth. Upon her arrest, B </w:t>
      </w:r>
      <w:proofErr w:type="gramStart"/>
      <w:r w:rsidRPr="0058604A">
        <w:rPr>
          <w:rFonts w:cstheme="minorHAnsi"/>
          <w:sz w:val="20"/>
          <w:szCs w:val="20"/>
        </w:rPr>
        <w:t>was found</w:t>
      </w:r>
      <w:proofErr w:type="gramEnd"/>
      <w:r w:rsidRPr="0058604A">
        <w:rPr>
          <w:rFonts w:cstheme="minorHAnsi"/>
          <w:sz w:val="20"/>
          <w:szCs w:val="20"/>
        </w:rPr>
        <w:t xml:space="preserve"> to have concealed within her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body 121 wraps containing Class A drugs – 77 of the wraps contained cocaine and 44 contained heroin.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Collectively, the wraps had a street value of between £1500 and £2300. A and B, along with another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man, Michael </w:t>
      </w:r>
      <w:proofErr w:type="spellStart"/>
      <w:r w:rsidRPr="0058604A">
        <w:rPr>
          <w:rFonts w:cstheme="minorHAnsi"/>
          <w:sz w:val="20"/>
          <w:szCs w:val="20"/>
        </w:rPr>
        <w:t>Karemera</w:t>
      </w:r>
      <w:proofErr w:type="spellEnd"/>
      <w:r w:rsidRPr="0058604A">
        <w:rPr>
          <w:rFonts w:cstheme="minorHAnsi"/>
          <w:sz w:val="20"/>
          <w:szCs w:val="20"/>
        </w:rPr>
        <w:t xml:space="preserve"> (K), were charged with two counts of conspiracy to supply controlled drugs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(cocaine and heroin) contrary to s. 1 of the Criminal Law Act 1977. They appeared before HHJ Downing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and a jury at Woolwich Crown Court in January 2016.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 xml:space="preserve">At trial, all three defendants pleaded duress. </w:t>
      </w:r>
      <w:proofErr w:type="gramStart"/>
      <w:r w:rsidRPr="0058604A">
        <w:rPr>
          <w:rFonts w:cstheme="minorHAnsi"/>
          <w:sz w:val="20"/>
          <w:szCs w:val="20"/>
        </w:rPr>
        <w:t>A and</w:t>
      </w:r>
      <w:proofErr w:type="gramEnd"/>
      <w:r w:rsidRPr="0058604A">
        <w:rPr>
          <w:rFonts w:cstheme="minorHAnsi"/>
          <w:sz w:val="20"/>
          <w:szCs w:val="20"/>
        </w:rPr>
        <w:t xml:space="preserve"> K both claimed that they had been forced into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selling the drugs and threatened if they did not do so. B claimed that, the day before her arrest, A had told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her that he was being compelled to sell the drugs and that if he did not do so ‘something bad would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happen to him’. B claimed that she was so afraid for his safety that she had agreed to carry the drugs for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him. The trial judge allowed A and K to run a defence of duress based on the alleged threats (these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defences were rejected by the jury). However, the trial judge withdrew B’s defence from the jury’s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consideration, holding that she could not rely on threats of which she had no first-hand knowledge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(something which HHJ Downing described as ‘hearsay duress’). B </w:t>
      </w:r>
      <w:proofErr w:type="gramStart"/>
      <w:r w:rsidRPr="0058604A">
        <w:rPr>
          <w:rFonts w:cstheme="minorHAnsi"/>
          <w:sz w:val="20"/>
          <w:szCs w:val="20"/>
        </w:rPr>
        <w:t>was convicted and appealed,</w:t>
      </w:r>
      <w:proofErr w:type="gramEnd"/>
      <w:r w:rsidRPr="0058604A">
        <w:rPr>
          <w:rFonts w:cstheme="minorHAnsi"/>
          <w:sz w:val="20"/>
          <w:szCs w:val="20"/>
        </w:rPr>
        <w:t xml:space="preserve"> contending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that the trial judge should have left duress to the jury.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Held, dismissing the appeal, the trial judge had been entitled to withdraw B’s defence from the jury,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albeit for different reasons than the one given (at [45]). B’s defence failed because no reasonable jury,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properly directed, could have found that she had acted under duress. The threat was vague; it lacked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immediacy; she had opportunities to contact the police or otherwise escape from the threat; she had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voluntarily associated with known criminals (at [46]). Although the authorities did not discount the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indirect relaying of a threat, the more indirectly the threat was conveyed, the more readily the Crown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would be able to disprove a defence of duress (at [39]).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8604A">
        <w:rPr>
          <w:rFonts w:cstheme="minorHAnsi"/>
          <w:sz w:val="26"/>
          <w:szCs w:val="26"/>
        </w:rPr>
        <w:t>Commentary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8604A">
        <w:rPr>
          <w:rFonts w:cstheme="minorHAnsi"/>
          <w:sz w:val="26"/>
          <w:szCs w:val="26"/>
        </w:rPr>
        <w:t>Indirect threats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 xml:space="preserve">The most interesting aspect of the present case is the acceptance of the possibility that a threat </w:t>
      </w:r>
      <w:proofErr w:type="gramStart"/>
      <w:r w:rsidRPr="0058604A">
        <w:rPr>
          <w:rFonts w:cstheme="minorHAnsi"/>
          <w:sz w:val="20"/>
          <w:szCs w:val="20"/>
        </w:rPr>
        <w:t>could be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conveyed</w:t>
      </w:r>
      <w:proofErr w:type="gramEnd"/>
      <w:r w:rsidRPr="0058604A">
        <w:rPr>
          <w:rFonts w:cstheme="minorHAnsi"/>
          <w:sz w:val="20"/>
          <w:szCs w:val="20"/>
        </w:rPr>
        <w:t xml:space="preserve"> indirectly and still be capable of supporting a defence of duress. Gross LJ explained that while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there was a correlation between the directness of a threat and its strength in terms of supporting a defence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of duress, the mere fact that a threat was indirect was not a ‘fatal bar’ to the defence. Gross LJ said:</w:t>
      </w:r>
      <w:r w:rsidRPr="0058604A">
        <w:rPr>
          <w:rFonts w:cstheme="minorHAnsi"/>
          <w:sz w:val="20"/>
          <w:szCs w:val="20"/>
        </w:rPr>
        <w:t xml:space="preserve"> 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sz w:val="18"/>
          <w:szCs w:val="18"/>
        </w:rPr>
      </w:pPr>
      <w:r w:rsidRPr="0058604A">
        <w:rPr>
          <w:rFonts w:cstheme="minorHAnsi"/>
          <w:sz w:val="18"/>
          <w:szCs w:val="18"/>
        </w:rPr>
        <w:t xml:space="preserve">For our part, we can envisage a situation where a threat is indeed very real, regardless of the fact that it </w:t>
      </w:r>
      <w:proofErr w:type="gramStart"/>
      <w:r w:rsidRPr="0058604A">
        <w:rPr>
          <w:rFonts w:cstheme="minorHAnsi"/>
          <w:sz w:val="18"/>
          <w:szCs w:val="18"/>
        </w:rPr>
        <w:t>is</w:t>
      </w:r>
      <w:r w:rsidRPr="0058604A">
        <w:rPr>
          <w:rFonts w:cstheme="minorHAnsi"/>
          <w:sz w:val="18"/>
          <w:szCs w:val="18"/>
        </w:rPr>
        <w:t xml:space="preserve"> </w:t>
      </w:r>
      <w:r w:rsidRPr="0058604A">
        <w:rPr>
          <w:rFonts w:cstheme="minorHAnsi"/>
          <w:sz w:val="18"/>
          <w:szCs w:val="18"/>
        </w:rPr>
        <w:t>indirectly relayed</w:t>
      </w:r>
      <w:proofErr w:type="gramEnd"/>
      <w:r w:rsidRPr="0058604A">
        <w:rPr>
          <w:rFonts w:cstheme="minorHAnsi"/>
          <w:sz w:val="18"/>
          <w:szCs w:val="18"/>
        </w:rPr>
        <w:t xml:space="preserve">. </w:t>
      </w:r>
      <w:proofErr w:type="gramStart"/>
      <w:r w:rsidRPr="0058604A">
        <w:rPr>
          <w:rFonts w:cstheme="minorHAnsi"/>
          <w:sz w:val="18"/>
          <w:szCs w:val="18"/>
        </w:rPr>
        <w:t>Take a threat made to a hypothetical D and her family by a messenger from an organised</w:t>
      </w:r>
      <w:r w:rsidRPr="0058604A">
        <w:rPr>
          <w:rFonts w:cstheme="minorHAnsi"/>
          <w:sz w:val="18"/>
          <w:szCs w:val="18"/>
        </w:rPr>
        <w:t xml:space="preserve"> </w:t>
      </w:r>
      <w:r w:rsidRPr="0058604A">
        <w:rPr>
          <w:rFonts w:cstheme="minorHAnsi"/>
          <w:sz w:val="18"/>
          <w:szCs w:val="18"/>
        </w:rPr>
        <w:t>crime group, conveying a threat from a ‘crime boss’ or the equivalent passing on of a threat from an emissary</w:t>
      </w:r>
      <w:r w:rsidRPr="0058604A">
        <w:rPr>
          <w:rFonts w:cstheme="minorHAnsi"/>
          <w:sz w:val="18"/>
          <w:szCs w:val="18"/>
        </w:rPr>
        <w:t xml:space="preserve"> </w:t>
      </w:r>
      <w:r w:rsidRPr="0058604A">
        <w:rPr>
          <w:rFonts w:cstheme="minorHAnsi"/>
          <w:sz w:val="18"/>
          <w:szCs w:val="18"/>
        </w:rPr>
        <w:t>of a terrorist group . . . It is very likely that the more directly a threat is conveyed, the more it will be capable of</w:t>
      </w:r>
      <w:r w:rsidRPr="0058604A">
        <w:rPr>
          <w:rFonts w:cstheme="minorHAnsi"/>
          <w:sz w:val="18"/>
          <w:szCs w:val="18"/>
        </w:rPr>
        <w:t xml:space="preserve"> </w:t>
      </w:r>
      <w:r w:rsidRPr="0058604A">
        <w:rPr>
          <w:rFonts w:cstheme="minorHAnsi"/>
          <w:sz w:val="18"/>
          <w:szCs w:val="18"/>
        </w:rPr>
        <w:t>founding a defence of duress.</w:t>
      </w:r>
      <w:proofErr w:type="gramEnd"/>
      <w:r w:rsidRPr="0058604A">
        <w:rPr>
          <w:rFonts w:cstheme="minorHAnsi"/>
          <w:sz w:val="18"/>
          <w:szCs w:val="18"/>
        </w:rPr>
        <w:t xml:space="preserve"> Conversely, the more indirectly the threat </w:t>
      </w:r>
      <w:proofErr w:type="gramStart"/>
      <w:r w:rsidRPr="0058604A">
        <w:rPr>
          <w:rFonts w:cstheme="minorHAnsi"/>
          <w:sz w:val="18"/>
          <w:szCs w:val="18"/>
        </w:rPr>
        <w:t>is relayed</w:t>
      </w:r>
      <w:proofErr w:type="gramEnd"/>
      <w:r w:rsidRPr="0058604A">
        <w:rPr>
          <w:rFonts w:cstheme="minorHAnsi"/>
          <w:sz w:val="18"/>
          <w:szCs w:val="18"/>
        </w:rPr>
        <w:t xml:space="preserve"> the more, all other things</w:t>
      </w:r>
      <w:r w:rsidRPr="0058604A">
        <w:rPr>
          <w:rFonts w:cstheme="minorHAnsi"/>
          <w:sz w:val="18"/>
          <w:szCs w:val="18"/>
        </w:rPr>
        <w:t xml:space="preserve"> </w:t>
      </w:r>
      <w:r w:rsidRPr="0058604A">
        <w:rPr>
          <w:rFonts w:cstheme="minorHAnsi"/>
          <w:sz w:val="18"/>
          <w:szCs w:val="18"/>
        </w:rPr>
        <w:t>being equal, a defendant will struggle to satisfy the requirements of the defence, or (put in burden of proof</w:t>
      </w:r>
      <w:r w:rsidRPr="0058604A">
        <w:rPr>
          <w:rFonts w:cstheme="minorHAnsi"/>
          <w:sz w:val="18"/>
          <w:szCs w:val="18"/>
        </w:rPr>
        <w:t xml:space="preserve"> </w:t>
      </w:r>
      <w:r w:rsidRPr="0058604A">
        <w:rPr>
          <w:rFonts w:cstheme="minorHAnsi"/>
          <w:sz w:val="18"/>
          <w:szCs w:val="18"/>
        </w:rPr>
        <w:t xml:space="preserve">terms) the more readily the prosecution will disprove it. However, the mere fact that the threat </w:t>
      </w:r>
      <w:proofErr w:type="gramStart"/>
      <w:r w:rsidRPr="0058604A">
        <w:rPr>
          <w:rFonts w:cstheme="minorHAnsi"/>
          <w:sz w:val="18"/>
          <w:szCs w:val="18"/>
        </w:rPr>
        <w:t>was conveyed</w:t>
      </w:r>
      <w:proofErr w:type="gramEnd"/>
      <w:r w:rsidRPr="0058604A">
        <w:rPr>
          <w:rFonts w:cstheme="minorHAnsi"/>
          <w:sz w:val="18"/>
          <w:szCs w:val="18"/>
        </w:rPr>
        <w:t xml:space="preserve"> </w:t>
      </w:r>
      <w:r w:rsidRPr="0058604A">
        <w:rPr>
          <w:rFonts w:cstheme="minorHAnsi"/>
          <w:sz w:val="18"/>
          <w:szCs w:val="18"/>
        </w:rPr>
        <w:t>indirectly does not seem to us to constitute a fatal bar to the defence. All must depend on the circumstances, of</w:t>
      </w:r>
      <w:r w:rsidRPr="0058604A">
        <w:rPr>
          <w:rFonts w:cstheme="minorHAnsi"/>
          <w:sz w:val="18"/>
          <w:szCs w:val="18"/>
        </w:rPr>
        <w:t xml:space="preserve"> </w:t>
      </w:r>
      <w:r w:rsidRPr="0058604A">
        <w:rPr>
          <w:rFonts w:cstheme="minorHAnsi"/>
          <w:sz w:val="18"/>
          <w:szCs w:val="18"/>
        </w:rPr>
        <w:t xml:space="preserve">which the manner in which the threat is conveyed is but </w:t>
      </w:r>
      <w:proofErr w:type="gramStart"/>
      <w:r w:rsidRPr="0058604A">
        <w:rPr>
          <w:rFonts w:cstheme="minorHAnsi"/>
          <w:sz w:val="18"/>
          <w:szCs w:val="18"/>
        </w:rPr>
        <w:t>one, however</w:t>
      </w:r>
      <w:proofErr w:type="gramEnd"/>
      <w:r w:rsidRPr="0058604A">
        <w:rPr>
          <w:rFonts w:cstheme="minorHAnsi"/>
          <w:sz w:val="18"/>
          <w:szCs w:val="18"/>
        </w:rPr>
        <w:t xml:space="preserve"> important it may be. (</w:t>
      </w:r>
      <w:proofErr w:type="gramStart"/>
      <w:r w:rsidRPr="0058604A">
        <w:rPr>
          <w:rFonts w:cstheme="minorHAnsi"/>
          <w:sz w:val="18"/>
          <w:szCs w:val="18"/>
        </w:rPr>
        <w:t>at</w:t>
      </w:r>
      <w:proofErr w:type="gramEnd"/>
      <w:r w:rsidRPr="0058604A">
        <w:rPr>
          <w:rFonts w:cstheme="minorHAnsi"/>
          <w:sz w:val="18"/>
          <w:szCs w:val="18"/>
        </w:rPr>
        <w:t xml:space="preserve"> [39])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8604A">
        <w:rPr>
          <w:rFonts w:cstheme="minorHAnsi"/>
          <w:sz w:val="26"/>
          <w:szCs w:val="26"/>
        </w:rPr>
        <w:t>Duress in the context of a relationship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58604A">
        <w:rPr>
          <w:rFonts w:cstheme="minorHAnsi"/>
          <w:sz w:val="20"/>
          <w:szCs w:val="20"/>
        </w:rPr>
        <w:lastRenderedPageBreak/>
        <w:t>During HHJ Downing’s ruling on B’s defence of duress at trial, she referred to a ‘a basic incompatibility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and a basic irreconcilability’ between, on one hand, ‘the pressure based upon love and the exploitation of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a relationship and the ability to convince a loved one to act in a particular way’ and on the other hand ‘the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fear that a defendant who is threatened directly and acts as a result of duress’.</w:t>
      </w:r>
      <w:proofErr w:type="gramEnd"/>
      <w:r w:rsidRPr="0058604A">
        <w:rPr>
          <w:rFonts w:cstheme="minorHAnsi"/>
          <w:sz w:val="20"/>
          <w:szCs w:val="20"/>
        </w:rPr>
        <w:t xml:space="preserve"> She concluded that it was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‘crystal clear’ that B acted as she did out of love for her boyfriend, </w:t>
      </w:r>
      <w:proofErr w:type="gramStart"/>
      <w:r w:rsidRPr="0058604A">
        <w:rPr>
          <w:rFonts w:cstheme="minorHAnsi"/>
          <w:sz w:val="20"/>
          <w:szCs w:val="20"/>
        </w:rPr>
        <w:t>A</w:t>
      </w:r>
      <w:proofErr w:type="gramEnd"/>
      <w:r w:rsidRPr="0058604A">
        <w:rPr>
          <w:rFonts w:cstheme="minorHAnsi"/>
          <w:sz w:val="20"/>
          <w:szCs w:val="20"/>
        </w:rPr>
        <w:t>, and that ‘the threat was something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of a secondary matter’.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The Court of Appeal was critical of the trial judge for describing pressure (derived from a relationship)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and fear (derived from threats) as ‘irreconcilable’. Gross LJ acknowledged </w:t>
      </w:r>
      <w:proofErr w:type="gramStart"/>
      <w:r w:rsidRPr="0058604A">
        <w:rPr>
          <w:rFonts w:cstheme="minorHAnsi"/>
          <w:sz w:val="20"/>
          <w:szCs w:val="20"/>
        </w:rPr>
        <w:t>that there was a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difference between ‘the pressure based on a relationship and the fear that lies at the heart of duress</w:t>
      </w:r>
      <w:proofErr w:type="gramEnd"/>
      <w:r w:rsidRPr="0058604A">
        <w:rPr>
          <w:rFonts w:cstheme="minorHAnsi"/>
          <w:sz w:val="20"/>
          <w:szCs w:val="20"/>
        </w:rPr>
        <w:t>.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The two plainly are different. The first exploits affection or infatuation. The second is based on fear’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(at [40]; emphasis in original). However, he rejected the suggestion that they were irreconcilable; rather,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in some circumstances at least, they could ‘operate in a cumulative manner’ (at [40]).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8604A">
        <w:rPr>
          <w:rFonts w:cstheme="minorHAnsi"/>
          <w:sz w:val="26"/>
          <w:szCs w:val="26"/>
        </w:rPr>
        <w:t>Limitations on duress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The rest of the judgment is a useful reminder of the limits placed on duress. The present case does not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establish anything else new but does confirm the following principles: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E5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If successful, duress is a complete defence (</w:t>
      </w:r>
      <w:r w:rsidRPr="0058604A">
        <w:rPr>
          <w:rFonts w:cstheme="minorHAnsi"/>
          <w:i/>
          <w:sz w:val="20"/>
          <w:szCs w:val="20"/>
        </w:rPr>
        <w:t>Hasan</w:t>
      </w:r>
      <w:r w:rsidRPr="0058604A">
        <w:rPr>
          <w:rFonts w:cstheme="minorHAnsi"/>
          <w:sz w:val="20"/>
          <w:szCs w:val="20"/>
        </w:rPr>
        <w:t xml:space="preserve"> [2005] UKHL 22, [2005] </w:t>
      </w:r>
      <w:proofErr w:type="gramStart"/>
      <w:r w:rsidRPr="0058604A">
        <w:rPr>
          <w:rFonts w:cstheme="minorHAnsi"/>
          <w:sz w:val="20"/>
          <w:szCs w:val="20"/>
        </w:rPr>
        <w:t>2</w:t>
      </w:r>
      <w:proofErr w:type="gramEnd"/>
      <w:r w:rsidRPr="0058604A">
        <w:rPr>
          <w:rFonts w:cstheme="minorHAnsi"/>
          <w:sz w:val="20"/>
          <w:szCs w:val="20"/>
        </w:rPr>
        <w:t xml:space="preserve"> AC 467). Because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of that, its scope </w:t>
      </w:r>
      <w:proofErr w:type="gramStart"/>
      <w:r w:rsidRPr="0058604A">
        <w:rPr>
          <w:rFonts w:cstheme="minorHAnsi"/>
          <w:sz w:val="20"/>
          <w:szCs w:val="20"/>
        </w:rPr>
        <w:t>is ‘narrowly and carefully confined</w:t>
      </w:r>
      <w:proofErr w:type="gramEnd"/>
      <w:r w:rsidRPr="0058604A">
        <w:rPr>
          <w:rFonts w:cstheme="minorHAnsi"/>
          <w:sz w:val="20"/>
          <w:szCs w:val="20"/>
        </w:rPr>
        <w:t>’ (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[30]).</w:t>
      </w:r>
    </w:p>
    <w:p w:rsidR="0058604A" w:rsidRPr="0058604A" w:rsidRDefault="0058604A" w:rsidP="0058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 xml:space="preserve">As a minimum, it requires that D </w:t>
      </w:r>
      <w:proofErr w:type="gramStart"/>
      <w:r w:rsidRPr="0058604A">
        <w:rPr>
          <w:rFonts w:cstheme="minorHAnsi"/>
          <w:sz w:val="20"/>
          <w:szCs w:val="20"/>
        </w:rPr>
        <w:t>be confronted</w:t>
      </w:r>
      <w:proofErr w:type="gramEnd"/>
      <w:r w:rsidRPr="0058604A">
        <w:rPr>
          <w:rFonts w:cstheme="minorHAnsi"/>
          <w:sz w:val="20"/>
          <w:szCs w:val="20"/>
        </w:rPr>
        <w:t xml:space="preserve"> with a threat of death or serious injury if he/she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does not commit an offence (Hasan). Threats to property are insufficient (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[32]).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Other case law has elaborated on this point, holding inter alia that injury means physical, as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opposed to psychological, injury (</w:t>
      </w:r>
      <w:r w:rsidRPr="0058604A">
        <w:rPr>
          <w:rFonts w:cstheme="minorHAnsi"/>
          <w:i/>
          <w:sz w:val="20"/>
          <w:szCs w:val="20"/>
        </w:rPr>
        <w:t>Baker &amp; Wilkins</w:t>
      </w:r>
      <w:r w:rsidRPr="0058604A">
        <w:rPr>
          <w:rFonts w:cstheme="minorHAnsi"/>
          <w:sz w:val="20"/>
          <w:szCs w:val="20"/>
        </w:rPr>
        <w:t xml:space="preserve"> [1997] Crim LR 497). A threat to commit rape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is a threat of serious injury (</w:t>
      </w:r>
      <w:r w:rsidRPr="0058604A">
        <w:rPr>
          <w:rFonts w:cstheme="minorHAnsi"/>
          <w:i/>
          <w:sz w:val="20"/>
          <w:szCs w:val="20"/>
        </w:rPr>
        <w:t xml:space="preserve">A </w:t>
      </w:r>
      <w:r w:rsidRPr="0058604A">
        <w:rPr>
          <w:rFonts w:cstheme="minorHAnsi"/>
          <w:sz w:val="20"/>
          <w:szCs w:val="20"/>
        </w:rPr>
        <w:t xml:space="preserve">[2012] EWCA Crim 434, [2012] </w:t>
      </w:r>
      <w:proofErr w:type="gramStart"/>
      <w:r w:rsidRPr="0058604A">
        <w:rPr>
          <w:rFonts w:cstheme="minorHAnsi"/>
          <w:sz w:val="20"/>
          <w:szCs w:val="20"/>
        </w:rPr>
        <w:t>2</w:t>
      </w:r>
      <w:proofErr w:type="gramEnd"/>
      <w:r w:rsidRPr="0058604A">
        <w:rPr>
          <w:rFonts w:cstheme="minorHAnsi"/>
          <w:sz w:val="20"/>
          <w:szCs w:val="20"/>
        </w:rPr>
        <w:t xml:space="preserve"> Cr App R 8). A threat of false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imprisonment is insufficient (</w:t>
      </w:r>
      <w:r w:rsidRPr="0058604A">
        <w:rPr>
          <w:rFonts w:cstheme="minorHAnsi"/>
          <w:i/>
          <w:sz w:val="20"/>
          <w:szCs w:val="20"/>
        </w:rPr>
        <w:t>Dao, Mai &amp; Nguyen</w:t>
      </w:r>
      <w:r w:rsidRPr="0058604A">
        <w:rPr>
          <w:rFonts w:cstheme="minorHAnsi"/>
          <w:sz w:val="20"/>
          <w:szCs w:val="20"/>
        </w:rPr>
        <w:t xml:space="preserve"> [2012] EWCA Crim 1717). A threat to reveal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secrets about D, such as his secret sexual orientation, is insufficient (</w:t>
      </w:r>
      <w:proofErr w:type="spellStart"/>
      <w:r w:rsidRPr="0058604A">
        <w:rPr>
          <w:rFonts w:cstheme="minorHAnsi"/>
          <w:i/>
          <w:sz w:val="20"/>
          <w:szCs w:val="20"/>
        </w:rPr>
        <w:t>Valderrama</w:t>
      </w:r>
      <w:proofErr w:type="spellEnd"/>
      <w:r w:rsidRPr="0058604A">
        <w:rPr>
          <w:rFonts w:cstheme="minorHAnsi"/>
          <w:i/>
          <w:sz w:val="20"/>
          <w:szCs w:val="20"/>
        </w:rPr>
        <w:t>-Vega</w:t>
      </w:r>
      <w:r w:rsidRPr="0058604A">
        <w:rPr>
          <w:rFonts w:cstheme="minorHAnsi"/>
          <w:sz w:val="20"/>
          <w:szCs w:val="20"/>
        </w:rPr>
        <w:t xml:space="preserve"> [1986]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Crim LR 433).</w:t>
      </w:r>
    </w:p>
    <w:p w:rsidR="0058604A" w:rsidRPr="0058604A" w:rsidRDefault="0058604A" w:rsidP="0058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Duress is only available if it is D, or a close family member, or someone for whom D reasonably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regards him/herself as responsible, that is threatened (</w:t>
      </w:r>
      <w:r w:rsidRPr="0058604A">
        <w:rPr>
          <w:rFonts w:cstheme="minorHAnsi"/>
          <w:i/>
          <w:sz w:val="20"/>
          <w:szCs w:val="20"/>
        </w:rPr>
        <w:t>Hasan</w:t>
      </w:r>
      <w:proofErr w:type="gramStart"/>
      <w:r w:rsidRPr="0058604A">
        <w:rPr>
          <w:rFonts w:cstheme="minorHAnsi"/>
          <w:i/>
          <w:sz w:val="20"/>
          <w:szCs w:val="20"/>
        </w:rPr>
        <w:t>;</w:t>
      </w:r>
      <w:proofErr w:type="gramEnd"/>
      <w:r w:rsidRPr="0058604A">
        <w:rPr>
          <w:rFonts w:cstheme="minorHAnsi"/>
          <w:i/>
          <w:sz w:val="20"/>
          <w:szCs w:val="20"/>
        </w:rPr>
        <w:t xml:space="preserve"> 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[32]). Several cases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have involved D pleading duress on the basis that their spouse or girlfriend or boyfriend was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threatened with death or serious injury (e.g. </w:t>
      </w:r>
      <w:r w:rsidRPr="0058604A">
        <w:rPr>
          <w:rFonts w:cstheme="minorHAnsi"/>
          <w:i/>
          <w:sz w:val="20"/>
          <w:szCs w:val="20"/>
        </w:rPr>
        <w:t>Ortiz</w:t>
      </w:r>
      <w:r w:rsidRPr="0058604A">
        <w:rPr>
          <w:rFonts w:cstheme="minorHAnsi"/>
          <w:sz w:val="20"/>
          <w:szCs w:val="20"/>
        </w:rPr>
        <w:t xml:space="preserve"> (1986) 83 Cr. App. R. 173, </w:t>
      </w:r>
      <w:r w:rsidRPr="0058604A">
        <w:rPr>
          <w:rFonts w:cstheme="minorHAnsi"/>
          <w:i/>
          <w:sz w:val="20"/>
          <w:szCs w:val="20"/>
        </w:rPr>
        <w:t>Martin</w:t>
      </w:r>
      <w:r w:rsidRPr="0058604A">
        <w:rPr>
          <w:rFonts w:cstheme="minorHAnsi"/>
          <w:sz w:val="20"/>
          <w:szCs w:val="20"/>
        </w:rPr>
        <w:t xml:space="preserve"> [1989] </w:t>
      </w:r>
      <w:proofErr w:type="gramStart"/>
      <w:r w:rsidRPr="0058604A">
        <w:rPr>
          <w:rFonts w:cstheme="minorHAnsi"/>
          <w:sz w:val="20"/>
          <w:szCs w:val="20"/>
        </w:rPr>
        <w:t>1</w:t>
      </w:r>
      <w:proofErr w:type="gramEnd"/>
      <w:r w:rsidRPr="0058604A">
        <w:rPr>
          <w:rFonts w:cstheme="minorHAnsi"/>
          <w:sz w:val="20"/>
          <w:szCs w:val="20"/>
        </w:rPr>
        <w:t xml:space="preserve"> All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ER 652, </w:t>
      </w:r>
      <w:r w:rsidRPr="0058604A">
        <w:rPr>
          <w:rFonts w:cstheme="minorHAnsi"/>
          <w:i/>
          <w:sz w:val="20"/>
          <w:szCs w:val="20"/>
        </w:rPr>
        <w:t>Wright</w:t>
      </w:r>
      <w:r w:rsidRPr="0058604A">
        <w:rPr>
          <w:rFonts w:cstheme="minorHAnsi"/>
          <w:sz w:val="20"/>
          <w:szCs w:val="20"/>
        </w:rPr>
        <w:t xml:space="preserve"> [2000] Crim LR 510). It is noteworthy that B’s defence in the present case </w:t>
      </w:r>
      <w:proofErr w:type="gramStart"/>
      <w:r w:rsidRPr="0058604A">
        <w:rPr>
          <w:rFonts w:cstheme="minorHAnsi"/>
          <w:sz w:val="20"/>
          <w:szCs w:val="20"/>
        </w:rPr>
        <w:t>was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not rejected</w:t>
      </w:r>
      <w:proofErr w:type="gramEnd"/>
      <w:r w:rsidRPr="0058604A">
        <w:rPr>
          <w:rFonts w:cstheme="minorHAnsi"/>
          <w:sz w:val="20"/>
          <w:szCs w:val="20"/>
        </w:rPr>
        <w:t xml:space="preserve"> on this ground.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Duress includes a ‘reasonable person’ test (</w:t>
      </w:r>
      <w:r w:rsidRPr="0058604A">
        <w:rPr>
          <w:rFonts w:cstheme="minorHAnsi"/>
          <w:i/>
          <w:sz w:val="20"/>
          <w:szCs w:val="20"/>
        </w:rPr>
        <w:t>Graham</w:t>
      </w:r>
      <w:r w:rsidRPr="0058604A">
        <w:rPr>
          <w:rFonts w:cstheme="minorHAnsi"/>
          <w:sz w:val="20"/>
          <w:szCs w:val="20"/>
        </w:rPr>
        <w:t xml:space="preserve"> [1982] 1 WLR 294), that is, D’s reaction to the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threat </w:t>
      </w:r>
      <w:proofErr w:type="gramStart"/>
      <w:r w:rsidRPr="0058604A">
        <w:rPr>
          <w:rFonts w:cstheme="minorHAnsi"/>
          <w:sz w:val="20"/>
          <w:szCs w:val="20"/>
        </w:rPr>
        <w:t>will be compared</w:t>
      </w:r>
      <w:proofErr w:type="gramEnd"/>
      <w:r w:rsidRPr="0058604A">
        <w:rPr>
          <w:rFonts w:cstheme="minorHAnsi"/>
          <w:sz w:val="20"/>
          <w:szCs w:val="20"/>
        </w:rPr>
        <w:t xml:space="preserve"> with that of a hypothetical reasonable man or woman sharing D’s characteristics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(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[31]). However, only certain characteristics are relevant, that is, age, pregnancy, ‘serious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physical disability’ and ‘recognised mental illness or psychiatric condition’ but not low IQ (</w:t>
      </w:r>
      <w:r w:rsidRPr="0058604A">
        <w:rPr>
          <w:rFonts w:cstheme="minorHAnsi"/>
          <w:i/>
          <w:sz w:val="20"/>
          <w:szCs w:val="20"/>
        </w:rPr>
        <w:t>Bowen</w:t>
      </w:r>
      <w:r w:rsidRPr="0058604A">
        <w:rPr>
          <w:rFonts w:cstheme="minorHAnsi"/>
          <w:sz w:val="20"/>
          <w:szCs w:val="20"/>
        </w:rPr>
        <w:t xml:space="preserve"> [1997] 1 WLR 372, [1996] 4 All ER</w:t>
      </w:r>
      <w:r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837). Self-induced characteristics are irrelevant (</w:t>
      </w:r>
      <w:r w:rsidRPr="0058604A">
        <w:rPr>
          <w:rFonts w:cstheme="minorHAnsi"/>
          <w:i/>
          <w:sz w:val="20"/>
          <w:szCs w:val="20"/>
        </w:rPr>
        <w:t>Bowen</w:t>
      </w:r>
      <w:r w:rsidRPr="0058604A">
        <w:rPr>
          <w:rFonts w:cstheme="minorHAnsi"/>
          <w:sz w:val="20"/>
          <w:szCs w:val="20"/>
        </w:rPr>
        <w:t>).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The threat has to be one that D reasonably expects to follow ‘immediately’ or ‘almost immediately’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(</w:t>
      </w:r>
      <w:r w:rsidRPr="0058604A">
        <w:rPr>
          <w:rFonts w:cstheme="minorHAnsi"/>
          <w:i/>
          <w:sz w:val="20"/>
          <w:szCs w:val="20"/>
        </w:rPr>
        <w:t xml:space="preserve">Hasan; 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[33]).</w:t>
      </w:r>
    </w:p>
    <w:p w:rsidR="0058604A" w:rsidRPr="0058604A" w:rsidRDefault="0058604A" w:rsidP="00586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58604A">
        <w:rPr>
          <w:rFonts w:cstheme="minorHAnsi"/>
          <w:sz w:val="20"/>
          <w:szCs w:val="20"/>
        </w:rPr>
        <w:t>Duress is not available if D ‘voluntarily’ associates with others engaged in criminal activity in a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situation where D knows or ought reasonably to know that he/she may be the subject of compulsion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by threats of violence (</w:t>
      </w:r>
      <w:r w:rsidRPr="0058604A">
        <w:rPr>
          <w:rFonts w:cstheme="minorHAnsi"/>
          <w:i/>
          <w:sz w:val="20"/>
          <w:szCs w:val="20"/>
        </w:rPr>
        <w:t>Hasan; Ali</w:t>
      </w:r>
      <w:r w:rsidRPr="0058604A">
        <w:rPr>
          <w:rFonts w:cstheme="minorHAnsi"/>
          <w:sz w:val="20"/>
          <w:szCs w:val="20"/>
        </w:rPr>
        <w:t xml:space="preserve"> [1995] Crim LR 303; </w:t>
      </w:r>
      <w:r w:rsidRPr="0058604A">
        <w:rPr>
          <w:rFonts w:cstheme="minorHAnsi"/>
          <w:i/>
          <w:sz w:val="20"/>
          <w:szCs w:val="20"/>
        </w:rPr>
        <w:t>Heath</w:t>
      </w:r>
      <w:r w:rsidRPr="0058604A">
        <w:rPr>
          <w:rFonts w:cstheme="minorHAnsi"/>
          <w:sz w:val="20"/>
          <w:szCs w:val="20"/>
        </w:rPr>
        <w:t xml:space="preserve"> [2000] Crim LR 109; </w:t>
      </w:r>
      <w:r w:rsidRPr="0058604A">
        <w:rPr>
          <w:rFonts w:cstheme="minorHAnsi"/>
          <w:i/>
          <w:sz w:val="20"/>
          <w:szCs w:val="20"/>
        </w:rPr>
        <w:t>Harmer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[2001] EWCA Crim 2930; </w:t>
      </w:r>
      <w:r w:rsidRPr="0058604A">
        <w:rPr>
          <w:rFonts w:cstheme="minorHAnsi"/>
          <w:i/>
          <w:sz w:val="20"/>
          <w:szCs w:val="20"/>
        </w:rPr>
        <w:t>Ali</w:t>
      </w:r>
      <w:r w:rsidRPr="0058604A">
        <w:rPr>
          <w:rFonts w:cstheme="minorHAnsi"/>
          <w:sz w:val="20"/>
          <w:szCs w:val="20"/>
        </w:rPr>
        <w:t xml:space="preserve"> [2008] EWCA Crim 716; </w:t>
      </w:r>
      <w:r w:rsidRPr="0058604A">
        <w:rPr>
          <w:rFonts w:cstheme="minorHAnsi"/>
          <w:i/>
          <w:sz w:val="20"/>
          <w:szCs w:val="20"/>
        </w:rPr>
        <w:t>Hussain</w:t>
      </w:r>
      <w:r w:rsidRPr="0058604A">
        <w:rPr>
          <w:rFonts w:cstheme="minorHAnsi"/>
          <w:sz w:val="20"/>
          <w:szCs w:val="20"/>
        </w:rPr>
        <w:t xml:space="preserve"> [2008] EWCA Crim 1117;</w:t>
      </w:r>
      <w:r w:rsidRPr="0058604A">
        <w:rPr>
          <w:rFonts w:cstheme="minorHAnsi"/>
          <w:sz w:val="20"/>
          <w:szCs w:val="20"/>
        </w:rPr>
        <w:t xml:space="preserve"> 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[34] and [35]).</w:t>
      </w:r>
      <w:proofErr w:type="gramEnd"/>
      <w:r w:rsidRPr="0058604A">
        <w:rPr>
          <w:rFonts w:cstheme="minorHAnsi"/>
          <w:sz w:val="20"/>
          <w:szCs w:val="20"/>
        </w:rPr>
        <w:t xml:space="preserve"> Thus, if D joins a gang of armed robbers (</w:t>
      </w:r>
      <w:r w:rsidRPr="0058604A">
        <w:rPr>
          <w:rFonts w:cstheme="minorHAnsi"/>
          <w:i/>
          <w:sz w:val="20"/>
          <w:szCs w:val="20"/>
        </w:rPr>
        <w:t>Sharp</w:t>
      </w:r>
      <w:r w:rsidRPr="0058604A">
        <w:rPr>
          <w:rFonts w:cstheme="minorHAnsi"/>
          <w:sz w:val="20"/>
          <w:szCs w:val="20"/>
        </w:rPr>
        <w:t xml:space="preserve"> [1987] QB 853,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[1987] 3 WLR 1) or becomes involved with a violent gangster/drug dealer (</w:t>
      </w:r>
      <w:r w:rsidRPr="0058604A">
        <w:rPr>
          <w:rFonts w:cstheme="minorHAnsi"/>
          <w:i/>
          <w:sz w:val="20"/>
          <w:szCs w:val="20"/>
        </w:rPr>
        <w:t>Hasan</w:t>
      </w:r>
      <w:r w:rsidRPr="0058604A">
        <w:rPr>
          <w:rFonts w:cstheme="minorHAnsi"/>
          <w:sz w:val="20"/>
          <w:szCs w:val="20"/>
        </w:rPr>
        <w:t>), the defence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will fail. </w:t>
      </w:r>
      <w:proofErr w:type="gramStart"/>
      <w:r w:rsidRPr="0058604A">
        <w:rPr>
          <w:rFonts w:cstheme="minorHAnsi"/>
          <w:sz w:val="20"/>
          <w:szCs w:val="20"/>
        </w:rPr>
        <w:t>But</w:t>
      </w:r>
      <w:proofErr w:type="gramEnd"/>
      <w:r w:rsidRPr="0058604A">
        <w:rPr>
          <w:rFonts w:cstheme="minorHAnsi"/>
          <w:sz w:val="20"/>
          <w:szCs w:val="20"/>
        </w:rPr>
        <w:t xml:space="preserve"> duress will still be available if D joins a non-violent criminal gang (</w:t>
      </w:r>
      <w:r w:rsidRPr="0058604A">
        <w:rPr>
          <w:rFonts w:cstheme="minorHAnsi"/>
          <w:i/>
          <w:sz w:val="20"/>
          <w:szCs w:val="20"/>
        </w:rPr>
        <w:t>Shepherd</w:t>
      </w:r>
      <w:r w:rsidRPr="0058604A">
        <w:rPr>
          <w:rFonts w:cstheme="minorHAnsi"/>
          <w:sz w:val="20"/>
          <w:szCs w:val="20"/>
        </w:rPr>
        <w:t xml:space="preserve"> (1988)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86 Cr App R 47).</w:t>
      </w:r>
    </w:p>
    <w:p w:rsidR="0058604A" w:rsidRPr="0058604A" w:rsidRDefault="0058604A" w:rsidP="00586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 xml:space="preserve">Duress </w:t>
      </w:r>
      <w:proofErr w:type="gramStart"/>
      <w:r w:rsidRPr="0058604A">
        <w:rPr>
          <w:rFonts w:cstheme="minorHAnsi"/>
          <w:sz w:val="20"/>
          <w:szCs w:val="20"/>
        </w:rPr>
        <w:t>may be excluded if D had an opportunity to contact the police and/or escape from the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threat and failed to take it (</w:t>
      </w:r>
      <w:proofErr w:type="spellStart"/>
      <w:r w:rsidRPr="0058604A">
        <w:rPr>
          <w:rFonts w:cstheme="minorHAnsi"/>
          <w:i/>
          <w:sz w:val="20"/>
          <w:szCs w:val="20"/>
        </w:rPr>
        <w:t>Pommell</w:t>
      </w:r>
      <w:proofErr w:type="spellEnd"/>
      <w:r w:rsidRPr="0058604A">
        <w:rPr>
          <w:rFonts w:cstheme="minorHAnsi"/>
          <w:sz w:val="20"/>
          <w:szCs w:val="20"/>
        </w:rPr>
        <w:t xml:space="preserve"> [1995] 2 Cr App R 607; 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[46])</w:t>
      </w:r>
      <w:proofErr w:type="gramEnd"/>
      <w:r w:rsidRPr="0058604A">
        <w:rPr>
          <w:rFonts w:cstheme="minorHAnsi"/>
          <w:sz w:val="20"/>
          <w:szCs w:val="20"/>
        </w:rPr>
        <w:t>.</w:t>
      </w:r>
    </w:p>
    <w:p w:rsidR="0058604A" w:rsidRPr="0058604A" w:rsidRDefault="0058604A" w:rsidP="00586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D must provide ‘some evidence’ that he/she committed a crime while under threat (</w:t>
      </w:r>
      <w:r w:rsidRPr="0058604A">
        <w:rPr>
          <w:rFonts w:cstheme="minorHAnsi"/>
          <w:i/>
          <w:sz w:val="20"/>
          <w:szCs w:val="20"/>
        </w:rPr>
        <w:t>Bianco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[2001] EWCA Crim 2516). Thereafter, the burden of disproving duress is on the prosecution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(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[36]). However, ‘where no reasonable jury properly directed could fail to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find the defence of duress disproved, the judge is entitled to withdraw it from the jury’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(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at [37]).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lastRenderedPageBreak/>
        <w:t xml:space="preserve">Indeed, the </w:t>
      </w:r>
      <w:r w:rsidRPr="0058604A">
        <w:rPr>
          <w:rFonts w:cstheme="minorHAnsi"/>
          <w:i/>
          <w:sz w:val="20"/>
          <w:szCs w:val="20"/>
        </w:rPr>
        <w:t>Bianco</w:t>
      </w:r>
      <w:r w:rsidRPr="0058604A">
        <w:rPr>
          <w:rFonts w:cstheme="minorHAnsi"/>
          <w:sz w:val="20"/>
          <w:szCs w:val="20"/>
        </w:rPr>
        <w:t xml:space="preserve"> case is very similar both factually and legally to the present case. Leonardo Bianco</w:t>
      </w:r>
      <w:r w:rsidRPr="0058604A">
        <w:rPr>
          <w:rFonts w:cstheme="minorHAnsi"/>
          <w:sz w:val="20"/>
          <w:szCs w:val="20"/>
        </w:rPr>
        <w:t xml:space="preserve"> </w:t>
      </w:r>
      <w:proofErr w:type="gramStart"/>
      <w:r w:rsidRPr="0058604A">
        <w:rPr>
          <w:rFonts w:cstheme="minorHAnsi"/>
          <w:sz w:val="20"/>
          <w:szCs w:val="20"/>
        </w:rPr>
        <w:t>was caught</w:t>
      </w:r>
      <w:proofErr w:type="gramEnd"/>
      <w:r w:rsidRPr="0058604A">
        <w:rPr>
          <w:rFonts w:cstheme="minorHAnsi"/>
          <w:sz w:val="20"/>
          <w:szCs w:val="20"/>
        </w:rPr>
        <w:t xml:space="preserve"> by customs officers at Dover driving off the ferry from Calais with 2 kg of heroin hidden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inside his car. He </w:t>
      </w:r>
      <w:proofErr w:type="gramStart"/>
      <w:r w:rsidRPr="0058604A">
        <w:rPr>
          <w:rFonts w:cstheme="minorHAnsi"/>
          <w:sz w:val="20"/>
          <w:szCs w:val="20"/>
        </w:rPr>
        <w:t>was charged</w:t>
      </w:r>
      <w:proofErr w:type="gramEnd"/>
      <w:r w:rsidRPr="0058604A">
        <w:rPr>
          <w:rFonts w:cstheme="minorHAnsi"/>
          <w:sz w:val="20"/>
          <w:szCs w:val="20"/>
        </w:rPr>
        <w:t xml:space="preserve"> with being knowingly concerned in the importation of controlled drugs, to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which he pleaded duress. He claimed that a man called ‘Molly’ had said something like, ‘We know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where your family are, and we know how to get even with you’. After the threat, Bianco drove from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Wolverhampton down to Dover, took the ferry to Calais and then drove to a service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station on the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outskirts of the city where </w:t>
      </w:r>
      <w:proofErr w:type="gramStart"/>
      <w:r w:rsidRPr="0058604A">
        <w:rPr>
          <w:rFonts w:cstheme="minorHAnsi"/>
          <w:sz w:val="20"/>
          <w:szCs w:val="20"/>
        </w:rPr>
        <w:t>he was met by Molly</w:t>
      </w:r>
      <w:proofErr w:type="gramEnd"/>
      <w:r w:rsidRPr="0058604A">
        <w:rPr>
          <w:rFonts w:cstheme="minorHAnsi"/>
          <w:sz w:val="20"/>
          <w:szCs w:val="20"/>
        </w:rPr>
        <w:t>. The pair of them drove to Holland to collect the drugs.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Bianco drove back to Calais, dropping Molly off near Ostend in Belgium, </w:t>
      </w:r>
      <w:proofErr w:type="gramStart"/>
      <w:r w:rsidRPr="0058604A">
        <w:rPr>
          <w:rFonts w:cstheme="minorHAnsi"/>
          <w:sz w:val="20"/>
          <w:szCs w:val="20"/>
        </w:rPr>
        <w:t>then</w:t>
      </w:r>
      <w:proofErr w:type="gramEnd"/>
      <w:r w:rsidRPr="0058604A">
        <w:rPr>
          <w:rFonts w:cstheme="minorHAnsi"/>
          <w:sz w:val="20"/>
          <w:szCs w:val="20"/>
        </w:rPr>
        <w:t xml:space="preserve"> caught the ferry to Dover.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At Bianco’s trial at Canterbury Crown Court, the trial judge refused to put the defence of duress to the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jury, who subsequently returned a guilty verdict. Bianco appealed, unsuccessfully. The Court of Appeal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held that the trial judge had correctly withdrawn the defence for two reasons: (</w:t>
      </w:r>
      <w:proofErr w:type="spellStart"/>
      <w:r w:rsidRPr="0058604A">
        <w:rPr>
          <w:rFonts w:cstheme="minorHAnsi"/>
          <w:sz w:val="20"/>
          <w:szCs w:val="20"/>
        </w:rPr>
        <w:t>i</w:t>
      </w:r>
      <w:proofErr w:type="spellEnd"/>
      <w:r w:rsidRPr="0058604A">
        <w:rPr>
          <w:rFonts w:cstheme="minorHAnsi"/>
          <w:sz w:val="20"/>
          <w:szCs w:val="20"/>
        </w:rPr>
        <w:t>) Molly’s threat was too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vague and (ii) Bianco had several opportunities to escape and/or contact the police – during the drive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from Wolverhampton down to Dover; in France before he met up with Molly; and during the drive from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Ostend to Calais.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 xml:space="preserve">There are other principles underpinning the defence of duress that </w:t>
      </w:r>
      <w:proofErr w:type="gramStart"/>
      <w:r w:rsidRPr="0058604A">
        <w:rPr>
          <w:rFonts w:cstheme="minorHAnsi"/>
          <w:sz w:val="20"/>
          <w:szCs w:val="20"/>
        </w:rPr>
        <w:t>were not raised</w:t>
      </w:r>
      <w:proofErr w:type="gramEnd"/>
      <w:r w:rsidRPr="0058604A">
        <w:rPr>
          <w:rFonts w:cstheme="minorHAnsi"/>
          <w:sz w:val="20"/>
          <w:szCs w:val="20"/>
        </w:rPr>
        <w:t xml:space="preserve"> in the present case.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They include:</w:t>
      </w:r>
    </w:p>
    <w:p w:rsidR="0058604A" w:rsidRPr="0058604A" w:rsidRDefault="0058604A" w:rsidP="00586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604A" w:rsidRPr="0058604A" w:rsidRDefault="0058604A" w:rsidP="005860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The threat must derive from an extraneous source, that is, from another person or from the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surrounding circumstances. Duress is not available if D perceives </w:t>
      </w:r>
      <w:proofErr w:type="gramStart"/>
      <w:r w:rsidRPr="0058604A">
        <w:rPr>
          <w:rFonts w:cstheme="minorHAnsi"/>
          <w:sz w:val="20"/>
          <w:szCs w:val="20"/>
        </w:rPr>
        <w:t>threats which</w:t>
      </w:r>
      <w:proofErr w:type="gramEnd"/>
      <w:r w:rsidRPr="0058604A">
        <w:rPr>
          <w:rFonts w:cstheme="minorHAnsi"/>
          <w:sz w:val="20"/>
          <w:szCs w:val="20"/>
        </w:rPr>
        <w:t xml:space="preserve"> are purely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internal, for example, suicidal thoughts (</w:t>
      </w:r>
      <w:r w:rsidRPr="0058604A">
        <w:rPr>
          <w:rFonts w:cstheme="minorHAnsi"/>
          <w:i/>
          <w:sz w:val="20"/>
          <w:szCs w:val="20"/>
        </w:rPr>
        <w:t>Rodger &amp; Rose</w:t>
      </w:r>
      <w:r w:rsidRPr="0058604A">
        <w:rPr>
          <w:rFonts w:cstheme="minorHAnsi"/>
          <w:sz w:val="20"/>
          <w:szCs w:val="20"/>
        </w:rPr>
        <w:t xml:space="preserve"> [1998] 1 Cr App R 143).</w:t>
      </w:r>
    </w:p>
    <w:p w:rsidR="0058604A" w:rsidRPr="0058604A" w:rsidRDefault="0058604A" w:rsidP="005860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8604A">
        <w:rPr>
          <w:rFonts w:cstheme="minorHAnsi"/>
          <w:sz w:val="20"/>
          <w:szCs w:val="20"/>
        </w:rPr>
        <w:t>Duress is never a defence to murder (</w:t>
      </w:r>
      <w:r w:rsidRPr="0058604A">
        <w:rPr>
          <w:rFonts w:cstheme="minorHAnsi"/>
          <w:i/>
          <w:sz w:val="20"/>
          <w:szCs w:val="20"/>
        </w:rPr>
        <w:t>Howe</w:t>
      </w:r>
      <w:r w:rsidRPr="0058604A">
        <w:rPr>
          <w:rFonts w:cstheme="minorHAnsi"/>
          <w:sz w:val="20"/>
          <w:szCs w:val="20"/>
        </w:rPr>
        <w:t xml:space="preserve"> [1987] AC 417, [1987] 2 WLR 568; </w:t>
      </w:r>
      <w:r w:rsidRPr="0058604A">
        <w:rPr>
          <w:rFonts w:cstheme="minorHAnsi"/>
          <w:i/>
          <w:sz w:val="20"/>
          <w:szCs w:val="20"/>
        </w:rPr>
        <w:t>Wilson</w:t>
      </w:r>
      <w:r w:rsidRPr="0058604A">
        <w:rPr>
          <w:rFonts w:cstheme="minorHAnsi"/>
          <w:sz w:val="20"/>
          <w:szCs w:val="20"/>
        </w:rPr>
        <w:t xml:space="preserve"> [2007]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EWCA Crim 1251, [2007] 2 Cr. App. R. 31) or attempted murder (</w:t>
      </w:r>
      <w:r w:rsidRPr="0058604A">
        <w:rPr>
          <w:rFonts w:cstheme="minorHAnsi"/>
          <w:i/>
          <w:sz w:val="20"/>
          <w:szCs w:val="20"/>
        </w:rPr>
        <w:t>Gotts</w:t>
      </w:r>
      <w:r w:rsidRPr="0058604A">
        <w:rPr>
          <w:rFonts w:cstheme="minorHAnsi"/>
          <w:sz w:val="20"/>
          <w:szCs w:val="20"/>
        </w:rPr>
        <w:t xml:space="preserve"> [1992] 2 AC 412, [1992]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2 WLR 284), even if D is young (in both </w:t>
      </w:r>
      <w:r w:rsidRPr="0058604A">
        <w:rPr>
          <w:rFonts w:cstheme="minorHAnsi"/>
          <w:i/>
          <w:sz w:val="20"/>
          <w:szCs w:val="20"/>
        </w:rPr>
        <w:t>Gotts</w:t>
      </w:r>
      <w:r w:rsidRPr="0058604A">
        <w:rPr>
          <w:rFonts w:cstheme="minorHAnsi"/>
          <w:sz w:val="20"/>
          <w:szCs w:val="20"/>
        </w:rPr>
        <w:t xml:space="preserve"> and </w:t>
      </w:r>
      <w:r w:rsidRPr="0058604A">
        <w:rPr>
          <w:rFonts w:cstheme="minorHAnsi"/>
          <w:i/>
          <w:sz w:val="20"/>
          <w:szCs w:val="20"/>
        </w:rPr>
        <w:t>Wilson</w:t>
      </w:r>
      <w:r w:rsidRPr="0058604A">
        <w:rPr>
          <w:rFonts w:cstheme="minorHAnsi"/>
          <w:sz w:val="20"/>
          <w:szCs w:val="20"/>
        </w:rPr>
        <w:t xml:space="preserve"> D </w:t>
      </w:r>
      <w:proofErr w:type="gramStart"/>
      <w:r w:rsidRPr="0058604A">
        <w:rPr>
          <w:rFonts w:cstheme="minorHAnsi"/>
          <w:sz w:val="20"/>
          <w:szCs w:val="20"/>
        </w:rPr>
        <w:t>was a teenage boy threatened by his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own father</w:t>
      </w:r>
      <w:proofErr w:type="gramEnd"/>
      <w:r w:rsidRPr="0058604A">
        <w:rPr>
          <w:rFonts w:cstheme="minorHAnsi"/>
          <w:sz w:val="20"/>
          <w:szCs w:val="20"/>
        </w:rPr>
        <w:t>).</w:t>
      </w:r>
    </w:p>
    <w:p w:rsidR="0058604A" w:rsidRPr="0058604A" w:rsidRDefault="0058604A" w:rsidP="005860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58604A">
        <w:rPr>
          <w:rFonts w:cstheme="minorHAnsi"/>
          <w:sz w:val="20"/>
          <w:szCs w:val="20"/>
        </w:rPr>
        <w:t>Duress is otherwise potentially available as a defence to all crimes, some very serious offences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such as robbery (</w:t>
      </w:r>
      <w:r w:rsidRPr="0058604A">
        <w:rPr>
          <w:rFonts w:cstheme="minorHAnsi"/>
          <w:i/>
          <w:sz w:val="20"/>
          <w:szCs w:val="20"/>
        </w:rPr>
        <w:t>Sharp; Cole</w:t>
      </w:r>
      <w:r w:rsidRPr="0058604A">
        <w:rPr>
          <w:rFonts w:cstheme="minorHAnsi"/>
          <w:sz w:val="20"/>
          <w:szCs w:val="20"/>
        </w:rPr>
        <w:t xml:space="preserve"> [1994] Crim LR 582; </w:t>
      </w:r>
      <w:r w:rsidRPr="0058604A">
        <w:rPr>
          <w:rFonts w:cstheme="minorHAnsi"/>
          <w:i/>
          <w:sz w:val="20"/>
          <w:szCs w:val="20"/>
        </w:rPr>
        <w:t>Baker &amp; Ward</w:t>
      </w:r>
      <w:r w:rsidRPr="0058604A">
        <w:rPr>
          <w:rFonts w:cstheme="minorHAnsi"/>
          <w:sz w:val="20"/>
          <w:szCs w:val="20"/>
        </w:rPr>
        <w:t xml:space="preserve"> [1999] 2 Cr App R 335),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aggravated burglary (</w:t>
      </w:r>
      <w:r w:rsidRPr="0058604A">
        <w:rPr>
          <w:rFonts w:cstheme="minorHAnsi"/>
          <w:i/>
          <w:sz w:val="20"/>
          <w:szCs w:val="20"/>
        </w:rPr>
        <w:t>Hasan</w:t>
      </w:r>
      <w:r w:rsidRPr="0058604A">
        <w:rPr>
          <w:rFonts w:cstheme="minorHAnsi"/>
          <w:sz w:val="20"/>
          <w:szCs w:val="20"/>
        </w:rPr>
        <w:t>), hijacking (</w:t>
      </w:r>
      <w:r w:rsidRPr="0058604A">
        <w:rPr>
          <w:rFonts w:cstheme="minorHAnsi"/>
          <w:i/>
          <w:sz w:val="20"/>
          <w:szCs w:val="20"/>
        </w:rPr>
        <w:t>Abdul-Hussain</w:t>
      </w:r>
      <w:r w:rsidRPr="0058604A">
        <w:rPr>
          <w:rFonts w:cstheme="minorHAnsi"/>
          <w:sz w:val="20"/>
          <w:szCs w:val="20"/>
        </w:rPr>
        <w:t xml:space="preserve"> [1999] Crim LR 570; </w:t>
      </w:r>
      <w:r w:rsidRPr="0058604A">
        <w:rPr>
          <w:rFonts w:cstheme="minorHAnsi"/>
          <w:i/>
          <w:sz w:val="20"/>
          <w:szCs w:val="20"/>
        </w:rPr>
        <w:t>Safi &amp; Others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[2003] EWCA Crim 1809, [2004] 1 Cr App R 14), firearms offences (</w:t>
      </w:r>
      <w:proofErr w:type="spellStart"/>
      <w:r w:rsidRPr="0058604A">
        <w:rPr>
          <w:rFonts w:cstheme="minorHAnsi"/>
          <w:i/>
          <w:sz w:val="20"/>
          <w:szCs w:val="20"/>
        </w:rPr>
        <w:t>Pommell</w:t>
      </w:r>
      <w:proofErr w:type="spellEnd"/>
      <w:r w:rsidRPr="0058604A">
        <w:rPr>
          <w:rFonts w:cstheme="minorHAnsi"/>
          <w:sz w:val="20"/>
          <w:szCs w:val="20"/>
        </w:rPr>
        <w:t xml:space="preserve">; </w:t>
      </w:r>
      <w:r w:rsidRPr="0058604A">
        <w:rPr>
          <w:rFonts w:cstheme="minorHAnsi"/>
          <w:i/>
          <w:sz w:val="20"/>
          <w:szCs w:val="20"/>
        </w:rPr>
        <w:t>Gregory</w:t>
      </w:r>
      <w:r w:rsidRPr="0058604A">
        <w:rPr>
          <w:rFonts w:cstheme="minorHAnsi"/>
          <w:sz w:val="20"/>
          <w:szCs w:val="20"/>
        </w:rPr>
        <w:t xml:space="preserve"> [2011]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EWCA Crim 1712) and causing GBH with intent (</w:t>
      </w:r>
      <w:r w:rsidRPr="0058604A">
        <w:rPr>
          <w:rFonts w:cstheme="minorHAnsi"/>
          <w:i/>
          <w:sz w:val="20"/>
          <w:szCs w:val="20"/>
        </w:rPr>
        <w:t>Cairns</w:t>
      </w:r>
      <w:r w:rsidRPr="0058604A">
        <w:rPr>
          <w:rFonts w:cstheme="minorHAnsi"/>
          <w:sz w:val="20"/>
          <w:szCs w:val="20"/>
        </w:rPr>
        <w:t xml:space="preserve"> [1999] 2 Cr App R 137).</w:t>
      </w:r>
      <w:proofErr w:type="gramEnd"/>
      <w:r w:rsidRPr="0058604A">
        <w:rPr>
          <w:rFonts w:cstheme="minorHAnsi"/>
          <w:sz w:val="20"/>
          <w:szCs w:val="20"/>
        </w:rPr>
        <w:t xml:space="preserve"> Several cases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involve duress being invoked as a defence by those accused of drug dealing or trafficking, albeit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rarely successfully, Examples included </w:t>
      </w:r>
      <w:r w:rsidRPr="0058604A">
        <w:rPr>
          <w:rFonts w:cstheme="minorHAnsi"/>
          <w:i/>
          <w:sz w:val="20"/>
          <w:szCs w:val="20"/>
        </w:rPr>
        <w:t>Aikens</w:t>
      </w:r>
      <w:r w:rsidRPr="0058604A">
        <w:rPr>
          <w:rFonts w:cstheme="minorHAnsi"/>
          <w:sz w:val="20"/>
          <w:szCs w:val="20"/>
        </w:rPr>
        <w:t xml:space="preserve"> [2003] EWCA Crim 1573; </w:t>
      </w:r>
      <w:r w:rsidRPr="0058604A">
        <w:rPr>
          <w:rFonts w:cstheme="minorHAnsi"/>
          <w:i/>
          <w:sz w:val="20"/>
          <w:szCs w:val="20"/>
        </w:rPr>
        <w:t>McDonald</w:t>
      </w:r>
      <w:r w:rsidRPr="0058604A">
        <w:rPr>
          <w:rFonts w:cstheme="minorHAnsi"/>
          <w:sz w:val="20"/>
          <w:szCs w:val="20"/>
        </w:rPr>
        <w:t xml:space="preserve"> [2003]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EWCA Crim 1170; </w:t>
      </w:r>
      <w:r w:rsidRPr="0058604A">
        <w:rPr>
          <w:rFonts w:cstheme="minorHAnsi"/>
          <w:i/>
          <w:sz w:val="20"/>
          <w:szCs w:val="20"/>
        </w:rPr>
        <w:t xml:space="preserve">Heath; Harmer; Ortiz; </w:t>
      </w:r>
      <w:proofErr w:type="spellStart"/>
      <w:r w:rsidRPr="0058604A">
        <w:rPr>
          <w:rFonts w:cstheme="minorHAnsi"/>
          <w:i/>
          <w:sz w:val="20"/>
          <w:szCs w:val="20"/>
        </w:rPr>
        <w:t>Valderrama</w:t>
      </w:r>
      <w:proofErr w:type="spellEnd"/>
      <w:r w:rsidRPr="0058604A">
        <w:rPr>
          <w:rFonts w:cstheme="minorHAnsi"/>
          <w:i/>
          <w:sz w:val="20"/>
          <w:szCs w:val="20"/>
        </w:rPr>
        <w:t>-Vega</w:t>
      </w:r>
      <w:r w:rsidRPr="0058604A">
        <w:rPr>
          <w:rFonts w:cstheme="minorHAnsi"/>
          <w:sz w:val="20"/>
          <w:szCs w:val="20"/>
        </w:rPr>
        <w:t xml:space="preserve"> and </w:t>
      </w:r>
      <w:r w:rsidRPr="0058604A">
        <w:rPr>
          <w:rFonts w:cstheme="minorHAnsi"/>
          <w:i/>
          <w:sz w:val="20"/>
          <w:szCs w:val="20"/>
        </w:rPr>
        <w:t>Wright</w:t>
      </w:r>
      <w:r w:rsidRPr="0058604A">
        <w:rPr>
          <w:rFonts w:cstheme="minorHAnsi"/>
          <w:sz w:val="20"/>
          <w:szCs w:val="20"/>
        </w:rPr>
        <w:t>. Very often, the defence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 xml:space="preserve">fails in drugs cases for one or more of the grounds given in </w:t>
      </w:r>
      <w:proofErr w:type="spellStart"/>
      <w:r w:rsidRPr="0058604A">
        <w:rPr>
          <w:rFonts w:cstheme="minorHAnsi"/>
          <w:i/>
          <w:sz w:val="20"/>
          <w:szCs w:val="20"/>
        </w:rPr>
        <w:t>Brandford</w:t>
      </w:r>
      <w:proofErr w:type="spellEnd"/>
      <w:r w:rsidRPr="0058604A">
        <w:rPr>
          <w:rFonts w:cstheme="minorHAnsi"/>
          <w:sz w:val="20"/>
          <w:szCs w:val="20"/>
        </w:rPr>
        <w:t xml:space="preserve"> – the accused’s voluntary</w:t>
      </w:r>
      <w:r w:rsidRPr="0058604A">
        <w:rPr>
          <w:rFonts w:cstheme="minorHAnsi"/>
          <w:sz w:val="20"/>
          <w:szCs w:val="20"/>
        </w:rPr>
        <w:t xml:space="preserve"> </w:t>
      </w:r>
      <w:r w:rsidRPr="0058604A">
        <w:rPr>
          <w:rFonts w:cstheme="minorHAnsi"/>
          <w:sz w:val="20"/>
          <w:szCs w:val="20"/>
        </w:rPr>
        <w:t>association with known criminals and/or his or her failure to cont</w:t>
      </w:r>
      <w:bookmarkStart w:id="0" w:name="_GoBack"/>
      <w:bookmarkEnd w:id="0"/>
      <w:r w:rsidRPr="0058604A">
        <w:rPr>
          <w:rFonts w:cstheme="minorHAnsi"/>
          <w:sz w:val="20"/>
          <w:szCs w:val="20"/>
        </w:rPr>
        <w:t>act the police.</w:t>
      </w:r>
    </w:p>
    <w:sectPr w:rsidR="0058604A" w:rsidRPr="00586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F20"/>
    <w:multiLevelType w:val="hybridMultilevel"/>
    <w:tmpl w:val="B1823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D8E"/>
    <w:multiLevelType w:val="hybridMultilevel"/>
    <w:tmpl w:val="CC8E0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469FE"/>
    <w:multiLevelType w:val="hybridMultilevel"/>
    <w:tmpl w:val="1A3CF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7B1F"/>
    <w:multiLevelType w:val="hybridMultilevel"/>
    <w:tmpl w:val="2A042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7BA"/>
    <w:multiLevelType w:val="hybridMultilevel"/>
    <w:tmpl w:val="680C1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4661"/>
    <w:multiLevelType w:val="hybridMultilevel"/>
    <w:tmpl w:val="2528D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4A"/>
    <w:rsid w:val="002D7AF8"/>
    <w:rsid w:val="0058604A"/>
    <w:rsid w:val="008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FC42"/>
  <w15:chartTrackingRefBased/>
  <w15:docId w15:val="{78367CE9-191D-495B-8BE1-42156C0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Storey</dc:creator>
  <cp:keywords/>
  <dc:description/>
  <cp:lastModifiedBy>Tony Storey</cp:lastModifiedBy>
  <cp:revision>1</cp:revision>
  <dcterms:created xsi:type="dcterms:W3CDTF">2017-09-29T10:14:00Z</dcterms:created>
  <dcterms:modified xsi:type="dcterms:W3CDTF">2017-09-29T10:24:00Z</dcterms:modified>
</cp:coreProperties>
</file>