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A49AF" w14:textId="77777777" w:rsidR="00C15D0B" w:rsidRPr="00C15D0B" w:rsidRDefault="00C15D0B" w:rsidP="00C15D0B">
      <w:pPr>
        <w:spacing w:after="0" w:line="240" w:lineRule="auto"/>
        <w:rPr>
          <w:b/>
        </w:rPr>
      </w:pPr>
      <w:r w:rsidRPr="00C15D0B">
        <w:rPr>
          <w:b/>
        </w:rPr>
        <w:t>Abstract</w:t>
      </w:r>
    </w:p>
    <w:p w14:paraId="1D69C1ED" w14:textId="77777777" w:rsidR="00C15D0B" w:rsidRPr="00C15D0B" w:rsidRDefault="00C15D0B" w:rsidP="00C15D0B">
      <w:pPr>
        <w:spacing w:after="0" w:line="240" w:lineRule="auto"/>
      </w:pPr>
      <w:r w:rsidRPr="00C15D0B">
        <w:rPr>
          <w:u w:val="single"/>
        </w:rPr>
        <w:t>Objective:</w:t>
      </w:r>
      <w:r w:rsidRPr="00C15D0B">
        <w:t xml:space="preserve"> to explore student midwives’ experiences of postnatal genital tract assessment within midwifery preregistration curricula.</w:t>
      </w:r>
    </w:p>
    <w:p w14:paraId="7D41649B" w14:textId="77777777" w:rsidR="00C15D0B" w:rsidRPr="00C15D0B" w:rsidRDefault="00C15D0B" w:rsidP="00C15D0B">
      <w:pPr>
        <w:spacing w:after="0" w:line="240" w:lineRule="auto"/>
      </w:pPr>
      <w:r w:rsidRPr="00C15D0B">
        <w:rPr>
          <w:u w:val="single"/>
        </w:rPr>
        <w:t>Design:</w:t>
      </w:r>
      <w:r w:rsidRPr="00C15D0B">
        <w:t xml:space="preserve"> a single, instrumental case study design was employed involving final year student midwives.  Ethical approval was gained from the Higher Education Institution at the data collection site.  Sampling was purposeful and data were collected using a survey (n=25); narrative style in depth interviews (n=11), review of programme documentation and a student midwife / researcher data workshop. </w:t>
      </w:r>
    </w:p>
    <w:p w14:paraId="50BD8166" w14:textId="77777777" w:rsidR="00C15D0B" w:rsidRPr="00C15D0B" w:rsidRDefault="00C15D0B" w:rsidP="00C15D0B">
      <w:pPr>
        <w:spacing w:after="0" w:line="240" w:lineRule="auto"/>
      </w:pPr>
      <w:r w:rsidRPr="00C15D0B">
        <w:rPr>
          <w:u w:val="single"/>
        </w:rPr>
        <w:t>Setting</w:t>
      </w:r>
      <w:r w:rsidRPr="00C15D0B">
        <w:t>:  one Higher Education Institution in the north of England.</w:t>
      </w:r>
    </w:p>
    <w:p w14:paraId="1119FFE6" w14:textId="77777777" w:rsidR="00C15D0B" w:rsidRPr="00C15D0B" w:rsidRDefault="00C15D0B" w:rsidP="00C15D0B">
      <w:pPr>
        <w:spacing w:after="0" w:line="240" w:lineRule="auto"/>
        <w:rPr>
          <w:iCs/>
        </w:rPr>
      </w:pPr>
      <w:r w:rsidRPr="00C15D0B">
        <w:rPr>
          <w:u w:val="single"/>
        </w:rPr>
        <w:t>Findings</w:t>
      </w:r>
      <w:r w:rsidRPr="00C15D0B">
        <w:t>:  three themes were identified from the data analysis, awareness of assessment methods, accessing learning opportunities and actualisation of learning.   The a</w:t>
      </w:r>
      <w:bookmarkStart w:id="0" w:name="_GoBack"/>
      <w:bookmarkEnd w:id="0"/>
      <w:r w:rsidRPr="00C15D0B">
        <w:t xml:space="preserve">wareness theme </w:t>
      </w:r>
      <w:r w:rsidRPr="00C15D0B">
        <w:rPr>
          <w:iCs/>
        </w:rPr>
        <w:t xml:space="preserve">highlights that most students were aware of potential signs and symptoms associated with genital tract assessment and health however; difficulties were identified concerning assessment of lochia, encountering sequential assessments and recognising potential for deterioration.  This awareness was influenced by access to practice based learning opportunities.  Access differed due to variation in postnatal provision, service pressures and variety in mentor practices regarding selecting and creating learning opportunities.  This study suggests actualisation of learning and confidence in genital tract assessment was achieved when opportunities to integrate theory and practice occurred.  Actualisation was hindered by limited allocation of curriculum time specifically for postnatal maternal assessment content and assessment strategies in comparison to other aspects of midwifery knowledge. </w:t>
      </w:r>
    </w:p>
    <w:p w14:paraId="2D7AC5DD" w14:textId="116BFEFD" w:rsidR="00C15D0B" w:rsidRPr="00C15D0B" w:rsidRDefault="00C15D0B" w:rsidP="00C15D0B">
      <w:pPr>
        <w:spacing w:after="0" w:line="240" w:lineRule="auto"/>
      </w:pPr>
      <w:r w:rsidRPr="00C15D0B">
        <w:rPr>
          <w:u w:val="single"/>
        </w:rPr>
        <w:t>Conclusions</w:t>
      </w:r>
      <w:r w:rsidRPr="00C15D0B">
        <w:t>:</w:t>
      </w:r>
      <w:r w:rsidRPr="00C15D0B">
        <w:rPr>
          <w:iCs/>
        </w:rPr>
        <w:t xml:space="preserve"> student midwives’ experiences, awareness and learning actualisation varied in relation to the development of knowledge and confidence in maternal postnatal genital tract assessment.  While clinical and theoretical learning opportunities were available, access and experience varied and limitations were identified.  A number of recommendations are outlined</w:t>
      </w:r>
      <w:r>
        <w:rPr>
          <w:iCs/>
        </w:rPr>
        <w:t xml:space="preserve"> t</w:t>
      </w:r>
      <w:r w:rsidRPr="00C15D0B">
        <w:rPr>
          <w:iCs/>
        </w:rPr>
        <w:t>o enhance the students learning experiences in practice and HEI settings</w:t>
      </w:r>
      <w:r>
        <w:rPr>
          <w:iCs/>
        </w:rPr>
        <w:t xml:space="preserve">, which address placement planning, mentor preparation, the student voice and supporting curricula documentation. </w:t>
      </w:r>
      <w:r w:rsidRPr="00C15D0B">
        <w:rPr>
          <w:iCs/>
        </w:rPr>
        <w:t xml:space="preserve"> </w:t>
      </w:r>
    </w:p>
    <w:p w14:paraId="0BEB6C02" w14:textId="1A990FED" w:rsidR="00C15D0B" w:rsidRPr="00C15D0B" w:rsidRDefault="00C15D0B" w:rsidP="00F80299">
      <w:pPr>
        <w:spacing w:after="0" w:line="240" w:lineRule="auto"/>
      </w:pPr>
    </w:p>
    <w:p w14:paraId="7D04AB05" w14:textId="77777777" w:rsidR="00C15D0B" w:rsidRDefault="00C15D0B" w:rsidP="00F80299">
      <w:pPr>
        <w:spacing w:after="0" w:line="240" w:lineRule="auto"/>
        <w:rPr>
          <w:b/>
        </w:rPr>
      </w:pPr>
    </w:p>
    <w:p w14:paraId="40787D97" w14:textId="1681C83C" w:rsidR="005833CE" w:rsidRDefault="00E66F42" w:rsidP="00F80299">
      <w:pPr>
        <w:spacing w:after="0" w:line="240" w:lineRule="auto"/>
        <w:rPr>
          <w:b/>
        </w:rPr>
      </w:pPr>
      <w:r w:rsidRPr="00650EB2">
        <w:rPr>
          <w:b/>
        </w:rPr>
        <w:t>Introduction</w:t>
      </w:r>
    </w:p>
    <w:p w14:paraId="50CAE08A" w14:textId="77777777" w:rsidR="00D026F7" w:rsidRDefault="00D026F7" w:rsidP="001C112F">
      <w:pPr>
        <w:spacing w:after="0" w:line="240" w:lineRule="auto"/>
        <w:rPr>
          <w:rFonts w:eastAsia="Calibri" w:cs="Arial"/>
        </w:rPr>
      </w:pPr>
    </w:p>
    <w:p w14:paraId="3E4391D2" w14:textId="3C277DC9" w:rsidR="00FE60ED" w:rsidRDefault="00974296" w:rsidP="001C112F">
      <w:pPr>
        <w:spacing w:after="0" w:line="240" w:lineRule="auto"/>
      </w:pPr>
      <w:r w:rsidRPr="004714F9">
        <w:rPr>
          <w:rFonts w:eastAsia="Calibri" w:cs="Arial"/>
        </w:rPr>
        <w:t xml:space="preserve">Student midwives are </w:t>
      </w:r>
      <w:r w:rsidR="00FC16BF">
        <w:rPr>
          <w:rFonts w:eastAsia="Calibri" w:cs="Arial"/>
        </w:rPr>
        <w:t xml:space="preserve">required </w:t>
      </w:r>
      <w:r w:rsidR="007D433F">
        <w:rPr>
          <w:rFonts w:eastAsia="Calibri" w:cs="Arial"/>
        </w:rPr>
        <w:t xml:space="preserve">to participate in </w:t>
      </w:r>
      <w:r w:rsidR="00155B3D">
        <w:rPr>
          <w:rFonts w:eastAsia="Calibri" w:cs="Arial"/>
        </w:rPr>
        <w:t xml:space="preserve">sufficient </w:t>
      </w:r>
      <w:r w:rsidRPr="004714F9">
        <w:rPr>
          <w:rFonts w:eastAsia="Calibri" w:cs="Arial"/>
        </w:rPr>
        <w:t>theoretical and practic</w:t>
      </w:r>
      <w:r w:rsidR="007D433F">
        <w:rPr>
          <w:rFonts w:eastAsia="Calibri" w:cs="Arial"/>
        </w:rPr>
        <w:t>al</w:t>
      </w:r>
      <w:r w:rsidRPr="004714F9">
        <w:rPr>
          <w:rFonts w:eastAsia="Calibri" w:cs="Arial"/>
        </w:rPr>
        <w:t xml:space="preserve"> experiences to </w:t>
      </w:r>
      <w:r w:rsidR="007D433F" w:rsidRPr="004714F9">
        <w:rPr>
          <w:rFonts w:eastAsia="Calibri" w:cs="Arial"/>
        </w:rPr>
        <w:t xml:space="preserve">enable </w:t>
      </w:r>
      <w:r w:rsidR="007D433F">
        <w:rPr>
          <w:rFonts w:eastAsia="Calibri" w:cs="Arial"/>
        </w:rPr>
        <w:t xml:space="preserve">development of </w:t>
      </w:r>
      <w:r w:rsidR="00155B3D">
        <w:rPr>
          <w:rFonts w:eastAsia="Calibri" w:cs="Arial"/>
        </w:rPr>
        <w:t xml:space="preserve">the </w:t>
      </w:r>
      <w:r w:rsidRPr="004714F9">
        <w:rPr>
          <w:rFonts w:eastAsia="Calibri" w:cs="Arial"/>
        </w:rPr>
        <w:t>professional skills require</w:t>
      </w:r>
      <w:r w:rsidR="007D433F">
        <w:rPr>
          <w:rFonts w:eastAsia="Calibri" w:cs="Arial"/>
        </w:rPr>
        <w:t xml:space="preserve">d for </w:t>
      </w:r>
      <w:r w:rsidRPr="004714F9">
        <w:rPr>
          <w:rFonts w:eastAsia="Calibri" w:cs="Arial"/>
        </w:rPr>
        <w:t>entry to the midwifery register (NMC</w:t>
      </w:r>
      <w:r w:rsidR="00C904C9">
        <w:rPr>
          <w:rFonts w:eastAsia="Calibri" w:cs="Arial"/>
        </w:rPr>
        <w:t>,</w:t>
      </w:r>
      <w:r w:rsidRPr="004714F9">
        <w:rPr>
          <w:rFonts w:eastAsia="Calibri" w:cs="Arial"/>
        </w:rPr>
        <w:t xml:space="preserve"> 2009; NMC</w:t>
      </w:r>
      <w:r w:rsidR="00C904C9">
        <w:rPr>
          <w:rFonts w:eastAsia="Calibri" w:cs="Arial"/>
        </w:rPr>
        <w:t>,</w:t>
      </w:r>
      <w:r w:rsidRPr="004714F9">
        <w:rPr>
          <w:rFonts w:eastAsia="Calibri" w:cs="Arial"/>
        </w:rPr>
        <w:t xml:space="preserve"> 2012</w:t>
      </w:r>
      <w:r>
        <w:rPr>
          <w:rFonts w:eastAsia="Calibri" w:cs="Arial"/>
        </w:rPr>
        <w:t xml:space="preserve">; </w:t>
      </w:r>
      <w:r w:rsidRPr="00EC10F1">
        <w:rPr>
          <w:rFonts w:eastAsia="Calibri" w:cs="Arial"/>
        </w:rPr>
        <w:t>DH</w:t>
      </w:r>
      <w:r w:rsidR="00C904C9">
        <w:rPr>
          <w:rFonts w:eastAsia="Calibri" w:cs="Arial"/>
        </w:rPr>
        <w:t>,</w:t>
      </w:r>
      <w:r w:rsidRPr="00EC10F1">
        <w:rPr>
          <w:rFonts w:eastAsia="Calibri" w:cs="Arial"/>
        </w:rPr>
        <w:t xml:space="preserve"> 2014</w:t>
      </w:r>
      <w:r w:rsidRPr="004714F9">
        <w:rPr>
          <w:rFonts w:eastAsia="Calibri" w:cs="Arial"/>
        </w:rPr>
        <w:t xml:space="preserve">).  </w:t>
      </w:r>
      <w:r w:rsidR="0021634C">
        <w:rPr>
          <w:rFonts w:eastAsia="Calibri" w:cs="Arial"/>
        </w:rPr>
        <w:t xml:space="preserve">This includes responding </w:t>
      </w:r>
      <w:r w:rsidR="007D433F">
        <w:rPr>
          <w:rFonts w:eastAsia="Calibri" w:cs="Arial"/>
        </w:rPr>
        <w:t xml:space="preserve">to the health needs of women during the postnatal period, </w:t>
      </w:r>
      <w:r w:rsidR="004E470E">
        <w:rPr>
          <w:rFonts w:eastAsia="Calibri" w:cs="Arial"/>
        </w:rPr>
        <w:t xml:space="preserve">necessitating </w:t>
      </w:r>
      <w:r w:rsidR="007D433F">
        <w:rPr>
          <w:rFonts w:eastAsia="Calibri" w:cs="Arial"/>
        </w:rPr>
        <w:t xml:space="preserve">students attain competence in the </w:t>
      </w:r>
      <w:r w:rsidR="00961B3F">
        <w:t>assessment, prevention, identification and prompt</w:t>
      </w:r>
      <w:r w:rsidR="00380656">
        <w:t xml:space="preserve"> treatment of</w:t>
      </w:r>
      <w:r w:rsidR="004808FF">
        <w:t xml:space="preserve"> genital tract</w:t>
      </w:r>
      <w:r w:rsidR="00380656">
        <w:t xml:space="preserve"> morbidity</w:t>
      </w:r>
      <w:r w:rsidR="004808FF">
        <w:t>, including uterine bleeding</w:t>
      </w:r>
      <w:r w:rsidR="007D433F">
        <w:t xml:space="preserve">, </w:t>
      </w:r>
      <w:r w:rsidR="004808FF">
        <w:t>infection and perineal morbidity</w:t>
      </w:r>
      <w:r w:rsidR="00DC51F5">
        <w:t xml:space="preserve"> </w:t>
      </w:r>
      <w:r w:rsidR="00DC51F5" w:rsidRPr="00DC51F5">
        <w:t>(</w:t>
      </w:r>
      <w:r w:rsidR="00C904C9">
        <w:t>Bick et al.</w:t>
      </w:r>
      <w:r>
        <w:t xml:space="preserve"> 2009; </w:t>
      </w:r>
      <w:r w:rsidR="00DC51F5" w:rsidRPr="00DC51F5">
        <w:t xml:space="preserve">East </w:t>
      </w:r>
      <w:r w:rsidR="00C904C9">
        <w:t>et al.</w:t>
      </w:r>
      <w:r>
        <w:t xml:space="preserve"> 2011;</w:t>
      </w:r>
      <w:r w:rsidR="00F268E1">
        <w:t xml:space="preserve"> MBRRACE,</w:t>
      </w:r>
      <w:r w:rsidR="00C157F8">
        <w:t xml:space="preserve"> 2014).</w:t>
      </w:r>
      <w:r w:rsidR="007D433F">
        <w:t xml:space="preserve">  </w:t>
      </w:r>
      <w:r w:rsidR="00032063">
        <w:t xml:space="preserve">However, </w:t>
      </w:r>
      <w:r w:rsidR="00155B3D">
        <w:t xml:space="preserve">in the United Kingdom (UK) </w:t>
      </w:r>
      <w:r w:rsidR="00032063">
        <w:t>t</w:t>
      </w:r>
      <w:r w:rsidR="007D433F">
        <w:t>he context in which this experience is realised has changed significantly</w:t>
      </w:r>
      <w:r w:rsidR="00FE60ED">
        <w:t xml:space="preserve"> for midwives, women and students.  </w:t>
      </w:r>
    </w:p>
    <w:p w14:paraId="04966DF6" w14:textId="77777777" w:rsidR="00FE60ED" w:rsidRDefault="00FE60ED" w:rsidP="001C112F">
      <w:pPr>
        <w:spacing w:after="0" w:line="240" w:lineRule="auto"/>
      </w:pPr>
    </w:p>
    <w:p w14:paraId="0255A212" w14:textId="18DBE829" w:rsidR="00B22B3E" w:rsidRDefault="007D433F" w:rsidP="001C112F">
      <w:pPr>
        <w:spacing w:after="0" w:line="240" w:lineRule="auto"/>
      </w:pPr>
      <w:r>
        <w:t>R</w:t>
      </w:r>
      <w:r w:rsidR="003B5C73">
        <w:t>esource pressures</w:t>
      </w:r>
      <w:r w:rsidR="0017617D">
        <w:t xml:space="preserve"> </w:t>
      </w:r>
      <w:r w:rsidR="00B22B3E">
        <w:t>have</w:t>
      </w:r>
      <w:r w:rsidR="00F22CB9">
        <w:t xml:space="preserve"> </w:t>
      </w:r>
      <w:r w:rsidR="008124F5">
        <w:t>affected</w:t>
      </w:r>
      <w:r w:rsidR="00F22CB9">
        <w:t xml:space="preserve"> postnatal service provision, </w:t>
      </w:r>
      <w:r w:rsidR="003D069F">
        <w:t>including a</w:t>
      </w:r>
      <w:r w:rsidR="00B22B3E">
        <w:t xml:space="preserve"> reduction in </w:t>
      </w:r>
      <w:r w:rsidR="001C112F">
        <w:t xml:space="preserve">the number and length of </w:t>
      </w:r>
      <w:r w:rsidR="00B22B3E">
        <w:t>contact</w:t>
      </w:r>
      <w:r w:rsidR="00307782">
        <w:t>s</w:t>
      </w:r>
      <w:r w:rsidR="00B22B3E">
        <w:t xml:space="preserve"> between midwives and women, in both hospital and community </w:t>
      </w:r>
      <w:r w:rsidR="00B22B3E" w:rsidRPr="00FA7440">
        <w:t>settings</w:t>
      </w:r>
      <w:r w:rsidR="00476140">
        <w:t xml:space="preserve"> (Wray and Bick, 2012; RCM</w:t>
      </w:r>
      <w:r w:rsidR="009C1281">
        <w:t>,</w:t>
      </w:r>
      <w:r w:rsidR="00476140">
        <w:t xml:space="preserve"> 2014a</w:t>
      </w:r>
      <w:r w:rsidR="00B22B3E" w:rsidRPr="00FA7440">
        <w:t xml:space="preserve">).  </w:t>
      </w:r>
      <w:r w:rsidR="001C112F" w:rsidRPr="00FA7440">
        <w:t xml:space="preserve">This limits the time midwives have to </w:t>
      </w:r>
      <w:r w:rsidR="003B5C73">
        <w:t xml:space="preserve">identify individual health needs and </w:t>
      </w:r>
      <w:r w:rsidR="001913D7" w:rsidRPr="00FA7440">
        <w:t>provide appropriate care</w:t>
      </w:r>
      <w:r w:rsidR="0086541A">
        <w:t xml:space="preserve"> (Khan and McIntyre</w:t>
      </w:r>
      <w:r w:rsidR="009C1281">
        <w:t>,</w:t>
      </w:r>
      <w:r w:rsidR="0086541A">
        <w:t xml:space="preserve"> 2016)</w:t>
      </w:r>
      <w:r w:rsidR="00C236DD" w:rsidRPr="00FA7440">
        <w:t>.  I</w:t>
      </w:r>
      <w:r w:rsidR="00B22B3E" w:rsidRPr="00FA7440">
        <w:t xml:space="preserve">n a recent </w:t>
      </w:r>
      <w:r w:rsidR="00C913C0">
        <w:t>UK</w:t>
      </w:r>
      <w:r w:rsidR="0082622B" w:rsidRPr="00FA7440">
        <w:t xml:space="preserve"> </w:t>
      </w:r>
      <w:r w:rsidR="00B22B3E" w:rsidRPr="00FA7440">
        <w:t>survey</w:t>
      </w:r>
      <w:r w:rsidR="008124F5">
        <w:t>,</w:t>
      </w:r>
      <w:r w:rsidR="001C112F" w:rsidRPr="00FA7440">
        <w:t xml:space="preserve"> when</w:t>
      </w:r>
      <w:r w:rsidR="001C112F">
        <w:t xml:space="preserve"> asked “a</w:t>
      </w:r>
      <w:r w:rsidR="001C112F" w:rsidRPr="001C112F">
        <w:rPr>
          <w:bCs/>
        </w:rPr>
        <w:t xml:space="preserve">re you able to provide clinical postnatal care to a standard you are personally </w:t>
      </w:r>
      <w:r w:rsidR="001C112F">
        <w:rPr>
          <w:bCs/>
        </w:rPr>
        <w:t>pleased with”</w:t>
      </w:r>
      <w:r w:rsidR="00B22B3E" w:rsidRPr="001C112F">
        <w:t xml:space="preserve"> </w:t>
      </w:r>
      <w:r w:rsidR="001C112F">
        <w:t>over 50% of midwives reported</w:t>
      </w:r>
      <w:r w:rsidR="00B22B3E">
        <w:t xml:space="preserve"> they “would like to be able to do</w:t>
      </w:r>
      <w:r w:rsidR="001C112F">
        <w:t xml:space="preserve"> </w:t>
      </w:r>
      <w:r w:rsidR="00B22B3E">
        <w:t>more</w:t>
      </w:r>
      <w:r w:rsidR="00C06E78">
        <w:t>” (</w:t>
      </w:r>
      <w:r w:rsidR="00B22B3E">
        <w:t>RCM</w:t>
      </w:r>
      <w:r w:rsidR="009C1281">
        <w:t>,</w:t>
      </w:r>
      <w:r w:rsidR="00B22B3E">
        <w:t xml:space="preserve"> </w:t>
      </w:r>
      <w:r w:rsidR="00F80E26">
        <w:t>2014b</w:t>
      </w:r>
      <w:r w:rsidR="001C112F">
        <w:t xml:space="preserve"> p.8).   </w:t>
      </w:r>
      <w:r w:rsidR="00FE60ED">
        <w:t>W</w:t>
      </w:r>
      <w:r w:rsidR="0082622B">
        <w:t>omen have also voiced their concerns regarding the quantity and quality of postnatal care</w:t>
      </w:r>
      <w:r w:rsidR="00025CB7">
        <w:t>.  A UK</w:t>
      </w:r>
      <w:r w:rsidR="006C03C7">
        <w:t xml:space="preserve"> survey reflecting 2</w:t>
      </w:r>
      <w:r w:rsidR="00643F63">
        <w:t xml:space="preserve">,500 </w:t>
      </w:r>
      <w:r w:rsidR="00D07359">
        <w:t>women’s</w:t>
      </w:r>
      <w:r w:rsidR="00643F63">
        <w:t xml:space="preserve"> experiences</w:t>
      </w:r>
      <w:r w:rsidR="00FE60ED">
        <w:t>,</w:t>
      </w:r>
      <w:r w:rsidR="00643F63">
        <w:t xml:space="preserve"> highlighted </w:t>
      </w:r>
      <w:r w:rsidR="00FE60ED">
        <w:t>that 1 in 5</w:t>
      </w:r>
      <w:r w:rsidR="00643F63">
        <w:t xml:space="preserve"> women did not see a midwife as often as they would have liked following birth</w:t>
      </w:r>
      <w:r w:rsidR="006C03C7">
        <w:t>, with a third of these women reporting this resulted in a delay in a health problem being identified</w:t>
      </w:r>
      <w:r w:rsidR="00643F63">
        <w:t xml:space="preserve"> (</w:t>
      </w:r>
      <w:r w:rsidR="00FD5A96">
        <w:t>National Feder</w:t>
      </w:r>
      <w:r w:rsidR="006C03C7">
        <w:t>ation of Women’s Institute, 2017</w:t>
      </w:r>
      <w:r w:rsidR="00FD5A96">
        <w:t xml:space="preserve">).  </w:t>
      </w:r>
      <w:r w:rsidR="00C71047">
        <w:t xml:space="preserve">In a </w:t>
      </w:r>
      <w:r w:rsidR="00AA2F9F">
        <w:t xml:space="preserve">Royal College of </w:t>
      </w:r>
      <w:r w:rsidR="007F5B4E">
        <w:t>Midwives (</w:t>
      </w:r>
      <w:r w:rsidR="00C71047">
        <w:t>RCM) survey</w:t>
      </w:r>
      <w:r w:rsidR="00AA2F9F">
        <w:t xml:space="preserve"> </w:t>
      </w:r>
      <w:r w:rsidR="00C71047">
        <w:t>47% o</w:t>
      </w:r>
      <w:r w:rsidR="00AA2F9F">
        <w:t>f the women</w:t>
      </w:r>
      <w:r w:rsidR="00C71047">
        <w:t xml:space="preserve"> respondents identified they</w:t>
      </w:r>
      <w:r w:rsidR="00AA2F9F">
        <w:t xml:space="preserve"> had not </w:t>
      </w:r>
      <w:r w:rsidR="00AA2F9F">
        <w:lastRenderedPageBreak/>
        <w:t xml:space="preserve">been told about signs and symptoms of conditions that </w:t>
      </w:r>
      <w:r w:rsidR="00FE60ED">
        <w:t xml:space="preserve">may necessitate </w:t>
      </w:r>
      <w:r w:rsidR="00AA2F9F">
        <w:t>emergency help following childbirth (RCM</w:t>
      </w:r>
      <w:r w:rsidR="009C1281">
        <w:t>,</w:t>
      </w:r>
      <w:r w:rsidR="00AA2F9F">
        <w:t xml:space="preserve"> 2013).  </w:t>
      </w:r>
    </w:p>
    <w:p w14:paraId="2E0F5405" w14:textId="5426BDB6" w:rsidR="00C236DD" w:rsidRDefault="00C236DD" w:rsidP="004714F9">
      <w:pPr>
        <w:spacing w:after="0" w:line="240" w:lineRule="auto"/>
        <w:rPr>
          <w:rFonts w:eastAsia="Calibri" w:cs="Arial"/>
        </w:rPr>
      </w:pPr>
    </w:p>
    <w:p w14:paraId="7B7A25D4" w14:textId="742C2CD9" w:rsidR="004D6484" w:rsidRDefault="00FE60ED" w:rsidP="00BC701D">
      <w:pPr>
        <w:spacing w:after="0" w:line="240" w:lineRule="auto"/>
        <w:rPr>
          <w:rFonts w:eastAsia="Calibri" w:cs="Arial"/>
        </w:rPr>
      </w:pPr>
      <w:r>
        <w:rPr>
          <w:rFonts w:eastAsia="Calibri" w:cs="Arial"/>
        </w:rPr>
        <w:t>M</w:t>
      </w:r>
      <w:r w:rsidR="00C236DD">
        <w:rPr>
          <w:rFonts w:eastAsia="Calibri" w:cs="Arial"/>
        </w:rPr>
        <w:t xml:space="preserve">idwives </w:t>
      </w:r>
      <w:r>
        <w:rPr>
          <w:rFonts w:eastAsia="Calibri" w:cs="Arial"/>
        </w:rPr>
        <w:t xml:space="preserve">have </w:t>
      </w:r>
      <w:r w:rsidR="004714F9" w:rsidRPr="004714F9">
        <w:rPr>
          <w:rFonts w:eastAsia="Calibri" w:cs="Arial"/>
        </w:rPr>
        <w:t xml:space="preserve">expressed concern that limited </w:t>
      </w:r>
      <w:r w:rsidR="00A84AE8">
        <w:rPr>
          <w:rFonts w:eastAsia="Calibri" w:cs="Arial"/>
        </w:rPr>
        <w:t xml:space="preserve">postnatal </w:t>
      </w:r>
      <w:r w:rsidR="004714F9" w:rsidRPr="004714F9">
        <w:rPr>
          <w:rFonts w:eastAsia="Calibri" w:cs="Arial"/>
        </w:rPr>
        <w:t xml:space="preserve">experience </w:t>
      </w:r>
      <w:r w:rsidR="00F37990">
        <w:rPr>
          <w:rFonts w:eastAsia="Calibri" w:cs="Arial"/>
        </w:rPr>
        <w:t xml:space="preserve">and </w:t>
      </w:r>
      <w:r w:rsidR="00165398">
        <w:rPr>
          <w:rFonts w:eastAsia="Calibri" w:cs="Arial"/>
        </w:rPr>
        <w:t>assessments of maternal wellbeing</w:t>
      </w:r>
      <w:r w:rsidR="00A84AE8">
        <w:rPr>
          <w:rFonts w:eastAsia="Calibri" w:cs="Arial"/>
        </w:rPr>
        <w:t>,</w:t>
      </w:r>
      <w:r w:rsidR="00165398">
        <w:rPr>
          <w:rFonts w:eastAsia="Calibri" w:cs="Arial"/>
        </w:rPr>
        <w:t xml:space="preserve"> </w:t>
      </w:r>
      <w:r w:rsidR="00F37990">
        <w:rPr>
          <w:rFonts w:eastAsia="Calibri" w:cs="Arial"/>
        </w:rPr>
        <w:t xml:space="preserve">may impact upon </w:t>
      </w:r>
      <w:r w:rsidR="004714F9" w:rsidRPr="004714F9">
        <w:rPr>
          <w:rFonts w:eastAsia="Calibri" w:cs="Arial"/>
        </w:rPr>
        <w:t xml:space="preserve">the skill development of student midwives and </w:t>
      </w:r>
      <w:r w:rsidR="00F37990">
        <w:rPr>
          <w:rFonts w:eastAsia="Calibri" w:cs="Arial"/>
        </w:rPr>
        <w:t xml:space="preserve">their subsequent </w:t>
      </w:r>
      <w:r w:rsidR="00A84AE8">
        <w:rPr>
          <w:rFonts w:eastAsia="Calibri" w:cs="Arial"/>
        </w:rPr>
        <w:t>practice (</w:t>
      </w:r>
      <w:r w:rsidR="004714F9" w:rsidRPr="004714F9">
        <w:rPr>
          <w:rFonts w:eastAsia="Calibri" w:cs="Arial"/>
        </w:rPr>
        <w:t>RCM</w:t>
      </w:r>
      <w:r w:rsidR="00477443">
        <w:rPr>
          <w:rFonts w:eastAsia="Calibri" w:cs="Arial"/>
        </w:rPr>
        <w:t>,</w:t>
      </w:r>
      <w:r w:rsidR="004714F9" w:rsidRPr="004714F9">
        <w:rPr>
          <w:rFonts w:eastAsia="Calibri" w:cs="Arial"/>
        </w:rPr>
        <w:t xml:space="preserve"> 2010; </w:t>
      </w:r>
      <w:r w:rsidR="004116F6">
        <w:rPr>
          <w:rFonts w:eastAsia="Calibri" w:cs="Arial"/>
        </w:rPr>
        <w:t>RCM</w:t>
      </w:r>
      <w:r w:rsidR="00477443">
        <w:rPr>
          <w:rFonts w:eastAsia="Calibri" w:cs="Arial"/>
        </w:rPr>
        <w:t>,</w:t>
      </w:r>
      <w:r w:rsidR="004116F6">
        <w:rPr>
          <w:rFonts w:eastAsia="Calibri" w:cs="Arial"/>
        </w:rPr>
        <w:t xml:space="preserve"> 2014a</w:t>
      </w:r>
      <w:r w:rsidR="00A84AE8">
        <w:rPr>
          <w:rFonts w:eastAsia="Calibri" w:cs="Arial"/>
        </w:rPr>
        <w:t xml:space="preserve">; </w:t>
      </w:r>
      <w:r w:rsidR="006F4BFF">
        <w:rPr>
          <w:rFonts w:eastAsia="Calibri" w:cs="Arial"/>
        </w:rPr>
        <w:t>Larkin</w:t>
      </w:r>
      <w:r w:rsidR="00477443">
        <w:rPr>
          <w:rFonts w:eastAsia="Calibri" w:cs="Arial"/>
        </w:rPr>
        <w:t>,</w:t>
      </w:r>
      <w:r w:rsidR="006F4BFF">
        <w:rPr>
          <w:rFonts w:eastAsia="Calibri" w:cs="Arial"/>
        </w:rPr>
        <w:t xml:space="preserve"> 2015; </w:t>
      </w:r>
      <w:r w:rsidR="00A84AE8">
        <w:rPr>
          <w:rFonts w:eastAsia="Calibri" w:cs="Arial"/>
        </w:rPr>
        <w:t>Marsh et al 2015</w:t>
      </w:r>
      <w:r w:rsidR="003C1BB3" w:rsidRPr="002A1FC2">
        <w:rPr>
          <w:rFonts w:eastAsia="Calibri" w:cs="Arial"/>
        </w:rPr>
        <w:t>)</w:t>
      </w:r>
      <w:r w:rsidRPr="002A1FC2">
        <w:rPr>
          <w:rFonts w:eastAsia="Calibri" w:cs="Arial"/>
        </w:rPr>
        <w:t xml:space="preserve">.  </w:t>
      </w:r>
      <w:r w:rsidR="004D6484" w:rsidRPr="002A1FC2">
        <w:rPr>
          <w:rFonts w:eastAsia="Calibri" w:cs="Arial"/>
        </w:rPr>
        <w:t>The process and content of pre-registration midwifery prog</w:t>
      </w:r>
      <w:r w:rsidR="009C608C" w:rsidRPr="002A1FC2">
        <w:rPr>
          <w:rFonts w:eastAsia="Calibri" w:cs="Arial"/>
        </w:rPr>
        <w:t xml:space="preserve">rammes is fundamental to developing </w:t>
      </w:r>
      <w:r w:rsidR="004D6484" w:rsidRPr="002A1FC2">
        <w:rPr>
          <w:rFonts w:eastAsia="Calibri" w:cs="Arial"/>
        </w:rPr>
        <w:t>the professional skills and attributes</w:t>
      </w:r>
      <w:r w:rsidR="009C608C" w:rsidRPr="002A1FC2">
        <w:rPr>
          <w:rFonts w:eastAsia="Calibri" w:cs="Arial"/>
        </w:rPr>
        <w:t xml:space="preserve"> </w:t>
      </w:r>
      <w:r w:rsidR="004D6484" w:rsidRPr="002A1FC2">
        <w:rPr>
          <w:rFonts w:eastAsia="Calibri" w:cs="Arial"/>
        </w:rPr>
        <w:t xml:space="preserve">of the future midwifery </w:t>
      </w:r>
      <w:r w:rsidR="009C608C" w:rsidRPr="002A1FC2">
        <w:rPr>
          <w:rFonts w:eastAsia="Calibri" w:cs="Arial"/>
        </w:rPr>
        <w:t>workforce.  However, s</w:t>
      </w:r>
      <w:r w:rsidR="00BC701D" w:rsidRPr="002A1FC2">
        <w:rPr>
          <w:rFonts w:eastAsia="Calibri" w:cs="Arial"/>
        </w:rPr>
        <w:t>tudent midwives, who responded to</w:t>
      </w:r>
      <w:r w:rsidR="00BA5369" w:rsidRPr="002A1FC2">
        <w:rPr>
          <w:rFonts w:eastAsia="Calibri" w:cs="Arial"/>
        </w:rPr>
        <w:t xml:space="preserve"> a RCM national survey</w:t>
      </w:r>
      <w:r w:rsidR="00BC701D" w:rsidRPr="002A1FC2">
        <w:rPr>
          <w:rFonts w:eastAsia="Calibri" w:cs="Arial"/>
        </w:rPr>
        <w:t>, suggested a “low point” of their midwifery pre-registration programme was “lac</w:t>
      </w:r>
      <w:r w:rsidR="005029ED" w:rsidRPr="002A1FC2">
        <w:rPr>
          <w:rFonts w:eastAsia="Calibri" w:cs="Arial"/>
        </w:rPr>
        <w:t xml:space="preserve">k of postnatal experience” (RCM, </w:t>
      </w:r>
      <w:r w:rsidR="00BC701D" w:rsidRPr="002A1FC2">
        <w:rPr>
          <w:rFonts w:eastAsia="Calibri" w:cs="Arial"/>
        </w:rPr>
        <w:t xml:space="preserve">2011). </w:t>
      </w:r>
      <w:r w:rsidR="001F654A" w:rsidRPr="002A1FC2">
        <w:rPr>
          <w:rFonts w:eastAsia="Calibri" w:cs="Arial"/>
        </w:rPr>
        <w:t xml:space="preserve">  </w:t>
      </w:r>
      <w:r w:rsidR="004D6484" w:rsidRPr="002A1FC2">
        <w:rPr>
          <w:rFonts w:eastAsia="Calibri" w:cs="Arial"/>
        </w:rPr>
        <w:t xml:space="preserve">Failure to attend to student learning may ultimately jeopardise </w:t>
      </w:r>
      <w:r w:rsidR="009C608C" w:rsidRPr="002A1FC2">
        <w:rPr>
          <w:rFonts w:eastAsia="Calibri" w:cs="Arial"/>
        </w:rPr>
        <w:t>women’s</w:t>
      </w:r>
      <w:r w:rsidR="004D6484" w:rsidRPr="002A1FC2">
        <w:rPr>
          <w:rFonts w:eastAsia="Calibri" w:cs="Arial"/>
        </w:rPr>
        <w:t xml:space="preserve"> experiences and health outcomes</w:t>
      </w:r>
      <w:r w:rsidR="009C608C" w:rsidRPr="002A1FC2">
        <w:rPr>
          <w:rFonts w:eastAsia="Calibri" w:cs="Arial"/>
        </w:rPr>
        <w:t xml:space="preserve"> following childbirth</w:t>
      </w:r>
      <w:r w:rsidR="004D6484" w:rsidRPr="002A1FC2">
        <w:rPr>
          <w:rFonts w:eastAsia="Calibri" w:cs="Arial"/>
        </w:rPr>
        <w:t>.</w:t>
      </w:r>
    </w:p>
    <w:p w14:paraId="32ED60EB" w14:textId="77777777" w:rsidR="009C608C" w:rsidRDefault="009C608C" w:rsidP="00BC701D">
      <w:pPr>
        <w:spacing w:after="0" w:line="240" w:lineRule="auto"/>
        <w:rPr>
          <w:rFonts w:eastAsia="Calibri" w:cs="Arial"/>
        </w:rPr>
      </w:pPr>
    </w:p>
    <w:p w14:paraId="7D068C01" w14:textId="146CF485" w:rsidR="005029ED" w:rsidRDefault="003C1BB3" w:rsidP="00BC701D">
      <w:pPr>
        <w:spacing w:after="0" w:line="240" w:lineRule="auto"/>
        <w:rPr>
          <w:rFonts w:eastAsia="Calibri" w:cs="Arial"/>
        </w:rPr>
      </w:pPr>
      <w:r>
        <w:rPr>
          <w:rFonts w:eastAsia="Calibri" w:cs="Arial"/>
        </w:rPr>
        <w:t>In response t</w:t>
      </w:r>
      <w:r w:rsidR="005029ED">
        <w:rPr>
          <w:rFonts w:eastAsia="Calibri" w:cs="Arial"/>
        </w:rPr>
        <w:t xml:space="preserve">his study </w:t>
      </w:r>
      <w:r w:rsidR="00BA5369">
        <w:rPr>
          <w:rFonts w:eastAsia="Calibri" w:cs="Arial"/>
        </w:rPr>
        <w:t xml:space="preserve">aimed </w:t>
      </w:r>
      <w:r w:rsidR="006324DF">
        <w:rPr>
          <w:rFonts w:eastAsia="Calibri" w:cs="Arial"/>
        </w:rPr>
        <w:t>to: -</w:t>
      </w:r>
    </w:p>
    <w:p w14:paraId="01AE2CCF" w14:textId="77777777" w:rsidR="00435B16" w:rsidRPr="00BC701D" w:rsidRDefault="00435B16" w:rsidP="00BC701D">
      <w:pPr>
        <w:spacing w:after="0" w:line="240" w:lineRule="auto"/>
        <w:rPr>
          <w:rFonts w:eastAsia="Calibri" w:cs="Arial"/>
        </w:rPr>
      </w:pPr>
    </w:p>
    <w:p w14:paraId="11F9AA30" w14:textId="77777777" w:rsidR="00435B16" w:rsidRPr="00EC10F1" w:rsidRDefault="00435B16" w:rsidP="00435B16">
      <w:pPr>
        <w:spacing w:after="0" w:line="240" w:lineRule="auto"/>
      </w:pPr>
      <w:r w:rsidRPr="00EC10F1">
        <w:rPr>
          <w:b/>
          <w:bCs/>
          <w:u w:val="single"/>
        </w:rPr>
        <w:t>Aim</w:t>
      </w:r>
    </w:p>
    <w:p w14:paraId="3202B4A1" w14:textId="25AEE504" w:rsidR="00435B16" w:rsidRPr="00EC10F1" w:rsidRDefault="00435B16" w:rsidP="00435B16">
      <w:pPr>
        <w:spacing w:after="0" w:line="240" w:lineRule="auto"/>
      </w:pPr>
      <w:r w:rsidRPr="00EC10F1">
        <w:t xml:space="preserve">To explore student midwives’ experiences of postnatal genital tract assessment </w:t>
      </w:r>
      <w:r w:rsidR="00EB5261">
        <w:t>(GTA)</w:t>
      </w:r>
      <w:r w:rsidRPr="00EC10F1">
        <w:t xml:space="preserve"> within midwifery preregistration curricula.</w:t>
      </w:r>
    </w:p>
    <w:p w14:paraId="084BBA74" w14:textId="77777777" w:rsidR="005029ED" w:rsidRDefault="005029ED" w:rsidP="00435B16">
      <w:pPr>
        <w:spacing w:after="0" w:line="240" w:lineRule="auto"/>
        <w:rPr>
          <w:b/>
          <w:bCs/>
          <w:u w:val="single"/>
          <w:lang w:val="en-US"/>
        </w:rPr>
      </w:pPr>
    </w:p>
    <w:p w14:paraId="2CD85004" w14:textId="77777777" w:rsidR="00435B16" w:rsidRPr="00EC10F1" w:rsidRDefault="00435B16" w:rsidP="00435B16">
      <w:pPr>
        <w:spacing w:after="0" w:line="240" w:lineRule="auto"/>
      </w:pPr>
      <w:r w:rsidRPr="00EC10F1">
        <w:rPr>
          <w:b/>
          <w:bCs/>
          <w:u w:val="single"/>
          <w:lang w:val="en-US"/>
        </w:rPr>
        <w:t>Objectives</w:t>
      </w:r>
    </w:p>
    <w:p w14:paraId="018286E5" w14:textId="77777777" w:rsidR="00435B16" w:rsidRPr="00EC10F1" w:rsidRDefault="00435B16" w:rsidP="00435B16">
      <w:pPr>
        <w:numPr>
          <w:ilvl w:val="0"/>
          <w:numId w:val="4"/>
        </w:numPr>
        <w:spacing w:after="0" w:line="240" w:lineRule="auto"/>
      </w:pPr>
      <w:r w:rsidRPr="00EC10F1">
        <w:t>To critique learning opportunities within pre-registration midwifery curriculum, in both university and practice setting.</w:t>
      </w:r>
    </w:p>
    <w:p w14:paraId="077D9FB7" w14:textId="080AC575" w:rsidR="00435B16" w:rsidRPr="00EC10F1" w:rsidRDefault="00435B16" w:rsidP="00435B16">
      <w:pPr>
        <w:numPr>
          <w:ilvl w:val="0"/>
          <w:numId w:val="4"/>
        </w:numPr>
        <w:spacing w:after="0" w:line="240" w:lineRule="auto"/>
      </w:pPr>
      <w:r w:rsidRPr="00EC10F1">
        <w:t xml:space="preserve">To explore student </w:t>
      </w:r>
      <w:r w:rsidR="006324DF" w:rsidRPr="00EC10F1">
        <w:t>midwives’</w:t>
      </w:r>
      <w:r w:rsidRPr="00EC10F1">
        <w:t xml:space="preserve"> perceptions of their abilities to select and undertake a range of maternal postnatal genital tract assessments.</w:t>
      </w:r>
    </w:p>
    <w:p w14:paraId="7964DC83" w14:textId="77777777" w:rsidR="00435B16" w:rsidRPr="00EC10F1" w:rsidRDefault="00435B16" w:rsidP="00435B16">
      <w:pPr>
        <w:numPr>
          <w:ilvl w:val="0"/>
          <w:numId w:val="4"/>
        </w:numPr>
        <w:spacing w:after="0" w:line="240" w:lineRule="auto"/>
      </w:pPr>
      <w:r w:rsidRPr="00EC10F1">
        <w:t>To consider factors potentially impacting upon students’ ability to engage in appropriate opportunities and experiences.</w:t>
      </w:r>
    </w:p>
    <w:p w14:paraId="2D6C794D" w14:textId="77777777" w:rsidR="00435B16" w:rsidRPr="00EC10F1" w:rsidRDefault="00435B16" w:rsidP="00435B16">
      <w:pPr>
        <w:numPr>
          <w:ilvl w:val="0"/>
          <w:numId w:val="4"/>
        </w:numPr>
        <w:spacing w:after="0" w:line="240" w:lineRule="auto"/>
      </w:pPr>
      <w:r w:rsidRPr="00EC10F1">
        <w:t>To identify areas for development, with the potential to enhance student experiences and satisfaction within pre-registration midwifery curriculum.</w:t>
      </w:r>
    </w:p>
    <w:p w14:paraId="357649D4" w14:textId="77777777" w:rsidR="004714F9" w:rsidRPr="004714F9" w:rsidRDefault="004714F9" w:rsidP="004714F9">
      <w:pPr>
        <w:spacing w:after="0" w:line="240" w:lineRule="auto"/>
        <w:rPr>
          <w:rFonts w:eastAsia="Calibri" w:cs="Arial"/>
        </w:rPr>
      </w:pPr>
    </w:p>
    <w:p w14:paraId="5B7F1E0D" w14:textId="77777777" w:rsidR="004714F9" w:rsidRPr="004714F9" w:rsidRDefault="004714F9" w:rsidP="00F80299">
      <w:pPr>
        <w:spacing w:after="0" w:line="240" w:lineRule="auto"/>
      </w:pPr>
    </w:p>
    <w:p w14:paraId="486495AB" w14:textId="6E81BEF3" w:rsidR="00650EB2" w:rsidRPr="00D66CB3" w:rsidRDefault="00D66CB3" w:rsidP="00F80299">
      <w:pPr>
        <w:spacing w:after="0" w:line="240" w:lineRule="auto"/>
        <w:rPr>
          <w:b/>
        </w:rPr>
      </w:pPr>
      <w:r>
        <w:rPr>
          <w:b/>
        </w:rPr>
        <w:t>Research Design</w:t>
      </w:r>
    </w:p>
    <w:p w14:paraId="3A8B13E6" w14:textId="77777777" w:rsidR="00D026F7" w:rsidRDefault="00D026F7" w:rsidP="002E1AA2">
      <w:pPr>
        <w:spacing w:after="0" w:line="240" w:lineRule="auto"/>
      </w:pPr>
    </w:p>
    <w:p w14:paraId="702497AB" w14:textId="6995D11A" w:rsidR="00CB003B" w:rsidRDefault="00F6240E" w:rsidP="002E1AA2">
      <w:pPr>
        <w:spacing w:after="0" w:line="240" w:lineRule="auto"/>
      </w:pPr>
      <w:proofErr w:type="spellStart"/>
      <w:r w:rsidRPr="00F6240E">
        <w:t>Atchan</w:t>
      </w:r>
      <w:proofErr w:type="spellEnd"/>
      <w:r w:rsidRPr="00F6240E">
        <w:t xml:space="preserve"> et al</w:t>
      </w:r>
      <w:r w:rsidR="00477443">
        <w:t>.</w:t>
      </w:r>
      <w:r w:rsidRPr="00F6240E">
        <w:t xml:space="preserve"> (2016) suggest that a multi-faceted exploration of an issue may aid the translation of knowledge into practice, but highlight that the potential of appropriate approaches such as Case Study research (CSR) have not yet been grasped in midwifery.  </w:t>
      </w:r>
      <w:r w:rsidR="00F27011">
        <w:t>CSR</w:t>
      </w:r>
      <w:r w:rsidR="00CB003B">
        <w:t xml:space="preserve"> </w:t>
      </w:r>
      <w:r w:rsidR="00CB003B" w:rsidRPr="002E1AA2">
        <w:t xml:space="preserve">focuses </w:t>
      </w:r>
      <w:r w:rsidR="00820402" w:rsidRPr="002E1AA2">
        <w:t xml:space="preserve">upon </w:t>
      </w:r>
      <w:r w:rsidR="00820402">
        <w:t>phenomena</w:t>
      </w:r>
      <w:r w:rsidR="00CB003B" w:rsidRPr="002E1AA2">
        <w:t xml:space="preserve"> </w:t>
      </w:r>
      <w:r w:rsidR="00CB003B">
        <w:t>in</w:t>
      </w:r>
      <w:r w:rsidR="00CB003B" w:rsidRPr="002E1AA2">
        <w:t xml:space="preserve"> context</w:t>
      </w:r>
      <w:r w:rsidR="00CB003B">
        <w:t xml:space="preserve"> and acknowledges</w:t>
      </w:r>
      <w:r w:rsidR="00CB003B" w:rsidRPr="002E1AA2">
        <w:t xml:space="preserve"> multiple interpretations, therefore developing a naturalistic and relativist understanding of the research focu</w:t>
      </w:r>
      <w:r w:rsidR="00CB003B">
        <w:t>s (Simon</w:t>
      </w:r>
      <w:r w:rsidR="00477443">
        <w:t xml:space="preserve">s, 2009; Crowe </w:t>
      </w:r>
      <w:r w:rsidR="00CB003B">
        <w:t>et al</w:t>
      </w:r>
      <w:r w:rsidR="00477443">
        <w:t>.</w:t>
      </w:r>
      <w:r w:rsidR="00CB003B">
        <w:t xml:space="preserve"> 2011).   </w:t>
      </w:r>
      <w:r w:rsidR="005D024C">
        <w:t xml:space="preserve">There are differing formats of CSR, </w:t>
      </w:r>
      <w:r w:rsidR="00817BBA" w:rsidRPr="002E1AA2">
        <w:t>dependent</w:t>
      </w:r>
      <w:r w:rsidR="002E1AA2" w:rsidRPr="002E1AA2">
        <w:t xml:space="preserve"> upo</w:t>
      </w:r>
      <w:r w:rsidR="005D024C">
        <w:t xml:space="preserve">n the </w:t>
      </w:r>
      <w:r w:rsidR="00DF4B89">
        <w:t>research in</w:t>
      </w:r>
      <w:r w:rsidR="005D024C">
        <w:t xml:space="preserve">tention </w:t>
      </w:r>
      <w:r w:rsidR="002E1AA2" w:rsidRPr="002E1AA2">
        <w:fldChar w:fldCharType="begin"/>
      </w:r>
      <w:r w:rsidR="002E1AA2" w:rsidRPr="002E1AA2">
        <w:instrText xml:space="preserve"> ADDIN EN.CITE &lt;EndNote&gt;&lt;Cite&gt;&lt;Author&gt;Yin&lt;/Author&gt;&lt;Year&gt;2014&lt;/Year&gt;&lt;RecNum&gt;164&lt;/RecNum&gt;&lt;DisplayText&gt;(Yin 2014)&lt;/DisplayText&gt;&lt;record&gt;&lt;rec-number&gt;164&lt;/rec-number&gt;&lt;foreign-keys&gt;&lt;key app="EN" db-id="99vapetesfepdse5tv659vtosd5995tfv2a9"&gt;164&lt;/key&gt;&lt;/foreign-keys&gt;&lt;ref-type name="Book"&gt;6&lt;/ref-type&gt;&lt;contributors&gt;&lt;authors&gt;&lt;author&gt;Yin, Robert,K.&lt;/author&gt;&lt;/authors&gt;&lt;/contributors&gt;&lt;titles&gt;&lt;title&gt;Case Study Research: Design and Methods&lt;/title&gt;&lt;/titles&gt;&lt;edition&gt;5th Edition&lt;/edition&gt;&lt;dates&gt;&lt;year&gt;2014&lt;/year&gt;&lt;/dates&gt;&lt;pub-location&gt;London&lt;/pub-location&gt;&lt;publisher&gt;Sage&lt;/publisher&gt;&lt;urls&gt;&lt;/urls&gt;&lt;/record&gt;&lt;/Cite&gt;&lt;/EndNote&gt;</w:instrText>
      </w:r>
      <w:r w:rsidR="002E1AA2" w:rsidRPr="002E1AA2">
        <w:fldChar w:fldCharType="separate"/>
      </w:r>
      <w:r w:rsidR="002E1AA2" w:rsidRPr="002E1AA2">
        <w:t>(</w:t>
      </w:r>
      <w:r w:rsidR="002E1AA2" w:rsidRPr="00FE4FC6">
        <w:t>Yin</w:t>
      </w:r>
      <w:r w:rsidR="00477443">
        <w:t>,</w:t>
      </w:r>
      <w:r w:rsidR="002E1AA2" w:rsidRPr="00FE4FC6">
        <w:t xml:space="preserve"> 2014</w:t>
      </w:r>
      <w:r w:rsidR="002E1AA2" w:rsidRPr="002E1AA2">
        <w:t>)</w:t>
      </w:r>
      <w:r w:rsidR="002E1AA2" w:rsidRPr="002E1AA2">
        <w:fldChar w:fldCharType="end"/>
      </w:r>
      <w:r w:rsidR="002E1AA2" w:rsidRPr="002E1AA2">
        <w:t xml:space="preserve">.  </w:t>
      </w:r>
      <w:r w:rsidR="00472C5F" w:rsidRPr="002E1AA2">
        <w:t xml:space="preserve">Defining the </w:t>
      </w:r>
      <w:r w:rsidR="00CB003B">
        <w:t>‘</w:t>
      </w:r>
      <w:r w:rsidR="00472C5F" w:rsidRPr="002E1AA2">
        <w:t>case</w:t>
      </w:r>
      <w:r w:rsidR="008354A4">
        <w:t>’ and research aims</w:t>
      </w:r>
      <w:r w:rsidR="00472C5F" w:rsidRPr="002E1AA2">
        <w:t xml:space="preserve"> helps clarify the </w:t>
      </w:r>
      <w:r w:rsidR="00CB003B">
        <w:t xml:space="preserve">appropriate </w:t>
      </w:r>
      <w:r w:rsidR="00472C5F" w:rsidRPr="002E1AA2">
        <w:t xml:space="preserve">type of </w:t>
      </w:r>
      <w:r w:rsidR="00CB003B">
        <w:t xml:space="preserve">CSR, thus </w:t>
      </w:r>
      <w:r w:rsidR="00472C5F" w:rsidRPr="002E1AA2">
        <w:t>facilitat</w:t>
      </w:r>
      <w:r w:rsidR="00CB003B">
        <w:t>ing</w:t>
      </w:r>
      <w:r w:rsidR="00472C5F" w:rsidRPr="002E1AA2">
        <w:t xml:space="preserve"> the authenticity of the research design </w:t>
      </w:r>
      <w:r w:rsidR="00472C5F" w:rsidRPr="002E1AA2">
        <w:fldChar w:fldCharType="begin"/>
      </w:r>
      <w:r w:rsidR="00472C5F" w:rsidRPr="002E1AA2">
        <w:instrText xml:space="preserve"> ADDIN EN.CITE &lt;EndNote&gt;&lt;Cite&gt;&lt;Author&gt;Baxter&lt;/Author&gt;&lt;Year&gt;2008&lt;/Year&gt;&lt;RecNum&gt;166&lt;/RecNum&gt;&lt;DisplayText&gt;(Baxter and Jack 2008)&lt;/DisplayText&gt;&lt;record&gt;&lt;rec-number&gt;166&lt;/rec-number&gt;&lt;foreign-keys&gt;&lt;key app="EN" db-id="99vapetesfepdse5tv659vtosd5995tfv2a9"&gt;166&lt;/key&gt;&lt;/foreign-keys&gt;&lt;ref-type name="Journal Article"&gt;17&lt;/ref-type&gt;&lt;contributors&gt;&lt;authors&gt;&lt;author&gt;Baxter, Pamela &lt;/author&gt;&lt;author&gt;Jack, Susan &lt;/author&gt;&lt;/authors&gt;&lt;/contributors&gt;&lt;titles&gt;&lt;title&gt;Qualitative Case Study Methodology: Study Design and Implementation for Novice Researchers&lt;/title&gt;&lt;secondary-title&gt;The Qualitative Report &lt;/secondary-title&gt;&lt;/titles&gt;&lt;periodical&gt;&lt;full-title&gt;The Qualitative Report&lt;/full-title&gt;&lt;/periodical&gt;&lt;pages&gt; 544-559&lt;/pages&gt;&lt;volume&gt;Volume 13&lt;/volume&gt;&lt;number&gt; Number 4 December &lt;/number&gt;&lt;dates&gt;&lt;year&gt;2008&lt;/year&gt;&lt;/dates&gt;&lt;urls&gt;&lt;related-urls&gt;&lt;url&gt;http://www.nova.edu/ssss/QR/QR13-4/baxter.pdf&lt;/url&gt;&lt;/related-urls&gt;&lt;/urls&gt;&lt;/record&gt;&lt;/Cite&gt;&lt;/EndNote&gt;</w:instrText>
      </w:r>
      <w:r w:rsidR="00472C5F" w:rsidRPr="002E1AA2">
        <w:fldChar w:fldCharType="separate"/>
      </w:r>
      <w:r w:rsidR="00472C5F" w:rsidRPr="002E1AA2">
        <w:t>(</w:t>
      </w:r>
      <w:r w:rsidR="00472C5F" w:rsidRPr="00EC27F9">
        <w:t>Baxter and Jack</w:t>
      </w:r>
      <w:r w:rsidR="00477443">
        <w:t>,</w:t>
      </w:r>
      <w:r w:rsidR="00472C5F" w:rsidRPr="00EC27F9">
        <w:t xml:space="preserve"> 2008</w:t>
      </w:r>
      <w:r w:rsidR="00472C5F" w:rsidRPr="002E1AA2">
        <w:t>)</w:t>
      </w:r>
      <w:r w:rsidR="00472C5F" w:rsidRPr="002E1AA2">
        <w:fldChar w:fldCharType="end"/>
      </w:r>
      <w:r w:rsidR="00472C5F" w:rsidRPr="002E1AA2">
        <w:t xml:space="preserve">.  </w:t>
      </w:r>
      <w:r w:rsidR="00AF62A3">
        <w:t>This</w:t>
      </w:r>
      <w:r w:rsidR="006E0393">
        <w:t xml:space="preserve"> case involved all final year student midwives in one UK Higher Education </w:t>
      </w:r>
      <w:r w:rsidR="00BD3965">
        <w:t>Institution</w:t>
      </w:r>
      <w:r w:rsidR="006E0393">
        <w:t xml:space="preserve"> (HEI), a </w:t>
      </w:r>
      <w:r w:rsidR="002E1AA2" w:rsidRPr="002E1AA2">
        <w:t>single, instrumental case study</w:t>
      </w:r>
      <w:r w:rsidR="005D024C">
        <w:t xml:space="preserve"> design</w:t>
      </w:r>
      <w:r w:rsidR="002E1AA2" w:rsidRPr="002E1AA2">
        <w:t xml:space="preserve">, in which the case is selected to enable the exploration of a particular </w:t>
      </w:r>
      <w:r w:rsidR="008A5B12" w:rsidRPr="002E1AA2">
        <w:t>phenomenon</w:t>
      </w:r>
      <w:r w:rsidR="002E1AA2" w:rsidRPr="002E1AA2">
        <w:t xml:space="preserve"> </w:t>
      </w:r>
      <w:r w:rsidR="002E1AA2" w:rsidRPr="002E1AA2">
        <w:fldChar w:fldCharType="begin"/>
      </w:r>
      <w:r w:rsidR="002E1AA2" w:rsidRPr="002E1AA2">
        <w:instrText xml:space="preserve"> ADDIN EN.CITE &lt;EndNote&gt;&lt;Cite&gt;&lt;Author&gt;Simons&lt;/Author&gt;&lt;Year&gt;2009&lt;/Year&gt;&lt;RecNum&gt;163&lt;/RecNum&gt;&lt;DisplayText&gt;(Simons 2009, Crowe, Cresswell et al. 2011)&lt;/DisplayText&gt;&lt;record&gt;&lt;rec-number&gt;163&lt;/rec-number&gt;&lt;foreign-keys&gt;&lt;key app="EN" db-id="99vapetesfepdse5tv659vtosd5995tfv2a9"&gt;163&lt;/key&gt;&lt;/foreign-keys&gt;&lt;ref-type name="Book"&gt;6&lt;/ref-type&gt;&lt;contributors&gt;&lt;authors&gt;&lt;author&gt;Helen Simons&lt;/author&gt;&lt;/authors&gt;&lt;/contributors&gt;&lt;titles&gt;&lt;title&gt;Case Study Research in practice&lt;/title&gt;&lt;/titles&gt;&lt;dates&gt;&lt;year&gt;2009&lt;/year&gt;&lt;/dates&gt;&lt;pub-location&gt;London&lt;/pub-location&gt;&lt;publisher&gt;Sage&lt;/publisher&gt;&lt;urls&gt;&lt;/urls&gt;&lt;/record&gt;&lt;/Cite&gt;&lt;Cite&gt;&lt;Author&gt;Crowe&lt;/Author&gt;&lt;Year&gt;2011&lt;/Year&gt;&lt;RecNum&gt;162&lt;/RecNum&gt;&lt;record&gt;&lt;rec-number&gt;162&lt;/rec-number&gt;&lt;foreign-keys&gt;&lt;key app="EN" db-id="99vapetesfepdse5tv659vtosd5995tfv2a9"&gt;162&lt;/key&gt;&lt;/foreign-keys&gt;&lt;ref-type name="Journal Article"&gt;17&lt;/ref-type&gt;&lt;contributors&gt;&lt;authors&gt;&lt;author&gt;Crowe, Sarah&lt;/author&gt;&lt;author&gt;Cresswell, Kathrin&lt;/author&gt;&lt;author&gt;Robertson, Ann&lt;/author&gt;&lt;author&gt;Huby, Guro&lt;/author&gt;&lt;author&gt;Avery, Anthony&lt;/author&gt;&lt;author&gt;Sheikh, Aziz&lt;/author&gt;&lt;/authors&gt;&lt;/contributors&gt;&lt;titles&gt;&lt;title&gt;The case study approach&lt;/title&gt;&lt;secondary-title&gt;BMC Medical Research Methodology&lt;/secondary-title&gt;&lt;/titles&gt;&lt;periodical&gt;&lt;full-title&gt;BMC Medical Research Methodology&lt;/full-title&gt;&lt;/periodical&gt;&lt;pages&gt;100&lt;/pages&gt;&lt;volume&gt;11&lt;/volume&gt;&lt;number&gt;1&lt;/number&gt;&lt;dates&gt;&lt;year&gt;2011&lt;/year&gt;&lt;/dates&gt;&lt;isbn&gt;1471-2288&lt;/isbn&gt;&lt;work-type&gt;10.1186/1471-2288-11-100&lt;/work-type&gt;&lt;urls&gt;&lt;related-urls&gt;&lt;url&gt;http://www.biomedcentral.com/1471-2288/11/100&lt;/url&gt;&lt;/related-urls&gt;&lt;/urls&gt;&lt;/record&gt;&lt;/Cite&gt;&lt;/EndNote&gt;</w:instrText>
      </w:r>
      <w:r w:rsidR="002E1AA2" w:rsidRPr="002E1AA2">
        <w:fldChar w:fldCharType="separate"/>
      </w:r>
      <w:r w:rsidR="002E1AA2" w:rsidRPr="002E1AA2">
        <w:t>(</w:t>
      </w:r>
      <w:r w:rsidR="002E1AA2" w:rsidRPr="00FE4FC6">
        <w:t>Simons</w:t>
      </w:r>
      <w:r w:rsidR="00870A7C">
        <w:t>,</w:t>
      </w:r>
      <w:r w:rsidR="002E1AA2" w:rsidRPr="00FE4FC6">
        <w:t xml:space="preserve"> 2009</w:t>
      </w:r>
      <w:r w:rsidR="002E1AA2" w:rsidRPr="002E1AA2">
        <w:t xml:space="preserve">; </w:t>
      </w:r>
      <w:r w:rsidR="002E1AA2" w:rsidRPr="00FE4FC6">
        <w:t>Crowe</w:t>
      </w:r>
      <w:r w:rsidR="002E1AA2" w:rsidRPr="00870A7C">
        <w:t xml:space="preserve"> et al. </w:t>
      </w:r>
      <w:r w:rsidR="002E1AA2" w:rsidRPr="00FE4FC6">
        <w:t>2011</w:t>
      </w:r>
      <w:r w:rsidR="002E1AA2" w:rsidRPr="002E1AA2">
        <w:t>)</w:t>
      </w:r>
      <w:r w:rsidR="002E1AA2" w:rsidRPr="002E1AA2">
        <w:fldChar w:fldCharType="end"/>
      </w:r>
      <w:r w:rsidR="002E1AA2" w:rsidRPr="002E1AA2">
        <w:t xml:space="preserve">.  </w:t>
      </w:r>
    </w:p>
    <w:p w14:paraId="302C51B4" w14:textId="77777777" w:rsidR="00BF181F" w:rsidRDefault="00BF181F" w:rsidP="002E1AA2">
      <w:pPr>
        <w:spacing w:after="0" w:line="240" w:lineRule="auto"/>
        <w:rPr>
          <w:b/>
          <w:u w:val="single"/>
        </w:rPr>
      </w:pPr>
    </w:p>
    <w:p w14:paraId="2F472A0D" w14:textId="66BA0D98" w:rsidR="002E1AA2" w:rsidRPr="00472C5F" w:rsidRDefault="00EC27F9" w:rsidP="002E1AA2">
      <w:pPr>
        <w:spacing w:after="0" w:line="240" w:lineRule="auto"/>
        <w:rPr>
          <w:b/>
        </w:rPr>
      </w:pPr>
      <w:r w:rsidRPr="00472C5F">
        <w:rPr>
          <w:b/>
        </w:rPr>
        <w:t>Data</w:t>
      </w:r>
      <w:r w:rsidR="00472C5F" w:rsidRPr="00472C5F">
        <w:rPr>
          <w:b/>
        </w:rPr>
        <w:t xml:space="preserve"> Collection Methods</w:t>
      </w:r>
      <w:r w:rsidR="002B0075">
        <w:rPr>
          <w:b/>
        </w:rPr>
        <w:t xml:space="preserve">  </w:t>
      </w:r>
    </w:p>
    <w:p w14:paraId="04872CB5" w14:textId="77777777" w:rsidR="00D026F7" w:rsidRDefault="00D026F7" w:rsidP="002E1AA2">
      <w:pPr>
        <w:spacing w:after="0" w:line="240" w:lineRule="auto"/>
      </w:pPr>
    </w:p>
    <w:p w14:paraId="58250F62" w14:textId="3512FD5D" w:rsidR="00636EA9" w:rsidRDefault="004D3ED2" w:rsidP="002E1AA2">
      <w:pPr>
        <w:spacing w:after="0" w:line="240" w:lineRule="auto"/>
      </w:pPr>
      <w:r>
        <w:t>CSR employs m</w:t>
      </w:r>
      <w:r w:rsidR="002E1AA2" w:rsidRPr="002E1AA2">
        <w:t xml:space="preserve">ultiple embedded units of data </w:t>
      </w:r>
      <w:r w:rsidR="009D77BD">
        <w:t xml:space="preserve">from </w:t>
      </w:r>
      <w:r w:rsidR="002416E8" w:rsidRPr="002E1AA2">
        <w:t>several sources of evidence to illuminate the variables of interest</w:t>
      </w:r>
      <w:r w:rsidR="002416E8">
        <w:t xml:space="preserve">, </w:t>
      </w:r>
      <w:r w:rsidR="002E1AA2" w:rsidRPr="002E1AA2">
        <w:t xml:space="preserve">facilitating in depth insights and </w:t>
      </w:r>
      <w:r w:rsidR="004F47F8">
        <w:t xml:space="preserve">increasing </w:t>
      </w:r>
      <w:r w:rsidR="002E1AA2" w:rsidRPr="002E1AA2">
        <w:t xml:space="preserve">the potential to triangulate data  </w:t>
      </w:r>
      <w:r w:rsidR="002E1AA2" w:rsidRPr="002E1AA2">
        <w:fldChar w:fldCharType="begin"/>
      </w:r>
      <w:r w:rsidR="002E1AA2" w:rsidRPr="002E1AA2">
        <w:instrText xml:space="preserve"> ADDIN EN.CITE &lt;EndNote&gt;&lt;Cite&gt;&lt;Author&gt;Yin&lt;/Author&gt;&lt;Year&gt;2014&lt;/Year&gt;&lt;RecNum&gt;164&lt;/RecNum&gt;&lt;DisplayText&gt;(Crowe, Cresswell et al. 2011, Yin 2014)&lt;/DisplayText&gt;&lt;record&gt;&lt;rec-number&gt;164&lt;/rec-number&gt;&lt;foreign-keys&gt;&lt;key app="EN" db-id="99vapetesfepdse5tv659vtosd5995tfv2a9"&gt;164&lt;/key&gt;&lt;/foreign-keys&gt;&lt;ref-type name="Book"&gt;6&lt;/ref-type&gt;&lt;contributors&gt;&lt;authors&gt;&lt;author&gt;Yin, Robert,K.&lt;/author&gt;&lt;/authors&gt;&lt;/contributors&gt;&lt;titles&gt;&lt;title&gt;Case Study Research: Design and Methods&lt;/title&gt;&lt;/titles&gt;&lt;edition&gt;5th Edition&lt;/edition&gt;&lt;dates&gt;&lt;year&gt;2014&lt;/year&gt;&lt;/dates&gt;&lt;pub-location&gt;London&lt;/pub-location&gt;&lt;publisher&gt;Sage&lt;/publisher&gt;&lt;urls&gt;&lt;/urls&gt;&lt;/record&gt;&lt;/Cite&gt;&lt;Cite&gt;&lt;Author&gt;Crowe&lt;/Author&gt;&lt;Year&gt;2011&lt;/Year&gt;&lt;RecNum&gt;162&lt;/RecNum&gt;&lt;record&gt;&lt;rec-number&gt;162&lt;/rec-number&gt;&lt;foreign-keys&gt;&lt;key app="EN" db-id="99vapetesfepdse5tv659vtosd5995tfv2a9"&gt;162&lt;/key&gt;&lt;/foreign-keys&gt;&lt;ref-type name="Journal Article"&gt;17&lt;/ref-type&gt;&lt;contributors&gt;&lt;authors&gt;&lt;author&gt;Crowe, Sarah&lt;/author&gt;&lt;author&gt;Cresswell, Kathrin&lt;/author&gt;&lt;author&gt;Robertson, Ann&lt;/author&gt;&lt;author&gt;Huby, Guro&lt;/author&gt;&lt;author&gt;Avery, Anthony&lt;/author&gt;&lt;author&gt;Sheikh, Aziz&lt;/author&gt;&lt;/authors&gt;&lt;/contributors&gt;&lt;titles&gt;&lt;title&gt;The case study approach&lt;/title&gt;&lt;secondary-title&gt;BMC Medical Research Methodology&lt;/secondary-title&gt;&lt;/titles&gt;&lt;periodical&gt;&lt;full-title&gt;BMC Medical Research Methodology&lt;/full-title&gt;&lt;/periodical&gt;&lt;pages&gt;100&lt;/pages&gt;&lt;volume&gt;11&lt;/volume&gt;&lt;number&gt;1&lt;/number&gt;&lt;dates&gt;&lt;year&gt;2011&lt;/year&gt;&lt;/dates&gt;&lt;isbn&gt;1471-2288&lt;/isbn&gt;&lt;work-type&gt;10.1186/1471-2288-11-100&lt;/work-type&gt;&lt;urls&gt;&lt;related-urls&gt;&lt;url&gt;http://www.biomedcentral.com/1471-2288/11/100&lt;/url&gt;&lt;/related-urls&gt;&lt;/urls&gt;&lt;/record&gt;&lt;/Cite&gt;&lt;/EndNote&gt;</w:instrText>
      </w:r>
      <w:r w:rsidR="002E1AA2" w:rsidRPr="002E1AA2">
        <w:fldChar w:fldCharType="separate"/>
      </w:r>
      <w:r w:rsidR="002E1AA2" w:rsidRPr="002E1AA2">
        <w:t>(</w:t>
      </w:r>
      <w:r w:rsidR="001C0874">
        <w:t>Crowe</w:t>
      </w:r>
      <w:r w:rsidR="002E1AA2" w:rsidRPr="001E4745">
        <w:t xml:space="preserve"> </w:t>
      </w:r>
      <w:r w:rsidR="002E1AA2" w:rsidRPr="001C0874">
        <w:t xml:space="preserve">et al. </w:t>
      </w:r>
      <w:r w:rsidR="002E1AA2" w:rsidRPr="001E4745">
        <w:t>2011</w:t>
      </w:r>
      <w:r w:rsidR="002E1AA2" w:rsidRPr="002E1AA2">
        <w:t xml:space="preserve">; </w:t>
      </w:r>
      <w:r w:rsidR="002E1AA2" w:rsidRPr="001E4745">
        <w:t>Yin</w:t>
      </w:r>
      <w:r w:rsidR="001C0874">
        <w:t>,</w:t>
      </w:r>
      <w:r w:rsidR="002E1AA2" w:rsidRPr="001E4745">
        <w:t xml:space="preserve"> 2014</w:t>
      </w:r>
      <w:r w:rsidR="002E1AA2" w:rsidRPr="002E1AA2">
        <w:t>)</w:t>
      </w:r>
      <w:r w:rsidR="002E1AA2" w:rsidRPr="002E1AA2">
        <w:fldChar w:fldCharType="end"/>
      </w:r>
      <w:r w:rsidR="00775CBB">
        <w:t>.</w:t>
      </w:r>
      <w:r w:rsidR="009D77BD">
        <w:t xml:space="preserve"> </w:t>
      </w:r>
      <w:r w:rsidR="00775CBB">
        <w:t xml:space="preserve"> </w:t>
      </w:r>
      <w:r w:rsidR="001D2DED">
        <w:t>Therefore,</w:t>
      </w:r>
      <w:r w:rsidR="009D77BD">
        <w:t xml:space="preserve"> t</w:t>
      </w:r>
      <w:r w:rsidR="002E1AA2" w:rsidRPr="002E1AA2">
        <w:t xml:space="preserve">o explore </w:t>
      </w:r>
      <w:r w:rsidR="006C75F9">
        <w:t>the</w:t>
      </w:r>
      <w:r w:rsidR="002E1AA2" w:rsidRPr="002E1AA2">
        <w:t xml:space="preserve"> experiences </w:t>
      </w:r>
      <w:r w:rsidR="00636EA9">
        <w:t>student</w:t>
      </w:r>
      <w:r w:rsidR="002E1AA2" w:rsidRPr="002E1AA2">
        <w:t xml:space="preserve"> midwives encounter </w:t>
      </w:r>
      <w:r w:rsidR="002416E8" w:rsidRPr="002E1AA2">
        <w:t xml:space="preserve">regarding </w:t>
      </w:r>
      <w:r w:rsidR="002416E8">
        <w:t>GTA</w:t>
      </w:r>
      <w:r w:rsidR="00A26C3B">
        <w:t>, four</w:t>
      </w:r>
      <w:r w:rsidR="00636EA9">
        <w:t xml:space="preserve"> data sources were accessed; </w:t>
      </w:r>
      <w:r w:rsidR="002F63ED">
        <w:t>curriculum documentation; a survey;</w:t>
      </w:r>
      <w:r w:rsidR="00636EA9">
        <w:t xml:space="preserve"> semi</w:t>
      </w:r>
      <w:r w:rsidR="004F47F8">
        <w:t>-</w:t>
      </w:r>
      <w:r w:rsidR="00636EA9">
        <w:t xml:space="preserve">structured one to one interviews and </w:t>
      </w:r>
      <w:r w:rsidR="002F63ED">
        <w:t xml:space="preserve">a </w:t>
      </w:r>
      <w:r w:rsidR="00636EA9">
        <w:t>student midwife data workshop</w:t>
      </w:r>
      <w:r w:rsidR="000630F4">
        <w:t xml:space="preserve"> (table 1)</w:t>
      </w:r>
      <w:r w:rsidR="00636EA9">
        <w:t xml:space="preserve">.  </w:t>
      </w:r>
    </w:p>
    <w:p w14:paraId="20CC1A90" w14:textId="77777777" w:rsidR="00122D3B" w:rsidRDefault="00122D3B" w:rsidP="002E1AA2">
      <w:pPr>
        <w:spacing w:after="0" w:line="240" w:lineRule="auto"/>
      </w:pPr>
    </w:p>
    <w:p w14:paraId="0EE154C3" w14:textId="47663B6B" w:rsidR="00B72EC5" w:rsidRDefault="00A414EE" w:rsidP="00E86750">
      <w:pPr>
        <w:spacing w:after="0" w:line="240" w:lineRule="auto"/>
      </w:pPr>
      <w:r>
        <w:lastRenderedPageBreak/>
        <w:t xml:space="preserve">The review of </w:t>
      </w:r>
      <w:r w:rsidRPr="002E1AA2">
        <w:t>documentary evidence</w:t>
      </w:r>
      <w:r>
        <w:t xml:space="preserve"> examined </w:t>
      </w:r>
      <w:r w:rsidRPr="002E1AA2">
        <w:t>programme and module learning outcomes, placement plans and assessment documentation</w:t>
      </w:r>
      <w:r>
        <w:t xml:space="preserve">, noting potential theoretical and clinical </w:t>
      </w:r>
      <w:r w:rsidRPr="002E1AA2">
        <w:t xml:space="preserve">exposure </w:t>
      </w:r>
      <w:r w:rsidR="00D06166">
        <w:t xml:space="preserve">for students </w:t>
      </w:r>
      <w:r w:rsidRPr="002E1AA2">
        <w:t xml:space="preserve">to maternal postnatal GTA.  </w:t>
      </w:r>
      <w:r>
        <w:t xml:space="preserve"> </w:t>
      </w:r>
      <w:r w:rsidR="00120D3B">
        <w:rPr>
          <w:noProof/>
          <w:lang w:eastAsia="en-GB"/>
        </w:rPr>
        <w:t xml:space="preserve">The survey </w:t>
      </w:r>
      <w:r w:rsidR="00D06166" w:rsidRPr="002E1AA2">
        <w:t>provide</w:t>
      </w:r>
      <w:r w:rsidR="00E86750">
        <w:t>d</w:t>
      </w:r>
      <w:r w:rsidR="00D06166" w:rsidRPr="002E1AA2">
        <w:t xml:space="preserve"> </w:t>
      </w:r>
      <w:r w:rsidR="00D06166">
        <w:t xml:space="preserve">numerical data and an </w:t>
      </w:r>
      <w:r w:rsidR="00D06166" w:rsidRPr="002E1AA2">
        <w:t xml:space="preserve">overview of </w:t>
      </w:r>
      <w:r w:rsidR="00D06166">
        <w:t xml:space="preserve">the students’ experiences and </w:t>
      </w:r>
      <w:r w:rsidR="00120D3B">
        <w:rPr>
          <w:noProof/>
          <w:lang w:eastAsia="en-GB"/>
        </w:rPr>
        <w:t>consist</w:t>
      </w:r>
      <w:r w:rsidR="00C41817">
        <w:rPr>
          <w:noProof/>
          <w:lang w:eastAsia="en-GB"/>
        </w:rPr>
        <w:t xml:space="preserve">ed </w:t>
      </w:r>
      <w:r w:rsidR="00120D3B">
        <w:rPr>
          <w:noProof/>
          <w:lang w:eastAsia="en-GB"/>
        </w:rPr>
        <w:t>of four sections</w:t>
      </w:r>
      <w:r w:rsidR="00E86750">
        <w:rPr>
          <w:noProof/>
          <w:lang w:eastAsia="en-GB"/>
        </w:rPr>
        <w:t>;</w:t>
      </w:r>
      <w:r w:rsidR="00D06166">
        <w:rPr>
          <w:noProof/>
          <w:lang w:eastAsia="en-GB"/>
        </w:rPr>
        <w:t xml:space="preserve"> </w:t>
      </w:r>
      <w:r w:rsidR="00120D3B">
        <w:rPr>
          <w:noProof/>
          <w:lang w:eastAsia="en-GB"/>
        </w:rPr>
        <w:t>theoretical and clinical learning opportuniti</w:t>
      </w:r>
      <w:r w:rsidR="00751EF7">
        <w:rPr>
          <w:noProof/>
          <w:lang w:eastAsia="en-GB"/>
        </w:rPr>
        <w:t>es, confidence levels, factors e</w:t>
      </w:r>
      <w:r w:rsidR="00120D3B">
        <w:rPr>
          <w:noProof/>
          <w:lang w:eastAsia="en-GB"/>
        </w:rPr>
        <w:t>ffecting performance and potential areas for improvement</w:t>
      </w:r>
      <w:r w:rsidR="00751EF7">
        <w:rPr>
          <w:noProof/>
          <w:lang w:eastAsia="en-GB"/>
        </w:rPr>
        <w:t xml:space="preserve"> (Yin 2014)</w:t>
      </w:r>
      <w:r w:rsidR="00C41817">
        <w:t xml:space="preserve">.  </w:t>
      </w:r>
      <w:r w:rsidR="00E86750">
        <w:t>By encouraging students to give narratives of their experiences of GTA</w:t>
      </w:r>
      <w:r w:rsidR="008124F5">
        <w:t>,</w:t>
      </w:r>
      <w:r w:rsidR="00E86750">
        <w:t xml:space="preserve"> the interviews enabled collection of rich, detailed illuminations </w:t>
      </w:r>
      <w:r w:rsidR="002132A5">
        <w:t>(Ritchie and Lewis</w:t>
      </w:r>
      <w:r w:rsidR="00CF6DC9">
        <w:t>,</w:t>
      </w:r>
      <w:r w:rsidR="002132A5">
        <w:t xml:space="preserve"> </w:t>
      </w:r>
      <w:r w:rsidR="002132A5" w:rsidRPr="002E1AA2">
        <w:t>2003)</w:t>
      </w:r>
      <w:r w:rsidR="002132A5">
        <w:t xml:space="preserve">. </w:t>
      </w:r>
      <w:r w:rsidR="004C6AA7">
        <w:t xml:space="preserve"> A loose semi-structured interview guide was developed drawing on sensitising concepts such as those identified in the background literature and those developed from curriculum document review and the survey (Yin 2014). </w:t>
      </w:r>
      <w:r w:rsidR="0070489D">
        <w:t xml:space="preserve"> </w:t>
      </w:r>
      <w:r w:rsidR="00704718">
        <w:t xml:space="preserve">The </w:t>
      </w:r>
      <w:r w:rsidR="00656D0F">
        <w:t>interview</w:t>
      </w:r>
      <w:r w:rsidR="00D92AAE">
        <w:t xml:space="preserve"> </w:t>
      </w:r>
      <w:r w:rsidR="00704718">
        <w:t>dialogue</w:t>
      </w:r>
      <w:r w:rsidR="00517209">
        <w:t>, lasted from 30 to 60 minutes</w:t>
      </w:r>
      <w:r w:rsidR="00704718">
        <w:t xml:space="preserve"> </w:t>
      </w:r>
      <w:r w:rsidR="00517209">
        <w:t xml:space="preserve">and </w:t>
      </w:r>
      <w:r w:rsidR="00704718">
        <w:t xml:space="preserve">was </w:t>
      </w:r>
      <w:r w:rsidR="0070489D">
        <w:t xml:space="preserve">recorded and later transcribed </w:t>
      </w:r>
      <w:r w:rsidR="00704718" w:rsidRPr="002E1AA2">
        <w:t xml:space="preserve">and field notes </w:t>
      </w:r>
      <w:r w:rsidR="00704718">
        <w:t xml:space="preserve">were </w:t>
      </w:r>
      <w:r w:rsidR="005412C8">
        <w:t>made of non-verbal responses.</w:t>
      </w:r>
      <w:r w:rsidR="005C0050">
        <w:t xml:space="preserve">  </w:t>
      </w:r>
      <w:r w:rsidR="008075CF">
        <w:t>Finally, a</w:t>
      </w:r>
      <w:r w:rsidR="008075CF" w:rsidRPr="005958D9">
        <w:t xml:space="preserve"> student midwife / researcher workshop was </w:t>
      </w:r>
      <w:r w:rsidR="008075CF">
        <w:t>offered to all participants</w:t>
      </w:r>
      <w:r w:rsidR="00D01C60">
        <w:t>,</w:t>
      </w:r>
      <w:r w:rsidR="008075CF">
        <w:t xml:space="preserve"> involving group discussion to </w:t>
      </w:r>
      <w:r w:rsidR="00D01C60">
        <w:t xml:space="preserve">challenge, refine and confirm </w:t>
      </w:r>
      <w:r w:rsidR="008075CF" w:rsidRPr="005958D9">
        <w:t xml:space="preserve">data findings </w:t>
      </w:r>
      <w:r w:rsidR="008075CF">
        <w:t xml:space="preserve">and discuss </w:t>
      </w:r>
      <w:r w:rsidR="008075CF" w:rsidRPr="005958D9">
        <w:t xml:space="preserve">opportunities for curriculum enhancement.  </w:t>
      </w:r>
    </w:p>
    <w:p w14:paraId="291B5994" w14:textId="77777777" w:rsidR="005412C8" w:rsidRDefault="005412C8" w:rsidP="00120D3B">
      <w:pPr>
        <w:spacing w:after="0" w:line="240" w:lineRule="auto"/>
      </w:pPr>
    </w:p>
    <w:p w14:paraId="1C115C55" w14:textId="77777777" w:rsidR="008075CF" w:rsidRDefault="008075CF" w:rsidP="00120D3B">
      <w:pPr>
        <w:spacing w:after="0" w:line="240" w:lineRule="auto"/>
        <w:rPr>
          <w:b/>
          <w:u w:val="single"/>
        </w:rPr>
      </w:pPr>
    </w:p>
    <w:p w14:paraId="5AEBFE76" w14:textId="77777777" w:rsidR="00D66CB3" w:rsidRDefault="00D66CB3" w:rsidP="002E1AA2">
      <w:pPr>
        <w:spacing w:after="0" w:line="240" w:lineRule="auto"/>
      </w:pPr>
    </w:p>
    <w:tbl>
      <w:tblPr>
        <w:tblW w:w="5000" w:type="pct"/>
        <w:tblCellMar>
          <w:left w:w="0" w:type="dxa"/>
          <w:right w:w="0" w:type="dxa"/>
        </w:tblCellMar>
        <w:tblLook w:val="0600" w:firstRow="0" w:lastRow="0" w:firstColumn="0" w:lastColumn="0" w:noHBand="1" w:noVBand="1"/>
      </w:tblPr>
      <w:tblGrid>
        <w:gridCol w:w="1811"/>
        <w:gridCol w:w="1603"/>
        <w:gridCol w:w="1873"/>
        <w:gridCol w:w="1866"/>
        <w:gridCol w:w="1853"/>
      </w:tblGrid>
      <w:tr w:rsidR="00B70822" w:rsidRPr="00B70822" w14:paraId="16253D60" w14:textId="77777777" w:rsidTr="00B70822">
        <w:trPr>
          <w:trHeight w:val="347"/>
        </w:trPr>
        <w:tc>
          <w:tcPr>
            <w:tcW w:w="1005" w:type="pct"/>
            <w:tcBorders>
              <w:top w:val="single" w:sz="8" w:space="0" w:color="FFFFFF"/>
              <w:left w:val="single" w:sz="8" w:space="0" w:color="FFFFFF"/>
              <w:bottom w:val="single" w:sz="24" w:space="0" w:color="FFFFFF"/>
              <w:right w:val="single" w:sz="8" w:space="0" w:color="FFFFFF"/>
            </w:tcBorders>
            <w:shd w:val="clear" w:color="auto" w:fill="4F81BD"/>
            <w:tcMar>
              <w:top w:w="15" w:type="dxa"/>
              <w:left w:w="76" w:type="dxa"/>
              <w:bottom w:w="0" w:type="dxa"/>
              <w:right w:w="76" w:type="dxa"/>
            </w:tcMar>
            <w:hideMark/>
          </w:tcPr>
          <w:p w14:paraId="5123D8BC" w14:textId="77777777" w:rsidR="00B70822" w:rsidRPr="00B70822" w:rsidRDefault="00B70822" w:rsidP="00032063">
            <w:pPr>
              <w:spacing w:after="0" w:line="240" w:lineRule="auto"/>
              <w:textAlignment w:val="baseline"/>
              <w:rPr>
                <w:rFonts w:ascii="Arial" w:eastAsia="Times New Roman" w:hAnsi="Arial" w:cs="Arial"/>
                <w:sz w:val="20"/>
                <w:szCs w:val="20"/>
                <w:lang w:eastAsia="en-GB"/>
              </w:rPr>
            </w:pPr>
            <w:r w:rsidRPr="00B70822">
              <w:rPr>
                <w:rFonts w:ascii="Calibri" w:eastAsia="Times New Roman" w:hAnsi="Calibri" w:cs="Calibri"/>
                <w:b/>
                <w:bCs/>
                <w:color w:val="FFFFFF"/>
                <w:kern w:val="24"/>
                <w:sz w:val="20"/>
                <w:szCs w:val="20"/>
                <w:lang w:eastAsia="en-GB"/>
              </w:rPr>
              <w:t> Data Source</w:t>
            </w:r>
          </w:p>
        </w:tc>
        <w:tc>
          <w:tcPr>
            <w:tcW w:w="890" w:type="pct"/>
            <w:tcBorders>
              <w:top w:val="single" w:sz="8" w:space="0" w:color="FFFFFF"/>
              <w:left w:val="single" w:sz="8" w:space="0" w:color="FFFFFF"/>
              <w:bottom w:val="single" w:sz="24" w:space="0" w:color="FFFFFF"/>
              <w:right w:val="single" w:sz="8" w:space="0" w:color="FFFFFF"/>
            </w:tcBorders>
            <w:shd w:val="clear" w:color="auto" w:fill="4F81BD"/>
            <w:tcMar>
              <w:top w:w="15" w:type="dxa"/>
              <w:left w:w="76" w:type="dxa"/>
              <w:bottom w:w="0" w:type="dxa"/>
              <w:right w:w="76" w:type="dxa"/>
            </w:tcMar>
            <w:hideMark/>
          </w:tcPr>
          <w:p w14:paraId="673E76A4"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b/>
                <w:bCs/>
                <w:color w:val="FFFFFF"/>
                <w:kern w:val="24"/>
                <w:sz w:val="20"/>
                <w:szCs w:val="20"/>
                <w:lang w:eastAsia="en-GB"/>
              </w:rPr>
              <w:t>Objective 1 </w:t>
            </w:r>
          </w:p>
        </w:tc>
        <w:tc>
          <w:tcPr>
            <w:tcW w:w="1040" w:type="pct"/>
            <w:tcBorders>
              <w:top w:val="single" w:sz="8" w:space="0" w:color="FFFFFF"/>
              <w:left w:val="single" w:sz="8" w:space="0" w:color="FFFFFF"/>
              <w:bottom w:val="single" w:sz="24" w:space="0" w:color="FFFFFF"/>
              <w:right w:val="single" w:sz="8" w:space="0" w:color="FFFFFF"/>
            </w:tcBorders>
            <w:shd w:val="clear" w:color="auto" w:fill="4F81BD"/>
            <w:tcMar>
              <w:top w:w="15" w:type="dxa"/>
              <w:left w:w="76" w:type="dxa"/>
              <w:bottom w:w="0" w:type="dxa"/>
              <w:right w:w="76" w:type="dxa"/>
            </w:tcMar>
            <w:hideMark/>
          </w:tcPr>
          <w:p w14:paraId="625A6351"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b/>
                <w:bCs/>
                <w:color w:val="FFFFFF"/>
                <w:kern w:val="24"/>
                <w:sz w:val="20"/>
                <w:szCs w:val="20"/>
                <w:lang w:eastAsia="en-GB"/>
              </w:rPr>
              <w:t>Objective 2 </w:t>
            </w:r>
          </w:p>
        </w:tc>
        <w:tc>
          <w:tcPr>
            <w:tcW w:w="1036" w:type="pct"/>
            <w:tcBorders>
              <w:top w:val="single" w:sz="8" w:space="0" w:color="FFFFFF"/>
              <w:left w:val="single" w:sz="8" w:space="0" w:color="FFFFFF"/>
              <w:bottom w:val="single" w:sz="24" w:space="0" w:color="FFFFFF"/>
              <w:right w:val="single" w:sz="8" w:space="0" w:color="FFFFFF"/>
            </w:tcBorders>
            <w:shd w:val="clear" w:color="auto" w:fill="4F81BD"/>
            <w:tcMar>
              <w:top w:w="15" w:type="dxa"/>
              <w:left w:w="76" w:type="dxa"/>
              <w:bottom w:w="0" w:type="dxa"/>
              <w:right w:w="76" w:type="dxa"/>
            </w:tcMar>
            <w:hideMark/>
          </w:tcPr>
          <w:p w14:paraId="40A1104A"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b/>
                <w:bCs/>
                <w:color w:val="FFFFFF"/>
                <w:kern w:val="24"/>
                <w:sz w:val="20"/>
                <w:szCs w:val="20"/>
                <w:lang w:eastAsia="en-GB"/>
              </w:rPr>
              <w:t xml:space="preserve">Objective </w:t>
            </w:r>
            <w:r w:rsidRPr="00B70822">
              <w:rPr>
                <w:rFonts w:ascii="Times New Roman" w:eastAsia="Times New Roman" w:hAnsi="Times New Roman" w:cs="Times New Roman"/>
                <w:b/>
                <w:bCs/>
                <w:color w:val="FFFFFF"/>
                <w:kern w:val="24"/>
                <w:sz w:val="20"/>
                <w:szCs w:val="20"/>
                <w:lang w:eastAsia="en-GB"/>
              </w:rPr>
              <w:t>3</w:t>
            </w:r>
          </w:p>
        </w:tc>
        <w:tc>
          <w:tcPr>
            <w:tcW w:w="1029" w:type="pct"/>
            <w:tcBorders>
              <w:top w:val="single" w:sz="8" w:space="0" w:color="FFFFFF"/>
              <w:left w:val="single" w:sz="8" w:space="0" w:color="FFFFFF"/>
              <w:bottom w:val="single" w:sz="24" w:space="0" w:color="FFFFFF"/>
              <w:right w:val="single" w:sz="8" w:space="0" w:color="FFFFFF"/>
            </w:tcBorders>
            <w:shd w:val="clear" w:color="auto" w:fill="4F81BD"/>
            <w:tcMar>
              <w:top w:w="15" w:type="dxa"/>
              <w:left w:w="76" w:type="dxa"/>
              <w:bottom w:w="0" w:type="dxa"/>
              <w:right w:w="76" w:type="dxa"/>
            </w:tcMar>
            <w:hideMark/>
          </w:tcPr>
          <w:p w14:paraId="7DFAB601"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Times New Roman" w:eastAsia="Times New Roman" w:hAnsi="Times New Roman" w:cs="Times New Roman"/>
                <w:b/>
                <w:bCs/>
                <w:color w:val="FFFFFF"/>
                <w:kern w:val="24"/>
                <w:sz w:val="20"/>
                <w:szCs w:val="20"/>
                <w:lang w:eastAsia="en-GB"/>
              </w:rPr>
              <w:t xml:space="preserve">Objective </w:t>
            </w:r>
            <w:r w:rsidRPr="00B70822">
              <w:rPr>
                <w:rFonts w:ascii="Calibri" w:eastAsia="Times New Roman" w:hAnsi="Calibri" w:cs="Calibri"/>
                <w:b/>
                <w:bCs/>
                <w:color w:val="FFFFFF"/>
                <w:kern w:val="24"/>
                <w:sz w:val="20"/>
                <w:szCs w:val="20"/>
                <w:lang w:eastAsia="en-GB"/>
              </w:rPr>
              <w:t>4 </w:t>
            </w:r>
          </w:p>
        </w:tc>
      </w:tr>
      <w:tr w:rsidR="00B70822" w:rsidRPr="00B70822" w14:paraId="01DB73D7" w14:textId="77777777" w:rsidTr="00B70822">
        <w:trPr>
          <w:trHeight w:val="1074"/>
        </w:trPr>
        <w:tc>
          <w:tcPr>
            <w:tcW w:w="1005" w:type="pct"/>
            <w:tcBorders>
              <w:top w:val="single" w:sz="24" w:space="0" w:color="FFFFFF"/>
              <w:left w:val="single" w:sz="8" w:space="0" w:color="FFFFFF"/>
              <w:bottom w:val="single" w:sz="8" w:space="0" w:color="FFFFFF"/>
              <w:right w:val="single" w:sz="8" w:space="0" w:color="FFFFFF"/>
            </w:tcBorders>
            <w:shd w:val="clear" w:color="auto" w:fill="4F81BD"/>
            <w:tcMar>
              <w:top w:w="15" w:type="dxa"/>
              <w:left w:w="76" w:type="dxa"/>
              <w:bottom w:w="0" w:type="dxa"/>
              <w:right w:w="76" w:type="dxa"/>
            </w:tcMar>
            <w:hideMark/>
          </w:tcPr>
          <w:p w14:paraId="2DB04CD7" w14:textId="77777777" w:rsidR="00B70822" w:rsidRPr="00B70822" w:rsidRDefault="00B70822" w:rsidP="00032063">
            <w:pPr>
              <w:spacing w:after="0" w:line="240" w:lineRule="auto"/>
              <w:textAlignment w:val="baseline"/>
              <w:rPr>
                <w:rFonts w:ascii="Arial" w:eastAsia="Times New Roman" w:hAnsi="Arial" w:cs="Arial"/>
                <w:sz w:val="20"/>
                <w:szCs w:val="20"/>
                <w:lang w:eastAsia="en-GB"/>
              </w:rPr>
            </w:pPr>
            <w:r w:rsidRPr="00B70822">
              <w:rPr>
                <w:rFonts w:ascii="Calibri" w:eastAsia="Times New Roman" w:hAnsi="Calibri" w:cs="Calibri"/>
                <w:b/>
                <w:bCs/>
                <w:color w:val="FFFFFF"/>
                <w:kern w:val="24"/>
                <w:sz w:val="20"/>
                <w:szCs w:val="20"/>
                <w:lang w:eastAsia="en-GB"/>
              </w:rPr>
              <w:t>Review of Programme Documentary evidence</w:t>
            </w:r>
          </w:p>
        </w:tc>
        <w:tc>
          <w:tcPr>
            <w:tcW w:w="89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14:paraId="5F809A16"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X</w:t>
            </w:r>
          </w:p>
          <w:p w14:paraId="63A430DB"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 xml:space="preserve">Curricula intentions </w:t>
            </w:r>
          </w:p>
        </w:tc>
        <w:tc>
          <w:tcPr>
            <w:tcW w:w="1040"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14:paraId="2CF32CDB" w14:textId="77777777" w:rsidR="00B70822" w:rsidRPr="00B70822" w:rsidRDefault="00B70822" w:rsidP="00032063">
            <w:pPr>
              <w:spacing w:after="0" w:line="240" w:lineRule="auto"/>
              <w:rPr>
                <w:rFonts w:ascii="Arial" w:eastAsia="Times New Roman" w:hAnsi="Arial" w:cs="Arial"/>
                <w:sz w:val="20"/>
                <w:szCs w:val="20"/>
                <w:lang w:eastAsia="en-GB"/>
              </w:rPr>
            </w:pPr>
          </w:p>
        </w:tc>
        <w:tc>
          <w:tcPr>
            <w:tcW w:w="1036"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14:paraId="080CAB99"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 </w:t>
            </w:r>
          </w:p>
        </w:tc>
        <w:tc>
          <w:tcPr>
            <w:tcW w:w="1029" w:type="pct"/>
            <w:tcBorders>
              <w:top w:val="single" w:sz="24"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14:paraId="691FBE7B"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 </w:t>
            </w:r>
          </w:p>
        </w:tc>
      </w:tr>
      <w:tr w:rsidR="00B70822" w:rsidRPr="00B70822" w14:paraId="5200CA2F" w14:textId="77777777" w:rsidTr="00B70822">
        <w:trPr>
          <w:trHeight w:val="1841"/>
        </w:trPr>
        <w:tc>
          <w:tcPr>
            <w:tcW w:w="1005" w:type="pct"/>
            <w:tcBorders>
              <w:top w:val="single" w:sz="8" w:space="0" w:color="FFFFFF"/>
              <w:left w:val="single" w:sz="8" w:space="0" w:color="FFFFFF"/>
              <w:bottom w:val="single" w:sz="8" w:space="0" w:color="FFFFFF"/>
              <w:right w:val="single" w:sz="8" w:space="0" w:color="FFFFFF"/>
            </w:tcBorders>
            <w:shd w:val="clear" w:color="auto" w:fill="4F81BD"/>
            <w:tcMar>
              <w:top w:w="15" w:type="dxa"/>
              <w:left w:w="76" w:type="dxa"/>
              <w:bottom w:w="0" w:type="dxa"/>
              <w:right w:w="76" w:type="dxa"/>
            </w:tcMar>
            <w:hideMark/>
          </w:tcPr>
          <w:p w14:paraId="5AF7BBF2" w14:textId="77777777" w:rsidR="00B70822" w:rsidRPr="00B70822" w:rsidRDefault="00B70822" w:rsidP="00032063">
            <w:pPr>
              <w:spacing w:after="0" w:line="240" w:lineRule="auto"/>
              <w:textAlignment w:val="baseline"/>
              <w:rPr>
                <w:rFonts w:ascii="Arial" w:eastAsia="Times New Roman" w:hAnsi="Arial" w:cs="Arial"/>
                <w:sz w:val="20"/>
                <w:szCs w:val="20"/>
                <w:lang w:eastAsia="en-GB"/>
              </w:rPr>
            </w:pPr>
            <w:r w:rsidRPr="00B70822">
              <w:rPr>
                <w:rFonts w:ascii="Calibri" w:eastAsia="Times New Roman" w:hAnsi="Calibri" w:cs="Calibri"/>
                <w:b/>
                <w:bCs/>
                <w:color w:val="FFFFFF"/>
                <w:kern w:val="24"/>
                <w:sz w:val="20"/>
                <w:szCs w:val="20"/>
                <w:lang w:val="en-US" w:eastAsia="en-GB"/>
              </w:rPr>
              <w:t xml:space="preserve">Survey of all final year student midwives. </w:t>
            </w:r>
          </w:p>
          <w:p w14:paraId="6CF21FA3" w14:textId="77777777" w:rsidR="00B70822" w:rsidRPr="00B70822" w:rsidRDefault="00B70822" w:rsidP="00032063">
            <w:pPr>
              <w:spacing w:after="0" w:line="240" w:lineRule="auto"/>
              <w:textAlignment w:val="baseline"/>
              <w:rPr>
                <w:rFonts w:ascii="Arial" w:eastAsia="Times New Roman" w:hAnsi="Arial" w:cs="Arial"/>
                <w:sz w:val="20"/>
                <w:szCs w:val="20"/>
                <w:lang w:eastAsia="en-GB"/>
              </w:rPr>
            </w:pPr>
            <w:r w:rsidRPr="00B70822">
              <w:rPr>
                <w:rFonts w:ascii="Calibri" w:eastAsia="Times New Roman" w:hAnsi="Calibri" w:cs="Calibri"/>
                <w:b/>
                <w:bCs/>
                <w:color w:val="FFFFFF"/>
                <w:kern w:val="24"/>
                <w:sz w:val="20"/>
                <w:szCs w:val="20"/>
                <w:lang w:val="en-US" w:eastAsia="en-GB"/>
              </w:rPr>
              <w:t>25 completed from potential of 44 students</w:t>
            </w:r>
          </w:p>
        </w:tc>
        <w:tc>
          <w:tcPr>
            <w:tcW w:w="8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14:paraId="1FB49033"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X</w:t>
            </w:r>
          </w:p>
          <w:p w14:paraId="6D0CC23A"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Perceptions, views, experiences of what’s happening, when and where.</w:t>
            </w:r>
          </w:p>
        </w:tc>
        <w:tc>
          <w:tcPr>
            <w:tcW w:w="10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14:paraId="1D8412C6"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X</w:t>
            </w:r>
          </w:p>
          <w:p w14:paraId="6ED0F863" w14:textId="2E05ADB6"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 xml:space="preserve">Descriptive summary of how skills and knowledge </w:t>
            </w:r>
            <w:r w:rsidR="00104DFB">
              <w:rPr>
                <w:rFonts w:ascii="Calibri" w:eastAsia="Times New Roman" w:hAnsi="Calibri" w:cs="Calibri"/>
                <w:color w:val="000000"/>
                <w:kern w:val="24"/>
                <w:sz w:val="20"/>
                <w:szCs w:val="20"/>
                <w:lang w:eastAsia="en-GB"/>
              </w:rPr>
              <w:t xml:space="preserve">are </w:t>
            </w:r>
            <w:r w:rsidRPr="00B70822">
              <w:rPr>
                <w:rFonts w:ascii="Calibri" w:eastAsia="Times New Roman" w:hAnsi="Calibri" w:cs="Calibri"/>
                <w:color w:val="000000"/>
                <w:kern w:val="24"/>
                <w:sz w:val="20"/>
                <w:szCs w:val="20"/>
                <w:lang w:eastAsia="en-GB"/>
              </w:rPr>
              <w:t>used, and confidence levels</w:t>
            </w:r>
          </w:p>
        </w:tc>
        <w:tc>
          <w:tcPr>
            <w:tcW w:w="1036" w:type="pct"/>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14:paraId="61D5F296"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X</w:t>
            </w:r>
          </w:p>
          <w:p w14:paraId="67C851CF"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Summary of potential opportunities and barriers</w:t>
            </w:r>
          </w:p>
        </w:tc>
        <w:tc>
          <w:tcPr>
            <w:tcW w:w="102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14:paraId="0AF772EE" w14:textId="77777777" w:rsidR="00B70822" w:rsidRPr="00B70822" w:rsidRDefault="00B70822" w:rsidP="00032063">
            <w:pPr>
              <w:spacing w:after="0" w:line="240" w:lineRule="auto"/>
              <w:rPr>
                <w:rFonts w:ascii="Arial" w:eastAsia="Times New Roman" w:hAnsi="Arial" w:cs="Arial"/>
                <w:sz w:val="20"/>
                <w:szCs w:val="20"/>
                <w:lang w:eastAsia="en-GB"/>
              </w:rPr>
            </w:pPr>
          </w:p>
        </w:tc>
      </w:tr>
      <w:tr w:rsidR="00B70822" w:rsidRPr="00B70822" w14:paraId="63AE8D1B" w14:textId="77777777" w:rsidTr="00B70822">
        <w:trPr>
          <w:trHeight w:val="2517"/>
        </w:trPr>
        <w:tc>
          <w:tcPr>
            <w:tcW w:w="1005" w:type="pct"/>
            <w:tcBorders>
              <w:top w:val="single" w:sz="8" w:space="0" w:color="FFFFFF"/>
              <w:left w:val="single" w:sz="8" w:space="0" w:color="FFFFFF"/>
              <w:bottom w:val="single" w:sz="8" w:space="0" w:color="FFFFFF"/>
              <w:right w:val="single" w:sz="8" w:space="0" w:color="FFFFFF"/>
            </w:tcBorders>
            <w:shd w:val="clear" w:color="auto" w:fill="4F81BD"/>
            <w:tcMar>
              <w:top w:w="15" w:type="dxa"/>
              <w:left w:w="76" w:type="dxa"/>
              <w:bottom w:w="0" w:type="dxa"/>
              <w:right w:w="76" w:type="dxa"/>
            </w:tcMar>
            <w:hideMark/>
          </w:tcPr>
          <w:p w14:paraId="03594FFC" w14:textId="77777777" w:rsidR="00B70822" w:rsidRPr="00B70822" w:rsidRDefault="00B70822" w:rsidP="00032063">
            <w:pPr>
              <w:spacing w:after="0" w:line="240" w:lineRule="auto"/>
              <w:textAlignment w:val="baseline"/>
              <w:rPr>
                <w:rFonts w:ascii="Arial" w:eastAsia="Times New Roman" w:hAnsi="Arial" w:cs="Arial"/>
                <w:sz w:val="20"/>
                <w:szCs w:val="20"/>
                <w:lang w:eastAsia="en-GB"/>
              </w:rPr>
            </w:pPr>
            <w:r w:rsidRPr="00B70822">
              <w:rPr>
                <w:rFonts w:ascii="Calibri" w:eastAsia="Times New Roman" w:hAnsi="Calibri" w:cs="Calibri"/>
                <w:b/>
                <w:bCs/>
                <w:color w:val="FFFFFF"/>
                <w:kern w:val="24"/>
                <w:sz w:val="20"/>
                <w:szCs w:val="20"/>
                <w:lang w:val="en-US" w:eastAsia="en-GB"/>
              </w:rPr>
              <w:t>11 in depth semi structured narrative interviews of final year student midwives.</w:t>
            </w:r>
          </w:p>
        </w:tc>
        <w:tc>
          <w:tcPr>
            <w:tcW w:w="89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14:paraId="145E2109"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X</w:t>
            </w:r>
          </w:p>
          <w:p w14:paraId="7A26095E"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Perceptions, views, experiences of what’s happening, when and where.</w:t>
            </w:r>
          </w:p>
        </w:tc>
        <w:tc>
          <w:tcPr>
            <w:tcW w:w="1040" w:type="pct"/>
            <w:tcBorders>
              <w:top w:val="single" w:sz="8"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14:paraId="204256B5"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X</w:t>
            </w:r>
          </w:p>
          <w:p w14:paraId="2C052576" w14:textId="39698463"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 xml:space="preserve">Detailed and contextualised  illumination of how skills and knowledge </w:t>
            </w:r>
            <w:r w:rsidR="00104DFB">
              <w:rPr>
                <w:rFonts w:ascii="Calibri" w:eastAsia="Times New Roman" w:hAnsi="Calibri" w:cs="Calibri"/>
                <w:color w:val="000000"/>
                <w:kern w:val="24"/>
                <w:sz w:val="20"/>
                <w:szCs w:val="20"/>
                <w:lang w:eastAsia="en-GB"/>
              </w:rPr>
              <w:t xml:space="preserve">are </w:t>
            </w:r>
            <w:r w:rsidRPr="00B70822">
              <w:rPr>
                <w:rFonts w:ascii="Calibri" w:eastAsia="Times New Roman" w:hAnsi="Calibri" w:cs="Calibri"/>
                <w:color w:val="000000"/>
                <w:kern w:val="24"/>
                <w:sz w:val="20"/>
                <w:szCs w:val="20"/>
                <w:lang w:eastAsia="en-GB"/>
              </w:rPr>
              <w:t>used, and confidence levels</w:t>
            </w:r>
          </w:p>
        </w:tc>
        <w:tc>
          <w:tcPr>
            <w:tcW w:w="1036" w:type="pct"/>
            <w:tcBorders>
              <w:top w:val="single" w:sz="8"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14:paraId="5C7AF330"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X</w:t>
            </w:r>
          </w:p>
          <w:p w14:paraId="73D051AD" w14:textId="77777777" w:rsidR="00B70822" w:rsidRPr="00B70822" w:rsidRDefault="00B70822" w:rsidP="00032063">
            <w:pPr>
              <w:spacing w:after="12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Detailed and contextualised  illumination of potential opportunities and barriers to appropriate and effective learning opportunities</w:t>
            </w:r>
          </w:p>
        </w:tc>
        <w:tc>
          <w:tcPr>
            <w:tcW w:w="1029" w:type="pct"/>
            <w:tcBorders>
              <w:top w:val="single" w:sz="8" w:space="0" w:color="FFFFFF"/>
              <w:left w:val="single" w:sz="8" w:space="0" w:color="FFFFFF"/>
              <w:bottom w:val="single" w:sz="8" w:space="0" w:color="FFFFFF"/>
              <w:right w:val="single" w:sz="8" w:space="0" w:color="FFFFFF"/>
            </w:tcBorders>
            <w:shd w:val="clear" w:color="auto" w:fill="D0D8E8"/>
            <w:tcMar>
              <w:top w:w="15" w:type="dxa"/>
              <w:left w:w="76" w:type="dxa"/>
              <w:bottom w:w="0" w:type="dxa"/>
              <w:right w:w="76" w:type="dxa"/>
            </w:tcMar>
            <w:hideMark/>
          </w:tcPr>
          <w:p w14:paraId="19DA4081"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X</w:t>
            </w:r>
          </w:p>
          <w:p w14:paraId="64E942A4"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Perceptions of areas for development</w:t>
            </w:r>
          </w:p>
        </w:tc>
      </w:tr>
      <w:tr w:rsidR="00B70822" w:rsidRPr="00B70822" w14:paraId="6E725175" w14:textId="77777777" w:rsidTr="00B70822">
        <w:trPr>
          <w:trHeight w:val="1808"/>
        </w:trPr>
        <w:tc>
          <w:tcPr>
            <w:tcW w:w="1005" w:type="pct"/>
            <w:tcBorders>
              <w:top w:val="single" w:sz="8" w:space="0" w:color="FFFFFF"/>
              <w:left w:val="single" w:sz="8" w:space="0" w:color="FFFFFF"/>
              <w:bottom w:val="single" w:sz="8" w:space="0" w:color="FFFFFF"/>
              <w:right w:val="single" w:sz="8" w:space="0" w:color="FFFFFF"/>
            </w:tcBorders>
            <w:shd w:val="clear" w:color="auto" w:fill="4F81BD"/>
            <w:tcMar>
              <w:top w:w="15" w:type="dxa"/>
              <w:left w:w="76" w:type="dxa"/>
              <w:bottom w:w="0" w:type="dxa"/>
              <w:right w:w="76" w:type="dxa"/>
            </w:tcMar>
            <w:hideMark/>
          </w:tcPr>
          <w:p w14:paraId="3A68247E" w14:textId="5D15E392" w:rsidR="00B70822" w:rsidRPr="00B70822" w:rsidRDefault="00B70822" w:rsidP="007D2857">
            <w:pPr>
              <w:spacing w:after="0" w:line="240" w:lineRule="auto"/>
              <w:textAlignment w:val="baseline"/>
              <w:rPr>
                <w:rFonts w:ascii="Arial" w:eastAsia="Times New Roman" w:hAnsi="Arial" w:cs="Arial"/>
                <w:sz w:val="20"/>
                <w:szCs w:val="20"/>
                <w:lang w:eastAsia="en-GB"/>
              </w:rPr>
            </w:pPr>
            <w:r w:rsidRPr="00B70822">
              <w:rPr>
                <w:rFonts w:ascii="Calibri" w:eastAsia="Times New Roman" w:hAnsi="Calibri" w:cs="Calibri"/>
                <w:b/>
                <w:bCs/>
                <w:color w:val="FFFFFF"/>
                <w:kern w:val="24"/>
                <w:sz w:val="20"/>
                <w:szCs w:val="20"/>
                <w:lang w:val="en-US" w:eastAsia="en-GB"/>
              </w:rPr>
              <w:t>Stude</w:t>
            </w:r>
            <w:r w:rsidR="005958D9">
              <w:rPr>
                <w:rFonts w:ascii="Calibri" w:eastAsia="Times New Roman" w:hAnsi="Calibri" w:cs="Calibri"/>
                <w:b/>
                <w:bCs/>
                <w:color w:val="FFFFFF"/>
                <w:kern w:val="24"/>
                <w:sz w:val="20"/>
                <w:szCs w:val="20"/>
                <w:lang w:val="en-US" w:eastAsia="en-GB"/>
              </w:rPr>
              <w:t>nt midwife workshop involving 14</w:t>
            </w:r>
            <w:r w:rsidR="00EB5261">
              <w:rPr>
                <w:rFonts w:ascii="Calibri" w:eastAsia="Times New Roman" w:hAnsi="Calibri" w:cs="Calibri"/>
                <w:b/>
                <w:bCs/>
                <w:color w:val="FFFFFF"/>
                <w:kern w:val="24"/>
                <w:sz w:val="20"/>
                <w:szCs w:val="20"/>
                <w:lang w:val="en-US" w:eastAsia="en-GB"/>
              </w:rPr>
              <w:t xml:space="preserve"> students</w:t>
            </w:r>
            <w:r w:rsidRPr="00B70822">
              <w:rPr>
                <w:rFonts w:ascii="Calibri" w:eastAsia="Times New Roman" w:hAnsi="Calibri" w:cs="Calibri"/>
                <w:b/>
                <w:bCs/>
                <w:color w:val="FFFFFF"/>
                <w:kern w:val="24"/>
                <w:sz w:val="20"/>
                <w:szCs w:val="20"/>
                <w:lang w:val="en-US" w:eastAsia="en-GB"/>
              </w:rPr>
              <w:t xml:space="preserve">  to </w:t>
            </w:r>
            <w:r w:rsidR="007D2857">
              <w:rPr>
                <w:rFonts w:ascii="Calibri" w:eastAsia="Times New Roman" w:hAnsi="Calibri" w:cs="Calibri"/>
                <w:b/>
                <w:bCs/>
                <w:color w:val="FFFFFF"/>
                <w:kern w:val="24"/>
                <w:sz w:val="20"/>
                <w:szCs w:val="20"/>
                <w:lang w:val="en-US" w:eastAsia="en-GB"/>
              </w:rPr>
              <w:t xml:space="preserve">challenge, confirm and refine </w:t>
            </w:r>
            <w:r w:rsidRPr="00B70822">
              <w:rPr>
                <w:rFonts w:ascii="Calibri" w:eastAsia="Times New Roman" w:hAnsi="Calibri" w:cs="Calibri"/>
                <w:b/>
                <w:bCs/>
                <w:color w:val="FFFFFF"/>
                <w:kern w:val="24"/>
                <w:sz w:val="20"/>
                <w:szCs w:val="20"/>
                <w:lang w:val="en-US" w:eastAsia="en-GB"/>
              </w:rPr>
              <w:t>findings and highlight opportunities for enhancement</w:t>
            </w:r>
          </w:p>
        </w:tc>
        <w:tc>
          <w:tcPr>
            <w:tcW w:w="89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14:paraId="484CCDE4"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X</w:t>
            </w:r>
          </w:p>
          <w:p w14:paraId="45836EAE"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Times New Roman"/>
                <w:color w:val="000000"/>
                <w:kern w:val="24"/>
                <w:sz w:val="20"/>
                <w:szCs w:val="20"/>
                <w:lang w:eastAsia="en-GB"/>
              </w:rPr>
              <w:t>Clarification and verification</w:t>
            </w:r>
          </w:p>
        </w:tc>
        <w:tc>
          <w:tcPr>
            <w:tcW w:w="1040" w:type="pct"/>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14:paraId="5E39F4A8"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X</w:t>
            </w:r>
          </w:p>
          <w:p w14:paraId="706BBD00"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Times New Roman"/>
                <w:color w:val="000000"/>
                <w:kern w:val="24"/>
                <w:sz w:val="20"/>
                <w:szCs w:val="20"/>
                <w:lang w:eastAsia="en-GB"/>
              </w:rPr>
              <w:t>Clarification and verification</w:t>
            </w:r>
          </w:p>
        </w:tc>
        <w:tc>
          <w:tcPr>
            <w:tcW w:w="1036" w:type="pct"/>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14:paraId="703E9F62"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X</w:t>
            </w:r>
          </w:p>
          <w:p w14:paraId="2D757281"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Times New Roman"/>
                <w:color w:val="000000"/>
                <w:kern w:val="24"/>
                <w:sz w:val="20"/>
                <w:szCs w:val="20"/>
                <w:lang w:eastAsia="en-GB"/>
              </w:rPr>
              <w:t>Clarification and verification</w:t>
            </w:r>
          </w:p>
        </w:tc>
        <w:tc>
          <w:tcPr>
            <w:tcW w:w="1029" w:type="pct"/>
            <w:tcBorders>
              <w:top w:val="single" w:sz="8" w:space="0" w:color="FFFFFF"/>
              <w:left w:val="single" w:sz="8" w:space="0" w:color="FFFFFF"/>
              <w:bottom w:val="single" w:sz="8" w:space="0" w:color="FFFFFF"/>
              <w:right w:val="single" w:sz="8" w:space="0" w:color="FFFFFF"/>
            </w:tcBorders>
            <w:shd w:val="clear" w:color="auto" w:fill="E9EDF4"/>
            <w:tcMar>
              <w:top w:w="15" w:type="dxa"/>
              <w:left w:w="76" w:type="dxa"/>
              <w:bottom w:w="0" w:type="dxa"/>
              <w:right w:w="76" w:type="dxa"/>
            </w:tcMar>
            <w:hideMark/>
          </w:tcPr>
          <w:p w14:paraId="0DB69B1A"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Calibri"/>
                <w:color w:val="000000"/>
                <w:kern w:val="24"/>
                <w:sz w:val="20"/>
                <w:szCs w:val="20"/>
                <w:lang w:eastAsia="en-GB"/>
              </w:rPr>
              <w:t>X</w:t>
            </w:r>
          </w:p>
          <w:p w14:paraId="3168FEED"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proofErr w:type="gramStart"/>
            <w:r w:rsidRPr="00B70822">
              <w:rPr>
                <w:rFonts w:ascii="Calibri" w:eastAsia="Times New Roman" w:hAnsi="Calibri" w:cs="Times New Roman"/>
                <w:color w:val="000000"/>
                <w:kern w:val="24"/>
                <w:sz w:val="20"/>
                <w:szCs w:val="20"/>
                <w:lang w:eastAsia="en-GB"/>
              </w:rPr>
              <w:t>Clarification,  verification</w:t>
            </w:r>
            <w:proofErr w:type="gramEnd"/>
          </w:p>
          <w:p w14:paraId="240892B5"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Times New Roman"/>
                <w:color w:val="000000"/>
                <w:kern w:val="24"/>
                <w:sz w:val="20"/>
                <w:szCs w:val="20"/>
                <w:lang w:eastAsia="en-GB"/>
              </w:rPr>
              <w:t>and prioritisation.</w:t>
            </w:r>
          </w:p>
          <w:p w14:paraId="77F0DD9A" w14:textId="77777777" w:rsidR="00B70822" w:rsidRPr="00B70822" w:rsidRDefault="00B70822" w:rsidP="00032063">
            <w:pPr>
              <w:spacing w:after="0" w:line="240" w:lineRule="auto"/>
              <w:jc w:val="center"/>
              <w:textAlignment w:val="baseline"/>
              <w:rPr>
                <w:rFonts w:ascii="Arial" w:eastAsia="Times New Roman" w:hAnsi="Arial" w:cs="Arial"/>
                <w:sz w:val="20"/>
                <w:szCs w:val="20"/>
                <w:lang w:eastAsia="en-GB"/>
              </w:rPr>
            </w:pPr>
            <w:r w:rsidRPr="00B70822">
              <w:rPr>
                <w:rFonts w:ascii="Calibri" w:eastAsia="Times New Roman" w:hAnsi="Calibri" w:cs="Times New Roman"/>
                <w:color w:val="000000"/>
                <w:kern w:val="24"/>
                <w:sz w:val="20"/>
                <w:szCs w:val="20"/>
                <w:lang w:eastAsia="en-GB"/>
              </w:rPr>
              <w:t>Develop action plan for curricula enhancement.</w:t>
            </w:r>
          </w:p>
        </w:tc>
      </w:tr>
    </w:tbl>
    <w:p w14:paraId="32ABE0BA" w14:textId="77777777" w:rsidR="00122D3B" w:rsidRDefault="00122D3B" w:rsidP="002E1AA2">
      <w:pPr>
        <w:spacing w:after="0" w:line="240" w:lineRule="auto"/>
      </w:pPr>
    </w:p>
    <w:p w14:paraId="23BC47C8" w14:textId="77777777" w:rsidR="00B72EC5" w:rsidRPr="00AF00E2" w:rsidRDefault="00B72EC5" w:rsidP="00B72EC5">
      <w:pPr>
        <w:spacing w:after="0" w:line="240" w:lineRule="auto"/>
        <w:rPr>
          <w:b/>
          <w:u w:val="single"/>
        </w:rPr>
      </w:pPr>
      <w:r w:rsidRPr="00AF00E2">
        <w:rPr>
          <w:b/>
          <w:u w:val="single"/>
        </w:rPr>
        <w:t>Table 1: Data Method &amp; Alignment with Research Objectives</w:t>
      </w:r>
    </w:p>
    <w:p w14:paraId="06D916B7" w14:textId="77777777" w:rsidR="00636EA9" w:rsidRDefault="00636EA9" w:rsidP="002E1AA2">
      <w:pPr>
        <w:spacing w:after="0" w:line="240" w:lineRule="auto"/>
      </w:pPr>
    </w:p>
    <w:p w14:paraId="24F31BFD" w14:textId="7D586502" w:rsidR="00120D3B" w:rsidRDefault="002B0075" w:rsidP="00DF5912">
      <w:pPr>
        <w:spacing w:after="0" w:line="240" w:lineRule="auto"/>
        <w:rPr>
          <w:b/>
        </w:rPr>
      </w:pPr>
      <w:r>
        <w:rPr>
          <w:b/>
        </w:rPr>
        <w:t>Ethical Considerations and Recruitment</w:t>
      </w:r>
    </w:p>
    <w:p w14:paraId="7A2EA51D" w14:textId="77777777" w:rsidR="002B0075" w:rsidRDefault="002B0075" w:rsidP="00DF5912">
      <w:pPr>
        <w:spacing w:after="0" w:line="240" w:lineRule="auto"/>
      </w:pPr>
    </w:p>
    <w:p w14:paraId="7B147B59" w14:textId="430615A8" w:rsidR="00DF5912" w:rsidRPr="00B72EC5" w:rsidRDefault="00DF5912" w:rsidP="00DF5912">
      <w:pPr>
        <w:spacing w:after="0" w:line="240" w:lineRule="auto"/>
        <w:rPr>
          <w:color w:val="FF0000"/>
        </w:rPr>
      </w:pPr>
      <w:r w:rsidRPr="00CC69F9">
        <w:lastRenderedPageBreak/>
        <w:t xml:space="preserve">Ethical </w:t>
      </w:r>
      <w:r w:rsidR="00B95BF7">
        <w:t xml:space="preserve">approval for the study </w:t>
      </w:r>
      <w:r w:rsidRPr="00CC69F9">
        <w:t xml:space="preserve">was obtained from the University </w:t>
      </w:r>
      <w:r w:rsidR="00D026F7">
        <w:t>E</w:t>
      </w:r>
      <w:r w:rsidRPr="00CC69F9">
        <w:t xml:space="preserve">thics </w:t>
      </w:r>
      <w:r w:rsidR="00D026F7">
        <w:t>C</w:t>
      </w:r>
      <w:r w:rsidRPr="00CC69F9">
        <w:t xml:space="preserve">ommittee.  </w:t>
      </w:r>
      <w:r w:rsidRPr="002E1AA2">
        <w:t>Due ethical processes and activities</w:t>
      </w:r>
      <w:r w:rsidR="00CB35DC">
        <w:t xml:space="preserve"> e.g. maintaining</w:t>
      </w:r>
      <w:r w:rsidRPr="002E1AA2">
        <w:t xml:space="preserve"> confidentiality, consent, protecting the participants and acting wi</w:t>
      </w:r>
      <w:r>
        <w:t>th good faith and integrity</w:t>
      </w:r>
      <w:r w:rsidR="00CB35DC">
        <w:t>,</w:t>
      </w:r>
      <w:r>
        <w:t xml:space="preserve"> were</w:t>
      </w:r>
      <w:r w:rsidR="00CB35DC">
        <w:t xml:space="preserve"> considered and adhered to across</w:t>
      </w:r>
      <w:r w:rsidRPr="002E1AA2">
        <w:t xml:space="preserve"> all </w:t>
      </w:r>
      <w:r w:rsidR="00CB35DC" w:rsidRPr="002E1AA2">
        <w:t xml:space="preserve">research </w:t>
      </w:r>
      <w:r w:rsidRPr="002E1AA2">
        <w:t>areas</w:t>
      </w:r>
      <w:r w:rsidR="00FF0244">
        <w:t>, including the</w:t>
      </w:r>
      <w:r w:rsidRPr="002E1AA2">
        <w:t xml:space="preserve"> research intentions, methodology and methods (Department of </w:t>
      </w:r>
      <w:r>
        <w:t>Health</w:t>
      </w:r>
      <w:r w:rsidR="00CF6DC9">
        <w:t>,</w:t>
      </w:r>
      <w:r>
        <w:t xml:space="preserve"> 2005; Health Research Authority, </w:t>
      </w:r>
      <w:r w:rsidRPr="00E37D91">
        <w:t>2014</w:t>
      </w:r>
      <w:r w:rsidRPr="002E1AA2">
        <w:t xml:space="preserve">).  </w:t>
      </w:r>
      <w:r w:rsidR="008D431B" w:rsidRPr="008D431B">
        <w:fldChar w:fldCharType="begin"/>
      </w:r>
      <w:r w:rsidR="008D431B" w:rsidRPr="008D431B">
        <w:instrText xml:space="preserve"> ADDIN EN.CITE &lt;EndNote&gt;&lt;Cite AuthorYear="1"&gt;&lt;Author&gt;Anthony&lt;/Author&gt;&lt;Year&gt;2009&lt;/Year&gt;&lt;RecNum&gt;165&lt;/RecNum&gt;&lt;DisplayText&gt;Anthony and Jack (2009)&lt;/DisplayText&gt;&lt;record&gt;&lt;rec-number&gt;165&lt;/rec-number&gt;&lt;foreign-keys&gt;&lt;key app="EN" db-id="99vapetesfepdse5tv659vtosd5995tfv2a9"&gt;165&lt;/key&gt;&lt;/foreign-keys&gt;&lt;ref-type name="Journal Article"&gt;17&lt;/ref-type&gt;&lt;contributors&gt;&lt;authors&gt;&lt;author&gt;Anthony, S. &lt;/author&gt;&lt;author&gt;Jack , S&lt;/author&gt;&lt;/authors&gt;&lt;/contributors&gt;&lt;auth-address&gt;Doctoral student, School of Nursing, McMaster University, Hamilton, Ontario, Canada&lt;/auth-address&gt;&lt;titles&gt;&lt;title&gt;Qualitative case study methodology in nursing research: an integrative review&lt;/title&gt;&lt;secondary-title&gt;Journal of Advanced Nursing&lt;/secondary-title&gt;&lt;/titles&gt;&lt;periodical&gt;&lt;full-title&gt;Journal of Advanced Nursing&lt;/full-title&gt;&lt;/periodical&gt;&lt;pages&gt;1171-1181&lt;/pages&gt;&lt;volume&gt;65&lt;/volume&gt;&lt;number&gt;6&lt;/number&gt;&lt;keywords&gt;&lt;keyword&gt;Case Studies&lt;/keyword&gt;&lt;keyword&gt;Qualitative Studies&lt;/keyword&gt;&lt;keyword&gt;Research, Nursing&lt;/keyword&gt;&lt;keyword&gt;CINAHL Database&lt;/keyword&gt;&lt;keyword&gt;Embase&lt;/keyword&gt;&lt;keyword&gt;Medline&lt;/keyword&gt;&lt;keyword&gt;Psycinfo&lt;/keyword&gt;&lt;keyword&gt;Research -- Evaluation&lt;/keyword&gt;&lt;keyword&gt;Human&lt;/keyword&gt;&lt;/keywords&gt;&lt;dates&gt;&lt;year&gt;2009&lt;/year&gt;&lt;/dates&gt;&lt;isbn&gt;0309-2402&lt;/isbn&gt;&lt;accession-num&gt;2010262123. Language: English. Entry Date: 20090619. Revision Date: 20110513. Publication Type: journal article&lt;/accession-num&gt;&lt;urls&gt;&lt;related-urls&gt;&lt;url&gt;http://search.ebscohost.com/login.aspx?direct=true&amp;amp;db=c8h&amp;amp;AN=2010262123&amp;amp;site=ehost-live&amp;amp;scope=site&lt;/url&gt;&lt;/related-urls&gt;&lt;/urls&gt;&lt;electronic-resource-num&gt;10.1111/j.1365-2648.2009.04998.x&lt;/electronic-resource-num&gt;&lt;remote-database-name&gt;c8h&lt;/remote-database-name&gt;&lt;remote-database-provider&gt;EBSCOhost&lt;/remote-database-provider&gt;&lt;/record&gt;&lt;/Cite&gt;&lt;/EndNote&gt;</w:instrText>
      </w:r>
      <w:r w:rsidR="008D431B" w:rsidRPr="008D431B">
        <w:fldChar w:fldCharType="separate"/>
      </w:r>
      <w:r w:rsidR="008D431B" w:rsidRPr="008D431B">
        <w:t>Anthony and Jack (2009)</w:t>
      </w:r>
      <w:r w:rsidR="008D431B" w:rsidRPr="008D431B">
        <w:fldChar w:fldCharType="end"/>
      </w:r>
      <w:r w:rsidR="008D431B" w:rsidRPr="008D431B">
        <w:t xml:space="preserve"> highlight that credibility and rigour of case study research rests upon the authenticity of methodological processes and data sources.  </w:t>
      </w:r>
      <w:r w:rsidR="008D431B">
        <w:t xml:space="preserve">Thus, all </w:t>
      </w:r>
      <w:r w:rsidR="008D431B" w:rsidRPr="008D431B">
        <w:t xml:space="preserve">processes and data </w:t>
      </w:r>
      <w:r w:rsidR="008D431B">
        <w:t xml:space="preserve">within this study were </w:t>
      </w:r>
      <w:r w:rsidR="008D431B" w:rsidRPr="008D431B">
        <w:t xml:space="preserve">detailed and transparent </w:t>
      </w:r>
      <w:r w:rsidR="008D431B">
        <w:t xml:space="preserve">to </w:t>
      </w:r>
      <w:r w:rsidR="008D431B" w:rsidRPr="008D431B">
        <w:t>provid</w:t>
      </w:r>
      <w:r w:rsidR="008D431B">
        <w:t>e</w:t>
      </w:r>
      <w:r w:rsidR="008D431B" w:rsidRPr="008D431B">
        <w:t xml:space="preserve"> an audit trail of reasoning and </w:t>
      </w:r>
      <w:r w:rsidR="008D431B">
        <w:t xml:space="preserve">are </w:t>
      </w:r>
      <w:r w:rsidR="008D431B" w:rsidRPr="008D431B">
        <w:t xml:space="preserve">supported by triangulation of data </w:t>
      </w:r>
      <w:r w:rsidR="008D431B">
        <w:t xml:space="preserve">to enable </w:t>
      </w:r>
      <w:r w:rsidR="008D431B" w:rsidRPr="008D431B">
        <w:t>convergence and confirmation of</w:t>
      </w:r>
      <w:r w:rsidR="008124F5">
        <w:t xml:space="preserve"> findings</w:t>
      </w:r>
      <w:r w:rsidR="008D431B" w:rsidRPr="008D431B">
        <w:t>.</w:t>
      </w:r>
      <w:r w:rsidR="008D431B" w:rsidRPr="002E1AA2">
        <w:t xml:space="preserve">  </w:t>
      </w:r>
    </w:p>
    <w:p w14:paraId="5BCD0323" w14:textId="77777777" w:rsidR="00DF5912" w:rsidRDefault="00DF5912" w:rsidP="00DF5912">
      <w:pPr>
        <w:spacing w:after="0" w:line="240" w:lineRule="auto"/>
      </w:pPr>
    </w:p>
    <w:p w14:paraId="4E28C2AD" w14:textId="466DBECD" w:rsidR="005A4F05" w:rsidRDefault="00FF13A9" w:rsidP="002E1AA2">
      <w:pPr>
        <w:spacing w:after="0" w:line="240" w:lineRule="auto"/>
      </w:pPr>
      <w:r>
        <w:rPr>
          <w:bCs/>
        </w:rPr>
        <w:t xml:space="preserve">Sampling </w:t>
      </w:r>
      <w:r w:rsidR="009B24BD">
        <w:rPr>
          <w:bCs/>
        </w:rPr>
        <w:t xml:space="preserve">was </w:t>
      </w:r>
      <w:r w:rsidR="002E1AA2" w:rsidRPr="002E1AA2">
        <w:rPr>
          <w:bCs/>
        </w:rPr>
        <w:t xml:space="preserve">purposeful and </w:t>
      </w:r>
      <w:r>
        <w:rPr>
          <w:bCs/>
        </w:rPr>
        <w:t>participation voluntary.  Recruitment t</w:t>
      </w:r>
      <w:r w:rsidR="008D431B">
        <w:rPr>
          <w:bCs/>
        </w:rPr>
        <w:t xml:space="preserve">argeted </w:t>
      </w:r>
      <w:r w:rsidR="002E1AA2" w:rsidRPr="002E1AA2">
        <w:rPr>
          <w:bCs/>
        </w:rPr>
        <w:t xml:space="preserve">final year student midwives undertaking pre-registration midwifery programmes at </w:t>
      </w:r>
      <w:r w:rsidR="009B24BD">
        <w:rPr>
          <w:bCs/>
        </w:rPr>
        <w:t>the case study site</w:t>
      </w:r>
      <w:r w:rsidR="008D431B">
        <w:rPr>
          <w:bCs/>
        </w:rPr>
        <w:t xml:space="preserve">, </w:t>
      </w:r>
      <w:r w:rsidR="005300DE">
        <w:rPr>
          <w:bCs/>
        </w:rPr>
        <w:t xml:space="preserve">as they had </w:t>
      </w:r>
      <w:r w:rsidR="002E1AA2" w:rsidRPr="002E1AA2">
        <w:rPr>
          <w:bCs/>
        </w:rPr>
        <w:t xml:space="preserve">experienced most </w:t>
      </w:r>
      <w:r w:rsidR="00D026F7">
        <w:rPr>
          <w:bCs/>
        </w:rPr>
        <w:t xml:space="preserve">of the </w:t>
      </w:r>
      <w:r w:rsidR="002E1AA2" w:rsidRPr="002E1AA2">
        <w:rPr>
          <w:bCs/>
        </w:rPr>
        <w:t xml:space="preserve">theoretical and practice components </w:t>
      </w:r>
      <w:r w:rsidR="00D026F7">
        <w:rPr>
          <w:bCs/>
        </w:rPr>
        <w:t xml:space="preserve">within </w:t>
      </w:r>
      <w:r w:rsidR="002E1AA2" w:rsidRPr="002E1AA2">
        <w:rPr>
          <w:bCs/>
        </w:rPr>
        <w:t xml:space="preserve">the midwifery programme.  </w:t>
      </w:r>
      <w:r w:rsidR="00A87F6A">
        <w:t xml:space="preserve">Information about the study was provided </w:t>
      </w:r>
      <w:r w:rsidR="00D026F7">
        <w:t xml:space="preserve">via a range of mediums including face to face, electronic media and </w:t>
      </w:r>
      <w:r w:rsidR="00A87F6A">
        <w:t xml:space="preserve">leaflets.  </w:t>
      </w:r>
      <w:r w:rsidR="007B76F3">
        <w:t>A</w:t>
      </w:r>
      <w:r w:rsidR="00A87F6A">
        <w:t>ll final year student midwives (</w:t>
      </w:r>
      <w:r w:rsidR="000C2641">
        <w:t>n = 44</w:t>
      </w:r>
      <w:r w:rsidR="00A87F6A">
        <w:t>) were invit</w:t>
      </w:r>
      <w:r w:rsidR="00D026F7">
        <w:t>ed</w:t>
      </w:r>
      <w:r w:rsidR="00A87F6A">
        <w:t xml:space="preserve"> to complete the on line survey</w:t>
      </w:r>
      <w:r w:rsidR="00333F9D">
        <w:t xml:space="preserve"> which included instructions and requirements for consent</w:t>
      </w:r>
      <w:r w:rsidR="00A87F6A">
        <w:t xml:space="preserve">.  </w:t>
      </w:r>
      <w:r w:rsidR="00333F9D">
        <w:t xml:space="preserve">A total of 25 </w:t>
      </w:r>
      <w:r w:rsidR="00333F9D">
        <w:rPr>
          <w:bCs/>
        </w:rPr>
        <w:t>completed surveys were returned</w:t>
      </w:r>
      <w:r w:rsidR="00333F9D" w:rsidRPr="002E1AA2">
        <w:rPr>
          <w:bCs/>
        </w:rPr>
        <w:t xml:space="preserve">.  </w:t>
      </w:r>
    </w:p>
    <w:p w14:paraId="1B6BF549" w14:textId="17ADA320" w:rsidR="00A8644B" w:rsidRDefault="00A8644B" w:rsidP="002E1AA2">
      <w:pPr>
        <w:spacing w:after="0" w:line="240" w:lineRule="auto"/>
      </w:pPr>
    </w:p>
    <w:p w14:paraId="7B57BF8A" w14:textId="0E142AA8" w:rsidR="00A8644B" w:rsidRDefault="00A8644B" w:rsidP="002E1AA2">
      <w:pPr>
        <w:spacing w:after="0" w:line="240" w:lineRule="auto"/>
      </w:pPr>
      <w:r w:rsidRPr="00A8644B">
        <w:t xml:space="preserve">The interviews were conducted by one of three </w:t>
      </w:r>
      <w:r>
        <w:t>members of the research team (VL</w:t>
      </w:r>
      <w:r w:rsidRPr="00A8644B">
        <w:t>., GS., JT.) all of which have experience of research data collection and interview technique.  As the interviewers contribute to the midwifery pre-registration programmes, they were known to the student participants.  The research team were mindful of the potential ethical issues such familiarity may pro</w:t>
      </w:r>
      <w:r w:rsidR="004C7EA0">
        <w:t xml:space="preserve">voke, including perceived power, </w:t>
      </w:r>
      <w:r w:rsidRPr="00A8644B">
        <w:t>participants feeling coerced to participate, and ‘identity work’ in which the interviewee presents a particular persona to fit with expectations of interviewer expectations (Silverman, 2006 p.137; Larkin, 2013).  In response, the voluntary nature of participation was emphasised</w:t>
      </w:r>
      <w:r>
        <w:t xml:space="preserve">.  </w:t>
      </w:r>
      <w:r>
        <w:rPr>
          <w:bCs/>
        </w:rPr>
        <w:t>S</w:t>
      </w:r>
      <w:r w:rsidRPr="002E1AA2">
        <w:t>tudent</w:t>
      </w:r>
      <w:r>
        <w:t xml:space="preserve">s who expressed an interest in participating in </w:t>
      </w:r>
      <w:r w:rsidRPr="002E1AA2">
        <w:t>interview</w:t>
      </w:r>
      <w:r>
        <w:t>s were asked to contact the research team, who</w:t>
      </w:r>
      <w:r w:rsidRPr="002E1AA2">
        <w:t xml:space="preserve"> then discus</w:t>
      </w:r>
      <w:r>
        <w:t>se</w:t>
      </w:r>
      <w:r w:rsidRPr="002E1AA2">
        <w:t>d the requirements of the study with the</w:t>
      </w:r>
      <w:r>
        <w:t>m</w:t>
      </w:r>
      <w:r w:rsidRPr="002E1AA2">
        <w:t xml:space="preserve"> and </w:t>
      </w:r>
      <w:r>
        <w:t>made a</w:t>
      </w:r>
      <w:r w:rsidRPr="002E1AA2">
        <w:t xml:space="preserve">rrangements for </w:t>
      </w:r>
      <w:r>
        <w:t xml:space="preserve">an interview </w:t>
      </w:r>
      <w:r w:rsidRPr="002E1AA2">
        <w:t>later</w:t>
      </w:r>
      <w:r>
        <w:t>, thus allowing participants decision-making time</w:t>
      </w:r>
      <w:r w:rsidRPr="002E1AA2">
        <w:t xml:space="preserve">.  Prior to </w:t>
      </w:r>
      <w:r>
        <w:t xml:space="preserve">interview, researchers </w:t>
      </w:r>
      <w:r w:rsidRPr="002E1AA2">
        <w:t>again discuss</w:t>
      </w:r>
      <w:r>
        <w:t>ed</w:t>
      </w:r>
      <w:r w:rsidRPr="002E1AA2">
        <w:t xml:space="preserve"> the research and ensure</w:t>
      </w:r>
      <w:r>
        <w:t>d</w:t>
      </w:r>
      <w:r w:rsidRPr="002E1AA2">
        <w:t xml:space="preserve"> written informed consent</w:t>
      </w:r>
      <w:r>
        <w:t xml:space="preserve"> (n=11).  </w:t>
      </w:r>
    </w:p>
    <w:p w14:paraId="0CC156F2" w14:textId="77777777" w:rsidR="003A1DA9" w:rsidRDefault="003A1DA9" w:rsidP="002E1AA2">
      <w:pPr>
        <w:spacing w:after="0" w:line="240" w:lineRule="auto"/>
      </w:pPr>
    </w:p>
    <w:p w14:paraId="1C62A775" w14:textId="77777777" w:rsidR="002E1AA2" w:rsidRDefault="002E1AA2" w:rsidP="002E1AA2">
      <w:pPr>
        <w:spacing w:after="0" w:line="240" w:lineRule="auto"/>
        <w:rPr>
          <w:b/>
          <w:bCs/>
        </w:rPr>
      </w:pPr>
      <w:r w:rsidRPr="00006A77">
        <w:rPr>
          <w:b/>
          <w:bCs/>
        </w:rPr>
        <w:t>Data analysis</w:t>
      </w:r>
    </w:p>
    <w:p w14:paraId="2AB593DD" w14:textId="77777777" w:rsidR="005428DF" w:rsidRPr="00006A77" w:rsidRDefault="005428DF" w:rsidP="002E1AA2">
      <w:pPr>
        <w:spacing w:after="0" w:line="240" w:lineRule="auto"/>
        <w:rPr>
          <w:b/>
          <w:bCs/>
        </w:rPr>
      </w:pPr>
    </w:p>
    <w:p w14:paraId="0FBEEC87" w14:textId="1B37025C" w:rsidR="002E1AA2" w:rsidRDefault="002E1AA2" w:rsidP="002E1AA2">
      <w:pPr>
        <w:spacing w:after="0" w:line="240" w:lineRule="auto"/>
      </w:pPr>
      <w:r w:rsidRPr="002E1AA2">
        <w:t xml:space="preserve">All data </w:t>
      </w:r>
      <w:r w:rsidR="00630CBC">
        <w:t xml:space="preserve">was </w:t>
      </w:r>
      <w:r w:rsidRPr="002E1AA2">
        <w:t xml:space="preserve">analysed in accordance with the study objectives and drawing upon case study principles. Analysis </w:t>
      </w:r>
      <w:r w:rsidR="00630CBC">
        <w:t xml:space="preserve">was </w:t>
      </w:r>
      <w:r w:rsidRPr="002E1AA2">
        <w:t>iterative and on-going throughout the study, facilitating the development and triangulation of findings as appropriate for multiple embedded data in single case study research (Simons</w:t>
      </w:r>
      <w:r w:rsidR="008D7F84">
        <w:t>,</w:t>
      </w:r>
      <w:r w:rsidRPr="002E1AA2">
        <w:t xml:space="preserve"> 2009).  </w:t>
      </w:r>
      <w:r w:rsidR="00891661">
        <w:t>N</w:t>
      </w:r>
      <w:r w:rsidR="00B81F72">
        <w:t xml:space="preserve">ominal data from the survey </w:t>
      </w:r>
      <w:r w:rsidR="00597057">
        <w:t xml:space="preserve">provided an overview of </w:t>
      </w:r>
      <w:r w:rsidR="00B75566">
        <w:t>students’</w:t>
      </w:r>
      <w:r w:rsidR="00597057">
        <w:t xml:space="preserve"> views and experiences of GTA.  </w:t>
      </w:r>
      <w:r w:rsidR="00397725" w:rsidRPr="002E1AA2">
        <w:t xml:space="preserve">All </w:t>
      </w:r>
      <w:r w:rsidR="00397725">
        <w:t xml:space="preserve">qualitative </w:t>
      </w:r>
      <w:r w:rsidR="00397725" w:rsidRPr="002E1AA2">
        <w:t xml:space="preserve">data </w:t>
      </w:r>
      <w:r w:rsidR="0046087E">
        <w:t>(</w:t>
      </w:r>
      <w:r w:rsidR="009811D4">
        <w:t>survey and interviews</w:t>
      </w:r>
      <w:r w:rsidR="0046087E">
        <w:t>)</w:t>
      </w:r>
      <w:r w:rsidR="009811D4">
        <w:t xml:space="preserve"> were</w:t>
      </w:r>
      <w:r w:rsidR="00397725">
        <w:t xml:space="preserve"> </w:t>
      </w:r>
      <w:r w:rsidR="00397725" w:rsidRPr="002E1AA2">
        <w:t xml:space="preserve">transcribed, anonymised and analysed using thematic analysis (Crowe </w:t>
      </w:r>
      <w:r w:rsidR="00397725" w:rsidRPr="009811D4">
        <w:t>et al</w:t>
      </w:r>
      <w:r w:rsidR="008D7F84">
        <w:t>.</w:t>
      </w:r>
      <w:r w:rsidR="00397725" w:rsidRPr="002E1AA2">
        <w:t xml:space="preserve"> 2011).  </w:t>
      </w:r>
      <w:r w:rsidR="00222E68">
        <w:t xml:space="preserve">Each theme consisted of a number of related </w:t>
      </w:r>
      <w:r w:rsidR="008D7F84">
        <w:t>subthemes, which</w:t>
      </w:r>
      <w:r w:rsidR="00222E68">
        <w:t xml:space="preserve"> reflected the coding and grouping of data findings.  </w:t>
      </w:r>
      <w:r w:rsidRPr="002E1AA2">
        <w:t>To facilitate searching for patterns, insights and themes across all data, the research findings w</w:t>
      </w:r>
      <w:r w:rsidR="00630CBC">
        <w:t xml:space="preserve">ere </w:t>
      </w:r>
      <w:r w:rsidRPr="002E1AA2">
        <w:t>summarised in a matrix of developing cat</w:t>
      </w:r>
      <w:r w:rsidR="00702471">
        <w:t>e</w:t>
      </w:r>
      <w:r w:rsidR="00B65BC5">
        <w:t>gories and</w:t>
      </w:r>
      <w:r w:rsidR="00A67182">
        <w:t xml:space="preserve"> data source, evidencing data saturation</w:t>
      </w:r>
      <w:r w:rsidR="00B65BC5">
        <w:t xml:space="preserve">, table 2 </w:t>
      </w:r>
      <w:r w:rsidRPr="002E1AA2">
        <w:t>(Yin</w:t>
      </w:r>
      <w:r w:rsidR="008D7F84">
        <w:t>,</w:t>
      </w:r>
      <w:r w:rsidRPr="002E1AA2">
        <w:t xml:space="preserve"> 2014). </w:t>
      </w:r>
    </w:p>
    <w:p w14:paraId="2A84B349" w14:textId="77777777" w:rsidR="002E1AA2" w:rsidRDefault="002E1AA2" w:rsidP="002E1AA2">
      <w:pPr>
        <w:spacing w:after="0" w:line="240" w:lineRule="auto"/>
      </w:pPr>
    </w:p>
    <w:tbl>
      <w:tblPr>
        <w:tblW w:w="9027" w:type="dxa"/>
        <w:tblCellMar>
          <w:left w:w="0" w:type="dxa"/>
          <w:right w:w="0" w:type="dxa"/>
        </w:tblCellMar>
        <w:tblLook w:val="04A0" w:firstRow="1" w:lastRow="0" w:firstColumn="1" w:lastColumn="0" w:noHBand="0" w:noVBand="1"/>
      </w:tblPr>
      <w:tblGrid>
        <w:gridCol w:w="1701"/>
        <w:gridCol w:w="1979"/>
        <w:gridCol w:w="1272"/>
        <w:gridCol w:w="1275"/>
        <w:gridCol w:w="1643"/>
        <w:gridCol w:w="1157"/>
      </w:tblGrid>
      <w:tr w:rsidR="00BA1BC2" w:rsidRPr="00BA1BC2" w14:paraId="09512F77" w14:textId="77777777" w:rsidTr="00BA1BC2">
        <w:tc>
          <w:tcPr>
            <w:tcW w:w="1701"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14D5296"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b/>
                <w:bCs/>
                <w:color w:val="FFFFFF" w:themeColor="light1"/>
                <w:kern w:val="24"/>
                <w:lang w:eastAsia="en-GB"/>
              </w:rPr>
              <w:t>Theme</w:t>
            </w:r>
          </w:p>
        </w:tc>
        <w:tc>
          <w:tcPr>
            <w:tcW w:w="197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1E662288"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b/>
                <w:bCs/>
                <w:color w:val="FFFFFF" w:themeColor="light1"/>
                <w:kern w:val="24"/>
                <w:lang w:eastAsia="en-GB"/>
              </w:rPr>
              <w:t>Subtheme</w:t>
            </w:r>
          </w:p>
        </w:tc>
        <w:tc>
          <w:tcPr>
            <w:tcW w:w="127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F476D4F"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b/>
                <w:bCs/>
                <w:color w:val="FFFFFF" w:themeColor="light1"/>
                <w:kern w:val="24"/>
                <w:lang w:eastAsia="en-GB"/>
              </w:rPr>
              <w:t>Survey</w:t>
            </w:r>
          </w:p>
        </w:tc>
        <w:tc>
          <w:tcPr>
            <w:tcW w:w="127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0239487E" w14:textId="57685FF4"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b/>
                <w:bCs/>
                <w:color w:val="FFFFFF" w:themeColor="light1"/>
                <w:kern w:val="24"/>
                <w:lang w:eastAsia="en-GB"/>
              </w:rPr>
              <w:t>Interview</w:t>
            </w:r>
            <w:r w:rsidR="00C578B0">
              <w:rPr>
                <w:rFonts w:ascii="Calibri" w:eastAsia="Times New Roman" w:hAnsi="Calibri" w:cs="Arial"/>
                <w:b/>
                <w:bCs/>
                <w:color w:val="FFFFFF" w:themeColor="light1"/>
                <w:kern w:val="24"/>
                <w:lang w:eastAsia="en-GB"/>
              </w:rPr>
              <w:t>s</w:t>
            </w:r>
          </w:p>
        </w:tc>
        <w:tc>
          <w:tcPr>
            <w:tcW w:w="164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6A9EC69D"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b/>
                <w:bCs/>
                <w:color w:val="FFFFFF" w:themeColor="light1"/>
                <w:kern w:val="24"/>
                <w:lang w:eastAsia="en-GB"/>
              </w:rPr>
              <w:t>Programme Documentation</w:t>
            </w:r>
          </w:p>
        </w:tc>
        <w:tc>
          <w:tcPr>
            <w:tcW w:w="115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683661C2"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b/>
                <w:bCs/>
                <w:color w:val="FFFFFF" w:themeColor="light1"/>
                <w:kern w:val="24"/>
                <w:lang w:eastAsia="en-GB"/>
              </w:rPr>
              <w:t>Validation workshop</w:t>
            </w:r>
          </w:p>
        </w:tc>
      </w:tr>
      <w:tr w:rsidR="00BA1BC2" w:rsidRPr="00BA1BC2" w14:paraId="223361F9" w14:textId="77777777" w:rsidTr="00BA1BC2">
        <w:tc>
          <w:tcPr>
            <w:tcW w:w="1701" w:type="dxa"/>
            <w:vMerge w:val="restart"/>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A968F7F"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b/>
                <w:bCs/>
                <w:color w:val="FFFFFF" w:themeColor="light1"/>
                <w:kern w:val="24"/>
                <w:lang w:eastAsia="en-GB"/>
              </w:rPr>
              <w:t xml:space="preserve">Awareness of assessment Methods </w:t>
            </w:r>
          </w:p>
        </w:tc>
        <w:tc>
          <w:tcPr>
            <w:tcW w:w="197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D0BB581"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Range of methods</w:t>
            </w:r>
          </w:p>
          <w:p w14:paraId="553F02CF"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w:t>
            </w:r>
          </w:p>
        </w:tc>
        <w:tc>
          <w:tcPr>
            <w:tcW w:w="127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D5B9D15"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p w14:paraId="6EA61F52"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w:t>
            </w:r>
          </w:p>
        </w:tc>
        <w:tc>
          <w:tcPr>
            <w:tcW w:w="127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60C6DD1"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643"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5DDF3D2"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15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EDF93BC"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r>
      <w:tr w:rsidR="00BA1BC2" w:rsidRPr="00BA1BC2" w14:paraId="54912F8F" w14:textId="77777777" w:rsidTr="00BA1BC2">
        <w:tc>
          <w:tcPr>
            <w:tcW w:w="1701" w:type="dxa"/>
            <w:vMerge/>
            <w:tcBorders>
              <w:top w:val="single" w:sz="24" w:space="0" w:color="FFFFFF"/>
              <w:left w:val="single" w:sz="8" w:space="0" w:color="FFFFFF"/>
              <w:bottom w:val="single" w:sz="8" w:space="0" w:color="FFFFFF"/>
              <w:right w:val="single" w:sz="8" w:space="0" w:color="FFFFFF"/>
            </w:tcBorders>
            <w:vAlign w:val="center"/>
            <w:hideMark/>
          </w:tcPr>
          <w:p w14:paraId="28425CA8" w14:textId="77777777" w:rsidR="00BA1BC2" w:rsidRPr="00BA1BC2" w:rsidRDefault="00BA1BC2" w:rsidP="005035A6">
            <w:pPr>
              <w:spacing w:after="0" w:line="240" w:lineRule="auto"/>
              <w:rPr>
                <w:rFonts w:ascii="Arial" w:eastAsia="Times New Roman" w:hAnsi="Arial" w:cs="Arial"/>
                <w:sz w:val="36"/>
                <w:szCs w:val="36"/>
                <w:lang w:eastAsia="en-GB"/>
              </w:rPr>
            </w:pPr>
          </w:p>
        </w:tc>
        <w:tc>
          <w:tcPr>
            <w:tcW w:w="197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4E972A6"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Focus on perineal assessment</w:t>
            </w:r>
          </w:p>
        </w:tc>
        <w:tc>
          <w:tcPr>
            <w:tcW w:w="127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AE00712"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p w14:paraId="5F7C234A"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862C159"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6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FA049A6"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1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33648BD"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r>
      <w:tr w:rsidR="00BA1BC2" w:rsidRPr="00BA1BC2" w14:paraId="3A443031" w14:textId="77777777" w:rsidTr="00BA1BC2">
        <w:tc>
          <w:tcPr>
            <w:tcW w:w="1701" w:type="dxa"/>
            <w:vMerge/>
            <w:tcBorders>
              <w:top w:val="single" w:sz="24" w:space="0" w:color="FFFFFF"/>
              <w:left w:val="single" w:sz="8" w:space="0" w:color="FFFFFF"/>
              <w:bottom w:val="single" w:sz="8" w:space="0" w:color="FFFFFF"/>
              <w:right w:val="single" w:sz="8" w:space="0" w:color="FFFFFF"/>
            </w:tcBorders>
            <w:vAlign w:val="center"/>
            <w:hideMark/>
          </w:tcPr>
          <w:p w14:paraId="60DA63EE" w14:textId="77777777" w:rsidR="00BA1BC2" w:rsidRPr="00BA1BC2" w:rsidRDefault="00BA1BC2" w:rsidP="005035A6">
            <w:pPr>
              <w:spacing w:after="0" w:line="240" w:lineRule="auto"/>
              <w:rPr>
                <w:rFonts w:ascii="Arial" w:eastAsia="Times New Roman" w:hAnsi="Arial" w:cs="Arial"/>
                <w:sz w:val="36"/>
                <w:szCs w:val="36"/>
                <w:lang w:eastAsia="en-GB"/>
              </w:rPr>
            </w:pPr>
          </w:p>
        </w:tc>
        <w:tc>
          <w:tcPr>
            <w:tcW w:w="197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5389048"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Feeling Unsure</w:t>
            </w:r>
          </w:p>
          <w:p w14:paraId="5603E66F"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w:t>
            </w:r>
          </w:p>
        </w:tc>
        <w:tc>
          <w:tcPr>
            <w:tcW w:w="127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EAC06B7"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p w14:paraId="588A84E1"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w:t>
            </w:r>
          </w:p>
        </w:tc>
        <w:tc>
          <w:tcPr>
            <w:tcW w:w="127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51882E1"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6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861D518"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w:t>
            </w:r>
          </w:p>
        </w:tc>
        <w:tc>
          <w:tcPr>
            <w:tcW w:w="11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C38CE03"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r>
      <w:tr w:rsidR="00BA1BC2" w:rsidRPr="00BA1BC2" w14:paraId="11D3130A" w14:textId="77777777" w:rsidTr="00BA1BC2">
        <w:tc>
          <w:tcPr>
            <w:tcW w:w="1701" w:type="dxa"/>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4F99F3D"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b/>
                <w:bCs/>
                <w:color w:val="FFFFFF" w:themeColor="light1"/>
                <w:kern w:val="24"/>
                <w:lang w:eastAsia="en-GB"/>
              </w:rPr>
              <w:lastRenderedPageBreak/>
              <w:t>Access to learning opportunities</w:t>
            </w:r>
          </w:p>
        </w:tc>
        <w:tc>
          <w:tcPr>
            <w:tcW w:w="197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75EE663" w14:textId="2E79AB7F"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xml:space="preserve">Service </w:t>
            </w:r>
            <w:r w:rsidR="000D70FD">
              <w:rPr>
                <w:rFonts w:ascii="Calibri" w:eastAsia="Times New Roman" w:hAnsi="Calibri" w:cs="Arial"/>
                <w:color w:val="000000" w:themeColor="dark1"/>
                <w:kern w:val="24"/>
                <w:lang w:eastAsia="en-GB"/>
              </w:rPr>
              <w:t>Provision &amp; P</w:t>
            </w:r>
            <w:r w:rsidRPr="00BA1BC2">
              <w:rPr>
                <w:rFonts w:ascii="Calibri" w:eastAsia="Times New Roman" w:hAnsi="Calibri" w:cs="Arial"/>
                <w:color w:val="000000" w:themeColor="dark1"/>
                <w:kern w:val="24"/>
                <w:lang w:eastAsia="en-GB"/>
              </w:rPr>
              <w:t>ressures</w:t>
            </w:r>
          </w:p>
          <w:p w14:paraId="6EB94E23"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w:t>
            </w:r>
          </w:p>
        </w:tc>
        <w:tc>
          <w:tcPr>
            <w:tcW w:w="127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5F77D50"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p w14:paraId="128F55C9"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FDAACD4"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6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3250C52"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w:t>
            </w:r>
          </w:p>
        </w:tc>
        <w:tc>
          <w:tcPr>
            <w:tcW w:w="11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F566E51"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r>
      <w:tr w:rsidR="00BA1BC2" w:rsidRPr="00BA1BC2" w14:paraId="181EC6DC" w14:textId="77777777" w:rsidTr="00BA1BC2">
        <w:tc>
          <w:tcPr>
            <w:tcW w:w="1701" w:type="dxa"/>
            <w:vMerge/>
            <w:tcBorders>
              <w:top w:val="single" w:sz="8" w:space="0" w:color="FFFFFF"/>
              <w:left w:val="single" w:sz="8" w:space="0" w:color="FFFFFF"/>
              <w:bottom w:val="single" w:sz="8" w:space="0" w:color="FFFFFF"/>
              <w:right w:val="single" w:sz="8" w:space="0" w:color="FFFFFF"/>
            </w:tcBorders>
            <w:vAlign w:val="center"/>
            <w:hideMark/>
          </w:tcPr>
          <w:p w14:paraId="698E128A" w14:textId="77777777" w:rsidR="00BA1BC2" w:rsidRPr="00BA1BC2" w:rsidRDefault="00BA1BC2" w:rsidP="005035A6">
            <w:pPr>
              <w:spacing w:after="0" w:line="240" w:lineRule="auto"/>
              <w:rPr>
                <w:rFonts w:ascii="Arial" w:eastAsia="Times New Roman" w:hAnsi="Arial" w:cs="Arial"/>
                <w:sz w:val="36"/>
                <w:szCs w:val="36"/>
                <w:lang w:eastAsia="en-GB"/>
              </w:rPr>
            </w:pPr>
          </w:p>
        </w:tc>
        <w:tc>
          <w:tcPr>
            <w:tcW w:w="197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A6A22E9"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Mentoring practices</w:t>
            </w:r>
          </w:p>
          <w:p w14:paraId="24C9F1E7"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w:t>
            </w:r>
          </w:p>
        </w:tc>
        <w:tc>
          <w:tcPr>
            <w:tcW w:w="127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251F9AA"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p w14:paraId="4DE3EB4A"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w:t>
            </w:r>
          </w:p>
        </w:tc>
        <w:tc>
          <w:tcPr>
            <w:tcW w:w="127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BC64B87"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6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14C451F"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1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6049041"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r>
      <w:tr w:rsidR="00BA1BC2" w:rsidRPr="00BA1BC2" w14:paraId="5B0A4022" w14:textId="77777777" w:rsidTr="00BA1BC2">
        <w:tc>
          <w:tcPr>
            <w:tcW w:w="1701" w:type="dxa"/>
            <w:vMerge w:val="restart"/>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FBFB711"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b/>
                <w:bCs/>
                <w:color w:val="FFFFFF" w:themeColor="light1"/>
                <w:kern w:val="24"/>
                <w:lang w:eastAsia="en-GB"/>
              </w:rPr>
              <w:t>Actualisation of potential</w:t>
            </w:r>
          </w:p>
          <w:p w14:paraId="28DEFC84"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b/>
                <w:bCs/>
                <w:color w:val="FFFFFF" w:themeColor="light1"/>
                <w:kern w:val="24"/>
                <w:lang w:eastAsia="en-GB"/>
              </w:rPr>
              <w:t> </w:t>
            </w:r>
          </w:p>
        </w:tc>
        <w:tc>
          <w:tcPr>
            <w:tcW w:w="197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D8A18D1" w14:textId="5D63897C" w:rsidR="00BA1BC2" w:rsidRPr="00BA1BC2" w:rsidRDefault="002C35E6" w:rsidP="002C35E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xml:space="preserve">Knowing and doing </w:t>
            </w:r>
          </w:p>
        </w:tc>
        <w:tc>
          <w:tcPr>
            <w:tcW w:w="1272"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5E6BAA2"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275"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F928EDF"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643"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47FFFCB"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15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D84CF1C"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r>
      <w:tr w:rsidR="00BA1BC2" w:rsidRPr="00BA1BC2" w14:paraId="5DA46780" w14:textId="77777777" w:rsidTr="00BA1BC2">
        <w:tc>
          <w:tcPr>
            <w:tcW w:w="1701" w:type="dxa"/>
            <w:vMerge/>
            <w:tcBorders>
              <w:top w:val="single" w:sz="8" w:space="0" w:color="FFFFFF"/>
              <w:left w:val="single" w:sz="8" w:space="0" w:color="FFFFFF"/>
              <w:bottom w:val="single" w:sz="8" w:space="0" w:color="FFFFFF"/>
              <w:right w:val="single" w:sz="8" w:space="0" w:color="FFFFFF"/>
            </w:tcBorders>
            <w:vAlign w:val="center"/>
            <w:hideMark/>
          </w:tcPr>
          <w:p w14:paraId="334B45D3" w14:textId="77777777" w:rsidR="00BA1BC2" w:rsidRPr="00BA1BC2" w:rsidRDefault="00BA1BC2" w:rsidP="005035A6">
            <w:pPr>
              <w:spacing w:after="0" w:line="240" w:lineRule="auto"/>
              <w:rPr>
                <w:rFonts w:ascii="Arial" w:eastAsia="Times New Roman" w:hAnsi="Arial" w:cs="Arial"/>
                <w:sz w:val="36"/>
                <w:szCs w:val="36"/>
                <w:lang w:eastAsia="en-GB"/>
              </w:rPr>
            </w:pPr>
          </w:p>
        </w:tc>
        <w:tc>
          <w:tcPr>
            <w:tcW w:w="1979"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9C27196" w14:textId="4E9E4CC3" w:rsidR="00BA1BC2" w:rsidRPr="00BA1BC2" w:rsidRDefault="002C35E6"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 xml:space="preserve">Learning from and through experience  </w:t>
            </w:r>
          </w:p>
        </w:tc>
        <w:tc>
          <w:tcPr>
            <w:tcW w:w="1272"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38C81B3"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275"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05893AF"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64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1266A62"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c>
          <w:tcPr>
            <w:tcW w:w="115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9CBE1DB" w14:textId="77777777" w:rsidR="00BA1BC2" w:rsidRPr="00BA1BC2" w:rsidRDefault="00BA1BC2" w:rsidP="005035A6">
            <w:pPr>
              <w:spacing w:after="0" w:line="240" w:lineRule="auto"/>
              <w:rPr>
                <w:rFonts w:ascii="Arial" w:eastAsia="Times New Roman" w:hAnsi="Arial" w:cs="Arial"/>
                <w:sz w:val="36"/>
                <w:szCs w:val="36"/>
                <w:lang w:eastAsia="en-GB"/>
              </w:rPr>
            </w:pPr>
            <w:r w:rsidRPr="00BA1BC2">
              <w:rPr>
                <w:rFonts w:ascii="Calibri" w:eastAsia="Times New Roman" w:hAnsi="Calibri" w:cs="Arial"/>
                <w:color w:val="000000" w:themeColor="dark1"/>
                <w:kern w:val="24"/>
                <w:lang w:eastAsia="en-GB"/>
              </w:rPr>
              <w:t>X</w:t>
            </w:r>
          </w:p>
        </w:tc>
      </w:tr>
    </w:tbl>
    <w:p w14:paraId="2C4BBD96" w14:textId="77777777" w:rsidR="008075CF" w:rsidRDefault="008075CF" w:rsidP="008075CF">
      <w:pPr>
        <w:spacing w:after="0" w:line="240" w:lineRule="auto"/>
        <w:rPr>
          <w:b/>
          <w:u w:val="single"/>
        </w:rPr>
      </w:pPr>
    </w:p>
    <w:p w14:paraId="3E0F1ECB" w14:textId="651D3373" w:rsidR="008075CF" w:rsidRPr="00AF00E2" w:rsidRDefault="008075CF" w:rsidP="008075CF">
      <w:pPr>
        <w:spacing w:after="0" w:line="240" w:lineRule="auto"/>
        <w:rPr>
          <w:b/>
          <w:u w:val="single"/>
        </w:rPr>
      </w:pPr>
      <w:r w:rsidRPr="00AF00E2">
        <w:rPr>
          <w:b/>
          <w:u w:val="single"/>
        </w:rPr>
        <w:t xml:space="preserve">Table 2 Integrated Data findings </w:t>
      </w:r>
    </w:p>
    <w:p w14:paraId="01BCACDE" w14:textId="77777777" w:rsidR="00BA1BC2" w:rsidRDefault="00BA1BC2" w:rsidP="00AF00E2">
      <w:pPr>
        <w:spacing w:after="0" w:line="240" w:lineRule="auto"/>
        <w:rPr>
          <w:b/>
          <w:u w:val="single"/>
        </w:rPr>
      </w:pPr>
    </w:p>
    <w:p w14:paraId="1BDE397F" w14:textId="01314345" w:rsidR="005958D9" w:rsidRDefault="00DE2985" w:rsidP="005958D9">
      <w:pPr>
        <w:spacing w:after="0" w:line="240" w:lineRule="auto"/>
      </w:pPr>
      <w:r>
        <w:t xml:space="preserve">Team meetings </w:t>
      </w:r>
      <w:r w:rsidR="0070411E">
        <w:t>were</w:t>
      </w:r>
      <w:r w:rsidR="002E1AA2" w:rsidRPr="002E1AA2">
        <w:t xml:space="preserve"> held </w:t>
      </w:r>
      <w:r>
        <w:t xml:space="preserve">regularly </w:t>
      </w:r>
      <w:r w:rsidR="002E1AA2" w:rsidRPr="002E1AA2">
        <w:t>during the project and involve</w:t>
      </w:r>
      <w:r w:rsidR="0070411E">
        <w:t>d</w:t>
      </w:r>
      <w:r w:rsidR="002E1AA2" w:rsidRPr="002E1AA2">
        <w:t xml:space="preserve"> all </w:t>
      </w:r>
      <w:r w:rsidR="006348FF">
        <w:t xml:space="preserve">research team members. </w:t>
      </w:r>
      <w:r>
        <w:t xml:space="preserve">These </w:t>
      </w:r>
      <w:r w:rsidR="0070411E">
        <w:t xml:space="preserve">were </w:t>
      </w:r>
      <w:r w:rsidR="002E1AA2" w:rsidRPr="002E1AA2">
        <w:t xml:space="preserve">used to </w:t>
      </w:r>
      <w:r w:rsidRPr="002E1AA2">
        <w:t>discuss</w:t>
      </w:r>
      <w:r>
        <w:t>,</w:t>
      </w:r>
      <w:r w:rsidR="002E1AA2" w:rsidRPr="002E1AA2">
        <w:t xml:space="preserve"> debate, challenge and agree analysis, emerging findings and interpretations, thus bringing to bear multiple perspectives on the data and enhancing the rigour and quality of the process.</w:t>
      </w:r>
      <w:r w:rsidR="004F3064" w:rsidRPr="004F3064">
        <w:t xml:space="preserve"> </w:t>
      </w:r>
      <w:r w:rsidR="004F3064">
        <w:t xml:space="preserve"> </w:t>
      </w:r>
      <w:r w:rsidR="008075CF">
        <w:t>In addition, o</w:t>
      </w:r>
      <w:r w:rsidR="005958D9" w:rsidRPr="005958D9">
        <w:t>n completion of the questionnaire and interview data collection</w:t>
      </w:r>
      <w:r w:rsidR="00790626">
        <w:t>,</w:t>
      </w:r>
      <w:r w:rsidR="005958D9" w:rsidRPr="005958D9">
        <w:t xml:space="preserve"> a student midwife / researcher workshop was held involving 14 student mid</w:t>
      </w:r>
      <w:r w:rsidR="007135D4">
        <w:t>wives and the 4 members of the</w:t>
      </w:r>
      <w:r w:rsidR="005958D9" w:rsidRPr="005958D9">
        <w:t xml:space="preserve"> research team.  The in</w:t>
      </w:r>
      <w:r w:rsidR="000B073F">
        <w:t>tentions of the workshop were</w:t>
      </w:r>
      <w:r w:rsidR="00406DD6">
        <w:t xml:space="preserve"> </w:t>
      </w:r>
      <w:r w:rsidR="005035A6">
        <w:t>to</w:t>
      </w:r>
      <w:r w:rsidR="005035A6" w:rsidRPr="005958D9">
        <w:t>; -</w:t>
      </w:r>
    </w:p>
    <w:p w14:paraId="68290BF9" w14:textId="77777777" w:rsidR="00E937FA" w:rsidRPr="005958D9" w:rsidRDefault="00E937FA" w:rsidP="005958D9">
      <w:pPr>
        <w:spacing w:after="0" w:line="240" w:lineRule="auto"/>
      </w:pPr>
    </w:p>
    <w:p w14:paraId="37507E53" w14:textId="1EBD3014" w:rsidR="005958D9" w:rsidRPr="006348FF" w:rsidRDefault="006348FF" w:rsidP="006348FF">
      <w:pPr>
        <w:numPr>
          <w:ilvl w:val="0"/>
          <w:numId w:val="6"/>
        </w:numPr>
        <w:spacing w:after="0" w:line="240" w:lineRule="auto"/>
      </w:pPr>
      <w:r>
        <w:t>C</w:t>
      </w:r>
      <w:r w:rsidRPr="006348FF">
        <w:t>hallenge, refine and confirm data findings</w:t>
      </w:r>
    </w:p>
    <w:p w14:paraId="260B110B" w14:textId="77777777" w:rsidR="005958D9" w:rsidRPr="005958D9" w:rsidRDefault="005958D9" w:rsidP="005958D9">
      <w:pPr>
        <w:numPr>
          <w:ilvl w:val="0"/>
          <w:numId w:val="6"/>
        </w:numPr>
        <w:spacing w:after="0" w:line="240" w:lineRule="auto"/>
      </w:pPr>
      <w:r w:rsidRPr="005958D9">
        <w:t xml:space="preserve">Highlight opportunities for curriculum enhancement.  </w:t>
      </w:r>
    </w:p>
    <w:p w14:paraId="11999323" w14:textId="77777777" w:rsidR="005958D9" w:rsidRPr="005958D9" w:rsidRDefault="005958D9" w:rsidP="005958D9">
      <w:pPr>
        <w:spacing w:after="0" w:line="240" w:lineRule="auto"/>
      </w:pPr>
    </w:p>
    <w:p w14:paraId="4BAE6BC6" w14:textId="612B9F86" w:rsidR="002E1AA2" w:rsidRPr="00071885" w:rsidRDefault="005958D9" w:rsidP="005958D9">
      <w:pPr>
        <w:spacing w:after="0" w:line="240" w:lineRule="auto"/>
        <w:rPr>
          <w:color w:val="FF0000"/>
        </w:rPr>
      </w:pPr>
      <w:r w:rsidRPr="005958D9">
        <w:t xml:space="preserve">The workshop participants unanimously agreed with the themes </w:t>
      </w:r>
      <w:r w:rsidR="00F93E18">
        <w:t>e</w:t>
      </w:r>
      <w:r w:rsidR="00636F44">
        <w:t>merging from the research data, with</w:t>
      </w:r>
      <w:r w:rsidRPr="005958D9">
        <w:t xml:space="preserve"> consensus within groups and amongst groups. </w:t>
      </w:r>
    </w:p>
    <w:p w14:paraId="7D695E65" w14:textId="77777777" w:rsidR="00F93E18" w:rsidRDefault="00F93E18" w:rsidP="005958D9">
      <w:pPr>
        <w:spacing w:after="0" w:line="240" w:lineRule="auto"/>
      </w:pPr>
    </w:p>
    <w:p w14:paraId="4E57563B" w14:textId="40328DFC" w:rsidR="00650EB2" w:rsidRPr="00750077" w:rsidRDefault="00E66F42" w:rsidP="00650EB2">
      <w:pPr>
        <w:spacing w:after="0" w:line="240" w:lineRule="auto"/>
        <w:rPr>
          <w:b/>
        </w:rPr>
      </w:pPr>
      <w:r w:rsidRPr="00750077">
        <w:rPr>
          <w:b/>
        </w:rPr>
        <w:t>Findings</w:t>
      </w:r>
      <w:r w:rsidR="00650EB2" w:rsidRPr="00750077">
        <w:rPr>
          <w:b/>
        </w:rPr>
        <w:t xml:space="preserve"> </w:t>
      </w:r>
      <w:r w:rsidR="00750077" w:rsidRPr="00750077">
        <w:rPr>
          <w:b/>
        </w:rPr>
        <w:t>&amp; D</w:t>
      </w:r>
      <w:r w:rsidR="00ED2710" w:rsidRPr="00750077">
        <w:rPr>
          <w:b/>
        </w:rPr>
        <w:t>iscussion</w:t>
      </w:r>
    </w:p>
    <w:p w14:paraId="79D77306" w14:textId="140EAD9A" w:rsidR="00EC645E" w:rsidRPr="00EC645E" w:rsidRDefault="00EC645E" w:rsidP="00EC645E">
      <w:pPr>
        <w:spacing w:after="0" w:line="240" w:lineRule="auto"/>
      </w:pPr>
      <w:r w:rsidRPr="00EC76CA">
        <w:t xml:space="preserve">The quantitative survey data </w:t>
      </w:r>
      <w:r w:rsidR="002B147C">
        <w:t xml:space="preserve">is </w:t>
      </w:r>
      <w:r w:rsidRPr="00EC76CA">
        <w:t>presente</w:t>
      </w:r>
      <w:r w:rsidR="000C436E" w:rsidRPr="00EC76CA">
        <w:t>d</w:t>
      </w:r>
      <w:r w:rsidR="007A7D60">
        <w:t xml:space="preserve"> first to orientate the reader,</w:t>
      </w:r>
      <w:r w:rsidRPr="00EC76CA">
        <w:t xml:space="preserve"> contextualise the study and provide a snapshot of the frequency and cohesiveness of the student responses.  This </w:t>
      </w:r>
      <w:r w:rsidR="000435C8">
        <w:t xml:space="preserve">is </w:t>
      </w:r>
      <w:r w:rsidRPr="00EC76CA">
        <w:t xml:space="preserve">followed by an analysis of the </w:t>
      </w:r>
      <w:r w:rsidR="00C578B0">
        <w:t>qualitative</w:t>
      </w:r>
      <w:r w:rsidRPr="00EC76CA">
        <w:t xml:space="preserve"> data </w:t>
      </w:r>
      <w:r w:rsidR="00C578B0">
        <w:t>and programme documentation, which p</w:t>
      </w:r>
      <w:r w:rsidR="000435C8">
        <w:t>rovides detail</w:t>
      </w:r>
      <w:r w:rsidRPr="00EC76CA">
        <w:t xml:space="preserve"> and illumination of the students learning journey.</w:t>
      </w:r>
      <w:r w:rsidR="00210E65" w:rsidRPr="00EC76CA">
        <w:t xml:space="preserve">  Following the presentation of each research theme, the issues raised </w:t>
      </w:r>
      <w:r w:rsidR="0063601B">
        <w:t xml:space="preserve">are </w:t>
      </w:r>
      <w:r w:rsidR="00210E65" w:rsidRPr="00EC76CA">
        <w:t>discussed and critiqued in light of the contemporary evidence base.</w:t>
      </w:r>
      <w:r w:rsidR="00210E65">
        <w:t xml:space="preserve"> </w:t>
      </w:r>
    </w:p>
    <w:p w14:paraId="672E4B23" w14:textId="77777777" w:rsidR="00AD1A8F" w:rsidRDefault="00AD1A8F" w:rsidP="00650EB2">
      <w:pPr>
        <w:spacing w:after="0" w:line="240" w:lineRule="auto"/>
      </w:pPr>
    </w:p>
    <w:p w14:paraId="6F0AC9E5" w14:textId="5406AC4A" w:rsidR="009E2D9D" w:rsidRPr="00E65AE1" w:rsidRDefault="009E2D9D" w:rsidP="00650EB2">
      <w:pPr>
        <w:spacing w:after="0" w:line="240" w:lineRule="auto"/>
        <w:rPr>
          <w:b/>
        </w:rPr>
      </w:pPr>
      <w:r w:rsidRPr="009E2D9D">
        <w:rPr>
          <w:b/>
        </w:rPr>
        <w:t>The Survey</w:t>
      </w:r>
    </w:p>
    <w:p w14:paraId="22AC0DD6" w14:textId="5CCFC391" w:rsidR="00D5016E" w:rsidRDefault="00E65AE1" w:rsidP="00644B9F">
      <w:r>
        <w:rPr>
          <w:iCs/>
        </w:rPr>
        <w:t>Table</w:t>
      </w:r>
      <w:r w:rsidR="0027251A">
        <w:rPr>
          <w:iCs/>
        </w:rPr>
        <w:t>s</w:t>
      </w:r>
      <w:r>
        <w:rPr>
          <w:iCs/>
        </w:rPr>
        <w:t xml:space="preserve"> 3</w:t>
      </w:r>
      <w:r w:rsidR="009D3E02">
        <w:rPr>
          <w:iCs/>
        </w:rPr>
        <w:t xml:space="preserve"> </w:t>
      </w:r>
      <w:r w:rsidR="00EB6944">
        <w:rPr>
          <w:iCs/>
        </w:rPr>
        <w:t xml:space="preserve">and 4 </w:t>
      </w:r>
      <w:r w:rsidR="00574E42">
        <w:rPr>
          <w:iCs/>
        </w:rPr>
        <w:t xml:space="preserve">presents student responses concerning </w:t>
      </w:r>
      <w:r w:rsidR="00644B9F">
        <w:rPr>
          <w:iCs/>
        </w:rPr>
        <w:t xml:space="preserve">clinical and theoretical learning opportunities </w:t>
      </w:r>
      <w:r w:rsidR="00644B9F">
        <w:t xml:space="preserve">pertaining to </w:t>
      </w:r>
      <w:r w:rsidR="00663238">
        <w:t xml:space="preserve">most aspects of </w:t>
      </w:r>
      <w:r w:rsidR="00644B9F">
        <w:t>GT</w:t>
      </w:r>
      <w:r w:rsidR="00833CF1">
        <w:t xml:space="preserve">A.  The </w:t>
      </w:r>
      <w:r w:rsidR="00663238">
        <w:t xml:space="preserve">numbers </w:t>
      </w:r>
      <w:r w:rsidR="00644B9F">
        <w:t xml:space="preserve">highlighted in </w:t>
      </w:r>
      <w:r w:rsidR="00E97580">
        <w:t>red</w:t>
      </w:r>
      <w:r w:rsidR="00644B9F">
        <w:t xml:space="preserve"> </w:t>
      </w:r>
      <w:r w:rsidR="00663238">
        <w:t>identify aspects in which students identified limited learning opportunities</w:t>
      </w:r>
      <w:r w:rsidR="00EB6944">
        <w:t xml:space="preserve"> and </w:t>
      </w:r>
      <w:r w:rsidR="00644B9F">
        <w:t xml:space="preserve">factors </w:t>
      </w:r>
      <w:r w:rsidR="0027251A">
        <w:t>they perceived</w:t>
      </w:r>
      <w:r w:rsidR="00833CF1">
        <w:t xml:space="preserve"> a</w:t>
      </w:r>
      <w:r w:rsidR="00644B9F">
        <w:t>ffect</w:t>
      </w:r>
      <w:r w:rsidR="00EB6944">
        <w:t>ed</w:t>
      </w:r>
      <w:r w:rsidR="00644B9F">
        <w:t xml:space="preserve"> the</w:t>
      </w:r>
      <w:r w:rsidR="00EB6944">
        <w:t>ir</w:t>
      </w:r>
      <w:r w:rsidR="00644B9F">
        <w:t xml:space="preserve"> </w:t>
      </w:r>
      <w:r w:rsidR="00EB6944">
        <w:t xml:space="preserve">ability to undertake </w:t>
      </w:r>
      <w:r w:rsidR="00644B9F">
        <w:t>GTA</w:t>
      </w:r>
      <w:r w:rsidR="00EB6944">
        <w:t xml:space="preserve">.   </w:t>
      </w:r>
    </w:p>
    <w:tbl>
      <w:tblPr>
        <w:tblStyle w:val="TableGrid"/>
        <w:tblW w:w="9322" w:type="dxa"/>
        <w:tblInd w:w="-113" w:type="dxa"/>
        <w:tblLayout w:type="fixed"/>
        <w:tblLook w:val="04A0" w:firstRow="1" w:lastRow="0" w:firstColumn="1" w:lastColumn="0" w:noHBand="0" w:noVBand="1"/>
      </w:tblPr>
      <w:tblGrid>
        <w:gridCol w:w="3071"/>
        <w:gridCol w:w="520"/>
        <w:gridCol w:w="521"/>
        <w:gridCol w:w="521"/>
        <w:gridCol w:w="521"/>
        <w:gridCol w:w="521"/>
        <w:gridCol w:w="521"/>
        <w:gridCol w:w="521"/>
        <w:gridCol w:w="521"/>
        <w:gridCol w:w="521"/>
        <w:gridCol w:w="521"/>
        <w:gridCol w:w="521"/>
        <w:gridCol w:w="521"/>
      </w:tblGrid>
      <w:tr w:rsidR="00BE5592" w14:paraId="02F948B3" w14:textId="77777777" w:rsidTr="00A83A50">
        <w:tc>
          <w:tcPr>
            <w:tcW w:w="3071" w:type="dxa"/>
            <w:vMerge w:val="restart"/>
            <w:shd w:val="clear" w:color="auto" w:fill="00B0F0"/>
          </w:tcPr>
          <w:p w14:paraId="556071E5" w14:textId="77777777" w:rsidR="00BE5592" w:rsidRPr="0034369C" w:rsidRDefault="00BE5592" w:rsidP="0034369C">
            <w:pPr>
              <w:rPr>
                <w:noProof/>
                <w:sz w:val="16"/>
                <w:szCs w:val="16"/>
                <w:lang w:eastAsia="en-GB"/>
              </w:rPr>
            </w:pPr>
            <w:r w:rsidRPr="0034369C">
              <w:rPr>
                <w:noProof/>
                <w:sz w:val="16"/>
                <w:szCs w:val="16"/>
                <w:lang w:eastAsia="en-GB"/>
              </w:rPr>
              <w:t>Area of Practice</w:t>
            </w:r>
          </w:p>
        </w:tc>
        <w:tc>
          <w:tcPr>
            <w:tcW w:w="2083" w:type="dxa"/>
            <w:gridSpan w:val="4"/>
            <w:shd w:val="clear" w:color="auto" w:fill="00B0F0"/>
          </w:tcPr>
          <w:p w14:paraId="6FFE39E7" w14:textId="217652D9" w:rsidR="00BE5592" w:rsidRPr="0034369C" w:rsidRDefault="00E64E4C" w:rsidP="0034369C">
            <w:pPr>
              <w:rPr>
                <w:noProof/>
                <w:sz w:val="16"/>
                <w:szCs w:val="16"/>
                <w:lang w:eastAsia="en-GB"/>
              </w:rPr>
            </w:pPr>
            <w:r w:rsidRPr="0034369C">
              <w:rPr>
                <w:noProof/>
                <w:sz w:val="16"/>
                <w:szCs w:val="16"/>
                <w:lang w:eastAsia="en-GB"/>
              </w:rPr>
              <w:t xml:space="preserve">Sufficient Practice </w:t>
            </w:r>
            <w:r w:rsidR="00BE5592" w:rsidRPr="0034369C">
              <w:rPr>
                <w:noProof/>
                <w:sz w:val="16"/>
                <w:szCs w:val="16"/>
                <w:lang w:eastAsia="en-GB"/>
              </w:rPr>
              <w:t>Opportunities</w:t>
            </w:r>
          </w:p>
        </w:tc>
        <w:tc>
          <w:tcPr>
            <w:tcW w:w="2084" w:type="dxa"/>
            <w:gridSpan w:val="4"/>
            <w:shd w:val="clear" w:color="auto" w:fill="00B0F0"/>
          </w:tcPr>
          <w:p w14:paraId="07003959" w14:textId="3EADE552" w:rsidR="00BE5592" w:rsidRPr="0034369C" w:rsidRDefault="00E64E4C" w:rsidP="0034369C">
            <w:pPr>
              <w:rPr>
                <w:noProof/>
                <w:sz w:val="16"/>
                <w:szCs w:val="16"/>
                <w:lang w:eastAsia="en-GB"/>
              </w:rPr>
            </w:pPr>
            <w:r w:rsidRPr="0034369C">
              <w:rPr>
                <w:noProof/>
                <w:sz w:val="16"/>
                <w:szCs w:val="16"/>
                <w:lang w:eastAsia="en-GB"/>
              </w:rPr>
              <w:t xml:space="preserve">Sufficient </w:t>
            </w:r>
            <w:r w:rsidR="00BE5592" w:rsidRPr="0034369C">
              <w:rPr>
                <w:noProof/>
                <w:sz w:val="16"/>
                <w:szCs w:val="16"/>
                <w:lang w:eastAsia="en-GB"/>
              </w:rPr>
              <w:t xml:space="preserve">Theoretical Opportunities </w:t>
            </w:r>
          </w:p>
        </w:tc>
        <w:tc>
          <w:tcPr>
            <w:tcW w:w="2084" w:type="dxa"/>
            <w:gridSpan w:val="4"/>
            <w:shd w:val="clear" w:color="auto" w:fill="00B0F0"/>
          </w:tcPr>
          <w:p w14:paraId="2EA4CA7F" w14:textId="10ED33DB" w:rsidR="00BE5592" w:rsidRPr="0034369C" w:rsidRDefault="00E64E4C" w:rsidP="0034369C">
            <w:pPr>
              <w:rPr>
                <w:noProof/>
                <w:sz w:val="16"/>
                <w:szCs w:val="16"/>
                <w:lang w:eastAsia="en-GB"/>
              </w:rPr>
            </w:pPr>
            <w:r w:rsidRPr="0034369C">
              <w:rPr>
                <w:noProof/>
                <w:sz w:val="16"/>
                <w:szCs w:val="16"/>
                <w:lang w:eastAsia="en-GB"/>
              </w:rPr>
              <w:t>I feel confident</w:t>
            </w:r>
          </w:p>
        </w:tc>
      </w:tr>
      <w:tr w:rsidR="00A83A50" w14:paraId="6CDE0E94" w14:textId="77777777" w:rsidTr="00A83A50">
        <w:trPr>
          <w:cantSplit/>
          <w:trHeight w:val="782"/>
        </w:trPr>
        <w:tc>
          <w:tcPr>
            <w:tcW w:w="3071" w:type="dxa"/>
            <w:vMerge/>
          </w:tcPr>
          <w:p w14:paraId="3066B759" w14:textId="77777777" w:rsidR="00BE5592" w:rsidRPr="0034369C" w:rsidRDefault="00BE5592" w:rsidP="0034369C">
            <w:pPr>
              <w:rPr>
                <w:noProof/>
                <w:sz w:val="16"/>
                <w:szCs w:val="16"/>
                <w:lang w:eastAsia="en-GB"/>
              </w:rPr>
            </w:pPr>
          </w:p>
        </w:tc>
        <w:tc>
          <w:tcPr>
            <w:tcW w:w="520" w:type="dxa"/>
            <w:shd w:val="clear" w:color="auto" w:fill="89E0FF"/>
            <w:textDirection w:val="btLr"/>
          </w:tcPr>
          <w:p w14:paraId="6F948D46" w14:textId="77777777" w:rsidR="00BE5592" w:rsidRPr="00F52D3A" w:rsidRDefault="00BE5592" w:rsidP="0034369C">
            <w:pPr>
              <w:ind w:left="113" w:right="113"/>
              <w:rPr>
                <w:noProof/>
                <w:sz w:val="14"/>
                <w:szCs w:val="14"/>
                <w:lang w:eastAsia="en-GB"/>
              </w:rPr>
            </w:pPr>
            <w:r w:rsidRPr="00F52D3A">
              <w:rPr>
                <w:noProof/>
                <w:sz w:val="14"/>
                <w:szCs w:val="14"/>
                <w:lang w:eastAsia="en-GB"/>
              </w:rPr>
              <w:t xml:space="preserve">Strongly </w:t>
            </w:r>
          </w:p>
          <w:p w14:paraId="30FCB343" w14:textId="77777777" w:rsidR="00BE5592" w:rsidRPr="00F52D3A" w:rsidRDefault="00BE5592" w:rsidP="0034369C">
            <w:pPr>
              <w:ind w:left="113" w:right="113"/>
              <w:rPr>
                <w:noProof/>
                <w:sz w:val="14"/>
                <w:szCs w:val="14"/>
                <w:lang w:eastAsia="en-GB"/>
              </w:rPr>
            </w:pPr>
            <w:r w:rsidRPr="00F52D3A">
              <w:rPr>
                <w:noProof/>
                <w:sz w:val="14"/>
                <w:szCs w:val="14"/>
                <w:lang w:eastAsia="en-GB"/>
              </w:rPr>
              <w:t>Agree</w:t>
            </w:r>
          </w:p>
        </w:tc>
        <w:tc>
          <w:tcPr>
            <w:tcW w:w="521" w:type="dxa"/>
            <w:shd w:val="clear" w:color="auto" w:fill="89E0FF"/>
            <w:textDirection w:val="btLr"/>
          </w:tcPr>
          <w:p w14:paraId="6975DC7E" w14:textId="77777777" w:rsidR="00BE5592" w:rsidRPr="00F52D3A" w:rsidRDefault="00BE5592" w:rsidP="0034369C">
            <w:pPr>
              <w:ind w:left="113" w:right="113"/>
              <w:rPr>
                <w:noProof/>
                <w:sz w:val="14"/>
                <w:szCs w:val="14"/>
                <w:lang w:eastAsia="en-GB"/>
              </w:rPr>
            </w:pPr>
            <w:r w:rsidRPr="00F52D3A">
              <w:rPr>
                <w:noProof/>
                <w:sz w:val="14"/>
                <w:szCs w:val="14"/>
                <w:lang w:eastAsia="en-GB"/>
              </w:rPr>
              <w:t>Agree</w:t>
            </w:r>
          </w:p>
        </w:tc>
        <w:tc>
          <w:tcPr>
            <w:tcW w:w="521" w:type="dxa"/>
            <w:shd w:val="clear" w:color="auto" w:fill="89E0FF"/>
            <w:textDirection w:val="btLr"/>
          </w:tcPr>
          <w:p w14:paraId="6998AEBA" w14:textId="77777777" w:rsidR="00BE5592" w:rsidRPr="00F52D3A" w:rsidRDefault="00BE5592" w:rsidP="0034369C">
            <w:pPr>
              <w:ind w:left="113" w:right="113"/>
              <w:rPr>
                <w:noProof/>
                <w:sz w:val="14"/>
                <w:szCs w:val="14"/>
                <w:lang w:eastAsia="en-GB"/>
              </w:rPr>
            </w:pPr>
            <w:r w:rsidRPr="00F52D3A">
              <w:rPr>
                <w:noProof/>
                <w:sz w:val="14"/>
                <w:szCs w:val="14"/>
                <w:lang w:eastAsia="en-GB"/>
              </w:rPr>
              <w:t>Disagree</w:t>
            </w:r>
          </w:p>
        </w:tc>
        <w:tc>
          <w:tcPr>
            <w:tcW w:w="521" w:type="dxa"/>
            <w:shd w:val="clear" w:color="auto" w:fill="89E0FF"/>
            <w:textDirection w:val="btLr"/>
          </w:tcPr>
          <w:p w14:paraId="2174176C" w14:textId="77777777" w:rsidR="00BE5592" w:rsidRPr="00F52D3A" w:rsidRDefault="00BE5592" w:rsidP="0034369C">
            <w:pPr>
              <w:ind w:left="113" w:right="113"/>
              <w:rPr>
                <w:noProof/>
                <w:sz w:val="14"/>
                <w:szCs w:val="14"/>
                <w:lang w:eastAsia="en-GB"/>
              </w:rPr>
            </w:pPr>
            <w:r w:rsidRPr="00F52D3A">
              <w:rPr>
                <w:noProof/>
                <w:sz w:val="14"/>
                <w:szCs w:val="14"/>
                <w:lang w:eastAsia="en-GB"/>
              </w:rPr>
              <w:t xml:space="preserve">Strongly </w:t>
            </w:r>
          </w:p>
          <w:p w14:paraId="7DB35BC1" w14:textId="77777777" w:rsidR="00BE5592" w:rsidRPr="00F52D3A" w:rsidRDefault="00BE5592" w:rsidP="0034369C">
            <w:pPr>
              <w:ind w:left="113" w:right="113"/>
              <w:rPr>
                <w:noProof/>
                <w:sz w:val="14"/>
                <w:szCs w:val="14"/>
                <w:lang w:eastAsia="en-GB"/>
              </w:rPr>
            </w:pPr>
            <w:r w:rsidRPr="00F52D3A">
              <w:rPr>
                <w:noProof/>
                <w:sz w:val="14"/>
                <w:szCs w:val="14"/>
                <w:lang w:eastAsia="en-GB"/>
              </w:rPr>
              <w:t>Disagree</w:t>
            </w:r>
          </w:p>
        </w:tc>
        <w:tc>
          <w:tcPr>
            <w:tcW w:w="521" w:type="dxa"/>
            <w:shd w:val="clear" w:color="auto" w:fill="89E0FF"/>
            <w:textDirection w:val="btLr"/>
          </w:tcPr>
          <w:p w14:paraId="64D3ECED" w14:textId="77777777" w:rsidR="00BE5592" w:rsidRPr="00F52D3A" w:rsidRDefault="00BE5592" w:rsidP="0034369C">
            <w:pPr>
              <w:ind w:left="113" w:right="113"/>
              <w:rPr>
                <w:noProof/>
                <w:sz w:val="14"/>
                <w:szCs w:val="14"/>
                <w:lang w:eastAsia="en-GB"/>
              </w:rPr>
            </w:pPr>
            <w:r w:rsidRPr="00F52D3A">
              <w:rPr>
                <w:noProof/>
                <w:sz w:val="14"/>
                <w:szCs w:val="14"/>
                <w:lang w:eastAsia="en-GB"/>
              </w:rPr>
              <w:t xml:space="preserve">Strongly </w:t>
            </w:r>
          </w:p>
          <w:p w14:paraId="31353D01" w14:textId="77777777" w:rsidR="00BE5592" w:rsidRPr="00F52D3A" w:rsidRDefault="00BE5592" w:rsidP="0034369C">
            <w:pPr>
              <w:ind w:left="113" w:right="113"/>
              <w:rPr>
                <w:noProof/>
                <w:sz w:val="14"/>
                <w:szCs w:val="14"/>
                <w:lang w:eastAsia="en-GB"/>
              </w:rPr>
            </w:pPr>
            <w:r w:rsidRPr="00F52D3A">
              <w:rPr>
                <w:noProof/>
                <w:sz w:val="14"/>
                <w:szCs w:val="14"/>
                <w:lang w:eastAsia="en-GB"/>
              </w:rPr>
              <w:t>Agree</w:t>
            </w:r>
          </w:p>
        </w:tc>
        <w:tc>
          <w:tcPr>
            <w:tcW w:w="521" w:type="dxa"/>
            <w:shd w:val="clear" w:color="auto" w:fill="89E0FF"/>
            <w:textDirection w:val="btLr"/>
          </w:tcPr>
          <w:p w14:paraId="62722155" w14:textId="77777777" w:rsidR="00BE5592" w:rsidRPr="00F52D3A" w:rsidRDefault="00BE5592" w:rsidP="0034369C">
            <w:pPr>
              <w:ind w:left="113" w:right="113"/>
              <w:rPr>
                <w:noProof/>
                <w:sz w:val="14"/>
                <w:szCs w:val="14"/>
                <w:lang w:eastAsia="en-GB"/>
              </w:rPr>
            </w:pPr>
            <w:r w:rsidRPr="00F52D3A">
              <w:rPr>
                <w:noProof/>
                <w:sz w:val="14"/>
                <w:szCs w:val="14"/>
                <w:lang w:eastAsia="en-GB"/>
              </w:rPr>
              <w:t>Agree</w:t>
            </w:r>
          </w:p>
        </w:tc>
        <w:tc>
          <w:tcPr>
            <w:tcW w:w="521" w:type="dxa"/>
            <w:shd w:val="clear" w:color="auto" w:fill="89E0FF"/>
            <w:textDirection w:val="btLr"/>
          </w:tcPr>
          <w:p w14:paraId="4F75AF24" w14:textId="241B7424" w:rsidR="00BE5592" w:rsidRPr="00F52D3A" w:rsidRDefault="00BE5592" w:rsidP="0034369C">
            <w:pPr>
              <w:ind w:left="113" w:right="113"/>
              <w:rPr>
                <w:noProof/>
                <w:sz w:val="14"/>
                <w:szCs w:val="14"/>
                <w:lang w:eastAsia="en-GB"/>
              </w:rPr>
            </w:pPr>
            <w:r w:rsidRPr="00F52D3A">
              <w:rPr>
                <w:noProof/>
                <w:sz w:val="14"/>
                <w:szCs w:val="14"/>
                <w:lang w:eastAsia="en-GB"/>
              </w:rPr>
              <w:t>Disagree</w:t>
            </w:r>
          </w:p>
        </w:tc>
        <w:tc>
          <w:tcPr>
            <w:tcW w:w="521" w:type="dxa"/>
            <w:shd w:val="clear" w:color="auto" w:fill="89E0FF"/>
            <w:textDirection w:val="btLr"/>
          </w:tcPr>
          <w:p w14:paraId="70CCDC2E" w14:textId="77777777" w:rsidR="00BE5592" w:rsidRPr="00F52D3A" w:rsidRDefault="00BE5592" w:rsidP="0034369C">
            <w:pPr>
              <w:ind w:left="113" w:right="113"/>
              <w:rPr>
                <w:noProof/>
                <w:sz w:val="14"/>
                <w:szCs w:val="14"/>
                <w:lang w:eastAsia="en-GB"/>
              </w:rPr>
            </w:pPr>
            <w:r w:rsidRPr="00F52D3A">
              <w:rPr>
                <w:noProof/>
                <w:sz w:val="14"/>
                <w:szCs w:val="14"/>
                <w:lang w:eastAsia="en-GB"/>
              </w:rPr>
              <w:t xml:space="preserve">Strongly </w:t>
            </w:r>
          </w:p>
          <w:p w14:paraId="7E27C452" w14:textId="77777777" w:rsidR="00BE5592" w:rsidRPr="00F52D3A" w:rsidRDefault="00BE5592" w:rsidP="0034369C">
            <w:pPr>
              <w:ind w:left="113" w:right="113"/>
              <w:rPr>
                <w:noProof/>
                <w:sz w:val="14"/>
                <w:szCs w:val="14"/>
                <w:lang w:eastAsia="en-GB"/>
              </w:rPr>
            </w:pPr>
            <w:r w:rsidRPr="00F52D3A">
              <w:rPr>
                <w:noProof/>
                <w:sz w:val="14"/>
                <w:szCs w:val="14"/>
                <w:lang w:eastAsia="en-GB"/>
              </w:rPr>
              <w:t>Disagree</w:t>
            </w:r>
          </w:p>
        </w:tc>
        <w:tc>
          <w:tcPr>
            <w:tcW w:w="521" w:type="dxa"/>
            <w:shd w:val="clear" w:color="auto" w:fill="89E0FF"/>
            <w:textDirection w:val="btLr"/>
          </w:tcPr>
          <w:p w14:paraId="56A3887B" w14:textId="77777777" w:rsidR="00BE5592" w:rsidRPr="00F52D3A" w:rsidRDefault="00BE5592" w:rsidP="0034369C">
            <w:pPr>
              <w:ind w:left="113" w:right="113"/>
              <w:rPr>
                <w:noProof/>
                <w:sz w:val="14"/>
                <w:szCs w:val="14"/>
                <w:lang w:eastAsia="en-GB"/>
              </w:rPr>
            </w:pPr>
            <w:r w:rsidRPr="00F52D3A">
              <w:rPr>
                <w:noProof/>
                <w:sz w:val="14"/>
                <w:szCs w:val="14"/>
                <w:lang w:eastAsia="en-GB"/>
              </w:rPr>
              <w:t xml:space="preserve">Strongly </w:t>
            </w:r>
          </w:p>
          <w:p w14:paraId="5AB7B8EA" w14:textId="77777777" w:rsidR="00BE5592" w:rsidRPr="00F52D3A" w:rsidRDefault="00BE5592" w:rsidP="0034369C">
            <w:pPr>
              <w:ind w:left="113" w:right="113"/>
              <w:rPr>
                <w:noProof/>
                <w:sz w:val="14"/>
                <w:szCs w:val="14"/>
                <w:lang w:eastAsia="en-GB"/>
              </w:rPr>
            </w:pPr>
            <w:r w:rsidRPr="00F52D3A">
              <w:rPr>
                <w:noProof/>
                <w:sz w:val="14"/>
                <w:szCs w:val="14"/>
                <w:lang w:eastAsia="en-GB"/>
              </w:rPr>
              <w:t>Agree</w:t>
            </w:r>
          </w:p>
        </w:tc>
        <w:tc>
          <w:tcPr>
            <w:tcW w:w="521" w:type="dxa"/>
            <w:shd w:val="clear" w:color="auto" w:fill="89E0FF"/>
            <w:textDirection w:val="btLr"/>
          </w:tcPr>
          <w:p w14:paraId="553DC7DE" w14:textId="77777777" w:rsidR="00BE5592" w:rsidRPr="00F52D3A" w:rsidRDefault="00BE5592" w:rsidP="0034369C">
            <w:pPr>
              <w:ind w:left="113" w:right="113"/>
              <w:rPr>
                <w:noProof/>
                <w:sz w:val="14"/>
                <w:szCs w:val="14"/>
                <w:lang w:eastAsia="en-GB"/>
              </w:rPr>
            </w:pPr>
            <w:r w:rsidRPr="00F52D3A">
              <w:rPr>
                <w:noProof/>
                <w:sz w:val="14"/>
                <w:szCs w:val="14"/>
                <w:lang w:eastAsia="en-GB"/>
              </w:rPr>
              <w:t>Agree</w:t>
            </w:r>
          </w:p>
        </w:tc>
        <w:tc>
          <w:tcPr>
            <w:tcW w:w="521" w:type="dxa"/>
            <w:shd w:val="clear" w:color="auto" w:fill="89E0FF"/>
            <w:textDirection w:val="btLr"/>
          </w:tcPr>
          <w:p w14:paraId="3E2967D7" w14:textId="77777777" w:rsidR="00BE5592" w:rsidRPr="00F52D3A" w:rsidRDefault="00BE5592" w:rsidP="0034369C">
            <w:pPr>
              <w:ind w:left="113" w:right="113"/>
              <w:rPr>
                <w:noProof/>
                <w:sz w:val="14"/>
                <w:szCs w:val="14"/>
                <w:lang w:eastAsia="en-GB"/>
              </w:rPr>
            </w:pPr>
            <w:r w:rsidRPr="00F52D3A">
              <w:rPr>
                <w:noProof/>
                <w:sz w:val="14"/>
                <w:szCs w:val="14"/>
                <w:lang w:eastAsia="en-GB"/>
              </w:rPr>
              <w:t>Disagree</w:t>
            </w:r>
          </w:p>
        </w:tc>
        <w:tc>
          <w:tcPr>
            <w:tcW w:w="521" w:type="dxa"/>
            <w:shd w:val="clear" w:color="auto" w:fill="89E0FF"/>
            <w:textDirection w:val="btLr"/>
          </w:tcPr>
          <w:p w14:paraId="558174ED" w14:textId="77777777" w:rsidR="00BE5592" w:rsidRPr="00F52D3A" w:rsidRDefault="00BE5592" w:rsidP="0034369C">
            <w:pPr>
              <w:ind w:left="113" w:right="113"/>
              <w:rPr>
                <w:noProof/>
                <w:sz w:val="14"/>
                <w:szCs w:val="14"/>
                <w:lang w:eastAsia="en-GB"/>
              </w:rPr>
            </w:pPr>
            <w:r w:rsidRPr="00F52D3A">
              <w:rPr>
                <w:noProof/>
                <w:sz w:val="14"/>
                <w:szCs w:val="14"/>
                <w:lang w:eastAsia="en-GB"/>
              </w:rPr>
              <w:t xml:space="preserve">Strongly </w:t>
            </w:r>
          </w:p>
          <w:p w14:paraId="626F8F6C" w14:textId="77777777" w:rsidR="00BE5592" w:rsidRPr="00F52D3A" w:rsidRDefault="00BE5592" w:rsidP="0034369C">
            <w:pPr>
              <w:ind w:left="113" w:right="113"/>
              <w:rPr>
                <w:noProof/>
                <w:sz w:val="14"/>
                <w:szCs w:val="14"/>
                <w:lang w:eastAsia="en-GB"/>
              </w:rPr>
            </w:pPr>
            <w:r w:rsidRPr="00F52D3A">
              <w:rPr>
                <w:noProof/>
                <w:sz w:val="14"/>
                <w:szCs w:val="14"/>
                <w:lang w:eastAsia="en-GB"/>
              </w:rPr>
              <w:t>Disagree</w:t>
            </w:r>
          </w:p>
        </w:tc>
      </w:tr>
      <w:tr w:rsidR="00A83A50" w14:paraId="75971A0D" w14:textId="77777777" w:rsidTr="00B55B30">
        <w:trPr>
          <w:trHeight w:val="586"/>
        </w:trPr>
        <w:tc>
          <w:tcPr>
            <w:tcW w:w="3071" w:type="dxa"/>
          </w:tcPr>
          <w:p w14:paraId="1DE236A2" w14:textId="77777777" w:rsidR="00BE5592" w:rsidRPr="0034369C" w:rsidRDefault="00BE5592" w:rsidP="0034369C">
            <w:pPr>
              <w:rPr>
                <w:noProof/>
                <w:sz w:val="16"/>
                <w:szCs w:val="16"/>
                <w:lang w:eastAsia="en-GB"/>
              </w:rPr>
            </w:pPr>
            <w:r w:rsidRPr="0034369C">
              <w:rPr>
                <w:noProof/>
                <w:sz w:val="16"/>
                <w:szCs w:val="16"/>
                <w:lang w:eastAsia="en-GB"/>
              </w:rPr>
              <w:t>Identifying risk factors which may predispose the woman to genital tract (GT) morbidity.  Risk factors include things like; operative birth, perineal trauma, throat infections and multiple pregnancy.</w:t>
            </w:r>
          </w:p>
        </w:tc>
        <w:tc>
          <w:tcPr>
            <w:tcW w:w="520" w:type="dxa"/>
            <w:tcBorders>
              <w:top w:val="single" w:sz="8" w:space="0" w:color="000000"/>
              <w:left w:val="single" w:sz="8" w:space="0" w:color="000000"/>
              <w:bottom w:val="single" w:sz="8" w:space="0" w:color="000000"/>
              <w:right w:val="single" w:sz="8" w:space="0" w:color="000000"/>
            </w:tcBorders>
            <w:shd w:val="clear" w:color="auto" w:fill="92D050"/>
          </w:tcPr>
          <w:p w14:paraId="0A56A9DD"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18</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39BF41ED"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7</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7950F53D"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8" w:space="0" w:color="000000"/>
              <w:bottom w:val="single" w:sz="8" w:space="0" w:color="000000"/>
              <w:right w:val="single" w:sz="4" w:space="0" w:color="auto"/>
            </w:tcBorders>
            <w:shd w:val="clear" w:color="auto" w:fill="92D050"/>
          </w:tcPr>
          <w:p w14:paraId="31DD24B0"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c>
          <w:tcPr>
            <w:tcW w:w="521" w:type="dxa"/>
            <w:tcBorders>
              <w:top w:val="single" w:sz="8" w:space="0" w:color="000000"/>
              <w:left w:val="single" w:sz="4" w:space="0" w:color="auto"/>
              <w:bottom w:val="single" w:sz="8" w:space="0" w:color="000000"/>
              <w:right w:val="single" w:sz="8" w:space="0" w:color="000000"/>
            </w:tcBorders>
            <w:shd w:val="clear" w:color="auto" w:fill="92D050"/>
          </w:tcPr>
          <w:p w14:paraId="0BD553C6"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16</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11FB929F"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5</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7B34A05F"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2CF948B6"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72672CAE"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14</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7B2A02BF"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7 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15B85D30"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5CDBC165"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r>
      <w:tr w:rsidR="00A83A50" w14:paraId="3A84972B" w14:textId="77777777" w:rsidTr="00B55B30">
        <w:trPr>
          <w:trHeight w:val="586"/>
        </w:trPr>
        <w:tc>
          <w:tcPr>
            <w:tcW w:w="3071" w:type="dxa"/>
          </w:tcPr>
          <w:p w14:paraId="40CF672C" w14:textId="77777777" w:rsidR="00BE5592" w:rsidRPr="0034369C" w:rsidRDefault="00BE5592" w:rsidP="0034369C">
            <w:pPr>
              <w:rPr>
                <w:noProof/>
                <w:sz w:val="16"/>
                <w:szCs w:val="16"/>
                <w:lang w:eastAsia="en-GB"/>
              </w:rPr>
            </w:pPr>
            <w:r w:rsidRPr="0034369C">
              <w:rPr>
                <w:noProof/>
                <w:sz w:val="16"/>
                <w:szCs w:val="16"/>
                <w:lang w:eastAsia="en-GB"/>
              </w:rPr>
              <w:t>Undertaking general clinical observations pertinent to maternal postnatal genital tract assessment (GTA), (E.g. malaise, vital signs, pain and diarrhoea.)</w:t>
            </w:r>
          </w:p>
        </w:tc>
        <w:tc>
          <w:tcPr>
            <w:tcW w:w="520" w:type="dxa"/>
            <w:tcBorders>
              <w:top w:val="single" w:sz="8" w:space="0" w:color="000000"/>
              <w:left w:val="single" w:sz="8" w:space="0" w:color="000000"/>
              <w:bottom w:val="single" w:sz="8" w:space="0" w:color="000000"/>
              <w:right w:val="single" w:sz="8" w:space="0" w:color="000000"/>
            </w:tcBorders>
            <w:shd w:val="clear" w:color="auto" w:fill="92D050"/>
          </w:tcPr>
          <w:p w14:paraId="6FB5E5F6"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13</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30440C8C"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9 </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3DA22C34"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3</w:t>
            </w:r>
          </w:p>
        </w:tc>
        <w:tc>
          <w:tcPr>
            <w:tcW w:w="521" w:type="dxa"/>
            <w:tcBorders>
              <w:top w:val="single" w:sz="8" w:space="0" w:color="000000"/>
              <w:left w:val="single" w:sz="8" w:space="0" w:color="000000"/>
              <w:bottom w:val="single" w:sz="8" w:space="0" w:color="000000"/>
              <w:right w:val="single" w:sz="4" w:space="0" w:color="auto"/>
            </w:tcBorders>
            <w:shd w:val="clear" w:color="auto" w:fill="92D050"/>
          </w:tcPr>
          <w:p w14:paraId="11869C76"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c>
          <w:tcPr>
            <w:tcW w:w="521" w:type="dxa"/>
            <w:tcBorders>
              <w:top w:val="single" w:sz="8" w:space="0" w:color="000000"/>
              <w:left w:val="single" w:sz="4" w:space="0" w:color="auto"/>
              <w:bottom w:val="single" w:sz="8" w:space="0" w:color="000000"/>
              <w:right w:val="single" w:sz="8" w:space="0" w:color="000000"/>
            </w:tcBorders>
            <w:shd w:val="clear" w:color="auto" w:fill="92D050"/>
          </w:tcPr>
          <w:p w14:paraId="742D1EF9"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12 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020A3AEF"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10 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5D839BB1"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1CF8D056"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105D4777"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9 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658B5A00"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12 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2E088D90"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192BA5CE"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r>
      <w:tr w:rsidR="00A83A50" w14:paraId="0CFEE485" w14:textId="77777777" w:rsidTr="00B55B30">
        <w:trPr>
          <w:trHeight w:val="586"/>
        </w:trPr>
        <w:tc>
          <w:tcPr>
            <w:tcW w:w="3071" w:type="dxa"/>
          </w:tcPr>
          <w:p w14:paraId="0BA82377" w14:textId="77777777" w:rsidR="00BE5592" w:rsidRPr="0034369C" w:rsidRDefault="00BE5592" w:rsidP="0034369C">
            <w:pPr>
              <w:rPr>
                <w:noProof/>
                <w:sz w:val="16"/>
                <w:szCs w:val="16"/>
                <w:lang w:eastAsia="en-GB"/>
              </w:rPr>
            </w:pPr>
            <w:r w:rsidRPr="0034369C">
              <w:rPr>
                <w:noProof/>
                <w:sz w:val="16"/>
                <w:szCs w:val="16"/>
                <w:lang w:eastAsia="en-GB"/>
              </w:rPr>
              <w:lastRenderedPageBreak/>
              <w:t>Using communication skills to obtain pertinent information about the woman’s GT health (E.g. questioning &amp; listening)</w:t>
            </w:r>
          </w:p>
        </w:tc>
        <w:tc>
          <w:tcPr>
            <w:tcW w:w="520" w:type="dxa"/>
            <w:tcBorders>
              <w:top w:val="single" w:sz="8" w:space="0" w:color="000000"/>
              <w:left w:val="single" w:sz="8" w:space="0" w:color="000000"/>
              <w:bottom w:val="single" w:sz="8" w:space="0" w:color="000000"/>
              <w:right w:val="single" w:sz="8" w:space="0" w:color="000000"/>
            </w:tcBorders>
            <w:shd w:val="clear" w:color="auto" w:fill="92D050"/>
          </w:tcPr>
          <w:p w14:paraId="4C6553B6"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16</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664951E5"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9 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25D7A3CC"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8" w:space="0" w:color="000000"/>
              <w:bottom w:val="single" w:sz="8" w:space="0" w:color="000000"/>
              <w:right w:val="single" w:sz="4" w:space="0" w:color="auto"/>
            </w:tcBorders>
            <w:shd w:val="clear" w:color="auto" w:fill="92D050"/>
          </w:tcPr>
          <w:p w14:paraId="5CB38846"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c>
          <w:tcPr>
            <w:tcW w:w="521" w:type="dxa"/>
            <w:tcBorders>
              <w:top w:val="single" w:sz="8" w:space="0" w:color="000000"/>
              <w:left w:val="single" w:sz="4" w:space="0" w:color="auto"/>
              <w:bottom w:val="single" w:sz="8" w:space="0" w:color="000000"/>
              <w:right w:val="single" w:sz="8" w:space="0" w:color="000000"/>
            </w:tcBorders>
            <w:shd w:val="clear" w:color="auto" w:fill="92D050"/>
          </w:tcPr>
          <w:p w14:paraId="6E7FC3FD"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11 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368EA397"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11 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1926BA3D"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7DC37C97"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4F8FA32B"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17</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54737B44"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4 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6D4CC6F4"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35796405"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r>
      <w:tr w:rsidR="00A83A50" w14:paraId="7BC2026A" w14:textId="77777777" w:rsidTr="00B55B30">
        <w:trPr>
          <w:trHeight w:val="586"/>
        </w:trPr>
        <w:tc>
          <w:tcPr>
            <w:tcW w:w="3071" w:type="dxa"/>
          </w:tcPr>
          <w:p w14:paraId="2991677C" w14:textId="77777777" w:rsidR="00BE5592" w:rsidRPr="0034369C" w:rsidRDefault="00BE5592" w:rsidP="0034369C">
            <w:pPr>
              <w:rPr>
                <w:noProof/>
                <w:sz w:val="16"/>
                <w:szCs w:val="16"/>
                <w:lang w:eastAsia="en-GB"/>
              </w:rPr>
            </w:pPr>
            <w:r w:rsidRPr="0034369C">
              <w:rPr>
                <w:noProof/>
                <w:sz w:val="16"/>
                <w:szCs w:val="16"/>
                <w:lang w:eastAsia="en-GB"/>
              </w:rPr>
              <w:t>Undertaking clinical observations of the woman’s perineum during the postnatal period</w:t>
            </w:r>
          </w:p>
        </w:tc>
        <w:tc>
          <w:tcPr>
            <w:tcW w:w="520" w:type="dxa"/>
            <w:tcBorders>
              <w:top w:val="single" w:sz="8" w:space="0" w:color="000000"/>
              <w:left w:val="single" w:sz="8" w:space="0" w:color="000000"/>
              <w:bottom w:val="single" w:sz="8" w:space="0" w:color="000000"/>
              <w:right w:val="single" w:sz="8" w:space="0" w:color="000000"/>
            </w:tcBorders>
            <w:shd w:val="clear" w:color="auto" w:fill="92D050"/>
          </w:tcPr>
          <w:p w14:paraId="4A3BB71E"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8</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6FECE724"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15 </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6E6C49D6"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2</w:t>
            </w:r>
          </w:p>
        </w:tc>
        <w:tc>
          <w:tcPr>
            <w:tcW w:w="521" w:type="dxa"/>
            <w:tcBorders>
              <w:top w:val="single" w:sz="8" w:space="0" w:color="000000"/>
              <w:left w:val="single" w:sz="8" w:space="0" w:color="000000"/>
              <w:bottom w:val="single" w:sz="8" w:space="0" w:color="000000"/>
              <w:right w:val="single" w:sz="4" w:space="0" w:color="auto"/>
            </w:tcBorders>
            <w:shd w:val="clear" w:color="auto" w:fill="92D050"/>
          </w:tcPr>
          <w:p w14:paraId="4B597706"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4" w:space="0" w:color="auto"/>
              <w:bottom w:val="single" w:sz="8" w:space="0" w:color="000000"/>
              <w:right w:val="single" w:sz="8" w:space="0" w:color="000000"/>
            </w:tcBorders>
            <w:shd w:val="clear" w:color="auto" w:fill="92D050"/>
          </w:tcPr>
          <w:p w14:paraId="42380AC1"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6</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7B016554"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11</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7F9931D6"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5</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3319D55B"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011ACC38"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7 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7C1930BE"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10 </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6D6FF643"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4</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7B475CDA"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r>
      <w:tr w:rsidR="00A83A50" w14:paraId="0099CA2A" w14:textId="77777777" w:rsidTr="00B55B30">
        <w:trPr>
          <w:trHeight w:val="586"/>
        </w:trPr>
        <w:tc>
          <w:tcPr>
            <w:tcW w:w="3071" w:type="dxa"/>
          </w:tcPr>
          <w:p w14:paraId="165D29D7" w14:textId="77777777" w:rsidR="00BE5592" w:rsidRPr="0034369C" w:rsidRDefault="00BE5592" w:rsidP="0034369C">
            <w:pPr>
              <w:rPr>
                <w:noProof/>
                <w:sz w:val="16"/>
                <w:szCs w:val="16"/>
                <w:lang w:eastAsia="en-GB"/>
              </w:rPr>
            </w:pPr>
            <w:r w:rsidRPr="0034369C">
              <w:rPr>
                <w:noProof/>
                <w:sz w:val="16"/>
                <w:szCs w:val="16"/>
                <w:lang w:eastAsia="en-GB"/>
              </w:rPr>
              <w:t>Undertaking clinical observations of the woman’s lochia</w:t>
            </w:r>
          </w:p>
          <w:p w14:paraId="5CE39A03" w14:textId="723C823C" w:rsidR="00A83A50" w:rsidRPr="0034369C" w:rsidRDefault="00A83A50" w:rsidP="0034369C">
            <w:pPr>
              <w:rPr>
                <w:noProof/>
                <w:sz w:val="16"/>
                <w:szCs w:val="16"/>
                <w:lang w:eastAsia="en-GB"/>
              </w:rPr>
            </w:pPr>
          </w:p>
        </w:tc>
        <w:tc>
          <w:tcPr>
            <w:tcW w:w="520" w:type="dxa"/>
            <w:tcBorders>
              <w:top w:val="single" w:sz="8" w:space="0" w:color="000000"/>
              <w:left w:val="single" w:sz="8" w:space="0" w:color="000000"/>
              <w:bottom w:val="single" w:sz="8" w:space="0" w:color="000000"/>
              <w:right w:val="single" w:sz="8" w:space="0" w:color="000000"/>
            </w:tcBorders>
            <w:shd w:val="clear" w:color="auto" w:fill="92D050"/>
          </w:tcPr>
          <w:p w14:paraId="22984886"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4 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4722F194"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12 </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229A9DBF"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8</w:t>
            </w:r>
          </w:p>
        </w:tc>
        <w:tc>
          <w:tcPr>
            <w:tcW w:w="521" w:type="dxa"/>
            <w:tcBorders>
              <w:top w:val="single" w:sz="8" w:space="0" w:color="000000"/>
              <w:left w:val="single" w:sz="8" w:space="0" w:color="000000"/>
              <w:bottom w:val="single" w:sz="8" w:space="0" w:color="000000"/>
              <w:right w:val="single" w:sz="4" w:space="0" w:color="auto"/>
            </w:tcBorders>
            <w:shd w:val="clear" w:color="auto" w:fill="FF0000"/>
          </w:tcPr>
          <w:p w14:paraId="20A28034"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1 </w:t>
            </w:r>
          </w:p>
        </w:tc>
        <w:tc>
          <w:tcPr>
            <w:tcW w:w="521" w:type="dxa"/>
            <w:tcBorders>
              <w:top w:val="single" w:sz="8" w:space="0" w:color="000000"/>
              <w:left w:val="single" w:sz="4" w:space="0" w:color="auto"/>
              <w:bottom w:val="single" w:sz="8" w:space="0" w:color="000000"/>
              <w:right w:val="single" w:sz="8" w:space="0" w:color="000000"/>
            </w:tcBorders>
            <w:shd w:val="clear" w:color="auto" w:fill="92D050"/>
          </w:tcPr>
          <w:p w14:paraId="151D203D"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6</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196A735E"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9 </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23D8A143"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6</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48AF3F16"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06140E3B"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5</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4A729BBD"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11 </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29CD853E"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5</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4C7D5E5C"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r>
      <w:tr w:rsidR="00A83A50" w14:paraId="60A16247" w14:textId="77777777" w:rsidTr="00B55B30">
        <w:trPr>
          <w:trHeight w:val="586"/>
        </w:trPr>
        <w:tc>
          <w:tcPr>
            <w:tcW w:w="3071" w:type="dxa"/>
          </w:tcPr>
          <w:p w14:paraId="26ED5F76" w14:textId="77777777" w:rsidR="00BE5592" w:rsidRPr="0034369C" w:rsidRDefault="00BE5592" w:rsidP="0034369C">
            <w:pPr>
              <w:rPr>
                <w:noProof/>
                <w:sz w:val="16"/>
                <w:szCs w:val="16"/>
                <w:lang w:eastAsia="en-GB"/>
              </w:rPr>
            </w:pPr>
            <w:r w:rsidRPr="0034369C">
              <w:rPr>
                <w:noProof/>
                <w:sz w:val="16"/>
                <w:szCs w:val="16"/>
                <w:lang w:eastAsia="en-GB"/>
              </w:rPr>
              <w:t>Undertaking clinical observations of the woman’s abdomen during the postnatal period including palpation of the uterus.</w:t>
            </w:r>
          </w:p>
        </w:tc>
        <w:tc>
          <w:tcPr>
            <w:tcW w:w="520" w:type="dxa"/>
            <w:tcBorders>
              <w:top w:val="single" w:sz="8" w:space="0" w:color="000000"/>
              <w:left w:val="single" w:sz="8" w:space="0" w:color="000000"/>
              <w:bottom w:val="single" w:sz="8" w:space="0" w:color="000000"/>
              <w:right w:val="single" w:sz="8" w:space="0" w:color="000000"/>
            </w:tcBorders>
            <w:shd w:val="clear" w:color="auto" w:fill="92D050"/>
          </w:tcPr>
          <w:p w14:paraId="7B74002A"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20</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2C374FD8"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5 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60FEE802"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8" w:space="0" w:color="000000"/>
              <w:bottom w:val="single" w:sz="8" w:space="0" w:color="000000"/>
              <w:right w:val="single" w:sz="4" w:space="0" w:color="auto"/>
            </w:tcBorders>
            <w:shd w:val="clear" w:color="auto" w:fill="92D050"/>
          </w:tcPr>
          <w:p w14:paraId="2E178D10"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c>
          <w:tcPr>
            <w:tcW w:w="521" w:type="dxa"/>
            <w:tcBorders>
              <w:top w:val="single" w:sz="8" w:space="0" w:color="000000"/>
              <w:left w:val="single" w:sz="4" w:space="0" w:color="auto"/>
              <w:bottom w:val="single" w:sz="8" w:space="0" w:color="000000"/>
              <w:right w:val="single" w:sz="8" w:space="0" w:color="000000"/>
            </w:tcBorders>
            <w:shd w:val="clear" w:color="auto" w:fill="92D050"/>
          </w:tcPr>
          <w:p w14:paraId="588B6DB6"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12</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77FCC338"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9 </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36DA2EF6"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1</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6B485155"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50650C09"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14</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4F8B8D4F"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7 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37B8F9F3"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4E59A87B"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r>
      <w:tr w:rsidR="00A83A50" w14:paraId="223AE96C" w14:textId="77777777" w:rsidTr="00B55B30">
        <w:trPr>
          <w:trHeight w:val="586"/>
        </w:trPr>
        <w:tc>
          <w:tcPr>
            <w:tcW w:w="3071" w:type="dxa"/>
          </w:tcPr>
          <w:p w14:paraId="2A4437B4" w14:textId="77777777" w:rsidR="00BE5592" w:rsidRPr="0034369C" w:rsidRDefault="00BE5592" w:rsidP="0034369C">
            <w:pPr>
              <w:rPr>
                <w:noProof/>
                <w:sz w:val="16"/>
                <w:szCs w:val="16"/>
                <w:lang w:eastAsia="en-GB"/>
              </w:rPr>
            </w:pPr>
            <w:r w:rsidRPr="0034369C">
              <w:rPr>
                <w:noProof/>
                <w:sz w:val="16"/>
                <w:szCs w:val="16"/>
                <w:lang w:eastAsia="en-GB"/>
              </w:rPr>
              <w:t>Using clinical observations selectively when assessing maternal postnatal GT, (E.g. deciding when and if to use observation of the perineum or palpation of the uterus.)</w:t>
            </w:r>
          </w:p>
        </w:tc>
        <w:tc>
          <w:tcPr>
            <w:tcW w:w="520" w:type="dxa"/>
            <w:tcBorders>
              <w:top w:val="single" w:sz="8" w:space="0" w:color="000000"/>
              <w:left w:val="single" w:sz="8" w:space="0" w:color="000000"/>
              <w:bottom w:val="single" w:sz="8" w:space="0" w:color="000000"/>
              <w:right w:val="single" w:sz="8" w:space="0" w:color="000000"/>
            </w:tcBorders>
            <w:shd w:val="clear" w:color="auto" w:fill="92D050"/>
          </w:tcPr>
          <w:p w14:paraId="1619BC2D"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16</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7454BE45"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9</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7214588C"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8" w:space="0" w:color="000000"/>
              <w:bottom w:val="single" w:sz="8" w:space="0" w:color="000000"/>
              <w:right w:val="single" w:sz="4" w:space="0" w:color="auto"/>
            </w:tcBorders>
            <w:shd w:val="clear" w:color="auto" w:fill="92D050"/>
          </w:tcPr>
          <w:p w14:paraId="1195D9E4"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4" w:space="0" w:color="auto"/>
              <w:bottom w:val="single" w:sz="8" w:space="0" w:color="000000"/>
              <w:right w:val="single" w:sz="8" w:space="0" w:color="000000"/>
            </w:tcBorders>
            <w:shd w:val="clear" w:color="auto" w:fill="92D050"/>
          </w:tcPr>
          <w:p w14:paraId="3CD4AA03"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9</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458B190B"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11 </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044CA0AE"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2</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0ABCD2FC"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08F6C1A0"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12</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7D6ED3D0"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9</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1FC0D7B6"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4420326A"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r>
      <w:tr w:rsidR="00A83A50" w14:paraId="2C106E68" w14:textId="77777777" w:rsidTr="00B55B30">
        <w:trPr>
          <w:trHeight w:val="586"/>
        </w:trPr>
        <w:tc>
          <w:tcPr>
            <w:tcW w:w="3071" w:type="dxa"/>
          </w:tcPr>
          <w:p w14:paraId="491990B4" w14:textId="77777777" w:rsidR="00BE5592" w:rsidRPr="0034369C" w:rsidRDefault="00BE5592" w:rsidP="0034369C">
            <w:pPr>
              <w:rPr>
                <w:noProof/>
                <w:sz w:val="16"/>
                <w:szCs w:val="16"/>
                <w:lang w:eastAsia="en-GB"/>
              </w:rPr>
            </w:pPr>
            <w:r w:rsidRPr="0034369C">
              <w:rPr>
                <w:noProof/>
                <w:sz w:val="16"/>
                <w:szCs w:val="16"/>
                <w:lang w:eastAsia="en-GB"/>
              </w:rPr>
              <w:t>Reviewing the genital tract assessment (GTA) of an individual woman on more than one occasion.(E.g. repeat postnatal visits)</w:t>
            </w:r>
          </w:p>
        </w:tc>
        <w:tc>
          <w:tcPr>
            <w:tcW w:w="520" w:type="dxa"/>
            <w:tcBorders>
              <w:top w:val="single" w:sz="8" w:space="0" w:color="000000"/>
              <w:left w:val="single" w:sz="8" w:space="0" w:color="000000"/>
              <w:bottom w:val="single" w:sz="8" w:space="0" w:color="000000"/>
              <w:right w:val="single" w:sz="8" w:space="0" w:color="000000"/>
            </w:tcBorders>
            <w:shd w:val="clear" w:color="auto" w:fill="92D050"/>
          </w:tcPr>
          <w:p w14:paraId="74D11344"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7 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13DD1BA8"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9 </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247AAA90"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8</w:t>
            </w:r>
          </w:p>
        </w:tc>
        <w:tc>
          <w:tcPr>
            <w:tcW w:w="521" w:type="dxa"/>
            <w:tcBorders>
              <w:top w:val="single" w:sz="8" w:space="0" w:color="000000"/>
              <w:left w:val="single" w:sz="8" w:space="0" w:color="000000"/>
              <w:bottom w:val="single" w:sz="8" w:space="0" w:color="000000"/>
              <w:right w:val="single" w:sz="4" w:space="0" w:color="auto"/>
            </w:tcBorders>
            <w:shd w:val="clear" w:color="auto" w:fill="FF0000"/>
          </w:tcPr>
          <w:p w14:paraId="10EE2870"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1 </w:t>
            </w:r>
          </w:p>
        </w:tc>
        <w:tc>
          <w:tcPr>
            <w:tcW w:w="521" w:type="dxa"/>
            <w:tcBorders>
              <w:top w:val="single" w:sz="8" w:space="0" w:color="000000"/>
              <w:left w:val="single" w:sz="4" w:space="0" w:color="auto"/>
              <w:bottom w:val="single" w:sz="8" w:space="0" w:color="000000"/>
              <w:right w:val="single" w:sz="8" w:space="0" w:color="000000"/>
            </w:tcBorders>
            <w:shd w:val="clear" w:color="auto" w:fill="92D050"/>
          </w:tcPr>
          <w:p w14:paraId="1B92072A"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7 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4C298BC2"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9</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70E35F79"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5</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5DD2A888"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759841BE"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9</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6D1F1C25"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10 </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5D8796AC"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2</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35AC3F98"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r>
      <w:tr w:rsidR="00A83A50" w14:paraId="1A58CD30" w14:textId="77777777" w:rsidTr="00B55B30">
        <w:trPr>
          <w:trHeight w:val="586"/>
        </w:trPr>
        <w:tc>
          <w:tcPr>
            <w:tcW w:w="3071" w:type="dxa"/>
          </w:tcPr>
          <w:p w14:paraId="0D684A80" w14:textId="77777777" w:rsidR="00BE5592" w:rsidRPr="0034369C" w:rsidRDefault="00BE5592" w:rsidP="0034369C">
            <w:pPr>
              <w:rPr>
                <w:noProof/>
                <w:sz w:val="16"/>
                <w:szCs w:val="16"/>
                <w:lang w:eastAsia="en-GB"/>
              </w:rPr>
            </w:pPr>
            <w:r w:rsidRPr="0034369C">
              <w:rPr>
                <w:noProof/>
                <w:sz w:val="16"/>
                <w:szCs w:val="16"/>
                <w:lang w:eastAsia="en-GB"/>
              </w:rPr>
              <w:t>Sharing information with women regarding their current and on-going GT health</w:t>
            </w:r>
          </w:p>
          <w:p w14:paraId="74FEC53F" w14:textId="77777777" w:rsidR="00BE5592" w:rsidRPr="0034369C" w:rsidRDefault="00BE5592" w:rsidP="0034369C">
            <w:pPr>
              <w:rPr>
                <w:noProof/>
                <w:sz w:val="16"/>
                <w:szCs w:val="16"/>
                <w:lang w:eastAsia="en-GB"/>
              </w:rPr>
            </w:pPr>
            <w:r w:rsidRPr="0034369C">
              <w:rPr>
                <w:noProof/>
                <w:sz w:val="16"/>
                <w:szCs w:val="16"/>
                <w:lang w:eastAsia="en-GB"/>
              </w:rPr>
              <w:t xml:space="preserve">(E.g. advice regarding analgesia and hygiene, what to report to health professionals).  </w:t>
            </w:r>
          </w:p>
        </w:tc>
        <w:tc>
          <w:tcPr>
            <w:tcW w:w="520" w:type="dxa"/>
            <w:tcBorders>
              <w:top w:val="single" w:sz="8" w:space="0" w:color="000000"/>
              <w:left w:val="single" w:sz="8" w:space="0" w:color="000000"/>
              <w:bottom w:val="single" w:sz="8" w:space="0" w:color="000000"/>
              <w:right w:val="single" w:sz="8" w:space="0" w:color="000000"/>
            </w:tcBorders>
            <w:shd w:val="clear" w:color="auto" w:fill="92D050"/>
          </w:tcPr>
          <w:p w14:paraId="6CE1FD4B"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16</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34BF0661"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8</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1F6492E1"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1</w:t>
            </w:r>
          </w:p>
        </w:tc>
        <w:tc>
          <w:tcPr>
            <w:tcW w:w="521" w:type="dxa"/>
            <w:tcBorders>
              <w:top w:val="single" w:sz="8" w:space="0" w:color="000000"/>
              <w:left w:val="single" w:sz="8" w:space="0" w:color="000000"/>
              <w:bottom w:val="single" w:sz="8" w:space="0" w:color="000000"/>
              <w:right w:val="single" w:sz="4" w:space="0" w:color="auto"/>
            </w:tcBorders>
            <w:shd w:val="clear" w:color="auto" w:fill="92D050"/>
          </w:tcPr>
          <w:p w14:paraId="70637AD5"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0</w:t>
            </w:r>
          </w:p>
        </w:tc>
        <w:tc>
          <w:tcPr>
            <w:tcW w:w="521" w:type="dxa"/>
            <w:tcBorders>
              <w:top w:val="single" w:sz="8" w:space="0" w:color="000000"/>
              <w:left w:val="single" w:sz="4" w:space="0" w:color="auto"/>
              <w:bottom w:val="single" w:sz="8" w:space="0" w:color="000000"/>
              <w:right w:val="single" w:sz="8" w:space="0" w:color="000000"/>
            </w:tcBorders>
            <w:shd w:val="clear" w:color="auto" w:fill="92D050"/>
          </w:tcPr>
          <w:p w14:paraId="336C26F4"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11</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571F35EE"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10 </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6364DCC0"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1</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2F75A42B"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4F27C71C"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 11</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440E4D92"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9 </w:t>
            </w:r>
          </w:p>
        </w:tc>
        <w:tc>
          <w:tcPr>
            <w:tcW w:w="521" w:type="dxa"/>
            <w:tcBorders>
              <w:top w:val="single" w:sz="8" w:space="0" w:color="000000"/>
              <w:left w:val="single" w:sz="8" w:space="0" w:color="000000"/>
              <w:bottom w:val="single" w:sz="8" w:space="0" w:color="000000"/>
              <w:right w:val="single" w:sz="8" w:space="0" w:color="000000"/>
            </w:tcBorders>
            <w:shd w:val="clear" w:color="auto" w:fill="FF0000"/>
          </w:tcPr>
          <w:p w14:paraId="73C2B00E" w14:textId="77777777" w:rsidR="00BE5592" w:rsidRPr="0034369C" w:rsidRDefault="00BE5592" w:rsidP="0034369C">
            <w:pPr>
              <w:pStyle w:val="NormalWeb"/>
              <w:spacing w:before="0" w:beforeAutospacing="0" w:after="0" w:afterAutospacing="0"/>
              <w:rPr>
                <w:rFonts w:ascii="Arial" w:hAnsi="Arial" w:cs="Arial"/>
                <w:sz w:val="16"/>
                <w:szCs w:val="16"/>
              </w:rPr>
            </w:pPr>
            <w:r w:rsidRPr="0034369C">
              <w:rPr>
                <w:rFonts w:ascii="Lucida Sans Unicode" w:hAnsi="Lucida Sans Unicode" w:cs="Lucida Sans Unicode"/>
                <w:color w:val="000000" w:themeColor="text1"/>
                <w:kern w:val="24"/>
                <w:sz w:val="16"/>
                <w:szCs w:val="16"/>
              </w:rPr>
              <w:t> 1</w:t>
            </w:r>
          </w:p>
        </w:tc>
        <w:tc>
          <w:tcPr>
            <w:tcW w:w="521" w:type="dxa"/>
            <w:tcBorders>
              <w:top w:val="single" w:sz="8" w:space="0" w:color="000000"/>
              <w:left w:val="single" w:sz="8" w:space="0" w:color="000000"/>
              <w:bottom w:val="single" w:sz="8" w:space="0" w:color="000000"/>
              <w:right w:val="single" w:sz="8" w:space="0" w:color="000000"/>
            </w:tcBorders>
            <w:shd w:val="clear" w:color="auto" w:fill="92D050"/>
          </w:tcPr>
          <w:p w14:paraId="0EE8F702" w14:textId="77777777" w:rsidR="00BE5592" w:rsidRPr="0034369C" w:rsidRDefault="00BE5592" w:rsidP="0034369C">
            <w:pPr>
              <w:pStyle w:val="NormalWeb"/>
              <w:spacing w:before="0" w:beforeAutospacing="0" w:after="0" w:afterAutospacing="0"/>
              <w:jc w:val="center"/>
              <w:rPr>
                <w:rFonts w:ascii="Arial" w:hAnsi="Arial" w:cs="Arial"/>
                <w:sz w:val="16"/>
                <w:szCs w:val="16"/>
              </w:rPr>
            </w:pPr>
            <w:r w:rsidRPr="0034369C">
              <w:rPr>
                <w:rFonts w:ascii="Lucida Sans Unicode" w:hAnsi="Lucida Sans Unicode" w:cs="Lucida Sans Unicode"/>
                <w:color w:val="000000" w:themeColor="text1"/>
                <w:kern w:val="24"/>
                <w:sz w:val="16"/>
                <w:szCs w:val="16"/>
              </w:rPr>
              <w:t>0 </w:t>
            </w:r>
          </w:p>
        </w:tc>
      </w:tr>
    </w:tbl>
    <w:p w14:paraId="6F530CB6" w14:textId="666C8DEB" w:rsidR="00650EB2" w:rsidRPr="00C03114" w:rsidRDefault="00A83A50" w:rsidP="00A83A50">
      <w:pPr>
        <w:spacing w:after="0" w:line="240" w:lineRule="auto"/>
      </w:pPr>
      <w:r w:rsidRPr="00BF22DE">
        <w:rPr>
          <w:b/>
          <w:noProof/>
          <w:u w:val="single"/>
          <w:lang w:eastAsia="en-GB"/>
        </w:rPr>
        <w:t>Table 3 Student Learning Opportunites and Confidence in GTA</w:t>
      </w:r>
    </w:p>
    <w:p w14:paraId="3D78F63A" w14:textId="772D5471" w:rsidR="00603C31" w:rsidRPr="00B72A97" w:rsidRDefault="00603C31" w:rsidP="00603C31">
      <w:pPr>
        <w:ind w:left="-567"/>
        <w:rPr>
          <w:b/>
          <w:color w:val="FF0000"/>
          <w:u w:val="single"/>
        </w:rPr>
      </w:pPr>
    </w:p>
    <w:tbl>
      <w:tblPr>
        <w:tblW w:w="9356" w:type="dxa"/>
        <w:tblInd w:w="-152" w:type="dxa"/>
        <w:tblLayout w:type="fixed"/>
        <w:tblCellMar>
          <w:left w:w="0" w:type="dxa"/>
          <w:right w:w="0" w:type="dxa"/>
        </w:tblCellMar>
        <w:tblLook w:val="04A0" w:firstRow="1" w:lastRow="0" w:firstColumn="1" w:lastColumn="0" w:noHBand="0" w:noVBand="1"/>
      </w:tblPr>
      <w:tblGrid>
        <w:gridCol w:w="4820"/>
        <w:gridCol w:w="1162"/>
        <w:gridCol w:w="1162"/>
        <w:gridCol w:w="1162"/>
        <w:gridCol w:w="1050"/>
      </w:tblGrid>
      <w:tr w:rsidR="00603C31" w:rsidRPr="00142C86" w14:paraId="025F7092" w14:textId="77777777" w:rsidTr="00D5016E">
        <w:trPr>
          <w:trHeight w:val="1212"/>
        </w:trPr>
        <w:tc>
          <w:tcPr>
            <w:tcW w:w="4820" w:type="dxa"/>
            <w:tcBorders>
              <w:top w:val="single" w:sz="8" w:space="0" w:color="000000"/>
              <w:left w:val="single" w:sz="8" w:space="0" w:color="000000"/>
              <w:bottom w:val="single" w:sz="8" w:space="0" w:color="000000"/>
              <w:right w:val="single" w:sz="8" w:space="0" w:color="000000"/>
            </w:tcBorders>
            <w:shd w:val="clear" w:color="auto" w:fill="1FAECD"/>
            <w:tcMar>
              <w:top w:w="79" w:type="dxa"/>
              <w:left w:w="100" w:type="dxa"/>
              <w:bottom w:w="79" w:type="dxa"/>
              <w:right w:w="100" w:type="dxa"/>
            </w:tcMar>
            <w:vAlign w:val="bottom"/>
            <w:hideMark/>
          </w:tcPr>
          <w:p w14:paraId="648AE888" w14:textId="77777777" w:rsidR="00603C31" w:rsidRPr="0034369C" w:rsidRDefault="00603C31" w:rsidP="00705252">
            <w:pPr>
              <w:rPr>
                <w:sz w:val="16"/>
                <w:szCs w:val="16"/>
              </w:rPr>
            </w:pPr>
            <w:r w:rsidRPr="0034369C">
              <w:rPr>
                <w:sz w:val="16"/>
                <w:szCs w:val="16"/>
              </w:rPr>
              <w:t xml:space="preserve">I feel the following factors have </w:t>
            </w:r>
            <w:r w:rsidRPr="0034369C">
              <w:rPr>
                <w:b/>
                <w:sz w:val="16"/>
                <w:szCs w:val="16"/>
                <w:u w:val="single"/>
              </w:rPr>
              <w:t>positively</w:t>
            </w:r>
            <w:r w:rsidRPr="0034369C">
              <w:rPr>
                <w:sz w:val="16"/>
                <w:szCs w:val="16"/>
              </w:rPr>
              <w:t xml:space="preserve"> influenced  my ability to undertake maternal genital tract assessment:</w:t>
            </w:r>
          </w:p>
        </w:tc>
        <w:tc>
          <w:tcPr>
            <w:tcW w:w="1162" w:type="dxa"/>
            <w:tcBorders>
              <w:top w:val="single" w:sz="8" w:space="0" w:color="000000"/>
              <w:left w:val="single" w:sz="8" w:space="0" w:color="000000"/>
              <w:bottom w:val="single" w:sz="8" w:space="0" w:color="000000"/>
              <w:right w:val="single" w:sz="8" w:space="0" w:color="000000"/>
            </w:tcBorders>
            <w:shd w:val="clear" w:color="auto" w:fill="1FAECD"/>
            <w:tcMar>
              <w:top w:w="79" w:type="dxa"/>
              <w:left w:w="100" w:type="dxa"/>
              <w:bottom w:w="79" w:type="dxa"/>
              <w:right w:w="100" w:type="dxa"/>
            </w:tcMar>
            <w:textDirection w:val="btLr"/>
            <w:hideMark/>
          </w:tcPr>
          <w:p w14:paraId="4007A4F7" w14:textId="77777777" w:rsidR="00603C31" w:rsidRPr="0034369C" w:rsidRDefault="00603C31" w:rsidP="00705252">
            <w:pPr>
              <w:rPr>
                <w:sz w:val="16"/>
                <w:szCs w:val="16"/>
              </w:rPr>
            </w:pPr>
            <w:r w:rsidRPr="0034369C">
              <w:rPr>
                <w:sz w:val="16"/>
                <w:szCs w:val="16"/>
              </w:rPr>
              <w:t>Strongly agree</w:t>
            </w:r>
          </w:p>
        </w:tc>
        <w:tc>
          <w:tcPr>
            <w:tcW w:w="1162" w:type="dxa"/>
            <w:tcBorders>
              <w:top w:val="single" w:sz="8" w:space="0" w:color="000000"/>
              <w:left w:val="single" w:sz="8" w:space="0" w:color="000000"/>
              <w:bottom w:val="single" w:sz="8" w:space="0" w:color="000000"/>
              <w:right w:val="single" w:sz="8" w:space="0" w:color="000000"/>
            </w:tcBorders>
            <w:shd w:val="clear" w:color="auto" w:fill="1FAECD"/>
            <w:tcMar>
              <w:top w:w="79" w:type="dxa"/>
              <w:left w:w="100" w:type="dxa"/>
              <w:bottom w:w="79" w:type="dxa"/>
              <w:right w:w="100" w:type="dxa"/>
            </w:tcMar>
            <w:textDirection w:val="btLr"/>
            <w:hideMark/>
          </w:tcPr>
          <w:p w14:paraId="00505F5E" w14:textId="77777777" w:rsidR="00603C31" w:rsidRPr="0034369C" w:rsidRDefault="00603C31" w:rsidP="00705252">
            <w:pPr>
              <w:rPr>
                <w:sz w:val="16"/>
                <w:szCs w:val="16"/>
              </w:rPr>
            </w:pPr>
            <w:r w:rsidRPr="0034369C">
              <w:rPr>
                <w:sz w:val="16"/>
                <w:szCs w:val="16"/>
              </w:rPr>
              <w:t>Agree</w:t>
            </w:r>
          </w:p>
        </w:tc>
        <w:tc>
          <w:tcPr>
            <w:tcW w:w="1162" w:type="dxa"/>
            <w:tcBorders>
              <w:top w:val="single" w:sz="8" w:space="0" w:color="000000"/>
              <w:left w:val="single" w:sz="8" w:space="0" w:color="000000"/>
              <w:bottom w:val="single" w:sz="8" w:space="0" w:color="000000"/>
              <w:right w:val="single" w:sz="8" w:space="0" w:color="000000"/>
            </w:tcBorders>
            <w:shd w:val="clear" w:color="auto" w:fill="1FAECD"/>
            <w:tcMar>
              <w:top w:w="79" w:type="dxa"/>
              <w:left w:w="100" w:type="dxa"/>
              <w:bottom w:w="79" w:type="dxa"/>
              <w:right w:w="100" w:type="dxa"/>
            </w:tcMar>
            <w:textDirection w:val="btLr"/>
            <w:hideMark/>
          </w:tcPr>
          <w:p w14:paraId="26673F24" w14:textId="77777777" w:rsidR="00603C31" w:rsidRPr="0034369C" w:rsidRDefault="00603C31" w:rsidP="00705252">
            <w:pPr>
              <w:rPr>
                <w:sz w:val="16"/>
                <w:szCs w:val="16"/>
              </w:rPr>
            </w:pPr>
            <w:r w:rsidRPr="0034369C">
              <w:rPr>
                <w:sz w:val="16"/>
                <w:szCs w:val="16"/>
              </w:rPr>
              <w:t>Disagree</w:t>
            </w:r>
          </w:p>
        </w:tc>
        <w:tc>
          <w:tcPr>
            <w:tcW w:w="1050" w:type="dxa"/>
            <w:tcBorders>
              <w:top w:val="single" w:sz="8" w:space="0" w:color="000000"/>
              <w:left w:val="single" w:sz="8" w:space="0" w:color="000000"/>
              <w:bottom w:val="single" w:sz="8" w:space="0" w:color="000000"/>
              <w:right w:val="single" w:sz="8" w:space="0" w:color="000000"/>
            </w:tcBorders>
            <w:shd w:val="clear" w:color="auto" w:fill="1FAECD"/>
            <w:tcMar>
              <w:top w:w="79" w:type="dxa"/>
              <w:left w:w="100" w:type="dxa"/>
              <w:bottom w:w="79" w:type="dxa"/>
              <w:right w:w="100" w:type="dxa"/>
            </w:tcMar>
            <w:textDirection w:val="btLr"/>
            <w:hideMark/>
          </w:tcPr>
          <w:p w14:paraId="61EDFF13" w14:textId="77777777" w:rsidR="00603C31" w:rsidRPr="0034369C" w:rsidRDefault="00603C31" w:rsidP="00705252">
            <w:pPr>
              <w:rPr>
                <w:sz w:val="16"/>
                <w:szCs w:val="16"/>
              </w:rPr>
            </w:pPr>
            <w:r w:rsidRPr="0034369C">
              <w:rPr>
                <w:sz w:val="16"/>
                <w:szCs w:val="16"/>
              </w:rPr>
              <w:t>Strongly disagree</w:t>
            </w:r>
          </w:p>
        </w:tc>
      </w:tr>
      <w:tr w:rsidR="00603C31" w:rsidRPr="00142C86" w14:paraId="5252173C" w14:textId="77777777" w:rsidTr="009F0AEE">
        <w:trPr>
          <w:trHeight w:val="332"/>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79" w:type="dxa"/>
              <w:left w:w="100" w:type="dxa"/>
              <w:bottom w:w="79" w:type="dxa"/>
              <w:right w:w="100" w:type="dxa"/>
            </w:tcMar>
            <w:hideMark/>
          </w:tcPr>
          <w:p w14:paraId="226E3D66" w14:textId="77777777" w:rsidR="00603C31" w:rsidRPr="0034369C" w:rsidRDefault="00603C31" w:rsidP="0034369C">
            <w:pPr>
              <w:spacing w:after="0" w:line="240" w:lineRule="auto"/>
              <w:rPr>
                <w:sz w:val="16"/>
                <w:szCs w:val="16"/>
              </w:rPr>
            </w:pPr>
            <w:r w:rsidRPr="0034369C">
              <w:rPr>
                <w:sz w:val="16"/>
                <w:szCs w:val="16"/>
              </w:rPr>
              <w:t>The location of postnatal service delivery (E.g. hospital, clinic, home visiting)</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7A3639E9" w14:textId="77777777" w:rsidR="00603C31" w:rsidRPr="0034369C" w:rsidRDefault="00603C31" w:rsidP="0034369C">
            <w:pPr>
              <w:spacing w:after="0" w:line="240" w:lineRule="auto"/>
              <w:rPr>
                <w:sz w:val="16"/>
                <w:szCs w:val="16"/>
              </w:rPr>
            </w:pPr>
            <w:r w:rsidRPr="0034369C">
              <w:rPr>
                <w:sz w:val="16"/>
                <w:szCs w:val="16"/>
              </w:rPr>
              <w:t>5 </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0D5897E8" w14:textId="77777777" w:rsidR="00603C31" w:rsidRPr="0034369C" w:rsidRDefault="00603C31" w:rsidP="0034369C">
            <w:pPr>
              <w:spacing w:after="0" w:line="240" w:lineRule="auto"/>
              <w:rPr>
                <w:sz w:val="16"/>
                <w:szCs w:val="16"/>
              </w:rPr>
            </w:pPr>
            <w:r w:rsidRPr="0034369C">
              <w:rPr>
                <w:sz w:val="16"/>
                <w:szCs w:val="16"/>
              </w:rPr>
              <w:t>11 </w:t>
            </w:r>
          </w:p>
        </w:tc>
        <w:tc>
          <w:tcPr>
            <w:tcW w:w="1162" w:type="dxa"/>
            <w:tcBorders>
              <w:top w:val="single" w:sz="8" w:space="0" w:color="000000"/>
              <w:left w:val="single" w:sz="8" w:space="0" w:color="000000"/>
              <w:bottom w:val="single" w:sz="8" w:space="0" w:color="000000"/>
              <w:right w:val="single" w:sz="8" w:space="0" w:color="000000"/>
            </w:tcBorders>
            <w:shd w:val="clear" w:color="auto" w:fill="FF0000"/>
            <w:tcMar>
              <w:top w:w="79" w:type="dxa"/>
              <w:left w:w="100" w:type="dxa"/>
              <w:bottom w:w="79" w:type="dxa"/>
              <w:right w:w="100" w:type="dxa"/>
            </w:tcMar>
            <w:hideMark/>
          </w:tcPr>
          <w:p w14:paraId="1AC8674A" w14:textId="77777777" w:rsidR="00603C31" w:rsidRPr="0034369C" w:rsidRDefault="00603C31" w:rsidP="0034369C">
            <w:pPr>
              <w:spacing w:after="0" w:line="240" w:lineRule="auto"/>
              <w:rPr>
                <w:sz w:val="16"/>
                <w:szCs w:val="16"/>
              </w:rPr>
            </w:pPr>
            <w:r w:rsidRPr="0034369C">
              <w:rPr>
                <w:sz w:val="16"/>
                <w:szCs w:val="16"/>
              </w:rPr>
              <w:t>4 </w:t>
            </w:r>
          </w:p>
        </w:tc>
        <w:tc>
          <w:tcPr>
            <w:tcW w:w="1050" w:type="dxa"/>
            <w:tcBorders>
              <w:top w:val="single" w:sz="8" w:space="0" w:color="000000"/>
              <w:left w:val="single" w:sz="8" w:space="0" w:color="000000"/>
              <w:bottom w:val="single" w:sz="8" w:space="0" w:color="000000"/>
              <w:right w:val="single" w:sz="8" w:space="0" w:color="000000"/>
            </w:tcBorders>
            <w:shd w:val="clear" w:color="auto" w:fill="FF0000"/>
            <w:tcMar>
              <w:top w:w="79" w:type="dxa"/>
              <w:left w:w="100" w:type="dxa"/>
              <w:bottom w:w="79" w:type="dxa"/>
              <w:right w:w="100" w:type="dxa"/>
            </w:tcMar>
            <w:hideMark/>
          </w:tcPr>
          <w:p w14:paraId="152F4AB7" w14:textId="77777777" w:rsidR="00603C31" w:rsidRPr="0034369C" w:rsidRDefault="00603C31" w:rsidP="0034369C">
            <w:pPr>
              <w:spacing w:after="0" w:line="240" w:lineRule="auto"/>
              <w:rPr>
                <w:sz w:val="16"/>
                <w:szCs w:val="16"/>
              </w:rPr>
            </w:pPr>
            <w:r w:rsidRPr="0034369C">
              <w:rPr>
                <w:sz w:val="16"/>
                <w:szCs w:val="16"/>
              </w:rPr>
              <w:t>1 </w:t>
            </w:r>
          </w:p>
        </w:tc>
      </w:tr>
      <w:tr w:rsidR="00603C31" w:rsidRPr="00142C86" w14:paraId="22BA750A" w14:textId="77777777" w:rsidTr="009F0AEE">
        <w:trPr>
          <w:trHeight w:val="354"/>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79" w:type="dxa"/>
              <w:left w:w="100" w:type="dxa"/>
              <w:bottom w:w="79" w:type="dxa"/>
              <w:right w:w="100" w:type="dxa"/>
            </w:tcMar>
            <w:hideMark/>
          </w:tcPr>
          <w:p w14:paraId="325240F3" w14:textId="77777777" w:rsidR="00603C31" w:rsidRPr="0034369C" w:rsidRDefault="00603C31" w:rsidP="0034369C">
            <w:pPr>
              <w:spacing w:after="0" w:line="240" w:lineRule="auto"/>
              <w:rPr>
                <w:sz w:val="16"/>
                <w:szCs w:val="16"/>
              </w:rPr>
            </w:pPr>
            <w:r w:rsidRPr="0034369C">
              <w:rPr>
                <w:sz w:val="16"/>
                <w:szCs w:val="16"/>
              </w:rPr>
              <w:t>The schedule of postnatal assessments (E.g. 3 visits versus 5 visits over a 10 day period.)</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18927030" w14:textId="77777777" w:rsidR="00603C31" w:rsidRPr="0034369C" w:rsidRDefault="00603C31" w:rsidP="0034369C">
            <w:pPr>
              <w:spacing w:after="0" w:line="240" w:lineRule="auto"/>
              <w:rPr>
                <w:sz w:val="16"/>
                <w:szCs w:val="16"/>
              </w:rPr>
            </w:pPr>
            <w:r w:rsidRPr="0034369C">
              <w:rPr>
                <w:sz w:val="16"/>
                <w:szCs w:val="16"/>
              </w:rPr>
              <w:t>2 </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44E6A6F9" w14:textId="77777777" w:rsidR="00603C31" w:rsidRPr="0034369C" w:rsidRDefault="00603C31" w:rsidP="0034369C">
            <w:pPr>
              <w:spacing w:after="0" w:line="240" w:lineRule="auto"/>
              <w:rPr>
                <w:sz w:val="16"/>
                <w:szCs w:val="16"/>
              </w:rPr>
            </w:pPr>
            <w:r w:rsidRPr="0034369C">
              <w:rPr>
                <w:sz w:val="16"/>
                <w:szCs w:val="16"/>
              </w:rPr>
              <w:t>9 </w:t>
            </w:r>
          </w:p>
        </w:tc>
        <w:tc>
          <w:tcPr>
            <w:tcW w:w="1162" w:type="dxa"/>
            <w:tcBorders>
              <w:top w:val="single" w:sz="8" w:space="0" w:color="000000"/>
              <w:left w:val="single" w:sz="8" w:space="0" w:color="000000"/>
              <w:bottom w:val="single" w:sz="8" w:space="0" w:color="000000"/>
              <w:right w:val="single" w:sz="8" w:space="0" w:color="000000"/>
            </w:tcBorders>
            <w:shd w:val="clear" w:color="auto" w:fill="FF0000"/>
            <w:tcMar>
              <w:top w:w="79" w:type="dxa"/>
              <w:left w:w="100" w:type="dxa"/>
              <w:bottom w:w="79" w:type="dxa"/>
              <w:right w:w="100" w:type="dxa"/>
            </w:tcMar>
            <w:hideMark/>
          </w:tcPr>
          <w:p w14:paraId="5FA06783" w14:textId="77777777" w:rsidR="00603C31" w:rsidRPr="0034369C" w:rsidRDefault="00603C31" w:rsidP="0034369C">
            <w:pPr>
              <w:spacing w:after="0" w:line="240" w:lineRule="auto"/>
              <w:rPr>
                <w:sz w:val="16"/>
                <w:szCs w:val="16"/>
              </w:rPr>
            </w:pPr>
            <w:r w:rsidRPr="0034369C">
              <w:rPr>
                <w:sz w:val="16"/>
                <w:szCs w:val="16"/>
              </w:rPr>
              <w:t>9 </w:t>
            </w:r>
          </w:p>
        </w:tc>
        <w:tc>
          <w:tcPr>
            <w:tcW w:w="1050" w:type="dxa"/>
            <w:tcBorders>
              <w:top w:val="single" w:sz="8" w:space="0" w:color="000000"/>
              <w:left w:val="single" w:sz="8" w:space="0" w:color="000000"/>
              <w:bottom w:val="single" w:sz="8" w:space="0" w:color="000000"/>
              <w:right w:val="single" w:sz="8" w:space="0" w:color="000000"/>
            </w:tcBorders>
            <w:shd w:val="clear" w:color="auto" w:fill="FF0000"/>
            <w:tcMar>
              <w:top w:w="79" w:type="dxa"/>
              <w:left w:w="100" w:type="dxa"/>
              <w:bottom w:w="79" w:type="dxa"/>
              <w:right w:w="100" w:type="dxa"/>
            </w:tcMar>
            <w:hideMark/>
          </w:tcPr>
          <w:p w14:paraId="27AFEA41" w14:textId="77777777" w:rsidR="00603C31" w:rsidRPr="0034369C" w:rsidRDefault="00603C31" w:rsidP="0034369C">
            <w:pPr>
              <w:spacing w:after="0" w:line="240" w:lineRule="auto"/>
              <w:rPr>
                <w:sz w:val="16"/>
                <w:szCs w:val="16"/>
              </w:rPr>
            </w:pPr>
            <w:r w:rsidRPr="0034369C">
              <w:rPr>
                <w:sz w:val="16"/>
                <w:szCs w:val="16"/>
              </w:rPr>
              <w:t>1 </w:t>
            </w:r>
          </w:p>
        </w:tc>
      </w:tr>
      <w:tr w:rsidR="00603C31" w:rsidRPr="00142C86" w14:paraId="2C9C5961" w14:textId="77777777" w:rsidTr="009F0AEE">
        <w:trPr>
          <w:trHeight w:val="234"/>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79" w:type="dxa"/>
              <w:left w:w="100" w:type="dxa"/>
              <w:bottom w:w="79" w:type="dxa"/>
              <w:right w:w="100" w:type="dxa"/>
            </w:tcMar>
            <w:hideMark/>
          </w:tcPr>
          <w:p w14:paraId="6628C7AA" w14:textId="77777777" w:rsidR="00603C31" w:rsidRPr="0034369C" w:rsidRDefault="00603C31" w:rsidP="0034369C">
            <w:pPr>
              <w:spacing w:after="0" w:line="240" w:lineRule="auto"/>
              <w:rPr>
                <w:sz w:val="16"/>
                <w:szCs w:val="16"/>
              </w:rPr>
            </w:pPr>
            <w:r w:rsidRPr="0034369C">
              <w:rPr>
                <w:sz w:val="16"/>
                <w:szCs w:val="16"/>
              </w:rPr>
              <w:t>The time available for postnatal assessments for individual women</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4580A617" w14:textId="77777777" w:rsidR="00603C31" w:rsidRPr="0034369C" w:rsidRDefault="00603C31" w:rsidP="0034369C">
            <w:pPr>
              <w:spacing w:after="0" w:line="240" w:lineRule="auto"/>
              <w:rPr>
                <w:sz w:val="16"/>
                <w:szCs w:val="16"/>
              </w:rPr>
            </w:pPr>
            <w:r w:rsidRPr="0034369C">
              <w:rPr>
                <w:sz w:val="16"/>
                <w:szCs w:val="16"/>
              </w:rPr>
              <w:t> 2</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73709852" w14:textId="77777777" w:rsidR="00603C31" w:rsidRPr="0034369C" w:rsidRDefault="00603C31" w:rsidP="0034369C">
            <w:pPr>
              <w:spacing w:after="0" w:line="240" w:lineRule="auto"/>
              <w:rPr>
                <w:sz w:val="16"/>
                <w:szCs w:val="16"/>
              </w:rPr>
            </w:pPr>
            <w:r w:rsidRPr="0034369C">
              <w:rPr>
                <w:sz w:val="16"/>
                <w:szCs w:val="16"/>
              </w:rPr>
              <w:t>6 </w:t>
            </w:r>
          </w:p>
        </w:tc>
        <w:tc>
          <w:tcPr>
            <w:tcW w:w="1162" w:type="dxa"/>
            <w:tcBorders>
              <w:top w:val="single" w:sz="8" w:space="0" w:color="000000"/>
              <w:left w:val="single" w:sz="8" w:space="0" w:color="000000"/>
              <w:bottom w:val="single" w:sz="8" w:space="0" w:color="000000"/>
              <w:right w:val="single" w:sz="8" w:space="0" w:color="000000"/>
            </w:tcBorders>
            <w:shd w:val="clear" w:color="auto" w:fill="FF0000"/>
            <w:tcMar>
              <w:top w:w="79" w:type="dxa"/>
              <w:left w:w="100" w:type="dxa"/>
              <w:bottom w:w="79" w:type="dxa"/>
              <w:right w:w="100" w:type="dxa"/>
            </w:tcMar>
            <w:hideMark/>
          </w:tcPr>
          <w:p w14:paraId="41906512" w14:textId="77777777" w:rsidR="00603C31" w:rsidRPr="0034369C" w:rsidRDefault="00603C31" w:rsidP="0034369C">
            <w:pPr>
              <w:spacing w:after="0" w:line="240" w:lineRule="auto"/>
              <w:rPr>
                <w:sz w:val="16"/>
                <w:szCs w:val="16"/>
              </w:rPr>
            </w:pPr>
            <w:r w:rsidRPr="0034369C">
              <w:rPr>
                <w:sz w:val="16"/>
                <w:szCs w:val="16"/>
              </w:rPr>
              <w:t> 12</w:t>
            </w:r>
          </w:p>
        </w:tc>
        <w:tc>
          <w:tcPr>
            <w:tcW w:w="1050" w:type="dxa"/>
            <w:tcBorders>
              <w:top w:val="single" w:sz="8" w:space="0" w:color="000000"/>
              <w:left w:val="single" w:sz="8" w:space="0" w:color="000000"/>
              <w:bottom w:val="single" w:sz="8" w:space="0" w:color="000000"/>
              <w:right w:val="single" w:sz="8" w:space="0" w:color="000000"/>
            </w:tcBorders>
            <w:shd w:val="clear" w:color="auto" w:fill="FF0000"/>
            <w:tcMar>
              <w:top w:w="79" w:type="dxa"/>
              <w:left w:w="100" w:type="dxa"/>
              <w:bottom w:w="79" w:type="dxa"/>
              <w:right w:w="100" w:type="dxa"/>
            </w:tcMar>
            <w:hideMark/>
          </w:tcPr>
          <w:p w14:paraId="5B8230F0" w14:textId="77777777" w:rsidR="00603C31" w:rsidRPr="0034369C" w:rsidRDefault="00603C31" w:rsidP="0034369C">
            <w:pPr>
              <w:spacing w:after="0" w:line="240" w:lineRule="auto"/>
              <w:rPr>
                <w:sz w:val="16"/>
                <w:szCs w:val="16"/>
              </w:rPr>
            </w:pPr>
            <w:r w:rsidRPr="0034369C">
              <w:rPr>
                <w:sz w:val="16"/>
                <w:szCs w:val="16"/>
              </w:rPr>
              <w:t>1 </w:t>
            </w:r>
          </w:p>
        </w:tc>
      </w:tr>
      <w:tr w:rsidR="00603C31" w:rsidRPr="00142C86" w14:paraId="19E60421" w14:textId="77777777" w:rsidTr="009F0AEE">
        <w:trPr>
          <w:trHeight w:val="256"/>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79" w:type="dxa"/>
              <w:left w:w="100" w:type="dxa"/>
              <w:bottom w:w="79" w:type="dxa"/>
              <w:right w:w="100" w:type="dxa"/>
            </w:tcMar>
            <w:hideMark/>
          </w:tcPr>
          <w:p w14:paraId="051DB130" w14:textId="77777777" w:rsidR="00603C31" w:rsidRPr="0034369C" w:rsidRDefault="00603C31" w:rsidP="0034369C">
            <w:pPr>
              <w:spacing w:after="0" w:line="240" w:lineRule="auto"/>
              <w:rPr>
                <w:sz w:val="16"/>
                <w:szCs w:val="16"/>
              </w:rPr>
            </w:pPr>
            <w:r w:rsidRPr="0034369C">
              <w:rPr>
                <w:sz w:val="16"/>
                <w:szCs w:val="16"/>
              </w:rPr>
              <w:t>The emphasis placed on postnatal genital tract assessment by practice mentors </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5F2334D5" w14:textId="77777777" w:rsidR="00603C31" w:rsidRPr="0034369C" w:rsidRDefault="00603C31" w:rsidP="0034369C">
            <w:pPr>
              <w:spacing w:after="0" w:line="240" w:lineRule="auto"/>
              <w:rPr>
                <w:sz w:val="16"/>
                <w:szCs w:val="16"/>
              </w:rPr>
            </w:pPr>
            <w:r w:rsidRPr="0034369C">
              <w:rPr>
                <w:sz w:val="16"/>
                <w:szCs w:val="16"/>
              </w:rPr>
              <w:t>3 </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64AECAA2" w14:textId="77777777" w:rsidR="00603C31" w:rsidRPr="0034369C" w:rsidRDefault="00603C31" w:rsidP="0034369C">
            <w:pPr>
              <w:spacing w:after="0" w:line="240" w:lineRule="auto"/>
              <w:rPr>
                <w:sz w:val="16"/>
                <w:szCs w:val="16"/>
              </w:rPr>
            </w:pPr>
            <w:r w:rsidRPr="0034369C">
              <w:rPr>
                <w:sz w:val="16"/>
                <w:szCs w:val="16"/>
              </w:rPr>
              <w:t>11 </w:t>
            </w:r>
          </w:p>
        </w:tc>
        <w:tc>
          <w:tcPr>
            <w:tcW w:w="1162" w:type="dxa"/>
            <w:tcBorders>
              <w:top w:val="single" w:sz="8" w:space="0" w:color="000000"/>
              <w:left w:val="single" w:sz="8" w:space="0" w:color="000000"/>
              <w:bottom w:val="single" w:sz="8" w:space="0" w:color="000000"/>
              <w:right w:val="single" w:sz="8" w:space="0" w:color="000000"/>
            </w:tcBorders>
            <w:shd w:val="clear" w:color="auto" w:fill="FF0000"/>
            <w:tcMar>
              <w:top w:w="79" w:type="dxa"/>
              <w:left w:w="100" w:type="dxa"/>
              <w:bottom w:w="79" w:type="dxa"/>
              <w:right w:w="100" w:type="dxa"/>
            </w:tcMar>
            <w:hideMark/>
          </w:tcPr>
          <w:p w14:paraId="20A0A157" w14:textId="77777777" w:rsidR="00603C31" w:rsidRPr="0034369C" w:rsidRDefault="00603C31" w:rsidP="0034369C">
            <w:pPr>
              <w:spacing w:after="0" w:line="240" w:lineRule="auto"/>
              <w:rPr>
                <w:sz w:val="16"/>
                <w:szCs w:val="16"/>
              </w:rPr>
            </w:pPr>
            <w:r w:rsidRPr="0034369C">
              <w:rPr>
                <w:sz w:val="16"/>
                <w:szCs w:val="16"/>
              </w:rPr>
              <w:t> 5</w:t>
            </w:r>
          </w:p>
        </w:tc>
        <w:tc>
          <w:tcPr>
            <w:tcW w:w="1050" w:type="dxa"/>
            <w:tcBorders>
              <w:top w:val="single" w:sz="8" w:space="0" w:color="000000"/>
              <w:left w:val="single" w:sz="8" w:space="0" w:color="000000"/>
              <w:bottom w:val="single" w:sz="8" w:space="0" w:color="000000"/>
              <w:right w:val="single" w:sz="8" w:space="0" w:color="000000"/>
            </w:tcBorders>
            <w:shd w:val="clear" w:color="auto" w:fill="FF0000"/>
            <w:tcMar>
              <w:top w:w="79" w:type="dxa"/>
              <w:left w:w="100" w:type="dxa"/>
              <w:bottom w:w="79" w:type="dxa"/>
              <w:right w:w="100" w:type="dxa"/>
            </w:tcMar>
            <w:hideMark/>
          </w:tcPr>
          <w:p w14:paraId="4D5A3D14" w14:textId="77777777" w:rsidR="00603C31" w:rsidRPr="0034369C" w:rsidRDefault="00603C31" w:rsidP="0034369C">
            <w:pPr>
              <w:spacing w:after="0" w:line="240" w:lineRule="auto"/>
              <w:rPr>
                <w:sz w:val="16"/>
                <w:szCs w:val="16"/>
              </w:rPr>
            </w:pPr>
            <w:r w:rsidRPr="0034369C">
              <w:rPr>
                <w:sz w:val="16"/>
                <w:szCs w:val="16"/>
              </w:rPr>
              <w:t>2 </w:t>
            </w:r>
          </w:p>
        </w:tc>
      </w:tr>
      <w:tr w:rsidR="00603C31" w:rsidRPr="00142C86" w14:paraId="2C36710E" w14:textId="77777777" w:rsidTr="009F0AEE">
        <w:trPr>
          <w:trHeight w:val="136"/>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79" w:type="dxa"/>
              <w:left w:w="100" w:type="dxa"/>
              <w:bottom w:w="79" w:type="dxa"/>
              <w:right w:w="100" w:type="dxa"/>
            </w:tcMar>
            <w:hideMark/>
          </w:tcPr>
          <w:p w14:paraId="283933FE" w14:textId="77777777" w:rsidR="00603C31" w:rsidRPr="0034369C" w:rsidRDefault="00603C31" w:rsidP="0034369C">
            <w:pPr>
              <w:spacing w:after="0" w:line="240" w:lineRule="auto"/>
              <w:rPr>
                <w:sz w:val="16"/>
                <w:szCs w:val="16"/>
              </w:rPr>
            </w:pPr>
            <w:r w:rsidRPr="0034369C">
              <w:rPr>
                <w:sz w:val="16"/>
                <w:szCs w:val="16"/>
              </w:rPr>
              <w:t>The emphasis placed on postnatal genital tract assessment by university lecturers</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358C4E1F" w14:textId="77777777" w:rsidR="00603C31" w:rsidRPr="0034369C" w:rsidRDefault="00603C31" w:rsidP="0034369C">
            <w:pPr>
              <w:spacing w:after="0" w:line="240" w:lineRule="auto"/>
              <w:rPr>
                <w:sz w:val="16"/>
                <w:szCs w:val="16"/>
              </w:rPr>
            </w:pPr>
            <w:r w:rsidRPr="0034369C">
              <w:rPr>
                <w:sz w:val="16"/>
                <w:szCs w:val="16"/>
              </w:rPr>
              <w:t> 7</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629DD39A" w14:textId="77777777" w:rsidR="00603C31" w:rsidRPr="0034369C" w:rsidRDefault="00603C31" w:rsidP="0034369C">
            <w:pPr>
              <w:spacing w:after="0" w:line="240" w:lineRule="auto"/>
              <w:rPr>
                <w:sz w:val="16"/>
                <w:szCs w:val="16"/>
              </w:rPr>
            </w:pPr>
            <w:r w:rsidRPr="0034369C">
              <w:rPr>
                <w:sz w:val="16"/>
                <w:szCs w:val="16"/>
              </w:rPr>
              <w:t>12 </w:t>
            </w:r>
          </w:p>
        </w:tc>
        <w:tc>
          <w:tcPr>
            <w:tcW w:w="1162" w:type="dxa"/>
            <w:tcBorders>
              <w:top w:val="single" w:sz="8" w:space="0" w:color="000000"/>
              <w:left w:val="single" w:sz="8" w:space="0" w:color="000000"/>
              <w:bottom w:val="single" w:sz="8" w:space="0" w:color="000000"/>
              <w:right w:val="single" w:sz="8" w:space="0" w:color="000000"/>
            </w:tcBorders>
            <w:shd w:val="clear" w:color="auto" w:fill="FF0000"/>
            <w:tcMar>
              <w:top w:w="79" w:type="dxa"/>
              <w:left w:w="100" w:type="dxa"/>
              <w:bottom w:w="79" w:type="dxa"/>
              <w:right w:w="100" w:type="dxa"/>
            </w:tcMar>
            <w:hideMark/>
          </w:tcPr>
          <w:p w14:paraId="5BCB9AB4" w14:textId="77777777" w:rsidR="00603C31" w:rsidRPr="0034369C" w:rsidRDefault="00603C31" w:rsidP="0034369C">
            <w:pPr>
              <w:spacing w:after="0" w:line="240" w:lineRule="auto"/>
              <w:rPr>
                <w:sz w:val="16"/>
                <w:szCs w:val="16"/>
              </w:rPr>
            </w:pPr>
            <w:r w:rsidRPr="0034369C">
              <w:rPr>
                <w:sz w:val="16"/>
                <w:szCs w:val="16"/>
              </w:rPr>
              <w:t> 1</w:t>
            </w:r>
          </w:p>
        </w:tc>
        <w:tc>
          <w:tcPr>
            <w:tcW w:w="1050" w:type="dxa"/>
            <w:tcBorders>
              <w:top w:val="single" w:sz="8" w:space="0" w:color="000000"/>
              <w:left w:val="single" w:sz="8" w:space="0" w:color="000000"/>
              <w:bottom w:val="single" w:sz="8" w:space="0" w:color="000000"/>
              <w:right w:val="single" w:sz="8" w:space="0" w:color="000000"/>
            </w:tcBorders>
            <w:shd w:val="clear" w:color="auto" w:fill="FF0000"/>
            <w:tcMar>
              <w:top w:w="79" w:type="dxa"/>
              <w:left w:w="100" w:type="dxa"/>
              <w:bottom w:w="79" w:type="dxa"/>
              <w:right w:w="100" w:type="dxa"/>
            </w:tcMar>
            <w:hideMark/>
          </w:tcPr>
          <w:p w14:paraId="2CFACA7A" w14:textId="77777777" w:rsidR="00603C31" w:rsidRPr="0034369C" w:rsidRDefault="00603C31" w:rsidP="0034369C">
            <w:pPr>
              <w:spacing w:after="0" w:line="240" w:lineRule="auto"/>
              <w:rPr>
                <w:sz w:val="16"/>
                <w:szCs w:val="16"/>
              </w:rPr>
            </w:pPr>
            <w:r w:rsidRPr="0034369C">
              <w:rPr>
                <w:sz w:val="16"/>
                <w:szCs w:val="16"/>
              </w:rPr>
              <w:t>1 </w:t>
            </w:r>
          </w:p>
        </w:tc>
      </w:tr>
      <w:tr w:rsidR="00603C31" w:rsidRPr="00142C86" w14:paraId="0428D8F1" w14:textId="77777777" w:rsidTr="009F0AEE">
        <w:trPr>
          <w:trHeight w:val="30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79" w:type="dxa"/>
              <w:left w:w="100" w:type="dxa"/>
              <w:bottom w:w="79" w:type="dxa"/>
              <w:right w:w="100" w:type="dxa"/>
            </w:tcMar>
            <w:hideMark/>
          </w:tcPr>
          <w:p w14:paraId="3F9BEB8B" w14:textId="77777777" w:rsidR="00603C31" w:rsidRPr="0034369C" w:rsidRDefault="00603C31" w:rsidP="0034369C">
            <w:pPr>
              <w:spacing w:after="0" w:line="240" w:lineRule="auto"/>
              <w:rPr>
                <w:sz w:val="16"/>
                <w:szCs w:val="16"/>
              </w:rPr>
            </w:pPr>
            <w:r w:rsidRPr="0034369C">
              <w:rPr>
                <w:sz w:val="16"/>
                <w:szCs w:val="16"/>
              </w:rPr>
              <w:t>My personal time planning and prioritisation of GTA as a subject area.</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5BA81BF2" w14:textId="77777777" w:rsidR="00603C31" w:rsidRPr="0034369C" w:rsidRDefault="00603C31" w:rsidP="0034369C">
            <w:pPr>
              <w:spacing w:after="0" w:line="240" w:lineRule="auto"/>
              <w:rPr>
                <w:sz w:val="16"/>
                <w:szCs w:val="16"/>
              </w:rPr>
            </w:pPr>
            <w:r w:rsidRPr="0034369C">
              <w:rPr>
                <w:sz w:val="16"/>
                <w:szCs w:val="16"/>
              </w:rPr>
              <w:t> 5</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5B44F4B2" w14:textId="77777777" w:rsidR="00603C31" w:rsidRPr="0034369C" w:rsidRDefault="00603C31" w:rsidP="0034369C">
            <w:pPr>
              <w:spacing w:after="0" w:line="240" w:lineRule="auto"/>
              <w:rPr>
                <w:sz w:val="16"/>
                <w:szCs w:val="16"/>
              </w:rPr>
            </w:pPr>
            <w:r w:rsidRPr="0034369C">
              <w:rPr>
                <w:sz w:val="16"/>
                <w:szCs w:val="16"/>
              </w:rPr>
              <w:t>13 </w:t>
            </w:r>
          </w:p>
        </w:tc>
        <w:tc>
          <w:tcPr>
            <w:tcW w:w="1162" w:type="dxa"/>
            <w:tcBorders>
              <w:top w:val="single" w:sz="8" w:space="0" w:color="000000"/>
              <w:left w:val="single" w:sz="8" w:space="0" w:color="000000"/>
              <w:bottom w:val="single" w:sz="8" w:space="0" w:color="000000"/>
              <w:right w:val="single" w:sz="8" w:space="0" w:color="000000"/>
            </w:tcBorders>
            <w:shd w:val="clear" w:color="auto" w:fill="FF0000"/>
            <w:tcMar>
              <w:top w:w="79" w:type="dxa"/>
              <w:left w:w="100" w:type="dxa"/>
              <w:bottom w:w="79" w:type="dxa"/>
              <w:right w:w="100" w:type="dxa"/>
            </w:tcMar>
            <w:hideMark/>
          </w:tcPr>
          <w:p w14:paraId="7F6C2C13" w14:textId="77777777" w:rsidR="00603C31" w:rsidRPr="0034369C" w:rsidRDefault="00603C31" w:rsidP="0034369C">
            <w:pPr>
              <w:spacing w:after="0" w:line="240" w:lineRule="auto"/>
              <w:rPr>
                <w:sz w:val="16"/>
                <w:szCs w:val="16"/>
              </w:rPr>
            </w:pPr>
            <w:r w:rsidRPr="0034369C">
              <w:rPr>
                <w:sz w:val="16"/>
                <w:szCs w:val="16"/>
              </w:rPr>
              <w:t> 3</w:t>
            </w:r>
          </w:p>
        </w:tc>
        <w:tc>
          <w:tcPr>
            <w:tcW w:w="1050"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73E3C5D1" w14:textId="77777777" w:rsidR="00603C31" w:rsidRPr="0034369C" w:rsidRDefault="00603C31" w:rsidP="0034369C">
            <w:pPr>
              <w:spacing w:after="0" w:line="240" w:lineRule="auto"/>
              <w:rPr>
                <w:sz w:val="16"/>
                <w:szCs w:val="16"/>
              </w:rPr>
            </w:pPr>
            <w:r w:rsidRPr="0034369C">
              <w:rPr>
                <w:sz w:val="16"/>
                <w:szCs w:val="16"/>
              </w:rPr>
              <w:t>0 </w:t>
            </w:r>
          </w:p>
        </w:tc>
      </w:tr>
      <w:tr w:rsidR="00603C31" w:rsidRPr="00142C86" w14:paraId="7DE1345D" w14:textId="77777777" w:rsidTr="009F0AEE">
        <w:trPr>
          <w:trHeight w:val="180"/>
        </w:trPr>
        <w:tc>
          <w:tcPr>
            <w:tcW w:w="4820" w:type="dxa"/>
            <w:tcBorders>
              <w:top w:val="single" w:sz="8" w:space="0" w:color="000000"/>
              <w:left w:val="single" w:sz="8" w:space="0" w:color="000000"/>
              <w:bottom w:val="single" w:sz="8" w:space="0" w:color="000000"/>
              <w:right w:val="single" w:sz="8" w:space="0" w:color="000000"/>
            </w:tcBorders>
            <w:shd w:val="clear" w:color="auto" w:fill="auto"/>
            <w:tcMar>
              <w:top w:w="79" w:type="dxa"/>
              <w:left w:w="100" w:type="dxa"/>
              <w:bottom w:w="79" w:type="dxa"/>
              <w:right w:w="100" w:type="dxa"/>
            </w:tcMar>
            <w:hideMark/>
          </w:tcPr>
          <w:p w14:paraId="2E174C53" w14:textId="77777777" w:rsidR="00603C31" w:rsidRPr="0034369C" w:rsidRDefault="00603C31" w:rsidP="0034369C">
            <w:pPr>
              <w:spacing w:after="0" w:line="240" w:lineRule="auto"/>
              <w:rPr>
                <w:sz w:val="16"/>
                <w:szCs w:val="16"/>
              </w:rPr>
            </w:pPr>
            <w:r w:rsidRPr="0034369C">
              <w:rPr>
                <w:sz w:val="16"/>
                <w:szCs w:val="16"/>
              </w:rPr>
              <w:t>My confidence to undertake GTA.</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4ED7DD86" w14:textId="77777777" w:rsidR="00603C31" w:rsidRPr="0034369C" w:rsidRDefault="00603C31" w:rsidP="0034369C">
            <w:pPr>
              <w:spacing w:after="0" w:line="240" w:lineRule="auto"/>
              <w:rPr>
                <w:sz w:val="16"/>
                <w:szCs w:val="16"/>
              </w:rPr>
            </w:pPr>
            <w:r w:rsidRPr="0034369C">
              <w:rPr>
                <w:sz w:val="16"/>
                <w:szCs w:val="16"/>
              </w:rPr>
              <w:t>6 </w:t>
            </w:r>
          </w:p>
        </w:tc>
        <w:tc>
          <w:tcPr>
            <w:tcW w:w="1162"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4A5A418F" w14:textId="77777777" w:rsidR="00603C31" w:rsidRPr="0034369C" w:rsidRDefault="00603C31" w:rsidP="0034369C">
            <w:pPr>
              <w:spacing w:after="0" w:line="240" w:lineRule="auto"/>
              <w:rPr>
                <w:sz w:val="16"/>
                <w:szCs w:val="16"/>
              </w:rPr>
            </w:pPr>
            <w:r w:rsidRPr="0034369C">
              <w:rPr>
                <w:sz w:val="16"/>
                <w:szCs w:val="16"/>
              </w:rPr>
              <w:t>12 </w:t>
            </w:r>
          </w:p>
        </w:tc>
        <w:tc>
          <w:tcPr>
            <w:tcW w:w="1162" w:type="dxa"/>
            <w:tcBorders>
              <w:top w:val="single" w:sz="8" w:space="0" w:color="000000"/>
              <w:left w:val="single" w:sz="8" w:space="0" w:color="000000"/>
              <w:bottom w:val="single" w:sz="8" w:space="0" w:color="000000"/>
              <w:right w:val="single" w:sz="8" w:space="0" w:color="000000"/>
            </w:tcBorders>
            <w:shd w:val="clear" w:color="auto" w:fill="FF0000"/>
            <w:tcMar>
              <w:top w:w="79" w:type="dxa"/>
              <w:left w:w="100" w:type="dxa"/>
              <w:bottom w:w="79" w:type="dxa"/>
              <w:right w:w="100" w:type="dxa"/>
            </w:tcMar>
            <w:hideMark/>
          </w:tcPr>
          <w:p w14:paraId="0391E9AA" w14:textId="77777777" w:rsidR="00603C31" w:rsidRPr="0034369C" w:rsidRDefault="00603C31" w:rsidP="0034369C">
            <w:pPr>
              <w:spacing w:after="0" w:line="240" w:lineRule="auto"/>
              <w:rPr>
                <w:sz w:val="16"/>
                <w:szCs w:val="16"/>
              </w:rPr>
            </w:pPr>
            <w:r w:rsidRPr="0034369C">
              <w:rPr>
                <w:sz w:val="16"/>
                <w:szCs w:val="16"/>
              </w:rPr>
              <w:t> 3</w:t>
            </w:r>
          </w:p>
        </w:tc>
        <w:tc>
          <w:tcPr>
            <w:tcW w:w="1050" w:type="dxa"/>
            <w:tcBorders>
              <w:top w:val="single" w:sz="8" w:space="0" w:color="000000"/>
              <w:left w:val="single" w:sz="8" w:space="0" w:color="000000"/>
              <w:bottom w:val="single" w:sz="8" w:space="0" w:color="000000"/>
              <w:right w:val="single" w:sz="8" w:space="0" w:color="000000"/>
            </w:tcBorders>
            <w:shd w:val="clear" w:color="auto" w:fill="92D050"/>
            <w:tcMar>
              <w:top w:w="79" w:type="dxa"/>
              <w:left w:w="100" w:type="dxa"/>
              <w:bottom w:w="79" w:type="dxa"/>
              <w:right w:w="100" w:type="dxa"/>
            </w:tcMar>
            <w:hideMark/>
          </w:tcPr>
          <w:p w14:paraId="0FBDC2A7" w14:textId="77777777" w:rsidR="00603C31" w:rsidRPr="0034369C" w:rsidRDefault="00603C31" w:rsidP="0034369C">
            <w:pPr>
              <w:spacing w:after="0" w:line="240" w:lineRule="auto"/>
              <w:rPr>
                <w:sz w:val="16"/>
                <w:szCs w:val="16"/>
              </w:rPr>
            </w:pPr>
            <w:r w:rsidRPr="0034369C">
              <w:rPr>
                <w:sz w:val="16"/>
                <w:szCs w:val="16"/>
              </w:rPr>
              <w:t>0 </w:t>
            </w:r>
          </w:p>
        </w:tc>
      </w:tr>
    </w:tbl>
    <w:p w14:paraId="2FC53BA5" w14:textId="77777777" w:rsidR="00A83A50" w:rsidRDefault="00A83A50" w:rsidP="007C6755">
      <w:pPr>
        <w:rPr>
          <w:b/>
          <w:u w:val="single"/>
        </w:rPr>
      </w:pPr>
      <w:r w:rsidRPr="00C10CCB">
        <w:rPr>
          <w:b/>
          <w:u w:val="single"/>
        </w:rPr>
        <w:t>Table 4 Factors Affecting Performance in GTA</w:t>
      </w:r>
      <w:r>
        <w:rPr>
          <w:b/>
          <w:u w:val="single"/>
        </w:rPr>
        <w:t xml:space="preserve"> </w:t>
      </w:r>
    </w:p>
    <w:p w14:paraId="6DAC3EA0" w14:textId="7C536C2F" w:rsidR="00737BC8" w:rsidRPr="007A3BE6" w:rsidRDefault="007C6755" w:rsidP="00737BC8">
      <w:pPr>
        <w:spacing w:after="0" w:line="240" w:lineRule="auto"/>
        <w:rPr>
          <w:b/>
          <w:u w:val="single"/>
        </w:rPr>
      </w:pPr>
      <w:r>
        <w:rPr>
          <w:b/>
          <w:u w:val="single"/>
        </w:rPr>
        <w:t>Qualitative D</w:t>
      </w:r>
      <w:r w:rsidR="009E2D9D" w:rsidRPr="007A3BE6">
        <w:rPr>
          <w:b/>
          <w:u w:val="single"/>
        </w:rPr>
        <w:t>ata</w:t>
      </w:r>
    </w:p>
    <w:p w14:paraId="76C73EE5" w14:textId="77777777" w:rsidR="009E2D9D" w:rsidRDefault="009E2D9D" w:rsidP="00737BC8">
      <w:pPr>
        <w:spacing w:after="0" w:line="240" w:lineRule="auto"/>
      </w:pPr>
    </w:p>
    <w:p w14:paraId="73E9E8EB" w14:textId="49D0BB09" w:rsidR="007C6755" w:rsidRDefault="00737BC8" w:rsidP="00737BC8">
      <w:pPr>
        <w:spacing w:after="0" w:line="240" w:lineRule="auto"/>
      </w:pPr>
      <w:r w:rsidRPr="00B62F4E">
        <w:t xml:space="preserve">Three themes </w:t>
      </w:r>
      <w:r w:rsidR="00454E79">
        <w:t xml:space="preserve">were identified </w:t>
      </w:r>
      <w:r w:rsidR="00790626">
        <w:t>from the analysis of the data</w:t>
      </w:r>
      <w:r w:rsidR="00D24AE2">
        <w:t xml:space="preserve"> (Table 2</w:t>
      </w:r>
      <w:r w:rsidR="007C6755">
        <w:t>):</w:t>
      </w:r>
    </w:p>
    <w:p w14:paraId="6EB19CB8" w14:textId="77777777" w:rsidR="007C6755" w:rsidRDefault="007C6755" w:rsidP="00737BC8">
      <w:pPr>
        <w:spacing w:after="0" w:line="240" w:lineRule="auto"/>
      </w:pPr>
    </w:p>
    <w:p w14:paraId="575C5466" w14:textId="78F9EF97" w:rsidR="007C6755" w:rsidRDefault="00790626" w:rsidP="007C6755">
      <w:pPr>
        <w:pStyle w:val="ListParagraph"/>
        <w:numPr>
          <w:ilvl w:val="0"/>
          <w:numId w:val="20"/>
        </w:numPr>
        <w:spacing w:after="0" w:line="240" w:lineRule="auto"/>
      </w:pPr>
      <w:r>
        <w:t>A</w:t>
      </w:r>
      <w:r w:rsidR="00737BC8">
        <w:t>wareness of assessment methods</w:t>
      </w:r>
      <w:r w:rsidR="007C6755">
        <w:t xml:space="preserve"> </w:t>
      </w:r>
    </w:p>
    <w:p w14:paraId="43470E50" w14:textId="4EB76C97" w:rsidR="007C6755" w:rsidRDefault="00790626" w:rsidP="007C6755">
      <w:pPr>
        <w:pStyle w:val="ListParagraph"/>
        <w:numPr>
          <w:ilvl w:val="0"/>
          <w:numId w:val="20"/>
        </w:numPr>
        <w:spacing w:after="0" w:line="240" w:lineRule="auto"/>
      </w:pPr>
      <w:r>
        <w:t>A</w:t>
      </w:r>
      <w:r w:rsidR="00737BC8" w:rsidRPr="00B62F4E">
        <w:t xml:space="preserve">ccessing </w:t>
      </w:r>
      <w:r w:rsidR="00737BC8">
        <w:t>learning o</w:t>
      </w:r>
      <w:r w:rsidR="00737BC8" w:rsidRPr="00B62F4E">
        <w:t>pportunitie</w:t>
      </w:r>
      <w:r>
        <w:t>s</w:t>
      </w:r>
      <w:r w:rsidR="007C6755">
        <w:t xml:space="preserve"> </w:t>
      </w:r>
    </w:p>
    <w:p w14:paraId="03EB72B2" w14:textId="02EDB732" w:rsidR="00737BC8" w:rsidRDefault="00790626" w:rsidP="007C6755">
      <w:pPr>
        <w:pStyle w:val="ListParagraph"/>
        <w:numPr>
          <w:ilvl w:val="0"/>
          <w:numId w:val="20"/>
        </w:numPr>
        <w:spacing w:after="0" w:line="240" w:lineRule="auto"/>
      </w:pPr>
      <w:r>
        <w:t>A</w:t>
      </w:r>
      <w:r w:rsidR="00737BC8">
        <w:t xml:space="preserve">ctualisation of learning </w:t>
      </w:r>
    </w:p>
    <w:p w14:paraId="7A9BBFCC" w14:textId="77777777" w:rsidR="00737BC8" w:rsidRDefault="00737BC8" w:rsidP="00737BC8">
      <w:pPr>
        <w:spacing w:after="0" w:line="240" w:lineRule="auto"/>
      </w:pPr>
    </w:p>
    <w:p w14:paraId="75AD1252" w14:textId="144E86A3" w:rsidR="00737BC8" w:rsidRPr="007A3BE6" w:rsidRDefault="00737BC8" w:rsidP="00D66CB3">
      <w:pPr>
        <w:pStyle w:val="NoSpacing"/>
        <w:rPr>
          <w:b/>
          <w:u w:val="single"/>
        </w:rPr>
      </w:pPr>
      <w:r w:rsidRPr="007A3BE6">
        <w:rPr>
          <w:b/>
          <w:u w:val="single"/>
        </w:rPr>
        <w:t>Awareness</w:t>
      </w:r>
    </w:p>
    <w:p w14:paraId="0BA4B92C" w14:textId="77777777" w:rsidR="00737BC8" w:rsidRDefault="00737BC8" w:rsidP="00D66CB3">
      <w:pPr>
        <w:pStyle w:val="NoSpacing"/>
      </w:pPr>
    </w:p>
    <w:p w14:paraId="49607752" w14:textId="77777777" w:rsidR="00737BC8" w:rsidRDefault="00737BC8" w:rsidP="00D66CB3">
      <w:pPr>
        <w:pStyle w:val="NoSpacing"/>
      </w:pPr>
      <w:r w:rsidRPr="00DC0A31">
        <w:lastRenderedPageBreak/>
        <w:t xml:space="preserve">Students identified an awareness of a range of potential assessment methods in relation to </w:t>
      </w:r>
      <w:r>
        <w:t xml:space="preserve">GTA </w:t>
      </w:r>
      <w:r w:rsidRPr="00DC0A31">
        <w:t>which included questioning the woman, using maternal self-assessment, assessing behavioural cues and performing clinical observations.</w:t>
      </w:r>
    </w:p>
    <w:p w14:paraId="14CE5052" w14:textId="77777777" w:rsidR="00737BC8" w:rsidRDefault="00737BC8" w:rsidP="00D66CB3">
      <w:pPr>
        <w:pStyle w:val="NoSpacing"/>
      </w:pPr>
    </w:p>
    <w:p w14:paraId="49EC10DC" w14:textId="77777777" w:rsidR="00737BC8" w:rsidRDefault="00737BC8" w:rsidP="00D66CB3">
      <w:pPr>
        <w:pStyle w:val="NoSpacing"/>
        <w:rPr>
          <w:rFonts w:ascii="Calibri" w:eastAsia="Calibri" w:hAnsi="Calibri" w:cs="Times New Roman"/>
        </w:rPr>
      </w:pPr>
      <w:r w:rsidRPr="001B090C">
        <w:rPr>
          <w:rFonts w:ascii="Calibri" w:eastAsia="Calibri" w:hAnsi="Calibri" w:cs="Times New Roman"/>
          <w:i/>
        </w:rPr>
        <w:t>“there’s your observation and then there’s your communications, so asking her how she feels, asking if she’s looked at it</w:t>
      </w:r>
      <w:r>
        <w:rPr>
          <w:rFonts w:ascii="Calibri" w:eastAsia="Calibri" w:hAnsi="Calibri" w:cs="Times New Roman"/>
        </w:rPr>
        <w:t xml:space="preserve"> [perineum]</w:t>
      </w:r>
      <w:r w:rsidRPr="005F104A">
        <w:rPr>
          <w:rFonts w:ascii="Calibri" w:eastAsia="Calibri" w:hAnsi="Calibri" w:cs="Times New Roman"/>
        </w:rPr>
        <w:t xml:space="preserve">, </w:t>
      </w:r>
      <w:r w:rsidRPr="001B090C">
        <w:rPr>
          <w:rFonts w:ascii="Calibri" w:eastAsia="Calibri" w:hAnsi="Calibri" w:cs="Times New Roman"/>
          <w:i/>
        </w:rPr>
        <w:t>how it feels to her, rather than going straight into “can I have a look?”</w:t>
      </w:r>
      <w:r w:rsidRPr="001B090C">
        <w:rPr>
          <w:rFonts w:ascii="Calibri" w:eastAsia="Calibri" w:hAnsi="Calibri" w:cs="Times New Roman"/>
        </w:rPr>
        <w:t xml:space="preserve"> </w:t>
      </w:r>
      <w:r>
        <w:rPr>
          <w:rFonts w:ascii="Calibri" w:eastAsia="Calibri" w:hAnsi="Calibri" w:cs="Times New Roman"/>
        </w:rPr>
        <w:t>ST/M D L 32.</w:t>
      </w:r>
    </w:p>
    <w:p w14:paraId="50C0D15D" w14:textId="2BCF0775" w:rsidR="00737BC8" w:rsidRDefault="00737BC8" w:rsidP="00D66CB3">
      <w:pPr>
        <w:pStyle w:val="NoSpacing"/>
      </w:pPr>
    </w:p>
    <w:p w14:paraId="26CD2510" w14:textId="0EE05C9F" w:rsidR="00647F4F" w:rsidRPr="005D698F" w:rsidRDefault="005D698F" w:rsidP="00647F4F">
      <w:pPr>
        <w:pStyle w:val="NoSpacing"/>
      </w:pPr>
      <w:r>
        <w:t>In addition, m</w:t>
      </w:r>
      <w:r w:rsidR="00647F4F" w:rsidRPr="005D698F">
        <w:t>ost students also identified aware</w:t>
      </w:r>
      <w:r>
        <w:t>ness</w:t>
      </w:r>
      <w:r w:rsidR="00647F4F" w:rsidRPr="005D698F">
        <w:t xml:space="preserve"> of potential signs and symptoms of genital tract sepsis. </w:t>
      </w:r>
    </w:p>
    <w:p w14:paraId="27139CA6" w14:textId="77777777" w:rsidR="00647F4F" w:rsidRPr="005D698F" w:rsidRDefault="00647F4F" w:rsidP="00647F4F">
      <w:pPr>
        <w:pStyle w:val="NoSpacing"/>
      </w:pPr>
      <w:r w:rsidRPr="005D698F">
        <w:t xml:space="preserve"> </w:t>
      </w:r>
    </w:p>
    <w:p w14:paraId="366D4ADF" w14:textId="0F29B120" w:rsidR="00647F4F" w:rsidRPr="00647F4F" w:rsidRDefault="00647F4F" w:rsidP="00647F4F">
      <w:pPr>
        <w:pStyle w:val="NoSpacing"/>
      </w:pPr>
      <w:r w:rsidRPr="0030577C">
        <w:rPr>
          <w:i/>
        </w:rPr>
        <w:t xml:space="preserve"> “All the evidence from MBRRACE that have highlighted the problems of sepsis post </w:t>
      </w:r>
      <w:proofErr w:type="spellStart"/>
      <w:r w:rsidRPr="0030577C">
        <w:rPr>
          <w:i/>
        </w:rPr>
        <w:t>natally</w:t>
      </w:r>
      <w:proofErr w:type="spellEnd"/>
      <w:r w:rsidRPr="0030577C">
        <w:rPr>
          <w:i/>
        </w:rPr>
        <w:t xml:space="preserve"> . . . midwives need to be mindful of looking for symptoms”</w:t>
      </w:r>
      <w:r w:rsidRPr="005D698F">
        <w:t xml:space="preserve"> ST/M I L 191</w:t>
      </w:r>
    </w:p>
    <w:p w14:paraId="513000B4" w14:textId="4D7CD158" w:rsidR="00647F4F" w:rsidRDefault="00647F4F" w:rsidP="00D66CB3">
      <w:pPr>
        <w:pStyle w:val="NoSpacing"/>
      </w:pPr>
    </w:p>
    <w:p w14:paraId="102CCD55" w14:textId="757C9731" w:rsidR="00737BC8" w:rsidRDefault="00737BC8" w:rsidP="00EC76CA">
      <w:pPr>
        <w:pStyle w:val="NoSpacing"/>
      </w:pPr>
      <w:r>
        <w:t>However,</w:t>
      </w:r>
      <w:r w:rsidR="00EC76CA">
        <w:t xml:space="preserve"> the </w:t>
      </w:r>
      <w:r w:rsidR="000543E2">
        <w:t>students’</w:t>
      </w:r>
      <w:r w:rsidR="00EC76CA">
        <w:t xml:space="preserve"> </w:t>
      </w:r>
      <w:r w:rsidR="000543E2">
        <w:t>awareness of</w:t>
      </w:r>
      <w:r w:rsidR="00EC76CA">
        <w:t xml:space="preserve"> the content of their GTA more frequently focused on perineal assessment compared with that of the uterus and lochia.</w:t>
      </w:r>
    </w:p>
    <w:p w14:paraId="21CDE29D" w14:textId="77777777" w:rsidR="00737BC8" w:rsidRDefault="00737BC8" w:rsidP="00D66CB3">
      <w:pPr>
        <w:pStyle w:val="NoSpacing"/>
      </w:pPr>
    </w:p>
    <w:p w14:paraId="727B655E" w14:textId="0A960385" w:rsidR="00737BC8" w:rsidRPr="00B936E9" w:rsidRDefault="00B936E9" w:rsidP="00D66CB3">
      <w:pPr>
        <w:pStyle w:val="NoSpacing"/>
      </w:pPr>
      <w:r w:rsidRPr="00B936E9">
        <w:rPr>
          <w:i/>
        </w:rPr>
        <w:t>“</w:t>
      </w:r>
      <w:r w:rsidR="00737BC8" w:rsidRPr="00B936E9">
        <w:rPr>
          <w:i/>
        </w:rPr>
        <w:t>I have not had any experience of personally assessing blood loss aside from the immediate hours following delivery, this had only ever been discussed verbally.</w:t>
      </w:r>
      <w:r w:rsidRPr="00B936E9">
        <w:rPr>
          <w:i/>
        </w:rPr>
        <w:t>”</w:t>
      </w:r>
      <w:r w:rsidR="00447764" w:rsidRPr="00B936E9">
        <w:t xml:space="preserve"> Survey Student Number (SSN):15</w:t>
      </w:r>
    </w:p>
    <w:p w14:paraId="3B6A409A" w14:textId="77777777" w:rsidR="00737BC8" w:rsidRDefault="00737BC8" w:rsidP="00D66CB3">
      <w:pPr>
        <w:pStyle w:val="NoSpacing"/>
      </w:pPr>
    </w:p>
    <w:p w14:paraId="763D2C5C" w14:textId="5855F819" w:rsidR="00737BC8" w:rsidRDefault="00737BC8" w:rsidP="00D66CB3">
      <w:pPr>
        <w:pStyle w:val="NoSpacing"/>
      </w:pPr>
      <w:r>
        <w:t xml:space="preserve">In addition, </w:t>
      </w:r>
      <w:r w:rsidR="00094C32">
        <w:t>some students</w:t>
      </w:r>
      <w:r w:rsidRPr="00DC0A31">
        <w:t xml:space="preserve"> revealed </w:t>
      </w:r>
      <w:r>
        <w:t xml:space="preserve">feeling unsure regarding GTA methods and associated actions.  The students appeared to be aware of signs and symptoms which may indicate </w:t>
      </w:r>
      <w:r w:rsidR="003044DE">
        <w:t xml:space="preserve">clearly delineated normal or abnormal </w:t>
      </w:r>
      <w:r>
        <w:t>genital tract health</w:t>
      </w:r>
      <w:r w:rsidR="003044DE">
        <w:t xml:space="preserve">.  However, the </w:t>
      </w:r>
      <w:r>
        <w:t>identif</w:t>
      </w:r>
      <w:r w:rsidR="003044DE">
        <w:t>ication</w:t>
      </w:r>
      <w:r>
        <w:t xml:space="preserve"> </w:t>
      </w:r>
      <w:r w:rsidR="003044DE">
        <w:t>of</w:t>
      </w:r>
      <w:r w:rsidR="0049734E">
        <w:t xml:space="preserve"> signs and symptoms with the potential to become more severe </w:t>
      </w:r>
      <w:r>
        <w:t>was more problematic for the students.</w:t>
      </w:r>
      <w:r w:rsidRPr="00DC0A31">
        <w:t xml:space="preserve"> </w:t>
      </w:r>
      <w:r>
        <w:t xml:space="preserve"> </w:t>
      </w:r>
    </w:p>
    <w:p w14:paraId="23DBC327" w14:textId="77777777" w:rsidR="00737BC8" w:rsidRPr="00DC0A31" w:rsidRDefault="00737BC8" w:rsidP="00D66CB3">
      <w:pPr>
        <w:pStyle w:val="NoSpacing"/>
      </w:pPr>
    </w:p>
    <w:p w14:paraId="512ABCB5" w14:textId="71D18851" w:rsidR="001E2930" w:rsidRPr="00517F31" w:rsidRDefault="00737BC8" w:rsidP="001A738A">
      <w:pPr>
        <w:pStyle w:val="NoSpacing"/>
        <w:rPr>
          <w:i/>
        </w:rPr>
      </w:pPr>
      <w:r w:rsidRPr="00DC0A31">
        <w:rPr>
          <w:i/>
        </w:rPr>
        <w:t xml:space="preserve">“Oh, I feel like they </w:t>
      </w:r>
      <w:r w:rsidR="00094C32">
        <w:t xml:space="preserve">[assessment skills] </w:t>
      </w:r>
      <w:r w:rsidR="00094C32">
        <w:rPr>
          <w:i/>
        </w:rPr>
        <w:t>could be better</w:t>
      </w:r>
      <w:r w:rsidR="00270A89">
        <w:rPr>
          <w:i/>
        </w:rPr>
        <w:t>,</w:t>
      </w:r>
      <w:r w:rsidR="00094C32">
        <w:rPr>
          <w:i/>
        </w:rPr>
        <w:t xml:space="preserve"> </w:t>
      </w:r>
      <w:r w:rsidRPr="00DC0A31">
        <w:rPr>
          <w:i/>
        </w:rPr>
        <w:t>I think I would be confident if I thought: Oh yeah, that’s healing well. Or yeah, that’s infected. But I think it’s sort of the middle ground, say it’s sort of was swollen, or sort of red, you know, it’s like the middle ground. I think I would b</w:t>
      </w:r>
      <w:r w:rsidR="00517F31">
        <w:rPr>
          <w:i/>
        </w:rPr>
        <w:t>e like unsure.” STM C L286</w:t>
      </w:r>
    </w:p>
    <w:p w14:paraId="28D062AF" w14:textId="77777777" w:rsidR="007C55FC" w:rsidRDefault="007C55FC" w:rsidP="001A738A">
      <w:pPr>
        <w:pStyle w:val="NoSpacing"/>
        <w:rPr>
          <w:color w:val="C00000"/>
        </w:rPr>
      </w:pPr>
    </w:p>
    <w:p w14:paraId="269606C2" w14:textId="4FE35A0F" w:rsidR="00CE706D" w:rsidRDefault="00D24AE2" w:rsidP="00C47A59">
      <w:pPr>
        <w:pStyle w:val="NoSpacing"/>
      </w:pPr>
      <w:r w:rsidRPr="00C760B2">
        <w:t>It was reassuring to note</w:t>
      </w:r>
      <w:r w:rsidR="006D3554" w:rsidRPr="00C760B2">
        <w:t xml:space="preserve"> the student midwives in this study were aware of a range of GTA methods which could be employed depending upon the individual needs of the woman</w:t>
      </w:r>
      <w:r w:rsidR="00493B56" w:rsidRPr="00C760B2">
        <w:t xml:space="preserve">, </w:t>
      </w:r>
      <w:r w:rsidR="00457016" w:rsidRPr="00C760B2">
        <w:t>reflecting</w:t>
      </w:r>
      <w:r w:rsidR="00493B56" w:rsidRPr="00C760B2">
        <w:t xml:space="preserve"> contemporary best practice</w:t>
      </w:r>
      <w:r w:rsidR="00295957" w:rsidRPr="00C760B2">
        <w:t xml:space="preserve"> </w:t>
      </w:r>
      <w:r w:rsidR="006D3554" w:rsidRPr="00C760B2">
        <w:t>(</w:t>
      </w:r>
      <w:r w:rsidR="00956A92">
        <w:t xml:space="preserve">NICE, 2006; </w:t>
      </w:r>
      <w:r w:rsidR="006D3554" w:rsidRPr="00C760B2">
        <w:t>Bick et al</w:t>
      </w:r>
      <w:r w:rsidR="00122F57">
        <w:t>.</w:t>
      </w:r>
      <w:r w:rsidR="006D3554" w:rsidRPr="00C760B2">
        <w:t xml:space="preserve"> 2011).   </w:t>
      </w:r>
      <w:r w:rsidR="00423B06" w:rsidRPr="00C760B2">
        <w:t xml:space="preserve">In </w:t>
      </w:r>
      <w:r w:rsidR="00457016" w:rsidRPr="00C760B2">
        <w:t>addition,</w:t>
      </w:r>
      <w:r w:rsidR="00423B06" w:rsidRPr="00C760B2">
        <w:t xml:space="preserve"> </w:t>
      </w:r>
      <w:r w:rsidR="00D47A7C" w:rsidRPr="00C760B2">
        <w:t>most</w:t>
      </w:r>
      <w:r w:rsidR="00423B06" w:rsidRPr="00C760B2">
        <w:t xml:space="preserve"> of the students were aware of </w:t>
      </w:r>
      <w:r w:rsidR="006D3554" w:rsidRPr="00C760B2">
        <w:t xml:space="preserve">high profile campaigns </w:t>
      </w:r>
      <w:r w:rsidR="008967F8" w:rsidRPr="00C760B2">
        <w:t>concerning sepsis</w:t>
      </w:r>
      <w:r w:rsidR="001E2930" w:rsidRPr="00C760B2">
        <w:t xml:space="preserve"> </w:t>
      </w:r>
      <w:r w:rsidR="008967F8" w:rsidRPr="00C760B2">
        <w:t xml:space="preserve">including </w:t>
      </w:r>
      <w:r w:rsidR="00423B06" w:rsidRPr="00C760B2">
        <w:t>potential signs and symptoms and midwifery actions (MBRRACE</w:t>
      </w:r>
      <w:r w:rsidR="00122F57">
        <w:t>,</w:t>
      </w:r>
      <w:r w:rsidR="00423B06" w:rsidRPr="00C760B2">
        <w:t xml:space="preserve"> 2014;</w:t>
      </w:r>
      <w:r w:rsidR="00956A92">
        <w:rPr>
          <w:rFonts w:ascii="Arial" w:eastAsiaTheme="minorEastAsia" w:hAnsi="Arial" w:cs="Arial"/>
          <w:sz w:val="40"/>
          <w:szCs w:val="40"/>
        </w:rPr>
        <w:t xml:space="preserve"> </w:t>
      </w:r>
      <w:r w:rsidR="00956A92" w:rsidRPr="00C760B2">
        <w:t>RCM</w:t>
      </w:r>
      <w:r w:rsidR="00956A92">
        <w:t>,</w:t>
      </w:r>
      <w:r w:rsidR="00956A92" w:rsidRPr="00C760B2">
        <w:t xml:space="preserve"> 2014</w:t>
      </w:r>
      <w:proofErr w:type="gramStart"/>
      <w:r w:rsidR="00956A92">
        <w:t xml:space="preserve">b; </w:t>
      </w:r>
      <w:r w:rsidR="00956A92" w:rsidRPr="00C760B2">
        <w:t xml:space="preserve"> </w:t>
      </w:r>
      <w:r w:rsidR="00423B06" w:rsidRPr="00C760B2">
        <w:t>MBRRACE</w:t>
      </w:r>
      <w:proofErr w:type="gramEnd"/>
      <w:r w:rsidR="00122F57">
        <w:t>,</w:t>
      </w:r>
      <w:r w:rsidR="00423B06" w:rsidRPr="00C760B2">
        <w:t xml:space="preserve"> 2015;</w:t>
      </w:r>
      <w:r w:rsidR="008967F8" w:rsidRPr="00C760B2">
        <w:t xml:space="preserve"> NICE</w:t>
      </w:r>
      <w:r w:rsidR="00122F57">
        <w:t>,</w:t>
      </w:r>
      <w:r w:rsidR="008967F8" w:rsidRPr="00C760B2">
        <w:t xml:space="preserve"> 2016</w:t>
      </w:r>
      <w:r w:rsidR="00423B06" w:rsidRPr="00C760B2">
        <w:rPr>
          <w:lang w:val="en-AU"/>
        </w:rPr>
        <w:t xml:space="preserve">).   </w:t>
      </w:r>
      <w:r w:rsidR="003A5436" w:rsidRPr="003A5436">
        <w:rPr>
          <w:lang w:val="en-AU"/>
        </w:rPr>
        <w:t xml:space="preserve">However, they appeared less aware of how to identify minor concerns which had the potential to become severe and had reduced awareness of specific GTA assessment </w:t>
      </w:r>
      <w:r w:rsidR="00C47A59">
        <w:rPr>
          <w:lang w:val="en-AU"/>
        </w:rPr>
        <w:t xml:space="preserve">concerning the </w:t>
      </w:r>
      <w:r w:rsidR="003A5436" w:rsidRPr="003A5436">
        <w:rPr>
          <w:lang w:val="en-AU"/>
        </w:rPr>
        <w:t xml:space="preserve">uterus and lochia.  </w:t>
      </w:r>
      <w:r w:rsidR="00457016" w:rsidRPr="00C760B2">
        <w:t>Early identification of health related needs and concerns are an important component of midwifery postnatal care, to ensure issues are responded to promptly, reducing the potential for minor morbidity to develop into severe or long term morbidity (</w:t>
      </w:r>
      <w:r w:rsidR="00CC61CD" w:rsidRPr="00C760B2">
        <w:t>NICE</w:t>
      </w:r>
      <w:r w:rsidR="00CC61CD">
        <w:t>,</w:t>
      </w:r>
      <w:r w:rsidR="00CC61CD" w:rsidRPr="00C760B2">
        <w:t xml:space="preserve"> </w:t>
      </w:r>
      <w:r w:rsidR="00CC61CD">
        <w:t xml:space="preserve">2006; </w:t>
      </w:r>
      <w:r w:rsidR="00457016" w:rsidRPr="00C760B2">
        <w:t>Dudley et al</w:t>
      </w:r>
      <w:r w:rsidR="00122F57">
        <w:t>.</w:t>
      </w:r>
      <w:r w:rsidR="00457016" w:rsidRPr="00C760B2">
        <w:t xml:space="preserve"> 2013; </w:t>
      </w:r>
      <w:proofErr w:type="spellStart"/>
      <w:r w:rsidR="00457016" w:rsidRPr="00C760B2">
        <w:t>Woolhouse</w:t>
      </w:r>
      <w:proofErr w:type="spellEnd"/>
      <w:r w:rsidR="00457016" w:rsidRPr="00C760B2">
        <w:t xml:space="preserve"> et al</w:t>
      </w:r>
      <w:r w:rsidR="00122F57">
        <w:t>.</w:t>
      </w:r>
      <w:r w:rsidR="00CC61CD">
        <w:t xml:space="preserve"> 2014</w:t>
      </w:r>
      <w:r w:rsidR="00457016" w:rsidRPr="00C760B2">
        <w:t xml:space="preserve">).  </w:t>
      </w:r>
      <w:r w:rsidR="00834215" w:rsidRPr="00C760B2">
        <w:t>T</w:t>
      </w:r>
      <w:r w:rsidR="00B521EE" w:rsidRPr="00C760B2">
        <w:t xml:space="preserve">he MBRRACE (2014) report, </w:t>
      </w:r>
      <w:r w:rsidR="002E166B" w:rsidRPr="00C760B2">
        <w:t xml:space="preserve">acknowledges early symptoms of potential morbidity </w:t>
      </w:r>
      <w:r w:rsidR="00B521EE" w:rsidRPr="00C760B2">
        <w:t xml:space="preserve">may be </w:t>
      </w:r>
      <w:r w:rsidR="00BE06A3" w:rsidRPr="00C760B2">
        <w:t>non-specific</w:t>
      </w:r>
      <w:r w:rsidR="00B521EE" w:rsidRPr="00C760B2">
        <w:t xml:space="preserve">, requiring </w:t>
      </w:r>
      <w:r w:rsidR="00834215" w:rsidRPr="00C760B2">
        <w:t xml:space="preserve">effective </w:t>
      </w:r>
      <w:r w:rsidR="00B521EE" w:rsidRPr="00C760B2">
        <w:t>assessment</w:t>
      </w:r>
      <w:r w:rsidR="00834215" w:rsidRPr="00C760B2">
        <w:t xml:space="preserve"> to differentiate minor and </w:t>
      </w:r>
      <w:r w:rsidR="00BE06A3" w:rsidRPr="00C760B2">
        <w:t>self-limiting</w:t>
      </w:r>
      <w:r w:rsidR="00834215" w:rsidRPr="00C760B2">
        <w:t xml:space="preserve"> concerns from </w:t>
      </w:r>
      <w:r w:rsidR="000D0116" w:rsidRPr="00C760B2">
        <w:t>potentially more severe morbidity</w:t>
      </w:r>
      <w:r w:rsidR="00B521EE" w:rsidRPr="00C760B2">
        <w:t xml:space="preserve">.  </w:t>
      </w:r>
      <w:r w:rsidR="005F0C54">
        <w:t>NICE</w:t>
      </w:r>
      <w:r w:rsidR="00B3497B">
        <w:t xml:space="preserve"> (2006</w:t>
      </w:r>
      <w:r w:rsidR="005F0C54">
        <w:t xml:space="preserve">) suggest postnatal symptoms warranting further investigations should include assessment of the perineum </w:t>
      </w:r>
      <w:r w:rsidR="005F0C54" w:rsidRPr="00C760B2">
        <w:t>if the woman has pain or discomfort</w:t>
      </w:r>
      <w:r w:rsidR="00B3497B">
        <w:t xml:space="preserve">; </w:t>
      </w:r>
      <w:r w:rsidR="00637F6C">
        <w:t xml:space="preserve">and </w:t>
      </w:r>
      <w:r w:rsidR="005F0C54" w:rsidRPr="00C760B2">
        <w:t>vaginal loss</w:t>
      </w:r>
      <w:r w:rsidR="005F0C54">
        <w:t xml:space="preserve"> and </w:t>
      </w:r>
      <w:r w:rsidR="005F0C54" w:rsidRPr="00C760B2">
        <w:t>u</w:t>
      </w:r>
      <w:r w:rsidR="00637F6C">
        <w:t>terine involution and position assessed</w:t>
      </w:r>
      <w:r w:rsidR="005F0C54" w:rsidRPr="00C760B2">
        <w:t xml:space="preserve"> in women with excessive or offensive vaginal loss, abdominal tenderness or fever.  </w:t>
      </w:r>
      <w:r w:rsidR="0074042F" w:rsidRPr="002A1FC2">
        <w:t>However,</w:t>
      </w:r>
      <w:r w:rsidR="00CE706D" w:rsidRPr="002A1FC2">
        <w:t xml:space="preserve"> a recent qualitative study exploring potential reasons for non compl</w:t>
      </w:r>
      <w:r w:rsidR="00627481" w:rsidRPr="002A1FC2">
        <w:t>etion</w:t>
      </w:r>
      <w:r w:rsidR="00CE706D" w:rsidRPr="002A1FC2">
        <w:t xml:space="preserve"> of maternal observations, suggests that postnatal </w:t>
      </w:r>
      <w:r w:rsidR="00682EF1" w:rsidRPr="002A1FC2">
        <w:t>observations were</w:t>
      </w:r>
      <w:r w:rsidR="00C9439B" w:rsidRPr="002A1FC2">
        <w:t xml:space="preserve"> </w:t>
      </w:r>
      <w:r w:rsidR="00CE706D" w:rsidRPr="002A1FC2">
        <w:t>perceived as a low priority, particularly amongst newly qualified midwives who felt their normality focused midwifery pre-registration</w:t>
      </w:r>
      <w:r w:rsidR="00627481" w:rsidRPr="002A1FC2">
        <w:t xml:space="preserve"> programme had</w:t>
      </w:r>
      <w:r w:rsidR="00CE706D" w:rsidRPr="002A1FC2">
        <w:t xml:space="preserve"> not prepare</w:t>
      </w:r>
      <w:r w:rsidR="00627481" w:rsidRPr="002A1FC2">
        <w:t>d</w:t>
      </w:r>
      <w:r w:rsidR="00CE706D" w:rsidRPr="002A1FC2">
        <w:t xml:space="preserve"> them for women with more complex health needs (Jeffery et al. 2017).</w:t>
      </w:r>
      <w:r w:rsidR="00CE706D">
        <w:t xml:space="preserve"> </w:t>
      </w:r>
    </w:p>
    <w:p w14:paraId="3658B7DB" w14:textId="77777777" w:rsidR="00CE706D" w:rsidRDefault="00CE706D" w:rsidP="00C47A59">
      <w:pPr>
        <w:pStyle w:val="NoSpacing"/>
      </w:pPr>
    </w:p>
    <w:p w14:paraId="2FD8CB0A" w14:textId="648DFE11" w:rsidR="00C47A59" w:rsidRPr="00C47A59" w:rsidRDefault="00162588" w:rsidP="00C47A59">
      <w:pPr>
        <w:pStyle w:val="NoSpacing"/>
      </w:pPr>
      <w:r w:rsidRPr="00162588">
        <w:lastRenderedPageBreak/>
        <w:t>Bick et al</w:t>
      </w:r>
      <w:r w:rsidR="00122F57">
        <w:t>.</w:t>
      </w:r>
      <w:r w:rsidRPr="00162588">
        <w:t xml:space="preserve"> (2012) </w:t>
      </w:r>
      <w:r w:rsidR="00CF5209">
        <w:t>introduced</w:t>
      </w:r>
      <w:r w:rsidRPr="00162588">
        <w:t xml:space="preserve"> </w:t>
      </w:r>
      <w:r w:rsidR="00CF5209" w:rsidRPr="00162588">
        <w:t>a symptom checklist to prompt early identification of maternal morbidity including the genital tract</w:t>
      </w:r>
      <w:r w:rsidR="003563B0">
        <w:t xml:space="preserve">, which </w:t>
      </w:r>
      <w:r w:rsidR="00756066">
        <w:t xml:space="preserve">resulted in </w:t>
      </w:r>
      <w:r w:rsidR="00CF5209" w:rsidRPr="00162588">
        <w:t>fewer</w:t>
      </w:r>
      <w:r w:rsidR="00AF1293" w:rsidRPr="00162588">
        <w:t xml:space="preserve"> women reporting heavy or offensive blood loss</w:t>
      </w:r>
      <w:r w:rsidR="00CF5209">
        <w:t xml:space="preserve"> and</w:t>
      </w:r>
      <w:r w:rsidR="00AF1293" w:rsidRPr="00162588">
        <w:t xml:space="preserve"> a more positive view </w:t>
      </w:r>
      <w:r w:rsidR="00B377E2">
        <w:t xml:space="preserve">of the care they had received, </w:t>
      </w:r>
      <w:r w:rsidR="00B377E2" w:rsidRPr="00B377E2">
        <w:t xml:space="preserve">suggesting such approaches, are of benefit. </w:t>
      </w:r>
      <w:r w:rsidR="000E49C0">
        <w:t>S</w:t>
      </w:r>
      <w:r w:rsidR="00B377E2" w:rsidRPr="00B377E2">
        <w:t xml:space="preserve">tudents in this study </w:t>
      </w:r>
      <w:r w:rsidR="000E49C0">
        <w:t xml:space="preserve">did not report having </w:t>
      </w:r>
      <w:r w:rsidR="00C47A59">
        <w:t>encountered symptom checklists, w</w:t>
      </w:r>
      <w:r w:rsidR="00C47A59" w:rsidRPr="00C47A59">
        <w:t>hic</w:t>
      </w:r>
      <w:r w:rsidR="00C47A59">
        <w:t>h may have provided a framework, to enhance early and detailed identification of maternal genital tract health.</w:t>
      </w:r>
    </w:p>
    <w:p w14:paraId="5196ACD5" w14:textId="49671D37" w:rsidR="002D0207" w:rsidRDefault="002D0207" w:rsidP="00C43B7F">
      <w:pPr>
        <w:pStyle w:val="NoSpacing"/>
      </w:pPr>
    </w:p>
    <w:p w14:paraId="58E75159" w14:textId="77777777" w:rsidR="00C43B7F" w:rsidRDefault="00C43B7F" w:rsidP="007773E0">
      <w:pPr>
        <w:pStyle w:val="NoSpacing"/>
        <w:rPr>
          <w:color w:val="C00000"/>
        </w:rPr>
      </w:pPr>
    </w:p>
    <w:p w14:paraId="1FC678F5" w14:textId="77777777" w:rsidR="00737BC8" w:rsidRPr="00DC0A31" w:rsidRDefault="00737BC8" w:rsidP="00D66CB3">
      <w:pPr>
        <w:pStyle w:val="NoSpacing"/>
        <w:rPr>
          <w:b/>
          <w:u w:val="single"/>
        </w:rPr>
      </w:pPr>
      <w:r w:rsidRPr="00DC0A31">
        <w:rPr>
          <w:b/>
          <w:u w:val="single"/>
        </w:rPr>
        <w:t>Access.</w:t>
      </w:r>
    </w:p>
    <w:p w14:paraId="238FD19D" w14:textId="77777777" w:rsidR="00270A89" w:rsidRDefault="00270A89" w:rsidP="00D66CB3">
      <w:pPr>
        <w:pStyle w:val="NoSpacing"/>
      </w:pPr>
    </w:p>
    <w:p w14:paraId="1C1B1597" w14:textId="13D8968F" w:rsidR="00737BC8" w:rsidRDefault="007D3DBC" w:rsidP="00D66CB3">
      <w:pPr>
        <w:pStyle w:val="NoSpacing"/>
      </w:pPr>
      <w:r>
        <w:t>T</w:t>
      </w:r>
      <w:r w:rsidR="00737BC8">
        <w:t xml:space="preserve">he students’ ability </w:t>
      </w:r>
      <w:r w:rsidR="00737BC8" w:rsidRPr="00960704">
        <w:t xml:space="preserve">to </w:t>
      </w:r>
      <w:r w:rsidR="00737BC8">
        <w:t xml:space="preserve">experience and subsequently </w:t>
      </w:r>
      <w:r w:rsidR="00737BC8" w:rsidRPr="00960704">
        <w:t>use a p</w:t>
      </w:r>
      <w:r w:rsidR="00737BC8">
        <w:t>articular GTA assessment method</w:t>
      </w:r>
      <w:r w:rsidR="00737BC8" w:rsidRPr="00960704">
        <w:t xml:space="preserve"> was influenced by </w:t>
      </w:r>
      <w:r w:rsidRPr="00960704">
        <w:t>their</w:t>
      </w:r>
      <w:r w:rsidR="00737BC8" w:rsidRPr="00960704">
        <w:t xml:space="preserve"> access</w:t>
      </w:r>
      <w:r w:rsidR="00737BC8">
        <w:t xml:space="preserve"> to associated </w:t>
      </w:r>
      <w:r w:rsidR="00737BC8" w:rsidRPr="00960704">
        <w:t>learning opportunities</w:t>
      </w:r>
      <w:r w:rsidR="00737BC8">
        <w:t xml:space="preserve"> in </w:t>
      </w:r>
      <w:r w:rsidR="00737BC8" w:rsidRPr="00DC0A31">
        <w:t>the</w:t>
      </w:r>
      <w:r w:rsidR="00C73F0B">
        <w:t xml:space="preserve"> practice setting</w:t>
      </w:r>
      <w:r w:rsidR="00737BC8">
        <w:t xml:space="preserve">.  </w:t>
      </w:r>
      <w:r w:rsidR="00C73F0B">
        <w:t>D</w:t>
      </w:r>
      <w:r w:rsidR="00737BC8">
        <w:t xml:space="preserve">ata subthemes emerged concerning </w:t>
      </w:r>
      <w:r w:rsidR="00737BC8" w:rsidRPr="00DC0A31">
        <w:t>ser</w:t>
      </w:r>
      <w:r w:rsidR="00CF5149">
        <w:t xml:space="preserve">vice provision </w:t>
      </w:r>
      <w:r w:rsidR="00BA75D3">
        <w:t>and pressures</w:t>
      </w:r>
      <w:r w:rsidR="009B77D7">
        <w:t>,</w:t>
      </w:r>
      <w:r w:rsidR="00BA75D3">
        <w:t xml:space="preserve"> and</w:t>
      </w:r>
      <w:r w:rsidR="00737BC8" w:rsidRPr="00DC0A31">
        <w:t xml:space="preserve"> mentoring</w:t>
      </w:r>
      <w:r w:rsidR="00BA75D3">
        <w:t xml:space="preserve"> practices</w:t>
      </w:r>
      <w:r w:rsidR="00C73F0B">
        <w:t xml:space="preserve">.  </w:t>
      </w:r>
    </w:p>
    <w:p w14:paraId="537A4024" w14:textId="77777777" w:rsidR="00737BC8" w:rsidRDefault="00737BC8" w:rsidP="00D66CB3">
      <w:pPr>
        <w:spacing w:after="0" w:line="240" w:lineRule="auto"/>
        <w:rPr>
          <w:b/>
          <w:u w:val="single"/>
        </w:rPr>
      </w:pPr>
    </w:p>
    <w:p w14:paraId="13FB879D" w14:textId="74D704AA" w:rsidR="00737BC8" w:rsidRPr="00DE5CA1" w:rsidRDefault="00737BC8" w:rsidP="00D66CB3">
      <w:pPr>
        <w:spacing w:after="0" w:line="240" w:lineRule="auto"/>
        <w:rPr>
          <w:b/>
        </w:rPr>
      </w:pPr>
      <w:r w:rsidRPr="00DE5CA1">
        <w:rPr>
          <w:b/>
        </w:rPr>
        <w:t xml:space="preserve">Service </w:t>
      </w:r>
      <w:r w:rsidR="00C47922">
        <w:rPr>
          <w:b/>
        </w:rPr>
        <w:t>Provision and P</w:t>
      </w:r>
      <w:r w:rsidRPr="00DE5CA1">
        <w:rPr>
          <w:b/>
        </w:rPr>
        <w:t>ressures</w:t>
      </w:r>
    </w:p>
    <w:p w14:paraId="1812169F" w14:textId="184B83ED" w:rsidR="00997A80" w:rsidRDefault="00737BC8" w:rsidP="00D66CB3">
      <w:pPr>
        <w:spacing w:after="0" w:line="240" w:lineRule="auto"/>
      </w:pPr>
      <w:r>
        <w:t>Whilst undertaking their midwifery programme, students in a cohort group are allocated to and provided with practice placements across a number of local NHS Trusts.  The maternity se</w:t>
      </w:r>
      <w:r w:rsidR="00985357">
        <w:t xml:space="preserve">rvices within these Trusts, </w:t>
      </w:r>
      <w:r>
        <w:t>have d</w:t>
      </w:r>
      <w:r w:rsidR="00C47922">
        <w:t>iffering approaches to service provision</w:t>
      </w:r>
      <w:r w:rsidR="009B77D7">
        <w:t xml:space="preserve"> which can impact </w:t>
      </w:r>
      <w:r>
        <w:t xml:space="preserve">on where, when and how students encounter practice experiences.  </w:t>
      </w:r>
      <w:r w:rsidR="00997A80">
        <w:t>The review of programme documents including placement plans, affirmed that postnatal experiences were explicitly identified, however such experiences var</w:t>
      </w:r>
      <w:r w:rsidR="00270A89">
        <w:t>ied</w:t>
      </w:r>
      <w:r w:rsidR="00997A80">
        <w:t xml:space="preserve">.  For example, </w:t>
      </w:r>
      <w:r w:rsidR="00270A89">
        <w:t xml:space="preserve">in </w:t>
      </w:r>
      <w:r w:rsidR="00997A80" w:rsidRPr="00997A80">
        <w:rPr>
          <w:rFonts w:eastAsiaTheme="minorEastAsia"/>
          <w:lang w:eastAsia="zh-CN"/>
        </w:rPr>
        <w:t>one local area the ‘postnatal ward</w:t>
      </w:r>
      <w:r w:rsidR="007901F5" w:rsidRPr="00997A80">
        <w:rPr>
          <w:rFonts w:eastAsiaTheme="minorEastAsia"/>
          <w:lang w:eastAsia="zh-CN"/>
        </w:rPr>
        <w:t>’ includes</w:t>
      </w:r>
      <w:r w:rsidR="00997A80" w:rsidRPr="00997A80">
        <w:rPr>
          <w:rFonts w:eastAsiaTheme="minorEastAsia"/>
          <w:lang w:eastAsia="zh-CN"/>
        </w:rPr>
        <w:t xml:space="preserve"> a birth triage service; early pregnancy assessment unit </w:t>
      </w:r>
      <w:r w:rsidR="00270A89">
        <w:rPr>
          <w:rFonts w:eastAsiaTheme="minorEastAsia"/>
          <w:lang w:eastAsia="zh-CN"/>
        </w:rPr>
        <w:t xml:space="preserve">and </w:t>
      </w:r>
      <w:r w:rsidR="00997A80" w:rsidRPr="00997A80">
        <w:rPr>
          <w:rFonts w:eastAsiaTheme="minorEastAsia"/>
          <w:lang w:eastAsia="zh-CN"/>
        </w:rPr>
        <w:t>women and ba</w:t>
      </w:r>
      <w:r w:rsidR="00997A80">
        <w:rPr>
          <w:rFonts w:eastAsiaTheme="minorEastAsia"/>
          <w:lang w:eastAsia="zh-CN"/>
        </w:rPr>
        <w:t xml:space="preserve">bies receiving postnatal care, whilst another service organised care around a </w:t>
      </w:r>
      <w:r w:rsidR="00953E12">
        <w:rPr>
          <w:rFonts w:eastAsiaTheme="minorEastAsia"/>
          <w:lang w:eastAsia="zh-CN"/>
        </w:rPr>
        <w:t>Labour, D</w:t>
      </w:r>
      <w:r w:rsidR="00997A80">
        <w:rPr>
          <w:rFonts w:eastAsiaTheme="minorEastAsia"/>
          <w:lang w:eastAsia="zh-CN"/>
        </w:rPr>
        <w:t>elivery</w:t>
      </w:r>
      <w:r w:rsidR="00953E12">
        <w:rPr>
          <w:rFonts w:eastAsiaTheme="minorEastAsia"/>
          <w:lang w:eastAsia="zh-CN"/>
        </w:rPr>
        <w:t>, Recovery and P</w:t>
      </w:r>
      <w:r w:rsidR="00953E12" w:rsidRPr="00953E12">
        <w:rPr>
          <w:rFonts w:eastAsiaTheme="minorEastAsia"/>
          <w:lang w:eastAsia="zh-CN"/>
        </w:rPr>
        <w:t>ostpartum Room (LDRP)</w:t>
      </w:r>
      <w:r w:rsidR="001062FD">
        <w:rPr>
          <w:rFonts w:eastAsiaTheme="minorEastAsia"/>
          <w:lang w:eastAsia="zh-CN"/>
        </w:rPr>
        <w:t>.</w:t>
      </w:r>
    </w:p>
    <w:p w14:paraId="11F25780" w14:textId="77777777" w:rsidR="00997A80" w:rsidRDefault="00997A80" w:rsidP="00D66CB3">
      <w:pPr>
        <w:spacing w:after="0" w:line="240" w:lineRule="auto"/>
      </w:pPr>
    </w:p>
    <w:p w14:paraId="5383A5B6" w14:textId="4C6DC088" w:rsidR="00737BC8" w:rsidRDefault="00737BC8" w:rsidP="00D66CB3">
      <w:pPr>
        <w:spacing w:after="0" w:line="240" w:lineRule="auto"/>
      </w:pPr>
      <w:r>
        <w:t>Some students suggested experience on a postnatal ward was useful for their developing skills.</w:t>
      </w:r>
    </w:p>
    <w:p w14:paraId="7C79105A" w14:textId="77777777" w:rsidR="00737BC8" w:rsidRDefault="00737BC8" w:rsidP="00D66CB3">
      <w:pPr>
        <w:spacing w:after="0" w:line="240" w:lineRule="auto"/>
      </w:pPr>
    </w:p>
    <w:p w14:paraId="033C8A5D" w14:textId="77777777" w:rsidR="004248A4" w:rsidRPr="004248A4" w:rsidRDefault="004248A4" w:rsidP="004248A4">
      <w:pPr>
        <w:spacing w:after="0" w:line="240" w:lineRule="auto"/>
        <w:rPr>
          <w:i/>
        </w:rPr>
      </w:pPr>
      <w:r w:rsidRPr="004248A4">
        <w:rPr>
          <w:i/>
        </w:rPr>
        <w:t xml:space="preserve">“I know with post natal ward, we inspect </w:t>
      </w:r>
      <w:r w:rsidRPr="004248A4">
        <w:t xml:space="preserve">[the woman’s perineum].”, </w:t>
      </w:r>
      <w:r w:rsidRPr="004248A4">
        <w:rPr>
          <w:i/>
        </w:rPr>
        <w:t xml:space="preserve">but not everyone. It just depends. But you’re more inclined to inspect </w:t>
      </w:r>
      <w:r w:rsidRPr="004248A4">
        <w:t>[on the postnatal ward]</w:t>
      </w:r>
      <w:r w:rsidRPr="004248A4">
        <w:rPr>
          <w:i/>
        </w:rPr>
        <w:t xml:space="preserve"> ST/M J L 245</w:t>
      </w:r>
    </w:p>
    <w:p w14:paraId="6FFF6F42" w14:textId="77777777" w:rsidR="00737BC8" w:rsidRDefault="00737BC8" w:rsidP="00D66CB3">
      <w:pPr>
        <w:spacing w:after="0" w:line="240" w:lineRule="auto"/>
      </w:pPr>
    </w:p>
    <w:p w14:paraId="355C3681" w14:textId="04E4F591" w:rsidR="00737BC8" w:rsidRDefault="00E529B6" w:rsidP="00D66CB3">
      <w:pPr>
        <w:spacing w:after="0" w:line="240" w:lineRule="auto"/>
      </w:pPr>
      <w:r>
        <w:t>O</w:t>
      </w:r>
      <w:r w:rsidR="00737BC8">
        <w:t>ther students suggested local service</w:t>
      </w:r>
      <w:r w:rsidR="00744C08">
        <w:t xml:space="preserve"> </w:t>
      </w:r>
      <w:r w:rsidR="00C47922">
        <w:t>provision</w:t>
      </w:r>
      <w:r w:rsidR="00737BC8">
        <w:t xml:space="preserve"> factors, including the demise of the postnatal ward, a reduction in postnatal length of stay and numbers of </w:t>
      </w:r>
      <w:r w:rsidR="00476CF2">
        <w:t xml:space="preserve">community </w:t>
      </w:r>
      <w:r w:rsidR="00737BC8">
        <w:t>postnatal visits</w:t>
      </w:r>
      <w:r w:rsidR="00EA373E">
        <w:t>,</w:t>
      </w:r>
      <w:r w:rsidR="00737BC8">
        <w:t xml:space="preserve"> reduced their opportunities to be involved in GTA.</w:t>
      </w:r>
      <w:r w:rsidR="004248A4">
        <w:t xml:space="preserve">  </w:t>
      </w:r>
      <w:r w:rsidR="004248A4" w:rsidRPr="004248A4">
        <w:t>This included a lack of opportunity to gain experience of reviewing the woman’s genital tract on more than one occasion.</w:t>
      </w:r>
    </w:p>
    <w:p w14:paraId="2DA3D2B3" w14:textId="77777777" w:rsidR="00737BC8" w:rsidRDefault="00737BC8" w:rsidP="00D66CB3">
      <w:pPr>
        <w:spacing w:after="0" w:line="240" w:lineRule="auto"/>
      </w:pPr>
    </w:p>
    <w:p w14:paraId="4DDE4174" w14:textId="0B14BCB3" w:rsidR="00737BC8" w:rsidRPr="00C729A7" w:rsidRDefault="004248A4" w:rsidP="00D66CB3">
      <w:pPr>
        <w:spacing w:after="0" w:line="240" w:lineRule="auto"/>
        <w:rPr>
          <w:i/>
        </w:rPr>
      </w:pPr>
      <w:r w:rsidRPr="00C729A7">
        <w:rPr>
          <w:i/>
        </w:rPr>
        <w:t>“The reduced visits and limited visit times makes it difficult to build a relationship with women and make them feel confident enough to report any problems or get their GT assessed.”</w:t>
      </w:r>
      <w:r w:rsidR="00B377E2" w:rsidRPr="00C729A7">
        <w:rPr>
          <w:i/>
        </w:rPr>
        <w:t xml:space="preserve"> </w:t>
      </w:r>
      <w:r w:rsidR="00C729A7" w:rsidRPr="00C729A7">
        <w:rPr>
          <w:i/>
        </w:rPr>
        <w:t>SSN 10</w:t>
      </w:r>
    </w:p>
    <w:p w14:paraId="5F399B73" w14:textId="4D74A8AB" w:rsidR="00737BC8" w:rsidRPr="00504173" w:rsidRDefault="00737BC8" w:rsidP="004B1CC8">
      <w:pPr>
        <w:spacing w:line="240" w:lineRule="auto"/>
        <w:contextualSpacing/>
        <w:rPr>
          <w:color w:val="00B050"/>
        </w:rPr>
      </w:pPr>
    </w:p>
    <w:p w14:paraId="400D7D0B" w14:textId="37F17EAB" w:rsidR="00737BC8" w:rsidRDefault="00E529B6" w:rsidP="00D66CB3">
      <w:pPr>
        <w:spacing w:after="0" w:line="240" w:lineRule="auto"/>
      </w:pPr>
      <w:r>
        <w:t>S</w:t>
      </w:r>
      <w:r w:rsidR="004248A4" w:rsidRPr="004248A4">
        <w:t xml:space="preserve">ome students </w:t>
      </w:r>
      <w:r w:rsidR="00737BC8">
        <w:t>highlighted how non midwifery placements can provide access to transferable learning concerning sepsis and wound healing.</w:t>
      </w:r>
    </w:p>
    <w:p w14:paraId="6082E8E9" w14:textId="3C36B6EA" w:rsidR="00737BC8" w:rsidRDefault="00737BC8" w:rsidP="00D66CB3">
      <w:pPr>
        <w:spacing w:after="0" w:line="240" w:lineRule="auto"/>
      </w:pPr>
    </w:p>
    <w:p w14:paraId="6856724F" w14:textId="7855D33C" w:rsidR="00B377E2" w:rsidRPr="00C729A7" w:rsidRDefault="00D87749" w:rsidP="00B377E2">
      <w:pPr>
        <w:spacing w:after="0" w:line="240" w:lineRule="auto"/>
        <w:rPr>
          <w:i/>
        </w:rPr>
      </w:pPr>
      <w:r w:rsidRPr="00C729A7">
        <w:rPr>
          <w:i/>
        </w:rPr>
        <w:t>“</w:t>
      </w:r>
      <w:r w:rsidR="004248A4" w:rsidRPr="00C729A7">
        <w:rPr>
          <w:i/>
        </w:rPr>
        <w:t>There has been a strong emphasis on the deteriorating patient which the non-midwifery placement helped to put into practice. This has been linked to sepsis and has increased my knowledge greatly.</w:t>
      </w:r>
      <w:r w:rsidRPr="00C729A7">
        <w:rPr>
          <w:i/>
        </w:rPr>
        <w:t>”</w:t>
      </w:r>
      <w:r w:rsidR="00B377E2" w:rsidRPr="00C729A7">
        <w:rPr>
          <w:i/>
          <w:highlight w:val="yellow"/>
        </w:rPr>
        <w:t xml:space="preserve"> </w:t>
      </w:r>
      <w:r w:rsidR="00C729A7" w:rsidRPr="00C729A7">
        <w:rPr>
          <w:i/>
        </w:rPr>
        <w:t>SSN 7</w:t>
      </w:r>
    </w:p>
    <w:p w14:paraId="1673C4CA" w14:textId="2BB44C4C" w:rsidR="00737BC8" w:rsidRDefault="00737BC8" w:rsidP="00D66CB3">
      <w:pPr>
        <w:spacing w:after="0" w:line="240" w:lineRule="auto"/>
      </w:pPr>
    </w:p>
    <w:p w14:paraId="725147FB" w14:textId="6F45BDDF" w:rsidR="00737BC8" w:rsidRDefault="00737BC8" w:rsidP="00D66CB3">
      <w:pPr>
        <w:spacing w:after="0" w:line="240" w:lineRule="auto"/>
      </w:pPr>
      <w:r>
        <w:t xml:space="preserve">The data also provided examples </w:t>
      </w:r>
      <w:r w:rsidR="00017ADE">
        <w:t xml:space="preserve">of </w:t>
      </w:r>
      <w:r>
        <w:t>service pressure</w:t>
      </w:r>
      <w:r w:rsidR="000D787A">
        <w:t xml:space="preserve">s which </w:t>
      </w:r>
      <w:r w:rsidR="00167A6A">
        <w:t>created tension</w:t>
      </w:r>
      <w:r>
        <w:t xml:space="preserve"> and competition between care priorities</w:t>
      </w:r>
      <w:r w:rsidR="002C3034">
        <w:t>,</w:t>
      </w:r>
      <w:r>
        <w:t xml:space="preserve"> which in turn impacted upon the students’ exposure and engagement in learning </w:t>
      </w:r>
      <w:r w:rsidR="004B1CC8">
        <w:t>experiences: -</w:t>
      </w:r>
      <w:r>
        <w:t xml:space="preserve">  </w:t>
      </w:r>
    </w:p>
    <w:p w14:paraId="334356C7" w14:textId="77777777" w:rsidR="00737BC8" w:rsidRDefault="00737BC8" w:rsidP="00D66CB3">
      <w:pPr>
        <w:spacing w:after="0" w:line="240" w:lineRule="auto"/>
      </w:pPr>
    </w:p>
    <w:p w14:paraId="3964EE07" w14:textId="77777777" w:rsidR="00737BC8" w:rsidRDefault="00737BC8" w:rsidP="00D66CB3">
      <w:pPr>
        <w:spacing w:after="0" w:line="240" w:lineRule="auto"/>
        <w:rPr>
          <w:i/>
        </w:rPr>
      </w:pPr>
      <w:r w:rsidRPr="0096692B">
        <w:rPr>
          <w:i/>
        </w:rPr>
        <w:t xml:space="preserve">“I don’t think I saw a single person’s perineum in </w:t>
      </w:r>
      <w:r>
        <w:rPr>
          <w:i/>
        </w:rPr>
        <w:t xml:space="preserve">eight weeks and I was on there </w:t>
      </w:r>
      <w:r w:rsidRPr="00B134CC">
        <w:t>[</w:t>
      </w:r>
      <w:r w:rsidRPr="0096692B">
        <w:t>postnatal ward</w:t>
      </w:r>
      <w:r w:rsidRPr="00B134CC">
        <w:t>]</w:t>
      </w:r>
      <w:r w:rsidRPr="0096692B">
        <w:rPr>
          <w:i/>
        </w:rPr>
        <w:t xml:space="preserve"> for that amount of time . . . </w:t>
      </w:r>
      <w:r>
        <w:rPr>
          <w:i/>
        </w:rPr>
        <w:t xml:space="preserve"> </w:t>
      </w:r>
      <w:r w:rsidRPr="0096692B">
        <w:rPr>
          <w:i/>
        </w:rPr>
        <w:t xml:space="preserve">We had a post natal ward mixed with an ante natal bay and the ante natal bay was where the majority of midwives’ energy was spent, because we’d have really sick women in </w:t>
      </w:r>
      <w:r w:rsidRPr="0096692B">
        <w:rPr>
          <w:i/>
        </w:rPr>
        <w:lastRenderedPageBreak/>
        <w:t xml:space="preserve">the ante natal bay, so I remember thinking: a lot of the time, I’d be in there stopping people’s IVs beeping and putting them on CTGs and doing all of that stuff” </w:t>
      </w:r>
      <w:r w:rsidRPr="009E187D">
        <w:t>STM A L 604</w:t>
      </w:r>
    </w:p>
    <w:p w14:paraId="700C654C" w14:textId="77777777" w:rsidR="00737BC8" w:rsidRDefault="00737BC8" w:rsidP="00D66CB3">
      <w:pPr>
        <w:spacing w:after="0" w:line="240" w:lineRule="auto"/>
        <w:rPr>
          <w:i/>
        </w:rPr>
      </w:pPr>
    </w:p>
    <w:p w14:paraId="2696FDE3" w14:textId="77777777" w:rsidR="00737BC8" w:rsidRDefault="00737BC8" w:rsidP="00D66CB3">
      <w:pPr>
        <w:spacing w:after="0" w:line="240" w:lineRule="auto"/>
      </w:pPr>
      <w:r>
        <w:t>These competing priorities were exacerbated when students were used as ‘extra hands’ to meet workplace demands.</w:t>
      </w:r>
    </w:p>
    <w:p w14:paraId="0996A8E3" w14:textId="77777777" w:rsidR="00737BC8" w:rsidRDefault="00737BC8" w:rsidP="00D66CB3">
      <w:pPr>
        <w:spacing w:after="0" w:line="240" w:lineRule="auto"/>
      </w:pPr>
    </w:p>
    <w:p w14:paraId="73D9C183" w14:textId="77777777" w:rsidR="00737BC8" w:rsidRPr="0096692B" w:rsidRDefault="00737BC8" w:rsidP="00D66CB3">
      <w:pPr>
        <w:spacing w:after="0" w:line="240" w:lineRule="auto"/>
      </w:pPr>
      <w:r w:rsidRPr="0096692B">
        <w:rPr>
          <w:i/>
        </w:rPr>
        <w:t>“I’m more used as an extra pair of hands to cut time short in all aspects, so it’s “</w:t>
      </w:r>
      <w:r w:rsidRPr="0096692B">
        <w:t xml:space="preserve">[Name], </w:t>
      </w:r>
      <w:r w:rsidRPr="0096692B">
        <w:rPr>
          <w:i/>
        </w:rPr>
        <w:t>can you do the baby and I’ll do the mum”, so then I kind of miss out on the mum.”</w:t>
      </w:r>
      <w:r>
        <w:t xml:space="preserve"> STM</w:t>
      </w:r>
      <w:r w:rsidRPr="0096692B">
        <w:t xml:space="preserve"> E L 247</w:t>
      </w:r>
    </w:p>
    <w:p w14:paraId="03E1AF83" w14:textId="77777777" w:rsidR="00737BC8" w:rsidRDefault="00737BC8" w:rsidP="00D66CB3">
      <w:pPr>
        <w:spacing w:after="0" w:line="240" w:lineRule="auto"/>
      </w:pPr>
    </w:p>
    <w:p w14:paraId="0416DDE1" w14:textId="66A154CF" w:rsidR="00737BC8" w:rsidRDefault="00737BC8" w:rsidP="00D66CB3">
      <w:pPr>
        <w:spacing w:after="0" w:line="240" w:lineRule="auto"/>
      </w:pPr>
      <w:r>
        <w:t xml:space="preserve">Underpinning these workplace pressures the students perceived the lack of time </w:t>
      </w:r>
      <w:r w:rsidR="00710C18">
        <w:t xml:space="preserve">as </w:t>
      </w:r>
      <w:r>
        <w:t>a key component</w:t>
      </w:r>
      <w:r w:rsidR="004C1BBB">
        <w:t xml:space="preserve"> both in</w:t>
      </w:r>
      <w:r>
        <w:t xml:space="preserve"> the community and hospital</w:t>
      </w:r>
      <w:r w:rsidR="004C1BBB">
        <w:t xml:space="preserve"> setting</w:t>
      </w:r>
      <w:r>
        <w:t>.</w:t>
      </w:r>
    </w:p>
    <w:p w14:paraId="7C4AB76F" w14:textId="77777777" w:rsidR="00737BC8" w:rsidRDefault="00737BC8" w:rsidP="00D66CB3">
      <w:pPr>
        <w:spacing w:after="0" w:line="240" w:lineRule="auto"/>
        <w:rPr>
          <w:i/>
        </w:rPr>
      </w:pPr>
    </w:p>
    <w:p w14:paraId="596C0E17" w14:textId="1D8E9DD2" w:rsidR="00737BC8" w:rsidRPr="009E187D" w:rsidRDefault="00710C18" w:rsidP="00D66CB3">
      <w:pPr>
        <w:spacing w:after="0" w:line="240" w:lineRule="auto"/>
      </w:pPr>
      <w:r w:rsidRPr="00812AE3">
        <w:rPr>
          <w:i/>
        </w:rPr>
        <w:t>“</w:t>
      </w:r>
      <w:r w:rsidR="00737BC8" w:rsidRPr="00812AE3">
        <w:rPr>
          <w:i/>
        </w:rPr>
        <w:t xml:space="preserve">There simply is not enough time to assess and question women in the </w:t>
      </w:r>
      <w:r w:rsidRPr="00812AE3">
        <w:rPr>
          <w:i/>
        </w:rPr>
        <w:t>post-natal period”.</w:t>
      </w:r>
      <w:r w:rsidR="00447764" w:rsidRPr="009E187D">
        <w:t xml:space="preserve"> SSN:23</w:t>
      </w:r>
    </w:p>
    <w:p w14:paraId="2165706F" w14:textId="77777777" w:rsidR="00737BC8" w:rsidRDefault="00737BC8" w:rsidP="00D66CB3">
      <w:pPr>
        <w:spacing w:after="0" w:line="240" w:lineRule="auto"/>
        <w:rPr>
          <w:color w:val="00B050"/>
        </w:rPr>
      </w:pPr>
    </w:p>
    <w:p w14:paraId="3DD98373" w14:textId="62D43D18" w:rsidR="005109D0" w:rsidRPr="00812A62" w:rsidRDefault="003D1F52" w:rsidP="00014C48">
      <w:pPr>
        <w:spacing w:after="0" w:line="240" w:lineRule="auto"/>
      </w:pPr>
      <w:r w:rsidRPr="00812A62">
        <w:rPr>
          <w:bCs/>
        </w:rPr>
        <w:t xml:space="preserve">This study suggests </w:t>
      </w:r>
      <w:r w:rsidR="006469B2">
        <w:rPr>
          <w:bCs/>
        </w:rPr>
        <w:t xml:space="preserve">that </w:t>
      </w:r>
      <w:r w:rsidRPr="00812A62">
        <w:rPr>
          <w:bCs/>
        </w:rPr>
        <w:t xml:space="preserve">for some </w:t>
      </w:r>
      <w:proofErr w:type="gramStart"/>
      <w:r w:rsidR="00775D77">
        <w:rPr>
          <w:bCs/>
        </w:rPr>
        <w:t>students</w:t>
      </w:r>
      <w:proofErr w:type="gramEnd"/>
      <w:r w:rsidRPr="00812A62">
        <w:rPr>
          <w:bCs/>
        </w:rPr>
        <w:t xml:space="preserve"> access to </w:t>
      </w:r>
      <w:r w:rsidR="00BA78B2" w:rsidRPr="00812A62">
        <w:rPr>
          <w:bCs/>
        </w:rPr>
        <w:t xml:space="preserve">GTA </w:t>
      </w:r>
      <w:r w:rsidR="00013863" w:rsidRPr="00812A62">
        <w:rPr>
          <w:bCs/>
        </w:rPr>
        <w:t xml:space="preserve">was limited by </w:t>
      </w:r>
      <w:r w:rsidR="00C3585C" w:rsidRPr="00812A62">
        <w:rPr>
          <w:bCs/>
        </w:rPr>
        <w:t>the</w:t>
      </w:r>
      <w:r w:rsidR="00471538" w:rsidRPr="00812A62">
        <w:rPr>
          <w:bCs/>
        </w:rPr>
        <w:t xml:space="preserve"> reduction</w:t>
      </w:r>
      <w:r w:rsidR="00C3585C" w:rsidRPr="00812A62">
        <w:rPr>
          <w:bCs/>
        </w:rPr>
        <w:t xml:space="preserve"> of </w:t>
      </w:r>
      <w:r w:rsidR="00013863" w:rsidRPr="00812A62">
        <w:rPr>
          <w:bCs/>
        </w:rPr>
        <w:t>postnatal</w:t>
      </w:r>
      <w:r w:rsidRPr="00812A62">
        <w:rPr>
          <w:bCs/>
        </w:rPr>
        <w:t xml:space="preserve"> service</w:t>
      </w:r>
      <w:r w:rsidR="00667E79">
        <w:rPr>
          <w:bCs/>
        </w:rPr>
        <w:t xml:space="preserve"> provision</w:t>
      </w:r>
      <w:r w:rsidR="00013863" w:rsidRPr="00812A62">
        <w:rPr>
          <w:bCs/>
        </w:rPr>
        <w:t xml:space="preserve">. </w:t>
      </w:r>
      <w:r w:rsidR="00BA78B2" w:rsidRPr="00812A62">
        <w:rPr>
          <w:bCs/>
        </w:rPr>
        <w:t xml:space="preserve"> </w:t>
      </w:r>
      <w:r w:rsidR="00667E79">
        <w:rPr>
          <w:bCs/>
        </w:rPr>
        <w:t>These changes, their intentions and impacts are documented and discussed widely wit</w:t>
      </w:r>
      <w:r w:rsidR="00AD7835">
        <w:rPr>
          <w:bCs/>
        </w:rPr>
        <w:t xml:space="preserve">hin the professional literature.  </w:t>
      </w:r>
      <w:proofErr w:type="spellStart"/>
      <w:r w:rsidR="008A5DE0">
        <w:t>Schmied</w:t>
      </w:r>
      <w:proofErr w:type="spellEnd"/>
      <w:r w:rsidR="008A5DE0">
        <w:t xml:space="preserve"> and</w:t>
      </w:r>
      <w:r w:rsidR="00667E79">
        <w:t xml:space="preserve"> Bick (</w:t>
      </w:r>
      <w:r w:rsidR="00667E79" w:rsidRPr="00812A62">
        <w:t>2014)</w:t>
      </w:r>
      <w:r w:rsidR="00B6130D">
        <w:t xml:space="preserve"> suggest changes to postnatal service provision</w:t>
      </w:r>
      <w:r w:rsidR="00667E79">
        <w:t xml:space="preserve"> </w:t>
      </w:r>
      <w:r w:rsidR="00775D77" w:rsidRPr="00812A62">
        <w:t xml:space="preserve">are based on limited evidence and driven by the needs of service providers rather than </w:t>
      </w:r>
      <w:r w:rsidR="00667E79">
        <w:t xml:space="preserve">those of the women.  </w:t>
      </w:r>
      <w:r w:rsidR="00AD7835">
        <w:t>This is corroborated by the findings of a UK survey of midwives, with t</w:t>
      </w:r>
      <w:r w:rsidR="00D50F25" w:rsidRPr="00812A62">
        <w:t xml:space="preserve">wo-thirds of midwives </w:t>
      </w:r>
      <w:r w:rsidR="00AD7835">
        <w:t>stating</w:t>
      </w:r>
      <w:r w:rsidR="005109D0" w:rsidRPr="00812A62">
        <w:t xml:space="preserve"> the greatest influence on</w:t>
      </w:r>
      <w:r w:rsidR="00D50F25" w:rsidRPr="00812A62">
        <w:t xml:space="preserve"> the number of p</w:t>
      </w:r>
      <w:r w:rsidR="00395C76" w:rsidRPr="00812A62">
        <w:t>ostnatal visits a woman received</w:t>
      </w:r>
      <w:r w:rsidR="00D50F25" w:rsidRPr="00812A62">
        <w:t xml:space="preserve"> was the pressure on the service </w:t>
      </w:r>
      <w:r w:rsidR="005109D0" w:rsidRPr="00812A62">
        <w:t xml:space="preserve">including staff </w:t>
      </w:r>
      <w:r w:rsidR="00D50F25" w:rsidRPr="00812A62">
        <w:t>shortage</w:t>
      </w:r>
      <w:r w:rsidR="005109D0" w:rsidRPr="00812A62">
        <w:t>s</w:t>
      </w:r>
      <w:r w:rsidR="00D50F25" w:rsidRPr="00812A62">
        <w:t xml:space="preserve"> (</w:t>
      </w:r>
      <w:r w:rsidR="005109D0" w:rsidRPr="00812A62">
        <w:t>RCM</w:t>
      </w:r>
      <w:r w:rsidR="008A5DE0">
        <w:t>,</w:t>
      </w:r>
      <w:r w:rsidR="005109D0" w:rsidRPr="00812A62">
        <w:t xml:space="preserve"> </w:t>
      </w:r>
      <w:r w:rsidR="00D50F25" w:rsidRPr="00812A62">
        <w:t xml:space="preserve">2014b).  </w:t>
      </w:r>
      <w:r w:rsidR="00FC3BE1">
        <w:t>Simultaneously, there has been an increase</w:t>
      </w:r>
      <w:r w:rsidR="00FC3BE1" w:rsidRPr="00812A62">
        <w:t xml:space="preserve"> in student numbers and higher practice hour requirements</w:t>
      </w:r>
      <w:r w:rsidR="00FC3BE1">
        <w:t xml:space="preserve"> placing pressure on limited practice placements (Marsh et al</w:t>
      </w:r>
      <w:r w:rsidR="008A5DE0">
        <w:t>.</w:t>
      </w:r>
      <w:r w:rsidR="00FC3BE1">
        <w:t xml:space="preserve"> 2015).  </w:t>
      </w:r>
      <w:r w:rsidR="006F7AA4">
        <w:t xml:space="preserve">Shorter </w:t>
      </w:r>
      <w:r w:rsidR="000D4DE9">
        <w:t>placement</w:t>
      </w:r>
      <w:r w:rsidR="006F7AA4">
        <w:t xml:space="preserve">s </w:t>
      </w:r>
      <w:r w:rsidR="000D4DE9">
        <w:t xml:space="preserve">can leave mentors </w:t>
      </w:r>
      <w:r w:rsidR="000D4DE9" w:rsidRPr="000D4DE9">
        <w:t>insufficient time to facilitate and assess learning</w:t>
      </w:r>
      <w:r w:rsidR="00C53D45">
        <w:rPr>
          <w:bCs/>
        </w:rPr>
        <w:t xml:space="preserve"> (</w:t>
      </w:r>
      <w:r w:rsidR="000D4DE9" w:rsidRPr="000D4DE9">
        <w:rPr>
          <w:bCs/>
        </w:rPr>
        <w:t>National Nursing Research Unit</w:t>
      </w:r>
      <w:r w:rsidR="008A5DE0">
        <w:rPr>
          <w:bCs/>
        </w:rPr>
        <w:t>,</w:t>
      </w:r>
      <w:r w:rsidR="000D4DE9" w:rsidRPr="000D4DE9">
        <w:rPr>
          <w:bCs/>
        </w:rPr>
        <w:t xml:space="preserve"> 2014).  </w:t>
      </w:r>
      <w:r w:rsidR="00986340" w:rsidRPr="00812A62">
        <w:t xml:space="preserve">These </w:t>
      </w:r>
      <w:r w:rsidR="00D64CA2">
        <w:t xml:space="preserve">national findings reflect the </w:t>
      </w:r>
      <w:r w:rsidR="00986340" w:rsidRPr="00812A62">
        <w:t xml:space="preserve">curricula in this study, with </w:t>
      </w:r>
      <w:r w:rsidR="00800B0F">
        <w:t xml:space="preserve">the reviewed </w:t>
      </w:r>
      <w:r w:rsidR="00986340" w:rsidRPr="00812A62">
        <w:t xml:space="preserve">curricula documentation reflecting </w:t>
      </w:r>
      <w:r w:rsidR="00800B0F">
        <w:t xml:space="preserve">difficulties </w:t>
      </w:r>
      <w:r w:rsidR="006A5210">
        <w:t xml:space="preserve">in </w:t>
      </w:r>
      <w:r w:rsidR="00800B0F">
        <w:t>reduced</w:t>
      </w:r>
      <w:r w:rsidR="00694C47" w:rsidRPr="00812A62">
        <w:t xml:space="preserve"> </w:t>
      </w:r>
      <w:r w:rsidR="00800B0F">
        <w:t xml:space="preserve">provision </w:t>
      </w:r>
      <w:r w:rsidR="00986340" w:rsidRPr="00812A62">
        <w:t xml:space="preserve">of postnatal experience </w:t>
      </w:r>
      <w:r w:rsidR="00D34859">
        <w:t xml:space="preserve">compared to </w:t>
      </w:r>
      <w:r w:rsidR="00986340" w:rsidRPr="00812A62">
        <w:t>a</w:t>
      </w:r>
      <w:r w:rsidR="00EA2CB9">
        <w:t>n</w:t>
      </w:r>
      <w:r w:rsidR="00986340" w:rsidRPr="00812A62">
        <w:t xml:space="preserve"> increasing number of students. </w:t>
      </w:r>
    </w:p>
    <w:p w14:paraId="1FBA0414" w14:textId="721AD6B8" w:rsidR="00D50F25" w:rsidRPr="00812A62" w:rsidRDefault="00D50F25" w:rsidP="00D50F25">
      <w:pPr>
        <w:spacing w:after="0" w:line="240" w:lineRule="auto"/>
      </w:pPr>
    </w:p>
    <w:p w14:paraId="443F2B2F" w14:textId="65651DBC" w:rsidR="00C92A08" w:rsidRPr="00812A62" w:rsidRDefault="00B46FA2" w:rsidP="00517F31">
      <w:pPr>
        <w:spacing w:after="0" w:line="240" w:lineRule="auto"/>
      </w:pPr>
      <w:r>
        <w:t>A</w:t>
      </w:r>
      <w:r w:rsidR="00DC1628">
        <w:t xml:space="preserve">ccess to postnatal learning experiences for students in this study were </w:t>
      </w:r>
      <w:r>
        <w:t xml:space="preserve">also hampered by </w:t>
      </w:r>
      <w:r w:rsidR="003D1F52" w:rsidRPr="00812A62">
        <w:rPr>
          <w:bCs/>
        </w:rPr>
        <w:t>competing demands upon their time.</w:t>
      </w:r>
      <w:r w:rsidR="00395C76" w:rsidRPr="00812A62">
        <w:rPr>
          <w:bCs/>
        </w:rPr>
        <w:t xml:space="preserve">  </w:t>
      </w:r>
      <w:r w:rsidR="00DC1628">
        <w:t>T</w:t>
      </w:r>
      <w:r w:rsidR="00635A27" w:rsidRPr="00812A62">
        <w:t>his r</w:t>
      </w:r>
      <w:r w:rsidR="00925481" w:rsidRPr="00812A62">
        <w:t>esonate</w:t>
      </w:r>
      <w:r w:rsidR="00DC1628">
        <w:t>s</w:t>
      </w:r>
      <w:r w:rsidR="00925481" w:rsidRPr="00812A62">
        <w:t xml:space="preserve"> with </w:t>
      </w:r>
      <w:r w:rsidR="00DC1628">
        <w:t>a</w:t>
      </w:r>
      <w:r w:rsidR="00297813" w:rsidRPr="00812A62">
        <w:t xml:space="preserve"> recent mixed methods study by Khan</w:t>
      </w:r>
      <w:r w:rsidR="00635A27" w:rsidRPr="00812A62">
        <w:t xml:space="preserve"> &amp; McIntyre (2016</w:t>
      </w:r>
      <w:r w:rsidRPr="00B46FA2">
        <w:t xml:space="preserve"> p. 348</w:t>
      </w:r>
      <w:r w:rsidR="00635A27" w:rsidRPr="00812A62">
        <w:t>) exploring the postnatal experiences of women and midwives</w:t>
      </w:r>
      <w:r>
        <w:t>, in which midwives</w:t>
      </w:r>
      <w:r w:rsidR="00635A27" w:rsidRPr="00812A62">
        <w:t xml:space="preserve"> identified staffing levels and lack of time as barriers to providing postnatal</w:t>
      </w:r>
      <w:r w:rsidR="00F258B4" w:rsidRPr="00812A62">
        <w:t xml:space="preserve"> women with appropriate support, with the midwives suggesting postnatal care is still seen as “the poor relation”. </w:t>
      </w:r>
      <w:r w:rsidR="006E3970" w:rsidRPr="00812A62">
        <w:t xml:space="preserve"> </w:t>
      </w:r>
      <w:r w:rsidR="00297813" w:rsidRPr="00812A62">
        <w:t xml:space="preserve"> Women have </w:t>
      </w:r>
      <w:r w:rsidR="00E45C20" w:rsidRPr="00812A62">
        <w:t xml:space="preserve">repeatedly </w:t>
      </w:r>
      <w:r w:rsidR="00297813" w:rsidRPr="00812A62">
        <w:t xml:space="preserve">voiced concerns </w:t>
      </w:r>
      <w:r w:rsidR="006469B2">
        <w:t xml:space="preserve">citing </w:t>
      </w:r>
      <w:r w:rsidR="00297813" w:rsidRPr="00812A62">
        <w:t>insufficient staff to provide the care and support they needed</w:t>
      </w:r>
      <w:r w:rsidR="00E45C20" w:rsidRPr="00812A62">
        <w:t xml:space="preserve"> </w:t>
      </w:r>
      <w:proofErr w:type="spellStart"/>
      <w:r w:rsidR="00E45C20" w:rsidRPr="00812A62">
        <w:t>pos</w:t>
      </w:r>
      <w:r w:rsidR="004B0FEC">
        <w:t>t</w:t>
      </w:r>
      <w:r w:rsidR="00E45C20" w:rsidRPr="00812A62">
        <w:t>n</w:t>
      </w:r>
      <w:r w:rsidR="004B0FEC">
        <w:t>a</w:t>
      </w:r>
      <w:r w:rsidR="00E45C20" w:rsidRPr="00812A62">
        <w:t>tally</w:t>
      </w:r>
      <w:proofErr w:type="spellEnd"/>
      <w:r w:rsidR="00D416D4" w:rsidRPr="00812A62">
        <w:t xml:space="preserve">, </w:t>
      </w:r>
      <w:r w:rsidR="000D2BDA">
        <w:t>to the detriment of</w:t>
      </w:r>
      <w:r w:rsidR="006469B2" w:rsidRPr="006469B2">
        <w:t xml:space="preserve"> focus upon their health needs </w:t>
      </w:r>
      <w:r w:rsidR="00C92A08" w:rsidRPr="00812A62">
        <w:t>(</w:t>
      </w:r>
      <w:r w:rsidR="008A5DE0">
        <w:t xml:space="preserve">Rudman and </w:t>
      </w:r>
      <w:proofErr w:type="spellStart"/>
      <w:r w:rsidR="00D416D4" w:rsidRPr="00812A62">
        <w:t>Waldenstrom</w:t>
      </w:r>
      <w:proofErr w:type="spellEnd"/>
      <w:r w:rsidR="008A5DE0">
        <w:t>,</w:t>
      </w:r>
      <w:r w:rsidR="00D416D4" w:rsidRPr="00812A62">
        <w:t xml:space="preserve"> 2007; </w:t>
      </w:r>
      <w:proofErr w:type="spellStart"/>
      <w:r w:rsidR="00D416D4" w:rsidRPr="00812A62">
        <w:t>Beake</w:t>
      </w:r>
      <w:proofErr w:type="spellEnd"/>
      <w:r w:rsidR="00D416D4" w:rsidRPr="00812A62">
        <w:t xml:space="preserve"> et al</w:t>
      </w:r>
      <w:r w:rsidR="008A5DE0">
        <w:t>.</w:t>
      </w:r>
      <w:r w:rsidR="00D416D4" w:rsidRPr="00812A62">
        <w:t xml:space="preserve"> 2010; </w:t>
      </w:r>
      <w:r w:rsidR="008A5DE0">
        <w:t>Khan and</w:t>
      </w:r>
      <w:r w:rsidR="00297813" w:rsidRPr="00812A62">
        <w:t xml:space="preserve"> McIntyre</w:t>
      </w:r>
      <w:r w:rsidR="008A5DE0">
        <w:t>,</w:t>
      </w:r>
      <w:r w:rsidR="00297813" w:rsidRPr="00812A62">
        <w:t xml:space="preserve"> </w:t>
      </w:r>
      <w:r w:rsidR="00C92A08" w:rsidRPr="00812A62">
        <w:t>2016)</w:t>
      </w:r>
      <w:r w:rsidR="00395AB9" w:rsidRPr="00812A62">
        <w:t xml:space="preserve">.  </w:t>
      </w:r>
      <w:r w:rsidR="00E45C20" w:rsidRPr="00812A62">
        <w:t xml:space="preserve">It appears that </w:t>
      </w:r>
      <w:r w:rsidR="00121724" w:rsidRPr="00812A62">
        <w:t>students’</w:t>
      </w:r>
      <w:r w:rsidR="00E45C20" w:rsidRPr="00812A62">
        <w:t xml:space="preserve"> access to postnatal experience is also compromised when the service is pressured, with less focus given to postnatal care. </w:t>
      </w:r>
    </w:p>
    <w:p w14:paraId="121738E7" w14:textId="77777777" w:rsidR="00E45C20" w:rsidRDefault="00E45C20" w:rsidP="00517F31">
      <w:pPr>
        <w:spacing w:after="0" w:line="240" w:lineRule="auto"/>
        <w:rPr>
          <w:color w:val="FF0000"/>
        </w:rPr>
      </w:pPr>
    </w:p>
    <w:p w14:paraId="6BB8BD1A" w14:textId="77777777" w:rsidR="00737BC8" w:rsidRDefault="00737BC8" w:rsidP="00D66CB3">
      <w:pPr>
        <w:spacing w:after="0" w:line="240" w:lineRule="auto"/>
        <w:rPr>
          <w:b/>
        </w:rPr>
      </w:pPr>
      <w:r w:rsidRPr="00D51382">
        <w:rPr>
          <w:b/>
        </w:rPr>
        <w:t>Mentoring Practices</w:t>
      </w:r>
    </w:p>
    <w:p w14:paraId="293B6FC7" w14:textId="2052B92D" w:rsidR="00737BC8" w:rsidRDefault="00737BC8" w:rsidP="00D66CB3">
      <w:pPr>
        <w:spacing w:after="0" w:line="240" w:lineRule="auto"/>
      </w:pPr>
      <w:r w:rsidRPr="00066E5B">
        <w:t>One of the most frequently cited influences</w:t>
      </w:r>
      <w:r w:rsidR="00F6442E">
        <w:t>’</w:t>
      </w:r>
      <w:r w:rsidRPr="00066E5B">
        <w:t xml:space="preserve"> </w:t>
      </w:r>
      <w:r w:rsidR="00492DC5">
        <w:t xml:space="preserve">regarding </w:t>
      </w:r>
      <w:r w:rsidRPr="00066E5B">
        <w:t xml:space="preserve">access to learning </w:t>
      </w:r>
      <w:r w:rsidR="00492DC5">
        <w:t>was the</w:t>
      </w:r>
      <w:r w:rsidR="00211A21">
        <w:t xml:space="preserve"> </w:t>
      </w:r>
      <w:r w:rsidR="00063C9A">
        <w:t>m</w:t>
      </w:r>
      <w:r>
        <w:t xml:space="preserve">entor. </w:t>
      </w:r>
      <w:r w:rsidR="00063C9A">
        <w:t xml:space="preserve">Students </w:t>
      </w:r>
      <w:r>
        <w:t xml:space="preserve">suggested some mentors had practice routines that they would continue whilst working with a student.  </w:t>
      </w:r>
    </w:p>
    <w:p w14:paraId="2277B5A4" w14:textId="77777777" w:rsidR="00BB5ED3" w:rsidRDefault="00BB5ED3" w:rsidP="00B32F36">
      <w:pPr>
        <w:spacing w:after="0" w:line="240" w:lineRule="auto"/>
        <w:rPr>
          <w:rFonts w:ascii="Calibri" w:eastAsia="Calibri" w:hAnsi="Calibri" w:cs="Times New Roman"/>
          <w:highlight w:val="yellow"/>
        </w:rPr>
      </w:pPr>
    </w:p>
    <w:p w14:paraId="4143569C" w14:textId="0A95735F" w:rsidR="00B32F36" w:rsidRPr="00137A58" w:rsidRDefault="00BB5ED3" w:rsidP="00B32F36">
      <w:pPr>
        <w:spacing w:after="0" w:line="240" w:lineRule="auto"/>
        <w:rPr>
          <w:rFonts w:ascii="Calibri" w:eastAsia="Calibri" w:hAnsi="Calibri" w:cs="Times New Roman"/>
        </w:rPr>
      </w:pPr>
      <w:r w:rsidRPr="00BB5ED3">
        <w:rPr>
          <w:rFonts w:ascii="Calibri" w:eastAsia="Calibri" w:hAnsi="Calibri" w:cs="Times New Roman"/>
          <w:i/>
        </w:rPr>
        <w:t xml:space="preserve"> </w:t>
      </w:r>
      <w:r w:rsidR="00B32F36" w:rsidRPr="00BB5ED3">
        <w:rPr>
          <w:rFonts w:ascii="Calibri" w:eastAsia="Calibri" w:hAnsi="Calibri" w:cs="Times New Roman"/>
          <w:i/>
        </w:rPr>
        <w:t xml:space="preserve">“I think it’s actually so mentor-specific sometimes, because the mentor I’ve just had on post natal was really good at that sort of assessment and that’s the first time I’ve come across somebody who’s so like… Open with like asking questions and particularly going through things with the woman as to what to look out for and what we want to see and that sort of thing.” </w:t>
      </w:r>
      <w:r w:rsidR="00B32F36" w:rsidRPr="00BB5ED3">
        <w:rPr>
          <w:rFonts w:ascii="Calibri" w:eastAsia="Calibri" w:hAnsi="Calibri" w:cs="Times New Roman"/>
        </w:rPr>
        <w:t>ST/M K L 319</w:t>
      </w:r>
    </w:p>
    <w:p w14:paraId="26100B32" w14:textId="77777777" w:rsidR="00737BC8" w:rsidRDefault="00737BC8" w:rsidP="00D66CB3">
      <w:pPr>
        <w:spacing w:after="0" w:line="240" w:lineRule="auto"/>
      </w:pPr>
    </w:p>
    <w:p w14:paraId="508A4266" w14:textId="742F99F7" w:rsidR="00737BC8" w:rsidRDefault="00737BC8" w:rsidP="00D66CB3">
      <w:pPr>
        <w:spacing w:after="0" w:line="240" w:lineRule="auto"/>
      </w:pPr>
      <w:r>
        <w:t>This meant that some students experienced repeated exposure to a range of GTA methods and practices or conversely very little.</w:t>
      </w:r>
    </w:p>
    <w:p w14:paraId="63221699" w14:textId="77777777" w:rsidR="00737BC8" w:rsidRDefault="00737BC8" w:rsidP="00D66CB3">
      <w:pPr>
        <w:spacing w:after="0" w:line="240" w:lineRule="auto"/>
      </w:pPr>
    </w:p>
    <w:p w14:paraId="2DC9D9BA" w14:textId="2B5B7270" w:rsidR="00737BC8" w:rsidRPr="003748AB" w:rsidRDefault="00710C18" w:rsidP="00710C18">
      <w:pPr>
        <w:spacing w:after="0" w:line="240" w:lineRule="auto"/>
      </w:pPr>
      <w:r w:rsidRPr="00F6442E">
        <w:rPr>
          <w:i/>
        </w:rPr>
        <w:lastRenderedPageBreak/>
        <w:t>“</w:t>
      </w:r>
      <w:r w:rsidR="00737BC8" w:rsidRPr="00F6442E">
        <w:rPr>
          <w:i/>
        </w:rPr>
        <w:t>I feel mentor</w:t>
      </w:r>
      <w:r w:rsidR="00CC5938" w:rsidRPr="00F6442E">
        <w:rPr>
          <w:i/>
        </w:rPr>
        <w:t>[s]</w:t>
      </w:r>
      <w:r w:rsidR="00737BC8" w:rsidRPr="00F6442E">
        <w:rPr>
          <w:i/>
        </w:rPr>
        <w:t xml:space="preserve"> build students</w:t>
      </w:r>
      <w:r w:rsidR="00297677" w:rsidRPr="00F6442E">
        <w:rPr>
          <w:i/>
        </w:rPr>
        <w:t>’</w:t>
      </w:r>
      <w:r w:rsidR="00737BC8" w:rsidRPr="00F6442E">
        <w:rPr>
          <w:i/>
        </w:rPr>
        <w:t xml:space="preserve"> hands on confidence in practice and if they do not assess genital tracts or teach you to, how are you expected to learn?</w:t>
      </w:r>
      <w:r w:rsidRPr="00F6442E">
        <w:rPr>
          <w:i/>
        </w:rPr>
        <w:t>”</w:t>
      </w:r>
      <w:r w:rsidR="00447764" w:rsidRPr="003748AB">
        <w:t xml:space="preserve"> SSN:14</w:t>
      </w:r>
    </w:p>
    <w:p w14:paraId="3840ECDE" w14:textId="77777777" w:rsidR="00737BC8" w:rsidRDefault="00737BC8" w:rsidP="00D66CB3">
      <w:pPr>
        <w:spacing w:after="0" w:line="240" w:lineRule="auto"/>
      </w:pPr>
    </w:p>
    <w:p w14:paraId="2DCBDDA3" w14:textId="6A769378" w:rsidR="00737BC8" w:rsidRDefault="00211A21" w:rsidP="00D66CB3">
      <w:pPr>
        <w:spacing w:after="0" w:line="240" w:lineRule="auto"/>
      </w:pPr>
      <w:r>
        <w:t>So</w:t>
      </w:r>
      <w:r w:rsidR="00737BC8">
        <w:t xml:space="preserve">me students suggested </w:t>
      </w:r>
      <w:r w:rsidR="00710C18">
        <w:t xml:space="preserve">in order </w:t>
      </w:r>
      <w:r w:rsidR="00342897">
        <w:t xml:space="preserve">to facilitate learning experiences </w:t>
      </w:r>
      <w:r w:rsidR="00737BC8">
        <w:t xml:space="preserve">their practice mentors adapted their usual practice regarding GTA.  </w:t>
      </w:r>
    </w:p>
    <w:p w14:paraId="010279A8" w14:textId="77777777" w:rsidR="00737BC8" w:rsidRDefault="00737BC8" w:rsidP="00D66CB3">
      <w:pPr>
        <w:spacing w:after="0" w:line="240" w:lineRule="auto"/>
      </w:pPr>
    </w:p>
    <w:p w14:paraId="5701C16D" w14:textId="77777777" w:rsidR="00737BC8" w:rsidRPr="006333C1" w:rsidRDefault="00737BC8" w:rsidP="00D66CB3">
      <w:pPr>
        <w:spacing w:after="0" w:line="240" w:lineRule="auto"/>
      </w:pPr>
      <w:r w:rsidRPr="006333C1">
        <w:rPr>
          <w:i/>
        </w:rPr>
        <w:t>“So I feel like it</w:t>
      </w:r>
      <w:r>
        <w:t xml:space="preserve"> [palpating the woman’s uterus]</w:t>
      </w:r>
      <w:r w:rsidRPr="006333C1">
        <w:t xml:space="preserve"> </w:t>
      </w:r>
      <w:r w:rsidRPr="006333C1">
        <w:rPr>
          <w:i/>
        </w:rPr>
        <w:t>probably was done for my benefit because I was there as a first year student”</w:t>
      </w:r>
      <w:r w:rsidRPr="006333C1">
        <w:t xml:space="preserve"> STM F L 128</w:t>
      </w:r>
    </w:p>
    <w:p w14:paraId="7966508E" w14:textId="77777777" w:rsidR="00737BC8" w:rsidRDefault="00737BC8" w:rsidP="00D66CB3">
      <w:pPr>
        <w:spacing w:after="0" w:line="240" w:lineRule="auto"/>
        <w:rPr>
          <w:b/>
        </w:rPr>
      </w:pPr>
    </w:p>
    <w:p w14:paraId="652D5AB5" w14:textId="339AD278" w:rsidR="00737BC8" w:rsidRDefault="00737BC8" w:rsidP="00D66CB3">
      <w:pPr>
        <w:spacing w:after="0" w:line="240" w:lineRule="auto"/>
      </w:pPr>
      <w:r w:rsidRPr="002F29FA">
        <w:t xml:space="preserve">This </w:t>
      </w:r>
      <w:r>
        <w:t xml:space="preserve">included mentors </w:t>
      </w:r>
      <w:r w:rsidR="00710C18">
        <w:t xml:space="preserve">sharing </w:t>
      </w:r>
      <w:r>
        <w:t xml:space="preserve">their clinical reasoning processes regarding GTA methods </w:t>
      </w:r>
      <w:r w:rsidR="00211A21">
        <w:t>with</w:t>
      </w:r>
      <w:r w:rsidR="00710C18">
        <w:t xml:space="preserve"> students</w:t>
      </w:r>
      <w:r>
        <w:t>.</w:t>
      </w:r>
    </w:p>
    <w:p w14:paraId="17FDCD2A" w14:textId="77777777" w:rsidR="00737BC8" w:rsidRDefault="00737BC8" w:rsidP="00D66CB3">
      <w:pPr>
        <w:spacing w:after="0" w:line="240" w:lineRule="auto"/>
        <w:rPr>
          <w:i/>
        </w:rPr>
      </w:pPr>
    </w:p>
    <w:p w14:paraId="7EB47DF3" w14:textId="3AA38D29" w:rsidR="00737BC8" w:rsidRPr="00D51382" w:rsidRDefault="00737BC8" w:rsidP="00D66CB3">
      <w:pPr>
        <w:spacing w:after="0" w:line="240" w:lineRule="auto"/>
        <w:rPr>
          <w:i/>
        </w:rPr>
      </w:pPr>
      <w:r w:rsidRPr="00D51382">
        <w:rPr>
          <w:i/>
        </w:rPr>
        <w:t>“She was so logical about it and she knew why we were doing it</w:t>
      </w:r>
      <w:r>
        <w:rPr>
          <w:i/>
        </w:rPr>
        <w:t xml:space="preserve"> </w:t>
      </w:r>
      <w:r w:rsidR="006F7332">
        <w:t>[GTA]</w:t>
      </w:r>
      <w:r>
        <w:t xml:space="preserve"> </w:t>
      </w:r>
      <w:r w:rsidRPr="00D51382">
        <w:rPr>
          <w:i/>
        </w:rPr>
        <w:t xml:space="preserve">and she could explain to me” </w:t>
      </w:r>
      <w:r w:rsidRPr="00B32F36">
        <w:t>STM A L 188</w:t>
      </w:r>
    </w:p>
    <w:p w14:paraId="6D50CE3B" w14:textId="77777777" w:rsidR="00737BC8" w:rsidRDefault="00737BC8" w:rsidP="00D66CB3">
      <w:pPr>
        <w:spacing w:after="0" w:line="240" w:lineRule="auto"/>
      </w:pPr>
    </w:p>
    <w:p w14:paraId="5004B07C" w14:textId="77777777" w:rsidR="00737BC8" w:rsidRPr="002F29FA" w:rsidRDefault="00737BC8" w:rsidP="00D66CB3">
      <w:pPr>
        <w:spacing w:after="0" w:line="240" w:lineRule="auto"/>
      </w:pPr>
      <w:r>
        <w:t xml:space="preserve">But this did not happen consistently. </w:t>
      </w:r>
    </w:p>
    <w:p w14:paraId="5EF3530C" w14:textId="77777777" w:rsidR="00737BC8" w:rsidRPr="00D51382" w:rsidRDefault="00737BC8" w:rsidP="00D66CB3">
      <w:pPr>
        <w:spacing w:after="0" w:line="240" w:lineRule="auto"/>
      </w:pPr>
    </w:p>
    <w:p w14:paraId="37C5D092" w14:textId="21AD6B1C" w:rsidR="00737BC8" w:rsidRPr="00821CD3" w:rsidRDefault="00737BC8" w:rsidP="00D66CB3">
      <w:pPr>
        <w:spacing w:after="0" w:line="240" w:lineRule="auto"/>
      </w:pPr>
      <w:r w:rsidRPr="00FC5E05">
        <w:rPr>
          <w:i/>
        </w:rPr>
        <w:t>“</w:t>
      </w:r>
      <w:r w:rsidRPr="00821CD3">
        <w:rPr>
          <w:i/>
        </w:rPr>
        <w:t>my first mentor that I ever had was very big on genital tract trau</w:t>
      </w:r>
      <w:r>
        <w:rPr>
          <w:i/>
        </w:rPr>
        <w:t>ma and feeling people’s fundus</w:t>
      </w:r>
      <w:r w:rsidRPr="00821CD3">
        <w:rPr>
          <w:i/>
        </w:rPr>
        <w:t xml:space="preserve"> and sepsis, she was very like, I don’t know if clued up is the right word but she like knew a lot of the research and she’d encourage me to go and look at the research, even at first year</w:t>
      </w:r>
      <w:r w:rsidRPr="00FC5E05">
        <w:rPr>
          <w:i/>
        </w:rPr>
        <w:t xml:space="preserve"> . . . </w:t>
      </w:r>
      <w:r w:rsidRPr="00821CD3">
        <w:rPr>
          <w:i/>
        </w:rPr>
        <w:t>other mentors that I have had have just sort of said ‘oh well we do it this way and that’s how we do it’.”</w:t>
      </w:r>
      <w:r w:rsidRPr="00900446">
        <w:t xml:space="preserve"> STM B L 275</w:t>
      </w:r>
    </w:p>
    <w:p w14:paraId="7C8B5E79" w14:textId="77777777" w:rsidR="008C4545" w:rsidRDefault="008C4545" w:rsidP="00D66CB3">
      <w:pPr>
        <w:spacing w:after="0" w:line="240" w:lineRule="auto"/>
        <w:rPr>
          <w:color w:val="FF0000"/>
        </w:rPr>
      </w:pPr>
    </w:p>
    <w:p w14:paraId="44E875F4" w14:textId="5D582CE4" w:rsidR="00B26040" w:rsidRPr="00383207" w:rsidRDefault="00824DC1" w:rsidP="00B26040">
      <w:pPr>
        <w:spacing w:after="0" w:line="240" w:lineRule="auto"/>
      </w:pPr>
      <w:r>
        <w:t xml:space="preserve">These findings </w:t>
      </w:r>
      <w:r w:rsidRPr="00FE2C2F">
        <w:t>suggest</w:t>
      </w:r>
      <w:r w:rsidR="003748AB" w:rsidRPr="00FE2C2F">
        <w:t xml:space="preserve"> students encountered a range of </w:t>
      </w:r>
      <w:r w:rsidR="003748AB">
        <w:t xml:space="preserve">GTA </w:t>
      </w:r>
      <w:r w:rsidR="003748AB" w:rsidRPr="00FE2C2F">
        <w:t>approaches</w:t>
      </w:r>
      <w:r w:rsidR="003748AB">
        <w:t xml:space="preserve">, which </w:t>
      </w:r>
      <w:r>
        <w:t xml:space="preserve">could vary </w:t>
      </w:r>
      <w:r w:rsidR="003748AB">
        <w:t>depending upon individual maternal need</w:t>
      </w:r>
      <w:r w:rsidR="003748AB" w:rsidRPr="00FE2C2F">
        <w:t>.</w:t>
      </w:r>
      <w:r w:rsidR="003748AB">
        <w:t xml:space="preserve">  </w:t>
      </w:r>
      <w:r w:rsidR="00D63061">
        <w:t>However,</w:t>
      </w:r>
      <w:r w:rsidR="007E56CF">
        <w:t xml:space="preserve"> </w:t>
      </w:r>
      <w:r w:rsidR="006F7332" w:rsidRPr="00FE2C2F">
        <w:t xml:space="preserve">there were inconsistencies </w:t>
      </w:r>
      <w:r w:rsidR="00D243CA">
        <w:t xml:space="preserve">in </w:t>
      </w:r>
      <w:r w:rsidR="00F05080">
        <w:t xml:space="preserve">the mentoring </w:t>
      </w:r>
      <w:r w:rsidR="00D63061">
        <w:t>approach that</w:t>
      </w:r>
      <w:r w:rsidR="005E58CC">
        <w:t xml:space="preserve"> resulted in varied </w:t>
      </w:r>
      <w:r w:rsidR="007E56CF">
        <w:t xml:space="preserve">access and </w:t>
      </w:r>
      <w:r w:rsidR="005E58CC">
        <w:t xml:space="preserve">opportunity to </w:t>
      </w:r>
      <w:r w:rsidR="007E56CF">
        <w:t>develop practice skills associated with GTA</w:t>
      </w:r>
      <w:r w:rsidR="001F3542" w:rsidRPr="00FE2C2F">
        <w:t xml:space="preserve">.  </w:t>
      </w:r>
      <w:r w:rsidR="00EB4561">
        <w:t>L</w:t>
      </w:r>
      <w:r w:rsidR="00F05080">
        <w:t xml:space="preserve">imited opportunities to rehearse skills in practice </w:t>
      </w:r>
      <w:r w:rsidR="002A09BC">
        <w:t xml:space="preserve">can </w:t>
      </w:r>
      <w:r w:rsidR="00F05080">
        <w:t xml:space="preserve">be problematic, with </w:t>
      </w:r>
      <w:r w:rsidR="00F05080" w:rsidRPr="00FE2C2F">
        <w:t xml:space="preserve">58% of the student midwives in </w:t>
      </w:r>
      <w:r w:rsidR="002A09BC">
        <w:t xml:space="preserve">a </w:t>
      </w:r>
      <w:r w:rsidR="00F05080">
        <w:t xml:space="preserve">study by </w:t>
      </w:r>
      <w:r w:rsidR="00F05080" w:rsidRPr="00FE2C2F">
        <w:t xml:space="preserve">Longworth (2013) </w:t>
      </w:r>
      <w:r w:rsidR="00F05080">
        <w:t>stating</w:t>
      </w:r>
      <w:r w:rsidR="00F05080" w:rsidRPr="00FE2C2F">
        <w:t xml:space="preserve"> they had not ha</w:t>
      </w:r>
      <w:r w:rsidR="00F05080">
        <w:t xml:space="preserve">d the opportunity to undertake </w:t>
      </w:r>
      <w:r w:rsidR="00F05080" w:rsidRPr="00FE2C2F">
        <w:t>skill</w:t>
      </w:r>
      <w:r w:rsidR="00F05080">
        <w:t>s</w:t>
      </w:r>
      <w:r w:rsidR="00F05080" w:rsidRPr="00FE2C2F">
        <w:t xml:space="preserve"> as often as they would have liked or receive support and feedback from the</w:t>
      </w:r>
      <w:r w:rsidR="002A09BC">
        <w:t>ir</w:t>
      </w:r>
      <w:r w:rsidR="00F05080" w:rsidRPr="00FE2C2F">
        <w:t xml:space="preserve"> mentor.  </w:t>
      </w:r>
      <w:r w:rsidR="00BB6F2C" w:rsidRPr="00FE2C2F">
        <w:t>The student midwives invo</w:t>
      </w:r>
      <w:r w:rsidR="00105FA2">
        <w:t>lved in the research by Hughes and</w:t>
      </w:r>
      <w:r w:rsidR="00BB6F2C" w:rsidRPr="00FE2C2F">
        <w:t xml:space="preserve"> Fraser (2011) identified a key quality of an effective mentor was being conscious of student learning needs and helping achievement; being an effective role model and taking time to discuss and reflect with students on experiences and care.  </w:t>
      </w:r>
    </w:p>
    <w:p w14:paraId="3D0A593D" w14:textId="3B095FE2" w:rsidR="00C134F6" w:rsidRDefault="00383207" w:rsidP="00383207">
      <w:pPr>
        <w:spacing w:after="0" w:line="240" w:lineRule="auto"/>
      </w:pPr>
      <w:proofErr w:type="spellStart"/>
      <w:r w:rsidRPr="00383207">
        <w:t>Cioffi</w:t>
      </w:r>
      <w:proofErr w:type="spellEnd"/>
      <w:r w:rsidRPr="00383207">
        <w:t xml:space="preserve"> (1998) discusses the potential of think aloud techniques as a means to enable student midwives to develop and rehearse their reasoning abilities.  </w:t>
      </w:r>
      <w:r>
        <w:t xml:space="preserve">Some of the students in this study </w:t>
      </w:r>
      <w:r w:rsidR="003507E2">
        <w:t xml:space="preserve">identified mentors utilising such strategies and </w:t>
      </w:r>
      <w:r w:rsidRPr="00383207">
        <w:t xml:space="preserve">highlighted the value of accessing the clinical reasoning </w:t>
      </w:r>
      <w:r w:rsidR="00D63061" w:rsidRPr="00383207">
        <w:t>processes, which</w:t>
      </w:r>
      <w:r w:rsidRPr="00383207">
        <w:t xml:space="preserve"> informed the mentors practice actions</w:t>
      </w:r>
      <w:r w:rsidR="00E32F38">
        <w:t xml:space="preserve">.  </w:t>
      </w:r>
      <w:r w:rsidR="00801FE9" w:rsidRPr="00801FE9">
        <w:t>This, however,</w:t>
      </w:r>
      <w:r w:rsidR="00E32F38">
        <w:t xml:space="preserve"> did not happen consistently.  </w:t>
      </w:r>
      <w:r w:rsidRPr="00383207">
        <w:t xml:space="preserve">If students are not provided access to clinical reasoning processes and opportunities to rehearse these skills, this may </w:t>
      </w:r>
      <w:r w:rsidR="00B26040" w:rsidRPr="00383207">
        <w:t>affect</w:t>
      </w:r>
      <w:r w:rsidR="00B26040">
        <w:t xml:space="preserve"> </w:t>
      </w:r>
      <w:r w:rsidRPr="00383207">
        <w:t>their ability to comprehend why GTA</w:t>
      </w:r>
      <w:r w:rsidR="00D243CA">
        <w:t>s</w:t>
      </w:r>
      <w:r w:rsidRPr="00383207">
        <w:t xml:space="preserve"> are undertaken (or not) and the development of reasoning skills.  </w:t>
      </w:r>
    </w:p>
    <w:p w14:paraId="2C76657A" w14:textId="77777777" w:rsidR="00C134F6" w:rsidRDefault="00C134F6" w:rsidP="00383207">
      <w:pPr>
        <w:spacing w:after="0" w:line="240" w:lineRule="auto"/>
      </w:pPr>
    </w:p>
    <w:p w14:paraId="75FE9330" w14:textId="4B123E6B" w:rsidR="00297677" w:rsidRPr="00FE2C2F" w:rsidRDefault="004463CD" w:rsidP="0053127B">
      <w:pPr>
        <w:spacing w:after="0" w:line="240" w:lineRule="auto"/>
      </w:pPr>
      <w:r w:rsidRPr="00FE2C2F">
        <w:t>In response to concerns about the quality of mentorship on a postnatal ward in England, Kroll et al</w:t>
      </w:r>
      <w:r w:rsidR="00A772A8">
        <w:t>.</w:t>
      </w:r>
      <w:r w:rsidRPr="00FE2C2F">
        <w:t xml:space="preserve"> (2009) undertook a mixed methods study involving student midwives, midwives and care assistants.  The study highlighted </w:t>
      </w:r>
      <w:r w:rsidR="00801FE9">
        <w:t xml:space="preserve">that </w:t>
      </w:r>
      <w:r w:rsidRPr="00FE2C2F">
        <w:t xml:space="preserve">students felt there were opportunities to learn on the ward, </w:t>
      </w:r>
      <w:r w:rsidR="00531252" w:rsidRPr="00FE2C2F">
        <w:t xml:space="preserve">but </w:t>
      </w:r>
      <w:r w:rsidRPr="00FE2C2F">
        <w:t xml:space="preserve">at </w:t>
      </w:r>
      <w:r w:rsidR="00E06A83" w:rsidRPr="00FE2C2F">
        <w:t>times,</w:t>
      </w:r>
      <w:r w:rsidR="00531252" w:rsidRPr="00FE2C2F">
        <w:t xml:space="preserve"> they felt unwelcome</w:t>
      </w:r>
      <w:r w:rsidR="00E06A83">
        <w:t xml:space="preserve">.  Heavy workloads reportedly impacted upon the </w:t>
      </w:r>
      <w:proofErr w:type="gramStart"/>
      <w:r w:rsidR="00E06A83">
        <w:t>midwives</w:t>
      </w:r>
      <w:proofErr w:type="gramEnd"/>
      <w:r w:rsidR="00E06A83">
        <w:t xml:space="preserve"> ability to identify learning opportunities and teach students, with some students left to work alone (Kroll et al 2009), these themes are also present within the study reported in this paper.  </w:t>
      </w:r>
      <w:r w:rsidR="000B7D3C">
        <w:t>The</w:t>
      </w:r>
      <w:r w:rsidRPr="00FE2C2F">
        <w:t xml:space="preserve"> </w:t>
      </w:r>
      <w:r w:rsidR="006756B6" w:rsidRPr="00FE2C2F">
        <w:t xml:space="preserve">Nursing and </w:t>
      </w:r>
      <w:r w:rsidR="00435111" w:rsidRPr="00FE2C2F">
        <w:t>Midwifery</w:t>
      </w:r>
      <w:r w:rsidR="006756B6" w:rsidRPr="00FE2C2F">
        <w:t xml:space="preserve"> </w:t>
      </w:r>
      <w:r w:rsidR="00435111" w:rsidRPr="00FE2C2F">
        <w:t>Council</w:t>
      </w:r>
      <w:r w:rsidR="006756B6" w:rsidRPr="00FE2C2F">
        <w:t xml:space="preserve"> identify a key </w:t>
      </w:r>
      <w:r w:rsidR="00E06A83">
        <w:t>mentoring role as the</w:t>
      </w:r>
      <w:r w:rsidR="006756B6" w:rsidRPr="00FE2C2F">
        <w:t xml:space="preserve"> </w:t>
      </w:r>
      <w:r w:rsidR="00E06A83">
        <w:t>facilitation</w:t>
      </w:r>
      <w:r w:rsidR="006756B6" w:rsidRPr="00FE2C2F">
        <w:t xml:space="preserve"> and assess</w:t>
      </w:r>
      <w:r w:rsidR="00E06A83">
        <w:t>ment of</w:t>
      </w:r>
      <w:r w:rsidR="006756B6" w:rsidRPr="00FE2C2F">
        <w:t xml:space="preserve"> </w:t>
      </w:r>
      <w:r w:rsidR="00435111" w:rsidRPr="00FE2C2F">
        <w:t xml:space="preserve">student </w:t>
      </w:r>
      <w:r w:rsidR="006756B6" w:rsidRPr="00FE2C2F">
        <w:t xml:space="preserve">learning within the practice context and recommend </w:t>
      </w:r>
      <w:r w:rsidR="00435111" w:rsidRPr="00FE2C2F">
        <w:t>protected time to undertake this activity (NMC</w:t>
      </w:r>
      <w:r w:rsidR="00A772A8">
        <w:t>,</w:t>
      </w:r>
      <w:r w:rsidR="00435111" w:rsidRPr="00FE2C2F">
        <w:t xml:space="preserve"> 2008)</w:t>
      </w:r>
      <w:r w:rsidR="00BC157B" w:rsidRPr="00FE2C2F">
        <w:t xml:space="preserve">.  </w:t>
      </w:r>
      <w:r w:rsidR="00FE2C2F" w:rsidRPr="00FE2C2F">
        <w:t>However,</w:t>
      </w:r>
      <w:r w:rsidR="00BC157B" w:rsidRPr="00FE2C2F">
        <w:t xml:space="preserve"> </w:t>
      </w:r>
      <w:r w:rsidR="00BC157B" w:rsidRPr="00FE2C2F">
        <w:rPr>
          <w:bCs/>
        </w:rPr>
        <w:t>the N</w:t>
      </w:r>
      <w:r w:rsidR="00A772A8">
        <w:rPr>
          <w:bCs/>
        </w:rPr>
        <w:t>ational Nursing Research Unit</w:t>
      </w:r>
      <w:r w:rsidR="00BC157B" w:rsidRPr="00FE2C2F">
        <w:rPr>
          <w:bCs/>
        </w:rPr>
        <w:t xml:space="preserve"> (2014) exploring the quality of mentorship</w:t>
      </w:r>
      <w:r w:rsidR="00BC157B" w:rsidRPr="00FE2C2F">
        <w:rPr>
          <w:b/>
          <w:bCs/>
        </w:rPr>
        <w:t xml:space="preserve"> </w:t>
      </w:r>
      <w:r w:rsidR="00BC157B" w:rsidRPr="00FE2C2F">
        <w:t xml:space="preserve">highlight staff have little reduction in their workload to facilitate student / mentor time.  This resonates with </w:t>
      </w:r>
      <w:r w:rsidR="00BC157B" w:rsidRPr="00FE2C2F">
        <w:lastRenderedPageBreak/>
        <w:t xml:space="preserve">the findings of this study, with </w:t>
      </w:r>
      <w:r w:rsidR="00BD2100">
        <w:t xml:space="preserve">some </w:t>
      </w:r>
      <w:r w:rsidR="00BC157B" w:rsidRPr="00FE2C2F">
        <w:t xml:space="preserve">students describing staff as </w:t>
      </w:r>
      <w:r w:rsidR="00C66D4A" w:rsidRPr="00FE2C2F">
        <w:t xml:space="preserve">too busy to facilitate their learning experiences.  </w:t>
      </w:r>
    </w:p>
    <w:p w14:paraId="527AA8E8" w14:textId="77777777" w:rsidR="007609F9" w:rsidRDefault="007609F9" w:rsidP="00D66CB3">
      <w:pPr>
        <w:spacing w:after="0" w:line="240" w:lineRule="auto"/>
        <w:rPr>
          <w:rFonts w:eastAsia="Calibri" w:cs="Arial"/>
          <w:color w:val="FF0000"/>
        </w:rPr>
      </w:pPr>
    </w:p>
    <w:p w14:paraId="6FD528EF" w14:textId="4EB15E64" w:rsidR="00C73F0B" w:rsidRPr="0033799C" w:rsidRDefault="00C73F0B" w:rsidP="00C06FDA">
      <w:pPr>
        <w:spacing w:after="0" w:line="240" w:lineRule="auto"/>
        <w:contextualSpacing/>
      </w:pPr>
    </w:p>
    <w:p w14:paraId="21115BE5" w14:textId="6E6F78B4" w:rsidR="00737BC8" w:rsidRPr="006D0E72" w:rsidRDefault="006D0E72" w:rsidP="00D66CB3">
      <w:pPr>
        <w:pStyle w:val="NoSpacing"/>
        <w:rPr>
          <w:b/>
          <w:u w:val="single"/>
        </w:rPr>
      </w:pPr>
      <w:r>
        <w:rPr>
          <w:b/>
          <w:u w:val="single"/>
        </w:rPr>
        <w:t xml:space="preserve">Actualisation </w:t>
      </w:r>
    </w:p>
    <w:p w14:paraId="27BF5594" w14:textId="77777777" w:rsidR="004961EA" w:rsidRDefault="004961EA" w:rsidP="00D66CB3">
      <w:pPr>
        <w:spacing w:after="0" w:line="240" w:lineRule="auto"/>
      </w:pPr>
    </w:p>
    <w:p w14:paraId="4FD97D4E" w14:textId="38D45C05" w:rsidR="007E5433" w:rsidRDefault="00FE1F7B" w:rsidP="00B02363">
      <w:pPr>
        <w:spacing w:after="0" w:line="240" w:lineRule="auto"/>
      </w:pPr>
      <w:r>
        <w:t>Actualisation</w:t>
      </w:r>
      <w:r w:rsidR="004961EA">
        <w:t xml:space="preserve"> is w</w:t>
      </w:r>
      <w:r w:rsidR="00DF1E94">
        <w:t xml:space="preserve">hen potential is realised and </w:t>
      </w:r>
      <w:r w:rsidR="003A4BB3">
        <w:t xml:space="preserve">within this study describes how </w:t>
      </w:r>
      <w:r w:rsidR="002C35E6">
        <w:t>the students assimilated</w:t>
      </w:r>
      <w:r w:rsidR="007E5433">
        <w:t>, integrated</w:t>
      </w:r>
      <w:r w:rsidR="002C35E6">
        <w:t xml:space="preserve"> and applied</w:t>
      </w:r>
      <w:r w:rsidR="007E5433">
        <w:t xml:space="preserve"> </w:t>
      </w:r>
      <w:r w:rsidR="00737BC8">
        <w:t xml:space="preserve">theory and practice </w:t>
      </w:r>
      <w:r w:rsidR="004961EA">
        <w:t xml:space="preserve">learning </w:t>
      </w:r>
      <w:r w:rsidR="00737BC8">
        <w:t>experiences</w:t>
      </w:r>
      <w:r w:rsidR="004961EA">
        <w:t xml:space="preserve"> into new clinical situations</w:t>
      </w:r>
      <w:r w:rsidR="00EA6954">
        <w:t xml:space="preserve"> and developed confidence in their GTA</w:t>
      </w:r>
      <w:r w:rsidR="004961EA">
        <w:t xml:space="preserve">.  </w:t>
      </w:r>
      <w:r w:rsidR="00737BC8">
        <w:t xml:space="preserve">This </w:t>
      </w:r>
      <w:r w:rsidR="003A4BB3">
        <w:t xml:space="preserve">process </w:t>
      </w:r>
      <w:r w:rsidR="004961EA">
        <w:t xml:space="preserve">appeared to </w:t>
      </w:r>
      <w:r w:rsidR="00737BC8">
        <w:t xml:space="preserve">create movement from superficial </w:t>
      </w:r>
      <w:r w:rsidR="00EA6954">
        <w:t>learning,</w:t>
      </w:r>
      <w:r w:rsidR="007E5433">
        <w:t xml:space="preserve"> which </w:t>
      </w:r>
      <w:r w:rsidR="00EA6954">
        <w:t xml:space="preserve">is </w:t>
      </w:r>
      <w:r w:rsidR="007E5433">
        <w:t xml:space="preserve">task orientated, </w:t>
      </w:r>
      <w:r w:rsidR="007E5433" w:rsidRPr="007E5433">
        <w:t xml:space="preserve">utilises memorising and </w:t>
      </w:r>
      <w:r w:rsidR="007E5433">
        <w:t>meets</w:t>
      </w:r>
      <w:r w:rsidR="007E5433" w:rsidRPr="007E5433">
        <w:t xml:space="preserve"> minimum programme and learning requirements</w:t>
      </w:r>
      <w:r w:rsidR="00EA6954">
        <w:t>;</w:t>
      </w:r>
      <w:r w:rsidR="007E5433" w:rsidRPr="007E5433">
        <w:t xml:space="preserve"> </w:t>
      </w:r>
      <w:r w:rsidR="007E5433">
        <w:t xml:space="preserve">to deep </w:t>
      </w:r>
      <w:r w:rsidR="00D63061">
        <w:t>learning, which</w:t>
      </w:r>
      <w:r w:rsidR="007E5433">
        <w:t xml:space="preserve"> </w:t>
      </w:r>
      <w:r w:rsidR="007E5433" w:rsidRPr="007E5433">
        <w:t xml:space="preserve">is holistic, </w:t>
      </w:r>
      <w:r w:rsidR="007E5433">
        <w:t>integrates ideas and develops</w:t>
      </w:r>
      <w:r w:rsidR="007E5433" w:rsidRPr="007E5433">
        <w:t xml:space="preserve"> personal understanding through active learning </w:t>
      </w:r>
      <w:r w:rsidR="00EA6954">
        <w:t>enabling</w:t>
      </w:r>
      <w:r w:rsidR="007E5433" w:rsidRPr="007E5433">
        <w:t xml:space="preserve"> knowledge transformation </w:t>
      </w:r>
      <w:r w:rsidR="007E5433">
        <w:t>(</w:t>
      </w:r>
      <w:proofErr w:type="spellStart"/>
      <w:r w:rsidR="007E5433">
        <w:t>Entwhistle</w:t>
      </w:r>
      <w:proofErr w:type="spellEnd"/>
      <w:r w:rsidR="00F74C0D">
        <w:t>,</w:t>
      </w:r>
      <w:r w:rsidR="007E5433">
        <w:t xml:space="preserve"> 2000).  </w:t>
      </w:r>
    </w:p>
    <w:p w14:paraId="6A2BEDB2" w14:textId="77777777" w:rsidR="00573D48" w:rsidRPr="00573D48" w:rsidRDefault="00573D48" w:rsidP="00B02363">
      <w:pPr>
        <w:spacing w:after="0" w:line="240" w:lineRule="auto"/>
      </w:pPr>
    </w:p>
    <w:p w14:paraId="29D8DD5E" w14:textId="0E1FB3AE" w:rsidR="00737BC8" w:rsidRPr="00C73F0B" w:rsidRDefault="00737BC8" w:rsidP="00D66CB3">
      <w:pPr>
        <w:spacing w:line="240" w:lineRule="auto"/>
        <w:rPr>
          <w:b/>
        </w:rPr>
      </w:pPr>
      <w:r w:rsidRPr="00C57BF5">
        <w:rPr>
          <w:b/>
        </w:rPr>
        <w:t>Knowing and doing</w:t>
      </w:r>
    </w:p>
    <w:p w14:paraId="2283BBC3" w14:textId="546A425B" w:rsidR="00C73F0B" w:rsidRDefault="00C73F0B" w:rsidP="00D66CB3">
      <w:pPr>
        <w:spacing w:after="0" w:line="240" w:lineRule="auto"/>
      </w:pPr>
      <w:r w:rsidRPr="007A624D">
        <w:t xml:space="preserve">Many students recalled </w:t>
      </w:r>
      <w:r w:rsidR="00E232C7">
        <w:t>specific p</w:t>
      </w:r>
      <w:r w:rsidRPr="007A624D">
        <w:t xml:space="preserve">rogramme content and sessions they felt had contributed </w:t>
      </w:r>
      <w:r>
        <w:t xml:space="preserve">to their </w:t>
      </w:r>
      <w:r w:rsidR="008571B9">
        <w:t>understanding</w:t>
      </w:r>
      <w:r w:rsidR="00DB77C8">
        <w:t xml:space="preserve"> of GTA</w:t>
      </w:r>
      <w:r w:rsidR="008571B9">
        <w:t>: -</w:t>
      </w:r>
    </w:p>
    <w:p w14:paraId="32C6E43C" w14:textId="77777777" w:rsidR="00C73F0B" w:rsidRDefault="00C73F0B" w:rsidP="00D66CB3">
      <w:pPr>
        <w:spacing w:after="0" w:line="240" w:lineRule="auto"/>
      </w:pPr>
    </w:p>
    <w:p w14:paraId="132E94B6" w14:textId="5D7E3B6B" w:rsidR="00C73F0B" w:rsidRDefault="00C73F0B" w:rsidP="00D66CB3">
      <w:pPr>
        <w:spacing w:after="0" w:line="240" w:lineRule="auto"/>
      </w:pPr>
      <w:r w:rsidRPr="00512077">
        <w:rPr>
          <w:i/>
        </w:rPr>
        <w:t>“</w:t>
      </w:r>
      <w:r w:rsidRPr="0033799C">
        <w:rPr>
          <w:i/>
        </w:rPr>
        <w:t xml:space="preserve">In university we had like anatomy and physiology seminar </w:t>
      </w:r>
      <w:r w:rsidRPr="00512077">
        <w:rPr>
          <w:i/>
        </w:rPr>
        <w:t>. . . And then we actually had</w:t>
      </w:r>
      <w:r w:rsidRPr="0033799C">
        <w:rPr>
          <w:i/>
        </w:rPr>
        <w:t xml:space="preserve"> a practical with the sim-mum doll and we could feel it </w:t>
      </w:r>
      <w:r>
        <w:t xml:space="preserve">[uterus] </w:t>
      </w:r>
      <w:r w:rsidRPr="0033799C">
        <w:rPr>
          <w:i/>
        </w:rPr>
        <w:t>there. And in our OSCE</w:t>
      </w:r>
      <w:r w:rsidR="00E232C7">
        <w:rPr>
          <w:i/>
        </w:rPr>
        <w:t>’</w:t>
      </w:r>
      <w:r w:rsidRPr="0033799C">
        <w:rPr>
          <w:i/>
        </w:rPr>
        <w:t>S as well, one of my OSCE</w:t>
      </w:r>
      <w:r w:rsidR="00E232C7">
        <w:rPr>
          <w:i/>
        </w:rPr>
        <w:t>’</w:t>
      </w:r>
      <w:r w:rsidRPr="0033799C">
        <w:rPr>
          <w:i/>
        </w:rPr>
        <w:t xml:space="preserve">S was a </w:t>
      </w:r>
      <w:r w:rsidR="00E232C7" w:rsidRPr="0033799C">
        <w:rPr>
          <w:i/>
        </w:rPr>
        <w:t>post-natal</w:t>
      </w:r>
      <w:r w:rsidRPr="0033799C">
        <w:rPr>
          <w:i/>
        </w:rPr>
        <w:t xml:space="preserve"> discharge check from mother and baby and so I automatically just felt the uterus.”</w:t>
      </w:r>
      <w:r w:rsidRPr="0033799C">
        <w:t xml:space="preserve"> STM G L 297</w:t>
      </w:r>
    </w:p>
    <w:p w14:paraId="713CD2C7" w14:textId="77777777" w:rsidR="00C73F0B" w:rsidRPr="0033799C" w:rsidRDefault="00C73F0B" w:rsidP="00D66CB3">
      <w:pPr>
        <w:spacing w:after="0" w:line="240" w:lineRule="auto"/>
      </w:pPr>
    </w:p>
    <w:p w14:paraId="7D0BC575" w14:textId="65445902" w:rsidR="00C73F0B" w:rsidRDefault="00C90BD9" w:rsidP="00D66CB3">
      <w:pPr>
        <w:spacing w:after="0" w:line="240" w:lineRule="auto"/>
      </w:pPr>
      <w:r>
        <w:rPr>
          <w:rFonts w:eastAsia="Times New Roman" w:cs="Times New Roman"/>
        </w:rPr>
        <w:t>However,</w:t>
      </w:r>
      <w:r w:rsidR="00C73F0B">
        <w:rPr>
          <w:rFonts w:eastAsia="Times New Roman" w:cs="Times New Roman"/>
        </w:rPr>
        <w:t xml:space="preserve"> s</w:t>
      </w:r>
      <w:r w:rsidR="00C73F0B">
        <w:t>ome students suggested the curr</w:t>
      </w:r>
      <w:r w:rsidR="007964FC">
        <w:t>icula content was broad</w:t>
      </w:r>
      <w:r w:rsidR="002C35E6">
        <w:t xml:space="preserve"> and there was less </w:t>
      </w:r>
      <w:r w:rsidR="00C73F0B">
        <w:t xml:space="preserve">curricula time and resources spent upon postnatal care including GTA than </w:t>
      </w:r>
      <w:r w:rsidR="007964FC">
        <w:t xml:space="preserve">on </w:t>
      </w:r>
      <w:r w:rsidR="00C73F0B">
        <w:t>other midwifery issues.</w:t>
      </w:r>
    </w:p>
    <w:p w14:paraId="47A31450" w14:textId="77777777" w:rsidR="00C73F0B" w:rsidRPr="0033799C" w:rsidRDefault="00C73F0B" w:rsidP="00D66CB3">
      <w:pPr>
        <w:spacing w:after="0" w:line="240" w:lineRule="auto"/>
      </w:pPr>
    </w:p>
    <w:p w14:paraId="564F0FD0" w14:textId="77777777" w:rsidR="00C73F0B" w:rsidRDefault="00C73F0B" w:rsidP="00D66CB3">
      <w:pPr>
        <w:spacing w:after="0" w:line="240" w:lineRule="auto"/>
        <w:rPr>
          <w:i/>
        </w:rPr>
      </w:pPr>
      <w:r w:rsidRPr="0033799C">
        <w:rPr>
          <w:i/>
        </w:rPr>
        <w:t>“I do remember covering it and we 100% will have done, because I have knowledge about it that I haven’t got just from placement. But I don’t remember it being very large. You know, there’s some areas that I feel like we’ve come back to lots, whereas that’s not one of them.” STM E L 377</w:t>
      </w:r>
    </w:p>
    <w:p w14:paraId="321E74BB" w14:textId="77777777" w:rsidR="00C73F0B" w:rsidRDefault="00C73F0B" w:rsidP="00D66CB3">
      <w:pPr>
        <w:spacing w:after="0" w:line="240" w:lineRule="auto"/>
      </w:pPr>
    </w:p>
    <w:p w14:paraId="66FFAFBB" w14:textId="45DBBF5C" w:rsidR="00E22FC3" w:rsidRDefault="00E232C7" w:rsidP="00D66CB3">
      <w:pPr>
        <w:spacing w:after="0" w:line="240" w:lineRule="auto"/>
      </w:pPr>
      <w:r>
        <w:t xml:space="preserve">The review of </w:t>
      </w:r>
      <w:r w:rsidR="00561FEB">
        <w:t xml:space="preserve">programme and module </w:t>
      </w:r>
      <w:r w:rsidR="00C73F0B">
        <w:t>documentation</w:t>
      </w:r>
      <w:r>
        <w:t xml:space="preserve"> </w:t>
      </w:r>
      <w:r w:rsidR="00C73F0B">
        <w:t xml:space="preserve">affirmed that </w:t>
      </w:r>
      <w:r>
        <w:t xml:space="preserve">theoretical content related to </w:t>
      </w:r>
      <w:r w:rsidR="004453E1">
        <w:t>maternal postnatal assessment</w:t>
      </w:r>
      <w:r w:rsidR="00C73F0B">
        <w:t xml:space="preserve"> and care were explicitly identified and occur</w:t>
      </w:r>
      <w:r>
        <w:t>red</w:t>
      </w:r>
      <w:r w:rsidR="00C73F0B">
        <w:t xml:space="preserve"> in e</w:t>
      </w:r>
      <w:r>
        <w:t xml:space="preserve">ach </w:t>
      </w:r>
      <w:r w:rsidR="00C73F0B">
        <w:t xml:space="preserve">year of the 3 year and shortened programmes.  However, the content tended to be </w:t>
      </w:r>
      <w:r>
        <w:t xml:space="preserve">a much smaller component of the module compared to other topic </w:t>
      </w:r>
      <w:r w:rsidR="00631A4E">
        <w:t xml:space="preserve">areas and the </w:t>
      </w:r>
      <w:r w:rsidR="00C73F0B">
        <w:t>assessments tended not to focus upon maternal postnatal midwifery care</w:t>
      </w:r>
      <w:r w:rsidR="00631A4E">
        <w:t xml:space="preserve">. </w:t>
      </w:r>
      <w:r w:rsidR="00E22FC3">
        <w:t xml:space="preserve"> </w:t>
      </w:r>
      <w:r w:rsidR="00E22FC3" w:rsidRPr="00E22FC3">
        <w:t xml:space="preserve">Where GTA was included in assessments it was as an option; one of a selection of essay titles from which students could choose.  </w:t>
      </w:r>
      <w:r w:rsidR="00462171" w:rsidRPr="00E22FC3">
        <w:t>Therefore,</w:t>
      </w:r>
      <w:r w:rsidR="00E22FC3" w:rsidRPr="00E22FC3">
        <w:t xml:space="preserve"> the potential exists in summative assessment activities that for the duration of the programme some students could choose not to focus on maternal postnatal assessment and care</w:t>
      </w:r>
    </w:p>
    <w:p w14:paraId="41AA67CF" w14:textId="654F8E21" w:rsidR="002C35E6" w:rsidRDefault="002C35E6" w:rsidP="008F7A45">
      <w:pPr>
        <w:spacing w:line="240" w:lineRule="auto"/>
        <w:contextualSpacing/>
        <w:rPr>
          <w:b/>
          <w:color w:val="00B050"/>
        </w:rPr>
      </w:pPr>
    </w:p>
    <w:p w14:paraId="661F4FE2" w14:textId="27D160EE" w:rsidR="00C56ADC" w:rsidRPr="00023137" w:rsidRDefault="00F13949" w:rsidP="00C56ADC">
      <w:pPr>
        <w:spacing w:line="240" w:lineRule="auto"/>
        <w:contextualSpacing/>
        <w:rPr>
          <w:rFonts w:eastAsia="Calibri" w:cs="Arial"/>
        </w:rPr>
      </w:pPr>
      <w:r w:rsidRPr="00023137">
        <w:rPr>
          <w:rFonts w:eastAsia="Calibri" w:cs="Arial"/>
        </w:rPr>
        <w:t>T</w:t>
      </w:r>
      <w:r w:rsidR="002C35E6" w:rsidRPr="00023137">
        <w:rPr>
          <w:rFonts w:eastAsia="Calibri" w:cs="Arial"/>
        </w:rPr>
        <w:t>he Midwives in Teaching (MINT) report suggest</w:t>
      </w:r>
      <w:r w:rsidR="00E9496A">
        <w:rPr>
          <w:rFonts w:eastAsia="Calibri" w:cs="Arial"/>
        </w:rPr>
        <w:t>s</w:t>
      </w:r>
      <w:r w:rsidR="002C35E6" w:rsidRPr="00023137">
        <w:rPr>
          <w:rFonts w:eastAsia="Calibri" w:cs="Arial"/>
        </w:rPr>
        <w:t xml:space="preserve"> that a range of practice and higher education based learning opportunities </w:t>
      </w:r>
      <w:r w:rsidR="00F74C0D">
        <w:rPr>
          <w:rFonts w:eastAsia="Calibri" w:cs="Arial"/>
        </w:rPr>
        <w:t xml:space="preserve">are valued by students (Fraser et al. </w:t>
      </w:r>
      <w:r w:rsidR="002C35E6" w:rsidRPr="00023137">
        <w:rPr>
          <w:rFonts w:eastAsia="Calibri" w:cs="Arial"/>
        </w:rPr>
        <w:t xml:space="preserve">2010).  </w:t>
      </w:r>
      <w:r w:rsidR="00C24BA0" w:rsidRPr="00023137">
        <w:rPr>
          <w:rFonts w:eastAsia="Calibri" w:cs="Arial"/>
        </w:rPr>
        <w:t>However,</w:t>
      </w:r>
      <w:r w:rsidR="002C35E6" w:rsidRPr="00023137">
        <w:rPr>
          <w:rFonts w:eastAsia="Calibri" w:cs="Arial"/>
        </w:rPr>
        <w:t xml:space="preserve"> the report also acknowledged that the midwifery curriculum is overcrowded, resulting</w:t>
      </w:r>
      <w:r w:rsidR="00F74C0D">
        <w:rPr>
          <w:rFonts w:eastAsia="Calibri" w:cs="Arial"/>
        </w:rPr>
        <w:t xml:space="preserve"> in curriculum deficits (Fraser </w:t>
      </w:r>
      <w:proofErr w:type="spellStart"/>
      <w:r w:rsidR="00F74C0D">
        <w:rPr>
          <w:rFonts w:eastAsia="Calibri" w:cs="Arial"/>
        </w:rPr>
        <w:t>er</w:t>
      </w:r>
      <w:proofErr w:type="spellEnd"/>
      <w:r w:rsidR="00F74C0D">
        <w:rPr>
          <w:rFonts w:eastAsia="Calibri" w:cs="Arial"/>
        </w:rPr>
        <w:t xml:space="preserve"> al. </w:t>
      </w:r>
      <w:r w:rsidR="002C35E6" w:rsidRPr="00023137">
        <w:rPr>
          <w:rFonts w:eastAsia="Calibri" w:cs="Arial"/>
        </w:rPr>
        <w:t xml:space="preserve">2010; </w:t>
      </w:r>
      <w:proofErr w:type="spellStart"/>
      <w:r w:rsidR="002C35E6" w:rsidRPr="00023137">
        <w:rPr>
          <w:rFonts w:eastAsia="Calibri" w:cs="Arial"/>
        </w:rPr>
        <w:t>Skirton</w:t>
      </w:r>
      <w:proofErr w:type="spellEnd"/>
      <w:r w:rsidR="002C35E6" w:rsidRPr="00023137">
        <w:rPr>
          <w:rFonts w:eastAsia="Calibri" w:cs="Arial"/>
        </w:rPr>
        <w:t xml:space="preserve"> et al</w:t>
      </w:r>
      <w:r w:rsidR="00F74C0D">
        <w:rPr>
          <w:rFonts w:eastAsia="Calibri" w:cs="Arial"/>
        </w:rPr>
        <w:t>.</w:t>
      </w:r>
      <w:r w:rsidR="00470D2C" w:rsidRPr="00023137">
        <w:rPr>
          <w:rFonts w:eastAsia="Calibri" w:cs="Arial"/>
        </w:rPr>
        <w:t xml:space="preserve"> 2012).  </w:t>
      </w:r>
      <w:r w:rsidR="00C24BA0" w:rsidRPr="00023137">
        <w:rPr>
          <w:rFonts w:eastAsia="Calibri" w:cs="Arial"/>
        </w:rPr>
        <w:t xml:space="preserve">The </w:t>
      </w:r>
      <w:r w:rsidRPr="00023137">
        <w:rPr>
          <w:rFonts w:eastAsia="Calibri" w:cs="Arial"/>
        </w:rPr>
        <w:t>findings from this study suggest</w:t>
      </w:r>
      <w:r w:rsidR="00561FEB" w:rsidRPr="00023137">
        <w:rPr>
          <w:rFonts w:eastAsia="Calibri" w:cs="Arial"/>
        </w:rPr>
        <w:t xml:space="preserve"> </w:t>
      </w:r>
      <w:r w:rsidRPr="00023137">
        <w:rPr>
          <w:rFonts w:eastAsia="Calibri" w:cs="Arial"/>
        </w:rPr>
        <w:t xml:space="preserve">theory </w:t>
      </w:r>
      <w:r w:rsidR="00561FEB" w:rsidRPr="00023137">
        <w:rPr>
          <w:rFonts w:eastAsia="Calibri" w:cs="Arial"/>
        </w:rPr>
        <w:t xml:space="preserve">overcrowding may result in </w:t>
      </w:r>
      <w:r w:rsidRPr="00023137">
        <w:rPr>
          <w:rFonts w:eastAsia="Calibri" w:cs="Arial"/>
        </w:rPr>
        <w:t>maternal postnatal assessment and care becoming</w:t>
      </w:r>
      <w:r w:rsidR="00561FEB" w:rsidRPr="00023137">
        <w:rPr>
          <w:rFonts w:eastAsia="Calibri" w:cs="Arial"/>
        </w:rPr>
        <w:t xml:space="preserve"> marginalised</w:t>
      </w:r>
      <w:r w:rsidR="00C82B99" w:rsidRPr="00023137">
        <w:rPr>
          <w:rFonts w:eastAsia="Calibri" w:cs="Arial"/>
        </w:rPr>
        <w:t xml:space="preserve">.  This may be </w:t>
      </w:r>
      <w:r w:rsidR="00FF451E" w:rsidRPr="00023137">
        <w:rPr>
          <w:rFonts w:eastAsia="Calibri" w:cs="Arial"/>
        </w:rPr>
        <w:t>intensified by</w:t>
      </w:r>
      <w:r w:rsidR="00563CBD" w:rsidRPr="00023137">
        <w:rPr>
          <w:rFonts w:eastAsia="Calibri" w:cs="Arial"/>
        </w:rPr>
        <w:t xml:space="preserve"> </w:t>
      </w:r>
      <w:r w:rsidR="00FF451E" w:rsidRPr="00023137">
        <w:rPr>
          <w:rFonts w:eastAsia="Calibri" w:cs="Arial"/>
        </w:rPr>
        <w:t xml:space="preserve">limited </w:t>
      </w:r>
      <w:r w:rsidR="00023137" w:rsidRPr="00023137">
        <w:rPr>
          <w:rFonts w:eastAsia="Calibri" w:cs="Arial"/>
        </w:rPr>
        <w:t>associated</w:t>
      </w:r>
      <w:r w:rsidR="00983CBC" w:rsidRPr="00023137">
        <w:rPr>
          <w:rFonts w:eastAsia="Calibri" w:cs="Arial"/>
        </w:rPr>
        <w:t xml:space="preserve"> </w:t>
      </w:r>
      <w:proofErr w:type="spellStart"/>
      <w:r w:rsidR="00983CBC" w:rsidRPr="00023137">
        <w:rPr>
          <w:rFonts w:eastAsia="Calibri" w:cs="Arial"/>
        </w:rPr>
        <w:t>summatively</w:t>
      </w:r>
      <w:proofErr w:type="spellEnd"/>
      <w:r w:rsidR="00983CBC" w:rsidRPr="00023137">
        <w:rPr>
          <w:rFonts w:eastAsia="Calibri" w:cs="Arial"/>
        </w:rPr>
        <w:t xml:space="preserve"> assess</w:t>
      </w:r>
      <w:r w:rsidR="002C5970">
        <w:rPr>
          <w:rFonts w:eastAsia="Calibri" w:cs="Arial"/>
        </w:rPr>
        <w:t>ed work</w:t>
      </w:r>
      <w:r w:rsidR="00C82B99" w:rsidRPr="00023137">
        <w:rPr>
          <w:rFonts w:eastAsia="Calibri" w:cs="Arial"/>
        </w:rPr>
        <w:t xml:space="preserve">, for as </w:t>
      </w:r>
      <w:r w:rsidR="00C56ADC" w:rsidRPr="00023137">
        <w:rPr>
          <w:rFonts w:eastAsia="Calibri" w:cs="Arial"/>
        </w:rPr>
        <w:t>Carter et al</w:t>
      </w:r>
      <w:r w:rsidR="00D84228">
        <w:rPr>
          <w:rFonts w:eastAsia="Calibri" w:cs="Arial"/>
        </w:rPr>
        <w:t>.</w:t>
      </w:r>
      <w:r w:rsidR="00C56ADC" w:rsidRPr="00023137">
        <w:rPr>
          <w:rFonts w:eastAsia="Calibri" w:cs="Arial"/>
        </w:rPr>
        <w:t xml:space="preserve"> (2014) suggest assessment can drive student learning and influence their behaviour, prompting them to engage more deeply with the content and therefore enhance learning. </w:t>
      </w:r>
    </w:p>
    <w:p w14:paraId="0EC2176F" w14:textId="77777777" w:rsidR="00023137" w:rsidRDefault="00023137" w:rsidP="00C56ADC">
      <w:pPr>
        <w:spacing w:line="240" w:lineRule="auto"/>
        <w:contextualSpacing/>
        <w:rPr>
          <w:rFonts w:eastAsia="Calibri" w:cs="Arial"/>
          <w:color w:val="FF0000"/>
        </w:rPr>
      </w:pPr>
    </w:p>
    <w:p w14:paraId="27B8105F" w14:textId="488065BA" w:rsidR="002C35E6" w:rsidRDefault="002C35E6" w:rsidP="00523A0A">
      <w:pPr>
        <w:spacing w:line="240" w:lineRule="auto"/>
        <w:contextualSpacing/>
        <w:rPr>
          <w:b/>
        </w:rPr>
      </w:pPr>
      <w:r>
        <w:rPr>
          <w:b/>
        </w:rPr>
        <w:t xml:space="preserve">Learning from and through </w:t>
      </w:r>
      <w:r w:rsidRPr="009141FC">
        <w:rPr>
          <w:b/>
        </w:rPr>
        <w:t>Experience</w:t>
      </w:r>
    </w:p>
    <w:p w14:paraId="162A62EF" w14:textId="77777777" w:rsidR="00B53ACA" w:rsidRDefault="00B53ACA" w:rsidP="002C35E6">
      <w:pPr>
        <w:spacing w:after="0" w:line="240" w:lineRule="auto"/>
        <w:ind w:right="-306"/>
      </w:pPr>
    </w:p>
    <w:p w14:paraId="5B58C72E" w14:textId="690EF7E7" w:rsidR="002C35E6" w:rsidRPr="00BA2559" w:rsidRDefault="002C35E6" w:rsidP="002C35E6">
      <w:pPr>
        <w:spacing w:after="0" w:line="240" w:lineRule="auto"/>
        <w:ind w:right="-306"/>
      </w:pPr>
      <w:r w:rsidRPr="00361467">
        <w:lastRenderedPageBreak/>
        <w:t xml:space="preserve">Although the </w:t>
      </w:r>
      <w:r>
        <w:t xml:space="preserve">majority of participants felt prepared for practice most identified that their learning became </w:t>
      </w:r>
      <w:r w:rsidR="002752BC">
        <w:t xml:space="preserve">really </w:t>
      </w:r>
      <w:r>
        <w:t xml:space="preserve">meaningful </w:t>
      </w:r>
      <w:r w:rsidRPr="00361467">
        <w:t xml:space="preserve">when </w:t>
      </w:r>
      <w:r>
        <w:t xml:space="preserve">it was encountered </w:t>
      </w:r>
      <w:r w:rsidRPr="00361467">
        <w:t xml:space="preserve">within their </w:t>
      </w:r>
      <w:r>
        <w:t xml:space="preserve">clinical midwifery </w:t>
      </w:r>
      <w:r w:rsidRPr="00361467">
        <w:t xml:space="preserve">practice. </w:t>
      </w:r>
    </w:p>
    <w:p w14:paraId="77DE122A" w14:textId="77777777" w:rsidR="002C35E6" w:rsidRPr="009141FC" w:rsidRDefault="002C35E6" w:rsidP="002C35E6">
      <w:pPr>
        <w:spacing w:after="0" w:line="240" w:lineRule="auto"/>
        <w:ind w:right="-3283"/>
        <w:rPr>
          <w:b/>
        </w:rPr>
      </w:pPr>
    </w:p>
    <w:p w14:paraId="1D6BC906" w14:textId="77777777" w:rsidR="002C35E6" w:rsidRDefault="002C35E6" w:rsidP="002C35E6">
      <w:pPr>
        <w:spacing w:after="0" w:line="240" w:lineRule="auto"/>
      </w:pPr>
      <w:r w:rsidRPr="00634E94">
        <w:rPr>
          <w:i/>
        </w:rPr>
        <w:t>“It’s only words on the paper until you actually go out on placement and you actually see the things, isn’t it?”</w:t>
      </w:r>
      <w:r w:rsidRPr="00634E94">
        <w:t xml:space="preserve"> STM B L 227</w:t>
      </w:r>
    </w:p>
    <w:p w14:paraId="4B0BB715" w14:textId="0ED1984A" w:rsidR="002C35E6" w:rsidRDefault="002C35E6" w:rsidP="002C35E6">
      <w:pPr>
        <w:spacing w:after="0" w:line="240" w:lineRule="auto"/>
      </w:pPr>
    </w:p>
    <w:p w14:paraId="1B7B7A8C" w14:textId="6EBCBED0" w:rsidR="002C35E6" w:rsidRDefault="002752BC" w:rsidP="002C35E6">
      <w:pPr>
        <w:spacing w:after="0" w:line="240" w:lineRule="auto"/>
      </w:pPr>
      <w:r w:rsidRPr="002752BC">
        <w:t>This was reflected in the survey where 19 students commented on factors</w:t>
      </w:r>
      <w:r w:rsidR="007A429C">
        <w:t xml:space="preserve"> positively</w:t>
      </w:r>
      <w:r w:rsidRPr="002752BC">
        <w:t xml:space="preserve"> influencing their confidence, with 16 highlighting the significance of the amount and variety of practice experience.  </w:t>
      </w:r>
      <w:r w:rsidR="002C35E6">
        <w:t xml:space="preserve">Case loading emerged favourably as this provided students with repeated contact with the woman during the childbirth continuum and enabled a reciprocal trusting relationship to develop.  </w:t>
      </w:r>
    </w:p>
    <w:p w14:paraId="6B18FF22" w14:textId="77777777" w:rsidR="002C35E6" w:rsidRPr="00C177D0" w:rsidRDefault="002C35E6" w:rsidP="002C35E6">
      <w:pPr>
        <w:spacing w:after="0" w:line="240" w:lineRule="auto"/>
        <w:rPr>
          <w:b/>
        </w:rPr>
      </w:pPr>
    </w:p>
    <w:p w14:paraId="2041A976" w14:textId="5D1EABE5" w:rsidR="007A429C" w:rsidRPr="007A429C" w:rsidRDefault="002C35E6" w:rsidP="007A429C">
      <w:pPr>
        <w:spacing w:line="240" w:lineRule="auto"/>
        <w:rPr>
          <w:i/>
        </w:rPr>
      </w:pPr>
      <w:r w:rsidRPr="00840875">
        <w:rPr>
          <w:i/>
        </w:rPr>
        <w:t xml:space="preserve">“from the point of view of good learning opportunities, certainly, case load, . . . provided a good opportunity to get to know someone . . .  so I think the fact that they know you and they have built a bit of trust and a built a relationship with the women they are more comfortable maybe with </w:t>
      </w:r>
      <w:proofErr w:type="gramStart"/>
      <w:r w:rsidRPr="00840875">
        <w:rPr>
          <w:i/>
        </w:rPr>
        <w:t>you”  STM</w:t>
      </w:r>
      <w:proofErr w:type="gramEnd"/>
      <w:r w:rsidRPr="00840875">
        <w:rPr>
          <w:i/>
        </w:rPr>
        <w:t xml:space="preserve"> H244</w:t>
      </w:r>
    </w:p>
    <w:p w14:paraId="6B78B04B" w14:textId="376098FD" w:rsidR="002C35E6" w:rsidRDefault="002C35E6" w:rsidP="002C35E6">
      <w:pPr>
        <w:spacing w:after="0" w:line="240" w:lineRule="auto"/>
      </w:pPr>
      <w:r w:rsidRPr="00D8116E">
        <w:t xml:space="preserve">Conversely </w:t>
      </w:r>
      <w:r>
        <w:t xml:space="preserve">those students who felt less confident in their assimilation and actualisation of GTA learning, tended to highlight concerns </w:t>
      </w:r>
      <w:r w:rsidR="00204C0F">
        <w:t xml:space="preserve">regarding </w:t>
      </w:r>
      <w:r>
        <w:t>access to r</w:t>
      </w:r>
      <w:r w:rsidR="00204C0F">
        <w:t>elevant midwifery experiences. Five</w:t>
      </w:r>
      <w:r w:rsidRPr="00D8116E">
        <w:t xml:space="preserve"> students </w:t>
      </w:r>
      <w:r>
        <w:t xml:space="preserve">in the survey who commented on </w:t>
      </w:r>
      <w:r w:rsidR="007A429C">
        <w:t>why they felt they lacked confidence</w:t>
      </w:r>
      <w:r w:rsidRPr="00D8116E">
        <w:t>, all mention</w:t>
      </w:r>
      <w:r>
        <w:t>ed</w:t>
      </w:r>
      <w:r w:rsidRPr="00D8116E">
        <w:t xml:space="preserve"> insufficient practice experience as a factor.</w:t>
      </w:r>
    </w:p>
    <w:p w14:paraId="101029C8" w14:textId="77777777" w:rsidR="002C35E6" w:rsidRDefault="002C35E6" w:rsidP="002C35E6">
      <w:pPr>
        <w:spacing w:after="0" w:line="240" w:lineRule="auto"/>
      </w:pPr>
    </w:p>
    <w:p w14:paraId="571F8CEF" w14:textId="77777777" w:rsidR="002C35E6" w:rsidRPr="00840875" w:rsidRDefault="002C35E6" w:rsidP="002C35E6">
      <w:pPr>
        <w:spacing w:after="0" w:line="240" w:lineRule="auto"/>
      </w:pPr>
      <w:r w:rsidRPr="001928FB">
        <w:rPr>
          <w:i/>
        </w:rPr>
        <w:t>“I do not have enough practical experience in assessing women’s perineum’</w:t>
      </w:r>
      <w:r w:rsidRPr="00F65EDC">
        <w:rPr>
          <w:i/>
        </w:rPr>
        <w:t>s”.</w:t>
      </w:r>
      <w:r w:rsidRPr="00840875">
        <w:t xml:space="preserve"> SSN:4</w:t>
      </w:r>
    </w:p>
    <w:p w14:paraId="2F94320D" w14:textId="058E3BBF" w:rsidR="006C0A5E" w:rsidRDefault="006C0A5E" w:rsidP="002C35E6">
      <w:pPr>
        <w:spacing w:after="0" w:line="240" w:lineRule="auto"/>
        <w:rPr>
          <w:i/>
          <w:color w:val="FF0000"/>
        </w:rPr>
      </w:pPr>
    </w:p>
    <w:p w14:paraId="29C76922" w14:textId="68CC2CFE" w:rsidR="00015A6D" w:rsidRDefault="00015A6D" w:rsidP="00015A6D">
      <w:pPr>
        <w:spacing w:after="0" w:line="240" w:lineRule="auto"/>
        <w:rPr>
          <w:color w:val="FF0000"/>
        </w:rPr>
      </w:pPr>
      <w:r w:rsidRPr="00B53ACA">
        <w:t>The review of practice guidance and assessment documentation, affirmed that postnatal experiences were explicit, how</w:t>
      </w:r>
      <w:r w:rsidR="00706A00">
        <w:t>ever</w:t>
      </w:r>
      <w:r w:rsidRPr="00B53ACA">
        <w:t xml:space="preserve"> criteria were articulated in broad statements, for example, “undertakes a postnatal assessment which includes physical, social </w:t>
      </w:r>
      <w:r w:rsidR="00706A00">
        <w:t>and mental well-being”.  This was</w:t>
      </w:r>
      <w:r w:rsidRPr="00B53ACA">
        <w:t xml:space="preserve"> in contrast with practice documentation concerning other aspects of midwifery care, such as labour, birth and breastfeeding support, </w:t>
      </w:r>
      <w:r w:rsidR="00706A00">
        <w:t xml:space="preserve">where more detailed criteria were provided.  This </w:t>
      </w:r>
      <w:r w:rsidRPr="00B53ACA">
        <w:t xml:space="preserve">lack of detailed guidance could </w:t>
      </w:r>
      <w:r w:rsidR="00706A00">
        <w:t xml:space="preserve">perhaps result in less emphasis </w:t>
      </w:r>
      <w:r w:rsidRPr="00B53ACA">
        <w:t>on maternal postnatal assessment by both student and mentor.</w:t>
      </w:r>
      <w:r>
        <w:t xml:space="preserve">  </w:t>
      </w:r>
    </w:p>
    <w:p w14:paraId="22F6104A" w14:textId="77777777" w:rsidR="00015A6D" w:rsidRDefault="00015A6D" w:rsidP="002C35E6">
      <w:pPr>
        <w:spacing w:after="0" w:line="240" w:lineRule="auto"/>
        <w:rPr>
          <w:i/>
          <w:color w:val="FF0000"/>
        </w:rPr>
      </w:pPr>
    </w:p>
    <w:p w14:paraId="21913CF4" w14:textId="0768EB14" w:rsidR="00A534E2" w:rsidRPr="00B53ACA" w:rsidRDefault="006C0A5E" w:rsidP="00B53ACA">
      <w:pPr>
        <w:spacing w:after="0" w:line="240" w:lineRule="auto"/>
      </w:pPr>
      <w:r w:rsidRPr="00B53ACA">
        <w:rPr>
          <w:rFonts w:eastAsia="Calibri" w:cs="Arial"/>
        </w:rPr>
        <w:t>Learning from and through practice is an important component of professional skill acquisition (</w:t>
      </w:r>
      <w:proofErr w:type="spellStart"/>
      <w:r w:rsidRPr="00B53ACA">
        <w:rPr>
          <w:rFonts w:eastAsia="Calibri" w:cs="Arial"/>
        </w:rPr>
        <w:t>Eraut</w:t>
      </w:r>
      <w:proofErr w:type="spellEnd"/>
      <w:r w:rsidR="00674498">
        <w:rPr>
          <w:rFonts w:eastAsia="Calibri" w:cs="Arial"/>
        </w:rPr>
        <w:t>,</w:t>
      </w:r>
      <w:r w:rsidRPr="00B53ACA">
        <w:rPr>
          <w:rFonts w:eastAsia="Calibri" w:cs="Arial"/>
        </w:rPr>
        <w:t xml:space="preserve"> 2004; Longworth</w:t>
      </w:r>
      <w:r w:rsidR="00674498">
        <w:rPr>
          <w:rFonts w:eastAsia="Calibri" w:cs="Arial"/>
        </w:rPr>
        <w:t>, 2013</w:t>
      </w:r>
      <w:r w:rsidRPr="00B53ACA">
        <w:rPr>
          <w:rFonts w:eastAsia="Calibri" w:cs="Arial"/>
        </w:rPr>
        <w:t xml:space="preserve">).  </w:t>
      </w:r>
      <w:r w:rsidR="008535C1" w:rsidRPr="00B53ACA">
        <w:rPr>
          <w:rFonts w:eastAsia="Calibri" w:cs="Arial"/>
        </w:rPr>
        <w:t xml:space="preserve">Health Education England emphasises the importance of practice experience for student learning concluding </w:t>
      </w:r>
      <w:r w:rsidR="002C35E6" w:rsidRPr="00B53ACA">
        <w:rPr>
          <w:i/>
        </w:rPr>
        <w:t>“</w:t>
      </w:r>
      <w:r w:rsidR="008535C1" w:rsidRPr="00B53ACA">
        <w:rPr>
          <w:bCs/>
          <w:i/>
        </w:rPr>
        <w:t>t</w:t>
      </w:r>
      <w:r w:rsidR="002C35E6" w:rsidRPr="00B53ACA">
        <w:rPr>
          <w:bCs/>
          <w:i/>
        </w:rPr>
        <w:t>here is significant evidence that students trying out in practice and assimilating what works in the real world is the fundamental mechanism that embeds theoretical le</w:t>
      </w:r>
      <w:r w:rsidR="00840BB5">
        <w:rPr>
          <w:bCs/>
          <w:i/>
        </w:rPr>
        <w:t>arning into practical expertise</w:t>
      </w:r>
      <w:r w:rsidR="002C35E6" w:rsidRPr="00B53ACA">
        <w:rPr>
          <w:bCs/>
          <w:i/>
        </w:rPr>
        <w:t>”</w:t>
      </w:r>
      <w:r w:rsidR="008535C1" w:rsidRPr="00B53ACA">
        <w:rPr>
          <w:bCs/>
        </w:rPr>
        <w:t xml:space="preserve"> </w:t>
      </w:r>
      <w:r w:rsidR="00840BB5">
        <w:rPr>
          <w:bCs/>
        </w:rPr>
        <w:t>(Devlin et al</w:t>
      </w:r>
      <w:r w:rsidR="00E373C7">
        <w:rPr>
          <w:bCs/>
        </w:rPr>
        <w:t>.</w:t>
      </w:r>
      <w:r w:rsidR="00840BB5">
        <w:rPr>
          <w:bCs/>
        </w:rPr>
        <w:t xml:space="preserve"> </w:t>
      </w:r>
      <w:r w:rsidR="008535C1" w:rsidRPr="00B53ACA">
        <w:rPr>
          <w:bCs/>
        </w:rPr>
        <w:t>2014</w:t>
      </w:r>
      <w:r w:rsidR="00840875" w:rsidRPr="00B53ACA">
        <w:rPr>
          <w:bCs/>
        </w:rPr>
        <w:t xml:space="preserve"> p.6</w:t>
      </w:r>
      <w:r w:rsidR="008535C1" w:rsidRPr="00B53ACA">
        <w:rPr>
          <w:bCs/>
        </w:rPr>
        <w:t xml:space="preserve">).  </w:t>
      </w:r>
      <w:r w:rsidR="00B53ACA" w:rsidRPr="00B53ACA">
        <w:t>Transformative learning theory suggests it is important that students are provided with experiences to test and explore new perspectives</w:t>
      </w:r>
      <w:r w:rsidR="008D697C">
        <w:t xml:space="preserve">, </w:t>
      </w:r>
      <w:r w:rsidR="008D697C" w:rsidRPr="00B53ACA">
        <w:t>to move from a state of awareness, superficial learning, to actualisatio</w:t>
      </w:r>
      <w:r w:rsidR="008D697C">
        <w:t>n, deep learning and confidence</w:t>
      </w:r>
      <w:r w:rsidR="008D697C" w:rsidRPr="00B53ACA">
        <w:t xml:space="preserve"> </w:t>
      </w:r>
      <w:r w:rsidR="00E373C7">
        <w:t>(</w:t>
      </w:r>
      <w:proofErr w:type="spellStart"/>
      <w:r w:rsidR="00E373C7">
        <w:t>Mezirow</w:t>
      </w:r>
      <w:proofErr w:type="spellEnd"/>
      <w:r w:rsidR="00E373C7">
        <w:t xml:space="preserve"> and</w:t>
      </w:r>
      <w:r w:rsidR="005D4995">
        <w:t xml:space="preserve"> </w:t>
      </w:r>
      <w:proofErr w:type="spellStart"/>
      <w:r w:rsidR="005D4995">
        <w:t>Talyor</w:t>
      </w:r>
      <w:proofErr w:type="spellEnd"/>
      <w:r w:rsidR="005D4995">
        <w:t xml:space="preserve"> 2009</w:t>
      </w:r>
      <w:r w:rsidR="00B53ACA" w:rsidRPr="00B53ACA">
        <w:t xml:space="preserve">).  </w:t>
      </w:r>
      <w:proofErr w:type="spellStart"/>
      <w:r w:rsidR="0026573A" w:rsidRPr="00B53ACA">
        <w:t>Barnfather</w:t>
      </w:r>
      <w:proofErr w:type="spellEnd"/>
      <w:r w:rsidR="0026573A" w:rsidRPr="00B53ACA">
        <w:t xml:space="preserve"> (2013) </w:t>
      </w:r>
      <w:r w:rsidR="00F518D2">
        <w:t>pro</w:t>
      </w:r>
      <w:r w:rsidR="00843DF6">
        <w:t>po</w:t>
      </w:r>
      <w:r w:rsidR="00F518D2">
        <w:t xml:space="preserve">ses that </w:t>
      </w:r>
      <w:r w:rsidR="0026573A" w:rsidRPr="00B53ACA">
        <w:t>students need more than theoretical knowledge to dev</w:t>
      </w:r>
      <w:r w:rsidR="007C4CCF">
        <w:t>elop the range of midwifery sub-</w:t>
      </w:r>
      <w:r w:rsidR="0026573A" w:rsidRPr="00B53ACA">
        <w:t>skills necessary for effective clinical reas</w:t>
      </w:r>
      <w:r w:rsidR="00F518D2">
        <w:t xml:space="preserve">oning; </w:t>
      </w:r>
      <w:r w:rsidR="0026573A" w:rsidRPr="00B53ACA">
        <w:t xml:space="preserve">intuitive or tacit knowledge </w:t>
      </w:r>
      <w:r w:rsidR="00E93CC3" w:rsidRPr="00B53ACA">
        <w:t xml:space="preserve">is required and can be </w:t>
      </w:r>
      <w:r w:rsidR="0026573A" w:rsidRPr="00B53ACA">
        <w:t>honed within their practice experiences</w:t>
      </w:r>
      <w:r w:rsidR="00A534E2" w:rsidRPr="00B53ACA">
        <w:t>.  This tacit knowledge can enable the midwife to undertake sensitive and holistic assessment</w:t>
      </w:r>
      <w:r w:rsidR="00810219" w:rsidRPr="00B53ACA">
        <w:t>s</w:t>
      </w:r>
      <w:r w:rsidR="00A534E2" w:rsidRPr="00B53ACA">
        <w:t xml:space="preserve">, which utilise overt and covert observations and “make safe clinical judgements” </w:t>
      </w:r>
      <w:r w:rsidR="004B62DE">
        <w:t>(</w:t>
      </w:r>
      <w:proofErr w:type="spellStart"/>
      <w:r w:rsidR="004B62DE">
        <w:t>Barnfather</w:t>
      </w:r>
      <w:proofErr w:type="spellEnd"/>
      <w:r w:rsidR="004B62DE">
        <w:t xml:space="preserve">, </w:t>
      </w:r>
      <w:r w:rsidR="00A534E2" w:rsidRPr="00B53ACA">
        <w:t xml:space="preserve">2013p.132).  </w:t>
      </w:r>
      <w:r w:rsidR="00166F5F">
        <w:t xml:space="preserve">The students in this study perceived their GTA confidence and skills were honed and actualised if they had accessed sufficient and varied practice experience of GTA.  </w:t>
      </w:r>
    </w:p>
    <w:p w14:paraId="58DAB7A9" w14:textId="77777777" w:rsidR="00737BC8" w:rsidRDefault="00737BC8" w:rsidP="00D66CB3">
      <w:pPr>
        <w:spacing w:line="240" w:lineRule="auto"/>
        <w:ind w:left="720"/>
        <w:contextualSpacing/>
        <w:rPr>
          <w:rFonts w:eastAsia="Calibri" w:cs="Arial"/>
          <w:color w:val="FF0000"/>
        </w:rPr>
      </w:pPr>
    </w:p>
    <w:p w14:paraId="03E426FF" w14:textId="77777777" w:rsidR="00C6674B" w:rsidRPr="004F5407" w:rsidRDefault="00C6674B" w:rsidP="00D66CB3">
      <w:pPr>
        <w:spacing w:line="240" w:lineRule="auto"/>
        <w:ind w:left="720"/>
        <w:contextualSpacing/>
        <w:rPr>
          <w:b/>
          <w:color w:val="00B050"/>
        </w:rPr>
      </w:pPr>
    </w:p>
    <w:p w14:paraId="32991FAF" w14:textId="2787378C" w:rsidR="00E3614A" w:rsidRDefault="00381F02" w:rsidP="00D66CB3">
      <w:pPr>
        <w:spacing w:after="0" w:line="240" w:lineRule="auto"/>
        <w:rPr>
          <w:b/>
        </w:rPr>
      </w:pPr>
      <w:r>
        <w:rPr>
          <w:b/>
        </w:rPr>
        <w:t>Recommendations</w:t>
      </w:r>
    </w:p>
    <w:p w14:paraId="514F3F5A" w14:textId="4D2581CC" w:rsidR="00837F5B" w:rsidRPr="00837F5B" w:rsidRDefault="00BA2559" w:rsidP="00837F5B">
      <w:pPr>
        <w:spacing w:after="0" w:line="240" w:lineRule="auto"/>
      </w:pPr>
      <w:r w:rsidRPr="00BA2559">
        <w:t xml:space="preserve">In the survey </w:t>
      </w:r>
      <w:r w:rsidR="00BB3D5A" w:rsidRPr="00BA2559">
        <w:t>and individual</w:t>
      </w:r>
      <w:r w:rsidRPr="00BA2559">
        <w:t xml:space="preserve"> </w:t>
      </w:r>
      <w:r w:rsidR="00C6770F" w:rsidRPr="00BA2559">
        <w:t>interviews,</w:t>
      </w:r>
      <w:r w:rsidR="002F2EAA">
        <w:t xml:space="preserve"> </w:t>
      </w:r>
      <w:r w:rsidRPr="00BA2559">
        <w:t>students were asked to consid</w:t>
      </w:r>
      <w:r w:rsidR="0038574E">
        <w:t>er potential ways to enhance</w:t>
      </w:r>
      <w:r w:rsidRPr="00BA2559">
        <w:t xml:space="preserve"> learning experiences concerning maternal postnatal GTA.  </w:t>
      </w:r>
      <w:r w:rsidR="00D74B2A">
        <w:t>The tentative ideas</w:t>
      </w:r>
      <w:r w:rsidR="00EF1F10">
        <w:t xml:space="preserve">, developed from </w:t>
      </w:r>
      <w:r w:rsidR="00381F02">
        <w:t xml:space="preserve">all of the research </w:t>
      </w:r>
      <w:r w:rsidR="00EF1F10">
        <w:t>data</w:t>
      </w:r>
      <w:r w:rsidR="00D74B2A">
        <w:t xml:space="preserve"> we</w:t>
      </w:r>
      <w:r w:rsidR="008848F7">
        <w:t>re presented to</w:t>
      </w:r>
      <w:r w:rsidR="002F2EAA">
        <w:t>,</w:t>
      </w:r>
      <w:r w:rsidR="008848F7">
        <w:t xml:space="preserve"> and developed with</w:t>
      </w:r>
      <w:r w:rsidR="002F2EAA">
        <w:t>,</w:t>
      </w:r>
      <w:r w:rsidRPr="00BA2559">
        <w:t xml:space="preserve"> the student</w:t>
      </w:r>
      <w:r w:rsidR="00D74B2A">
        <w:t>s during the</w:t>
      </w:r>
      <w:r w:rsidR="00381F02">
        <w:t xml:space="preserve"> final</w:t>
      </w:r>
      <w:r w:rsidR="00D74B2A">
        <w:t xml:space="preserve"> student</w:t>
      </w:r>
      <w:r w:rsidRPr="00BA2559">
        <w:t xml:space="preserve"> / </w:t>
      </w:r>
      <w:r w:rsidRPr="00BA2559">
        <w:lastRenderedPageBreak/>
        <w:t>researcher workshop</w:t>
      </w:r>
      <w:r w:rsidR="00D96485">
        <w:t xml:space="preserve">.  </w:t>
      </w:r>
      <w:r w:rsidR="00842DB5">
        <w:t xml:space="preserve">This form of student </w:t>
      </w:r>
      <w:r w:rsidR="00AD0C44">
        <w:t xml:space="preserve">engagement </w:t>
      </w:r>
      <w:r w:rsidR="00842DB5">
        <w:t>not only enable</w:t>
      </w:r>
      <w:r w:rsidR="00837F5B">
        <w:t>d</w:t>
      </w:r>
      <w:r w:rsidR="00842DB5">
        <w:t xml:space="preserve"> participant validation but </w:t>
      </w:r>
      <w:r w:rsidR="00837F5B">
        <w:t xml:space="preserve">facilitated </w:t>
      </w:r>
      <w:r w:rsidR="002F2EAA">
        <w:t>meaningful involvement</w:t>
      </w:r>
      <w:r w:rsidR="00837F5B">
        <w:t xml:space="preserve"> </w:t>
      </w:r>
      <w:r w:rsidR="00837F5B" w:rsidRPr="00837F5B">
        <w:t xml:space="preserve">in curriculum </w:t>
      </w:r>
      <w:proofErr w:type="gramStart"/>
      <w:r w:rsidR="00837F5B" w:rsidRPr="00837F5B">
        <w:t xml:space="preserve">development  </w:t>
      </w:r>
      <w:r w:rsidR="00837F5B">
        <w:t>which</w:t>
      </w:r>
      <w:proofErr w:type="gramEnd"/>
      <w:r w:rsidR="00837F5B">
        <w:t xml:space="preserve"> may</w:t>
      </w:r>
      <w:r w:rsidR="00837F5B" w:rsidRPr="00837F5B">
        <w:t xml:space="preserve"> </w:t>
      </w:r>
      <w:r w:rsidR="002F2EAA">
        <w:t xml:space="preserve">lessen the </w:t>
      </w:r>
      <w:r w:rsidR="00837F5B" w:rsidRPr="00837F5B">
        <w:t>dissonance between what students</w:t>
      </w:r>
      <w:r w:rsidR="00837F5B">
        <w:t xml:space="preserve"> suggest they need from</w:t>
      </w:r>
      <w:r w:rsidR="00837F5B" w:rsidRPr="00837F5B">
        <w:t xml:space="preserve"> midwifery education programmes and what the programmes offer (Silverman</w:t>
      </w:r>
      <w:r w:rsidR="00E373C7">
        <w:t>,</w:t>
      </w:r>
      <w:r w:rsidR="00837F5B" w:rsidRPr="00837F5B">
        <w:t xml:space="preserve"> 2006; McIntosh et al</w:t>
      </w:r>
      <w:r w:rsidR="00E373C7">
        <w:t>.</w:t>
      </w:r>
      <w:r w:rsidR="00837F5B" w:rsidRPr="00837F5B">
        <w:t xml:space="preserve"> 2013).  As a result of this process recommendations were identified relating to learning experiences in both practice and HEI settings.  </w:t>
      </w:r>
    </w:p>
    <w:p w14:paraId="000F7C1B" w14:textId="77777777" w:rsidR="00D74B2A" w:rsidRDefault="00D74B2A" w:rsidP="00D66CB3">
      <w:pPr>
        <w:spacing w:after="0" w:line="240" w:lineRule="auto"/>
      </w:pPr>
    </w:p>
    <w:p w14:paraId="1C3E15BD" w14:textId="1907A607" w:rsidR="004603E3" w:rsidRDefault="004603E3" w:rsidP="00EE61E9">
      <w:pPr>
        <w:pStyle w:val="ListParagraph"/>
        <w:numPr>
          <w:ilvl w:val="0"/>
          <w:numId w:val="22"/>
        </w:numPr>
        <w:spacing w:after="0" w:line="240" w:lineRule="auto"/>
      </w:pPr>
      <w:r w:rsidRPr="004603E3">
        <w:t>Creative exploration of where and how student</w:t>
      </w:r>
      <w:r w:rsidR="00377A2F">
        <w:t>s</w:t>
      </w:r>
      <w:r w:rsidRPr="004603E3">
        <w:t xml:space="preserve"> can access GTA, including non-midwifery</w:t>
      </w:r>
      <w:r>
        <w:t xml:space="preserve"> placements and </w:t>
      </w:r>
      <w:r w:rsidR="009637C3">
        <w:t>‘</w:t>
      </w:r>
      <w:proofErr w:type="spellStart"/>
      <w:r>
        <w:t>caseloading</w:t>
      </w:r>
      <w:proofErr w:type="spellEnd"/>
      <w:r w:rsidR="009637C3">
        <w:t>’</w:t>
      </w:r>
      <w:r>
        <w:t xml:space="preserve"> opportunities.</w:t>
      </w:r>
    </w:p>
    <w:p w14:paraId="1C793CAE" w14:textId="22485FFB" w:rsidR="00AE555D" w:rsidRDefault="00AE555D" w:rsidP="00AE555D">
      <w:pPr>
        <w:pStyle w:val="ListParagraph"/>
        <w:numPr>
          <w:ilvl w:val="0"/>
          <w:numId w:val="22"/>
        </w:numPr>
        <w:spacing w:after="0" w:line="240" w:lineRule="auto"/>
      </w:pPr>
      <w:r>
        <w:t>M</w:t>
      </w:r>
      <w:r w:rsidRPr="006E70B8">
        <w:t>aximise opportunities for student</w:t>
      </w:r>
      <w:r w:rsidR="00166F5F">
        <w:t>s</w:t>
      </w:r>
      <w:r w:rsidRPr="006E70B8">
        <w:t xml:space="preserve"> </w:t>
      </w:r>
      <w:r>
        <w:t xml:space="preserve">within the HEI setting </w:t>
      </w:r>
      <w:r w:rsidRPr="006E70B8">
        <w:t xml:space="preserve">to share </w:t>
      </w:r>
      <w:r>
        <w:t xml:space="preserve">and learn from their collective </w:t>
      </w:r>
      <w:r w:rsidR="00223235">
        <w:t xml:space="preserve">practice </w:t>
      </w:r>
      <w:r w:rsidRPr="006E70B8">
        <w:t>experiences</w:t>
      </w:r>
      <w:r>
        <w:t>.</w:t>
      </w:r>
    </w:p>
    <w:p w14:paraId="5E7DCF6E" w14:textId="291F2150" w:rsidR="00AE555D" w:rsidRDefault="00377A2F" w:rsidP="00AE555D">
      <w:pPr>
        <w:pStyle w:val="ListParagraph"/>
        <w:numPr>
          <w:ilvl w:val="0"/>
          <w:numId w:val="22"/>
        </w:numPr>
        <w:spacing w:after="0" w:line="240" w:lineRule="auto"/>
      </w:pPr>
      <w:r>
        <w:t xml:space="preserve">Support mentors to engage </w:t>
      </w:r>
      <w:r w:rsidR="00AE555D">
        <w:t>students in clinical reasoning processes and GTA skills.</w:t>
      </w:r>
    </w:p>
    <w:p w14:paraId="51C4C4D6" w14:textId="50937DEE" w:rsidR="000D100F" w:rsidRPr="00223235" w:rsidRDefault="00377A2F" w:rsidP="00AE555D">
      <w:pPr>
        <w:pStyle w:val="ListParagraph"/>
        <w:numPr>
          <w:ilvl w:val="0"/>
          <w:numId w:val="22"/>
        </w:numPr>
        <w:spacing w:after="0" w:line="240" w:lineRule="auto"/>
      </w:pPr>
      <w:r>
        <w:t xml:space="preserve">Facilitate </w:t>
      </w:r>
      <w:r w:rsidR="000D100F" w:rsidRPr="00223235">
        <w:t xml:space="preserve">supernumerary </w:t>
      </w:r>
      <w:r>
        <w:t xml:space="preserve">status for students </w:t>
      </w:r>
      <w:r w:rsidR="000D100F" w:rsidRPr="00223235">
        <w:t xml:space="preserve">and protected time for mentoring activity. </w:t>
      </w:r>
    </w:p>
    <w:p w14:paraId="2CCD6DF8" w14:textId="20F20EE3" w:rsidR="004603E3" w:rsidRDefault="00C963D6" w:rsidP="00EE61E9">
      <w:pPr>
        <w:pStyle w:val="ListParagraph"/>
        <w:numPr>
          <w:ilvl w:val="0"/>
          <w:numId w:val="22"/>
        </w:numPr>
        <w:spacing w:after="0" w:line="240" w:lineRule="auto"/>
      </w:pPr>
      <w:r>
        <w:t xml:space="preserve">Specific and detailed </w:t>
      </w:r>
      <w:r w:rsidR="004603E3">
        <w:t xml:space="preserve">guidance </w:t>
      </w:r>
      <w:r w:rsidR="00AD16CB">
        <w:t xml:space="preserve">in practice documentation </w:t>
      </w:r>
      <w:r w:rsidR="004603E3">
        <w:t xml:space="preserve">to students and mentors, </w:t>
      </w:r>
      <w:r w:rsidR="00AD16CB">
        <w:t xml:space="preserve">regarding </w:t>
      </w:r>
      <w:r w:rsidR="00BF19F2">
        <w:t xml:space="preserve">necessary </w:t>
      </w:r>
      <w:r w:rsidR="00AD16CB">
        <w:t xml:space="preserve">GTA </w:t>
      </w:r>
      <w:r>
        <w:t xml:space="preserve">experiences </w:t>
      </w:r>
      <w:r w:rsidR="0045555E">
        <w:t>for students</w:t>
      </w:r>
      <w:r w:rsidR="008B7237">
        <w:t xml:space="preserve">, </w:t>
      </w:r>
      <w:r w:rsidR="007F269B">
        <w:t xml:space="preserve">with emphasis </w:t>
      </w:r>
      <w:r w:rsidR="008B7237">
        <w:t xml:space="preserve">on </w:t>
      </w:r>
      <w:proofErr w:type="spellStart"/>
      <w:r w:rsidR="008B7237">
        <w:t>lochial</w:t>
      </w:r>
      <w:proofErr w:type="spellEnd"/>
      <w:r w:rsidR="008B7237">
        <w:t xml:space="preserve"> and uterine assessment and early warning indictors for development of genital tract morbidity.  </w:t>
      </w:r>
    </w:p>
    <w:p w14:paraId="3F7AFDA0" w14:textId="4A56B2DC" w:rsidR="0087677E" w:rsidRDefault="007F269B" w:rsidP="00EE61E9">
      <w:pPr>
        <w:pStyle w:val="ListParagraph"/>
        <w:numPr>
          <w:ilvl w:val="0"/>
          <w:numId w:val="22"/>
        </w:numPr>
        <w:spacing w:after="0" w:line="240" w:lineRule="auto"/>
      </w:pPr>
      <w:r>
        <w:t>C</w:t>
      </w:r>
      <w:r w:rsidR="0087677E">
        <w:t xml:space="preserve">urricula documentation </w:t>
      </w:r>
      <w:r>
        <w:t xml:space="preserve">should </w:t>
      </w:r>
      <w:r w:rsidR="0087677E">
        <w:t xml:space="preserve">ensure maternal postnatal health assessments and </w:t>
      </w:r>
      <w:r w:rsidR="00AE555D">
        <w:t>needs are</w:t>
      </w:r>
      <w:r w:rsidR="0087677E">
        <w:t xml:space="preserve"> </w:t>
      </w:r>
      <w:r w:rsidR="0049013D">
        <w:t xml:space="preserve">given equal </w:t>
      </w:r>
      <w:r>
        <w:t xml:space="preserve">status </w:t>
      </w:r>
      <w:r w:rsidR="0049013D">
        <w:t>in summative assessment processes.</w:t>
      </w:r>
    </w:p>
    <w:p w14:paraId="5168DCB9" w14:textId="3EE88FAE" w:rsidR="00BE19BE" w:rsidRDefault="00BE19BE" w:rsidP="00BE19BE">
      <w:pPr>
        <w:pStyle w:val="ListParagraph"/>
        <w:numPr>
          <w:ilvl w:val="0"/>
          <w:numId w:val="22"/>
        </w:numPr>
        <w:spacing w:after="0" w:line="240" w:lineRule="auto"/>
      </w:pPr>
      <w:proofErr w:type="gramStart"/>
      <w:r>
        <w:t>Promote  skills</w:t>
      </w:r>
      <w:proofErr w:type="gramEnd"/>
      <w:r>
        <w:t xml:space="preserve"> rehearsal within HEI’s, with  emphasis on  use of visual aids encompassing the full range of physiological and pathological genital tract conditions and adaptations.</w:t>
      </w:r>
    </w:p>
    <w:p w14:paraId="566482CB" w14:textId="77777777" w:rsidR="00D10A61" w:rsidRPr="006E70B8" w:rsidRDefault="00D10A61" w:rsidP="00D66CB3">
      <w:pPr>
        <w:spacing w:after="0" w:line="240" w:lineRule="auto"/>
        <w:ind w:left="360"/>
      </w:pPr>
    </w:p>
    <w:p w14:paraId="1F1ED3C6" w14:textId="77777777" w:rsidR="00B95DED" w:rsidRDefault="00B95DED" w:rsidP="00D66CB3">
      <w:pPr>
        <w:spacing w:after="0" w:line="240" w:lineRule="auto"/>
        <w:rPr>
          <w:rFonts w:ascii="Calibri" w:eastAsia="Calibri" w:hAnsi="Calibri" w:cs="Times New Roman"/>
          <w:b/>
        </w:rPr>
      </w:pPr>
    </w:p>
    <w:p w14:paraId="4528F2C3" w14:textId="04CF20B3" w:rsidR="00263224" w:rsidRDefault="00BD20CC" w:rsidP="00D66CB3">
      <w:pPr>
        <w:spacing w:after="0" w:line="240" w:lineRule="auto"/>
        <w:rPr>
          <w:rFonts w:ascii="Calibri" w:eastAsia="Calibri" w:hAnsi="Calibri" w:cs="Times New Roman"/>
          <w:b/>
        </w:rPr>
      </w:pPr>
      <w:r w:rsidRPr="00BD20CC">
        <w:rPr>
          <w:rFonts w:ascii="Calibri" w:eastAsia="Calibri" w:hAnsi="Calibri" w:cs="Times New Roman"/>
          <w:b/>
        </w:rPr>
        <w:t>Conclusion</w:t>
      </w:r>
    </w:p>
    <w:p w14:paraId="79C2712E" w14:textId="5812193F" w:rsidR="00401523" w:rsidRPr="00401523" w:rsidRDefault="00401523" w:rsidP="00401523">
      <w:pPr>
        <w:spacing w:after="0" w:line="240" w:lineRule="auto"/>
        <w:rPr>
          <w:rFonts w:ascii="Calibri" w:eastAsia="Calibri" w:hAnsi="Calibri" w:cs="Times New Roman"/>
        </w:rPr>
      </w:pPr>
      <w:r w:rsidRPr="00401523">
        <w:rPr>
          <w:rFonts w:ascii="Calibri" w:eastAsia="Calibri" w:hAnsi="Calibri" w:cs="Times New Roman"/>
        </w:rPr>
        <w:t>This study explore</w:t>
      </w:r>
      <w:r>
        <w:rPr>
          <w:rFonts w:ascii="Calibri" w:eastAsia="Calibri" w:hAnsi="Calibri" w:cs="Times New Roman"/>
        </w:rPr>
        <w:t>d</w:t>
      </w:r>
      <w:r w:rsidRPr="00401523">
        <w:rPr>
          <w:rFonts w:ascii="Calibri" w:eastAsia="Calibri" w:hAnsi="Calibri" w:cs="Times New Roman"/>
        </w:rPr>
        <w:t xml:space="preserve"> student midwives’ experiences of postnatal </w:t>
      </w:r>
      <w:r>
        <w:rPr>
          <w:rFonts w:ascii="Calibri" w:eastAsia="Calibri" w:hAnsi="Calibri" w:cs="Times New Roman"/>
        </w:rPr>
        <w:t>GTA</w:t>
      </w:r>
      <w:r w:rsidRPr="00401523">
        <w:rPr>
          <w:rFonts w:ascii="Calibri" w:eastAsia="Calibri" w:hAnsi="Calibri" w:cs="Times New Roman"/>
        </w:rPr>
        <w:t xml:space="preserve"> within </w:t>
      </w:r>
      <w:r>
        <w:rPr>
          <w:rFonts w:ascii="Calibri" w:eastAsia="Calibri" w:hAnsi="Calibri" w:cs="Times New Roman"/>
        </w:rPr>
        <w:t xml:space="preserve">midwifery preregistration curricula in one </w:t>
      </w:r>
      <w:r w:rsidR="009637C3">
        <w:rPr>
          <w:rFonts w:ascii="Calibri" w:eastAsia="Calibri" w:hAnsi="Calibri" w:cs="Times New Roman"/>
        </w:rPr>
        <w:t xml:space="preserve">UK </w:t>
      </w:r>
      <w:r>
        <w:rPr>
          <w:rFonts w:ascii="Calibri" w:eastAsia="Calibri" w:hAnsi="Calibri" w:cs="Times New Roman"/>
        </w:rPr>
        <w:t>HEI</w:t>
      </w:r>
      <w:r w:rsidR="00300EB2">
        <w:rPr>
          <w:rFonts w:ascii="Calibri" w:eastAsia="Calibri" w:hAnsi="Calibri" w:cs="Times New Roman"/>
        </w:rPr>
        <w:t>,</w:t>
      </w:r>
      <w:r>
        <w:rPr>
          <w:rFonts w:ascii="Calibri" w:eastAsia="Calibri" w:hAnsi="Calibri" w:cs="Times New Roman"/>
        </w:rPr>
        <w:t xml:space="preserve"> utilising case study methodology.  </w:t>
      </w:r>
      <w:r w:rsidRPr="00401523">
        <w:rPr>
          <w:rFonts w:ascii="Calibri" w:eastAsia="Calibri" w:hAnsi="Calibri" w:cs="Times New Roman"/>
        </w:rPr>
        <w:t xml:space="preserve">The intention of single case study research is to illuminate detail and not to provide findings which are generalizable, however the findings may be transferable </w:t>
      </w:r>
      <w:r w:rsidRPr="00401523">
        <w:rPr>
          <w:rFonts w:ascii="Calibri" w:eastAsia="Calibri" w:hAnsi="Calibri" w:cs="Times New Roman"/>
        </w:rPr>
        <w:fldChar w:fldCharType="begin"/>
      </w:r>
      <w:r w:rsidRPr="00401523">
        <w:rPr>
          <w:rFonts w:ascii="Calibri" w:eastAsia="Calibri" w:hAnsi="Calibri" w:cs="Times New Roman"/>
        </w:rPr>
        <w:instrText xml:space="preserve"> ADDIN EN.CITE &lt;EndNote&gt;&lt;Cite&gt;&lt;Author&gt;Anthony&lt;/Author&gt;&lt;Year&gt;2009&lt;/Year&gt;&lt;RecNum&gt;165&lt;/RecNum&gt;&lt;DisplayText&gt;(Anthony and Jack 2009)&lt;/DisplayText&gt;&lt;record&gt;&lt;rec-number&gt;165&lt;/rec-number&gt;&lt;foreign-keys&gt;&lt;key app="EN" db-id="99vapetesfepdse5tv659vtosd5995tfv2a9"&gt;165&lt;/key&gt;&lt;/foreign-keys&gt;&lt;ref-type name="Journal Article"&gt;17&lt;/ref-type&gt;&lt;contributors&gt;&lt;authors&gt;&lt;author&gt;Anthony, S. &lt;/author&gt;&lt;author&gt;Jack , S&lt;/author&gt;&lt;/authors&gt;&lt;/contributors&gt;&lt;auth-address&gt;Doctoral student, School of Nursing, McMaster University, Hamilton, Ontario, Canada&lt;/auth-address&gt;&lt;titles&gt;&lt;title&gt;Qualitative case study methodology in nursing research: an integrative review&lt;/title&gt;&lt;secondary-title&gt;Journal of Advanced Nursing&lt;/secondary-title&gt;&lt;/titles&gt;&lt;periodical&gt;&lt;full-title&gt;Journal of Advanced Nursing&lt;/full-title&gt;&lt;/periodical&gt;&lt;pages&gt;1171-1181&lt;/pages&gt;&lt;volume&gt;65&lt;/volume&gt;&lt;number&gt;6&lt;/number&gt;&lt;keywords&gt;&lt;keyword&gt;Case Studies&lt;/keyword&gt;&lt;keyword&gt;Qualitative Studies&lt;/keyword&gt;&lt;keyword&gt;Research, Nursing&lt;/keyword&gt;&lt;keyword&gt;CINAHL Database&lt;/keyword&gt;&lt;keyword&gt;Embase&lt;/keyword&gt;&lt;keyword&gt;Medline&lt;/keyword&gt;&lt;keyword&gt;Psycinfo&lt;/keyword&gt;&lt;keyword&gt;Research -- Evaluation&lt;/keyword&gt;&lt;keyword&gt;Human&lt;/keyword&gt;&lt;/keywords&gt;&lt;dates&gt;&lt;year&gt;2009&lt;/year&gt;&lt;/dates&gt;&lt;isbn&gt;0309-2402&lt;/isbn&gt;&lt;accession-num&gt;2010262123. Language: English. Entry Date: 20090619. Revision Date: 20110513. Publication Type: journal article&lt;/accession-num&gt;&lt;urls&gt;&lt;related-urls&gt;&lt;url&gt;http://search.ebscohost.com/login.aspx?direct=true&amp;amp;db=c8h&amp;amp;AN=2010262123&amp;amp;site=ehost-live&amp;amp;scope=site&lt;/url&gt;&lt;/related-urls&gt;&lt;/urls&gt;&lt;electronic-resource-num&gt;10.1111/j.1365-2648.2009.04998.x&lt;/electronic-resource-num&gt;&lt;remote-database-name&gt;c8h&lt;/remote-database-name&gt;&lt;remote-database-provider&gt;EBSCOhost&lt;/remote-database-provider&gt;&lt;/record&gt;&lt;/Cite&gt;&lt;/EndNote&gt;</w:instrText>
      </w:r>
      <w:r w:rsidRPr="00401523">
        <w:rPr>
          <w:rFonts w:ascii="Calibri" w:eastAsia="Calibri" w:hAnsi="Calibri" w:cs="Times New Roman"/>
        </w:rPr>
        <w:fldChar w:fldCharType="separate"/>
      </w:r>
      <w:r w:rsidRPr="00401523">
        <w:rPr>
          <w:rFonts w:ascii="Calibri" w:eastAsia="Calibri" w:hAnsi="Calibri" w:cs="Times New Roman"/>
        </w:rPr>
        <w:t>(Anthony and Jack 2009)</w:t>
      </w:r>
      <w:r w:rsidRPr="00401523">
        <w:rPr>
          <w:rFonts w:ascii="Calibri" w:eastAsia="Calibri" w:hAnsi="Calibri" w:cs="Times New Roman"/>
        </w:rPr>
        <w:fldChar w:fldCharType="end"/>
      </w:r>
      <w:r w:rsidRPr="00401523">
        <w:rPr>
          <w:rFonts w:ascii="Calibri" w:eastAsia="Calibri" w:hAnsi="Calibri" w:cs="Times New Roman"/>
        </w:rPr>
        <w:t>.  To maximise transferability</w:t>
      </w:r>
      <w:r w:rsidR="00300EB2">
        <w:rPr>
          <w:rFonts w:ascii="Calibri" w:eastAsia="Calibri" w:hAnsi="Calibri" w:cs="Times New Roman"/>
        </w:rPr>
        <w:t>,</w:t>
      </w:r>
      <w:r w:rsidRPr="00401523">
        <w:rPr>
          <w:rFonts w:ascii="Calibri" w:eastAsia="Calibri" w:hAnsi="Calibri" w:cs="Times New Roman"/>
        </w:rPr>
        <w:t xml:space="preserve"> quality parameters including credibility, dependability and confirmability guided the design and implementation of this study, with detailed explanations provided to enable the reader to decide if the findings may be transferable to their particular context (Houghton</w:t>
      </w:r>
      <w:r w:rsidR="003416ED">
        <w:rPr>
          <w:rFonts w:ascii="Calibri" w:eastAsia="Calibri" w:hAnsi="Calibri" w:cs="Times New Roman"/>
        </w:rPr>
        <w:t xml:space="preserve"> et al</w:t>
      </w:r>
      <w:r w:rsidR="008746CF">
        <w:rPr>
          <w:rFonts w:ascii="Calibri" w:eastAsia="Calibri" w:hAnsi="Calibri" w:cs="Times New Roman"/>
        </w:rPr>
        <w:t>.</w:t>
      </w:r>
      <w:r w:rsidRPr="00401523">
        <w:rPr>
          <w:rFonts w:ascii="Calibri" w:eastAsia="Calibri" w:hAnsi="Calibri" w:cs="Times New Roman"/>
        </w:rPr>
        <w:t xml:space="preserve"> 2013).  </w:t>
      </w:r>
    </w:p>
    <w:p w14:paraId="028CD961" w14:textId="77777777" w:rsidR="00A029E5" w:rsidRDefault="00A029E5" w:rsidP="00D66CB3">
      <w:pPr>
        <w:spacing w:after="0" w:line="240" w:lineRule="auto"/>
        <w:rPr>
          <w:rFonts w:ascii="Calibri" w:eastAsia="Calibri" w:hAnsi="Calibri" w:cs="Times New Roman"/>
          <w:b/>
        </w:rPr>
      </w:pPr>
    </w:p>
    <w:p w14:paraId="28BA8654" w14:textId="67BA3C18" w:rsidR="00253CC9" w:rsidRDefault="00A029E5" w:rsidP="00A029E5">
      <w:pPr>
        <w:spacing w:after="0" w:line="240" w:lineRule="auto"/>
        <w:rPr>
          <w:iCs/>
        </w:rPr>
      </w:pPr>
      <w:r w:rsidRPr="00A029E5">
        <w:rPr>
          <w:rFonts w:ascii="Calibri" w:eastAsia="Calibri" w:hAnsi="Calibri" w:cs="Times New Roman"/>
          <w:iCs/>
        </w:rPr>
        <w:t>The student midwives’ experiences in relation to assessment of maternal postnatal genital tract health are that, the clinical and theoretical learning opportunities avail</w:t>
      </w:r>
      <w:r w:rsidR="00437B2A">
        <w:rPr>
          <w:rFonts w:ascii="Calibri" w:eastAsia="Calibri" w:hAnsi="Calibri" w:cs="Times New Roman"/>
          <w:iCs/>
        </w:rPr>
        <w:t>able throughout their programme</w:t>
      </w:r>
      <w:r w:rsidRPr="00A029E5">
        <w:rPr>
          <w:rFonts w:ascii="Calibri" w:eastAsia="Calibri" w:hAnsi="Calibri" w:cs="Times New Roman"/>
          <w:iCs/>
        </w:rPr>
        <w:t xml:space="preserve"> </w:t>
      </w:r>
      <w:r w:rsidR="009D19D0">
        <w:rPr>
          <w:rFonts w:ascii="Calibri" w:eastAsia="Calibri" w:hAnsi="Calibri" w:cs="Times New Roman"/>
          <w:iCs/>
        </w:rPr>
        <w:t xml:space="preserve">may </w:t>
      </w:r>
      <w:r w:rsidRPr="00A029E5">
        <w:rPr>
          <w:rFonts w:ascii="Calibri" w:eastAsia="Calibri" w:hAnsi="Calibri" w:cs="Times New Roman"/>
          <w:iCs/>
        </w:rPr>
        <w:t xml:space="preserve">develop their confidence in GTA, but have limitations.  </w:t>
      </w:r>
      <w:r w:rsidR="009D19D0">
        <w:rPr>
          <w:rFonts w:ascii="Calibri" w:eastAsia="Calibri" w:hAnsi="Calibri" w:cs="Times New Roman"/>
          <w:iCs/>
        </w:rPr>
        <w:t xml:space="preserve">Most of the students were aware </w:t>
      </w:r>
      <w:r w:rsidRPr="00A029E5">
        <w:rPr>
          <w:rFonts w:ascii="Calibri" w:eastAsia="Calibri" w:hAnsi="Calibri" w:cs="Times New Roman"/>
          <w:iCs/>
        </w:rPr>
        <w:t xml:space="preserve">of potential signs and symptoms </w:t>
      </w:r>
      <w:r w:rsidR="009D19D0">
        <w:rPr>
          <w:rFonts w:ascii="Calibri" w:eastAsia="Calibri" w:hAnsi="Calibri" w:cs="Times New Roman"/>
          <w:iCs/>
        </w:rPr>
        <w:t xml:space="preserve">associated </w:t>
      </w:r>
      <w:r w:rsidR="002D42D5">
        <w:rPr>
          <w:rFonts w:ascii="Calibri" w:eastAsia="Calibri" w:hAnsi="Calibri" w:cs="Times New Roman"/>
          <w:iCs/>
        </w:rPr>
        <w:t>with GTA health however,</w:t>
      </w:r>
      <w:r w:rsidR="009D19D0">
        <w:rPr>
          <w:rFonts w:ascii="Calibri" w:eastAsia="Calibri" w:hAnsi="Calibri" w:cs="Times New Roman"/>
          <w:iCs/>
        </w:rPr>
        <w:t xml:space="preserve"> </w:t>
      </w:r>
      <w:r w:rsidR="009604FE">
        <w:rPr>
          <w:rFonts w:ascii="Calibri" w:eastAsia="Calibri" w:hAnsi="Calibri" w:cs="Times New Roman"/>
          <w:iCs/>
        </w:rPr>
        <w:t xml:space="preserve">difficulties were identified concerning </w:t>
      </w:r>
      <w:r w:rsidRPr="00A029E5">
        <w:rPr>
          <w:rFonts w:ascii="Calibri" w:eastAsia="Calibri" w:hAnsi="Calibri" w:cs="Times New Roman"/>
          <w:iCs/>
        </w:rPr>
        <w:t xml:space="preserve">assessment of lochia, </w:t>
      </w:r>
      <w:r w:rsidR="002D42D5">
        <w:rPr>
          <w:rFonts w:ascii="Calibri" w:eastAsia="Calibri" w:hAnsi="Calibri" w:cs="Times New Roman"/>
          <w:iCs/>
        </w:rPr>
        <w:t xml:space="preserve">encountering sequential assessments </w:t>
      </w:r>
      <w:r w:rsidRPr="00A029E5">
        <w:rPr>
          <w:rFonts w:ascii="Calibri" w:eastAsia="Calibri" w:hAnsi="Calibri" w:cs="Times New Roman"/>
          <w:iCs/>
        </w:rPr>
        <w:t xml:space="preserve">and recognising conditions that could deteriorate.  </w:t>
      </w:r>
      <w:r w:rsidR="009604FE">
        <w:rPr>
          <w:rFonts w:ascii="Calibri" w:eastAsia="Calibri" w:hAnsi="Calibri" w:cs="Times New Roman"/>
          <w:iCs/>
        </w:rPr>
        <w:t>This a</w:t>
      </w:r>
      <w:r w:rsidRPr="00A029E5">
        <w:rPr>
          <w:rFonts w:ascii="Calibri" w:eastAsia="Calibri" w:hAnsi="Calibri" w:cs="Times New Roman"/>
          <w:iCs/>
        </w:rPr>
        <w:t xml:space="preserve">wareness was effected by access issues to learning opportunities </w:t>
      </w:r>
      <w:r w:rsidR="009D19D0">
        <w:rPr>
          <w:rFonts w:ascii="Calibri" w:eastAsia="Calibri" w:hAnsi="Calibri" w:cs="Times New Roman"/>
          <w:iCs/>
        </w:rPr>
        <w:t xml:space="preserve">within practice </w:t>
      </w:r>
      <w:r w:rsidRPr="00A029E5">
        <w:rPr>
          <w:rFonts w:ascii="Calibri" w:eastAsia="Calibri" w:hAnsi="Calibri" w:cs="Times New Roman"/>
          <w:iCs/>
        </w:rPr>
        <w:t>due to variation in postnatal provision</w:t>
      </w:r>
      <w:r w:rsidR="009604FE">
        <w:rPr>
          <w:rFonts w:ascii="Calibri" w:eastAsia="Calibri" w:hAnsi="Calibri" w:cs="Times New Roman"/>
          <w:iCs/>
        </w:rPr>
        <w:t>,</w:t>
      </w:r>
      <w:r w:rsidR="009D19D0">
        <w:rPr>
          <w:rFonts w:ascii="Calibri" w:eastAsia="Calibri" w:hAnsi="Calibri" w:cs="Times New Roman"/>
          <w:iCs/>
        </w:rPr>
        <w:t xml:space="preserve"> service pressures</w:t>
      </w:r>
      <w:r w:rsidR="009604FE">
        <w:rPr>
          <w:rFonts w:ascii="Calibri" w:eastAsia="Calibri" w:hAnsi="Calibri" w:cs="Times New Roman"/>
          <w:iCs/>
        </w:rPr>
        <w:t xml:space="preserve"> and</w:t>
      </w:r>
      <w:r w:rsidR="00540824">
        <w:rPr>
          <w:rFonts w:ascii="Calibri" w:eastAsia="Calibri" w:hAnsi="Calibri" w:cs="Times New Roman"/>
          <w:iCs/>
        </w:rPr>
        <w:t xml:space="preserve"> v</w:t>
      </w:r>
      <w:r w:rsidRPr="00A029E5">
        <w:rPr>
          <w:rFonts w:ascii="Calibri" w:eastAsia="Calibri" w:hAnsi="Calibri" w:cs="Times New Roman"/>
          <w:iCs/>
        </w:rPr>
        <w:t xml:space="preserve">ariety in mentor practices </w:t>
      </w:r>
      <w:r w:rsidR="00540824">
        <w:rPr>
          <w:rFonts w:ascii="Calibri" w:eastAsia="Calibri" w:hAnsi="Calibri" w:cs="Times New Roman"/>
          <w:iCs/>
        </w:rPr>
        <w:t>regarding selecting and</w:t>
      </w:r>
      <w:r w:rsidRPr="00A029E5">
        <w:rPr>
          <w:rFonts w:ascii="Calibri" w:eastAsia="Calibri" w:hAnsi="Calibri" w:cs="Times New Roman"/>
          <w:iCs/>
        </w:rPr>
        <w:t xml:space="preserve"> c</w:t>
      </w:r>
      <w:r w:rsidR="00540824">
        <w:rPr>
          <w:rFonts w:ascii="Calibri" w:eastAsia="Calibri" w:hAnsi="Calibri" w:cs="Times New Roman"/>
          <w:iCs/>
        </w:rPr>
        <w:t>reating learning opportunities</w:t>
      </w:r>
      <w:r w:rsidRPr="00A029E5">
        <w:rPr>
          <w:rFonts w:ascii="Calibri" w:eastAsia="Calibri" w:hAnsi="Calibri" w:cs="Times New Roman"/>
          <w:iCs/>
        </w:rPr>
        <w:t xml:space="preserve">.  </w:t>
      </w:r>
      <w:r w:rsidR="009604FE">
        <w:rPr>
          <w:rFonts w:ascii="Calibri" w:eastAsia="Calibri" w:hAnsi="Calibri" w:cs="Times New Roman"/>
          <w:iCs/>
        </w:rPr>
        <w:t>This study suggests a</w:t>
      </w:r>
      <w:r w:rsidRPr="00A029E5">
        <w:rPr>
          <w:rFonts w:ascii="Calibri" w:eastAsia="Calibri" w:hAnsi="Calibri" w:cs="Times New Roman"/>
          <w:iCs/>
        </w:rPr>
        <w:t>ctualisation of learning and confidence in GTA was achieved when opportunities to integrate theory and practice occurred</w:t>
      </w:r>
      <w:r w:rsidR="00437B2A">
        <w:rPr>
          <w:rFonts w:ascii="Calibri" w:eastAsia="Calibri" w:hAnsi="Calibri" w:cs="Times New Roman"/>
          <w:iCs/>
        </w:rPr>
        <w:t xml:space="preserve">.  However, actualisation </w:t>
      </w:r>
      <w:r w:rsidRPr="00A029E5">
        <w:rPr>
          <w:rFonts w:ascii="Calibri" w:eastAsia="Calibri" w:hAnsi="Calibri" w:cs="Times New Roman"/>
          <w:iCs/>
        </w:rPr>
        <w:t>was hindered b</w:t>
      </w:r>
      <w:r w:rsidR="00437B2A">
        <w:rPr>
          <w:rFonts w:ascii="Calibri" w:eastAsia="Calibri" w:hAnsi="Calibri" w:cs="Times New Roman"/>
          <w:iCs/>
        </w:rPr>
        <w:t xml:space="preserve">y less time </w:t>
      </w:r>
      <w:r w:rsidR="00437B2A" w:rsidRPr="00437B2A">
        <w:rPr>
          <w:iCs/>
        </w:rPr>
        <w:t>specifically for postnatal maternal assessment content and assessment strategies in comparison to other aspects of midwifery knowledge</w:t>
      </w:r>
      <w:r w:rsidR="00437B2A">
        <w:rPr>
          <w:iCs/>
        </w:rPr>
        <w:t xml:space="preserve">.  </w:t>
      </w:r>
      <w:r w:rsidR="00ED2450" w:rsidRPr="002A1FC2">
        <w:rPr>
          <w:iCs/>
        </w:rPr>
        <w:t xml:space="preserve">Such limited postnatal experience and associated GTA skill development has the potential to impact upon the workforce skills of the next generation of midwifery practitioners.  This would hamper the ability of midwives to </w:t>
      </w:r>
      <w:r w:rsidR="007B5F20" w:rsidRPr="002A1FC2">
        <w:rPr>
          <w:iCs/>
        </w:rPr>
        <w:t>respond</w:t>
      </w:r>
      <w:r w:rsidR="007B5F20" w:rsidRPr="002A1FC2">
        <w:rPr>
          <w:iCs/>
        </w:rPr>
        <w:t xml:space="preserve"> </w:t>
      </w:r>
      <w:r w:rsidR="00ED2450" w:rsidRPr="002A1FC2">
        <w:rPr>
          <w:iCs/>
        </w:rPr>
        <w:t>effectively to the dynamic and evolv</w:t>
      </w:r>
      <w:r w:rsidR="00253CC9" w:rsidRPr="002A1FC2">
        <w:rPr>
          <w:iCs/>
        </w:rPr>
        <w:t>ing needs of childbearing women, professional requirements and societal expectations.</w:t>
      </w:r>
      <w:r w:rsidR="00253CC9" w:rsidRPr="00253CC9">
        <w:rPr>
          <w:iCs/>
        </w:rPr>
        <w:t xml:space="preserve">   </w:t>
      </w:r>
    </w:p>
    <w:p w14:paraId="67CD611F" w14:textId="4D13D666" w:rsidR="00ED2450" w:rsidRDefault="00ED2450" w:rsidP="00A029E5">
      <w:pPr>
        <w:spacing w:after="0" w:line="240" w:lineRule="auto"/>
        <w:rPr>
          <w:iCs/>
        </w:rPr>
      </w:pPr>
    </w:p>
    <w:p w14:paraId="111DF292" w14:textId="16AF8D53" w:rsidR="00A029E5" w:rsidRPr="00A029E5" w:rsidRDefault="008E09CF" w:rsidP="00A029E5">
      <w:pPr>
        <w:spacing w:after="0" w:line="240" w:lineRule="auto"/>
        <w:rPr>
          <w:rFonts w:ascii="Calibri" w:eastAsia="Calibri" w:hAnsi="Calibri" w:cs="Times New Roman"/>
        </w:rPr>
      </w:pPr>
      <w:r>
        <w:rPr>
          <w:rFonts w:ascii="Calibri" w:eastAsia="Calibri" w:hAnsi="Calibri" w:cs="Times New Roman"/>
          <w:iCs/>
        </w:rPr>
        <w:t xml:space="preserve">In response </w:t>
      </w:r>
      <w:r w:rsidRPr="008E09CF">
        <w:rPr>
          <w:rFonts w:ascii="Calibri" w:eastAsia="Calibri" w:hAnsi="Calibri" w:cs="Times New Roman"/>
          <w:iCs/>
        </w:rPr>
        <w:t xml:space="preserve">recommendations </w:t>
      </w:r>
      <w:r>
        <w:rPr>
          <w:rFonts w:ascii="Calibri" w:eastAsia="Calibri" w:hAnsi="Calibri" w:cs="Times New Roman"/>
          <w:iCs/>
        </w:rPr>
        <w:t xml:space="preserve">have been </w:t>
      </w:r>
      <w:r w:rsidRPr="008E09CF">
        <w:rPr>
          <w:rFonts w:ascii="Calibri" w:eastAsia="Calibri" w:hAnsi="Calibri" w:cs="Times New Roman"/>
          <w:iCs/>
        </w:rPr>
        <w:t xml:space="preserve">identified to </w:t>
      </w:r>
      <w:r>
        <w:rPr>
          <w:rFonts w:ascii="Calibri" w:eastAsia="Calibri" w:hAnsi="Calibri" w:cs="Times New Roman"/>
          <w:iCs/>
        </w:rPr>
        <w:t xml:space="preserve">enhance </w:t>
      </w:r>
      <w:r w:rsidRPr="008E09CF">
        <w:rPr>
          <w:rFonts w:ascii="Calibri" w:eastAsia="Calibri" w:hAnsi="Calibri" w:cs="Times New Roman"/>
          <w:iCs/>
        </w:rPr>
        <w:t>the students learning experiences in practice and HEI settings</w:t>
      </w:r>
      <w:r>
        <w:rPr>
          <w:rFonts w:ascii="Calibri" w:eastAsia="Calibri" w:hAnsi="Calibri" w:cs="Times New Roman"/>
          <w:iCs/>
        </w:rPr>
        <w:t xml:space="preserve"> </w:t>
      </w:r>
      <w:r w:rsidR="00A029E5" w:rsidRPr="00A029E5">
        <w:rPr>
          <w:rFonts w:ascii="Calibri" w:eastAsia="Calibri" w:hAnsi="Calibri" w:cs="Times New Roman"/>
          <w:bCs/>
        </w:rPr>
        <w:t xml:space="preserve">to help contribute to the achievement of </w:t>
      </w:r>
      <w:r w:rsidR="00A029E5" w:rsidRPr="00176255">
        <w:rPr>
          <w:rFonts w:ascii="Calibri" w:eastAsia="Calibri" w:hAnsi="Calibri" w:cs="Times New Roman"/>
          <w:bCs/>
          <w:i/>
        </w:rPr>
        <w:t>“better postnatal and perinatal mental health care</w:t>
      </w:r>
      <w:proofErr w:type="gramStart"/>
      <w:r w:rsidR="00A029E5" w:rsidRPr="00176255">
        <w:rPr>
          <w:rFonts w:ascii="Calibri" w:eastAsia="Calibri" w:hAnsi="Calibri" w:cs="Times New Roman"/>
          <w:bCs/>
          <w:i/>
        </w:rPr>
        <w:t>…..</w:t>
      </w:r>
      <w:proofErr w:type="gramEnd"/>
      <w:r w:rsidR="00A029E5" w:rsidRPr="00176255">
        <w:rPr>
          <w:rFonts w:ascii="Calibri" w:eastAsia="Calibri" w:hAnsi="Calibri" w:cs="Times New Roman"/>
          <w:bCs/>
          <w:i/>
        </w:rPr>
        <w:t>w</w:t>
      </w:r>
      <w:r w:rsidR="00A029E5" w:rsidRPr="00176255">
        <w:rPr>
          <w:rFonts w:ascii="Calibri" w:eastAsia="Calibri" w:hAnsi="Calibri" w:cs="Times New Roman"/>
          <w:i/>
        </w:rPr>
        <w:t>hich can have a significant impact on the life chances and wellbeing of t</w:t>
      </w:r>
      <w:r w:rsidR="00BD4DC5" w:rsidRPr="00176255">
        <w:rPr>
          <w:rFonts w:ascii="Calibri" w:eastAsia="Calibri" w:hAnsi="Calibri" w:cs="Times New Roman"/>
          <w:i/>
        </w:rPr>
        <w:t xml:space="preserve">he woman, baby and family” </w:t>
      </w:r>
      <w:r w:rsidR="00BD4DC5">
        <w:rPr>
          <w:rFonts w:ascii="Calibri" w:eastAsia="Calibri" w:hAnsi="Calibri" w:cs="Times New Roman"/>
        </w:rPr>
        <w:t>(National Maternity Review</w:t>
      </w:r>
      <w:r w:rsidR="008746CF">
        <w:rPr>
          <w:rFonts w:ascii="Calibri" w:eastAsia="Calibri" w:hAnsi="Calibri" w:cs="Times New Roman"/>
        </w:rPr>
        <w:t>,</w:t>
      </w:r>
      <w:r w:rsidR="00BD4DC5">
        <w:rPr>
          <w:rFonts w:ascii="Calibri" w:eastAsia="Calibri" w:hAnsi="Calibri" w:cs="Times New Roman"/>
        </w:rPr>
        <w:t xml:space="preserve"> </w:t>
      </w:r>
      <w:r w:rsidR="00A029E5" w:rsidRPr="00A029E5">
        <w:rPr>
          <w:rFonts w:ascii="Calibri" w:eastAsia="Calibri" w:hAnsi="Calibri" w:cs="Times New Roman"/>
        </w:rPr>
        <w:t>2016</w:t>
      </w:r>
      <w:r w:rsidR="00BD4DC5">
        <w:rPr>
          <w:rFonts w:ascii="Calibri" w:eastAsia="Calibri" w:hAnsi="Calibri" w:cs="Times New Roman"/>
        </w:rPr>
        <w:t xml:space="preserve"> p.10</w:t>
      </w:r>
      <w:r w:rsidR="00A029E5" w:rsidRPr="00A029E5">
        <w:rPr>
          <w:rFonts w:ascii="Calibri" w:eastAsia="Calibri" w:hAnsi="Calibri" w:cs="Times New Roman"/>
        </w:rPr>
        <w:t xml:space="preserve">).  </w:t>
      </w:r>
    </w:p>
    <w:p w14:paraId="4D71C412" w14:textId="3A04B7CE" w:rsidR="00437B2A" w:rsidRPr="00437B2A" w:rsidRDefault="00516F4B" w:rsidP="00392236">
      <w:pPr>
        <w:spacing w:line="240" w:lineRule="auto"/>
      </w:pPr>
      <w:r>
        <w:t xml:space="preserve"> </w:t>
      </w:r>
    </w:p>
    <w:sectPr w:rsidR="00437B2A" w:rsidRPr="00437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bon">
    <w:altName w:val="Sabo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B60"/>
    <w:multiLevelType w:val="hybridMultilevel"/>
    <w:tmpl w:val="768C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147C6"/>
    <w:multiLevelType w:val="hybridMultilevel"/>
    <w:tmpl w:val="9610730E"/>
    <w:lvl w:ilvl="0" w:tplc="41FEF826">
      <w:start w:val="1"/>
      <w:numFmt w:val="bullet"/>
      <w:lvlText w:val="•"/>
      <w:lvlJc w:val="left"/>
      <w:pPr>
        <w:tabs>
          <w:tab w:val="num" w:pos="720"/>
        </w:tabs>
        <w:ind w:left="720" w:hanging="360"/>
      </w:pPr>
      <w:rPr>
        <w:rFonts w:ascii="Times New Roman" w:hAnsi="Times New Roman" w:hint="default"/>
      </w:rPr>
    </w:lvl>
    <w:lvl w:ilvl="1" w:tplc="689A5230" w:tentative="1">
      <w:start w:val="1"/>
      <w:numFmt w:val="bullet"/>
      <w:lvlText w:val="•"/>
      <w:lvlJc w:val="left"/>
      <w:pPr>
        <w:tabs>
          <w:tab w:val="num" w:pos="1440"/>
        </w:tabs>
        <w:ind w:left="1440" w:hanging="360"/>
      </w:pPr>
      <w:rPr>
        <w:rFonts w:ascii="Times New Roman" w:hAnsi="Times New Roman" w:hint="default"/>
      </w:rPr>
    </w:lvl>
    <w:lvl w:ilvl="2" w:tplc="69AC55A4" w:tentative="1">
      <w:start w:val="1"/>
      <w:numFmt w:val="bullet"/>
      <w:lvlText w:val="•"/>
      <w:lvlJc w:val="left"/>
      <w:pPr>
        <w:tabs>
          <w:tab w:val="num" w:pos="2160"/>
        </w:tabs>
        <w:ind w:left="2160" w:hanging="360"/>
      </w:pPr>
      <w:rPr>
        <w:rFonts w:ascii="Times New Roman" w:hAnsi="Times New Roman" w:hint="default"/>
      </w:rPr>
    </w:lvl>
    <w:lvl w:ilvl="3" w:tplc="D424E22C" w:tentative="1">
      <w:start w:val="1"/>
      <w:numFmt w:val="bullet"/>
      <w:lvlText w:val="•"/>
      <w:lvlJc w:val="left"/>
      <w:pPr>
        <w:tabs>
          <w:tab w:val="num" w:pos="2880"/>
        </w:tabs>
        <w:ind w:left="2880" w:hanging="360"/>
      </w:pPr>
      <w:rPr>
        <w:rFonts w:ascii="Times New Roman" w:hAnsi="Times New Roman" w:hint="default"/>
      </w:rPr>
    </w:lvl>
    <w:lvl w:ilvl="4" w:tplc="5176A502" w:tentative="1">
      <w:start w:val="1"/>
      <w:numFmt w:val="bullet"/>
      <w:lvlText w:val="•"/>
      <w:lvlJc w:val="left"/>
      <w:pPr>
        <w:tabs>
          <w:tab w:val="num" w:pos="3600"/>
        </w:tabs>
        <w:ind w:left="3600" w:hanging="360"/>
      </w:pPr>
      <w:rPr>
        <w:rFonts w:ascii="Times New Roman" w:hAnsi="Times New Roman" w:hint="default"/>
      </w:rPr>
    </w:lvl>
    <w:lvl w:ilvl="5" w:tplc="DED668B2" w:tentative="1">
      <w:start w:val="1"/>
      <w:numFmt w:val="bullet"/>
      <w:lvlText w:val="•"/>
      <w:lvlJc w:val="left"/>
      <w:pPr>
        <w:tabs>
          <w:tab w:val="num" w:pos="4320"/>
        </w:tabs>
        <w:ind w:left="4320" w:hanging="360"/>
      </w:pPr>
      <w:rPr>
        <w:rFonts w:ascii="Times New Roman" w:hAnsi="Times New Roman" w:hint="default"/>
      </w:rPr>
    </w:lvl>
    <w:lvl w:ilvl="6" w:tplc="D2603EB4" w:tentative="1">
      <w:start w:val="1"/>
      <w:numFmt w:val="bullet"/>
      <w:lvlText w:val="•"/>
      <w:lvlJc w:val="left"/>
      <w:pPr>
        <w:tabs>
          <w:tab w:val="num" w:pos="5040"/>
        </w:tabs>
        <w:ind w:left="5040" w:hanging="360"/>
      </w:pPr>
      <w:rPr>
        <w:rFonts w:ascii="Times New Roman" w:hAnsi="Times New Roman" w:hint="default"/>
      </w:rPr>
    </w:lvl>
    <w:lvl w:ilvl="7" w:tplc="02724664" w:tentative="1">
      <w:start w:val="1"/>
      <w:numFmt w:val="bullet"/>
      <w:lvlText w:val="•"/>
      <w:lvlJc w:val="left"/>
      <w:pPr>
        <w:tabs>
          <w:tab w:val="num" w:pos="5760"/>
        </w:tabs>
        <w:ind w:left="5760" w:hanging="360"/>
      </w:pPr>
      <w:rPr>
        <w:rFonts w:ascii="Times New Roman" w:hAnsi="Times New Roman" w:hint="default"/>
      </w:rPr>
    </w:lvl>
    <w:lvl w:ilvl="8" w:tplc="F4C6068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580088"/>
    <w:multiLevelType w:val="hybridMultilevel"/>
    <w:tmpl w:val="92B24E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F572C0D"/>
    <w:multiLevelType w:val="hybridMultilevel"/>
    <w:tmpl w:val="3D6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13E9A"/>
    <w:multiLevelType w:val="hybridMultilevel"/>
    <w:tmpl w:val="A508A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B4076"/>
    <w:multiLevelType w:val="hybridMultilevel"/>
    <w:tmpl w:val="3DCE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F1A65"/>
    <w:multiLevelType w:val="hybridMultilevel"/>
    <w:tmpl w:val="71262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05FAC"/>
    <w:multiLevelType w:val="hybridMultilevel"/>
    <w:tmpl w:val="18A86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023F9"/>
    <w:multiLevelType w:val="hybridMultilevel"/>
    <w:tmpl w:val="944E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42421"/>
    <w:multiLevelType w:val="hybridMultilevel"/>
    <w:tmpl w:val="76540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92098"/>
    <w:multiLevelType w:val="hybridMultilevel"/>
    <w:tmpl w:val="304428EA"/>
    <w:lvl w:ilvl="0" w:tplc="FEAA527A">
      <w:start w:val="1"/>
      <w:numFmt w:val="bullet"/>
      <w:lvlText w:val=""/>
      <w:lvlJc w:val="left"/>
      <w:pPr>
        <w:tabs>
          <w:tab w:val="num" w:pos="720"/>
        </w:tabs>
        <w:ind w:left="720" w:hanging="360"/>
      </w:pPr>
      <w:rPr>
        <w:rFonts w:ascii="Wingdings 3" w:hAnsi="Wingdings 3" w:hint="default"/>
      </w:rPr>
    </w:lvl>
    <w:lvl w:ilvl="1" w:tplc="66CACD02" w:tentative="1">
      <w:start w:val="1"/>
      <w:numFmt w:val="bullet"/>
      <w:lvlText w:val=""/>
      <w:lvlJc w:val="left"/>
      <w:pPr>
        <w:tabs>
          <w:tab w:val="num" w:pos="1440"/>
        </w:tabs>
        <w:ind w:left="1440" w:hanging="360"/>
      </w:pPr>
      <w:rPr>
        <w:rFonts w:ascii="Wingdings 3" w:hAnsi="Wingdings 3" w:hint="default"/>
      </w:rPr>
    </w:lvl>
    <w:lvl w:ilvl="2" w:tplc="40E039E2" w:tentative="1">
      <w:start w:val="1"/>
      <w:numFmt w:val="bullet"/>
      <w:lvlText w:val=""/>
      <w:lvlJc w:val="left"/>
      <w:pPr>
        <w:tabs>
          <w:tab w:val="num" w:pos="2160"/>
        </w:tabs>
        <w:ind w:left="2160" w:hanging="360"/>
      </w:pPr>
      <w:rPr>
        <w:rFonts w:ascii="Wingdings 3" w:hAnsi="Wingdings 3" w:hint="default"/>
      </w:rPr>
    </w:lvl>
    <w:lvl w:ilvl="3" w:tplc="F9B4197C" w:tentative="1">
      <w:start w:val="1"/>
      <w:numFmt w:val="bullet"/>
      <w:lvlText w:val=""/>
      <w:lvlJc w:val="left"/>
      <w:pPr>
        <w:tabs>
          <w:tab w:val="num" w:pos="2880"/>
        </w:tabs>
        <w:ind w:left="2880" w:hanging="360"/>
      </w:pPr>
      <w:rPr>
        <w:rFonts w:ascii="Wingdings 3" w:hAnsi="Wingdings 3" w:hint="default"/>
      </w:rPr>
    </w:lvl>
    <w:lvl w:ilvl="4" w:tplc="F37C73CE" w:tentative="1">
      <w:start w:val="1"/>
      <w:numFmt w:val="bullet"/>
      <w:lvlText w:val=""/>
      <w:lvlJc w:val="left"/>
      <w:pPr>
        <w:tabs>
          <w:tab w:val="num" w:pos="3600"/>
        </w:tabs>
        <w:ind w:left="3600" w:hanging="360"/>
      </w:pPr>
      <w:rPr>
        <w:rFonts w:ascii="Wingdings 3" w:hAnsi="Wingdings 3" w:hint="default"/>
      </w:rPr>
    </w:lvl>
    <w:lvl w:ilvl="5" w:tplc="0840CC54" w:tentative="1">
      <w:start w:val="1"/>
      <w:numFmt w:val="bullet"/>
      <w:lvlText w:val=""/>
      <w:lvlJc w:val="left"/>
      <w:pPr>
        <w:tabs>
          <w:tab w:val="num" w:pos="4320"/>
        </w:tabs>
        <w:ind w:left="4320" w:hanging="360"/>
      </w:pPr>
      <w:rPr>
        <w:rFonts w:ascii="Wingdings 3" w:hAnsi="Wingdings 3" w:hint="default"/>
      </w:rPr>
    </w:lvl>
    <w:lvl w:ilvl="6" w:tplc="355EE254" w:tentative="1">
      <w:start w:val="1"/>
      <w:numFmt w:val="bullet"/>
      <w:lvlText w:val=""/>
      <w:lvlJc w:val="left"/>
      <w:pPr>
        <w:tabs>
          <w:tab w:val="num" w:pos="5040"/>
        </w:tabs>
        <w:ind w:left="5040" w:hanging="360"/>
      </w:pPr>
      <w:rPr>
        <w:rFonts w:ascii="Wingdings 3" w:hAnsi="Wingdings 3" w:hint="default"/>
      </w:rPr>
    </w:lvl>
    <w:lvl w:ilvl="7" w:tplc="34F05554" w:tentative="1">
      <w:start w:val="1"/>
      <w:numFmt w:val="bullet"/>
      <w:lvlText w:val=""/>
      <w:lvlJc w:val="left"/>
      <w:pPr>
        <w:tabs>
          <w:tab w:val="num" w:pos="5760"/>
        </w:tabs>
        <w:ind w:left="5760" w:hanging="360"/>
      </w:pPr>
      <w:rPr>
        <w:rFonts w:ascii="Wingdings 3" w:hAnsi="Wingdings 3" w:hint="default"/>
      </w:rPr>
    </w:lvl>
    <w:lvl w:ilvl="8" w:tplc="0BF05650"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4023C15"/>
    <w:multiLevelType w:val="hybridMultilevel"/>
    <w:tmpl w:val="831EAC14"/>
    <w:lvl w:ilvl="0" w:tplc="1366A8AE">
      <w:start w:val="1"/>
      <w:numFmt w:val="bullet"/>
      <w:lvlText w:val=""/>
      <w:lvlJc w:val="left"/>
      <w:pPr>
        <w:tabs>
          <w:tab w:val="num" w:pos="720"/>
        </w:tabs>
        <w:ind w:left="720" w:hanging="360"/>
      </w:pPr>
      <w:rPr>
        <w:rFonts w:ascii="Wingdings 3" w:hAnsi="Wingdings 3" w:hint="default"/>
      </w:rPr>
    </w:lvl>
    <w:lvl w:ilvl="1" w:tplc="872C29B8" w:tentative="1">
      <w:start w:val="1"/>
      <w:numFmt w:val="bullet"/>
      <w:lvlText w:val=""/>
      <w:lvlJc w:val="left"/>
      <w:pPr>
        <w:tabs>
          <w:tab w:val="num" w:pos="1440"/>
        </w:tabs>
        <w:ind w:left="1440" w:hanging="360"/>
      </w:pPr>
      <w:rPr>
        <w:rFonts w:ascii="Wingdings 3" w:hAnsi="Wingdings 3" w:hint="default"/>
      </w:rPr>
    </w:lvl>
    <w:lvl w:ilvl="2" w:tplc="F3EC3DE0" w:tentative="1">
      <w:start w:val="1"/>
      <w:numFmt w:val="bullet"/>
      <w:lvlText w:val=""/>
      <w:lvlJc w:val="left"/>
      <w:pPr>
        <w:tabs>
          <w:tab w:val="num" w:pos="2160"/>
        </w:tabs>
        <w:ind w:left="2160" w:hanging="360"/>
      </w:pPr>
      <w:rPr>
        <w:rFonts w:ascii="Wingdings 3" w:hAnsi="Wingdings 3" w:hint="default"/>
      </w:rPr>
    </w:lvl>
    <w:lvl w:ilvl="3" w:tplc="185CCC7C" w:tentative="1">
      <w:start w:val="1"/>
      <w:numFmt w:val="bullet"/>
      <w:lvlText w:val=""/>
      <w:lvlJc w:val="left"/>
      <w:pPr>
        <w:tabs>
          <w:tab w:val="num" w:pos="2880"/>
        </w:tabs>
        <w:ind w:left="2880" w:hanging="360"/>
      </w:pPr>
      <w:rPr>
        <w:rFonts w:ascii="Wingdings 3" w:hAnsi="Wingdings 3" w:hint="default"/>
      </w:rPr>
    </w:lvl>
    <w:lvl w:ilvl="4" w:tplc="5540CE3A" w:tentative="1">
      <w:start w:val="1"/>
      <w:numFmt w:val="bullet"/>
      <w:lvlText w:val=""/>
      <w:lvlJc w:val="left"/>
      <w:pPr>
        <w:tabs>
          <w:tab w:val="num" w:pos="3600"/>
        </w:tabs>
        <w:ind w:left="3600" w:hanging="360"/>
      </w:pPr>
      <w:rPr>
        <w:rFonts w:ascii="Wingdings 3" w:hAnsi="Wingdings 3" w:hint="default"/>
      </w:rPr>
    </w:lvl>
    <w:lvl w:ilvl="5" w:tplc="3F1C71EE" w:tentative="1">
      <w:start w:val="1"/>
      <w:numFmt w:val="bullet"/>
      <w:lvlText w:val=""/>
      <w:lvlJc w:val="left"/>
      <w:pPr>
        <w:tabs>
          <w:tab w:val="num" w:pos="4320"/>
        </w:tabs>
        <w:ind w:left="4320" w:hanging="360"/>
      </w:pPr>
      <w:rPr>
        <w:rFonts w:ascii="Wingdings 3" w:hAnsi="Wingdings 3" w:hint="default"/>
      </w:rPr>
    </w:lvl>
    <w:lvl w:ilvl="6" w:tplc="397217FE" w:tentative="1">
      <w:start w:val="1"/>
      <w:numFmt w:val="bullet"/>
      <w:lvlText w:val=""/>
      <w:lvlJc w:val="left"/>
      <w:pPr>
        <w:tabs>
          <w:tab w:val="num" w:pos="5040"/>
        </w:tabs>
        <w:ind w:left="5040" w:hanging="360"/>
      </w:pPr>
      <w:rPr>
        <w:rFonts w:ascii="Wingdings 3" w:hAnsi="Wingdings 3" w:hint="default"/>
      </w:rPr>
    </w:lvl>
    <w:lvl w:ilvl="7" w:tplc="B3F416EC" w:tentative="1">
      <w:start w:val="1"/>
      <w:numFmt w:val="bullet"/>
      <w:lvlText w:val=""/>
      <w:lvlJc w:val="left"/>
      <w:pPr>
        <w:tabs>
          <w:tab w:val="num" w:pos="5760"/>
        </w:tabs>
        <w:ind w:left="5760" w:hanging="360"/>
      </w:pPr>
      <w:rPr>
        <w:rFonts w:ascii="Wingdings 3" w:hAnsi="Wingdings 3" w:hint="default"/>
      </w:rPr>
    </w:lvl>
    <w:lvl w:ilvl="8" w:tplc="E25C8EC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49A1C7E"/>
    <w:multiLevelType w:val="hybridMultilevel"/>
    <w:tmpl w:val="A4944088"/>
    <w:lvl w:ilvl="0" w:tplc="13F4DF44">
      <w:start w:val="1"/>
      <w:numFmt w:val="bullet"/>
      <w:lvlText w:val=""/>
      <w:lvlJc w:val="left"/>
      <w:pPr>
        <w:tabs>
          <w:tab w:val="num" w:pos="720"/>
        </w:tabs>
        <w:ind w:left="720" w:hanging="360"/>
      </w:pPr>
      <w:rPr>
        <w:rFonts w:ascii="Wingdings 3" w:hAnsi="Wingdings 3" w:hint="default"/>
      </w:rPr>
    </w:lvl>
    <w:lvl w:ilvl="1" w:tplc="DACC75DA" w:tentative="1">
      <w:start w:val="1"/>
      <w:numFmt w:val="bullet"/>
      <w:lvlText w:val=""/>
      <w:lvlJc w:val="left"/>
      <w:pPr>
        <w:tabs>
          <w:tab w:val="num" w:pos="1440"/>
        </w:tabs>
        <w:ind w:left="1440" w:hanging="360"/>
      </w:pPr>
      <w:rPr>
        <w:rFonts w:ascii="Wingdings 3" w:hAnsi="Wingdings 3" w:hint="default"/>
      </w:rPr>
    </w:lvl>
    <w:lvl w:ilvl="2" w:tplc="8988C644" w:tentative="1">
      <w:start w:val="1"/>
      <w:numFmt w:val="bullet"/>
      <w:lvlText w:val=""/>
      <w:lvlJc w:val="left"/>
      <w:pPr>
        <w:tabs>
          <w:tab w:val="num" w:pos="2160"/>
        </w:tabs>
        <w:ind w:left="2160" w:hanging="360"/>
      </w:pPr>
      <w:rPr>
        <w:rFonts w:ascii="Wingdings 3" w:hAnsi="Wingdings 3" w:hint="default"/>
      </w:rPr>
    </w:lvl>
    <w:lvl w:ilvl="3" w:tplc="A4389A0E" w:tentative="1">
      <w:start w:val="1"/>
      <w:numFmt w:val="bullet"/>
      <w:lvlText w:val=""/>
      <w:lvlJc w:val="left"/>
      <w:pPr>
        <w:tabs>
          <w:tab w:val="num" w:pos="2880"/>
        </w:tabs>
        <w:ind w:left="2880" w:hanging="360"/>
      </w:pPr>
      <w:rPr>
        <w:rFonts w:ascii="Wingdings 3" w:hAnsi="Wingdings 3" w:hint="default"/>
      </w:rPr>
    </w:lvl>
    <w:lvl w:ilvl="4" w:tplc="8A0A36D2" w:tentative="1">
      <w:start w:val="1"/>
      <w:numFmt w:val="bullet"/>
      <w:lvlText w:val=""/>
      <w:lvlJc w:val="left"/>
      <w:pPr>
        <w:tabs>
          <w:tab w:val="num" w:pos="3600"/>
        </w:tabs>
        <w:ind w:left="3600" w:hanging="360"/>
      </w:pPr>
      <w:rPr>
        <w:rFonts w:ascii="Wingdings 3" w:hAnsi="Wingdings 3" w:hint="default"/>
      </w:rPr>
    </w:lvl>
    <w:lvl w:ilvl="5" w:tplc="8B1AE658" w:tentative="1">
      <w:start w:val="1"/>
      <w:numFmt w:val="bullet"/>
      <w:lvlText w:val=""/>
      <w:lvlJc w:val="left"/>
      <w:pPr>
        <w:tabs>
          <w:tab w:val="num" w:pos="4320"/>
        </w:tabs>
        <w:ind w:left="4320" w:hanging="360"/>
      </w:pPr>
      <w:rPr>
        <w:rFonts w:ascii="Wingdings 3" w:hAnsi="Wingdings 3" w:hint="default"/>
      </w:rPr>
    </w:lvl>
    <w:lvl w:ilvl="6" w:tplc="5B1E28BE" w:tentative="1">
      <w:start w:val="1"/>
      <w:numFmt w:val="bullet"/>
      <w:lvlText w:val=""/>
      <w:lvlJc w:val="left"/>
      <w:pPr>
        <w:tabs>
          <w:tab w:val="num" w:pos="5040"/>
        </w:tabs>
        <w:ind w:left="5040" w:hanging="360"/>
      </w:pPr>
      <w:rPr>
        <w:rFonts w:ascii="Wingdings 3" w:hAnsi="Wingdings 3" w:hint="default"/>
      </w:rPr>
    </w:lvl>
    <w:lvl w:ilvl="7" w:tplc="47E6B42C" w:tentative="1">
      <w:start w:val="1"/>
      <w:numFmt w:val="bullet"/>
      <w:lvlText w:val=""/>
      <w:lvlJc w:val="left"/>
      <w:pPr>
        <w:tabs>
          <w:tab w:val="num" w:pos="5760"/>
        </w:tabs>
        <w:ind w:left="5760" w:hanging="360"/>
      </w:pPr>
      <w:rPr>
        <w:rFonts w:ascii="Wingdings 3" w:hAnsi="Wingdings 3" w:hint="default"/>
      </w:rPr>
    </w:lvl>
    <w:lvl w:ilvl="8" w:tplc="A0521304"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44F64230"/>
    <w:multiLevelType w:val="hybridMultilevel"/>
    <w:tmpl w:val="E7C29B0A"/>
    <w:lvl w:ilvl="0" w:tplc="08090001">
      <w:start w:val="1"/>
      <w:numFmt w:val="bullet"/>
      <w:lvlText w:val=""/>
      <w:lvlJc w:val="left"/>
      <w:pPr>
        <w:tabs>
          <w:tab w:val="num" w:pos="720"/>
        </w:tabs>
        <w:ind w:left="720" w:hanging="360"/>
      </w:pPr>
      <w:rPr>
        <w:rFonts w:ascii="Symbol" w:hAnsi="Symbol" w:hint="default"/>
      </w:rPr>
    </w:lvl>
    <w:lvl w:ilvl="1" w:tplc="5A76D938" w:tentative="1">
      <w:start w:val="1"/>
      <w:numFmt w:val="bullet"/>
      <w:lvlText w:val=""/>
      <w:lvlJc w:val="left"/>
      <w:pPr>
        <w:tabs>
          <w:tab w:val="num" w:pos="1440"/>
        </w:tabs>
        <w:ind w:left="1440" w:hanging="360"/>
      </w:pPr>
      <w:rPr>
        <w:rFonts w:ascii="Wingdings 3" w:hAnsi="Wingdings 3" w:hint="default"/>
      </w:rPr>
    </w:lvl>
    <w:lvl w:ilvl="2" w:tplc="F32A11F6" w:tentative="1">
      <w:start w:val="1"/>
      <w:numFmt w:val="bullet"/>
      <w:lvlText w:val=""/>
      <w:lvlJc w:val="left"/>
      <w:pPr>
        <w:tabs>
          <w:tab w:val="num" w:pos="2160"/>
        </w:tabs>
        <w:ind w:left="2160" w:hanging="360"/>
      </w:pPr>
      <w:rPr>
        <w:rFonts w:ascii="Wingdings 3" w:hAnsi="Wingdings 3" w:hint="default"/>
      </w:rPr>
    </w:lvl>
    <w:lvl w:ilvl="3" w:tplc="911AFE0A" w:tentative="1">
      <w:start w:val="1"/>
      <w:numFmt w:val="bullet"/>
      <w:lvlText w:val=""/>
      <w:lvlJc w:val="left"/>
      <w:pPr>
        <w:tabs>
          <w:tab w:val="num" w:pos="2880"/>
        </w:tabs>
        <w:ind w:left="2880" w:hanging="360"/>
      </w:pPr>
      <w:rPr>
        <w:rFonts w:ascii="Wingdings 3" w:hAnsi="Wingdings 3" w:hint="default"/>
      </w:rPr>
    </w:lvl>
    <w:lvl w:ilvl="4" w:tplc="680AC3A8" w:tentative="1">
      <w:start w:val="1"/>
      <w:numFmt w:val="bullet"/>
      <w:lvlText w:val=""/>
      <w:lvlJc w:val="left"/>
      <w:pPr>
        <w:tabs>
          <w:tab w:val="num" w:pos="3600"/>
        </w:tabs>
        <w:ind w:left="3600" w:hanging="360"/>
      </w:pPr>
      <w:rPr>
        <w:rFonts w:ascii="Wingdings 3" w:hAnsi="Wingdings 3" w:hint="default"/>
      </w:rPr>
    </w:lvl>
    <w:lvl w:ilvl="5" w:tplc="9F2CD890" w:tentative="1">
      <w:start w:val="1"/>
      <w:numFmt w:val="bullet"/>
      <w:lvlText w:val=""/>
      <w:lvlJc w:val="left"/>
      <w:pPr>
        <w:tabs>
          <w:tab w:val="num" w:pos="4320"/>
        </w:tabs>
        <w:ind w:left="4320" w:hanging="360"/>
      </w:pPr>
      <w:rPr>
        <w:rFonts w:ascii="Wingdings 3" w:hAnsi="Wingdings 3" w:hint="default"/>
      </w:rPr>
    </w:lvl>
    <w:lvl w:ilvl="6" w:tplc="BBD08A42" w:tentative="1">
      <w:start w:val="1"/>
      <w:numFmt w:val="bullet"/>
      <w:lvlText w:val=""/>
      <w:lvlJc w:val="left"/>
      <w:pPr>
        <w:tabs>
          <w:tab w:val="num" w:pos="5040"/>
        </w:tabs>
        <w:ind w:left="5040" w:hanging="360"/>
      </w:pPr>
      <w:rPr>
        <w:rFonts w:ascii="Wingdings 3" w:hAnsi="Wingdings 3" w:hint="default"/>
      </w:rPr>
    </w:lvl>
    <w:lvl w:ilvl="7" w:tplc="71DA43E2" w:tentative="1">
      <w:start w:val="1"/>
      <w:numFmt w:val="bullet"/>
      <w:lvlText w:val=""/>
      <w:lvlJc w:val="left"/>
      <w:pPr>
        <w:tabs>
          <w:tab w:val="num" w:pos="5760"/>
        </w:tabs>
        <w:ind w:left="5760" w:hanging="360"/>
      </w:pPr>
      <w:rPr>
        <w:rFonts w:ascii="Wingdings 3" w:hAnsi="Wingdings 3" w:hint="default"/>
      </w:rPr>
    </w:lvl>
    <w:lvl w:ilvl="8" w:tplc="BABC4492"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F262474"/>
    <w:multiLevelType w:val="hybridMultilevel"/>
    <w:tmpl w:val="49DCC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9B1"/>
    <w:multiLevelType w:val="hybridMultilevel"/>
    <w:tmpl w:val="7F82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BB6235"/>
    <w:multiLevelType w:val="hybridMultilevel"/>
    <w:tmpl w:val="3E5E2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203950"/>
    <w:multiLevelType w:val="hybridMultilevel"/>
    <w:tmpl w:val="CD9A1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F63B8"/>
    <w:multiLevelType w:val="hybridMultilevel"/>
    <w:tmpl w:val="C67A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9703D"/>
    <w:multiLevelType w:val="hybridMultilevel"/>
    <w:tmpl w:val="18B6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B0955"/>
    <w:multiLevelType w:val="hybridMultilevel"/>
    <w:tmpl w:val="7E04C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C43719"/>
    <w:multiLevelType w:val="hybridMultilevel"/>
    <w:tmpl w:val="FDEE20AE"/>
    <w:lvl w:ilvl="0" w:tplc="207EC520">
      <w:start w:val="1"/>
      <w:numFmt w:val="bullet"/>
      <w:lvlText w:val=""/>
      <w:lvlJc w:val="left"/>
      <w:pPr>
        <w:tabs>
          <w:tab w:val="num" w:pos="720"/>
        </w:tabs>
        <w:ind w:left="720" w:hanging="360"/>
      </w:pPr>
      <w:rPr>
        <w:rFonts w:ascii="Wingdings 3" w:hAnsi="Wingdings 3" w:hint="default"/>
      </w:rPr>
    </w:lvl>
    <w:lvl w:ilvl="1" w:tplc="E7DC8EC0" w:tentative="1">
      <w:start w:val="1"/>
      <w:numFmt w:val="bullet"/>
      <w:lvlText w:val=""/>
      <w:lvlJc w:val="left"/>
      <w:pPr>
        <w:tabs>
          <w:tab w:val="num" w:pos="1440"/>
        </w:tabs>
        <w:ind w:left="1440" w:hanging="360"/>
      </w:pPr>
      <w:rPr>
        <w:rFonts w:ascii="Wingdings 3" w:hAnsi="Wingdings 3" w:hint="default"/>
      </w:rPr>
    </w:lvl>
    <w:lvl w:ilvl="2" w:tplc="E1E6EA48" w:tentative="1">
      <w:start w:val="1"/>
      <w:numFmt w:val="bullet"/>
      <w:lvlText w:val=""/>
      <w:lvlJc w:val="left"/>
      <w:pPr>
        <w:tabs>
          <w:tab w:val="num" w:pos="2160"/>
        </w:tabs>
        <w:ind w:left="2160" w:hanging="360"/>
      </w:pPr>
      <w:rPr>
        <w:rFonts w:ascii="Wingdings 3" w:hAnsi="Wingdings 3" w:hint="default"/>
      </w:rPr>
    </w:lvl>
    <w:lvl w:ilvl="3" w:tplc="5DD675F8" w:tentative="1">
      <w:start w:val="1"/>
      <w:numFmt w:val="bullet"/>
      <w:lvlText w:val=""/>
      <w:lvlJc w:val="left"/>
      <w:pPr>
        <w:tabs>
          <w:tab w:val="num" w:pos="2880"/>
        </w:tabs>
        <w:ind w:left="2880" w:hanging="360"/>
      </w:pPr>
      <w:rPr>
        <w:rFonts w:ascii="Wingdings 3" w:hAnsi="Wingdings 3" w:hint="default"/>
      </w:rPr>
    </w:lvl>
    <w:lvl w:ilvl="4" w:tplc="2BB2C714" w:tentative="1">
      <w:start w:val="1"/>
      <w:numFmt w:val="bullet"/>
      <w:lvlText w:val=""/>
      <w:lvlJc w:val="left"/>
      <w:pPr>
        <w:tabs>
          <w:tab w:val="num" w:pos="3600"/>
        </w:tabs>
        <w:ind w:left="3600" w:hanging="360"/>
      </w:pPr>
      <w:rPr>
        <w:rFonts w:ascii="Wingdings 3" w:hAnsi="Wingdings 3" w:hint="default"/>
      </w:rPr>
    </w:lvl>
    <w:lvl w:ilvl="5" w:tplc="C0981496" w:tentative="1">
      <w:start w:val="1"/>
      <w:numFmt w:val="bullet"/>
      <w:lvlText w:val=""/>
      <w:lvlJc w:val="left"/>
      <w:pPr>
        <w:tabs>
          <w:tab w:val="num" w:pos="4320"/>
        </w:tabs>
        <w:ind w:left="4320" w:hanging="360"/>
      </w:pPr>
      <w:rPr>
        <w:rFonts w:ascii="Wingdings 3" w:hAnsi="Wingdings 3" w:hint="default"/>
      </w:rPr>
    </w:lvl>
    <w:lvl w:ilvl="6" w:tplc="372022F8" w:tentative="1">
      <w:start w:val="1"/>
      <w:numFmt w:val="bullet"/>
      <w:lvlText w:val=""/>
      <w:lvlJc w:val="left"/>
      <w:pPr>
        <w:tabs>
          <w:tab w:val="num" w:pos="5040"/>
        </w:tabs>
        <w:ind w:left="5040" w:hanging="360"/>
      </w:pPr>
      <w:rPr>
        <w:rFonts w:ascii="Wingdings 3" w:hAnsi="Wingdings 3" w:hint="default"/>
      </w:rPr>
    </w:lvl>
    <w:lvl w:ilvl="7" w:tplc="E47E585E" w:tentative="1">
      <w:start w:val="1"/>
      <w:numFmt w:val="bullet"/>
      <w:lvlText w:val=""/>
      <w:lvlJc w:val="left"/>
      <w:pPr>
        <w:tabs>
          <w:tab w:val="num" w:pos="5760"/>
        </w:tabs>
        <w:ind w:left="5760" w:hanging="360"/>
      </w:pPr>
      <w:rPr>
        <w:rFonts w:ascii="Wingdings 3" w:hAnsi="Wingdings 3" w:hint="default"/>
      </w:rPr>
    </w:lvl>
    <w:lvl w:ilvl="8" w:tplc="7E7243EC"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DA3243D"/>
    <w:multiLevelType w:val="hybridMultilevel"/>
    <w:tmpl w:val="3682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1"/>
  </w:num>
  <w:num w:numId="4">
    <w:abstractNumId w:val="15"/>
  </w:num>
  <w:num w:numId="5">
    <w:abstractNumId w:val="2"/>
  </w:num>
  <w:num w:numId="6">
    <w:abstractNumId w:val="22"/>
  </w:num>
  <w:num w:numId="7">
    <w:abstractNumId w:val="7"/>
  </w:num>
  <w:num w:numId="8">
    <w:abstractNumId w:val="13"/>
  </w:num>
  <w:num w:numId="9">
    <w:abstractNumId w:val="20"/>
  </w:num>
  <w:num w:numId="10">
    <w:abstractNumId w:val="12"/>
  </w:num>
  <w:num w:numId="11">
    <w:abstractNumId w:val="0"/>
  </w:num>
  <w:num w:numId="12">
    <w:abstractNumId w:val="3"/>
  </w:num>
  <w:num w:numId="13">
    <w:abstractNumId w:val="5"/>
  </w:num>
  <w:num w:numId="14">
    <w:abstractNumId w:val="17"/>
  </w:num>
  <w:num w:numId="15">
    <w:abstractNumId w:val="8"/>
  </w:num>
  <w:num w:numId="16">
    <w:abstractNumId w:val="6"/>
  </w:num>
  <w:num w:numId="17">
    <w:abstractNumId w:val="18"/>
  </w:num>
  <w:num w:numId="18">
    <w:abstractNumId w:val="16"/>
  </w:num>
  <w:num w:numId="19">
    <w:abstractNumId w:val="4"/>
  </w:num>
  <w:num w:numId="20">
    <w:abstractNumId w:val="14"/>
  </w:num>
  <w:num w:numId="21">
    <w:abstractNumId w:val="1"/>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42"/>
    <w:rsid w:val="00006A77"/>
    <w:rsid w:val="00011837"/>
    <w:rsid w:val="00013863"/>
    <w:rsid w:val="0001475F"/>
    <w:rsid w:val="00014C48"/>
    <w:rsid w:val="00015A6D"/>
    <w:rsid w:val="00017ADE"/>
    <w:rsid w:val="00023137"/>
    <w:rsid w:val="00025CB7"/>
    <w:rsid w:val="00031928"/>
    <w:rsid w:val="00032063"/>
    <w:rsid w:val="00033569"/>
    <w:rsid w:val="000345A7"/>
    <w:rsid w:val="0003760C"/>
    <w:rsid w:val="000404A3"/>
    <w:rsid w:val="000435C8"/>
    <w:rsid w:val="00046841"/>
    <w:rsid w:val="00050D02"/>
    <w:rsid w:val="000543E2"/>
    <w:rsid w:val="0005486B"/>
    <w:rsid w:val="000601C0"/>
    <w:rsid w:val="000613F6"/>
    <w:rsid w:val="000630F4"/>
    <w:rsid w:val="00063C9A"/>
    <w:rsid w:val="00065413"/>
    <w:rsid w:val="000656FC"/>
    <w:rsid w:val="00066B94"/>
    <w:rsid w:val="00071885"/>
    <w:rsid w:val="000725AE"/>
    <w:rsid w:val="00077F5B"/>
    <w:rsid w:val="000809BE"/>
    <w:rsid w:val="00083A8C"/>
    <w:rsid w:val="00084D64"/>
    <w:rsid w:val="0008743A"/>
    <w:rsid w:val="0009453A"/>
    <w:rsid w:val="00094C32"/>
    <w:rsid w:val="000A0BD9"/>
    <w:rsid w:val="000A5DDA"/>
    <w:rsid w:val="000A6D95"/>
    <w:rsid w:val="000B066B"/>
    <w:rsid w:val="000B073F"/>
    <w:rsid w:val="000B17CF"/>
    <w:rsid w:val="000B1ADD"/>
    <w:rsid w:val="000B7D3C"/>
    <w:rsid w:val="000C2641"/>
    <w:rsid w:val="000C436E"/>
    <w:rsid w:val="000C59FA"/>
    <w:rsid w:val="000C7801"/>
    <w:rsid w:val="000D0116"/>
    <w:rsid w:val="000D100F"/>
    <w:rsid w:val="000D252E"/>
    <w:rsid w:val="000D2BDA"/>
    <w:rsid w:val="000D4DE9"/>
    <w:rsid w:val="000D65B1"/>
    <w:rsid w:val="000D70FD"/>
    <w:rsid w:val="000D787A"/>
    <w:rsid w:val="000E49C0"/>
    <w:rsid w:val="000F32F5"/>
    <w:rsid w:val="000F3E0F"/>
    <w:rsid w:val="000F5DA7"/>
    <w:rsid w:val="00104DFB"/>
    <w:rsid w:val="00105FA2"/>
    <w:rsid w:val="001062FD"/>
    <w:rsid w:val="001117BD"/>
    <w:rsid w:val="001134D3"/>
    <w:rsid w:val="00120D3B"/>
    <w:rsid w:val="00121724"/>
    <w:rsid w:val="00122D3B"/>
    <w:rsid w:val="00122F57"/>
    <w:rsid w:val="00123686"/>
    <w:rsid w:val="00127AF2"/>
    <w:rsid w:val="00127EEA"/>
    <w:rsid w:val="00134A7A"/>
    <w:rsid w:val="00143604"/>
    <w:rsid w:val="0014528F"/>
    <w:rsid w:val="00150F98"/>
    <w:rsid w:val="00155B3D"/>
    <w:rsid w:val="001611A2"/>
    <w:rsid w:val="00162588"/>
    <w:rsid w:val="0016271E"/>
    <w:rsid w:val="00164EF8"/>
    <w:rsid w:val="00165398"/>
    <w:rsid w:val="00166BA1"/>
    <w:rsid w:val="00166F5F"/>
    <w:rsid w:val="00167A6A"/>
    <w:rsid w:val="00172AF0"/>
    <w:rsid w:val="0017585E"/>
    <w:rsid w:val="0017617D"/>
    <w:rsid w:val="00176255"/>
    <w:rsid w:val="00181230"/>
    <w:rsid w:val="00181A57"/>
    <w:rsid w:val="00185019"/>
    <w:rsid w:val="0018789D"/>
    <w:rsid w:val="001913D7"/>
    <w:rsid w:val="001925C2"/>
    <w:rsid w:val="001928FB"/>
    <w:rsid w:val="00192D16"/>
    <w:rsid w:val="001A3C62"/>
    <w:rsid w:val="001A738A"/>
    <w:rsid w:val="001A7889"/>
    <w:rsid w:val="001B0BC5"/>
    <w:rsid w:val="001B0E2C"/>
    <w:rsid w:val="001B169D"/>
    <w:rsid w:val="001B3E80"/>
    <w:rsid w:val="001B7A38"/>
    <w:rsid w:val="001C0874"/>
    <w:rsid w:val="001C112F"/>
    <w:rsid w:val="001C572B"/>
    <w:rsid w:val="001D2DED"/>
    <w:rsid w:val="001E2930"/>
    <w:rsid w:val="001E4745"/>
    <w:rsid w:val="001F2CDA"/>
    <w:rsid w:val="001F3542"/>
    <w:rsid w:val="001F5D85"/>
    <w:rsid w:val="001F654A"/>
    <w:rsid w:val="00200DA9"/>
    <w:rsid w:val="002027AE"/>
    <w:rsid w:val="00204C0F"/>
    <w:rsid w:val="00204C65"/>
    <w:rsid w:val="00204D70"/>
    <w:rsid w:val="0021031A"/>
    <w:rsid w:val="00210E65"/>
    <w:rsid w:val="00211A21"/>
    <w:rsid w:val="002132A5"/>
    <w:rsid w:val="00213D5C"/>
    <w:rsid w:val="0021471D"/>
    <w:rsid w:val="0021634C"/>
    <w:rsid w:val="00222E68"/>
    <w:rsid w:val="00223235"/>
    <w:rsid w:val="002237E0"/>
    <w:rsid w:val="00225C0D"/>
    <w:rsid w:val="002355A4"/>
    <w:rsid w:val="002406D5"/>
    <w:rsid w:val="002416E8"/>
    <w:rsid w:val="00253CC9"/>
    <w:rsid w:val="00254E6B"/>
    <w:rsid w:val="00261BBF"/>
    <w:rsid w:val="00261C7E"/>
    <w:rsid w:val="00263224"/>
    <w:rsid w:val="00264679"/>
    <w:rsid w:val="0026573A"/>
    <w:rsid w:val="00265E53"/>
    <w:rsid w:val="00266153"/>
    <w:rsid w:val="00270A89"/>
    <w:rsid w:val="0027161A"/>
    <w:rsid w:val="0027251A"/>
    <w:rsid w:val="002752BC"/>
    <w:rsid w:val="002779C4"/>
    <w:rsid w:val="00280DF9"/>
    <w:rsid w:val="00282CFB"/>
    <w:rsid w:val="00283DCD"/>
    <w:rsid w:val="00287BBB"/>
    <w:rsid w:val="00295957"/>
    <w:rsid w:val="00297677"/>
    <w:rsid w:val="00297813"/>
    <w:rsid w:val="00297F28"/>
    <w:rsid w:val="002A09BC"/>
    <w:rsid w:val="002A1FC2"/>
    <w:rsid w:val="002A3862"/>
    <w:rsid w:val="002B0075"/>
    <w:rsid w:val="002B0280"/>
    <w:rsid w:val="002B147C"/>
    <w:rsid w:val="002B15A0"/>
    <w:rsid w:val="002B2E98"/>
    <w:rsid w:val="002B7C29"/>
    <w:rsid w:val="002B7C3C"/>
    <w:rsid w:val="002C3034"/>
    <w:rsid w:val="002C35E6"/>
    <w:rsid w:val="002C3B9C"/>
    <w:rsid w:val="002C49A0"/>
    <w:rsid w:val="002C4ED0"/>
    <w:rsid w:val="002C5970"/>
    <w:rsid w:val="002D0207"/>
    <w:rsid w:val="002D0B03"/>
    <w:rsid w:val="002D3611"/>
    <w:rsid w:val="002D3DC4"/>
    <w:rsid w:val="002D42D5"/>
    <w:rsid w:val="002E166B"/>
    <w:rsid w:val="002E1AA2"/>
    <w:rsid w:val="002E71B4"/>
    <w:rsid w:val="002F1B19"/>
    <w:rsid w:val="002F27A4"/>
    <w:rsid w:val="002F2EAA"/>
    <w:rsid w:val="002F63ED"/>
    <w:rsid w:val="00300EB2"/>
    <w:rsid w:val="00302726"/>
    <w:rsid w:val="003044DE"/>
    <w:rsid w:val="0030577C"/>
    <w:rsid w:val="003060CE"/>
    <w:rsid w:val="00307762"/>
    <w:rsid w:val="00307782"/>
    <w:rsid w:val="00307D15"/>
    <w:rsid w:val="00320EE0"/>
    <w:rsid w:val="00324C89"/>
    <w:rsid w:val="00324DFB"/>
    <w:rsid w:val="0033198A"/>
    <w:rsid w:val="003332D1"/>
    <w:rsid w:val="00333F9D"/>
    <w:rsid w:val="00340970"/>
    <w:rsid w:val="003416ED"/>
    <w:rsid w:val="00342897"/>
    <w:rsid w:val="00342EFC"/>
    <w:rsid w:val="0034349B"/>
    <w:rsid w:val="0034369C"/>
    <w:rsid w:val="003507E2"/>
    <w:rsid w:val="00352CF7"/>
    <w:rsid w:val="003552EF"/>
    <w:rsid w:val="003560CB"/>
    <w:rsid w:val="003563B0"/>
    <w:rsid w:val="00370CE6"/>
    <w:rsid w:val="003721CB"/>
    <w:rsid w:val="00372306"/>
    <w:rsid w:val="003748AB"/>
    <w:rsid w:val="00377A2F"/>
    <w:rsid w:val="00380656"/>
    <w:rsid w:val="003807A8"/>
    <w:rsid w:val="00381F02"/>
    <w:rsid w:val="00383207"/>
    <w:rsid w:val="0038574E"/>
    <w:rsid w:val="00391049"/>
    <w:rsid w:val="00392236"/>
    <w:rsid w:val="00395AB9"/>
    <w:rsid w:val="00395C76"/>
    <w:rsid w:val="00397725"/>
    <w:rsid w:val="003A1DA9"/>
    <w:rsid w:val="003A21DF"/>
    <w:rsid w:val="003A237D"/>
    <w:rsid w:val="003A4BB3"/>
    <w:rsid w:val="003A520E"/>
    <w:rsid w:val="003A5436"/>
    <w:rsid w:val="003B5C73"/>
    <w:rsid w:val="003B7B25"/>
    <w:rsid w:val="003C1BB3"/>
    <w:rsid w:val="003C4493"/>
    <w:rsid w:val="003C60F3"/>
    <w:rsid w:val="003C69BB"/>
    <w:rsid w:val="003C7099"/>
    <w:rsid w:val="003D0266"/>
    <w:rsid w:val="003D069F"/>
    <w:rsid w:val="003D1626"/>
    <w:rsid w:val="003D1F52"/>
    <w:rsid w:val="003E3675"/>
    <w:rsid w:val="003E5D2C"/>
    <w:rsid w:val="003F03DE"/>
    <w:rsid w:val="003F18A7"/>
    <w:rsid w:val="003F3CAD"/>
    <w:rsid w:val="003F4A9A"/>
    <w:rsid w:val="00401523"/>
    <w:rsid w:val="0040260A"/>
    <w:rsid w:val="00405A97"/>
    <w:rsid w:val="00405BBE"/>
    <w:rsid w:val="00406DD6"/>
    <w:rsid w:val="004116F6"/>
    <w:rsid w:val="0041494A"/>
    <w:rsid w:val="0041702A"/>
    <w:rsid w:val="00423B06"/>
    <w:rsid w:val="004248A4"/>
    <w:rsid w:val="00435111"/>
    <w:rsid w:val="00435B16"/>
    <w:rsid w:val="0043711D"/>
    <w:rsid w:val="00437B2A"/>
    <w:rsid w:val="004453E1"/>
    <w:rsid w:val="004463CD"/>
    <w:rsid w:val="00446A7A"/>
    <w:rsid w:val="00447764"/>
    <w:rsid w:val="00454E79"/>
    <w:rsid w:val="0045555E"/>
    <w:rsid w:val="00457016"/>
    <w:rsid w:val="004603E3"/>
    <w:rsid w:val="0046087E"/>
    <w:rsid w:val="00460F2B"/>
    <w:rsid w:val="00462171"/>
    <w:rsid w:val="004647F9"/>
    <w:rsid w:val="00465B9F"/>
    <w:rsid w:val="00470D2C"/>
    <w:rsid w:val="00470F73"/>
    <w:rsid w:val="004714F9"/>
    <w:rsid w:val="00471538"/>
    <w:rsid w:val="004723CA"/>
    <w:rsid w:val="00472C5F"/>
    <w:rsid w:val="004734BF"/>
    <w:rsid w:val="004741AD"/>
    <w:rsid w:val="0047420B"/>
    <w:rsid w:val="00475A9B"/>
    <w:rsid w:val="00476140"/>
    <w:rsid w:val="00476CF2"/>
    <w:rsid w:val="00477443"/>
    <w:rsid w:val="004808FF"/>
    <w:rsid w:val="00482F78"/>
    <w:rsid w:val="00483074"/>
    <w:rsid w:val="004869E8"/>
    <w:rsid w:val="0049013D"/>
    <w:rsid w:val="00492DC5"/>
    <w:rsid w:val="00493B56"/>
    <w:rsid w:val="004961EA"/>
    <w:rsid w:val="0049718A"/>
    <w:rsid w:val="0049734E"/>
    <w:rsid w:val="004A3A3E"/>
    <w:rsid w:val="004A704D"/>
    <w:rsid w:val="004A737A"/>
    <w:rsid w:val="004B0FEC"/>
    <w:rsid w:val="004B1CC8"/>
    <w:rsid w:val="004B4FAF"/>
    <w:rsid w:val="004B62DE"/>
    <w:rsid w:val="004C1BBB"/>
    <w:rsid w:val="004C480E"/>
    <w:rsid w:val="004C50D7"/>
    <w:rsid w:val="004C6AA7"/>
    <w:rsid w:val="004C7EA0"/>
    <w:rsid w:val="004D0EEE"/>
    <w:rsid w:val="004D3ED2"/>
    <w:rsid w:val="004D6480"/>
    <w:rsid w:val="004D6484"/>
    <w:rsid w:val="004D6C3D"/>
    <w:rsid w:val="004E3253"/>
    <w:rsid w:val="004E470E"/>
    <w:rsid w:val="004E7093"/>
    <w:rsid w:val="004F3064"/>
    <w:rsid w:val="004F47F8"/>
    <w:rsid w:val="005003A5"/>
    <w:rsid w:val="005011E3"/>
    <w:rsid w:val="005029ED"/>
    <w:rsid w:val="005032F6"/>
    <w:rsid w:val="005035A6"/>
    <w:rsid w:val="005109D0"/>
    <w:rsid w:val="00512CE2"/>
    <w:rsid w:val="0051545F"/>
    <w:rsid w:val="00515490"/>
    <w:rsid w:val="00516A02"/>
    <w:rsid w:val="00516F4B"/>
    <w:rsid w:val="00517209"/>
    <w:rsid w:val="00517F31"/>
    <w:rsid w:val="00521BE4"/>
    <w:rsid w:val="00523A0A"/>
    <w:rsid w:val="005256B1"/>
    <w:rsid w:val="00526764"/>
    <w:rsid w:val="005300DE"/>
    <w:rsid w:val="00531252"/>
    <w:rsid w:val="0053127B"/>
    <w:rsid w:val="00535603"/>
    <w:rsid w:val="00540824"/>
    <w:rsid w:val="005412C8"/>
    <w:rsid w:val="00541992"/>
    <w:rsid w:val="00541F60"/>
    <w:rsid w:val="005428DF"/>
    <w:rsid w:val="0054700D"/>
    <w:rsid w:val="0055035E"/>
    <w:rsid w:val="0055617A"/>
    <w:rsid w:val="00561FEB"/>
    <w:rsid w:val="0056273C"/>
    <w:rsid w:val="00563CBD"/>
    <w:rsid w:val="0056451C"/>
    <w:rsid w:val="00565950"/>
    <w:rsid w:val="005709DD"/>
    <w:rsid w:val="00570C00"/>
    <w:rsid w:val="00573D48"/>
    <w:rsid w:val="00574101"/>
    <w:rsid w:val="00574E42"/>
    <w:rsid w:val="00580630"/>
    <w:rsid w:val="00580CFB"/>
    <w:rsid w:val="005827EB"/>
    <w:rsid w:val="005833CE"/>
    <w:rsid w:val="00583400"/>
    <w:rsid w:val="005958D9"/>
    <w:rsid w:val="00597057"/>
    <w:rsid w:val="0059747B"/>
    <w:rsid w:val="005A4F05"/>
    <w:rsid w:val="005A5211"/>
    <w:rsid w:val="005A525A"/>
    <w:rsid w:val="005A6A86"/>
    <w:rsid w:val="005A7167"/>
    <w:rsid w:val="005C0050"/>
    <w:rsid w:val="005C209F"/>
    <w:rsid w:val="005C53CF"/>
    <w:rsid w:val="005D024C"/>
    <w:rsid w:val="005D4995"/>
    <w:rsid w:val="005D5AE4"/>
    <w:rsid w:val="005D698F"/>
    <w:rsid w:val="005E4DCB"/>
    <w:rsid w:val="005E58CC"/>
    <w:rsid w:val="005F0C54"/>
    <w:rsid w:val="005F5894"/>
    <w:rsid w:val="00602214"/>
    <w:rsid w:val="006027E8"/>
    <w:rsid w:val="00602EEA"/>
    <w:rsid w:val="00603C31"/>
    <w:rsid w:val="006122DF"/>
    <w:rsid w:val="00612F12"/>
    <w:rsid w:val="006143C8"/>
    <w:rsid w:val="00617FD4"/>
    <w:rsid w:val="00622AF2"/>
    <w:rsid w:val="00627481"/>
    <w:rsid w:val="006279E0"/>
    <w:rsid w:val="00630CBC"/>
    <w:rsid w:val="00631A4E"/>
    <w:rsid w:val="006324DF"/>
    <w:rsid w:val="00632E6C"/>
    <w:rsid w:val="006334FB"/>
    <w:rsid w:val="006348FF"/>
    <w:rsid w:val="00635A27"/>
    <w:rsid w:val="0063601B"/>
    <w:rsid w:val="00636EA9"/>
    <w:rsid w:val="00636F44"/>
    <w:rsid w:val="00637F6C"/>
    <w:rsid w:val="00640978"/>
    <w:rsid w:val="00643D7D"/>
    <w:rsid w:val="00643F63"/>
    <w:rsid w:val="00644B9F"/>
    <w:rsid w:val="00645139"/>
    <w:rsid w:val="006469B2"/>
    <w:rsid w:val="00647F4F"/>
    <w:rsid w:val="00650EB2"/>
    <w:rsid w:val="00651C2F"/>
    <w:rsid w:val="00652850"/>
    <w:rsid w:val="00656D0F"/>
    <w:rsid w:val="00662403"/>
    <w:rsid w:val="00663178"/>
    <w:rsid w:val="00663238"/>
    <w:rsid w:val="00664F99"/>
    <w:rsid w:val="00667E79"/>
    <w:rsid w:val="0067089C"/>
    <w:rsid w:val="0067242B"/>
    <w:rsid w:val="00674498"/>
    <w:rsid w:val="006756B6"/>
    <w:rsid w:val="006772F9"/>
    <w:rsid w:val="00680575"/>
    <w:rsid w:val="00682DAB"/>
    <w:rsid w:val="00682EF1"/>
    <w:rsid w:val="0068342B"/>
    <w:rsid w:val="00684109"/>
    <w:rsid w:val="006904DB"/>
    <w:rsid w:val="00693686"/>
    <w:rsid w:val="00694C47"/>
    <w:rsid w:val="006967E9"/>
    <w:rsid w:val="006A09B5"/>
    <w:rsid w:val="006A30ED"/>
    <w:rsid w:val="006A5210"/>
    <w:rsid w:val="006A6569"/>
    <w:rsid w:val="006B1CFD"/>
    <w:rsid w:val="006B4D6B"/>
    <w:rsid w:val="006B55A3"/>
    <w:rsid w:val="006C03C7"/>
    <w:rsid w:val="006C0A5E"/>
    <w:rsid w:val="006C2CE2"/>
    <w:rsid w:val="006C75F9"/>
    <w:rsid w:val="006D0E72"/>
    <w:rsid w:val="006D3554"/>
    <w:rsid w:val="006D36C7"/>
    <w:rsid w:val="006D6A60"/>
    <w:rsid w:val="006E0393"/>
    <w:rsid w:val="006E15D4"/>
    <w:rsid w:val="006E18A4"/>
    <w:rsid w:val="006E3970"/>
    <w:rsid w:val="006E70B8"/>
    <w:rsid w:val="006F079B"/>
    <w:rsid w:val="006F1C45"/>
    <w:rsid w:val="006F4BFF"/>
    <w:rsid w:val="006F5657"/>
    <w:rsid w:val="006F5D7C"/>
    <w:rsid w:val="006F7332"/>
    <w:rsid w:val="006F7AA4"/>
    <w:rsid w:val="007013F2"/>
    <w:rsid w:val="00701487"/>
    <w:rsid w:val="00702471"/>
    <w:rsid w:val="00702CB1"/>
    <w:rsid w:val="0070411E"/>
    <w:rsid w:val="00704718"/>
    <w:rsid w:val="0070489D"/>
    <w:rsid w:val="00705252"/>
    <w:rsid w:val="00706A00"/>
    <w:rsid w:val="00710C18"/>
    <w:rsid w:val="007135D4"/>
    <w:rsid w:val="007150D3"/>
    <w:rsid w:val="00727B21"/>
    <w:rsid w:val="00727F09"/>
    <w:rsid w:val="0073008E"/>
    <w:rsid w:val="00733864"/>
    <w:rsid w:val="00734930"/>
    <w:rsid w:val="00736975"/>
    <w:rsid w:val="00737BC8"/>
    <w:rsid w:val="00737DBD"/>
    <w:rsid w:val="00740182"/>
    <w:rsid w:val="0074042F"/>
    <w:rsid w:val="00744C08"/>
    <w:rsid w:val="007452BD"/>
    <w:rsid w:val="007452D2"/>
    <w:rsid w:val="00750077"/>
    <w:rsid w:val="00751EF7"/>
    <w:rsid w:val="007527FA"/>
    <w:rsid w:val="00756066"/>
    <w:rsid w:val="007609F9"/>
    <w:rsid w:val="0076102D"/>
    <w:rsid w:val="007627F2"/>
    <w:rsid w:val="0077102D"/>
    <w:rsid w:val="00771621"/>
    <w:rsid w:val="00773C56"/>
    <w:rsid w:val="00775CBB"/>
    <w:rsid w:val="00775D77"/>
    <w:rsid w:val="007773E0"/>
    <w:rsid w:val="007901F5"/>
    <w:rsid w:val="00790626"/>
    <w:rsid w:val="007964FC"/>
    <w:rsid w:val="007A056F"/>
    <w:rsid w:val="007A1505"/>
    <w:rsid w:val="007A3BE6"/>
    <w:rsid w:val="007A429C"/>
    <w:rsid w:val="007A7D60"/>
    <w:rsid w:val="007B280F"/>
    <w:rsid w:val="007B2B34"/>
    <w:rsid w:val="007B5F20"/>
    <w:rsid w:val="007B76F3"/>
    <w:rsid w:val="007C4CCF"/>
    <w:rsid w:val="007C54F2"/>
    <w:rsid w:val="007C55FC"/>
    <w:rsid w:val="007C5CBF"/>
    <w:rsid w:val="007C6755"/>
    <w:rsid w:val="007D2032"/>
    <w:rsid w:val="007D2857"/>
    <w:rsid w:val="007D3DBC"/>
    <w:rsid w:val="007D433F"/>
    <w:rsid w:val="007E016B"/>
    <w:rsid w:val="007E3D53"/>
    <w:rsid w:val="007E5433"/>
    <w:rsid w:val="007E56CF"/>
    <w:rsid w:val="007E5E8F"/>
    <w:rsid w:val="007F0FA1"/>
    <w:rsid w:val="007F1687"/>
    <w:rsid w:val="007F269B"/>
    <w:rsid w:val="007F5B4E"/>
    <w:rsid w:val="00800B0F"/>
    <w:rsid w:val="00801FE9"/>
    <w:rsid w:val="008035EA"/>
    <w:rsid w:val="00803E3B"/>
    <w:rsid w:val="00805915"/>
    <w:rsid w:val="008075CF"/>
    <w:rsid w:val="00810219"/>
    <w:rsid w:val="008124F5"/>
    <w:rsid w:val="00812A62"/>
    <w:rsid w:val="00812AE3"/>
    <w:rsid w:val="00812C65"/>
    <w:rsid w:val="008146FD"/>
    <w:rsid w:val="00815360"/>
    <w:rsid w:val="00817BBA"/>
    <w:rsid w:val="00820402"/>
    <w:rsid w:val="0082227B"/>
    <w:rsid w:val="00824DC1"/>
    <w:rsid w:val="008254A7"/>
    <w:rsid w:val="0082622B"/>
    <w:rsid w:val="00826858"/>
    <w:rsid w:val="00833CF1"/>
    <w:rsid w:val="00834215"/>
    <w:rsid w:val="008354A4"/>
    <w:rsid w:val="00835D39"/>
    <w:rsid w:val="00837F5B"/>
    <w:rsid w:val="00840875"/>
    <w:rsid w:val="00840BB5"/>
    <w:rsid w:val="00842DB5"/>
    <w:rsid w:val="00843DF6"/>
    <w:rsid w:val="00846E3C"/>
    <w:rsid w:val="008535C1"/>
    <w:rsid w:val="00854953"/>
    <w:rsid w:val="008571B9"/>
    <w:rsid w:val="00861873"/>
    <w:rsid w:val="00862FCA"/>
    <w:rsid w:val="008638BD"/>
    <w:rsid w:val="00864C9A"/>
    <w:rsid w:val="0086541A"/>
    <w:rsid w:val="00870A7C"/>
    <w:rsid w:val="008746CF"/>
    <w:rsid w:val="00876411"/>
    <w:rsid w:val="0087677E"/>
    <w:rsid w:val="0088419D"/>
    <w:rsid w:val="008848F7"/>
    <w:rsid w:val="00891661"/>
    <w:rsid w:val="008967F8"/>
    <w:rsid w:val="008A07A7"/>
    <w:rsid w:val="008A54F4"/>
    <w:rsid w:val="008A5B12"/>
    <w:rsid w:val="008A5DE0"/>
    <w:rsid w:val="008B0287"/>
    <w:rsid w:val="008B7237"/>
    <w:rsid w:val="008C1EAA"/>
    <w:rsid w:val="008C4545"/>
    <w:rsid w:val="008C52DF"/>
    <w:rsid w:val="008D0176"/>
    <w:rsid w:val="008D0F45"/>
    <w:rsid w:val="008D38EA"/>
    <w:rsid w:val="008D431B"/>
    <w:rsid w:val="008D697C"/>
    <w:rsid w:val="008D7F84"/>
    <w:rsid w:val="008E09CF"/>
    <w:rsid w:val="008E37D0"/>
    <w:rsid w:val="008E37D9"/>
    <w:rsid w:val="008E69EF"/>
    <w:rsid w:val="008E6D91"/>
    <w:rsid w:val="008F4D5C"/>
    <w:rsid w:val="008F6CFB"/>
    <w:rsid w:val="008F70DB"/>
    <w:rsid w:val="008F7A45"/>
    <w:rsid w:val="00902F26"/>
    <w:rsid w:val="00904ECB"/>
    <w:rsid w:val="00907DC3"/>
    <w:rsid w:val="00910BCB"/>
    <w:rsid w:val="0091126B"/>
    <w:rsid w:val="00912FD2"/>
    <w:rsid w:val="00917C0D"/>
    <w:rsid w:val="00917C9E"/>
    <w:rsid w:val="0092020F"/>
    <w:rsid w:val="00922B82"/>
    <w:rsid w:val="00923B92"/>
    <w:rsid w:val="00925387"/>
    <w:rsid w:val="00925481"/>
    <w:rsid w:val="00926C50"/>
    <w:rsid w:val="00927A2F"/>
    <w:rsid w:val="009329EE"/>
    <w:rsid w:val="00935341"/>
    <w:rsid w:val="00947DA6"/>
    <w:rsid w:val="00953E12"/>
    <w:rsid w:val="00955587"/>
    <w:rsid w:val="0095633D"/>
    <w:rsid w:val="00956A92"/>
    <w:rsid w:val="009604FE"/>
    <w:rsid w:val="00960624"/>
    <w:rsid w:val="00960B61"/>
    <w:rsid w:val="00960CCF"/>
    <w:rsid w:val="00961B3F"/>
    <w:rsid w:val="00961BFB"/>
    <w:rsid w:val="009637C3"/>
    <w:rsid w:val="009717D6"/>
    <w:rsid w:val="00974296"/>
    <w:rsid w:val="0098075C"/>
    <w:rsid w:val="009811D4"/>
    <w:rsid w:val="009816D1"/>
    <w:rsid w:val="009816F0"/>
    <w:rsid w:val="00982AEC"/>
    <w:rsid w:val="00983CBC"/>
    <w:rsid w:val="00984E89"/>
    <w:rsid w:val="00985357"/>
    <w:rsid w:val="00986340"/>
    <w:rsid w:val="009926C2"/>
    <w:rsid w:val="00997A80"/>
    <w:rsid w:val="00997C8F"/>
    <w:rsid w:val="009A508C"/>
    <w:rsid w:val="009A5E03"/>
    <w:rsid w:val="009A643A"/>
    <w:rsid w:val="009A68DF"/>
    <w:rsid w:val="009B24BD"/>
    <w:rsid w:val="009B5490"/>
    <w:rsid w:val="009B77D7"/>
    <w:rsid w:val="009C1281"/>
    <w:rsid w:val="009C608C"/>
    <w:rsid w:val="009C61FF"/>
    <w:rsid w:val="009D13AF"/>
    <w:rsid w:val="009D19D0"/>
    <w:rsid w:val="009D3E02"/>
    <w:rsid w:val="009D77BD"/>
    <w:rsid w:val="009D7963"/>
    <w:rsid w:val="009E187D"/>
    <w:rsid w:val="009E2D9D"/>
    <w:rsid w:val="009E4965"/>
    <w:rsid w:val="009E6A30"/>
    <w:rsid w:val="009E6D20"/>
    <w:rsid w:val="009E70C7"/>
    <w:rsid w:val="009F001D"/>
    <w:rsid w:val="009F0AEE"/>
    <w:rsid w:val="009F5FF4"/>
    <w:rsid w:val="009F6651"/>
    <w:rsid w:val="009F6A8A"/>
    <w:rsid w:val="00A029E5"/>
    <w:rsid w:val="00A06422"/>
    <w:rsid w:val="00A104B3"/>
    <w:rsid w:val="00A11AF6"/>
    <w:rsid w:val="00A13F4A"/>
    <w:rsid w:val="00A14418"/>
    <w:rsid w:val="00A16513"/>
    <w:rsid w:val="00A173D0"/>
    <w:rsid w:val="00A23399"/>
    <w:rsid w:val="00A26C3B"/>
    <w:rsid w:val="00A26E83"/>
    <w:rsid w:val="00A2738B"/>
    <w:rsid w:val="00A303F0"/>
    <w:rsid w:val="00A414EE"/>
    <w:rsid w:val="00A41F0A"/>
    <w:rsid w:val="00A45172"/>
    <w:rsid w:val="00A534E2"/>
    <w:rsid w:val="00A55ACD"/>
    <w:rsid w:val="00A5641E"/>
    <w:rsid w:val="00A615FD"/>
    <w:rsid w:val="00A61B36"/>
    <w:rsid w:val="00A65998"/>
    <w:rsid w:val="00A66524"/>
    <w:rsid w:val="00A67182"/>
    <w:rsid w:val="00A70232"/>
    <w:rsid w:val="00A70F40"/>
    <w:rsid w:val="00A75B49"/>
    <w:rsid w:val="00A772A8"/>
    <w:rsid w:val="00A82B35"/>
    <w:rsid w:val="00A82C34"/>
    <w:rsid w:val="00A83A50"/>
    <w:rsid w:val="00A84AE8"/>
    <w:rsid w:val="00A853E7"/>
    <w:rsid w:val="00A8550B"/>
    <w:rsid w:val="00A8644B"/>
    <w:rsid w:val="00A86DEC"/>
    <w:rsid w:val="00A87C2D"/>
    <w:rsid w:val="00A87F6A"/>
    <w:rsid w:val="00A947F2"/>
    <w:rsid w:val="00A966F4"/>
    <w:rsid w:val="00AA0819"/>
    <w:rsid w:val="00AA13DF"/>
    <w:rsid w:val="00AA2F9F"/>
    <w:rsid w:val="00AB2A2A"/>
    <w:rsid w:val="00AC04C5"/>
    <w:rsid w:val="00AC082C"/>
    <w:rsid w:val="00AC08D3"/>
    <w:rsid w:val="00AC25AC"/>
    <w:rsid w:val="00AC5594"/>
    <w:rsid w:val="00AD032D"/>
    <w:rsid w:val="00AD0C44"/>
    <w:rsid w:val="00AD16CB"/>
    <w:rsid w:val="00AD1A8F"/>
    <w:rsid w:val="00AD1FAB"/>
    <w:rsid w:val="00AD2A07"/>
    <w:rsid w:val="00AD4AE7"/>
    <w:rsid w:val="00AD62DE"/>
    <w:rsid w:val="00AD7835"/>
    <w:rsid w:val="00AE03E5"/>
    <w:rsid w:val="00AE0CDB"/>
    <w:rsid w:val="00AE1503"/>
    <w:rsid w:val="00AE555D"/>
    <w:rsid w:val="00AF00E2"/>
    <w:rsid w:val="00AF0958"/>
    <w:rsid w:val="00AF0E8D"/>
    <w:rsid w:val="00AF1293"/>
    <w:rsid w:val="00AF47DB"/>
    <w:rsid w:val="00AF57EF"/>
    <w:rsid w:val="00AF62A3"/>
    <w:rsid w:val="00B010B2"/>
    <w:rsid w:val="00B02363"/>
    <w:rsid w:val="00B10310"/>
    <w:rsid w:val="00B21EEB"/>
    <w:rsid w:val="00B22B3E"/>
    <w:rsid w:val="00B22BDF"/>
    <w:rsid w:val="00B241E5"/>
    <w:rsid w:val="00B26040"/>
    <w:rsid w:val="00B26F4B"/>
    <w:rsid w:val="00B27A31"/>
    <w:rsid w:val="00B31563"/>
    <w:rsid w:val="00B32F36"/>
    <w:rsid w:val="00B3497B"/>
    <w:rsid w:val="00B34B6D"/>
    <w:rsid w:val="00B377E2"/>
    <w:rsid w:val="00B449B5"/>
    <w:rsid w:val="00B46C8F"/>
    <w:rsid w:val="00B46FA2"/>
    <w:rsid w:val="00B50F36"/>
    <w:rsid w:val="00B521EE"/>
    <w:rsid w:val="00B53ACA"/>
    <w:rsid w:val="00B55B30"/>
    <w:rsid w:val="00B57C68"/>
    <w:rsid w:val="00B60292"/>
    <w:rsid w:val="00B6130D"/>
    <w:rsid w:val="00B659B9"/>
    <w:rsid w:val="00B65BC5"/>
    <w:rsid w:val="00B66C09"/>
    <w:rsid w:val="00B70822"/>
    <w:rsid w:val="00B72782"/>
    <w:rsid w:val="00B72EC5"/>
    <w:rsid w:val="00B73ABA"/>
    <w:rsid w:val="00B75566"/>
    <w:rsid w:val="00B8080D"/>
    <w:rsid w:val="00B816C0"/>
    <w:rsid w:val="00B81F72"/>
    <w:rsid w:val="00B82A19"/>
    <w:rsid w:val="00B82E42"/>
    <w:rsid w:val="00B851A1"/>
    <w:rsid w:val="00B936E9"/>
    <w:rsid w:val="00B95BF7"/>
    <w:rsid w:val="00B95DED"/>
    <w:rsid w:val="00BA0517"/>
    <w:rsid w:val="00BA1BC2"/>
    <w:rsid w:val="00BA1E49"/>
    <w:rsid w:val="00BA2559"/>
    <w:rsid w:val="00BA3DB9"/>
    <w:rsid w:val="00BA5369"/>
    <w:rsid w:val="00BA75D3"/>
    <w:rsid w:val="00BA78B2"/>
    <w:rsid w:val="00BB004F"/>
    <w:rsid w:val="00BB2B0E"/>
    <w:rsid w:val="00BB3C7E"/>
    <w:rsid w:val="00BB3D5A"/>
    <w:rsid w:val="00BB5ED3"/>
    <w:rsid w:val="00BB6F2C"/>
    <w:rsid w:val="00BC14D0"/>
    <w:rsid w:val="00BC157B"/>
    <w:rsid w:val="00BC701D"/>
    <w:rsid w:val="00BD20CC"/>
    <w:rsid w:val="00BD2100"/>
    <w:rsid w:val="00BD3965"/>
    <w:rsid w:val="00BD4DC5"/>
    <w:rsid w:val="00BE06A3"/>
    <w:rsid w:val="00BE19BE"/>
    <w:rsid w:val="00BE1C69"/>
    <w:rsid w:val="00BE34E0"/>
    <w:rsid w:val="00BE3916"/>
    <w:rsid w:val="00BE5592"/>
    <w:rsid w:val="00BF0EFD"/>
    <w:rsid w:val="00BF181F"/>
    <w:rsid w:val="00BF19F2"/>
    <w:rsid w:val="00BF22DE"/>
    <w:rsid w:val="00BF7BB7"/>
    <w:rsid w:val="00C02260"/>
    <w:rsid w:val="00C03114"/>
    <w:rsid w:val="00C03527"/>
    <w:rsid w:val="00C03DF0"/>
    <w:rsid w:val="00C03E71"/>
    <w:rsid w:val="00C05ADB"/>
    <w:rsid w:val="00C06E78"/>
    <w:rsid w:val="00C06FDA"/>
    <w:rsid w:val="00C10CCB"/>
    <w:rsid w:val="00C12374"/>
    <w:rsid w:val="00C134F6"/>
    <w:rsid w:val="00C157F8"/>
    <w:rsid w:val="00C15D0B"/>
    <w:rsid w:val="00C20B75"/>
    <w:rsid w:val="00C21665"/>
    <w:rsid w:val="00C236DD"/>
    <w:rsid w:val="00C24BA0"/>
    <w:rsid w:val="00C3585C"/>
    <w:rsid w:val="00C41817"/>
    <w:rsid w:val="00C43B7F"/>
    <w:rsid w:val="00C45DC5"/>
    <w:rsid w:val="00C45E8E"/>
    <w:rsid w:val="00C47922"/>
    <w:rsid w:val="00C47A59"/>
    <w:rsid w:val="00C47B92"/>
    <w:rsid w:val="00C53D45"/>
    <w:rsid w:val="00C53DE3"/>
    <w:rsid w:val="00C55C6F"/>
    <w:rsid w:val="00C560DB"/>
    <w:rsid w:val="00C56ADC"/>
    <w:rsid w:val="00C578B0"/>
    <w:rsid w:val="00C57C39"/>
    <w:rsid w:val="00C608C0"/>
    <w:rsid w:val="00C64E3F"/>
    <w:rsid w:val="00C6674B"/>
    <w:rsid w:val="00C66D4A"/>
    <w:rsid w:val="00C6770F"/>
    <w:rsid w:val="00C7049B"/>
    <w:rsid w:val="00C70B1C"/>
    <w:rsid w:val="00C71047"/>
    <w:rsid w:val="00C729A7"/>
    <w:rsid w:val="00C73F0B"/>
    <w:rsid w:val="00C75524"/>
    <w:rsid w:val="00C760B2"/>
    <w:rsid w:val="00C77900"/>
    <w:rsid w:val="00C82B99"/>
    <w:rsid w:val="00C904C9"/>
    <w:rsid w:val="00C90BD9"/>
    <w:rsid w:val="00C913C0"/>
    <w:rsid w:val="00C9251F"/>
    <w:rsid w:val="00C928DA"/>
    <w:rsid w:val="00C92A08"/>
    <w:rsid w:val="00C92A66"/>
    <w:rsid w:val="00C9317A"/>
    <w:rsid w:val="00C9439B"/>
    <w:rsid w:val="00C963D6"/>
    <w:rsid w:val="00CA0255"/>
    <w:rsid w:val="00CA296D"/>
    <w:rsid w:val="00CA42FB"/>
    <w:rsid w:val="00CA6D3E"/>
    <w:rsid w:val="00CB003B"/>
    <w:rsid w:val="00CB35DC"/>
    <w:rsid w:val="00CB3E5E"/>
    <w:rsid w:val="00CB5110"/>
    <w:rsid w:val="00CC5938"/>
    <w:rsid w:val="00CC61CD"/>
    <w:rsid w:val="00CC672A"/>
    <w:rsid w:val="00CC69F9"/>
    <w:rsid w:val="00CD5CB0"/>
    <w:rsid w:val="00CD7A97"/>
    <w:rsid w:val="00CE249F"/>
    <w:rsid w:val="00CE706D"/>
    <w:rsid w:val="00CE7BB4"/>
    <w:rsid w:val="00CF5149"/>
    <w:rsid w:val="00CF5209"/>
    <w:rsid w:val="00CF6DC9"/>
    <w:rsid w:val="00D01C60"/>
    <w:rsid w:val="00D026F7"/>
    <w:rsid w:val="00D02B8E"/>
    <w:rsid w:val="00D0383F"/>
    <w:rsid w:val="00D06166"/>
    <w:rsid w:val="00D072F4"/>
    <w:rsid w:val="00D07359"/>
    <w:rsid w:val="00D10A61"/>
    <w:rsid w:val="00D121F5"/>
    <w:rsid w:val="00D149E8"/>
    <w:rsid w:val="00D20AF4"/>
    <w:rsid w:val="00D21A30"/>
    <w:rsid w:val="00D2411A"/>
    <w:rsid w:val="00D243CA"/>
    <w:rsid w:val="00D24AE2"/>
    <w:rsid w:val="00D27E5D"/>
    <w:rsid w:val="00D34859"/>
    <w:rsid w:val="00D35EDA"/>
    <w:rsid w:val="00D36363"/>
    <w:rsid w:val="00D4063D"/>
    <w:rsid w:val="00D416D4"/>
    <w:rsid w:val="00D47A7C"/>
    <w:rsid w:val="00D5016E"/>
    <w:rsid w:val="00D50F25"/>
    <w:rsid w:val="00D518AC"/>
    <w:rsid w:val="00D57CE9"/>
    <w:rsid w:val="00D63061"/>
    <w:rsid w:val="00D63634"/>
    <w:rsid w:val="00D638BC"/>
    <w:rsid w:val="00D64CA2"/>
    <w:rsid w:val="00D66CB3"/>
    <w:rsid w:val="00D74B2A"/>
    <w:rsid w:val="00D74C01"/>
    <w:rsid w:val="00D82CE1"/>
    <w:rsid w:val="00D84228"/>
    <w:rsid w:val="00D87749"/>
    <w:rsid w:val="00D92AAE"/>
    <w:rsid w:val="00D94F47"/>
    <w:rsid w:val="00D96485"/>
    <w:rsid w:val="00D9664D"/>
    <w:rsid w:val="00DA05FD"/>
    <w:rsid w:val="00DA0DFC"/>
    <w:rsid w:val="00DA62E0"/>
    <w:rsid w:val="00DA704A"/>
    <w:rsid w:val="00DB1A2E"/>
    <w:rsid w:val="00DB7492"/>
    <w:rsid w:val="00DB77C8"/>
    <w:rsid w:val="00DC0217"/>
    <w:rsid w:val="00DC0FD3"/>
    <w:rsid w:val="00DC1628"/>
    <w:rsid w:val="00DC51F5"/>
    <w:rsid w:val="00DC6BF1"/>
    <w:rsid w:val="00DC7B38"/>
    <w:rsid w:val="00DD4DF7"/>
    <w:rsid w:val="00DD7F9E"/>
    <w:rsid w:val="00DE1634"/>
    <w:rsid w:val="00DE2985"/>
    <w:rsid w:val="00DE3B22"/>
    <w:rsid w:val="00DE5B84"/>
    <w:rsid w:val="00DF1B85"/>
    <w:rsid w:val="00DF1E94"/>
    <w:rsid w:val="00DF3ED6"/>
    <w:rsid w:val="00DF429D"/>
    <w:rsid w:val="00DF4B89"/>
    <w:rsid w:val="00DF5912"/>
    <w:rsid w:val="00E047BC"/>
    <w:rsid w:val="00E06914"/>
    <w:rsid w:val="00E06A83"/>
    <w:rsid w:val="00E11FC0"/>
    <w:rsid w:val="00E124F4"/>
    <w:rsid w:val="00E148FE"/>
    <w:rsid w:val="00E22FC3"/>
    <w:rsid w:val="00E232C7"/>
    <w:rsid w:val="00E23CAB"/>
    <w:rsid w:val="00E3062F"/>
    <w:rsid w:val="00E32F38"/>
    <w:rsid w:val="00E33E52"/>
    <w:rsid w:val="00E3614A"/>
    <w:rsid w:val="00E372F4"/>
    <w:rsid w:val="00E373C7"/>
    <w:rsid w:val="00E37D91"/>
    <w:rsid w:val="00E41462"/>
    <w:rsid w:val="00E441F1"/>
    <w:rsid w:val="00E45C20"/>
    <w:rsid w:val="00E45F8A"/>
    <w:rsid w:val="00E529B6"/>
    <w:rsid w:val="00E56427"/>
    <w:rsid w:val="00E62D96"/>
    <w:rsid w:val="00E64E4C"/>
    <w:rsid w:val="00E655F2"/>
    <w:rsid w:val="00E65AE1"/>
    <w:rsid w:val="00E66720"/>
    <w:rsid w:val="00E66F42"/>
    <w:rsid w:val="00E74D41"/>
    <w:rsid w:val="00E77B0B"/>
    <w:rsid w:val="00E8097F"/>
    <w:rsid w:val="00E80AFD"/>
    <w:rsid w:val="00E81EC7"/>
    <w:rsid w:val="00E86750"/>
    <w:rsid w:val="00E937FA"/>
    <w:rsid w:val="00E93CC3"/>
    <w:rsid w:val="00E9496A"/>
    <w:rsid w:val="00E95DF3"/>
    <w:rsid w:val="00E96B05"/>
    <w:rsid w:val="00E97580"/>
    <w:rsid w:val="00E975B9"/>
    <w:rsid w:val="00EA15D7"/>
    <w:rsid w:val="00EA1837"/>
    <w:rsid w:val="00EA2CB9"/>
    <w:rsid w:val="00EA373E"/>
    <w:rsid w:val="00EA663B"/>
    <w:rsid w:val="00EA6954"/>
    <w:rsid w:val="00EA75B4"/>
    <w:rsid w:val="00EB081D"/>
    <w:rsid w:val="00EB2405"/>
    <w:rsid w:val="00EB2567"/>
    <w:rsid w:val="00EB3A56"/>
    <w:rsid w:val="00EB4561"/>
    <w:rsid w:val="00EB5261"/>
    <w:rsid w:val="00EB6944"/>
    <w:rsid w:val="00EC10F1"/>
    <w:rsid w:val="00EC27F9"/>
    <w:rsid w:val="00EC645E"/>
    <w:rsid w:val="00EC76CA"/>
    <w:rsid w:val="00ED22A6"/>
    <w:rsid w:val="00ED2450"/>
    <w:rsid w:val="00ED2710"/>
    <w:rsid w:val="00EE04F7"/>
    <w:rsid w:val="00EE1E85"/>
    <w:rsid w:val="00EE556C"/>
    <w:rsid w:val="00EE61E9"/>
    <w:rsid w:val="00EF0D62"/>
    <w:rsid w:val="00EF1F10"/>
    <w:rsid w:val="00EF597F"/>
    <w:rsid w:val="00F009D9"/>
    <w:rsid w:val="00F04209"/>
    <w:rsid w:val="00F05080"/>
    <w:rsid w:val="00F063FA"/>
    <w:rsid w:val="00F13949"/>
    <w:rsid w:val="00F16FCA"/>
    <w:rsid w:val="00F21486"/>
    <w:rsid w:val="00F22CB9"/>
    <w:rsid w:val="00F258B4"/>
    <w:rsid w:val="00F268E1"/>
    <w:rsid w:val="00F27011"/>
    <w:rsid w:val="00F356D7"/>
    <w:rsid w:val="00F362DE"/>
    <w:rsid w:val="00F36FC8"/>
    <w:rsid w:val="00F37990"/>
    <w:rsid w:val="00F41F87"/>
    <w:rsid w:val="00F47960"/>
    <w:rsid w:val="00F510A4"/>
    <w:rsid w:val="00F518D2"/>
    <w:rsid w:val="00F51BBF"/>
    <w:rsid w:val="00F52229"/>
    <w:rsid w:val="00F52D3A"/>
    <w:rsid w:val="00F6240E"/>
    <w:rsid w:val="00F6442E"/>
    <w:rsid w:val="00F6593C"/>
    <w:rsid w:val="00F65EDC"/>
    <w:rsid w:val="00F71388"/>
    <w:rsid w:val="00F74496"/>
    <w:rsid w:val="00F74C0D"/>
    <w:rsid w:val="00F74C77"/>
    <w:rsid w:val="00F80299"/>
    <w:rsid w:val="00F80E26"/>
    <w:rsid w:val="00F82FD7"/>
    <w:rsid w:val="00F85B6E"/>
    <w:rsid w:val="00F92AB5"/>
    <w:rsid w:val="00F93E18"/>
    <w:rsid w:val="00F94735"/>
    <w:rsid w:val="00F94C1B"/>
    <w:rsid w:val="00F94C70"/>
    <w:rsid w:val="00F97B24"/>
    <w:rsid w:val="00FA3C5C"/>
    <w:rsid w:val="00FA4A33"/>
    <w:rsid w:val="00FA7440"/>
    <w:rsid w:val="00FB4AF3"/>
    <w:rsid w:val="00FC16BF"/>
    <w:rsid w:val="00FC3BE1"/>
    <w:rsid w:val="00FC7C3B"/>
    <w:rsid w:val="00FD05C1"/>
    <w:rsid w:val="00FD3190"/>
    <w:rsid w:val="00FD5A96"/>
    <w:rsid w:val="00FD7D3A"/>
    <w:rsid w:val="00FE1176"/>
    <w:rsid w:val="00FE195E"/>
    <w:rsid w:val="00FE1F7B"/>
    <w:rsid w:val="00FE2C2F"/>
    <w:rsid w:val="00FE4FC6"/>
    <w:rsid w:val="00FE60ED"/>
    <w:rsid w:val="00FF0244"/>
    <w:rsid w:val="00FF13A9"/>
    <w:rsid w:val="00FF436A"/>
    <w:rsid w:val="00FF451E"/>
    <w:rsid w:val="00FF6478"/>
    <w:rsid w:val="00FF6B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358C"/>
  <w15:docId w15:val="{3F38AF54-756D-4FA2-AEF6-C58494E5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6975"/>
    <w:pPr>
      <w:autoSpaceDE w:val="0"/>
      <w:autoSpaceDN w:val="0"/>
      <w:adjustRightInd w:val="0"/>
      <w:spacing w:after="0" w:line="240" w:lineRule="auto"/>
    </w:pPr>
    <w:rPr>
      <w:rFonts w:ascii="Sabon" w:hAnsi="Sabon" w:cs="Sabon"/>
      <w:color w:val="000000"/>
      <w:sz w:val="24"/>
      <w:szCs w:val="24"/>
    </w:rPr>
  </w:style>
  <w:style w:type="character" w:styleId="Hyperlink">
    <w:name w:val="Hyperlink"/>
    <w:basedOn w:val="DefaultParagraphFont"/>
    <w:uiPriority w:val="99"/>
    <w:unhideWhenUsed/>
    <w:rsid w:val="002E1AA2"/>
    <w:rPr>
      <w:color w:val="0000FF" w:themeColor="hyperlink"/>
      <w:u w:val="single"/>
    </w:rPr>
  </w:style>
  <w:style w:type="paragraph" w:styleId="BalloonText">
    <w:name w:val="Balloon Text"/>
    <w:basedOn w:val="Normal"/>
    <w:link w:val="BalloonTextChar"/>
    <w:uiPriority w:val="99"/>
    <w:semiHidden/>
    <w:unhideWhenUsed/>
    <w:rsid w:val="00F16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CA"/>
    <w:rPr>
      <w:rFonts w:ascii="Tahoma" w:hAnsi="Tahoma" w:cs="Tahoma"/>
      <w:sz w:val="16"/>
      <w:szCs w:val="16"/>
    </w:rPr>
  </w:style>
  <w:style w:type="character" w:styleId="FollowedHyperlink">
    <w:name w:val="FollowedHyperlink"/>
    <w:basedOn w:val="DefaultParagraphFont"/>
    <w:uiPriority w:val="99"/>
    <w:semiHidden/>
    <w:unhideWhenUsed/>
    <w:rsid w:val="00FE4FC6"/>
    <w:rPr>
      <w:color w:val="800080" w:themeColor="followedHyperlink"/>
      <w:u w:val="single"/>
    </w:rPr>
  </w:style>
  <w:style w:type="paragraph" w:styleId="NormalWeb">
    <w:name w:val="Normal (Web)"/>
    <w:basedOn w:val="Normal"/>
    <w:uiPriority w:val="99"/>
    <w:unhideWhenUsed/>
    <w:rsid w:val="00B708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64F99"/>
    <w:pPr>
      <w:spacing w:after="0" w:line="240" w:lineRule="auto"/>
    </w:pPr>
  </w:style>
  <w:style w:type="table" w:styleId="TableGrid">
    <w:name w:val="Table Grid"/>
    <w:basedOn w:val="TableNormal"/>
    <w:uiPriority w:val="59"/>
    <w:rsid w:val="0066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9FA"/>
    <w:rPr>
      <w:sz w:val="16"/>
      <w:szCs w:val="16"/>
    </w:rPr>
  </w:style>
  <w:style w:type="paragraph" w:styleId="CommentText">
    <w:name w:val="annotation text"/>
    <w:basedOn w:val="Normal"/>
    <w:link w:val="CommentTextChar"/>
    <w:uiPriority w:val="99"/>
    <w:semiHidden/>
    <w:unhideWhenUsed/>
    <w:rsid w:val="000C59FA"/>
    <w:pPr>
      <w:spacing w:line="240" w:lineRule="auto"/>
    </w:pPr>
    <w:rPr>
      <w:sz w:val="20"/>
      <w:szCs w:val="20"/>
    </w:rPr>
  </w:style>
  <w:style w:type="character" w:customStyle="1" w:styleId="CommentTextChar">
    <w:name w:val="Comment Text Char"/>
    <w:basedOn w:val="DefaultParagraphFont"/>
    <w:link w:val="CommentText"/>
    <w:uiPriority w:val="99"/>
    <w:semiHidden/>
    <w:rsid w:val="000C59FA"/>
    <w:rPr>
      <w:sz w:val="20"/>
      <w:szCs w:val="20"/>
    </w:rPr>
  </w:style>
  <w:style w:type="paragraph" w:styleId="CommentSubject">
    <w:name w:val="annotation subject"/>
    <w:basedOn w:val="CommentText"/>
    <w:next w:val="CommentText"/>
    <w:link w:val="CommentSubjectChar"/>
    <w:uiPriority w:val="99"/>
    <w:semiHidden/>
    <w:unhideWhenUsed/>
    <w:rsid w:val="000C59FA"/>
    <w:rPr>
      <w:b/>
      <w:bCs/>
    </w:rPr>
  </w:style>
  <w:style w:type="character" w:customStyle="1" w:styleId="CommentSubjectChar">
    <w:name w:val="Comment Subject Char"/>
    <w:basedOn w:val="CommentTextChar"/>
    <w:link w:val="CommentSubject"/>
    <w:uiPriority w:val="99"/>
    <w:semiHidden/>
    <w:rsid w:val="000C59FA"/>
    <w:rPr>
      <w:b/>
      <w:bCs/>
      <w:sz w:val="20"/>
      <w:szCs w:val="20"/>
    </w:rPr>
  </w:style>
  <w:style w:type="paragraph" w:styleId="Revision">
    <w:name w:val="Revision"/>
    <w:hidden/>
    <w:uiPriority w:val="99"/>
    <w:semiHidden/>
    <w:rsid w:val="003C69BB"/>
    <w:pPr>
      <w:spacing w:after="0" w:line="240" w:lineRule="auto"/>
    </w:pPr>
  </w:style>
  <w:style w:type="paragraph" w:styleId="ListParagraph">
    <w:name w:val="List Paragraph"/>
    <w:basedOn w:val="Normal"/>
    <w:uiPriority w:val="34"/>
    <w:qFormat/>
    <w:rsid w:val="005C209F"/>
    <w:pPr>
      <w:ind w:left="720"/>
      <w:contextualSpacing/>
    </w:pPr>
  </w:style>
  <w:style w:type="character" w:styleId="Strong">
    <w:name w:val="Strong"/>
    <w:basedOn w:val="DefaultParagraphFont"/>
    <w:uiPriority w:val="22"/>
    <w:qFormat/>
    <w:rsid w:val="00AD1A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4631">
      <w:bodyDiv w:val="1"/>
      <w:marLeft w:val="0"/>
      <w:marRight w:val="0"/>
      <w:marTop w:val="0"/>
      <w:marBottom w:val="0"/>
      <w:divBdr>
        <w:top w:val="none" w:sz="0" w:space="0" w:color="auto"/>
        <w:left w:val="none" w:sz="0" w:space="0" w:color="auto"/>
        <w:bottom w:val="none" w:sz="0" w:space="0" w:color="auto"/>
        <w:right w:val="none" w:sz="0" w:space="0" w:color="auto"/>
      </w:divBdr>
      <w:divsChild>
        <w:div w:id="464548508">
          <w:marLeft w:val="576"/>
          <w:marRight w:val="0"/>
          <w:marTop w:val="80"/>
          <w:marBottom w:val="0"/>
          <w:divBdr>
            <w:top w:val="none" w:sz="0" w:space="0" w:color="auto"/>
            <w:left w:val="none" w:sz="0" w:space="0" w:color="auto"/>
            <w:bottom w:val="none" w:sz="0" w:space="0" w:color="auto"/>
            <w:right w:val="none" w:sz="0" w:space="0" w:color="auto"/>
          </w:divBdr>
        </w:div>
        <w:div w:id="642658250">
          <w:marLeft w:val="576"/>
          <w:marRight w:val="0"/>
          <w:marTop w:val="80"/>
          <w:marBottom w:val="0"/>
          <w:divBdr>
            <w:top w:val="none" w:sz="0" w:space="0" w:color="auto"/>
            <w:left w:val="none" w:sz="0" w:space="0" w:color="auto"/>
            <w:bottom w:val="none" w:sz="0" w:space="0" w:color="auto"/>
            <w:right w:val="none" w:sz="0" w:space="0" w:color="auto"/>
          </w:divBdr>
        </w:div>
        <w:div w:id="1446457688">
          <w:marLeft w:val="576"/>
          <w:marRight w:val="0"/>
          <w:marTop w:val="80"/>
          <w:marBottom w:val="0"/>
          <w:divBdr>
            <w:top w:val="none" w:sz="0" w:space="0" w:color="auto"/>
            <w:left w:val="none" w:sz="0" w:space="0" w:color="auto"/>
            <w:bottom w:val="none" w:sz="0" w:space="0" w:color="auto"/>
            <w:right w:val="none" w:sz="0" w:space="0" w:color="auto"/>
          </w:divBdr>
        </w:div>
      </w:divsChild>
    </w:div>
    <w:div w:id="129248521">
      <w:bodyDiv w:val="1"/>
      <w:marLeft w:val="0"/>
      <w:marRight w:val="0"/>
      <w:marTop w:val="0"/>
      <w:marBottom w:val="0"/>
      <w:divBdr>
        <w:top w:val="none" w:sz="0" w:space="0" w:color="auto"/>
        <w:left w:val="none" w:sz="0" w:space="0" w:color="auto"/>
        <w:bottom w:val="none" w:sz="0" w:space="0" w:color="auto"/>
        <w:right w:val="none" w:sz="0" w:space="0" w:color="auto"/>
      </w:divBdr>
    </w:div>
    <w:div w:id="171992463">
      <w:bodyDiv w:val="1"/>
      <w:marLeft w:val="0"/>
      <w:marRight w:val="0"/>
      <w:marTop w:val="0"/>
      <w:marBottom w:val="0"/>
      <w:divBdr>
        <w:top w:val="none" w:sz="0" w:space="0" w:color="auto"/>
        <w:left w:val="none" w:sz="0" w:space="0" w:color="auto"/>
        <w:bottom w:val="none" w:sz="0" w:space="0" w:color="auto"/>
        <w:right w:val="none" w:sz="0" w:space="0" w:color="auto"/>
      </w:divBdr>
      <w:divsChild>
        <w:div w:id="1849438313">
          <w:marLeft w:val="576"/>
          <w:marRight w:val="0"/>
          <w:marTop w:val="80"/>
          <w:marBottom w:val="0"/>
          <w:divBdr>
            <w:top w:val="none" w:sz="0" w:space="0" w:color="auto"/>
            <w:left w:val="none" w:sz="0" w:space="0" w:color="auto"/>
            <w:bottom w:val="none" w:sz="0" w:space="0" w:color="auto"/>
            <w:right w:val="none" w:sz="0" w:space="0" w:color="auto"/>
          </w:divBdr>
        </w:div>
        <w:div w:id="2109157612">
          <w:marLeft w:val="576"/>
          <w:marRight w:val="0"/>
          <w:marTop w:val="80"/>
          <w:marBottom w:val="0"/>
          <w:divBdr>
            <w:top w:val="none" w:sz="0" w:space="0" w:color="auto"/>
            <w:left w:val="none" w:sz="0" w:space="0" w:color="auto"/>
            <w:bottom w:val="none" w:sz="0" w:space="0" w:color="auto"/>
            <w:right w:val="none" w:sz="0" w:space="0" w:color="auto"/>
          </w:divBdr>
        </w:div>
        <w:div w:id="1471828339">
          <w:marLeft w:val="576"/>
          <w:marRight w:val="0"/>
          <w:marTop w:val="80"/>
          <w:marBottom w:val="0"/>
          <w:divBdr>
            <w:top w:val="none" w:sz="0" w:space="0" w:color="auto"/>
            <w:left w:val="none" w:sz="0" w:space="0" w:color="auto"/>
            <w:bottom w:val="none" w:sz="0" w:space="0" w:color="auto"/>
            <w:right w:val="none" w:sz="0" w:space="0" w:color="auto"/>
          </w:divBdr>
        </w:div>
        <w:div w:id="1752582403">
          <w:marLeft w:val="576"/>
          <w:marRight w:val="0"/>
          <w:marTop w:val="80"/>
          <w:marBottom w:val="0"/>
          <w:divBdr>
            <w:top w:val="none" w:sz="0" w:space="0" w:color="auto"/>
            <w:left w:val="none" w:sz="0" w:space="0" w:color="auto"/>
            <w:bottom w:val="none" w:sz="0" w:space="0" w:color="auto"/>
            <w:right w:val="none" w:sz="0" w:space="0" w:color="auto"/>
          </w:divBdr>
        </w:div>
      </w:divsChild>
    </w:div>
    <w:div w:id="817889469">
      <w:bodyDiv w:val="1"/>
      <w:marLeft w:val="0"/>
      <w:marRight w:val="0"/>
      <w:marTop w:val="0"/>
      <w:marBottom w:val="0"/>
      <w:divBdr>
        <w:top w:val="none" w:sz="0" w:space="0" w:color="auto"/>
        <w:left w:val="none" w:sz="0" w:space="0" w:color="auto"/>
        <w:bottom w:val="none" w:sz="0" w:space="0" w:color="auto"/>
        <w:right w:val="none" w:sz="0" w:space="0" w:color="auto"/>
      </w:divBdr>
    </w:div>
    <w:div w:id="879440147">
      <w:bodyDiv w:val="1"/>
      <w:marLeft w:val="0"/>
      <w:marRight w:val="0"/>
      <w:marTop w:val="0"/>
      <w:marBottom w:val="0"/>
      <w:divBdr>
        <w:top w:val="none" w:sz="0" w:space="0" w:color="auto"/>
        <w:left w:val="none" w:sz="0" w:space="0" w:color="auto"/>
        <w:bottom w:val="none" w:sz="0" w:space="0" w:color="auto"/>
        <w:right w:val="none" w:sz="0" w:space="0" w:color="auto"/>
      </w:divBdr>
      <w:divsChild>
        <w:div w:id="1711105302">
          <w:marLeft w:val="547"/>
          <w:marRight w:val="0"/>
          <w:marTop w:val="86"/>
          <w:marBottom w:val="0"/>
          <w:divBdr>
            <w:top w:val="none" w:sz="0" w:space="0" w:color="auto"/>
            <w:left w:val="none" w:sz="0" w:space="0" w:color="auto"/>
            <w:bottom w:val="none" w:sz="0" w:space="0" w:color="auto"/>
            <w:right w:val="none" w:sz="0" w:space="0" w:color="auto"/>
          </w:divBdr>
        </w:div>
        <w:div w:id="1988128587">
          <w:marLeft w:val="547"/>
          <w:marRight w:val="0"/>
          <w:marTop w:val="86"/>
          <w:marBottom w:val="0"/>
          <w:divBdr>
            <w:top w:val="none" w:sz="0" w:space="0" w:color="auto"/>
            <w:left w:val="none" w:sz="0" w:space="0" w:color="auto"/>
            <w:bottom w:val="none" w:sz="0" w:space="0" w:color="auto"/>
            <w:right w:val="none" w:sz="0" w:space="0" w:color="auto"/>
          </w:divBdr>
        </w:div>
      </w:divsChild>
    </w:div>
    <w:div w:id="1081023905">
      <w:bodyDiv w:val="1"/>
      <w:marLeft w:val="0"/>
      <w:marRight w:val="0"/>
      <w:marTop w:val="120"/>
      <w:marBottom w:val="0"/>
      <w:divBdr>
        <w:top w:val="none" w:sz="0" w:space="0" w:color="auto"/>
        <w:left w:val="none" w:sz="0" w:space="0" w:color="auto"/>
        <w:bottom w:val="none" w:sz="0" w:space="0" w:color="auto"/>
        <w:right w:val="none" w:sz="0" w:space="0" w:color="auto"/>
      </w:divBdr>
      <w:divsChild>
        <w:div w:id="1682003889">
          <w:marLeft w:val="0"/>
          <w:marRight w:val="0"/>
          <w:marTop w:val="0"/>
          <w:marBottom w:val="0"/>
          <w:divBdr>
            <w:top w:val="none" w:sz="0" w:space="0" w:color="auto"/>
            <w:left w:val="none" w:sz="0" w:space="0" w:color="auto"/>
            <w:bottom w:val="none" w:sz="0" w:space="0" w:color="auto"/>
            <w:right w:val="none" w:sz="0" w:space="0" w:color="auto"/>
          </w:divBdr>
          <w:divsChild>
            <w:div w:id="1259026148">
              <w:marLeft w:val="0"/>
              <w:marRight w:val="0"/>
              <w:marTop w:val="0"/>
              <w:marBottom w:val="0"/>
              <w:divBdr>
                <w:top w:val="none" w:sz="0" w:space="0" w:color="auto"/>
                <w:left w:val="none" w:sz="0" w:space="0" w:color="auto"/>
                <w:bottom w:val="none" w:sz="0" w:space="0" w:color="auto"/>
                <w:right w:val="none" w:sz="0" w:space="0" w:color="auto"/>
              </w:divBdr>
              <w:divsChild>
                <w:div w:id="841706282">
                  <w:marLeft w:val="0"/>
                  <w:marRight w:val="0"/>
                  <w:marTop w:val="0"/>
                  <w:marBottom w:val="0"/>
                  <w:divBdr>
                    <w:top w:val="none" w:sz="0" w:space="0" w:color="auto"/>
                    <w:left w:val="none" w:sz="0" w:space="0" w:color="auto"/>
                    <w:bottom w:val="none" w:sz="0" w:space="0" w:color="auto"/>
                    <w:right w:val="none" w:sz="0" w:space="0" w:color="auto"/>
                  </w:divBdr>
                  <w:divsChild>
                    <w:div w:id="1108963417">
                      <w:marLeft w:val="0"/>
                      <w:marRight w:val="0"/>
                      <w:marTop w:val="0"/>
                      <w:marBottom w:val="0"/>
                      <w:divBdr>
                        <w:top w:val="none" w:sz="0" w:space="0" w:color="auto"/>
                        <w:left w:val="none" w:sz="0" w:space="0" w:color="auto"/>
                        <w:bottom w:val="none" w:sz="0" w:space="0" w:color="auto"/>
                        <w:right w:val="none" w:sz="0" w:space="0" w:color="auto"/>
                      </w:divBdr>
                      <w:divsChild>
                        <w:div w:id="836001530">
                          <w:marLeft w:val="0"/>
                          <w:marRight w:val="0"/>
                          <w:marTop w:val="0"/>
                          <w:marBottom w:val="0"/>
                          <w:divBdr>
                            <w:top w:val="none" w:sz="0" w:space="0" w:color="auto"/>
                            <w:left w:val="none" w:sz="0" w:space="0" w:color="auto"/>
                            <w:bottom w:val="none" w:sz="0" w:space="0" w:color="auto"/>
                            <w:right w:val="none" w:sz="0" w:space="0" w:color="auto"/>
                          </w:divBdr>
                          <w:divsChild>
                            <w:div w:id="183786664">
                              <w:marLeft w:val="0"/>
                              <w:marRight w:val="0"/>
                              <w:marTop w:val="0"/>
                              <w:marBottom w:val="0"/>
                              <w:divBdr>
                                <w:top w:val="none" w:sz="0" w:space="0" w:color="auto"/>
                                <w:left w:val="none" w:sz="0" w:space="0" w:color="auto"/>
                                <w:bottom w:val="none" w:sz="0" w:space="0" w:color="auto"/>
                                <w:right w:val="none" w:sz="0" w:space="0" w:color="auto"/>
                              </w:divBdr>
                              <w:divsChild>
                                <w:div w:id="485434361">
                                  <w:marLeft w:val="0"/>
                                  <w:marRight w:val="0"/>
                                  <w:marTop w:val="0"/>
                                  <w:marBottom w:val="0"/>
                                  <w:divBdr>
                                    <w:top w:val="none" w:sz="0" w:space="0" w:color="auto"/>
                                    <w:left w:val="none" w:sz="0" w:space="0" w:color="auto"/>
                                    <w:bottom w:val="none" w:sz="0" w:space="0" w:color="auto"/>
                                    <w:right w:val="none" w:sz="0" w:space="0" w:color="auto"/>
                                  </w:divBdr>
                                  <w:divsChild>
                                    <w:div w:id="2050839155">
                                      <w:marLeft w:val="0"/>
                                      <w:marRight w:val="0"/>
                                      <w:marTop w:val="0"/>
                                      <w:marBottom w:val="0"/>
                                      <w:divBdr>
                                        <w:top w:val="none" w:sz="0" w:space="0" w:color="auto"/>
                                        <w:left w:val="none" w:sz="0" w:space="0" w:color="auto"/>
                                        <w:bottom w:val="none" w:sz="0" w:space="0" w:color="auto"/>
                                        <w:right w:val="none" w:sz="0" w:space="0" w:color="auto"/>
                                      </w:divBdr>
                                      <w:divsChild>
                                        <w:div w:id="537668394">
                                          <w:marLeft w:val="0"/>
                                          <w:marRight w:val="0"/>
                                          <w:marTop w:val="0"/>
                                          <w:marBottom w:val="0"/>
                                          <w:divBdr>
                                            <w:top w:val="none" w:sz="0" w:space="0" w:color="auto"/>
                                            <w:left w:val="none" w:sz="0" w:space="0" w:color="auto"/>
                                            <w:bottom w:val="none" w:sz="0" w:space="0" w:color="auto"/>
                                            <w:right w:val="none" w:sz="0" w:space="0" w:color="auto"/>
                                          </w:divBdr>
                                          <w:divsChild>
                                            <w:div w:id="417335718">
                                              <w:marLeft w:val="0"/>
                                              <w:marRight w:val="0"/>
                                              <w:marTop w:val="0"/>
                                              <w:marBottom w:val="0"/>
                                              <w:divBdr>
                                                <w:top w:val="none" w:sz="0" w:space="0" w:color="auto"/>
                                                <w:left w:val="none" w:sz="0" w:space="0" w:color="auto"/>
                                                <w:bottom w:val="none" w:sz="0" w:space="0" w:color="auto"/>
                                                <w:right w:val="none" w:sz="0" w:space="0" w:color="auto"/>
                                              </w:divBdr>
                                              <w:divsChild>
                                                <w:div w:id="90904271">
                                                  <w:marLeft w:val="0"/>
                                                  <w:marRight w:val="0"/>
                                                  <w:marTop w:val="0"/>
                                                  <w:marBottom w:val="0"/>
                                                  <w:divBdr>
                                                    <w:top w:val="none" w:sz="0" w:space="0" w:color="auto"/>
                                                    <w:left w:val="none" w:sz="0" w:space="0" w:color="auto"/>
                                                    <w:bottom w:val="none" w:sz="0" w:space="0" w:color="auto"/>
                                                    <w:right w:val="none" w:sz="0" w:space="0" w:color="auto"/>
                                                  </w:divBdr>
                                                  <w:divsChild>
                                                    <w:div w:id="517155542">
                                                      <w:marLeft w:val="0"/>
                                                      <w:marRight w:val="0"/>
                                                      <w:marTop w:val="0"/>
                                                      <w:marBottom w:val="0"/>
                                                      <w:divBdr>
                                                        <w:top w:val="none" w:sz="0" w:space="0" w:color="auto"/>
                                                        <w:left w:val="none" w:sz="0" w:space="0" w:color="auto"/>
                                                        <w:bottom w:val="none" w:sz="0" w:space="0" w:color="auto"/>
                                                        <w:right w:val="none" w:sz="0" w:space="0" w:color="auto"/>
                                                      </w:divBdr>
                                                      <w:divsChild>
                                                        <w:div w:id="830681999">
                                                          <w:marLeft w:val="0"/>
                                                          <w:marRight w:val="0"/>
                                                          <w:marTop w:val="0"/>
                                                          <w:marBottom w:val="0"/>
                                                          <w:divBdr>
                                                            <w:top w:val="none" w:sz="0" w:space="0" w:color="auto"/>
                                                            <w:left w:val="none" w:sz="0" w:space="0" w:color="auto"/>
                                                            <w:bottom w:val="none" w:sz="0" w:space="0" w:color="auto"/>
                                                            <w:right w:val="none" w:sz="0" w:space="0" w:color="auto"/>
                                                          </w:divBdr>
                                                          <w:divsChild>
                                                            <w:div w:id="1441684124">
                                                              <w:marLeft w:val="0"/>
                                                              <w:marRight w:val="0"/>
                                                              <w:marTop w:val="225"/>
                                                              <w:marBottom w:val="225"/>
                                                              <w:divBdr>
                                                                <w:top w:val="none" w:sz="0" w:space="0" w:color="auto"/>
                                                                <w:left w:val="none" w:sz="0" w:space="0" w:color="auto"/>
                                                                <w:bottom w:val="none" w:sz="0" w:space="0" w:color="auto"/>
                                                                <w:right w:val="none" w:sz="0" w:space="0" w:color="auto"/>
                                                              </w:divBdr>
                                                              <w:divsChild>
                                                                <w:div w:id="16403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0238994">
      <w:bodyDiv w:val="1"/>
      <w:marLeft w:val="0"/>
      <w:marRight w:val="0"/>
      <w:marTop w:val="0"/>
      <w:marBottom w:val="0"/>
      <w:divBdr>
        <w:top w:val="none" w:sz="0" w:space="0" w:color="auto"/>
        <w:left w:val="none" w:sz="0" w:space="0" w:color="auto"/>
        <w:bottom w:val="none" w:sz="0" w:space="0" w:color="auto"/>
        <w:right w:val="none" w:sz="0" w:space="0" w:color="auto"/>
      </w:divBdr>
      <w:divsChild>
        <w:div w:id="1028263639">
          <w:marLeft w:val="576"/>
          <w:marRight w:val="0"/>
          <w:marTop w:val="80"/>
          <w:marBottom w:val="0"/>
          <w:divBdr>
            <w:top w:val="none" w:sz="0" w:space="0" w:color="auto"/>
            <w:left w:val="none" w:sz="0" w:space="0" w:color="auto"/>
            <w:bottom w:val="none" w:sz="0" w:space="0" w:color="auto"/>
            <w:right w:val="none" w:sz="0" w:space="0" w:color="auto"/>
          </w:divBdr>
        </w:div>
        <w:div w:id="1008170387">
          <w:marLeft w:val="576"/>
          <w:marRight w:val="0"/>
          <w:marTop w:val="80"/>
          <w:marBottom w:val="0"/>
          <w:divBdr>
            <w:top w:val="none" w:sz="0" w:space="0" w:color="auto"/>
            <w:left w:val="none" w:sz="0" w:space="0" w:color="auto"/>
            <w:bottom w:val="none" w:sz="0" w:space="0" w:color="auto"/>
            <w:right w:val="none" w:sz="0" w:space="0" w:color="auto"/>
          </w:divBdr>
        </w:div>
        <w:div w:id="1350984917">
          <w:marLeft w:val="576"/>
          <w:marRight w:val="0"/>
          <w:marTop w:val="80"/>
          <w:marBottom w:val="0"/>
          <w:divBdr>
            <w:top w:val="none" w:sz="0" w:space="0" w:color="auto"/>
            <w:left w:val="none" w:sz="0" w:space="0" w:color="auto"/>
            <w:bottom w:val="none" w:sz="0" w:space="0" w:color="auto"/>
            <w:right w:val="none" w:sz="0" w:space="0" w:color="auto"/>
          </w:divBdr>
        </w:div>
        <w:div w:id="790780653">
          <w:marLeft w:val="576"/>
          <w:marRight w:val="0"/>
          <w:marTop w:val="80"/>
          <w:marBottom w:val="0"/>
          <w:divBdr>
            <w:top w:val="none" w:sz="0" w:space="0" w:color="auto"/>
            <w:left w:val="none" w:sz="0" w:space="0" w:color="auto"/>
            <w:bottom w:val="none" w:sz="0" w:space="0" w:color="auto"/>
            <w:right w:val="none" w:sz="0" w:space="0" w:color="auto"/>
          </w:divBdr>
        </w:div>
      </w:divsChild>
    </w:div>
    <w:div w:id="1775587234">
      <w:bodyDiv w:val="1"/>
      <w:marLeft w:val="0"/>
      <w:marRight w:val="0"/>
      <w:marTop w:val="0"/>
      <w:marBottom w:val="0"/>
      <w:divBdr>
        <w:top w:val="none" w:sz="0" w:space="0" w:color="auto"/>
        <w:left w:val="none" w:sz="0" w:space="0" w:color="auto"/>
        <w:bottom w:val="none" w:sz="0" w:space="0" w:color="auto"/>
        <w:right w:val="none" w:sz="0" w:space="0" w:color="auto"/>
      </w:divBdr>
      <w:divsChild>
        <w:div w:id="1724518047">
          <w:marLeft w:val="576"/>
          <w:marRight w:val="0"/>
          <w:marTop w:val="80"/>
          <w:marBottom w:val="0"/>
          <w:divBdr>
            <w:top w:val="none" w:sz="0" w:space="0" w:color="auto"/>
            <w:left w:val="none" w:sz="0" w:space="0" w:color="auto"/>
            <w:bottom w:val="none" w:sz="0" w:space="0" w:color="auto"/>
            <w:right w:val="none" w:sz="0" w:space="0" w:color="auto"/>
          </w:divBdr>
        </w:div>
        <w:div w:id="182744092">
          <w:marLeft w:val="576"/>
          <w:marRight w:val="0"/>
          <w:marTop w:val="80"/>
          <w:marBottom w:val="0"/>
          <w:divBdr>
            <w:top w:val="none" w:sz="0" w:space="0" w:color="auto"/>
            <w:left w:val="none" w:sz="0" w:space="0" w:color="auto"/>
            <w:bottom w:val="none" w:sz="0" w:space="0" w:color="auto"/>
            <w:right w:val="none" w:sz="0" w:space="0" w:color="auto"/>
          </w:divBdr>
        </w:div>
        <w:div w:id="268321072">
          <w:marLeft w:val="576"/>
          <w:marRight w:val="0"/>
          <w:marTop w:val="80"/>
          <w:marBottom w:val="0"/>
          <w:divBdr>
            <w:top w:val="none" w:sz="0" w:space="0" w:color="auto"/>
            <w:left w:val="none" w:sz="0" w:space="0" w:color="auto"/>
            <w:bottom w:val="none" w:sz="0" w:space="0" w:color="auto"/>
            <w:right w:val="none" w:sz="0" w:space="0" w:color="auto"/>
          </w:divBdr>
        </w:div>
        <w:div w:id="1223836295">
          <w:marLeft w:val="576"/>
          <w:marRight w:val="0"/>
          <w:marTop w:val="80"/>
          <w:marBottom w:val="0"/>
          <w:divBdr>
            <w:top w:val="none" w:sz="0" w:space="0" w:color="auto"/>
            <w:left w:val="none" w:sz="0" w:space="0" w:color="auto"/>
            <w:bottom w:val="none" w:sz="0" w:space="0" w:color="auto"/>
            <w:right w:val="none" w:sz="0" w:space="0" w:color="auto"/>
          </w:divBdr>
        </w:div>
        <w:div w:id="687172788">
          <w:marLeft w:val="576"/>
          <w:marRight w:val="0"/>
          <w:marTop w:val="80"/>
          <w:marBottom w:val="0"/>
          <w:divBdr>
            <w:top w:val="none" w:sz="0" w:space="0" w:color="auto"/>
            <w:left w:val="none" w:sz="0" w:space="0" w:color="auto"/>
            <w:bottom w:val="none" w:sz="0" w:space="0" w:color="auto"/>
            <w:right w:val="none" w:sz="0" w:space="0" w:color="auto"/>
          </w:divBdr>
        </w:div>
      </w:divsChild>
    </w:div>
    <w:div w:id="21179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7593</Words>
  <Characters>43286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hsvl1</dc:creator>
  <cp:lastModifiedBy>Val Larkin</cp:lastModifiedBy>
  <cp:revision>16</cp:revision>
  <cp:lastPrinted>2016-12-20T12:52:00Z</cp:lastPrinted>
  <dcterms:created xsi:type="dcterms:W3CDTF">2017-09-14T12:18:00Z</dcterms:created>
  <dcterms:modified xsi:type="dcterms:W3CDTF">2017-09-26T09:27:00Z</dcterms:modified>
</cp:coreProperties>
</file>