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B605" w14:textId="77777777" w:rsidR="00A8472B" w:rsidRPr="00876672" w:rsidRDefault="00D65D01" w:rsidP="003D0BBA">
      <w:pPr>
        <w:tabs>
          <w:tab w:val="left" w:pos="284"/>
        </w:tabs>
        <w:ind w:right="-248"/>
        <w:rPr>
          <w:rFonts w:cs="Times New Roman"/>
          <w:b/>
          <w:sz w:val="28"/>
          <w:szCs w:val="28"/>
          <w:lang w:val="en-GB"/>
        </w:rPr>
      </w:pPr>
      <w:r w:rsidRPr="00876672">
        <w:rPr>
          <w:rFonts w:cs="Times New Roman"/>
          <w:b/>
          <w:sz w:val="28"/>
          <w:szCs w:val="28"/>
          <w:lang w:val="en-GB"/>
        </w:rPr>
        <w:t xml:space="preserve">Assessing Concurrent Expert Evidence </w:t>
      </w:r>
    </w:p>
    <w:p w14:paraId="713DC8BD" w14:textId="77777777" w:rsidR="00A8472B" w:rsidRPr="00876672" w:rsidRDefault="00A8472B" w:rsidP="003D0BBA">
      <w:pPr>
        <w:tabs>
          <w:tab w:val="left" w:pos="284"/>
        </w:tabs>
        <w:ind w:right="-248"/>
        <w:rPr>
          <w:rFonts w:cs="Times New Roman"/>
          <w:b/>
          <w:lang w:val="en-GB"/>
        </w:rPr>
      </w:pPr>
    </w:p>
    <w:p w14:paraId="6A4ADC37" w14:textId="77777777" w:rsidR="00A219D8" w:rsidRPr="00876672" w:rsidRDefault="00A219D8" w:rsidP="003D0BBA">
      <w:pPr>
        <w:tabs>
          <w:tab w:val="left" w:pos="284"/>
        </w:tabs>
        <w:ind w:right="-248"/>
        <w:rPr>
          <w:rFonts w:cs="Times New Roman"/>
          <w:b/>
          <w:lang w:val="en-GB"/>
        </w:rPr>
      </w:pPr>
    </w:p>
    <w:p w14:paraId="54EF1700" w14:textId="77777777" w:rsidR="00A8472B" w:rsidRPr="00876672" w:rsidRDefault="00A8472B" w:rsidP="003D0BBA">
      <w:pPr>
        <w:tabs>
          <w:tab w:val="left" w:pos="284"/>
        </w:tabs>
        <w:ind w:right="-248"/>
        <w:rPr>
          <w:rFonts w:cs="Times New Roman"/>
          <w:b/>
          <w:lang w:val="en-GB"/>
        </w:rPr>
      </w:pPr>
      <w:r w:rsidRPr="00876672">
        <w:rPr>
          <w:rFonts w:cs="Times New Roman"/>
          <w:b/>
          <w:lang w:val="en-GB"/>
        </w:rPr>
        <w:t>Gary Edmond</w:t>
      </w:r>
      <w:r w:rsidR="006C2686" w:rsidRPr="00876672">
        <w:rPr>
          <w:rFonts w:cs="Times New Roman"/>
          <w:b/>
          <w:lang w:val="en-GB"/>
        </w:rPr>
        <w:t xml:space="preserve">, Ann </w:t>
      </w:r>
      <w:r w:rsidR="00AF7AF9">
        <w:rPr>
          <w:rFonts w:cs="Times New Roman"/>
          <w:b/>
          <w:lang w:val="en-GB"/>
        </w:rPr>
        <w:t xml:space="preserve">Plenderleith </w:t>
      </w:r>
      <w:r w:rsidR="006C2686" w:rsidRPr="00876672">
        <w:rPr>
          <w:rFonts w:cs="Times New Roman"/>
          <w:b/>
          <w:lang w:val="en-GB"/>
        </w:rPr>
        <w:t>Ferguson</w:t>
      </w:r>
      <w:r w:rsidRPr="00876672">
        <w:rPr>
          <w:rFonts w:cs="Times New Roman"/>
          <w:b/>
          <w:lang w:val="en-GB"/>
        </w:rPr>
        <w:t xml:space="preserve"> and Tony Ward</w:t>
      </w:r>
      <w:r w:rsidR="00D65D01" w:rsidRPr="00876672">
        <w:rPr>
          <w:rStyle w:val="FootnoteReference"/>
          <w:rFonts w:cs="Times New Roman"/>
          <w:b/>
          <w:lang w:val="en-GB"/>
        </w:rPr>
        <w:footnoteReference w:customMarkFollows="1" w:id="1"/>
        <w:t>†</w:t>
      </w:r>
      <w:r w:rsidRPr="00876672">
        <w:rPr>
          <w:rFonts w:cs="Times New Roman"/>
          <w:b/>
          <w:lang w:val="en-GB"/>
        </w:rPr>
        <w:t xml:space="preserve"> </w:t>
      </w:r>
    </w:p>
    <w:p w14:paraId="73523FDA" w14:textId="77777777" w:rsidR="00D65D01" w:rsidRPr="00876672" w:rsidRDefault="00D65D01" w:rsidP="003D0BBA">
      <w:pPr>
        <w:tabs>
          <w:tab w:val="left" w:pos="284"/>
        </w:tabs>
        <w:ind w:right="-248"/>
        <w:rPr>
          <w:rFonts w:cs="Times New Roman"/>
          <w:b/>
          <w:lang w:val="en-GB"/>
        </w:rPr>
      </w:pPr>
    </w:p>
    <w:p w14:paraId="35687AC4" w14:textId="77777777" w:rsidR="00D65D01" w:rsidRPr="00876672" w:rsidRDefault="00D65D01" w:rsidP="003D0BBA">
      <w:pPr>
        <w:tabs>
          <w:tab w:val="left" w:pos="284"/>
        </w:tabs>
        <w:ind w:right="-248"/>
        <w:rPr>
          <w:rFonts w:cs="Times New Roman"/>
          <w:b/>
          <w:lang w:val="en-GB"/>
        </w:rPr>
      </w:pPr>
      <w:r w:rsidRPr="00876672">
        <w:rPr>
          <w:rFonts w:cs="Times New Roman"/>
          <w:b/>
          <w:lang w:val="en-GB"/>
        </w:rPr>
        <w:t>Introduction</w:t>
      </w:r>
    </w:p>
    <w:p w14:paraId="043A92B0" w14:textId="56F3956E" w:rsidR="00850A88" w:rsidRDefault="00850A88" w:rsidP="003D0BBA">
      <w:pPr>
        <w:tabs>
          <w:tab w:val="left" w:pos="284"/>
        </w:tabs>
        <w:ind w:right="-248"/>
        <w:rPr>
          <w:rFonts w:cs="Times New Roman"/>
          <w:lang w:val="en-GB"/>
        </w:rPr>
      </w:pPr>
      <w:r>
        <w:rPr>
          <w:rFonts w:cs="Times New Roman"/>
          <w:lang w:val="en-GB"/>
        </w:rPr>
        <w:t xml:space="preserve">At its meeting in June 2017, the Civil Procedure Rules Committee (CPRC) approved amendments to PD 35 concerning hot-tubbing – the term used in the CPRC minutes for what is more formally referred to as concurrent expert evidence. While they stop short of mandating the use of hot tubbing in any particular type of case, </w:t>
      </w:r>
      <w:r w:rsidR="00287BE7">
        <w:rPr>
          <w:rFonts w:cs="Times New Roman"/>
          <w:lang w:val="en-GB"/>
        </w:rPr>
        <w:t xml:space="preserve">the amendments aim to </w:t>
      </w:r>
      <w:r w:rsidR="00087DA6">
        <w:rPr>
          <w:rFonts w:cs="Times New Roman"/>
          <w:lang w:val="en-GB"/>
        </w:rPr>
        <w:t>“</w:t>
      </w:r>
      <w:r w:rsidR="00287BE7">
        <w:rPr>
          <w:rFonts w:cs="Times New Roman"/>
          <w:lang w:val="en-GB"/>
        </w:rPr>
        <w:t xml:space="preserve">give court users a useful </w:t>
      </w:r>
      <w:r w:rsidR="00087DA6">
        <w:rPr>
          <w:rFonts w:cs="Times New Roman"/>
          <w:lang w:val="en-GB"/>
        </w:rPr>
        <w:t xml:space="preserve">steer” </w:t>
      </w:r>
      <w:r w:rsidR="00287BE7">
        <w:rPr>
          <w:rFonts w:cs="Times New Roman"/>
          <w:lang w:val="en-GB"/>
        </w:rPr>
        <w:t>in the direction of</w:t>
      </w:r>
      <w:r w:rsidR="00650234">
        <w:rPr>
          <w:rFonts w:cs="Times New Roman"/>
          <w:lang w:val="en-GB"/>
        </w:rPr>
        <w:t xml:space="preserve"> a</w:t>
      </w:r>
      <w:r w:rsidR="00287BE7">
        <w:rPr>
          <w:rFonts w:cs="Times New Roman"/>
          <w:lang w:val="en-GB"/>
        </w:rPr>
        <w:t xml:space="preserve"> particular form of hot-tubbing procedure.</w:t>
      </w:r>
      <w:r w:rsidR="00287BE7">
        <w:rPr>
          <w:rStyle w:val="FootnoteReference"/>
          <w:rFonts w:cs="Times New Roman"/>
          <w:lang w:val="en-GB"/>
        </w:rPr>
        <w:footnoteReference w:id="2"/>
      </w:r>
      <w:r w:rsidR="00287BE7">
        <w:rPr>
          <w:rFonts w:cs="Times New Roman"/>
          <w:lang w:val="en-GB"/>
        </w:rPr>
        <w:t xml:space="preserve"> The direction in which courts are </w:t>
      </w:r>
      <w:r w:rsidR="00087DA6">
        <w:rPr>
          <w:rFonts w:cs="Times New Roman"/>
          <w:lang w:val="en-GB"/>
        </w:rPr>
        <w:t>“</w:t>
      </w:r>
      <w:r w:rsidR="00287BE7">
        <w:rPr>
          <w:rFonts w:cs="Times New Roman"/>
          <w:lang w:val="en-GB"/>
        </w:rPr>
        <w:t>steered</w:t>
      </w:r>
      <w:r w:rsidR="00087DA6">
        <w:rPr>
          <w:rFonts w:cs="Times New Roman"/>
          <w:lang w:val="en-GB"/>
        </w:rPr>
        <w:t>”</w:t>
      </w:r>
      <w:r w:rsidR="00287BE7">
        <w:rPr>
          <w:rFonts w:cs="Times New Roman"/>
          <w:lang w:val="en-GB"/>
        </w:rPr>
        <w:t xml:space="preserve"> by these changes is that of a significantly more inquisitorial procedure, with the judge leading the questioning of what in many civil cases will be the most important witnesses. </w:t>
      </w:r>
    </w:p>
    <w:p w14:paraId="561A297A" w14:textId="0A58C343" w:rsidR="00081FF2" w:rsidRPr="00876672" w:rsidRDefault="00287BE7" w:rsidP="003D0BBA">
      <w:pPr>
        <w:tabs>
          <w:tab w:val="left" w:pos="284"/>
        </w:tabs>
        <w:ind w:right="-248"/>
        <w:rPr>
          <w:rFonts w:cs="Times New Roman"/>
          <w:lang w:val="en-GB"/>
        </w:rPr>
      </w:pPr>
      <w:r>
        <w:rPr>
          <w:rFonts w:cs="Times New Roman"/>
          <w:lang w:val="en-GB"/>
        </w:rPr>
        <w:tab/>
      </w:r>
      <w:r w:rsidR="00081FF2" w:rsidRPr="00876672">
        <w:rPr>
          <w:rFonts w:cs="Times New Roman"/>
          <w:lang w:val="en-GB"/>
        </w:rPr>
        <w:t xml:space="preserve">This </w:t>
      </w:r>
      <w:r w:rsidR="00B94760" w:rsidRPr="00876672">
        <w:rPr>
          <w:rFonts w:cs="Times New Roman"/>
          <w:lang w:val="en-GB"/>
        </w:rPr>
        <w:t xml:space="preserve">article </w:t>
      </w:r>
      <w:r>
        <w:rPr>
          <w:rFonts w:cs="Times New Roman"/>
          <w:lang w:val="en-GB"/>
        </w:rPr>
        <w:t xml:space="preserve">takes a </w:t>
      </w:r>
      <w:r w:rsidR="00F06F49">
        <w:rPr>
          <w:rFonts w:cs="Times New Roman"/>
          <w:lang w:val="en-GB"/>
        </w:rPr>
        <w:t xml:space="preserve">critical </w:t>
      </w:r>
      <w:r>
        <w:rPr>
          <w:rFonts w:cs="Times New Roman"/>
          <w:lang w:val="en-GB"/>
        </w:rPr>
        <w:t>look at the</w:t>
      </w:r>
      <w:r w:rsidR="00081FF2" w:rsidRPr="00876672">
        <w:rPr>
          <w:rFonts w:cs="Times New Roman"/>
          <w:lang w:val="en-GB"/>
        </w:rPr>
        <w:t xml:space="preserve"> </w:t>
      </w:r>
      <w:r w:rsidR="006C6986" w:rsidRPr="00876672">
        <w:rPr>
          <w:rFonts w:cs="Times New Roman"/>
          <w:lang w:val="en-GB"/>
        </w:rPr>
        <w:t xml:space="preserve">evidence available </w:t>
      </w:r>
      <w:r>
        <w:rPr>
          <w:rFonts w:cs="Times New Roman"/>
          <w:lang w:val="en-GB"/>
        </w:rPr>
        <w:t xml:space="preserve">in support of such </w:t>
      </w:r>
      <w:r w:rsidR="00054B5D">
        <w:rPr>
          <w:rFonts w:cs="Times New Roman"/>
          <w:lang w:val="en-GB"/>
        </w:rPr>
        <w:t>a change</w:t>
      </w:r>
      <w:r>
        <w:rPr>
          <w:rFonts w:cs="Times New Roman"/>
          <w:lang w:val="en-GB"/>
        </w:rPr>
        <w:t xml:space="preserve">: in particular, the </w:t>
      </w:r>
      <w:r w:rsidR="00957888" w:rsidRPr="00876672">
        <w:rPr>
          <w:rFonts w:cs="Times New Roman"/>
        </w:rPr>
        <w:t>report by a Civil Justice Council (CJC) working party</w:t>
      </w:r>
      <w:r w:rsidR="00957888">
        <w:rPr>
          <w:rFonts w:cs="Times New Roman"/>
        </w:rPr>
        <w:t xml:space="preserve">, and the </w:t>
      </w:r>
      <w:r w:rsidR="006D07F9">
        <w:rPr>
          <w:rFonts w:cs="Times New Roman"/>
        </w:rPr>
        <w:t>3</w:t>
      </w:r>
      <w:r w:rsidR="00755BE2">
        <w:rPr>
          <w:rFonts w:cs="Times New Roman"/>
        </w:rPr>
        <w:t>1</w:t>
      </w:r>
      <w:r w:rsidR="006D07F9">
        <w:rPr>
          <w:rFonts w:cs="Times New Roman"/>
        </w:rPr>
        <w:t xml:space="preserve"> </w:t>
      </w:r>
      <w:r w:rsidR="00957888">
        <w:rPr>
          <w:rFonts w:cs="Times New Roman"/>
        </w:rPr>
        <w:t xml:space="preserve">published judgments we could </w:t>
      </w:r>
      <w:r w:rsidR="00F06F49">
        <w:rPr>
          <w:rFonts w:cs="Times New Roman"/>
        </w:rPr>
        <w:t xml:space="preserve">locate </w:t>
      </w:r>
      <w:r w:rsidR="00957888">
        <w:rPr>
          <w:rFonts w:cs="Times New Roman"/>
        </w:rPr>
        <w:t xml:space="preserve">on Westlaw </w:t>
      </w:r>
      <w:r w:rsidR="000E572F">
        <w:rPr>
          <w:rFonts w:cs="Times New Roman"/>
        </w:rPr>
        <w:t xml:space="preserve">(up to 31 October 2017) </w:t>
      </w:r>
      <w:r w:rsidR="00957888">
        <w:rPr>
          <w:rFonts w:cs="Times New Roman"/>
        </w:rPr>
        <w:t xml:space="preserve">in which judges in any of the UK jurisdictions discuss their experiences </w:t>
      </w:r>
      <w:r w:rsidR="00F06F49">
        <w:rPr>
          <w:rFonts w:cs="Times New Roman"/>
        </w:rPr>
        <w:t>with concurrent evidence</w:t>
      </w:r>
      <w:r w:rsidR="00957888">
        <w:rPr>
          <w:rFonts w:cs="Times New Roman"/>
        </w:rPr>
        <w:t xml:space="preserve">. </w:t>
      </w:r>
      <w:r w:rsidR="00957888">
        <w:rPr>
          <w:rFonts w:cs="Times New Roman"/>
          <w:lang w:val="en-GB"/>
        </w:rPr>
        <w:t>W</w:t>
      </w:r>
      <w:r w:rsidR="006C2686" w:rsidRPr="00876672">
        <w:rPr>
          <w:rFonts w:cs="Times New Roman"/>
          <w:lang w:val="en-GB"/>
        </w:rPr>
        <w:t xml:space="preserve">e </w:t>
      </w:r>
      <w:r w:rsidR="00957888">
        <w:rPr>
          <w:rFonts w:cs="Times New Roman"/>
          <w:lang w:val="en-GB"/>
        </w:rPr>
        <w:t xml:space="preserve">do not </w:t>
      </w:r>
      <w:r w:rsidR="006C2686" w:rsidRPr="00876672">
        <w:rPr>
          <w:rFonts w:cs="Times New Roman"/>
          <w:lang w:val="en-GB"/>
        </w:rPr>
        <w:t xml:space="preserve">dispute that, when skilfully implemented, </w:t>
      </w:r>
      <w:r w:rsidR="00957888">
        <w:rPr>
          <w:rFonts w:cs="Times New Roman"/>
          <w:lang w:val="en-GB"/>
        </w:rPr>
        <w:t>concurrent evidence can</w:t>
      </w:r>
      <w:r w:rsidR="006C2686" w:rsidRPr="00876672">
        <w:rPr>
          <w:rFonts w:cs="Times New Roman"/>
          <w:lang w:val="en-GB"/>
        </w:rPr>
        <w:t xml:space="preserve"> </w:t>
      </w:r>
      <w:r w:rsidR="004C3649">
        <w:rPr>
          <w:rFonts w:cs="Times New Roman"/>
          <w:lang w:val="en-GB"/>
        </w:rPr>
        <w:t>be effective; but we</w:t>
      </w:r>
      <w:r w:rsidR="00957888">
        <w:rPr>
          <w:rFonts w:cs="Times New Roman"/>
          <w:lang w:val="en-GB"/>
        </w:rPr>
        <w:t xml:space="preserve"> question</w:t>
      </w:r>
      <w:r w:rsidR="004C3649">
        <w:rPr>
          <w:rFonts w:cs="Times New Roman"/>
          <w:lang w:val="en-GB"/>
        </w:rPr>
        <w:t xml:space="preserve"> </w:t>
      </w:r>
      <w:r w:rsidR="00957888">
        <w:rPr>
          <w:rFonts w:cs="Times New Roman"/>
          <w:lang w:val="en-GB"/>
        </w:rPr>
        <w:t xml:space="preserve">whether there is sufficient evidence to justify steering the </w:t>
      </w:r>
      <w:bookmarkStart w:id="0" w:name="_GoBack"/>
      <w:bookmarkEnd w:id="0"/>
      <w:r w:rsidR="00957888">
        <w:rPr>
          <w:rFonts w:cs="Times New Roman"/>
          <w:lang w:val="en-GB"/>
        </w:rPr>
        <w:t>courts towards treating a particular form of concurrent evidence as the</w:t>
      </w:r>
      <w:r w:rsidR="00650234">
        <w:rPr>
          <w:rFonts w:cs="Times New Roman"/>
          <w:lang w:val="en-GB"/>
        </w:rPr>
        <w:t xml:space="preserve"> presumptive</w:t>
      </w:r>
      <w:r w:rsidR="00957888">
        <w:rPr>
          <w:rFonts w:cs="Times New Roman"/>
          <w:lang w:val="en-GB"/>
        </w:rPr>
        <w:t xml:space="preserve"> standard procedure across the range of civil litigation.</w:t>
      </w:r>
    </w:p>
    <w:p w14:paraId="44B6085C" w14:textId="1EC5EE96" w:rsidR="00B20928" w:rsidRPr="00876672" w:rsidRDefault="007C6E11" w:rsidP="003D0BBA">
      <w:pPr>
        <w:tabs>
          <w:tab w:val="left" w:pos="284"/>
        </w:tabs>
        <w:ind w:right="-248"/>
        <w:rPr>
          <w:rFonts w:cs="Times New Roman"/>
        </w:rPr>
      </w:pPr>
      <w:r w:rsidRPr="00876672">
        <w:rPr>
          <w:rFonts w:cs="Times New Roman"/>
          <w:lang w:val="en-GB"/>
        </w:rPr>
        <w:tab/>
        <w:t xml:space="preserve">When we ask whether concurrent evidence is effective, we are not concerned primarily with whether it is </w:t>
      </w:r>
      <w:r w:rsidRPr="00876672">
        <w:rPr>
          <w:rFonts w:cs="Times New Roman"/>
          <w:i/>
          <w:lang w:val="en-GB"/>
        </w:rPr>
        <w:t xml:space="preserve">efficient – </w:t>
      </w:r>
      <w:r w:rsidRPr="00876672">
        <w:rPr>
          <w:rFonts w:cs="Times New Roman"/>
          <w:lang w:val="en-GB"/>
        </w:rPr>
        <w:t>whether it saves time and</w:t>
      </w:r>
      <w:r w:rsidR="00FA7220" w:rsidRPr="00876672">
        <w:rPr>
          <w:rFonts w:cs="Times New Roman"/>
          <w:lang w:val="en-GB"/>
        </w:rPr>
        <w:t xml:space="preserve">/or money </w:t>
      </w:r>
      <w:r w:rsidR="00FA7220" w:rsidRPr="00876672">
        <w:rPr>
          <w:rFonts w:cs="Times New Roman"/>
        </w:rPr>
        <w:t>(</w:t>
      </w:r>
      <w:r w:rsidR="00B80B4C" w:rsidRPr="00876672">
        <w:rPr>
          <w:rFonts w:cs="Times New Roman"/>
        </w:rPr>
        <w:t>this</w:t>
      </w:r>
      <w:r w:rsidR="002C3F27" w:rsidRPr="00876672">
        <w:rPr>
          <w:rFonts w:cs="Times New Roman"/>
        </w:rPr>
        <w:t xml:space="preserve"> </w:t>
      </w:r>
      <w:r w:rsidR="00B80B4C" w:rsidRPr="00876672">
        <w:rPr>
          <w:rFonts w:cs="Times New Roman"/>
        </w:rPr>
        <w:t>is not insignificant, and</w:t>
      </w:r>
      <w:r w:rsidR="00FA7220" w:rsidRPr="00876672">
        <w:rPr>
          <w:rFonts w:cs="Times New Roman"/>
        </w:rPr>
        <w:t xml:space="preserve"> we shall see that the evidence as to whether it does so is</w:t>
      </w:r>
      <w:r w:rsidR="00250259" w:rsidRPr="00876672">
        <w:rPr>
          <w:rFonts w:cs="Times New Roman"/>
        </w:rPr>
        <w:t xml:space="preserve"> both limited and</w:t>
      </w:r>
      <w:r w:rsidR="00FA7220" w:rsidRPr="00876672">
        <w:rPr>
          <w:rFonts w:cs="Times New Roman"/>
        </w:rPr>
        <w:t xml:space="preserve"> equivocal).</w:t>
      </w:r>
      <w:r w:rsidR="0042178F" w:rsidRPr="00876672">
        <w:rPr>
          <w:rFonts w:cs="Times New Roman"/>
        </w:rPr>
        <w:t xml:space="preserve"> Rather, we are concerned with whether the procedure enhances the epistemic quality and usefulness of </w:t>
      </w:r>
      <w:r w:rsidR="00250259" w:rsidRPr="00876672">
        <w:rPr>
          <w:rFonts w:cs="Times New Roman"/>
        </w:rPr>
        <w:t xml:space="preserve">expert </w:t>
      </w:r>
      <w:r w:rsidR="0042178F" w:rsidRPr="00876672">
        <w:rPr>
          <w:rFonts w:cs="Times New Roman"/>
        </w:rPr>
        <w:t>evidence. Does it, in other words, make it more likely</w:t>
      </w:r>
      <w:r w:rsidR="00FF380B" w:rsidRPr="00876672">
        <w:rPr>
          <w:rFonts w:cs="Times New Roman"/>
        </w:rPr>
        <w:t xml:space="preserve"> (compared to conventional adversarial procedure)</w:t>
      </w:r>
      <w:r w:rsidR="0042178F" w:rsidRPr="00876672">
        <w:rPr>
          <w:rFonts w:cs="Times New Roman"/>
        </w:rPr>
        <w:t xml:space="preserve"> that experts will express conclusions backed up by cogent reasoning and communicate that reasoning to the judges in a way that helps them resolve the </w:t>
      </w:r>
      <w:r w:rsidR="00F06F49">
        <w:rPr>
          <w:rFonts w:cs="Times New Roman"/>
        </w:rPr>
        <w:t>issues</w:t>
      </w:r>
      <w:r w:rsidR="00F06F49" w:rsidRPr="00876672">
        <w:rPr>
          <w:rFonts w:cs="Times New Roman"/>
        </w:rPr>
        <w:t xml:space="preserve"> </w:t>
      </w:r>
      <w:r w:rsidR="0042178F" w:rsidRPr="00876672">
        <w:rPr>
          <w:rFonts w:cs="Times New Roman"/>
        </w:rPr>
        <w:t>before them?</w:t>
      </w:r>
      <w:r w:rsidR="00245FD2">
        <w:rPr>
          <w:rFonts w:cs="Times New Roman"/>
        </w:rPr>
        <w:t xml:space="preserve"> </w:t>
      </w:r>
      <w:r w:rsidR="00FF380B" w:rsidRPr="00876672">
        <w:rPr>
          <w:rFonts w:cs="Times New Roman"/>
        </w:rPr>
        <w:t>In particular, does it achieve these benefits in cases where (unlike the specialist courts and tribunals where hot-tubbing has been most extensively used) the judge has no prior expertise in the witnesses’ field</w:t>
      </w:r>
      <w:r w:rsidR="00215B0A" w:rsidRPr="00876672">
        <w:rPr>
          <w:rFonts w:cs="Times New Roman"/>
        </w:rPr>
        <w:t>s</w:t>
      </w:r>
      <w:r w:rsidR="00FF380B" w:rsidRPr="00876672">
        <w:rPr>
          <w:rFonts w:cs="Times New Roman"/>
        </w:rPr>
        <w:t xml:space="preserve">? </w:t>
      </w:r>
    </w:p>
    <w:p w14:paraId="166B7F80" w14:textId="599F7A15" w:rsidR="00DB1892" w:rsidRPr="00876672" w:rsidRDefault="00DB1892" w:rsidP="003D0BBA">
      <w:pPr>
        <w:tabs>
          <w:tab w:val="left" w:pos="284"/>
        </w:tabs>
        <w:ind w:right="-248"/>
        <w:rPr>
          <w:rFonts w:cs="Times New Roman"/>
        </w:rPr>
      </w:pPr>
      <w:r w:rsidRPr="00876672">
        <w:rPr>
          <w:rFonts w:cs="Times New Roman"/>
        </w:rPr>
        <w:tab/>
      </w:r>
      <w:r w:rsidR="00F06F49">
        <w:rPr>
          <w:rFonts w:cs="Times New Roman"/>
        </w:rPr>
        <w:t>Our</w:t>
      </w:r>
      <w:r w:rsidR="00F06F49" w:rsidRPr="00876672">
        <w:rPr>
          <w:rFonts w:cs="Times New Roman"/>
        </w:rPr>
        <w:t xml:space="preserve"> </w:t>
      </w:r>
      <w:r w:rsidR="00F06F49">
        <w:rPr>
          <w:rFonts w:cs="Times New Roman"/>
        </w:rPr>
        <w:t>review</w:t>
      </w:r>
      <w:r w:rsidR="00F06F49" w:rsidRPr="00876672">
        <w:rPr>
          <w:rFonts w:cs="Times New Roman"/>
        </w:rPr>
        <w:t xml:space="preserve"> </w:t>
      </w:r>
      <w:r w:rsidRPr="00876672">
        <w:rPr>
          <w:rFonts w:cs="Times New Roman"/>
        </w:rPr>
        <w:t xml:space="preserve">is </w:t>
      </w:r>
      <w:r w:rsidR="00C54CFB" w:rsidRPr="00876672">
        <w:rPr>
          <w:rFonts w:cs="Times New Roman"/>
        </w:rPr>
        <w:t xml:space="preserve">presented </w:t>
      </w:r>
      <w:r w:rsidRPr="00876672">
        <w:rPr>
          <w:rFonts w:cs="Times New Roman"/>
        </w:rPr>
        <w:t xml:space="preserve">in three parts. The first examines the range of procedures </w:t>
      </w:r>
      <w:r w:rsidR="00650234">
        <w:rPr>
          <w:rFonts w:cs="Times New Roman"/>
        </w:rPr>
        <w:t>collectively</w:t>
      </w:r>
      <w:r w:rsidR="00650234" w:rsidRPr="00876672">
        <w:rPr>
          <w:rFonts w:cs="Times New Roman"/>
        </w:rPr>
        <w:t xml:space="preserve"> </w:t>
      </w:r>
      <w:r w:rsidRPr="00876672">
        <w:rPr>
          <w:rFonts w:cs="Times New Roman"/>
        </w:rPr>
        <w:t xml:space="preserve">referred to as </w:t>
      </w:r>
      <w:r w:rsidR="00087DA6">
        <w:rPr>
          <w:rFonts w:cs="Times New Roman"/>
        </w:rPr>
        <w:t>“</w:t>
      </w:r>
      <w:r w:rsidRPr="00876672">
        <w:rPr>
          <w:rFonts w:cs="Times New Roman"/>
        </w:rPr>
        <w:t>concurrent evidence</w:t>
      </w:r>
      <w:r w:rsidR="00087DA6">
        <w:rPr>
          <w:rFonts w:cs="Times New Roman"/>
        </w:rPr>
        <w:t>”</w:t>
      </w:r>
      <w:r w:rsidRPr="00876672">
        <w:rPr>
          <w:rFonts w:cs="Times New Roman"/>
        </w:rPr>
        <w:t xml:space="preserve"> and reviews previous studies, focusing on a recent</w:t>
      </w:r>
      <w:r w:rsidR="00016A9D">
        <w:rPr>
          <w:rFonts w:cs="Times New Roman"/>
        </w:rPr>
        <w:t xml:space="preserve"> </w:t>
      </w:r>
      <w:r w:rsidR="00495A02">
        <w:rPr>
          <w:rFonts w:cs="Times New Roman"/>
        </w:rPr>
        <w:t>CJC Report</w:t>
      </w:r>
      <w:r w:rsidR="00016A9D">
        <w:rPr>
          <w:rFonts w:cs="Times New Roman"/>
        </w:rPr>
        <w:t>. The second discusses the reported cases in which concurrent evidence was used.</w:t>
      </w:r>
      <w:r w:rsidRPr="00876672">
        <w:rPr>
          <w:rFonts w:cs="Times New Roman"/>
        </w:rPr>
        <w:t xml:space="preserve"> The third </w:t>
      </w:r>
      <w:r w:rsidR="00F06F49">
        <w:rPr>
          <w:rFonts w:cs="Times New Roman"/>
        </w:rPr>
        <w:t>considers</w:t>
      </w:r>
      <w:r w:rsidR="00F06F49" w:rsidRPr="00876672">
        <w:rPr>
          <w:rFonts w:cs="Times New Roman"/>
        </w:rPr>
        <w:t xml:space="preserve"> </w:t>
      </w:r>
      <w:r w:rsidRPr="00876672">
        <w:rPr>
          <w:rFonts w:cs="Times New Roman"/>
        </w:rPr>
        <w:t>some of the implica</w:t>
      </w:r>
      <w:r w:rsidR="00A453E4" w:rsidRPr="00876672">
        <w:rPr>
          <w:rFonts w:cs="Times New Roman"/>
        </w:rPr>
        <w:t>ti</w:t>
      </w:r>
      <w:r w:rsidRPr="00876672">
        <w:rPr>
          <w:rFonts w:cs="Times New Roman"/>
        </w:rPr>
        <w:t>ons of</w:t>
      </w:r>
      <w:r w:rsidR="00A453E4" w:rsidRPr="00876672">
        <w:rPr>
          <w:rFonts w:cs="Times New Roman"/>
        </w:rPr>
        <w:t xml:space="preserve"> concurrent evidence with reference to</w:t>
      </w:r>
      <w:r w:rsidRPr="00876672">
        <w:rPr>
          <w:rFonts w:cs="Times New Roman"/>
        </w:rPr>
        <w:t xml:space="preserve"> </w:t>
      </w:r>
      <w:r w:rsidR="00A453E4" w:rsidRPr="00876672">
        <w:rPr>
          <w:rFonts w:cs="Times New Roman"/>
        </w:rPr>
        <w:t xml:space="preserve">the </w:t>
      </w:r>
      <w:r w:rsidRPr="00876672">
        <w:rPr>
          <w:rFonts w:cs="Times New Roman"/>
        </w:rPr>
        <w:t>case</w:t>
      </w:r>
      <w:r w:rsidR="00A453E4" w:rsidRPr="00876672">
        <w:rPr>
          <w:rFonts w:cs="Times New Roman"/>
        </w:rPr>
        <w:t>s</w:t>
      </w:r>
      <w:r w:rsidRPr="00876672">
        <w:rPr>
          <w:rFonts w:cs="Times New Roman"/>
        </w:rPr>
        <w:t xml:space="preserve">. </w:t>
      </w:r>
    </w:p>
    <w:p w14:paraId="35070F51" w14:textId="77777777" w:rsidR="00081FF2" w:rsidRPr="00876672" w:rsidRDefault="00081FF2" w:rsidP="003D0BBA">
      <w:pPr>
        <w:tabs>
          <w:tab w:val="left" w:pos="284"/>
        </w:tabs>
        <w:ind w:right="-248"/>
        <w:rPr>
          <w:rFonts w:cs="Times New Roman"/>
          <w:lang w:val="en-GB"/>
        </w:rPr>
      </w:pPr>
    </w:p>
    <w:p w14:paraId="6AE36AA5" w14:textId="77777777" w:rsidR="00A60B71" w:rsidRPr="00876672" w:rsidRDefault="00A60B71" w:rsidP="003D0BBA">
      <w:pPr>
        <w:tabs>
          <w:tab w:val="left" w:pos="284"/>
        </w:tabs>
        <w:ind w:right="-248"/>
        <w:rPr>
          <w:rFonts w:cs="Times New Roman"/>
          <w:lang w:val="en-GB"/>
        </w:rPr>
      </w:pPr>
    </w:p>
    <w:p w14:paraId="317F1C13" w14:textId="77777777" w:rsidR="00FF4024" w:rsidRPr="00876672" w:rsidRDefault="005F0CF4" w:rsidP="003D0BBA">
      <w:pPr>
        <w:tabs>
          <w:tab w:val="left" w:pos="284"/>
        </w:tabs>
        <w:ind w:right="-248"/>
        <w:rPr>
          <w:rFonts w:cs="Times New Roman"/>
          <w:b/>
          <w:lang w:val="en-GB"/>
        </w:rPr>
      </w:pPr>
      <w:r w:rsidRPr="00876672">
        <w:rPr>
          <w:rFonts w:cs="Times New Roman"/>
          <w:b/>
          <w:lang w:val="en-GB"/>
        </w:rPr>
        <w:t>P</w:t>
      </w:r>
      <w:r w:rsidR="007A37EA" w:rsidRPr="00876672">
        <w:rPr>
          <w:rFonts w:cs="Times New Roman"/>
          <w:b/>
          <w:lang w:val="en-GB"/>
        </w:rPr>
        <w:t>art</w:t>
      </w:r>
      <w:r w:rsidRPr="00876672">
        <w:rPr>
          <w:rFonts w:cs="Times New Roman"/>
          <w:b/>
          <w:lang w:val="en-GB"/>
        </w:rPr>
        <w:t xml:space="preserve"> 1</w:t>
      </w:r>
      <w:r w:rsidR="00F17113" w:rsidRPr="00876672">
        <w:rPr>
          <w:rFonts w:cs="Times New Roman"/>
          <w:b/>
          <w:lang w:val="en-GB"/>
        </w:rPr>
        <w:t xml:space="preserve">: </w:t>
      </w:r>
      <w:r w:rsidR="00FF4024" w:rsidRPr="00876672">
        <w:rPr>
          <w:rFonts w:cs="Times New Roman"/>
          <w:b/>
          <w:lang w:val="en-GB"/>
        </w:rPr>
        <w:t>A Procedural smorgasbord</w:t>
      </w:r>
    </w:p>
    <w:p w14:paraId="7464E089" w14:textId="2D9CB1C2" w:rsidR="00DC7962" w:rsidRPr="00876672" w:rsidRDefault="00B211E9" w:rsidP="003D0BBA">
      <w:pPr>
        <w:tabs>
          <w:tab w:val="left" w:pos="284"/>
        </w:tabs>
        <w:ind w:right="-248"/>
        <w:rPr>
          <w:rFonts w:cs="Times New Roman"/>
          <w:lang w:val="en-GB"/>
        </w:rPr>
      </w:pPr>
      <w:r w:rsidRPr="00876672">
        <w:rPr>
          <w:rFonts w:cs="Times New Roman"/>
          <w:lang w:val="en-GB"/>
        </w:rPr>
        <w:t xml:space="preserve">Concurrent evidence is not one thing. </w:t>
      </w:r>
      <w:r w:rsidR="003560CA" w:rsidRPr="00876672">
        <w:rPr>
          <w:rFonts w:cs="Times New Roman"/>
          <w:lang w:val="en-GB"/>
        </w:rPr>
        <w:t>Judges, across a variety of institutions</w:t>
      </w:r>
      <w:r w:rsidR="00C310BF" w:rsidRPr="00876672">
        <w:rPr>
          <w:rFonts w:cs="Times New Roman"/>
          <w:lang w:val="en-GB"/>
        </w:rPr>
        <w:t>,</w:t>
      </w:r>
      <w:r w:rsidR="003560CA" w:rsidRPr="00876672">
        <w:rPr>
          <w:rFonts w:cs="Times New Roman"/>
          <w:lang w:val="en-GB"/>
        </w:rPr>
        <w:t xml:space="preserve"> have operationalized</w:t>
      </w:r>
      <w:r w:rsidR="00BC22D3" w:rsidRPr="00876672">
        <w:rPr>
          <w:rFonts w:cs="Times New Roman"/>
          <w:lang w:val="en-GB"/>
        </w:rPr>
        <w:t xml:space="preserve"> concurrent eviden</w:t>
      </w:r>
      <w:r w:rsidR="003560CA" w:rsidRPr="00876672">
        <w:rPr>
          <w:rFonts w:cs="Times New Roman"/>
          <w:lang w:val="en-GB"/>
        </w:rPr>
        <w:t xml:space="preserve">ce in different ways. These applications vary from </w:t>
      </w:r>
      <w:r w:rsidRPr="00876672">
        <w:rPr>
          <w:rFonts w:cs="Times New Roman"/>
          <w:lang w:val="en-GB"/>
        </w:rPr>
        <w:t xml:space="preserve">an </w:t>
      </w:r>
      <w:r w:rsidR="003560CA" w:rsidRPr="00876672">
        <w:rPr>
          <w:rFonts w:cs="Times New Roman"/>
          <w:lang w:val="en-GB"/>
        </w:rPr>
        <w:t xml:space="preserve">almost traditional </w:t>
      </w:r>
      <w:r w:rsidR="00650234">
        <w:rPr>
          <w:rFonts w:cs="Times New Roman"/>
          <w:lang w:val="en-GB"/>
        </w:rPr>
        <w:t xml:space="preserve">adversarial </w:t>
      </w:r>
      <w:r w:rsidR="003560CA" w:rsidRPr="00876672">
        <w:rPr>
          <w:rFonts w:cs="Times New Roman"/>
          <w:lang w:val="en-GB"/>
        </w:rPr>
        <w:t>questioning of expert witnesses</w:t>
      </w:r>
      <w:r w:rsidR="00E03342" w:rsidRPr="00876672">
        <w:rPr>
          <w:rFonts w:cs="Times New Roman"/>
          <w:lang w:val="en-GB"/>
        </w:rPr>
        <w:t xml:space="preserve"> </w:t>
      </w:r>
      <w:r w:rsidR="00650234">
        <w:rPr>
          <w:rFonts w:cs="Times New Roman"/>
          <w:lang w:val="en-GB"/>
        </w:rPr>
        <w:t xml:space="preserve">appearing </w:t>
      </w:r>
      <w:r w:rsidR="003560CA" w:rsidRPr="00876672">
        <w:rPr>
          <w:rFonts w:cs="Times New Roman"/>
          <w:lang w:val="en-GB"/>
        </w:rPr>
        <w:t>seriatim</w:t>
      </w:r>
      <w:r w:rsidR="00E03342" w:rsidRPr="00876672">
        <w:rPr>
          <w:rFonts w:cs="Times New Roman"/>
          <w:lang w:val="en-GB"/>
        </w:rPr>
        <w:t xml:space="preserve"> to </w:t>
      </w:r>
      <w:r w:rsidR="00E03342" w:rsidRPr="00876672">
        <w:rPr>
          <w:rFonts w:cs="Times New Roman"/>
          <w:lang w:val="en-GB"/>
        </w:rPr>
        <w:lastRenderedPageBreak/>
        <w:t>judge-</w:t>
      </w:r>
      <w:r w:rsidR="00C310BF" w:rsidRPr="00876672">
        <w:rPr>
          <w:rFonts w:cs="Times New Roman"/>
          <w:lang w:val="en-GB"/>
        </w:rPr>
        <w:t xml:space="preserve">led </w:t>
      </w:r>
      <w:r w:rsidR="00E03342" w:rsidRPr="00876672">
        <w:rPr>
          <w:rFonts w:cs="Times New Roman"/>
          <w:lang w:val="en-GB"/>
        </w:rPr>
        <w:t xml:space="preserve">questioning that leaves limited scope for the lawyers </w:t>
      </w:r>
      <w:r w:rsidR="00A219D8" w:rsidRPr="00876672">
        <w:rPr>
          <w:rFonts w:cs="Times New Roman"/>
          <w:lang w:val="en-GB"/>
        </w:rPr>
        <w:t>(</w:t>
      </w:r>
      <w:r w:rsidR="00E03342" w:rsidRPr="00876672">
        <w:rPr>
          <w:rFonts w:cs="Times New Roman"/>
          <w:lang w:val="en-GB"/>
        </w:rPr>
        <w:t>or the experts</w:t>
      </w:r>
      <w:r w:rsidR="00A219D8" w:rsidRPr="00876672">
        <w:rPr>
          <w:rFonts w:cs="Times New Roman"/>
          <w:lang w:val="en-GB"/>
        </w:rPr>
        <w:t>)</w:t>
      </w:r>
      <w:r w:rsidR="00E03342" w:rsidRPr="00876672">
        <w:rPr>
          <w:rFonts w:cs="Times New Roman"/>
          <w:lang w:val="en-GB"/>
        </w:rPr>
        <w:t xml:space="preserve"> to speak. </w:t>
      </w:r>
      <w:r w:rsidR="00250259" w:rsidRPr="00876672">
        <w:rPr>
          <w:rFonts w:cs="Times New Roman"/>
          <w:lang w:val="en-GB"/>
        </w:rPr>
        <w:t xml:space="preserve">One of the positive features of </w:t>
      </w:r>
      <w:r w:rsidR="003D0BBA" w:rsidRPr="00876672">
        <w:rPr>
          <w:rFonts w:cs="Times New Roman"/>
          <w:lang w:val="en-GB"/>
        </w:rPr>
        <w:t>a</w:t>
      </w:r>
      <w:r w:rsidR="00250259" w:rsidRPr="00876672">
        <w:rPr>
          <w:rFonts w:cs="Times New Roman"/>
          <w:lang w:val="en-GB"/>
        </w:rPr>
        <w:t xml:space="preserve"> recent review by the</w:t>
      </w:r>
      <w:r w:rsidR="00AF7AF9">
        <w:rPr>
          <w:rFonts w:cs="Times New Roman"/>
          <w:lang w:val="en-GB"/>
        </w:rPr>
        <w:t xml:space="preserve"> </w:t>
      </w:r>
      <w:r w:rsidR="00E33C51" w:rsidRPr="00876672">
        <w:rPr>
          <w:rFonts w:cs="Times New Roman"/>
          <w:lang w:val="en-GB"/>
        </w:rPr>
        <w:t>CJC</w:t>
      </w:r>
      <w:r w:rsidR="00D70091">
        <w:rPr>
          <w:rFonts w:cs="Times New Roman"/>
          <w:lang w:val="en-GB"/>
        </w:rPr>
        <w:t xml:space="preserve"> </w:t>
      </w:r>
      <w:r w:rsidR="00250259" w:rsidRPr="00876672">
        <w:rPr>
          <w:rFonts w:cs="Times New Roman"/>
          <w:lang w:val="en-GB"/>
        </w:rPr>
        <w:t xml:space="preserve">is </w:t>
      </w:r>
      <w:r w:rsidR="00D70091">
        <w:rPr>
          <w:rFonts w:cs="Times New Roman"/>
          <w:lang w:val="en-GB"/>
        </w:rPr>
        <w:t xml:space="preserve">its </w:t>
      </w:r>
      <w:r w:rsidR="00250259" w:rsidRPr="00876672">
        <w:rPr>
          <w:rFonts w:cs="Times New Roman"/>
          <w:lang w:val="en-GB"/>
        </w:rPr>
        <w:t>recognition of the diverse range of practices that fall under the banner of concurrent evidence.</w:t>
      </w:r>
      <w:r w:rsidR="00DC7962" w:rsidRPr="00876672">
        <w:rPr>
          <w:rFonts w:cs="Times New Roman"/>
          <w:lang w:val="en-GB"/>
        </w:rPr>
        <w:t xml:space="preserve"> </w:t>
      </w:r>
      <w:r w:rsidR="006E2A1A">
        <w:rPr>
          <w:rFonts w:cs="Times New Roman"/>
          <w:lang w:val="en-GB"/>
        </w:rPr>
        <w:t>T</w:t>
      </w:r>
      <w:r w:rsidR="00DC7962" w:rsidRPr="00876672">
        <w:rPr>
          <w:rFonts w:cs="Times New Roman"/>
          <w:lang w:val="en-GB"/>
        </w:rPr>
        <w:t xml:space="preserve">he </w:t>
      </w:r>
      <w:r w:rsidR="00495A02">
        <w:rPr>
          <w:rFonts w:cs="Times New Roman"/>
          <w:lang w:val="en-GB"/>
        </w:rPr>
        <w:t>CJC Report</w:t>
      </w:r>
      <w:r w:rsidR="00DC7962" w:rsidRPr="00876672">
        <w:rPr>
          <w:rFonts w:cs="Times New Roman"/>
          <w:lang w:val="en-GB"/>
        </w:rPr>
        <w:t xml:space="preserve"> explains that concurrent evidence </w:t>
      </w:r>
      <w:r w:rsidR="00E8342B">
        <w:rPr>
          <w:rFonts w:cs="Times New Roman"/>
          <w:lang w:val="en-GB"/>
        </w:rPr>
        <w:t>has assumed a variety</w:t>
      </w:r>
      <w:r w:rsidR="00DC7962" w:rsidRPr="00876672">
        <w:rPr>
          <w:rFonts w:cs="Times New Roman"/>
          <w:lang w:val="en-GB"/>
        </w:rPr>
        <w:t xml:space="preserve"> of forms, and endeavours to provide some basic nomenclature.</w:t>
      </w:r>
      <w:r w:rsidR="00DC7962" w:rsidRPr="00876672">
        <w:rPr>
          <w:rStyle w:val="FootnoteReference"/>
          <w:rFonts w:cs="Times New Roman"/>
          <w:lang w:val="en-GB"/>
        </w:rPr>
        <w:footnoteReference w:id="3"/>
      </w:r>
      <w:r w:rsidR="00DC7962" w:rsidRPr="00876672">
        <w:rPr>
          <w:rFonts w:cs="Times New Roman"/>
          <w:lang w:val="en-GB"/>
        </w:rPr>
        <w:t xml:space="preserve"> </w:t>
      </w:r>
      <w:r w:rsidR="006E2A1A" w:rsidRPr="00876672">
        <w:rPr>
          <w:rFonts w:cs="Times New Roman"/>
          <w:lang w:val="en-GB"/>
        </w:rPr>
        <w:t>To its credit t</w:t>
      </w:r>
      <w:r w:rsidR="006E2A1A">
        <w:rPr>
          <w:rFonts w:cs="Times New Roman"/>
          <w:lang w:val="en-GB"/>
        </w:rPr>
        <w:t xml:space="preserve">he </w:t>
      </w:r>
      <w:r w:rsidR="00DC7962" w:rsidRPr="00876672">
        <w:rPr>
          <w:rFonts w:cs="Times New Roman"/>
          <w:lang w:val="en-GB"/>
        </w:rPr>
        <w:t xml:space="preserve">report also recognises that it </w:t>
      </w:r>
      <w:r w:rsidR="006D07F9">
        <w:rPr>
          <w:rFonts w:cs="Times New Roman"/>
          <w:lang w:val="en-GB"/>
        </w:rPr>
        <w:t>“</w:t>
      </w:r>
      <w:r w:rsidR="00DC7962" w:rsidRPr="00876672">
        <w:rPr>
          <w:rFonts w:cs="Times New Roman"/>
          <w:lang w:val="en-GB"/>
        </w:rPr>
        <w:t xml:space="preserve">will not be for every </w:t>
      </w:r>
      <w:r w:rsidR="006D07F9" w:rsidRPr="00876672">
        <w:rPr>
          <w:rFonts w:cs="Times New Roman"/>
          <w:lang w:val="en-GB"/>
        </w:rPr>
        <w:t>case</w:t>
      </w:r>
      <w:r w:rsidR="006D07F9">
        <w:rPr>
          <w:rFonts w:cs="Times New Roman"/>
          <w:lang w:val="en-GB"/>
        </w:rPr>
        <w:t>”</w:t>
      </w:r>
      <w:r w:rsidR="00D70091">
        <w:rPr>
          <w:rFonts w:cs="Times New Roman"/>
          <w:lang w:val="en-GB"/>
        </w:rPr>
        <w:t>.</w:t>
      </w:r>
      <w:r w:rsidR="00D70091" w:rsidRPr="00876672">
        <w:rPr>
          <w:rFonts w:cs="Times New Roman"/>
          <w:lang w:val="en-GB"/>
        </w:rPr>
        <w:t xml:space="preserve"> </w:t>
      </w:r>
      <w:r w:rsidR="00D70091">
        <w:rPr>
          <w:rFonts w:cs="Times New Roman"/>
          <w:lang w:val="en-GB"/>
        </w:rPr>
        <w:t>W</w:t>
      </w:r>
      <w:r w:rsidR="006E2A1A">
        <w:rPr>
          <w:rFonts w:cs="Times New Roman"/>
          <w:lang w:val="en-GB"/>
        </w:rPr>
        <w:t>hich cases concurrent evidence is suited to, and how to identify them, is an issue to which we will return.</w:t>
      </w:r>
    </w:p>
    <w:p w14:paraId="5D06ED97" w14:textId="77777777" w:rsidR="006C1969" w:rsidRPr="00876672" w:rsidRDefault="00E03342" w:rsidP="003D0BBA">
      <w:pPr>
        <w:tabs>
          <w:tab w:val="left" w:pos="284"/>
        </w:tabs>
        <w:ind w:right="-248"/>
        <w:rPr>
          <w:rFonts w:cs="Times New Roman"/>
          <w:lang w:val="en-GB"/>
        </w:rPr>
      </w:pPr>
      <w:r w:rsidRPr="00876672">
        <w:rPr>
          <w:rFonts w:cs="Times New Roman"/>
          <w:lang w:val="en-GB"/>
        </w:rPr>
        <w:tab/>
        <w:t xml:space="preserve">The </w:t>
      </w:r>
      <w:r w:rsidR="00E33C51" w:rsidRPr="00876672">
        <w:rPr>
          <w:rFonts w:cs="Times New Roman"/>
          <w:lang w:val="en-GB"/>
        </w:rPr>
        <w:t>CJC</w:t>
      </w:r>
      <w:r w:rsidR="006E2A1A">
        <w:rPr>
          <w:rFonts w:cs="Times New Roman"/>
          <w:lang w:val="en-GB"/>
        </w:rPr>
        <w:t xml:space="preserve"> </w:t>
      </w:r>
      <w:r w:rsidR="00016A9D">
        <w:rPr>
          <w:rFonts w:cs="Times New Roman"/>
          <w:lang w:val="en-GB"/>
        </w:rPr>
        <w:t xml:space="preserve">report </w:t>
      </w:r>
      <w:r w:rsidR="00FD06B1">
        <w:rPr>
          <w:rFonts w:cs="Times New Roman"/>
          <w:lang w:val="en-GB"/>
        </w:rPr>
        <w:t>lists</w:t>
      </w:r>
      <w:r w:rsidRPr="00876672">
        <w:rPr>
          <w:rFonts w:cs="Times New Roman"/>
          <w:lang w:val="en-GB"/>
        </w:rPr>
        <w:t xml:space="preserve"> four basic types</w:t>
      </w:r>
      <w:r w:rsidR="00A219D8" w:rsidRPr="00876672">
        <w:rPr>
          <w:rFonts w:cs="Times New Roman"/>
          <w:lang w:val="en-GB"/>
        </w:rPr>
        <w:t xml:space="preserve"> of procedure</w:t>
      </w:r>
      <w:r w:rsidR="006E725C" w:rsidRPr="00876672">
        <w:rPr>
          <w:rFonts w:cs="Times New Roman"/>
          <w:lang w:val="en-GB"/>
        </w:rPr>
        <w:t>. First</w:t>
      </w:r>
      <w:r w:rsidR="001B75E5" w:rsidRPr="00876672">
        <w:rPr>
          <w:rFonts w:cs="Times New Roman"/>
          <w:lang w:val="en-GB"/>
        </w:rPr>
        <w:t xml:space="preserve"> </w:t>
      </w:r>
      <w:r w:rsidR="00A219D8" w:rsidRPr="00876672">
        <w:rPr>
          <w:rFonts w:cs="Times New Roman"/>
          <w:lang w:val="en-GB"/>
        </w:rPr>
        <w:t xml:space="preserve">is </w:t>
      </w:r>
      <w:r w:rsidR="002643CD" w:rsidRPr="00876672">
        <w:rPr>
          <w:rFonts w:cs="Times New Roman"/>
          <w:lang w:val="en-GB"/>
        </w:rPr>
        <w:t>sequential</w:t>
      </w:r>
      <w:r w:rsidR="001B75E5" w:rsidRPr="00876672">
        <w:rPr>
          <w:rFonts w:cs="Times New Roman"/>
          <w:lang w:val="en-GB"/>
        </w:rPr>
        <w:t>,</w:t>
      </w:r>
      <w:r w:rsidR="002643CD" w:rsidRPr="00876672">
        <w:rPr>
          <w:rFonts w:cs="Times New Roman"/>
          <w:lang w:val="en-GB"/>
        </w:rPr>
        <w:t xml:space="preserve"> </w:t>
      </w:r>
      <w:r w:rsidR="001B75E5" w:rsidRPr="00876672">
        <w:rPr>
          <w:rFonts w:cs="Times New Roman"/>
          <w:lang w:val="en-GB"/>
        </w:rPr>
        <w:t xml:space="preserve">or back to back, </w:t>
      </w:r>
      <w:r w:rsidR="00E8342B">
        <w:rPr>
          <w:rFonts w:cs="Times New Roman"/>
          <w:lang w:val="en-GB"/>
        </w:rPr>
        <w:t xml:space="preserve">expert </w:t>
      </w:r>
      <w:r w:rsidR="001B75E5" w:rsidRPr="00876672">
        <w:rPr>
          <w:rFonts w:cs="Times New Roman"/>
          <w:lang w:val="en-GB"/>
        </w:rPr>
        <w:t>evidence</w:t>
      </w:r>
      <w:r w:rsidR="002643CD" w:rsidRPr="00876672">
        <w:rPr>
          <w:rFonts w:cs="Times New Roman"/>
          <w:lang w:val="en-GB"/>
        </w:rPr>
        <w:t>.</w:t>
      </w:r>
      <w:r w:rsidR="001B75E5" w:rsidRPr="00876672">
        <w:rPr>
          <w:rFonts w:cs="Times New Roman"/>
          <w:lang w:val="en-GB"/>
        </w:rPr>
        <w:t xml:space="preserve"> </w:t>
      </w:r>
      <w:r w:rsidR="00016A9D">
        <w:rPr>
          <w:rFonts w:cs="Times New Roman"/>
          <w:lang w:val="en-GB"/>
        </w:rPr>
        <w:t>E</w:t>
      </w:r>
      <w:r w:rsidR="001B75E5" w:rsidRPr="00876672">
        <w:rPr>
          <w:rFonts w:cs="Times New Roman"/>
          <w:lang w:val="en-GB"/>
        </w:rPr>
        <w:t>ach expert is called individually, cross-examined and re-examined in the usual manner. The twist comes from calling all</w:t>
      </w:r>
      <w:r w:rsidR="00B211E9" w:rsidRPr="00876672">
        <w:rPr>
          <w:rFonts w:cs="Times New Roman"/>
          <w:lang w:val="en-GB"/>
        </w:rPr>
        <w:t xml:space="preserve"> of</w:t>
      </w:r>
      <w:r w:rsidR="001B75E5" w:rsidRPr="00876672">
        <w:rPr>
          <w:rFonts w:cs="Times New Roman"/>
          <w:lang w:val="en-GB"/>
        </w:rPr>
        <w:t xml:space="preserve"> </w:t>
      </w:r>
      <w:r w:rsidR="00B211E9" w:rsidRPr="00876672">
        <w:rPr>
          <w:rFonts w:cs="Times New Roman"/>
          <w:lang w:val="en-GB"/>
        </w:rPr>
        <w:t xml:space="preserve">the </w:t>
      </w:r>
      <w:r w:rsidR="001B75E5" w:rsidRPr="00876672">
        <w:rPr>
          <w:rFonts w:cs="Times New Roman"/>
          <w:lang w:val="en-GB"/>
        </w:rPr>
        <w:t>experts on a specific topic or set of topics to appear sequentially.</w:t>
      </w:r>
      <w:r w:rsidR="002A1AEE" w:rsidRPr="00876672">
        <w:rPr>
          <w:rStyle w:val="FootnoteReference"/>
          <w:rFonts w:cs="Times New Roman"/>
          <w:lang w:val="en-GB"/>
        </w:rPr>
        <w:footnoteReference w:id="4"/>
      </w:r>
      <w:r w:rsidR="00F17113" w:rsidRPr="00876672">
        <w:rPr>
          <w:rFonts w:cs="Times New Roman"/>
          <w:lang w:val="en-GB"/>
        </w:rPr>
        <w:t xml:space="preserve"> This has been common practice in </w:t>
      </w:r>
      <w:r w:rsidR="00A219D8" w:rsidRPr="00876672">
        <w:rPr>
          <w:rFonts w:cs="Times New Roman"/>
          <w:lang w:val="en-GB"/>
        </w:rPr>
        <w:t xml:space="preserve">some </w:t>
      </w:r>
      <w:r w:rsidR="00F17113" w:rsidRPr="00876672">
        <w:rPr>
          <w:rFonts w:cs="Times New Roman"/>
          <w:lang w:val="en-GB"/>
        </w:rPr>
        <w:t>English civil courts for years.</w:t>
      </w:r>
      <w:r w:rsidR="006C1969" w:rsidRPr="00876672">
        <w:rPr>
          <w:rFonts w:cs="Times New Roman"/>
          <w:lang w:val="en-GB"/>
        </w:rPr>
        <w:t xml:space="preserve"> </w:t>
      </w:r>
      <w:r w:rsidR="00016A9D">
        <w:rPr>
          <w:rFonts w:cs="Times New Roman"/>
          <w:lang w:val="en-GB"/>
        </w:rPr>
        <w:t>It is not strictly a form of concurrent evidence and the CPRC Committee decided in the interests of clarity not to refer to it as such.</w:t>
      </w:r>
      <w:r w:rsidR="00016A9D">
        <w:rPr>
          <w:rStyle w:val="FootnoteReference"/>
          <w:rFonts w:cs="Times New Roman"/>
          <w:lang w:val="en-GB"/>
        </w:rPr>
        <w:footnoteReference w:id="5"/>
      </w:r>
    </w:p>
    <w:p w14:paraId="6DD5A394" w14:textId="421B595A" w:rsidR="00431D62" w:rsidRPr="00876672" w:rsidRDefault="001D312C" w:rsidP="003D0BBA">
      <w:pPr>
        <w:tabs>
          <w:tab w:val="left" w:pos="284"/>
        </w:tabs>
        <w:ind w:right="-248"/>
        <w:rPr>
          <w:rFonts w:cs="Times New Roman"/>
          <w:lang w:val="en-GB"/>
        </w:rPr>
      </w:pPr>
      <w:r w:rsidRPr="00876672">
        <w:rPr>
          <w:rFonts w:cs="Times New Roman"/>
          <w:lang w:val="en-GB"/>
        </w:rPr>
        <w:tab/>
        <w:t xml:space="preserve">The second type </w:t>
      </w:r>
      <w:r w:rsidR="00A92EAF" w:rsidRPr="00876672">
        <w:rPr>
          <w:rFonts w:cs="Times New Roman"/>
          <w:lang w:val="en-GB"/>
        </w:rPr>
        <w:t xml:space="preserve">of concurrent evidence </w:t>
      </w:r>
      <w:r w:rsidRPr="00876672">
        <w:rPr>
          <w:rFonts w:cs="Times New Roman"/>
          <w:lang w:val="en-GB"/>
        </w:rPr>
        <w:t xml:space="preserve">involves a process where the experts appear together and the trial judge leads the oral examination. This is characterised as </w:t>
      </w:r>
      <w:r w:rsidR="00087DA6">
        <w:rPr>
          <w:rFonts w:cs="Times New Roman"/>
          <w:lang w:val="en-GB"/>
        </w:rPr>
        <w:t>“</w:t>
      </w:r>
      <w:r w:rsidRPr="00876672">
        <w:rPr>
          <w:rFonts w:cs="Times New Roman"/>
          <w:lang w:val="en-GB"/>
        </w:rPr>
        <w:t xml:space="preserve">Hot-tubbing (or </w:t>
      </w:r>
      <w:r w:rsidR="00087DA6">
        <w:rPr>
          <w:rFonts w:cs="Times New Roman"/>
          <w:lang w:val="en-GB"/>
        </w:rPr>
        <w:t>‘</w:t>
      </w:r>
      <w:r w:rsidRPr="00876672">
        <w:rPr>
          <w:rFonts w:cs="Times New Roman"/>
          <w:lang w:val="en-GB"/>
        </w:rPr>
        <w:t>judge-led joint examination of experts (JJEE</w:t>
      </w:r>
      <w:r w:rsidR="00087DA6" w:rsidRPr="00876672">
        <w:rPr>
          <w:rFonts w:cs="Times New Roman"/>
          <w:lang w:val="en-GB"/>
        </w:rPr>
        <w:t>)</w:t>
      </w:r>
      <w:r w:rsidR="00087DA6">
        <w:rPr>
          <w:rFonts w:cs="Times New Roman"/>
          <w:lang w:val="en-GB"/>
        </w:rPr>
        <w:t>’</w:t>
      </w:r>
      <w:r w:rsidR="00087DA6" w:rsidRPr="00876672">
        <w:rPr>
          <w:rFonts w:cs="Times New Roman"/>
          <w:lang w:val="en-GB"/>
        </w:rPr>
        <w:t>)</w:t>
      </w:r>
      <w:r w:rsidR="00087DA6">
        <w:rPr>
          <w:rFonts w:cs="Times New Roman"/>
          <w:lang w:val="en-GB"/>
        </w:rPr>
        <w:t>”</w:t>
      </w:r>
      <w:r w:rsidRPr="00876672">
        <w:rPr>
          <w:rFonts w:cs="Times New Roman"/>
          <w:lang w:val="en-GB"/>
        </w:rPr>
        <w:t>.</w:t>
      </w:r>
      <w:r w:rsidR="002A1CD8" w:rsidRPr="00876672">
        <w:rPr>
          <w:rStyle w:val="FootnoteReference"/>
          <w:rFonts w:cs="Times New Roman"/>
          <w:lang w:val="en-GB"/>
        </w:rPr>
        <w:footnoteReference w:id="6"/>
      </w:r>
      <w:r w:rsidRPr="00876672">
        <w:rPr>
          <w:rFonts w:cs="Times New Roman"/>
          <w:lang w:val="en-GB"/>
        </w:rPr>
        <w:t xml:space="preserve"> In JJEE the</w:t>
      </w:r>
      <w:r w:rsidR="00250259" w:rsidRPr="00876672">
        <w:rPr>
          <w:rFonts w:cs="Times New Roman"/>
          <w:lang w:val="en-GB"/>
        </w:rPr>
        <w:t xml:space="preserve"> trial</w:t>
      </w:r>
      <w:r w:rsidRPr="00876672">
        <w:rPr>
          <w:rFonts w:cs="Times New Roman"/>
          <w:lang w:val="en-GB"/>
        </w:rPr>
        <w:t xml:space="preserve"> judge may assume the role of </w:t>
      </w:r>
      <w:r w:rsidR="006D07F9">
        <w:rPr>
          <w:rFonts w:cs="Times New Roman"/>
          <w:lang w:val="en-GB"/>
        </w:rPr>
        <w:t>“</w:t>
      </w:r>
      <w:r w:rsidRPr="00876672">
        <w:rPr>
          <w:rFonts w:cs="Times New Roman"/>
          <w:lang w:val="en-GB"/>
        </w:rPr>
        <w:t>chief examiner</w:t>
      </w:r>
      <w:r w:rsidR="006D07F9">
        <w:rPr>
          <w:rFonts w:cs="Times New Roman"/>
          <w:lang w:val="en-GB"/>
        </w:rPr>
        <w:t>”</w:t>
      </w:r>
      <w:r w:rsidRPr="00876672">
        <w:rPr>
          <w:rFonts w:cs="Times New Roman"/>
          <w:lang w:val="en-GB"/>
        </w:rPr>
        <w:t xml:space="preserve"> or adopt a more </w:t>
      </w:r>
      <w:r w:rsidR="00DC318F" w:rsidRPr="00876672">
        <w:rPr>
          <w:rFonts w:cs="Times New Roman"/>
          <w:lang w:val="en-GB"/>
        </w:rPr>
        <w:t>passive approach. The judge will often</w:t>
      </w:r>
      <w:r w:rsidR="005D740A" w:rsidRPr="00876672">
        <w:rPr>
          <w:rFonts w:cs="Times New Roman"/>
          <w:lang w:val="en-GB"/>
        </w:rPr>
        <w:t xml:space="preserve"> ask questions, may invite the experts to comment on</w:t>
      </w:r>
      <w:r w:rsidR="00043C78" w:rsidRPr="00876672">
        <w:rPr>
          <w:rFonts w:cs="Times New Roman"/>
          <w:lang w:val="en-GB"/>
        </w:rPr>
        <w:t xml:space="preserve"> the</w:t>
      </w:r>
      <w:r w:rsidR="005D740A" w:rsidRPr="00876672">
        <w:rPr>
          <w:rFonts w:cs="Times New Roman"/>
          <w:lang w:val="en-GB"/>
        </w:rPr>
        <w:t xml:space="preserve"> answers</w:t>
      </w:r>
      <w:r w:rsidR="00043C78" w:rsidRPr="00876672">
        <w:rPr>
          <w:rFonts w:cs="Times New Roman"/>
          <w:lang w:val="en-GB"/>
        </w:rPr>
        <w:t xml:space="preserve"> of other experts, and may also provide an opportunity for the lawyers to examine on issues that have not previously been canvassed. This active style of judging, more akin to inquisitorial procedures,</w:t>
      </w:r>
      <w:r w:rsidR="002A1CD8" w:rsidRPr="00876672">
        <w:rPr>
          <w:rFonts w:cs="Times New Roman"/>
          <w:lang w:val="en-GB"/>
        </w:rPr>
        <w:t xml:space="preserve"> requires the trial judge to dedicate considerable time to preparation</w:t>
      </w:r>
      <w:r w:rsidR="00E8342B">
        <w:rPr>
          <w:rFonts w:cs="Times New Roman"/>
          <w:lang w:val="en-GB"/>
        </w:rPr>
        <w:t xml:space="preserve"> and management</w:t>
      </w:r>
      <w:r w:rsidR="002A1CD8" w:rsidRPr="00876672">
        <w:rPr>
          <w:rFonts w:cs="Times New Roman"/>
          <w:lang w:val="en-GB"/>
        </w:rPr>
        <w:t>.</w:t>
      </w:r>
    </w:p>
    <w:p w14:paraId="37F149EB" w14:textId="5E63EE4F" w:rsidR="00AB4C35" w:rsidRDefault="00520B27">
      <w:pPr>
        <w:tabs>
          <w:tab w:val="left" w:pos="284"/>
        </w:tabs>
        <w:ind w:right="-248"/>
        <w:rPr>
          <w:rFonts w:cs="Times New Roman"/>
          <w:lang w:val="en-GB"/>
        </w:rPr>
      </w:pPr>
      <w:r>
        <w:rPr>
          <w:rFonts w:cs="Times New Roman"/>
          <w:lang w:val="en-GB"/>
        </w:rPr>
        <w:tab/>
      </w:r>
      <w:r w:rsidR="002A1CD8" w:rsidRPr="00876672">
        <w:rPr>
          <w:rFonts w:cs="Times New Roman"/>
          <w:lang w:val="en-GB"/>
        </w:rPr>
        <w:t xml:space="preserve">Thirdly, there </w:t>
      </w:r>
      <w:r w:rsidR="00431D62" w:rsidRPr="00876672">
        <w:rPr>
          <w:rFonts w:cs="Times New Roman"/>
          <w:lang w:val="en-GB"/>
        </w:rPr>
        <w:t xml:space="preserve">is </w:t>
      </w:r>
      <w:r w:rsidR="002A1CD8" w:rsidRPr="00876672">
        <w:rPr>
          <w:rFonts w:cs="Times New Roman"/>
          <w:lang w:val="en-GB"/>
        </w:rPr>
        <w:t xml:space="preserve">a </w:t>
      </w:r>
      <w:r w:rsidR="00431D62" w:rsidRPr="00876672">
        <w:rPr>
          <w:rFonts w:cs="Times New Roman"/>
          <w:lang w:val="en-GB"/>
        </w:rPr>
        <w:t>hybrid</w:t>
      </w:r>
      <w:r w:rsidR="002A1CD8" w:rsidRPr="00876672">
        <w:rPr>
          <w:rFonts w:cs="Times New Roman"/>
          <w:lang w:val="en-GB"/>
        </w:rPr>
        <w:t xml:space="preserve"> version of concurrent evidence</w:t>
      </w:r>
      <w:r w:rsidR="00431D62" w:rsidRPr="00876672">
        <w:rPr>
          <w:rFonts w:cs="Times New Roman"/>
          <w:lang w:val="en-GB"/>
        </w:rPr>
        <w:t>.</w:t>
      </w:r>
      <w:r w:rsidR="002A1CD8" w:rsidRPr="00876672">
        <w:rPr>
          <w:rFonts w:cs="Times New Roman"/>
          <w:lang w:val="en-GB"/>
        </w:rPr>
        <w:t xml:space="preserve"> In reality, the third form ma</w:t>
      </w:r>
      <w:r w:rsidR="00B211E9" w:rsidRPr="00876672">
        <w:rPr>
          <w:rFonts w:cs="Times New Roman"/>
          <w:lang w:val="en-GB"/>
        </w:rPr>
        <w:t xml:space="preserve">y subsume JJEE, as it </w:t>
      </w:r>
      <w:r w:rsidR="00A92EAF" w:rsidRPr="00876672">
        <w:rPr>
          <w:rFonts w:cs="Times New Roman"/>
          <w:lang w:val="en-GB"/>
        </w:rPr>
        <w:t xml:space="preserve">accommodates </w:t>
      </w:r>
      <w:r w:rsidR="002A1CD8" w:rsidRPr="00876672">
        <w:rPr>
          <w:rFonts w:cs="Times New Roman"/>
          <w:lang w:val="en-GB"/>
        </w:rPr>
        <w:t xml:space="preserve">the </w:t>
      </w:r>
      <w:r w:rsidR="006D07F9">
        <w:rPr>
          <w:rFonts w:cs="Times New Roman"/>
          <w:lang w:val="en-GB"/>
        </w:rPr>
        <w:t>“</w:t>
      </w:r>
      <w:r w:rsidR="002A1CD8" w:rsidRPr="00876672">
        <w:rPr>
          <w:rFonts w:cs="Times New Roman"/>
          <w:lang w:val="en-GB"/>
        </w:rPr>
        <w:t>great many variations</w:t>
      </w:r>
      <w:r w:rsidR="006D07F9">
        <w:rPr>
          <w:rFonts w:cs="Times New Roman"/>
          <w:lang w:val="en-GB"/>
        </w:rPr>
        <w:t>”</w:t>
      </w:r>
      <w:r w:rsidR="001F101E" w:rsidRPr="00876672">
        <w:rPr>
          <w:rFonts w:cs="Times New Roman"/>
          <w:lang w:val="en-GB"/>
        </w:rPr>
        <w:t xml:space="preserve"> in the way concurrent evidence has </w:t>
      </w:r>
      <w:r w:rsidR="00FD06B1">
        <w:rPr>
          <w:rFonts w:cs="Times New Roman"/>
          <w:lang w:val="en-GB"/>
        </w:rPr>
        <w:t>manifested</w:t>
      </w:r>
      <w:r w:rsidR="005E3381" w:rsidRPr="00876672">
        <w:rPr>
          <w:rFonts w:cs="Times New Roman"/>
          <w:lang w:val="en-GB"/>
        </w:rPr>
        <w:t xml:space="preserve"> </w:t>
      </w:r>
      <w:r w:rsidR="001F101E" w:rsidRPr="00876672">
        <w:rPr>
          <w:rFonts w:cs="Times New Roman"/>
          <w:lang w:val="en-GB"/>
        </w:rPr>
        <w:t>in English courtrooms since 2013.</w:t>
      </w:r>
      <w:r w:rsidR="00AF451C" w:rsidRPr="00876672">
        <w:rPr>
          <w:rFonts w:cs="Times New Roman"/>
          <w:lang w:val="en-GB"/>
        </w:rPr>
        <w:t xml:space="preserve"> Some of the resulting </w:t>
      </w:r>
      <w:r w:rsidR="006D07F9">
        <w:rPr>
          <w:rFonts w:cs="Times New Roman"/>
          <w:lang w:val="en-GB"/>
        </w:rPr>
        <w:t>“</w:t>
      </w:r>
      <w:r w:rsidR="006D07F9" w:rsidRPr="00876672">
        <w:rPr>
          <w:rFonts w:cs="Times New Roman"/>
          <w:lang w:val="en-GB"/>
        </w:rPr>
        <w:t>hybrid</w:t>
      </w:r>
      <w:r w:rsidR="006D07F9">
        <w:rPr>
          <w:rFonts w:cs="Times New Roman"/>
          <w:lang w:val="en-GB"/>
        </w:rPr>
        <w:t>”</w:t>
      </w:r>
      <w:r w:rsidR="006D07F9" w:rsidRPr="00876672">
        <w:rPr>
          <w:rFonts w:cs="Times New Roman"/>
          <w:lang w:val="en-GB"/>
        </w:rPr>
        <w:t xml:space="preserve"> </w:t>
      </w:r>
      <w:r w:rsidR="00AF451C" w:rsidRPr="00876672">
        <w:rPr>
          <w:rFonts w:cs="Times New Roman"/>
          <w:lang w:val="en-GB"/>
        </w:rPr>
        <w:t>forms include: variations in the role</w:t>
      </w:r>
      <w:r w:rsidR="00C627C9" w:rsidRPr="00876672">
        <w:rPr>
          <w:rFonts w:cs="Times New Roman"/>
          <w:lang w:val="en-GB"/>
        </w:rPr>
        <w:t>s</w:t>
      </w:r>
      <w:r w:rsidR="00AF451C" w:rsidRPr="00876672">
        <w:rPr>
          <w:rFonts w:cs="Times New Roman"/>
          <w:lang w:val="en-GB"/>
        </w:rPr>
        <w:t xml:space="preserve"> played by counsel; variations in the </w:t>
      </w:r>
      <w:r w:rsidR="00AB4C35">
        <w:rPr>
          <w:rFonts w:cs="Times New Roman"/>
          <w:lang w:val="en-GB"/>
        </w:rPr>
        <w:t>extent of direct discussion</w:t>
      </w:r>
      <w:r w:rsidR="00B211E9" w:rsidRPr="00876672">
        <w:rPr>
          <w:rFonts w:cs="Times New Roman"/>
          <w:lang w:val="en-GB"/>
        </w:rPr>
        <w:t xml:space="preserve"> </w:t>
      </w:r>
      <w:r w:rsidR="00AF451C" w:rsidRPr="00876672">
        <w:rPr>
          <w:rFonts w:cs="Times New Roman"/>
          <w:lang w:val="en-GB"/>
        </w:rPr>
        <w:t>between expert witnesses; and variations in the level of participation by the trial judge.</w:t>
      </w:r>
      <w:r w:rsidR="00AF451C" w:rsidRPr="00876672">
        <w:rPr>
          <w:rStyle w:val="FootnoteReference"/>
          <w:rFonts w:cs="Times New Roman"/>
          <w:lang w:val="en-GB"/>
        </w:rPr>
        <w:footnoteReference w:id="7"/>
      </w:r>
      <w:r w:rsidR="007A219E" w:rsidRPr="00876672">
        <w:rPr>
          <w:rFonts w:cs="Times New Roman"/>
          <w:lang w:val="en-GB"/>
        </w:rPr>
        <w:t xml:space="preserve"> </w:t>
      </w:r>
    </w:p>
    <w:p w14:paraId="3EAD9E9A" w14:textId="21BD4430" w:rsidR="00C627C9" w:rsidRPr="00AB4C35" w:rsidRDefault="00AB4C35">
      <w:pPr>
        <w:tabs>
          <w:tab w:val="left" w:pos="284"/>
        </w:tabs>
        <w:ind w:right="-248"/>
        <w:rPr>
          <w:rFonts w:cs="Times New Roman"/>
          <w:lang w:val="en-GB"/>
        </w:rPr>
      </w:pPr>
      <w:r>
        <w:rPr>
          <w:rFonts w:cs="Times New Roman"/>
          <w:lang w:val="en-GB"/>
        </w:rPr>
        <w:tab/>
        <w:t xml:space="preserve">The amended Practice Direction treats </w:t>
      </w:r>
      <w:r w:rsidR="004C3649">
        <w:rPr>
          <w:rFonts w:cs="Times New Roman"/>
          <w:lang w:val="en-GB"/>
        </w:rPr>
        <w:t>JJEE</w:t>
      </w:r>
      <w:r>
        <w:rPr>
          <w:rFonts w:cs="Times New Roman"/>
          <w:lang w:val="en-GB"/>
        </w:rPr>
        <w:t xml:space="preserve"> as the standard procedure: </w:t>
      </w:r>
      <w:r w:rsidR="006D07F9">
        <w:rPr>
          <w:rFonts w:cs="Times New Roman"/>
          <w:lang w:val="en-GB"/>
        </w:rPr>
        <w:t>“</w:t>
      </w:r>
      <w:r>
        <w:rPr>
          <w:rFonts w:cs="Times New Roman"/>
          <w:lang w:val="en-GB"/>
        </w:rPr>
        <w:t xml:space="preserve">the judge </w:t>
      </w:r>
      <w:r>
        <w:rPr>
          <w:rFonts w:cs="Times New Roman"/>
          <w:i/>
          <w:lang w:val="en-GB"/>
        </w:rPr>
        <w:t xml:space="preserve">will </w:t>
      </w:r>
      <w:r>
        <w:rPr>
          <w:rFonts w:cs="Times New Roman"/>
          <w:lang w:val="en-GB"/>
        </w:rPr>
        <w:t xml:space="preserve">initiate the </w:t>
      </w:r>
      <w:r w:rsidR="006D07F9">
        <w:rPr>
          <w:rFonts w:cs="Times New Roman"/>
          <w:lang w:val="en-GB"/>
        </w:rPr>
        <w:t xml:space="preserve">discussion” </w:t>
      </w:r>
      <w:r>
        <w:rPr>
          <w:rFonts w:cs="Times New Roman"/>
          <w:lang w:val="en-GB"/>
        </w:rPr>
        <w:t xml:space="preserve">of each point on an agenda set or approved by the court, and </w:t>
      </w:r>
      <w:r>
        <w:rPr>
          <w:rFonts w:cs="Times New Roman"/>
          <w:i/>
          <w:lang w:val="en-GB"/>
        </w:rPr>
        <w:t xml:space="preserve">may </w:t>
      </w:r>
      <w:r>
        <w:rPr>
          <w:rFonts w:cs="Times New Roman"/>
          <w:lang w:val="en-GB"/>
        </w:rPr>
        <w:t>ask further questions of each witness before any questioning by counsel.</w:t>
      </w:r>
      <w:r w:rsidR="00E771E6">
        <w:rPr>
          <w:rStyle w:val="FootnoteReference"/>
          <w:rFonts w:cs="Times New Roman"/>
          <w:lang w:val="en-GB"/>
        </w:rPr>
        <w:footnoteReference w:id="8"/>
      </w:r>
      <w:r>
        <w:rPr>
          <w:rFonts w:cs="Times New Roman"/>
          <w:lang w:val="en-GB"/>
        </w:rPr>
        <w:t xml:space="preserve"> The judge, however, retains a discretion to adopt any of the </w:t>
      </w:r>
      <w:r w:rsidR="006D07F9">
        <w:rPr>
          <w:rFonts w:cs="Times New Roman"/>
          <w:lang w:val="en-GB"/>
        </w:rPr>
        <w:t xml:space="preserve">“hybrid” </w:t>
      </w:r>
      <w:r>
        <w:rPr>
          <w:rFonts w:cs="Times New Roman"/>
          <w:lang w:val="en-GB"/>
        </w:rPr>
        <w:t>versions of concurrent evidence, or a sequential, issue-by-issue approach, or some combination of these procedures.</w:t>
      </w:r>
    </w:p>
    <w:p w14:paraId="25AA58CE" w14:textId="488E2A6B" w:rsidR="00431D62" w:rsidRPr="00876672" w:rsidRDefault="00431D62" w:rsidP="003D0BBA">
      <w:pPr>
        <w:tabs>
          <w:tab w:val="left" w:pos="284"/>
        </w:tabs>
        <w:ind w:right="-248"/>
        <w:rPr>
          <w:rFonts w:cs="Times New Roman"/>
          <w:lang w:val="en-GB"/>
        </w:rPr>
      </w:pPr>
      <w:r w:rsidRPr="00876672">
        <w:rPr>
          <w:rFonts w:cs="Times New Roman"/>
          <w:lang w:val="en-GB"/>
        </w:rPr>
        <w:tab/>
        <w:t xml:space="preserve">Finally, the </w:t>
      </w:r>
      <w:r w:rsidR="00826C13">
        <w:rPr>
          <w:rFonts w:cs="Times New Roman"/>
          <w:lang w:val="en-GB"/>
        </w:rPr>
        <w:t xml:space="preserve">CJC </w:t>
      </w:r>
      <w:r w:rsidR="00AF7AF9">
        <w:rPr>
          <w:rFonts w:cs="Times New Roman"/>
          <w:lang w:val="en-GB"/>
        </w:rPr>
        <w:t>R</w:t>
      </w:r>
      <w:r w:rsidRPr="00876672">
        <w:rPr>
          <w:rFonts w:cs="Times New Roman"/>
          <w:lang w:val="en-GB"/>
        </w:rPr>
        <w:t>eport includes</w:t>
      </w:r>
      <w:r w:rsidR="000575E6" w:rsidRPr="00876672">
        <w:rPr>
          <w:rFonts w:cs="Times New Roman"/>
          <w:lang w:val="en-GB"/>
        </w:rPr>
        <w:t xml:space="preserve"> reference to</w:t>
      </w:r>
      <w:r w:rsidRPr="00876672">
        <w:rPr>
          <w:rFonts w:cs="Times New Roman"/>
          <w:lang w:val="en-GB"/>
        </w:rPr>
        <w:t xml:space="preserve"> a </w:t>
      </w:r>
      <w:r w:rsidR="006D07F9">
        <w:rPr>
          <w:rFonts w:cs="Times New Roman"/>
          <w:lang w:val="en-GB"/>
        </w:rPr>
        <w:t>“</w:t>
      </w:r>
      <w:r w:rsidRPr="00876672">
        <w:rPr>
          <w:rFonts w:cs="Times New Roman"/>
          <w:lang w:val="en-GB"/>
        </w:rPr>
        <w:t xml:space="preserve">teach </w:t>
      </w:r>
      <w:r w:rsidR="006D07F9" w:rsidRPr="00876672">
        <w:rPr>
          <w:rFonts w:cs="Times New Roman"/>
          <w:lang w:val="en-GB"/>
        </w:rPr>
        <w:t>in</w:t>
      </w:r>
      <w:r w:rsidR="006D07F9">
        <w:rPr>
          <w:rFonts w:cs="Times New Roman"/>
          <w:lang w:val="en-GB"/>
        </w:rPr>
        <w:t>”</w:t>
      </w:r>
      <w:r w:rsidR="006D07F9" w:rsidRPr="00876672">
        <w:rPr>
          <w:rFonts w:cs="Times New Roman"/>
          <w:lang w:val="en-GB"/>
        </w:rPr>
        <w:t xml:space="preserve"> </w:t>
      </w:r>
      <w:r w:rsidR="00870C20" w:rsidRPr="00876672">
        <w:rPr>
          <w:rFonts w:cs="Times New Roman"/>
          <w:lang w:val="en-GB"/>
        </w:rPr>
        <w:t>session.</w:t>
      </w:r>
      <w:r w:rsidR="00870C20" w:rsidRPr="00876672">
        <w:rPr>
          <w:rStyle w:val="FootnoteReference"/>
          <w:rFonts w:cs="Times New Roman"/>
          <w:lang w:val="en-GB"/>
        </w:rPr>
        <w:footnoteReference w:id="9"/>
      </w:r>
      <w:r w:rsidR="00DF6813" w:rsidRPr="00876672">
        <w:rPr>
          <w:rFonts w:cs="Times New Roman"/>
          <w:lang w:val="en-GB"/>
        </w:rPr>
        <w:t xml:space="preserve"> This is an opportunity for the parties’ experts (or a neutral scientific advisor) to offer explanation on technical issues a</w:t>
      </w:r>
      <w:r w:rsidR="00870C20" w:rsidRPr="00876672">
        <w:rPr>
          <w:rFonts w:cs="Times New Roman"/>
          <w:lang w:val="en-GB"/>
        </w:rPr>
        <w:t>rising in the case. It is charac</w:t>
      </w:r>
      <w:r w:rsidR="00DF6813" w:rsidRPr="00876672">
        <w:rPr>
          <w:rFonts w:cs="Times New Roman"/>
          <w:lang w:val="en-GB"/>
        </w:rPr>
        <w:t>t</w:t>
      </w:r>
      <w:r w:rsidR="00870C20" w:rsidRPr="00876672">
        <w:rPr>
          <w:rFonts w:cs="Times New Roman"/>
          <w:lang w:val="en-GB"/>
        </w:rPr>
        <w:t>er</w:t>
      </w:r>
      <w:r w:rsidR="00DF6813" w:rsidRPr="00876672">
        <w:rPr>
          <w:rFonts w:cs="Times New Roman"/>
          <w:lang w:val="en-GB"/>
        </w:rPr>
        <w:t xml:space="preserve">ised as a </w:t>
      </w:r>
      <w:r w:rsidR="006D07F9">
        <w:rPr>
          <w:rFonts w:cs="Times New Roman"/>
          <w:lang w:val="en-GB"/>
        </w:rPr>
        <w:t>“</w:t>
      </w:r>
      <w:r w:rsidR="00DF6813" w:rsidRPr="00876672">
        <w:rPr>
          <w:rFonts w:cs="Times New Roman"/>
          <w:lang w:val="en-GB"/>
        </w:rPr>
        <w:t>tutorial</w:t>
      </w:r>
      <w:r w:rsidR="006D07F9">
        <w:rPr>
          <w:rFonts w:cs="Times New Roman"/>
          <w:lang w:val="en-GB"/>
        </w:rPr>
        <w:t>”</w:t>
      </w:r>
      <w:r w:rsidR="00DF6813" w:rsidRPr="00876672">
        <w:rPr>
          <w:rFonts w:cs="Times New Roman"/>
          <w:lang w:val="en-GB"/>
        </w:rPr>
        <w:t xml:space="preserve"> offered at an early stage to assist the judge with the</w:t>
      </w:r>
      <w:r w:rsidR="00F14854" w:rsidRPr="00876672">
        <w:rPr>
          <w:rFonts w:cs="Times New Roman"/>
          <w:lang w:val="en-GB"/>
        </w:rPr>
        <w:t xml:space="preserve"> technical detail, terminology and complexity. </w:t>
      </w:r>
      <w:r w:rsidR="00870C20" w:rsidRPr="00876672">
        <w:rPr>
          <w:rFonts w:cs="Times New Roman"/>
          <w:lang w:val="en-GB"/>
        </w:rPr>
        <w:t xml:space="preserve">The </w:t>
      </w:r>
      <w:r w:rsidR="006D07F9">
        <w:rPr>
          <w:rFonts w:cs="Times New Roman"/>
          <w:lang w:val="en-GB"/>
        </w:rPr>
        <w:t>“</w:t>
      </w:r>
      <w:r w:rsidR="00870C20" w:rsidRPr="00876672">
        <w:rPr>
          <w:rFonts w:cs="Times New Roman"/>
          <w:lang w:val="en-GB"/>
        </w:rPr>
        <w:t>basic seminar</w:t>
      </w:r>
      <w:r w:rsidR="006D07F9">
        <w:rPr>
          <w:rFonts w:cs="Times New Roman"/>
          <w:lang w:val="en-GB"/>
        </w:rPr>
        <w:t>”</w:t>
      </w:r>
      <w:r w:rsidR="00870C20" w:rsidRPr="00876672">
        <w:rPr>
          <w:rFonts w:cs="Times New Roman"/>
          <w:lang w:val="en-GB"/>
        </w:rPr>
        <w:t xml:space="preserve"> focuses on the </w:t>
      </w:r>
      <w:r w:rsidR="00CA5DA1" w:rsidRPr="00876672">
        <w:rPr>
          <w:rFonts w:cs="Times New Roman"/>
          <w:lang w:val="en-GB"/>
        </w:rPr>
        <w:t xml:space="preserve">subject matter and any </w:t>
      </w:r>
      <w:r w:rsidR="00870C20" w:rsidRPr="00876672">
        <w:rPr>
          <w:rFonts w:cs="Times New Roman"/>
          <w:lang w:val="en-GB"/>
        </w:rPr>
        <w:t xml:space="preserve">technicalities rather than the </w:t>
      </w:r>
      <w:r w:rsidR="006D07F9">
        <w:rPr>
          <w:rFonts w:cs="Times New Roman"/>
          <w:lang w:val="en-GB"/>
        </w:rPr>
        <w:t>“</w:t>
      </w:r>
      <w:r w:rsidR="00870C20" w:rsidRPr="00876672">
        <w:rPr>
          <w:rFonts w:cs="Times New Roman"/>
          <w:lang w:val="en-GB"/>
        </w:rPr>
        <w:t xml:space="preserve">expert evidence on the dispute </w:t>
      </w:r>
      <w:r w:rsidR="006D07F9" w:rsidRPr="00876672">
        <w:rPr>
          <w:rFonts w:cs="Times New Roman"/>
          <w:lang w:val="en-GB"/>
        </w:rPr>
        <w:t>itself</w:t>
      </w:r>
      <w:r w:rsidR="006D07F9">
        <w:rPr>
          <w:rFonts w:cs="Times New Roman"/>
          <w:lang w:val="en-GB"/>
        </w:rPr>
        <w:t>”</w:t>
      </w:r>
      <w:r w:rsidR="00870C20" w:rsidRPr="00876672">
        <w:rPr>
          <w:rFonts w:cs="Times New Roman"/>
          <w:lang w:val="en-GB"/>
        </w:rPr>
        <w:t xml:space="preserve">. </w:t>
      </w:r>
      <w:r w:rsidR="00F14854" w:rsidRPr="00876672">
        <w:rPr>
          <w:rFonts w:cs="Times New Roman"/>
          <w:lang w:val="en-GB"/>
        </w:rPr>
        <w:t xml:space="preserve">There is no sense in which </w:t>
      </w:r>
      <w:r w:rsidR="00BB457D" w:rsidRPr="00876672">
        <w:rPr>
          <w:rFonts w:cs="Times New Roman"/>
          <w:lang w:val="en-GB"/>
        </w:rPr>
        <w:t xml:space="preserve">such a procedure </w:t>
      </w:r>
      <w:r w:rsidR="00F14854" w:rsidRPr="00876672">
        <w:rPr>
          <w:rFonts w:cs="Times New Roman"/>
          <w:lang w:val="en-GB"/>
        </w:rPr>
        <w:t xml:space="preserve">would reduce costs </w:t>
      </w:r>
      <w:r w:rsidR="006D07F9">
        <w:rPr>
          <w:rFonts w:cs="Times New Roman"/>
          <w:lang w:val="en-GB"/>
        </w:rPr>
        <w:t>“</w:t>
      </w:r>
      <w:r w:rsidR="00F14854" w:rsidRPr="00876672">
        <w:rPr>
          <w:rFonts w:cs="Times New Roman"/>
          <w:lang w:val="en-GB"/>
        </w:rPr>
        <w:t>but</w:t>
      </w:r>
      <w:r w:rsidR="006D07F9">
        <w:rPr>
          <w:rFonts w:cs="Times New Roman"/>
          <w:lang w:val="en-GB"/>
        </w:rPr>
        <w:t>”,</w:t>
      </w:r>
      <w:r w:rsidR="00BB457D" w:rsidRPr="00876672">
        <w:rPr>
          <w:rFonts w:cs="Times New Roman"/>
          <w:lang w:val="en-GB"/>
        </w:rPr>
        <w:t xml:space="preserve"> according</w:t>
      </w:r>
      <w:r w:rsidR="00F14854" w:rsidRPr="00876672">
        <w:rPr>
          <w:rFonts w:cs="Times New Roman"/>
          <w:lang w:val="en-GB"/>
        </w:rPr>
        <w:t xml:space="preserve"> </w:t>
      </w:r>
      <w:r w:rsidR="006E2A1A">
        <w:rPr>
          <w:rFonts w:cs="Times New Roman"/>
          <w:lang w:val="en-GB"/>
        </w:rPr>
        <w:t>to the R</w:t>
      </w:r>
      <w:r w:rsidR="00BB457D" w:rsidRPr="00876672">
        <w:rPr>
          <w:rFonts w:cs="Times New Roman"/>
          <w:lang w:val="en-GB"/>
        </w:rPr>
        <w:t xml:space="preserve">eport, </w:t>
      </w:r>
      <w:r w:rsidR="006D07F9">
        <w:rPr>
          <w:rFonts w:cs="Times New Roman"/>
          <w:lang w:val="en-GB"/>
        </w:rPr>
        <w:t>“</w:t>
      </w:r>
      <w:r w:rsidR="00F14854" w:rsidRPr="00876672">
        <w:rPr>
          <w:rFonts w:cs="Times New Roman"/>
          <w:lang w:val="en-GB"/>
        </w:rPr>
        <w:t xml:space="preserve">it may improve the trial process very </w:t>
      </w:r>
      <w:r w:rsidR="00F14854" w:rsidRPr="00876672">
        <w:rPr>
          <w:rFonts w:cs="Times New Roman"/>
          <w:lang w:val="en-GB"/>
        </w:rPr>
        <w:lastRenderedPageBreak/>
        <w:t>considerably.</w:t>
      </w:r>
      <w:r w:rsidR="006D07F9">
        <w:rPr>
          <w:rFonts w:cs="Times New Roman"/>
          <w:lang w:val="en-GB"/>
        </w:rPr>
        <w:t>”</w:t>
      </w:r>
      <w:r w:rsidR="00F14854" w:rsidRPr="00876672">
        <w:rPr>
          <w:rStyle w:val="FootnoteReference"/>
          <w:rFonts w:cs="Times New Roman"/>
          <w:lang w:val="en-GB"/>
        </w:rPr>
        <w:footnoteReference w:id="10"/>
      </w:r>
      <w:r w:rsidR="00376314" w:rsidRPr="00876672">
        <w:rPr>
          <w:rFonts w:cs="Times New Roman"/>
          <w:lang w:val="en-GB"/>
        </w:rPr>
        <w:t xml:space="preserve"> The CPRC Hot-tubbing Subcommittee, at a me</w:t>
      </w:r>
      <w:r w:rsidR="006E2A1A">
        <w:rPr>
          <w:rFonts w:cs="Times New Roman"/>
          <w:lang w:val="en-GB"/>
        </w:rPr>
        <w:t xml:space="preserve">eting which considered the CJC </w:t>
      </w:r>
      <w:r w:rsidR="009E692A">
        <w:rPr>
          <w:rFonts w:cs="Times New Roman"/>
          <w:lang w:val="en-GB"/>
        </w:rPr>
        <w:t>R</w:t>
      </w:r>
      <w:r w:rsidR="00E771E6" w:rsidRPr="00876672">
        <w:rPr>
          <w:rFonts w:cs="Times New Roman"/>
          <w:lang w:val="en-GB"/>
        </w:rPr>
        <w:t>eport</w:t>
      </w:r>
      <w:r w:rsidR="00376314" w:rsidRPr="00876672">
        <w:rPr>
          <w:rFonts w:cs="Times New Roman"/>
          <w:lang w:val="en-GB"/>
        </w:rPr>
        <w:t xml:space="preserve">, expressed </w:t>
      </w:r>
      <w:r w:rsidR="00087DA6">
        <w:rPr>
          <w:rFonts w:cs="Times New Roman"/>
          <w:lang w:val="en-GB"/>
        </w:rPr>
        <w:t>“</w:t>
      </w:r>
      <w:r w:rsidR="00376314" w:rsidRPr="00876672">
        <w:rPr>
          <w:rFonts w:cs="Times New Roman"/>
          <w:lang w:val="en-GB"/>
        </w:rPr>
        <w:t xml:space="preserve">a marked lack of </w:t>
      </w:r>
      <w:r w:rsidR="00087DA6" w:rsidRPr="00876672">
        <w:rPr>
          <w:rFonts w:cs="Times New Roman"/>
          <w:lang w:val="en-GB"/>
        </w:rPr>
        <w:t>enthusiasm</w:t>
      </w:r>
      <w:r w:rsidR="00087DA6">
        <w:rPr>
          <w:rFonts w:cs="Times New Roman"/>
          <w:lang w:val="en-GB"/>
        </w:rPr>
        <w:t>”</w:t>
      </w:r>
      <w:r w:rsidR="00087DA6" w:rsidRPr="00876672">
        <w:rPr>
          <w:rFonts w:cs="Times New Roman"/>
          <w:lang w:val="en-GB"/>
        </w:rPr>
        <w:t xml:space="preserve"> </w:t>
      </w:r>
      <w:r w:rsidR="00376314" w:rsidRPr="00876672">
        <w:rPr>
          <w:rFonts w:cs="Times New Roman"/>
          <w:lang w:val="en-GB"/>
        </w:rPr>
        <w:t xml:space="preserve">for the </w:t>
      </w:r>
      <w:r w:rsidR="00BC12A9">
        <w:rPr>
          <w:rFonts w:cs="Times New Roman"/>
          <w:lang w:val="en-GB"/>
        </w:rPr>
        <w:t>teach in</w:t>
      </w:r>
      <w:r w:rsidR="00376314" w:rsidRPr="00876672">
        <w:rPr>
          <w:rFonts w:cs="Times New Roman"/>
          <w:lang w:val="en-GB"/>
        </w:rPr>
        <w:t>, considering it a threat to the principle of open justice.</w:t>
      </w:r>
      <w:r w:rsidR="00376314" w:rsidRPr="00876672">
        <w:rPr>
          <w:rStyle w:val="FootnoteReference"/>
          <w:rFonts w:cs="Times New Roman"/>
          <w:lang w:val="en-GB"/>
        </w:rPr>
        <w:footnoteReference w:id="11"/>
      </w:r>
    </w:p>
    <w:p w14:paraId="131DAF08" w14:textId="37488790" w:rsidR="00055C22" w:rsidRPr="00876672" w:rsidRDefault="00055C22" w:rsidP="003D0BBA">
      <w:pPr>
        <w:tabs>
          <w:tab w:val="left" w:pos="284"/>
        </w:tabs>
        <w:ind w:right="-248"/>
        <w:rPr>
          <w:rFonts w:cs="Times New Roman"/>
          <w:lang w:val="en-GB"/>
        </w:rPr>
      </w:pPr>
      <w:r w:rsidRPr="00876672">
        <w:rPr>
          <w:rFonts w:cs="Times New Roman"/>
          <w:lang w:val="en-GB"/>
        </w:rPr>
        <w:tab/>
      </w:r>
      <w:r w:rsidR="005E3381" w:rsidRPr="00876672">
        <w:rPr>
          <w:rFonts w:cs="Times New Roman"/>
          <w:lang w:val="en-GB"/>
        </w:rPr>
        <w:t>T</w:t>
      </w:r>
      <w:r w:rsidR="00826C13">
        <w:rPr>
          <w:rFonts w:cs="Times New Roman"/>
          <w:lang w:val="en-GB"/>
        </w:rPr>
        <w:t xml:space="preserve">he CJC </w:t>
      </w:r>
      <w:r w:rsidR="009E692A">
        <w:rPr>
          <w:rFonts w:cs="Times New Roman"/>
          <w:lang w:val="en-GB"/>
        </w:rPr>
        <w:t>R</w:t>
      </w:r>
      <w:r w:rsidR="00E771E6" w:rsidRPr="00876672">
        <w:rPr>
          <w:rFonts w:cs="Times New Roman"/>
          <w:lang w:val="en-GB"/>
        </w:rPr>
        <w:t xml:space="preserve">eport </w:t>
      </w:r>
      <w:r w:rsidRPr="00876672">
        <w:rPr>
          <w:rFonts w:cs="Times New Roman"/>
          <w:lang w:val="en-GB"/>
        </w:rPr>
        <w:t xml:space="preserve">indicates that it is important for lawyers and judges, though especially judges, to </w:t>
      </w:r>
      <w:r w:rsidR="005867FF">
        <w:rPr>
          <w:rFonts w:cs="Times New Roman"/>
          <w:lang w:val="en-GB"/>
        </w:rPr>
        <w:t>consider</w:t>
      </w:r>
      <w:r w:rsidR="005867FF" w:rsidRPr="00876672">
        <w:rPr>
          <w:rFonts w:cs="Times New Roman"/>
          <w:lang w:val="en-GB"/>
        </w:rPr>
        <w:t xml:space="preserve"> </w:t>
      </w:r>
      <w:r w:rsidRPr="00876672">
        <w:rPr>
          <w:rFonts w:cs="Times New Roman"/>
          <w:lang w:val="en-GB"/>
        </w:rPr>
        <w:t xml:space="preserve">the suitability of concurrent evidence to </w:t>
      </w:r>
      <w:r w:rsidR="00E8342B">
        <w:rPr>
          <w:rFonts w:cs="Times New Roman"/>
          <w:lang w:val="en-GB"/>
        </w:rPr>
        <w:t xml:space="preserve">the </w:t>
      </w:r>
      <w:r w:rsidRPr="00876672">
        <w:rPr>
          <w:rFonts w:cs="Times New Roman"/>
          <w:lang w:val="en-GB"/>
        </w:rPr>
        <w:t xml:space="preserve">specific litigation. Unfortunately, the </w:t>
      </w:r>
      <w:r w:rsidR="009E692A">
        <w:rPr>
          <w:rFonts w:cs="Times New Roman"/>
          <w:lang w:val="en-GB"/>
        </w:rPr>
        <w:t>R</w:t>
      </w:r>
      <w:r w:rsidR="00C5340F" w:rsidRPr="00876672">
        <w:rPr>
          <w:rFonts w:cs="Times New Roman"/>
          <w:lang w:val="en-GB"/>
        </w:rPr>
        <w:t>eport</w:t>
      </w:r>
      <w:r w:rsidR="00CD1448" w:rsidRPr="00876672">
        <w:rPr>
          <w:rFonts w:cs="Times New Roman"/>
          <w:lang w:val="en-GB"/>
        </w:rPr>
        <w:t>, with its limited evidence base,</w:t>
      </w:r>
      <w:r w:rsidRPr="00876672">
        <w:rPr>
          <w:rFonts w:cs="Times New Roman"/>
          <w:lang w:val="en-GB"/>
        </w:rPr>
        <w:t xml:space="preserve"> </w:t>
      </w:r>
      <w:r w:rsidR="005867FF">
        <w:rPr>
          <w:rFonts w:cs="Times New Roman"/>
          <w:lang w:val="en-GB"/>
        </w:rPr>
        <w:t>offers limited assistance</w:t>
      </w:r>
      <w:r w:rsidR="005867FF" w:rsidRPr="00876672">
        <w:rPr>
          <w:rFonts w:cs="Times New Roman"/>
          <w:lang w:val="en-GB"/>
        </w:rPr>
        <w:t xml:space="preserve"> </w:t>
      </w:r>
      <w:r w:rsidR="005867FF">
        <w:rPr>
          <w:rFonts w:cs="Times New Roman"/>
          <w:lang w:val="en-GB"/>
        </w:rPr>
        <w:t>with the identification of</w:t>
      </w:r>
      <w:r w:rsidR="00213452" w:rsidRPr="00876672">
        <w:rPr>
          <w:rFonts w:cs="Times New Roman"/>
          <w:lang w:val="en-GB"/>
        </w:rPr>
        <w:t xml:space="preserve"> cases and issues best suited to concurrent evidence </w:t>
      </w:r>
      <w:r w:rsidR="005867FF">
        <w:rPr>
          <w:rFonts w:cs="Times New Roman"/>
          <w:lang w:val="en-GB"/>
        </w:rPr>
        <w:t>and</w:t>
      </w:r>
      <w:r w:rsidR="005867FF" w:rsidRPr="00876672">
        <w:rPr>
          <w:rFonts w:cs="Times New Roman"/>
          <w:lang w:val="en-GB"/>
        </w:rPr>
        <w:t xml:space="preserve"> </w:t>
      </w:r>
      <w:r w:rsidR="00213452" w:rsidRPr="00876672">
        <w:rPr>
          <w:rFonts w:cs="Times New Roman"/>
          <w:lang w:val="en-GB"/>
        </w:rPr>
        <w:t>how</w:t>
      </w:r>
      <w:r w:rsidR="001E3B4A" w:rsidRPr="00876672">
        <w:rPr>
          <w:rFonts w:cs="Times New Roman"/>
          <w:lang w:val="en-GB"/>
        </w:rPr>
        <w:t xml:space="preserve"> </w:t>
      </w:r>
      <w:r w:rsidR="00213452" w:rsidRPr="00876672">
        <w:rPr>
          <w:rFonts w:cs="Times New Roman"/>
          <w:lang w:val="en-GB"/>
        </w:rPr>
        <w:t xml:space="preserve">to </w:t>
      </w:r>
      <w:r w:rsidR="001E3B4A" w:rsidRPr="00876672">
        <w:rPr>
          <w:rFonts w:cs="Times New Roman"/>
          <w:lang w:val="en-GB"/>
        </w:rPr>
        <w:t>tailor concurrent</w:t>
      </w:r>
      <w:r w:rsidR="00213452" w:rsidRPr="00876672">
        <w:rPr>
          <w:rFonts w:cs="Times New Roman"/>
          <w:lang w:val="en-GB"/>
        </w:rPr>
        <w:t xml:space="preserve"> evidence</w:t>
      </w:r>
      <w:r w:rsidR="00E8342B">
        <w:rPr>
          <w:rFonts w:cs="Times New Roman"/>
          <w:lang w:val="en-GB"/>
        </w:rPr>
        <w:t>-</w:t>
      </w:r>
      <w:r w:rsidR="00C5340F" w:rsidRPr="00876672">
        <w:rPr>
          <w:rFonts w:cs="Times New Roman"/>
          <w:lang w:val="en-GB"/>
        </w:rPr>
        <w:t>related procedures</w:t>
      </w:r>
      <w:r w:rsidR="00213452" w:rsidRPr="00876672">
        <w:rPr>
          <w:rFonts w:cs="Times New Roman"/>
          <w:lang w:val="en-GB"/>
        </w:rPr>
        <w:t xml:space="preserve"> </w:t>
      </w:r>
      <w:r w:rsidR="00C5340F" w:rsidRPr="00876672">
        <w:rPr>
          <w:rFonts w:cs="Times New Roman"/>
          <w:lang w:val="en-GB"/>
        </w:rPr>
        <w:t xml:space="preserve">to specific types of litigation. </w:t>
      </w:r>
      <w:r w:rsidR="00CD1448" w:rsidRPr="00876672">
        <w:rPr>
          <w:rFonts w:cs="Times New Roman"/>
          <w:lang w:val="en-GB"/>
        </w:rPr>
        <w:t xml:space="preserve">It </w:t>
      </w:r>
      <w:r w:rsidR="00C5340F" w:rsidRPr="00876672">
        <w:rPr>
          <w:rFonts w:cs="Times New Roman"/>
          <w:lang w:val="en-GB"/>
        </w:rPr>
        <w:t>leave</w:t>
      </w:r>
      <w:r w:rsidR="00CD1448" w:rsidRPr="00876672">
        <w:rPr>
          <w:rFonts w:cs="Times New Roman"/>
          <w:lang w:val="en-GB"/>
        </w:rPr>
        <w:t>s</w:t>
      </w:r>
      <w:r w:rsidR="00C5340F" w:rsidRPr="00876672">
        <w:rPr>
          <w:rFonts w:cs="Times New Roman"/>
          <w:lang w:val="en-GB"/>
        </w:rPr>
        <w:t xml:space="preserve"> the </w:t>
      </w:r>
      <w:r w:rsidR="00CA5DA1" w:rsidRPr="00876672">
        <w:rPr>
          <w:rFonts w:cs="Times New Roman"/>
          <w:lang w:val="en-GB"/>
        </w:rPr>
        <w:t>question of whether to deploy concurrent evidence</w:t>
      </w:r>
      <w:r w:rsidR="00CD1448" w:rsidRPr="00876672">
        <w:rPr>
          <w:rFonts w:cs="Times New Roman"/>
          <w:lang w:val="en-GB"/>
        </w:rPr>
        <w:t>,</w:t>
      </w:r>
      <w:r w:rsidR="00CA5DA1" w:rsidRPr="00876672">
        <w:rPr>
          <w:rFonts w:cs="Times New Roman"/>
          <w:lang w:val="en-GB"/>
        </w:rPr>
        <w:t xml:space="preserve"> </w:t>
      </w:r>
      <w:r w:rsidR="00CD1448" w:rsidRPr="00876672">
        <w:rPr>
          <w:rFonts w:cs="Times New Roman"/>
          <w:lang w:val="en-GB"/>
        </w:rPr>
        <w:t>and if so which variant to use, largely to the</w:t>
      </w:r>
      <w:r w:rsidR="00C5340F" w:rsidRPr="00876672">
        <w:rPr>
          <w:rFonts w:cs="Times New Roman"/>
          <w:lang w:val="en-GB"/>
        </w:rPr>
        <w:t xml:space="preserve"> discretion of trial judges.</w:t>
      </w:r>
      <w:r w:rsidR="00EC2431" w:rsidRPr="00876672">
        <w:rPr>
          <w:rStyle w:val="FootnoteReference"/>
          <w:rFonts w:cs="Times New Roman"/>
          <w:lang w:val="en-GB"/>
        </w:rPr>
        <w:footnoteReference w:id="12"/>
      </w:r>
      <w:r w:rsidR="00213452" w:rsidRPr="00876672">
        <w:rPr>
          <w:rFonts w:cs="Times New Roman"/>
          <w:lang w:val="en-GB"/>
        </w:rPr>
        <w:t xml:space="preserve"> </w:t>
      </w:r>
      <w:r w:rsidR="00CD1448" w:rsidRPr="00876672">
        <w:rPr>
          <w:rFonts w:cs="Times New Roman"/>
          <w:lang w:val="en-GB"/>
        </w:rPr>
        <w:t xml:space="preserve">Beyond the </w:t>
      </w:r>
      <w:r w:rsidR="005B041C">
        <w:rPr>
          <w:rFonts w:cs="Times New Roman"/>
          <w:lang w:val="en-GB"/>
        </w:rPr>
        <w:t>research into professional and judicial opinions conducted by</w:t>
      </w:r>
      <w:r w:rsidR="007164D6" w:rsidRPr="00876672">
        <w:rPr>
          <w:rFonts w:cs="Times New Roman"/>
          <w:lang w:val="en-GB"/>
        </w:rPr>
        <w:t xml:space="preserve"> the </w:t>
      </w:r>
      <w:r w:rsidR="00AF7AF9">
        <w:rPr>
          <w:rFonts w:cs="Times New Roman"/>
          <w:lang w:val="en-GB"/>
        </w:rPr>
        <w:t>R</w:t>
      </w:r>
      <w:r w:rsidR="007164D6" w:rsidRPr="00876672">
        <w:rPr>
          <w:rFonts w:cs="Times New Roman"/>
          <w:lang w:val="en-GB"/>
        </w:rPr>
        <w:t>eview</w:t>
      </w:r>
      <w:r w:rsidR="005B041C">
        <w:rPr>
          <w:rFonts w:cs="Times New Roman"/>
          <w:lang w:val="en-GB"/>
        </w:rPr>
        <w:t xml:space="preserve"> team</w:t>
      </w:r>
      <w:r w:rsidR="007164D6" w:rsidRPr="00876672">
        <w:rPr>
          <w:rFonts w:cs="Times New Roman"/>
          <w:lang w:val="en-GB"/>
        </w:rPr>
        <w:t>,</w:t>
      </w:r>
      <w:r w:rsidR="005B041C">
        <w:rPr>
          <w:rStyle w:val="FootnoteReference"/>
          <w:rFonts w:cs="Times New Roman"/>
          <w:lang w:val="en-GB"/>
        </w:rPr>
        <w:footnoteReference w:id="13"/>
      </w:r>
      <w:r w:rsidR="00BC12A9">
        <w:rPr>
          <w:rFonts w:cs="Times New Roman"/>
          <w:lang w:val="en-GB"/>
        </w:rPr>
        <w:t xml:space="preserve"> </w:t>
      </w:r>
      <w:r w:rsidR="007164D6" w:rsidRPr="00876672">
        <w:rPr>
          <w:rFonts w:cs="Times New Roman"/>
          <w:lang w:val="en-GB"/>
        </w:rPr>
        <w:t xml:space="preserve">little </w:t>
      </w:r>
      <w:r w:rsidR="00213452" w:rsidRPr="00876672">
        <w:rPr>
          <w:rFonts w:cs="Times New Roman"/>
          <w:lang w:val="en-GB"/>
        </w:rPr>
        <w:t xml:space="preserve">appears to be known about the </w:t>
      </w:r>
      <w:r w:rsidR="007B49C1" w:rsidRPr="00876672">
        <w:rPr>
          <w:rFonts w:cs="Times New Roman"/>
          <w:lang w:val="en-GB"/>
        </w:rPr>
        <w:t xml:space="preserve">actual impact of concurrent evidence on </w:t>
      </w:r>
      <w:r w:rsidR="00756E9F" w:rsidRPr="00876672">
        <w:rPr>
          <w:rFonts w:cs="Times New Roman"/>
          <w:lang w:val="en-GB"/>
        </w:rPr>
        <w:t xml:space="preserve">the length and cost of </w:t>
      </w:r>
      <w:r w:rsidR="007B49C1" w:rsidRPr="00876672">
        <w:rPr>
          <w:rFonts w:cs="Times New Roman"/>
          <w:lang w:val="en-GB"/>
        </w:rPr>
        <w:t xml:space="preserve">litigation, </w:t>
      </w:r>
      <w:r w:rsidR="00756E9F" w:rsidRPr="00876672">
        <w:rPr>
          <w:rFonts w:cs="Times New Roman"/>
          <w:lang w:val="en-GB"/>
        </w:rPr>
        <w:t xml:space="preserve">the </w:t>
      </w:r>
      <w:r w:rsidR="007B49C1" w:rsidRPr="00876672">
        <w:rPr>
          <w:rFonts w:cs="Times New Roman"/>
          <w:lang w:val="en-GB"/>
        </w:rPr>
        <w:t xml:space="preserve">quality of </w:t>
      </w:r>
      <w:r w:rsidR="00756E9F" w:rsidRPr="00876672">
        <w:rPr>
          <w:rFonts w:cs="Times New Roman"/>
          <w:lang w:val="en-GB"/>
        </w:rPr>
        <w:t xml:space="preserve">expert </w:t>
      </w:r>
      <w:r w:rsidR="007B49C1" w:rsidRPr="00876672">
        <w:rPr>
          <w:rFonts w:cs="Times New Roman"/>
          <w:lang w:val="en-GB"/>
        </w:rPr>
        <w:t>evidence, comprehension</w:t>
      </w:r>
      <w:r w:rsidR="00756E9F" w:rsidRPr="00876672">
        <w:rPr>
          <w:rFonts w:cs="Times New Roman"/>
          <w:lang w:val="en-GB"/>
        </w:rPr>
        <w:t xml:space="preserve"> by </w:t>
      </w:r>
      <w:r w:rsidR="005E3381" w:rsidRPr="00876672">
        <w:rPr>
          <w:rFonts w:cs="Times New Roman"/>
          <w:lang w:val="en-GB"/>
        </w:rPr>
        <w:t xml:space="preserve">judges – particularly non-specialist judges – </w:t>
      </w:r>
      <w:r w:rsidR="007B49C1" w:rsidRPr="00876672">
        <w:rPr>
          <w:rFonts w:cs="Times New Roman"/>
          <w:lang w:val="en-GB"/>
        </w:rPr>
        <w:t>or</w:t>
      </w:r>
      <w:r w:rsidR="00756E9F" w:rsidRPr="00876672">
        <w:rPr>
          <w:rFonts w:cs="Times New Roman"/>
          <w:lang w:val="en-GB"/>
        </w:rPr>
        <w:t>, indeed,</w:t>
      </w:r>
      <w:r w:rsidR="007B49C1" w:rsidRPr="00876672">
        <w:rPr>
          <w:rFonts w:cs="Times New Roman"/>
          <w:lang w:val="en-GB"/>
        </w:rPr>
        <w:t xml:space="preserve"> outcomes – whether </w:t>
      </w:r>
      <w:r w:rsidR="0058102A" w:rsidRPr="00876672">
        <w:rPr>
          <w:rFonts w:cs="Times New Roman"/>
          <w:lang w:val="en-GB"/>
        </w:rPr>
        <w:t xml:space="preserve">through settlement or </w:t>
      </w:r>
      <w:r w:rsidR="00C069F8" w:rsidRPr="00876672">
        <w:rPr>
          <w:rFonts w:cs="Times New Roman"/>
          <w:lang w:val="en-GB"/>
        </w:rPr>
        <w:t>judic</w:t>
      </w:r>
      <w:r w:rsidR="00E33C51" w:rsidRPr="00876672">
        <w:rPr>
          <w:rFonts w:cs="Times New Roman"/>
          <w:lang w:val="en-GB"/>
        </w:rPr>
        <w:t>i</w:t>
      </w:r>
      <w:r w:rsidR="00C069F8" w:rsidRPr="00876672">
        <w:rPr>
          <w:rFonts w:cs="Times New Roman"/>
          <w:lang w:val="en-GB"/>
        </w:rPr>
        <w:t>al</w:t>
      </w:r>
      <w:r w:rsidR="007B49C1" w:rsidRPr="00876672">
        <w:rPr>
          <w:rFonts w:cs="Times New Roman"/>
          <w:lang w:val="en-GB"/>
        </w:rPr>
        <w:t xml:space="preserve"> determination.</w:t>
      </w:r>
      <w:r w:rsidR="005E3381" w:rsidRPr="00876672">
        <w:rPr>
          <w:rFonts w:cs="Times New Roman"/>
          <w:lang w:val="en-GB"/>
        </w:rPr>
        <w:t xml:space="preserve"> This is not to dismiss the experience of judges who have used concurrent evidence and found it valuable, but only to urge caution in generalising from such </w:t>
      </w:r>
      <w:r w:rsidR="00E8342B">
        <w:rPr>
          <w:rFonts w:cs="Times New Roman"/>
          <w:lang w:val="en-GB"/>
        </w:rPr>
        <w:t>impressions</w:t>
      </w:r>
      <w:r w:rsidR="005E3381" w:rsidRPr="00876672">
        <w:rPr>
          <w:rFonts w:cs="Times New Roman"/>
          <w:lang w:val="en-GB"/>
        </w:rPr>
        <w:t>.</w:t>
      </w:r>
    </w:p>
    <w:p w14:paraId="74D0715D" w14:textId="77777777" w:rsidR="00DC7962" w:rsidRPr="00876672" w:rsidRDefault="00DC7962" w:rsidP="003D0BBA">
      <w:pPr>
        <w:tabs>
          <w:tab w:val="left" w:pos="284"/>
        </w:tabs>
        <w:ind w:right="-248"/>
        <w:rPr>
          <w:rFonts w:cs="Times New Roman"/>
          <w:lang w:val="en-GB"/>
        </w:rPr>
      </w:pPr>
    </w:p>
    <w:p w14:paraId="7B99E41C" w14:textId="77777777" w:rsidR="008F2100" w:rsidRPr="00876672" w:rsidRDefault="008F2100" w:rsidP="003D0BBA">
      <w:pPr>
        <w:tabs>
          <w:tab w:val="left" w:pos="284"/>
        </w:tabs>
        <w:ind w:right="-248"/>
        <w:rPr>
          <w:rFonts w:cs="Times New Roman"/>
          <w:b/>
          <w:i/>
          <w:lang w:val="en-GB"/>
        </w:rPr>
      </w:pPr>
      <w:r w:rsidRPr="00876672">
        <w:rPr>
          <w:rFonts w:cs="Times New Roman"/>
          <w:b/>
          <w:i/>
          <w:lang w:val="en-GB"/>
        </w:rPr>
        <w:t>Evidence for the hot tub</w:t>
      </w:r>
    </w:p>
    <w:p w14:paraId="59D0F298" w14:textId="77777777" w:rsidR="00BC1632" w:rsidRPr="00876672" w:rsidRDefault="00473633" w:rsidP="003D0BBA">
      <w:pPr>
        <w:tabs>
          <w:tab w:val="left" w:pos="284"/>
        </w:tabs>
        <w:ind w:right="-248"/>
        <w:rPr>
          <w:rFonts w:cs="Times New Roman"/>
          <w:lang w:val="en-GB"/>
        </w:rPr>
      </w:pPr>
      <w:r w:rsidRPr="00876672">
        <w:rPr>
          <w:rFonts w:cs="Times New Roman"/>
          <w:lang w:val="en-GB"/>
        </w:rPr>
        <w:t>Concurrent evidence is often credited with a number of advantages</w:t>
      </w:r>
      <w:r w:rsidR="00DC7962" w:rsidRPr="00876672">
        <w:rPr>
          <w:rFonts w:cs="Times New Roman"/>
          <w:lang w:val="en-GB"/>
        </w:rPr>
        <w:t xml:space="preserve"> over conventional </w:t>
      </w:r>
      <w:r w:rsidR="00E8342B">
        <w:rPr>
          <w:rFonts w:cs="Times New Roman"/>
          <w:lang w:val="en-GB"/>
        </w:rPr>
        <w:t xml:space="preserve">civil </w:t>
      </w:r>
      <w:r w:rsidR="00DC7962" w:rsidRPr="00876672">
        <w:rPr>
          <w:rFonts w:cs="Times New Roman"/>
          <w:lang w:val="en-GB"/>
        </w:rPr>
        <w:t>procedures</w:t>
      </w:r>
      <w:r w:rsidRPr="00876672">
        <w:rPr>
          <w:rFonts w:cs="Times New Roman"/>
          <w:lang w:val="en-GB"/>
        </w:rPr>
        <w:t xml:space="preserve">. Sir Rupert Jackson summarised these </w:t>
      </w:r>
      <w:r w:rsidR="002F3801" w:rsidRPr="00876672">
        <w:rPr>
          <w:rFonts w:cs="Times New Roman"/>
          <w:lang w:val="en-GB"/>
        </w:rPr>
        <w:t>benefits</w:t>
      </w:r>
      <w:r w:rsidRPr="00876672">
        <w:rPr>
          <w:rFonts w:cs="Times New Roman"/>
          <w:lang w:val="en-GB"/>
        </w:rPr>
        <w:t xml:space="preserve"> as</w:t>
      </w:r>
      <w:r w:rsidR="002F3801" w:rsidRPr="00876672">
        <w:rPr>
          <w:rFonts w:cs="Times New Roman"/>
          <w:lang w:val="en-GB"/>
        </w:rPr>
        <w:t xml:space="preserve"> follows</w:t>
      </w:r>
      <w:r w:rsidRPr="00876672">
        <w:rPr>
          <w:rFonts w:cs="Times New Roman"/>
          <w:lang w:val="en-GB"/>
        </w:rPr>
        <w:t>:</w:t>
      </w:r>
    </w:p>
    <w:p w14:paraId="3FF784C4" w14:textId="77777777" w:rsidR="00321345" w:rsidRPr="00876672" w:rsidRDefault="00321345" w:rsidP="003D0BBA">
      <w:pPr>
        <w:tabs>
          <w:tab w:val="left" w:pos="284"/>
        </w:tabs>
        <w:ind w:right="-248"/>
        <w:rPr>
          <w:rFonts w:cs="Times New Roman"/>
          <w:lang w:val="en-GB"/>
        </w:rPr>
      </w:pPr>
    </w:p>
    <w:p w14:paraId="15AD1AFD" w14:textId="77777777" w:rsidR="00321345" w:rsidRPr="00826C13" w:rsidRDefault="00321345" w:rsidP="003D0BBA">
      <w:pPr>
        <w:pStyle w:val="ListParagraph"/>
        <w:numPr>
          <w:ilvl w:val="0"/>
          <w:numId w:val="2"/>
        </w:numPr>
        <w:tabs>
          <w:tab w:val="left" w:pos="284"/>
        </w:tabs>
        <w:ind w:left="851" w:right="-248" w:hanging="284"/>
        <w:rPr>
          <w:rFonts w:cs="Times New Roman"/>
          <w:sz w:val="20"/>
          <w:szCs w:val="20"/>
          <w:lang w:val="en-GB"/>
        </w:rPr>
      </w:pPr>
      <w:r w:rsidRPr="00826C13">
        <w:rPr>
          <w:rFonts w:cs="Times New Roman"/>
          <w:sz w:val="20"/>
          <w:szCs w:val="20"/>
          <w:lang w:val="en-GB"/>
        </w:rPr>
        <w:t>The procedure was quicker, and more focused, than the traditional sequential format;</w:t>
      </w:r>
    </w:p>
    <w:p w14:paraId="2CF10FD6" w14:textId="77777777" w:rsidR="00321345" w:rsidRPr="00826C13" w:rsidRDefault="00321345" w:rsidP="003D0BBA">
      <w:pPr>
        <w:pStyle w:val="ListParagraph"/>
        <w:numPr>
          <w:ilvl w:val="0"/>
          <w:numId w:val="2"/>
        </w:numPr>
        <w:tabs>
          <w:tab w:val="left" w:pos="284"/>
        </w:tabs>
        <w:ind w:left="851" w:right="-248" w:hanging="284"/>
        <w:rPr>
          <w:rFonts w:cs="Times New Roman"/>
          <w:sz w:val="20"/>
          <w:szCs w:val="20"/>
          <w:lang w:val="en-GB"/>
        </w:rPr>
      </w:pPr>
      <w:r w:rsidRPr="00826C13">
        <w:rPr>
          <w:rFonts w:cs="Times New Roman"/>
          <w:sz w:val="20"/>
          <w:szCs w:val="20"/>
          <w:lang w:val="en-GB"/>
        </w:rPr>
        <w:t xml:space="preserve">Experts find this procedure easier; they give evidence better and sometimes more impartially than under the traditional sequential format; </w:t>
      </w:r>
    </w:p>
    <w:p w14:paraId="36F959DD" w14:textId="77777777" w:rsidR="00321345" w:rsidRPr="00826C13" w:rsidRDefault="00321345" w:rsidP="003D0BBA">
      <w:pPr>
        <w:pStyle w:val="ListParagraph"/>
        <w:numPr>
          <w:ilvl w:val="0"/>
          <w:numId w:val="2"/>
        </w:numPr>
        <w:tabs>
          <w:tab w:val="left" w:pos="284"/>
        </w:tabs>
        <w:ind w:left="851" w:right="-248" w:hanging="284"/>
        <w:rPr>
          <w:rFonts w:cs="Times New Roman"/>
          <w:sz w:val="20"/>
          <w:szCs w:val="20"/>
          <w:lang w:val="en-GB"/>
        </w:rPr>
      </w:pPr>
      <w:r w:rsidRPr="00826C13">
        <w:rPr>
          <w:rFonts w:cs="Times New Roman"/>
          <w:sz w:val="20"/>
          <w:szCs w:val="20"/>
          <w:lang w:val="en-GB"/>
        </w:rPr>
        <w:t>Judges find it easier to understand complex technical evidence when it is given in this way; and</w:t>
      </w:r>
    </w:p>
    <w:p w14:paraId="16F933F3" w14:textId="77777777" w:rsidR="00BC1632" w:rsidRPr="00826C13" w:rsidRDefault="00321345" w:rsidP="003D0BBA">
      <w:pPr>
        <w:pStyle w:val="ListParagraph"/>
        <w:numPr>
          <w:ilvl w:val="0"/>
          <w:numId w:val="2"/>
        </w:numPr>
        <w:tabs>
          <w:tab w:val="left" w:pos="284"/>
        </w:tabs>
        <w:ind w:left="851" w:right="-248" w:hanging="284"/>
        <w:rPr>
          <w:rFonts w:cs="Times New Roman"/>
          <w:sz w:val="20"/>
          <w:szCs w:val="20"/>
          <w:lang w:val="en-GB"/>
        </w:rPr>
      </w:pPr>
      <w:r w:rsidRPr="00826C13">
        <w:rPr>
          <w:rFonts w:cs="Times New Roman"/>
          <w:sz w:val="20"/>
          <w:szCs w:val="20"/>
          <w:lang w:val="en-GB"/>
        </w:rPr>
        <w:t>The procedure achieves a significant saving of both trial time and costs.</w:t>
      </w:r>
      <w:r w:rsidRPr="00826C13">
        <w:rPr>
          <w:rStyle w:val="FootnoteReference"/>
          <w:rFonts w:cs="Times New Roman"/>
          <w:sz w:val="20"/>
          <w:szCs w:val="20"/>
          <w:lang w:val="en-GB"/>
        </w:rPr>
        <w:footnoteReference w:id="14"/>
      </w:r>
    </w:p>
    <w:p w14:paraId="714AC1BF" w14:textId="77777777" w:rsidR="00473633" w:rsidRPr="00826C13" w:rsidRDefault="00473633" w:rsidP="003D0BBA">
      <w:pPr>
        <w:tabs>
          <w:tab w:val="left" w:pos="284"/>
        </w:tabs>
        <w:ind w:right="-248"/>
        <w:rPr>
          <w:rFonts w:cs="Times New Roman"/>
          <w:lang w:val="en-GB"/>
        </w:rPr>
      </w:pPr>
    </w:p>
    <w:p w14:paraId="5BF7BFBC" w14:textId="17780161" w:rsidR="00EF0E62" w:rsidRPr="00876672" w:rsidRDefault="002F3801" w:rsidP="003D0BBA">
      <w:pPr>
        <w:tabs>
          <w:tab w:val="left" w:pos="284"/>
        </w:tabs>
        <w:ind w:right="-248"/>
        <w:rPr>
          <w:rFonts w:cs="Times New Roman"/>
          <w:lang w:val="en-GB"/>
        </w:rPr>
      </w:pPr>
      <w:r w:rsidRPr="00876672">
        <w:rPr>
          <w:rFonts w:cs="Times New Roman"/>
          <w:lang w:val="en-GB"/>
        </w:rPr>
        <w:t xml:space="preserve">Jackson based these claims on what he was told by Australian judges and practitioners. In Australia, as in the UK, </w:t>
      </w:r>
      <w:r w:rsidR="00087DA6">
        <w:rPr>
          <w:rFonts w:cs="Times New Roman"/>
          <w:lang w:val="en-GB"/>
        </w:rPr>
        <w:t>“</w:t>
      </w:r>
      <w:r w:rsidRPr="00876672">
        <w:rPr>
          <w:rFonts w:cs="Times New Roman"/>
          <w:lang w:val="en-GB"/>
        </w:rPr>
        <w:t>hot-tubbing</w:t>
      </w:r>
      <w:r w:rsidR="00087DA6">
        <w:rPr>
          <w:rFonts w:cs="Times New Roman"/>
          <w:lang w:val="en-GB"/>
        </w:rPr>
        <w:t>”</w:t>
      </w:r>
      <w:r w:rsidRPr="00876672">
        <w:rPr>
          <w:rFonts w:cs="Times New Roman"/>
          <w:lang w:val="en-GB"/>
        </w:rPr>
        <w:t xml:space="preserve"> was embraced enthusiastically by certain influential judges, with little empirical research or systematic analysis.</w:t>
      </w:r>
      <w:r w:rsidRPr="00876672">
        <w:rPr>
          <w:rStyle w:val="FootnoteReference"/>
          <w:rFonts w:cs="Times New Roman"/>
          <w:lang w:val="en-GB"/>
        </w:rPr>
        <w:footnoteReference w:id="15"/>
      </w:r>
      <w:r w:rsidRPr="00876672">
        <w:rPr>
          <w:rFonts w:cs="Times New Roman"/>
          <w:lang w:val="en-GB"/>
        </w:rPr>
        <w:t xml:space="preserve"> </w:t>
      </w:r>
    </w:p>
    <w:p w14:paraId="4A83792C" w14:textId="77777777" w:rsidR="00E33C51" w:rsidRPr="00876672" w:rsidRDefault="00522355" w:rsidP="003D0BBA">
      <w:pPr>
        <w:tabs>
          <w:tab w:val="left" w:pos="284"/>
        </w:tabs>
        <w:ind w:right="-248"/>
        <w:rPr>
          <w:rFonts w:cs="Times New Roman"/>
          <w:lang w:val="en-GB"/>
        </w:rPr>
      </w:pPr>
      <w:r w:rsidRPr="00876672">
        <w:rPr>
          <w:rFonts w:cs="Times New Roman"/>
          <w:lang w:val="en-GB"/>
        </w:rPr>
        <w:tab/>
      </w:r>
      <w:r w:rsidR="00DC2761" w:rsidRPr="00876672">
        <w:rPr>
          <w:rFonts w:cs="Times New Roman"/>
          <w:lang w:val="en-GB"/>
        </w:rPr>
        <w:t>The one empirical study of concurrent eviden</w:t>
      </w:r>
      <w:r w:rsidR="006E2A1A">
        <w:rPr>
          <w:rFonts w:cs="Times New Roman"/>
          <w:lang w:val="en-GB"/>
        </w:rPr>
        <w:t>ce in England prior to the CJC R</w:t>
      </w:r>
      <w:r w:rsidR="00DC2761" w:rsidRPr="00876672">
        <w:rPr>
          <w:rFonts w:cs="Times New Roman"/>
          <w:lang w:val="en-GB"/>
        </w:rPr>
        <w:t>eport was Dame Hazel Genn’s</w:t>
      </w:r>
      <w:r w:rsidR="00BC12A9">
        <w:rPr>
          <w:rFonts w:cs="Times New Roman"/>
          <w:lang w:val="en-GB"/>
        </w:rPr>
        <w:t xml:space="preserve"> evaluation of the pilot of the</w:t>
      </w:r>
      <w:r w:rsidR="00DC2761" w:rsidRPr="00876672">
        <w:rPr>
          <w:rFonts w:cs="Times New Roman"/>
          <w:lang w:val="en-GB"/>
        </w:rPr>
        <w:t xml:space="preserve"> procedure at the Manchester Technology and Construction Court.</w:t>
      </w:r>
      <w:r w:rsidR="00DC2761" w:rsidRPr="00876672">
        <w:rPr>
          <w:rStyle w:val="FootnoteReference"/>
          <w:rFonts w:cs="Times New Roman"/>
          <w:lang w:val="en-GB"/>
        </w:rPr>
        <w:footnoteReference w:id="16"/>
      </w:r>
      <w:r w:rsidR="00DC2761" w:rsidRPr="00876672">
        <w:rPr>
          <w:rFonts w:cs="Times New Roman"/>
          <w:lang w:val="en-GB"/>
        </w:rPr>
        <w:t xml:space="preserve"> The majority of cases in which concurrent evidence was expected to </w:t>
      </w:r>
      <w:r w:rsidR="00BE201F" w:rsidRPr="00876672">
        <w:rPr>
          <w:rFonts w:cs="Times New Roman"/>
          <w:lang w:val="en-GB"/>
        </w:rPr>
        <w:t>be</w:t>
      </w:r>
      <w:r w:rsidR="00DC2761" w:rsidRPr="00876672">
        <w:rPr>
          <w:rFonts w:cs="Times New Roman"/>
          <w:lang w:val="en-GB"/>
        </w:rPr>
        <w:t xml:space="preserve"> given were settled and only four came to trial</w:t>
      </w:r>
      <w:r w:rsidR="00BE201F" w:rsidRPr="00876672">
        <w:rPr>
          <w:rFonts w:cs="Times New Roman"/>
          <w:lang w:val="en-GB"/>
        </w:rPr>
        <w:t>; Genn ac</w:t>
      </w:r>
      <w:r w:rsidR="002F3801" w:rsidRPr="00876672">
        <w:rPr>
          <w:rFonts w:cs="Times New Roman"/>
          <w:lang w:val="en-GB"/>
        </w:rPr>
        <w:t>k</w:t>
      </w:r>
      <w:r w:rsidR="00BE201F" w:rsidRPr="00876672">
        <w:rPr>
          <w:rFonts w:cs="Times New Roman"/>
          <w:lang w:val="en-GB"/>
        </w:rPr>
        <w:t xml:space="preserve">nowledged that this </w:t>
      </w:r>
      <w:r w:rsidR="005E05B4">
        <w:rPr>
          <w:rFonts w:cs="Times New Roman"/>
          <w:lang w:val="en-GB"/>
        </w:rPr>
        <w:t>wa</w:t>
      </w:r>
      <w:r w:rsidR="005E05B4" w:rsidRPr="00876672">
        <w:rPr>
          <w:rFonts w:cs="Times New Roman"/>
          <w:lang w:val="en-GB"/>
        </w:rPr>
        <w:t xml:space="preserve">s </w:t>
      </w:r>
      <w:r w:rsidR="00BE201F" w:rsidRPr="00876672">
        <w:rPr>
          <w:rFonts w:cs="Times New Roman"/>
          <w:lang w:val="en-GB"/>
        </w:rPr>
        <w:t>an inadequate basis from which to draw to robust conclusions.</w:t>
      </w:r>
      <w:r w:rsidR="00BE201F" w:rsidRPr="00876672">
        <w:rPr>
          <w:rStyle w:val="FootnoteReference"/>
          <w:rFonts w:cs="Times New Roman"/>
          <w:lang w:val="en-GB"/>
        </w:rPr>
        <w:footnoteReference w:id="17"/>
      </w:r>
      <w:r w:rsidR="00BE201F" w:rsidRPr="00876672">
        <w:rPr>
          <w:rFonts w:cs="Times New Roman"/>
          <w:lang w:val="en-GB"/>
        </w:rPr>
        <w:t xml:space="preserve"> In all four cases the judges thought that the procedure had saved </w:t>
      </w:r>
      <w:r w:rsidR="00BE201F" w:rsidRPr="00876672">
        <w:rPr>
          <w:rFonts w:cs="Times New Roman"/>
          <w:lang w:val="en-GB"/>
        </w:rPr>
        <w:lastRenderedPageBreak/>
        <w:t xml:space="preserve">substantial amounts of court time, but doubted whether it saved significant costs for the parties, as most </w:t>
      </w:r>
      <w:r w:rsidR="005E05B4">
        <w:rPr>
          <w:rFonts w:cs="Times New Roman"/>
          <w:lang w:val="en-GB"/>
        </w:rPr>
        <w:t>costs</w:t>
      </w:r>
      <w:r w:rsidR="00BE201F" w:rsidRPr="00876672">
        <w:rPr>
          <w:rFonts w:cs="Times New Roman"/>
          <w:lang w:val="en-GB"/>
        </w:rPr>
        <w:t xml:space="preserve"> were incurred before trial.</w:t>
      </w:r>
      <w:r w:rsidR="00E62C91" w:rsidRPr="00876672">
        <w:rPr>
          <w:rFonts w:cs="Times New Roman"/>
          <w:lang w:val="en-GB"/>
        </w:rPr>
        <w:t xml:space="preserve"> They also thought it had helped them to understand</w:t>
      </w:r>
      <w:r w:rsidR="00E33C51" w:rsidRPr="00876672">
        <w:rPr>
          <w:rFonts w:cs="Times New Roman"/>
          <w:lang w:val="en-GB"/>
        </w:rPr>
        <w:t xml:space="preserve"> the </w:t>
      </w:r>
      <w:r w:rsidR="00E62C91" w:rsidRPr="00876672">
        <w:rPr>
          <w:rFonts w:cs="Times New Roman"/>
          <w:lang w:val="en-GB"/>
        </w:rPr>
        <w:t>issues and compare different views.</w:t>
      </w:r>
      <w:r w:rsidR="00E62C91" w:rsidRPr="00876672">
        <w:rPr>
          <w:rStyle w:val="FootnoteReference"/>
          <w:rFonts w:cs="Times New Roman"/>
          <w:lang w:val="en-GB"/>
        </w:rPr>
        <w:footnoteReference w:id="18"/>
      </w:r>
      <w:r w:rsidR="00BE201F" w:rsidRPr="00876672">
        <w:rPr>
          <w:rFonts w:cs="Times New Roman"/>
          <w:lang w:val="en-GB"/>
        </w:rPr>
        <w:t xml:space="preserve"> Genn tentatively suggested</w:t>
      </w:r>
      <w:r w:rsidR="00E62C91" w:rsidRPr="00876672">
        <w:rPr>
          <w:rFonts w:cs="Times New Roman"/>
          <w:lang w:val="en-GB"/>
        </w:rPr>
        <w:t xml:space="preserve"> (while recognising the sociological complexity of the issues)</w:t>
      </w:r>
      <w:r w:rsidR="00BE201F" w:rsidRPr="00876672">
        <w:rPr>
          <w:rFonts w:cs="Times New Roman"/>
          <w:lang w:val="en-GB"/>
        </w:rPr>
        <w:t xml:space="preserve"> that concurrent evidence might assist the search for trut</w:t>
      </w:r>
      <w:r w:rsidR="00BC12A9">
        <w:rPr>
          <w:rFonts w:cs="Times New Roman"/>
          <w:lang w:val="en-GB"/>
        </w:rPr>
        <w:t>h by creating an environment in</w:t>
      </w:r>
      <w:r w:rsidR="00BE201F" w:rsidRPr="00876672">
        <w:rPr>
          <w:rFonts w:cs="Times New Roman"/>
          <w:lang w:val="en-GB"/>
        </w:rPr>
        <w:t xml:space="preserve"> which it </w:t>
      </w:r>
      <w:r w:rsidR="0075431D" w:rsidRPr="00876672">
        <w:rPr>
          <w:rFonts w:cs="Times New Roman"/>
          <w:lang w:val="en-GB"/>
        </w:rPr>
        <w:t>was easier than in conventional adversarial proceedings for experts to find common ground or admit mistakes.</w:t>
      </w:r>
      <w:r w:rsidR="0075431D" w:rsidRPr="00876672">
        <w:rPr>
          <w:rStyle w:val="FootnoteReference"/>
          <w:rFonts w:cs="Times New Roman"/>
          <w:lang w:val="en-GB"/>
        </w:rPr>
        <w:footnoteReference w:id="19"/>
      </w:r>
      <w:r w:rsidR="0075431D" w:rsidRPr="00876672">
        <w:rPr>
          <w:rFonts w:cs="Times New Roman"/>
          <w:lang w:val="en-GB"/>
        </w:rPr>
        <w:t xml:space="preserve"> She also sounded two important notes of caution. First, concurrent evidence placed a considerable burden of preparation on the trial judge and involved</w:t>
      </w:r>
      <w:r w:rsidR="00E33C51" w:rsidRPr="00876672">
        <w:rPr>
          <w:rFonts w:cs="Times New Roman"/>
          <w:lang w:val="en-GB"/>
        </w:rPr>
        <w:t>:</w:t>
      </w:r>
    </w:p>
    <w:p w14:paraId="30CC59B6" w14:textId="77777777" w:rsidR="0075431D" w:rsidRPr="00876672" w:rsidRDefault="0075431D" w:rsidP="003D0BBA">
      <w:pPr>
        <w:tabs>
          <w:tab w:val="left" w:pos="284"/>
        </w:tabs>
        <w:ind w:right="-248"/>
        <w:rPr>
          <w:rFonts w:cs="Times New Roman"/>
          <w:lang w:val="en-GB"/>
        </w:rPr>
      </w:pPr>
      <w:r w:rsidRPr="00876672">
        <w:rPr>
          <w:rFonts w:cs="Times New Roman"/>
          <w:lang w:val="en-GB"/>
        </w:rPr>
        <w:t xml:space="preserve"> </w:t>
      </w:r>
    </w:p>
    <w:p w14:paraId="2A9A74F5" w14:textId="77777777" w:rsidR="00522355" w:rsidRPr="002A3741" w:rsidRDefault="0075431D" w:rsidP="003D0BBA">
      <w:pPr>
        <w:ind w:left="720" w:right="-248"/>
        <w:rPr>
          <w:rFonts w:cs="Times New Roman"/>
          <w:sz w:val="20"/>
          <w:szCs w:val="20"/>
        </w:rPr>
      </w:pPr>
      <w:r w:rsidRPr="002A3741">
        <w:rPr>
          <w:rFonts w:cs="Times New Roman"/>
          <w:sz w:val="20"/>
          <w:szCs w:val="20"/>
        </w:rPr>
        <w:t>a substantial shift from the passive judge who sits waiting for the case to unfold before her, to an active inquisitor who has the responsibility for ensuring that the discussion agenda is comprehensive and that the evidence is properly heard and tested. This requires the involvement of judges who are enthusiastic about the procedure, who are conscientious about their role and diligent in undertaking the additional work.</w:t>
      </w:r>
      <w:r w:rsidRPr="002A3741">
        <w:rPr>
          <w:rStyle w:val="FootnoteReference"/>
          <w:rFonts w:cs="Times New Roman"/>
          <w:sz w:val="20"/>
          <w:szCs w:val="20"/>
        </w:rPr>
        <w:footnoteReference w:id="20"/>
      </w:r>
    </w:p>
    <w:p w14:paraId="0285ACAE" w14:textId="77777777" w:rsidR="0075431D" w:rsidRPr="00876672" w:rsidRDefault="0075431D" w:rsidP="003D0BBA">
      <w:pPr>
        <w:ind w:left="720" w:right="-248"/>
        <w:rPr>
          <w:rFonts w:cs="Times New Roman"/>
        </w:rPr>
      </w:pPr>
    </w:p>
    <w:p w14:paraId="5D3E423C" w14:textId="77777777" w:rsidR="008D6160" w:rsidRPr="00876672" w:rsidRDefault="0075431D" w:rsidP="003D0BBA">
      <w:pPr>
        <w:ind w:right="-248"/>
        <w:rPr>
          <w:rFonts w:cs="Times New Roman"/>
          <w:lang w:val="en-GB"/>
        </w:rPr>
      </w:pPr>
      <w:r w:rsidRPr="00876672">
        <w:rPr>
          <w:rFonts w:cs="Times New Roman"/>
        </w:rPr>
        <w:t>Secondly, some of those interviewed expressed concerns that the influence of presentational factors might be magnified where the experts engaged in face-to-face debate</w:t>
      </w:r>
      <w:r w:rsidR="00E62C91" w:rsidRPr="00876672">
        <w:rPr>
          <w:rFonts w:cs="Times New Roman"/>
        </w:rPr>
        <w:t>.</w:t>
      </w:r>
      <w:r w:rsidR="00C523DA" w:rsidRPr="00876672">
        <w:rPr>
          <w:rFonts w:cs="Times New Roman"/>
          <w:lang w:val="en-GB"/>
        </w:rPr>
        <w:tab/>
      </w:r>
    </w:p>
    <w:p w14:paraId="387FEC63" w14:textId="44D9686B" w:rsidR="008D6160" w:rsidRPr="00876672" w:rsidRDefault="0049303C" w:rsidP="003D0BBA">
      <w:pPr>
        <w:tabs>
          <w:tab w:val="left" w:pos="284"/>
        </w:tabs>
        <w:ind w:right="-248"/>
        <w:rPr>
          <w:rFonts w:cs="Times New Roman"/>
        </w:rPr>
      </w:pPr>
      <w:r w:rsidRPr="00876672">
        <w:rPr>
          <w:rFonts w:cs="Times New Roman"/>
          <w:lang w:val="en-GB"/>
        </w:rPr>
        <w:tab/>
      </w:r>
      <w:r w:rsidR="00AA522E" w:rsidRPr="00876672">
        <w:rPr>
          <w:rFonts w:cs="Times New Roman"/>
          <w:lang w:val="en-GB"/>
        </w:rPr>
        <w:t xml:space="preserve">Although the CJC </w:t>
      </w:r>
      <w:r w:rsidR="00AF7AF9">
        <w:rPr>
          <w:rFonts w:cs="Times New Roman"/>
          <w:lang w:val="en-GB"/>
        </w:rPr>
        <w:t>R</w:t>
      </w:r>
      <w:r w:rsidR="00AA522E" w:rsidRPr="00876672">
        <w:rPr>
          <w:rFonts w:cs="Times New Roman"/>
          <w:lang w:val="en-GB"/>
        </w:rPr>
        <w:t xml:space="preserve">eview merely involved surveying a small sample of users and inviting a select group of judges to describe their </w:t>
      </w:r>
      <w:r w:rsidR="00E62C91" w:rsidRPr="00876672">
        <w:rPr>
          <w:rFonts w:cs="Times New Roman"/>
          <w:lang w:val="en-GB"/>
        </w:rPr>
        <w:t xml:space="preserve">experiences, the review claims to have </w:t>
      </w:r>
      <w:r w:rsidR="006D07F9">
        <w:rPr>
          <w:rFonts w:cs="Times New Roman"/>
          <w:lang w:val="en-GB"/>
        </w:rPr>
        <w:t>“</w:t>
      </w:r>
      <w:r w:rsidR="00E62C91" w:rsidRPr="00876672">
        <w:rPr>
          <w:rFonts w:cs="Times New Roman"/>
          <w:lang w:val="en-GB"/>
        </w:rPr>
        <w:t>tested whether [Jackson’s] rationales were being achieved</w:t>
      </w:r>
      <w:r w:rsidR="006D07F9">
        <w:rPr>
          <w:rFonts w:cs="Times New Roman"/>
          <w:lang w:val="en-GB"/>
        </w:rPr>
        <w:t>”</w:t>
      </w:r>
      <w:r w:rsidR="00E62C91" w:rsidRPr="00876672">
        <w:rPr>
          <w:rFonts w:cs="Times New Roman"/>
          <w:lang w:val="en-GB"/>
        </w:rPr>
        <w:t>.</w:t>
      </w:r>
      <w:r w:rsidR="00E62C91" w:rsidRPr="00876672">
        <w:rPr>
          <w:rStyle w:val="FootnoteReference"/>
          <w:rFonts w:cs="Times New Roman"/>
          <w:lang w:val="en-GB"/>
        </w:rPr>
        <w:footnoteReference w:id="21"/>
      </w:r>
      <w:r w:rsidR="008D6160" w:rsidRPr="00876672">
        <w:rPr>
          <w:rFonts w:cs="Times New Roman"/>
          <w:lang w:val="en-GB"/>
        </w:rPr>
        <w:t xml:space="preserve"> A more</w:t>
      </w:r>
      <w:r w:rsidR="00536EE8" w:rsidRPr="00876672">
        <w:rPr>
          <w:rFonts w:cs="Times New Roman"/>
        </w:rPr>
        <w:t xml:space="preserve"> rigorous</w:t>
      </w:r>
      <w:r w:rsidR="008D6160" w:rsidRPr="00876672">
        <w:rPr>
          <w:rFonts w:cs="Times New Roman"/>
        </w:rPr>
        <w:t xml:space="preserve"> approach might have involved, for example, a </w:t>
      </w:r>
      <w:r w:rsidR="00536EE8" w:rsidRPr="00876672">
        <w:rPr>
          <w:rFonts w:cs="Times New Roman"/>
        </w:rPr>
        <w:t xml:space="preserve">review by independent experts of the quality of evidence in various concurrent evidence sessions. </w:t>
      </w:r>
      <w:r w:rsidR="008D6160" w:rsidRPr="00876672">
        <w:rPr>
          <w:rFonts w:cs="Times New Roman"/>
        </w:rPr>
        <w:t>As it is</w:t>
      </w:r>
      <w:r w:rsidR="00536EE8" w:rsidRPr="00876672">
        <w:rPr>
          <w:rFonts w:cs="Times New Roman"/>
        </w:rPr>
        <w:t xml:space="preserve">, </w:t>
      </w:r>
      <w:r w:rsidR="008D6160" w:rsidRPr="00876672">
        <w:rPr>
          <w:rFonts w:cs="Times New Roman"/>
        </w:rPr>
        <w:t>the review is reliant</w:t>
      </w:r>
      <w:r w:rsidR="00536EE8" w:rsidRPr="00876672">
        <w:rPr>
          <w:rFonts w:cs="Times New Roman"/>
        </w:rPr>
        <w:t xml:space="preserve"> on the opinion of non-experts </w:t>
      </w:r>
      <w:r w:rsidR="002A3741">
        <w:rPr>
          <w:rFonts w:cs="Times New Roman"/>
        </w:rPr>
        <w:t>about</w:t>
      </w:r>
      <w:r w:rsidR="00536EE8" w:rsidRPr="00876672">
        <w:rPr>
          <w:rFonts w:cs="Times New Roman"/>
        </w:rPr>
        <w:t xml:space="preserve"> the value and quality of expert evidence and their </w:t>
      </w:r>
      <w:r w:rsidR="002A3741">
        <w:rPr>
          <w:rFonts w:cs="Times New Roman"/>
        </w:rPr>
        <w:t xml:space="preserve">own assessment of their </w:t>
      </w:r>
      <w:r w:rsidR="00536EE8" w:rsidRPr="00876672">
        <w:rPr>
          <w:rFonts w:cs="Times New Roman"/>
        </w:rPr>
        <w:t xml:space="preserve">ability to comprehend </w:t>
      </w:r>
      <w:r w:rsidR="002A3741">
        <w:rPr>
          <w:rFonts w:cs="Times New Roman"/>
        </w:rPr>
        <w:t>the evidence</w:t>
      </w:r>
      <w:r w:rsidR="00536EE8" w:rsidRPr="00876672">
        <w:rPr>
          <w:rFonts w:cs="Times New Roman"/>
        </w:rPr>
        <w:t xml:space="preserve">.  </w:t>
      </w:r>
    </w:p>
    <w:p w14:paraId="1E9C74B9" w14:textId="4E0A48E9" w:rsidR="00CB7321" w:rsidRPr="00876672" w:rsidRDefault="0049303C" w:rsidP="003D0BBA">
      <w:pPr>
        <w:tabs>
          <w:tab w:val="left" w:pos="284"/>
        </w:tabs>
        <w:ind w:right="-248"/>
        <w:rPr>
          <w:rFonts w:cs="Times New Roman"/>
          <w:lang w:val="en-GB"/>
        </w:rPr>
      </w:pPr>
      <w:r w:rsidRPr="00876672">
        <w:rPr>
          <w:rFonts w:cs="Times New Roman"/>
          <w:lang w:val="en-GB"/>
        </w:rPr>
        <w:tab/>
      </w:r>
      <w:r w:rsidR="002A3741">
        <w:rPr>
          <w:rFonts w:cs="Times New Roman"/>
          <w:lang w:val="en-GB"/>
        </w:rPr>
        <w:t xml:space="preserve">The </w:t>
      </w:r>
      <w:r w:rsidR="00495A02">
        <w:rPr>
          <w:rFonts w:cs="Times New Roman"/>
          <w:lang w:val="en-GB"/>
        </w:rPr>
        <w:t xml:space="preserve">CJC </w:t>
      </w:r>
      <w:r w:rsidR="00935C72">
        <w:rPr>
          <w:rFonts w:cs="Times New Roman"/>
          <w:lang w:val="en-GB"/>
        </w:rPr>
        <w:t>r</w:t>
      </w:r>
      <w:r w:rsidR="00495A02">
        <w:rPr>
          <w:rFonts w:cs="Times New Roman"/>
          <w:lang w:val="en-GB"/>
        </w:rPr>
        <w:t>eport</w:t>
      </w:r>
      <w:r w:rsidR="002A3741">
        <w:rPr>
          <w:rFonts w:cs="Times New Roman"/>
          <w:lang w:val="en-GB"/>
        </w:rPr>
        <w:t xml:space="preserve">ed </w:t>
      </w:r>
      <w:r w:rsidR="001B33DA" w:rsidRPr="00876672">
        <w:rPr>
          <w:rFonts w:cs="Times New Roman"/>
          <w:lang w:val="en-GB"/>
        </w:rPr>
        <w:t xml:space="preserve">some </w:t>
      </w:r>
      <w:r w:rsidR="00495279" w:rsidRPr="00876672">
        <w:rPr>
          <w:rFonts w:cs="Times New Roman"/>
          <w:lang w:val="en-GB"/>
        </w:rPr>
        <w:t>anecdotal support for time savings</w:t>
      </w:r>
      <w:r w:rsidR="008D6160" w:rsidRPr="00876672">
        <w:rPr>
          <w:rFonts w:cs="Times New Roman"/>
          <w:lang w:val="en-GB"/>
        </w:rPr>
        <w:t>, but</w:t>
      </w:r>
      <w:r w:rsidR="00CB7321" w:rsidRPr="00876672">
        <w:rPr>
          <w:rFonts w:cs="Times New Roman"/>
          <w:lang w:val="en-GB"/>
        </w:rPr>
        <w:t xml:space="preserve"> several respondents questioned whether time was reduced</w:t>
      </w:r>
      <w:r w:rsidR="00935C72">
        <w:rPr>
          <w:rFonts w:cs="Times New Roman"/>
          <w:lang w:val="en-GB"/>
        </w:rPr>
        <w:t xml:space="preserve"> overall</w:t>
      </w:r>
      <w:r w:rsidR="00CB7321" w:rsidRPr="00876672">
        <w:rPr>
          <w:rFonts w:cs="Times New Roman"/>
          <w:lang w:val="en-GB"/>
        </w:rPr>
        <w:t>, even if less of the court’s time was occupied with experts. One p</w:t>
      </w:r>
      <w:r w:rsidR="006E2A1A">
        <w:rPr>
          <w:rFonts w:cs="Times New Roman"/>
          <w:lang w:val="en-GB"/>
        </w:rPr>
        <w:t xml:space="preserve">oint not identified in the CJC </w:t>
      </w:r>
      <w:r w:rsidR="009E692A">
        <w:rPr>
          <w:rFonts w:cs="Times New Roman"/>
          <w:lang w:val="en-GB"/>
        </w:rPr>
        <w:t>R</w:t>
      </w:r>
      <w:r w:rsidR="00CB7321" w:rsidRPr="00876672">
        <w:rPr>
          <w:rFonts w:cs="Times New Roman"/>
          <w:lang w:val="en-GB"/>
        </w:rPr>
        <w:t xml:space="preserve">eport is that sometimes the individual experts spend longer in court as a group than each might have spent as a single expert, even where the overall court time dedicated to experts is reduced. </w:t>
      </w:r>
      <w:r w:rsidR="00495279" w:rsidRPr="00876672">
        <w:rPr>
          <w:rFonts w:cs="Times New Roman"/>
          <w:lang w:val="en-GB"/>
        </w:rPr>
        <w:t>The</w:t>
      </w:r>
      <w:r w:rsidR="00C523DA" w:rsidRPr="00876672">
        <w:rPr>
          <w:rFonts w:cs="Times New Roman"/>
          <w:lang w:val="en-GB"/>
        </w:rPr>
        <w:t xml:space="preserve"> report </w:t>
      </w:r>
      <w:r w:rsidR="008D6160" w:rsidRPr="00876672">
        <w:rPr>
          <w:rFonts w:cs="Times New Roman"/>
          <w:lang w:val="en-GB"/>
        </w:rPr>
        <w:t xml:space="preserve">does </w:t>
      </w:r>
      <w:r w:rsidR="00C523DA" w:rsidRPr="00876672">
        <w:rPr>
          <w:rFonts w:cs="Times New Roman"/>
          <w:lang w:val="en-GB"/>
        </w:rPr>
        <w:t>recognise</w:t>
      </w:r>
      <w:r w:rsidR="00B53A76" w:rsidRPr="00876672">
        <w:rPr>
          <w:rFonts w:cs="Times New Roman"/>
          <w:lang w:val="en-GB"/>
        </w:rPr>
        <w:t xml:space="preserve"> the</w:t>
      </w:r>
      <w:r w:rsidR="00495279" w:rsidRPr="00876672">
        <w:rPr>
          <w:rFonts w:cs="Times New Roman"/>
          <w:lang w:val="en-GB"/>
        </w:rPr>
        <w:t xml:space="preserve"> </w:t>
      </w:r>
      <w:r w:rsidR="006D07F9">
        <w:rPr>
          <w:rFonts w:cs="Times New Roman"/>
          <w:lang w:val="en-GB"/>
        </w:rPr>
        <w:t>“</w:t>
      </w:r>
      <w:r w:rsidR="00C523DA" w:rsidRPr="00876672">
        <w:rPr>
          <w:rFonts w:cs="Times New Roman"/>
          <w:lang w:val="en-GB"/>
        </w:rPr>
        <w:t>issue of judicial preparation time</w:t>
      </w:r>
      <w:r w:rsidR="006D07F9">
        <w:rPr>
          <w:rFonts w:cs="Times New Roman"/>
          <w:lang w:val="en-GB"/>
        </w:rPr>
        <w:t>”</w:t>
      </w:r>
      <w:r w:rsidR="00796177" w:rsidRPr="00876672">
        <w:rPr>
          <w:rFonts w:cs="Times New Roman"/>
          <w:lang w:val="en-GB"/>
        </w:rPr>
        <w:t>,</w:t>
      </w:r>
      <w:r w:rsidR="004E293C" w:rsidRPr="00876672">
        <w:rPr>
          <w:rFonts w:cs="Times New Roman"/>
          <w:lang w:val="en-GB"/>
        </w:rPr>
        <w:t xml:space="preserve"> </w:t>
      </w:r>
      <w:r w:rsidR="00AD4CEF" w:rsidRPr="00876672">
        <w:rPr>
          <w:rFonts w:cs="Times New Roman"/>
          <w:lang w:val="en-GB"/>
        </w:rPr>
        <w:t xml:space="preserve">especially where </w:t>
      </w:r>
      <w:r w:rsidR="004E293C" w:rsidRPr="00876672">
        <w:rPr>
          <w:rFonts w:cs="Times New Roman"/>
          <w:lang w:val="en-GB"/>
        </w:rPr>
        <w:t>concurrent evidence</w:t>
      </w:r>
      <w:r w:rsidR="00AD4CEF" w:rsidRPr="00876672">
        <w:rPr>
          <w:rFonts w:cs="Times New Roman"/>
          <w:lang w:val="en-GB"/>
        </w:rPr>
        <w:t xml:space="preserve"> involves </w:t>
      </w:r>
      <w:r w:rsidR="008D6160" w:rsidRPr="00876672">
        <w:rPr>
          <w:rFonts w:cs="Times New Roman"/>
          <w:lang w:val="en-GB"/>
        </w:rPr>
        <w:t xml:space="preserve">judge-led </w:t>
      </w:r>
      <w:r w:rsidR="00AD4CEF" w:rsidRPr="00876672">
        <w:rPr>
          <w:rFonts w:cs="Times New Roman"/>
          <w:lang w:val="en-GB"/>
        </w:rPr>
        <w:t xml:space="preserve">questioning, </w:t>
      </w:r>
      <w:r w:rsidR="008D6160" w:rsidRPr="00876672">
        <w:rPr>
          <w:rFonts w:cs="Times New Roman"/>
          <w:lang w:val="en-GB"/>
        </w:rPr>
        <w:t xml:space="preserve">which </w:t>
      </w:r>
      <w:r w:rsidR="00AD4CEF" w:rsidRPr="00876672">
        <w:rPr>
          <w:rFonts w:cs="Times New Roman"/>
          <w:lang w:val="en-GB"/>
        </w:rPr>
        <w:t>may require considerable preparation</w:t>
      </w:r>
      <w:r w:rsidR="00935C72">
        <w:rPr>
          <w:rFonts w:cs="Times New Roman"/>
          <w:lang w:val="en-GB"/>
        </w:rPr>
        <w:t>:</w:t>
      </w:r>
      <w:r w:rsidR="00AD4CEF" w:rsidRPr="00876672">
        <w:rPr>
          <w:rFonts w:cs="Times New Roman"/>
          <w:lang w:val="en-GB"/>
        </w:rPr>
        <w:t xml:space="preserve"> </w:t>
      </w:r>
      <w:r w:rsidR="006D07F9">
        <w:rPr>
          <w:rFonts w:cs="Times New Roman"/>
          <w:lang w:val="en-GB"/>
        </w:rPr>
        <w:t>“</w:t>
      </w:r>
      <w:r w:rsidR="008D6160" w:rsidRPr="00876672">
        <w:rPr>
          <w:rFonts w:cs="Times New Roman"/>
          <w:lang w:val="en-GB"/>
        </w:rPr>
        <w:t>I</w:t>
      </w:r>
      <w:r w:rsidR="00AD4CEF" w:rsidRPr="00876672">
        <w:rPr>
          <w:rFonts w:cs="Times New Roman"/>
          <w:lang w:val="en-GB"/>
        </w:rPr>
        <w:t>ndeed, to a large degree, the success or otherwise of hot-tubbing largely depends upon this preparedness.</w:t>
      </w:r>
      <w:r w:rsidR="006D07F9">
        <w:rPr>
          <w:rFonts w:cs="Times New Roman"/>
          <w:lang w:val="en-GB"/>
        </w:rPr>
        <w:t>”</w:t>
      </w:r>
      <w:r w:rsidR="00AD4CEF" w:rsidRPr="00876672">
        <w:rPr>
          <w:rStyle w:val="FootnoteReference"/>
          <w:rFonts w:cs="Times New Roman"/>
          <w:lang w:val="en-GB"/>
        </w:rPr>
        <w:footnoteReference w:id="22"/>
      </w:r>
      <w:r w:rsidR="00C523DA" w:rsidRPr="00876672">
        <w:rPr>
          <w:rFonts w:cs="Times New Roman"/>
          <w:lang w:val="en-GB"/>
        </w:rPr>
        <w:t xml:space="preserve"> Where judges are required to undertake additional trial preparation this </w:t>
      </w:r>
      <w:r w:rsidR="006D07F9">
        <w:rPr>
          <w:rFonts w:cs="Times New Roman"/>
          <w:lang w:val="en-GB"/>
        </w:rPr>
        <w:t>“</w:t>
      </w:r>
      <w:r w:rsidR="00C523DA" w:rsidRPr="00876672">
        <w:rPr>
          <w:rFonts w:cs="Times New Roman"/>
          <w:lang w:val="en-GB"/>
        </w:rPr>
        <w:t>increase[</w:t>
      </w:r>
      <w:r w:rsidR="00495279" w:rsidRPr="00876672">
        <w:rPr>
          <w:rFonts w:cs="Times New Roman"/>
          <w:lang w:val="en-GB"/>
        </w:rPr>
        <w:t xml:space="preserve">s] the cost to the </w:t>
      </w:r>
      <w:r w:rsidR="006D07F9">
        <w:rPr>
          <w:rFonts w:cs="Times New Roman"/>
          <w:lang w:val="en-GB"/>
        </w:rPr>
        <w:t>‘</w:t>
      </w:r>
      <w:r w:rsidR="00495279" w:rsidRPr="00876672">
        <w:rPr>
          <w:rFonts w:cs="Times New Roman"/>
          <w:lang w:val="en-GB"/>
        </w:rPr>
        <w:t>public purse</w:t>
      </w:r>
      <w:r w:rsidR="006D07F9">
        <w:rPr>
          <w:rFonts w:cs="Times New Roman"/>
          <w:lang w:val="en-GB"/>
        </w:rPr>
        <w:t>’</w:t>
      </w:r>
      <w:r w:rsidR="00495279" w:rsidRPr="00876672">
        <w:rPr>
          <w:rFonts w:cs="Times New Roman"/>
          <w:lang w:val="en-GB"/>
        </w:rPr>
        <w:t>” and may not reduce the actual costs to the parties</w:t>
      </w:r>
      <w:r w:rsidR="00935C72">
        <w:rPr>
          <w:rFonts w:cs="Times New Roman"/>
          <w:lang w:val="en-GB"/>
        </w:rPr>
        <w:t xml:space="preserve"> – as counsel are simultaneously obliged to prepare</w:t>
      </w:r>
      <w:r w:rsidR="00495279" w:rsidRPr="00876672">
        <w:rPr>
          <w:rFonts w:cs="Times New Roman"/>
          <w:lang w:val="en-GB"/>
        </w:rPr>
        <w:t>.</w:t>
      </w:r>
      <w:r w:rsidR="00495279" w:rsidRPr="00876672">
        <w:rPr>
          <w:rStyle w:val="FootnoteReference"/>
          <w:rFonts w:cs="Times New Roman"/>
          <w:lang w:val="en-GB"/>
        </w:rPr>
        <w:footnoteReference w:id="23"/>
      </w:r>
      <w:r w:rsidR="0013183C" w:rsidRPr="00876672">
        <w:rPr>
          <w:rFonts w:cs="Times New Roman"/>
          <w:lang w:val="en-GB"/>
        </w:rPr>
        <w:t xml:space="preserve"> </w:t>
      </w:r>
    </w:p>
    <w:p w14:paraId="7336A01D" w14:textId="7C95153A" w:rsidR="00BC22D3" w:rsidRPr="00876672" w:rsidRDefault="005D1CC5" w:rsidP="003D0BBA">
      <w:pPr>
        <w:tabs>
          <w:tab w:val="left" w:pos="284"/>
        </w:tabs>
        <w:ind w:right="-248"/>
        <w:rPr>
          <w:rFonts w:cs="Times New Roman"/>
          <w:lang w:val="en-GB"/>
        </w:rPr>
      </w:pPr>
      <w:r w:rsidRPr="00876672">
        <w:rPr>
          <w:rFonts w:cs="Times New Roman"/>
          <w:lang w:val="en-GB"/>
        </w:rPr>
        <w:tab/>
      </w:r>
      <w:r w:rsidR="00572316" w:rsidRPr="00876672">
        <w:rPr>
          <w:rFonts w:cs="Times New Roman"/>
          <w:lang w:val="en-GB"/>
        </w:rPr>
        <w:t xml:space="preserve">On the quality of the evidence, </w:t>
      </w:r>
      <w:r w:rsidR="006D07F9">
        <w:rPr>
          <w:rFonts w:cs="Times New Roman"/>
          <w:lang w:val="en-GB"/>
        </w:rPr>
        <w:t>“</w:t>
      </w:r>
      <w:r w:rsidR="001C5B3B" w:rsidRPr="00876672">
        <w:rPr>
          <w:rFonts w:cs="Times New Roman"/>
          <w:lang w:val="en-GB"/>
        </w:rPr>
        <w:t>83</w:t>
      </w:r>
      <w:r w:rsidRPr="00876672">
        <w:rPr>
          <w:rFonts w:cs="Times New Roman"/>
          <w:lang w:val="en-GB"/>
        </w:rPr>
        <w:t>%</w:t>
      </w:r>
      <w:r w:rsidR="006D07F9">
        <w:rPr>
          <w:rFonts w:cs="Times New Roman"/>
          <w:lang w:val="en-GB"/>
        </w:rPr>
        <w:t>”</w:t>
      </w:r>
      <w:r w:rsidRPr="00876672">
        <w:rPr>
          <w:rFonts w:cs="Times New Roman"/>
          <w:lang w:val="en-GB"/>
        </w:rPr>
        <w:t xml:space="preserve"> </w:t>
      </w:r>
      <w:r w:rsidR="001C5B3B" w:rsidRPr="00876672">
        <w:rPr>
          <w:rFonts w:cs="Times New Roman"/>
          <w:lang w:val="en-GB"/>
        </w:rPr>
        <w:t>(</w:t>
      </w:r>
      <w:r w:rsidRPr="00876672">
        <w:rPr>
          <w:rFonts w:cs="Times New Roman"/>
          <w:lang w:val="en-GB"/>
        </w:rPr>
        <w:t>or</w:t>
      </w:r>
      <w:r w:rsidR="00EF0E62" w:rsidRPr="00876672">
        <w:rPr>
          <w:rFonts w:cs="Times New Roman"/>
          <w:lang w:val="en-GB"/>
        </w:rPr>
        <w:t>, more modestly,</w:t>
      </w:r>
      <w:r w:rsidRPr="00876672">
        <w:rPr>
          <w:rFonts w:cs="Times New Roman"/>
          <w:lang w:val="en-GB"/>
        </w:rPr>
        <w:t xml:space="preserve"> </w:t>
      </w:r>
      <w:r w:rsidR="00345564" w:rsidRPr="00876672">
        <w:rPr>
          <w:rFonts w:cs="Times New Roman"/>
          <w:lang w:val="en-GB"/>
        </w:rPr>
        <w:t>5</w:t>
      </w:r>
      <w:r w:rsidRPr="00876672">
        <w:rPr>
          <w:rFonts w:cs="Times New Roman"/>
          <w:lang w:val="en-GB"/>
        </w:rPr>
        <w:t xml:space="preserve"> of </w:t>
      </w:r>
      <w:r w:rsidR="00345564" w:rsidRPr="00876672">
        <w:rPr>
          <w:rFonts w:cs="Times New Roman"/>
          <w:lang w:val="en-GB"/>
        </w:rPr>
        <w:t>6</w:t>
      </w:r>
      <w:r w:rsidR="001C5B3B" w:rsidRPr="00876672">
        <w:rPr>
          <w:rFonts w:cs="Times New Roman"/>
          <w:lang w:val="en-GB"/>
        </w:rPr>
        <w:t>)</w:t>
      </w:r>
      <w:r w:rsidRPr="00876672">
        <w:rPr>
          <w:rFonts w:cs="Times New Roman"/>
          <w:lang w:val="en-GB"/>
        </w:rPr>
        <w:t xml:space="preserve"> </w:t>
      </w:r>
      <w:r w:rsidR="006D07F9">
        <w:rPr>
          <w:rFonts w:cs="Times New Roman"/>
          <w:lang w:val="en-GB"/>
        </w:rPr>
        <w:t>“</w:t>
      </w:r>
      <w:r w:rsidRPr="00876672">
        <w:rPr>
          <w:rFonts w:cs="Times New Roman"/>
          <w:lang w:val="en-GB"/>
        </w:rPr>
        <w:t>of</w:t>
      </w:r>
      <w:r w:rsidR="00676A88" w:rsidRPr="00876672">
        <w:rPr>
          <w:rFonts w:cs="Times New Roman"/>
          <w:lang w:val="en-GB"/>
        </w:rPr>
        <w:t xml:space="preserve"> </w:t>
      </w:r>
      <w:r w:rsidRPr="00876672">
        <w:rPr>
          <w:rFonts w:cs="Times New Roman"/>
          <w:lang w:val="en-GB"/>
        </w:rPr>
        <w:t>the judicial respondents</w:t>
      </w:r>
      <w:r w:rsidR="002628E6" w:rsidRPr="00876672">
        <w:rPr>
          <w:rFonts w:cs="Times New Roman"/>
          <w:lang w:val="en-GB"/>
        </w:rPr>
        <w:t xml:space="preserve"> considered</w:t>
      </w:r>
      <w:r w:rsidR="001C5B3B" w:rsidRPr="00876672">
        <w:rPr>
          <w:rFonts w:cs="Times New Roman"/>
          <w:lang w:val="en-GB"/>
        </w:rPr>
        <w:t xml:space="preserve"> tha</w:t>
      </w:r>
      <w:r w:rsidR="002628E6" w:rsidRPr="00876672">
        <w:rPr>
          <w:rFonts w:cs="Times New Roman"/>
          <w:lang w:val="en-GB"/>
        </w:rPr>
        <w:t>t the quality of the expert evidence was improved, where it was given via hot-tubbing.</w:t>
      </w:r>
      <w:r w:rsidR="006D07F9">
        <w:rPr>
          <w:rFonts w:cs="Times New Roman"/>
          <w:lang w:val="en-GB"/>
        </w:rPr>
        <w:t>”</w:t>
      </w:r>
      <w:r w:rsidR="00676A88" w:rsidRPr="00876672">
        <w:rPr>
          <w:rStyle w:val="FootnoteReference"/>
          <w:rFonts w:cs="Times New Roman"/>
          <w:lang w:val="en-GB"/>
        </w:rPr>
        <w:footnoteReference w:id="24"/>
      </w:r>
      <w:r w:rsidR="001C5B3B" w:rsidRPr="00876672">
        <w:rPr>
          <w:rFonts w:cs="Times New Roman"/>
          <w:lang w:val="en-GB"/>
        </w:rPr>
        <w:t xml:space="preserve"> Lawyers were equally positive, but only a slight majority of the experts (60%) thought so.</w:t>
      </w:r>
      <w:r w:rsidR="00781EEF" w:rsidRPr="00876672">
        <w:rPr>
          <w:rFonts w:cs="Times New Roman"/>
          <w:lang w:val="en-GB"/>
        </w:rPr>
        <w:t xml:space="preserve"> </w:t>
      </w:r>
      <w:r w:rsidR="001B33DA" w:rsidRPr="00876672">
        <w:rPr>
          <w:rFonts w:cs="Times New Roman"/>
          <w:lang w:val="en-GB"/>
        </w:rPr>
        <w:t>Roughly a</w:t>
      </w:r>
      <w:r w:rsidR="00781EEF" w:rsidRPr="00876672">
        <w:rPr>
          <w:rFonts w:cs="Times New Roman"/>
          <w:lang w:val="en-GB"/>
        </w:rPr>
        <w:t xml:space="preserve"> third (30%) of </w:t>
      </w:r>
      <w:r w:rsidR="001B33DA" w:rsidRPr="00876672">
        <w:rPr>
          <w:rFonts w:cs="Times New Roman"/>
          <w:lang w:val="en-GB"/>
        </w:rPr>
        <w:t xml:space="preserve">the respondent </w:t>
      </w:r>
      <w:r w:rsidR="00781EEF" w:rsidRPr="00876672">
        <w:rPr>
          <w:rFonts w:cs="Times New Roman"/>
          <w:lang w:val="en-GB"/>
        </w:rPr>
        <w:t>experts did not believe that hot-tubbing improved the quality of expert evidence.</w:t>
      </w:r>
      <w:r w:rsidR="00781EEF" w:rsidRPr="00876672">
        <w:rPr>
          <w:rStyle w:val="FootnoteReference"/>
          <w:rFonts w:cs="Times New Roman"/>
          <w:lang w:val="en-GB"/>
        </w:rPr>
        <w:footnoteReference w:id="25"/>
      </w:r>
      <w:r w:rsidR="001C5B3B" w:rsidRPr="00876672">
        <w:rPr>
          <w:rFonts w:cs="Times New Roman"/>
          <w:lang w:val="en-GB"/>
        </w:rPr>
        <w:t xml:space="preserve"> The real issue here is the basis </w:t>
      </w:r>
      <w:r w:rsidR="00B53A76" w:rsidRPr="00876672">
        <w:rPr>
          <w:rFonts w:cs="Times New Roman"/>
          <w:lang w:val="en-GB"/>
        </w:rPr>
        <w:t xml:space="preserve">on which non-experts can make </w:t>
      </w:r>
      <w:r w:rsidR="001C5B3B" w:rsidRPr="00876672">
        <w:rPr>
          <w:rFonts w:cs="Times New Roman"/>
          <w:lang w:val="en-GB"/>
        </w:rPr>
        <w:t>credible assessment</w:t>
      </w:r>
      <w:r w:rsidR="00B53A76" w:rsidRPr="00876672">
        <w:rPr>
          <w:rFonts w:cs="Times New Roman"/>
          <w:lang w:val="en-GB"/>
        </w:rPr>
        <w:t>s</w:t>
      </w:r>
      <w:r w:rsidR="001C5B3B" w:rsidRPr="00876672">
        <w:rPr>
          <w:rFonts w:cs="Times New Roman"/>
          <w:lang w:val="en-GB"/>
        </w:rPr>
        <w:t xml:space="preserve"> of the quality of expert opinion</w:t>
      </w:r>
      <w:r w:rsidR="001B33DA" w:rsidRPr="00876672">
        <w:rPr>
          <w:rFonts w:cs="Times New Roman"/>
          <w:lang w:val="en-GB"/>
        </w:rPr>
        <w:t>. This extends</w:t>
      </w:r>
      <w:r w:rsidR="001C5B3B" w:rsidRPr="00876672">
        <w:rPr>
          <w:rFonts w:cs="Times New Roman"/>
          <w:lang w:val="en-GB"/>
        </w:rPr>
        <w:t xml:space="preserve"> beyond the issue of</w:t>
      </w:r>
      <w:r w:rsidR="00B53A76" w:rsidRPr="00876672">
        <w:rPr>
          <w:rFonts w:cs="Times New Roman"/>
          <w:lang w:val="en-GB"/>
        </w:rPr>
        <w:t xml:space="preserve"> </w:t>
      </w:r>
      <w:r w:rsidR="009539ED" w:rsidRPr="00876672">
        <w:rPr>
          <w:rFonts w:cs="Times New Roman"/>
          <w:lang w:val="en-GB"/>
        </w:rPr>
        <w:t xml:space="preserve">the </w:t>
      </w:r>
      <w:r w:rsidR="00B53A76" w:rsidRPr="00876672">
        <w:rPr>
          <w:rFonts w:cs="Times New Roman"/>
          <w:lang w:val="en-GB"/>
        </w:rPr>
        <w:t>potential for</w:t>
      </w:r>
      <w:r w:rsidR="001C5B3B" w:rsidRPr="00876672">
        <w:rPr>
          <w:rFonts w:cs="Times New Roman"/>
          <w:lang w:val="en-GB"/>
        </w:rPr>
        <w:t xml:space="preserve"> </w:t>
      </w:r>
      <w:r w:rsidR="00B53A76" w:rsidRPr="00876672">
        <w:rPr>
          <w:rFonts w:cs="Times New Roman"/>
          <w:lang w:val="en-GB"/>
        </w:rPr>
        <w:t>improved</w:t>
      </w:r>
      <w:r w:rsidR="001C5B3B" w:rsidRPr="00876672">
        <w:rPr>
          <w:rFonts w:cs="Times New Roman"/>
          <w:lang w:val="en-GB"/>
        </w:rPr>
        <w:t xml:space="preserve"> comprehension</w:t>
      </w:r>
      <w:r w:rsidR="00B202B9" w:rsidRPr="00876672">
        <w:rPr>
          <w:rFonts w:cs="Times New Roman"/>
          <w:lang w:val="en-GB"/>
        </w:rPr>
        <w:t xml:space="preserve"> (from hearing the expert evidence simultaneously or in close contemporaneity)</w:t>
      </w:r>
      <w:r w:rsidR="009539ED" w:rsidRPr="00876672">
        <w:rPr>
          <w:rFonts w:cs="Times New Roman"/>
          <w:lang w:val="en-GB"/>
        </w:rPr>
        <w:t xml:space="preserve"> to some </w:t>
      </w:r>
      <w:r w:rsidR="009539ED" w:rsidRPr="00876672">
        <w:rPr>
          <w:rFonts w:cs="Times New Roman"/>
          <w:lang w:val="en-GB"/>
        </w:rPr>
        <w:lastRenderedPageBreak/>
        <w:t>explanation for why</w:t>
      </w:r>
      <w:r w:rsidR="001C5B3B" w:rsidRPr="00876672">
        <w:rPr>
          <w:rFonts w:cs="Times New Roman"/>
          <w:lang w:val="en-GB"/>
        </w:rPr>
        <w:t xml:space="preserve"> the procedure would </w:t>
      </w:r>
      <w:r w:rsidR="00B53A76" w:rsidRPr="00876672">
        <w:rPr>
          <w:rFonts w:cs="Times New Roman"/>
          <w:lang w:val="en-GB"/>
        </w:rPr>
        <w:t>enhance the</w:t>
      </w:r>
      <w:r w:rsidR="001C5B3B" w:rsidRPr="00876672">
        <w:rPr>
          <w:rFonts w:cs="Times New Roman"/>
          <w:lang w:val="en-GB"/>
        </w:rPr>
        <w:t xml:space="preserve"> quality</w:t>
      </w:r>
      <w:r w:rsidR="009A1631" w:rsidRPr="00876672">
        <w:rPr>
          <w:rFonts w:cs="Times New Roman"/>
          <w:lang w:val="en-GB"/>
        </w:rPr>
        <w:t xml:space="preserve"> of evidence. A procedure </w:t>
      </w:r>
      <w:r w:rsidR="002060CA">
        <w:rPr>
          <w:rFonts w:cs="Times New Roman"/>
          <w:lang w:val="en-GB"/>
        </w:rPr>
        <w:t xml:space="preserve">may </w:t>
      </w:r>
      <w:r w:rsidR="009A1631" w:rsidRPr="00876672">
        <w:rPr>
          <w:rFonts w:cs="Times New Roman"/>
          <w:lang w:val="en-GB"/>
        </w:rPr>
        <w:t>generat</w:t>
      </w:r>
      <w:r w:rsidR="002060CA">
        <w:rPr>
          <w:rFonts w:cs="Times New Roman"/>
          <w:lang w:val="en-GB"/>
        </w:rPr>
        <w:t>e</w:t>
      </w:r>
      <w:r w:rsidR="009A1631" w:rsidRPr="00876672">
        <w:rPr>
          <w:rFonts w:cs="Times New Roman"/>
          <w:lang w:val="en-GB"/>
        </w:rPr>
        <w:t xml:space="preserve"> more cordiality</w:t>
      </w:r>
      <w:r w:rsidR="001C5B3B" w:rsidRPr="00876672">
        <w:rPr>
          <w:rFonts w:cs="Times New Roman"/>
          <w:lang w:val="en-GB"/>
        </w:rPr>
        <w:t xml:space="preserve">, </w:t>
      </w:r>
      <w:r w:rsidR="009A1631" w:rsidRPr="00876672">
        <w:rPr>
          <w:rFonts w:cs="Times New Roman"/>
          <w:lang w:val="en-GB"/>
        </w:rPr>
        <w:t>more</w:t>
      </w:r>
      <w:r w:rsidR="001C5B3B" w:rsidRPr="00876672">
        <w:rPr>
          <w:rFonts w:cs="Times New Roman"/>
          <w:lang w:val="en-GB"/>
        </w:rPr>
        <w:t xml:space="preserve"> moderation, </w:t>
      </w:r>
      <w:r w:rsidR="009A1631" w:rsidRPr="00876672">
        <w:rPr>
          <w:rFonts w:cs="Times New Roman"/>
          <w:lang w:val="en-GB"/>
        </w:rPr>
        <w:t xml:space="preserve">and even </w:t>
      </w:r>
      <w:r w:rsidR="009539ED" w:rsidRPr="00876672">
        <w:rPr>
          <w:rFonts w:cs="Times New Roman"/>
          <w:lang w:val="en-GB"/>
        </w:rPr>
        <w:t xml:space="preserve">more </w:t>
      </w:r>
      <w:r w:rsidR="009A1631" w:rsidRPr="00876672">
        <w:rPr>
          <w:rFonts w:cs="Times New Roman"/>
          <w:lang w:val="en-GB"/>
        </w:rPr>
        <w:t>consensus without any improvement in the</w:t>
      </w:r>
      <w:r w:rsidR="002A3741">
        <w:rPr>
          <w:rFonts w:cs="Times New Roman"/>
          <w:lang w:val="en-GB"/>
        </w:rPr>
        <w:t xml:space="preserve"> underlying</w:t>
      </w:r>
      <w:r w:rsidR="009A1631" w:rsidRPr="00876672">
        <w:rPr>
          <w:rFonts w:cs="Times New Roman"/>
          <w:lang w:val="en-GB"/>
        </w:rPr>
        <w:t xml:space="preserve"> quality or representativeness of the opinions and agreement produced</w:t>
      </w:r>
      <w:r w:rsidR="001C5B3B" w:rsidRPr="00876672">
        <w:rPr>
          <w:rFonts w:cs="Times New Roman"/>
          <w:lang w:val="en-GB"/>
        </w:rPr>
        <w:t>.</w:t>
      </w:r>
      <w:r w:rsidR="00F91DB5" w:rsidRPr="00876672">
        <w:rPr>
          <w:rFonts w:cs="Times New Roman"/>
          <w:lang w:val="en-GB"/>
        </w:rPr>
        <w:t xml:space="preserve"> </w:t>
      </w:r>
    </w:p>
    <w:p w14:paraId="11A9809C" w14:textId="1AC43A96" w:rsidR="000C0991" w:rsidRPr="00876672" w:rsidRDefault="00B24E14" w:rsidP="003D0BBA">
      <w:pPr>
        <w:tabs>
          <w:tab w:val="left" w:pos="0"/>
          <w:tab w:val="left" w:pos="284"/>
        </w:tabs>
        <w:ind w:right="-248"/>
        <w:rPr>
          <w:rFonts w:cs="Times New Roman"/>
          <w:lang w:val="en-GB"/>
        </w:rPr>
      </w:pPr>
      <w:r w:rsidRPr="00876672">
        <w:rPr>
          <w:rFonts w:cs="Times New Roman"/>
          <w:lang w:val="en-GB"/>
        </w:rPr>
        <w:tab/>
        <w:t xml:space="preserve">This leads us to the </w:t>
      </w:r>
      <w:r w:rsidR="00F91DB5" w:rsidRPr="00876672">
        <w:rPr>
          <w:rFonts w:cs="Times New Roman"/>
          <w:lang w:val="en-GB"/>
        </w:rPr>
        <w:t>third point</w:t>
      </w:r>
      <w:r w:rsidR="00C069F8" w:rsidRPr="00876672">
        <w:rPr>
          <w:rFonts w:cs="Times New Roman"/>
          <w:lang w:val="en-GB"/>
        </w:rPr>
        <w:t>:</w:t>
      </w:r>
      <w:r w:rsidR="00F91DB5" w:rsidRPr="00876672">
        <w:rPr>
          <w:rFonts w:cs="Times New Roman"/>
          <w:lang w:val="en-GB"/>
        </w:rPr>
        <w:t xml:space="preserve"> </w:t>
      </w:r>
      <w:r w:rsidRPr="00876672">
        <w:rPr>
          <w:rFonts w:cs="Times New Roman"/>
          <w:lang w:val="en-GB"/>
        </w:rPr>
        <w:t>the</w:t>
      </w:r>
      <w:r w:rsidR="00F91DB5" w:rsidRPr="00876672">
        <w:rPr>
          <w:rFonts w:cs="Times New Roman"/>
          <w:lang w:val="en-GB"/>
        </w:rPr>
        <w:t xml:space="preserve"> judges </w:t>
      </w:r>
      <w:r w:rsidRPr="00876672">
        <w:rPr>
          <w:rFonts w:cs="Times New Roman"/>
          <w:lang w:val="en-GB"/>
        </w:rPr>
        <w:t xml:space="preserve">were unanimous in </w:t>
      </w:r>
      <w:r w:rsidR="00C069F8" w:rsidRPr="00876672">
        <w:rPr>
          <w:rFonts w:cs="Times New Roman"/>
          <w:lang w:val="en-GB"/>
        </w:rPr>
        <w:t>regarding</w:t>
      </w:r>
      <w:r w:rsidRPr="00876672">
        <w:rPr>
          <w:rFonts w:cs="Times New Roman"/>
          <w:lang w:val="en-GB"/>
        </w:rPr>
        <w:t xml:space="preserve"> the procedures </w:t>
      </w:r>
      <w:r w:rsidR="00C069F8" w:rsidRPr="00876672">
        <w:rPr>
          <w:rFonts w:cs="Times New Roman"/>
          <w:lang w:val="en-GB"/>
        </w:rPr>
        <w:t xml:space="preserve">as </w:t>
      </w:r>
      <w:r w:rsidR="006D07F9">
        <w:rPr>
          <w:rFonts w:cs="Times New Roman"/>
          <w:lang w:val="en-GB"/>
        </w:rPr>
        <w:t>“</w:t>
      </w:r>
      <w:r w:rsidR="008D6160" w:rsidRPr="00876672">
        <w:rPr>
          <w:rFonts w:cs="Times New Roman"/>
          <w:lang w:val="en-GB"/>
        </w:rPr>
        <w:t>[</w:t>
      </w:r>
      <w:r w:rsidRPr="00876672">
        <w:rPr>
          <w:rFonts w:cs="Times New Roman"/>
          <w:lang w:val="en-GB"/>
        </w:rPr>
        <w:t>a</w:t>
      </w:r>
      <w:r w:rsidR="008D6160" w:rsidRPr="00876672">
        <w:rPr>
          <w:rFonts w:cs="Times New Roman"/>
          <w:lang w:val="en-GB"/>
        </w:rPr>
        <w:t>]</w:t>
      </w:r>
      <w:r w:rsidRPr="00876672">
        <w:rPr>
          <w:rFonts w:cs="Times New Roman"/>
          <w:lang w:val="en-GB"/>
        </w:rPr>
        <w:t>ssisting the court to determine disputed issues of expert evidence.</w:t>
      </w:r>
      <w:r w:rsidR="006D07F9">
        <w:rPr>
          <w:rFonts w:cs="Times New Roman"/>
          <w:lang w:val="en-GB"/>
        </w:rPr>
        <w:t>”</w:t>
      </w:r>
      <w:r w:rsidR="008D6160" w:rsidRPr="00876672">
        <w:rPr>
          <w:rStyle w:val="FootnoteReference"/>
          <w:rFonts w:cs="Times New Roman"/>
          <w:lang w:val="en-GB"/>
        </w:rPr>
        <w:footnoteReference w:id="26"/>
      </w:r>
      <w:r w:rsidRPr="00876672">
        <w:rPr>
          <w:rFonts w:cs="Times New Roman"/>
          <w:lang w:val="en-GB"/>
        </w:rPr>
        <w:t xml:space="preserve"> This may be a</w:t>
      </w:r>
      <w:r w:rsidR="000F5B0F">
        <w:rPr>
          <w:rFonts w:cs="Times New Roman"/>
          <w:lang w:val="en-GB"/>
        </w:rPr>
        <w:t xml:space="preserve"> result </w:t>
      </w:r>
      <w:r w:rsidRPr="00876672">
        <w:rPr>
          <w:rFonts w:cs="Times New Roman"/>
          <w:lang w:val="en-GB"/>
        </w:rPr>
        <w:t>of both the contemporaneous interactions</w:t>
      </w:r>
      <w:r w:rsidR="00E82EA6" w:rsidRPr="00876672">
        <w:rPr>
          <w:rFonts w:cs="Times New Roman"/>
          <w:lang w:val="en-GB"/>
        </w:rPr>
        <w:t xml:space="preserve"> and </w:t>
      </w:r>
      <w:r w:rsidRPr="00876672">
        <w:rPr>
          <w:rFonts w:cs="Times New Roman"/>
          <w:lang w:val="en-GB"/>
        </w:rPr>
        <w:t>enhanced comprehension (in part from better preparation)</w:t>
      </w:r>
      <w:r w:rsidR="00E82EA6" w:rsidRPr="00876672">
        <w:rPr>
          <w:rFonts w:cs="Times New Roman"/>
          <w:lang w:val="en-GB"/>
        </w:rPr>
        <w:t>,</w:t>
      </w:r>
      <w:r w:rsidR="008A4664" w:rsidRPr="00876672">
        <w:rPr>
          <w:rFonts w:cs="Times New Roman"/>
          <w:lang w:val="en-GB"/>
        </w:rPr>
        <w:t xml:space="preserve"> but it may also reflect the potentially radical increase in judicial control over proceedings</w:t>
      </w:r>
      <w:r w:rsidR="00E82EA6" w:rsidRPr="00876672">
        <w:rPr>
          <w:rFonts w:cs="Times New Roman"/>
          <w:lang w:val="en-GB"/>
        </w:rPr>
        <w:t xml:space="preserve">, </w:t>
      </w:r>
      <w:r w:rsidR="00B202B9" w:rsidRPr="00876672">
        <w:rPr>
          <w:rFonts w:cs="Times New Roman"/>
          <w:lang w:val="en-GB"/>
        </w:rPr>
        <w:t>including the evidence adduced, admitted and addressed</w:t>
      </w:r>
      <w:r w:rsidR="008A4664" w:rsidRPr="00876672">
        <w:rPr>
          <w:rFonts w:cs="Times New Roman"/>
          <w:lang w:val="en-GB"/>
        </w:rPr>
        <w:t>.</w:t>
      </w:r>
      <w:r w:rsidR="005E1FFB" w:rsidRPr="00876672">
        <w:rPr>
          <w:rFonts w:cs="Times New Roman"/>
          <w:lang w:val="en-GB"/>
        </w:rPr>
        <w:t xml:space="preserve"> </w:t>
      </w:r>
      <w:r w:rsidR="00E82EA6" w:rsidRPr="00876672">
        <w:rPr>
          <w:rFonts w:cs="Times New Roman"/>
          <w:lang w:val="en-GB"/>
        </w:rPr>
        <w:t>S</w:t>
      </w:r>
      <w:r w:rsidR="009A1631" w:rsidRPr="00876672">
        <w:rPr>
          <w:rFonts w:cs="Times New Roman"/>
          <w:lang w:val="en-GB"/>
        </w:rPr>
        <w:t>ignifican</w:t>
      </w:r>
      <w:r w:rsidR="00E82EA6" w:rsidRPr="00876672">
        <w:rPr>
          <w:rFonts w:cs="Times New Roman"/>
          <w:lang w:val="en-GB"/>
        </w:rPr>
        <w:t>tly</w:t>
      </w:r>
      <w:r w:rsidR="009A1631" w:rsidRPr="00876672">
        <w:rPr>
          <w:rFonts w:cs="Times New Roman"/>
          <w:lang w:val="en-GB"/>
        </w:rPr>
        <w:t xml:space="preserve">, </w:t>
      </w:r>
      <w:r w:rsidR="008A34B2" w:rsidRPr="00876672">
        <w:rPr>
          <w:rFonts w:cs="Times New Roman"/>
          <w:lang w:val="en-GB"/>
        </w:rPr>
        <w:t xml:space="preserve">the </w:t>
      </w:r>
      <w:r w:rsidR="00A04E2A" w:rsidRPr="00876672">
        <w:rPr>
          <w:rFonts w:cs="Times New Roman"/>
          <w:lang w:val="en-GB"/>
        </w:rPr>
        <w:t>expert</w:t>
      </w:r>
      <w:r w:rsidR="008A34B2" w:rsidRPr="00876672">
        <w:rPr>
          <w:rFonts w:cs="Times New Roman"/>
          <w:lang w:val="en-GB"/>
        </w:rPr>
        <w:t xml:space="preserve"> witnesses surveyed expressed mixed views; while 62%</w:t>
      </w:r>
      <w:r w:rsidR="00A04E2A" w:rsidRPr="00876672">
        <w:rPr>
          <w:rFonts w:cs="Times New Roman"/>
          <w:lang w:val="en-GB"/>
        </w:rPr>
        <w:t xml:space="preserve"> considered that </w:t>
      </w:r>
      <w:r w:rsidR="008A34B2" w:rsidRPr="00876672">
        <w:rPr>
          <w:rFonts w:cs="Times New Roman"/>
          <w:lang w:val="en-GB"/>
        </w:rPr>
        <w:t xml:space="preserve">hot-tubbing made expert evidence </w:t>
      </w:r>
      <w:r w:rsidR="006D07F9">
        <w:rPr>
          <w:rFonts w:cs="Times New Roman"/>
          <w:lang w:val="en-GB"/>
        </w:rPr>
        <w:t>“</w:t>
      </w:r>
      <w:r w:rsidR="008A34B2" w:rsidRPr="00876672">
        <w:rPr>
          <w:rFonts w:cs="Times New Roman"/>
          <w:lang w:val="en-GB"/>
        </w:rPr>
        <w:t>more intelligible</w:t>
      </w:r>
      <w:r w:rsidR="006D07F9">
        <w:rPr>
          <w:rFonts w:cs="Times New Roman"/>
          <w:lang w:val="en-GB"/>
        </w:rPr>
        <w:t>”</w:t>
      </w:r>
      <w:r w:rsidR="008A34B2" w:rsidRPr="00876672">
        <w:rPr>
          <w:rFonts w:cs="Times New Roman"/>
          <w:lang w:val="en-GB"/>
        </w:rPr>
        <w:t xml:space="preserve"> 30% responded that it did not.</w:t>
      </w:r>
      <w:r w:rsidR="008A34B2" w:rsidRPr="00876672">
        <w:rPr>
          <w:rStyle w:val="FootnoteReference"/>
          <w:rFonts w:cs="Times New Roman"/>
          <w:lang w:val="en-GB"/>
        </w:rPr>
        <w:footnoteReference w:id="27"/>
      </w:r>
      <w:r w:rsidR="000C0991" w:rsidRPr="00876672">
        <w:rPr>
          <w:rFonts w:cs="Times New Roman"/>
          <w:lang w:val="en-GB"/>
        </w:rPr>
        <w:t xml:space="preserve"> </w:t>
      </w:r>
    </w:p>
    <w:p w14:paraId="2EB78EC1" w14:textId="36757D35" w:rsidR="008571D0" w:rsidRPr="00876672" w:rsidRDefault="000C0991" w:rsidP="003D0BBA">
      <w:pPr>
        <w:tabs>
          <w:tab w:val="left" w:pos="0"/>
          <w:tab w:val="left" w:pos="284"/>
        </w:tabs>
        <w:ind w:right="-248"/>
        <w:rPr>
          <w:rFonts w:cs="Times New Roman"/>
          <w:lang w:val="en-GB"/>
        </w:rPr>
      </w:pPr>
      <w:r w:rsidRPr="00876672">
        <w:rPr>
          <w:rFonts w:cs="Times New Roman"/>
          <w:lang w:val="en-GB"/>
        </w:rPr>
        <w:tab/>
        <w:t>Finally, on cost savings,</w:t>
      </w:r>
      <w:r w:rsidR="00B27D6B" w:rsidRPr="00876672">
        <w:rPr>
          <w:rFonts w:cs="Times New Roman"/>
          <w:lang w:val="en-GB"/>
        </w:rPr>
        <w:t xml:space="preserve"> the CJC </w:t>
      </w:r>
      <w:r w:rsidR="009E692A">
        <w:rPr>
          <w:rFonts w:cs="Times New Roman"/>
          <w:lang w:val="en-GB"/>
        </w:rPr>
        <w:t>R</w:t>
      </w:r>
      <w:r w:rsidR="00AF7AF9">
        <w:rPr>
          <w:rFonts w:cs="Times New Roman"/>
          <w:lang w:val="en-GB"/>
        </w:rPr>
        <w:t>eport</w:t>
      </w:r>
      <w:r w:rsidR="00E771E6">
        <w:rPr>
          <w:rFonts w:cs="Times New Roman"/>
          <w:lang w:val="en-GB"/>
        </w:rPr>
        <w:t xml:space="preserve"> </w:t>
      </w:r>
      <w:r w:rsidR="00B27D6B" w:rsidRPr="00876672">
        <w:rPr>
          <w:rFonts w:cs="Times New Roman"/>
          <w:lang w:val="en-GB"/>
        </w:rPr>
        <w:t>found</w:t>
      </w:r>
      <w:r w:rsidR="00C069F8" w:rsidRPr="00876672">
        <w:rPr>
          <w:rFonts w:cs="Times New Roman"/>
          <w:lang w:val="en-GB"/>
        </w:rPr>
        <w:t>, as we have seen,</w:t>
      </w:r>
      <w:r w:rsidR="00B27D6B" w:rsidRPr="00876672">
        <w:rPr>
          <w:rFonts w:cs="Times New Roman"/>
          <w:lang w:val="en-GB"/>
        </w:rPr>
        <w:t xml:space="preserve"> that costs were not necessarily reduced. This </w:t>
      </w:r>
      <w:r w:rsidR="006D07F9">
        <w:rPr>
          <w:rFonts w:cs="Times New Roman"/>
          <w:lang w:val="en-GB"/>
        </w:rPr>
        <w:t>“</w:t>
      </w:r>
      <w:r w:rsidR="00B27D6B" w:rsidRPr="00876672">
        <w:rPr>
          <w:rFonts w:cs="Times New Roman"/>
          <w:lang w:val="en-GB"/>
        </w:rPr>
        <w:t>counter-intuitive result</w:t>
      </w:r>
      <w:r w:rsidR="006D07F9">
        <w:rPr>
          <w:rFonts w:cs="Times New Roman"/>
          <w:lang w:val="en-GB"/>
        </w:rPr>
        <w:t>”</w:t>
      </w:r>
      <w:r w:rsidR="00B27D6B" w:rsidRPr="00876672">
        <w:rPr>
          <w:rFonts w:cs="Times New Roman"/>
          <w:lang w:val="en-GB"/>
        </w:rPr>
        <w:t xml:space="preserve"> was said to warrant </w:t>
      </w:r>
      <w:r w:rsidR="006D07F9">
        <w:rPr>
          <w:rFonts w:cs="Times New Roman"/>
          <w:lang w:val="en-GB"/>
        </w:rPr>
        <w:t>“</w:t>
      </w:r>
      <w:r w:rsidR="00B27D6B" w:rsidRPr="00876672">
        <w:rPr>
          <w:rFonts w:cs="Times New Roman"/>
          <w:lang w:val="en-GB"/>
        </w:rPr>
        <w:t>further exploration</w:t>
      </w:r>
      <w:r w:rsidR="006D07F9">
        <w:rPr>
          <w:rFonts w:cs="Times New Roman"/>
          <w:lang w:val="en-GB"/>
        </w:rPr>
        <w:t>”</w:t>
      </w:r>
      <w:r w:rsidR="00B27D6B" w:rsidRPr="00876672">
        <w:rPr>
          <w:rFonts w:cs="Times New Roman"/>
          <w:lang w:val="en-GB"/>
        </w:rPr>
        <w:t>.</w:t>
      </w:r>
      <w:r w:rsidR="00AD7F8A" w:rsidRPr="00876672">
        <w:rPr>
          <w:rStyle w:val="FootnoteReference"/>
          <w:rFonts w:cs="Times New Roman"/>
          <w:lang w:val="en-GB"/>
        </w:rPr>
        <w:footnoteReference w:id="28"/>
      </w:r>
      <w:r w:rsidR="00FD1F4F" w:rsidRPr="00876672">
        <w:rPr>
          <w:rFonts w:cs="Times New Roman"/>
          <w:lang w:val="en-GB"/>
        </w:rPr>
        <w:t xml:space="preserve"> </w:t>
      </w:r>
      <w:r w:rsidR="0054471B" w:rsidRPr="00876672">
        <w:rPr>
          <w:rFonts w:cs="Times New Roman"/>
          <w:lang w:val="en-GB"/>
        </w:rPr>
        <w:t xml:space="preserve">This might be considered curious given the central role of costs in terms of proportionality and access to justice. Uncertainties around costs and efficiency </w:t>
      </w:r>
      <w:r w:rsidR="00682A2E" w:rsidRPr="00876672">
        <w:rPr>
          <w:rFonts w:cs="Times New Roman"/>
          <w:lang w:val="en-GB"/>
        </w:rPr>
        <w:t>are revealing, because these are probably easier to assess than any improvement in</w:t>
      </w:r>
      <w:r w:rsidR="00E82EA6" w:rsidRPr="00876672">
        <w:rPr>
          <w:rFonts w:cs="Times New Roman"/>
          <w:lang w:val="en-GB"/>
        </w:rPr>
        <w:t xml:space="preserve"> </w:t>
      </w:r>
      <w:r w:rsidR="00682A2E" w:rsidRPr="00876672">
        <w:rPr>
          <w:rFonts w:cs="Times New Roman"/>
          <w:lang w:val="en-GB"/>
        </w:rPr>
        <w:t>comprehension or the quality of expert evidence.</w:t>
      </w:r>
      <w:r w:rsidR="000E1AAE" w:rsidRPr="00876672">
        <w:rPr>
          <w:rFonts w:cs="Times New Roman"/>
          <w:lang w:val="en-GB"/>
        </w:rPr>
        <w:t xml:space="preserve"> </w:t>
      </w:r>
    </w:p>
    <w:p w14:paraId="52EC50CA" w14:textId="5C1A9D49" w:rsidR="001E3B4A" w:rsidRPr="00876672" w:rsidRDefault="008F2100" w:rsidP="003D0BBA">
      <w:pPr>
        <w:tabs>
          <w:tab w:val="left" w:pos="0"/>
          <w:tab w:val="left" w:pos="284"/>
        </w:tabs>
        <w:ind w:right="-248"/>
        <w:rPr>
          <w:rFonts w:cs="Times New Roman"/>
          <w:lang w:val="en-GB"/>
        </w:rPr>
      </w:pPr>
      <w:r w:rsidRPr="00876672">
        <w:rPr>
          <w:rFonts w:cs="Times New Roman"/>
          <w:lang w:val="en-GB"/>
        </w:rPr>
        <w:tab/>
        <w:t xml:space="preserve">The </w:t>
      </w:r>
      <w:r w:rsidR="00D91D33" w:rsidRPr="00876672">
        <w:rPr>
          <w:rFonts w:cs="Times New Roman"/>
          <w:lang w:val="en-GB"/>
        </w:rPr>
        <w:t xml:space="preserve">CJC </w:t>
      </w:r>
      <w:r w:rsidR="009E692A">
        <w:rPr>
          <w:rFonts w:cs="Times New Roman"/>
          <w:lang w:val="en-GB"/>
        </w:rPr>
        <w:t>R</w:t>
      </w:r>
      <w:r w:rsidR="005E05B4" w:rsidRPr="00876672">
        <w:rPr>
          <w:rFonts w:cs="Times New Roman"/>
          <w:lang w:val="en-GB"/>
        </w:rPr>
        <w:t xml:space="preserve">eport </w:t>
      </w:r>
      <w:r w:rsidR="001E3B4A" w:rsidRPr="00876672">
        <w:rPr>
          <w:rFonts w:cs="Times New Roman"/>
          <w:lang w:val="en-GB"/>
        </w:rPr>
        <w:t>is</w:t>
      </w:r>
      <w:r w:rsidRPr="00876672">
        <w:rPr>
          <w:rFonts w:cs="Times New Roman"/>
          <w:lang w:val="en-GB"/>
        </w:rPr>
        <w:t xml:space="preserve"> </w:t>
      </w:r>
      <w:r w:rsidR="005E5AA3">
        <w:rPr>
          <w:rFonts w:cs="Times New Roman"/>
          <w:lang w:val="en-GB"/>
        </w:rPr>
        <w:t>favourably disposed</w:t>
      </w:r>
      <w:r w:rsidR="00E82EA6" w:rsidRPr="00876672">
        <w:rPr>
          <w:rFonts w:cs="Times New Roman"/>
          <w:lang w:val="en-GB"/>
        </w:rPr>
        <w:t xml:space="preserve"> to</w:t>
      </w:r>
      <w:r w:rsidR="005E5AA3">
        <w:rPr>
          <w:rFonts w:cs="Times New Roman"/>
          <w:lang w:val="en-GB"/>
        </w:rPr>
        <w:t>ward</w:t>
      </w:r>
      <w:r w:rsidR="00E82EA6" w:rsidRPr="00876672">
        <w:rPr>
          <w:rFonts w:cs="Times New Roman"/>
          <w:lang w:val="en-GB"/>
        </w:rPr>
        <w:t xml:space="preserve"> </w:t>
      </w:r>
      <w:r w:rsidR="001E3B4A" w:rsidRPr="00876672">
        <w:rPr>
          <w:rFonts w:cs="Times New Roman"/>
          <w:lang w:val="en-GB"/>
        </w:rPr>
        <w:t>co</w:t>
      </w:r>
      <w:r w:rsidR="00845E98" w:rsidRPr="00876672">
        <w:rPr>
          <w:rFonts w:cs="Times New Roman"/>
          <w:lang w:val="en-GB"/>
        </w:rPr>
        <w:t>ncurrent evidence</w:t>
      </w:r>
      <w:r w:rsidR="009539ED" w:rsidRPr="00876672">
        <w:rPr>
          <w:rFonts w:cs="Times New Roman"/>
          <w:lang w:val="en-GB"/>
        </w:rPr>
        <w:t xml:space="preserve">, in part because it </w:t>
      </w:r>
      <w:r w:rsidR="00845E98" w:rsidRPr="00876672">
        <w:rPr>
          <w:rFonts w:cs="Times New Roman"/>
          <w:lang w:val="en-GB"/>
        </w:rPr>
        <w:t>privileges</w:t>
      </w:r>
      <w:r w:rsidR="001E3B4A" w:rsidRPr="00876672">
        <w:rPr>
          <w:rFonts w:cs="Times New Roman"/>
          <w:lang w:val="en-GB"/>
        </w:rPr>
        <w:t xml:space="preserve"> the perspectives of</w:t>
      </w:r>
      <w:r w:rsidR="009539ED" w:rsidRPr="00876672">
        <w:rPr>
          <w:rFonts w:cs="Times New Roman"/>
          <w:lang w:val="en-GB"/>
        </w:rPr>
        <w:t xml:space="preserve"> a small group of </w:t>
      </w:r>
      <w:r w:rsidR="001E3B4A" w:rsidRPr="00876672">
        <w:rPr>
          <w:rFonts w:cs="Times New Roman"/>
          <w:lang w:val="en-GB"/>
        </w:rPr>
        <w:t xml:space="preserve">judges. A range of benefits </w:t>
      </w:r>
      <w:r w:rsidR="00C069F8" w:rsidRPr="00876672">
        <w:rPr>
          <w:rFonts w:cs="Times New Roman"/>
          <w:lang w:val="en-GB"/>
        </w:rPr>
        <w:t xml:space="preserve">is </w:t>
      </w:r>
      <w:r w:rsidR="001E3B4A" w:rsidRPr="00876672">
        <w:rPr>
          <w:rFonts w:cs="Times New Roman"/>
          <w:lang w:val="en-GB"/>
        </w:rPr>
        <w:t xml:space="preserve">advanced, but the actual </w:t>
      </w:r>
      <w:r w:rsidR="00C923C7" w:rsidRPr="00876672">
        <w:rPr>
          <w:rFonts w:cs="Times New Roman"/>
          <w:lang w:val="en-GB"/>
        </w:rPr>
        <w:t>basis</w:t>
      </w:r>
      <w:r w:rsidR="001E3B4A" w:rsidRPr="00876672">
        <w:rPr>
          <w:rFonts w:cs="Times New Roman"/>
          <w:lang w:val="en-GB"/>
        </w:rPr>
        <w:t xml:space="preserve"> for success </w:t>
      </w:r>
      <w:r w:rsidR="00E82EA6" w:rsidRPr="00876672">
        <w:rPr>
          <w:rFonts w:cs="Times New Roman"/>
          <w:lang w:val="en-GB"/>
        </w:rPr>
        <w:t xml:space="preserve">is </w:t>
      </w:r>
      <w:r w:rsidR="001E3B4A" w:rsidRPr="00876672">
        <w:rPr>
          <w:rFonts w:cs="Times New Roman"/>
          <w:lang w:val="en-GB"/>
        </w:rPr>
        <w:t>expressed in terms of reduced time in court and improved comprehension from judicial officers.</w:t>
      </w:r>
      <w:r w:rsidR="00767330" w:rsidRPr="00876672">
        <w:rPr>
          <w:rFonts w:cs="Times New Roman"/>
          <w:lang w:val="en-GB"/>
        </w:rPr>
        <w:t xml:space="preserve"> In reality</w:t>
      </w:r>
      <w:r w:rsidR="00E82EA6" w:rsidRPr="00876672">
        <w:rPr>
          <w:rFonts w:cs="Times New Roman"/>
          <w:lang w:val="en-GB"/>
        </w:rPr>
        <w:t>,</w:t>
      </w:r>
      <w:r w:rsidR="00767330" w:rsidRPr="00876672">
        <w:rPr>
          <w:rFonts w:cs="Times New Roman"/>
          <w:lang w:val="en-GB"/>
        </w:rPr>
        <w:t xml:space="preserve"> identifying and measuring these particular benefits is more complex than the extracts from interviews with judges and other respondents would suggest. Moreover, the focus on Jackson</w:t>
      </w:r>
      <w:r w:rsidR="00C069F8" w:rsidRPr="00876672">
        <w:rPr>
          <w:rFonts w:cs="Times New Roman"/>
          <w:lang w:val="en-GB"/>
        </w:rPr>
        <w:t>’s</w:t>
      </w:r>
      <w:r w:rsidR="00767330" w:rsidRPr="00876672">
        <w:rPr>
          <w:rFonts w:cs="Times New Roman"/>
          <w:lang w:val="en-GB"/>
        </w:rPr>
        <w:t xml:space="preserve"> objectives elides other issues such as the changing role of the trial judge and the loss of</w:t>
      </w:r>
      <w:r w:rsidR="000F5B0F">
        <w:rPr>
          <w:rFonts w:cs="Times New Roman"/>
          <w:lang w:val="en-GB"/>
        </w:rPr>
        <w:t xml:space="preserve"> judicial</w:t>
      </w:r>
      <w:r w:rsidR="00767330" w:rsidRPr="00876672">
        <w:rPr>
          <w:rFonts w:cs="Times New Roman"/>
          <w:lang w:val="en-GB"/>
        </w:rPr>
        <w:t xml:space="preserve"> independence.</w:t>
      </w:r>
      <w:r w:rsidR="001E3B4A" w:rsidRPr="00876672">
        <w:rPr>
          <w:rFonts w:cs="Times New Roman"/>
          <w:lang w:val="en-GB"/>
        </w:rPr>
        <w:t xml:space="preserve"> </w:t>
      </w:r>
      <w:r w:rsidR="000E1AAE" w:rsidRPr="00876672">
        <w:rPr>
          <w:rFonts w:cs="Times New Roman"/>
          <w:lang w:val="en-GB"/>
        </w:rPr>
        <w:t>Overall, t</w:t>
      </w:r>
      <w:r w:rsidR="00C923C7" w:rsidRPr="00876672">
        <w:rPr>
          <w:rFonts w:cs="Times New Roman"/>
          <w:lang w:val="en-GB"/>
        </w:rPr>
        <w:t xml:space="preserve">here </w:t>
      </w:r>
      <w:r w:rsidR="00845E98" w:rsidRPr="00876672">
        <w:rPr>
          <w:rFonts w:cs="Times New Roman"/>
          <w:lang w:val="en-GB"/>
        </w:rPr>
        <w:t>is</w:t>
      </w:r>
      <w:r w:rsidR="00C923C7" w:rsidRPr="00876672">
        <w:rPr>
          <w:rFonts w:cs="Times New Roman"/>
          <w:lang w:val="en-GB"/>
        </w:rPr>
        <w:t xml:space="preserve"> little empirical evidence, but rather </w:t>
      </w:r>
      <w:r w:rsidR="000E1AAE" w:rsidRPr="00876672">
        <w:rPr>
          <w:rFonts w:cs="Times New Roman"/>
          <w:lang w:val="en-GB"/>
        </w:rPr>
        <w:t xml:space="preserve">personal </w:t>
      </w:r>
      <w:r w:rsidR="00C923C7" w:rsidRPr="00876672">
        <w:rPr>
          <w:rFonts w:cs="Times New Roman"/>
          <w:lang w:val="en-GB"/>
        </w:rPr>
        <w:t xml:space="preserve">impressions of how much time might have been spent using conventional </w:t>
      </w:r>
      <w:r w:rsidR="00B31D2F" w:rsidRPr="00876672">
        <w:rPr>
          <w:rFonts w:cs="Times New Roman"/>
          <w:lang w:val="en-GB"/>
        </w:rPr>
        <w:t xml:space="preserve">procedures </w:t>
      </w:r>
      <w:r w:rsidR="00C923C7" w:rsidRPr="00876672">
        <w:rPr>
          <w:rFonts w:cs="Times New Roman"/>
          <w:lang w:val="en-GB"/>
        </w:rPr>
        <w:t xml:space="preserve">as opposed to the time spent </w:t>
      </w:r>
      <w:r w:rsidR="00B31D2F" w:rsidRPr="00876672">
        <w:rPr>
          <w:rFonts w:cs="Times New Roman"/>
          <w:lang w:val="en-GB"/>
        </w:rPr>
        <w:t xml:space="preserve">using </w:t>
      </w:r>
      <w:r w:rsidR="00C923C7" w:rsidRPr="00876672">
        <w:rPr>
          <w:rFonts w:cs="Times New Roman"/>
          <w:lang w:val="en-GB"/>
        </w:rPr>
        <w:t xml:space="preserve">concurrent </w:t>
      </w:r>
      <w:r w:rsidR="00B31D2F" w:rsidRPr="00876672">
        <w:rPr>
          <w:rFonts w:cs="Times New Roman"/>
          <w:lang w:val="en-GB"/>
        </w:rPr>
        <w:t>evidence</w:t>
      </w:r>
      <w:r w:rsidR="00C923C7" w:rsidRPr="00876672">
        <w:rPr>
          <w:rFonts w:cs="Times New Roman"/>
          <w:lang w:val="en-GB"/>
        </w:rPr>
        <w:t>.</w:t>
      </w:r>
      <w:r w:rsidR="00B31D2F" w:rsidRPr="00876672">
        <w:rPr>
          <w:rFonts w:cs="Times New Roman"/>
          <w:lang w:val="en-GB"/>
        </w:rPr>
        <w:t xml:space="preserve"> </w:t>
      </w:r>
    </w:p>
    <w:p w14:paraId="4EE42495" w14:textId="77777777" w:rsidR="008F2100" w:rsidRPr="00876672" w:rsidRDefault="001E3B4A" w:rsidP="003D0BBA">
      <w:pPr>
        <w:tabs>
          <w:tab w:val="left" w:pos="284"/>
        </w:tabs>
        <w:ind w:right="-248"/>
        <w:rPr>
          <w:rFonts w:cs="Times New Roman"/>
          <w:lang w:val="en-GB"/>
        </w:rPr>
      </w:pPr>
      <w:r w:rsidRPr="00876672">
        <w:rPr>
          <w:rFonts w:cs="Times New Roman"/>
          <w:lang w:val="en-GB"/>
        </w:rPr>
        <w:tab/>
      </w:r>
      <w:r w:rsidR="00845E98" w:rsidRPr="00876672">
        <w:rPr>
          <w:rFonts w:cs="Times New Roman"/>
          <w:lang w:val="en-GB"/>
        </w:rPr>
        <w:t xml:space="preserve">Most of the support for the benefits of concurrent evidence are not only anecdotal, </w:t>
      </w:r>
      <w:r w:rsidR="00767330" w:rsidRPr="00876672">
        <w:rPr>
          <w:rFonts w:cs="Times New Roman"/>
          <w:lang w:val="en-GB"/>
        </w:rPr>
        <w:t>but</w:t>
      </w:r>
      <w:r w:rsidR="00845E98" w:rsidRPr="00876672">
        <w:rPr>
          <w:rFonts w:cs="Times New Roman"/>
          <w:lang w:val="en-GB"/>
        </w:rPr>
        <w:t xml:space="preserve"> vague</w:t>
      </w:r>
      <w:r w:rsidR="00767330" w:rsidRPr="00876672">
        <w:rPr>
          <w:rFonts w:cs="Times New Roman"/>
          <w:lang w:val="en-GB"/>
        </w:rPr>
        <w:t xml:space="preserve"> impressions and synthesis</w:t>
      </w:r>
      <w:r w:rsidR="00845E98" w:rsidRPr="00876672">
        <w:rPr>
          <w:rFonts w:cs="Times New Roman"/>
          <w:lang w:val="en-GB"/>
        </w:rPr>
        <w:t xml:space="preserve">. </w:t>
      </w:r>
      <w:r w:rsidR="000E1AAE" w:rsidRPr="00876672">
        <w:rPr>
          <w:rFonts w:cs="Times New Roman"/>
          <w:lang w:val="en-GB"/>
        </w:rPr>
        <w:t xml:space="preserve">Consider the following claims, for </w:t>
      </w:r>
      <w:r w:rsidR="00845E98" w:rsidRPr="00876672">
        <w:rPr>
          <w:rFonts w:cs="Times New Roman"/>
          <w:lang w:val="en-GB"/>
        </w:rPr>
        <w:t>example:</w:t>
      </w:r>
    </w:p>
    <w:p w14:paraId="215C41BF" w14:textId="77777777" w:rsidR="00845E98" w:rsidRPr="00876672" w:rsidRDefault="00845E98" w:rsidP="00F81FD8">
      <w:pPr>
        <w:ind w:left="567" w:right="-248" w:hanging="283"/>
        <w:rPr>
          <w:rFonts w:cs="Times New Roman"/>
          <w:lang w:val="en-GB"/>
        </w:rPr>
      </w:pPr>
    </w:p>
    <w:p w14:paraId="6B52F927" w14:textId="06C7DF46" w:rsidR="002A1AEE" w:rsidRPr="00876672" w:rsidRDefault="002A1AEE" w:rsidP="00F81FD8">
      <w:pPr>
        <w:pStyle w:val="ListParagraph"/>
        <w:numPr>
          <w:ilvl w:val="0"/>
          <w:numId w:val="1"/>
        </w:numPr>
        <w:ind w:left="567" w:right="-248" w:hanging="283"/>
        <w:rPr>
          <w:rFonts w:cs="Times New Roman"/>
          <w:lang w:val="en-GB"/>
        </w:rPr>
      </w:pPr>
      <w:r w:rsidRPr="00876672">
        <w:rPr>
          <w:rFonts w:cs="Times New Roman"/>
          <w:lang w:val="en-GB"/>
        </w:rPr>
        <w:t>Sequen</w:t>
      </w:r>
      <w:r w:rsidR="00CF46D4" w:rsidRPr="00876672">
        <w:rPr>
          <w:rFonts w:cs="Times New Roman"/>
          <w:lang w:val="en-GB"/>
        </w:rPr>
        <w:t xml:space="preserve">tial evidence is described by one </w:t>
      </w:r>
      <w:r w:rsidRPr="00876672">
        <w:rPr>
          <w:rFonts w:cs="Times New Roman"/>
          <w:lang w:val="en-GB"/>
        </w:rPr>
        <w:t xml:space="preserve">judge as </w:t>
      </w:r>
      <w:r w:rsidR="006D07F9">
        <w:rPr>
          <w:rFonts w:cs="Times New Roman"/>
          <w:lang w:val="en-GB"/>
        </w:rPr>
        <w:t>“</w:t>
      </w:r>
      <w:r w:rsidRPr="00876672">
        <w:rPr>
          <w:rFonts w:cs="Times New Roman"/>
          <w:lang w:val="en-GB"/>
        </w:rPr>
        <w:t>highly efficient in terms of use of court time, and thus cost to the parties</w:t>
      </w:r>
      <w:r w:rsidR="006D07F9">
        <w:rPr>
          <w:rFonts w:cs="Times New Roman"/>
          <w:lang w:val="en-GB"/>
        </w:rPr>
        <w:t>”</w:t>
      </w:r>
      <w:r w:rsidRPr="00876672">
        <w:rPr>
          <w:rFonts w:cs="Times New Roman"/>
          <w:lang w:val="en-GB"/>
        </w:rPr>
        <w:t>.</w:t>
      </w:r>
      <w:r w:rsidRPr="00876672">
        <w:rPr>
          <w:rStyle w:val="FootnoteReference"/>
          <w:rFonts w:cs="Times New Roman"/>
          <w:lang w:val="en-GB"/>
        </w:rPr>
        <w:footnoteReference w:id="29"/>
      </w:r>
    </w:p>
    <w:p w14:paraId="692D32EB" w14:textId="2855910F" w:rsidR="00453E31" w:rsidRPr="00876672" w:rsidRDefault="000E1AAE" w:rsidP="00F81FD8">
      <w:pPr>
        <w:pStyle w:val="ListParagraph"/>
        <w:numPr>
          <w:ilvl w:val="0"/>
          <w:numId w:val="1"/>
        </w:numPr>
        <w:ind w:left="567" w:right="-248" w:hanging="283"/>
        <w:rPr>
          <w:rFonts w:cs="Times New Roman"/>
          <w:lang w:val="en-GB"/>
        </w:rPr>
      </w:pPr>
      <w:r w:rsidRPr="00876672">
        <w:rPr>
          <w:rFonts w:cs="Times New Roman"/>
          <w:lang w:val="en-GB"/>
        </w:rPr>
        <w:t xml:space="preserve">On the hot-tub: </w:t>
      </w:r>
      <w:r w:rsidR="006D07F9">
        <w:rPr>
          <w:rFonts w:cs="Times New Roman"/>
          <w:lang w:val="en-GB"/>
        </w:rPr>
        <w:t>“</w:t>
      </w:r>
      <w:r w:rsidR="005D1CC5" w:rsidRPr="00876672">
        <w:rPr>
          <w:rFonts w:cs="Times New Roman"/>
          <w:lang w:val="en-GB"/>
        </w:rPr>
        <w:t>It is an</w:t>
      </w:r>
      <w:r w:rsidR="00453E31" w:rsidRPr="00876672">
        <w:rPr>
          <w:rFonts w:cs="Times New Roman"/>
          <w:lang w:val="en-GB"/>
        </w:rPr>
        <w:t xml:space="preserve"> </w:t>
      </w:r>
      <w:r w:rsidR="005D1CC5" w:rsidRPr="00876672">
        <w:rPr>
          <w:rFonts w:cs="Times New Roman"/>
          <w:lang w:val="en-GB"/>
        </w:rPr>
        <w:t>excellent aid for both experts and the judge. It works well in construction cases, where I find that almost all building experts are prepared to en</w:t>
      </w:r>
      <w:r w:rsidR="00524F66" w:rsidRPr="00876672">
        <w:rPr>
          <w:rFonts w:cs="Times New Roman"/>
          <w:lang w:val="en-GB"/>
        </w:rPr>
        <w:t>gage</w:t>
      </w:r>
      <w:r w:rsidR="005D1CC5" w:rsidRPr="00876672">
        <w:rPr>
          <w:rFonts w:cs="Times New Roman"/>
          <w:lang w:val="en-GB"/>
        </w:rPr>
        <w:t xml:space="preserve"> in constructive discussion</w:t>
      </w:r>
      <w:r w:rsidR="006D07F9">
        <w:rPr>
          <w:rFonts w:cs="Times New Roman"/>
          <w:lang w:val="en-GB"/>
        </w:rPr>
        <w:t>”</w:t>
      </w:r>
      <w:r w:rsidR="00A7282A" w:rsidRPr="00876672">
        <w:rPr>
          <w:rFonts w:cs="Times New Roman"/>
          <w:lang w:val="en-GB"/>
        </w:rPr>
        <w:t xml:space="preserve"> (Roth</w:t>
      </w:r>
      <w:r w:rsidR="00D661B8" w:rsidRPr="00876672">
        <w:rPr>
          <w:rFonts w:cs="Times New Roman"/>
          <w:lang w:val="en-GB"/>
        </w:rPr>
        <w:t xml:space="preserve"> J</w:t>
      </w:r>
      <w:r w:rsidR="00A7282A" w:rsidRPr="00876672">
        <w:rPr>
          <w:rFonts w:cs="Times New Roman"/>
          <w:lang w:val="en-GB"/>
        </w:rPr>
        <w:t>)</w:t>
      </w:r>
      <w:r w:rsidR="005D1CC5" w:rsidRPr="00876672">
        <w:rPr>
          <w:rFonts w:cs="Times New Roman"/>
          <w:lang w:val="en-GB"/>
        </w:rPr>
        <w:t>.</w:t>
      </w:r>
      <w:r w:rsidR="00453E31" w:rsidRPr="00876672">
        <w:rPr>
          <w:rStyle w:val="FootnoteReference"/>
          <w:rFonts w:cs="Times New Roman"/>
          <w:lang w:val="en-GB"/>
        </w:rPr>
        <w:footnoteReference w:id="30"/>
      </w:r>
    </w:p>
    <w:p w14:paraId="060754FD" w14:textId="2E6151CA" w:rsidR="00845E98" w:rsidRPr="00876672" w:rsidRDefault="000E1AAE" w:rsidP="00F81FD8">
      <w:pPr>
        <w:pStyle w:val="ListParagraph"/>
        <w:numPr>
          <w:ilvl w:val="0"/>
          <w:numId w:val="1"/>
        </w:numPr>
        <w:ind w:left="567" w:right="-248" w:hanging="283"/>
        <w:rPr>
          <w:rFonts w:cs="Times New Roman"/>
          <w:lang w:val="en-GB"/>
        </w:rPr>
      </w:pPr>
      <w:r w:rsidRPr="00876672">
        <w:rPr>
          <w:rFonts w:cs="Times New Roman"/>
          <w:lang w:val="en-GB"/>
        </w:rPr>
        <w:t xml:space="preserve">On the hot-tub: </w:t>
      </w:r>
      <w:r w:rsidR="006D07F9">
        <w:rPr>
          <w:rFonts w:cs="Times New Roman"/>
          <w:lang w:val="en-GB"/>
        </w:rPr>
        <w:t>“</w:t>
      </w:r>
      <w:r w:rsidR="00453E31" w:rsidRPr="00876672">
        <w:rPr>
          <w:rFonts w:cs="Times New Roman"/>
          <w:lang w:val="en-GB"/>
        </w:rPr>
        <w:t>the great benefit of the process is that, where the parties are aware of it beforehand, there is more likely to be an agreement of expert evidence, or a much greater narrowing of issues than might be expected in a conventional process</w:t>
      </w:r>
      <w:r w:rsidR="006D07F9">
        <w:rPr>
          <w:rFonts w:cs="Times New Roman"/>
          <w:lang w:val="en-GB"/>
        </w:rPr>
        <w:t>”</w:t>
      </w:r>
      <w:r w:rsidR="00A7282A" w:rsidRPr="00876672">
        <w:rPr>
          <w:rFonts w:cs="Times New Roman"/>
          <w:lang w:val="en-GB"/>
        </w:rPr>
        <w:t xml:space="preserve"> (</w:t>
      </w:r>
      <w:r w:rsidR="00FF380B" w:rsidRPr="00876672">
        <w:rPr>
          <w:rFonts w:cs="Times New Roman"/>
          <w:lang w:val="en-GB"/>
        </w:rPr>
        <w:t xml:space="preserve">Judge </w:t>
      </w:r>
      <w:r w:rsidR="00A7282A" w:rsidRPr="00876672">
        <w:rPr>
          <w:rFonts w:cs="Times New Roman"/>
          <w:lang w:val="en-GB"/>
        </w:rPr>
        <w:t>Waksman)</w:t>
      </w:r>
      <w:r w:rsidR="00524F66" w:rsidRPr="00876672">
        <w:rPr>
          <w:rFonts w:cs="Times New Roman"/>
          <w:lang w:val="en-GB"/>
        </w:rPr>
        <w:t>.</w:t>
      </w:r>
      <w:r w:rsidR="00453E31" w:rsidRPr="00876672">
        <w:rPr>
          <w:rStyle w:val="FootnoteReference"/>
          <w:rFonts w:cs="Times New Roman"/>
          <w:lang w:val="en-GB"/>
        </w:rPr>
        <w:footnoteReference w:id="31"/>
      </w:r>
    </w:p>
    <w:p w14:paraId="62542BCD" w14:textId="3F6C2C5D" w:rsidR="00845E98" w:rsidRPr="00876672" w:rsidRDefault="004A1A48" w:rsidP="00F81FD8">
      <w:pPr>
        <w:pStyle w:val="ListParagraph"/>
        <w:numPr>
          <w:ilvl w:val="0"/>
          <w:numId w:val="1"/>
        </w:numPr>
        <w:ind w:left="567" w:right="-248" w:hanging="283"/>
        <w:rPr>
          <w:rFonts w:cs="Times New Roman"/>
          <w:lang w:val="en-GB"/>
        </w:rPr>
      </w:pPr>
      <w:r w:rsidRPr="00876672">
        <w:rPr>
          <w:rFonts w:cs="Times New Roman"/>
          <w:lang w:val="en-GB"/>
        </w:rPr>
        <w:t xml:space="preserve">Allowing experts to ask and respond to questions was described by one judge as </w:t>
      </w:r>
      <w:r w:rsidR="006D07F9">
        <w:rPr>
          <w:rFonts w:cs="Times New Roman"/>
          <w:lang w:val="en-GB"/>
        </w:rPr>
        <w:t>“</w:t>
      </w:r>
      <w:r w:rsidRPr="00876672">
        <w:rPr>
          <w:rFonts w:cs="Times New Roman"/>
          <w:lang w:val="en-GB"/>
        </w:rPr>
        <w:t>helpful</w:t>
      </w:r>
      <w:r w:rsidR="006D07F9">
        <w:rPr>
          <w:rFonts w:cs="Times New Roman"/>
          <w:lang w:val="en-GB"/>
        </w:rPr>
        <w:t>”</w:t>
      </w:r>
      <w:r w:rsidRPr="00876672">
        <w:rPr>
          <w:rFonts w:cs="Times New Roman"/>
          <w:lang w:val="en-GB"/>
        </w:rPr>
        <w:t xml:space="preserve"> and </w:t>
      </w:r>
      <w:r w:rsidR="006D07F9">
        <w:rPr>
          <w:rFonts w:cs="Times New Roman"/>
          <w:lang w:val="en-GB"/>
        </w:rPr>
        <w:t>“</w:t>
      </w:r>
      <w:r w:rsidRPr="00876672">
        <w:rPr>
          <w:rFonts w:cs="Times New Roman"/>
          <w:lang w:val="en-GB"/>
        </w:rPr>
        <w:t>constructive</w:t>
      </w:r>
      <w:r w:rsidR="006D07F9">
        <w:rPr>
          <w:rFonts w:cs="Times New Roman"/>
          <w:lang w:val="en-GB"/>
        </w:rPr>
        <w:t>”</w:t>
      </w:r>
      <w:r w:rsidRPr="00876672">
        <w:rPr>
          <w:rFonts w:cs="Times New Roman"/>
          <w:lang w:val="en-GB"/>
        </w:rPr>
        <w:t xml:space="preserve"> </w:t>
      </w:r>
      <w:r w:rsidR="00524F66" w:rsidRPr="00876672">
        <w:rPr>
          <w:rFonts w:cs="Times New Roman"/>
          <w:lang w:val="en-GB"/>
        </w:rPr>
        <w:t>(</w:t>
      </w:r>
      <w:r w:rsidR="00E82EA6" w:rsidRPr="00876672">
        <w:rPr>
          <w:rFonts w:cs="Times New Roman"/>
          <w:lang w:val="en-GB"/>
        </w:rPr>
        <w:t>t</w:t>
      </w:r>
      <w:r w:rsidR="00524F66" w:rsidRPr="00876672">
        <w:rPr>
          <w:rFonts w:cs="Times New Roman"/>
          <w:lang w:val="en-GB"/>
        </w:rPr>
        <w:t>hough a</w:t>
      </w:r>
      <w:r w:rsidRPr="00876672">
        <w:rPr>
          <w:rFonts w:cs="Times New Roman"/>
          <w:lang w:val="en-GB"/>
        </w:rPr>
        <w:t>nother single judge expressed a preference for only allowing experts to comment on the evidence of another expert witness</w:t>
      </w:r>
      <w:r w:rsidR="00AC2845" w:rsidRPr="00876672">
        <w:rPr>
          <w:rFonts w:cs="Times New Roman"/>
          <w:lang w:val="en-GB"/>
        </w:rPr>
        <w:t>)</w:t>
      </w:r>
      <w:r w:rsidRPr="00876672">
        <w:rPr>
          <w:rFonts w:cs="Times New Roman"/>
          <w:lang w:val="en-GB"/>
        </w:rPr>
        <w:t>.</w:t>
      </w:r>
      <w:r w:rsidRPr="00876672">
        <w:rPr>
          <w:rStyle w:val="FootnoteReference"/>
          <w:rFonts w:cs="Times New Roman"/>
          <w:lang w:val="en-GB"/>
        </w:rPr>
        <w:footnoteReference w:id="32"/>
      </w:r>
    </w:p>
    <w:p w14:paraId="522132A9" w14:textId="77777777" w:rsidR="00540B97" w:rsidRPr="00876672" w:rsidRDefault="00540B97" w:rsidP="003D0BBA">
      <w:pPr>
        <w:tabs>
          <w:tab w:val="left" w:pos="284"/>
        </w:tabs>
        <w:ind w:right="-248"/>
        <w:rPr>
          <w:rFonts w:cs="Times New Roman"/>
          <w:lang w:val="en-GB"/>
        </w:rPr>
      </w:pPr>
    </w:p>
    <w:p w14:paraId="5EA15968" w14:textId="144B8263" w:rsidR="006F00A5" w:rsidRPr="00876672" w:rsidRDefault="00540B97" w:rsidP="003D0BBA">
      <w:pPr>
        <w:tabs>
          <w:tab w:val="left" w:pos="284"/>
        </w:tabs>
        <w:ind w:right="-248"/>
        <w:rPr>
          <w:rFonts w:cs="Times New Roman"/>
          <w:lang w:val="en-GB"/>
        </w:rPr>
      </w:pPr>
      <w:r w:rsidRPr="00876672">
        <w:rPr>
          <w:rFonts w:cs="Times New Roman"/>
          <w:lang w:val="en-GB"/>
        </w:rPr>
        <w:lastRenderedPageBreak/>
        <w:tab/>
      </w:r>
      <w:r w:rsidR="006D07F9">
        <w:rPr>
          <w:rFonts w:cs="Times New Roman"/>
          <w:lang w:val="en-GB"/>
        </w:rPr>
        <w:t>“</w:t>
      </w:r>
      <w:r w:rsidR="006F00A5" w:rsidRPr="00876672">
        <w:rPr>
          <w:rFonts w:cs="Times New Roman"/>
          <w:lang w:val="en-GB"/>
        </w:rPr>
        <w:t>Perhaps the most interesting, and positive outcome</w:t>
      </w:r>
      <w:r w:rsidR="006D07F9">
        <w:rPr>
          <w:rFonts w:cs="Times New Roman"/>
          <w:lang w:val="en-GB"/>
        </w:rPr>
        <w:t>”</w:t>
      </w:r>
      <w:r w:rsidR="006F00A5" w:rsidRPr="00876672">
        <w:rPr>
          <w:rFonts w:cs="Times New Roman"/>
          <w:lang w:val="en-GB"/>
        </w:rPr>
        <w:t xml:space="preserve"> of the CJC </w:t>
      </w:r>
      <w:r w:rsidR="009E692A">
        <w:rPr>
          <w:rFonts w:cs="Times New Roman"/>
          <w:lang w:val="en-GB"/>
        </w:rPr>
        <w:t>R</w:t>
      </w:r>
      <w:r w:rsidR="00AF7AF9">
        <w:rPr>
          <w:rFonts w:cs="Times New Roman"/>
          <w:lang w:val="en-GB"/>
        </w:rPr>
        <w:t>eport</w:t>
      </w:r>
      <w:r w:rsidR="00E74607">
        <w:rPr>
          <w:rFonts w:cs="Times New Roman"/>
          <w:lang w:val="en-GB"/>
        </w:rPr>
        <w:t xml:space="preserve"> </w:t>
      </w:r>
      <w:r w:rsidR="006F00A5" w:rsidRPr="00876672">
        <w:rPr>
          <w:rFonts w:cs="Times New Roman"/>
          <w:lang w:val="en-GB"/>
        </w:rPr>
        <w:t xml:space="preserve">was that five out </w:t>
      </w:r>
      <w:r w:rsidR="00AF7AF9">
        <w:rPr>
          <w:rFonts w:cs="Times New Roman"/>
          <w:lang w:val="en-GB"/>
        </w:rPr>
        <w:t xml:space="preserve">of </w:t>
      </w:r>
      <w:r w:rsidR="006F00A5" w:rsidRPr="00876672">
        <w:rPr>
          <w:rFonts w:cs="Times New Roman"/>
          <w:lang w:val="en-GB"/>
        </w:rPr>
        <w:t xml:space="preserve">six judicial respondents </w:t>
      </w:r>
      <w:r w:rsidR="006D07F9">
        <w:rPr>
          <w:rFonts w:cs="Times New Roman"/>
          <w:lang w:val="en-GB"/>
        </w:rPr>
        <w:t>“</w:t>
      </w:r>
      <w:r w:rsidR="006F00A5" w:rsidRPr="00876672">
        <w:rPr>
          <w:rFonts w:cs="Times New Roman"/>
          <w:lang w:val="en-GB"/>
        </w:rPr>
        <w:t>considered that the quality of the expert evidence was improved, where it was given via hot-tubbing.</w:t>
      </w:r>
      <w:r w:rsidR="006D07F9">
        <w:rPr>
          <w:rFonts w:cs="Times New Roman"/>
          <w:lang w:val="en-GB"/>
        </w:rPr>
        <w:t>”</w:t>
      </w:r>
      <w:r w:rsidR="006F00A5" w:rsidRPr="00876672">
        <w:rPr>
          <w:rStyle w:val="FootnoteReference"/>
          <w:rFonts w:cs="Times New Roman"/>
          <w:color w:val="000000"/>
          <w:sz w:val="22"/>
          <w:szCs w:val="22"/>
          <w:lang w:val="en-GB"/>
        </w:rPr>
        <w:footnoteReference w:id="33"/>
      </w:r>
      <w:r w:rsidR="006F00A5" w:rsidRPr="00876672">
        <w:rPr>
          <w:rFonts w:cs="Times New Roman"/>
          <w:lang w:val="en-GB"/>
        </w:rPr>
        <w:t xml:space="preserve"> </w:t>
      </w:r>
      <w:r w:rsidR="00D92968" w:rsidRPr="00876672">
        <w:rPr>
          <w:rFonts w:cs="Times New Roman"/>
          <w:lang w:val="en-GB"/>
        </w:rPr>
        <w:t>Quality is an ambiguous concept</w:t>
      </w:r>
      <w:r w:rsidR="006F00A5" w:rsidRPr="00876672">
        <w:rPr>
          <w:rFonts w:cs="Times New Roman"/>
          <w:lang w:val="en-GB"/>
        </w:rPr>
        <w:t xml:space="preserve">. It could refer to the </w:t>
      </w:r>
      <w:r w:rsidR="006F00A5" w:rsidRPr="00876672">
        <w:rPr>
          <w:rFonts w:cs="Times New Roman"/>
          <w:i/>
          <w:lang w:val="en-GB"/>
        </w:rPr>
        <w:t xml:space="preserve">performative </w:t>
      </w:r>
      <w:r w:rsidR="006F00A5" w:rsidRPr="00876672">
        <w:rPr>
          <w:rFonts w:cs="Times New Roman"/>
          <w:lang w:val="en-GB"/>
        </w:rPr>
        <w:t>quality of the evidence – whether the witness is clear, confident,</w:t>
      </w:r>
      <w:r w:rsidR="006F00A5" w:rsidRPr="00876672">
        <w:rPr>
          <w:rStyle w:val="FootnoteReference"/>
          <w:rFonts w:cs="Times New Roman"/>
          <w:lang w:val="en-GB"/>
        </w:rPr>
        <w:footnoteReference w:id="34"/>
      </w:r>
      <w:r w:rsidR="006F00A5" w:rsidRPr="00876672">
        <w:rPr>
          <w:rFonts w:cs="Times New Roman"/>
          <w:lang w:val="en-GB"/>
        </w:rPr>
        <w:t xml:space="preserve"> answers questions without evasion and so on – or to its </w:t>
      </w:r>
      <w:r w:rsidR="006F00A5" w:rsidRPr="00876672">
        <w:rPr>
          <w:rFonts w:cs="Times New Roman"/>
          <w:i/>
          <w:lang w:val="en-GB"/>
        </w:rPr>
        <w:t xml:space="preserve">epistemic </w:t>
      </w:r>
      <w:r w:rsidR="006F00A5" w:rsidRPr="00876672">
        <w:rPr>
          <w:rFonts w:cs="Times New Roman"/>
          <w:lang w:val="en-GB"/>
        </w:rPr>
        <w:t>quality: whether it accurately communicates good reasons for and against believing a (disputed) proposition.</w:t>
      </w:r>
      <w:r w:rsidR="006F00A5" w:rsidRPr="00876672">
        <w:rPr>
          <w:rStyle w:val="FootnoteReference"/>
          <w:rFonts w:cs="Times New Roman"/>
          <w:lang w:val="en-GB"/>
        </w:rPr>
        <w:footnoteReference w:id="35"/>
      </w:r>
      <w:r w:rsidR="006F00A5" w:rsidRPr="00876672">
        <w:rPr>
          <w:rFonts w:cs="Times New Roman"/>
          <w:lang w:val="en-GB"/>
        </w:rPr>
        <w:t xml:space="preserve"> Performative quality is like the quality of a sharp knife – it enhances the effectiveness of the evidence for good or ill. The ideal witness is one who communicates justified beliefs convincingly, but the witness with the greatest capacity to do harm is a skilled performer who effectively communicates unjustified beliefs and fails to acknowledge limitations.</w:t>
      </w:r>
      <w:r w:rsidR="006F00A5" w:rsidRPr="00876672">
        <w:rPr>
          <w:rStyle w:val="FootnoteReference"/>
          <w:rFonts w:cs="Times New Roman"/>
          <w:lang w:val="en-GB"/>
        </w:rPr>
        <w:footnoteReference w:id="36"/>
      </w:r>
      <w:r w:rsidR="006F00A5" w:rsidRPr="00876672">
        <w:rPr>
          <w:rFonts w:cs="Times New Roman"/>
          <w:lang w:val="en-GB"/>
        </w:rPr>
        <w:t xml:space="preserve"> One reason why good performers are convincing is that performative quality </w:t>
      </w:r>
      <w:r w:rsidR="004E1666">
        <w:rPr>
          <w:rFonts w:cs="Times New Roman"/>
          <w:lang w:val="en-GB"/>
        </w:rPr>
        <w:t>is often substituted as a proxy</w:t>
      </w:r>
      <w:r w:rsidR="004E1666" w:rsidRPr="00876672">
        <w:rPr>
          <w:rFonts w:cs="Times New Roman"/>
          <w:lang w:val="en-GB"/>
        </w:rPr>
        <w:t xml:space="preserve"> </w:t>
      </w:r>
      <w:r w:rsidR="004E1666">
        <w:rPr>
          <w:rFonts w:cs="Times New Roman"/>
          <w:lang w:val="en-GB"/>
        </w:rPr>
        <w:t>for</w:t>
      </w:r>
      <w:r w:rsidR="006F00A5" w:rsidRPr="00876672">
        <w:rPr>
          <w:rFonts w:cs="Times New Roman"/>
          <w:lang w:val="en-GB"/>
        </w:rPr>
        <w:t xml:space="preserve"> epistemic quality – a witness’s confidence may be </w:t>
      </w:r>
      <w:r w:rsidR="004E1666">
        <w:rPr>
          <w:rFonts w:cs="Times New Roman"/>
          <w:lang w:val="en-GB"/>
        </w:rPr>
        <w:t>attributed to</w:t>
      </w:r>
      <w:r w:rsidR="006F00A5" w:rsidRPr="00876672">
        <w:rPr>
          <w:rFonts w:cs="Times New Roman"/>
          <w:lang w:val="en-GB"/>
        </w:rPr>
        <w:t xml:space="preserve"> her having strongly warranted beliefs, or a likeable manner</w:t>
      </w:r>
      <w:r w:rsidR="006F00A5" w:rsidRPr="00876672">
        <w:rPr>
          <w:rStyle w:val="FootnoteReference"/>
          <w:rFonts w:cs="Times New Roman"/>
          <w:lang w:val="en-GB"/>
        </w:rPr>
        <w:footnoteReference w:id="37"/>
      </w:r>
      <w:r w:rsidR="006F00A5" w:rsidRPr="00876672">
        <w:rPr>
          <w:rFonts w:cs="Times New Roman"/>
          <w:lang w:val="en-GB"/>
        </w:rPr>
        <w:t xml:space="preserve"> may </w:t>
      </w:r>
      <w:r w:rsidR="00AF7AF9">
        <w:rPr>
          <w:rFonts w:cs="Times New Roman"/>
          <w:lang w:val="en-GB"/>
        </w:rPr>
        <w:t xml:space="preserve">be </w:t>
      </w:r>
      <w:r w:rsidR="006F00A5" w:rsidRPr="00876672">
        <w:rPr>
          <w:rFonts w:cs="Times New Roman"/>
          <w:lang w:val="en-GB"/>
        </w:rPr>
        <w:t>interpreted as a sign of sincerity.</w:t>
      </w:r>
      <w:r w:rsidR="006F00A5" w:rsidRPr="00876672">
        <w:rPr>
          <w:rStyle w:val="FootnoteReference"/>
          <w:rFonts w:cs="Times New Roman"/>
          <w:lang w:val="en-GB"/>
        </w:rPr>
        <w:footnoteReference w:id="38"/>
      </w:r>
      <w:r w:rsidR="006F00A5" w:rsidRPr="00876672">
        <w:rPr>
          <w:rFonts w:cs="Times New Roman"/>
          <w:lang w:val="en-GB"/>
        </w:rPr>
        <w:t xml:space="preserve"> One of the problems that bedevils expert evidence, however, is that the parties may select witnesses because of their performative </w:t>
      </w:r>
      <w:r w:rsidR="009D4160">
        <w:rPr>
          <w:rFonts w:cs="Times New Roman"/>
          <w:lang w:val="en-GB"/>
        </w:rPr>
        <w:t>abilities</w:t>
      </w:r>
      <w:r w:rsidR="006F00A5" w:rsidRPr="00876672">
        <w:rPr>
          <w:rFonts w:cs="Times New Roman"/>
          <w:lang w:val="en-GB"/>
        </w:rPr>
        <w:t>, including sensitivity to apparent interests and how they might be represented, and this may distort any link between performance and epistemic merit.</w:t>
      </w:r>
      <w:r w:rsidR="006F00A5" w:rsidRPr="00876672">
        <w:rPr>
          <w:rStyle w:val="FootnoteReference"/>
          <w:rFonts w:cs="Times New Roman"/>
          <w:lang w:val="en-GB"/>
        </w:rPr>
        <w:footnoteReference w:id="39"/>
      </w:r>
      <w:r w:rsidR="006F00A5" w:rsidRPr="00876672">
        <w:rPr>
          <w:rFonts w:cs="Times New Roman"/>
          <w:lang w:val="en-GB"/>
        </w:rPr>
        <w:t xml:space="preserve"> If hot-tubbing creates a market for witnesses who can appear conciliatory, collegial and open</w:t>
      </w:r>
      <w:r w:rsidR="00BC12A9">
        <w:rPr>
          <w:rFonts w:cs="Times New Roman"/>
          <w:lang w:val="en-GB"/>
        </w:rPr>
        <w:t xml:space="preserve">-minded, it may simply lead to </w:t>
      </w:r>
      <w:r w:rsidR="006F00A5" w:rsidRPr="00876672">
        <w:rPr>
          <w:rFonts w:cs="Times New Roman"/>
          <w:lang w:val="en-GB"/>
        </w:rPr>
        <w:t>more covert forms of presentational competition. Impressions of appropriate norms and manners, like apparent interests, might be conflated with the quality or value of evidence.</w:t>
      </w:r>
      <w:r w:rsidR="00D92968" w:rsidRPr="00876672">
        <w:rPr>
          <w:rFonts w:cs="Times New Roman"/>
          <w:lang w:val="en-GB"/>
        </w:rPr>
        <w:t xml:space="preserve"> </w:t>
      </w:r>
      <w:r w:rsidR="004E1666">
        <w:rPr>
          <w:rFonts w:cs="Times New Roman"/>
          <w:lang w:val="en-GB"/>
        </w:rPr>
        <w:t>Like other lay decision-makers, including juries</w:t>
      </w:r>
      <w:r w:rsidR="00D92968" w:rsidRPr="00876672">
        <w:rPr>
          <w:rFonts w:cs="Times New Roman"/>
          <w:lang w:val="en-GB"/>
        </w:rPr>
        <w:t>,</w:t>
      </w:r>
      <w:r w:rsidR="00D92968" w:rsidRPr="00876672">
        <w:rPr>
          <w:rStyle w:val="FootnoteReference"/>
          <w:rFonts w:cs="Times New Roman"/>
          <w:lang w:val="en-GB"/>
        </w:rPr>
        <w:footnoteReference w:id="40"/>
      </w:r>
      <w:r w:rsidR="00D92968" w:rsidRPr="00876672">
        <w:rPr>
          <w:rFonts w:cs="Times New Roman"/>
          <w:lang w:val="en-GB"/>
        </w:rPr>
        <w:t xml:space="preserve"> judges might be prone to rely on performative quality as a proxy for epistemic quality in cases where they find it difficult to grapple with the substantive issues.</w:t>
      </w:r>
      <w:r w:rsidR="00D92968" w:rsidRPr="00876672">
        <w:rPr>
          <w:rStyle w:val="FootnoteReference"/>
          <w:rFonts w:cs="Times New Roman"/>
          <w:lang w:val="en-GB"/>
        </w:rPr>
        <w:footnoteReference w:id="41"/>
      </w:r>
      <w:r w:rsidR="003F1976" w:rsidRPr="00876672">
        <w:rPr>
          <w:rFonts w:cs="Times New Roman"/>
          <w:lang w:val="en-GB"/>
        </w:rPr>
        <w:t xml:space="preserve"> As in the criminal courts, judges might benefit from giving more attention to the question of whether an expert’s techniq</w:t>
      </w:r>
      <w:r w:rsidR="006E3B7A" w:rsidRPr="00876672">
        <w:rPr>
          <w:rFonts w:cs="Times New Roman"/>
          <w:lang w:val="en-GB"/>
        </w:rPr>
        <w:t>u</w:t>
      </w:r>
      <w:r w:rsidR="003F1976" w:rsidRPr="00876672">
        <w:rPr>
          <w:rFonts w:cs="Times New Roman"/>
          <w:lang w:val="en-GB"/>
        </w:rPr>
        <w:t>es</w:t>
      </w:r>
      <w:r w:rsidR="00BC12A9">
        <w:rPr>
          <w:rFonts w:cs="Times New Roman"/>
          <w:lang w:val="en-GB"/>
        </w:rPr>
        <w:t xml:space="preserve"> have been shown to be valid,</w:t>
      </w:r>
      <w:r w:rsidR="006E3B7A" w:rsidRPr="00876672">
        <w:rPr>
          <w:rFonts w:cs="Times New Roman"/>
          <w:lang w:val="en-GB"/>
        </w:rPr>
        <w:t xml:space="preserve"> i.e. to yield consistent and accurate results.</w:t>
      </w:r>
      <w:r w:rsidR="0015243F" w:rsidRPr="00876672">
        <w:rPr>
          <w:rStyle w:val="FootnoteReference"/>
          <w:rFonts w:cs="Times New Roman"/>
        </w:rPr>
        <w:footnoteReference w:id="42"/>
      </w:r>
    </w:p>
    <w:p w14:paraId="6EEFC6B7" w14:textId="77777777" w:rsidR="00605033" w:rsidRPr="00876672" w:rsidRDefault="00605033" w:rsidP="003D0BBA">
      <w:pPr>
        <w:tabs>
          <w:tab w:val="left" w:pos="284"/>
        </w:tabs>
        <w:ind w:right="-248"/>
        <w:rPr>
          <w:rFonts w:cs="Times New Roman"/>
          <w:lang w:val="en-GB"/>
        </w:rPr>
      </w:pPr>
      <w:r w:rsidRPr="00876672">
        <w:rPr>
          <w:rFonts w:cs="Times New Roman"/>
          <w:lang w:val="en-GB"/>
        </w:rPr>
        <w:tab/>
      </w:r>
      <w:r w:rsidR="006F00A5" w:rsidRPr="00876672">
        <w:rPr>
          <w:rFonts w:cs="Times New Roman"/>
          <w:lang w:val="en-GB"/>
        </w:rPr>
        <w:t>W</w:t>
      </w:r>
      <w:r w:rsidR="001E7C6E" w:rsidRPr="00876672">
        <w:rPr>
          <w:rFonts w:cs="Times New Roman"/>
          <w:lang w:val="en-GB"/>
        </w:rPr>
        <w:t xml:space="preserve">e </w:t>
      </w:r>
      <w:r w:rsidR="00D92968" w:rsidRPr="00876672">
        <w:rPr>
          <w:rFonts w:cs="Times New Roman"/>
          <w:lang w:val="en-GB"/>
        </w:rPr>
        <w:t xml:space="preserve">shall </w:t>
      </w:r>
      <w:r w:rsidR="001E7C6E" w:rsidRPr="00876672">
        <w:rPr>
          <w:rFonts w:cs="Times New Roman"/>
          <w:lang w:val="en-GB"/>
        </w:rPr>
        <w:t>return to these issues in our discussion. At this point we move to consider the treatment of concurrent evidence in reported judgments.</w:t>
      </w:r>
    </w:p>
    <w:p w14:paraId="7FA755CF" w14:textId="77777777" w:rsidR="00605033" w:rsidRPr="00876672" w:rsidRDefault="00605033" w:rsidP="003D0BBA">
      <w:pPr>
        <w:tabs>
          <w:tab w:val="left" w:pos="284"/>
        </w:tabs>
        <w:ind w:right="-248"/>
        <w:rPr>
          <w:rFonts w:cs="Times New Roman"/>
          <w:lang w:val="en-GB"/>
        </w:rPr>
      </w:pPr>
    </w:p>
    <w:p w14:paraId="5193E5CD" w14:textId="77777777" w:rsidR="007A37EA" w:rsidRPr="00876672" w:rsidRDefault="007A37EA" w:rsidP="003D0BBA">
      <w:pPr>
        <w:tabs>
          <w:tab w:val="left" w:pos="284"/>
        </w:tabs>
        <w:ind w:right="-248"/>
        <w:rPr>
          <w:rFonts w:cs="Times New Roman"/>
          <w:lang w:val="en-GB"/>
        </w:rPr>
      </w:pPr>
    </w:p>
    <w:p w14:paraId="31E3D033" w14:textId="77777777" w:rsidR="00DB544F" w:rsidRPr="00F81FD8" w:rsidRDefault="00DB544F" w:rsidP="003D0BBA">
      <w:pPr>
        <w:keepNext/>
        <w:tabs>
          <w:tab w:val="left" w:pos="284"/>
        </w:tabs>
        <w:ind w:right="-248"/>
        <w:rPr>
          <w:rFonts w:cs="Times New Roman"/>
          <w:b/>
          <w:lang w:val="en-GB"/>
        </w:rPr>
      </w:pPr>
      <w:r w:rsidRPr="00F81FD8">
        <w:rPr>
          <w:rFonts w:cs="Times New Roman"/>
          <w:b/>
          <w:lang w:val="en-GB"/>
        </w:rPr>
        <w:lastRenderedPageBreak/>
        <w:t>Part 2: Reported judgments in the UK</w:t>
      </w:r>
    </w:p>
    <w:p w14:paraId="0BB70F7E" w14:textId="388A5EBD" w:rsidR="00DB544F" w:rsidRPr="00876672" w:rsidRDefault="00DB544F" w:rsidP="003D0BBA">
      <w:pPr>
        <w:tabs>
          <w:tab w:val="left" w:pos="284"/>
        </w:tabs>
        <w:ind w:right="-248"/>
        <w:rPr>
          <w:rFonts w:cs="Times New Roman"/>
          <w:lang w:val="en-GB"/>
        </w:rPr>
      </w:pPr>
      <w:r w:rsidRPr="00876672">
        <w:rPr>
          <w:rFonts w:cs="Times New Roman"/>
          <w:lang w:val="en-GB"/>
        </w:rPr>
        <w:t xml:space="preserve">In this Part we review all </w:t>
      </w:r>
      <w:r w:rsidR="00F81FD8">
        <w:rPr>
          <w:rFonts w:cs="Times New Roman"/>
          <w:lang w:val="en-GB"/>
        </w:rPr>
        <w:t xml:space="preserve">of </w:t>
      </w:r>
      <w:r w:rsidRPr="00876672">
        <w:rPr>
          <w:rFonts w:cs="Times New Roman"/>
          <w:lang w:val="en-GB"/>
        </w:rPr>
        <w:t xml:space="preserve">the </w:t>
      </w:r>
      <w:r w:rsidR="004D0686">
        <w:rPr>
          <w:rFonts w:cs="Times New Roman"/>
          <w:lang w:val="en-GB"/>
        </w:rPr>
        <w:t>31</w:t>
      </w:r>
      <w:r w:rsidR="00AB4A3C" w:rsidRPr="00876672">
        <w:rPr>
          <w:rFonts w:cs="Times New Roman"/>
          <w:lang w:val="en-GB"/>
        </w:rPr>
        <w:t xml:space="preserve"> </w:t>
      </w:r>
      <w:r w:rsidRPr="00876672">
        <w:rPr>
          <w:rFonts w:cs="Times New Roman"/>
          <w:lang w:val="en-GB"/>
        </w:rPr>
        <w:t>cases we could locate on Westlaw</w:t>
      </w:r>
      <w:r w:rsidR="00F81FD8">
        <w:rPr>
          <w:rFonts w:cs="Times New Roman"/>
          <w:lang w:val="en-GB"/>
        </w:rPr>
        <w:t xml:space="preserve"> reporting the use of</w:t>
      </w:r>
      <w:r w:rsidRPr="00876672">
        <w:rPr>
          <w:rFonts w:cs="Times New Roman"/>
          <w:lang w:val="en-GB"/>
        </w:rPr>
        <w:t xml:space="preserve"> concurrent expert evidence or hot tubbing</w:t>
      </w:r>
      <w:r w:rsidR="00AB4A3C" w:rsidRPr="00876672">
        <w:rPr>
          <w:rFonts w:cs="Times New Roman"/>
          <w:lang w:val="en-GB"/>
        </w:rPr>
        <w:t xml:space="preserve"> </w:t>
      </w:r>
      <w:r w:rsidR="00F81FD8">
        <w:rPr>
          <w:rFonts w:cs="Times New Roman"/>
          <w:lang w:val="en-GB"/>
        </w:rPr>
        <w:t>in the UK</w:t>
      </w:r>
      <w:r w:rsidR="006F00A5" w:rsidRPr="00876672">
        <w:rPr>
          <w:rFonts w:cs="Times New Roman"/>
          <w:lang w:val="en-GB"/>
        </w:rPr>
        <w:t>.</w:t>
      </w:r>
      <w:r w:rsidRPr="00876672">
        <w:rPr>
          <w:rFonts w:cs="Times New Roman"/>
          <w:lang w:val="en-GB"/>
        </w:rPr>
        <w:t xml:space="preserve"> In endeavouring to understand the value of concurrent evidence we advance two distinctions: (i) between improvements in the </w:t>
      </w:r>
      <w:r w:rsidRPr="00876672">
        <w:rPr>
          <w:rFonts w:cs="Times New Roman"/>
          <w:i/>
          <w:lang w:val="en-GB"/>
        </w:rPr>
        <w:t xml:space="preserve">performance </w:t>
      </w:r>
      <w:r w:rsidRPr="00876672">
        <w:rPr>
          <w:rFonts w:cs="Times New Roman"/>
          <w:lang w:val="en-GB"/>
        </w:rPr>
        <w:t xml:space="preserve">of experts as witnesses and improvements in the </w:t>
      </w:r>
      <w:r w:rsidRPr="00876672">
        <w:rPr>
          <w:rFonts w:cs="Times New Roman"/>
          <w:i/>
          <w:lang w:val="en-GB"/>
        </w:rPr>
        <w:t xml:space="preserve">epistemic </w:t>
      </w:r>
      <w:r w:rsidRPr="00876672">
        <w:rPr>
          <w:rFonts w:cs="Times New Roman"/>
          <w:lang w:val="en-GB"/>
        </w:rPr>
        <w:t>quality of their evidence; and (ii) between courts or tribunals where decision-makers share to some degree in the expertise of witnesses and those where they do not.</w:t>
      </w:r>
    </w:p>
    <w:p w14:paraId="08DA1BE2" w14:textId="77777777" w:rsidR="00D92968" w:rsidRPr="00876672" w:rsidRDefault="00D92968" w:rsidP="003D0BBA">
      <w:pPr>
        <w:keepNext/>
        <w:ind w:right="-248"/>
        <w:rPr>
          <w:rFonts w:cs="Times New Roman"/>
          <w:b/>
          <w:i/>
          <w:lang w:val="en-GB"/>
        </w:rPr>
      </w:pPr>
    </w:p>
    <w:p w14:paraId="326C6F0A" w14:textId="77777777" w:rsidR="00DB544F" w:rsidRPr="00876672" w:rsidRDefault="00D92968" w:rsidP="003D0BBA">
      <w:pPr>
        <w:keepNext/>
        <w:ind w:right="-248"/>
        <w:rPr>
          <w:rFonts w:cs="Times New Roman"/>
          <w:b/>
          <w:i/>
          <w:lang w:val="en-GB"/>
        </w:rPr>
      </w:pPr>
      <w:r w:rsidRPr="00876672">
        <w:rPr>
          <w:rFonts w:cs="Times New Roman"/>
          <w:b/>
          <w:i/>
          <w:lang w:val="en-GB"/>
        </w:rPr>
        <w:t>E</w:t>
      </w:r>
      <w:r w:rsidR="00DB544F" w:rsidRPr="00876672">
        <w:rPr>
          <w:rFonts w:cs="Times New Roman"/>
          <w:b/>
          <w:i/>
          <w:lang w:val="en-GB"/>
        </w:rPr>
        <w:t>xpert tribunals versus generalist judges</w:t>
      </w:r>
    </w:p>
    <w:p w14:paraId="04ECA67B" w14:textId="18B3B2ED" w:rsidR="001F7CF2" w:rsidRDefault="00DB544F" w:rsidP="001F7CF2">
      <w:pPr>
        <w:pStyle w:val="FootnoteText"/>
        <w:rPr>
          <w:rFonts w:cs="Times New Roman"/>
          <w:sz w:val="24"/>
        </w:rPr>
      </w:pPr>
      <w:r w:rsidRPr="0072579D">
        <w:rPr>
          <w:rFonts w:cs="Times New Roman"/>
          <w:sz w:val="24"/>
          <w:lang w:val="en-GB"/>
        </w:rPr>
        <w:t>A</w:t>
      </w:r>
      <w:r w:rsidR="008F308A" w:rsidRPr="0072579D">
        <w:rPr>
          <w:rFonts w:cs="Times New Roman"/>
          <w:sz w:val="24"/>
          <w:lang w:val="en-GB"/>
        </w:rPr>
        <w:t xml:space="preserve"> prominent </w:t>
      </w:r>
      <w:r w:rsidRPr="0072579D">
        <w:rPr>
          <w:rFonts w:cs="Times New Roman"/>
          <w:sz w:val="24"/>
          <w:lang w:val="en-GB"/>
        </w:rPr>
        <w:t xml:space="preserve">feature of the </w:t>
      </w:r>
      <w:r w:rsidR="008F308A" w:rsidRPr="0072579D">
        <w:rPr>
          <w:rFonts w:cs="Times New Roman"/>
          <w:sz w:val="24"/>
          <w:lang w:val="en-GB"/>
        </w:rPr>
        <w:t xml:space="preserve">available </w:t>
      </w:r>
      <w:r w:rsidRPr="0072579D">
        <w:rPr>
          <w:rFonts w:cs="Times New Roman"/>
          <w:sz w:val="24"/>
          <w:lang w:val="en-GB"/>
        </w:rPr>
        <w:t xml:space="preserve">case law on concurrent evidence is that a large proportion </w:t>
      </w:r>
      <w:r w:rsidR="00E13963">
        <w:rPr>
          <w:rFonts w:cs="Times New Roman"/>
          <w:sz w:val="24"/>
          <w:lang w:val="en-GB"/>
        </w:rPr>
        <w:t>involves</w:t>
      </w:r>
      <w:r w:rsidRPr="0072579D">
        <w:rPr>
          <w:rFonts w:cs="Times New Roman"/>
          <w:sz w:val="24"/>
          <w:lang w:val="en-GB"/>
        </w:rPr>
        <w:t xml:space="preserve"> courts and tribunals where decision-makers appear to share to some degree in the relevant expertise. As the CJC notes, this is also true of arbitration, where concurrent evidence has been used more extensively than in the civil courts.</w:t>
      </w:r>
      <w:r w:rsidRPr="0072579D">
        <w:rPr>
          <w:rStyle w:val="FootnoteReference"/>
          <w:rFonts w:cs="Times New Roman"/>
          <w:sz w:val="24"/>
          <w:lang w:val="en-GB"/>
        </w:rPr>
        <w:footnoteReference w:id="43"/>
      </w:r>
      <w:r w:rsidRPr="0072579D">
        <w:rPr>
          <w:rFonts w:cs="Times New Roman"/>
          <w:sz w:val="24"/>
          <w:lang w:val="en-GB"/>
        </w:rPr>
        <w:t xml:space="preserve"> This technocratic</w:t>
      </w:r>
      <w:r w:rsidR="00E13963">
        <w:rPr>
          <w:rFonts w:cs="Times New Roman"/>
          <w:sz w:val="24"/>
          <w:lang w:val="en-GB"/>
        </w:rPr>
        <w:t xml:space="preserve"> style of</w:t>
      </w:r>
      <w:r w:rsidRPr="0072579D">
        <w:rPr>
          <w:rFonts w:cs="Times New Roman"/>
          <w:sz w:val="24"/>
          <w:lang w:val="en-GB"/>
        </w:rPr>
        <w:t xml:space="preserve"> adjudication is not without its dangers.</w:t>
      </w:r>
      <w:r w:rsidRPr="0072579D">
        <w:rPr>
          <w:rStyle w:val="FootnoteReference"/>
          <w:rFonts w:cs="Times New Roman"/>
          <w:sz w:val="24"/>
          <w:lang w:val="en-GB"/>
        </w:rPr>
        <w:footnoteReference w:id="44"/>
      </w:r>
      <w:r w:rsidRPr="0072579D">
        <w:rPr>
          <w:rFonts w:cs="Times New Roman"/>
          <w:sz w:val="24"/>
          <w:lang w:val="en-GB"/>
        </w:rPr>
        <w:t xml:space="preserve"> An expert may be predisposed towards a school of thought </w:t>
      </w:r>
      <w:r w:rsidR="00737CC9">
        <w:rPr>
          <w:rFonts w:cs="Times New Roman"/>
          <w:sz w:val="24"/>
          <w:lang w:val="en-GB"/>
        </w:rPr>
        <w:t xml:space="preserve">more </w:t>
      </w:r>
      <w:r w:rsidRPr="0072579D">
        <w:rPr>
          <w:rFonts w:cs="Times New Roman"/>
          <w:sz w:val="24"/>
          <w:lang w:val="en-GB"/>
        </w:rPr>
        <w:t xml:space="preserve">favourable to one party than </w:t>
      </w:r>
      <w:r w:rsidR="00737CC9">
        <w:rPr>
          <w:rFonts w:cs="Times New Roman"/>
          <w:sz w:val="24"/>
          <w:lang w:val="en-GB"/>
        </w:rPr>
        <w:t>an</w:t>
      </w:r>
      <w:r w:rsidRPr="0072579D">
        <w:rPr>
          <w:rFonts w:cs="Times New Roman"/>
          <w:sz w:val="24"/>
          <w:lang w:val="en-GB"/>
        </w:rPr>
        <w:t>other</w:t>
      </w:r>
      <w:r w:rsidR="00737CC9">
        <w:rPr>
          <w:rFonts w:cs="Times New Roman"/>
          <w:sz w:val="24"/>
          <w:lang w:val="en-GB"/>
        </w:rPr>
        <w:t>, may be more likely to pre-judge issues or have pre-formed opinions, or to go “off” the evidentiary record</w:t>
      </w:r>
      <w:r w:rsidRPr="0072579D">
        <w:rPr>
          <w:rFonts w:cs="Times New Roman"/>
          <w:sz w:val="24"/>
          <w:lang w:val="en-GB"/>
        </w:rPr>
        <w:t xml:space="preserve">. It is, however, </w:t>
      </w:r>
      <w:r w:rsidR="00737CC9">
        <w:rPr>
          <w:rFonts w:cs="Times New Roman"/>
          <w:sz w:val="24"/>
          <w:lang w:val="en-GB"/>
        </w:rPr>
        <w:t>distinct</w:t>
      </w:r>
      <w:r w:rsidRPr="0072579D">
        <w:rPr>
          <w:rFonts w:cs="Times New Roman"/>
          <w:sz w:val="24"/>
          <w:lang w:val="en-GB"/>
        </w:rPr>
        <w:t xml:space="preserve"> from the classic </w:t>
      </w:r>
      <w:r w:rsidR="006D07F9">
        <w:rPr>
          <w:rFonts w:cs="Times New Roman"/>
          <w:sz w:val="24"/>
          <w:lang w:val="en-GB"/>
        </w:rPr>
        <w:t>“</w:t>
      </w:r>
      <w:r w:rsidRPr="0072579D">
        <w:rPr>
          <w:rFonts w:cs="Times New Roman"/>
          <w:sz w:val="24"/>
          <w:lang w:val="en-GB"/>
        </w:rPr>
        <w:t>battle of the experts</w:t>
      </w:r>
      <w:r w:rsidR="006D07F9">
        <w:rPr>
          <w:rFonts w:cs="Times New Roman"/>
          <w:sz w:val="24"/>
          <w:lang w:val="en-GB"/>
        </w:rPr>
        <w:t>”</w:t>
      </w:r>
      <w:r w:rsidRPr="0072579D">
        <w:rPr>
          <w:rFonts w:cs="Times New Roman"/>
          <w:sz w:val="24"/>
          <w:lang w:val="en-GB"/>
        </w:rPr>
        <w:t xml:space="preserve"> which the judge is expected to approach almost as a </w:t>
      </w:r>
      <w:r w:rsidRPr="0072579D">
        <w:rPr>
          <w:rFonts w:cs="Times New Roman"/>
          <w:i/>
          <w:sz w:val="24"/>
          <w:lang w:val="en-GB"/>
        </w:rPr>
        <w:t xml:space="preserve">tabula rasa, </w:t>
      </w:r>
      <w:r w:rsidRPr="0072579D">
        <w:rPr>
          <w:rFonts w:cs="Times New Roman"/>
          <w:sz w:val="24"/>
          <w:lang w:val="en-GB"/>
        </w:rPr>
        <w:t>bringing no specialised knowledge to bear apart from what the witnesses say in open court.</w:t>
      </w:r>
      <w:r w:rsidRPr="0072579D">
        <w:rPr>
          <w:rStyle w:val="FootnoteReference"/>
          <w:rFonts w:cs="Times New Roman"/>
          <w:sz w:val="24"/>
          <w:lang w:val="en-GB"/>
        </w:rPr>
        <w:t xml:space="preserve"> </w:t>
      </w:r>
      <w:r w:rsidR="001F7CF2" w:rsidRPr="0072579D">
        <w:rPr>
          <w:rFonts w:cs="Times New Roman"/>
          <w:sz w:val="24"/>
          <w:lang w:val="en-GB"/>
        </w:rPr>
        <w:t xml:space="preserve"> </w:t>
      </w:r>
    </w:p>
    <w:p w14:paraId="044335A1" w14:textId="69E60692" w:rsidR="002A4608" w:rsidRDefault="00E13963" w:rsidP="003D0BBA">
      <w:pPr>
        <w:tabs>
          <w:tab w:val="left" w:pos="284"/>
        </w:tabs>
        <w:ind w:right="-248"/>
        <w:rPr>
          <w:rFonts w:cs="Times New Roman"/>
          <w:lang w:val="en-GB"/>
        </w:rPr>
      </w:pPr>
      <w:r>
        <w:rPr>
          <w:i/>
        </w:rPr>
        <w:tab/>
      </w:r>
      <w:r w:rsidRPr="001B45DE">
        <w:rPr>
          <w:i/>
        </w:rPr>
        <w:t>BT v Office of Communications v Sky UK</w:t>
      </w:r>
      <w:r>
        <w:rPr>
          <w:i/>
        </w:rPr>
        <w:t xml:space="preserve"> Ltd</w:t>
      </w:r>
      <w:r>
        <w:rPr>
          <w:rStyle w:val="FootnoteReference"/>
        </w:rPr>
        <w:footnoteReference w:id="45"/>
      </w:r>
      <w:r>
        <w:t xml:space="preserve">affords an </w:t>
      </w:r>
      <w:r w:rsidRPr="001B45DE">
        <w:t>example of this</w:t>
      </w:r>
      <w:r>
        <w:t xml:space="preserve"> more technocratic </w:t>
      </w:r>
      <w:r w:rsidR="00265446">
        <w:t xml:space="preserve">style of </w:t>
      </w:r>
      <w:r>
        <w:t xml:space="preserve">adjudication. In </w:t>
      </w:r>
      <w:r w:rsidRPr="001B45DE">
        <w:rPr>
          <w:i/>
        </w:rPr>
        <w:t>BT</w:t>
      </w:r>
      <w:r>
        <w:t xml:space="preserve"> the </w:t>
      </w:r>
      <w:r w:rsidRPr="001B45DE">
        <w:t>expert member appears to have led the questioning of the experts in the hot-tub</w:t>
      </w:r>
      <w:r>
        <w:t xml:space="preserve">. Accordingly, the Tribunal’s </w:t>
      </w:r>
      <w:r w:rsidRPr="001B45DE">
        <w:t xml:space="preserve"> </w:t>
      </w:r>
      <w:r>
        <w:t>“</w:t>
      </w:r>
      <w:r w:rsidRPr="001B45DE">
        <w:rPr>
          <w:rFonts w:cs="Times New Roman"/>
        </w:rPr>
        <w:t>ability to lead the examination with the expertise of Professor Colin Mayer enabled it to evaluate the issues effectively in a single morning instead of the one or two full days that might otherwise have been required</w:t>
      </w:r>
      <w:r>
        <w:rPr>
          <w:rFonts w:cs="Times New Roman"/>
        </w:rPr>
        <w:t>.”</w:t>
      </w:r>
      <w:r>
        <w:rPr>
          <w:rStyle w:val="FootnoteReference"/>
          <w:rFonts w:cs="Times New Roman"/>
        </w:rPr>
        <w:footnoteReference w:id="46"/>
      </w:r>
      <w:r>
        <w:rPr>
          <w:rFonts w:cs="Times New Roman"/>
        </w:rPr>
        <w:t xml:space="preserve"> BT’s subsequent attempt to appeal, on the basis that evidence was omitted from the concurrent evidence session, was unsuccessful.</w:t>
      </w:r>
      <w:r>
        <w:rPr>
          <w:rStyle w:val="FootnoteReference"/>
          <w:rFonts w:cs="Times New Roman"/>
        </w:rPr>
        <w:footnoteReference w:id="47"/>
      </w:r>
      <w:r w:rsidR="00DB544F" w:rsidRPr="00876672">
        <w:rPr>
          <w:rFonts w:cs="Times New Roman"/>
          <w:lang w:val="en-GB"/>
        </w:rPr>
        <w:tab/>
        <w:t xml:space="preserve">One of the most prolific users of the </w:t>
      </w:r>
      <w:r w:rsidR="006D07F9">
        <w:rPr>
          <w:rFonts w:cs="Times New Roman"/>
          <w:lang w:val="en-GB"/>
        </w:rPr>
        <w:t>“</w:t>
      </w:r>
      <w:r w:rsidR="00DB544F" w:rsidRPr="00876672">
        <w:rPr>
          <w:rFonts w:cs="Times New Roman"/>
          <w:lang w:val="en-GB"/>
        </w:rPr>
        <w:t>hot tub</w:t>
      </w:r>
      <w:r w:rsidR="006D07F9">
        <w:rPr>
          <w:rFonts w:cs="Times New Roman"/>
          <w:lang w:val="en-GB"/>
        </w:rPr>
        <w:t>”</w:t>
      </w:r>
      <w:r w:rsidR="00DB544F" w:rsidRPr="00876672">
        <w:rPr>
          <w:rFonts w:cs="Times New Roman"/>
          <w:lang w:val="en-GB"/>
        </w:rPr>
        <w:t xml:space="preserve">, so far as reported decisions indicate, is the Northern Ireland Lands Tribunal, a mixed body made up of lawyers and </w:t>
      </w:r>
      <w:r w:rsidR="006D07F9">
        <w:rPr>
          <w:rFonts w:cs="Times New Roman"/>
          <w:lang w:val="en-GB"/>
        </w:rPr>
        <w:t>“</w:t>
      </w:r>
      <w:r w:rsidR="00DB544F" w:rsidRPr="00876672">
        <w:rPr>
          <w:rFonts w:cs="Times New Roman"/>
          <w:lang w:val="en-GB"/>
        </w:rPr>
        <w:t>persons who have experience in the valuation of land</w:t>
      </w:r>
      <w:r w:rsidR="006D07F9">
        <w:rPr>
          <w:rFonts w:cs="Times New Roman"/>
          <w:lang w:val="en-GB"/>
        </w:rPr>
        <w:t>”</w:t>
      </w:r>
      <w:r w:rsidR="00DB544F" w:rsidRPr="00876672">
        <w:rPr>
          <w:rFonts w:cs="Times New Roman"/>
          <w:lang w:val="en-GB"/>
        </w:rPr>
        <w:t>.</w:t>
      </w:r>
      <w:r w:rsidR="00DB544F" w:rsidRPr="00876672">
        <w:rPr>
          <w:rStyle w:val="FootnoteReference"/>
          <w:rFonts w:cs="Times New Roman"/>
          <w:lang w:val="en-GB"/>
        </w:rPr>
        <w:footnoteReference w:id="48"/>
      </w:r>
      <w:r w:rsidR="00DB544F" w:rsidRPr="00876672">
        <w:rPr>
          <w:rFonts w:cs="Times New Roman"/>
          <w:lang w:val="en-GB"/>
        </w:rPr>
        <w:t xml:space="preserve"> Many of these decisions are made by the one full-time member, who is a valuer and can apply his or her own expertise to resolve any differences between the experts. For example in </w:t>
      </w:r>
      <w:r w:rsidR="00DB544F" w:rsidRPr="00876672">
        <w:rPr>
          <w:rFonts w:cs="Times New Roman"/>
          <w:i/>
          <w:lang w:val="en-GB"/>
        </w:rPr>
        <w:t>Debenhams plc v Commissioner of Valuation for Northern Ireland,</w:t>
      </w:r>
      <w:r w:rsidR="00DB544F" w:rsidRPr="00876672">
        <w:rPr>
          <w:rStyle w:val="FootnoteReference"/>
          <w:rFonts w:cs="Times New Roman"/>
          <w:lang w:val="en-GB"/>
        </w:rPr>
        <w:footnoteReference w:id="49"/>
      </w:r>
      <w:r w:rsidR="00DB544F" w:rsidRPr="00876672">
        <w:rPr>
          <w:rFonts w:cs="Times New Roman"/>
          <w:i/>
          <w:lang w:val="en-GB"/>
        </w:rPr>
        <w:t xml:space="preserve"> </w:t>
      </w:r>
      <w:r w:rsidR="00DB544F" w:rsidRPr="00876672">
        <w:rPr>
          <w:rFonts w:cs="Times New Roman"/>
          <w:lang w:val="en-GB"/>
        </w:rPr>
        <w:t>where</w:t>
      </w:r>
      <w:r w:rsidR="00DB544F" w:rsidRPr="00876672">
        <w:rPr>
          <w:rFonts w:cs="Times New Roman"/>
          <w:i/>
          <w:lang w:val="en-GB"/>
        </w:rPr>
        <w:t xml:space="preserve"> </w:t>
      </w:r>
      <w:r w:rsidR="00DB544F" w:rsidRPr="00876672">
        <w:rPr>
          <w:rFonts w:cs="Times New Roman"/>
          <w:lang w:val="en-GB"/>
        </w:rPr>
        <w:t>the valuation evidence was heard concurrently, Michael Curry FRICS conclude</w:t>
      </w:r>
      <w:r w:rsidR="000E572F">
        <w:rPr>
          <w:rFonts w:cs="Times New Roman"/>
          <w:lang w:val="en-GB"/>
        </w:rPr>
        <w:t>d</w:t>
      </w:r>
      <w:r w:rsidR="00DB544F" w:rsidRPr="00876672">
        <w:rPr>
          <w:rFonts w:cs="Times New Roman"/>
          <w:lang w:val="en-GB"/>
        </w:rPr>
        <w:t xml:space="preserve"> that whether to adopt an </w:t>
      </w:r>
      <w:r w:rsidR="006D07F9">
        <w:rPr>
          <w:rFonts w:cs="Times New Roman"/>
          <w:lang w:val="en-GB"/>
        </w:rPr>
        <w:t>“</w:t>
      </w:r>
      <w:r w:rsidR="00DB544F" w:rsidRPr="00876672">
        <w:rPr>
          <w:rFonts w:cs="Times New Roman"/>
          <w:lang w:val="en-GB"/>
        </w:rPr>
        <w:t>overall pricing</w:t>
      </w:r>
      <w:r w:rsidR="006D07F9">
        <w:rPr>
          <w:rFonts w:cs="Times New Roman"/>
          <w:lang w:val="en-GB"/>
        </w:rPr>
        <w:t>”</w:t>
      </w:r>
      <w:r w:rsidR="00DB544F" w:rsidRPr="00876672">
        <w:rPr>
          <w:rFonts w:cs="Times New Roman"/>
          <w:lang w:val="en-GB"/>
        </w:rPr>
        <w:t xml:space="preserve"> or a </w:t>
      </w:r>
      <w:r w:rsidR="006D07F9">
        <w:rPr>
          <w:rFonts w:cs="Times New Roman"/>
          <w:lang w:val="en-GB"/>
        </w:rPr>
        <w:t>“</w:t>
      </w:r>
      <w:r w:rsidR="00DB544F" w:rsidRPr="00876672">
        <w:rPr>
          <w:rFonts w:cs="Times New Roman"/>
          <w:lang w:val="en-GB"/>
        </w:rPr>
        <w:t>zoning</w:t>
      </w:r>
      <w:r w:rsidR="006D07F9">
        <w:rPr>
          <w:rFonts w:cs="Times New Roman"/>
          <w:lang w:val="en-GB"/>
        </w:rPr>
        <w:t>”</w:t>
      </w:r>
      <w:r w:rsidR="00DB544F" w:rsidRPr="00876672">
        <w:rPr>
          <w:rFonts w:cs="Times New Roman"/>
          <w:lang w:val="en-GB"/>
        </w:rPr>
        <w:t xml:space="preserve"> approach to the value of a store </w:t>
      </w:r>
      <w:r w:rsidR="000E572F">
        <w:rPr>
          <w:rFonts w:cs="Times New Roman"/>
          <w:lang w:val="en-GB"/>
        </w:rPr>
        <w:t>wa</w:t>
      </w:r>
      <w:r w:rsidR="000E572F" w:rsidRPr="00876672">
        <w:rPr>
          <w:rFonts w:cs="Times New Roman"/>
          <w:lang w:val="en-GB"/>
        </w:rPr>
        <w:t xml:space="preserve">s </w:t>
      </w:r>
      <w:r w:rsidR="00DB544F" w:rsidRPr="00876672">
        <w:rPr>
          <w:rFonts w:cs="Times New Roman"/>
          <w:lang w:val="en-GB"/>
        </w:rPr>
        <w:t xml:space="preserve">a matter of </w:t>
      </w:r>
      <w:r w:rsidR="006D07F9">
        <w:rPr>
          <w:rFonts w:cs="Times New Roman"/>
          <w:lang w:val="en-GB"/>
        </w:rPr>
        <w:t>“</w:t>
      </w:r>
      <w:r w:rsidR="00DB544F" w:rsidRPr="00876672">
        <w:rPr>
          <w:rFonts w:cs="Times New Roman"/>
          <w:lang w:val="en-GB"/>
        </w:rPr>
        <w:t>expert judgment</w:t>
      </w:r>
      <w:r w:rsidR="006D07F9">
        <w:rPr>
          <w:rFonts w:cs="Times New Roman"/>
          <w:lang w:val="en-GB"/>
        </w:rPr>
        <w:t>”</w:t>
      </w:r>
      <w:r w:rsidR="00DB544F" w:rsidRPr="00876672">
        <w:rPr>
          <w:rFonts w:cs="Times New Roman"/>
          <w:lang w:val="en-GB"/>
        </w:rPr>
        <w:t xml:space="preserve">, but </w:t>
      </w:r>
      <w:r w:rsidR="000E572F" w:rsidRPr="00876672">
        <w:rPr>
          <w:rFonts w:cs="Times New Roman"/>
          <w:lang w:val="en-GB"/>
        </w:rPr>
        <w:t>expresse</w:t>
      </w:r>
      <w:r w:rsidR="000E572F">
        <w:rPr>
          <w:rFonts w:cs="Times New Roman"/>
          <w:lang w:val="en-GB"/>
        </w:rPr>
        <w:t>d</w:t>
      </w:r>
      <w:r w:rsidR="000E572F" w:rsidRPr="00876672">
        <w:rPr>
          <w:rFonts w:cs="Times New Roman"/>
          <w:lang w:val="en-GB"/>
        </w:rPr>
        <w:t xml:space="preserve"> </w:t>
      </w:r>
      <w:r w:rsidR="006D07F9">
        <w:rPr>
          <w:rFonts w:cs="Times New Roman"/>
          <w:lang w:val="en-GB"/>
        </w:rPr>
        <w:t>“</w:t>
      </w:r>
      <w:r w:rsidR="00DB544F" w:rsidRPr="00876672">
        <w:rPr>
          <w:rFonts w:cs="Times New Roman"/>
          <w:lang w:val="en-GB"/>
        </w:rPr>
        <w:t>no hesitation</w:t>
      </w:r>
      <w:r w:rsidR="006D07F9">
        <w:rPr>
          <w:rFonts w:cs="Times New Roman"/>
          <w:lang w:val="en-GB"/>
        </w:rPr>
        <w:t>”</w:t>
      </w:r>
      <w:r w:rsidR="00DB544F" w:rsidRPr="00876672">
        <w:rPr>
          <w:rFonts w:cs="Times New Roman"/>
          <w:lang w:val="en-GB"/>
        </w:rPr>
        <w:t xml:space="preserve"> in making an expert judgment of his own and deciding that the former method </w:t>
      </w:r>
      <w:r w:rsidR="000E572F">
        <w:rPr>
          <w:rFonts w:cs="Times New Roman"/>
          <w:lang w:val="en-GB"/>
        </w:rPr>
        <w:t>was</w:t>
      </w:r>
      <w:r w:rsidR="000E572F" w:rsidRPr="00876672">
        <w:rPr>
          <w:rFonts w:cs="Times New Roman"/>
          <w:lang w:val="en-GB"/>
        </w:rPr>
        <w:t xml:space="preserve"> </w:t>
      </w:r>
      <w:r w:rsidR="00DB544F" w:rsidRPr="00876672">
        <w:rPr>
          <w:rFonts w:cs="Times New Roman"/>
          <w:lang w:val="en-GB"/>
        </w:rPr>
        <w:t>appropriate.</w:t>
      </w:r>
      <w:r w:rsidR="00DB544F" w:rsidRPr="00876672">
        <w:rPr>
          <w:rStyle w:val="FootnoteReference"/>
          <w:rFonts w:cs="Times New Roman"/>
          <w:lang w:val="en-GB"/>
        </w:rPr>
        <w:footnoteReference w:id="50"/>
      </w:r>
      <w:r w:rsidR="00DB544F" w:rsidRPr="00876672">
        <w:rPr>
          <w:rFonts w:cs="Times New Roman"/>
          <w:lang w:val="en-GB"/>
        </w:rPr>
        <w:t xml:space="preserve"> </w:t>
      </w:r>
    </w:p>
    <w:p w14:paraId="216D11BF" w14:textId="4A79DE11" w:rsidR="00DB544F" w:rsidRPr="00876672" w:rsidRDefault="002A4608" w:rsidP="003D0BBA">
      <w:pPr>
        <w:tabs>
          <w:tab w:val="left" w:pos="284"/>
        </w:tabs>
        <w:ind w:right="-248"/>
        <w:rPr>
          <w:rFonts w:cs="Times New Roman"/>
          <w:lang w:val="en-GB"/>
        </w:rPr>
      </w:pPr>
      <w:r>
        <w:rPr>
          <w:rFonts w:cs="Times New Roman"/>
          <w:lang w:val="en-GB"/>
        </w:rPr>
        <w:tab/>
      </w:r>
      <w:r w:rsidR="00185F1B" w:rsidRPr="00876672">
        <w:rPr>
          <w:rFonts w:cs="Times New Roman"/>
          <w:lang w:val="en-GB"/>
        </w:rPr>
        <w:t xml:space="preserve">In another recent case, experts were admonished not to leave </w:t>
      </w:r>
      <w:r w:rsidR="00DB544F" w:rsidRPr="00876672">
        <w:rPr>
          <w:rFonts w:cs="Times New Roman"/>
          <w:lang w:val="en-GB"/>
        </w:rPr>
        <w:t xml:space="preserve">too much to the Tribunal’s own judgment: </w:t>
      </w:r>
      <w:r w:rsidR="006D07F9">
        <w:rPr>
          <w:rFonts w:cs="Times New Roman"/>
          <w:lang w:val="en-GB"/>
        </w:rPr>
        <w:t>“</w:t>
      </w:r>
      <w:r w:rsidR="00DB544F" w:rsidRPr="00876672">
        <w:rPr>
          <w:rFonts w:cs="Times New Roman"/>
          <w:lang w:val="en-GB"/>
        </w:rPr>
        <w:t>it is for the experts to decide what factors they think are appropriate and communicate their criteria and reasons for that</w:t>
      </w:r>
      <w:r>
        <w:rPr>
          <w:rFonts w:cs="Times New Roman"/>
          <w:lang w:val="en-GB"/>
        </w:rPr>
        <w:t xml:space="preserve"> … </w:t>
      </w:r>
      <w:r w:rsidR="00DB544F" w:rsidRPr="00876672">
        <w:rPr>
          <w:rFonts w:cs="Times New Roman"/>
          <w:lang w:val="en-GB"/>
        </w:rPr>
        <w:t>it is not sufficient simply to drop a bundle of comparisons or other</w:t>
      </w:r>
      <w:r w:rsidR="00DB544F" w:rsidRPr="00876672">
        <w:rPr>
          <w:rFonts w:cs="Times New Roman"/>
          <w:i/>
          <w:lang w:val="en-GB"/>
        </w:rPr>
        <w:t xml:space="preserve"> </w:t>
      </w:r>
      <w:r w:rsidR="00DB544F" w:rsidRPr="00876672">
        <w:rPr>
          <w:rFonts w:cs="Times New Roman"/>
          <w:lang w:val="en-GB"/>
        </w:rPr>
        <w:t xml:space="preserve">observations on the table; the expert </w:t>
      </w:r>
      <w:r w:rsidR="00DB544F" w:rsidRPr="00876672">
        <w:rPr>
          <w:rFonts w:cs="Times New Roman"/>
          <w:lang w:val="en-GB"/>
        </w:rPr>
        <w:lastRenderedPageBreak/>
        <w:t>witness must disclose their analysis to demonstrate the inferences they say can be drawn.</w:t>
      </w:r>
      <w:r w:rsidR="006D07F9">
        <w:rPr>
          <w:rFonts w:cs="Times New Roman"/>
          <w:lang w:val="en-GB"/>
        </w:rPr>
        <w:t>”</w:t>
      </w:r>
      <w:r w:rsidR="00DB544F" w:rsidRPr="00876672">
        <w:rPr>
          <w:rStyle w:val="FootnoteReference"/>
          <w:rFonts w:cs="Times New Roman"/>
          <w:lang w:val="en-GB"/>
        </w:rPr>
        <w:footnoteReference w:id="51"/>
      </w:r>
      <w:r w:rsidR="00DB544F" w:rsidRPr="00876672">
        <w:rPr>
          <w:rFonts w:cs="Times New Roman"/>
          <w:lang w:val="en-GB"/>
        </w:rPr>
        <w:t xml:space="preserve"> The Tribunal’s role, in other words, is a judicial one </w:t>
      </w:r>
      <w:r w:rsidR="00795850">
        <w:rPr>
          <w:rFonts w:cs="Times New Roman"/>
          <w:lang w:val="en-GB"/>
        </w:rPr>
        <w:t>concerned with</w:t>
      </w:r>
      <w:r w:rsidR="00DB544F" w:rsidRPr="00876672">
        <w:rPr>
          <w:rFonts w:cs="Times New Roman"/>
          <w:lang w:val="en-GB"/>
        </w:rPr>
        <w:t xml:space="preserve"> evaluating the relative merits of the cases advanced by the parties; but in doing so, Tribunal members can draw on their own expertise. Henry Spence, the current valuer member of the Tribunal, while commenting positively on the use of concurrent evidence in a series of cases involving the Northern Ireland Electricity Board, has questioned whether it would be as effective if the </w:t>
      </w:r>
      <w:r w:rsidR="006D07F9">
        <w:rPr>
          <w:rFonts w:cs="Times New Roman"/>
          <w:lang w:val="en-GB"/>
        </w:rPr>
        <w:t>“</w:t>
      </w:r>
      <w:r w:rsidR="00DB544F" w:rsidRPr="00876672">
        <w:rPr>
          <w:rFonts w:cs="Times New Roman"/>
          <w:lang w:val="en-GB"/>
        </w:rPr>
        <w:t>decider</w:t>
      </w:r>
      <w:r w:rsidR="006D07F9">
        <w:rPr>
          <w:rFonts w:cs="Times New Roman"/>
          <w:lang w:val="en-GB"/>
        </w:rPr>
        <w:t>”</w:t>
      </w:r>
      <w:r w:rsidR="00DB544F" w:rsidRPr="00876672">
        <w:rPr>
          <w:rFonts w:cs="Times New Roman"/>
          <w:lang w:val="en-GB"/>
        </w:rPr>
        <w:t xml:space="preserve"> was not an expert.</w:t>
      </w:r>
      <w:r w:rsidR="00DB544F" w:rsidRPr="00876672">
        <w:rPr>
          <w:rStyle w:val="FootnoteReference"/>
          <w:rFonts w:cs="Times New Roman"/>
          <w:lang w:val="en-GB"/>
        </w:rPr>
        <w:footnoteReference w:id="52"/>
      </w:r>
    </w:p>
    <w:p w14:paraId="704E7EF6" w14:textId="67EE4383" w:rsidR="00DB544F" w:rsidRPr="00876672" w:rsidRDefault="00DB544F" w:rsidP="003D0BBA">
      <w:pPr>
        <w:tabs>
          <w:tab w:val="left" w:pos="284"/>
        </w:tabs>
        <w:ind w:right="-248"/>
        <w:rPr>
          <w:rFonts w:cs="Times New Roman"/>
          <w:lang w:val="en-GB"/>
        </w:rPr>
      </w:pPr>
      <w:r w:rsidRPr="00876672">
        <w:rPr>
          <w:rFonts w:cs="Times New Roman"/>
          <w:lang w:val="en-GB"/>
        </w:rPr>
        <w:tab/>
        <w:t xml:space="preserve">The valuers on the Tribunal have what Collins and Evans call </w:t>
      </w:r>
      <w:r w:rsidR="006D07F9">
        <w:rPr>
          <w:rFonts w:cs="Times New Roman"/>
          <w:lang w:val="en-GB"/>
        </w:rPr>
        <w:t>“</w:t>
      </w:r>
      <w:r w:rsidRPr="00876672">
        <w:rPr>
          <w:rFonts w:cs="Times New Roman"/>
          <w:lang w:val="en-GB"/>
        </w:rPr>
        <w:t>contributory expertise.</w:t>
      </w:r>
      <w:r w:rsidR="006D07F9">
        <w:rPr>
          <w:rFonts w:cs="Times New Roman"/>
          <w:lang w:val="en-GB"/>
        </w:rPr>
        <w:t>”</w:t>
      </w:r>
      <w:r w:rsidRPr="00876672">
        <w:rPr>
          <w:rStyle w:val="FootnoteReference"/>
          <w:rFonts w:cs="Times New Roman"/>
          <w:lang w:val="en-GB"/>
        </w:rPr>
        <w:footnoteReference w:id="53"/>
      </w:r>
      <w:r w:rsidRPr="00876672">
        <w:rPr>
          <w:rFonts w:cs="Times New Roman"/>
          <w:lang w:val="en-GB"/>
        </w:rPr>
        <w:t xml:space="preserve"> They not only understand how land is valued but could, when not playing a judicial role, undertake the work of the expert, here a land valuer, themselves. Other specialist courts and tribunals </w:t>
      </w:r>
      <w:r w:rsidR="0063540A" w:rsidRPr="00876672">
        <w:rPr>
          <w:rFonts w:cs="Times New Roman"/>
          <w:lang w:val="en-GB"/>
        </w:rPr>
        <w:t xml:space="preserve">(and advocates) </w:t>
      </w:r>
      <w:r w:rsidRPr="00876672">
        <w:rPr>
          <w:rFonts w:cs="Times New Roman"/>
          <w:lang w:val="en-GB"/>
        </w:rPr>
        <w:t xml:space="preserve">may </w:t>
      </w:r>
      <w:r w:rsidR="00795850">
        <w:rPr>
          <w:rFonts w:cs="Times New Roman"/>
          <w:lang w:val="en-GB"/>
        </w:rPr>
        <w:t>possess</w:t>
      </w:r>
      <w:r w:rsidRPr="00876672">
        <w:rPr>
          <w:rFonts w:cs="Times New Roman"/>
          <w:lang w:val="en-GB"/>
        </w:rPr>
        <w:t xml:space="preserve"> what Collins and Evans call </w:t>
      </w:r>
      <w:r w:rsidR="006D07F9">
        <w:rPr>
          <w:rFonts w:cs="Times New Roman"/>
          <w:lang w:val="en-GB"/>
        </w:rPr>
        <w:t>“</w:t>
      </w:r>
      <w:r w:rsidR="00185F1B" w:rsidRPr="00876672">
        <w:rPr>
          <w:rFonts w:cs="Times New Roman"/>
          <w:lang w:val="en-GB"/>
        </w:rPr>
        <w:t>interactional</w:t>
      </w:r>
      <w:r w:rsidRPr="00876672">
        <w:rPr>
          <w:rFonts w:cs="Times New Roman"/>
          <w:lang w:val="en-GB"/>
        </w:rPr>
        <w:t xml:space="preserve"> expertise</w:t>
      </w:r>
      <w:r w:rsidR="006D07F9">
        <w:rPr>
          <w:rFonts w:cs="Times New Roman"/>
          <w:lang w:val="en-GB"/>
        </w:rPr>
        <w:t>”</w:t>
      </w:r>
      <w:r w:rsidRPr="00876672">
        <w:rPr>
          <w:rFonts w:cs="Times New Roman"/>
          <w:lang w:val="en-GB"/>
        </w:rPr>
        <w:t xml:space="preserve">: that is, </w:t>
      </w:r>
      <w:r w:rsidR="006D07F9">
        <w:rPr>
          <w:rFonts w:cs="Times New Roman"/>
          <w:lang w:val="en-GB"/>
        </w:rPr>
        <w:t>“</w:t>
      </w:r>
      <w:r w:rsidR="00185F1B" w:rsidRPr="00876672">
        <w:rPr>
          <w:rFonts w:cs="Times New Roman"/>
          <w:lang w:val="en-GB"/>
        </w:rPr>
        <w:t>the ability to master the language of a specialist domain in the absence of practical competence</w:t>
      </w:r>
      <w:r w:rsidR="006D07F9">
        <w:rPr>
          <w:rFonts w:cs="Times New Roman"/>
          <w:lang w:val="en-GB"/>
        </w:rPr>
        <w:t>”</w:t>
      </w:r>
      <w:r w:rsidRPr="00876672">
        <w:rPr>
          <w:rFonts w:cs="Times New Roman"/>
          <w:lang w:val="en-GB"/>
        </w:rPr>
        <w:t>.</w:t>
      </w:r>
      <w:r w:rsidRPr="00876672">
        <w:rPr>
          <w:rStyle w:val="FootnoteReference"/>
          <w:rFonts w:cs="Times New Roman"/>
          <w:lang w:val="en-GB"/>
        </w:rPr>
        <w:footnoteReference w:id="54"/>
      </w:r>
      <w:r w:rsidRPr="00876672">
        <w:rPr>
          <w:rFonts w:cs="Times New Roman"/>
          <w:lang w:val="en-GB"/>
        </w:rPr>
        <w:t xml:space="preserve"> </w:t>
      </w:r>
      <w:r w:rsidR="0063540A" w:rsidRPr="00876672">
        <w:rPr>
          <w:rFonts w:cs="Times New Roman"/>
          <w:lang w:val="en-GB"/>
        </w:rPr>
        <w:t xml:space="preserve">Generalist judges are more likely to rely on </w:t>
      </w:r>
      <w:r w:rsidR="006D07F9">
        <w:rPr>
          <w:rFonts w:cs="Times New Roman"/>
          <w:lang w:val="en-GB"/>
        </w:rPr>
        <w:t>“</w:t>
      </w:r>
      <w:r w:rsidR="0063540A" w:rsidRPr="00876672">
        <w:rPr>
          <w:rFonts w:cs="Times New Roman"/>
          <w:lang w:val="en-GB"/>
        </w:rPr>
        <w:t>transmuted expertise</w:t>
      </w:r>
      <w:r w:rsidR="006D07F9">
        <w:rPr>
          <w:rFonts w:cs="Times New Roman"/>
          <w:lang w:val="en-GB"/>
        </w:rPr>
        <w:t>”</w:t>
      </w:r>
      <w:r w:rsidR="0063540A" w:rsidRPr="00876672">
        <w:rPr>
          <w:rFonts w:cs="Times New Roman"/>
          <w:lang w:val="en-GB"/>
        </w:rPr>
        <w:t xml:space="preserve">, </w:t>
      </w:r>
      <w:r w:rsidR="006025C6" w:rsidRPr="00876672">
        <w:rPr>
          <w:rFonts w:cs="Times New Roman"/>
          <w:lang w:val="en-GB"/>
        </w:rPr>
        <w:t>which involves</w:t>
      </w:r>
      <w:r w:rsidR="0063540A" w:rsidRPr="00876672">
        <w:rPr>
          <w:rFonts w:cs="Times New Roman"/>
          <w:lang w:val="en-GB"/>
        </w:rPr>
        <w:t xml:space="preserve"> </w:t>
      </w:r>
      <w:r w:rsidR="006D07F9">
        <w:rPr>
          <w:rFonts w:cs="Times New Roman"/>
          <w:lang w:val="en-GB"/>
        </w:rPr>
        <w:t>“</w:t>
      </w:r>
      <w:r w:rsidR="0063540A" w:rsidRPr="00876672">
        <w:rPr>
          <w:rFonts w:cs="Times New Roman"/>
          <w:lang w:val="en-GB"/>
        </w:rPr>
        <w:t xml:space="preserve">judging </w:t>
      </w:r>
      <w:r w:rsidR="006025C6" w:rsidRPr="00876672">
        <w:rPr>
          <w:rFonts w:cs="Times New Roman"/>
          <w:lang w:val="en-GB"/>
        </w:rPr>
        <w:t xml:space="preserve">the experts’ demeanour, the </w:t>
      </w:r>
      <w:r w:rsidR="000E505B" w:rsidRPr="00876672">
        <w:rPr>
          <w:rFonts w:cs="Times New Roman"/>
          <w:lang w:val="en-GB"/>
        </w:rPr>
        <w:t>internal</w:t>
      </w:r>
      <w:r w:rsidR="006025C6" w:rsidRPr="00876672">
        <w:rPr>
          <w:rFonts w:cs="Times New Roman"/>
          <w:lang w:val="en-GB"/>
        </w:rPr>
        <w:t xml:space="preserve"> consistency of their remarks, the appropriateness of their social location, etc.</w:t>
      </w:r>
      <w:r w:rsidR="006D07F9">
        <w:rPr>
          <w:rFonts w:cs="Times New Roman"/>
          <w:lang w:val="en-GB"/>
        </w:rPr>
        <w:t>”</w:t>
      </w:r>
      <w:r w:rsidR="006025C6" w:rsidRPr="00876672">
        <w:rPr>
          <w:rStyle w:val="FootnoteReference"/>
          <w:rFonts w:cs="Times New Roman"/>
          <w:lang w:val="en-GB"/>
        </w:rPr>
        <w:footnoteReference w:id="55"/>
      </w:r>
      <w:r w:rsidR="006025C6" w:rsidRPr="00876672">
        <w:rPr>
          <w:rFonts w:cs="Times New Roman"/>
          <w:lang w:val="en-GB"/>
        </w:rPr>
        <w:t xml:space="preserve"> </w:t>
      </w:r>
      <w:r w:rsidRPr="00876672">
        <w:rPr>
          <w:rFonts w:cs="Times New Roman"/>
          <w:lang w:val="en-GB"/>
        </w:rPr>
        <w:t xml:space="preserve">The extent to which judges possess </w:t>
      </w:r>
      <w:r w:rsidR="00185F1B" w:rsidRPr="00876672">
        <w:rPr>
          <w:rFonts w:cs="Times New Roman"/>
          <w:lang w:val="en-GB"/>
        </w:rPr>
        <w:t>interactional</w:t>
      </w:r>
      <w:r w:rsidRPr="00876672">
        <w:rPr>
          <w:rFonts w:cs="Times New Roman"/>
          <w:lang w:val="en-GB"/>
        </w:rPr>
        <w:t xml:space="preserve"> expertise is not easy to assess and it is likely that lawyers and judges overestimate their own ability to acquire insight in fields such as medicine, engineering, economics and statistics.</w:t>
      </w:r>
      <w:r w:rsidRPr="00876672">
        <w:rPr>
          <w:rStyle w:val="FootnoteReference"/>
          <w:rFonts w:cs="Times New Roman"/>
          <w:lang w:val="en-GB"/>
        </w:rPr>
        <w:footnoteReference w:id="56"/>
      </w:r>
      <w:r w:rsidRPr="00876672">
        <w:rPr>
          <w:rFonts w:cs="Times New Roman"/>
          <w:lang w:val="en-GB"/>
        </w:rPr>
        <w:t xml:space="preserve"> The use of concurrent evidence, or variants of it, in the Court of Protection illustrates </w:t>
      </w:r>
      <w:r w:rsidR="00795850">
        <w:rPr>
          <w:rFonts w:cs="Times New Roman"/>
          <w:lang w:val="en-GB"/>
        </w:rPr>
        <w:t>a</w:t>
      </w:r>
      <w:r w:rsidRPr="00876672">
        <w:rPr>
          <w:rFonts w:cs="Times New Roman"/>
          <w:lang w:val="en-GB"/>
        </w:rPr>
        <w:t xml:space="preserve"> sort of semi-expert participation b</w:t>
      </w:r>
      <w:r w:rsidR="00BC12A9">
        <w:rPr>
          <w:rFonts w:cs="Times New Roman"/>
          <w:lang w:val="en-GB"/>
        </w:rPr>
        <w:t xml:space="preserve">y judges. </w:t>
      </w:r>
      <w:r w:rsidRPr="00876672">
        <w:rPr>
          <w:rFonts w:cs="Times New Roman"/>
          <w:lang w:val="en-GB"/>
        </w:rPr>
        <w:t xml:space="preserve">Further, in these settings the stance is often more inquisitorial than adversarial, and in these types of cases the decision-maker, arguably, plays a different role to judges in general civil and commercial proceedings. </w:t>
      </w:r>
    </w:p>
    <w:p w14:paraId="0E699483" w14:textId="72280A41" w:rsidR="00DB544F" w:rsidRPr="00876672" w:rsidRDefault="00DB544F" w:rsidP="003D0BBA">
      <w:pPr>
        <w:tabs>
          <w:tab w:val="left" w:pos="284"/>
        </w:tabs>
        <w:ind w:right="-248"/>
        <w:rPr>
          <w:rFonts w:cs="Times New Roman"/>
          <w:lang w:val="en-GB"/>
        </w:rPr>
      </w:pPr>
      <w:r w:rsidRPr="00876672">
        <w:rPr>
          <w:rFonts w:cs="Times New Roman"/>
          <w:lang w:val="en-GB"/>
        </w:rPr>
        <w:tab/>
        <w:t xml:space="preserve">For example, in </w:t>
      </w:r>
      <w:r w:rsidRPr="00876672">
        <w:rPr>
          <w:rFonts w:cs="Times New Roman"/>
          <w:i/>
          <w:lang w:val="en-GB"/>
        </w:rPr>
        <w:t>M v N</w:t>
      </w:r>
      <w:r w:rsidRPr="00876672">
        <w:rPr>
          <w:rStyle w:val="FootnoteReference"/>
          <w:rFonts w:cs="Times New Roman"/>
          <w:lang w:val="en-GB"/>
        </w:rPr>
        <w:footnoteReference w:id="57"/>
      </w:r>
      <w:r w:rsidRPr="00876672">
        <w:rPr>
          <w:rFonts w:cs="Times New Roman"/>
          <w:i/>
          <w:lang w:val="en-GB"/>
        </w:rPr>
        <w:t xml:space="preserve"> </w:t>
      </w:r>
      <w:r w:rsidRPr="00876672">
        <w:rPr>
          <w:rFonts w:cs="Times New Roman"/>
          <w:lang w:val="en-GB"/>
        </w:rPr>
        <w:t>the Court had to decide</w:t>
      </w:r>
      <w:r w:rsidRPr="00876672">
        <w:rPr>
          <w:rStyle w:val="italic1"/>
          <w:rFonts w:cs="Times New Roman"/>
          <w:i w:val="0"/>
          <w:lang w:val="en-GB"/>
        </w:rPr>
        <w:t xml:space="preserve"> whether to discontinue life-sustaining treatment for a patient with grave physical and cognitive impairment arising from multiple sclerosis. </w:t>
      </w:r>
      <w:r w:rsidRPr="00876672">
        <w:rPr>
          <w:rFonts w:cs="Times New Roman"/>
          <w:lang w:val="en-GB"/>
        </w:rPr>
        <w:t>Expert evidence was offered by three consultants who were questioned by counsel but also discussed the evidence with one another. The main difference between them was over whether Mrs N was in a vegetative state (VS) or a minimally conscious state (MCS) – a significant issue because the case law established that different approaches to decision-making were appropriate depending on which diagnosis applied.</w:t>
      </w:r>
      <w:r w:rsidRPr="00876672">
        <w:rPr>
          <w:rStyle w:val="FootnoteReference"/>
          <w:rFonts w:cs="Times New Roman"/>
          <w:lang w:val="en-GB"/>
        </w:rPr>
        <w:footnoteReference w:id="58"/>
      </w:r>
      <w:r w:rsidRPr="00876672">
        <w:rPr>
          <w:rFonts w:cs="Times New Roman"/>
          <w:lang w:val="en-GB"/>
        </w:rPr>
        <w:t xml:space="preserve"> As Hayden J indicated in correspondence with the CJC, he found the variant of hot-tubbing he applied </w:t>
      </w:r>
      <w:r w:rsidR="006D07F9">
        <w:rPr>
          <w:rFonts w:cs="Times New Roman"/>
          <w:lang w:val="en-GB"/>
        </w:rPr>
        <w:t>“</w:t>
      </w:r>
      <w:r w:rsidRPr="00876672">
        <w:rPr>
          <w:rFonts w:cs="Times New Roman"/>
          <w:lang w:val="en-GB"/>
        </w:rPr>
        <w:t>extremely helpful.</w:t>
      </w:r>
      <w:r w:rsidR="006D07F9">
        <w:rPr>
          <w:rFonts w:cs="Times New Roman"/>
          <w:lang w:val="en-GB"/>
        </w:rPr>
        <w:t>”</w:t>
      </w:r>
      <w:r w:rsidRPr="00876672">
        <w:rPr>
          <w:rStyle w:val="FootnoteReference"/>
          <w:rFonts w:cs="Times New Roman"/>
          <w:lang w:val="en-GB"/>
        </w:rPr>
        <w:footnoteReference w:id="59"/>
      </w:r>
      <w:r w:rsidRPr="00876672">
        <w:rPr>
          <w:rFonts w:cs="Times New Roman"/>
          <w:lang w:val="en-GB"/>
        </w:rPr>
        <w:t xml:space="preserve"> In particular, he noted in the judgment that he </w:t>
      </w:r>
      <w:r w:rsidR="006D07F9">
        <w:rPr>
          <w:rFonts w:cs="Times New Roman"/>
          <w:lang w:val="en-GB"/>
        </w:rPr>
        <w:t>“</w:t>
      </w:r>
      <w:r w:rsidRPr="00876672">
        <w:rPr>
          <w:rFonts w:cs="Times New Roman"/>
          <w:lang w:val="en-GB"/>
        </w:rPr>
        <w:t>was impressed by [the consultants’] respect for each others’ [sic] views and their willingness continually to re-evaluate the available evidence.</w:t>
      </w:r>
      <w:r w:rsidR="006D07F9">
        <w:rPr>
          <w:rFonts w:cs="Times New Roman"/>
          <w:lang w:val="en-GB"/>
        </w:rPr>
        <w:t>”</w:t>
      </w:r>
      <w:r w:rsidRPr="00876672">
        <w:rPr>
          <w:rStyle w:val="FootnoteReference"/>
          <w:rFonts w:cs="Times New Roman"/>
          <w:lang w:val="en-GB"/>
        </w:rPr>
        <w:footnoteReference w:id="60"/>
      </w:r>
      <w:r w:rsidRPr="00876672">
        <w:rPr>
          <w:rFonts w:cs="Times New Roman"/>
          <w:lang w:val="en-GB"/>
        </w:rPr>
        <w:t xml:space="preserve"> The judgment refers not only to the experts’ evidence but to the medical literature they cited.</w:t>
      </w:r>
      <w:r w:rsidR="00795850">
        <w:rPr>
          <w:rStyle w:val="FootnoteReference"/>
          <w:rFonts w:cs="Times New Roman"/>
          <w:lang w:val="en-GB"/>
        </w:rPr>
        <w:footnoteReference w:id="61"/>
      </w:r>
      <w:r w:rsidRPr="00876672">
        <w:rPr>
          <w:rFonts w:cs="Times New Roman"/>
          <w:lang w:val="en-GB"/>
        </w:rPr>
        <w:t xml:space="preserve"> The articles in question are not discussed in any depth but their inclusion implies that the trial judge was laying claim to some degree of </w:t>
      </w:r>
      <w:r w:rsidR="00AA56DD" w:rsidRPr="00876672">
        <w:rPr>
          <w:rFonts w:cs="Times New Roman"/>
          <w:lang w:val="en-GB"/>
        </w:rPr>
        <w:t>interactional</w:t>
      </w:r>
      <w:r w:rsidRPr="00876672">
        <w:rPr>
          <w:rFonts w:cs="Times New Roman"/>
          <w:lang w:val="en-GB"/>
        </w:rPr>
        <w:t xml:space="preserve"> expertise. </w:t>
      </w:r>
    </w:p>
    <w:p w14:paraId="037323DC" w14:textId="77777777" w:rsidR="00DB544F" w:rsidRPr="00876672" w:rsidRDefault="00DB544F" w:rsidP="003D0BBA">
      <w:pPr>
        <w:tabs>
          <w:tab w:val="left" w:pos="284"/>
        </w:tabs>
        <w:ind w:right="-248"/>
        <w:rPr>
          <w:rFonts w:cs="Times New Roman"/>
          <w:lang w:val="en-GB"/>
        </w:rPr>
      </w:pPr>
      <w:r w:rsidRPr="00876672">
        <w:rPr>
          <w:rFonts w:cs="Times New Roman"/>
          <w:lang w:val="en-GB"/>
        </w:rPr>
        <w:tab/>
        <w:t xml:space="preserve">Focusing on the merits of the argument rather than its presentation, the judge concluded: </w:t>
      </w:r>
    </w:p>
    <w:p w14:paraId="73336039" w14:textId="77777777" w:rsidR="00DB544F" w:rsidRPr="00876672" w:rsidRDefault="00DB544F" w:rsidP="003D0BBA">
      <w:pPr>
        <w:ind w:right="-248" w:firstLine="720"/>
        <w:rPr>
          <w:rFonts w:cs="Times New Roman"/>
          <w:lang w:val="en-GB"/>
        </w:rPr>
      </w:pPr>
    </w:p>
    <w:p w14:paraId="14FF587B" w14:textId="77777777" w:rsidR="00DB544F" w:rsidRPr="00BC12A9" w:rsidRDefault="00DB544F" w:rsidP="00BC12A9">
      <w:pPr>
        <w:ind w:left="567" w:right="-248"/>
        <w:rPr>
          <w:rFonts w:cs="Times New Roman"/>
          <w:sz w:val="20"/>
          <w:szCs w:val="20"/>
          <w:lang w:val="en-GB"/>
        </w:rPr>
      </w:pPr>
      <w:r w:rsidRPr="00BC12A9">
        <w:rPr>
          <w:rFonts w:cs="Times New Roman"/>
          <w:sz w:val="20"/>
          <w:szCs w:val="20"/>
          <w:lang w:val="en-GB"/>
        </w:rPr>
        <w:t>I find both approaches here to be so coherently reasoned that I am unab</w:t>
      </w:r>
      <w:r w:rsidR="00BC12A9" w:rsidRPr="00BC12A9">
        <w:rPr>
          <w:rFonts w:cs="Times New Roman"/>
          <w:sz w:val="20"/>
          <w:szCs w:val="20"/>
          <w:lang w:val="en-GB"/>
        </w:rPr>
        <w:t xml:space="preserve">le to prefer one to the other. </w:t>
      </w:r>
      <w:r w:rsidRPr="00BC12A9">
        <w:rPr>
          <w:rFonts w:cs="Times New Roman"/>
          <w:sz w:val="20"/>
          <w:szCs w:val="20"/>
          <w:lang w:val="en-GB"/>
        </w:rPr>
        <w:t>Fortunately, I do not consider that I need to make a choice because the reality of the disagreement is far narrower clinically than is the theoretical divide.</w:t>
      </w:r>
      <w:r w:rsidRPr="00BC12A9">
        <w:rPr>
          <w:rStyle w:val="FootnoteReference"/>
          <w:rFonts w:cs="Times New Roman"/>
          <w:sz w:val="20"/>
          <w:szCs w:val="20"/>
          <w:lang w:val="en-GB"/>
        </w:rPr>
        <w:footnoteReference w:id="62"/>
      </w:r>
      <w:r w:rsidRPr="00BC12A9">
        <w:rPr>
          <w:rFonts w:cs="Times New Roman"/>
          <w:sz w:val="20"/>
          <w:szCs w:val="20"/>
          <w:lang w:val="en-GB"/>
        </w:rPr>
        <w:t xml:space="preserve"> </w:t>
      </w:r>
    </w:p>
    <w:p w14:paraId="22F21E35" w14:textId="77777777" w:rsidR="00DB544F" w:rsidRPr="00876672" w:rsidRDefault="00DB544F" w:rsidP="003D0BBA">
      <w:pPr>
        <w:ind w:left="720" w:right="-248"/>
        <w:rPr>
          <w:rFonts w:cs="Times New Roman"/>
          <w:lang w:val="en-GB"/>
        </w:rPr>
      </w:pPr>
    </w:p>
    <w:p w14:paraId="3D7DA195" w14:textId="77777777" w:rsidR="00DB544F" w:rsidRPr="00876672" w:rsidRDefault="00DB544F" w:rsidP="003D0BBA">
      <w:pPr>
        <w:ind w:right="-248"/>
        <w:rPr>
          <w:rFonts w:cs="Times New Roman"/>
          <w:lang w:val="en-GB"/>
        </w:rPr>
      </w:pPr>
      <w:r w:rsidRPr="00876672">
        <w:rPr>
          <w:rFonts w:cs="Times New Roman"/>
          <w:lang w:val="en-GB"/>
        </w:rPr>
        <w:t xml:space="preserve">Having said that, however, he found that there were clear normative reasons to classify Mrs N’s condition as MCS rather than VS and adopt the legal approach and medical guidelines that followed from that </w:t>
      </w:r>
      <w:r w:rsidR="00241975">
        <w:rPr>
          <w:rFonts w:cs="Times New Roman"/>
          <w:lang w:val="en-GB"/>
        </w:rPr>
        <w:t xml:space="preserve">conservative </w:t>
      </w:r>
      <w:r w:rsidRPr="00876672">
        <w:rPr>
          <w:rFonts w:cs="Times New Roman"/>
          <w:lang w:val="en-GB"/>
        </w:rPr>
        <w:t>characterisation.</w:t>
      </w:r>
      <w:r w:rsidRPr="00876672">
        <w:rPr>
          <w:rStyle w:val="FootnoteReference"/>
          <w:rFonts w:cs="Times New Roman"/>
          <w:lang w:val="en-GB"/>
        </w:rPr>
        <w:footnoteReference w:id="63"/>
      </w:r>
    </w:p>
    <w:p w14:paraId="17ACB22A" w14:textId="5E8109AB" w:rsidR="00DB544F" w:rsidRPr="00876672" w:rsidRDefault="00DB544F" w:rsidP="003D0BBA">
      <w:pPr>
        <w:tabs>
          <w:tab w:val="left" w:pos="284"/>
        </w:tabs>
        <w:ind w:right="-248"/>
        <w:rPr>
          <w:rFonts w:cs="Times New Roman"/>
          <w:lang w:val="en-GB"/>
        </w:rPr>
      </w:pPr>
      <w:r w:rsidRPr="00876672">
        <w:rPr>
          <w:rFonts w:cs="Times New Roman"/>
          <w:lang w:val="en-GB"/>
        </w:rPr>
        <w:tab/>
        <w:t xml:space="preserve">Hayden J clearly saw a modified </w:t>
      </w:r>
      <w:r w:rsidR="006D07F9">
        <w:rPr>
          <w:rFonts w:cs="Times New Roman"/>
          <w:lang w:val="en-GB"/>
        </w:rPr>
        <w:t>“</w:t>
      </w:r>
      <w:r w:rsidRPr="00876672">
        <w:rPr>
          <w:rFonts w:cs="Times New Roman"/>
          <w:lang w:val="en-GB"/>
        </w:rPr>
        <w:t>hot tub</w:t>
      </w:r>
      <w:r w:rsidR="006D07F9">
        <w:rPr>
          <w:rFonts w:cs="Times New Roman"/>
          <w:lang w:val="en-GB"/>
        </w:rPr>
        <w:t>”</w:t>
      </w:r>
      <w:r w:rsidRPr="00876672">
        <w:rPr>
          <w:rFonts w:cs="Times New Roman"/>
          <w:lang w:val="en-GB"/>
        </w:rPr>
        <w:t xml:space="preserve"> as leading not only to performative improvement – it </w:t>
      </w:r>
      <w:r w:rsidR="006D07F9">
        <w:rPr>
          <w:rFonts w:cs="Times New Roman"/>
          <w:lang w:val="en-GB"/>
        </w:rPr>
        <w:t>“</w:t>
      </w:r>
      <w:r w:rsidRPr="00876672">
        <w:rPr>
          <w:rFonts w:cs="Times New Roman"/>
          <w:lang w:val="en-GB"/>
        </w:rPr>
        <w:t>discouraged posturing</w:t>
      </w:r>
      <w:r w:rsidR="006D07F9">
        <w:rPr>
          <w:rFonts w:cs="Times New Roman"/>
          <w:lang w:val="en-GB"/>
        </w:rPr>
        <w:t>”</w:t>
      </w:r>
      <w:r w:rsidRPr="00876672">
        <w:rPr>
          <w:rStyle w:val="FootnoteReference"/>
          <w:rFonts w:cs="Times New Roman"/>
          <w:lang w:val="en-GB"/>
        </w:rPr>
        <w:footnoteReference w:id="64"/>
      </w:r>
      <w:r w:rsidRPr="00876672">
        <w:rPr>
          <w:rFonts w:cs="Times New Roman"/>
          <w:lang w:val="en-GB"/>
        </w:rPr>
        <w:t xml:space="preserve"> – but also to epistemic improvement. By encouraging the experts to </w:t>
      </w:r>
      <w:r w:rsidR="006D07F9">
        <w:rPr>
          <w:rFonts w:cs="Times New Roman"/>
          <w:lang w:val="en-GB"/>
        </w:rPr>
        <w:t>“</w:t>
      </w:r>
      <w:r w:rsidRPr="00876672">
        <w:rPr>
          <w:rFonts w:cs="Times New Roman"/>
          <w:lang w:val="en-GB"/>
        </w:rPr>
        <w:t>continually re-evaluate</w:t>
      </w:r>
      <w:r w:rsidR="006D07F9">
        <w:rPr>
          <w:rFonts w:cs="Times New Roman"/>
          <w:lang w:val="en-GB"/>
        </w:rPr>
        <w:t>”</w:t>
      </w:r>
      <w:r w:rsidRPr="00876672">
        <w:rPr>
          <w:rStyle w:val="FootnoteReference"/>
          <w:rFonts w:cs="Times New Roman"/>
          <w:lang w:val="en-GB"/>
        </w:rPr>
        <w:footnoteReference w:id="65"/>
      </w:r>
      <w:r w:rsidR="00BC12A9">
        <w:rPr>
          <w:rFonts w:cs="Times New Roman"/>
          <w:lang w:val="en-GB"/>
        </w:rPr>
        <w:t xml:space="preserve"> </w:t>
      </w:r>
      <w:r w:rsidRPr="00876672">
        <w:rPr>
          <w:rFonts w:cs="Times New Roman"/>
          <w:lang w:val="en-GB"/>
        </w:rPr>
        <w:t xml:space="preserve">the evidence, taking into account one another’s arguments, it </w:t>
      </w:r>
      <w:r w:rsidR="006D07F9">
        <w:rPr>
          <w:rFonts w:cs="Times New Roman"/>
          <w:lang w:val="en-GB"/>
        </w:rPr>
        <w:t>“</w:t>
      </w:r>
      <w:r w:rsidRPr="00876672">
        <w:rPr>
          <w:rFonts w:cs="Times New Roman"/>
          <w:lang w:val="en-GB"/>
        </w:rPr>
        <w:t>helped foster true and objective consensus</w:t>
      </w:r>
      <w:r w:rsidR="006D07F9">
        <w:rPr>
          <w:rFonts w:cs="Times New Roman"/>
          <w:lang w:val="en-GB"/>
        </w:rPr>
        <w:t>”</w:t>
      </w:r>
      <w:r w:rsidRPr="00876672">
        <w:rPr>
          <w:rFonts w:cs="Times New Roman"/>
          <w:lang w:val="en-GB"/>
        </w:rPr>
        <w:t>.</w:t>
      </w:r>
      <w:r w:rsidRPr="00876672">
        <w:rPr>
          <w:rStyle w:val="FootnoteReference"/>
          <w:rFonts w:cs="Times New Roman"/>
          <w:lang w:val="en-GB"/>
        </w:rPr>
        <w:footnoteReference w:id="66"/>
      </w:r>
      <w:r w:rsidRPr="00876672">
        <w:rPr>
          <w:rFonts w:cs="Times New Roman"/>
          <w:lang w:val="en-GB"/>
        </w:rPr>
        <w:t xml:space="preserve"> This is an interesting comment because it implicitly recognises that a process such as hot-tubbing </w:t>
      </w:r>
      <w:r w:rsidRPr="00876672">
        <w:rPr>
          <w:rFonts w:cs="Times New Roman"/>
          <w:i/>
          <w:lang w:val="en-GB"/>
        </w:rPr>
        <w:t xml:space="preserve">could </w:t>
      </w:r>
      <w:r w:rsidRPr="00876672">
        <w:rPr>
          <w:rFonts w:cs="Times New Roman"/>
          <w:lang w:val="en-GB"/>
        </w:rPr>
        <w:t xml:space="preserve">foster a consensus that was not </w:t>
      </w:r>
      <w:r w:rsidR="006D07F9">
        <w:rPr>
          <w:rFonts w:cs="Times New Roman"/>
          <w:lang w:val="en-GB"/>
        </w:rPr>
        <w:t>“</w:t>
      </w:r>
      <w:r w:rsidRPr="00876672">
        <w:rPr>
          <w:rFonts w:cs="Times New Roman"/>
          <w:lang w:val="en-GB"/>
        </w:rPr>
        <w:t>true</w:t>
      </w:r>
      <w:r w:rsidR="006D07F9">
        <w:rPr>
          <w:rFonts w:cs="Times New Roman"/>
          <w:lang w:val="en-GB"/>
        </w:rPr>
        <w:t>”</w:t>
      </w:r>
      <w:r w:rsidRPr="00876672">
        <w:rPr>
          <w:rFonts w:cs="Times New Roman"/>
          <w:lang w:val="en-GB"/>
        </w:rPr>
        <w:t xml:space="preserve"> or </w:t>
      </w:r>
      <w:r w:rsidR="006D07F9">
        <w:rPr>
          <w:rFonts w:cs="Times New Roman"/>
          <w:lang w:val="en-GB"/>
        </w:rPr>
        <w:t>“</w:t>
      </w:r>
      <w:r w:rsidRPr="00876672">
        <w:rPr>
          <w:rFonts w:cs="Times New Roman"/>
          <w:lang w:val="en-GB"/>
        </w:rPr>
        <w:t>objective</w:t>
      </w:r>
      <w:r w:rsidR="006D07F9">
        <w:rPr>
          <w:rFonts w:cs="Times New Roman"/>
          <w:lang w:val="en-GB"/>
        </w:rPr>
        <w:t>”</w:t>
      </w:r>
      <w:r w:rsidRPr="00876672">
        <w:rPr>
          <w:rFonts w:cs="Times New Roman"/>
          <w:lang w:val="en-GB"/>
        </w:rPr>
        <w:t xml:space="preserve"> – where </w:t>
      </w:r>
      <w:r w:rsidR="006D07F9">
        <w:rPr>
          <w:rFonts w:cs="Times New Roman"/>
          <w:lang w:val="en-GB"/>
        </w:rPr>
        <w:t>“</w:t>
      </w:r>
      <w:r w:rsidRPr="00876672">
        <w:rPr>
          <w:rFonts w:cs="Times New Roman"/>
          <w:lang w:val="en-GB"/>
        </w:rPr>
        <w:t>objective</w:t>
      </w:r>
      <w:r w:rsidR="006D07F9">
        <w:rPr>
          <w:rFonts w:cs="Times New Roman"/>
          <w:lang w:val="en-GB"/>
        </w:rPr>
        <w:t>”</w:t>
      </w:r>
      <w:r w:rsidRPr="00876672">
        <w:rPr>
          <w:rFonts w:cs="Times New Roman"/>
          <w:lang w:val="en-GB"/>
        </w:rPr>
        <w:t xml:space="preserve"> </w:t>
      </w:r>
      <w:r w:rsidR="000E505B" w:rsidRPr="00876672">
        <w:rPr>
          <w:rFonts w:cs="Times New Roman"/>
          <w:lang w:val="en-GB"/>
        </w:rPr>
        <w:t>can be construed</w:t>
      </w:r>
      <w:r w:rsidRPr="00876672">
        <w:rPr>
          <w:rFonts w:cs="Times New Roman"/>
          <w:lang w:val="en-GB"/>
        </w:rPr>
        <w:t xml:space="preserve">, roughly, </w:t>
      </w:r>
      <w:r w:rsidR="000E505B" w:rsidRPr="00876672">
        <w:rPr>
          <w:rFonts w:cs="Times New Roman"/>
          <w:lang w:val="en-GB"/>
        </w:rPr>
        <w:t xml:space="preserve">as </w:t>
      </w:r>
      <w:r w:rsidRPr="00876672">
        <w:rPr>
          <w:rFonts w:cs="Times New Roman"/>
          <w:lang w:val="en-GB"/>
        </w:rPr>
        <w:t>being based on reasons that any competent and impartial expert would accept. It is possible that the fact that the judge did not lead the questioning in this case gave him more time to focus on assessing the process of reasoning and discussion by which a partial consensus was reached</w:t>
      </w:r>
      <w:r w:rsidR="00BC12A9">
        <w:rPr>
          <w:rFonts w:cs="Times New Roman"/>
          <w:lang w:val="en-GB"/>
        </w:rPr>
        <w:t xml:space="preserve">. </w:t>
      </w:r>
      <w:r w:rsidR="006E2A1A">
        <w:rPr>
          <w:rFonts w:cs="Times New Roman"/>
          <w:lang w:val="en-GB"/>
        </w:rPr>
        <w:t>As mentioned in the CJC R</w:t>
      </w:r>
      <w:r w:rsidRPr="00876672">
        <w:rPr>
          <w:rFonts w:cs="Times New Roman"/>
          <w:lang w:val="en-GB"/>
        </w:rPr>
        <w:t xml:space="preserve">eport the judge considered that the </w:t>
      </w:r>
      <w:r w:rsidR="006D07F9">
        <w:rPr>
          <w:rFonts w:cs="Times New Roman"/>
          <w:lang w:val="en-GB"/>
        </w:rPr>
        <w:t>“</w:t>
      </w:r>
      <w:r w:rsidRPr="00876672">
        <w:rPr>
          <w:rFonts w:cs="Times New Roman"/>
          <w:lang w:val="en-GB"/>
        </w:rPr>
        <w:t>usual forensic process would hamper … candid professional exchanges</w:t>
      </w:r>
      <w:r w:rsidR="006D07F9">
        <w:rPr>
          <w:rFonts w:cs="Times New Roman"/>
          <w:lang w:val="en-GB"/>
        </w:rPr>
        <w:t>”</w:t>
      </w:r>
      <w:r w:rsidRPr="00876672">
        <w:rPr>
          <w:rFonts w:cs="Times New Roman"/>
          <w:lang w:val="en-GB"/>
        </w:rPr>
        <w:t>.</w:t>
      </w:r>
      <w:r w:rsidRPr="00876672">
        <w:rPr>
          <w:rStyle w:val="FootnoteReference"/>
          <w:rFonts w:cs="Times New Roman"/>
          <w:lang w:val="en-GB"/>
        </w:rPr>
        <w:footnoteReference w:id="67"/>
      </w:r>
      <w:r w:rsidRPr="00876672">
        <w:rPr>
          <w:rFonts w:cs="Times New Roman"/>
          <w:lang w:val="en-GB"/>
        </w:rPr>
        <w:t xml:space="preserve"> There is no attempt to explain the reasoning behind this </w:t>
      </w:r>
      <w:r w:rsidR="00241975">
        <w:rPr>
          <w:rFonts w:cs="Times New Roman"/>
          <w:lang w:val="en-GB"/>
        </w:rPr>
        <w:t>assessment</w:t>
      </w:r>
      <w:r w:rsidRPr="00876672">
        <w:rPr>
          <w:rFonts w:cs="Times New Roman"/>
          <w:lang w:val="en-GB"/>
        </w:rPr>
        <w:t xml:space="preserve">. Even if the judge’s </w:t>
      </w:r>
      <w:r w:rsidR="006D07F9">
        <w:rPr>
          <w:rFonts w:cs="Times New Roman"/>
          <w:lang w:val="en-GB"/>
        </w:rPr>
        <w:t>“</w:t>
      </w:r>
      <w:r w:rsidRPr="00876672">
        <w:rPr>
          <w:rFonts w:cs="Times New Roman"/>
          <w:lang w:val="en-GB"/>
        </w:rPr>
        <w:t>instincts were correct</w:t>
      </w:r>
      <w:r w:rsidR="006D07F9">
        <w:rPr>
          <w:rFonts w:cs="Times New Roman"/>
          <w:lang w:val="en-GB"/>
        </w:rPr>
        <w:t>”</w:t>
      </w:r>
      <w:r w:rsidRPr="00876672">
        <w:rPr>
          <w:rFonts w:cs="Times New Roman"/>
          <w:lang w:val="en-GB"/>
        </w:rPr>
        <w:t xml:space="preserve"> as </w:t>
      </w:r>
      <w:r w:rsidR="00FE2DD8">
        <w:rPr>
          <w:rFonts w:cs="Times New Roman"/>
          <w:lang w:val="en-GB"/>
        </w:rPr>
        <w:t>is</w:t>
      </w:r>
      <w:r w:rsidRPr="00876672">
        <w:rPr>
          <w:rFonts w:cs="Times New Roman"/>
          <w:lang w:val="en-GB"/>
        </w:rPr>
        <w:t xml:space="preserve"> claimed,</w:t>
      </w:r>
      <w:r w:rsidRPr="00876672">
        <w:rPr>
          <w:rStyle w:val="FootnoteReference"/>
          <w:rFonts w:cs="Times New Roman"/>
          <w:lang w:val="en-GB"/>
        </w:rPr>
        <w:footnoteReference w:id="68"/>
      </w:r>
      <w:r w:rsidRPr="00876672">
        <w:rPr>
          <w:rFonts w:cs="Times New Roman"/>
          <w:lang w:val="en-GB"/>
        </w:rPr>
        <w:t xml:space="preserve"> it would be rash to assume that we could dispense with this </w:t>
      </w:r>
      <w:r w:rsidR="006D07F9">
        <w:rPr>
          <w:rFonts w:cs="Times New Roman"/>
          <w:lang w:val="en-GB"/>
        </w:rPr>
        <w:t>“</w:t>
      </w:r>
      <w:r w:rsidRPr="00876672">
        <w:rPr>
          <w:rFonts w:cs="Times New Roman"/>
          <w:lang w:val="en-GB"/>
        </w:rPr>
        <w:t>usual forensic process</w:t>
      </w:r>
      <w:r w:rsidR="006D07F9">
        <w:rPr>
          <w:rFonts w:cs="Times New Roman"/>
          <w:lang w:val="en-GB"/>
        </w:rPr>
        <w:t>”</w:t>
      </w:r>
      <w:r w:rsidRPr="00876672">
        <w:rPr>
          <w:rFonts w:cs="Times New Roman"/>
          <w:lang w:val="en-GB"/>
        </w:rPr>
        <w:t xml:space="preserve"> in other cases.</w:t>
      </w:r>
    </w:p>
    <w:p w14:paraId="573BB159" w14:textId="36A8DE5A" w:rsidR="00DB544F" w:rsidRPr="00876672" w:rsidRDefault="00DB544F" w:rsidP="003D0BBA">
      <w:pPr>
        <w:tabs>
          <w:tab w:val="left" w:pos="284"/>
        </w:tabs>
        <w:ind w:right="-248"/>
        <w:rPr>
          <w:rFonts w:cs="Times New Roman"/>
          <w:lang w:val="en-GB"/>
        </w:rPr>
      </w:pPr>
      <w:r w:rsidRPr="00876672">
        <w:rPr>
          <w:rFonts w:cs="Times New Roman"/>
          <w:lang w:val="en-GB"/>
        </w:rPr>
        <w:tab/>
        <w:t xml:space="preserve">Another feature of </w:t>
      </w:r>
      <w:r w:rsidRPr="00876672">
        <w:rPr>
          <w:rFonts w:cs="Times New Roman"/>
          <w:i/>
          <w:lang w:val="en-GB"/>
        </w:rPr>
        <w:t xml:space="preserve">M v N </w:t>
      </w:r>
      <w:r w:rsidRPr="00876672">
        <w:rPr>
          <w:rFonts w:cs="Times New Roman"/>
          <w:lang w:val="en-GB"/>
        </w:rPr>
        <w:t xml:space="preserve">is the way in which what at first looks like a complex factual dispute resolves itself into a </w:t>
      </w:r>
      <w:r w:rsidRPr="00876672">
        <w:rPr>
          <w:rFonts w:cs="Times New Roman"/>
          <w:i/>
          <w:lang w:val="en-GB"/>
        </w:rPr>
        <w:t xml:space="preserve">normative </w:t>
      </w:r>
      <w:r w:rsidRPr="00876672">
        <w:rPr>
          <w:rFonts w:cs="Times New Roman"/>
          <w:lang w:val="en-GB"/>
        </w:rPr>
        <w:t xml:space="preserve">dispute about how the agreed facts about Mrs N’s condition should be classified and the legal and medical consequences that would flow from that. In other cases where a form of </w:t>
      </w:r>
      <w:r w:rsidR="006D07F9">
        <w:rPr>
          <w:rFonts w:cs="Times New Roman"/>
          <w:lang w:val="en-GB"/>
        </w:rPr>
        <w:t>“</w:t>
      </w:r>
      <w:r w:rsidRPr="00876672">
        <w:rPr>
          <w:rFonts w:cs="Times New Roman"/>
          <w:lang w:val="en-GB"/>
        </w:rPr>
        <w:t>hot tubbing</w:t>
      </w:r>
      <w:r w:rsidR="006D07F9">
        <w:rPr>
          <w:rFonts w:cs="Times New Roman"/>
          <w:lang w:val="en-GB"/>
        </w:rPr>
        <w:t>”</w:t>
      </w:r>
      <w:r w:rsidRPr="00876672">
        <w:rPr>
          <w:rFonts w:cs="Times New Roman"/>
          <w:lang w:val="en-GB"/>
        </w:rPr>
        <w:t xml:space="preserve"> was used in the Court of Protection</w:t>
      </w:r>
      <w:r w:rsidRPr="00876672">
        <w:rPr>
          <w:rStyle w:val="FootnoteReference"/>
          <w:rFonts w:cs="Times New Roman"/>
          <w:lang w:val="en-GB"/>
        </w:rPr>
        <w:footnoteReference w:id="69"/>
      </w:r>
      <w:r w:rsidRPr="00876672">
        <w:rPr>
          <w:rFonts w:cs="Times New Roman"/>
          <w:lang w:val="en-GB"/>
        </w:rPr>
        <w:t xml:space="preserve"> or Family Division,</w:t>
      </w:r>
      <w:r w:rsidRPr="00876672">
        <w:rPr>
          <w:rStyle w:val="FootnoteReference"/>
          <w:rFonts w:cs="Times New Roman"/>
          <w:lang w:val="en-GB"/>
        </w:rPr>
        <w:footnoteReference w:id="70"/>
      </w:r>
      <w:r w:rsidRPr="00876672">
        <w:rPr>
          <w:rFonts w:cs="Times New Roman"/>
          <w:lang w:val="en-GB"/>
        </w:rPr>
        <w:t xml:space="preserve"> the discussion was explicitly concerned with the </w:t>
      </w:r>
      <w:r w:rsidR="006D07F9">
        <w:rPr>
          <w:rFonts w:cs="Times New Roman"/>
          <w:lang w:val="en-GB"/>
        </w:rPr>
        <w:t>“</w:t>
      </w:r>
      <w:r w:rsidRPr="00876672">
        <w:rPr>
          <w:rFonts w:cs="Times New Roman"/>
          <w:lang w:val="en-GB"/>
        </w:rPr>
        <w:t>best interests</w:t>
      </w:r>
      <w:r w:rsidR="006D07F9">
        <w:rPr>
          <w:rFonts w:cs="Times New Roman"/>
          <w:lang w:val="en-GB"/>
        </w:rPr>
        <w:t>”</w:t>
      </w:r>
      <w:r w:rsidRPr="00876672">
        <w:rPr>
          <w:rFonts w:cs="Times New Roman"/>
          <w:lang w:val="en-GB"/>
        </w:rPr>
        <w:t xml:space="preserve"> of the adult or child whose future the court had to decide. This kind of discussion of a normative question which only the judge has the authority to decide is quite different to the usual use of expert evidence in factual disputes in relation to which the judge is a layperson. </w:t>
      </w:r>
    </w:p>
    <w:p w14:paraId="280F9719" w14:textId="77777777" w:rsidR="00DB544F" w:rsidRPr="00876672" w:rsidRDefault="00DB544F" w:rsidP="003D0BBA">
      <w:pPr>
        <w:tabs>
          <w:tab w:val="left" w:pos="284"/>
        </w:tabs>
        <w:ind w:right="-248"/>
        <w:rPr>
          <w:rFonts w:cs="Times New Roman"/>
          <w:lang w:val="en-GB"/>
        </w:rPr>
      </w:pPr>
    </w:p>
    <w:p w14:paraId="792465E8" w14:textId="77777777" w:rsidR="00DB544F" w:rsidRPr="00876672" w:rsidRDefault="00DB544F" w:rsidP="003D0BBA">
      <w:pPr>
        <w:tabs>
          <w:tab w:val="left" w:pos="284"/>
        </w:tabs>
        <w:ind w:right="-248"/>
        <w:rPr>
          <w:rFonts w:cs="Times New Roman"/>
          <w:b/>
          <w:i/>
          <w:lang w:val="en-GB"/>
        </w:rPr>
      </w:pPr>
      <w:r w:rsidRPr="00876672">
        <w:rPr>
          <w:rFonts w:cs="Times New Roman"/>
          <w:b/>
          <w:i/>
          <w:lang w:val="en-GB"/>
        </w:rPr>
        <w:t>Narrowing and clarifying differences</w:t>
      </w:r>
    </w:p>
    <w:p w14:paraId="04666E98" w14:textId="125AE352" w:rsidR="00DB544F" w:rsidRPr="00876672" w:rsidRDefault="00DB544F" w:rsidP="003D0BBA">
      <w:pPr>
        <w:tabs>
          <w:tab w:val="left" w:pos="284"/>
        </w:tabs>
        <w:ind w:right="-248"/>
        <w:rPr>
          <w:rFonts w:cs="Times New Roman"/>
          <w:lang w:val="en-GB"/>
        </w:rPr>
      </w:pPr>
      <w:r w:rsidRPr="00876672">
        <w:rPr>
          <w:rFonts w:cs="Times New Roman"/>
          <w:lang w:val="en-GB"/>
        </w:rPr>
        <w:t>One of the main benefits attributed to concurrent evidence in the judgments is that it either produced agreement between the experts on some points, thereby narrowing the issues on which the judge had to resolve the issues, or helped to produce a clear statement of the differences between the experts. For example in</w:t>
      </w:r>
      <w:r w:rsidRPr="00876672">
        <w:rPr>
          <w:rFonts w:cs="Times New Roman"/>
          <w:i/>
          <w:lang w:val="en-GB"/>
        </w:rPr>
        <w:t xml:space="preserve"> Swain v Swains plc </w:t>
      </w:r>
      <w:r w:rsidRPr="00876672">
        <w:rPr>
          <w:rFonts w:cs="Times New Roman"/>
          <w:lang w:val="en-GB"/>
        </w:rPr>
        <w:t xml:space="preserve">the three accountancy experts were </w:t>
      </w:r>
      <w:r w:rsidR="006D07F9">
        <w:rPr>
          <w:rFonts w:cs="Times New Roman"/>
          <w:lang w:val="en-GB"/>
        </w:rPr>
        <w:t>“</w:t>
      </w:r>
      <w:r w:rsidRPr="00876672">
        <w:rPr>
          <w:rFonts w:cs="Times New Roman"/>
          <w:lang w:val="en-GB"/>
        </w:rPr>
        <w:t>hot-tubbed</w:t>
      </w:r>
      <w:r w:rsidR="006D07F9">
        <w:rPr>
          <w:rFonts w:cs="Times New Roman"/>
          <w:lang w:val="en-GB"/>
        </w:rPr>
        <w:t>”</w:t>
      </w:r>
      <w:r w:rsidRPr="00876672">
        <w:rPr>
          <w:rFonts w:cs="Times New Roman"/>
          <w:lang w:val="en-GB"/>
        </w:rPr>
        <w:t xml:space="preserve"> on an application by the defendants, despite </w:t>
      </w:r>
      <w:r w:rsidR="00BC12A9">
        <w:rPr>
          <w:rFonts w:cs="Times New Roman"/>
          <w:lang w:val="en-GB"/>
        </w:rPr>
        <w:t>opposition from the claimants.</w:t>
      </w:r>
      <w:r w:rsidR="00DE344E" w:rsidRPr="00876672">
        <w:rPr>
          <w:rStyle w:val="FootnoteReference"/>
          <w:rFonts w:cs="Times New Roman"/>
          <w:lang w:val="en-GB"/>
        </w:rPr>
        <w:footnoteReference w:id="71"/>
      </w:r>
      <w:r w:rsidR="00BC12A9">
        <w:rPr>
          <w:rFonts w:cs="Times New Roman"/>
          <w:lang w:val="en-GB"/>
        </w:rPr>
        <w:t xml:space="preserve"> </w:t>
      </w:r>
      <w:r w:rsidRPr="00876672">
        <w:rPr>
          <w:rFonts w:cs="Times New Roman"/>
          <w:lang w:val="en-GB"/>
        </w:rPr>
        <w:t xml:space="preserve">The judge directed that the experts meet as often as necessary throughout the trial to see if further narrowing of the issues, or agreement </w:t>
      </w:r>
      <w:r w:rsidR="00BC12A9">
        <w:rPr>
          <w:rFonts w:cs="Times New Roman"/>
          <w:lang w:val="en-GB"/>
        </w:rPr>
        <w:t>could be reached.</w:t>
      </w:r>
      <w:r w:rsidRPr="00876672">
        <w:rPr>
          <w:rFonts w:cs="Times New Roman"/>
          <w:lang w:val="en-GB"/>
        </w:rPr>
        <w:t xml:space="preserve"> The judgment indicates that although the meetings achieved no </w:t>
      </w:r>
      <w:r w:rsidRPr="00876672">
        <w:rPr>
          <w:rFonts w:cs="Times New Roman"/>
          <w:lang w:val="en-GB"/>
        </w:rPr>
        <w:lastRenderedPageBreak/>
        <w:t>narrowing of issues, this did occur in the concurrent evidence session, reducing the issues to a few key points.</w:t>
      </w:r>
    </w:p>
    <w:p w14:paraId="68AD73B1" w14:textId="37AC228F" w:rsidR="00DB544F" w:rsidRPr="00876672" w:rsidRDefault="00DB544F" w:rsidP="003D0BBA">
      <w:pPr>
        <w:tabs>
          <w:tab w:val="left" w:pos="284"/>
        </w:tabs>
        <w:ind w:right="-248"/>
        <w:rPr>
          <w:rFonts w:cs="Times New Roman"/>
          <w:lang w:val="en-GB"/>
        </w:rPr>
      </w:pPr>
      <w:r w:rsidRPr="00876672">
        <w:rPr>
          <w:rFonts w:cs="Times New Roman"/>
          <w:lang w:val="en-GB"/>
        </w:rPr>
        <w:tab/>
        <w:t xml:space="preserve">In cases like this, reasoning and the quality of expert opinion seem to be less important to achieving closure than the appearance of consensus between the experts selected by the parties. In </w:t>
      </w:r>
      <w:r w:rsidRPr="00876672">
        <w:rPr>
          <w:rFonts w:cs="Times New Roman"/>
          <w:i/>
          <w:lang w:val="en-GB"/>
        </w:rPr>
        <w:t xml:space="preserve">Armstrong v Richardson, </w:t>
      </w:r>
      <w:r w:rsidRPr="00876672">
        <w:rPr>
          <w:rFonts w:cs="Times New Roman"/>
          <w:lang w:val="en-GB"/>
        </w:rPr>
        <w:t xml:space="preserve">for example, the judge expressed </w:t>
      </w:r>
      <w:r w:rsidR="006D07F9">
        <w:rPr>
          <w:rFonts w:cs="Times New Roman"/>
          <w:lang w:val="en-GB"/>
        </w:rPr>
        <w:t>“</w:t>
      </w:r>
      <w:r w:rsidRPr="00876672">
        <w:rPr>
          <w:rFonts w:cs="Times New Roman"/>
          <w:lang w:val="en-GB"/>
        </w:rPr>
        <w:t>mild surprise</w:t>
      </w:r>
      <w:r w:rsidR="006D07F9">
        <w:rPr>
          <w:rFonts w:cs="Times New Roman"/>
          <w:lang w:val="en-GB"/>
        </w:rPr>
        <w:t>”</w:t>
      </w:r>
      <w:r w:rsidRPr="00876672">
        <w:rPr>
          <w:rFonts w:cs="Times New Roman"/>
          <w:lang w:val="en-GB"/>
        </w:rPr>
        <w:t xml:space="preserve"> that what he considered </w:t>
      </w:r>
      <w:r w:rsidR="006D07F9">
        <w:rPr>
          <w:rFonts w:cs="Times New Roman"/>
          <w:lang w:val="en-GB"/>
        </w:rPr>
        <w:t>“</w:t>
      </w:r>
      <w:r w:rsidRPr="00876672">
        <w:rPr>
          <w:rFonts w:cs="Times New Roman"/>
          <w:lang w:val="en-GB"/>
        </w:rPr>
        <w:t xml:space="preserve">a very successful </w:t>
      </w:r>
      <w:r w:rsidR="006D07F9">
        <w:rPr>
          <w:rFonts w:cs="Times New Roman"/>
          <w:lang w:val="en-GB"/>
        </w:rPr>
        <w:t>‘</w:t>
      </w:r>
      <w:r w:rsidRPr="00876672">
        <w:rPr>
          <w:rFonts w:cs="Times New Roman"/>
          <w:lang w:val="en-GB"/>
        </w:rPr>
        <w:t>hot-tubbing</w:t>
      </w:r>
      <w:r w:rsidR="006D07F9">
        <w:rPr>
          <w:rFonts w:cs="Times New Roman"/>
          <w:lang w:val="en-GB"/>
        </w:rPr>
        <w:t xml:space="preserve">’ </w:t>
      </w:r>
      <w:r w:rsidRPr="00876672">
        <w:rPr>
          <w:rFonts w:cs="Times New Roman"/>
          <w:lang w:val="en-GB"/>
        </w:rPr>
        <w:t>of the experts</w:t>
      </w:r>
      <w:r w:rsidR="006D07F9">
        <w:rPr>
          <w:rFonts w:cs="Times New Roman"/>
          <w:lang w:val="en-GB"/>
        </w:rPr>
        <w:t>”</w:t>
      </w:r>
      <w:r w:rsidRPr="00876672">
        <w:rPr>
          <w:rFonts w:cs="Times New Roman"/>
          <w:lang w:val="en-GB"/>
        </w:rPr>
        <w:t xml:space="preserve"> led to the defendant’s accident reconstruction expert substantially agreeing with the claimant’s expert’s calculation that the defendant must have braked a fraction of a section later than he could have done, from which it followed, given the judge’s findings of fact, that he was negligent in running down a child who was crossing the road.</w:t>
      </w:r>
      <w:r w:rsidRPr="00876672">
        <w:rPr>
          <w:rStyle w:val="FootnoteReference"/>
          <w:rFonts w:cs="Times New Roman"/>
          <w:lang w:val="en-GB"/>
        </w:rPr>
        <w:footnoteReference w:id="72"/>
      </w:r>
      <w:r w:rsidR="00BC12A9">
        <w:rPr>
          <w:rFonts w:cs="Times New Roman"/>
          <w:lang w:val="en-GB"/>
        </w:rPr>
        <w:t xml:space="preserve"> </w:t>
      </w:r>
      <w:r w:rsidRPr="00876672">
        <w:rPr>
          <w:rFonts w:cs="Times New Roman"/>
          <w:lang w:val="en-GB"/>
        </w:rPr>
        <w:t xml:space="preserve">The judge made no comment as to whether </w:t>
      </w:r>
      <w:r w:rsidR="00865090">
        <w:rPr>
          <w:rFonts w:cs="Times New Roman"/>
          <w:lang w:val="en-GB"/>
        </w:rPr>
        <w:t>the witness</w:t>
      </w:r>
      <w:r w:rsidRPr="00876672">
        <w:rPr>
          <w:rFonts w:cs="Times New Roman"/>
          <w:lang w:val="en-GB"/>
        </w:rPr>
        <w:t xml:space="preserve"> was right to concede as much as he did, and it seems to be the sheer fact of the</w:t>
      </w:r>
      <w:r w:rsidR="00865090">
        <w:rPr>
          <w:rFonts w:cs="Times New Roman"/>
          <w:lang w:val="en-GB"/>
        </w:rPr>
        <w:t xml:space="preserve"> emergent</w:t>
      </w:r>
      <w:r w:rsidRPr="00876672">
        <w:rPr>
          <w:rFonts w:cs="Times New Roman"/>
          <w:lang w:val="en-GB"/>
        </w:rPr>
        <w:t xml:space="preserve"> consensus that was decisive.</w:t>
      </w:r>
    </w:p>
    <w:p w14:paraId="613C2929" w14:textId="34E87C9A" w:rsidR="00DB544F" w:rsidRPr="00876672" w:rsidRDefault="00DB544F" w:rsidP="003D0BBA">
      <w:pPr>
        <w:tabs>
          <w:tab w:val="left" w:pos="284"/>
        </w:tabs>
        <w:ind w:right="-248"/>
        <w:rPr>
          <w:rFonts w:cs="Times New Roman"/>
          <w:lang w:val="en-GB"/>
        </w:rPr>
      </w:pPr>
      <w:r w:rsidRPr="00876672">
        <w:rPr>
          <w:rFonts w:cs="Times New Roman"/>
          <w:i/>
          <w:lang w:val="en-GB"/>
        </w:rPr>
        <w:tab/>
      </w:r>
      <w:r w:rsidRPr="00876672">
        <w:rPr>
          <w:rFonts w:cs="Times New Roman"/>
          <w:lang w:val="en-GB"/>
        </w:rPr>
        <w:t xml:space="preserve">Even where it produces no consensus, concurrent evidence can serve to </w:t>
      </w:r>
      <w:r w:rsidR="006D07F9">
        <w:rPr>
          <w:rFonts w:cs="Times New Roman"/>
          <w:lang w:val="en-GB"/>
        </w:rPr>
        <w:t>“</w:t>
      </w:r>
      <w:r w:rsidRPr="00876672">
        <w:rPr>
          <w:rFonts w:cs="Times New Roman"/>
          <w:lang w:val="en-GB"/>
        </w:rPr>
        <w:t>crystallise</w:t>
      </w:r>
      <w:r w:rsidR="006D07F9">
        <w:rPr>
          <w:rFonts w:cs="Times New Roman"/>
          <w:lang w:val="en-GB"/>
        </w:rPr>
        <w:t>”</w:t>
      </w:r>
      <w:r w:rsidRPr="00876672">
        <w:rPr>
          <w:rFonts w:cs="Times New Roman"/>
          <w:lang w:val="en-GB"/>
        </w:rPr>
        <w:t xml:space="preserve"> the different positions of the experts.</w:t>
      </w:r>
      <w:r w:rsidRPr="00876672">
        <w:rPr>
          <w:rStyle w:val="FootnoteReference"/>
          <w:rFonts w:cs="Times New Roman"/>
          <w:lang w:val="en-GB"/>
        </w:rPr>
        <w:footnoteReference w:id="73"/>
      </w:r>
      <w:r w:rsidRPr="00876672">
        <w:rPr>
          <w:rFonts w:cs="Times New Roman"/>
          <w:lang w:val="en-GB"/>
        </w:rPr>
        <w:t xml:space="preserve"> In </w:t>
      </w:r>
      <w:r w:rsidRPr="00876672">
        <w:rPr>
          <w:rFonts w:cs="Times New Roman"/>
          <w:i/>
          <w:lang w:val="en-GB"/>
        </w:rPr>
        <w:t>Stratton v Patel,</w:t>
      </w:r>
      <w:r w:rsidRPr="00876672">
        <w:rPr>
          <w:rStyle w:val="FootnoteReference"/>
          <w:rFonts w:cs="Times New Roman"/>
          <w:i/>
          <w:lang w:val="en-GB"/>
        </w:rPr>
        <w:footnoteReference w:id="74"/>
      </w:r>
      <w:r w:rsidRPr="00876672">
        <w:rPr>
          <w:rFonts w:cs="Times New Roman"/>
          <w:lang w:val="en-GB"/>
        </w:rPr>
        <w:t xml:space="preserve"> a case about defective premises, building and mechanical experts were hot-tubbed, largely, as the judgment indicates, to save time and costs. The </w:t>
      </w:r>
      <w:r w:rsidR="00865090">
        <w:rPr>
          <w:rFonts w:cs="Times New Roman"/>
          <w:lang w:val="en-GB"/>
        </w:rPr>
        <w:t>reason</w:t>
      </w:r>
      <w:r w:rsidRPr="00876672">
        <w:rPr>
          <w:rFonts w:cs="Times New Roman"/>
          <w:lang w:val="en-GB"/>
        </w:rPr>
        <w:t xml:space="preserve"> the judge </w:t>
      </w:r>
      <w:r w:rsidR="00865090">
        <w:rPr>
          <w:rFonts w:cs="Times New Roman"/>
          <w:lang w:val="en-GB"/>
        </w:rPr>
        <w:t>offers for</w:t>
      </w:r>
      <w:r w:rsidRPr="00876672">
        <w:rPr>
          <w:rFonts w:cs="Times New Roman"/>
          <w:lang w:val="en-GB"/>
        </w:rPr>
        <w:t xml:space="preserve"> why he found the exercise </w:t>
      </w:r>
      <w:r w:rsidR="006D07F9">
        <w:rPr>
          <w:rFonts w:cs="Times New Roman"/>
          <w:lang w:val="en-GB"/>
        </w:rPr>
        <w:t>“</w:t>
      </w:r>
      <w:r w:rsidRPr="00876672">
        <w:rPr>
          <w:rFonts w:cs="Times New Roman"/>
          <w:lang w:val="en-GB"/>
        </w:rPr>
        <w:t>extremely useful</w:t>
      </w:r>
      <w:r w:rsidR="006D07F9">
        <w:rPr>
          <w:rFonts w:cs="Times New Roman"/>
          <w:lang w:val="en-GB"/>
        </w:rPr>
        <w:t>”</w:t>
      </w:r>
      <w:r w:rsidRPr="00876672">
        <w:rPr>
          <w:rFonts w:cs="Times New Roman"/>
          <w:lang w:val="en-GB"/>
        </w:rPr>
        <w:t xml:space="preserve"> is that two of the experts gave clear statements of the relatively narrow issue on which they disagreed.</w:t>
      </w:r>
      <w:r w:rsidRPr="00876672">
        <w:rPr>
          <w:rStyle w:val="FootnoteReference"/>
          <w:rFonts w:cs="Times New Roman"/>
          <w:lang w:val="en-GB"/>
        </w:rPr>
        <w:footnoteReference w:id="75"/>
      </w:r>
      <w:r w:rsidRPr="00876672">
        <w:rPr>
          <w:rFonts w:cs="Times New Roman"/>
          <w:lang w:val="en-GB"/>
        </w:rPr>
        <w:t xml:space="preserve"> The judge resolved the issue by ruling that an independent electrical contractor should be brought in to conduct further tests.</w:t>
      </w:r>
      <w:r w:rsidRPr="00876672">
        <w:rPr>
          <w:rStyle w:val="FootnoteReference"/>
          <w:rFonts w:cs="Times New Roman"/>
          <w:lang w:val="en-GB"/>
        </w:rPr>
        <w:footnoteReference w:id="76"/>
      </w:r>
      <w:r w:rsidRPr="00876672">
        <w:rPr>
          <w:rFonts w:cs="Times New Roman"/>
          <w:lang w:val="en-GB"/>
        </w:rPr>
        <w:t xml:space="preserve"> </w:t>
      </w:r>
    </w:p>
    <w:p w14:paraId="5C03FE42" w14:textId="35C8B720" w:rsidR="00DB544F" w:rsidRPr="00876672" w:rsidRDefault="00DB544F" w:rsidP="003D0BBA">
      <w:pPr>
        <w:tabs>
          <w:tab w:val="left" w:pos="284"/>
        </w:tabs>
        <w:ind w:right="-248"/>
        <w:rPr>
          <w:rFonts w:cs="Times New Roman"/>
          <w:b/>
          <w:lang w:val="en-GB"/>
        </w:rPr>
      </w:pPr>
      <w:r w:rsidRPr="00876672">
        <w:rPr>
          <w:rFonts w:cs="Times New Roman"/>
          <w:lang w:val="en-GB"/>
        </w:rPr>
        <w:tab/>
        <w:t>Similarly</w:t>
      </w:r>
      <w:r w:rsidR="00865090">
        <w:rPr>
          <w:rFonts w:cs="Times New Roman"/>
          <w:lang w:val="en-GB"/>
        </w:rPr>
        <w:t>,</w:t>
      </w:r>
      <w:r w:rsidRPr="00876672">
        <w:rPr>
          <w:rFonts w:cs="Times New Roman"/>
          <w:lang w:val="en-GB"/>
        </w:rPr>
        <w:t xml:space="preserve"> in </w:t>
      </w:r>
      <w:r w:rsidRPr="00876672">
        <w:rPr>
          <w:rFonts w:cs="Times New Roman"/>
          <w:i/>
          <w:lang w:val="en-GB"/>
        </w:rPr>
        <w:t>Bluewater Energy v Mercon,</w:t>
      </w:r>
      <w:r w:rsidRPr="00876672">
        <w:rPr>
          <w:rStyle w:val="FootnoteReference"/>
          <w:rFonts w:cs="Times New Roman"/>
          <w:lang w:val="en-GB"/>
        </w:rPr>
        <w:footnoteReference w:id="77"/>
      </w:r>
      <w:r w:rsidRPr="00876672">
        <w:rPr>
          <w:rFonts w:cs="Times New Roman"/>
          <w:i/>
          <w:lang w:val="en-GB"/>
        </w:rPr>
        <w:t xml:space="preserve"> </w:t>
      </w:r>
      <w:r w:rsidRPr="00876672">
        <w:rPr>
          <w:rFonts w:cs="Times New Roman"/>
          <w:lang w:val="en-GB"/>
        </w:rPr>
        <w:t>experts on the quantum of damages, who had previously narrowed many areas of dispute in a series of joint statements, gave concurrent evidence in a session where they explained the essence of their differing views on eight issues.</w:t>
      </w:r>
      <w:r w:rsidRPr="00876672">
        <w:rPr>
          <w:rStyle w:val="FootnoteReference"/>
          <w:rFonts w:cs="Times New Roman"/>
          <w:lang w:val="en-GB"/>
        </w:rPr>
        <w:footnoteReference w:id="78"/>
      </w:r>
      <w:r w:rsidRPr="00876672">
        <w:rPr>
          <w:rFonts w:cs="Times New Roman"/>
          <w:lang w:val="en-GB"/>
        </w:rPr>
        <w:t xml:space="preserve"> </w:t>
      </w:r>
      <w:r w:rsidR="00865090">
        <w:rPr>
          <w:rFonts w:cs="Times New Roman"/>
          <w:lang w:val="en-GB"/>
        </w:rPr>
        <w:t>Interestingly, in the same case</w:t>
      </w:r>
      <w:r w:rsidRPr="00876672">
        <w:rPr>
          <w:rFonts w:cs="Times New Roman"/>
          <w:lang w:val="en-GB"/>
        </w:rPr>
        <w:t xml:space="preserve"> the experts </w:t>
      </w:r>
      <w:r w:rsidR="00865090">
        <w:rPr>
          <w:rFonts w:cs="Times New Roman"/>
          <w:lang w:val="en-GB"/>
        </w:rPr>
        <w:t>on</w:t>
      </w:r>
      <w:r w:rsidRPr="00876672">
        <w:rPr>
          <w:rFonts w:cs="Times New Roman"/>
          <w:lang w:val="en-GB"/>
        </w:rPr>
        <w:t xml:space="preserve"> welding and delay analysis appear to have given evide</w:t>
      </w:r>
      <w:r w:rsidR="00BC12A9">
        <w:rPr>
          <w:rFonts w:cs="Times New Roman"/>
          <w:lang w:val="en-GB"/>
        </w:rPr>
        <w:t xml:space="preserve">nce in the </w:t>
      </w:r>
      <w:r w:rsidR="006D07F9">
        <w:rPr>
          <w:rFonts w:cs="Times New Roman"/>
          <w:lang w:val="en-GB"/>
        </w:rPr>
        <w:t>“</w:t>
      </w:r>
      <w:r w:rsidR="00BC12A9">
        <w:rPr>
          <w:rFonts w:cs="Times New Roman"/>
          <w:lang w:val="en-GB"/>
        </w:rPr>
        <w:t>usual</w:t>
      </w:r>
      <w:r w:rsidR="006D07F9">
        <w:rPr>
          <w:rFonts w:cs="Times New Roman"/>
          <w:lang w:val="en-GB"/>
        </w:rPr>
        <w:t>”</w:t>
      </w:r>
      <w:r w:rsidR="00BC12A9">
        <w:rPr>
          <w:rFonts w:cs="Times New Roman"/>
          <w:lang w:val="en-GB"/>
        </w:rPr>
        <w:t xml:space="preserve"> way. </w:t>
      </w:r>
      <w:r w:rsidRPr="00876672">
        <w:rPr>
          <w:rFonts w:cs="Times New Roman"/>
          <w:lang w:val="en-GB"/>
        </w:rPr>
        <w:t xml:space="preserve">In </w:t>
      </w:r>
      <w:r w:rsidRPr="00876672">
        <w:rPr>
          <w:rFonts w:cs="Times New Roman"/>
          <w:i/>
          <w:lang w:val="en-GB"/>
        </w:rPr>
        <w:t>Aurora Leasing v Colliers</w:t>
      </w:r>
      <w:r w:rsidRPr="00876672">
        <w:rPr>
          <w:rStyle w:val="FootnoteReference"/>
          <w:rFonts w:cs="Times New Roman"/>
          <w:lang w:val="en-GB"/>
        </w:rPr>
        <w:footnoteReference w:id="79"/>
      </w:r>
      <w:r w:rsidRPr="00876672">
        <w:rPr>
          <w:rFonts w:cs="Times New Roman"/>
          <w:i/>
          <w:lang w:val="en-GB"/>
        </w:rPr>
        <w:t xml:space="preserve"> </w:t>
      </w:r>
      <w:r w:rsidRPr="00876672">
        <w:rPr>
          <w:rFonts w:cs="Times New Roman"/>
          <w:lang w:val="en-GB"/>
        </w:rPr>
        <w:t xml:space="preserve">the judge considered that a concurrent evidence session, where he led the questioning, expedited the process and served to focus on the differences between the experts and to facilitate comprehension. The case related to valuation evidence, concerning comparables, and so might not be considered particularly complex. By suggesting, though </w:t>
      </w:r>
      <w:r w:rsidR="006D07F9">
        <w:rPr>
          <w:rFonts w:cs="Times New Roman"/>
          <w:lang w:val="en-GB"/>
        </w:rPr>
        <w:t>“</w:t>
      </w:r>
      <w:r w:rsidRPr="00876672">
        <w:rPr>
          <w:rFonts w:cs="Times New Roman"/>
          <w:lang w:val="en-GB"/>
        </w:rPr>
        <w:t>without implying any criticism of the expert witness in this case</w:t>
      </w:r>
      <w:r w:rsidR="006D07F9">
        <w:rPr>
          <w:rFonts w:cs="Times New Roman"/>
          <w:lang w:val="en-GB"/>
        </w:rPr>
        <w:t>”</w:t>
      </w:r>
      <w:r w:rsidR="004E051F">
        <w:rPr>
          <w:rFonts w:cs="Times New Roman"/>
          <w:lang w:val="en-GB"/>
        </w:rPr>
        <w:t>,</w:t>
      </w:r>
      <w:r w:rsidRPr="00876672">
        <w:rPr>
          <w:rFonts w:cs="Times New Roman"/>
          <w:lang w:val="en-GB"/>
        </w:rPr>
        <w:t xml:space="preserve"> that expert witnesses would benefit from training in the giving of evidence concurrently, the judgment implies that the process did not go altogether smoothly.</w:t>
      </w:r>
      <w:r w:rsidRPr="00876672">
        <w:rPr>
          <w:rStyle w:val="FootnoteReference"/>
          <w:rFonts w:cs="Times New Roman"/>
          <w:lang w:val="en-GB"/>
        </w:rPr>
        <w:footnoteReference w:id="80"/>
      </w:r>
    </w:p>
    <w:p w14:paraId="203E0731" w14:textId="26F2C08B" w:rsidR="00DB544F" w:rsidRPr="00876672" w:rsidRDefault="00DB544F" w:rsidP="003D0BBA">
      <w:pPr>
        <w:tabs>
          <w:tab w:val="left" w:pos="284"/>
        </w:tabs>
        <w:ind w:right="-248"/>
        <w:rPr>
          <w:rFonts w:cs="Times New Roman"/>
          <w:lang w:val="en-GB"/>
        </w:rPr>
      </w:pPr>
      <w:r w:rsidRPr="00876672">
        <w:rPr>
          <w:rFonts w:cs="Times New Roman"/>
          <w:lang w:val="en-GB"/>
        </w:rPr>
        <w:tab/>
        <w:t xml:space="preserve">In </w:t>
      </w:r>
      <w:r w:rsidRPr="00876672">
        <w:rPr>
          <w:rFonts w:cs="Times New Roman"/>
          <w:i/>
          <w:lang w:val="en-GB"/>
        </w:rPr>
        <w:t>Harrison v Shepherd Homes,</w:t>
      </w:r>
      <w:r w:rsidRPr="00876672">
        <w:rPr>
          <w:rStyle w:val="FootnoteReference"/>
          <w:rFonts w:cs="Times New Roman"/>
          <w:lang w:val="en-GB"/>
        </w:rPr>
        <w:footnoteReference w:id="81"/>
      </w:r>
      <w:r w:rsidRPr="00876672">
        <w:rPr>
          <w:rFonts w:cs="Times New Roman"/>
          <w:i/>
          <w:lang w:val="en-GB"/>
        </w:rPr>
        <w:t xml:space="preserve"> </w:t>
      </w:r>
      <w:r w:rsidRPr="00876672">
        <w:rPr>
          <w:rFonts w:cs="Times New Roman"/>
          <w:lang w:val="en-GB"/>
        </w:rPr>
        <w:t xml:space="preserve">where engineering experts were initially cross-examined and then </w:t>
      </w:r>
      <w:r w:rsidR="006D07F9">
        <w:rPr>
          <w:rFonts w:cs="Times New Roman"/>
          <w:lang w:val="en-GB"/>
        </w:rPr>
        <w:t>“</w:t>
      </w:r>
      <w:r w:rsidRPr="00876672">
        <w:rPr>
          <w:rFonts w:cs="Times New Roman"/>
          <w:lang w:val="en-GB"/>
        </w:rPr>
        <w:t>hot-tubbed</w:t>
      </w:r>
      <w:r w:rsidR="00865090">
        <w:rPr>
          <w:rFonts w:cs="Times New Roman"/>
          <w:lang w:val="en-GB"/>
        </w:rPr>
        <w:t>,</w:t>
      </w:r>
      <w:r w:rsidR="006D07F9">
        <w:rPr>
          <w:rFonts w:cs="Times New Roman"/>
          <w:lang w:val="en-GB"/>
        </w:rPr>
        <w:t>”</w:t>
      </w:r>
      <w:r w:rsidRPr="00876672">
        <w:rPr>
          <w:rFonts w:cs="Times New Roman"/>
          <w:i/>
          <w:lang w:val="en-GB"/>
        </w:rPr>
        <w:t xml:space="preserve"> </w:t>
      </w:r>
      <w:r w:rsidRPr="00876672">
        <w:rPr>
          <w:rFonts w:cs="Times New Roman"/>
          <w:lang w:val="en-GB"/>
        </w:rPr>
        <w:t xml:space="preserve">in relation to defects in a number of properties, the process was said to highlight the extent of the agreement between the experts and the limited differences in approach on which the judge had to make a decision. The </w:t>
      </w:r>
      <w:r w:rsidR="006D07F9">
        <w:rPr>
          <w:rFonts w:cs="Times New Roman"/>
          <w:lang w:val="en-GB"/>
        </w:rPr>
        <w:t>“</w:t>
      </w:r>
      <w:r w:rsidRPr="00876672">
        <w:rPr>
          <w:rFonts w:cs="Times New Roman"/>
          <w:lang w:val="en-GB"/>
        </w:rPr>
        <w:t>narrowing of differences</w:t>
      </w:r>
      <w:r w:rsidR="006D07F9">
        <w:rPr>
          <w:rFonts w:cs="Times New Roman"/>
          <w:lang w:val="en-GB"/>
        </w:rPr>
        <w:t>”</w:t>
      </w:r>
      <w:r w:rsidRPr="00876672">
        <w:rPr>
          <w:rFonts w:cs="Times New Roman"/>
          <w:lang w:val="en-GB"/>
        </w:rPr>
        <w:t xml:space="preserve"> was also mentioned in </w:t>
      </w:r>
      <w:r w:rsidRPr="00876672">
        <w:rPr>
          <w:rFonts w:cs="Times New Roman"/>
          <w:i/>
          <w:lang w:val="en-GB"/>
        </w:rPr>
        <w:t xml:space="preserve">Streetmap v Google, </w:t>
      </w:r>
      <w:r w:rsidRPr="00876672">
        <w:rPr>
          <w:rFonts w:cs="Times New Roman"/>
          <w:lang w:val="en-GB"/>
        </w:rPr>
        <w:t>discussed in detail below</w:t>
      </w:r>
    </w:p>
    <w:p w14:paraId="06A694C8" w14:textId="2C04AAB2" w:rsidR="00DB544F" w:rsidRPr="00876672" w:rsidRDefault="00DB544F" w:rsidP="003D0BBA">
      <w:pPr>
        <w:tabs>
          <w:tab w:val="left" w:pos="284"/>
        </w:tabs>
        <w:ind w:right="-248"/>
        <w:rPr>
          <w:rFonts w:cs="Times New Roman"/>
          <w:lang w:val="en-GB"/>
        </w:rPr>
      </w:pPr>
      <w:r w:rsidRPr="00876672">
        <w:rPr>
          <w:rFonts w:cs="Times New Roman"/>
          <w:lang w:val="en-GB"/>
        </w:rPr>
        <w:tab/>
        <w:t>These cases have to b</w:t>
      </w:r>
      <w:r w:rsidR="00865090">
        <w:rPr>
          <w:rFonts w:cs="Times New Roman"/>
          <w:lang w:val="en-GB"/>
        </w:rPr>
        <w:t>e understood in the context of</w:t>
      </w:r>
      <w:r w:rsidRPr="00876672">
        <w:rPr>
          <w:rFonts w:cs="Times New Roman"/>
          <w:lang w:val="en-GB"/>
        </w:rPr>
        <w:t xml:space="preserve"> civil procedure</w:t>
      </w:r>
      <w:r w:rsidR="00865090">
        <w:rPr>
          <w:rFonts w:cs="Times New Roman"/>
          <w:lang w:val="en-GB"/>
        </w:rPr>
        <w:t>s</w:t>
      </w:r>
      <w:r w:rsidRPr="00876672">
        <w:rPr>
          <w:rFonts w:cs="Times New Roman"/>
          <w:lang w:val="en-GB"/>
        </w:rPr>
        <w:t xml:space="preserve"> that already encourage experts to identify areas of agreement and disagreement th</w:t>
      </w:r>
      <w:r w:rsidR="00FE2DD8">
        <w:rPr>
          <w:rFonts w:cs="Times New Roman"/>
          <w:lang w:val="en-GB"/>
        </w:rPr>
        <w:t>r</w:t>
      </w:r>
      <w:r w:rsidRPr="00876672">
        <w:rPr>
          <w:rFonts w:cs="Times New Roman"/>
          <w:lang w:val="en-GB"/>
        </w:rPr>
        <w:t>ough pre-trial meetings</w:t>
      </w:r>
      <w:r w:rsidR="00363CBD" w:rsidRPr="00363CBD">
        <w:rPr>
          <w:rFonts w:cs="Times New Roman"/>
          <w:lang w:val="en-GB"/>
        </w:rPr>
        <w:t>.</w:t>
      </w:r>
      <w:r w:rsidRPr="00363CBD">
        <w:rPr>
          <w:rStyle w:val="FootnoteReference"/>
          <w:rFonts w:cs="Times New Roman"/>
          <w:lang w:val="en-GB"/>
        </w:rPr>
        <w:footnoteReference w:id="82"/>
      </w:r>
      <w:r w:rsidRPr="00876672">
        <w:rPr>
          <w:rFonts w:cs="Times New Roman"/>
          <w:color w:val="FF0000"/>
          <w:lang w:val="en-GB"/>
        </w:rPr>
        <w:t xml:space="preserve"> </w:t>
      </w:r>
      <w:r w:rsidRPr="00876672">
        <w:rPr>
          <w:rFonts w:cs="Times New Roman"/>
          <w:lang w:val="en-GB"/>
        </w:rPr>
        <w:t xml:space="preserve">It would be surprising if hot-tubbing dramatically increased the amount of </w:t>
      </w:r>
      <w:r w:rsidRPr="00876672">
        <w:rPr>
          <w:rFonts w:cs="Times New Roman"/>
          <w:lang w:val="en-GB"/>
        </w:rPr>
        <w:lastRenderedPageBreak/>
        <w:t xml:space="preserve">consensus that emerges from </w:t>
      </w:r>
      <w:r w:rsidR="00B8744E">
        <w:rPr>
          <w:rFonts w:cs="Times New Roman"/>
          <w:lang w:val="en-GB"/>
        </w:rPr>
        <w:t xml:space="preserve">(occasionally protracted) </w:t>
      </w:r>
      <w:r w:rsidRPr="00876672">
        <w:rPr>
          <w:rFonts w:cs="Times New Roman"/>
          <w:lang w:val="en-GB"/>
        </w:rPr>
        <w:t>pre-trial discussions and it seems to have been used for relatively simple issues or where the</w:t>
      </w:r>
      <w:r w:rsidR="00BC12A9">
        <w:rPr>
          <w:rFonts w:cs="Times New Roman"/>
          <w:lang w:val="en-GB"/>
        </w:rPr>
        <w:t xml:space="preserve"> gulf is not vast in any event.</w:t>
      </w:r>
      <w:r w:rsidRPr="00876672">
        <w:rPr>
          <w:rFonts w:cs="Times New Roman"/>
          <w:lang w:val="en-GB"/>
        </w:rPr>
        <w:t xml:space="preserve"> In </w:t>
      </w:r>
      <w:r w:rsidRPr="00BC12A9">
        <w:rPr>
          <w:rFonts w:cs="Times New Roman"/>
          <w:i/>
          <w:lang w:val="en-GB"/>
        </w:rPr>
        <w:t>SSE v Hochtief</w:t>
      </w:r>
      <w:r w:rsidRPr="00876672">
        <w:rPr>
          <w:rFonts w:cs="Times New Roman"/>
          <w:lang w:val="en-GB"/>
        </w:rPr>
        <w:t xml:space="preserve">, an example of </w:t>
      </w:r>
      <w:r w:rsidR="00B8744E">
        <w:rPr>
          <w:rFonts w:cs="Times New Roman"/>
          <w:lang w:val="en-GB"/>
        </w:rPr>
        <w:t xml:space="preserve">large-scale litigation </w:t>
      </w:r>
      <w:r w:rsidRPr="00876672">
        <w:rPr>
          <w:rFonts w:cs="Times New Roman"/>
          <w:lang w:val="en-GB"/>
        </w:rPr>
        <w:t>a</w:t>
      </w:r>
      <w:r w:rsidR="00B8744E">
        <w:rPr>
          <w:rFonts w:cs="Times New Roman"/>
          <w:lang w:val="en-GB"/>
        </w:rPr>
        <w:t>nd a</w:t>
      </w:r>
      <w:r w:rsidRPr="00876672">
        <w:rPr>
          <w:rFonts w:cs="Times New Roman"/>
          <w:lang w:val="en-GB"/>
        </w:rPr>
        <w:t xml:space="preserve"> very positive judicial </w:t>
      </w:r>
      <w:r w:rsidR="00B8744E">
        <w:rPr>
          <w:rFonts w:cs="Times New Roman"/>
          <w:lang w:val="en-GB"/>
        </w:rPr>
        <w:t>hot-tubbing experience</w:t>
      </w:r>
      <w:r w:rsidR="004E051F">
        <w:rPr>
          <w:rFonts w:cs="Times New Roman"/>
          <w:lang w:val="en-GB"/>
        </w:rPr>
        <w:t xml:space="preserve">, </w:t>
      </w:r>
      <w:r w:rsidR="00087DA6">
        <w:rPr>
          <w:rFonts w:cs="Times New Roman"/>
        </w:rPr>
        <w:t>“</w:t>
      </w:r>
      <w:r w:rsidR="00087DA6" w:rsidRPr="00876672">
        <w:rPr>
          <w:rFonts w:cs="Times New Roman"/>
        </w:rPr>
        <w:t>[</w:t>
      </w:r>
      <w:r w:rsidRPr="00876672">
        <w:rPr>
          <w:rFonts w:cs="Times New Roman"/>
        </w:rPr>
        <w:t>t]he exercise was less successful in respect of quantum</w:t>
      </w:r>
      <w:r w:rsidR="004E051F">
        <w:rPr>
          <w:rFonts w:cs="Times New Roman"/>
        </w:rPr>
        <w:t xml:space="preserve"> …</w:t>
      </w:r>
      <w:r w:rsidRPr="00876672">
        <w:rPr>
          <w:rFonts w:cs="Times New Roman"/>
        </w:rPr>
        <w:t xml:space="preserve"> where there was little common ground and th</w:t>
      </w:r>
      <w:r w:rsidR="00B8744E">
        <w:rPr>
          <w:rFonts w:cs="Times New Roman"/>
        </w:rPr>
        <w:t xml:space="preserve">e level of detail was too </w:t>
      </w:r>
      <w:r w:rsidR="00087DA6">
        <w:rPr>
          <w:rFonts w:cs="Times New Roman"/>
        </w:rPr>
        <w:t>great”</w:t>
      </w:r>
      <w:r w:rsidR="00BC12A9">
        <w:rPr>
          <w:rFonts w:cs="Times New Roman"/>
        </w:rPr>
        <w:t>.</w:t>
      </w:r>
      <w:r w:rsidR="00FE2DD8" w:rsidRPr="00FE2DD8">
        <w:rPr>
          <w:rStyle w:val="FootnoteReference"/>
          <w:rFonts w:cs="Times New Roman"/>
          <w:lang w:val="en-GB"/>
        </w:rPr>
        <w:t xml:space="preserve"> </w:t>
      </w:r>
      <w:r w:rsidR="00FE2DD8" w:rsidRPr="00876672">
        <w:rPr>
          <w:rStyle w:val="FootnoteReference"/>
          <w:rFonts w:cs="Times New Roman"/>
          <w:lang w:val="en-GB"/>
        </w:rPr>
        <w:footnoteReference w:id="83"/>
      </w:r>
      <w:r w:rsidR="004D0686">
        <w:rPr>
          <w:rFonts w:cs="Times New Roman"/>
          <w:lang w:val="en-GB"/>
        </w:rPr>
        <w:t xml:space="preserve"> </w:t>
      </w:r>
      <w:r w:rsidR="00265446">
        <w:rPr>
          <w:rFonts w:cs="Times New Roman"/>
          <w:lang w:val="en-GB"/>
        </w:rPr>
        <w:t>In</w:t>
      </w:r>
      <w:r w:rsidR="004D0686">
        <w:rPr>
          <w:rFonts w:cs="Times New Roman"/>
          <w:lang w:val="en-GB"/>
        </w:rPr>
        <w:t xml:space="preserve"> </w:t>
      </w:r>
      <w:r w:rsidR="004D0686" w:rsidRPr="0072579D">
        <w:rPr>
          <w:rFonts w:cs="Times New Roman"/>
          <w:i/>
          <w:lang w:val="en-GB"/>
        </w:rPr>
        <w:t xml:space="preserve">BA Kitchen Components </w:t>
      </w:r>
      <w:r w:rsidR="00F9329D" w:rsidRPr="0072579D">
        <w:rPr>
          <w:rFonts w:cs="Times New Roman"/>
          <w:i/>
          <w:lang w:val="en-GB"/>
        </w:rPr>
        <w:t xml:space="preserve">Ltd v </w:t>
      </w:r>
      <w:r w:rsidR="004D0686" w:rsidRPr="0072579D">
        <w:rPr>
          <w:rFonts w:cs="Times New Roman"/>
          <w:i/>
          <w:lang w:val="en-GB"/>
        </w:rPr>
        <w:t>Jowat</w:t>
      </w:r>
      <w:r w:rsidR="00F9329D" w:rsidRPr="0072579D">
        <w:rPr>
          <w:rFonts w:cs="Times New Roman"/>
          <w:i/>
          <w:lang w:val="en-GB"/>
        </w:rPr>
        <w:t xml:space="preserve"> (UK) Ltd</w:t>
      </w:r>
      <w:r w:rsidR="0044710A">
        <w:rPr>
          <w:rFonts w:cs="Times New Roman"/>
          <w:i/>
          <w:lang w:val="en-GB"/>
        </w:rPr>
        <w:t>,</w:t>
      </w:r>
      <w:r w:rsidR="004D0686">
        <w:rPr>
          <w:rStyle w:val="FootnoteReference"/>
          <w:rFonts w:cs="Times New Roman"/>
          <w:lang w:val="en-GB"/>
        </w:rPr>
        <w:footnoteReference w:id="84"/>
      </w:r>
      <w:r w:rsidR="004D0686">
        <w:rPr>
          <w:rFonts w:cs="Times New Roman"/>
          <w:lang w:val="en-GB"/>
        </w:rPr>
        <w:t xml:space="preserve"> a dispute </w:t>
      </w:r>
      <w:r w:rsidR="006958BA">
        <w:rPr>
          <w:rFonts w:cs="Times New Roman"/>
          <w:lang w:val="en-GB"/>
        </w:rPr>
        <w:t xml:space="preserve">about </w:t>
      </w:r>
      <w:r w:rsidR="001E305F">
        <w:rPr>
          <w:rFonts w:cs="Times New Roman"/>
          <w:lang w:val="en-GB"/>
        </w:rPr>
        <w:t>the cause of delamination, the experts</w:t>
      </w:r>
      <w:r w:rsidR="006958BA">
        <w:rPr>
          <w:rFonts w:cs="Times New Roman"/>
          <w:lang w:val="en-GB"/>
        </w:rPr>
        <w:t xml:space="preserve"> could not bridge their fundamental disagreement in the “hot tub”.</w:t>
      </w:r>
      <w:r w:rsidR="00280FB4">
        <w:rPr>
          <w:rFonts w:cs="Times New Roman"/>
          <w:lang w:val="en-GB"/>
        </w:rPr>
        <w:t xml:space="preserve"> </w:t>
      </w:r>
      <w:r w:rsidR="0044710A">
        <w:rPr>
          <w:rFonts w:cs="Times New Roman"/>
          <w:lang w:val="en-GB"/>
        </w:rPr>
        <w:t>The solution was to call in</w:t>
      </w:r>
      <w:r w:rsidR="00280FB4">
        <w:rPr>
          <w:rFonts w:cs="Times New Roman"/>
          <w:lang w:val="en-GB"/>
        </w:rPr>
        <w:t xml:space="preserve"> a court</w:t>
      </w:r>
      <w:r w:rsidR="00265446">
        <w:rPr>
          <w:rFonts w:cs="Times New Roman"/>
          <w:lang w:val="en-GB"/>
        </w:rPr>
        <w:t>-</w:t>
      </w:r>
      <w:r w:rsidR="00280FB4">
        <w:rPr>
          <w:rFonts w:cs="Times New Roman"/>
          <w:lang w:val="en-GB"/>
        </w:rPr>
        <w:t>appointed expert, with whom the court largely agreed.</w:t>
      </w:r>
    </w:p>
    <w:p w14:paraId="3FA6760D" w14:textId="4330F612" w:rsidR="00DB544F" w:rsidRPr="00876672" w:rsidRDefault="00CD13B9" w:rsidP="003D0BBA">
      <w:pPr>
        <w:tabs>
          <w:tab w:val="left" w:pos="284"/>
        </w:tabs>
        <w:ind w:right="-248"/>
        <w:rPr>
          <w:rFonts w:cs="Times New Roman"/>
          <w:sz w:val="19"/>
          <w:szCs w:val="19"/>
        </w:rPr>
      </w:pPr>
      <w:r w:rsidRPr="00876672">
        <w:rPr>
          <w:rFonts w:cs="Times New Roman"/>
          <w:lang w:val="en-GB"/>
        </w:rPr>
        <w:tab/>
      </w:r>
      <w:r w:rsidR="00DB544F" w:rsidRPr="00876672">
        <w:rPr>
          <w:rFonts w:cs="Times New Roman"/>
          <w:lang w:val="en-GB"/>
        </w:rPr>
        <w:t xml:space="preserve">The fact that differences between the experts were narrowed in some cases does not necessarily mean that they converged on the truth – an issue </w:t>
      </w:r>
      <w:r w:rsidR="00265446">
        <w:rPr>
          <w:rFonts w:cs="Times New Roman"/>
          <w:lang w:val="en-GB"/>
        </w:rPr>
        <w:t xml:space="preserve">indexed to the </w:t>
      </w:r>
      <w:r w:rsidR="00DB544F" w:rsidRPr="00876672">
        <w:rPr>
          <w:rFonts w:cs="Times New Roman"/>
          <w:lang w:val="en-GB"/>
        </w:rPr>
        <w:t>quality</w:t>
      </w:r>
      <w:r w:rsidR="00265446">
        <w:rPr>
          <w:rFonts w:cs="Times New Roman"/>
          <w:lang w:val="en-GB"/>
        </w:rPr>
        <w:t xml:space="preserve"> of the evidence</w:t>
      </w:r>
      <w:r w:rsidR="00DB544F" w:rsidRPr="00876672">
        <w:rPr>
          <w:rFonts w:cs="Times New Roman"/>
          <w:lang w:val="en-GB"/>
        </w:rPr>
        <w:t xml:space="preserve">. Judges will usually (as in </w:t>
      </w:r>
      <w:r w:rsidR="00DB544F" w:rsidRPr="00876672">
        <w:rPr>
          <w:rFonts w:cs="Times New Roman"/>
          <w:i/>
          <w:lang w:val="en-GB"/>
        </w:rPr>
        <w:t>Armstrong</w:t>
      </w:r>
      <w:r w:rsidR="00DB544F" w:rsidRPr="00876672">
        <w:rPr>
          <w:rFonts w:cs="Times New Roman"/>
          <w:lang w:val="en-GB"/>
        </w:rPr>
        <w:t xml:space="preserve">) defer to what the experts agree </w:t>
      </w:r>
      <w:r w:rsidR="004E051F">
        <w:rPr>
          <w:rFonts w:cs="Times New Roman"/>
          <w:lang w:val="en-GB"/>
        </w:rPr>
        <w:t>upon</w:t>
      </w:r>
      <w:r w:rsidR="00DB544F" w:rsidRPr="00876672">
        <w:rPr>
          <w:rFonts w:cs="Times New Roman"/>
          <w:lang w:val="en-GB"/>
        </w:rPr>
        <w:t xml:space="preserve">, without inquiring closely into whether it was what Hayden J in </w:t>
      </w:r>
      <w:r w:rsidR="00DB544F" w:rsidRPr="00876672">
        <w:rPr>
          <w:rFonts w:cs="Times New Roman"/>
          <w:i/>
          <w:lang w:val="en-GB"/>
        </w:rPr>
        <w:t xml:space="preserve">M v N </w:t>
      </w:r>
      <w:r w:rsidR="00DB544F" w:rsidRPr="00876672">
        <w:rPr>
          <w:rFonts w:cs="Times New Roman"/>
          <w:lang w:val="en-GB"/>
        </w:rPr>
        <w:t xml:space="preserve">(above) called a </w:t>
      </w:r>
      <w:r w:rsidR="00087DA6">
        <w:rPr>
          <w:rFonts w:cs="Times New Roman"/>
          <w:lang w:val="en-GB"/>
        </w:rPr>
        <w:t>“</w:t>
      </w:r>
      <w:r w:rsidR="00DB544F" w:rsidRPr="00876672">
        <w:rPr>
          <w:rFonts w:cs="Times New Roman"/>
          <w:lang w:val="en-GB"/>
        </w:rPr>
        <w:t xml:space="preserve">true and objective </w:t>
      </w:r>
      <w:r w:rsidR="00087DA6" w:rsidRPr="00876672">
        <w:rPr>
          <w:rFonts w:cs="Times New Roman"/>
          <w:lang w:val="en-GB"/>
        </w:rPr>
        <w:t>consensus</w:t>
      </w:r>
      <w:r w:rsidR="00087DA6">
        <w:rPr>
          <w:rFonts w:cs="Times New Roman"/>
          <w:lang w:val="en-GB"/>
        </w:rPr>
        <w:t>”</w:t>
      </w:r>
      <w:r w:rsidR="00DB544F" w:rsidRPr="00876672">
        <w:rPr>
          <w:rFonts w:cs="Times New Roman"/>
          <w:lang w:val="en-GB"/>
        </w:rPr>
        <w:t>.</w:t>
      </w:r>
      <w:r w:rsidR="00DB544F" w:rsidRPr="00876672">
        <w:rPr>
          <w:rStyle w:val="FootnoteReference"/>
          <w:rFonts w:cs="Times New Roman"/>
          <w:lang w:val="en-GB"/>
        </w:rPr>
        <w:footnoteReference w:id="85"/>
      </w:r>
      <w:r w:rsidR="00DB544F" w:rsidRPr="00876672">
        <w:rPr>
          <w:rFonts w:cs="Times New Roman"/>
          <w:lang w:val="en-GB"/>
        </w:rPr>
        <w:t xml:space="preserve"> </w:t>
      </w:r>
    </w:p>
    <w:p w14:paraId="700BAFCE" w14:textId="77777777" w:rsidR="00DB544F" w:rsidRPr="00876672" w:rsidRDefault="00DB544F" w:rsidP="003D0BBA">
      <w:pPr>
        <w:tabs>
          <w:tab w:val="left" w:pos="284"/>
        </w:tabs>
        <w:ind w:right="-248"/>
        <w:rPr>
          <w:rFonts w:cs="Times New Roman"/>
          <w:lang w:val="en-GB"/>
        </w:rPr>
      </w:pPr>
    </w:p>
    <w:p w14:paraId="0B645EEF" w14:textId="77777777" w:rsidR="00DB544F" w:rsidRPr="00876672" w:rsidRDefault="00DB544F" w:rsidP="003D0BBA">
      <w:pPr>
        <w:tabs>
          <w:tab w:val="left" w:pos="284"/>
        </w:tabs>
        <w:ind w:right="-248"/>
        <w:rPr>
          <w:rFonts w:cs="Times New Roman"/>
          <w:b/>
          <w:i/>
          <w:lang w:val="en-GB"/>
        </w:rPr>
      </w:pPr>
      <w:r w:rsidRPr="00876672">
        <w:rPr>
          <w:rFonts w:cs="Times New Roman"/>
          <w:b/>
          <w:i/>
          <w:lang w:val="en-GB"/>
        </w:rPr>
        <w:t>Adversarial experts in the tub</w:t>
      </w:r>
    </w:p>
    <w:p w14:paraId="249ABC49" w14:textId="38970786" w:rsidR="00DB544F" w:rsidRPr="00876672" w:rsidRDefault="00DB544F" w:rsidP="003D0BBA">
      <w:pPr>
        <w:tabs>
          <w:tab w:val="left" w:pos="284"/>
        </w:tabs>
        <w:ind w:right="-248"/>
        <w:rPr>
          <w:rFonts w:cs="Times New Roman"/>
          <w:lang w:val="en-GB"/>
        </w:rPr>
      </w:pPr>
      <w:r w:rsidRPr="00876672">
        <w:rPr>
          <w:rFonts w:cs="Times New Roman"/>
          <w:lang w:val="en-GB"/>
        </w:rPr>
        <w:t xml:space="preserve">We now turn to what is perhaps the most interesting group of cases: those in which the experts in the </w:t>
      </w:r>
      <w:r w:rsidR="006D07F9">
        <w:rPr>
          <w:rFonts w:cs="Times New Roman"/>
          <w:lang w:val="en-GB"/>
        </w:rPr>
        <w:t>“</w:t>
      </w:r>
      <w:r w:rsidRPr="00876672">
        <w:rPr>
          <w:rFonts w:cs="Times New Roman"/>
          <w:lang w:val="en-GB"/>
        </w:rPr>
        <w:t>tub</w:t>
      </w:r>
      <w:r w:rsidR="006D07F9">
        <w:rPr>
          <w:rFonts w:cs="Times New Roman"/>
          <w:lang w:val="en-GB"/>
        </w:rPr>
        <w:t>”</w:t>
      </w:r>
      <w:r w:rsidRPr="00876672">
        <w:rPr>
          <w:rFonts w:cs="Times New Roman"/>
          <w:lang w:val="en-GB"/>
        </w:rPr>
        <w:t xml:space="preserve"> disagreed with each other on some factual question as to which the court had no particular claim to expertise. Whether concurrent evidence is effective in such situations depends on whether it allows differences between the quality of one expert’s evidence and another to be detected and sensibly evaluated. This could be either because it exposes differences </w:t>
      </w:r>
      <w:r w:rsidR="003D00C5">
        <w:rPr>
          <w:rFonts w:cs="Times New Roman"/>
          <w:lang w:val="en-GB"/>
        </w:rPr>
        <w:t>between</w:t>
      </w:r>
      <w:r w:rsidR="003D00C5" w:rsidRPr="00876672">
        <w:rPr>
          <w:rFonts w:cs="Times New Roman"/>
          <w:lang w:val="en-GB"/>
        </w:rPr>
        <w:t xml:space="preserve"> </w:t>
      </w:r>
      <w:r w:rsidRPr="00876672">
        <w:rPr>
          <w:rFonts w:cs="Times New Roman"/>
          <w:lang w:val="en-GB"/>
        </w:rPr>
        <w:t xml:space="preserve">the epistemic qualities of the two experts’ evidence, or because it reveals performative differences that can reasonably be taken as indicators of </w:t>
      </w:r>
      <w:r w:rsidR="00E11BB4">
        <w:rPr>
          <w:rFonts w:cs="Times New Roman"/>
          <w:lang w:val="en-GB"/>
        </w:rPr>
        <w:t xml:space="preserve">reliable </w:t>
      </w:r>
      <w:r w:rsidRPr="00876672">
        <w:rPr>
          <w:rFonts w:cs="Times New Roman"/>
          <w:lang w:val="en-GB"/>
        </w:rPr>
        <w:t>epistemic differences.</w:t>
      </w:r>
    </w:p>
    <w:p w14:paraId="5F35FE9B" w14:textId="15087C85" w:rsidR="00DB544F" w:rsidRPr="00876672" w:rsidRDefault="00DB544F" w:rsidP="003D0BBA">
      <w:pPr>
        <w:tabs>
          <w:tab w:val="left" w:pos="284"/>
        </w:tabs>
        <w:ind w:right="-248"/>
        <w:rPr>
          <w:rFonts w:cs="Times New Roman"/>
          <w:lang w:val="en-GB"/>
        </w:rPr>
      </w:pPr>
      <w:r w:rsidRPr="00876672">
        <w:rPr>
          <w:rFonts w:cs="Times New Roman"/>
          <w:lang w:val="en-GB"/>
        </w:rPr>
        <w:tab/>
        <w:t xml:space="preserve">One case in which a clear </w:t>
      </w:r>
      <w:r w:rsidR="006D07F9">
        <w:rPr>
          <w:rFonts w:cs="Times New Roman"/>
          <w:lang w:val="en-GB"/>
        </w:rPr>
        <w:t>“</w:t>
      </w:r>
      <w:r w:rsidRPr="00876672">
        <w:rPr>
          <w:rFonts w:cs="Times New Roman"/>
          <w:lang w:val="en-GB"/>
        </w:rPr>
        <w:t>winner</w:t>
      </w:r>
      <w:r w:rsidR="006D07F9">
        <w:rPr>
          <w:rFonts w:cs="Times New Roman"/>
          <w:lang w:val="en-GB"/>
        </w:rPr>
        <w:t>”</w:t>
      </w:r>
      <w:r w:rsidRPr="00876672">
        <w:rPr>
          <w:rFonts w:cs="Times New Roman"/>
          <w:lang w:val="en-GB"/>
        </w:rPr>
        <w:t xml:space="preserve"> emerged from the tub is </w:t>
      </w:r>
      <w:r w:rsidRPr="00876672">
        <w:rPr>
          <w:rFonts w:cs="Times New Roman"/>
          <w:i/>
          <w:lang w:val="en-GB"/>
        </w:rPr>
        <w:t>Patel v Vigh</w:t>
      </w:r>
      <w:r w:rsidRPr="00876672">
        <w:rPr>
          <w:rFonts w:cs="Times New Roman"/>
          <w:lang w:val="en-GB"/>
        </w:rPr>
        <w:t>, which concerned a claim for a beneficial interest in a house and a claim against a deceased’s estate.</w:t>
      </w:r>
      <w:r w:rsidRPr="00876672">
        <w:rPr>
          <w:rStyle w:val="FootnoteReference"/>
          <w:rFonts w:cs="Times New Roman"/>
          <w:lang w:val="en-GB"/>
        </w:rPr>
        <w:footnoteReference w:id="86"/>
      </w:r>
      <w:r w:rsidR="00245FD2">
        <w:rPr>
          <w:rFonts w:cs="Times New Roman"/>
          <w:lang w:val="en-GB"/>
        </w:rPr>
        <w:t xml:space="preserve"> </w:t>
      </w:r>
      <w:r w:rsidRPr="00876672">
        <w:rPr>
          <w:rFonts w:cs="Times New Roman"/>
          <w:lang w:val="en-GB"/>
        </w:rPr>
        <w:t xml:space="preserve">Handwriting experts were </w:t>
      </w:r>
      <w:r w:rsidR="006D07F9">
        <w:rPr>
          <w:rFonts w:cs="Times New Roman"/>
          <w:lang w:val="en-GB"/>
        </w:rPr>
        <w:t>“</w:t>
      </w:r>
      <w:r w:rsidRPr="00876672">
        <w:rPr>
          <w:rFonts w:cs="Times New Roman"/>
          <w:lang w:val="en-GB"/>
        </w:rPr>
        <w:t>hot-tubbed</w:t>
      </w:r>
      <w:r w:rsidR="006D07F9">
        <w:rPr>
          <w:rFonts w:cs="Times New Roman"/>
          <w:lang w:val="en-GB"/>
        </w:rPr>
        <w:t>”</w:t>
      </w:r>
      <w:r w:rsidRPr="00876672">
        <w:rPr>
          <w:rFonts w:cs="Times New Roman"/>
          <w:lang w:val="en-GB"/>
        </w:rPr>
        <w:t>, with the consent of both counsel, over allegations that a signature on a</w:t>
      </w:r>
      <w:r w:rsidR="00245FD2">
        <w:rPr>
          <w:rFonts w:cs="Times New Roman"/>
          <w:lang w:val="en-GB"/>
        </w:rPr>
        <w:t xml:space="preserve"> business statement was forged.</w:t>
      </w:r>
      <w:r w:rsidRPr="00876672">
        <w:rPr>
          <w:rFonts w:cs="Times New Roman"/>
          <w:lang w:val="en-GB"/>
        </w:rPr>
        <w:t xml:space="preserve"> The claimant’s expert used three reference documents, i.e. putatively genuine examples of the alleged signatory’s writing in her analysis of whether or not the signature in question was genuine, and the authenticity of one of those three was questionable. Moreover, </w:t>
      </w:r>
      <w:r w:rsidR="006D07F9">
        <w:rPr>
          <w:rFonts w:cs="Times New Roman"/>
          <w:lang w:val="en-GB"/>
        </w:rPr>
        <w:t>“</w:t>
      </w:r>
      <w:r w:rsidR="004E051F">
        <w:rPr>
          <w:rFonts w:cs="Times New Roman"/>
          <w:lang w:val="en-GB"/>
        </w:rPr>
        <w:t>[e]</w:t>
      </w:r>
      <w:r w:rsidR="004E051F" w:rsidRPr="00876672">
        <w:rPr>
          <w:rFonts w:cs="Times New Roman"/>
          <w:lang w:val="en-GB"/>
        </w:rPr>
        <w:t xml:space="preserve">ach </w:t>
      </w:r>
      <w:r w:rsidRPr="00876672">
        <w:rPr>
          <w:rFonts w:cs="Times New Roman"/>
          <w:lang w:val="en-GB"/>
        </w:rPr>
        <w:t>of her 2 reports was only 4 pages long and contained very little reasoning</w:t>
      </w:r>
      <w:r w:rsidR="006D07F9">
        <w:rPr>
          <w:rFonts w:cs="Times New Roman"/>
          <w:lang w:val="en-GB"/>
        </w:rPr>
        <w:t>”</w:t>
      </w:r>
      <w:r w:rsidRPr="00876672">
        <w:rPr>
          <w:rFonts w:cs="Times New Roman"/>
          <w:lang w:val="en-GB"/>
        </w:rPr>
        <w:t>.</w:t>
      </w:r>
      <w:r w:rsidRPr="00876672">
        <w:rPr>
          <w:rStyle w:val="FootnoteReference"/>
          <w:rFonts w:cs="Times New Roman"/>
          <w:lang w:val="en-GB"/>
        </w:rPr>
        <w:footnoteReference w:id="87"/>
      </w:r>
      <w:r w:rsidRPr="00876672">
        <w:rPr>
          <w:rFonts w:cs="Times New Roman"/>
          <w:lang w:val="en-GB"/>
        </w:rPr>
        <w:t xml:space="preserve"> The defendant’s expert used 59 documents, the authenticity of which was accepted by the claimant’s expert. The judge also contrasted the performance of the two witnesses, describing the defendant’s expert as a reliable witness who did his best to assist the court and the claimant’s expert as </w:t>
      </w:r>
      <w:r w:rsidR="006D07F9">
        <w:rPr>
          <w:rFonts w:cs="Times New Roman"/>
          <w:i/>
          <w:lang w:val="en-GB"/>
        </w:rPr>
        <w:t>“</w:t>
      </w:r>
      <w:r w:rsidR="00245FD2">
        <w:rPr>
          <w:rFonts w:cs="Times New Roman"/>
          <w:lang w:val="en-GB"/>
        </w:rPr>
        <w:t>considerably less impressive.</w:t>
      </w:r>
      <w:r w:rsidR="006D07F9">
        <w:rPr>
          <w:rFonts w:cs="Times New Roman"/>
          <w:lang w:val="en-GB"/>
        </w:rPr>
        <w:t>”</w:t>
      </w:r>
      <w:r w:rsidRPr="00876672">
        <w:rPr>
          <w:rFonts w:cs="Times New Roman"/>
          <w:lang w:val="en-GB"/>
        </w:rPr>
        <w:t xml:space="preserve"> She was </w:t>
      </w:r>
      <w:r w:rsidR="006D07F9">
        <w:rPr>
          <w:rFonts w:cs="Times New Roman"/>
          <w:lang w:val="en-GB"/>
        </w:rPr>
        <w:t>“</w:t>
      </w:r>
      <w:r w:rsidRPr="00876672">
        <w:rPr>
          <w:rFonts w:cs="Times New Roman"/>
          <w:lang w:val="en-GB"/>
        </w:rPr>
        <w:t>unable to engage with the detailed points</w:t>
      </w:r>
      <w:r w:rsidR="006D07F9">
        <w:rPr>
          <w:rFonts w:cs="Times New Roman"/>
          <w:lang w:val="en-GB"/>
        </w:rPr>
        <w:t>”</w:t>
      </w:r>
      <w:r w:rsidRPr="00876672">
        <w:rPr>
          <w:rFonts w:cs="Times New Roman"/>
          <w:lang w:val="en-GB"/>
        </w:rPr>
        <w:t xml:space="preserve"> made by the defendant’s expert and </w:t>
      </w:r>
      <w:r w:rsidR="006D07F9">
        <w:rPr>
          <w:rFonts w:cs="Times New Roman"/>
          <w:lang w:val="en-GB"/>
        </w:rPr>
        <w:t>“</w:t>
      </w:r>
      <w:r w:rsidRPr="00876672">
        <w:rPr>
          <w:rFonts w:cs="Times New Roman"/>
          <w:lang w:val="en-GB"/>
        </w:rPr>
        <w:t xml:space="preserve">appeared to regard her role as being to advance her </w:t>
      </w:r>
      <w:r w:rsidR="000E572F" w:rsidRPr="00876672">
        <w:rPr>
          <w:rFonts w:cs="Times New Roman"/>
          <w:lang w:val="en-GB"/>
        </w:rPr>
        <w:t>client</w:t>
      </w:r>
      <w:r w:rsidR="000E572F">
        <w:rPr>
          <w:rFonts w:cs="Times New Roman"/>
          <w:lang w:val="en-GB"/>
        </w:rPr>
        <w:t>’s</w:t>
      </w:r>
      <w:r w:rsidRPr="00876672">
        <w:rPr>
          <w:rFonts w:cs="Times New Roman"/>
          <w:lang w:val="en-GB"/>
        </w:rPr>
        <w:t xml:space="preserve"> case, rather than to assist the court.</w:t>
      </w:r>
      <w:r w:rsidR="006D07F9">
        <w:rPr>
          <w:rFonts w:cs="Times New Roman"/>
          <w:lang w:val="en-GB"/>
        </w:rPr>
        <w:t>”</w:t>
      </w:r>
      <w:r w:rsidRPr="00876672">
        <w:rPr>
          <w:rFonts w:cs="Times New Roman"/>
          <w:lang w:val="en-GB"/>
        </w:rPr>
        <w:t xml:space="preserve">  </w:t>
      </w:r>
    </w:p>
    <w:p w14:paraId="35756217" w14:textId="5996BED4" w:rsidR="00DB544F" w:rsidRPr="00876672" w:rsidRDefault="00DB544F" w:rsidP="003D0BBA">
      <w:pPr>
        <w:tabs>
          <w:tab w:val="left" w:pos="284"/>
        </w:tabs>
        <w:ind w:right="-248"/>
        <w:rPr>
          <w:rFonts w:cs="Times New Roman"/>
          <w:i/>
          <w:lang w:val="en-GB"/>
        </w:rPr>
      </w:pPr>
      <w:r w:rsidRPr="00876672">
        <w:rPr>
          <w:rFonts w:cs="Times New Roman"/>
          <w:lang w:val="en-GB"/>
        </w:rPr>
        <w:tab/>
        <w:t xml:space="preserve">All in all, the defendant’s expert appears to have displayed what Alvin Goldman calls </w:t>
      </w:r>
      <w:r w:rsidR="006D07F9">
        <w:rPr>
          <w:rFonts w:cs="Times New Roman"/>
          <w:lang w:val="en-GB"/>
        </w:rPr>
        <w:t>“</w:t>
      </w:r>
      <w:r w:rsidRPr="00876672">
        <w:rPr>
          <w:rFonts w:cs="Times New Roman"/>
          <w:lang w:val="en-GB"/>
        </w:rPr>
        <w:t>dialectical superiority</w:t>
      </w:r>
      <w:r w:rsidR="006D07F9">
        <w:rPr>
          <w:rFonts w:cs="Times New Roman"/>
          <w:lang w:val="en-GB"/>
        </w:rPr>
        <w:t>”</w:t>
      </w:r>
      <w:r w:rsidRPr="00876672">
        <w:rPr>
          <w:rFonts w:cs="Times New Roman"/>
          <w:lang w:val="en-GB"/>
        </w:rPr>
        <w:t>.</w:t>
      </w:r>
      <w:r w:rsidRPr="00876672">
        <w:rPr>
          <w:rStyle w:val="FootnoteReference"/>
          <w:rFonts w:cs="Times New Roman"/>
          <w:lang w:val="en-GB"/>
        </w:rPr>
        <w:footnoteReference w:id="88"/>
      </w:r>
      <w:r w:rsidRPr="00876672">
        <w:rPr>
          <w:rFonts w:cs="Times New Roman"/>
          <w:lang w:val="en-GB"/>
        </w:rPr>
        <w:t xml:space="preserve"> Goldman’s point is that even if one is not in a position to </w:t>
      </w:r>
      <w:r w:rsidRPr="00876672">
        <w:rPr>
          <w:rFonts w:cs="Times New Roman"/>
          <w:lang w:val="en-GB"/>
        </w:rPr>
        <w:lastRenderedPageBreak/>
        <w:t xml:space="preserve">assess the truth of specific claims made by an expert, the fact that one expert can accommodate the other’s points within his argument, </w:t>
      </w:r>
      <w:r w:rsidR="004E051F">
        <w:rPr>
          <w:rFonts w:cs="Times New Roman"/>
          <w:lang w:val="en-GB"/>
        </w:rPr>
        <w:t>while also making points to which</w:t>
      </w:r>
      <w:r w:rsidR="004E051F" w:rsidRPr="00876672">
        <w:rPr>
          <w:rFonts w:cs="Times New Roman"/>
          <w:lang w:val="en-GB"/>
        </w:rPr>
        <w:t xml:space="preserve"> </w:t>
      </w:r>
      <w:r w:rsidRPr="00876672">
        <w:rPr>
          <w:rFonts w:cs="Times New Roman"/>
          <w:lang w:val="en-GB"/>
        </w:rPr>
        <w:t xml:space="preserve">the other appears to have no answer, affords an </w:t>
      </w:r>
      <w:r w:rsidRPr="00876672">
        <w:rPr>
          <w:rFonts w:cs="Times New Roman"/>
          <w:i/>
          <w:lang w:val="en-GB"/>
        </w:rPr>
        <w:t xml:space="preserve">indicator </w:t>
      </w:r>
      <w:r w:rsidRPr="00876672">
        <w:rPr>
          <w:rFonts w:cs="Times New Roman"/>
          <w:lang w:val="en-GB"/>
        </w:rPr>
        <w:t xml:space="preserve">that the first expert’s points are better founded. In </w:t>
      </w:r>
      <w:r w:rsidR="004E051F">
        <w:rPr>
          <w:rFonts w:cs="Times New Roman"/>
          <w:i/>
          <w:lang w:val="en-GB"/>
        </w:rPr>
        <w:t>Patel</w:t>
      </w:r>
      <w:r w:rsidRPr="00876672">
        <w:rPr>
          <w:rFonts w:cs="Times New Roman"/>
          <w:lang w:val="en-GB"/>
        </w:rPr>
        <w:t>, however, this indicator supplements and confirms what the judge is able to perceive about the intrinsic weaknesses of one expert’s reasoning. It also supports an explanation of those weaknes</w:t>
      </w:r>
      <w:r w:rsidR="00E11BB4">
        <w:rPr>
          <w:rFonts w:cs="Times New Roman"/>
          <w:lang w:val="en-GB"/>
        </w:rPr>
        <w:t>ses as stemming from expert</w:t>
      </w:r>
      <w:r w:rsidRPr="00876672">
        <w:rPr>
          <w:rFonts w:cs="Times New Roman"/>
          <w:lang w:val="en-GB"/>
        </w:rPr>
        <w:t>s assuming an advocacy role. The same results could very likely have been achieved by traditional cross-examination. In focussing on issues of bias and the care displayed by the experts, the court did not engage with the arguably more important issue of whether handwriting comparison, however thorough, has any valid scientific basis.</w:t>
      </w:r>
      <w:r w:rsidRPr="00876672">
        <w:rPr>
          <w:rStyle w:val="FootnoteReference"/>
          <w:rFonts w:cs="Times New Roman"/>
        </w:rPr>
        <w:footnoteReference w:id="89"/>
      </w:r>
    </w:p>
    <w:p w14:paraId="7340E7C4" w14:textId="2AF24997" w:rsidR="00DB544F" w:rsidRPr="00876672" w:rsidRDefault="00DB544F" w:rsidP="003D0BBA">
      <w:pPr>
        <w:tabs>
          <w:tab w:val="left" w:pos="284"/>
        </w:tabs>
        <w:ind w:right="-248"/>
        <w:rPr>
          <w:rFonts w:cs="Times New Roman"/>
          <w:lang w:val="en-GB"/>
        </w:rPr>
      </w:pPr>
      <w:r w:rsidRPr="00876672">
        <w:rPr>
          <w:rFonts w:cs="Times New Roman"/>
          <w:lang w:val="en-GB"/>
        </w:rPr>
        <w:tab/>
      </w:r>
      <w:r w:rsidRPr="00876672">
        <w:rPr>
          <w:rFonts w:cs="Times New Roman"/>
          <w:i/>
          <w:lang w:val="en-GB"/>
        </w:rPr>
        <w:t>Streetmap v Google</w:t>
      </w:r>
      <w:r w:rsidRPr="00876672">
        <w:rPr>
          <w:rStyle w:val="FootnoteReference"/>
          <w:rFonts w:cs="Times New Roman"/>
          <w:lang w:val="en-GB"/>
        </w:rPr>
        <w:footnoteReference w:id="90"/>
      </w:r>
      <w:r w:rsidRPr="00876672">
        <w:rPr>
          <w:rFonts w:cs="Times New Roman"/>
          <w:i/>
          <w:lang w:val="en-GB"/>
        </w:rPr>
        <w:t xml:space="preserve"> </w:t>
      </w:r>
      <w:r w:rsidRPr="00876672">
        <w:rPr>
          <w:rFonts w:cs="Times New Roman"/>
          <w:lang w:val="en-GB"/>
        </w:rPr>
        <w:t xml:space="preserve">is one of two cases (along with </w:t>
      </w:r>
      <w:r w:rsidRPr="00876672">
        <w:rPr>
          <w:rFonts w:cs="Times New Roman"/>
          <w:i/>
          <w:lang w:val="en-GB"/>
        </w:rPr>
        <w:t xml:space="preserve">Stratton v Patel, </w:t>
      </w:r>
      <w:r w:rsidRPr="00876672">
        <w:rPr>
          <w:rFonts w:cs="Times New Roman"/>
          <w:lang w:val="en-GB"/>
        </w:rPr>
        <w:t xml:space="preserve">above) where the judgment quotes substantial extracts from the exchanges between experts in the concurrent evidence session. It borders on being an </w:t>
      </w:r>
      <w:r w:rsidR="006D07F9">
        <w:rPr>
          <w:rFonts w:cs="Times New Roman"/>
          <w:lang w:val="en-GB"/>
        </w:rPr>
        <w:t>“</w:t>
      </w:r>
      <w:r w:rsidRPr="00876672">
        <w:rPr>
          <w:rFonts w:cs="Times New Roman"/>
          <w:lang w:val="en-GB"/>
        </w:rPr>
        <w:t>expert tribunal</w:t>
      </w:r>
      <w:r w:rsidR="006D07F9">
        <w:rPr>
          <w:rFonts w:cs="Times New Roman"/>
          <w:lang w:val="en-GB"/>
        </w:rPr>
        <w:t>”</w:t>
      </w:r>
      <w:r w:rsidRPr="00876672">
        <w:rPr>
          <w:rFonts w:cs="Times New Roman"/>
          <w:lang w:val="en-GB"/>
        </w:rPr>
        <w:t xml:space="preserve"> case as the judge involved (Roth J) was a highly experienced competition lawyer and judge</w:t>
      </w:r>
      <w:r w:rsidR="00AC66B7">
        <w:rPr>
          <w:rFonts w:cs="Times New Roman"/>
          <w:lang w:val="en-GB"/>
        </w:rPr>
        <w:t>,</w:t>
      </w:r>
      <w:r w:rsidRPr="00876672">
        <w:rPr>
          <w:rFonts w:cs="Times New Roman"/>
          <w:lang w:val="en-GB"/>
        </w:rPr>
        <w:t xml:space="preserve"> and the experts were economists giving evidence on </w:t>
      </w:r>
      <w:r w:rsidR="006D07F9">
        <w:rPr>
          <w:rFonts w:cs="Times New Roman"/>
          <w:lang w:val="en-GB"/>
        </w:rPr>
        <w:t>“</w:t>
      </w:r>
      <w:r w:rsidRPr="00876672">
        <w:rPr>
          <w:rFonts w:cs="Times New Roman"/>
          <w:lang w:val="en-GB"/>
        </w:rPr>
        <w:t>not particularly complex</w:t>
      </w:r>
      <w:r w:rsidR="006D07F9">
        <w:rPr>
          <w:rFonts w:cs="Times New Roman"/>
          <w:lang w:val="en-GB"/>
        </w:rPr>
        <w:t>”</w:t>
      </w:r>
      <w:r w:rsidRPr="00876672">
        <w:rPr>
          <w:rFonts w:cs="Times New Roman"/>
          <w:lang w:val="en-GB"/>
        </w:rPr>
        <w:t xml:space="preserve"> competition issues. However, Roth J was not sitting, as he often does, in the Competition Appeals Tribunal,</w:t>
      </w:r>
      <w:r w:rsidR="00953EBA" w:rsidRPr="00876672">
        <w:rPr>
          <w:rStyle w:val="FootnoteReference"/>
          <w:rFonts w:cs="Times New Roman"/>
          <w:lang w:val="en-GB"/>
        </w:rPr>
        <w:footnoteReference w:id="91"/>
      </w:r>
      <w:r w:rsidRPr="00876672">
        <w:rPr>
          <w:rFonts w:cs="Times New Roman"/>
          <w:lang w:val="en-GB"/>
        </w:rPr>
        <w:t xml:space="preserve"> where one of the other members would be an economist, but hearing the evidence alone as a </w:t>
      </w:r>
      <w:r w:rsidR="00E519A2" w:rsidRPr="00876672">
        <w:rPr>
          <w:rFonts w:cs="Times New Roman"/>
          <w:lang w:val="en-GB"/>
        </w:rPr>
        <w:t>Chancery Division</w:t>
      </w:r>
      <w:r w:rsidRPr="00876672">
        <w:rPr>
          <w:rFonts w:cs="Times New Roman"/>
          <w:lang w:val="en-GB"/>
        </w:rPr>
        <w:t xml:space="preserve"> judge. He </w:t>
      </w:r>
      <w:r w:rsidRPr="00876672">
        <w:rPr>
          <w:rFonts w:cs="Times New Roman"/>
        </w:rPr>
        <w:t xml:space="preserve">gave permission for the two economists to ask questions of one another directly: a process he found </w:t>
      </w:r>
      <w:r w:rsidR="006D07F9">
        <w:rPr>
          <w:rFonts w:cs="Times New Roman"/>
        </w:rPr>
        <w:t>“</w:t>
      </w:r>
      <w:r w:rsidRPr="00876672">
        <w:rPr>
          <w:rFonts w:cs="Times New Roman"/>
        </w:rPr>
        <w:t>helpful</w:t>
      </w:r>
      <w:r w:rsidR="006D07F9">
        <w:rPr>
          <w:rFonts w:cs="Times New Roman"/>
        </w:rPr>
        <w:t>”</w:t>
      </w:r>
      <w:r w:rsidRPr="00876672">
        <w:rPr>
          <w:rFonts w:cs="Times New Roman"/>
        </w:rPr>
        <w:t xml:space="preserve"> and </w:t>
      </w:r>
      <w:r w:rsidR="006D07F9">
        <w:rPr>
          <w:rFonts w:cs="Times New Roman"/>
        </w:rPr>
        <w:t>“</w:t>
      </w:r>
      <w:r w:rsidRPr="00876672">
        <w:rPr>
          <w:rFonts w:cs="Times New Roman"/>
        </w:rPr>
        <w:t>constructive</w:t>
      </w:r>
      <w:r w:rsidR="006D07F9">
        <w:rPr>
          <w:rFonts w:cs="Times New Roman"/>
        </w:rPr>
        <w:t>”</w:t>
      </w:r>
      <w:r w:rsidRPr="00876672">
        <w:rPr>
          <w:rFonts w:cs="Times New Roman"/>
        </w:rPr>
        <w:t xml:space="preserve">, and which appears to have rendered cross-examination largely redundant. The exchange referenced in the judgment concerned a particular </w:t>
      </w:r>
      <w:r w:rsidRPr="00876672">
        <w:rPr>
          <w:rFonts w:cs="Times New Roman"/>
          <w:lang w:val="en-GB"/>
        </w:rPr>
        <w:t xml:space="preserve">graph of internet searches and their results. Addressing the defendant’s expert, the claimant’s expert told him that the graph in question </w:t>
      </w:r>
    </w:p>
    <w:p w14:paraId="1C083B1F" w14:textId="77777777" w:rsidR="00DB544F" w:rsidRPr="00876672" w:rsidRDefault="00DB544F" w:rsidP="003D0BBA">
      <w:pPr>
        <w:ind w:right="-248" w:firstLine="720"/>
        <w:rPr>
          <w:rFonts w:cs="Times New Roman"/>
          <w:lang w:val="en-GB"/>
        </w:rPr>
      </w:pPr>
    </w:p>
    <w:p w14:paraId="02D0E3EA" w14:textId="77777777" w:rsidR="00DB544F" w:rsidRPr="00876672" w:rsidRDefault="00DB544F" w:rsidP="003D0BBA">
      <w:pPr>
        <w:ind w:left="567" w:right="-248"/>
        <w:rPr>
          <w:rFonts w:cs="Times New Roman"/>
          <w:sz w:val="20"/>
          <w:szCs w:val="20"/>
          <w:lang w:val="en-GB"/>
        </w:rPr>
      </w:pPr>
      <w:r w:rsidRPr="00876672">
        <w:rPr>
          <w:rFonts w:cs="Times New Roman"/>
          <w:sz w:val="20"/>
          <w:szCs w:val="20"/>
          <w:lang w:val="en-GB"/>
        </w:rPr>
        <w:t xml:space="preserve">… is my graph shifted six months to the left … All you have done in effect is to shift the line back and paint a picture that suggests that effects that occurred in June should be viewed </w:t>
      </w:r>
      <w:r w:rsidR="002E294F">
        <w:rPr>
          <w:rFonts w:cs="Times New Roman"/>
          <w:sz w:val="20"/>
          <w:szCs w:val="20"/>
          <w:lang w:val="en-GB"/>
        </w:rPr>
        <w:t>as having occurred in January.</w:t>
      </w:r>
      <w:r w:rsidR="002E294F">
        <w:rPr>
          <w:rStyle w:val="FootnoteReference"/>
          <w:rFonts w:cs="Times New Roman"/>
          <w:sz w:val="20"/>
          <w:szCs w:val="20"/>
          <w:lang w:val="en-GB"/>
        </w:rPr>
        <w:footnoteReference w:id="92"/>
      </w:r>
    </w:p>
    <w:p w14:paraId="22C43EB5" w14:textId="77777777" w:rsidR="00DB544F" w:rsidRPr="00876672" w:rsidRDefault="00DB544F" w:rsidP="003D0BBA">
      <w:pPr>
        <w:ind w:left="720" w:right="-248"/>
        <w:rPr>
          <w:rFonts w:cs="Times New Roman"/>
          <w:lang w:val="en-GB"/>
        </w:rPr>
      </w:pPr>
    </w:p>
    <w:p w14:paraId="5DA67029" w14:textId="497DEA63" w:rsidR="00DB544F" w:rsidRPr="00876672" w:rsidRDefault="00DB544F" w:rsidP="003D0BBA">
      <w:pPr>
        <w:tabs>
          <w:tab w:val="left" w:pos="284"/>
        </w:tabs>
        <w:ind w:right="-248"/>
        <w:rPr>
          <w:rFonts w:cs="Times New Roman"/>
          <w:lang w:val="en-GB"/>
        </w:rPr>
      </w:pPr>
      <w:r w:rsidRPr="00876672">
        <w:rPr>
          <w:rFonts w:cs="Times New Roman"/>
          <w:lang w:val="en-GB"/>
        </w:rPr>
        <w:t xml:space="preserve">While the judge accepted this criticism of the graph, he also accepted the opposing expert’s view of the limitations of the data on which the both versions of the graph were based. The claimant’s expert’s display of dialectical superiority at this point was regarded by the judge as </w:t>
      </w:r>
      <w:r w:rsidR="006D07F9">
        <w:rPr>
          <w:rFonts w:cs="Times New Roman"/>
          <w:lang w:val="en-GB"/>
        </w:rPr>
        <w:t>“</w:t>
      </w:r>
      <w:r w:rsidRPr="00876672">
        <w:rPr>
          <w:rFonts w:cs="Times New Roman"/>
          <w:lang w:val="en-GB"/>
        </w:rPr>
        <w:t>the high water mark</w:t>
      </w:r>
      <w:r w:rsidR="006D07F9">
        <w:rPr>
          <w:rFonts w:cs="Times New Roman"/>
          <w:lang w:val="en-GB"/>
        </w:rPr>
        <w:t>”</w:t>
      </w:r>
      <w:r w:rsidRPr="00876672">
        <w:rPr>
          <w:rFonts w:cs="Times New Roman"/>
          <w:lang w:val="en-GB"/>
        </w:rPr>
        <w:t xml:space="preserve"> of his evidence, and did not prevent a decision in favour of the defendants.</w:t>
      </w:r>
      <w:r w:rsidRPr="00876672">
        <w:rPr>
          <w:rStyle w:val="FootnoteReference"/>
          <w:rFonts w:cs="Times New Roman"/>
          <w:lang w:val="en-GB"/>
        </w:rPr>
        <w:footnoteReference w:id="93"/>
      </w:r>
    </w:p>
    <w:p w14:paraId="5529AD89" w14:textId="33032C8A" w:rsidR="00DB544F" w:rsidRPr="00876672" w:rsidRDefault="00DB544F" w:rsidP="003D0BBA">
      <w:pPr>
        <w:tabs>
          <w:tab w:val="left" w:pos="284"/>
        </w:tabs>
        <w:ind w:right="-248"/>
        <w:rPr>
          <w:rFonts w:cs="Times New Roman"/>
        </w:rPr>
      </w:pPr>
      <w:r w:rsidRPr="00876672">
        <w:rPr>
          <w:rFonts w:cs="Times New Roman"/>
        </w:rPr>
        <w:tab/>
        <w:t xml:space="preserve">While Roth J thought that the concurrent evidence process probably saved a day in the presentation of evidence, he also noted that </w:t>
      </w:r>
      <w:r w:rsidR="006D07F9">
        <w:rPr>
          <w:rFonts w:cs="Times New Roman"/>
        </w:rPr>
        <w:t>“</w:t>
      </w:r>
      <w:r w:rsidRPr="00876672">
        <w:rPr>
          <w:rFonts w:cs="Times New Roman"/>
          <w:iCs/>
        </w:rPr>
        <w:t>this process involves considerable preparation by the court</w:t>
      </w:r>
      <w:r w:rsidR="006D07F9">
        <w:rPr>
          <w:rFonts w:cs="Times New Roman"/>
          <w:iCs/>
        </w:rPr>
        <w:t>”</w:t>
      </w:r>
      <w:r w:rsidRPr="00876672">
        <w:rPr>
          <w:rFonts w:cs="Times New Roman"/>
          <w:iCs/>
        </w:rPr>
        <w:t xml:space="preserve"> and </w:t>
      </w:r>
      <w:r w:rsidRPr="00876672">
        <w:rPr>
          <w:rFonts w:cs="Times New Roman"/>
        </w:rPr>
        <w:t xml:space="preserve">that </w:t>
      </w:r>
      <w:r w:rsidR="006D07F9">
        <w:rPr>
          <w:rFonts w:cs="Times New Roman"/>
        </w:rPr>
        <w:t>“</w:t>
      </w:r>
      <w:r w:rsidRPr="00876672">
        <w:rPr>
          <w:rFonts w:cs="Times New Roman"/>
          <w:iCs/>
        </w:rPr>
        <w:t>the process ... effectively requires (as in the present case) a transcript, since the judge is unable to keep a proper note while leading the questioning</w:t>
      </w:r>
      <w:r w:rsidR="006D07F9">
        <w:rPr>
          <w:rFonts w:cs="Times New Roman"/>
        </w:rPr>
        <w:t>”</w:t>
      </w:r>
      <w:r w:rsidRPr="00876672">
        <w:rPr>
          <w:rFonts w:cs="Times New Roman"/>
        </w:rPr>
        <w:t>.</w:t>
      </w:r>
      <w:r w:rsidRPr="00876672">
        <w:rPr>
          <w:rFonts w:cs="Times New Roman"/>
          <w:iCs/>
        </w:rPr>
        <w:t xml:space="preserve"> Despite the </w:t>
      </w:r>
      <w:r w:rsidR="006D07F9">
        <w:rPr>
          <w:rFonts w:cs="Times New Roman"/>
          <w:iCs/>
        </w:rPr>
        <w:t>“</w:t>
      </w:r>
      <w:r w:rsidRPr="00876672">
        <w:rPr>
          <w:rFonts w:cs="Times New Roman"/>
          <w:iCs/>
        </w:rPr>
        <w:t>constructive</w:t>
      </w:r>
      <w:r w:rsidR="006D07F9">
        <w:rPr>
          <w:rFonts w:cs="Times New Roman"/>
          <w:iCs/>
        </w:rPr>
        <w:t>”</w:t>
      </w:r>
      <w:r w:rsidRPr="00876672">
        <w:rPr>
          <w:rFonts w:cs="Times New Roman"/>
          <w:iCs/>
        </w:rPr>
        <w:t xml:space="preserve"> nature of the exchanges, Roth J also</w:t>
      </w:r>
      <w:r w:rsidRPr="00876672">
        <w:rPr>
          <w:rFonts w:cs="Times New Roman"/>
        </w:rPr>
        <w:t xml:space="preserve"> found that each expert remained something of an advocate for the party instructing them.</w:t>
      </w:r>
      <w:r w:rsidRPr="00876672">
        <w:rPr>
          <w:rStyle w:val="FootnoteReference"/>
          <w:rFonts w:cs="Times New Roman"/>
        </w:rPr>
        <w:footnoteReference w:id="94"/>
      </w:r>
      <w:r w:rsidR="00057AB4">
        <w:rPr>
          <w:rFonts w:cs="Times New Roman"/>
        </w:rPr>
        <w:t xml:space="preserve">  </w:t>
      </w:r>
    </w:p>
    <w:p w14:paraId="3AF3360A" w14:textId="019DAFD2" w:rsidR="00DB544F" w:rsidRPr="00876672" w:rsidRDefault="00245FD2" w:rsidP="003D0BBA">
      <w:pPr>
        <w:tabs>
          <w:tab w:val="left" w:pos="284"/>
        </w:tabs>
        <w:ind w:right="-248"/>
        <w:rPr>
          <w:rFonts w:cs="Times New Roman"/>
        </w:rPr>
      </w:pPr>
      <w:r>
        <w:rPr>
          <w:rFonts w:cs="Times New Roman"/>
        </w:rPr>
        <w:lastRenderedPageBreak/>
        <w:tab/>
      </w:r>
      <w:r w:rsidR="00DB544F" w:rsidRPr="00876672">
        <w:rPr>
          <w:rFonts w:cs="Times New Roman"/>
        </w:rPr>
        <w:t xml:space="preserve">In </w:t>
      </w:r>
      <w:r w:rsidR="00DB544F" w:rsidRPr="00876672">
        <w:rPr>
          <w:rFonts w:cs="Times New Roman"/>
          <w:i/>
        </w:rPr>
        <w:t>Hi-Lite Electrical v Wolsey</w:t>
      </w:r>
      <w:r w:rsidR="00DB544F" w:rsidRPr="00876672">
        <w:rPr>
          <w:rStyle w:val="FootnoteReference"/>
          <w:rFonts w:cs="Times New Roman"/>
        </w:rPr>
        <w:footnoteReference w:id="95"/>
      </w:r>
      <w:r w:rsidR="00DB544F" w:rsidRPr="00876672">
        <w:rPr>
          <w:rFonts w:cs="Times New Roman"/>
        </w:rPr>
        <w:t xml:space="preserve"> concurrent evidence was used in a limited way by hearing together the experts instructed by the defendant and the third party, who at this stage in the proceedings were no longer in dispute with one another. There was only a relatively minor difference of</w:t>
      </w:r>
      <w:r>
        <w:rPr>
          <w:rFonts w:cs="Times New Roman"/>
        </w:rPr>
        <w:t xml:space="preserve"> view between the two experts. </w:t>
      </w:r>
      <w:r w:rsidR="00DB544F" w:rsidRPr="00876672">
        <w:rPr>
          <w:rFonts w:cs="Times New Roman"/>
        </w:rPr>
        <w:t xml:space="preserve">The way in which the judge resolved the differences between these two experts and the claimant’s experts, by placing their conclusions about the cause of a fire in the context of the testimony of employees at the business where the fire occurred, is interesting but appears to owe little to the use of concurrent evidence. </w:t>
      </w:r>
    </w:p>
    <w:p w14:paraId="1F6CEC3C" w14:textId="0F7BB1B2" w:rsidR="00EE5A6F" w:rsidRDefault="00DB544F" w:rsidP="003D0BBA">
      <w:pPr>
        <w:tabs>
          <w:tab w:val="left" w:pos="284"/>
        </w:tabs>
        <w:ind w:right="-248"/>
        <w:rPr>
          <w:rFonts w:cs="Times New Roman"/>
        </w:rPr>
      </w:pPr>
      <w:r w:rsidRPr="00876672">
        <w:rPr>
          <w:rFonts w:cs="Times New Roman"/>
          <w:lang w:val="en-GB"/>
        </w:rPr>
        <w:tab/>
        <w:t xml:space="preserve">In </w:t>
      </w:r>
      <w:r w:rsidRPr="00876672">
        <w:rPr>
          <w:rFonts w:cs="Times New Roman"/>
          <w:i/>
          <w:lang w:val="en-GB"/>
        </w:rPr>
        <w:t>Hunt v Optima,</w:t>
      </w:r>
      <w:r w:rsidRPr="00876672">
        <w:rPr>
          <w:rStyle w:val="FootnoteReference"/>
          <w:rFonts w:cs="Times New Roman"/>
          <w:lang w:val="en-GB"/>
        </w:rPr>
        <w:footnoteReference w:id="96"/>
      </w:r>
      <w:r w:rsidRPr="00876672">
        <w:rPr>
          <w:rFonts w:cs="Times New Roman"/>
          <w:lang w:val="en-GB"/>
        </w:rPr>
        <w:t xml:space="preserve"> a case concerning defects in a newly-built block of flats, we find Akenhead J observing that the </w:t>
      </w:r>
      <w:r w:rsidR="006D07F9">
        <w:rPr>
          <w:rFonts w:cs="Times New Roman"/>
          <w:lang w:val="en-GB"/>
        </w:rPr>
        <w:t>“</w:t>
      </w:r>
      <w:r w:rsidRPr="00876672">
        <w:rPr>
          <w:rFonts w:cs="Times New Roman"/>
          <w:lang w:val="en-GB"/>
        </w:rPr>
        <w:t>hot tubbing</w:t>
      </w:r>
      <w:r w:rsidR="006D07F9">
        <w:rPr>
          <w:rFonts w:cs="Times New Roman"/>
          <w:lang w:val="en-GB"/>
        </w:rPr>
        <w:t>”</w:t>
      </w:r>
      <w:r w:rsidRPr="00876672">
        <w:rPr>
          <w:rFonts w:cs="Times New Roman"/>
          <w:lang w:val="en-GB"/>
        </w:rPr>
        <w:t xml:space="preserve"> of architecture and engineering experts </w:t>
      </w:r>
      <w:r w:rsidR="006D07F9">
        <w:rPr>
          <w:rFonts w:cs="Times New Roman"/>
          <w:lang w:val="en-GB"/>
        </w:rPr>
        <w:t>“</w:t>
      </w:r>
      <w:r w:rsidRPr="00876672">
        <w:rPr>
          <w:rFonts w:cs="Times New Roman"/>
          <w:lang w:val="en-GB"/>
        </w:rPr>
        <w:t>worked extremely well</w:t>
      </w:r>
      <w:r w:rsidR="006D07F9">
        <w:rPr>
          <w:rFonts w:cs="Times New Roman"/>
          <w:lang w:val="en-GB"/>
        </w:rPr>
        <w:t>”</w:t>
      </w:r>
      <w:r w:rsidRPr="00876672">
        <w:rPr>
          <w:rStyle w:val="FootnoteReference"/>
          <w:rFonts w:cs="Times New Roman"/>
          <w:lang w:val="en-GB"/>
        </w:rPr>
        <w:footnoteReference w:id="97"/>
      </w:r>
      <w:r w:rsidRPr="00876672">
        <w:rPr>
          <w:rFonts w:cs="Times New Roman"/>
          <w:lang w:val="en-GB"/>
        </w:rPr>
        <w:t xml:space="preserve"> and then resolving differences between them in a very traditional way, by commenting on their character, experience and performance in the witness box. For example, the claimant’s architect </w:t>
      </w:r>
      <w:r w:rsidR="006D07F9">
        <w:rPr>
          <w:rFonts w:cs="Times New Roman"/>
        </w:rPr>
        <w:t>“</w:t>
      </w:r>
      <w:r w:rsidRPr="00876672">
        <w:rPr>
          <w:rFonts w:cs="Times New Roman"/>
        </w:rPr>
        <w:t>came over as wholly decent, open and straightforward. He spoke with an authority which was compelling</w:t>
      </w:r>
      <w:r w:rsidR="006D07F9">
        <w:rPr>
          <w:rFonts w:cs="Times New Roman"/>
        </w:rPr>
        <w:t>”</w:t>
      </w:r>
      <w:r w:rsidRPr="00876672">
        <w:rPr>
          <w:rFonts w:cs="Times New Roman"/>
        </w:rPr>
        <w:t xml:space="preserve"> – although just what made his performance so compelling is not explained. By contrast, the judge felt that the engineer called by the second defendant </w:t>
      </w:r>
      <w:r w:rsidR="006D07F9">
        <w:rPr>
          <w:rFonts w:cs="Times New Roman"/>
        </w:rPr>
        <w:t>“</w:t>
      </w:r>
      <w:r w:rsidRPr="00876672">
        <w:rPr>
          <w:rFonts w:cs="Times New Roman"/>
        </w:rPr>
        <w:t>was not particularly emphatic or very convincing.</w:t>
      </w:r>
      <w:r w:rsidR="006D07F9">
        <w:rPr>
          <w:rFonts w:cs="Times New Roman"/>
        </w:rPr>
        <w:t>”</w:t>
      </w:r>
      <w:r w:rsidRPr="00876672">
        <w:rPr>
          <w:rStyle w:val="FootnoteReference"/>
          <w:rFonts w:cs="Times New Roman"/>
        </w:rPr>
        <w:footnoteReference w:id="98"/>
      </w:r>
      <w:r w:rsidRPr="00876672">
        <w:rPr>
          <w:rFonts w:cs="Times New Roman"/>
        </w:rPr>
        <w:t xml:space="preserve"> Following the hot-tubbing session, the experts were </w:t>
      </w:r>
      <w:r w:rsidR="006D07F9">
        <w:rPr>
          <w:rFonts w:cs="Times New Roman"/>
        </w:rPr>
        <w:t>“</w:t>
      </w:r>
      <w:r w:rsidRPr="00876672">
        <w:rPr>
          <w:rFonts w:cs="Times New Roman"/>
        </w:rPr>
        <w:t>cross-examined separately on more overall matters</w:t>
      </w:r>
      <w:r w:rsidR="006D07F9">
        <w:rPr>
          <w:rFonts w:cs="Times New Roman"/>
        </w:rPr>
        <w:t>”</w:t>
      </w:r>
      <w:r w:rsidRPr="00876672">
        <w:rPr>
          <w:rFonts w:cs="Times New Roman"/>
        </w:rPr>
        <w:t xml:space="preserve">, and it was the contrasting responses of two of the architects – one </w:t>
      </w:r>
      <w:r w:rsidR="006D07F9">
        <w:rPr>
          <w:rFonts w:cs="Times New Roman"/>
        </w:rPr>
        <w:t>“</w:t>
      </w:r>
      <w:r w:rsidRPr="00876672">
        <w:rPr>
          <w:rFonts w:cs="Times New Roman"/>
        </w:rPr>
        <w:t>opportunistic</w:t>
      </w:r>
      <w:r w:rsidR="006D07F9">
        <w:rPr>
          <w:rFonts w:cs="Times New Roman"/>
        </w:rPr>
        <w:t>”</w:t>
      </w:r>
      <w:r w:rsidRPr="00876672">
        <w:rPr>
          <w:rFonts w:cs="Times New Roman"/>
        </w:rPr>
        <w:t xml:space="preserve">, the other </w:t>
      </w:r>
      <w:r w:rsidR="006D07F9">
        <w:rPr>
          <w:rFonts w:cs="Times New Roman"/>
        </w:rPr>
        <w:t>“</w:t>
      </w:r>
      <w:r w:rsidRPr="00876672">
        <w:rPr>
          <w:rFonts w:cs="Times New Roman"/>
        </w:rPr>
        <w:t>wholly open</w:t>
      </w:r>
      <w:r w:rsidR="006D07F9">
        <w:rPr>
          <w:rFonts w:cs="Times New Roman"/>
        </w:rPr>
        <w:t>”</w:t>
      </w:r>
      <w:r w:rsidRPr="00876672">
        <w:rPr>
          <w:rFonts w:cs="Times New Roman"/>
        </w:rPr>
        <w:t xml:space="preserve"> – that gave the judge a reason for preferring the latter’s evidence to the former.</w:t>
      </w:r>
      <w:r w:rsidRPr="00876672">
        <w:rPr>
          <w:rStyle w:val="FootnoteReference"/>
          <w:rFonts w:cs="Times New Roman"/>
        </w:rPr>
        <w:footnoteReference w:id="99"/>
      </w:r>
      <w:r w:rsidRPr="00876672">
        <w:rPr>
          <w:rFonts w:cs="Times New Roman"/>
        </w:rPr>
        <w:t xml:space="preserve"> There are </w:t>
      </w:r>
      <w:r w:rsidR="00565766">
        <w:rPr>
          <w:rFonts w:cs="Times New Roman"/>
        </w:rPr>
        <w:t xml:space="preserve">very limited </w:t>
      </w:r>
      <w:r w:rsidRPr="00876672">
        <w:rPr>
          <w:rFonts w:cs="Times New Roman"/>
        </w:rPr>
        <w:t xml:space="preserve">references to the way any of the expert witnesses responded to questions in the </w:t>
      </w:r>
      <w:r w:rsidR="006D07F9">
        <w:rPr>
          <w:rFonts w:cs="Times New Roman"/>
        </w:rPr>
        <w:t>“</w:t>
      </w:r>
      <w:r w:rsidRPr="00876672">
        <w:rPr>
          <w:rFonts w:cs="Times New Roman"/>
        </w:rPr>
        <w:t>hot tub</w:t>
      </w:r>
      <w:r w:rsidR="006D07F9">
        <w:rPr>
          <w:rFonts w:cs="Times New Roman"/>
        </w:rPr>
        <w:t>”</w:t>
      </w:r>
      <w:r w:rsidRPr="00876672">
        <w:rPr>
          <w:rFonts w:cs="Times New Roman"/>
        </w:rPr>
        <w:t>.</w:t>
      </w:r>
      <w:r w:rsidR="00D26EAE">
        <w:rPr>
          <w:rFonts w:cs="Times New Roman"/>
        </w:rPr>
        <w:t xml:space="preserve"> </w:t>
      </w:r>
    </w:p>
    <w:p w14:paraId="30AF8207" w14:textId="77777777" w:rsidR="00EE5A6F" w:rsidRDefault="00EE5A6F" w:rsidP="003D0BBA">
      <w:pPr>
        <w:tabs>
          <w:tab w:val="left" w:pos="284"/>
        </w:tabs>
        <w:ind w:right="-248"/>
        <w:rPr>
          <w:rFonts w:cs="Times New Roman"/>
        </w:rPr>
      </w:pPr>
    </w:p>
    <w:p w14:paraId="7C4CB80E" w14:textId="77777777" w:rsidR="00BC22D3" w:rsidRPr="002E294F" w:rsidRDefault="00987FD8" w:rsidP="003D0BBA">
      <w:pPr>
        <w:tabs>
          <w:tab w:val="left" w:pos="284"/>
        </w:tabs>
        <w:ind w:right="-248"/>
        <w:rPr>
          <w:rFonts w:cs="Times New Roman"/>
          <w:b/>
          <w:lang w:val="en-GB"/>
        </w:rPr>
      </w:pPr>
      <w:r w:rsidRPr="002E294F">
        <w:rPr>
          <w:rFonts w:cs="Times New Roman"/>
          <w:b/>
          <w:lang w:val="en-GB"/>
        </w:rPr>
        <w:t>P</w:t>
      </w:r>
      <w:r w:rsidR="00A35F88" w:rsidRPr="002E294F">
        <w:rPr>
          <w:rFonts w:cs="Times New Roman"/>
          <w:b/>
          <w:lang w:val="en-GB"/>
        </w:rPr>
        <w:t>art</w:t>
      </w:r>
      <w:r w:rsidRPr="002E294F">
        <w:rPr>
          <w:rFonts w:cs="Times New Roman"/>
          <w:b/>
          <w:lang w:val="en-GB"/>
        </w:rPr>
        <w:t xml:space="preserve"> 3: </w:t>
      </w:r>
      <w:r w:rsidR="00BC22D3" w:rsidRPr="002E294F">
        <w:rPr>
          <w:rFonts w:cs="Times New Roman"/>
          <w:b/>
          <w:lang w:val="en-GB"/>
        </w:rPr>
        <w:t>Discussion</w:t>
      </w:r>
      <w:r w:rsidRPr="002E294F">
        <w:rPr>
          <w:rFonts w:cs="Times New Roman"/>
          <w:b/>
          <w:lang w:val="en-GB"/>
        </w:rPr>
        <w:t xml:space="preserve"> </w:t>
      </w:r>
    </w:p>
    <w:p w14:paraId="263DEBE5" w14:textId="77777777" w:rsidR="00C361B8" w:rsidRPr="00876672" w:rsidRDefault="006E2A1A" w:rsidP="003D0BBA">
      <w:pPr>
        <w:tabs>
          <w:tab w:val="left" w:pos="284"/>
        </w:tabs>
        <w:ind w:right="-248"/>
        <w:rPr>
          <w:rFonts w:cs="Times New Roman"/>
          <w:lang w:val="en-GB"/>
        </w:rPr>
      </w:pPr>
      <w:r>
        <w:rPr>
          <w:rFonts w:cs="Times New Roman"/>
          <w:lang w:val="en-GB"/>
        </w:rPr>
        <w:t>Having reviewed both the CJC R</w:t>
      </w:r>
      <w:r w:rsidR="00612303" w:rsidRPr="00876672">
        <w:rPr>
          <w:rFonts w:cs="Times New Roman"/>
          <w:lang w:val="en-GB"/>
        </w:rPr>
        <w:t xml:space="preserve">eport and the recent reported cases, at this juncture we endeavour to offer some </w:t>
      </w:r>
      <w:r w:rsidR="00A009F6" w:rsidRPr="00876672">
        <w:rPr>
          <w:rFonts w:cs="Times New Roman"/>
          <w:lang w:val="en-GB"/>
        </w:rPr>
        <w:t xml:space="preserve">additional </w:t>
      </w:r>
      <w:r w:rsidR="00612303" w:rsidRPr="00876672">
        <w:rPr>
          <w:rFonts w:cs="Times New Roman"/>
          <w:lang w:val="en-GB"/>
        </w:rPr>
        <w:t xml:space="preserve">constructive </w:t>
      </w:r>
      <w:r w:rsidR="00A009F6" w:rsidRPr="00876672">
        <w:rPr>
          <w:rFonts w:cs="Times New Roman"/>
          <w:lang w:val="en-GB"/>
        </w:rPr>
        <w:t>engagement with</w:t>
      </w:r>
      <w:r w:rsidR="00D562AA" w:rsidRPr="00876672">
        <w:rPr>
          <w:rFonts w:cs="Times New Roman"/>
          <w:lang w:val="en-GB"/>
        </w:rPr>
        <w:t xml:space="preserve"> the analysis, recommendations and the ability of concurrent evidence to address expert disagreement and partisanship.</w:t>
      </w:r>
      <w:r w:rsidR="00612303" w:rsidRPr="00876672">
        <w:rPr>
          <w:rFonts w:cs="Times New Roman"/>
          <w:lang w:val="en-GB"/>
        </w:rPr>
        <w:t xml:space="preserve"> </w:t>
      </w:r>
      <w:r w:rsidR="0018515F">
        <w:rPr>
          <w:rFonts w:cs="Times New Roman"/>
          <w:lang w:val="en-GB"/>
        </w:rPr>
        <w:t>We are also interested in wider system implications relating to participation, procedural fairness and the changing role of the common law judge.</w:t>
      </w:r>
    </w:p>
    <w:p w14:paraId="308F7EF1" w14:textId="77777777" w:rsidR="00317468" w:rsidRDefault="00317468" w:rsidP="003D0BBA">
      <w:pPr>
        <w:tabs>
          <w:tab w:val="left" w:pos="284"/>
        </w:tabs>
        <w:ind w:right="-248"/>
        <w:rPr>
          <w:rFonts w:cs="Times New Roman"/>
          <w:lang w:val="en-GB"/>
        </w:rPr>
      </w:pPr>
    </w:p>
    <w:p w14:paraId="0C05B9B9" w14:textId="77777777" w:rsidR="00317468" w:rsidRPr="00317468" w:rsidRDefault="00317468" w:rsidP="003D0BBA">
      <w:pPr>
        <w:tabs>
          <w:tab w:val="left" w:pos="284"/>
        </w:tabs>
        <w:ind w:right="-248"/>
        <w:rPr>
          <w:rFonts w:cs="Times New Roman"/>
          <w:b/>
          <w:i/>
          <w:lang w:val="en-GB"/>
        </w:rPr>
      </w:pPr>
      <w:r w:rsidRPr="00317468">
        <w:rPr>
          <w:rFonts w:cs="Times New Roman"/>
          <w:b/>
          <w:i/>
          <w:lang w:val="en-GB"/>
        </w:rPr>
        <w:t xml:space="preserve">The value and suitability of particular </w:t>
      </w:r>
      <w:r w:rsidR="00265D81">
        <w:rPr>
          <w:rFonts w:cs="Times New Roman"/>
          <w:b/>
          <w:i/>
          <w:lang w:val="en-GB"/>
        </w:rPr>
        <w:t>procedures</w:t>
      </w:r>
      <w:r w:rsidRPr="00317468">
        <w:rPr>
          <w:rFonts w:cs="Times New Roman"/>
          <w:b/>
          <w:i/>
          <w:lang w:val="en-GB"/>
        </w:rPr>
        <w:t xml:space="preserve"> to particular disputes</w:t>
      </w:r>
    </w:p>
    <w:p w14:paraId="294ACFC0" w14:textId="196EB2EE" w:rsidR="000F7B5A" w:rsidRPr="00876672" w:rsidRDefault="00FA671A" w:rsidP="003D0BBA">
      <w:pPr>
        <w:tabs>
          <w:tab w:val="left" w:pos="284"/>
        </w:tabs>
        <w:ind w:right="-248"/>
        <w:rPr>
          <w:rFonts w:cs="Times New Roman"/>
          <w:lang w:val="en-GB"/>
        </w:rPr>
      </w:pPr>
      <w:r>
        <w:rPr>
          <w:rFonts w:cs="Times New Roman"/>
          <w:lang w:val="en-GB"/>
        </w:rPr>
        <w:t>Reading the reported cases</w:t>
      </w:r>
      <w:r w:rsidR="00234771" w:rsidRPr="00876672">
        <w:rPr>
          <w:rFonts w:cs="Times New Roman"/>
          <w:lang w:val="en-GB"/>
        </w:rPr>
        <w:t xml:space="preserve"> we are struck repeatedly by </w:t>
      </w:r>
      <w:r w:rsidR="00A009F6" w:rsidRPr="00876672">
        <w:rPr>
          <w:rFonts w:cs="Times New Roman"/>
          <w:lang w:val="en-GB"/>
        </w:rPr>
        <w:t>the idiosyncratic use of concurrent evidence procedures. D</w:t>
      </w:r>
      <w:r w:rsidR="00234771" w:rsidRPr="00876672">
        <w:rPr>
          <w:rFonts w:cs="Times New Roman"/>
          <w:lang w:val="en-GB"/>
        </w:rPr>
        <w:t xml:space="preserve">ifferent procedures are used, not just for different cases, but for different experts in the same case, </w:t>
      </w:r>
      <w:r w:rsidR="006D07F9">
        <w:rPr>
          <w:rFonts w:cs="Times New Roman"/>
          <w:lang w:val="en-GB"/>
        </w:rPr>
        <w:t>usually</w:t>
      </w:r>
      <w:r w:rsidR="006D07F9" w:rsidRPr="00876672">
        <w:rPr>
          <w:rFonts w:cs="Times New Roman"/>
          <w:lang w:val="en-GB"/>
        </w:rPr>
        <w:t xml:space="preserve"> </w:t>
      </w:r>
      <w:r w:rsidR="00234771" w:rsidRPr="00876672">
        <w:rPr>
          <w:rFonts w:cs="Times New Roman"/>
          <w:lang w:val="en-GB"/>
        </w:rPr>
        <w:t>without clear explanation of why the</w:t>
      </w:r>
      <w:r w:rsidR="00000AA6" w:rsidRPr="00876672">
        <w:rPr>
          <w:rFonts w:cs="Times New Roman"/>
          <w:lang w:val="en-GB"/>
        </w:rPr>
        <w:t xml:space="preserve"> specific</w:t>
      </w:r>
      <w:r w:rsidR="00234771" w:rsidRPr="00876672">
        <w:rPr>
          <w:rFonts w:cs="Times New Roman"/>
          <w:lang w:val="en-GB"/>
        </w:rPr>
        <w:t xml:space="preserve"> procedures were </w:t>
      </w:r>
      <w:r w:rsidR="00000AA6" w:rsidRPr="00876672">
        <w:rPr>
          <w:rFonts w:cs="Times New Roman"/>
          <w:lang w:val="en-GB"/>
        </w:rPr>
        <w:t>selected</w:t>
      </w:r>
      <w:r w:rsidR="00234771" w:rsidRPr="00876672">
        <w:rPr>
          <w:rFonts w:cs="Times New Roman"/>
          <w:lang w:val="en-GB"/>
        </w:rPr>
        <w:t>.</w:t>
      </w:r>
      <w:r w:rsidR="006D07F9" w:rsidRPr="006D07F9">
        <w:rPr>
          <w:rStyle w:val="FootnoteReference"/>
          <w:rFonts w:cs="Times New Roman"/>
          <w:lang w:val="en-GB"/>
        </w:rPr>
        <w:t xml:space="preserve"> </w:t>
      </w:r>
      <w:r w:rsidR="006D07F9">
        <w:rPr>
          <w:rStyle w:val="FootnoteReference"/>
          <w:rFonts w:cs="Times New Roman"/>
          <w:lang w:val="en-GB"/>
        </w:rPr>
        <w:footnoteReference w:id="100"/>
      </w:r>
      <w:r w:rsidR="006D07F9">
        <w:rPr>
          <w:rFonts w:cs="Times New Roman"/>
          <w:lang w:val="en-GB"/>
        </w:rPr>
        <w:t xml:space="preserve"> </w:t>
      </w:r>
      <w:r w:rsidR="00234771" w:rsidRPr="00876672">
        <w:rPr>
          <w:rFonts w:cs="Times New Roman"/>
          <w:lang w:val="en-GB"/>
        </w:rPr>
        <w:t xml:space="preserve"> For example, why </w:t>
      </w:r>
      <w:r w:rsidR="000E572F">
        <w:rPr>
          <w:rFonts w:cs="Times New Roman"/>
          <w:lang w:val="en-GB"/>
        </w:rPr>
        <w:t>“</w:t>
      </w:r>
      <w:r w:rsidR="00234771" w:rsidRPr="00876672">
        <w:rPr>
          <w:rFonts w:cs="Times New Roman"/>
          <w:lang w:val="en-GB"/>
        </w:rPr>
        <w:t>hot tub</w:t>
      </w:r>
      <w:r w:rsidR="000E572F">
        <w:rPr>
          <w:rFonts w:cs="Times New Roman"/>
          <w:lang w:val="en-GB"/>
        </w:rPr>
        <w:t>”</w:t>
      </w:r>
      <w:r w:rsidR="00234771" w:rsidRPr="00876672">
        <w:rPr>
          <w:rFonts w:cs="Times New Roman"/>
          <w:lang w:val="en-GB"/>
        </w:rPr>
        <w:t xml:space="preserve"> the architects and engineers in </w:t>
      </w:r>
      <w:r w:rsidR="00234771" w:rsidRPr="00876672">
        <w:rPr>
          <w:rFonts w:cs="Times New Roman"/>
          <w:i/>
          <w:lang w:val="en-GB"/>
        </w:rPr>
        <w:t>Hunt v Optima,</w:t>
      </w:r>
      <w:r w:rsidR="00866E5A" w:rsidRPr="00876672">
        <w:rPr>
          <w:rStyle w:val="FootnoteReference"/>
          <w:rFonts w:cs="Times New Roman"/>
          <w:lang w:val="en-GB"/>
        </w:rPr>
        <w:footnoteReference w:id="101"/>
      </w:r>
      <w:r w:rsidR="00234771" w:rsidRPr="00876672">
        <w:rPr>
          <w:rFonts w:cs="Times New Roman"/>
          <w:i/>
          <w:lang w:val="en-GB"/>
        </w:rPr>
        <w:t xml:space="preserve"> </w:t>
      </w:r>
      <w:r w:rsidR="00234771" w:rsidRPr="00876672">
        <w:rPr>
          <w:rFonts w:cs="Times New Roman"/>
          <w:lang w:val="en-GB"/>
        </w:rPr>
        <w:t xml:space="preserve">but not the quantity surveyors? In </w:t>
      </w:r>
      <w:r w:rsidR="00234771" w:rsidRPr="00876672">
        <w:rPr>
          <w:rFonts w:cs="Times New Roman"/>
          <w:i/>
          <w:lang w:val="en-GB"/>
        </w:rPr>
        <w:t>Melhuish and Saunders v Hurden</w:t>
      </w:r>
      <w:r w:rsidR="00866E5A" w:rsidRPr="00876672">
        <w:rPr>
          <w:rStyle w:val="FootnoteReference"/>
          <w:rFonts w:cs="Times New Roman"/>
          <w:lang w:val="en-GB"/>
        </w:rPr>
        <w:footnoteReference w:id="102"/>
      </w:r>
      <w:r w:rsidR="00234771" w:rsidRPr="00876672">
        <w:rPr>
          <w:rFonts w:cs="Times New Roman"/>
          <w:lang w:val="en-GB"/>
        </w:rPr>
        <w:t xml:space="preserve"> (another TCC case about defective premises), why was concurrent evidence </w:t>
      </w:r>
      <w:r w:rsidR="00BF605E" w:rsidRPr="00876672">
        <w:rPr>
          <w:rFonts w:cs="Times New Roman"/>
          <w:lang w:val="en-GB"/>
        </w:rPr>
        <w:t xml:space="preserve">seemingly </w:t>
      </w:r>
      <w:r w:rsidR="00234771" w:rsidRPr="00876672">
        <w:rPr>
          <w:rFonts w:cs="Times New Roman"/>
          <w:lang w:val="en-GB"/>
        </w:rPr>
        <w:t>used for just one issue about the cost of cleaning?</w:t>
      </w:r>
      <w:r w:rsidR="00D26EAE">
        <w:rPr>
          <w:rFonts w:cs="Times New Roman"/>
          <w:lang w:val="en-GB"/>
        </w:rPr>
        <w:t xml:space="preserve"> </w:t>
      </w:r>
      <w:r w:rsidR="00BE45F4" w:rsidRPr="00876672">
        <w:rPr>
          <w:rFonts w:cs="Times New Roman"/>
          <w:lang w:val="en-GB"/>
        </w:rPr>
        <w:t xml:space="preserve">Are such choices a matter of unfettered judicial discretion, or is it possible to identify some principles </w:t>
      </w:r>
      <w:r w:rsidR="00CA59CF" w:rsidRPr="00876672">
        <w:rPr>
          <w:rFonts w:cs="Times New Roman"/>
          <w:lang w:val="en-GB"/>
        </w:rPr>
        <w:t xml:space="preserve">or empirical evidence </w:t>
      </w:r>
      <w:r w:rsidR="00BE45F4" w:rsidRPr="00876672">
        <w:rPr>
          <w:rFonts w:cs="Times New Roman"/>
          <w:lang w:val="en-GB"/>
        </w:rPr>
        <w:t>that ought to</w:t>
      </w:r>
      <w:r w:rsidR="00CA59CF" w:rsidRPr="00876672">
        <w:rPr>
          <w:rFonts w:cs="Times New Roman"/>
          <w:lang w:val="en-GB"/>
        </w:rPr>
        <w:t xml:space="preserve"> guide or</w:t>
      </w:r>
      <w:r w:rsidR="00BE45F4" w:rsidRPr="00876672">
        <w:rPr>
          <w:rFonts w:cs="Times New Roman"/>
          <w:lang w:val="en-GB"/>
        </w:rPr>
        <w:t xml:space="preserve"> constrain them?</w:t>
      </w:r>
      <w:r w:rsidR="000F7B5A" w:rsidRPr="00876672">
        <w:rPr>
          <w:rFonts w:cs="Times New Roman"/>
          <w:lang w:val="en-GB"/>
        </w:rPr>
        <w:t xml:space="preserve"> Civil procedures should be </w:t>
      </w:r>
      <w:r>
        <w:rPr>
          <w:rFonts w:cs="Times New Roman"/>
          <w:lang w:val="en-GB"/>
        </w:rPr>
        <w:t>predictable and not based on the idiosyncratic beliefs</w:t>
      </w:r>
      <w:r w:rsidR="000F7B5A" w:rsidRPr="00876672">
        <w:rPr>
          <w:rFonts w:cs="Times New Roman"/>
          <w:lang w:val="en-GB"/>
        </w:rPr>
        <w:t xml:space="preserve"> and experiences of individual judges.</w:t>
      </w:r>
    </w:p>
    <w:p w14:paraId="3610B49E" w14:textId="4557A944" w:rsidR="00F52488" w:rsidRPr="00876672" w:rsidRDefault="00195F19" w:rsidP="003D0BBA">
      <w:pPr>
        <w:tabs>
          <w:tab w:val="left" w:pos="284"/>
        </w:tabs>
        <w:ind w:right="-248"/>
        <w:rPr>
          <w:rFonts w:cs="Times New Roman"/>
          <w:lang w:val="en-GB"/>
        </w:rPr>
      </w:pPr>
      <w:r w:rsidRPr="00876672">
        <w:rPr>
          <w:rFonts w:cs="Times New Roman"/>
          <w:lang w:val="en-GB"/>
        </w:rPr>
        <w:tab/>
      </w:r>
      <w:r w:rsidR="00D11EF7" w:rsidRPr="00876672">
        <w:rPr>
          <w:rFonts w:cs="Times New Roman"/>
          <w:lang w:val="en-GB"/>
        </w:rPr>
        <w:t>O</w:t>
      </w:r>
      <w:r w:rsidR="00BC22D3" w:rsidRPr="00876672">
        <w:rPr>
          <w:rFonts w:cs="Times New Roman"/>
          <w:lang w:val="en-GB"/>
        </w:rPr>
        <w:t xml:space="preserve">ne of the issues here is that </w:t>
      </w:r>
      <w:r w:rsidR="00583F17" w:rsidRPr="00876672">
        <w:rPr>
          <w:rFonts w:cs="Times New Roman"/>
          <w:lang w:val="en-GB"/>
        </w:rPr>
        <w:t>specific forms</w:t>
      </w:r>
      <w:r w:rsidR="00C0229E">
        <w:rPr>
          <w:rFonts w:cs="Times New Roman"/>
          <w:lang w:val="en-GB"/>
        </w:rPr>
        <w:t xml:space="preserve"> of procedure</w:t>
      </w:r>
      <w:r w:rsidR="00583F17" w:rsidRPr="00876672">
        <w:rPr>
          <w:rFonts w:cs="Times New Roman"/>
          <w:lang w:val="en-GB"/>
        </w:rPr>
        <w:t xml:space="preserve"> </w:t>
      </w:r>
      <w:r w:rsidR="00BC22D3" w:rsidRPr="00876672">
        <w:rPr>
          <w:rFonts w:cs="Times New Roman"/>
          <w:i/>
          <w:lang w:val="en-GB"/>
        </w:rPr>
        <w:t>may</w:t>
      </w:r>
      <w:r w:rsidR="00BC22D3" w:rsidRPr="00876672">
        <w:rPr>
          <w:rFonts w:cs="Times New Roman"/>
          <w:lang w:val="en-GB"/>
        </w:rPr>
        <w:t xml:space="preserve"> advantage </w:t>
      </w:r>
      <w:r w:rsidR="00583F17" w:rsidRPr="00876672">
        <w:rPr>
          <w:rFonts w:cs="Times New Roman"/>
          <w:lang w:val="en-GB"/>
        </w:rPr>
        <w:t xml:space="preserve">particular witnesses or </w:t>
      </w:r>
      <w:r w:rsidR="00BC22D3" w:rsidRPr="00876672">
        <w:rPr>
          <w:rFonts w:cs="Times New Roman"/>
          <w:lang w:val="en-GB"/>
        </w:rPr>
        <w:t>parties</w:t>
      </w:r>
      <w:r w:rsidR="00C0229E">
        <w:rPr>
          <w:rFonts w:cs="Times New Roman"/>
          <w:lang w:val="en-GB"/>
        </w:rPr>
        <w:t>; particularly those with</w:t>
      </w:r>
      <w:r w:rsidR="00BC22D3" w:rsidRPr="00876672">
        <w:rPr>
          <w:rFonts w:cs="Times New Roman"/>
          <w:lang w:val="en-GB"/>
        </w:rPr>
        <w:t xml:space="preserve"> </w:t>
      </w:r>
      <w:r w:rsidR="00C0229E">
        <w:rPr>
          <w:rFonts w:cs="Times New Roman"/>
          <w:lang w:val="en-GB"/>
        </w:rPr>
        <w:t>sufficient</w:t>
      </w:r>
      <w:r w:rsidR="00BC22D3" w:rsidRPr="00876672">
        <w:rPr>
          <w:rFonts w:cs="Times New Roman"/>
          <w:lang w:val="en-GB"/>
        </w:rPr>
        <w:t xml:space="preserve"> resources or experience</w:t>
      </w:r>
      <w:r w:rsidR="00C0229E">
        <w:rPr>
          <w:rFonts w:cs="Times New Roman"/>
          <w:lang w:val="en-GB"/>
        </w:rPr>
        <w:t xml:space="preserve"> </w:t>
      </w:r>
      <w:r w:rsidR="00E22B34">
        <w:rPr>
          <w:rFonts w:cs="Times New Roman"/>
          <w:lang w:val="en-GB"/>
        </w:rPr>
        <w:t xml:space="preserve">to </w:t>
      </w:r>
      <w:r w:rsidR="00C0229E">
        <w:rPr>
          <w:rFonts w:cs="Times New Roman"/>
          <w:lang w:val="en-GB"/>
        </w:rPr>
        <w:t>enabl</w:t>
      </w:r>
      <w:r w:rsidR="00E22B34">
        <w:rPr>
          <w:rFonts w:cs="Times New Roman"/>
          <w:lang w:val="en-GB"/>
        </w:rPr>
        <w:t>e</w:t>
      </w:r>
      <w:r w:rsidR="005C3D2A" w:rsidRPr="00876672">
        <w:rPr>
          <w:rFonts w:cs="Times New Roman"/>
          <w:lang w:val="en-GB"/>
        </w:rPr>
        <w:t xml:space="preserve"> </w:t>
      </w:r>
      <w:r w:rsidR="005C3D2A" w:rsidRPr="00876672">
        <w:rPr>
          <w:rFonts w:cs="Times New Roman"/>
          <w:lang w:val="en-GB"/>
        </w:rPr>
        <w:lastRenderedPageBreak/>
        <w:t xml:space="preserve">them to instruct the most effective </w:t>
      </w:r>
      <w:r w:rsidR="000E572F">
        <w:rPr>
          <w:rFonts w:cs="Times New Roman"/>
          <w:lang w:val="en-GB"/>
        </w:rPr>
        <w:t>“</w:t>
      </w:r>
      <w:r w:rsidR="005C3D2A" w:rsidRPr="00876672">
        <w:rPr>
          <w:rFonts w:cs="Times New Roman"/>
          <w:lang w:val="en-GB"/>
        </w:rPr>
        <w:t>hot-tubbers</w:t>
      </w:r>
      <w:r w:rsidR="000E572F">
        <w:rPr>
          <w:rFonts w:cs="Times New Roman"/>
          <w:lang w:val="en-GB"/>
        </w:rPr>
        <w:t>”</w:t>
      </w:r>
      <w:r w:rsidR="005C3D2A" w:rsidRPr="00876672">
        <w:rPr>
          <w:rFonts w:cs="Times New Roman"/>
          <w:lang w:val="en-GB"/>
        </w:rPr>
        <w:t xml:space="preserve">. </w:t>
      </w:r>
      <w:r w:rsidR="00D11EF7" w:rsidRPr="00876672">
        <w:rPr>
          <w:rFonts w:cs="Times New Roman"/>
          <w:lang w:val="en-GB"/>
        </w:rPr>
        <w:t>This brings us back to the concerns identified by Genn about the potential influence of presentational factors</w:t>
      </w:r>
      <w:r w:rsidR="0038609A" w:rsidRPr="00876672">
        <w:rPr>
          <w:rFonts w:cs="Times New Roman"/>
          <w:lang w:val="en-GB"/>
        </w:rPr>
        <w:t xml:space="preserve"> </w:t>
      </w:r>
      <w:r w:rsidR="00D11EF7" w:rsidRPr="00876672">
        <w:rPr>
          <w:rFonts w:cs="Times New Roman"/>
          <w:lang w:val="en-GB"/>
        </w:rPr>
        <w:t>and about whether experts will be as effectively challenged in judge-led sessions as in traditional adversarial proceedings, particularly where judges may not be as motivated or as skilled as those who pioneered the procedure.</w:t>
      </w:r>
      <w:r w:rsidR="00D11EF7" w:rsidRPr="00876672">
        <w:rPr>
          <w:rStyle w:val="FootnoteReference"/>
          <w:rFonts w:cs="Times New Roman"/>
          <w:lang w:val="en-GB"/>
        </w:rPr>
        <w:footnoteReference w:id="103"/>
      </w:r>
      <w:r w:rsidR="00D11EF7" w:rsidRPr="00876672">
        <w:rPr>
          <w:rFonts w:cs="Times New Roman"/>
          <w:lang w:val="en-GB"/>
        </w:rPr>
        <w:t xml:space="preserve"> </w:t>
      </w:r>
      <w:r w:rsidR="00BC22D3" w:rsidRPr="00876672">
        <w:rPr>
          <w:rFonts w:cs="Times New Roman"/>
          <w:lang w:val="en-GB"/>
        </w:rPr>
        <w:t xml:space="preserve">We are not in a position to assess </w:t>
      </w:r>
      <w:r w:rsidR="00D11EF7" w:rsidRPr="00876672">
        <w:rPr>
          <w:rFonts w:cs="Times New Roman"/>
          <w:lang w:val="en-GB"/>
        </w:rPr>
        <w:t xml:space="preserve">these matters systematically, </w:t>
      </w:r>
      <w:r w:rsidR="00BC22D3" w:rsidRPr="00876672">
        <w:rPr>
          <w:rFonts w:cs="Times New Roman"/>
          <w:lang w:val="en-GB"/>
        </w:rPr>
        <w:t>but neither are the judges</w:t>
      </w:r>
      <w:r w:rsidR="00BE4317" w:rsidRPr="00876672">
        <w:rPr>
          <w:rFonts w:cs="Times New Roman"/>
          <w:lang w:val="en-GB"/>
        </w:rPr>
        <w:t xml:space="preserve"> or the CJC</w:t>
      </w:r>
      <w:r w:rsidR="00BC22D3" w:rsidRPr="00876672">
        <w:rPr>
          <w:rFonts w:cs="Times New Roman"/>
          <w:lang w:val="en-GB"/>
        </w:rPr>
        <w:t>.</w:t>
      </w:r>
      <w:r w:rsidR="00BE4317" w:rsidRPr="00876672">
        <w:rPr>
          <w:rStyle w:val="FootnoteReference"/>
          <w:rFonts w:cs="Times New Roman"/>
          <w:lang w:val="en-GB"/>
        </w:rPr>
        <w:footnoteReference w:id="104"/>
      </w:r>
      <w:r w:rsidR="00BC22D3" w:rsidRPr="00876672">
        <w:rPr>
          <w:rFonts w:cs="Times New Roman"/>
          <w:lang w:val="en-GB"/>
        </w:rPr>
        <w:t xml:space="preserve"> </w:t>
      </w:r>
      <w:r w:rsidR="003F18BA" w:rsidRPr="00876672">
        <w:rPr>
          <w:rFonts w:cs="Times New Roman"/>
          <w:lang w:val="en-GB"/>
        </w:rPr>
        <w:t xml:space="preserve">Indeed HHJ Waksman, as experienced a judge as any in this field, told the CJC there was </w:t>
      </w:r>
      <w:r w:rsidR="000E572F">
        <w:rPr>
          <w:rFonts w:cs="Times New Roman"/>
          <w:lang w:val="en-GB"/>
        </w:rPr>
        <w:t>“</w:t>
      </w:r>
      <w:r w:rsidR="003F18BA" w:rsidRPr="00876672">
        <w:rPr>
          <w:rFonts w:cs="Times New Roman"/>
          <w:iCs/>
          <w:color w:val="000000"/>
        </w:rPr>
        <w:t>not enough judicial experience yet to take a view</w:t>
      </w:r>
      <w:r w:rsidR="000E572F">
        <w:rPr>
          <w:rFonts w:cs="Times New Roman"/>
          <w:i/>
          <w:iCs/>
          <w:color w:val="000000"/>
        </w:rPr>
        <w:t>”</w:t>
      </w:r>
      <w:r w:rsidR="003F18BA" w:rsidRPr="00876672">
        <w:rPr>
          <w:rFonts w:cs="Times New Roman"/>
          <w:i/>
          <w:iCs/>
          <w:color w:val="000000"/>
        </w:rPr>
        <w:t xml:space="preserve"> </w:t>
      </w:r>
      <w:r w:rsidR="003F18BA" w:rsidRPr="00876672">
        <w:rPr>
          <w:rFonts w:cs="Times New Roman"/>
          <w:iCs/>
          <w:color w:val="000000"/>
        </w:rPr>
        <w:t xml:space="preserve">on when hot-tubbing </w:t>
      </w:r>
      <w:r w:rsidR="00F23C64">
        <w:rPr>
          <w:rFonts w:cs="Times New Roman"/>
          <w:iCs/>
          <w:color w:val="000000"/>
        </w:rPr>
        <w:t>might work best and with which kinds of evidence</w:t>
      </w:r>
      <w:r w:rsidR="003F18BA" w:rsidRPr="00876672">
        <w:rPr>
          <w:rFonts w:cs="Times New Roman"/>
          <w:iCs/>
          <w:color w:val="000000"/>
        </w:rPr>
        <w:t>.</w:t>
      </w:r>
      <w:r w:rsidR="003F18BA" w:rsidRPr="00876672">
        <w:rPr>
          <w:rStyle w:val="FootnoteReference"/>
          <w:rFonts w:cs="Times New Roman"/>
          <w:iCs/>
          <w:color w:val="000000"/>
        </w:rPr>
        <w:footnoteReference w:id="105"/>
      </w:r>
    </w:p>
    <w:p w14:paraId="39EDF042" w14:textId="45BDB8DC" w:rsidR="00BE1742" w:rsidRPr="00876672" w:rsidRDefault="00FC44C2" w:rsidP="003D0BBA">
      <w:pPr>
        <w:tabs>
          <w:tab w:val="left" w:pos="284"/>
        </w:tabs>
        <w:ind w:right="-248"/>
        <w:rPr>
          <w:rFonts w:cs="Times New Roman"/>
          <w:lang w:val="en-GB"/>
        </w:rPr>
      </w:pPr>
      <w:r w:rsidRPr="00876672">
        <w:rPr>
          <w:rFonts w:cs="Times New Roman"/>
          <w:lang w:val="en-GB"/>
        </w:rPr>
        <w:tab/>
      </w:r>
      <w:r w:rsidR="00BE1742" w:rsidRPr="00876672">
        <w:rPr>
          <w:rFonts w:cs="Times New Roman"/>
          <w:lang w:val="en-GB"/>
        </w:rPr>
        <w:t xml:space="preserve">In a section entitled </w:t>
      </w:r>
      <w:r w:rsidR="000E572F">
        <w:rPr>
          <w:rFonts w:cs="Times New Roman"/>
          <w:lang w:val="en-GB"/>
        </w:rPr>
        <w:t>“</w:t>
      </w:r>
      <w:r w:rsidR="00BE1742" w:rsidRPr="00876672">
        <w:rPr>
          <w:rFonts w:cs="Times New Roman"/>
          <w:lang w:val="en-GB"/>
        </w:rPr>
        <w:t>When hot-t</w:t>
      </w:r>
      <w:r w:rsidR="006E2A1A">
        <w:rPr>
          <w:rFonts w:cs="Times New Roman"/>
          <w:lang w:val="en-GB"/>
        </w:rPr>
        <w:t>ubbing is appropriate</w:t>
      </w:r>
      <w:r w:rsidR="000E572F">
        <w:rPr>
          <w:rFonts w:cs="Times New Roman"/>
          <w:lang w:val="en-GB"/>
        </w:rPr>
        <w:t>”</w:t>
      </w:r>
      <w:r w:rsidR="006E2A1A">
        <w:rPr>
          <w:rFonts w:cs="Times New Roman"/>
          <w:lang w:val="en-GB"/>
        </w:rPr>
        <w:t xml:space="preserve"> the CJC R</w:t>
      </w:r>
      <w:r w:rsidR="00BE1742" w:rsidRPr="00876672">
        <w:rPr>
          <w:rFonts w:cs="Times New Roman"/>
          <w:lang w:val="en-GB"/>
        </w:rPr>
        <w:t>eport endeavours to address the question of when to use hot-tubbing.</w:t>
      </w:r>
      <w:r w:rsidR="00BE1742" w:rsidRPr="00876672">
        <w:rPr>
          <w:rStyle w:val="FootnoteReference"/>
          <w:rFonts w:cs="Times New Roman"/>
          <w:lang w:val="en-GB"/>
        </w:rPr>
        <w:footnoteReference w:id="106"/>
      </w:r>
      <w:r w:rsidR="00BE1742" w:rsidRPr="00876672">
        <w:rPr>
          <w:rFonts w:cs="Times New Roman"/>
          <w:lang w:val="en-GB"/>
        </w:rPr>
        <w:t xml:space="preserve"> Here the </w:t>
      </w:r>
      <w:r w:rsidR="00C45390" w:rsidRPr="00876672">
        <w:rPr>
          <w:rFonts w:cs="Times New Roman"/>
          <w:lang w:val="en-GB"/>
        </w:rPr>
        <w:t xml:space="preserve">foundations are, again, </w:t>
      </w:r>
      <w:r w:rsidR="00BE1742" w:rsidRPr="00876672">
        <w:rPr>
          <w:rFonts w:cs="Times New Roman"/>
          <w:lang w:val="en-GB"/>
        </w:rPr>
        <w:t xml:space="preserve">impressionistic. One </w:t>
      </w:r>
      <w:r w:rsidR="003F18BA" w:rsidRPr="00876672">
        <w:rPr>
          <w:rFonts w:cs="Times New Roman"/>
          <w:lang w:val="en-GB"/>
        </w:rPr>
        <w:t xml:space="preserve">judicial </w:t>
      </w:r>
      <w:r w:rsidR="00BE1742" w:rsidRPr="00876672">
        <w:rPr>
          <w:rFonts w:cs="Times New Roman"/>
          <w:lang w:val="en-GB"/>
        </w:rPr>
        <w:t xml:space="preserve">respondent suggested that it </w:t>
      </w:r>
      <w:r w:rsidR="000E572F">
        <w:rPr>
          <w:rFonts w:cs="Times New Roman"/>
          <w:lang w:val="en-GB"/>
        </w:rPr>
        <w:t>“</w:t>
      </w:r>
      <w:r w:rsidR="00BE1742" w:rsidRPr="00876672">
        <w:rPr>
          <w:rFonts w:cs="Times New Roman"/>
          <w:lang w:val="en-GB"/>
        </w:rPr>
        <w:t>would be very dangerous</w:t>
      </w:r>
      <w:r w:rsidR="000E572F">
        <w:rPr>
          <w:rFonts w:cs="Times New Roman"/>
          <w:lang w:val="en-GB"/>
        </w:rPr>
        <w:t>”</w:t>
      </w:r>
      <w:r w:rsidR="00BE1742" w:rsidRPr="00876672">
        <w:rPr>
          <w:rFonts w:cs="Times New Roman"/>
          <w:lang w:val="en-GB"/>
        </w:rPr>
        <w:t xml:space="preserve"> to use hot-tubbing with </w:t>
      </w:r>
      <w:r w:rsidR="000E572F">
        <w:rPr>
          <w:rFonts w:cs="Times New Roman"/>
          <w:lang w:val="en-GB"/>
        </w:rPr>
        <w:t>“</w:t>
      </w:r>
      <w:r w:rsidR="00BE1742" w:rsidRPr="00876672">
        <w:rPr>
          <w:rFonts w:cs="Times New Roman"/>
          <w:lang w:val="en-GB"/>
        </w:rPr>
        <w:t>cutting edge scientific engineering or medical issues</w:t>
      </w:r>
      <w:r w:rsidR="000E572F">
        <w:rPr>
          <w:rFonts w:cs="Times New Roman"/>
          <w:lang w:val="en-GB"/>
        </w:rPr>
        <w:t>”</w:t>
      </w:r>
      <w:r w:rsidR="00BE1742" w:rsidRPr="00876672">
        <w:rPr>
          <w:rFonts w:cs="Times New Roman"/>
          <w:lang w:val="en-GB"/>
        </w:rPr>
        <w:t>.</w:t>
      </w:r>
      <w:r w:rsidR="00BE1742" w:rsidRPr="00876672">
        <w:rPr>
          <w:rStyle w:val="FootnoteReference"/>
          <w:rFonts w:cs="Times New Roman"/>
          <w:lang w:val="en-GB"/>
        </w:rPr>
        <w:footnoteReference w:id="107"/>
      </w:r>
      <w:r w:rsidR="00BE1742" w:rsidRPr="00876672">
        <w:rPr>
          <w:rFonts w:cs="Times New Roman"/>
          <w:lang w:val="en-GB"/>
        </w:rPr>
        <w:t xml:space="preserve"> This view was counterposed </w:t>
      </w:r>
      <w:r w:rsidR="004F3F92" w:rsidRPr="00876672">
        <w:rPr>
          <w:rFonts w:cs="Times New Roman"/>
          <w:lang w:val="en-GB"/>
        </w:rPr>
        <w:t>to HHJ Grant’s view, as the judicial member of the working group</w:t>
      </w:r>
      <w:r w:rsidR="00FF427B" w:rsidRPr="00876672">
        <w:rPr>
          <w:rFonts w:cs="Times New Roman"/>
          <w:lang w:val="en-GB"/>
        </w:rPr>
        <w:t xml:space="preserve"> (and a TCC judge)</w:t>
      </w:r>
      <w:r w:rsidR="004F3F92" w:rsidRPr="00876672">
        <w:rPr>
          <w:rFonts w:cs="Times New Roman"/>
          <w:lang w:val="en-GB"/>
        </w:rPr>
        <w:t xml:space="preserve">, that hot-tubbing was suitable for cases of </w:t>
      </w:r>
      <w:r w:rsidR="000E572F">
        <w:rPr>
          <w:rFonts w:cs="Times New Roman"/>
          <w:lang w:val="en-GB"/>
        </w:rPr>
        <w:t>“</w:t>
      </w:r>
      <w:r w:rsidR="00BE1742" w:rsidRPr="00876672">
        <w:rPr>
          <w:rFonts w:cs="Times New Roman"/>
          <w:lang w:val="en-GB"/>
        </w:rPr>
        <w:t>serious technical complexity</w:t>
      </w:r>
      <w:r w:rsidR="000E572F">
        <w:rPr>
          <w:rFonts w:cs="Times New Roman"/>
          <w:lang w:val="en-GB"/>
        </w:rPr>
        <w:t>”</w:t>
      </w:r>
      <w:r w:rsidR="00BE1742" w:rsidRPr="00876672">
        <w:rPr>
          <w:rFonts w:cs="Times New Roman"/>
          <w:lang w:val="en-GB"/>
        </w:rPr>
        <w:t xml:space="preserve">. </w:t>
      </w:r>
      <w:r w:rsidR="000C27BA" w:rsidRPr="00876672">
        <w:rPr>
          <w:rFonts w:cs="Times New Roman"/>
          <w:lang w:val="en-GB"/>
        </w:rPr>
        <w:t>The reasoning behind the</w:t>
      </w:r>
      <w:r w:rsidR="00AA56DD" w:rsidRPr="00876672">
        <w:rPr>
          <w:rFonts w:cs="Times New Roman"/>
          <w:lang w:val="en-GB"/>
        </w:rPr>
        <w:t xml:space="preserve"> former</w:t>
      </w:r>
      <w:r w:rsidR="000C27BA" w:rsidRPr="00876672">
        <w:rPr>
          <w:rFonts w:cs="Times New Roman"/>
          <w:lang w:val="en-GB"/>
        </w:rPr>
        <w:t xml:space="preserve"> </w:t>
      </w:r>
      <w:r w:rsidR="00AA56DD" w:rsidRPr="00876672">
        <w:rPr>
          <w:rFonts w:cs="Times New Roman"/>
          <w:lang w:val="en-GB"/>
        </w:rPr>
        <w:t>comment</w:t>
      </w:r>
      <w:r w:rsidR="000C27BA" w:rsidRPr="00876672">
        <w:rPr>
          <w:rFonts w:cs="Times New Roman"/>
          <w:lang w:val="en-GB"/>
        </w:rPr>
        <w:t xml:space="preserve"> is not explained, but it seems likely that the judge had in mind</w:t>
      </w:r>
      <w:r w:rsidR="004F3F92" w:rsidRPr="00876672">
        <w:rPr>
          <w:rFonts w:cs="Times New Roman"/>
          <w:lang w:val="en-GB"/>
        </w:rPr>
        <w:t xml:space="preserve"> the </w:t>
      </w:r>
      <w:r w:rsidR="00E649D6" w:rsidRPr="00876672">
        <w:rPr>
          <w:rFonts w:cs="Times New Roman"/>
          <w:lang w:val="en-GB"/>
        </w:rPr>
        <w:t>extent to which courts rely on advocates to assimilate</w:t>
      </w:r>
      <w:r w:rsidR="004F3F92" w:rsidRPr="00876672">
        <w:rPr>
          <w:rFonts w:cs="Times New Roman"/>
          <w:lang w:val="en-GB"/>
        </w:rPr>
        <w:t xml:space="preserve"> </w:t>
      </w:r>
      <w:r w:rsidR="000E572F">
        <w:rPr>
          <w:rFonts w:cs="Times New Roman"/>
          <w:lang w:val="en-GB"/>
        </w:rPr>
        <w:t>“</w:t>
      </w:r>
      <w:r w:rsidR="004F3F92" w:rsidRPr="00876672">
        <w:rPr>
          <w:rFonts w:cs="Times New Roman"/>
          <w:lang w:val="en-GB"/>
        </w:rPr>
        <w:t>cutting edge</w:t>
      </w:r>
      <w:r w:rsidR="000E572F">
        <w:rPr>
          <w:rFonts w:cs="Times New Roman"/>
          <w:lang w:val="en-GB"/>
        </w:rPr>
        <w:t>”</w:t>
      </w:r>
      <w:r w:rsidR="004F3F92" w:rsidRPr="00876672">
        <w:rPr>
          <w:rFonts w:cs="Times New Roman"/>
          <w:lang w:val="en-GB"/>
        </w:rPr>
        <w:t xml:space="preserve"> evidence and </w:t>
      </w:r>
      <w:r w:rsidR="000E572F">
        <w:rPr>
          <w:rFonts w:cs="Times New Roman"/>
          <w:lang w:val="en-GB"/>
        </w:rPr>
        <w:t>“</w:t>
      </w:r>
      <w:r w:rsidR="004F3F92" w:rsidRPr="00876672">
        <w:rPr>
          <w:rFonts w:cs="Times New Roman"/>
          <w:lang w:val="en-GB"/>
        </w:rPr>
        <w:t>translate</w:t>
      </w:r>
      <w:r w:rsidR="000E572F">
        <w:rPr>
          <w:rFonts w:cs="Times New Roman"/>
          <w:lang w:val="en-GB"/>
        </w:rPr>
        <w:t>”</w:t>
      </w:r>
      <w:r w:rsidR="004F3F92" w:rsidRPr="00876672">
        <w:rPr>
          <w:rFonts w:cs="Times New Roman"/>
          <w:lang w:val="en-GB"/>
        </w:rPr>
        <w:t xml:space="preserve"> </w:t>
      </w:r>
      <w:r w:rsidR="00E649D6" w:rsidRPr="00876672">
        <w:rPr>
          <w:rFonts w:cs="Times New Roman"/>
          <w:lang w:val="en-GB"/>
        </w:rPr>
        <w:t>it for the benefit of the judge</w:t>
      </w:r>
      <w:r w:rsidR="004F3F92" w:rsidRPr="00876672">
        <w:rPr>
          <w:rFonts w:cs="Times New Roman"/>
          <w:lang w:val="en-GB"/>
        </w:rPr>
        <w:t>. HHJ Grant</w:t>
      </w:r>
      <w:r w:rsidR="003F18BA" w:rsidRPr="00876672">
        <w:rPr>
          <w:rFonts w:cs="Times New Roman"/>
          <w:lang w:val="en-GB"/>
        </w:rPr>
        <w:t xml:space="preserve">, on the other hand, </w:t>
      </w:r>
      <w:r w:rsidR="00167316" w:rsidRPr="00876672">
        <w:rPr>
          <w:rFonts w:cs="Times New Roman"/>
          <w:lang w:val="en-GB"/>
        </w:rPr>
        <w:t xml:space="preserve">explained that </w:t>
      </w:r>
      <w:r w:rsidR="00E649D6" w:rsidRPr="00876672">
        <w:rPr>
          <w:rFonts w:cs="Times New Roman"/>
          <w:lang w:val="en-GB"/>
        </w:rPr>
        <w:t>hot-tubbed</w:t>
      </w:r>
      <w:r w:rsidR="003F18BA" w:rsidRPr="00876672">
        <w:rPr>
          <w:rFonts w:cs="Times New Roman"/>
          <w:lang w:val="en-GB"/>
        </w:rPr>
        <w:t xml:space="preserve"> experts </w:t>
      </w:r>
      <w:r w:rsidR="00167316" w:rsidRPr="00876672">
        <w:rPr>
          <w:rFonts w:cs="Times New Roman"/>
          <w:lang w:val="en-GB"/>
        </w:rPr>
        <w:t>could</w:t>
      </w:r>
      <w:r w:rsidR="003F18BA" w:rsidRPr="00876672">
        <w:rPr>
          <w:rFonts w:cs="Times New Roman"/>
          <w:lang w:val="en-GB"/>
        </w:rPr>
        <w:t xml:space="preserve"> educat</w:t>
      </w:r>
      <w:r w:rsidR="00E649D6" w:rsidRPr="00876672">
        <w:rPr>
          <w:rFonts w:cs="Times New Roman"/>
          <w:lang w:val="en-GB"/>
        </w:rPr>
        <w:t>e</w:t>
      </w:r>
      <w:r w:rsidR="003F18BA" w:rsidRPr="00876672">
        <w:rPr>
          <w:rFonts w:cs="Times New Roman"/>
          <w:lang w:val="en-GB"/>
        </w:rPr>
        <w:t xml:space="preserve"> the judge on certain matters before moving on to contentious issues. </w:t>
      </w:r>
      <w:r w:rsidR="00E649D6" w:rsidRPr="00876672">
        <w:rPr>
          <w:rFonts w:cs="Times New Roman"/>
          <w:lang w:val="en-GB"/>
        </w:rPr>
        <w:t xml:space="preserve">This again </w:t>
      </w:r>
      <w:r w:rsidR="00AA56DD" w:rsidRPr="00876672">
        <w:rPr>
          <w:rFonts w:cs="Times New Roman"/>
          <w:lang w:val="en-GB"/>
        </w:rPr>
        <w:t>highlights the</w:t>
      </w:r>
      <w:r w:rsidR="00E649D6" w:rsidRPr="00876672">
        <w:rPr>
          <w:rFonts w:cs="Times New Roman"/>
          <w:lang w:val="en-GB"/>
        </w:rPr>
        <w:t xml:space="preserve"> issues of preparation and different levels of judicial expertise.</w:t>
      </w:r>
    </w:p>
    <w:p w14:paraId="7826EC2A" w14:textId="558CDA92" w:rsidR="00DB4632" w:rsidRPr="00876672" w:rsidRDefault="006E2A1A" w:rsidP="003D0BBA">
      <w:pPr>
        <w:tabs>
          <w:tab w:val="left" w:pos="284"/>
        </w:tabs>
        <w:ind w:right="-248"/>
        <w:rPr>
          <w:rFonts w:cs="Times New Roman"/>
          <w:lang w:val="en-GB"/>
        </w:rPr>
      </w:pPr>
      <w:r>
        <w:rPr>
          <w:rFonts w:cs="Times New Roman"/>
          <w:lang w:val="en-GB"/>
        </w:rPr>
        <w:tab/>
        <w:t>The CJC R</w:t>
      </w:r>
      <w:r w:rsidR="00BE1742" w:rsidRPr="00876672">
        <w:rPr>
          <w:rFonts w:cs="Times New Roman"/>
          <w:lang w:val="en-GB"/>
        </w:rPr>
        <w:t xml:space="preserve">eport offers, in a draft Guidance Note, </w:t>
      </w:r>
      <w:r w:rsidR="000E572F">
        <w:rPr>
          <w:rFonts w:cs="Times New Roman"/>
          <w:lang w:val="en-GB"/>
        </w:rPr>
        <w:t>“</w:t>
      </w:r>
      <w:r w:rsidR="00BE1742" w:rsidRPr="00876672">
        <w:rPr>
          <w:rFonts w:cs="Times New Roman"/>
          <w:lang w:val="en-GB"/>
        </w:rPr>
        <w:t>Criteria which may indicate whether judge-led joint expert examination is appropriate</w:t>
      </w:r>
      <w:r w:rsidR="000E572F">
        <w:rPr>
          <w:rFonts w:cs="Times New Roman"/>
          <w:lang w:val="en-GB"/>
        </w:rPr>
        <w:t>”</w:t>
      </w:r>
      <w:r w:rsidR="00BE1742" w:rsidRPr="00876672">
        <w:rPr>
          <w:rFonts w:cs="Times New Roman"/>
          <w:lang w:val="en-GB"/>
        </w:rPr>
        <w:t xml:space="preserve">. These place </w:t>
      </w:r>
      <w:r w:rsidR="000E572F">
        <w:rPr>
          <w:rFonts w:cs="Times New Roman"/>
          <w:lang w:val="en-GB"/>
        </w:rPr>
        <w:t>“</w:t>
      </w:r>
      <w:r w:rsidR="00BE1742" w:rsidRPr="00876672">
        <w:rPr>
          <w:rFonts w:cs="Times New Roman"/>
          <w:lang w:val="en-GB"/>
        </w:rPr>
        <w:t>no restrictions on the type of case, or the nature of expert evidence</w:t>
      </w:r>
      <w:r w:rsidR="000E572F">
        <w:rPr>
          <w:rFonts w:cs="Times New Roman"/>
          <w:lang w:val="en-GB"/>
        </w:rPr>
        <w:t>”</w:t>
      </w:r>
      <w:r w:rsidR="00BE1742" w:rsidRPr="00876672">
        <w:rPr>
          <w:rFonts w:cs="Times New Roman"/>
          <w:lang w:val="en-GB"/>
        </w:rPr>
        <w:t xml:space="preserve">. </w:t>
      </w:r>
      <w:r w:rsidR="004776A3" w:rsidRPr="00876672">
        <w:rPr>
          <w:rFonts w:cs="Times New Roman"/>
          <w:lang w:val="en-GB"/>
        </w:rPr>
        <w:t>T</w:t>
      </w:r>
      <w:r w:rsidR="00BE1742" w:rsidRPr="00876672">
        <w:rPr>
          <w:rFonts w:cs="Times New Roman"/>
          <w:lang w:val="en-GB"/>
        </w:rPr>
        <w:t xml:space="preserve">he criteria are really </w:t>
      </w:r>
      <w:r w:rsidR="00FC44C2" w:rsidRPr="00876672">
        <w:rPr>
          <w:rFonts w:cs="Times New Roman"/>
          <w:lang w:val="en-GB"/>
        </w:rPr>
        <w:t>general</w:t>
      </w:r>
      <w:r w:rsidR="00BE1742" w:rsidRPr="00876672">
        <w:rPr>
          <w:rFonts w:cs="Times New Roman"/>
          <w:lang w:val="en-GB"/>
        </w:rPr>
        <w:t xml:space="preserve"> considerations, </w:t>
      </w:r>
      <w:r w:rsidR="004776A3" w:rsidRPr="00876672">
        <w:rPr>
          <w:rFonts w:cs="Times New Roman"/>
          <w:lang w:val="en-GB"/>
        </w:rPr>
        <w:t>which afford only limited guidance</w:t>
      </w:r>
      <w:r w:rsidR="00BE1742" w:rsidRPr="00876672">
        <w:rPr>
          <w:rFonts w:cs="Times New Roman"/>
          <w:lang w:val="en-GB"/>
        </w:rPr>
        <w:t xml:space="preserve">. They include: whether </w:t>
      </w:r>
      <w:r w:rsidR="000E572F">
        <w:rPr>
          <w:rFonts w:cs="Times New Roman"/>
          <w:lang w:val="en-GB"/>
        </w:rPr>
        <w:t>“</w:t>
      </w:r>
      <w:r w:rsidR="00BE1742" w:rsidRPr="00876672">
        <w:rPr>
          <w:rFonts w:cs="Times New Roman"/>
          <w:lang w:val="en-GB"/>
        </w:rPr>
        <w:t>the court considers that the judge’s understanding … will be assisted</w:t>
      </w:r>
      <w:r w:rsidR="000E572F">
        <w:rPr>
          <w:rFonts w:cs="Times New Roman"/>
          <w:lang w:val="en-GB"/>
        </w:rPr>
        <w:t>”</w:t>
      </w:r>
      <w:r w:rsidR="00BE1742" w:rsidRPr="00876672">
        <w:rPr>
          <w:rFonts w:cs="Times New Roman"/>
          <w:lang w:val="en-GB"/>
        </w:rPr>
        <w:t xml:space="preserve">, </w:t>
      </w:r>
      <w:r w:rsidR="000E572F">
        <w:rPr>
          <w:rFonts w:cs="Times New Roman"/>
          <w:lang w:val="en-GB"/>
        </w:rPr>
        <w:t>“</w:t>
      </w:r>
      <w:r w:rsidR="00BE1742" w:rsidRPr="00876672">
        <w:rPr>
          <w:rFonts w:cs="Times New Roman"/>
          <w:lang w:val="en-GB"/>
        </w:rPr>
        <w:t>whether or not the experts’ disagreement will likely be narrowed</w:t>
      </w:r>
      <w:r w:rsidR="000E572F">
        <w:rPr>
          <w:rFonts w:cs="Times New Roman"/>
          <w:lang w:val="en-GB"/>
        </w:rPr>
        <w:t>”</w:t>
      </w:r>
      <w:r w:rsidR="00BE1742" w:rsidRPr="00876672">
        <w:rPr>
          <w:rFonts w:cs="Times New Roman"/>
          <w:lang w:val="en-GB"/>
        </w:rPr>
        <w:t xml:space="preserve">, whether the complexity </w:t>
      </w:r>
      <w:r w:rsidR="000E572F">
        <w:rPr>
          <w:rFonts w:cs="Times New Roman"/>
          <w:lang w:val="en-GB"/>
        </w:rPr>
        <w:t>“</w:t>
      </w:r>
      <w:r w:rsidR="00BE1742" w:rsidRPr="00876672">
        <w:rPr>
          <w:rFonts w:cs="Times New Roman"/>
          <w:lang w:val="en-GB"/>
        </w:rPr>
        <w:t>warrants that the court should lead the examination</w:t>
      </w:r>
      <w:r w:rsidR="000E572F">
        <w:rPr>
          <w:rFonts w:cs="Times New Roman"/>
          <w:lang w:val="en-GB"/>
        </w:rPr>
        <w:t>”</w:t>
      </w:r>
      <w:r w:rsidR="00BE1742" w:rsidRPr="00876672">
        <w:rPr>
          <w:rFonts w:cs="Times New Roman"/>
          <w:lang w:val="en-GB"/>
        </w:rPr>
        <w:t>.</w:t>
      </w:r>
      <w:r w:rsidR="00BE1742" w:rsidRPr="00876672">
        <w:rPr>
          <w:rStyle w:val="FootnoteReference"/>
          <w:rFonts w:cs="Times New Roman"/>
          <w:lang w:val="en-GB"/>
        </w:rPr>
        <w:footnoteReference w:id="108"/>
      </w:r>
      <w:r w:rsidR="00BE1742" w:rsidRPr="00876672">
        <w:rPr>
          <w:rFonts w:cs="Times New Roman"/>
          <w:lang w:val="en-GB"/>
        </w:rPr>
        <w:t xml:space="preserve"> </w:t>
      </w:r>
      <w:r w:rsidR="00903B61" w:rsidRPr="00876672">
        <w:rPr>
          <w:rFonts w:cs="Times New Roman"/>
          <w:lang w:val="en-GB"/>
        </w:rPr>
        <w:t xml:space="preserve">Another set of factors relates to what the CJC calls the </w:t>
      </w:r>
      <w:r w:rsidR="000E572F">
        <w:rPr>
          <w:rFonts w:cs="Times New Roman"/>
          <w:lang w:val="en-GB"/>
        </w:rPr>
        <w:t>“</w:t>
      </w:r>
      <w:r w:rsidR="00903B61" w:rsidRPr="00876672">
        <w:rPr>
          <w:rFonts w:cs="Times New Roman"/>
          <w:lang w:val="en-GB"/>
        </w:rPr>
        <w:t>logistics</w:t>
      </w:r>
      <w:r w:rsidR="000E572F">
        <w:rPr>
          <w:rFonts w:cs="Times New Roman"/>
          <w:lang w:val="en-GB"/>
        </w:rPr>
        <w:t>”</w:t>
      </w:r>
      <w:r w:rsidR="00903B61" w:rsidRPr="00876672">
        <w:rPr>
          <w:rFonts w:cs="Times New Roman"/>
          <w:lang w:val="en-GB"/>
        </w:rPr>
        <w:t xml:space="preserve"> of concurrent evidence</w:t>
      </w:r>
      <w:r w:rsidR="00BE1742" w:rsidRPr="00876672">
        <w:rPr>
          <w:rFonts w:cs="Times New Roman"/>
          <w:lang w:val="en-GB"/>
        </w:rPr>
        <w:t>: whether the experts are from similar disciplines, the relative seniorit</w:t>
      </w:r>
      <w:r w:rsidR="00850D02" w:rsidRPr="00876672">
        <w:rPr>
          <w:rFonts w:cs="Times New Roman"/>
          <w:lang w:val="en-GB"/>
        </w:rPr>
        <w:t>y</w:t>
      </w:r>
      <w:r w:rsidR="00BE1742" w:rsidRPr="00876672">
        <w:rPr>
          <w:rFonts w:cs="Times New Roman"/>
          <w:lang w:val="en-GB"/>
        </w:rPr>
        <w:t xml:space="preserve"> </w:t>
      </w:r>
      <w:r w:rsidR="00850D02" w:rsidRPr="00876672">
        <w:rPr>
          <w:rFonts w:cs="Times New Roman"/>
          <w:lang w:val="en-GB"/>
        </w:rPr>
        <w:t xml:space="preserve">of </w:t>
      </w:r>
      <w:r w:rsidR="00BE1742" w:rsidRPr="00876672">
        <w:rPr>
          <w:rFonts w:cs="Times New Roman"/>
          <w:lang w:val="en-GB"/>
        </w:rPr>
        <w:t xml:space="preserve">the experts, any animosity </w:t>
      </w:r>
      <w:r w:rsidR="00850D02" w:rsidRPr="00876672">
        <w:rPr>
          <w:rFonts w:cs="Times New Roman"/>
          <w:lang w:val="en-GB"/>
        </w:rPr>
        <w:t xml:space="preserve">between </w:t>
      </w:r>
      <w:r w:rsidR="00BE1742" w:rsidRPr="00876672">
        <w:rPr>
          <w:rFonts w:cs="Times New Roman"/>
          <w:lang w:val="en-GB"/>
        </w:rPr>
        <w:t xml:space="preserve">the experts, the numbers of experts called by </w:t>
      </w:r>
      <w:r w:rsidR="00850D02" w:rsidRPr="00876672">
        <w:rPr>
          <w:rFonts w:cs="Times New Roman"/>
          <w:lang w:val="en-GB"/>
        </w:rPr>
        <w:t xml:space="preserve">respective </w:t>
      </w:r>
      <w:r w:rsidR="00BE1742" w:rsidRPr="00876672">
        <w:rPr>
          <w:rFonts w:cs="Times New Roman"/>
          <w:lang w:val="en-GB"/>
        </w:rPr>
        <w:t xml:space="preserve">parties, </w:t>
      </w:r>
      <w:r w:rsidR="00850D02" w:rsidRPr="00876672">
        <w:rPr>
          <w:rFonts w:cs="Times New Roman"/>
          <w:lang w:val="en-GB"/>
        </w:rPr>
        <w:t xml:space="preserve">and </w:t>
      </w:r>
      <w:r w:rsidR="00BE1742" w:rsidRPr="00876672">
        <w:rPr>
          <w:rFonts w:cs="Times New Roman"/>
          <w:lang w:val="en-GB"/>
        </w:rPr>
        <w:t>whether a party is a litigant-in-person.</w:t>
      </w:r>
      <w:r w:rsidR="00BE1742" w:rsidRPr="00876672">
        <w:rPr>
          <w:rStyle w:val="FootnoteReference"/>
          <w:rFonts w:cs="Times New Roman"/>
          <w:lang w:val="en-GB"/>
        </w:rPr>
        <w:footnoteReference w:id="109"/>
      </w:r>
      <w:r w:rsidR="00BE1742" w:rsidRPr="00876672">
        <w:rPr>
          <w:rFonts w:cs="Times New Roman"/>
          <w:lang w:val="en-GB"/>
        </w:rPr>
        <w:t xml:space="preserve"> </w:t>
      </w:r>
      <w:r w:rsidR="00BD3EBA" w:rsidRPr="00876672">
        <w:rPr>
          <w:rFonts w:cs="Times New Roman"/>
          <w:lang w:val="en-GB"/>
        </w:rPr>
        <w:t xml:space="preserve">These do not seem to be matters merely of logistics, but are at least partly questions of fairness (for example, one expert may be better able than another to handle a situation involving personal animosity, but this may bear no relation to the merits of their respective views). Again, simply advising judges to </w:t>
      </w:r>
      <w:r w:rsidR="000E572F">
        <w:rPr>
          <w:rFonts w:cs="Times New Roman"/>
          <w:lang w:val="en-GB"/>
        </w:rPr>
        <w:t>“</w:t>
      </w:r>
      <w:r w:rsidR="00BD3EBA" w:rsidRPr="00876672">
        <w:rPr>
          <w:rFonts w:cs="Times New Roman"/>
          <w:lang w:val="en-GB"/>
        </w:rPr>
        <w:t>have regard</w:t>
      </w:r>
      <w:r w:rsidR="000E572F">
        <w:rPr>
          <w:rFonts w:cs="Times New Roman"/>
          <w:lang w:val="en-GB"/>
        </w:rPr>
        <w:t>”</w:t>
      </w:r>
      <w:r w:rsidR="00BD3EBA" w:rsidRPr="00876672">
        <w:rPr>
          <w:rFonts w:cs="Times New Roman"/>
          <w:lang w:val="en-GB"/>
        </w:rPr>
        <w:t xml:space="preserve"> to these factors affords limited guidance. </w:t>
      </w:r>
    </w:p>
    <w:p w14:paraId="083EFF72" w14:textId="79686E93" w:rsidR="00BE1742" w:rsidRPr="00876672" w:rsidRDefault="00DB4632" w:rsidP="003D0BBA">
      <w:pPr>
        <w:tabs>
          <w:tab w:val="left" w:pos="284"/>
        </w:tabs>
        <w:ind w:right="-248"/>
        <w:rPr>
          <w:rFonts w:cs="Times New Roman"/>
          <w:lang w:val="en-GB"/>
        </w:rPr>
      </w:pPr>
      <w:r w:rsidRPr="00876672">
        <w:rPr>
          <w:rFonts w:cs="Times New Roman"/>
          <w:lang w:val="en-GB"/>
        </w:rPr>
        <w:tab/>
      </w:r>
      <w:r w:rsidR="00FF427B" w:rsidRPr="00876672">
        <w:rPr>
          <w:rFonts w:cs="Times New Roman"/>
          <w:lang w:val="en-GB"/>
        </w:rPr>
        <w:t>W</w:t>
      </w:r>
      <w:r w:rsidR="00BE1742" w:rsidRPr="00876672">
        <w:rPr>
          <w:rFonts w:cs="Times New Roman"/>
          <w:lang w:val="en-GB"/>
        </w:rPr>
        <w:t xml:space="preserve">here a </w:t>
      </w:r>
      <w:r w:rsidR="000E572F">
        <w:rPr>
          <w:rFonts w:cs="Times New Roman"/>
          <w:lang w:val="en-GB"/>
        </w:rPr>
        <w:t>“</w:t>
      </w:r>
      <w:r w:rsidR="00BE1742" w:rsidRPr="00876672">
        <w:rPr>
          <w:rFonts w:cs="Times New Roman"/>
          <w:lang w:val="en-GB"/>
        </w:rPr>
        <w:t>serious</w:t>
      </w:r>
      <w:r w:rsidR="000E572F">
        <w:rPr>
          <w:rFonts w:cs="Times New Roman"/>
          <w:lang w:val="en-GB"/>
        </w:rPr>
        <w:t>”</w:t>
      </w:r>
      <w:r w:rsidR="00BE1742" w:rsidRPr="00876672">
        <w:rPr>
          <w:rFonts w:cs="Times New Roman"/>
          <w:lang w:val="en-GB"/>
        </w:rPr>
        <w:t xml:space="preserve"> challenge to competence, independence or credibility is indicated</w:t>
      </w:r>
      <w:r w:rsidR="00B07DAF" w:rsidRPr="00876672">
        <w:rPr>
          <w:rFonts w:cs="Times New Roman"/>
          <w:lang w:val="en-GB"/>
        </w:rPr>
        <w:t>, the report suggests that</w:t>
      </w:r>
      <w:r w:rsidR="00BE1742" w:rsidRPr="00876672">
        <w:rPr>
          <w:rFonts w:cs="Times New Roman"/>
          <w:lang w:val="en-GB"/>
        </w:rPr>
        <w:t xml:space="preserve"> </w:t>
      </w:r>
      <w:r w:rsidR="000E572F">
        <w:rPr>
          <w:rFonts w:cs="Times New Roman"/>
          <w:lang w:val="en-GB"/>
        </w:rPr>
        <w:t>“</w:t>
      </w:r>
      <w:r w:rsidR="00BE1742" w:rsidRPr="00876672">
        <w:rPr>
          <w:rFonts w:cs="Times New Roman"/>
          <w:lang w:val="en-GB"/>
        </w:rPr>
        <w:t>it will generally not be appropriate for the court to give a direction for concurrent evidence</w:t>
      </w:r>
      <w:r w:rsidR="000E572F">
        <w:rPr>
          <w:rFonts w:cs="Times New Roman"/>
          <w:lang w:val="en-GB"/>
        </w:rPr>
        <w:t>”</w:t>
      </w:r>
      <w:r w:rsidR="00BE1742" w:rsidRPr="00876672">
        <w:rPr>
          <w:rFonts w:cs="Times New Roman"/>
          <w:lang w:val="en-GB"/>
        </w:rPr>
        <w:t>.</w:t>
      </w:r>
      <w:r w:rsidR="00BE1742" w:rsidRPr="00876672">
        <w:rPr>
          <w:rStyle w:val="FootnoteReference"/>
          <w:rFonts w:cs="Times New Roman"/>
          <w:lang w:val="en-GB"/>
        </w:rPr>
        <w:footnoteReference w:id="110"/>
      </w:r>
      <w:r w:rsidRPr="00876672">
        <w:rPr>
          <w:rFonts w:cs="Times New Roman"/>
          <w:lang w:val="en-GB"/>
        </w:rPr>
        <w:t xml:space="preserve"> </w:t>
      </w:r>
      <w:r w:rsidR="00FF427B" w:rsidRPr="00876672">
        <w:rPr>
          <w:rFonts w:cs="Times New Roman"/>
          <w:lang w:val="en-GB"/>
        </w:rPr>
        <w:t xml:space="preserve">Although it is not spelt out, the thinking behind this recommendation is presumably that lawyers are better equipped to carry out confrontational questioning than either a fellow expert or the judge, who might be perceived as inappropriately entering the fray. The </w:t>
      </w:r>
      <w:r w:rsidR="00E649D6" w:rsidRPr="00876672">
        <w:rPr>
          <w:rFonts w:cs="Times New Roman"/>
          <w:lang w:val="en-GB"/>
        </w:rPr>
        <w:t xml:space="preserve">CJC does not consider the benefits </w:t>
      </w:r>
      <w:r w:rsidR="00E649D6" w:rsidRPr="00876672">
        <w:rPr>
          <w:rFonts w:cs="Times New Roman"/>
          <w:lang w:val="en-GB"/>
        </w:rPr>
        <w:lastRenderedPageBreak/>
        <w:t>that might ensue from</w:t>
      </w:r>
      <w:r w:rsidR="00FF427B" w:rsidRPr="00876672">
        <w:rPr>
          <w:rFonts w:cs="Times New Roman"/>
          <w:lang w:val="en-GB"/>
        </w:rPr>
        <w:t xml:space="preserve"> </w:t>
      </w:r>
      <w:r w:rsidR="00E649D6" w:rsidRPr="00876672">
        <w:rPr>
          <w:rFonts w:cs="Times New Roman"/>
          <w:lang w:val="en-GB"/>
        </w:rPr>
        <w:t xml:space="preserve">having the </w:t>
      </w:r>
      <w:r w:rsidR="00FF427B" w:rsidRPr="00876672">
        <w:rPr>
          <w:rFonts w:cs="Times New Roman"/>
          <w:lang w:val="en-GB"/>
        </w:rPr>
        <w:t>expert’s</w:t>
      </w:r>
      <w:r w:rsidRPr="00876672">
        <w:rPr>
          <w:rFonts w:cs="Times New Roman"/>
          <w:lang w:val="en-GB"/>
        </w:rPr>
        <w:t xml:space="preserve"> peers</w:t>
      </w:r>
      <w:r w:rsidR="00E649D6" w:rsidRPr="00876672">
        <w:rPr>
          <w:rFonts w:cs="Times New Roman"/>
          <w:lang w:val="en-GB"/>
        </w:rPr>
        <w:t xml:space="preserve"> availa</w:t>
      </w:r>
      <w:r w:rsidRPr="00876672">
        <w:rPr>
          <w:rFonts w:cs="Times New Roman"/>
          <w:lang w:val="en-GB"/>
        </w:rPr>
        <w:t xml:space="preserve">ble to comment on censure, criticism, professional </w:t>
      </w:r>
      <w:r w:rsidR="00A513F4" w:rsidRPr="00876672">
        <w:rPr>
          <w:rFonts w:cs="Times New Roman"/>
          <w:lang w:val="en-GB"/>
        </w:rPr>
        <w:t>sanctions</w:t>
      </w:r>
      <w:r w:rsidRPr="00876672">
        <w:rPr>
          <w:rFonts w:cs="Times New Roman"/>
          <w:lang w:val="en-GB"/>
        </w:rPr>
        <w:t xml:space="preserve"> and so forth</w:t>
      </w:r>
      <w:r w:rsidR="00E649D6" w:rsidRPr="00876672">
        <w:rPr>
          <w:rFonts w:cs="Times New Roman"/>
          <w:lang w:val="en-GB"/>
        </w:rPr>
        <w:t>.</w:t>
      </w:r>
      <w:r w:rsidRPr="00876672">
        <w:rPr>
          <w:rFonts w:cs="Times New Roman"/>
          <w:lang w:val="en-GB"/>
        </w:rPr>
        <w:t xml:space="preserve"> </w:t>
      </w:r>
      <w:r w:rsidR="004776A3" w:rsidRPr="00876672">
        <w:rPr>
          <w:rFonts w:cs="Times New Roman"/>
          <w:lang w:val="en-GB"/>
        </w:rPr>
        <w:t>I</w:t>
      </w:r>
      <w:r w:rsidRPr="00876672">
        <w:rPr>
          <w:rFonts w:cs="Times New Roman"/>
          <w:lang w:val="en-GB"/>
        </w:rPr>
        <w:t>f</w:t>
      </w:r>
      <w:r w:rsidR="004776A3" w:rsidRPr="00876672">
        <w:rPr>
          <w:rFonts w:cs="Times New Roman"/>
          <w:lang w:val="en-GB"/>
        </w:rPr>
        <w:t>, for example,</w:t>
      </w:r>
      <w:r w:rsidRPr="00876672">
        <w:rPr>
          <w:rFonts w:cs="Times New Roman"/>
          <w:lang w:val="en-GB"/>
        </w:rPr>
        <w:t xml:space="preserve"> the </w:t>
      </w:r>
      <w:r w:rsidR="004776A3" w:rsidRPr="00876672">
        <w:rPr>
          <w:rFonts w:cs="Times New Roman"/>
          <w:lang w:val="en-GB"/>
        </w:rPr>
        <w:t xml:space="preserve">questions about a particular expert’s </w:t>
      </w:r>
      <w:r w:rsidRPr="00876672">
        <w:rPr>
          <w:rFonts w:cs="Times New Roman"/>
          <w:lang w:val="en-GB"/>
        </w:rPr>
        <w:t xml:space="preserve">credibility </w:t>
      </w:r>
      <w:r w:rsidR="004776A3" w:rsidRPr="00876672">
        <w:rPr>
          <w:rFonts w:cs="Times New Roman"/>
          <w:lang w:val="en-GB"/>
        </w:rPr>
        <w:t xml:space="preserve">were </w:t>
      </w:r>
      <w:r w:rsidRPr="00876672">
        <w:rPr>
          <w:rFonts w:cs="Times New Roman"/>
          <w:lang w:val="en-GB"/>
        </w:rPr>
        <w:t xml:space="preserve">based on earlier criticism by a trial or appellate </w:t>
      </w:r>
      <w:r w:rsidR="00A513F4" w:rsidRPr="00876672">
        <w:rPr>
          <w:rFonts w:cs="Times New Roman"/>
          <w:lang w:val="en-GB"/>
        </w:rPr>
        <w:t>court</w:t>
      </w:r>
      <w:r w:rsidR="004776A3" w:rsidRPr="00876672">
        <w:rPr>
          <w:rFonts w:cs="Times New Roman"/>
          <w:lang w:val="en-GB"/>
        </w:rPr>
        <w:t>, it would surely be worth knowing whether</w:t>
      </w:r>
      <w:r w:rsidRPr="00876672">
        <w:rPr>
          <w:rFonts w:cs="Times New Roman"/>
          <w:lang w:val="en-GB"/>
        </w:rPr>
        <w:t xml:space="preserve"> the other experts in the hot-tub disagreed with </w:t>
      </w:r>
      <w:r w:rsidR="00B94760" w:rsidRPr="00876672">
        <w:rPr>
          <w:rFonts w:cs="Times New Roman"/>
          <w:lang w:val="en-GB"/>
        </w:rPr>
        <w:t>that criticism</w:t>
      </w:r>
      <w:r w:rsidRPr="00876672">
        <w:rPr>
          <w:rFonts w:cs="Times New Roman"/>
          <w:lang w:val="en-GB"/>
        </w:rPr>
        <w:t>.</w:t>
      </w:r>
      <w:r w:rsidR="00A513F4" w:rsidRPr="00876672">
        <w:rPr>
          <w:rFonts w:cs="Times New Roman"/>
          <w:lang w:val="en-GB"/>
        </w:rPr>
        <w:t xml:space="preserve"> </w:t>
      </w:r>
      <w:r w:rsidR="004776A3" w:rsidRPr="00876672">
        <w:rPr>
          <w:rFonts w:cs="Times New Roman"/>
          <w:lang w:val="en-GB"/>
        </w:rPr>
        <w:t>Discussion of the issue among peers, though perhaps uncomfortable, might</w:t>
      </w:r>
      <w:r w:rsidR="00903B61" w:rsidRPr="00876672">
        <w:rPr>
          <w:rFonts w:cs="Times New Roman"/>
          <w:lang w:val="en-GB"/>
        </w:rPr>
        <w:t xml:space="preserve"> shed light on professional norms and expectations</w:t>
      </w:r>
      <w:r w:rsidR="004776A3" w:rsidRPr="00876672">
        <w:rPr>
          <w:rFonts w:cs="Times New Roman"/>
          <w:lang w:val="en-GB"/>
        </w:rPr>
        <w:t xml:space="preserve"> </w:t>
      </w:r>
      <w:r w:rsidR="00903B61" w:rsidRPr="00876672">
        <w:rPr>
          <w:rFonts w:cs="Times New Roman"/>
          <w:lang w:val="en-GB"/>
        </w:rPr>
        <w:t xml:space="preserve">and </w:t>
      </w:r>
      <w:r w:rsidR="004776A3" w:rsidRPr="00876672">
        <w:rPr>
          <w:rFonts w:cs="Times New Roman"/>
          <w:lang w:val="en-GB"/>
        </w:rPr>
        <w:t>yield a more nuanced view than a simple repetition of judicial animadversions.</w:t>
      </w:r>
      <w:r w:rsidRPr="00876672">
        <w:rPr>
          <w:rFonts w:cs="Times New Roman"/>
          <w:lang w:val="en-GB"/>
        </w:rPr>
        <w:t xml:space="preserve"> </w:t>
      </w:r>
    </w:p>
    <w:p w14:paraId="73DA7960" w14:textId="77777777" w:rsidR="00F45E55" w:rsidRPr="00876672" w:rsidRDefault="00BE1742" w:rsidP="003D0BBA">
      <w:pPr>
        <w:tabs>
          <w:tab w:val="left" w:pos="284"/>
        </w:tabs>
        <w:ind w:right="-248"/>
        <w:rPr>
          <w:rFonts w:cs="Times New Roman"/>
          <w:lang w:val="en-GB"/>
        </w:rPr>
      </w:pPr>
      <w:r w:rsidRPr="00876672">
        <w:rPr>
          <w:rFonts w:cs="Times New Roman"/>
          <w:lang w:val="en-GB"/>
        </w:rPr>
        <w:tab/>
      </w:r>
      <w:r w:rsidR="00FE0A26" w:rsidRPr="00876672">
        <w:rPr>
          <w:rFonts w:cs="Times New Roman"/>
          <w:lang w:val="en-GB"/>
        </w:rPr>
        <w:t>In its</w:t>
      </w:r>
      <w:r w:rsidR="00F45E55" w:rsidRPr="00876672">
        <w:rPr>
          <w:rFonts w:cs="Times New Roman"/>
          <w:lang w:val="en-GB"/>
        </w:rPr>
        <w:t xml:space="preserve"> </w:t>
      </w:r>
      <w:r w:rsidRPr="00876672">
        <w:rPr>
          <w:rFonts w:cs="Times New Roman"/>
          <w:lang w:val="en-GB"/>
        </w:rPr>
        <w:t xml:space="preserve">discussion of litigants-in-person </w:t>
      </w:r>
      <w:r w:rsidR="000D57DB">
        <w:rPr>
          <w:rFonts w:cs="Times New Roman"/>
          <w:lang w:val="en-GB"/>
        </w:rPr>
        <w:t>the CJC Report</w:t>
      </w:r>
      <w:r w:rsidR="00FE0A26" w:rsidRPr="00876672">
        <w:rPr>
          <w:rFonts w:cs="Times New Roman"/>
          <w:lang w:val="en-GB"/>
        </w:rPr>
        <w:t xml:space="preserve"> again has to rely on the very limited evidence of a few</w:t>
      </w:r>
      <w:r w:rsidR="00F45E55" w:rsidRPr="00876672">
        <w:rPr>
          <w:rFonts w:cs="Times New Roman"/>
          <w:lang w:val="en-GB"/>
        </w:rPr>
        <w:t xml:space="preserve"> brief comments by judges and experts.</w:t>
      </w:r>
      <w:r w:rsidR="00F45E55" w:rsidRPr="00876672">
        <w:rPr>
          <w:rStyle w:val="FootnoteReference"/>
          <w:rFonts w:cs="Times New Roman"/>
          <w:lang w:val="en-GB"/>
        </w:rPr>
        <w:footnoteReference w:id="111"/>
      </w:r>
      <w:r w:rsidR="00F45E55" w:rsidRPr="00876672">
        <w:rPr>
          <w:rFonts w:cs="Times New Roman"/>
          <w:lang w:val="en-GB"/>
        </w:rPr>
        <w:t xml:space="preserve"> A couple of these comments suggest that judge-led questioning of the experts may help to redress the inequality of arms that </w:t>
      </w:r>
      <w:r w:rsidR="00B668CD">
        <w:rPr>
          <w:rFonts w:cs="Times New Roman"/>
          <w:lang w:val="en-GB"/>
        </w:rPr>
        <w:t>ob</w:t>
      </w:r>
      <w:r w:rsidR="00AF7AF9">
        <w:rPr>
          <w:rFonts w:cs="Times New Roman"/>
          <w:lang w:val="en-GB"/>
        </w:rPr>
        <w:t>tains</w:t>
      </w:r>
      <w:r w:rsidR="00B668CD">
        <w:rPr>
          <w:rFonts w:cs="Times New Roman"/>
          <w:lang w:val="en-GB"/>
        </w:rPr>
        <w:t xml:space="preserve"> </w:t>
      </w:r>
      <w:r w:rsidR="00F45E55" w:rsidRPr="00876672">
        <w:rPr>
          <w:rFonts w:cs="Times New Roman"/>
          <w:lang w:val="en-GB"/>
        </w:rPr>
        <w:t>where only one side is legally represented.</w:t>
      </w:r>
      <w:r w:rsidR="00F45E55" w:rsidRPr="00876672">
        <w:rPr>
          <w:rStyle w:val="FootnoteReference"/>
          <w:rFonts w:cs="Times New Roman"/>
          <w:lang w:val="en-GB"/>
        </w:rPr>
        <w:footnoteReference w:id="112"/>
      </w:r>
      <w:r w:rsidR="00F45E55" w:rsidRPr="00876672">
        <w:rPr>
          <w:rFonts w:cs="Times New Roman"/>
          <w:lang w:val="en-GB"/>
        </w:rPr>
        <w:t xml:space="preserve"> </w:t>
      </w:r>
      <w:r w:rsidR="00FE0A26" w:rsidRPr="00876672">
        <w:rPr>
          <w:rFonts w:cs="Times New Roman"/>
          <w:lang w:val="en-GB"/>
        </w:rPr>
        <w:t>The idea that the legal system can cope with the growing lack of legal representation by expecting judges to play the role of both counsel as well as deciding impartially between them has been forcefully criticised by Zuckerman.</w:t>
      </w:r>
      <w:r w:rsidR="00FE0A26" w:rsidRPr="00876672">
        <w:rPr>
          <w:rStyle w:val="FootnoteReference"/>
          <w:rFonts w:cs="Times New Roman"/>
          <w:lang w:val="en-GB"/>
        </w:rPr>
        <w:footnoteReference w:id="113"/>
      </w:r>
      <w:r w:rsidR="00801DE1" w:rsidRPr="00876672">
        <w:rPr>
          <w:rFonts w:cs="Times New Roman"/>
          <w:lang w:val="en-GB"/>
        </w:rPr>
        <w:t xml:space="preserve"> Here again the</w:t>
      </w:r>
      <w:r w:rsidR="00AF1D57">
        <w:rPr>
          <w:rFonts w:cs="Times New Roman"/>
          <w:lang w:val="en-GB"/>
        </w:rPr>
        <w:t xml:space="preserve"> CJC’s</w:t>
      </w:r>
      <w:r w:rsidR="00801DE1" w:rsidRPr="00876672">
        <w:rPr>
          <w:rFonts w:cs="Times New Roman"/>
          <w:lang w:val="en-GB"/>
        </w:rPr>
        <w:t xml:space="preserve"> Guidance </w:t>
      </w:r>
      <w:r w:rsidR="00662A60" w:rsidRPr="00876672">
        <w:rPr>
          <w:rFonts w:cs="Times New Roman"/>
          <w:lang w:val="en-GB"/>
        </w:rPr>
        <w:t>Note –</w:t>
      </w:r>
      <w:r w:rsidR="00801DE1" w:rsidRPr="00876672">
        <w:rPr>
          <w:rFonts w:cs="Times New Roman"/>
          <w:lang w:val="en-GB"/>
        </w:rPr>
        <w:t xml:space="preserve"> understandably, given the lack of evidence – does no more than advise judges to take</w:t>
      </w:r>
      <w:r w:rsidR="00662A60" w:rsidRPr="00876672">
        <w:rPr>
          <w:rFonts w:cs="Times New Roman"/>
          <w:lang w:val="en-GB"/>
        </w:rPr>
        <w:t xml:space="preserve"> into consideration that one party is a litigant in person.</w:t>
      </w:r>
      <w:r w:rsidR="00662A60" w:rsidRPr="00876672">
        <w:rPr>
          <w:rStyle w:val="FootnoteReference"/>
          <w:rFonts w:cs="Times New Roman"/>
          <w:lang w:val="en-GB"/>
        </w:rPr>
        <w:footnoteReference w:id="114"/>
      </w:r>
    </w:p>
    <w:p w14:paraId="1F6F4439" w14:textId="032A1C2B" w:rsidR="00BE1742" w:rsidRPr="00876672" w:rsidRDefault="00662A60" w:rsidP="003D0BBA">
      <w:pPr>
        <w:tabs>
          <w:tab w:val="left" w:pos="284"/>
        </w:tabs>
        <w:ind w:right="-248"/>
        <w:rPr>
          <w:rFonts w:cs="Times New Roman"/>
          <w:lang w:val="en-GB"/>
        </w:rPr>
      </w:pPr>
      <w:r w:rsidRPr="00876672">
        <w:rPr>
          <w:rFonts w:cs="Times New Roman"/>
          <w:lang w:val="en-GB"/>
        </w:rPr>
        <w:tab/>
      </w:r>
      <w:r w:rsidR="002916CE" w:rsidRPr="00876672">
        <w:rPr>
          <w:rFonts w:cs="Times New Roman"/>
          <w:lang w:val="en-GB"/>
        </w:rPr>
        <w:t>T</w:t>
      </w:r>
      <w:r w:rsidR="00BE1742" w:rsidRPr="00876672">
        <w:rPr>
          <w:rFonts w:cs="Times New Roman"/>
          <w:lang w:val="en-GB"/>
        </w:rPr>
        <w:t>he Guidance Note lists a range of subject areas</w:t>
      </w:r>
      <w:r w:rsidR="00E22B34">
        <w:rPr>
          <w:rFonts w:cs="Times New Roman"/>
          <w:lang w:val="en-GB"/>
        </w:rPr>
        <w:t xml:space="preserve"> where</w:t>
      </w:r>
      <w:r w:rsidR="00BE1742" w:rsidRPr="00876672">
        <w:rPr>
          <w:rFonts w:cs="Times New Roman"/>
          <w:lang w:val="en-GB"/>
        </w:rPr>
        <w:t xml:space="preserve"> </w:t>
      </w:r>
      <w:r w:rsidR="00AF7AF9">
        <w:rPr>
          <w:rFonts w:cs="Times New Roman"/>
          <w:lang w:val="en-GB"/>
        </w:rPr>
        <w:t>JJEE</w:t>
      </w:r>
      <w:r w:rsidR="00B668CD">
        <w:rPr>
          <w:rFonts w:cs="Times New Roman"/>
          <w:lang w:val="en-GB"/>
        </w:rPr>
        <w:t xml:space="preserve"> </w:t>
      </w:r>
      <w:r w:rsidR="000E572F">
        <w:rPr>
          <w:rFonts w:cs="Times New Roman"/>
          <w:lang w:val="en-GB"/>
        </w:rPr>
        <w:t>“</w:t>
      </w:r>
      <w:r w:rsidR="00BE1742" w:rsidRPr="00876672">
        <w:rPr>
          <w:rFonts w:cs="Times New Roman"/>
          <w:lang w:val="en-GB"/>
        </w:rPr>
        <w:t>has been successfully employed</w:t>
      </w:r>
      <w:r w:rsidR="000E572F">
        <w:rPr>
          <w:rFonts w:cs="Times New Roman"/>
          <w:lang w:val="en-GB"/>
        </w:rPr>
        <w:t>”</w:t>
      </w:r>
      <w:r w:rsidR="00BE1742" w:rsidRPr="00876672">
        <w:rPr>
          <w:rFonts w:cs="Times New Roman"/>
          <w:lang w:val="en-GB"/>
        </w:rPr>
        <w:t>.</w:t>
      </w:r>
      <w:r w:rsidR="00245FD2">
        <w:rPr>
          <w:rFonts w:cs="Times New Roman"/>
          <w:lang w:val="en-GB"/>
        </w:rPr>
        <w:t xml:space="preserve"> </w:t>
      </w:r>
      <w:r w:rsidR="008B66B6">
        <w:rPr>
          <w:rFonts w:cs="Times New Roman"/>
          <w:lang w:val="en-GB"/>
        </w:rPr>
        <w:t>T</w:t>
      </w:r>
      <w:r w:rsidR="00AB6643">
        <w:rPr>
          <w:rFonts w:cs="Times New Roman"/>
          <w:lang w:val="en-GB"/>
        </w:rPr>
        <w:t>he Working Group’s researches</w:t>
      </w:r>
      <w:r w:rsidR="008B66B6">
        <w:rPr>
          <w:rFonts w:cs="Times New Roman"/>
          <w:lang w:val="en-GB"/>
        </w:rPr>
        <w:t>, however,</w:t>
      </w:r>
      <w:r w:rsidR="00AB6643">
        <w:rPr>
          <w:rFonts w:cs="Times New Roman"/>
          <w:lang w:val="en-GB"/>
        </w:rPr>
        <w:t xml:space="preserve"> yielded no consensus on what were suitable </w:t>
      </w:r>
      <w:r w:rsidR="008B66B6">
        <w:rPr>
          <w:rFonts w:cs="Times New Roman"/>
          <w:lang w:val="en-GB"/>
        </w:rPr>
        <w:t xml:space="preserve">cases, leading the CPRC </w:t>
      </w:r>
      <w:r w:rsidR="009C4B9E">
        <w:rPr>
          <w:rFonts w:cs="Times New Roman"/>
          <w:lang w:val="en-GB"/>
        </w:rPr>
        <w:t>Subcommittee</w:t>
      </w:r>
      <w:r w:rsidR="008B66B6">
        <w:rPr>
          <w:rFonts w:cs="Times New Roman"/>
          <w:lang w:val="en-GB"/>
        </w:rPr>
        <w:t xml:space="preserve"> to conclude that this </w:t>
      </w:r>
      <w:r w:rsidR="000E572F">
        <w:rPr>
          <w:rFonts w:cs="Times New Roman"/>
          <w:lang w:val="en-GB"/>
        </w:rPr>
        <w:t>“</w:t>
      </w:r>
      <w:r w:rsidR="008B66B6">
        <w:rPr>
          <w:rFonts w:cs="Times New Roman"/>
          <w:lang w:val="en-GB"/>
        </w:rPr>
        <w:t xml:space="preserve">must be left to case by case judicial </w:t>
      </w:r>
      <w:r w:rsidR="009C4B9E">
        <w:rPr>
          <w:rFonts w:cs="Times New Roman"/>
          <w:lang w:val="en-GB"/>
        </w:rPr>
        <w:t>determination</w:t>
      </w:r>
      <w:r w:rsidR="000E572F">
        <w:rPr>
          <w:rFonts w:cs="Times New Roman"/>
          <w:lang w:val="en-GB"/>
        </w:rPr>
        <w:t>”</w:t>
      </w:r>
      <w:r w:rsidR="008B66B6">
        <w:rPr>
          <w:rFonts w:cs="Times New Roman"/>
          <w:lang w:val="en-GB"/>
        </w:rPr>
        <w:t>.</w:t>
      </w:r>
      <w:r w:rsidR="008B66B6">
        <w:rPr>
          <w:rStyle w:val="FootnoteReference"/>
          <w:rFonts w:cs="Times New Roman"/>
          <w:lang w:val="en-GB"/>
        </w:rPr>
        <w:footnoteReference w:id="115"/>
      </w:r>
      <w:r w:rsidR="0038609A" w:rsidRPr="00876672">
        <w:rPr>
          <w:rFonts w:cs="Times New Roman"/>
          <w:lang w:val="en-GB"/>
        </w:rPr>
        <w:t xml:space="preserve"> </w:t>
      </w:r>
      <w:r w:rsidR="006B1D55" w:rsidRPr="00876672">
        <w:rPr>
          <w:rFonts w:cs="Times New Roman"/>
          <w:lang w:val="en-GB"/>
        </w:rPr>
        <w:t xml:space="preserve">More important than the </w:t>
      </w:r>
      <w:r w:rsidR="0038609A" w:rsidRPr="00876672">
        <w:rPr>
          <w:rFonts w:cs="Times New Roman"/>
          <w:lang w:val="en-GB"/>
        </w:rPr>
        <w:t>subject area</w:t>
      </w:r>
      <w:r w:rsidR="006B1D55" w:rsidRPr="00876672">
        <w:rPr>
          <w:rFonts w:cs="Times New Roman"/>
          <w:lang w:val="en-GB"/>
        </w:rPr>
        <w:t>, we suggest, is the type of the tribunal</w:t>
      </w:r>
      <w:r w:rsidR="0038609A" w:rsidRPr="00876672">
        <w:rPr>
          <w:rFonts w:cs="Times New Roman"/>
          <w:lang w:val="en-GB"/>
        </w:rPr>
        <w:t xml:space="preserve"> </w:t>
      </w:r>
      <w:r w:rsidR="00125EA7" w:rsidRPr="00876672">
        <w:rPr>
          <w:rFonts w:cs="Times New Roman"/>
          <w:lang w:val="en-GB"/>
        </w:rPr>
        <w:t>–</w:t>
      </w:r>
      <w:r w:rsidR="006B1D55" w:rsidRPr="00876672">
        <w:rPr>
          <w:rFonts w:cs="Times New Roman"/>
          <w:lang w:val="en-GB"/>
        </w:rPr>
        <w:t xml:space="preserve"> to what extent </w:t>
      </w:r>
      <w:r w:rsidR="0038609A" w:rsidRPr="00876672">
        <w:rPr>
          <w:rFonts w:cs="Times New Roman"/>
          <w:lang w:val="en-GB"/>
        </w:rPr>
        <w:t xml:space="preserve">the </w:t>
      </w:r>
      <w:r w:rsidR="00B07DAF" w:rsidRPr="00876672">
        <w:rPr>
          <w:rFonts w:cs="Times New Roman"/>
          <w:lang w:val="en-GB"/>
        </w:rPr>
        <w:t>j</w:t>
      </w:r>
      <w:r w:rsidR="0038609A" w:rsidRPr="00876672">
        <w:rPr>
          <w:rFonts w:cs="Times New Roman"/>
          <w:lang w:val="en-GB"/>
        </w:rPr>
        <w:t>udge is a</w:t>
      </w:r>
      <w:r w:rsidR="00B07DAF" w:rsidRPr="00876672">
        <w:rPr>
          <w:rFonts w:cs="Times New Roman"/>
          <w:lang w:val="en-GB"/>
        </w:rPr>
        <w:t xml:space="preserve"> participatory</w:t>
      </w:r>
      <w:r w:rsidR="0038609A" w:rsidRPr="00876672">
        <w:rPr>
          <w:rFonts w:cs="Times New Roman"/>
          <w:lang w:val="en-GB"/>
        </w:rPr>
        <w:t xml:space="preserve"> expert or the setting is more traditionally inquisitorial</w:t>
      </w:r>
      <w:r w:rsidR="00125EA7" w:rsidRPr="00876672">
        <w:rPr>
          <w:rFonts w:cs="Times New Roman"/>
          <w:lang w:val="en-GB"/>
        </w:rPr>
        <w:t xml:space="preserve"> – and the interests</w:t>
      </w:r>
      <w:r w:rsidR="00E17852">
        <w:rPr>
          <w:rFonts w:cs="Times New Roman"/>
          <w:lang w:val="en-GB"/>
        </w:rPr>
        <w:t>, abilities and inclinations</w:t>
      </w:r>
      <w:r w:rsidR="00125EA7" w:rsidRPr="00876672">
        <w:rPr>
          <w:rFonts w:cs="Times New Roman"/>
          <w:lang w:val="en-GB"/>
        </w:rPr>
        <w:t xml:space="preserve"> of the parties</w:t>
      </w:r>
      <w:r w:rsidR="0038609A" w:rsidRPr="00876672">
        <w:rPr>
          <w:rFonts w:cs="Times New Roman"/>
          <w:lang w:val="en-GB"/>
        </w:rPr>
        <w:t xml:space="preserve">.  </w:t>
      </w:r>
    </w:p>
    <w:p w14:paraId="0A990B5D" w14:textId="77777777" w:rsidR="0011469A" w:rsidRPr="00876672" w:rsidRDefault="0011469A" w:rsidP="003D0BBA">
      <w:pPr>
        <w:tabs>
          <w:tab w:val="left" w:pos="284"/>
        </w:tabs>
        <w:ind w:right="-248"/>
        <w:rPr>
          <w:rFonts w:cs="Times New Roman"/>
          <w:lang w:val="en-GB"/>
        </w:rPr>
      </w:pPr>
    </w:p>
    <w:p w14:paraId="2C559B4B" w14:textId="77777777" w:rsidR="003974DF" w:rsidRPr="00876672" w:rsidRDefault="003974DF" w:rsidP="003D0BBA">
      <w:pPr>
        <w:keepNext/>
        <w:tabs>
          <w:tab w:val="left" w:pos="284"/>
        </w:tabs>
        <w:ind w:right="-248"/>
        <w:rPr>
          <w:rFonts w:cs="Times New Roman"/>
          <w:b/>
          <w:i/>
          <w:lang w:val="en-GB"/>
        </w:rPr>
      </w:pPr>
      <w:r w:rsidRPr="00876672">
        <w:rPr>
          <w:rFonts w:cs="Times New Roman"/>
          <w:b/>
          <w:i/>
          <w:lang w:val="en-GB"/>
        </w:rPr>
        <w:t>Procedural fairness</w:t>
      </w:r>
    </w:p>
    <w:p w14:paraId="6B336209" w14:textId="3F7E3AE9" w:rsidR="00AD5B3D" w:rsidRPr="00876672" w:rsidRDefault="004625C0" w:rsidP="003D0BBA">
      <w:pPr>
        <w:tabs>
          <w:tab w:val="left" w:pos="284"/>
        </w:tabs>
        <w:ind w:right="-248"/>
        <w:rPr>
          <w:rFonts w:cs="Times New Roman"/>
          <w:lang w:val="en-GB"/>
        </w:rPr>
      </w:pPr>
      <w:r w:rsidRPr="00876672">
        <w:rPr>
          <w:rFonts w:cs="Times New Roman"/>
          <w:lang w:val="en-GB"/>
        </w:rPr>
        <w:t>Noting that</w:t>
      </w:r>
      <w:r w:rsidR="006069E9" w:rsidRPr="00876672">
        <w:rPr>
          <w:rFonts w:cs="Times New Roman"/>
          <w:lang w:val="en-GB"/>
        </w:rPr>
        <w:t xml:space="preserve"> some of the </w:t>
      </w:r>
      <w:r w:rsidRPr="00876672">
        <w:rPr>
          <w:rFonts w:cs="Times New Roman"/>
          <w:lang w:val="en-GB"/>
        </w:rPr>
        <w:t>respondents</w:t>
      </w:r>
      <w:r w:rsidR="006069E9" w:rsidRPr="00876672">
        <w:rPr>
          <w:rFonts w:cs="Times New Roman"/>
          <w:lang w:val="en-GB"/>
        </w:rPr>
        <w:t xml:space="preserve"> expressed concerns about </w:t>
      </w:r>
      <w:r w:rsidRPr="00876672">
        <w:rPr>
          <w:rFonts w:cs="Times New Roman"/>
          <w:lang w:val="en-GB"/>
        </w:rPr>
        <w:t xml:space="preserve">concurrent evidence restricting or inhibiting questioning witnesses, the CJC indicated that this might be </w:t>
      </w:r>
      <w:r w:rsidR="000E572F">
        <w:rPr>
          <w:rFonts w:cs="Times New Roman"/>
          <w:lang w:val="en-GB"/>
        </w:rPr>
        <w:t>“</w:t>
      </w:r>
      <w:r w:rsidRPr="00876672">
        <w:rPr>
          <w:rFonts w:cs="Times New Roman"/>
          <w:lang w:val="en-GB"/>
        </w:rPr>
        <w:t>one of the most important aspects of procedural fairness</w:t>
      </w:r>
      <w:r w:rsidR="000E572F">
        <w:rPr>
          <w:rFonts w:cs="Times New Roman"/>
          <w:lang w:val="en-GB"/>
        </w:rPr>
        <w:t>”</w:t>
      </w:r>
      <w:r w:rsidRPr="00876672">
        <w:rPr>
          <w:rFonts w:cs="Times New Roman"/>
          <w:lang w:val="en-GB"/>
        </w:rPr>
        <w:t>.</w:t>
      </w:r>
      <w:r w:rsidRPr="00876672">
        <w:rPr>
          <w:rStyle w:val="FootnoteReference"/>
          <w:rFonts w:cs="Times New Roman"/>
          <w:lang w:val="en-GB"/>
        </w:rPr>
        <w:footnoteReference w:id="116"/>
      </w:r>
      <w:r w:rsidRPr="00876672">
        <w:rPr>
          <w:rFonts w:cs="Times New Roman"/>
          <w:lang w:val="en-GB"/>
        </w:rPr>
        <w:t xml:space="preserve"> This is a </w:t>
      </w:r>
      <w:r w:rsidR="00AD5B3D" w:rsidRPr="00876672">
        <w:rPr>
          <w:rFonts w:cs="Times New Roman"/>
          <w:lang w:val="en-GB"/>
        </w:rPr>
        <w:t>serious</w:t>
      </w:r>
      <w:r w:rsidRPr="00876672">
        <w:rPr>
          <w:rFonts w:cs="Times New Roman"/>
          <w:lang w:val="en-GB"/>
        </w:rPr>
        <w:t xml:space="preserve"> issue which concerns the predictability of procedure</w:t>
      </w:r>
      <w:r w:rsidR="00AD5B3D" w:rsidRPr="00876672">
        <w:rPr>
          <w:rFonts w:cs="Times New Roman"/>
          <w:lang w:val="en-GB"/>
        </w:rPr>
        <w:t xml:space="preserve"> and </w:t>
      </w:r>
      <w:r w:rsidRPr="00876672">
        <w:rPr>
          <w:rFonts w:cs="Times New Roman"/>
          <w:lang w:val="en-GB"/>
        </w:rPr>
        <w:t>has clear links to the fairness and efficacy (however measured) of concurrent evidence.</w:t>
      </w:r>
      <w:r w:rsidR="00245FD2">
        <w:rPr>
          <w:rFonts w:cs="Times New Roman"/>
          <w:lang w:val="en-GB"/>
        </w:rPr>
        <w:t xml:space="preserve"> </w:t>
      </w:r>
      <w:r w:rsidR="00095891" w:rsidRPr="00876672">
        <w:rPr>
          <w:rFonts w:cs="Times New Roman"/>
          <w:lang w:val="en-GB"/>
        </w:rPr>
        <w:t xml:space="preserve">The parties involved need to </w:t>
      </w:r>
      <w:r w:rsidR="0073050E">
        <w:rPr>
          <w:rFonts w:cs="Times New Roman"/>
          <w:lang w:val="en-GB"/>
        </w:rPr>
        <w:t>be confident</w:t>
      </w:r>
      <w:r w:rsidR="00095891" w:rsidRPr="00876672">
        <w:rPr>
          <w:rFonts w:cs="Times New Roman"/>
          <w:lang w:val="en-GB"/>
        </w:rPr>
        <w:t xml:space="preserve"> that there </w:t>
      </w:r>
      <w:r w:rsidR="0073050E">
        <w:rPr>
          <w:rFonts w:cs="Times New Roman"/>
          <w:lang w:val="en-GB"/>
        </w:rPr>
        <w:t>is</w:t>
      </w:r>
      <w:r w:rsidR="00095891" w:rsidRPr="00876672">
        <w:rPr>
          <w:rFonts w:cs="Times New Roman"/>
          <w:lang w:val="en-GB"/>
        </w:rPr>
        <w:t xml:space="preserve"> consistency in how case</w:t>
      </w:r>
      <w:r w:rsidR="0073050E">
        <w:rPr>
          <w:rFonts w:cs="Times New Roman"/>
          <w:lang w:val="en-GB"/>
        </w:rPr>
        <w:t>s</w:t>
      </w:r>
      <w:r w:rsidR="00095891" w:rsidRPr="00876672">
        <w:rPr>
          <w:rFonts w:cs="Times New Roman"/>
          <w:lang w:val="en-GB"/>
        </w:rPr>
        <w:t xml:space="preserve"> </w:t>
      </w:r>
      <w:r w:rsidR="0073050E">
        <w:rPr>
          <w:rFonts w:cs="Times New Roman"/>
          <w:lang w:val="en-GB"/>
        </w:rPr>
        <w:t>are handled</w:t>
      </w:r>
      <w:r w:rsidR="00095891" w:rsidRPr="00876672">
        <w:rPr>
          <w:rFonts w:cs="Times New Roman"/>
          <w:lang w:val="en-GB"/>
        </w:rPr>
        <w:t>,</w:t>
      </w:r>
      <w:r w:rsidR="0073050E">
        <w:rPr>
          <w:rFonts w:cs="Times New Roman"/>
          <w:lang w:val="en-GB"/>
        </w:rPr>
        <w:t xml:space="preserve"> and sufficient predictability</w:t>
      </w:r>
      <w:r w:rsidR="00095891" w:rsidRPr="00876672">
        <w:rPr>
          <w:rFonts w:cs="Times New Roman"/>
          <w:lang w:val="en-GB"/>
        </w:rPr>
        <w:t xml:space="preserve"> to enable them </w:t>
      </w:r>
      <w:r w:rsidR="00EE070E" w:rsidRPr="00876672">
        <w:rPr>
          <w:rFonts w:cs="Times New Roman"/>
          <w:lang w:val="en-GB"/>
        </w:rPr>
        <w:t xml:space="preserve">both </w:t>
      </w:r>
      <w:r w:rsidR="00095891" w:rsidRPr="00876672">
        <w:rPr>
          <w:rFonts w:cs="Times New Roman"/>
          <w:lang w:val="en-GB"/>
        </w:rPr>
        <w:t xml:space="preserve">to plan the </w:t>
      </w:r>
      <w:r w:rsidR="00BA670A" w:rsidRPr="00876672">
        <w:rPr>
          <w:rFonts w:cs="Times New Roman"/>
          <w:lang w:val="en-GB"/>
        </w:rPr>
        <w:t xml:space="preserve">litigation </w:t>
      </w:r>
      <w:r w:rsidR="00095891" w:rsidRPr="00876672">
        <w:rPr>
          <w:rFonts w:cs="Times New Roman"/>
          <w:lang w:val="en-GB"/>
        </w:rPr>
        <w:t xml:space="preserve">and </w:t>
      </w:r>
      <w:r w:rsidR="00BA670A" w:rsidRPr="00876672">
        <w:rPr>
          <w:rFonts w:cs="Times New Roman"/>
          <w:lang w:val="en-GB"/>
        </w:rPr>
        <w:t xml:space="preserve">negotiate a </w:t>
      </w:r>
      <w:r w:rsidR="00095891" w:rsidRPr="00876672">
        <w:rPr>
          <w:rFonts w:cs="Times New Roman"/>
          <w:lang w:val="en-GB"/>
        </w:rPr>
        <w:t xml:space="preserve">settlement.  </w:t>
      </w:r>
    </w:p>
    <w:p w14:paraId="2D44F2A6" w14:textId="64C97C60" w:rsidR="00D76A06" w:rsidRDefault="00AD5B3D">
      <w:pPr>
        <w:tabs>
          <w:tab w:val="left" w:pos="284"/>
        </w:tabs>
        <w:ind w:right="-248"/>
        <w:rPr>
          <w:rFonts w:cs="Times New Roman"/>
          <w:lang w:val="en-GB"/>
        </w:rPr>
      </w:pPr>
      <w:r w:rsidRPr="00876672">
        <w:rPr>
          <w:rFonts w:cs="Times New Roman"/>
          <w:lang w:val="en-GB"/>
        </w:rPr>
        <w:tab/>
        <w:t xml:space="preserve">Procedural fairness requires some consideration of the perspectives of the parties </w:t>
      </w:r>
      <w:r w:rsidR="001142D1" w:rsidRPr="00876672">
        <w:rPr>
          <w:rFonts w:cs="Times New Roman"/>
          <w:lang w:val="en-GB"/>
        </w:rPr>
        <w:t xml:space="preserve">so that they are not </w:t>
      </w:r>
      <w:r w:rsidR="000E572F">
        <w:rPr>
          <w:rFonts w:cs="Times New Roman"/>
          <w:lang w:val="en-GB"/>
        </w:rPr>
        <w:t>“</w:t>
      </w:r>
      <w:r w:rsidR="001142D1" w:rsidRPr="00876672">
        <w:rPr>
          <w:rFonts w:cs="Times New Roman"/>
          <w:lang w:val="en-GB"/>
        </w:rPr>
        <w:t>shut out of the process</w:t>
      </w:r>
      <w:r w:rsidR="000E572F">
        <w:rPr>
          <w:rFonts w:cs="Times New Roman"/>
          <w:lang w:val="en-GB"/>
        </w:rPr>
        <w:t>”</w:t>
      </w:r>
      <w:r w:rsidR="001142D1" w:rsidRPr="00876672">
        <w:rPr>
          <w:rFonts w:cs="Times New Roman"/>
          <w:lang w:val="en-GB"/>
        </w:rPr>
        <w:t>.</w:t>
      </w:r>
      <w:r w:rsidR="001142D1" w:rsidRPr="00876672">
        <w:rPr>
          <w:rStyle w:val="FootnoteReference"/>
          <w:rFonts w:cs="Times New Roman"/>
          <w:lang w:val="en-GB"/>
        </w:rPr>
        <w:footnoteReference w:id="117"/>
      </w:r>
      <w:r w:rsidR="006E2A1A">
        <w:rPr>
          <w:rFonts w:cs="Times New Roman"/>
          <w:lang w:val="en-GB"/>
        </w:rPr>
        <w:t xml:space="preserve"> </w:t>
      </w:r>
      <w:r w:rsidR="00AE0DF4">
        <w:rPr>
          <w:rFonts w:cs="Times New Roman"/>
          <w:lang w:val="en-GB"/>
        </w:rPr>
        <w:t>The CPRC</w:t>
      </w:r>
      <w:r w:rsidR="00B06B41">
        <w:rPr>
          <w:rFonts w:cs="Times New Roman"/>
          <w:lang w:val="en-GB"/>
        </w:rPr>
        <w:t xml:space="preserve"> appears to attempt to cater</w:t>
      </w:r>
      <w:r w:rsidR="00AE0DF4">
        <w:rPr>
          <w:rFonts w:cs="Times New Roman"/>
          <w:lang w:val="en-GB"/>
        </w:rPr>
        <w:t xml:space="preserve"> for this by way of amendments to </w:t>
      </w:r>
      <w:r w:rsidR="008D2DCB">
        <w:rPr>
          <w:rFonts w:cs="Times New Roman"/>
          <w:lang w:val="en-GB"/>
        </w:rPr>
        <w:t>two</w:t>
      </w:r>
      <w:r w:rsidR="00AE0DF4">
        <w:rPr>
          <w:rFonts w:cs="Times New Roman"/>
          <w:lang w:val="en-GB"/>
        </w:rPr>
        <w:t xml:space="preserve"> questionnaires completed, normally by the parties’ solicitors, in the course of pre-trial proceedings. These</w:t>
      </w:r>
      <w:r w:rsidR="00B06B41">
        <w:rPr>
          <w:rFonts w:cs="Times New Roman"/>
          <w:lang w:val="en-GB"/>
        </w:rPr>
        <w:t xml:space="preserve"> questionnaires, which are discussed further below,</w:t>
      </w:r>
      <w:r w:rsidR="00AE0DF4">
        <w:rPr>
          <w:rFonts w:cs="Times New Roman"/>
          <w:lang w:val="en-GB"/>
        </w:rPr>
        <w:t xml:space="preserve"> ask whether the</w:t>
      </w:r>
      <w:r w:rsidR="00B06B41">
        <w:rPr>
          <w:rFonts w:cs="Times New Roman"/>
          <w:lang w:val="en-GB"/>
        </w:rPr>
        <w:t xml:space="preserve"> parties</w:t>
      </w:r>
      <w:r w:rsidR="00AE0DF4">
        <w:rPr>
          <w:rFonts w:cs="Times New Roman"/>
          <w:lang w:val="en-GB"/>
        </w:rPr>
        <w:t xml:space="preserve"> consider the expert evidence, or any part of it, suitable for giving concurrently and the Listing Questionnaire (the more detailed of the two) invites proposals for how the evidence should be given and for the agenda, which may be agreed with the other party.</w:t>
      </w:r>
      <w:r w:rsidR="008D2DCB">
        <w:rPr>
          <w:rStyle w:val="FootnoteReference"/>
          <w:rFonts w:cs="Times New Roman"/>
          <w:lang w:val="en-GB"/>
        </w:rPr>
        <w:footnoteReference w:id="118"/>
      </w:r>
      <w:r w:rsidR="00AE0DF4">
        <w:rPr>
          <w:rFonts w:cs="Times New Roman"/>
          <w:lang w:val="en-GB"/>
        </w:rPr>
        <w:t xml:space="preserve"> As responses to the CJC survey indicate, details such as whether all experts are asked the same questions and whether the order of </w:t>
      </w:r>
      <w:r w:rsidR="00AE0DF4">
        <w:rPr>
          <w:rFonts w:cs="Times New Roman"/>
          <w:lang w:val="en-GB"/>
        </w:rPr>
        <w:lastRenderedPageBreak/>
        <w:t>questioning is varied may be important from the perspectives of the witnesses and those calling them</w:t>
      </w:r>
      <w:r w:rsidR="00682E02" w:rsidRPr="00876672">
        <w:rPr>
          <w:rFonts w:cs="Times New Roman"/>
          <w:lang w:val="en-GB"/>
        </w:rPr>
        <w:t>.</w:t>
      </w:r>
      <w:r w:rsidR="00682E02" w:rsidRPr="00876672">
        <w:rPr>
          <w:rStyle w:val="FootnoteReference"/>
          <w:rFonts w:cs="Times New Roman"/>
          <w:lang w:val="en-GB"/>
        </w:rPr>
        <w:footnoteReference w:id="119"/>
      </w:r>
      <w:r w:rsidR="00682E02" w:rsidRPr="00876672">
        <w:rPr>
          <w:rFonts w:cs="Times New Roman"/>
          <w:lang w:val="en-GB"/>
        </w:rPr>
        <w:t xml:space="preserve"> </w:t>
      </w:r>
      <w:r w:rsidR="008D2DCB">
        <w:rPr>
          <w:rFonts w:cs="Times New Roman"/>
          <w:lang w:val="en-GB"/>
        </w:rPr>
        <w:t>These matters rest with the discretion of the trial judge.</w:t>
      </w:r>
    </w:p>
    <w:p w14:paraId="491D9C0D" w14:textId="2965B98B" w:rsidR="00275DC4" w:rsidRPr="00876672" w:rsidRDefault="00275DC4" w:rsidP="00275DC4">
      <w:pPr>
        <w:tabs>
          <w:tab w:val="left" w:pos="284"/>
        </w:tabs>
        <w:ind w:right="-248"/>
        <w:rPr>
          <w:rFonts w:cs="Times New Roman"/>
          <w:lang w:val="en-GB"/>
        </w:rPr>
      </w:pPr>
      <w:r>
        <w:rPr>
          <w:rFonts w:cs="Times New Roman"/>
          <w:lang w:val="en-GB"/>
        </w:rPr>
        <w:tab/>
        <w:t xml:space="preserve">The importance of the order of questioning was recognised by the CAT in </w:t>
      </w:r>
      <w:r w:rsidRPr="00F861DC">
        <w:rPr>
          <w:rFonts w:cs="Times New Roman"/>
          <w:i/>
        </w:rPr>
        <w:t>Agents’ Mutual Ltd v Gascoigne Halman Ltd</w:t>
      </w:r>
      <w:r>
        <w:rPr>
          <w:rFonts w:cs="Times New Roman"/>
        </w:rPr>
        <w:t>.</w:t>
      </w:r>
      <w:r>
        <w:rPr>
          <w:rStyle w:val="FootnoteReference"/>
          <w:rFonts w:cs="Times New Roman"/>
        </w:rPr>
        <w:footnoteReference w:id="120"/>
      </w:r>
      <w:r>
        <w:rPr>
          <w:rFonts w:cs="Times New Roman"/>
        </w:rPr>
        <w:t xml:space="preserve"> </w:t>
      </w:r>
      <w:r w:rsidR="00920F59">
        <w:rPr>
          <w:rFonts w:cs="Times New Roman"/>
        </w:rPr>
        <w:t>The defendant in a breach of contract case alleged that the contract was void on competition law grounds, and the trial of this issue was transferred to the CAT.</w:t>
      </w:r>
      <w:r>
        <w:rPr>
          <w:rFonts w:cs="Times New Roman"/>
        </w:rPr>
        <w:t xml:space="preserve"> The </w:t>
      </w:r>
      <w:r w:rsidR="00920F59">
        <w:rPr>
          <w:rFonts w:cs="Times New Roman"/>
        </w:rPr>
        <w:t>d</w:t>
      </w:r>
      <w:r>
        <w:rPr>
          <w:rFonts w:cs="Times New Roman"/>
        </w:rPr>
        <w:t>efendant’s expert was</w:t>
      </w:r>
      <w:r w:rsidR="00920F59">
        <w:rPr>
          <w:rFonts w:cs="Times New Roman"/>
        </w:rPr>
        <w:t xml:space="preserve"> said to have given </w:t>
      </w:r>
      <w:r w:rsidR="00A97C3F">
        <w:rPr>
          <w:rFonts w:cs="Times New Roman"/>
        </w:rPr>
        <w:t>“</w:t>
      </w:r>
      <w:r w:rsidR="00A97C3F" w:rsidRPr="0072579D">
        <w:t xml:space="preserve">much fuller answers during the </w:t>
      </w:r>
      <w:r w:rsidR="000E572F">
        <w:t>“</w:t>
      </w:r>
      <w:r w:rsidR="00A97C3F" w:rsidRPr="0072579D">
        <w:t>hot tub</w:t>
      </w:r>
      <w:r w:rsidR="000E572F">
        <w:t>”</w:t>
      </w:r>
      <w:r w:rsidR="00A97C3F" w:rsidRPr="0072579D">
        <w:t xml:space="preserve"> process, which reflects the fact that he… tended to be asked questions first.</w:t>
      </w:r>
      <w:r w:rsidR="00A97C3F">
        <w:t>”</w:t>
      </w:r>
      <w:r w:rsidR="00A97C3F">
        <w:rPr>
          <w:rStyle w:val="FootnoteReference"/>
        </w:rPr>
        <w:footnoteReference w:id="121"/>
      </w:r>
      <w:r w:rsidR="00A97C3F" w:rsidRPr="0072579D">
        <w:t xml:space="preserve"> </w:t>
      </w:r>
      <w:r>
        <w:rPr>
          <w:rFonts w:cs="Times New Roman"/>
        </w:rPr>
        <w:t xml:space="preserve"> </w:t>
      </w:r>
      <w:r w:rsidR="00A97C3F">
        <w:rPr>
          <w:rFonts w:cs="Times New Roman"/>
        </w:rPr>
        <w:t>He was also cross-examined, while the defendant elected not to cross-examine the claimant’s expert.</w:t>
      </w:r>
      <w:r w:rsidR="00A97C3F">
        <w:rPr>
          <w:rStyle w:val="FootnoteReference"/>
          <w:rFonts w:cs="Times New Roman"/>
        </w:rPr>
        <w:footnoteReference w:id="122"/>
      </w:r>
      <w:r w:rsidR="00A97C3F">
        <w:rPr>
          <w:rFonts w:cs="Times New Roman"/>
        </w:rPr>
        <w:t xml:space="preserve"> Though </w:t>
      </w:r>
      <w:r>
        <w:rPr>
          <w:rFonts w:cs="Times New Roman"/>
        </w:rPr>
        <w:t>“</w:t>
      </w:r>
      <w:r w:rsidRPr="00F861DC">
        <w:rPr>
          <w:rFonts w:cs="Times New Roman"/>
        </w:rPr>
        <w:t>enormously impressed by the diligence and helpfulness of both experts</w:t>
      </w:r>
      <w:r w:rsidR="00920F59">
        <w:rPr>
          <w:rFonts w:cs="Times New Roman"/>
        </w:rPr>
        <w:t>”</w:t>
      </w:r>
      <w:r w:rsidR="003D00C5" w:rsidRPr="00F861DC">
        <w:rPr>
          <w:rFonts w:cs="Times New Roman"/>
        </w:rPr>
        <w:t xml:space="preserve">, </w:t>
      </w:r>
      <w:r w:rsidR="003D00C5">
        <w:rPr>
          <w:rFonts w:cs="Times New Roman"/>
        </w:rPr>
        <w:t>the</w:t>
      </w:r>
      <w:r w:rsidR="00A97C3F">
        <w:rPr>
          <w:rFonts w:cs="Times New Roman"/>
        </w:rPr>
        <w:t xml:space="preserve"> Tribunal ultimately preferred the answers given “clearly and briefly” by the claimant’s expert.</w:t>
      </w:r>
      <w:r w:rsidR="00A97C3F">
        <w:rPr>
          <w:rStyle w:val="FootnoteReference"/>
          <w:rFonts w:cs="Times New Roman"/>
        </w:rPr>
        <w:footnoteReference w:id="123"/>
      </w:r>
    </w:p>
    <w:p w14:paraId="0FF87F15" w14:textId="6798ADA1" w:rsidR="007967F0" w:rsidRPr="00876672" w:rsidRDefault="00D76A06" w:rsidP="003D0BBA">
      <w:pPr>
        <w:tabs>
          <w:tab w:val="left" w:pos="284"/>
        </w:tabs>
        <w:ind w:right="-248"/>
        <w:rPr>
          <w:rFonts w:cs="Times New Roman"/>
          <w:lang w:val="en-GB"/>
        </w:rPr>
      </w:pPr>
      <w:r w:rsidRPr="00876672">
        <w:rPr>
          <w:rFonts w:cs="Times New Roman"/>
          <w:lang w:val="en-GB"/>
        </w:rPr>
        <w:tab/>
      </w:r>
      <w:r w:rsidR="002E143C" w:rsidRPr="00876672">
        <w:rPr>
          <w:rFonts w:cs="Times New Roman"/>
          <w:lang w:val="en-GB"/>
        </w:rPr>
        <w:t xml:space="preserve">Finally, </w:t>
      </w:r>
      <w:r w:rsidR="009176EB" w:rsidRPr="00876672">
        <w:rPr>
          <w:rFonts w:cs="Times New Roman"/>
          <w:lang w:val="en-GB"/>
        </w:rPr>
        <w:t xml:space="preserve">the </w:t>
      </w:r>
      <w:r w:rsidR="002E143C" w:rsidRPr="00876672">
        <w:rPr>
          <w:rFonts w:cs="Times New Roman"/>
          <w:lang w:val="en-GB"/>
        </w:rPr>
        <w:t>parties</w:t>
      </w:r>
      <w:r w:rsidR="009176EB" w:rsidRPr="00876672">
        <w:rPr>
          <w:rFonts w:cs="Times New Roman"/>
          <w:lang w:val="en-GB"/>
        </w:rPr>
        <w:t xml:space="preserve"> should be allowed</w:t>
      </w:r>
      <w:r w:rsidR="002E143C" w:rsidRPr="00876672">
        <w:rPr>
          <w:rFonts w:cs="Times New Roman"/>
          <w:lang w:val="en-GB"/>
        </w:rPr>
        <w:t xml:space="preserve"> to question </w:t>
      </w:r>
      <w:r w:rsidRPr="00876672">
        <w:rPr>
          <w:rFonts w:cs="Times New Roman"/>
          <w:lang w:val="en-GB"/>
        </w:rPr>
        <w:t xml:space="preserve">expert </w:t>
      </w:r>
      <w:r w:rsidR="002E143C" w:rsidRPr="00876672">
        <w:rPr>
          <w:rFonts w:cs="Times New Roman"/>
          <w:lang w:val="en-GB"/>
        </w:rPr>
        <w:t>witnesses.</w:t>
      </w:r>
      <w:r w:rsidR="00682E02" w:rsidRPr="00876672">
        <w:rPr>
          <w:rFonts w:cs="Times New Roman"/>
          <w:lang w:val="en-GB"/>
        </w:rPr>
        <w:t xml:space="preserve"> </w:t>
      </w:r>
      <w:r w:rsidR="002E143C" w:rsidRPr="00876672">
        <w:rPr>
          <w:rFonts w:cs="Times New Roman"/>
          <w:lang w:val="en-GB"/>
        </w:rPr>
        <w:t>There seem to have been</w:t>
      </w:r>
      <w:r w:rsidR="00C45F24" w:rsidRPr="00876672">
        <w:rPr>
          <w:rFonts w:cs="Times New Roman"/>
          <w:lang w:val="en-GB"/>
        </w:rPr>
        <w:t xml:space="preserve"> some</w:t>
      </w:r>
      <w:r w:rsidR="002E143C" w:rsidRPr="00876672">
        <w:rPr>
          <w:rFonts w:cs="Times New Roman"/>
          <w:lang w:val="en-GB"/>
        </w:rPr>
        <w:t xml:space="preserve"> tensions between </w:t>
      </w:r>
      <w:r w:rsidR="00C45F24" w:rsidRPr="00876672">
        <w:rPr>
          <w:rFonts w:cs="Times New Roman"/>
          <w:lang w:val="en-GB"/>
        </w:rPr>
        <w:t xml:space="preserve">a </w:t>
      </w:r>
      <w:r w:rsidR="002E143C" w:rsidRPr="00876672">
        <w:rPr>
          <w:rFonts w:cs="Times New Roman"/>
          <w:lang w:val="en-GB"/>
        </w:rPr>
        <w:t>party’s interest in questioning</w:t>
      </w:r>
      <w:r w:rsidR="00C45F24" w:rsidRPr="00876672">
        <w:rPr>
          <w:rFonts w:cs="Times New Roman"/>
          <w:lang w:val="en-GB"/>
        </w:rPr>
        <w:t xml:space="preserve"> an expert</w:t>
      </w:r>
      <w:r w:rsidR="002E143C" w:rsidRPr="00876672">
        <w:rPr>
          <w:rFonts w:cs="Times New Roman"/>
          <w:lang w:val="en-GB"/>
        </w:rPr>
        <w:t xml:space="preserve"> and judicial impressions of </w:t>
      </w:r>
      <w:r w:rsidR="00C45F24" w:rsidRPr="00876672">
        <w:rPr>
          <w:rFonts w:cs="Times New Roman"/>
          <w:lang w:val="en-GB"/>
        </w:rPr>
        <w:t xml:space="preserve">repetition and </w:t>
      </w:r>
      <w:r w:rsidR="002E143C" w:rsidRPr="00876672">
        <w:rPr>
          <w:rFonts w:cs="Times New Roman"/>
          <w:lang w:val="en-GB"/>
        </w:rPr>
        <w:t xml:space="preserve">redundancy. This is not insuperable, but </w:t>
      </w:r>
      <w:r w:rsidR="00BE1742" w:rsidRPr="00876672">
        <w:rPr>
          <w:rFonts w:cs="Times New Roman"/>
          <w:lang w:val="en-GB"/>
        </w:rPr>
        <w:t xml:space="preserve">is </w:t>
      </w:r>
      <w:r w:rsidR="002E143C" w:rsidRPr="00876672">
        <w:rPr>
          <w:rFonts w:cs="Times New Roman"/>
          <w:lang w:val="en-GB"/>
        </w:rPr>
        <w:t xml:space="preserve">an issue that requires some careful consideration by the </w:t>
      </w:r>
      <w:r w:rsidR="006C2C2C">
        <w:rPr>
          <w:rFonts w:cs="Times New Roman"/>
          <w:lang w:val="en-GB"/>
        </w:rPr>
        <w:t xml:space="preserve">trial </w:t>
      </w:r>
      <w:r w:rsidR="002E143C" w:rsidRPr="00876672">
        <w:rPr>
          <w:rFonts w:cs="Times New Roman"/>
          <w:lang w:val="en-GB"/>
        </w:rPr>
        <w:t>judge.</w:t>
      </w:r>
      <w:r w:rsidR="00CF0892" w:rsidRPr="00876672">
        <w:rPr>
          <w:rStyle w:val="FootnoteReference"/>
          <w:rFonts w:cs="Times New Roman"/>
          <w:lang w:val="en-GB"/>
        </w:rPr>
        <w:footnoteReference w:id="124"/>
      </w:r>
      <w:r w:rsidR="00095891" w:rsidRPr="00876672">
        <w:rPr>
          <w:rFonts w:cs="Times New Roman"/>
          <w:lang w:val="en-GB"/>
        </w:rPr>
        <w:t xml:space="preserve"> Concurrent evidence appears to depend to a large extent on the expertise and preparedness of the</w:t>
      </w:r>
      <w:r w:rsidR="00C45F24" w:rsidRPr="00876672">
        <w:rPr>
          <w:rFonts w:cs="Times New Roman"/>
          <w:lang w:val="en-GB"/>
        </w:rPr>
        <w:t xml:space="preserve"> </w:t>
      </w:r>
      <w:r w:rsidR="003529BC" w:rsidRPr="00876672">
        <w:rPr>
          <w:rFonts w:cs="Times New Roman"/>
          <w:lang w:val="en-GB"/>
        </w:rPr>
        <w:t>j</w:t>
      </w:r>
      <w:r w:rsidR="00245FD2">
        <w:rPr>
          <w:rFonts w:cs="Times New Roman"/>
          <w:lang w:val="en-GB"/>
        </w:rPr>
        <w:t xml:space="preserve">udge. </w:t>
      </w:r>
      <w:r w:rsidR="001D629B" w:rsidRPr="00876672">
        <w:rPr>
          <w:rFonts w:cs="Times New Roman"/>
          <w:lang w:val="en-GB"/>
        </w:rPr>
        <w:t>We question the wisdom of w</w:t>
      </w:r>
      <w:r w:rsidR="00095891" w:rsidRPr="00876672">
        <w:rPr>
          <w:rFonts w:cs="Times New Roman"/>
          <w:lang w:val="en-GB"/>
        </w:rPr>
        <w:t>rest</w:t>
      </w:r>
      <w:r w:rsidR="001D629B" w:rsidRPr="00876672">
        <w:rPr>
          <w:rFonts w:cs="Times New Roman"/>
          <w:lang w:val="en-GB"/>
        </w:rPr>
        <w:t>ing</w:t>
      </w:r>
      <w:r w:rsidR="00095891" w:rsidRPr="00876672">
        <w:rPr>
          <w:rFonts w:cs="Times New Roman"/>
          <w:lang w:val="en-GB"/>
        </w:rPr>
        <w:t xml:space="preserve"> this</w:t>
      </w:r>
      <w:r w:rsidR="00C45F24" w:rsidRPr="00876672">
        <w:rPr>
          <w:rFonts w:cs="Times New Roman"/>
          <w:lang w:val="en-GB"/>
        </w:rPr>
        <w:t xml:space="preserve"> responsibility</w:t>
      </w:r>
      <w:r w:rsidR="00095891" w:rsidRPr="00876672">
        <w:rPr>
          <w:rFonts w:cs="Times New Roman"/>
          <w:lang w:val="en-GB"/>
        </w:rPr>
        <w:t xml:space="preserve"> from the parties when it is arguable that the </w:t>
      </w:r>
      <w:r w:rsidR="000E572F">
        <w:rPr>
          <w:rFonts w:cs="Times New Roman"/>
          <w:lang w:val="en-GB"/>
        </w:rPr>
        <w:t>“</w:t>
      </w:r>
      <w:r w:rsidR="00095891" w:rsidRPr="00876672">
        <w:rPr>
          <w:rFonts w:cs="Times New Roman"/>
          <w:lang w:val="en-GB"/>
        </w:rPr>
        <w:t>usual forensic process</w:t>
      </w:r>
      <w:r w:rsidR="000E572F">
        <w:rPr>
          <w:rFonts w:cs="Times New Roman"/>
          <w:lang w:val="en-GB"/>
        </w:rPr>
        <w:t>”</w:t>
      </w:r>
      <w:r w:rsidR="00095891" w:rsidRPr="00876672">
        <w:rPr>
          <w:rFonts w:cs="Times New Roman"/>
          <w:lang w:val="en-GB"/>
        </w:rPr>
        <w:t xml:space="preserve"> is </w:t>
      </w:r>
      <w:r w:rsidR="00DB16E4" w:rsidRPr="00876672">
        <w:rPr>
          <w:rFonts w:cs="Times New Roman"/>
          <w:lang w:val="en-GB"/>
        </w:rPr>
        <w:t xml:space="preserve">necessary </w:t>
      </w:r>
      <w:r w:rsidR="00095891" w:rsidRPr="00876672">
        <w:rPr>
          <w:rFonts w:cs="Times New Roman"/>
          <w:lang w:val="en-GB"/>
        </w:rPr>
        <w:t>to allow the parties to properly test the evidence</w:t>
      </w:r>
      <w:r w:rsidR="0031716D" w:rsidRPr="00876672">
        <w:rPr>
          <w:rFonts w:cs="Times New Roman"/>
          <w:lang w:val="en-GB"/>
        </w:rPr>
        <w:t xml:space="preserve"> in a way that leaves them satisfied with the fairness of the proceedings</w:t>
      </w:r>
      <w:r w:rsidR="00095891" w:rsidRPr="006C2C2C">
        <w:rPr>
          <w:rFonts w:cs="Times New Roman"/>
          <w:lang w:val="en-GB"/>
        </w:rPr>
        <w:t>.</w:t>
      </w:r>
      <w:r w:rsidR="00C45F24" w:rsidRPr="006C2C2C">
        <w:rPr>
          <w:rStyle w:val="FootnoteReference"/>
          <w:rFonts w:cs="Times New Roman"/>
          <w:lang w:val="en-GB"/>
        </w:rPr>
        <w:footnoteReference w:id="125"/>
      </w:r>
    </w:p>
    <w:p w14:paraId="4B3012BC" w14:textId="77777777" w:rsidR="001E0F40" w:rsidRPr="00876672" w:rsidRDefault="001E0F40" w:rsidP="003D0BBA">
      <w:pPr>
        <w:tabs>
          <w:tab w:val="left" w:pos="284"/>
        </w:tabs>
        <w:ind w:right="-248"/>
        <w:rPr>
          <w:rFonts w:cs="Times New Roman"/>
          <w:lang w:val="en-GB"/>
        </w:rPr>
      </w:pPr>
    </w:p>
    <w:p w14:paraId="0E4B826D" w14:textId="77777777" w:rsidR="00BC22D3" w:rsidRPr="00876672" w:rsidRDefault="00265D81" w:rsidP="003D0BBA">
      <w:pPr>
        <w:tabs>
          <w:tab w:val="left" w:pos="284"/>
        </w:tabs>
        <w:ind w:right="-248"/>
        <w:rPr>
          <w:rFonts w:cs="Times New Roman"/>
          <w:b/>
          <w:i/>
          <w:lang w:val="en-GB"/>
        </w:rPr>
      </w:pPr>
      <w:r>
        <w:rPr>
          <w:rFonts w:cs="Times New Roman"/>
          <w:b/>
          <w:i/>
          <w:lang w:val="en-GB"/>
        </w:rPr>
        <w:t>Judicial independence</w:t>
      </w:r>
    </w:p>
    <w:p w14:paraId="01D7580F" w14:textId="6AE01F2C" w:rsidR="00E90ACD" w:rsidRPr="00876672" w:rsidRDefault="00EB0E9F" w:rsidP="003D0BBA">
      <w:pPr>
        <w:tabs>
          <w:tab w:val="left" w:pos="284"/>
        </w:tabs>
        <w:ind w:right="-248"/>
        <w:rPr>
          <w:rFonts w:cs="Times New Roman"/>
          <w:lang w:val="en-GB"/>
        </w:rPr>
      </w:pPr>
      <w:r w:rsidRPr="00876672">
        <w:rPr>
          <w:rFonts w:cs="Times New Roman"/>
          <w:lang w:val="en-GB"/>
        </w:rPr>
        <w:t>One issue that is implic</w:t>
      </w:r>
      <w:r w:rsidR="006E2A1A">
        <w:rPr>
          <w:rFonts w:cs="Times New Roman"/>
          <w:lang w:val="en-GB"/>
        </w:rPr>
        <w:t>it in the CJC R</w:t>
      </w:r>
      <w:r w:rsidRPr="00876672">
        <w:rPr>
          <w:rFonts w:cs="Times New Roman"/>
          <w:lang w:val="en-GB"/>
        </w:rPr>
        <w:t xml:space="preserve">eport and </w:t>
      </w:r>
      <w:r w:rsidR="00E74607">
        <w:rPr>
          <w:rFonts w:cs="Times New Roman"/>
          <w:lang w:val="en-GB"/>
        </w:rPr>
        <w:t>the amended PD35.11</w:t>
      </w:r>
      <w:r w:rsidRPr="00876672">
        <w:rPr>
          <w:rFonts w:cs="Times New Roman"/>
          <w:lang w:val="en-GB"/>
        </w:rPr>
        <w:t xml:space="preserve"> is the </w:t>
      </w:r>
      <w:r w:rsidR="00E473CE" w:rsidRPr="00876672">
        <w:rPr>
          <w:rFonts w:cs="Times New Roman"/>
          <w:lang w:val="en-GB"/>
        </w:rPr>
        <w:t xml:space="preserve">impact on the traditional </w:t>
      </w:r>
      <w:r w:rsidRPr="00876672">
        <w:rPr>
          <w:rFonts w:cs="Times New Roman"/>
          <w:lang w:val="en-GB"/>
        </w:rPr>
        <w:t>role of the trial judge</w:t>
      </w:r>
      <w:r w:rsidR="00E473CE" w:rsidRPr="00876672">
        <w:rPr>
          <w:rFonts w:cs="Times New Roman"/>
          <w:lang w:val="en-GB"/>
        </w:rPr>
        <w:t xml:space="preserve"> in adversarial proceedings</w:t>
      </w:r>
      <w:r w:rsidRPr="00876672">
        <w:rPr>
          <w:rFonts w:cs="Times New Roman"/>
          <w:lang w:val="en-GB"/>
        </w:rPr>
        <w:t xml:space="preserve">. Rather than act as a relatively passive </w:t>
      </w:r>
      <w:r w:rsidR="000E572F">
        <w:rPr>
          <w:rFonts w:cs="Times New Roman"/>
          <w:lang w:val="en-GB"/>
        </w:rPr>
        <w:t>“</w:t>
      </w:r>
      <w:r w:rsidRPr="00876672">
        <w:rPr>
          <w:rFonts w:cs="Times New Roman"/>
          <w:lang w:val="en-GB"/>
        </w:rPr>
        <w:t>umpire</w:t>
      </w:r>
      <w:r w:rsidR="000E572F">
        <w:rPr>
          <w:rFonts w:cs="Times New Roman"/>
          <w:lang w:val="en-GB"/>
        </w:rPr>
        <w:t>”</w:t>
      </w:r>
      <w:r w:rsidRPr="00876672">
        <w:rPr>
          <w:rFonts w:cs="Times New Roman"/>
          <w:lang w:val="en-GB"/>
        </w:rPr>
        <w:t xml:space="preserve"> and fact-finder</w:t>
      </w:r>
      <w:r w:rsidR="00AD7F8A" w:rsidRPr="00876672">
        <w:rPr>
          <w:rFonts w:cs="Times New Roman"/>
          <w:lang w:val="en-GB"/>
        </w:rPr>
        <w:t xml:space="preserve">, in </w:t>
      </w:r>
      <w:r w:rsidR="00E74607">
        <w:rPr>
          <w:rFonts w:cs="Times New Roman"/>
          <w:lang w:val="en-GB"/>
        </w:rPr>
        <w:t xml:space="preserve">the </w:t>
      </w:r>
      <w:r w:rsidR="00AD7F8A" w:rsidRPr="00876672">
        <w:rPr>
          <w:rFonts w:cs="Times New Roman"/>
          <w:lang w:val="en-GB"/>
        </w:rPr>
        <w:t>form</w:t>
      </w:r>
      <w:r w:rsidR="00E74607">
        <w:rPr>
          <w:rFonts w:cs="Times New Roman"/>
          <w:lang w:val="en-GB"/>
        </w:rPr>
        <w:t xml:space="preserve"> </w:t>
      </w:r>
      <w:r w:rsidR="00AD7F8A" w:rsidRPr="00876672">
        <w:rPr>
          <w:rFonts w:cs="Times New Roman"/>
          <w:lang w:val="en-GB"/>
        </w:rPr>
        <w:t>of concurrent evidence</w:t>
      </w:r>
      <w:r w:rsidR="00E74607">
        <w:rPr>
          <w:rFonts w:cs="Times New Roman"/>
          <w:lang w:val="en-GB"/>
        </w:rPr>
        <w:t xml:space="preserve"> favoured by the CPRC</w:t>
      </w:r>
      <w:r w:rsidR="00AD7F8A" w:rsidRPr="00876672">
        <w:rPr>
          <w:rFonts w:cs="Times New Roman"/>
          <w:lang w:val="en-GB"/>
        </w:rPr>
        <w:t xml:space="preserve"> the trial judge becomes an active inquisitor.</w:t>
      </w:r>
      <w:r w:rsidR="004A2C59" w:rsidRPr="00876672">
        <w:rPr>
          <w:rFonts w:cs="Times New Roman"/>
          <w:lang w:val="en-GB"/>
        </w:rPr>
        <w:t xml:space="preserve"> </w:t>
      </w:r>
      <w:r w:rsidR="00E473CE" w:rsidRPr="00876672">
        <w:rPr>
          <w:rFonts w:cs="Times New Roman"/>
          <w:lang w:val="en-GB"/>
        </w:rPr>
        <w:t>Indeed, t</w:t>
      </w:r>
      <w:r w:rsidR="004A2C59" w:rsidRPr="00876672">
        <w:rPr>
          <w:rFonts w:cs="Times New Roman"/>
          <w:lang w:val="en-GB"/>
        </w:rPr>
        <w:t xml:space="preserve">he CJC accepted that concurrent evidence is an </w:t>
      </w:r>
      <w:r w:rsidR="000E572F">
        <w:rPr>
          <w:rFonts w:cs="Times New Roman"/>
          <w:lang w:val="en-GB"/>
        </w:rPr>
        <w:t>“</w:t>
      </w:r>
      <w:r w:rsidR="004A2C59" w:rsidRPr="00876672">
        <w:rPr>
          <w:rFonts w:cs="Times New Roman"/>
          <w:lang w:val="en-GB"/>
        </w:rPr>
        <w:t>inquisitorial-type</w:t>
      </w:r>
      <w:r w:rsidR="000E572F">
        <w:rPr>
          <w:rFonts w:cs="Times New Roman"/>
          <w:lang w:val="en-GB"/>
        </w:rPr>
        <w:t>”</w:t>
      </w:r>
      <w:r w:rsidR="004A2C59" w:rsidRPr="00876672">
        <w:rPr>
          <w:rFonts w:cs="Times New Roman"/>
          <w:lang w:val="en-GB"/>
        </w:rPr>
        <w:t xml:space="preserve"> of procedure.</w:t>
      </w:r>
      <w:r w:rsidR="004A2C59" w:rsidRPr="00876672">
        <w:rPr>
          <w:rStyle w:val="FootnoteReference"/>
          <w:rFonts w:cs="Times New Roman"/>
          <w:lang w:val="en-GB"/>
        </w:rPr>
        <w:footnoteReference w:id="126"/>
      </w:r>
      <w:r w:rsidR="000B331D" w:rsidRPr="00876672">
        <w:rPr>
          <w:rFonts w:cs="Times New Roman"/>
          <w:lang w:val="en-GB"/>
        </w:rPr>
        <w:t xml:space="preserve"> In the case of the Court of Protection, and to some extent the Family Court, this is a general feature of the way the court functions, but in ordinary civil cases </w:t>
      </w:r>
      <w:r w:rsidR="00E473CE" w:rsidRPr="00876672">
        <w:rPr>
          <w:rFonts w:cs="Times New Roman"/>
          <w:lang w:val="en-GB"/>
        </w:rPr>
        <w:t xml:space="preserve">the introduction of concurrent evidence </w:t>
      </w:r>
      <w:r w:rsidR="00BC18C4">
        <w:rPr>
          <w:rFonts w:cs="Times New Roman"/>
          <w:lang w:val="en-GB"/>
        </w:rPr>
        <w:t>may constitute</w:t>
      </w:r>
      <w:r w:rsidR="00E473CE" w:rsidRPr="00876672">
        <w:rPr>
          <w:rFonts w:cs="Times New Roman"/>
          <w:lang w:val="en-GB"/>
        </w:rPr>
        <w:t xml:space="preserve"> </w:t>
      </w:r>
      <w:r w:rsidR="000B331D" w:rsidRPr="00876672">
        <w:rPr>
          <w:rFonts w:cs="Times New Roman"/>
          <w:lang w:val="en-GB"/>
        </w:rPr>
        <w:t xml:space="preserve">a significant departure from the traditional role of the judge in an adversarial </w:t>
      </w:r>
      <w:r w:rsidR="00E22B34">
        <w:rPr>
          <w:rFonts w:cs="Times New Roman"/>
          <w:lang w:val="en-GB"/>
        </w:rPr>
        <w:t>proceeding</w:t>
      </w:r>
      <w:r w:rsidR="000B331D" w:rsidRPr="00876672">
        <w:rPr>
          <w:rFonts w:cs="Times New Roman"/>
          <w:lang w:val="en-GB"/>
        </w:rPr>
        <w:t>.</w:t>
      </w:r>
      <w:r w:rsidR="00E473CE" w:rsidRPr="00876672">
        <w:rPr>
          <w:rFonts w:cs="Times New Roman"/>
          <w:lang w:val="en-GB"/>
        </w:rPr>
        <w:t xml:space="preserve"> </w:t>
      </w:r>
      <w:r w:rsidR="00AD7F8A" w:rsidRPr="00876672">
        <w:rPr>
          <w:rFonts w:cs="Times New Roman"/>
          <w:lang w:val="en-GB"/>
        </w:rPr>
        <w:t>The trial judge might not</w:t>
      </w:r>
      <w:r w:rsidR="00587A0D" w:rsidRPr="00876672">
        <w:rPr>
          <w:rFonts w:cs="Times New Roman"/>
          <w:lang w:val="en-GB"/>
        </w:rPr>
        <w:t xml:space="preserve"> be in a position to</w:t>
      </w:r>
      <w:r w:rsidR="00AD7F8A" w:rsidRPr="00876672">
        <w:rPr>
          <w:rFonts w:cs="Times New Roman"/>
          <w:lang w:val="en-GB"/>
        </w:rPr>
        <w:t xml:space="preserve"> call witnesses, but </w:t>
      </w:r>
      <w:r w:rsidR="00225053" w:rsidRPr="00876672">
        <w:rPr>
          <w:rFonts w:cs="Times New Roman"/>
          <w:lang w:val="en-GB"/>
        </w:rPr>
        <w:t>otherwise might</w:t>
      </w:r>
      <w:r w:rsidR="00AD7F8A" w:rsidRPr="00876672">
        <w:rPr>
          <w:rFonts w:cs="Times New Roman"/>
          <w:lang w:val="en-GB"/>
        </w:rPr>
        <w:t xml:space="preserve"> dictate</w:t>
      </w:r>
      <w:r w:rsidR="00A67B92" w:rsidRPr="00876672">
        <w:rPr>
          <w:rFonts w:cs="Times New Roman"/>
          <w:lang w:val="en-GB"/>
        </w:rPr>
        <w:t xml:space="preserve"> (through </w:t>
      </w:r>
      <w:r w:rsidR="00587A0D" w:rsidRPr="00876672">
        <w:rPr>
          <w:rFonts w:cs="Times New Roman"/>
          <w:lang w:val="en-GB"/>
        </w:rPr>
        <w:t xml:space="preserve">procedural </w:t>
      </w:r>
      <w:r w:rsidR="00A67B92" w:rsidRPr="00876672">
        <w:rPr>
          <w:rFonts w:cs="Times New Roman"/>
          <w:lang w:val="en-GB"/>
        </w:rPr>
        <w:t xml:space="preserve">discretion) </w:t>
      </w:r>
      <w:r w:rsidR="00297342" w:rsidRPr="00876672">
        <w:rPr>
          <w:rFonts w:cs="Times New Roman"/>
          <w:lang w:val="en-GB"/>
        </w:rPr>
        <w:t xml:space="preserve">the pre-trial preparations and reports, </w:t>
      </w:r>
      <w:r w:rsidR="00AD7F8A" w:rsidRPr="00876672">
        <w:rPr>
          <w:rFonts w:cs="Times New Roman"/>
          <w:lang w:val="en-GB"/>
        </w:rPr>
        <w:t>the main issues to be canvassed</w:t>
      </w:r>
      <w:r w:rsidR="00297342" w:rsidRPr="00876672">
        <w:rPr>
          <w:rFonts w:cs="Times New Roman"/>
          <w:lang w:val="en-GB"/>
        </w:rPr>
        <w:t xml:space="preserve"> at trial</w:t>
      </w:r>
      <w:r w:rsidR="00AD7F8A" w:rsidRPr="00876672">
        <w:rPr>
          <w:rFonts w:cs="Times New Roman"/>
          <w:lang w:val="en-GB"/>
        </w:rPr>
        <w:t>, how they will be addressed, who will be heard</w:t>
      </w:r>
      <w:r w:rsidR="00225053" w:rsidRPr="00876672">
        <w:rPr>
          <w:rFonts w:cs="Times New Roman"/>
          <w:lang w:val="en-GB"/>
        </w:rPr>
        <w:t xml:space="preserve"> (and for how long)</w:t>
      </w:r>
      <w:r w:rsidR="00A67B92" w:rsidRPr="00876672">
        <w:rPr>
          <w:rFonts w:cs="Times New Roman"/>
          <w:lang w:val="en-GB"/>
        </w:rPr>
        <w:t>,</w:t>
      </w:r>
      <w:r w:rsidR="00AD7F8A" w:rsidRPr="00876672">
        <w:rPr>
          <w:rFonts w:cs="Times New Roman"/>
          <w:lang w:val="en-GB"/>
        </w:rPr>
        <w:t xml:space="preserve"> and </w:t>
      </w:r>
      <w:r w:rsidR="00C0699E" w:rsidRPr="00876672">
        <w:rPr>
          <w:rFonts w:cs="Times New Roman"/>
          <w:lang w:val="en-GB"/>
        </w:rPr>
        <w:t>even the scope of party-questio</w:t>
      </w:r>
      <w:r w:rsidR="00AD7F8A" w:rsidRPr="00876672">
        <w:rPr>
          <w:rFonts w:cs="Times New Roman"/>
          <w:lang w:val="en-GB"/>
        </w:rPr>
        <w:t>ning.</w:t>
      </w:r>
      <w:r w:rsidR="004F52C3" w:rsidRPr="00876672">
        <w:rPr>
          <w:rStyle w:val="FootnoteReference"/>
          <w:rFonts w:cs="Times New Roman"/>
          <w:lang w:val="en-GB"/>
        </w:rPr>
        <w:footnoteReference w:id="127"/>
      </w:r>
      <w:r w:rsidR="00AD7F8A" w:rsidRPr="00876672">
        <w:rPr>
          <w:rFonts w:cs="Times New Roman"/>
          <w:lang w:val="en-GB"/>
        </w:rPr>
        <w:t xml:space="preserve"> </w:t>
      </w:r>
      <w:r w:rsidR="00297342" w:rsidRPr="00876672">
        <w:rPr>
          <w:rFonts w:cs="Times New Roman"/>
          <w:lang w:val="en-GB"/>
        </w:rPr>
        <w:t>The trial judge may dominat</w:t>
      </w:r>
      <w:r w:rsidR="008D2642" w:rsidRPr="00876672">
        <w:rPr>
          <w:rFonts w:cs="Times New Roman"/>
          <w:lang w:val="en-GB"/>
        </w:rPr>
        <w:t>e</w:t>
      </w:r>
      <w:r w:rsidR="00297342" w:rsidRPr="00876672">
        <w:rPr>
          <w:rFonts w:cs="Times New Roman"/>
          <w:lang w:val="en-GB"/>
        </w:rPr>
        <w:t xml:space="preserve"> the questioning and even restrain the scope for cross-examination. </w:t>
      </w:r>
      <w:r w:rsidR="00AD7F8A" w:rsidRPr="00876672">
        <w:rPr>
          <w:rFonts w:cs="Times New Roman"/>
          <w:lang w:val="en-GB"/>
        </w:rPr>
        <w:t>While</w:t>
      </w:r>
      <w:r w:rsidR="00A32D4A" w:rsidRPr="00876672">
        <w:rPr>
          <w:rFonts w:cs="Times New Roman"/>
          <w:lang w:val="en-GB"/>
        </w:rPr>
        <w:t xml:space="preserve"> strong forms of activism may be exceptional, </w:t>
      </w:r>
      <w:r w:rsidR="00C0699E" w:rsidRPr="00876672">
        <w:rPr>
          <w:rFonts w:cs="Times New Roman"/>
          <w:lang w:val="en-GB"/>
        </w:rPr>
        <w:t xml:space="preserve">they are certainly </w:t>
      </w:r>
      <w:r w:rsidR="00225053" w:rsidRPr="00876672">
        <w:rPr>
          <w:rFonts w:cs="Times New Roman"/>
          <w:lang w:val="en-GB"/>
        </w:rPr>
        <w:t xml:space="preserve">now </w:t>
      </w:r>
      <w:r w:rsidR="00C0699E" w:rsidRPr="00876672">
        <w:rPr>
          <w:rFonts w:cs="Times New Roman"/>
          <w:lang w:val="en-GB"/>
        </w:rPr>
        <w:t>available</w:t>
      </w:r>
      <w:r w:rsidR="00297342" w:rsidRPr="00876672">
        <w:rPr>
          <w:rFonts w:cs="Times New Roman"/>
          <w:lang w:val="en-GB"/>
        </w:rPr>
        <w:t xml:space="preserve">. To varying degrees these </w:t>
      </w:r>
      <w:r w:rsidR="00A32D4A" w:rsidRPr="00876672">
        <w:rPr>
          <w:rFonts w:cs="Times New Roman"/>
          <w:lang w:val="en-GB"/>
        </w:rPr>
        <w:t>threaten some models of party control and perhaps e</w:t>
      </w:r>
      <w:r w:rsidR="00974FF8" w:rsidRPr="00876672">
        <w:rPr>
          <w:rFonts w:cs="Times New Roman"/>
          <w:lang w:val="en-GB"/>
        </w:rPr>
        <w:t xml:space="preserve">ven </w:t>
      </w:r>
      <w:r w:rsidR="00225053" w:rsidRPr="00876672">
        <w:rPr>
          <w:rFonts w:cs="Times New Roman"/>
          <w:lang w:val="en-GB"/>
        </w:rPr>
        <w:t>conventional ideas of</w:t>
      </w:r>
      <w:r w:rsidR="00A67B92" w:rsidRPr="00876672">
        <w:rPr>
          <w:rFonts w:cs="Times New Roman"/>
          <w:lang w:val="en-GB"/>
        </w:rPr>
        <w:t xml:space="preserve"> </w:t>
      </w:r>
      <w:r w:rsidR="00974FF8" w:rsidRPr="00876672">
        <w:rPr>
          <w:rFonts w:cs="Times New Roman"/>
          <w:lang w:val="en-GB"/>
        </w:rPr>
        <w:t>procedural fairness</w:t>
      </w:r>
      <w:r w:rsidR="00297342" w:rsidRPr="00876672">
        <w:rPr>
          <w:rFonts w:cs="Times New Roman"/>
          <w:lang w:val="en-GB"/>
        </w:rPr>
        <w:t xml:space="preserve"> under adversarialism</w:t>
      </w:r>
      <w:r w:rsidR="00974FF8" w:rsidRPr="00876672">
        <w:rPr>
          <w:rFonts w:cs="Times New Roman"/>
          <w:lang w:val="en-GB"/>
        </w:rPr>
        <w:t xml:space="preserve">. </w:t>
      </w:r>
    </w:p>
    <w:p w14:paraId="3D59DD5D" w14:textId="16D36EF1" w:rsidR="00C0699E" w:rsidRPr="00876672" w:rsidRDefault="00BC7760" w:rsidP="003D0BBA">
      <w:pPr>
        <w:tabs>
          <w:tab w:val="left" w:pos="284"/>
        </w:tabs>
        <w:ind w:right="-248"/>
        <w:rPr>
          <w:rFonts w:cs="Times New Roman"/>
          <w:lang w:val="en-GB"/>
        </w:rPr>
      </w:pPr>
      <w:r w:rsidRPr="00876672">
        <w:rPr>
          <w:rFonts w:cs="Times New Roman"/>
          <w:lang w:val="en-GB"/>
        </w:rPr>
        <w:tab/>
        <w:t>The crucial point here, as Fuller</w:t>
      </w:r>
      <w:r w:rsidR="004E2A12" w:rsidRPr="00876672">
        <w:rPr>
          <w:rStyle w:val="FootnoteReference"/>
          <w:rFonts w:cs="Times New Roman"/>
          <w:lang w:val="en-GB"/>
        </w:rPr>
        <w:footnoteReference w:id="128"/>
      </w:r>
      <w:r w:rsidRPr="00876672">
        <w:rPr>
          <w:rFonts w:cs="Times New Roman"/>
          <w:lang w:val="en-GB"/>
        </w:rPr>
        <w:t xml:space="preserve"> and more recently Zuckerman</w:t>
      </w:r>
      <w:r w:rsidR="008E5040" w:rsidRPr="00876672">
        <w:rPr>
          <w:rStyle w:val="FootnoteReference"/>
          <w:rFonts w:cs="Times New Roman"/>
          <w:lang w:val="en-GB"/>
        </w:rPr>
        <w:footnoteReference w:id="129"/>
      </w:r>
      <w:r w:rsidRPr="00876672">
        <w:rPr>
          <w:rFonts w:cs="Times New Roman"/>
          <w:lang w:val="en-GB"/>
        </w:rPr>
        <w:t xml:space="preserve"> have argued, is the effect on the judge’s impartiality of increased involvement in the preparation of </w:t>
      </w:r>
      <w:r w:rsidRPr="00876672">
        <w:rPr>
          <w:rFonts w:cs="Times New Roman"/>
          <w:lang w:val="en-GB"/>
        </w:rPr>
        <w:lastRenderedPageBreak/>
        <w:t xml:space="preserve">evidence and questioning of witnesses. Such a role may make judges more prone to forming a provisional view before the hearing, which as a result of confirmation bias then hardens into a final judgment. </w:t>
      </w:r>
      <w:r w:rsidR="009B29C8" w:rsidRPr="00876672">
        <w:rPr>
          <w:rFonts w:cs="Times New Roman"/>
          <w:lang w:val="en-GB"/>
        </w:rPr>
        <w:t xml:space="preserve">According to Jolowicz, </w:t>
      </w:r>
      <w:r w:rsidR="000E572F">
        <w:rPr>
          <w:rFonts w:cs="Times New Roman"/>
          <w:lang w:val="en-GB"/>
        </w:rPr>
        <w:t>“</w:t>
      </w:r>
      <w:r w:rsidR="009B29C8" w:rsidRPr="00876672">
        <w:rPr>
          <w:rFonts w:cs="Times New Roman"/>
        </w:rPr>
        <w:t>the idea inherent in the adversary process that the best judge is the judge who, like a jury, knows nothing of the case he is to try until the trial itself begins has been finally killed off</w:t>
      </w:r>
      <w:r w:rsidR="000E572F">
        <w:rPr>
          <w:rFonts w:cs="Times New Roman"/>
        </w:rPr>
        <w:t>”</w:t>
      </w:r>
      <w:r w:rsidR="009B29C8" w:rsidRPr="00876672">
        <w:rPr>
          <w:rFonts w:cs="Times New Roman"/>
        </w:rPr>
        <w:t xml:space="preserve">, by, </w:t>
      </w:r>
      <w:r w:rsidR="009B29C8" w:rsidRPr="00876672">
        <w:rPr>
          <w:rFonts w:cs="Times New Roman"/>
          <w:i/>
        </w:rPr>
        <w:t xml:space="preserve">inter alia, </w:t>
      </w:r>
      <w:r w:rsidR="009B29C8" w:rsidRPr="00876672">
        <w:rPr>
          <w:rFonts w:cs="Times New Roman"/>
        </w:rPr>
        <w:t>the pre-reading of written experts reports that is required by the judge’s case management role.</w:t>
      </w:r>
      <w:r w:rsidR="009B29C8" w:rsidRPr="00876672">
        <w:rPr>
          <w:rStyle w:val="FootnoteReference"/>
          <w:rFonts w:cs="Times New Roman"/>
        </w:rPr>
        <w:footnoteReference w:id="130"/>
      </w:r>
      <w:r w:rsidR="009B29C8" w:rsidRPr="00876672">
        <w:rPr>
          <w:rFonts w:cs="Times New Roman"/>
        </w:rPr>
        <w:t xml:space="preserve"> Nevertheless, there is a big difference between expecting judges to familiarize themselves with the issues in a case and expecting them to </w:t>
      </w:r>
      <w:r w:rsidR="00E6298D" w:rsidRPr="00876672">
        <w:rPr>
          <w:rFonts w:cs="Times New Roman"/>
        </w:rPr>
        <w:t>define the issues to be discussed and</w:t>
      </w:r>
      <w:r w:rsidR="009B29C8" w:rsidRPr="00876672">
        <w:rPr>
          <w:rFonts w:cs="Times New Roman"/>
        </w:rPr>
        <w:t xml:space="preserve"> lead </w:t>
      </w:r>
      <w:r w:rsidR="00E6298D" w:rsidRPr="00876672">
        <w:rPr>
          <w:rFonts w:cs="Times New Roman"/>
        </w:rPr>
        <w:t>the questioning of witnesses</w:t>
      </w:r>
      <w:r w:rsidR="009B29C8" w:rsidRPr="00876672">
        <w:rPr>
          <w:rFonts w:cs="Times New Roman"/>
        </w:rPr>
        <w:t>, while still remaining strictly impartial.</w:t>
      </w:r>
      <w:r w:rsidR="00E6298D" w:rsidRPr="00876672">
        <w:rPr>
          <w:rStyle w:val="FootnoteReference"/>
          <w:rFonts w:cs="Times New Roman"/>
        </w:rPr>
        <w:footnoteReference w:id="131"/>
      </w:r>
      <w:r w:rsidR="009B29C8" w:rsidRPr="00876672">
        <w:rPr>
          <w:rFonts w:cs="Times New Roman"/>
        </w:rPr>
        <w:t xml:space="preserve"> </w:t>
      </w:r>
      <w:r w:rsidR="000B1778" w:rsidRPr="00876672">
        <w:rPr>
          <w:rFonts w:cs="Times New Roman"/>
          <w:lang w:val="en-GB"/>
        </w:rPr>
        <w:t>The level of judicial preparation required if concurrent evidence is to be done properly is akin to that of a barrister preparing</w:t>
      </w:r>
      <w:r w:rsidR="00245FD2">
        <w:rPr>
          <w:rFonts w:cs="Times New Roman"/>
          <w:lang w:val="en-GB"/>
        </w:rPr>
        <w:t xml:space="preserve"> a cross-examination schedule. </w:t>
      </w:r>
      <w:r w:rsidRPr="00876672">
        <w:rPr>
          <w:rFonts w:cs="Times New Roman"/>
        </w:rPr>
        <w:t>One judge quoted</w:t>
      </w:r>
      <w:r w:rsidR="000B1778" w:rsidRPr="00876672">
        <w:rPr>
          <w:rFonts w:cs="Times New Roman"/>
        </w:rPr>
        <w:t xml:space="preserve"> in </w:t>
      </w:r>
      <w:r w:rsidRPr="00876672">
        <w:rPr>
          <w:rFonts w:cs="Times New Roman"/>
        </w:rPr>
        <w:t xml:space="preserve">the </w:t>
      </w:r>
      <w:r w:rsidR="000B1778" w:rsidRPr="00876672">
        <w:rPr>
          <w:rFonts w:cs="Times New Roman"/>
        </w:rPr>
        <w:t xml:space="preserve">CJC </w:t>
      </w:r>
      <w:r w:rsidR="00AA56DD" w:rsidRPr="00876672">
        <w:rPr>
          <w:rFonts w:cs="Times New Roman"/>
        </w:rPr>
        <w:t>Report</w:t>
      </w:r>
      <w:r w:rsidR="000B1778" w:rsidRPr="00876672">
        <w:rPr>
          <w:rFonts w:cs="Times New Roman"/>
        </w:rPr>
        <w:t xml:space="preserve"> </w:t>
      </w:r>
      <w:r w:rsidRPr="00876672">
        <w:rPr>
          <w:rFonts w:cs="Times New Roman"/>
        </w:rPr>
        <w:t xml:space="preserve">stated that </w:t>
      </w:r>
      <w:r w:rsidR="000B1778" w:rsidRPr="00876672">
        <w:rPr>
          <w:rFonts w:cs="Times New Roman"/>
        </w:rPr>
        <w:t xml:space="preserve">concurrent evidence </w:t>
      </w:r>
      <w:r w:rsidR="000E572F">
        <w:rPr>
          <w:rFonts w:cs="Times New Roman"/>
        </w:rPr>
        <w:t>“</w:t>
      </w:r>
      <w:r w:rsidR="000B1778" w:rsidRPr="00876672">
        <w:rPr>
          <w:rFonts w:cs="Times New Roman"/>
        </w:rPr>
        <w:t>does put a huge burden on the judge who, in effect, has to prepare something rather equivalent to notes for a cross examination in respect of the experts of each discipline.</w:t>
      </w:r>
      <w:r w:rsidR="000E572F">
        <w:rPr>
          <w:rFonts w:cs="Times New Roman"/>
        </w:rPr>
        <w:t>”</w:t>
      </w:r>
      <w:r w:rsidR="00FF45C6" w:rsidRPr="00876672">
        <w:rPr>
          <w:rStyle w:val="FootnoteReference"/>
          <w:rFonts w:cs="Times New Roman"/>
        </w:rPr>
        <w:footnoteReference w:id="132"/>
      </w:r>
      <w:r w:rsidR="000B1778" w:rsidRPr="00876672">
        <w:rPr>
          <w:rFonts w:cs="Times New Roman"/>
        </w:rPr>
        <w:t xml:space="preserve"> </w:t>
      </w:r>
      <w:r w:rsidRPr="00876672">
        <w:rPr>
          <w:rFonts w:cs="Times New Roman"/>
          <w:lang w:val="en-GB"/>
        </w:rPr>
        <w:t>The time and resources required for such an exercise, as well as the risk of prejudgment, are serious concerns.</w:t>
      </w:r>
    </w:p>
    <w:p w14:paraId="3B8E0F2E" w14:textId="77777777" w:rsidR="004F52C3" w:rsidRPr="00876672" w:rsidRDefault="004F52C3" w:rsidP="003D0BBA">
      <w:pPr>
        <w:tabs>
          <w:tab w:val="left" w:pos="284"/>
        </w:tabs>
        <w:ind w:right="-248"/>
        <w:rPr>
          <w:rFonts w:cs="Times New Roman"/>
          <w:lang w:val="en-GB"/>
        </w:rPr>
      </w:pPr>
    </w:p>
    <w:p w14:paraId="53E932BF" w14:textId="77777777" w:rsidR="004F52C3" w:rsidRPr="00876672" w:rsidRDefault="004F52C3" w:rsidP="003D0BBA">
      <w:pPr>
        <w:keepNext/>
        <w:tabs>
          <w:tab w:val="left" w:pos="284"/>
        </w:tabs>
        <w:ind w:right="-248"/>
        <w:rPr>
          <w:rFonts w:cs="Times New Roman"/>
          <w:b/>
          <w:i/>
          <w:lang w:val="en-GB"/>
        </w:rPr>
      </w:pPr>
      <w:r w:rsidRPr="00876672">
        <w:rPr>
          <w:rFonts w:cs="Times New Roman"/>
          <w:b/>
          <w:i/>
          <w:lang w:val="en-GB"/>
        </w:rPr>
        <w:t>How does concurrent evidence work?</w:t>
      </w:r>
    </w:p>
    <w:p w14:paraId="344CBDD4" w14:textId="0C0DAB9C" w:rsidR="00380041" w:rsidRPr="00876672" w:rsidRDefault="007D64B9" w:rsidP="003D0BBA">
      <w:pPr>
        <w:tabs>
          <w:tab w:val="left" w:pos="284"/>
        </w:tabs>
        <w:ind w:right="-248"/>
        <w:rPr>
          <w:rFonts w:cs="Times New Roman"/>
          <w:lang w:val="en-GB"/>
        </w:rPr>
      </w:pPr>
      <w:r w:rsidRPr="00876672">
        <w:rPr>
          <w:rFonts w:cs="Times New Roman"/>
          <w:lang w:val="en-GB"/>
        </w:rPr>
        <w:t>In addition to the concerns set out above, in summary,</w:t>
      </w:r>
      <w:r w:rsidR="00380041" w:rsidRPr="00876672">
        <w:rPr>
          <w:rFonts w:cs="Times New Roman"/>
          <w:lang w:val="en-GB"/>
        </w:rPr>
        <w:t xml:space="preserve"> </w:t>
      </w:r>
      <w:r w:rsidRPr="00876672">
        <w:rPr>
          <w:rFonts w:cs="Times New Roman"/>
          <w:lang w:val="en-GB"/>
        </w:rPr>
        <w:t>i</w:t>
      </w:r>
      <w:r w:rsidR="009900EF" w:rsidRPr="00876672">
        <w:rPr>
          <w:rFonts w:cs="Times New Roman"/>
          <w:lang w:val="en-GB"/>
        </w:rPr>
        <w:t xml:space="preserve">f concurrent evidence is </w:t>
      </w:r>
      <w:r w:rsidR="00126E20" w:rsidRPr="00876672">
        <w:rPr>
          <w:rFonts w:cs="Times New Roman"/>
          <w:lang w:val="en-GB"/>
        </w:rPr>
        <w:t xml:space="preserve">to be hailed as a real improvement in the way </w:t>
      </w:r>
      <w:r w:rsidR="002F58DA" w:rsidRPr="00876672">
        <w:rPr>
          <w:rFonts w:cs="Times New Roman"/>
          <w:lang w:val="en-GB"/>
        </w:rPr>
        <w:t>expert</w:t>
      </w:r>
      <w:r w:rsidR="00126E20" w:rsidRPr="00876672">
        <w:rPr>
          <w:rFonts w:cs="Times New Roman"/>
          <w:lang w:val="en-GB"/>
        </w:rPr>
        <w:t xml:space="preserve"> evidence is given, it must be on the ground that it produces not merely more attractive or persuasive </w:t>
      </w:r>
      <w:r w:rsidR="00126E20" w:rsidRPr="00876672">
        <w:rPr>
          <w:rFonts w:cs="Times New Roman"/>
          <w:i/>
          <w:lang w:val="en-GB"/>
        </w:rPr>
        <w:t xml:space="preserve">performances </w:t>
      </w:r>
      <w:r w:rsidR="00126E20" w:rsidRPr="00876672">
        <w:rPr>
          <w:rFonts w:cs="Times New Roman"/>
          <w:lang w:val="en-GB"/>
        </w:rPr>
        <w:t xml:space="preserve">by expert witnesses, but that it improves the </w:t>
      </w:r>
      <w:r w:rsidR="00126E20" w:rsidRPr="00876672">
        <w:rPr>
          <w:rFonts w:cs="Times New Roman"/>
          <w:i/>
          <w:lang w:val="en-GB"/>
        </w:rPr>
        <w:t xml:space="preserve">epistemic </w:t>
      </w:r>
      <w:r w:rsidR="00126E20" w:rsidRPr="00876672">
        <w:rPr>
          <w:rFonts w:cs="Times New Roman"/>
          <w:lang w:val="en-GB"/>
        </w:rPr>
        <w:t>quality of their evidence</w:t>
      </w:r>
      <w:r w:rsidR="00DF6A19">
        <w:rPr>
          <w:rFonts w:cs="Times New Roman"/>
          <w:lang w:val="en-GB"/>
        </w:rPr>
        <w:t xml:space="preserve"> and decision-making</w:t>
      </w:r>
      <w:r w:rsidR="00126E20" w:rsidRPr="00876672">
        <w:rPr>
          <w:rFonts w:cs="Times New Roman"/>
          <w:lang w:val="en-GB"/>
        </w:rPr>
        <w:t xml:space="preserve">. By this we mean that it must make it more likely that experts (a) arrive at conclusions based on sound reasons and (b) </w:t>
      </w:r>
      <w:r w:rsidR="00B962CD">
        <w:rPr>
          <w:rFonts w:cs="Times New Roman"/>
          <w:lang w:val="en-GB"/>
        </w:rPr>
        <w:t xml:space="preserve">effectively </w:t>
      </w:r>
      <w:r w:rsidR="00126E20" w:rsidRPr="00876672">
        <w:rPr>
          <w:rFonts w:cs="Times New Roman"/>
          <w:lang w:val="en-GB"/>
        </w:rPr>
        <w:t>communicate those reasons to the judge. The very limited evidence afforded by the publicly available judgments suggests that concurrent evidence may have these beneficial effects in cases (and particularly in specialised courts: the TCC, Court of Protection, Northern Ireland Lands Tribunal) where the factfinder shares or at least has a degree of familiarity with the witnesses’ expertise.</w:t>
      </w:r>
      <w:r w:rsidR="00496F42" w:rsidRPr="00876672">
        <w:rPr>
          <w:rFonts w:cs="Times New Roman"/>
          <w:lang w:val="en-GB"/>
        </w:rPr>
        <w:t xml:space="preserve"> There is</w:t>
      </w:r>
      <w:r w:rsidR="00380041" w:rsidRPr="00876672">
        <w:rPr>
          <w:rFonts w:cs="Times New Roman"/>
          <w:lang w:val="en-GB"/>
        </w:rPr>
        <w:t>, however,</w:t>
      </w:r>
      <w:r w:rsidR="00496F42" w:rsidRPr="00876672">
        <w:rPr>
          <w:rFonts w:cs="Times New Roman"/>
          <w:lang w:val="en-GB"/>
        </w:rPr>
        <w:t xml:space="preserve"> nothing in these cases to suggest that concurrent evidence helps significantly with the problem of how a non-expert judge is to decide between experts who disagree</w:t>
      </w:r>
      <w:r w:rsidR="00D637C7" w:rsidRPr="00876672">
        <w:rPr>
          <w:rFonts w:cs="Times New Roman"/>
          <w:lang w:val="en-GB"/>
        </w:rPr>
        <w:t xml:space="preserve">, let alone address quality where the available experts agree in ways that are misguided or not representative of </w:t>
      </w:r>
      <w:r w:rsidR="00E22B34">
        <w:rPr>
          <w:rFonts w:cs="Times New Roman"/>
          <w:lang w:val="en-GB"/>
        </w:rPr>
        <w:t>mainstream perspectives and practices</w:t>
      </w:r>
      <w:r w:rsidR="00496F42" w:rsidRPr="00876672">
        <w:rPr>
          <w:rFonts w:cs="Times New Roman"/>
          <w:lang w:val="en-GB"/>
        </w:rPr>
        <w:t>.</w:t>
      </w:r>
      <w:r w:rsidRPr="00876672">
        <w:rPr>
          <w:rFonts w:cs="Times New Roman"/>
          <w:lang w:val="en-GB"/>
        </w:rPr>
        <w:t xml:space="preserve"> </w:t>
      </w:r>
    </w:p>
    <w:p w14:paraId="7F1B2BD4" w14:textId="53712D69" w:rsidR="004F52C3" w:rsidRPr="00876672" w:rsidRDefault="00380041" w:rsidP="003D0BBA">
      <w:pPr>
        <w:tabs>
          <w:tab w:val="left" w:pos="284"/>
        </w:tabs>
        <w:ind w:right="-248"/>
        <w:rPr>
          <w:rFonts w:cs="Times New Roman"/>
          <w:lang w:val="en-GB"/>
        </w:rPr>
      </w:pPr>
      <w:r w:rsidRPr="00876672">
        <w:rPr>
          <w:rFonts w:cs="Times New Roman"/>
          <w:lang w:val="en-GB"/>
        </w:rPr>
        <w:tab/>
      </w:r>
      <w:r w:rsidR="002F58DA" w:rsidRPr="00876672">
        <w:rPr>
          <w:rFonts w:cs="Times New Roman"/>
          <w:lang w:val="en-GB"/>
        </w:rPr>
        <w:t xml:space="preserve">Rather, </w:t>
      </w:r>
      <w:r w:rsidR="00496F42" w:rsidRPr="00876672">
        <w:rPr>
          <w:rFonts w:cs="Times New Roman"/>
          <w:lang w:val="en-GB"/>
        </w:rPr>
        <w:t xml:space="preserve">we find </w:t>
      </w:r>
      <w:r w:rsidR="002F58DA" w:rsidRPr="00876672">
        <w:rPr>
          <w:rFonts w:cs="Times New Roman"/>
          <w:lang w:val="en-GB"/>
        </w:rPr>
        <w:t>judges deploying</w:t>
      </w:r>
      <w:r w:rsidR="00496F42" w:rsidRPr="00876672">
        <w:rPr>
          <w:rFonts w:cs="Times New Roman"/>
          <w:lang w:val="en-GB"/>
        </w:rPr>
        <w:t xml:space="preserve"> the traditional repertoire of tie-breaking techniques – placing the evidence in the context of lay evidence, impressionistic judgments of the witnesses’ characters,</w:t>
      </w:r>
      <w:r w:rsidR="00B769A6">
        <w:rPr>
          <w:rFonts w:cs="Times New Roman"/>
          <w:lang w:val="en-GB"/>
        </w:rPr>
        <w:t xml:space="preserve"> confidence,</w:t>
      </w:r>
      <w:r w:rsidR="00496F42" w:rsidRPr="00876672">
        <w:rPr>
          <w:rFonts w:cs="Times New Roman"/>
          <w:lang w:val="en-GB"/>
        </w:rPr>
        <w:t xml:space="preserve"> </w:t>
      </w:r>
      <w:r w:rsidR="00B769A6">
        <w:rPr>
          <w:rFonts w:cs="Times New Roman"/>
          <w:lang w:val="en-GB"/>
        </w:rPr>
        <w:t xml:space="preserve">and </w:t>
      </w:r>
      <w:r w:rsidR="00496F42" w:rsidRPr="00876672">
        <w:rPr>
          <w:rFonts w:cs="Times New Roman"/>
          <w:lang w:val="en-GB"/>
        </w:rPr>
        <w:t xml:space="preserve">the detection of signs of adversarial bias – with very little </w:t>
      </w:r>
      <w:r w:rsidR="002842CC">
        <w:rPr>
          <w:rFonts w:cs="Times New Roman"/>
          <w:lang w:val="en-GB"/>
        </w:rPr>
        <w:t>evidence</w:t>
      </w:r>
      <w:r w:rsidR="00496F42" w:rsidRPr="00876672">
        <w:rPr>
          <w:rFonts w:cs="Times New Roman"/>
          <w:lang w:val="en-GB"/>
        </w:rPr>
        <w:t xml:space="preserve"> that </w:t>
      </w:r>
      <w:r w:rsidR="002842CC">
        <w:rPr>
          <w:rFonts w:cs="Times New Roman"/>
          <w:lang w:val="en-GB"/>
        </w:rPr>
        <w:t>concurrent evidence</w:t>
      </w:r>
      <w:r w:rsidR="00496F42" w:rsidRPr="00876672">
        <w:rPr>
          <w:rFonts w:cs="Times New Roman"/>
          <w:lang w:val="en-GB"/>
        </w:rPr>
        <w:t xml:space="preserve"> </w:t>
      </w:r>
      <w:r w:rsidR="002842CC">
        <w:rPr>
          <w:rFonts w:cs="Times New Roman"/>
          <w:lang w:val="en-GB"/>
        </w:rPr>
        <w:t>improved decision making</w:t>
      </w:r>
      <w:r w:rsidR="00496F42" w:rsidRPr="00876672">
        <w:rPr>
          <w:rFonts w:cs="Times New Roman"/>
          <w:lang w:val="en-GB"/>
        </w:rPr>
        <w:t>.</w:t>
      </w:r>
      <w:r w:rsidR="002842CC">
        <w:rPr>
          <w:rStyle w:val="FootnoteReference"/>
          <w:rFonts w:cs="Times New Roman"/>
          <w:lang w:val="en-GB"/>
        </w:rPr>
        <w:footnoteReference w:id="133"/>
      </w:r>
      <w:r w:rsidR="00496F42" w:rsidRPr="00876672">
        <w:rPr>
          <w:rFonts w:cs="Times New Roman"/>
          <w:lang w:val="en-GB"/>
        </w:rPr>
        <w:t xml:space="preserve"> </w:t>
      </w:r>
      <w:r w:rsidR="007D64B9" w:rsidRPr="00876672">
        <w:rPr>
          <w:rFonts w:cs="Times New Roman"/>
          <w:lang w:val="en-GB"/>
        </w:rPr>
        <w:t>The cases concerning hot-tubbing also make several mentions of concessions being made in cross-examination.</w:t>
      </w:r>
      <w:r w:rsidR="00245FD2">
        <w:rPr>
          <w:rFonts w:cs="Times New Roman"/>
          <w:lang w:val="en-GB"/>
        </w:rPr>
        <w:t xml:space="preserve"> </w:t>
      </w:r>
      <w:r w:rsidR="00496F42" w:rsidRPr="00876672">
        <w:rPr>
          <w:rFonts w:cs="Times New Roman"/>
          <w:lang w:val="en-GB"/>
        </w:rPr>
        <w:t>What hot-tubbing may do, as pre-trial meetings of experts also do, is to increase the likelihood of experts reaching agreement</w:t>
      </w:r>
      <w:r w:rsidR="002F58DA" w:rsidRPr="00876672">
        <w:rPr>
          <w:rFonts w:cs="Times New Roman"/>
          <w:lang w:val="en-GB"/>
        </w:rPr>
        <w:t xml:space="preserve">. But this raises a difficult question about whether it produces </w:t>
      </w:r>
      <w:r w:rsidR="000E572F">
        <w:rPr>
          <w:rFonts w:cs="Times New Roman"/>
          <w:lang w:val="en-GB"/>
        </w:rPr>
        <w:t>“</w:t>
      </w:r>
      <w:r w:rsidR="002F58DA" w:rsidRPr="00876672">
        <w:rPr>
          <w:rFonts w:cs="Times New Roman"/>
          <w:lang w:val="en-GB"/>
        </w:rPr>
        <w:t>a true and objective consensus</w:t>
      </w:r>
      <w:r w:rsidR="000E572F">
        <w:rPr>
          <w:rFonts w:cs="Times New Roman"/>
          <w:lang w:val="en-GB"/>
        </w:rPr>
        <w:t>”</w:t>
      </w:r>
      <w:r w:rsidR="002F58DA" w:rsidRPr="00876672">
        <w:rPr>
          <w:rFonts w:cs="Times New Roman"/>
          <w:lang w:val="en-GB"/>
        </w:rPr>
        <w:t>,</w:t>
      </w:r>
      <w:r w:rsidR="002F58DA" w:rsidRPr="00876672">
        <w:rPr>
          <w:rStyle w:val="FootnoteReference"/>
          <w:rFonts w:cs="Times New Roman"/>
          <w:lang w:val="en-GB"/>
        </w:rPr>
        <w:footnoteReference w:id="134"/>
      </w:r>
      <w:r w:rsidR="002F58DA" w:rsidRPr="00876672">
        <w:rPr>
          <w:rFonts w:cs="Times New Roman"/>
          <w:lang w:val="en-GB"/>
        </w:rPr>
        <w:t xml:space="preserve"> or a consensus resulting from procedural pressures</w:t>
      </w:r>
      <w:r w:rsidR="00E70091" w:rsidRPr="00876672">
        <w:rPr>
          <w:rFonts w:cs="Times New Roman"/>
          <w:lang w:val="en-GB"/>
        </w:rPr>
        <w:t xml:space="preserve">, </w:t>
      </w:r>
      <w:r w:rsidR="002F58DA" w:rsidRPr="00876672">
        <w:rPr>
          <w:rFonts w:cs="Times New Roman"/>
          <w:lang w:val="en-GB"/>
        </w:rPr>
        <w:t>the personal dynamics between the experts</w:t>
      </w:r>
      <w:r w:rsidR="00E70091" w:rsidRPr="00876672">
        <w:rPr>
          <w:rFonts w:cs="Times New Roman"/>
          <w:lang w:val="en-GB"/>
        </w:rPr>
        <w:t>, and their interest in avoiding protracted cross-examination</w:t>
      </w:r>
      <w:r w:rsidR="002F58DA" w:rsidRPr="00876672">
        <w:rPr>
          <w:rFonts w:cs="Times New Roman"/>
          <w:lang w:val="en-GB"/>
        </w:rPr>
        <w:t xml:space="preserve">. </w:t>
      </w:r>
    </w:p>
    <w:p w14:paraId="506D5E99" w14:textId="14788825" w:rsidR="00CB7321" w:rsidRPr="00876672" w:rsidRDefault="00CB7321" w:rsidP="003D0BBA">
      <w:pPr>
        <w:tabs>
          <w:tab w:val="left" w:pos="284"/>
        </w:tabs>
        <w:ind w:right="-248"/>
        <w:rPr>
          <w:rFonts w:cs="Times New Roman"/>
          <w:lang w:val="en-GB"/>
        </w:rPr>
      </w:pPr>
      <w:r w:rsidRPr="00876672">
        <w:rPr>
          <w:rFonts w:cs="Times New Roman"/>
          <w:lang w:val="en-GB"/>
        </w:rPr>
        <w:tab/>
        <w:t xml:space="preserve">Concurrent evidence is often celebrated as a means of reducing partisanship and advocacy, although in reality the procedures may (seek to) achieve these ends by making it more difficult to observe. Consider the following, attributed to judicial respondents, in relation to the form of the evidence: </w:t>
      </w:r>
      <w:r w:rsidR="000E572F">
        <w:rPr>
          <w:rFonts w:cs="Times New Roman"/>
          <w:lang w:val="en-GB"/>
        </w:rPr>
        <w:t>“</w:t>
      </w:r>
      <w:r w:rsidRPr="00876672">
        <w:rPr>
          <w:rFonts w:cs="Times New Roman"/>
          <w:lang w:val="en-GB"/>
        </w:rPr>
        <w:t xml:space="preserve">there may be a danger of experts coming across as </w:t>
      </w:r>
      <w:r w:rsidR="00DF6A19">
        <w:rPr>
          <w:rFonts w:cs="Times New Roman"/>
          <w:lang w:val="en-GB"/>
        </w:rPr>
        <w:lastRenderedPageBreak/>
        <w:t>‘</w:t>
      </w:r>
      <w:r w:rsidRPr="00876672">
        <w:rPr>
          <w:rFonts w:cs="Times New Roman"/>
          <w:lang w:val="en-GB"/>
        </w:rPr>
        <w:t>advocates</w:t>
      </w:r>
      <w:r w:rsidR="00DF6A19">
        <w:rPr>
          <w:rFonts w:cs="Times New Roman"/>
          <w:lang w:val="en-GB"/>
        </w:rPr>
        <w:t>’</w:t>
      </w:r>
      <w:r w:rsidRPr="00876672">
        <w:rPr>
          <w:rFonts w:cs="Times New Roman"/>
          <w:lang w:val="en-GB"/>
        </w:rPr>
        <w:t xml:space="preserve"> for the party which they are representing, if they are given an opportunity for an opening statement.</w:t>
      </w:r>
      <w:r w:rsidR="000E572F">
        <w:rPr>
          <w:rFonts w:cs="Times New Roman"/>
          <w:lang w:val="en-GB"/>
        </w:rPr>
        <w:t>”</w:t>
      </w:r>
      <w:r w:rsidRPr="00876672">
        <w:rPr>
          <w:rStyle w:val="FootnoteReference"/>
          <w:rFonts w:cs="Times New Roman"/>
          <w:lang w:val="en-GB"/>
        </w:rPr>
        <w:footnoteReference w:id="135"/>
      </w:r>
      <w:r w:rsidRPr="00876672">
        <w:rPr>
          <w:rFonts w:cs="Times New Roman"/>
          <w:lang w:val="en-GB"/>
        </w:rPr>
        <w:t xml:space="preserve"> Here, preventing the appearance of partisanship appears to trump concerns about its existence. We should be aiming to implement procedures that generate substantial advantages rather than formal or apparent improvements. Without wanting to insist that impressions of bias or partisanship will always be particularly significant, judges should be sensitive to, and consider, such issues. Indeed, complaints about apparent bias can be found in cases where experts were </w:t>
      </w:r>
      <w:r w:rsidR="000E572F">
        <w:rPr>
          <w:rFonts w:cs="Times New Roman"/>
          <w:lang w:val="en-GB"/>
        </w:rPr>
        <w:t>“</w:t>
      </w:r>
      <w:r w:rsidRPr="00876672">
        <w:rPr>
          <w:rFonts w:cs="Times New Roman"/>
          <w:lang w:val="en-GB"/>
        </w:rPr>
        <w:t>hot-tubbed</w:t>
      </w:r>
      <w:r w:rsidR="000E572F">
        <w:rPr>
          <w:rFonts w:cs="Times New Roman"/>
          <w:lang w:val="en-GB"/>
        </w:rPr>
        <w:t>”</w:t>
      </w:r>
      <w:r w:rsidRPr="00876672">
        <w:rPr>
          <w:rFonts w:cs="Times New Roman"/>
          <w:lang w:val="en-GB"/>
        </w:rPr>
        <w:t>.</w:t>
      </w:r>
      <w:r w:rsidRPr="00876672">
        <w:rPr>
          <w:rStyle w:val="FootnoteReference"/>
          <w:rFonts w:cs="Times New Roman"/>
          <w:lang w:val="en-GB"/>
        </w:rPr>
        <w:footnoteReference w:id="136"/>
      </w:r>
      <w:r w:rsidRPr="00876672">
        <w:rPr>
          <w:rFonts w:cs="Times New Roman"/>
          <w:lang w:val="en-GB"/>
        </w:rPr>
        <w:t xml:space="preserve"> Judges should be cautious about procedural reforms that might obscure or conceal actual biases and alignments, and judges should not overlook the fact that our party-led system may encourage (some of) them through the selection and orientation of expert witnesses.</w:t>
      </w:r>
    </w:p>
    <w:p w14:paraId="0ED2F3B8" w14:textId="77777777" w:rsidR="00126E20" w:rsidRPr="00876672" w:rsidRDefault="00126E20" w:rsidP="003D0BBA">
      <w:pPr>
        <w:tabs>
          <w:tab w:val="left" w:pos="284"/>
        </w:tabs>
        <w:ind w:right="-248"/>
        <w:rPr>
          <w:rFonts w:cs="Times New Roman"/>
          <w:lang w:val="en-GB"/>
        </w:rPr>
      </w:pPr>
    </w:p>
    <w:p w14:paraId="4DDC8F0B" w14:textId="3EA30A08" w:rsidR="004824BD" w:rsidRPr="002842CC" w:rsidRDefault="004824BD" w:rsidP="003D0BBA">
      <w:pPr>
        <w:keepNext/>
        <w:tabs>
          <w:tab w:val="left" w:pos="284"/>
        </w:tabs>
        <w:ind w:right="-248"/>
        <w:rPr>
          <w:rFonts w:cs="Times New Roman"/>
          <w:b/>
          <w:lang w:val="en-GB"/>
        </w:rPr>
      </w:pPr>
      <w:r w:rsidRPr="003D00C5">
        <w:rPr>
          <w:b/>
        </w:rPr>
        <w:t>Conclusion</w:t>
      </w:r>
      <w:r w:rsidR="00237F69" w:rsidRPr="003D00C5">
        <w:rPr>
          <w:b/>
        </w:rPr>
        <w:t>:</w:t>
      </w:r>
      <w:r w:rsidR="00A352D8" w:rsidRPr="003D00C5">
        <w:rPr>
          <w:b/>
        </w:rPr>
        <w:t xml:space="preserve"> Table d’hôte</w:t>
      </w:r>
      <w:r w:rsidR="00A352D8">
        <w:t xml:space="preserve"> </w:t>
      </w:r>
      <w:r w:rsidR="0011469A" w:rsidRPr="002842CC">
        <w:rPr>
          <w:rFonts w:cs="Times New Roman"/>
          <w:b/>
          <w:lang w:val="en-GB"/>
        </w:rPr>
        <w:t>or</w:t>
      </w:r>
      <w:r w:rsidR="00F3081E" w:rsidRPr="002842CC">
        <w:rPr>
          <w:rFonts w:cs="Times New Roman"/>
          <w:b/>
          <w:lang w:val="en-GB"/>
        </w:rPr>
        <w:t xml:space="preserve"> the smorgasbord</w:t>
      </w:r>
      <w:r w:rsidR="0011469A" w:rsidRPr="002842CC">
        <w:rPr>
          <w:rFonts w:cs="Times New Roman"/>
          <w:b/>
          <w:lang w:val="en-GB"/>
        </w:rPr>
        <w:t>?</w:t>
      </w:r>
    </w:p>
    <w:p w14:paraId="2168717D" w14:textId="77777777" w:rsidR="00C67893" w:rsidRDefault="004824BD" w:rsidP="003D0BBA">
      <w:pPr>
        <w:tabs>
          <w:tab w:val="left" w:pos="284"/>
        </w:tabs>
        <w:ind w:right="-248"/>
        <w:rPr>
          <w:rFonts w:cs="Times New Roman"/>
          <w:lang w:val="en-GB"/>
        </w:rPr>
      </w:pPr>
      <w:r w:rsidRPr="00876672">
        <w:rPr>
          <w:rFonts w:cs="Times New Roman"/>
          <w:lang w:val="en-GB"/>
        </w:rPr>
        <w:t xml:space="preserve">At first sight, concurrent expert evidence looks like a small and relatively </w:t>
      </w:r>
      <w:r w:rsidR="001475B8">
        <w:rPr>
          <w:rFonts w:cs="Times New Roman"/>
          <w:lang w:val="en-GB"/>
        </w:rPr>
        <w:t>innocuous</w:t>
      </w:r>
      <w:r w:rsidRPr="00876672">
        <w:rPr>
          <w:rFonts w:cs="Times New Roman"/>
          <w:lang w:val="en-GB"/>
        </w:rPr>
        <w:t xml:space="preserve"> </w:t>
      </w:r>
      <w:r w:rsidR="001475B8">
        <w:rPr>
          <w:rFonts w:cs="Times New Roman"/>
          <w:lang w:val="en-GB"/>
        </w:rPr>
        <w:t>modification to</w:t>
      </w:r>
      <w:r w:rsidRPr="00876672">
        <w:rPr>
          <w:rFonts w:cs="Times New Roman"/>
          <w:lang w:val="en-GB"/>
        </w:rPr>
        <w:t xml:space="preserve"> civil procedure.</w:t>
      </w:r>
      <w:r w:rsidR="00E70091" w:rsidRPr="00876672">
        <w:rPr>
          <w:rFonts w:cs="Times New Roman"/>
          <w:lang w:val="en-GB"/>
        </w:rPr>
        <w:t xml:space="preserve"> </w:t>
      </w:r>
      <w:r w:rsidR="008D2642" w:rsidRPr="00876672">
        <w:rPr>
          <w:rFonts w:cs="Times New Roman"/>
          <w:lang w:val="en-GB"/>
        </w:rPr>
        <w:t>Who could object to a procedure that</w:t>
      </w:r>
      <w:r w:rsidR="00E70091" w:rsidRPr="00876672">
        <w:rPr>
          <w:rFonts w:cs="Times New Roman"/>
          <w:lang w:val="en-GB"/>
        </w:rPr>
        <w:t xml:space="preserve"> reduces expert disagreement, improves the quality of expert opinion, the comprehension of judges and the efficiency of civil proceedings</w:t>
      </w:r>
      <w:r w:rsidR="008D2642" w:rsidRPr="00876672">
        <w:rPr>
          <w:rFonts w:cs="Times New Roman"/>
          <w:lang w:val="en-GB"/>
        </w:rPr>
        <w:t>?</w:t>
      </w:r>
      <w:r w:rsidRPr="00876672">
        <w:rPr>
          <w:rFonts w:cs="Times New Roman"/>
          <w:lang w:val="en-GB"/>
        </w:rPr>
        <w:t xml:space="preserve"> </w:t>
      </w:r>
      <w:r w:rsidR="00E70091" w:rsidRPr="00876672">
        <w:rPr>
          <w:rFonts w:cs="Times New Roman"/>
          <w:lang w:val="en-GB"/>
        </w:rPr>
        <w:t>Unfortunately, we are not in a position t</w:t>
      </w:r>
      <w:r w:rsidR="00546DAD" w:rsidRPr="00876672">
        <w:rPr>
          <w:rFonts w:cs="Times New Roman"/>
          <w:lang w:val="en-GB"/>
        </w:rPr>
        <w:t xml:space="preserve">o confirm </w:t>
      </w:r>
      <w:r w:rsidR="008D2642" w:rsidRPr="00876672">
        <w:rPr>
          <w:rFonts w:cs="Times New Roman"/>
          <w:lang w:val="en-GB"/>
        </w:rPr>
        <w:t>that concurrent evidence has these benign effects</w:t>
      </w:r>
      <w:r w:rsidR="00E70091" w:rsidRPr="00876672">
        <w:rPr>
          <w:rFonts w:cs="Times New Roman"/>
          <w:lang w:val="en-GB"/>
        </w:rPr>
        <w:t xml:space="preserve">. </w:t>
      </w:r>
      <w:r w:rsidRPr="00876672">
        <w:rPr>
          <w:rFonts w:cs="Times New Roman"/>
          <w:lang w:val="en-GB"/>
        </w:rPr>
        <w:t xml:space="preserve">So far </w:t>
      </w:r>
      <w:r w:rsidR="00546DAD" w:rsidRPr="00876672">
        <w:rPr>
          <w:rFonts w:cs="Times New Roman"/>
          <w:lang w:val="en-GB"/>
        </w:rPr>
        <w:t xml:space="preserve">concurrent evidence </w:t>
      </w:r>
      <w:r w:rsidRPr="00876672">
        <w:rPr>
          <w:rFonts w:cs="Times New Roman"/>
          <w:lang w:val="en-GB"/>
        </w:rPr>
        <w:t xml:space="preserve">has been used on a modest scale and what little is known about it suggests that it has </w:t>
      </w:r>
      <w:r w:rsidR="008D2642" w:rsidRPr="00876672">
        <w:rPr>
          <w:rFonts w:cs="Times New Roman"/>
          <w:lang w:val="en-GB"/>
        </w:rPr>
        <w:t xml:space="preserve">been </w:t>
      </w:r>
      <w:r w:rsidR="00546DAD" w:rsidRPr="00876672">
        <w:rPr>
          <w:rFonts w:cs="Times New Roman"/>
          <w:lang w:val="en-GB"/>
        </w:rPr>
        <w:t>modestly successful</w:t>
      </w:r>
      <w:r w:rsidRPr="00876672">
        <w:rPr>
          <w:rFonts w:cs="Times New Roman"/>
          <w:lang w:val="en-GB"/>
        </w:rPr>
        <w:t>, particularly in spec</w:t>
      </w:r>
      <w:r w:rsidR="00AF7952" w:rsidRPr="00876672">
        <w:rPr>
          <w:rFonts w:cs="Times New Roman"/>
          <w:lang w:val="en-GB"/>
        </w:rPr>
        <w:t xml:space="preserve">ialised courts like the TCC, NILT and Court of Protection. </w:t>
      </w:r>
      <w:r w:rsidR="00847329" w:rsidRPr="00876672">
        <w:rPr>
          <w:rFonts w:cs="Times New Roman"/>
          <w:lang w:val="en-GB"/>
        </w:rPr>
        <w:t>If, however, we consider the possibility of concurrent evidence becoming the normal way for experts to parti</w:t>
      </w:r>
      <w:r w:rsidR="00546DAD" w:rsidRPr="00876672">
        <w:rPr>
          <w:rFonts w:cs="Times New Roman"/>
          <w:lang w:val="en-GB"/>
        </w:rPr>
        <w:t>ci</w:t>
      </w:r>
      <w:r w:rsidR="00847329" w:rsidRPr="00876672">
        <w:rPr>
          <w:rFonts w:cs="Times New Roman"/>
          <w:lang w:val="en-GB"/>
        </w:rPr>
        <w:t xml:space="preserve">pate in civil trials, then we would – given the centrality of expert evidence </w:t>
      </w:r>
      <w:r w:rsidR="00546DAD" w:rsidRPr="00876672">
        <w:rPr>
          <w:rFonts w:cs="Times New Roman"/>
          <w:lang w:val="en-GB"/>
        </w:rPr>
        <w:t>to modern</w:t>
      </w:r>
      <w:r w:rsidR="00847329" w:rsidRPr="00876672">
        <w:rPr>
          <w:rFonts w:cs="Times New Roman"/>
          <w:lang w:val="en-GB"/>
        </w:rPr>
        <w:t xml:space="preserve"> civil litigation – be contemplating a fundamental shift towards a more inquisitorial</w:t>
      </w:r>
      <w:r w:rsidR="00AF2D79" w:rsidRPr="00876672">
        <w:rPr>
          <w:rFonts w:cs="Times New Roman"/>
          <w:lang w:val="en-GB"/>
        </w:rPr>
        <w:t xml:space="preserve"> </w:t>
      </w:r>
      <w:r w:rsidR="00546DAD" w:rsidRPr="00876672">
        <w:rPr>
          <w:rFonts w:cs="Times New Roman"/>
          <w:lang w:val="en-GB"/>
        </w:rPr>
        <w:t xml:space="preserve">civil justice </w:t>
      </w:r>
      <w:r w:rsidR="00AF2D79" w:rsidRPr="00876672">
        <w:rPr>
          <w:rFonts w:cs="Times New Roman"/>
          <w:lang w:val="en-GB"/>
        </w:rPr>
        <w:t xml:space="preserve">system. </w:t>
      </w:r>
      <w:r w:rsidR="00D91E94" w:rsidRPr="00876672">
        <w:rPr>
          <w:rFonts w:cs="Times New Roman"/>
          <w:lang w:val="en-GB"/>
        </w:rPr>
        <w:t>This is not a step to be taken lightly</w:t>
      </w:r>
      <w:r w:rsidR="00B769A6">
        <w:rPr>
          <w:rFonts w:cs="Times New Roman"/>
          <w:lang w:val="en-GB"/>
        </w:rPr>
        <w:t>.</w:t>
      </w:r>
    </w:p>
    <w:p w14:paraId="3ED68FBE" w14:textId="3FA4B583" w:rsidR="003D5832" w:rsidRPr="00876672" w:rsidRDefault="00C67893" w:rsidP="003D0BBA">
      <w:pPr>
        <w:tabs>
          <w:tab w:val="left" w:pos="284"/>
        </w:tabs>
        <w:ind w:right="-248"/>
        <w:rPr>
          <w:rFonts w:cs="Times New Roman"/>
          <w:lang w:val="en-GB"/>
        </w:rPr>
      </w:pPr>
      <w:r>
        <w:rPr>
          <w:rFonts w:cs="Times New Roman"/>
          <w:lang w:val="en-GB"/>
        </w:rPr>
        <w:tab/>
        <w:t xml:space="preserve">Recently, </w:t>
      </w:r>
      <w:r w:rsidR="00B06B41">
        <w:rPr>
          <w:rFonts w:cs="Times New Roman"/>
          <w:lang w:val="en-GB"/>
        </w:rPr>
        <w:t xml:space="preserve">the CPRC concluded that </w:t>
      </w:r>
      <w:r w:rsidR="000E572F">
        <w:rPr>
          <w:rFonts w:cs="Times New Roman"/>
          <w:lang w:val="en-GB"/>
        </w:rPr>
        <w:t>“</w:t>
      </w:r>
      <w:r w:rsidR="00551C0D" w:rsidRPr="00551C0D">
        <w:rPr>
          <w:bCs/>
        </w:rPr>
        <w:t>dictating the use of [hot-tubbing]</w:t>
      </w:r>
      <w:r w:rsidR="00B06B41" w:rsidRPr="00650234">
        <w:rPr>
          <w:bCs/>
        </w:rPr>
        <w:t xml:space="preserve"> would be a step too far</w:t>
      </w:r>
      <w:r w:rsidR="000E572F">
        <w:rPr>
          <w:rFonts w:cs="Times New Roman"/>
          <w:lang w:val="en-GB"/>
        </w:rPr>
        <w:t>”</w:t>
      </w:r>
      <w:r w:rsidR="009C4B9E">
        <w:rPr>
          <w:rFonts w:cs="Times New Roman"/>
          <w:lang w:val="en-GB"/>
        </w:rPr>
        <w:t>.</w:t>
      </w:r>
      <w:r w:rsidR="00551C0D">
        <w:rPr>
          <w:rStyle w:val="FootnoteReference"/>
          <w:rFonts w:cs="Times New Roman"/>
          <w:lang w:val="en-GB"/>
        </w:rPr>
        <w:footnoteReference w:id="137"/>
      </w:r>
      <w:r w:rsidR="00B06B41" w:rsidRPr="00650234">
        <w:rPr>
          <w:rFonts w:cs="Times New Roman"/>
          <w:lang w:val="en-GB"/>
        </w:rPr>
        <w:t xml:space="preserve"> </w:t>
      </w:r>
      <w:r>
        <w:rPr>
          <w:rFonts w:cs="Times New Roman"/>
          <w:lang w:val="en-GB"/>
        </w:rPr>
        <w:t xml:space="preserve">Nonetheless, </w:t>
      </w:r>
      <w:r w:rsidR="000E572F">
        <w:t>“</w:t>
      </w:r>
      <w:r w:rsidR="00997630">
        <w:t>it was agreed that in general Hot-Tubbing (HT) had not caught on, it is not the default position, and not widely taken up voluntarily. The subcommittee recognised the danger that implementing the CJC proposals would not deliver HT unless it is imposed through the rules/standard directions and onus is on a party to opt out.</w:t>
      </w:r>
      <w:r w:rsidR="000E572F">
        <w:t>”</w:t>
      </w:r>
      <w:r w:rsidR="00997630">
        <w:rPr>
          <w:rStyle w:val="FootnoteReference"/>
        </w:rPr>
        <w:footnoteReference w:id="138"/>
      </w:r>
      <w:r w:rsidR="008663DE">
        <w:t xml:space="preserve"> </w:t>
      </w:r>
      <w:r>
        <w:t>A</w:t>
      </w:r>
      <w:r w:rsidR="003770EC">
        <w:t xml:space="preserve">lthough hot-tubbing has not been made mandatory </w:t>
      </w:r>
      <w:r w:rsidR="006A108D">
        <w:t xml:space="preserve">the amended directions and listing questionnaires, which require the parties to give detailed consideration of the possibility of hot-tubbing and provide reasons as to why they do not consider hot-tubbing to be suitable, evidence a </w:t>
      </w:r>
      <w:r w:rsidR="003770EC">
        <w:t xml:space="preserve">clear steer towards </w:t>
      </w:r>
      <w:r w:rsidR="006A108D">
        <w:t xml:space="preserve">increased use of </w:t>
      </w:r>
      <w:r w:rsidR="003770EC">
        <w:t>hot-tubbing</w:t>
      </w:r>
      <w:r w:rsidR="006A108D">
        <w:t>. S</w:t>
      </w:r>
      <w:r w:rsidR="00F274B1">
        <w:t xml:space="preserve">uch changes </w:t>
      </w:r>
      <w:r w:rsidR="006A108D">
        <w:t xml:space="preserve">appear to have been </w:t>
      </w:r>
      <w:r w:rsidR="00F274B1">
        <w:t>approved without substantive discussion by the CPRC.</w:t>
      </w:r>
      <w:r w:rsidR="00F274B1">
        <w:rPr>
          <w:rStyle w:val="FootnoteReference"/>
        </w:rPr>
        <w:footnoteReference w:id="139"/>
      </w:r>
      <w:r w:rsidR="00530D83" w:rsidRPr="00876672">
        <w:rPr>
          <w:rFonts w:cs="Times New Roman"/>
          <w:lang w:val="en-GB"/>
        </w:rPr>
        <w:t xml:space="preserve"> </w:t>
      </w:r>
    </w:p>
    <w:p w14:paraId="485542DD" w14:textId="77777777" w:rsidR="00AA3A7A" w:rsidRPr="00876672" w:rsidRDefault="002575C7" w:rsidP="003D0BBA">
      <w:pPr>
        <w:tabs>
          <w:tab w:val="left" w:pos="284"/>
        </w:tabs>
        <w:ind w:right="-248"/>
        <w:rPr>
          <w:rFonts w:cs="Times New Roman"/>
          <w:lang w:val="en-GB"/>
        </w:rPr>
      </w:pPr>
      <w:r w:rsidRPr="00876672">
        <w:rPr>
          <w:rFonts w:cs="Times New Roman"/>
          <w:lang w:val="en-GB"/>
        </w:rPr>
        <w:tab/>
        <w:t xml:space="preserve">In the end there may be more at stake than </w:t>
      </w:r>
      <w:r w:rsidR="005C1EC8">
        <w:rPr>
          <w:rFonts w:cs="Times New Roman"/>
          <w:lang w:val="en-GB"/>
        </w:rPr>
        <w:t>procedural reform</w:t>
      </w:r>
      <w:r w:rsidRPr="00876672">
        <w:rPr>
          <w:rFonts w:cs="Times New Roman"/>
          <w:lang w:val="en-GB"/>
        </w:rPr>
        <w:t>. At its core, concurrent evidence represents a break with conventional adversarial procedure and reliance on the parties to collect and present their evidence. While revising pro</w:t>
      </w:r>
      <w:r w:rsidR="001475B8">
        <w:rPr>
          <w:rFonts w:cs="Times New Roman"/>
          <w:lang w:val="en-GB"/>
        </w:rPr>
        <w:t>cedures, especially in the free-</w:t>
      </w:r>
      <w:r w:rsidRPr="00876672">
        <w:rPr>
          <w:rFonts w:cs="Times New Roman"/>
          <w:lang w:val="en-GB"/>
        </w:rPr>
        <w:t xml:space="preserve">form proposed by the CJC might be defensible, </w:t>
      </w:r>
      <w:r w:rsidR="005C1EC8">
        <w:rPr>
          <w:rFonts w:cs="Times New Roman"/>
          <w:lang w:val="en-GB"/>
        </w:rPr>
        <w:t>citizens</w:t>
      </w:r>
      <w:r w:rsidR="005C1EC8" w:rsidRPr="00876672">
        <w:rPr>
          <w:rFonts w:cs="Times New Roman"/>
          <w:lang w:val="en-GB"/>
        </w:rPr>
        <w:t xml:space="preserve"> </w:t>
      </w:r>
      <w:r w:rsidRPr="00876672">
        <w:rPr>
          <w:rFonts w:cs="Times New Roman"/>
          <w:lang w:val="en-GB"/>
        </w:rPr>
        <w:t xml:space="preserve">might expect to see </w:t>
      </w:r>
      <w:r w:rsidR="005C1EC8">
        <w:rPr>
          <w:rFonts w:cs="Times New Roman"/>
          <w:lang w:val="en-GB"/>
        </w:rPr>
        <w:t xml:space="preserve">more persuasive data </w:t>
      </w:r>
      <w:r w:rsidRPr="00876672">
        <w:rPr>
          <w:rFonts w:cs="Times New Roman"/>
          <w:lang w:val="en-GB"/>
        </w:rPr>
        <w:t>about advantages in terms of evidentiary produ</w:t>
      </w:r>
      <w:r w:rsidR="001475B8">
        <w:rPr>
          <w:rFonts w:cs="Times New Roman"/>
          <w:lang w:val="en-GB"/>
        </w:rPr>
        <w:t>cts and institutional efficiencies</w:t>
      </w:r>
      <w:r w:rsidRPr="00876672">
        <w:rPr>
          <w:rFonts w:cs="Times New Roman"/>
          <w:lang w:val="en-GB"/>
        </w:rPr>
        <w:t>.</w:t>
      </w:r>
      <w:r w:rsidR="00546DAD" w:rsidRPr="00876672">
        <w:rPr>
          <w:rFonts w:cs="Times New Roman"/>
          <w:lang w:val="en-GB"/>
        </w:rPr>
        <w:t xml:space="preserve"> We might expect to see reform, guidance and advice based on serious assessment using recognisable analytical tools rather than the bare impressions of a few </w:t>
      </w:r>
      <w:r w:rsidR="003E06FE" w:rsidRPr="00876672">
        <w:rPr>
          <w:rFonts w:cs="Times New Roman"/>
          <w:lang w:val="en-GB"/>
        </w:rPr>
        <w:lastRenderedPageBreak/>
        <w:t>participants</w:t>
      </w:r>
      <w:r w:rsidR="00546DAD" w:rsidRPr="00876672">
        <w:rPr>
          <w:rFonts w:cs="Times New Roman"/>
          <w:lang w:val="en-GB"/>
        </w:rPr>
        <w:t>.</w:t>
      </w:r>
      <w:r w:rsidR="00056041" w:rsidRPr="00876672">
        <w:rPr>
          <w:rStyle w:val="FootnoteReference"/>
          <w:rFonts w:cs="Times New Roman"/>
          <w:lang w:val="en-GB"/>
        </w:rPr>
        <w:footnoteReference w:id="140"/>
      </w:r>
      <w:r w:rsidRPr="00876672">
        <w:rPr>
          <w:rFonts w:cs="Times New Roman"/>
          <w:lang w:val="en-GB"/>
        </w:rPr>
        <w:t xml:space="preserve"> If judges are going to become more </w:t>
      </w:r>
      <w:r w:rsidR="003E06FE" w:rsidRPr="00876672">
        <w:rPr>
          <w:rFonts w:cs="Times New Roman"/>
          <w:lang w:val="en-GB"/>
        </w:rPr>
        <w:t>active participants in civil proceedings</w:t>
      </w:r>
      <w:r w:rsidRPr="00876672">
        <w:rPr>
          <w:rFonts w:cs="Times New Roman"/>
          <w:lang w:val="en-GB"/>
        </w:rPr>
        <w:t>, and in the process compromise more of their traditional impartiality</w:t>
      </w:r>
      <w:r w:rsidR="00C45F24" w:rsidRPr="00876672">
        <w:rPr>
          <w:rFonts w:cs="Times New Roman"/>
          <w:lang w:val="en-GB"/>
        </w:rPr>
        <w:t xml:space="preserve"> and </w:t>
      </w:r>
      <w:r w:rsidRPr="00876672">
        <w:rPr>
          <w:rFonts w:cs="Times New Roman"/>
          <w:lang w:val="en-GB"/>
        </w:rPr>
        <w:t>independence, then such shifts should be grounded in procedures that are demonstrably valuable, have clearly understood mechanisms of operation</w:t>
      </w:r>
      <w:r w:rsidR="003E06FE" w:rsidRPr="00876672">
        <w:rPr>
          <w:rFonts w:cs="Times New Roman"/>
          <w:lang w:val="en-GB"/>
        </w:rPr>
        <w:t>,</w:t>
      </w:r>
      <w:r w:rsidRPr="00876672">
        <w:rPr>
          <w:rFonts w:cs="Times New Roman"/>
          <w:lang w:val="en-GB"/>
        </w:rPr>
        <w:t xml:space="preserve"> and can be guided by evidence as to the conditions in which they are most likely to produce desirable and undesirable results.</w:t>
      </w:r>
      <w:r w:rsidR="00C45F24" w:rsidRPr="00876672">
        <w:rPr>
          <w:rFonts w:cs="Times New Roman"/>
          <w:lang w:val="en-GB"/>
        </w:rPr>
        <w:t xml:space="preserve"> </w:t>
      </w:r>
      <w:r w:rsidR="003E06FE" w:rsidRPr="00876672">
        <w:rPr>
          <w:rFonts w:cs="Times New Roman"/>
          <w:lang w:val="en-GB"/>
        </w:rPr>
        <w:t>Moreover, reformers should directly address these non-trivial role changes.</w:t>
      </w:r>
    </w:p>
    <w:p w14:paraId="09F30622" w14:textId="77777777" w:rsidR="009C3246" w:rsidRPr="00876672" w:rsidRDefault="00AA3A7A" w:rsidP="003D0BBA">
      <w:pPr>
        <w:tabs>
          <w:tab w:val="left" w:pos="284"/>
        </w:tabs>
        <w:ind w:right="-248"/>
        <w:rPr>
          <w:rFonts w:cs="Times New Roman"/>
          <w:lang w:val="en-GB"/>
        </w:rPr>
      </w:pPr>
      <w:r w:rsidRPr="00876672">
        <w:rPr>
          <w:rFonts w:cs="Times New Roman"/>
          <w:lang w:val="en-GB"/>
        </w:rPr>
        <w:tab/>
        <w:t>W</w:t>
      </w:r>
      <w:r w:rsidR="00C45F24" w:rsidRPr="00876672">
        <w:rPr>
          <w:rFonts w:cs="Times New Roman"/>
          <w:lang w:val="en-GB"/>
        </w:rPr>
        <w:t xml:space="preserve">e wonder why so much emphasis has been placed on hot-tubbing, given its disruptive potential, as opposed to </w:t>
      </w:r>
      <w:r w:rsidR="003E06FE" w:rsidRPr="00876672">
        <w:rPr>
          <w:rFonts w:cs="Times New Roman"/>
          <w:lang w:val="en-GB"/>
        </w:rPr>
        <w:t>experimentation and evaluation of more modest</w:t>
      </w:r>
      <w:r w:rsidR="00C45F24" w:rsidRPr="00876672">
        <w:rPr>
          <w:rFonts w:cs="Times New Roman"/>
          <w:lang w:val="en-GB"/>
        </w:rPr>
        <w:t xml:space="preserve"> </w:t>
      </w:r>
      <w:r w:rsidR="00FF62F2" w:rsidRPr="00876672">
        <w:rPr>
          <w:rFonts w:cs="Times New Roman"/>
          <w:lang w:val="en-GB"/>
        </w:rPr>
        <w:t xml:space="preserve">procedural </w:t>
      </w:r>
      <w:r w:rsidR="00C45F24" w:rsidRPr="00876672">
        <w:rPr>
          <w:rFonts w:cs="Times New Roman"/>
          <w:lang w:val="en-GB"/>
        </w:rPr>
        <w:t>refinements</w:t>
      </w:r>
      <w:r w:rsidR="003E06FE" w:rsidRPr="00876672">
        <w:rPr>
          <w:rFonts w:cs="Times New Roman"/>
          <w:lang w:val="en-GB"/>
        </w:rPr>
        <w:t>, more consistent with adversarialism and some of the benefits associated with hot-tubbing,</w:t>
      </w:r>
      <w:r w:rsidR="00C45F24" w:rsidRPr="00876672">
        <w:rPr>
          <w:rFonts w:cs="Times New Roman"/>
          <w:lang w:val="en-GB"/>
        </w:rPr>
        <w:t xml:space="preserve"> such as </w:t>
      </w:r>
      <w:r w:rsidRPr="00876672">
        <w:rPr>
          <w:rFonts w:cs="Times New Roman"/>
          <w:lang w:val="en-GB"/>
        </w:rPr>
        <w:t xml:space="preserve">the </w:t>
      </w:r>
      <w:r w:rsidR="00C45F24" w:rsidRPr="00876672">
        <w:rPr>
          <w:rFonts w:cs="Times New Roman"/>
          <w:lang w:val="en-GB"/>
        </w:rPr>
        <w:t>sequential presentation</w:t>
      </w:r>
      <w:r w:rsidRPr="00876672">
        <w:rPr>
          <w:rFonts w:cs="Times New Roman"/>
          <w:lang w:val="en-GB"/>
        </w:rPr>
        <w:t xml:space="preserve"> of expert evidence</w:t>
      </w:r>
      <w:r w:rsidR="00C45F24" w:rsidRPr="00876672">
        <w:rPr>
          <w:rFonts w:cs="Times New Roman"/>
          <w:lang w:val="en-GB"/>
        </w:rPr>
        <w:t>. In the absence of compelling evidence</w:t>
      </w:r>
      <w:r w:rsidRPr="00876672">
        <w:rPr>
          <w:rFonts w:cs="Times New Roman"/>
          <w:lang w:val="en-GB"/>
        </w:rPr>
        <w:t xml:space="preserve"> of </w:t>
      </w:r>
      <w:r w:rsidR="003E06FE" w:rsidRPr="00876672">
        <w:rPr>
          <w:rFonts w:cs="Times New Roman"/>
          <w:lang w:val="en-GB"/>
        </w:rPr>
        <w:t>remediable</w:t>
      </w:r>
      <w:r w:rsidRPr="00876672">
        <w:rPr>
          <w:rFonts w:cs="Times New Roman"/>
          <w:lang w:val="en-GB"/>
        </w:rPr>
        <w:t xml:space="preserve"> problems</w:t>
      </w:r>
      <w:r w:rsidR="00FF62F2" w:rsidRPr="00876672">
        <w:rPr>
          <w:rFonts w:cs="Times New Roman"/>
          <w:lang w:val="en-GB"/>
        </w:rPr>
        <w:t xml:space="preserve"> with expert evidence</w:t>
      </w:r>
      <w:r w:rsidRPr="00876672">
        <w:rPr>
          <w:rFonts w:cs="Times New Roman"/>
          <w:lang w:val="en-GB"/>
        </w:rPr>
        <w:t xml:space="preserve"> or the effectiveness of concurrent evidence</w:t>
      </w:r>
      <w:r w:rsidR="00FF62F2" w:rsidRPr="00876672">
        <w:rPr>
          <w:rFonts w:cs="Times New Roman"/>
          <w:lang w:val="en-GB"/>
        </w:rPr>
        <w:t xml:space="preserve"> </w:t>
      </w:r>
      <w:r w:rsidR="004A590F">
        <w:rPr>
          <w:rFonts w:cs="Times New Roman"/>
          <w:lang w:val="en-GB"/>
        </w:rPr>
        <w:t>in achieving</w:t>
      </w:r>
      <w:r w:rsidR="003E06FE" w:rsidRPr="00876672">
        <w:rPr>
          <w:rFonts w:cs="Times New Roman"/>
          <w:lang w:val="en-GB"/>
        </w:rPr>
        <w:t xml:space="preserve"> Jackson</w:t>
      </w:r>
      <w:r w:rsidR="004A590F">
        <w:rPr>
          <w:rFonts w:cs="Times New Roman"/>
          <w:lang w:val="en-GB"/>
        </w:rPr>
        <w:t>’s objectives</w:t>
      </w:r>
      <w:r w:rsidR="00C45F24" w:rsidRPr="00876672">
        <w:rPr>
          <w:rFonts w:cs="Times New Roman"/>
          <w:lang w:val="en-GB"/>
        </w:rPr>
        <w:t xml:space="preserve">, why opt for such </w:t>
      </w:r>
      <w:r w:rsidR="00DA33AA" w:rsidRPr="00876672">
        <w:rPr>
          <w:rFonts w:cs="Times New Roman"/>
          <w:lang w:val="en-GB"/>
        </w:rPr>
        <w:t>p</w:t>
      </w:r>
      <w:r w:rsidR="00FF62F2" w:rsidRPr="00876672">
        <w:rPr>
          <w:rFonts w:cs="Times New Roman"/>
          <w:lang w:val="en-GB"/>
        </w:rPr>
        <w:t>rocedural flexibility</w:t>
      </w:r>
      <w:r w:rsidR="00DA33AA" w:rsidRPr="00876672">
        <w:rPr>
          <w:rFonts w:cs="Times New Roman"/>
          <w:lang w:val="en-GB"/>
        </w:rPr>
        <w:t>, disruptive to adversarial principles,</w:t>
      </w:r>
      <w:r w:rsidR="00C45F24" w:rsidRPr="00876672">
        <w:rPr>
          <w:rFonts w:cs="Times New Roman"/>
          <w:lang w:val="en-GB"/>
        </w:rPr>
        <w:t xml:space="preserve"> as opposed to the presentation of </w:t>
      </w:r>
      <w:r w:rsidR="00DA33AA" w:rsidRPr="00876672">
        <w:rPr>
          <w:rFonts w:cs="Times New Roman"/>
          <w:lang w:val="en-GB"/>
        </w:rPr>
        <w:t xml:space="preserve">expert </w:t>
      </w:r>
      <w:r w:rsidR="00C45F24" w:rsidRPr="00876672">
        <w:rPr>
          <w:rFonts w:cs="Times New Roman"/>
          <w:lang w:val="en-GB"/>
        </w:rPr>
        <w:t>evidence</w:t>
      </w:r>
      <w:r w:rsidR="00DA33AA" w:rsidRPr="00876672">
        <w:rPr>
          <w:rFonts w:cs="Times New Roman"/>
          <w:lang w:val="en-GB"/>
        </w:rPr>
        <w:t xml:space="preserve"> in ways that </w:t>
      </w:r>
      <w:r w:rsidR="00FF62F2" w:rsidRPr="00876672">
        <w:rPr>
          <w:rFonts w:cs="Times New Roman"/>
          <w:lang w:val="en-GB"/>
        </w:rPr>
        <w:t>maintain party-</w:t>
      </w:r>
      <w:r w:rsidR="003E06FE" w:rsidRPr="00876672">
        <w:rPr>
          <w:rFonts w:cs="Times New Roman"/>
          <w:lang w:val="en-GB"/>
        </w:rPr>
        <w:t xml:space="preserve">presentation, and </w:t>
      </w:r>
      <w:r w:rsidR="00DA33AA" w:rsidRPr="00876672">
        <w:rPr>
          <w:rFonts w:cs="Times New Roman"/>
          <w:lang w:val="en-GB"/>
        </w:rPr>
        <w:t>testing</w:t>
      </w:r>
      <w:r w:rsidR="00FF62F2" w:rsidRPr="00876672">
        <w:rPr>
          <w:rFonts w:cs="Times New Roman"/>
          <w:lang w:val="en-GB"/>
        </w:rPr>
        <w:t xml:space="preserve"> of evidence along with</w:t>
      </w:r>
      <w:r w:rsidR="00DA33AA" w:rsidRPr="00876672">
        <w:rPr>
          <w:rFonts w:cs="Times New Roman"/>
          <w:lang w:val="en-GB"/>
        </w:rPr>
        <w:t xml:space="preserve"> </w:t>
      </w:r>
      <w:r w:rsidR="00FF62F2" w:rsidRPr="00876672">
        <w:rPr>
          <w:rFonts w:cs="Times New Roman"/>
          <w:lang w:val="en-GB"/>
        </w:rPr>
        <w:t xml:space="preserve">greater </w:t>
      </w:r>
      <w:r w:rsidR="00DA33AA" w:rsidRPr="00876672">
        <w:rPr>
          <w:rFonts w:cs="Times New Roman"/>
          <w:lang w:val="en-GB"/>
        </w:rPr>
        <w:t>judicial</w:t>
      </w:r>
      <w:r w:rsidR="00C45F24" w:rsidRPr="00876672">
        <w:rPr>
          <w:rFonts w:cs="Times New Roman"/>
          <w:lang w:val="en-GB"/>
        </w:rPr>
        <w:t xml:space="preserve"> </w:t>
      </w:r>
      <w:r w:rsidR="00DA33AA" w:rsidRPr="00876672">
        <w:rPr>
          <w:rFonts w:cs="Times New Roman"/>
          <w:lang w:val="en-GB"/>
        </w:rPr>
        <w:t>independence</w:t>
      </w:r>
      <w:r w:rsidR="004A590F">
        <w:rPr>
          <w:rFonts w:cs="Times New Roman"/>
          <w:lang w:val="en-GB"/>
        </w:rPr>
        <w:t>?</w:t>
      </w:r>
      <w:r w:rsidR="004A590F" w:rsidRPr="00876672">
        <w:rPr>
          <w:rFonts w:cs="Times New Roman"/>
          <w:lang w:val="en-GB"/>
        </w:rPr>
        <w:t xml:space="preserve"> </w:t>
      </w:r>
      <w:r w:rsidR="00DA33AA" w:rsidRPr="00876672">
        <w:rPr>
          <w:rFonts w:cs="Times New Roman"/>
          <w:lang w:val="en-GB"/>
        </w:rPr>
        <w:t xml:space="preserve">We should be confident that </w:t>
      </w:r>
      <w:r w:rsidR="00DF64E8" w:rsidRPr="00876672">
        <w:rPr>
          <w:rFonts w:cs="Times New Roman"/>
          <w:lang w:val="en-GB"/>
        </w:rPr>
        <w:t>abandoning</w:t>
      </w:r>
      <w:r w:rsidR="00DA33AA" w:rsidRPr="00876672">
        <w:rPr>
          <w:rFonts w:cs="Times New Roman"/>
          <w:lang w:val="en-GB"/>
        </w:rPr>
        <w:t xml:space="preserve"> traditional roles and procedures, and embracing more explicitly inquisitorial approaches to expertise, will actually improve </w:t>
      </w:r>
      <w:r w:rsidR="00DF64E8" w:rsidRPr="00876672">
        <w:rPr>
          <w:rFonts w:cs="Times New Roman"/>
          <w:lang w:val="en-GB"/>
        </w:rPr>
        <w:t xml:space="preserve">the </w:t>
      </w:r>
      <w:r w:rsidR="00DA33AA" w:rsidRPr="00876672">
        <w:rPr>
          <w:rFonts w:cs="Times New Roman"/>
          <w:lang w:val="en-GB"/>
        </w:rPr>
        <w:t>quality</w:t>
      </w:r>
      <w:r w:rsidR="00DF64E8" w:rsidRPr="00876672">
        <w:rPr>
          <w:rFonts w:cs="Times New Roman"/>
          <w:lang w:val="en-GB"/>
        </w:rPr>
        <w:t xml:space="preserve"> of the evidence</w:t>
      </w:r>
      <w:r w:rsidR="00DA33AA" w:rsidRPr="00876672">
        <w:rPr>
          <w:rFonts w:cs="Times New Roman"/>
          <w:lang w:val="en-GB"/>
        </w:rPr>
        <w:t>, comprehension, fairness, rectitude, access</w:t>
      </w:r>
      <w:r w:rsidR="00DF64E8" w:rsidRPr="00876672">
        <w:rPr>
          <w:rFonts w:cs="Times New Roman"/>
          <w:lang w:val="en-GB"/>
        </w:rPr>
        <w:t xml:space="preserve"> to justice</w:t>
      </w:r>
      <w:r w:rsidR="00DA33AA" w:rsidRPr="00876672">
        <w:rPr>
          <w:rFonts w:cs="Times New Roman"/>
          <w:lang w:val="en-GB"/>
        </w:rPr>
        <w:t xml:space="preserve"> and party satisfaction</w:t>
      </w:r>
      <w:r w:rsidRPr="00876672">
        <w:rPr>
          <w:rFonts w:cs="Times New Roman"/>
          <w:lang w:val="en-GB"/>
        </w:rPr>
        <w:t xml:space="preserve"> before moving to adopt them</w:t>
      </w:r>
      <w:r w:rsidR="00DA33AA" w:rsidRPr="00876672">
        <w:rPr>
          <w:rFonts w:cs="Times New Roman"/>
          <w:lang w:val="en-GB"/>
        </w:rPr>
        <w:t xml:space="preserve">. </w:t>
      </w:r>
    </w:p>
    <w:sectPr w:rsidR="009C3246" w:rsidRPr="00876672" w:rsidSect="00876672">
      <w:headerReference w:type="default" r:id="rId8"/>
      <w:pgSz w:w="11900" w:h="16840"/>
      <w:pgMar w:top="1440" w:right="1694"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3119" w14:textId="77777777" w:rsidR="00CF25FE" w:rsidRDefault="00CF25FE" w:rsidP="002872E9">
      <w:r>
        <w:separator/>
      </w:r>
    </w:p>
  </w:endnote>
  <w:endnote w:type="continuationSeparator" w:id="0">
    <w:p w14:paraId="25C6D92A" w14:textId="77777777" w:rsidR="00CF25FE" w:rsidRDefault="00CF25FE" w:rsidP="0028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GSPN H+ 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AB3E" w14:textId="77777777" w:rsidR="00CF25FE" w:rsidRDefault="00CF25FE" w:rsidP="002872E9">
      <w:r>
        <w:separator/>
      </w:r>
    </w:p>
  </w:footnote>
  <w:footnote w:type="continuationSeparator" w:id="0">
    <w:p w14:paraId="58F7C364" w14:textId="77777777" w:rsidR="00CF25FE" w:rsidRDefault="00CF25FE" w:rsidP="002872E9">
      <w:r>
        <w:continuationSeparator/>
      </w:r>
    </w:p>
  </w:footnote>
  <w:footnote w:id="1">
    <w:p w14:paraId="3CBB80B5" w14:textId="77777777" w:rsidR="00A352D8" w:rsidRPr="00265D81" w:rsidRDefault="00A352D8">
      <w:pPr>
        <w:pStyle w:val="FootnoteText"/>
        <w:rPr>
          <w:rFonts w:cs="Times New Roman"/>
          <w:szCs w:val="18"/>
        </w:rPr>
      </w:pPr>
      <w:r w:rsidRPr="00265D81">
        <w:rPr>
          <w:rStyle w:val="FootnoteReference"/>
          <w:rFonts w:cs="Times New Roman"/>
          <w:szCs w:val="18"/>
        </w:rPr>
        <w:t>†</w:t>
      </w:r>
      <w:r w:rsidRPr="00265D81">
        <w:rPr>
          <w:rFonts w:cs="Times New Roman"/>
          <w:szCs w:val="18"/>
        </w:rPr>
        <w:t xml:space="preserve"> Professor, School of Law, The University of New South Wales, Sydney, Australia and Research Professor (fractional), Northumbria Law School, Newcastle-upon-Tyne; Lecturer, Northumbria Law School, Newcastle-upon-Tyne; Professor, Northumbria Law School, Newcastle-upon-Tyne. The authors would like to thank the CJC and members of a workshop convened at Northumbria Law School in June 2017 to discuss concurrent evidence.</w:t>
      </w:r>
    </w:p>
  </w:footnote>
  <w:footnote w:id="2">
    <w:p w14:paraId="0045728E" w14:textId="6244FA7B" w:rsidR="00A352D8" w:rsidRPr="00BE1116" w:rsidRDefault="00A352D8" w:rsidP="00287BE7">
      <w:pPr>
        <w:pStyle w:val="FootnoteText"/>
        <w:rPr>
          <w:lang w:val="en-GB"/>
        </w:rPr>
      </w:pPr>
      <w:r>
        <w:rPr>
          <w:rStyle w:val="FootnoteReference"/>
        </w:rPr>
        <w:footnoteRef/>
      </w:r>
      <w:r>
        <w:t xml:space="preserve"> </w:t>
      </w:r>
      <w:r>
        <w:rPr>
          <w:i/>
          <w:lang w:val="en-GB"/>
        </w:rPr>
        <w:t xml:space="preserve">Minutes of the CPR Committee for 9 June 2017, </w:t>
      </w:r>
      <w:r>
        <w:rPr>
          <w:lang w:val="en-GB"/>
        </w:rPr>
        <w:t>available on Lexis PSL under Dispute Resolution/key DR developments; CPR minutes, para. 9. See also the Minutes for 7 April 2017, item 4, para. 14, agreeing that “hot tubbing could not be imposed top down”.</w:t>
      </w:r>
    </w:p>
  </w:footnote>
  <w:footnote w:id="3">
    <w:p w14:paraId="03485A0D" w14:textId="65864C9A" w:rsidR="00A352D8" w:rsidRPr="00265D81" w:rsidRDefault="00A352D8" w:rsidP="00DC7962">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Civil Justice Council, </w:t>
      </w:r>
      <w:r w:rsidRPr="00265D81">
        <w:rPr>
          <w:rFonts w:cs="Times New Roman"/>
          <w:i/>
          <w:szCs w:val="18"/>
        </w:rPr>
        <w:t xml:space="preserve">Concurrent Expert Evidence and </w:t>
      </w:r>
      <w:r>
        <w:rPr>
          <w:rFonts w:cs="Times New Roman"/>
          <w:i/>
          <w:szCs w:val="18"/>
        </w:rPr>
        <w:t>“</w:t>
      </w:r>
      <w:r w:rsidRPr="00265D81">
        <w:rPr>
          <w:rFonts w:cs="Times New Roman"/>
          <w:i/>
          <w:szCs w:val="18"/>
        </w:rPr>
        <w:t>Hot-Tubbing</w:t>
      </w:r>
      <w:r>
        <w:rPr>
          <w:rFonts w:cs="Times New Roman"/>
          <w:i/>
          <w:szCs w:val="18"/>
        </w:rPr>
        <w:t>”</w:t>
      </w:r>
      <w:r w:rsidRPr="00265D81">
        <w:rPr>
          <w:rFonts w:cs="Times New Roman"/>
          <w:i/>
          <w:szCs w:val="18"/>
        </w:rPr>
        <w:t xml:space="preserve"> in English Litigation Since the </w:t>
      </w:r>
      <w:r>
        <w:rPr>
          <w:rFonts w:cs="Times New Roman"/>
          <w:i/>
          <w:szCs w:val="18"/>
        </w:rPr>
        <w:t>“</w:t>
      </w:r>
      <w:r w:rsidRPr="00265D81">
        <w:rPr>
          <w:rFonts w:cs="Times New Roman"/>
          <w:i/>
          <w:szCs w:val="18"/>
        </w:rPr>
        <w:t>Jackson Reforms</w:t>
      </w:r>
      <w:r>
        <w:rPr>
          <w:rFonts w:cs="Times New Roman"/>
          <w:i/>
          <w:szCs w:val="18"/>
        </w:rPr>
        <w:t>”</w:t>
      </w:r>
      <w:r w:rsidRPr="00265D81">
        <w:rPr>
          <w:rFonts w:cs="Times New Roman"/>
          <w:i/>
          <w:szCs w:val="18"/>
        </w:rPr>
        <w:t xml:space="preserve">: </w:t>
      </w:r>
      <w:r w:rsidRPr="00265D81">
        <w:rPr>
          <w:rFonts w:cs="Times New Roman"/>
          <w:i/>
          <w:iCs/>
          <w:szCs w:val="18"/>
        </w:rPr>
        <w:t>A Legal and Empirical Study</w:t>
      </w:r>
      <w:r w:rsidRPr="00265D81">
        <w:rPr>
          <w:rFonts w:cs="Times New Roman"/>
          <w:szCs w:val="18"/>
          <w:lang w:val="en-GB"/>
        </w:rPr>
        <w:t xml:space="preserve"> 24 (2016) (hereafter CJC Report or Review) available at </w:t>
      </w:r>
      <w:hyperlink r:id="rId1" w:history="1">
        <w:r w:rsidRPr="00265D81">
          <w:rPr>
            <w:rStyle w:val="Hyperlink"/>
            <w:rFonts w:cs="Times New Roman"/>
            <w:szCs w:val="18"/>
            <w:lang w:val="en-GB"/>
          </w:rPr>
          <w:t>https://www.judiciary.gov.uk/wp-content/uploads/2011/03/cjc-civil-litigation-review-hot-tubbing-report-20160801.pdf</w:t>
        </w:r>
      </w:hyperlink>
      <w:r w:rsidRPr="00265D81">
        <w:rPr>
          <w:rFonts w:cs="Times New Roman"/>
          <w:szCs w:val="18"/>
          <w:lang w:val="en-GB"/>
        </w:rPr>
        <w:t>.</w:t>
      </w:r>
    </w:p>
  </w:footnote>
  <w:footnote w:id="4">
    <w:p w14:paraId="09B35B80"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15-16.</w:t>
      </w:r>
    </w:p>
  </w:footnote>
  <w:footnote w:id="5">
    <w:p w14:paraId="40C9F6E2" w14:textId="6DB20707" w:rsidR="00A352D8" w:rsidRPr="00650234" w:rsidRDefault="00A352D8">
      <w:pPr>
        <w:pStyle w:val="FootnoteText"/>
        <w:rPr>
          <w:rFonts w:cs="Times New Roman"/>
          <w:sz w:val="10"/>
          <w:lang w:val="en-GB"/>
        </w:rPr>
      </w:pPr>
      <w:r>
        <w:rPr>
          <w:rStyle w:val="FootnoteReference"/>
        </w:rPr>
        <w:footnoteRef/>
      </w:r>
      <w:r>
        <w:t xml:space="preserve"> </w:t>
      </w:r>
      <w:r>
        <w:rPr>
          <w:lang w:val="en-GB"/>
        </w:rPr>
        <w:t>CPRC, n 1 above and “</w:t>
      </w:r>
      <w:r w:rsidRPr="00650234">
        <w:rPr>
          <w:rFonts w:cs="Times New Roman"/>
          <w:bCs/>
          <w:szCs w:val="27"/>
          <w:lang w:val="en-GB"/>
        </w:rPr>
        <w:t>Hot-tubbing Subcommittee note for CPRC meeting on 5.5.17</w:t>
      </w:r>
      <w:r>
        <w:rPr>
          <w:rFonts w:cs="Times New Roman"/>
          <w:bCs/>
          <w:szCs w:val="27"/>
          <w:lang w:val="en-GB"/>
        </w:rPr>
        <w:t>” available through LexisPS</w:t>
      </w:r>
      <w:r w:rsidR="009E692A">
        <w:rPr>
          <w:rFonts w:cs="Times New Roman"/>
          <w:bCs/>
          <w:szCs w:val="27"/>
          <w:lang w:val="en-GB"/>
        </w:rPr>
        <w:t>L</w:t>
      </w:r>
      <w:r>
        <w:rPr>
          <w:rFonts w:cs="Times New Roman"/>
          <w:bCs/>
          <w:szCs w:val="27"/>
          <w:lang w:val="en-GB"/>
        </w:rPr>
        <w:t>.</w:t>
      </w:r>
    </w:p>
  </w:footnote>
  <w:footnote w:id="6">
    <w:p w14:paraId="1F111B4D"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16.</w:t>
      </w:r>
    </w:p>
  </w:footnote>
  <w:footnote w:id="7">
    <w:p w14:paraId="6E511703"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17.</w:t>
      </w:r>
    </w:p>
  </w:footnote>
  <w:footnote w:id="8">
    <w:p w14:paraId="37ECB737" w14:textId="5C1E9944" w:rsidR="00A352D8" w:rsidRPr="00650234" w:rsidRDefault="00A352D8">
      <w:pPr>
        <w:pStyle w:val="FootnoteText"/>
        <w:rPr>
          <w:lang w:val="en-GB"/>
        </w:rPr>
      </w:pPr>
      <w:r>
        <w:rPr>
          <w:rStyle w:val="FootnoteReference"/>
        </w:rPr>
        <w:footnoteRef/>
      </w:r>
      <w:r>
        <w:t xml:space="preserve"> </w:t>
      </w:r>
      <w:r>
        <w:rPr>
          <w:lang w:val="en-GB"/>
        </w:rPr>
        <w:t>CPRC, n. 1 above, item 6, Annex B, para. 11.4; “will” replaces the current Direction’s “may”.</w:t>
      </w:r>
    </w:p>
  </w:footnote>
  <w:footnote w:id="9">
    <w:p w14:paraId="0F3D8CD4"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See </w:t>
      </w:r>
      <w:r w:rsidRPr="00265D81">
        <w:rPr>
          <w:rFonts w:cs="Times New Roman"/>
          <w:i/>
          <w:szCs w:val="18"/>
          <w:lang w:val="en-GB"/>
        </w:rPr>
        <w:t xml:space="preserve">Electromagnetic Geoservices v Petroleum Geoservices </w:t>
      </w:r>
      <w:r w:rsidRPr="00265D81">
        <w:rPr>
          <w:rFonts w:cs="Times New Roman"/>
          <w:szCs w:val="18"/>
          <w:lang w:val="en-GB"/>
        </w:rPr>
        <w:t>[2016] EWHC 881 (Pat).</w:t>
      </w:r>
    </w:p>
  </w:footnote>
  <w:footnote w:id="10">
    <w:p w14:paraId="47505E4F"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25.</w:t>
      </w:r>
    </w:p>
  </w:footnote>
  <w:footnote w:id="11">
    <w:p w14:paraId="713EC680" w14:textId="7075E37A" w:rsidR="00A352D8" w:rsidRPr="00265D81" w:rsidRDefault="00A352D8">
      <w:pPr>
        <w:pStyle w:val="FootnoteText"/>
        <w:rPr>
          <w:rFonts w:cs="Times New Roman"/>
          <w:szCs w:val="18"/>
          <w:lang w:val="en-GB"/>
        </w:rPr>
      </w:pPr>
      <w:r w:rsidRPr="00265D81">
        <w:rPr>
          <w:rStyle w:val="FootnoteReference"/>
          <w:rFonts w:cs="Times New Roman"/>
          <w:szCs w:val="18"/>
        </w:rPr>
        <w:footnoteRef/>
      </w:r>
      <w:r w:rsidRPr="00265D81">
        <w:rPr>
          <w:rFonts w:cs="Times New Roman"/>
          <w:szCs w:val="18"/>
        </w:rPr>
        <w:t xml:space="preserve"> </w:t>
      </w:r>
      <w:r w:rsidRPr="00265D81">
        <w:rPr>
          <w:rFonts w:cs="Times New Roman"/>
          <w:szCs w:val="18"/>
          <w:lang w:val="en-GB"/>
        </w:rPr>
        <w:t>C</w:t>
      </w:r>
      <w:r>
        <w:rPr>
          <w:rFonts w:cs="Times New Roman"/>
          <w:szCs w:val="18"/>
          <w:lang w:val="en-GB"/>
        </w:rPr>
        <w:t>ivil</w:t>
      </w:r>
      <w:r w:rsidRPr="00265D81">
        <w:rPr>
          <w:rFonts w:cs="Times New Roman"/>
          <w:szCs w:val="18"/>
          <w:lang w:val="en-GB"/>
        </w:rPr>
        <w:t xml:space="preserve"> Procedure Rules Committee, </w:t>
      </w:r>
      <w:r>
        <w:rPr>
          <w:rFonts w:cs="Times New Roman"/>
          <w:szCs w:val="18"/>
          <w:lang w:val="en-GB"/>
        </w:rPr>
        <w:t>“</w:t>
      </w:r>
      <w:r w:rsidRPr="00265D81">
        <w:rPr>
          <w:rFonts w:cs="Times New Roman"/>
          <w:szCs w:val="18"/>
          <w:lang w:val="en-GB"/>
        </w:rPr>
        <w:t>Hot-tubbing Subcommittee Report</w:t>
      </w:r>
      <w:r>
        <w:rPr>
          <w:rFonts w:cs="Times New Roman"/>
          <w:szCs w:val="18"/>
          <w:lang w:val="en-GB"/>
        </w:rPr>
        <w:t>”</w:t>
      </w:r>
      <w:r w:rsidRPr="00265D81">
        <w:rPr>
          <w:rFonts w:cs="Times New Roman"/>
          <w:szCs w:val="18"/>
          <w:lang w:val="en-GB"/>
        </w:rPr>
        <w:t xml:space="preserve">, available via </w:t>
      </w:r>
      <w:r>
        <w:t xml:space="preserve">LexisPSL, Minutes of the CPR Committee meeting of 7 April 2017, </w:t>
      </w:r>
      <w:r w:rsidRPr="00265D81">
        <w:rPr>
          <w:rFonts w:cs="Times New Roman"/>
          <w:szCs w:val="18"/>
          <w:lang w:val="en-GB"/>
        </w:rPr>
        <w:t xml:space="preserve"> </w:t>
      </w:r>
      <w:r>
        <w:rPr>
          <w:rFonts w:cs="Times New Roman"/>
          <w:szCs w:val="18"/>
          <w:lang w:val="en-GB"/>
        </w:rPr>
        <w:t xml:space="preserve">item 4, </w:t>
      </w:r>
      <w:r w:rsidRPr="00265D81">
        <w:rPr>
          <w:rFonts w:cs="Times New Roman"/>
          <w:szCs w:val="18"/>
          <w:lang w:val="en-GB"/>
        </w:rPr>
        <w:t>para. 11.</w:t>
      </w:r>
    </w:p>
  </w:footnote>
  <w:footnote w:id="12">
    <w:p w14:paraId="1052197C" w14:textId="198A0900"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Appendix 1, </w:t>
      </w:r>
      <w:r>
        <w:rPr>
          <w:rFonts w:cs="Times New Roman"/>
          <w:szCs w:val="18"/>
          <w:lang w:val="en-GB"/>
        </w:rPr>
        <w:t>“</w:t>
      </w:r>
      <w:r w:rsidRPr="00265D81">
        <w:rPr>
          <w:rFonts w:cs="Times New Roman"/>
          <w:szCs w:val="18"/>
          <w:lang w:val="en-GB"/>
        </w:rPr>
        <w:t>A Suggested Re-draft of CPR 35.11</w:t>
      </w:r>
      <w:r>
        <w:rPr>
          <w:rFonts w:cs="Times New Roman"/>
          <w:szCs w:val="18"/>
          <w:lang w:val="en-GB"/>
        </w:rPr>
        <w:t>”</w:t>
      </w:r>
      <w:r w:rsidRPr="00265D81">
        <w:rPr>
          <w:rFonts w:cs="Times New Roman"/>
          <w:szCs w:val="18"/>
          <w:lang w:val="en-GB"/>
        </w:rPr>
        <w:t>, draft rules 11.1 (</w:t>
      </w:r>
      <w:r>
        <w:rPr>
          <w:rFonts w:cs="Times New Roman"/>
          <w:szCs w:val="18"/>
          <w:lang w:val="en-GB"/>
        </w:rPr>
        <w:t>“</w:t>
      </w:r>
      <w:r w:rsidRPr="00265D81">
        <w:rPr>
          <w:rFonts w:cs="Times New Roman"/>
          <w:szCs w:val="18"/>
          <w:lang w:val="en-GB"/>
        </w:rPr>
        <w:t>at [the Court’s] absolute discretion</w:t>
      </w:r>
      <w:r>
        <w:rPr>
          <w:rFonts w:cs="Times New Roman"/>
          <w:szCs w:val="18"/>
          <w:lang w:val="en-GB"/>
        </w:rPr>
        <w:t>”</w:t>
      </w:r>
      <w:r w:rsidRPr="00265D81">
        <w:rPr>
          <w:rFonts w:cs="Times New Roman"/>
          <w:szCs w:val="18"/>
          <w:lang w:val="en-GB"/>
        </w:rPr>
        <w:t>) and 11.8 (</w:t>
      </w:r>
      <w:r>
        <w:rPr>
          <w:rFonts w:cs="Times New Roman"/>
          <w:szCs w:val="18"/>
          <w:lang w:val="en-GB"/>
        </w:rPr>
        <w:t>“</w:t>
      </w:r>
      <w:r w:rsidRPr="00265D81">
        <w:rPr>
          <w:rFonts w:cs="Times New Roman"/>
          <w:szCs w:val="18"/>
          <w:lang w:val="en-GB"/>
        </w:rPr>
        <w:t>depending upon what the court considers the most appropriate way of adducing the oral expert opinion testimony in the case</w:t>
      </w:r>
      <w:r>
        <w:rPr>
          <w:rFonts w:cs="Times New Roman"/>
          <w:szCs w:val="18"/>
          <w:lang w:val="en-GB"/>
        </w:rPr>
        <w:t>”</w:t>
      </w:r>
      <w:r w:rsidRPr="00265D81">
        <w:rPr>
          <w:rFonts w:cs="Times New Roman"/>
          <w:szCs w:val="18"/>
          <w:lang w:val="en-GB"/>
        </w:rPr>
        <w:t>).</w:t>
      </w:r>
    </w:p>
  </w:footnote>
  <w:footnote w:id="13">
    <w:p w14:paraId="38A85CA0" w14:textId="77777777" w:rsidR="00A352D8" w:rsidRPr="00BF7EA6" w:rsidRDefault="00A352D8" w:rsidP="005B041C">
      <w:pPr>
        <w:pStyle w:val="FootnoteText"/>
      </w:pPr>
      <w:r>
        <w:rPr>
          <w:rStyle w:val="FootnoteReference"/>
        </w:rPr>
        <w:footnoteRef/>
      </w:r>
      <w:r>
        <w:t xml:space="preserve"> The empirical work undertaken for the purpose of the CJC Report is set out at pages 4-6 of the Report and took the form of “interviews, surveys and personal insights”.  The CJC Report itself sets out the limitations of the project at pages 6-9 including (at page 7) the “small budget by which to conduct its survey, although the interest was such that, via approximately 100 responses, it did gather more data than might have been expected.” . </w:t>
      </w:r>
    </w:p>
  </w:footnote>
  <w:footnote w:id="14">
    <w:p w14:paraId="58BEF265" w14:textId="7EE3EB86"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Sir Rupert Jackson, </w:t>
      </w:r>
      <w:r>
        <w:rPr>
          <w:rFonts w:cs="Times New Roman"/>
          <w:szCs w:val="18"/>
          <w:lang w:val="en-GB"/>
        </w:rPr>
        <w:t>“</w:t>
      </w:r>
      <w:r w:rsidRPr="00265D81">
        <w:rPr>
          <w:rFonts w:cs="Times New Roman"/>
          <w:szCs w:val="18"/>
          <w:lang w:val="en-GB"/>
        </w:rPr>
        <w:t>Focussing Expert Evidence and Controlling Costs</w:t>
      </w:r>
      <w:r>
        <w:rPr>
          <w:rFonts w:cs="Times New Roman"/>
          <w:szCs w:val="18"/>
          <w:lang w:val="en-GB"/>
        </w:rPr>
        <w:t>”</w:t>
      </w:r>
      <w:r w:rsidRPr="00265D81">
        <w:rPr>
          <w:rFonts w:cs="Times New Roman"/>
          <w:szCs w:val="18"/>
          <w:lang w:val="en-GB"/>
        </w:rPr>
        <w:t xml:space="preserve"> (Lecture delivered at University College London, 2011) available at </w:t>
      </w:r>
      <w:hyperlink r:id="rId2" w:history="1">
        <w:r w:rsidRPr="00265D81">
          <w:rPr>
            <w:rStyle w:val="Hyperlink"/>
            <w:rFonts w:cs="Times New Roman"/>
            <w:szCs w:val="18"/>
            <w:lang w:val="en-GB"/>
          </w:rPr>
          <w:t>https://www.judiciary.gov.uk/wp-content/uploads/JCO/Documents/Speeches/lj-jackson-lecture-focusing-expert-evidence-controlling-costs.pdf</w:t>
        </w:r>
      </w:hyperlink>
      <w:r w:rsidRPr="00265D81">
        <w:rPr>
          <w:rFonts w:cs="Times New Roman"/>
          <w:szCs w:val="18"/>
          <w:lang w:val="en-GB"/>
        </w:rPr>
        <w:t>, para. 4.1, quoted in CJC Report, 57.</w:t>
      </w:r>
    </w:p>
  </w:footnote>
  <w:footnote w:id="15">
    <w:p w14:paraId="3065FCC9" w14:textId="6F2A1DF2"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Gary Edmond, </w:t>
      </w:r>
      <w:r>
        <w:rPr>
          <w:rFonts w:cs="Times New Roman"/>
          <w:szCs w:val="18"/>
          <w:lang w:val="en-GB"/>
        </w:rPr>
        <w:t>“</w:t>
      </w:r>
      <w:r w:rsidRPr="00265D81">
        <w:rPr>
          <w:rFonts w:cs="Times New Roman"/>
          <w:bCs/>
          <w:szCs w:val="18"/>
        </w:rPr>
        <w:t>Secrets</w:t>
      </w:r>
      <w:r w:rsidRPr="00265D81">
        <w:rPr>
          <w:rFonts w:cs="Times New Roman"/>
          <w:szCs w:val="18"/>
        </w:rPr>
        <w:t xml:space="preserve"> </w:t>
      </w:r>
      <w:r w:rsidRPr="00265D81">
        <w:rPr>
          <w:rFonts w:cs="Times New Roman"/>
          <w:bCs/>
          <w:szCs w:val="18"/>
        </w:rPr>
        <w:t>of</w:t>
      </w:r>
      <w:r w:rsidRPr="00265D81">
        <w:rPr>
          <w:rFonts w:cs="Times New Roman"/>
          <w:szCs w:val="18"/>
        </w:rPr>
        <w:t xml:space="preserve"> </w:t>
      </w:r>
      <w:r w:rsidRPr="00265D81">
        <w:rPr>
          <w:rFonts w:cs="Times New Roman"/>
          <w:bCs/>
          <w:szCs w:val="18"/>
        </w:rPr>
        <w:t>the</w:t>
      </w:r>
      <w:r w:rsidRPr="00265D81">
        <w:rPr>
          <w:rFonts w:cs="Times New Roman"/>
          <w:szCs w:val="18"/>
        </w:rPr>
        <w:t xml:space="preserve"> </w:t>
      </w:r>
      <w:r>
        <w:rPr>
          <w:rFonts w:cs="Times New Roman"/>
          <w:bCs/>
          <w:szCs w:val="18"/>
        </w:rPr>
        <w:t>‘</w:t>
      </w:r>
      <w:r w:rsidRPr="00265D81">
        <w:rPr>
          <w:rFonts w:cs="Times New Roman"/>
          <w:bCs/>
          <w:szCs w:val="18"/>
        </w:rPr>
        <w:t>Hot</w:t>
      </w:r>
      <w:r w:rsidRPr="00265D81">
        <w:rPr>
          <w:rFonts w:cs="Times New Roman"/>
          <w:szCs w:val="18"/>
        </w:rPr>
        <w:t xml:space="preserve"> </w:t>
      </w:r>
      <w:r w:rsidRPr="00265D81">
        <w:rPr>
          <w:rFonts w:cs="Times New Roman"/>
          <w:bCs/>
          <w:szCs w:val="18"/>
        </w:rPr>
        <w:t>Tub</w:t>
      </w:r>
      <w:r>
        <w:rPr>
          <w:rFonts w:cs="Times New Roman"/>
          <w:bCs/>
          <w:szCs w:val="18"/>
        </w:rPr>
        <w:t>’</w:t>
      </w:r>
      <w:r w:rsidRPr="00265D81">
        <w:rPr>
          <w:rFonts w:cs="Times New Roman"/>
          <w:bCs/>
          <w:szCs w:val="18"/>
        </w:rPr>
        <w:t>:</w:t>
      </w:r>
      <w:r w:rsidRPr="00265D81">
        <w:rPr>
          <w:rFonts w:cs="Times New Roman"/>
          <w:szCs w:val="18"/>
        </w:rPr>
        <w:t xml:space="preserve"> </w:t>
      </w:r>
      <w:r w:rsidRPr="00265D81">
        <w:rPr>
          <w:rFonts w:cs="Times New Roman"/>
          <w:bCs/>
          <w:szCs w:val="18"/>
        </w:rPr>
        <w:t>Expert</w:t>
      </w:r>
      <w:r w:rsidRPr="00265D81">
        <w:rPr>
          <w:rFonts w:cs="Times New Roman"/>
          <w:szCs w:val="18"/>
        </w:rPr>
        <w:t xml:space="preserve"> </w:t>
      </w:r>
      <w:r w:rsidRPr="00265D81">
        <w:rPr>
          <w:rFonts w:cs="Times New Roman"/>
          <w:bCs/>
          <w:szCs w:val="18"/>
        </w:rPr>
        <w:t>Witnesses,</w:t>
      </w:r>
      <w:r w:rsidRPr="00265D81">
        <w:rPr>
          <w:rFonts w:cs="Times New Roman"/>
          <w:szCs w:val="18"/>
        </w:rPr>
        <w:t xml:space="preserve"> </w:t>
      </w:r>
      <w:r w:rsidRPr="00265D81">
        <w:rPr>
          <w:rFonts w:cs="Times New Roman"/>
          <w:bCs/>
          <w:szCs w:val="18"/>
        </w:rPr>
        <w:t>Concurrent</w:t>
      </w:r>
      <w:r w:rsidRPr="00265D81">
        <w:rPr>
          <w:rFonts w:cs="Times New Roman"/>
          <w:szCs w:val="18"/>
        </w:rPr>
        <w:t xml:space="preserve"> </w:t>
      </w:r>
      <w:r w:rsidRPr="00265D81">
        <w:rPr>
          <w:rFonts w:cs="Times New Roman"/>
          <w:bCs/>
          <w:szCs w:val="18"/>
        </w:rPr>
        <w:t>Evidence</w:t>
      </w:r>
      <w:r w:rsidRPr="00265D81">
        <w:rPr>
          <w:rFonts w:cs="Times New Roman"/>
          <w:szCs w:val="18"/>
        </w:rPr>
        <w:t xml:space="preserve"> </w:t>
      </w:r>
      <w:r w:rsidRPr="00265D81">
        <w:rPr>
          <w:rFonts w:cs="Times New Roman"/>
          <w:bCs/>
          <w:szCs w:val="18"/>
        </w:rPr>
        <w:t>and</w:t>
      </w:r>
      <w:r w:rsidRPr="00265D81">
        <w:rPr>
          <w:rFonts w:cs="Times New Roman"/>
          <w:szCs w:val="18"/>
        </w:rPr>
        <w:t xml:space="preserve"> </w:t>
      </w:r>
      <w:r w:rsidRPr="00265D81">
        <w:rPr>
          <w:rFonts w:cs="Times New Roman"/>
          <w:bCs/>
          <w:szCs w:val="18"/>
        </w:rPr>
        <w:t>Judge-led</w:t>
      </w:r>
      <w:r w:rsidRPr="00265D81">
        <w:rPr>
          <w:rFonts w:cs="Times New Roman"/>
          <w:szCs w:val="18"/>
        </w:rPr>
        <w:t xml:space="preserve"> </w:t>
      </w:r>
      <w:r w:rsidRPr="00265D81">
        <w:rPr>
          <w:rFonts w:cs="Times New Roman"/>
          <w:bCs/>
          <w:szCs w:val="18"/>
        </w:rPr>
        <w:t>Law</w:t>
      </w:r>
      <w:r w:rsidRPr="00265D81">
        <w:rPr>
          <w:rFonts w:cs="Times New Roman"/>
          <w:szCs w:val="18"/>
        </w:rPr>
        <w:t xml:space="preserve"> </w:t>
      </w:r>
      <w:r w:rsidRPr="00265D81">
        <w:rPr>
          <w:rFonts w:cs="Times New Roman"/>
          <w:bCs/>
          <w:szCs w:val="18"/>
        </w:rPr>
        <w:t>Reform</w:t>
      </w:r>
      <w:r w:rsidRPr="00265D81">
        <w:rPr>
          <w:rFonts w:cs="Times New Roman"/>
          <w:szCs w:val="18"/>
        </w:rPr>
        <w:t xml:space="preserve"> </w:t>
      </w:r>
      <w:r w:rsidRPr="00265D81">
        <w:rPr>
          <w:rFonts w:cs="Times New Roman"/>
          <w:bCs/>
          <w:szCs w:val="18"/>
        </w:rPr>
        <w:t>in</w:t>
      </w:r>
      <w:r w:rsidRPr="00265D81">
        <w:rPr>
          <w:rFonts w:cs="Times New Roman"/>
          <w:szCs w:val="18"/>
        </w:rPr>
        <w:t xml:space="preserve"> </w:t>
      </w:r>
      <w:r w:rsidRPr="00265D81">
        <w:rPr>
          <w:rFonts w:cs="Times New Roman"/>
          <w:bCs/>
          <w:szCs w:val="18"/>
        </w:rPr>
        <w:t>Australia</w:t>
      </w:r>
      <w:r>
        <w:rPr>
          <w:rFonts w:cs="Times New Roman"/>
          <w:bCs/>
          <w:szCs w:val="18"/>
        </w:rPr>
        <w:t xml:space="preserve">” </w:t>
      </w:r>
      <w:r w:rsidRPr="00265D81">
        <w:rPr>
          <w:rFonts w:cs="Times New Roman"/>
          <w:bCs/>
          <w:szCs w:val="18"/>
        </w:rPr>
        <w:t xml:space="preserve">(2008) 57 CJQ 51; Gary Edmond, </w:t>
      </w:r>
      <w:r>
        <w:rPr>
          <w:rFonts w:cs="Times New Roman"/>
          <w:szCs w:val="18"/>
        </w:rPr>
        <w:t>“</w:t>
      </w:r>
      <w:hyperlink r:id="rId3" w:history="1">
        <w:r w:rsidRPr="00265D81">
          <w:rPr>
            <w:rFonts w:cs="Times New Roman"/>
            <w:szCs w:val="18"/>
          </w:rPr>
          <w:t>Merton and the hot tub: Scientific conventions and expert evidence in Australian civil procedure</w:t>
        </w:r>
      </w:hyperlink>
      <w:r>
        <w:rPr>
          <w:rFonts w:cs="Times New Roman"/>
          <w:szCs w:val="18"/>
        </w:rPr>
        <w:t xml:space="preserve">” </w:t>
      </w:r>
      <w:r w:rsidRPr="00265D81">
        <w:rPr>
          <w:rFonts w:cs="Times New Roman"/>
          <w:szCs w:val="18"/>
        </w:rPr>
        <w:t xml:space="preserve">(2009) 72 </w:t>
      </w:r>
      <w:r w:rsidRPr="00265D81">
        <w:rPr>
          <w:rFonts w:cs="Times New Roman"/>
          <w:i/>
          <w:szCs w:val="18"/>
        </w:rPr>
        <w:t>Law &amp; Contemporary Problems</w:t>
      </w:r>
      <w:r w:rsidRPr="00265D81">
        <w:rPr>
          <w:rFonts w:cs="Times New Roman"/>
          <w:szCs w:val="18"/>
        </w:rPr>
        <w:t xml:space="preserve"> 159</w:t>
      </w:r>
      <w:r>
        <w:rPr>
          <w:rFonts w:cs="Times New Roman"/>
          <w:szCs w:val="18"/>
        </w:rPr>
        <w:t xml:space="preserve">. Cf </w:t>
      </w:r>
      <w:r>
        <w:t xml:space="preserve">Administrative Appeals Tribunal, </w:t>
      </w:r>
      <w:r>
        <w:rPr>
          <w:i/>
        </w:rPr>
        <w:t>An evaluation of the use of concurrent evidence in the Administrative Appeals Tribunal</w:t>
      </w:r>
      <w:r>
        <w:t xml:space="preserve"> (2005).</w:t>
      </w:r>
    </w:p>
  </w:footnote>
  <w:footnote w:id="16">
    <w:p w14:paraId="539F7AAB" w14:textId="02855285"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Hazel Genn, </w:t>
      </w:r>
      <w:r>
        <w:rPr>
          <w:rFonts w:cs="Times New Roman"/>
          <w:szCs w:val="18"/>
          <w:lang w:val="en-GB"/>
        </w:rPr>
        <w:t>“</w:t>
      </w:r>
      <w:r w:rsidRPr="00265D81">
        <w:rPr>
          <w:rFonts w:cs="Times New Roman"/>
          <w:szCs w:val="18"/>
          <w:lang w:val="en-GB"/>
        </w:rPr>
        <w:t xml:space="preserve">Getting to the Truth: Experts and Judges in the </w:t>
      </w:r>
      <w:r>
        <w:rPr>
          <w:rFonts w:cs="Times New Roman"/>
          <w:szCs w:val="18"/>
          <w:lang w:val="en-GB"/>
        </w:rPr>
        <w:t>‘</w:t>
      </w:r>
      <w:r w:rsidRPr="00265D81">
        <w:rPr>
          <w:rFonts w:cs="Times New Roman"/>
          <w:szCs w:val="18"/>
          <w:lang w:val="en-GB"/>
        </w:rPr>
        <w:t>Hot Tub’</w:t>
      </w:r>
      <w:r>
        <w:rPr>
          <w:rFonts w:cs="Times New Roman"/>
          <w:szCs w:val="18"/>
          <w:lang w:val="en-GB"/>
        </w:rPr>
        <w:t>”</w:t>
      </w:r>
      <w:r w:rsidRPr="00265D81">
        <w:rPr>
          <w:rFonts w:cs="Times New Roman"/>
          <w:szCs w:val="18"/>
          <w:lang w:val="en-GB"/>
        </w:rPr>
        <w:t xml:space="preserve"> (2013) 32 CJQ 275.</w:t>
      </w:r>
    </w:p>
  </w:footnote>
  <w:footnote w:id="17">
    <w:p w14:paraId="2831CF2F"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285.</w:t>
      </w:r>
    </w:p>
  </w:footnote>
  <w:footnote w:id="18">
    <w:p w14:paraId="19E6087B"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288.</w:t>
      </w:r>
    </w:p>
  </w:footnote>
  <w:footnote w:id="19">
    <w:p w14:paraId="28E01853"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298.</w:t>
      </w:r>
    </w:p>
  </w:footnote>
  <w:footnote w:id="20">
    <w:p w14:paraId="3811E020"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297.</w:t>
      </w:r>
    </w:p>
  </w:footnote>
  <w:footnote w:id="21">
    <w:p w14:paraId="20CFF967" w14:textId="77777777" w:rsidR="00A352D8" w:rsidRPr="00265D81" w:rsidRDefault="00A352D8" w:rsidP="00E62C91">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57.</w:t>
      </w:r>
    </w:p>
  </w:footnote>
  <w:footnote w:id="22">
    <w:p w14:paraId="659FACB9" w14:textId="77777777" w:rsidR="00A352D8" w:rsidRPr="00265D81" w:rsidRDefault="00A352D8" w:rsidP="00AD4CE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40.</w:t>
      </w:r>
    </w:p>
  </w:footnote>
  <w:footnote w:id="23">
    <w:p w14:paraId="39B219E9"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57.</w:t>
      </w:r>
    </w:p>
  </w:footnote>
  <w:footnote w:id="24">
    <w:p w14:paraId="0098DE48"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58. </w:t>
      </w:r>
    </w:p>
  </w:footnote>
  <w:footnote w:id="25">
    <w:p w14:paraId="03943372"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59.</w:t>
      </w:r>
    </w:p>
  </w:footnote>
  <w:footnote w:id="26">
    <w:p w14:paraId="6786543C" w14:textId="77777777" w:rsidR="00A352D8" w:rsidRPr="00650234" w:rsidRDefault="00A352D8">
      <w:pPr>
        <w:pStyle w:val="FootnoteText"/>
        <w:rPr>
          <w:rFonts w:cs="Times New Roman"/>
          <w:szCs w:val="18"/>
          <w:lang w:val="en-GB"/>
        </w:rPr>
      </w:pPr>
      <w:r w:rsidRPr="00265D81">
        <w:rPr>
          <w:rStyle w:val="FootnoteReference"/>
          <w:rFonts w:cs="Times New Roman"/>
          <w:szCs w:val="18"/>
        </w:rPr>
        <w:footnoteRef/>
      </w:r>
      <w:r w:rsidRPr="00650234">
        <w:rPr>
          <w:rFonts w:cs="Times New Roman"/>
          <w:szCs w:val="18"/>
          <w:lang w:val="en-GB"/>
        </w:rPr>
        <w:t xml:space="preserve"> </w:t>
      </w:r>
      <w:r w:rsidRPr="00265D81">
        <w:rPr>
          <w:rFonts w:cs="Times New Roman"/>
          <w:szCs w:val="18"/>
          <w:lang w:val="en-GB"/>
        </w:rPr>
        <w:t>CJC Report</w:t>
      </w:r>
      <w:r w:rsidRPr="00650234">
        <w:rPr>
          <w:rFonts w:cs="Times New Roman"/>
          <w:szCs w:val="18"/>
          <w:lang w:val="en-GB"/>
        </w:rPr>
        <w:t>, Appendix D, 83.</w:t>
      </w:r>
    </w:p>
  </w:footnote>
  <w:footnote w:id="27">
    <w:p w14:paraId="275A737F" w14:textId="77777777" w:rsidR="00A352D8" w:rsidRPr="00650234" w:rsidRDefault="00A352D8">
      <w:pPr>
        <w:pStyle w:val="FootnoteText"/>
        <w:rPr>
          <w:rFonts w:cs="Times New Roman"/>
          <w:szCs w:val="18"/>
          <w:lang w:val="en-GB"/>
        </w:rPr>
      </w:pPr>
      <w:r w:rsidRPr="00265D81">
        <w:rPr>
          <w:rStyle w:val="FootnoteReference"/>
          <w:rFonts w:cs="Times New Roman"/>
          <w:szCs w:val="18"/>
        </w:rPr>
        <w:footnoteRef/>
      </w:r>
      <w:r w:rsidRPr="00650234">
        <w:rPr>
          <w:rFonts w:cs="Times New Roman"/>
          <w:szCs w:val="18"/>
          <w:lang w:val="en-GB"/>
        </w:rPr>
        <w:t xml:space="preserve"> </w:t>
      </w:r>
      <w:r w:rsidRPr="00265D81">
        <w:rPr>
          <w:rFonts w:cs="Times New Roman"/>
          <w:szCs w:val="18"/>
          <w:lang w:val="en-GB"/>
        </w:rPr>
        <w:t>CJC Report</w:t>
      </w:r>
      <w:r w:rsidRPr="00650234">
        <w:rPr>
          <w:rFonts w:cs="Times New Roman"/>
          <w:szCs w:val="18"/>
          <w:lang w:val="en-GB"/>
        </w:rPr>
        <w:t>, Appendix D, 99.</w:t>
      </w:r>
    </w:p>
  </w:footnote>
  <w:footnote w:id="28">
    <w:p w14:paraId="540DA6BA"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61.</w:t>
      </w:r>
    </w:p>
  </w:footnote>
  <w:footnote w:id="29">
    <w:p w14:paraId="2AC21460"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16.</w:t>
      </w:r>
    </w:p>
  </w:footnote>
  <w:footnote w:id="30">
    <w:p w14:paraId="72946271"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58</w:t>
      </w:r>
    </w:p>
  </w:footnote>
  <w:footnote w:id="31">
    <w:p w14:paraId="41917266"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58.</w:t>
      </w:r>
    </w:p>
  </w:footnote>
  <w:footnote w:id="32">
    <w:p w14:paraId="03DE9BE2"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18.</w:t>
      </w:r>
    </w:p>
  </w:footnote>
  <w:footnote w:id="33">
    <w:p w14:paraId="0E0EE500" w14:textId="77777777" w:rsidR="00A352D8" w:rsidRPr="00265D81" w:rsidRDefault="00A352D8" w:rsidP="006F00A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58</w:t>
      </w:r>
    </w:p>
  </w:footnote>
  <w:footnote w:id="34">
    <w:p w14:paraId="6C73F7CE" w14:textId="5477A12F" w:rsidR="00A352D8" w:rsidRPr="00265D81" w:rsidRDefault="00A352D8" w:rsidP="006F00A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A Champagne, D Shuman and E Whitaker </w:t>
      </w:r>
      <w:r>
        <w:rPr>
          <w:rFonts w:cs="Times New Roman"/>
          <w:szCs w:val="18"/>
          <w:lang w:val="en-GB"/>
        </w:rPr>
        <w:t>“</w:t>
      </w:r>
      <w:r w:rsidRPr="00265D81">
        <w:rPr>
          <w:rFonts w:cs="Times New Roman"/>
          <w:szCs w:val="18"/>
          <w:lang w:val="en-GB"/>
        </w:rPr>
        <w:t>An Empirical Examination of the Use of Expert Witnesses in American Courts</w:t>
      </w:r>
      <w:r>
        <w:rPr>
          <w:rFonts w:cs="Times New Roman"/>
          <w:szCs w:val="18"/>
          <w:lang w:val="en-GB"/>
        </w:rPr>
        <w:t>”</w:t>
      </w:r>
      <w:r w:rsidRPr="00265D81">
        <w:rPr>
          <w:rFonts w:cs="Times New Roman"/>
          <w:szCs w:val="18"/>
          <w:lang w:val="en-GB"/>
        </w:rPr>
        <w:t xml:space="preserve"> (1992) 31 Jurimetrics J 375; HJ Wechsler, A Kehn and RJ Cramer </w:t>
      </w:r>
      <w:r>
        <w:rPr>
          <w:rFonts w:cs="Times New Roman"/>
          <w:szCs w:val="18"/>
          <w:lang w:val="en-GB"/>
        </w:rPr>
        <w:t>“</w:t>
      </w:r>
      <w:r w:rsidRPr="00265D81">
        <w:rPr>
          <w:rFonts w:cs="Times New Roman"/>
          <w:szCs w:val="18"/>
          <w:lang w:val="en-GB"/>
        </w:rPr>
        <w:t>Attorney Beliefs Concerning Scientific Evidence and Expert Witness Credibility</w:t>
      </w:r>
      <w:r>
        <w:rPr>
          <w:rFonts w:cs="Times New Roman"/>
          <w:szCs w:val="18"/>
          <w:lang w:val="en-GB"/>
        </w:rPr>
        <w:t>”</w:t>
      </w:r>
      <w:r w:rsidRPr="00265D81">
        <w:rPr>
          <w:rFonts w:cs="Times New Roman"/>
          <w:szCs w:val="18"/>
          <w:lang w:val="en-GB"/>
        </w:rPr>
        <w:t xml:space="preserve"> (2015) 41 Int J Law &amp; Psychiatry 58</w:t>
      </w:r>
    </w:p>
  </w:footnote>
  <w:footnote w:id="35">
    <w:p w14:paraId="37F68CA0" w14:textId="574A2AA6" w:rsidR="00A352D8" w:rsidRPr="00265D81" w:rsidRDefault="00A352D8" w:rsidP="006F00A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An expert witness has an ethical and legal obligation to communicate reasons that undermine her own conclusions, even if those conclusions are true. See Tony Ward, </w:t>
      </w:r>
      <w:r>
        <w:rPr>
          <w:rFonts w:cs="Times New Roman"/>
          <w:szCs w:val="18"/>
          <w:lang w:val="en-GB"/>
        </w:rPr>
        <w:t>“</w:t>
      </w:r>
      <w:r w:rsidRPr="00265D81">
        <w:rPr>
          <w:rFonts w:cs="Times New Roman"/>
          <w:szCs w:val="18"/>
          <w:lang w:val="en-GB"/>
        </w:rPr>
        <w:t>Ethics and the Role of the Expert Witness</w:t>
      </w:r>
      <w:r>
        <w:rPr>
          <w:rFonts w:cs="Times New Roman"/>
          <w:szCs w:val="18"/>
          <w:lang w:val="en-GB"/>
        </w:rPr>
        <w:t>”</w:t>
      </w:r>
      <w:r w:rsidRPr="00265D81">
        <w:rPr>
          <w:rFonts w:cs="Times New Roman"/>
          <w:szCs w:val="18"/>
          <w:lang w:val="en-GB"/>
        </w:rPr>
        <w:t xml:space="preserve"> in Lucina Hackman, Fiona Raitt and Sue Black (eds) </w:t>
      </w:r>
      <w:r w:rsidRPr="00265D81">
        <w:rPr>
          <w:rFonts w:cs="Times New Roman"/>
          <w:i/>
          <w:szCs w:val="18"/>
          <w:lang w:val="en-GB"/>
        </w:rPr>
        <w:t xml:space="preserve">The Expert Witness, Forensic Science and the Criminal Justice Systems of the UK </w:t>
      </w:r>
      <w:r w:rsidRPr="00265D81">
        <w:rPr>
          <w:rFonts w:cs="Times New Roman"/>
          <w:szCs w:val="18"/>
          <w:lang w:val="en-GB"/>
        </w:rPr>
        <w:t xml:space="preserve">(CRC Press, </w:t>
      </w:r>
      <w:r w:rsidR="00927D08">
        <w:rPr>
          <w:rFonts w:cs="Times New Roman"/>
          <w:szCs w:val="18"/>
          <w:lang w:val="en-GB"/>
        </w:rPr>
        <w:t>2018</w:t>
      </w:r>
      <w:r w:rsidRPr="00265D81">
        <w:rPr>
          <w:rFonts w:cs="Times New Roman"/>
          <w:szCs w:val="18"/>
          <w:lang w:val="en-GB"/>
        </w:rPr>
        <w:t>)</w:t>
      </w:r>
      <w:r w:rsidR="00927D08">
        <w:rPr>
          <w:rFonts w:cs="Times New Roman"/>
          <w:szCs w:val="18"/>
          <w:lang w:val="en-GB"/>
        </w:rPr>
        <w:t>.</w:t>
      </w:r>
    </w:p>
  </w:footnote>
  <w:footnote w:id="36">
    <w:p w14:paraId="087DBA75" w14:textId="77777777" w:rsidR="00A352D8" w:rsidRPr="00265D81" w:rsidRDefault="00A352D8" w:rsidP="006F00A5">
      <w:pPr>
        <w:pStyle w:val="FootnoteText"/>
        <w:rPr>
          <w:rFonts w:cs="Times New Roman"/>
          <w:i/>
          <w:szCs w:val="18"/>
          <w:lang w:val="en-GB"/>
        </w:rPr>
      </w:pPr>
      <w:r w:rsidRPr="00265D81">
        <w:rPr>
          <w:rStyle w:val="FootnoteReference"/>
          <w:rFonts w:cs="Times New Roman"/>
          <w:szCs w:val="18"/>
          <w:lang w:val="en-GB"/>
        </w:rPr>
        <w:footnoteRef/>
      </w:r>
      <w:r w:rsidRPr="00265D81">
        <w:rPr>
          <w:rFonts w:cs="Times New Roman"/>
          <w:szCs w:val="18"/>
          <w:lang w:val="en-GB"/>
        </w:rPr>
        <w:t xml:space="preserve"> This concern was strongly expressed by the House of Commons Science and Technology Committee, </w:t>
      </w:r>
      <w:r w:rsidRPr="00265D81">
        <w:rPr>
          <w:rFonts w:cs="Times New Roman"/>
          <w:i/>
          <w:szCs w:val="18"/>
          <w:lang w:val="en-GB"/>
        </w:rPr>
        <w:t xml:space="preserve">Forensic Science on Trial </w:t>
      </w:r>
      <w:r w:rsidRPr="00265D81">
        <w:rPr>
          <w:rFonts w:cs="Times New Roman"/>
          <w:szCs w:val="18"/>
          <w:lang w:val="en-GB"/>
        </w:rPr>
        <w:t>(HC 96-1, 2005), para. 142.</w:t>
      </w:r>
    </w:p>
  </w:footnote>
  <w:footnote w:id="37">
    <w:p w14:paraId="5A66D64C" w14:textId="3FFEFC7D" w:rsidR="00A352D8" w:rsidRPr="00265D81" w:rsidRDefault="00A352D8" w:rsidP="006F00A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SL Brodsky, TMS Neal, RJ Cramer, MA, and MH Ziemke, </w:t>
      </w:r>
      <w:r>
        <w:rPr>
          <w:rFonts w:cs="Times New Roman"/>
          <w:szCs w:val="18"/>
          <w:lang w:val="en-GB"/>
        </w:rPr>
        <w:t>“</w:t>
      </w:r>
      <w:r w:rsidRPr="00265D81">
        <w:rPr>
          <w:rFonts w:cs="Times New Roman"/>
          <w:szCs w:val="18"/>
          <w:lang w:val="en-GB"/>
        </w:rPr>
        <w:t>Credibility in the Courtroom: How Likeable Should an Expert Witness Be?</w:t>
      </w:r>
      <w:r>
        <w:rPr>
          <w:rFonts w:cs="Times New Roman"/>
          <w:szCs w:val="18"/>
          <w:lang w:val="en-GB"/>
        </w:rPr>
        <w:t>”</w:t>
      </w:r>
      <w:r w:rsidRPr="00265D81">
        <w:rPr>
          <w:rFonts w:cs="Times New Roman"/>
          <w:szCs w:val="18"/>
          <w:lang w:val="en-GB"/>
        </w:rPr>
        <w:t xml:space="preserve"> (2009) 37 J Am Acad Psychiatry Law 525.</w:t>
      </w:r>
    </w:p>
  </w:footnote>
  <w:footnote w:id="38">
    <w:p w14:paraId="3637F980" w14:textId="296060C0" w:rsidR="00A352D8" w:rsidRPr="00265D81" w:rsidRDefault="00A352D8" w:rsidP="006F00A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Kristy A Martire and Gary Edmond, </w:t>
      </w:r>
      <w:r>
        <w:rPr>
          <w:rFonts w:cs="Times New Roman"/>
          <w:szCs w:val="18"/>
          <w:lang w:val="en-GB"/>
        </w:rPr>
        <w:t>“</w:t>
      </w:r>
      <w:r w:rsidRPr="00265D81">
        <w:rPr>
          <w:rFonts w:cs="Times New Roman"/>
          <w:szCs w:val="18"/>
          <w:lang w:val="en-GB"/>
        </w:rPr>
        <w:t>Rethinking Expert Opinion Evidence</w:t>
      </w:r>
      <w:r>
        <w:rPr>
          <w:rFonts w:cs="Times New Roman"/>
          <w:szCs w:val="18"/>
          <w:lang w:val="en-GB"/>
        </w:rPr>
        <w:t>”</w:t>
      </w:r>
      <w:r w:rsidRPr="00265D81">
        <w:rPr>
          <w:rFonts w:cs="Times New Roman"/>
          <w:szCs w:val="18"/>
          <w:lang w:val="en-GB"/>
        </w:rPr>
        <w:t xml:space="preserve"> (2017) 40 Melb. L. Rrv. 467</w:t>
      </w:r>
    </w:p>
  </w:footnote>
  <w:footnote w:id="39">
    <w:p w14:paraId="1C6B7FD0" w14:textId="68A169F5" w:rsidR="00A352D8" w:rsidRPr="00265D81" w:rsidRDefault="00A352D8" w:rsidP="006F00A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Samuel R Gross </w:t>
      </w:r>
      <w:r>
        <w:rPr>
          <w:rFonts w:cs="Times New Roman"/>
          <w:szCs w:val="18"/>
          <w:lang w:val="en-GB"/>
        </w:rPr>
        <w:t>“</w:t>
      </w:r>
      <w:r w:rsidRPr="00265D81">
        <w:rPr>
          <w:rFonts w:cs="Times New Roman"/>
          <w:szCs w:val="18"/>
          <w:lang w:val="en-GB"/>
        </w:rPr>
        <w:t>Expert Evidence</w:t>
      </w:r>
      <w:r>
        <w:rPr>
          <w:rFonts w:cs="Times New Roman"/>
          <w:szCs w:val="18"/>
          <w:lang w:val="en-GB"/>
        </w:rPr>
        <w:t>”</w:t>
      </w:r>
      <w:r w:rsidRPr="00265D81">
        <w:rPr>
          <w:rFonts w:cs="Times New Roman"/>
          <w:szCs w:val="18"/>
          <w:lang w:val="en-GB"/>
        </w:rPr>
        <w:t xml:space="preserve"> [1991] Wis. R. Rev. 1113, 1133-5.</w:t>
      </w:r>
    </w:p>
  </w:footnote>
  <w:footnote w:id="40">
    <w:p w14:paraId="63132002" w14:textId="05553184" w:rsidR="00A352D8" w:rsidRPr="00265D81" w:rsidRDefault="00A352D8" w:rsidP="00D9296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J Cooper, EA Bennett and HL Sukel, </w:t>
      </w:r>
      <w:r>
        <w:rPr>
          <w:rFonts w:cs="Times New Roman"/>
          <w:szCs w:val="18"/>
          <w:lang w:val="en-GB"/>
        </w:rPr>
        <w:t>“</w:t>
      </w:r>
      <w:r w:rsidRPr="00265D81">
        <w:rPr>
          <w:rFonts w:cs="Times New Roman"/>
          <w:szCs w:val="18"/>
          <w:lang w:val="en-GB"/>
        </w:rPr>
        <w:t>Complex Scientific Testimony: How do Jurors Make Decisions?</w:t>
      </w:r>
      <w:r>
        <w:rPr>
          <w:rFonts w:cs="Times New Roman"/>
          <w:szCs w:val="18"/>
          <w:lang w:val="en-GB"/>
        </w:rPr>
        <w:t>”</w:t>
      </w:r>
      <w:r w:rsidRPr="00265D81">
        <w:rPr>
          <w:rFonts w:cs="Times New Roman"/>
          <w:szCs w:val="18"/>
          <w:lang w:val="en-GB"/>
        </w:rPr>
        <w:t xml:space="preserve"> (1996) 20 Law &amp; Hum Behav 379.</w:t>
      </w:r>
    </w:p>
  </w:footnote>
  <w:footnote w:id="41">
    <w:p w14:paraId="6FBFD792" w14:textId="1435802F" w:rsidR="00A352D8" w:rsidRPr="00265D81" w:rsidRDefault="00A352D8" w:rsidP="00D9296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For example, McKay J’s judgement in </w:t>
      </w:r>
      <w:r w:rsidRPr="00265D81">
        <w:rPr>
          <w:rFonts w:cs="Times New Roman"/>
          <w:i/>
          <w:szCs w:val="18"/>
          <w:lang w:val="en-GB"/>
        </w:rPr>
        <w:t xml:space="preserve">XYZ v Schering Health Care </w:t>
      </w:r>
      <w:r w:rsidRPr="00265D81">
        <w:rPr>
          <w:rFonts w:cs="Times New Roman"/>
          <w:szCs w:val="18"/>
          <w:lang w:val="en-GB"/>
        </w:rPr>
        <w:t xml:space="preserve">[2002] EWHC 1420 (QB) was criticised by epidemiologists for relying on </w:t>
      </w:r>
      <w:r>
        <w:rPr>
          <w:rFonts w:cs="Times New Roman"/>
          <w:szCs w:val="18"/>
          <w:lang w:val="en-GB"/>
        </w:rPr>
        <w:t>“</w:t>
      </w:r>
      <w:r w:rsidRPr="00265D81">
        <w:rPr>
          <w:rFonts w:cs="Times New Roman"/>
          <w:szCs w:val="18"/>
          <w:lang w:val="en-GB"/>
        </w:rPr>
        <w:t>vivid pen-portraits that would grace a novel</w:t>
      </w:r>
      <w:r>
        <w:rPr>
          <w:rFonts w:cs="Times New Roman"/>
          <w:szCs w:val="18"/>
          <w:lang w:val="en-GB"/>
        </w:rPr>
        <w:t>”</w:t>
      </w:r>
      <w:r w:rsidRPr="00265D81">
        <w:rPr>
          <w:rFonts w:cs="Times New Roman"/>
          <w:szCs w:val="18"/>
          <w:lang w:val="en-GB"/>
        </w:rPr>
        <w:t xml:space="preserve"> to resolve a complex statistical dispute: DCG Skegg, Editorial, </w:t>
      </w:r>
      <w:r>
        <w:rPr>
          <w:rFonts w:cs="Times New Roman"/>
          <w:szCs w:val="18"/>
          <w:lang w:val="en-GB"/>
        </w:rPr>
        <w:t>“</w:t>
      </w:r>
      <w:r w:rsidRPr="00265D81">
        <w:rPr>
          <w:rFonts w:cs="Times New Roman"/>
          <w:szCs w:val="18"/>
          <w:lang w:val="en-GB"/>
        </w:rPr>
        <w:t>Oral Contraceptives, Venous Thromboemblism and the Courts</w:t>
      </w:r>
      <w:r>
        <w:rPr>
          <w:rFonts w:cs="Times New Roman"/>
          <w:szCs w:val="18"/>
          <w:lang w:val="en-GB"/>
        </w:rPr>
        <w:t>”</w:t>
      </w:r>
      <w:r w:rsidRPr="00265D81">
        <w:rPr>
          <w:rFonts w:cs="Times New Roman"/>
          <w:szCs w:val="18"/>
          <w:lang w:val="en-GB"/>
        </w:rPr>
        <w:t xml:space="preserve"> (2002) 325 BMJ 524, see also Klim McPherson, </w:t>
      </w:r>
      <w:r>
        <w:rPr>
          <w:rFonts w:cs="Times New Roman"/>
          <w:szCs w:val="18"/>
          <w:lang w:val="en-GB"/>
        </w:rPr>
        <w:t>“</w:t>
      </w:r>
      <w:r w:rsidRPr="00265D81">
        <w:rPr>
          <w:rFonts w:cs="Times New Roman"/>
          <w:szCs w:val="18"/>
          <w:lang w:val="en-GB"/>
        </w:rPr>
        <w:t>One Expert’s Experience</w:t>
      </w:r>
      <w:r>
        <w:rPr>
          <w:rFonts w:cs="Times New Roman"/>
          <w:szCs w:val="18"/>
          <w:lang w:val="en-GB"/>
        </w:rPr>
        <w:t>”</w:t>
      </w:r>
      <w:r w:rsidRPr="00265D81">
        <w:rPr>
          <w:rFonts w:cs="Times New Roman"/>
          <w:szCs w:val="18"/>
          <w:lang w:val="en-GB"/>
        </w:rPr>
        <w:t xml:space="preserve"> in Louis Blom-Cooper (ed.) </w:t>
      </w:r>
      <w:r w:rsidRPr="00265D81">
        <w:rPr>
          <w:rFonts w:cs="Times New Roman"/>
          <w:i/>
          <w:szCs w:val="18"/>
          <w:lang w:val="en-GB"/>
        </w:rPr>
        <w:t xml:space="preserve">Experts in the Civil Courts </w:t>
      </w:r>
      <w:r w:rsidRPr="00265D81">
        <w:rPr>
          <w:rFonts w:cs="Times New Roman"/>
          <w:szCs w:val="18"/>
          <w:lang w:val="en-GB"/>
        </w:rPr>
        <w:t xml:space="preserve">(Oxford: Oxford University Press, 2006). </w:t>
      </w:r>
    </w:p>
  </w:footnote>
  <w:footnote w:id="42">
    <w:p w14:paraId="2DBDFCFE" w14:textId="77777777" w:rsidR="00A352D8" w:rsidRPr="00265D81" w:rsidRDefault="00A352D8" w:rsidP="0015243F">
      <w:pPr>
        <w:widowControl w:val="0"/>
        <w:autoSpaceDE w:val="0"/>
        <w:autoSpaceDN w:val="0"/>
        <w:adjustRightInd w:val="0"/>
        <w:rPr>
          <w:rFonts w:cs="Times New Roman"/>
          <w:color w:val="191919"/>
          <w:sz w:val="18"/>
          <w:szCs w:val="18"/>
        </w:rPr>
      </w:pPr>
      <w:r w:rsidRPr="00265D81">
        <w:rPr>
          <w:rStyle w:val="FootnoteReference"/>
          <w:rFonts w:cs="Times New Roman"/>
          <w:sz w:val="18"/>
          <w:szCs w:val="18"/>
        </w:rPr>
        <w:footnoteRef/>
      </w:r>
      <w:r w:rsidRPr="00265D81">
        <w:rPr>
          <w:rFonts w:cs="Times New Roman"/>
          <w:sz w:val="18"/>
          <w:szCs w:val="18"/>
        </w:rPr>
        <w:t xml:space="preserve"> For detailed discussion of the concept of validity see President’s Council of Advisors on Science and Technology, </w:t>
      </w:r>
      <w:r w:rsidRPr="00265D81">
        <w:rPr>
          <w:rFonts w:cs="Times New Roman"/>
          <w:i/>
          <w:iCs/>
          <w:sz w:val="18"/>
          <w:szCs w:val="18"/>
        </w:rPr>
        <w:t xml:space="preserve">Forensic Science in Criminal Courts: Ensuring Scientific Validity of Feature-Comparison Methods </w:t>
      </w:r>
      <w:r w:rsidRPr="00265D81">
        <w:rPr>
          <w:rFonts w:cs="Times New Roman"/>
          <w:iCs/>
          <w:sz w:val="18"/>
          <w:szCs w:val="18"/>
        </w:rPr>
        <w:t>(2016),</w:t>
      </w:r>
      <w:r w:rsidRPr="00265D81">
        <w:rPr>
          <w:rFonts w:cs="Times New Roman"/>
          <w:sz w:val="18"/>
          <w:szCs w:val="18"/>
        </w:rPr>
        <w:t xml:space="preserve"> </w:t>
      </w:r>
      <w:hyperlink r:id="rId4" w:history="1">
        <w:r w:rsidRPr="00265D81">
          <w:rPr>
            <w:rFonts w:eastAsia="Calibri" w:cs="Times New Roman"/>
            <w:color w:val="6B006D"/>
            <w:sz w:val="18"/>
            <w:szCs w:val="18"/>
            <w:u w:val="single" w:color="6B006D"/>
          </w:rPr>
          <w:t>https://www.whitehouse.gov/sites/default/files/microsites/ostp/PCAST/pcastforensicsciencereportfinal.pdf</w:t>
        </w:r>
      </w:hyperlink>
      <w:r w:rsidRPr="00265D81">
        <w:rPr>
          <w:rFonts w:cs="Times New Roman"/>
          <w:sz w:val="18"/>
          <w:szCs w:val="18"/>
        </w:rPr>
        <w:t>.</w:t>
      </w:r>
    </w:p>
  </w:footnote>
  <w:footnote w:id="43">
    <w:p w14:paraId="6C9F66F9" w14:textId="4087306A" w:rsidR="00A352D8" w:rsidRPr="00265D81" w:rsidRDefault="00A352D8" w:rsidP="005B5C1F">
      <w:pPr>
        <w:rPr>
          <w:rFonts w:cs="Times New Roman"/>
          <w:sz w:val="18"/>
          <w:szCs w:val="18"/>
          <w:lang w:val="en-GB"/>
        </w:rPr>
      </w:pPr>
      <w:r w:rsidRPr="00265D81">
        <w:rPr>
          <w:rStyle w:val="FootnoteReference"/>
          <w:rFonts w:cs="Times New Roman"/>
          <w:sz w:val="18"/>
          <w:szCs w:val="18"/>
          <w:lang w:val="en-GB"/>
        </w:rPr>
        <w:footnoteRef/>
      </w:r>
      <w:r w:rsidRPr="00265D81">
        <w:rPr>
          <w:rFonts w:cs="Times New Roman"/>
          <w:sz w:val="18"/>
          <w:szCs w:val="18"/>
          <w:lang w:val="en-GB"/>
        </w:rPr>
        <w:t xml:space="preserve"> </w:t>
      </w:r>
      <w:r w:rsidRPr="00265D81">
        <w:rPr>
          <w:rStyle w:val="FootnoteTextChar"/>
          <w:rFonts w:cs="Times New Roman"/>
          <w:szCs w:val="18"/>
          <w:lang w:val="en-GB"/>
        </w:rPr>
        <w:t xml:space="preserve">FP Kao, JL. Heather, RA Horning and MV Sinclair, Jr </w:t>
      </w:r>
      <w:r>
        <w:rPr>
          <w:rStyle w:val="FootnoteTextChar"/>
          <w:rFonts w:cs="Times New Roman"/>
          <w:szCs w:val="18"/>
          <w:lang w:val="en-GB"/>
        </w:rPr>
        <w:t>“</w:t>
      </w:r>
      <w:r w:rsidRPr="00265D81">
        <w:rPr>
          <w:rStyle w:val="FootnoteTextChar"/>
          <w:rFonts w:cs="Times New Roman"/>
          <w:szCs w:val="18"/>
          <w:lang w:val="en-GB"/>
        </w:rPr>
        <w:t>Into the Hot Tub</w:t>
      </w:r>
      <w:r>
        <w:rPr>
          <w:rStyle w:val="FootnoteTextChar"/>
          <w:rFonts w:cs="Times New Roman"/>
          <w:szCs w:val="18"/>
          <w:lang w:val="en-GB"/>
        </w:rPr>
        <w:t xml:space="preserve"> </w:t>
      </w:r>
      <w:r w:rsidRPr="00265D81">
        <w:rPr>
          <w:rStyle w:val="FootnoteTextChar"/>
          <w:rFonts w:cs="Times New Roman"/>
          <w:szCs w:val="18"/>
          <w:lang w:val="en-GB"/>
        </w:rPr>
        <w:t>… A Practical Guide to Alternative Expert Witness Procedures in International Arbitration</w:t>
      </w:r>
      <w:r>
        <w:rPr>
          <w:rStyle w:val="FootnoteTextChar"/>
          <w:rFonts w:cs="Times New Roman"/>
          <w:szCs w:val="18"/>
          <w:lang w:val="en-GB"/>
        </w:rPr>
        <w:t>”</w:t>
      </w:r>
      <w:r w:rsidRPr="00265D81">
        <w:rPr>
          <w:rStyle w:val="FootnoteTextChar"/>
          <w:rFonts w:cs="Times New Roman"/>
          <w:szCs w:val="18"/>
          <w:lang w:val="en-GB"/>
        </w:rPr>
        <w:t xml:space="preserve"> (2010) 44 Int Lawyer 1035; CJC Report, 6.</w:t>
      </w:r>
    </w:p>
  </w:footnote>
  <w:footnote w:id="44">
    <w:p w14:paraId="3A3E6255" w14:textId="35AA3742" w:rsidR="00A352D8" w:rsidRPr="00265D81" w:rsidRDefault="00A352D8" w:rsidP="000E4CED">
      <w:pPr>
        <w:widowControl w:val="0"/>
        <w:autoSpaceDE w:val="0"/>
        <w:autoSpaceDN w:val="0"/>
        <w:adjustRightInd w:val="0"/>
        <w:rPr>
          <w:rFonts w:cs="Times New Roman"/>
          <w:sz w:val="18"/>
          <w:szCs w:val="18"/>
        </w:rPr>
      </w:pPr>
      <w:r w:rsidRPr="00265D81">
        <w:rPr>
          <w:rStyle w:val="FootnoteReference"/>
          <w:rFonts w:cs="Times New Roman"/>
          <w:sz w:val="18"/>
          <w:szCs w:val="18"/>
          <w:lang w:val="en-GB"/>
        </w:rPr>
        <w:footnoteRef/>
      </w:r>
      <w:r w:rsidRPr="00265D81">
        <w:rPr>
          <w:rFonts w:cs="Times New Roman"/>
          <w:sz w:val="18"/>
          <w:szCs w:val="18"/>
          <w:lang w:val="en-GB"/>
        </w:rPr>
        <w:t xml:space="preserve"> These can be seen in their sharpest form in expert determination, a form of dispute resolution where an expert in effect combines the role of witness and arbitrator; the Court of Appeal has held that those who agree to this </w:t>
      </w:r>
      <w:r>
        <w:rPr>
          <w:rFonts w:cs="Times New Roman"/>
          <w:sz w:val="18"/>
          <w:szCs w:val="18"/>
          <w:lang w:val="en-GB"/>
        </w:rPr>
        <w:t>“</w:t>
      </w:r>
      <w:r w:rsidRPr="00265D81">
        <w:rPr>
          <w:rFonts w:cs="Times New Roman"/>
          <w:sz w:val="18"/>
          <w:szCs w:val="18"/>
          <w:lang w:val="en-GB"/>
        </w:rPr>
        <w:t>quick and relatively inexpensive</w:t>
      </w:r>
      <w:r>
        <w:rPr>
          <w:rFonts w:cs="Times New Roman"/>
          <w:sz w:val="18"/>
          <w:szCs w:val="18"/>
          <w:lang w:val="en-GB"/>
        </w:rPr>
        <w:t>”</w:t>
      </w:r>
      <w:r w:rsidRPr="00265D81">
        <w:rPr>
          <w:rFonts w:cs="Times New Roman"/>
          <w:sz w:val="18"/>
          <w:szCs w:val="18"/>
          <w:lang w:val="en-GB"/>
        </w:rPr>
        <w:t xml:space="preserve"> procedure </w:t>
      </w:r>
      <w:r>
        <w:rPr>
          <w:rFonts w:cs="Times New Roman"/>
          <w:sz w:val="18"/>
          <w:szCs w:val="18"/>
          <w:lang w:val="en-GB"/>
        </w:rPr>
        <w:t>“</w:t>
      </w:r>
      <w:r w:rsidRPr="00265D81">
        <w:rPr>
          <w:rFonts w:cs="Times New Roman"/>
          <w:sz w:val="18"/>
          <w:szCs w:val="18"/>
          <w:lang w:val="en-GB"/>
        </w:rPr>
        <w:t>must be taken to have recognised that mistakes may be made, both of fact and law, but they are prepared to take that risk</w:t>
      </w:r>
      <w:r>
        <w:rPr>
          <w:rFonts w:cs="Times New Roman"/>
          <w:sz w:val="18"/>
          <w:szCs w:val="18"/>
          <w:lang w:val="en-GB"/>
        </w:rPr>
        <w:t>”</w:t>
      </w:r>
      <w:r w:rsidRPr="00265D81">
        <w:rPr>
          <w:rFonts w:cs="Times New Roman"/>
          <w:sz w:val="18"/>
          <w:szCs w:val="18"/>
          <w:lang w:val="en-GB"/>
        </w:rPr>
        <w:t xml:space="preserve"> (</w:t>
      </w:r>
      <w:r w:rsidRPr="00265D81">
        <w:rPr>
          <w:rFonts w:cs="Times New Roman"/>
          <w:i/>
          <w:sz w:val="18"/>
          <w:szCs w:val="18"/>
          <w:lang w:val="en-GB"/>
        </w:rPr>
        <w:t xml:space="preserve">Premier Telecom v Webb </w:t>
      </w:r>
      <w:r w:rsidRPr="00265D81">
        <w:rPr>
          <w:rFonts w:cs="Times New Roman"/>
          <w:sz w:val="18"/>
          <w:szCs w:val="18"/>
          <w:lang w:val="en-GB"/>
        </w:rPr>
        <w:t xml:space="preserve">[2014] EWCA Civ 994, [12]). </w:t>
      </w:r>
      <w:r>
        <w:rPr>
          <w:rFonts w:cs="Times New Roman"/>
          <w:sz w:val="18"/>
          <w:szCs w:val="18"/>
          <w:lang w:val="en-GB"/>
        </w:rPr>
        <w:t xml:space="preserve"> </w:t>
      </w:r>
    </w:p>
  </w:footnote>
  <w:footnote w:id="45">
    <w:p w14:paraId="1692F0BD" w14:textId="77777777" w:rsidR="00A352D8" w:rsidRPr="001F7CF2" w:rsidRDefault="00A352D8" w:rsidP="00E13963">
      <w:pPr>
        <w:pStyle w:val="FootnoteText"/>
      </w:pPr>
      <w:r>
        <w:rPr>
          <w:rStyle w:val="FootnoteReference"/>
        </w:rPr>
        <w:footnoteRef/>
      </w:r>
      <w:r>
        <w:t xml:space="preserve"> </w:t>
      </w:r>
      <w:r w:rsidRPr="001B45DE">
        <w:rPr>
          <w:szCs w:val="18"/>
        </w:rPr>
        <w:t>CAT [2016] CAT 25</w:t>
      </w:r>
    </w:p>
  </w:footnote>
  <w:footnote w:id="46">
    <w:p w14:paraId="1E2A3A1C" w14:textId="77777777" w:rsidR="00A352D8" w:rsidRPr="001F7CF2" w:rsidRDefault="00A352D8" w:rsidP="00E13963">
      <w:pPr>
        <w:pStyle w:val="FootnoteText"/>
      </w:pPr>
      <w:r>
        <w:rPr>
          <w:rStyle w:val="FootnoteReference"/>
        </w:rPr>
        <w:footnoteRef/>
      </w:r>
      <w:r>
        <w:t xml:space="preserve"> Ibid at [18], see also [244].</w:t>
      </w:r>
    </w:p>
  </w:footnote>
  <w:footnote w:id="47">
    <w:p w14:paraId="55040788" w14:textId="77777777" w:rsidR="00A352D8" w:rsidRPr="001B45DE" w:rsidRDefault="00A352D8" w:rsidP="00E13963">
      <w:pPr>
        <w:pStyle w:val="FootnoteText"/>
        <w:rPr>
          <w:lang w:val="en-GB"/>
        </w:rPr>
      </w:pPr>
      <w:r>
        <w:rPr>
          <w:rStyle w:val="FootnoteReference"/>
        </w:rPr>
        <w:footnoteRef/>
      </w:r>
      <w:r>
        <w:t xml:space="preserve"> </w:t>
      </w:r>
      <w:r>
        <w:rPr>
          <w:i/>
          <w:lang w:val="en-GB"/>
        </w:rPr>
        <w:t xml:space="preserve">BT v Ofcom v Sky </w:t>
      </w:r>
      <w:r>
        <w:rPr>
          <w:lang w:val="en-GB"/>
        </w:rPr>
        <w:t>[2017] CAT 4 at [36-42].</w:t>
      </w:r>
    </w:p>
  </w:footnote>
  <w:footnote w:id="48">
    <w:p w14:paraId="320E81E1"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Lands Tribunal and Compensation (Northern Ireland) Act 1964, s. 1(3).</w:t>
      </w:r>
    </w:p>
  </w:footnote>
  <w:footnote w:id="49">
    <w:p w14:paraId="71995E51"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[2016] RA 217.</w:t>
      </w:r>
    </w:p>
  </w:footnote>
  <w:footnote w:id="50">
    <w:p w14:paraId="23C43181"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at [35], [47], [55].</w:t>
      </w:r>
    </w:p>
  </w:footnote>
  <w:footnote w:id="51">
    <w:p w14:paraId="38ABE0E1"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265D81">
        <w:rPr>
          <w:rFonts w:cs="Times New Roman"/>
          <w:i/>
          <w:color w:val="000000"/>
          <w:szCs w:val="18"/>
          <w:shd w:val="clear" w:color="auto" w:fill="FFFFFF"/>
          <w:lang w:val="en-GB"/>
        </w:rPr>
        <w:t>Greer v Northern Ireland Housing Executive</w:t>
      </w:r>
      <w:r w:rsidRPr="00265D81">
        <w:rPr>
          <w:rFonts w:cs="Times New Roman"/>
          <w:color w:val="000000"/>
          <w:szCs w:val="18"/>
          <w:shd w:val="clear" w:color="auto" w:fill="FFFFFF"/>
          <w:lang w:val="en-GB"/>
        </w:rPr>
        <w:t xml:space="preserve"> R/19/1996, quoted in </w:t>
      </w:r>
      <w:r w:rsidRPr="00265D81">
        <w:rPr>
          <w:rFonts w:cs="Times New Roman"/>
          <w:i/>
          <w:color w:val="000000"/>
          <w:szCs w:val="18"/>
          <w:shd w:val="clear" w:color="auto" w:fill="FFFFFF"/>
          <w:lang w:val="en-GB"/>
        </w:rPr>
        <w:t xml:space="preserve">Brickkiln Waste Ltd v Northern Ireland Electricity </w:t>
      </w:r>
      <w:r w:rsidRPr="00650234">
        <w:rPr>
          <w:rFonts w:cs="Times New Roman"/>
          <w:color w:val="000000"/>
          <w:szCs w:val="18"/>
          <w:shd w:val="clear" w:color="auto" w:fill="FFFFFF"/>
          <w:lang w:val="en-GB"/>
        </w:rPr>
        <w:t>[2015] R.V.R. 197</w:t>
      </w:r>
      <w:r w:rsidRPr="00265D81">
        <w:rPr>
          <w:rFonts w:cs="Times New Roman"/>
          <w:i/>
          <w:color w:val="000000"/>
          <w:szCs w:val="18"/>
          <w:shd w:val="clear" w:color="auto" w:fill="FFFFFF"/>
          <w:lang w:val="en-GB"/>
        </w:rPr>
        <w:t xml:space="preserve"> </w:t>
      </w:r>
      <w:r w:rsidRPr="00265D81">
        <w:rPr>
          <w:rFonts w:cs="Times New Roman"/>
          <w:color w:val="000000"/>
          <w:szCs w:val="18"/>
          <w:shd w:val="clear" w:color="auto" w:fill="FFFFFF"/>
          <w:lang w:val="en-GB"/>
        </w:rPr>
        <w:t>at [25]</w:t>
      </w:r>
      <w:r w:rsidRPr="00265D81">
        <w:rPr>
          <w:rStyle w:val="apple-converted-space"/>
          <w:rFonts w:cs="Times New Roman"/>
          <w:color w:val="000000"/>
          <w:szCs w:val="18"/>
          <w:shd w:val="clear" w:color="auto" w:fill="FFFFFF"/>
          <w:lang w:val="en-GB"/>
        </w:rPr>
        <w:t> .</w:t>
      </w:r>
    </w:p>
  </w:footnote>
  <w:footnote w:id="52">
    <w:p w14:paraId="34DEE85D"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Note from Henry Spence dated 8 June 2017 and prepared for a workshop on concurrent evidence held at Northumbria University on 20 June 2017.</w:t>
      </w:r>
    </w:p>
  </w:footnote>
  <w:footnote w:id="53">
    <w:p w14:paraId="6684FC58"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Harry Collins and Malcom Evans, </w:t>
      </w:r>
      <w:r w:rsidRPr="00265D81">
        <w:rPr>
          <w:rFonts w:cs="Times New Roman"/>
          <w:i/>
          <w:szCs w:val="18"/>
          <w:lang w:val="en-GB"/>
        </w:rPr>
        <w:t xml:space="preserve">Rethinking Expertise </w:t>
      </w:r>
      <w:r w:rsidRPr="00265D81">
        <w:rPr>
          <w:rFonts w:cs="Times New Roman"/>
          <w:szCs w:val="18"/>
          <w:lang w:val="en-GB"/>
        </w:rPr>
        <w:t>(Chicago: University of Chicago Press, 2007), 14, 24-7.</w:t>
      </w:r>
    </w:p>
  </w:footnote>
  <w:footnote w:id="54">
    <w:p w14:paraId="16D19D87"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14</w:t>
      </w:r>
    </w:p>
  </w:footnote>
  <w:footnote w:id="55">
    <w:p w14:paraId="02950A8E" w14:textId="77777777" w:rsidR="00A352D8" w:rsidRPr="00265D81" w:rsidRDefault="00A352D8">
      <w:pPr>
        <w:pStyle w:val="FootnoteText"/>
        <w:rPr>
          <w:rFonts w:cs="Times New Roman"/>
          <w:szCs w:val="18"/>
        </w:rPr>
      </w:pPr>
      <w:r w:rsidRPr="00265D81">
        <w:rPr>
          <w:rStyle w:val="FootnoteReference"/>
          <w:rFonts w:cs="Times New Roman"/>
          <w:szCs w:val="18"/>
        </w:rPr>
        <w:footnoteRef/>
      </w:r>
      <w:r w:rsidRPr="00265D81">
        <w:rPr>
          <w:rFonts w:cs="Times New Roman"/>
          <w:szCs w:val="18"/>
        </w:rPr>
        <w:t xml:space="preserve"> Ibid., 15.</w:t>
      </w:r>
    </w:p>
  </w:footnote>
  <w:footnote w:id="56">
    <w:p w14:paraId="2AC29A24" w14:textId="291EB734"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Jeremy Green </w:t>
      </w:r>
      <w:r>
        <w:rPr>
          <w:rFonts w:cs="Times New Roman"/>
          <w:szCs w:val="18"/>
          <w:lang w:val="en-GB"/>
        </w:rPr>
        <w:t>“</w:t>
      </w:r>
      <w:r w:rsidRPr="00265D81">
        <w:rPr>
          <w:rFonts w:cs="Times New Roman"/>
          <w:szCs w:val="18"/>
          <w:lang w:val="en-GB"/>
        </w:rPr>
        <w:t>Industrial Ill Health, Expertise and the Law</w:t>
      </w:r>
      <w:r>
        <w:rPr>
          <w:rFonts w:cs="Times New Roman"/>
          <w:szCs w:val="18"/>
          <w:lang w:val="en-GB"/>
        </w:rPr>
        <w:t>”</w:t>
      </w:r>
      <w:r w:rsidRPr="00265D81">
        <w:rPr>
          <w:rFonts w:cs="Times New Roman"/>
          <w:szCs w:val="18"/>
          <w:lang w:val="en-GB"/>
        </w:rPr>
        <w:t xml:space="preserve"> in Roger Smith and Brian Wynne (eds.) </w:t>
      </w:r>
      <w:r w:rsidRPr="00265D81">
        <w:rPr>
          <w:rFonts w:cs="Times New Roman"/>
          <w:i/>
          <w:szCs w:val="18"/>
          <w:lang w:val="en-GB"/>
        </w:rPr>
        <w:t xml:space="preserve">Expert Evidence: Interpreting Science in the Law </w:t>
      </w:r>
      <w:r w:rsidRPr="00265D81">
        <w:rPr>
          <w:rFonts w:cs="Times New Roman"/>
          <w:szCs w:val="18"/>
          <w:lang w:val="en-GB"/>
        </w:rPr>
        <w:t>(London: Routledge, 1989), 112-7.</w:t>
      </w:r>
    </w:p>
  </w:footnote>
  <w:footnote w:id="57">
    <w:p w14:paraId="06A02589"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[2015] EWCOP 76.</w:t>
      </w:r>
    </w:p>
  </w:footnote>
  <w:footnote w:id="58">
    <w:p w14:paraId="48CCA3B4" w14:textId="77777777" w:rsidR="00A352D8" w:rsidRPr="009C4B9E" w:rsidRDefault="00A352D8" w:rsidP="009C4B9E">
      <w:pPr>
        <w:widowControl w:val="0"/>
        <w:autoSpaceDE w:val="0"/>
        <w:autoSpaceDN w:val="0"/>
        <w:adjustRightInd w:val="0"/>
        <w:rPr>
          <w:rFonts w:cs="Times New Roman"/>
          <w:szCs w:val="18"/>
        </w:rPr>
      </w:pPr>
      <w:r w:rsidRPr="00FE2DD8">
        <w:rPr>
          <w:rStyle w:val="FootnoteReference"/>
          <w:rFonts w:cs="Times New Roman"/>
          <w:sz w:val="18"/>
          <w:szCs w:val="18"/>
          <w:lang w:val="en-GB"/>
        </w:rPr>
        <w:footnoteRef/>
      </w:r>
      <w:r w:rsidRPr="00FE2DD8">
        <w:rPr>
          <w:rFonts w:cs="Times New Roman"/>
          <w:sz w:val="18"/>
          <w:szCs w:val="18"/>
          <w:lang w:val="en-GB"/>
        </w:rPr>
        <w:t xml:space="preserve"> Ibid, [44]-[7]. See, more generally, </w:t>
      </w:r>
      <w:r w:rsidRPr="00FE2DD8">
        <w:rPr>
          <w:rFonts w:cs="Times New Roman"/>
          <w:sz w:val="18"/>
          <w:szCs w:val="18"/>
        </w:rPr>
        <w:t xml:space="preserve">Geoffrey Bowker and Susan Star, </w:t>
      </w:r>
      <w:r w:rsidRPr="009C4B9E">
        <w:rPr>
          <w:rFonts w:cs="Times New Roman"/>
          <w:i/>
          <w:sz w:val="18"/>
          <w:szCs w:val="18"/>
        </w:rPr>
        <w:t>Sorting Things Out: Classification and Its Consequences</w:t>
      </w:r>
      <w:r w:rsidRPr="00FE2DD8">
        <w:rPr>
          <w:rFonts w:cs="Times New Roman"/>
          <w:sz w:val="18"/>
          <w:szCs w:val="18"/>
        </w:rPr>
        <w:t xml:space="preserve"> (1999)</w:t>
      </w:r>
      <w:r w:rsidRPr="009C4B9E">
        <w:rPr>
          <w:rFonts w:cs="Times New Roman"/>
          <w:sz w:val="18"/>
          <w:szCs w:val="18"/>
        </w:rPr>
        <w:t>.</w:t>
      </w:r>
    </w:p>
  </w:footnote>
  <w:footnote w:id="59">
    <w:p w14:paraId="6DB10D4D"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18.</w:t>
      </w:r>
    </w:p>
  </w:footnote>
  <w:footnote w:id="60">
    <w:p w14:paraId="3C5825CE"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[2015] EWCOP 76, [36].</w:t>
      </w:r>
    </w:p>
  </w:footnote>
  <w:footnote w:id="61">
    <w:p w14:paraId="1CAF19CB" w14:textId="77777777" w:rsidR="00A352D8" w:rsidRPr="00265D81" w:rsidRDefault="00A352D8">
      <w:pPr>
        <w:pStyle w:val="FootnoteText"/>
        <w:rPr>
          <w:rFonts w:cs="Times New Roman"/>
          <w:szCs w:val="18"/>
        </w:rPr>
      </w:pPr>
      <w:r w:rsidRPr="00265D81">
        <w:rPr>
          <w:rStyle w:val="FootnoteReference"/>
          <w:rFonts w:cs="Times New Roman"/>
          <w:szCs w:val="18"/>
        </w:rPr>
        <w:footnoteRef/>
      </w:r>
      <w:r w:rsidRPr="00265D81">
        <w:rPr>
          <w:rFonts w:cs="Times New Roman"/>
          <w:szCs w:val="18"/>
        </w:rPr>
        <w:t xml:space="preserve"> Ibid., </w:t>
      </w:r>
      <w:r w:rsidRPr="00265D81">
        <w:rPr>
          <w:rFonts w:cs="Times New Roman"/>
          <w:szCs w:val="18"/>
          <w:lang w:val="en-GB"/>
        </w:rPr>
        <w:t>[40]-[41]</w:t>
      </w:r>
    </w:p>
  </w:footnote>
  <w:footnote w:id="62">
    <w:p w14:paraId="047D3EF1" w14:textId="701977D0"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[43]</w:t>
      </w:r>
      <w:r w:rsidR="00B3281D">
        <w:rPr>
          <w:rFonts w:cs="Times New Roman"/>
          <w:szCs w:val="18"/>
          <w:lang w:val="en-GB"/>
        </w:rPr>
        <w:t>.</w:t>
      </w:r>
    </w:p>
  </w:footnote>
  <w:footnote w:id="63">
    <w:p w14:paraId="53E44DE2"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[48].</w:t>
      </w:r>
    </w:p>
  </w:footnote>
  <w:footnote w:id="64">
    <w:p w14:paraId="788CC8FD"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Email quoted in CJC Report, 18.</w:t>
      </w:r>
    </w:p>
  </w:footnote>
  <w:footnote w:id="65">
    <w:p w14:paraId="4C0795B5"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[2015] EWCOP 76, [36].</w:t>
      </w:r>
    </w:p>
  </w:footnote>
  <w:footnote w:id="66">
    <w:p w14:paraId="5A072E13"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Email quoted in CJC Report, 18.</w:t>
      </w:r>
    </w:p>
  </w:footnote>
  <w:footnote w:id="67">
    <w:p w14:paraId="607F6944"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[18]. CJC Report, 22.</w:t>
      </w:r>
    </w:p>
  </w:footnote>
  <w:footnote w:id="68">
    <w:p w14:paraId="12F631CB"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22.</w:t>
      </w:r>
    </w:p>
  </w:footnote>
  <w:footnote w:id="69">
    <w:p w14:paraId="09E0F54B" w14:textId="46A41442"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265D81">
        <w:rPr>
          <w:rFonts w:cs="Times New Roman"/>
          <w:i/>
          <w:szCs w:val="18"/>
          <w:lang w:val="en-GB"/>
        </w:rPr>
        <w:t xml:space="preserve">C v A Local Authority </w:t>
      </w:r>
      <w:r w:rsidRPr="00265D81">
        <w:rPr>
          <w:rFonts w:cs="Times New Roman"/>
          <w:szCs w:val="18"/>
          <w:lang w:val="en-GB"/>
        </w:rPr>
        <w:t xml:space="preserve">2011] EWHC 1539, </w:t>
      </w:r>
      <w:r w:rsidRPr="00265D81">
        <w:rPr>
          <w:rFonts w:cs="Times New Roman"/>
          <w:i/>
          <w:szCs w:val="18"/>
          <w:lang w:val="en-GB"/>
        </w:rPr>
        <w:t xml:space="preserve">PB v RB </w:t>
      </w:r>
      <w:r w:rsidRPr="00265D81">
        <w:rPr>
          <w:rFonts w:cs="Times New Roman"/>
          <w:szCs w:val="18"/>
          <w:lang w:val="en-GB"/>
        </w:rPr>
        <w:t>[2016] EWCOP 12</w:t>
      </w:r>
      <w:r w:rsidR="00B3281D">
        <w:rPr>
          <w:rFonts w:cs="Times New Roman"/>
          <w:szCs w:val="18"/>
          <w:lang w:val="en-GB"/>
        </w:rPr>
        <w:t>.</w:t>
      </w:r>
    </w:p>
  </w:footnote>
  <w:footnote w:id="70">
    <w:p w14:paraId="162EE8BC" w14:textId="7FA46283"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265D81">
        <w:rPr>
          <w:rFonts w:cs="Times New Roman"/>
          <w:i/>
          <w:szCs w:val="18"/>
          <w:lang w:val="en-GB"/>
        </w:rPr>
        <w:t xml:space="preserve">A Local Authority v A </w:t>
      </w:r>
      <w:r w:rsidRPr="00265D81">
        <w:rPr>
          <w:rFonts w:cs="Times New Roman"/>
          <w:szCs w:val="18"/>
          <w:lang w:val="en-GB"/>
        </w:rPr>
        <w:t>[2011] EWHC 590 (Fam</w:t>
      </w:r>
      <w:r w:rsidR="00A764E9">
        <w:rPr>
          <w:rFonts w:cs="Times New Roman"/>
          <w:szCs w:val="18"/>
          <w:lang w:val="en-GB"/>
        </w:rPr>
        <w:t>)</w:t>
      </w:r>
      <w:r w:rsidR="00B3281D">
        <w:rPr>
          <w:rFonts w:cs="Times New Roman"/>
          <w:szCs w:val="18"/>
          <w:lang w:val="en-GB"/>
        </w:rPr>
        <w:t>.</w:t>
      </w:r>
    </w:p>
  </w:footnote>
  <w:footnote w:id="71">
    <w:p w14:paraId="20A32766" w14:textId="77777777" w:rsidR="00A352D8" w:rsidRPr="00650234" w:rsidRDefault="00A352D8" w:rsidP="00DE344E">
      <w:pPr>
        <w:pStyle w:val="FootnoteText"/>
        <w:rPr>
          <w:rFonts w:cs="Times New Roman"/>
          <w:szCs w:val="18"/>
          <w:lang w:val="de-DE"/>
        </w:rPr>
      </w:pPr>
      <w:r w:rsidRPr="00265D81">
        <w:rPr>
          <w:rStyle w:val="FootnoteReference"/>
          <w:rFonts w:cs="Times New Roman"/>
          <w:szCs w:val="18"/>
          <w:lang w:val="en-GB"/>
        </w:rPr>
        <w:footnoteRef/>
      </w:r>
      <w:r w:rsidRPr="00650234">
        <w:rPr>
          <w:rFonts w:cs="Times New Roman"/>
          <w:szCs w:val="18"/>
          <w:lang w:val="de-DE"/>
        </w:rPr>
        <w:t xml:space="preserve"> [2015] EWHC 650 (Ch), [3, 105].</w:t>
      </w:r>
    </w:p>
  </w:footnote>
  <w:footnote w:id="72">
    <w:p w14:paraId="2E2B4940" w14:textId="77777777" w:rsidR="00A352D8" w:rsidRPr="00650234" w:rsidRDefault="00A352D8" w:rsidP="00DB544F">
      <w:pPr>
        <w:pStyle w:val="FootnoteText"/>
        <w:rPr>
          <w:rFonts w:cs="Times New Roman"/>
          <w:szCs w:val="18"/>
          <w:lang w:val="de-DE"/>
        </w:rPr>
      </w:pPr>
      <w:r w:rsidRPr="00265D81">
        <w:rPr>
          <w:rStyle w:val="FootnoteReference"/>
          <w:rFonts w:cs="Times New Roman"/>
          <w:szCs w:val="18"/>
          <w:lang w:val="en-GB"/>
        </w:rPr>
        <w:footnoteRef/>
      </w:r>
      <w:r w:rsidRPr="00650234">
        <w:rPr>
          <w:rFonts w:cs="Times New Roman"/>
          <w:szCs w:val="18"/>
          <w:lang w:val="de-DE"/>
        </w:rPr>
        <w:t xml:space="preserve"> [2014] EWHC 3306 (QB), [2], [35].</w:t>
      </w:r>
    </w:p>
  </w:footnote>
  <w:footnote w:id="73">
    <w:p w14:paraId="4DA5E3E2" w14:textId="77777777" w:rsidR="00A352D8" w:rsidRPr="00650234" w:rsidRDefault="00A352D8" w:rsidP="00DB544F">
      <w:pPr>
        <w:pStyle w:val="FootnoteText"/>
        <w:rPr>
          <w:rFonts w:cs="Times New Roman"/>
          <w:szCs w:val="18"/>
          <w:lang w:val="de-DE"/>
        </w:rPr>
      </w:pPr>
      <w:r w:rsidRPr="00265D81">
        <w:rPr>
          <w:rStyle w:val="FootnoteReference"/>
          <w:rFonts w:cs="Times New Roman"/>
          <w:szCs w:val="18"/>
          <w:lang w:val="en-GB"/>
        </w:rPr>
        <w:footnoteRef/>
      </w:r>
      <w:r w:rsidRPr="00650234">
        <w:rPr>
          <w:rFonts w:cs="Times New Roman"/>
          <w:szCs w:val="18"/>
          <w:lang w:val="de-DE"/>
        </w:rPr>
        <w:t xml:space="preserve"> </w:t>
      </w:r>
      <w:r w:rsidRPr="00650234">
        <w:rPr>
          <w:rFonts w:cs="Times New Roman"/>
          <w:i/>
          <w:szCs w:val="18"/>
          <w:lang w:val="de-DE"/>
        </w:rPr>
        <w:t xml:space="preserve">SSE Generation v Hochtief Solutions </w:t>
      </w:r>
      <w:r w:rsidRPr="00650234">
        <w:rPr>
          <w:rFonts w:cs="Times New Roman"/>
          <w:szCs w:val="18"/>
          <w:lang w:val="de-DE"/>
        </w:rPr>
        <w:t>[2016] CSOH 177, [258].</w:t>
      </w:r>
    </w:p>
  </w:footnote>
  <w:footnote w:id="74">
    <w:p w14:paraId="70242173"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[2014] EWHC 2677 (TCC).</w:t>
      </w:r>
    </w:p>
  </w:footnote>
  <w:footnote w:id="75">
    <w:p w14:paraId="35243C81"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[400].</w:t>
      </w:r>
    </w:p>
  </w:footnote>
  <w:footnote w:id="76">
    <w:p w14:paraId="4A31E0ED"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[402].</w:t>
      </w:r>
    </w:p>
  </w:footnote>
  <w:footnote w:id="77">
    <w:p w14:paraId="768EC98C"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265D81">
        <w:rPr>
          <w:rFonts w:cs="Times New Roman"/>
          <w:color w:val="000000"/>
          <w:szCs w:val="18"/>
          <w:shd w:val="clear" w:color="auto" w:fill="FFFFFF"/>
          <w:lang w:val="en-GB"/>
        </w:rPr>
        <w:t>[2014] EWHC 2132 (TCC)</w:t>
      </w:r>
    </w:p>
  </w:footnote>
  <w:footnote w:id="78">
    <w:p w14:paraId="5ED6FDD0"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See also </w:t>
      </w:r>
      <w:r w:rsidRPr="00265D81">
        <w:rPr>
          <w:rFonts w:cs="Times New Roman"/>
          <w:i/>
          <w:szCs w:val="18"/>
          <w:lang w:val="en-GB"/>
        </w:rPr>
        <w:t xml:space="preserve">Markey v McMahon </w:t>
      </w:r>
      <w:r w:rsidRPr="00265D81">
        <w:rPr>
          <w:rFonts w:cs="Times New Roman"/>
          <w:szCs w:val="18"/>
          <w:lang w:val="en-GB"/>
        </w:rPr>
        <w:t>[2012] NIQB 35</w:t>
      </w:r>
    </w:p>
  </w:footnote>
  <w:footnote w:id="79">
    <w:p w14:paraId="78D3FB70"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265D81">
        <w:rPr>
          <w:rFonts w:eastAsia="SimSun" w:cs="Times New Roman"/>
          <w:szCs w:val="18"/>
          <w:lang w:val="en-GB" w:eastAsia="zh-CN"/>
        </w:rPr>
        <w:t>[2013] NIQB 116.</w:t>
      </w:r>
    </w:p>
  </w:footnote>
  <w:footnote w:id="80">
    <w:p w14:paraId="7761E096"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265D81">
        <w:rPr>
          <w:rFonts w:eastAsia="SimSun" w:cs="Times New Roman"/>
          <w:szCs w:val="18"/>
          <w:lang w:val="en-GB" w:eastAsia="zh-CN"/>
        </w:rPr>
        <w:t>Ibid., [14]-[15]</w:t>
      </w:r>
    </w:p>
  </w:footnote>
  <w:footnote w:id="81">
    <w:p w14:paraId="00F1BFB9" w14:textId="3B9DE3B3"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(2011) 27 Const</w:t>
      </w:r>
      <w:r w:rsidR="00B3281D">
        <w:rPr>
          <w:rFonts w:cs="Times New Roman"/>
          <w:szCs w:val="18"/>
          <w:lang w:val="en-GB"/>
        </w:rPr>
        <w:t xml:space="preserve"> L</w:t>
      </w:r>
      <w:r w:rsidRPr="00265D81">
        <w:rPr>
          <w:rFonts w:cs="Times New Roman"/>
          <w:szCs w:val="18"/>
          <w:lang w:val="en-GB"/>
        </w:rPr>
        <w:t>J 709 (QBD (TCC)), 716.</w:t>
      </w:r>
    </w:p>
  </w:footnote>
  <w:footnote w:id="82">
    <w:p w14:paraId="5554DEF8" w14:textId="74C16D62" w:rsidR="00A352D8" w:rsidRPr="00265D81" w:rsidRDefault="00A352D8" w:rsidP="0009451E">
      <w:pPr>
        <w:rPr>
          <w:rFonts w:cs="Times New Roman"/>
          <w:sz w:val="18"/>
          <w:szCs w:val="18"/>
        </w:rPr>
      </w:pPr>
      <w:r w:rsidRPr="00265D81">
        <w:rPr>
          <w:rStyle w:val="FootnoteReference"/>
          <w:rFonts w:cs="Times New Roman"/>
          <w:sz w:val="18"/>
          <w:szCs w:val="18"/>
          <w:lang w:val="en-GB"/>
        </w:rPr>
        <w:footnoteRef/>
      </w:r>
      <w:r w:rsidRPr="00265D81">
        <w:rPr>
          <w:rFonts w:cs="Times New Roman"/>
          <w:sz w:val="18"/>
          <w:szCs w:val="18"/>
          <w:lang w:val="en-GB"/>
        </w:rPr>
        <w:t xml:space="preserve"> CJC, Report, 7-9. The CJC inquiry does not seem to have engaged with relevant procedural rules and practice in Australia, notwithstanding some reading and communications, where pre-trial meetings between experts and joint reports are routine. (Thanks to Justice Brian Preston, Chief Judge of the NSW Land and Environment Court for discussion on this issue.) See also Steven Rares, </w:t>
      </w:r>
      <w:r>
        <w:rPr>
          <w:rFonts w:cs="Times New Roman"/>
          <w:sz w:val="18"/>
          <w:szCs w:val="18"/>
          <w:lang w:val="en-GB"/>
        </w:rPr>
        <w:t>“</w:t>
      </w:r>
      <w:r w:rsidRPr="00265D81">
        <w:rPr>
          <w:rFonts w:cs="Times New Roman"/>
          <w:sz w:val="18"/>
          <w:szCs w:val="18"/>
        </w:rPr>
        <w:t xml:space="preserve">Using the </w:t>
      </w:r>
      <w:r>
        <w:rPr>
          <w:rFonts w:cs="Times New Roman"/>
          <w:sz w:val="18"/>
          <w:szCs w:val="18"/>
        </w:rPr>
        <w:t>‘</w:t>
      </w:r>
      <w:r w:rsidRPr="00265D81">
        <w:rPr>
          <w:rFonts w:cs="Times New Roman"/>
          <w:sz w:val="18"/>
          <w:szCs w:val="18"/>
        </w:rPr>
        <w:t>Hot Tub</w:t>
      </w:r>
      <w:r>
        <w:rPr>
          <w:rFonts w:cs="Times New Roman"/>
          <w:sz w:val="18"/>
          <w:szCs w:val="18"/>
        </w:rPr>
        <w:t>’</w:t>
      </w:r>
      <w:r w:rsidRPr="00265D81">
        <w:rPr>
          <w:rFonts w:cs="Times New Roman"/>
          <w:sz w:val="18"/>
          <w:szCs w:val="18"/>
        </w:rPr>
        <w:t>: How Concurrent Expert Evidence Aids Understanding Issues</w:t>
      </w:r>
      <w:r>
        <w:rPr>
          <w:rFonts w:cs="Times New Roman"/>
          <w:sz w:val="18"/>
          <w:szCs w:val="18"/>
        </w:rPr>
        <w:t>”</w:t>
      </w:r>
      <w:r w:rsidRPr="00265D81">
        <w:rPr>
          <w:rFonts w:cs="Times New Roman"/>
          <w:sz w:val="18"/>
          <w:szCs w:val="18"/>
        </w:rPr>
        <w:t xml:space="preserve"> (A paper presented to the Continuing Legal Education seminar presented by the University of New South Wales on 23 February 2017 and updated from the previous versions presented in 2009 and 2013).</w:t>
      </w:r>
    </w:p>
  </w:footnote>
  <w:footnote w:id="83">
    <w:p w14:paraId="33FAA3DE" w14:textId="77777777" w:rsidR="00A352D8" w:rsidRPr="002C772B" w:rsidRDefault="00A352D8" w:rsidP="00FE2DD8">
      <w:pPr>
        <w:pStyle w:val="FootnoteText"/>
        <w:rPr>
          <w:rFonts w:cs="Times New Roman"/>
          <w:szCs w:val="18"/>
          <w:lang w:val="en-GB"/>
        </w:rPr>
      </w:pPr>
      <w:r w:rsidRPr="00265D81">
        <w:rPr>
          <w:rStyle w:val="FootnoteReference"/>
          <w:rFonts w:cs="Times New Roman"/>
          <w:szCs w:val="18"/>
          <w:lang w:val="en-GB"/>
        </w:rPr>
        <w:footnoteRef/>
      </w:r>
      <w:r w:rsidRPr="0072579D">
        <w:rPr>
          <w:rFonts w:cs="Times New Roman"/>
          <w:szCs w:val="18"/>
          <w:lang w:val="de-DE"/>
        </w:rPr>
        <w:t xml:space="preserve"> </w:t>
      </w:r>
      <w:r w:rsidRPr="0072579D">
        <w:rPr>
          <w:rFonts w:cs="Times New Roman"/>
          <w:i/>
          <w:szCs w:val="18"/>
          <w:lang w:val="de-DE"/>
        </w:rPr>
        <w:t xml:space="preserve">SSE Generation v Hochtief Solutions </w:t>
      </w:r>
      <w:r w:rsidRPr="0072579D">
        <w:rPr>
          <w:rFonts w:cs="Times New Roman"/>
          <w:szCs w:val="18"/>
          <w:lang w:val="de-DE"/>
        </w:rPr>
        <w:t xml:space="preserve">[2016] CSOH 177, [258]. </w:t>
      </w:r>
      <w:r w:rsidRPr="00265D81">
        <w:rPr>
          <w:rFonts w:cs="Times New Roman"/>
          <w:szCs w:val="18"/>
          <w:lang w:val="en-GB"/>
        </w:rPr>
        <w:t>There is a need for caution in extrapolating from large-scale litigation where the parties are all very well-resourced and represented to ordinary cases that might be less symmetrical, and even involve litigants in person.</w:t>
      </w:r>
    </w:p>
  </w:footnote>
  <w:footnote w:id="84">
    <w:p w14:paraId="316D3D70" w14:textId="77777777" w:rsidR="00A352D8" w:rsidRPr="004D0686" w:rsidRDefault="00A352D8">
      <w:pPr>
        <w:pStyle w:val="FootnoteText"/>
      </w:pPr>
      <w:r>
        <w:rPr>
          <w:rStyle w:val="FootnoteReference"/>
        </w:rPr>
        <w:footnoteRef/>
      </w:r>
      <w:r>
        <w:t xml:space="preserve"> [2017] NIQB 76</w:t>
      </w:r>
    </w:p>
  </w:footnote>
  <w:footnote w:id="85">
    <w:p w14:paraId="46DAB798"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See </w:t>
      </w:r>
      <w:r w:rsidRPr="00265D81">
        <w:rPr>
          <w:rFonts w:cs="Times New Roman"/>
          <w:i/>
          <w:szCs w:val="18"/>
          <w:lang w:val="en-GB"/>
        </w:rPr>
        <w:t>M v N</w:t>
      </w:r>
      <w:r w:rsidRPr="00265D81">
        <w:rPr>
          <w:rFonts w:cs="Times New Roman"/>
          <w:szCs w:val="18"/>
          <w:lang w:val="en-GB"/>
        </w:rPr>
        <w:t xml:space="preserve"> [2015] EWCOP 76. There is nothing in-principle wrong with such an approach, which structures most settlements.</w:t>
      </w:r>
    </w:p>
  </w:footnote>
  <w:footnote w:id="86">
    <w:p w14:paraId="4FC22E1D"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[2013] EWHC 3403 (Ch).</w:t>
      </w:r>
    </w:p>
  </w:footnote>
  <w:footnote w:id="87">
    <w:p w14:paraId="676FFDF4"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[50].</w:t>
      </w:r>
    </w:p>
  </w:footnote>
  <w:footnote w:id="88">
    <w:p w14:paraId="4E6E574D" w14:textId="5CB136D3" w:rsidR="00A352D8" w:rsidRPr="00265D81" w:rsidRDefault="00A352D8" w:rsidP="00DB544F">
      <w:pPr>
        <w:pStyle w:val="FootnoteText"/>
        <w:rPr>
          <w:rFonts w:cs="Times New Roman"/>
          <w:szCs w:val="18"/>
          <w:u w:val="single"/>
          <w:lang w:val="en-GB"/>
        </w:rPr>
      </w:pPr>
      <w:r w:rsidRPr="00265D81">
        <w:rPr>
          <w:rStyle w:val="FootnoteReference"/>
          <w:rFonts w:cs="Times New Roman"/>
          <w:szCs w:val="18"/>
          <w:lang w:val="en-GB"/>
        </w:rPr>
        <w:footnoteRef/>
      </w:r>
      <w:r w:rsidRPr="00265D81">
        <w:rPr>
          <w:rFonts w:cs="Times New Roman"/>
          <w:szCs w:val="18"/>
          <w:lang w:val="en-GB"/>
        </w:rPr>
        <w:t xml:space="preserve"> Alvin W. Goldman, </w:t>
      </w:r>
      <w:r>
        <w:rPr>
          <w:rFonts w:cs="Times New Roman"/>
          <w:szCs w:val="18"/>
          <w:lang w:val="en-GB"/>
        </w:rPr>
        <w:t>“</w:t>
      </w:r>
      <w:r w:rsidRPr="00265D81">
        <w:rPr>
          <w:rFonts w:cs="Times New Roman"/>
          <w:szCs w:val="18"/>
          <w:lang w:val="en-GB"/>
        </w:rPr>
        <w:t>Experts: Which Ones should you Trust?</w:t>
      </w:r>
      <w:r>
        <w:rPr>
          <w:rFonts w:cs="Times New Roman"/>
          <w:szCs w:val="18"/>
          <w:lang w:val="en-GB"/>
        </w:rPr>
        <w:t>”</w:t>
      </w:r>
      <w:r w:rsidRPr="00265D81">
        <w:rPr>
          <w:rFonts w:cs="Times New Roman"/>
          <w:szCs w:val="18"/>
          <w:lang w:val="en-GB"/>
        </w:rPr>
        <w:t xml:space="preserve"> (2001) 63 </w:t>
      </w:r>
      <w:r w:rsidRPr="00265D81">
        <w:rPr>
          <w:rFonts w:cs="Times New Roman"/>
          <w:i/>
          <w:szCs w:val="18"/>
          <w:lang w:val="en-GB"/>
        </w:rPr>
        <w:t xml:space="preserve">Philosophy and Phenomenological Research </w:t>
      </w:r>
      <w:r w:rsidRPr="00265D81">
        <w:rPr>
          <w:rFonts w:cs="Times New Roman"/>
          <w:szCs w:val="18"/>
          <w:lang w:val="en-GB"/>
        </w:rPr>
        <w:t>85</w:t>
      </w:r>
      <w:r w:rsidRPr="00265D81">
        <w:rPr>
          <w:rFonts w:cs="Times New Roman"/>
          <w:i/>
          <w:szCs w:val="18"/>
          <w:lang w:val="en-GB"/>
        </w:rPr>
        <w:t xml:space="preserve">, </w:t>
      </w:r>
      <w:r w:rsidRPr="00265D81">
        <w:rPr>
          <w:rFonts w:cs="Times New Roman"/>
          <w:szCs w:val="18"/>
          <w:lang w:val="en-GB"/>
        </w:rPr>
        <w:t>95.</w:t>
      </w:r>
      <w:r w:rsidRPr="00265D81">
        <w:rPr>
          <w:rFonts w:cs="Times New Roman"/>
          <w:szCs w:val="18"/>
          <w:u w:val="single"/>
          <w:lang w:val="en-GB"/>
        </w:rPr>
        <w:t xml:space="preserve"> </w:t>
      </w:r>
    </w:p>
  </w:footnote>
  <w:footnote w:id="89">
    <w:p w14:paraId="7A1800C2" w14:textId="05E2673A" w:rsidR="00A352D8" w:rsidRPr="00265D81" w:rsidRDefault="00A352D8" w:rsidP="00DB544F">
      <w:pPr>
        <w:pStyle w:val="FootnoteText"/>
        <w:rPr>
          <w:rFonts w:cs="Times New Roman"/>
          <w:color w:val="FF0000"/>
          <w:szCs w:val="18"/>
          <w:lang w:val="en-GB"/>
        </w:rPr>
      </w:pPr>
      <w:r w:rsidRPr="00265D81">
        <w:rPr>
          <w:rStyle w:val="FootnoteReference"/>
          <w:rFonts w:cs="Times New Roman"/>
          <w:szCs w:val="18"/>
          <w:lang w:val="en-GB"/>
        </w:rPr>
        <w:footnoteRef/>
      </w:r>
      <w:r w:rsidRPr="00265D81">
        <w:rPr>
          <w:rFonts w:cs="Times New Roman"/>
          <w:szCs w:val="18"/>
          <w:lang w:val="en-GB"/>
        </w:rPr>
        <w:t xml:space="preserve"> D. Michael Risinger, Mark P Denbeaux and Michael J Saks, </w:t>
      </w:r>
      <w:r>
        <w:rPr>
          <w:rFonts w:cs="Times New Roman"/>
          <w:szCs w:val="18"/>
          <w:lang w:val="en-GB"/>
        </w:rPr>
        <w:t>“</w:t>
      </w:r>
      <w:r w:rsidRPr="00265D81">
        <w:rPr>
          <w:rFonts w:cs="Times New Roman"/>
          <w:szCs w:val="18"/>
          <w:lang w:val="en-GB"/>
        </w:rPr>
        <w:t>Exorcism of Ignorance as a Proxy for Rational Knowledge: The Lessons of Forensic Handwriting Expertise</w:t>
      </w:r>
      <w:r>
        <w:rPr>
          <w:rFonts w:cs="Times New Roman"/>
          <w:szCs w:val="18"/>
          <w:lang w:val="en-GB"/>
        </w:rPr>
        <w:t>”</w:t>
      </w:r>
      <w:r w:rsidRPr="00265D81">
        <w:rPr>
          <w:rFonts w:cs="Times New Roman"/>
          <w:szCs w:val="18"/>
          <w:lang w:val="en-GB"/>
        </w:rPr>
        <w:t xml:space="preserve"> (1989) 137 U Ps L Rev 731; D Michael Risinger, </w:t>
      </w:r>
      <w:r>
        <w:rPr>
          <w:rFonts w:cs="Times New Roman"/>
          <w:szCs w:val="18"/>
          <w:lang w:val="en-GB"/>
        </w:rPr>
        <w:t>“</w:t>
      </w:r>
      <w:r w:rsidRPr="00265D81">
        <w:rPr>
          <w:rFonts w:cs="Times New Roman"/>
          <w:szCs w:val="18"/>
          <w:lang w:val="en-GB"/>
        </w:rPr>
        <w:t xml:space="preserve">Goodbye to all That, or a Fool’s Errand, by one of the Fools: How I Stopped Worrying about Court Responses to Handwriting Identification (and Forensic Science in General) and Learned to Love Misrepresentations of </w:t>
      </w:r>
      <w:r w:rsidRPr="00265D81">
        <w:rPr>
          <w:rFonts w:cs="Times New Roman"/>
          <w:i/>
          <w:szCs w:val="18"/>
          <w:lang w:val="en-GB"/>
        </w:rPr>
        <w:t>Kumho Tire v Carmichael</w:t>
      </w:r>
      <w:r>
        <w:rPr>
          <w:rFonts w:cs="Times New Roman"/>
          <w:i/>
          <w:szCs w:val="18"/>
          <w:lang w:val="en-GB"/>
        </w:rPr>
        <w:t>”</w:t>
      </w:r>
      <w:r w:rsidRPr="00265D81">
        <w:rPr>
          <w:rFonts w:cs="Times New Roman"/>
          <w:i/>
          <w:szCs w:val="18"/>
          <w:lang w:val="en-GB"/>
        </w:rPr>
        <w:t xml:space="preserve"> </w:t>
      </w:r>
      <w:r w:rsidRPr="00265D81">
        <w:rPr>
          <w:rFonts w:cs="Times New Roman"/>
          <w:szCs w:val="18"/>
          <w:lang w:val="en-GB"/>
        </w:rPr>
        <w:t xml:space="preserve">(2007) 43 Tulsa L Rev 447.  There is, however, research indicating that document examiners are reasonably accurate in identifying signatures as genuine, which was the issue in this case. Bryan Found and Doug Rogers, </w:t>
      </w:r>
      <w:r>
        <w:rPr>
          <w:rFonts w:cs="Times New Roman"/>
          <w:szCs w:val="18"/>
          <w:lang w:val="en-GB"/>
        </w:rPr>
        <w:t>“</w:t>
      </w:r>
      <w:r w:rsidRPr="00265D81">
        <w:rPr>
          <w:rFonts w:cs="Times New Roman"/>
          <w:szCs w:val="18"/>
          <w:lang w:val="en-GB"/>
        </w:rPr>
        <w:t>The Probative Character of Forensic Handwriting Examiners</w:t>
      </w:r>
      <w:r>
        <w:rPr>
          <w:rFonts w:cs="Times New Roman"/>
          <w:szCs w:val="18"/>
          <w:lang w:val="en-GB"/>
        </w:rPr>
        <w:t xml:space="preserve">’ </w:t>
      </w:r>
      <w:r w:rsidRPr="00265D81">
        <w:rPr>
          <w:rFonts w:cs="Times New Roman"/>
          <w:szCs w:val="18"/>
          <w:lang w:val="en-GB"/>
        </w:rPr>
        <w:t>Identification and Elimination Opinions on Questioned Signatures</w:t>
      </w:r>
      <w:r>
        <w:rPr>
          <w:rFonts w:cs="Times New Roman"/>
          <w:szCs w:val="18"/>
          <w:lang w:val="en-GB"/>
        </w:rPr>
        <w:t>”</w:t>
      </w:r>
      <w:r w:rsidRPr="00265D81">
        <w:rPr>
          <w:rFonts w:cs="Times New Roman"/>
          <w:szCs w:val="18"/>
          <w:lang w:val="en-GB"/>
        </w:rPr>
        <w:t xml:space="preserve"> (2008) 178 Forensic Sci Int 54.</w:t>
      </w:r>
    </w:p>
  </w:footnote>
  <w:footnote w:id="90">
    <w:p w14:paraId="05E1FFE0"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[2016] EWHC 253 (Ch).</w:t>
      </w:r>
    </w:p>
  </w:footnote>
  <w:footnote w:id="91">
    <w:p w14:paraId="4A21EF58" w14:textId="3DA6B2DC" w:rsidR="00A352D8" w:rsidRPr="00265D81" w:rsidRDefault="00A352D8">
      <w:pPr>
        <w:pStyle w:val="FootnoteText"/>
        <w:rPr>
          <w:rFonts w:cs="Times New Roman"/>
          <w:szCs w:val="18"/>
          <w:lang w:val="en-GB"/>
        </w:rPr>
      </w:pPr>
      <w:r w:rsidRPr="00265D81">
        <w:rPr>
          <w:rStyle w:val="FootnoteReference"/>
          <w:rFonts w:cs="Times New Roman"/>
          <w:szCs w:val="18"/>
        </w:rPr>
        <w:footnoteRef/>
      </w:r>
      <w:r w:rsidRPr="00265D81">
        <w:rPr>
          <w:rFonts w:cs="Times New Roman"/>
          <w:szCs w:val="18"/>
        </w:rPr>
        <w:t xml:space="preserve"> </w:t>
      </w:r>
      <w:r w:rsidRPr="00265D81">
        <w:rPr>
          <w:rFonts w:cs="Times New Roman"/>
          <w:szCs w:val="18"/>
          <w:lang w:val="en-GB"/>
        </w:rPr>
        <w:t xml:space="preserve">In </w:t>
      </w:r>
      <w:r w:rsidRPr="00265D81">
        <w:rPr>
          <w:rFonts w:cs="Times New Roman"/>
          <w:i/>
          <w:szCs w:val="18"/>
          <w:lang w:val="en-GB"/>
        </w:rPr>
        <w:t xml:space="preserve">Socrates Training v Law Society </w:t>
      </w:r>
      <w:r w:rsidRPr="00265D81">
        <w:rPr>
          <w:rFonts w:cs="Times New Roman"/>
          <w:szCs w:val="18"/>
          <w:lang w:val="en-GB"/>
        </w:rPr>
        <w:t xml:space="preserve">[2017] CAT 10, the CAT with Roth J presiding heard </w:t>
      </w:r>
      <w:r>
        <w:rPr>
          <w:rFonts w:cs="Times New Roman"/>
          <w:szCs w:val="18"/>
          <w:lang w:val="en-GB"/>
        </w:rPr>
        <w:t>“</w:t>
      </w:r>
      <w:r w:rsidRPr="00265D81">
        <w:rPr>
          <w:rFonts w:cs="Times New Roman"/>
          <w:color w:val="000000"/>
          <w:szCs w:val="18"/>
          <w:shd w:val="clear" w:color="auto" w:fill="FFFFFF"/>
        </w:rPr>
        <w:t>constructive and very sensible</w:t>
      </w:r>
      <w:r>
        <w:rPr>
          <w:rFonts w:cs="Times New Roman"/>
          <w:color w:val="000000"/>
          <w:szCs w:val="18"/>
          <w:shd w:val="clear" w:color="auto" w:fill="FFFFFF"/>
        </w:rPr>
        <w:t>”</w:t>
      </w:r>
      <w:r w:rsidRPr="00265D81">
        <w:rPr>
          <w:rFonts w:cs="Times New Roman"/>
          <w:color w:val="000000"/>
          <w:szCs w:val="18"/>
          <w:shd w:val="clear" w:color="auto" w:fill="FFFFFF"/>
        </w:rPr>
        <w:t xml:space="preserve"> concurrent evidence from two economists [13].</w:t>
      </w:r>
    </w:p>
  </w:footnote>
  <w:footnote w:id="92">
    <w:p w14:paraId="12E7DAF0" w14:textId="77777777" w:rsidR="00A352D8" w:rsidRPr="00265D81" w:rsidRDefault="00A352D8">
      <w:pPr>
        <w:pStyle w:val="FootnoteText"/>
        <w:rPr>
          <w:rFonts w:cs="Times New Roman"/>
          <w:szCs w:val="18"/>
        </w:rPr>
      </w:pPr>
      <w:r w:rsidRPr="00265D81">
        <w:rPr>
          <w:rStyle w:val="FootnoteReference"/>
          <w:rFonts w:cs="Times New Roman"/>
          <w:szCs w:val="18"/>
        </w:rPr>
        <w:footnoteRef/>
      </w:r>
      <w:r w:rsidRPr="00265D81">
        <w:rPr>
          <w:rFonts w:cs="Times New Roman"/>
          <w:szCs w:val="18"/>
        </w:rPr>
        <w:t xml:space="preserve"> Ibid., [134].</w:t>
      </w:r>
    </w:p>
  </w:footnote>
  <w:footnote w:id="93">
    <w:p w14:paraId="63C6E61A"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[134]-[5].</w:t>
      </w:r>
    </w:p>
  </w:footnote>
  <w:footnote w:id="94">
    <w:p w14:paraId="60766722"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[47].</w:t>
      </w:r>
    </w:p>
  </w:footnote>
  <w:footnote w:id="95">
    <w:p w14:paraId="395F6E93"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[2011] EWHC 2153 (TCC).</w:t>
      </w:r>
    </w:p>
  </w:footnote>
  <w:footnote w:id="96">
    <w:p w14:paraId="1D21D479"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[2013] EWHC 681 (TCC) (reversed on an unrelated point of law, [2015] 1 WLR 1376 (CA)).</w:t>
      </w:r>
    </w:p>
  </w:footnote>
  <w:footnote w:id="97">
    <w:p w14:paraId="35E0DBFB"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[7]</w:t>
      </w:r>
    </w:p>
  </w:footnote>
  <w:footnote w:id="98">
    <w:p w14:paraId="0E64049A"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[7]</w:t>
      </w:r>
    </w:p>
  </w:footnote>
  <w:footnote w:id="99">
    <w:p w14:paraId="2E11484F" w14:textId="77777777" w:rsidR="00A352D8" w:rsidRPr="00265D81" w:rsidRDefault="00A352D8" w:rsidP="00DB544F">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Ibid., [7].</w:t>
      </w:r>
    </w:p>
  </w:footnote>
  <w:footnote w:id="100">
    <w:p w14:paraId="7439A795" w14:textId="77777777" w:rsidR="00A352D8" w:rsidRPr="00D26EAE" w:rsidRDefault="00A352D8" w:rsidP="006D07F9">
      <w:pPr>
        <w:pStyle w:val="FootnoteText"/>
      </w:pPr>
      <w:r>
        <w:rPr>
          <w:rStyle w:val="FootnoteReference"/>
        </w:rPr>
        <w:footnoteRef/>
      </w:r>
      <w:r>
        <w:t xml:space="preserve"> </w:t>
      </w:r>
      <w:r>
        <w:rPr>
          <w:rFonts w:cs="Times New Roman"/>
          <w:lang w:val="en-GB"/>
        </w:rPr>
        <w:t xml:space="preserve">An exception is </w:t>
      </w:r>
      <w:r w:rsidRPr="00426BED">
        <w:rPr>
          <w:rFonts w:cs="Times New Roman"/>
          <w:i/>
          <w:lang w:val="en-GB"/>
        </w:rPr>
        <w:t>Unwired Planet International Ltd v Huawei Technologies Co Ltd</w:t>
      </w:r>
      <w:r>
        <w:rPr>
          <w:rFonts w:cs="Times New Roman"/>
          <w:lang w:val="en-GB"/>
        </w:rPr>
        <w:t xml:space="preserve"> [2017] EWHC 711 (Pat) where Birss J explained (at [58]) that the concurrent evidence session was confined to certain general questions which were not addressed to either expert in particular.</w:t>
      </w:r>
    </w:p>
  </w:footnote>
  <w:footnote w:id="101">
    <w:p w14:paraId="62DEF956"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[2013] EWHC 681 (TCC)</w:t>
      </w:r>
    </w:p>
  </w:footnote>
  <w:footnote w:id="102">
    <w:p w14:paraId="1F103BF9"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[2012] EWHC 3119 (TCC)</w:t>
      </w:r>
    </w:p>
  </w:footnote>
  <w:footnote w:id="103">
    <w:p w14:paraId="517EF9EE" w14:textId="0C075D36"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See Genn, </w:t>
      </w:r>
      <w:r>
        <w:rPr>
          <w:rFonts w:cs="Times New Roman"/>
          <w:szCs w:val="18"/>
          <w:lang w:val="en-GB"/>
        </w:rPr>
        <w:t>“</w:t>
      </w:r>
      <w:r w:rsidRPr="00265D81">
        <w:rPr>
          <w:rFonts w:cs="Times New Roman"/>
          <w:szCs w:val="18"/>
          <w:lang w:val="en-GB"/>
        </w:rPr>
        <w:t>Getting to the truth</w:t>
      </w:r>
      <w:r>
        <w:rPr>
          <w:rFonts w:cs="Times New Roman"/>
          <w:szCs w:val="18"/>
          <w:lang w:val="en-GB"/>
        </w:rPr>
        <w:t>”</w:t>
      </w:r>
      <w:r w:rsidRPr="00265D81">
        <w:rPr>
          <w:rFonts w:cs="Times New Roman"/>
          <w:szCs w:val="18"/>
          <w:lang w:val="en-GB"/>
        </w:rPr>
        <w:t>, 15.</w:t>
      </w:r>
    </w:p>
  </w:footnote>
  <w:footnote w:id="104">
    <w:p w14:paraId="0F46F8C7" w14:textId="77777777" w:rsidR="00A352D8" w:rsidRPr="00265D81" w:rsidRDefault="00A352D8" w:rsidP="002B294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There may be utility in comparing a range of matched cases to see not only whether the costs and times are similar, but also whether outcomes, comprehension and findings bear similarities.</w:t>
      </w:r>
    </w:p>
  </w:footnote>
  <w:footnote w:id="105">
    <w:p w14:paraId="30C2B18D"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Quoted by CJC Report, 37.</w:t>
      </w:r>
    </w:p>
  </w:footnote>
  <w:footnote w:id="106">
    <w:p w14:paraId="38223E19" w14:textId="77777777" w:rsidR="00A352D8" w:rsidRPr="00265D81" w:rsidRDefault="00A352D8" w:rsidP="00BE1742">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37.</w:t>
      </w:r>
    </w:p>
  </w:footnote>
  <w:footnote w:id="107">
    <w:p w14:paraId="14B510B0" w14:textId="77777777" w:rsidR="00A352D8" w:rsidRPr="00265D81" w:rsidRDefault="00A352D8" w:rsidP="00BE1742">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37, 84.</w:t>
      </w:r>
    </w:p>
  </w:footnote>
  <w:footnote w:id="108">
    <w:p w14:paraId="014DEDFB" w14:textId="77777777" w:rsidR="00A352D8" w:rsidRPr="00265D81" w:rsidRDefault="00A352D8" w:rsidP="00BE1742">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38.</w:t>
      </w:r>
    </w:p>
  </w:footnote>
  <w:footnote w:id="109">
    <w:p w14:paraId="25AF78F2" w14:textId="77777777" w:rsidR="00A352D8" w:rsidRPr="00265D81" w:rsidRDefault="00A352D8" w:rsidP="00BE1742">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See also CJC Report, 41-43.</w:t>
      </w:r>
    </w:p>
  </w:footnote>
  <w:footnote w:id="110">
    <w:p w14:paraId="57BFAFAF" w14:textId="77777777" w:rsidR="00A352D8" w:rsidRPr="00265D81" w:rsidRDefault="00A352D8" w:rsidP="00BE1742">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39.</w:t>
      </w:r>
    </w:p>
  </w:footnote>
  <w:footnote w:id="111">
    <w:p w14:paraId="6FC3B4C2" w14:textId="77777777" w:rsidR="00A352D8" w:rsidRPr="00265D81" w:rsidRDefault="00A352D8" w:rsidP="00F45E55">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44-5.</w:t>
      </w:r>
    </w:p>
  </w:footnote>
  <w:footnote w:id="112">
    <w:p w14:paraId="41FA7974"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See the remarks of Roth J and Nicola Cohen, quoted in CJC Report, 44.</w:t>
      </w:r>
    </w:p>
  </w:footnote>
  <w:footnote w:id="113">
    <w:p w14:paraId="41121E19" w14:textId="4A1A8672"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Adrian Zuckerman, </w:t>
      </w:r>
      <w:r>
        <w:rPr>
          <w:rFonts w:cs="Times New Roman"/>
          <w:szCs w:val="18"/>
          <w:lang w:val="en-GB"/>
        </w:rPr>
        <w:t>“</w:t>
      </w:r>
      <w:r w:rsidRPr="00265D81">
        <w:rPr>
          <w:rFonts w:cs="Times New Roman"/>
          <w:szCs w:val="18"/>
          <w:lang w:val="en-GB"/>
        </w:rPr>
        <w:t>No Justice Without Lawyers – The Myth of an Inquisitorial Solution</w:t>
      </w:r>
      <w:r>
        <w:rPr>
          <w:rFonts w:cs="Times New Roman"/>
          <w:szCs w:val="18"/>
          <w:lang w:val="en-GB"/>
        </w:rPr>
        <w:t>”</w:t>
      </w:r>
      <w:r w:rsidRPr="00265D81">
        <w:rPr>
          <w:rFonts w:cs="Times New Roman"/>
          <w:szCs w:val="18"/>
          <w:lang w:val="en-GB"/>
        </w:rPr>
        <w:t xml:space="preserve"> (2014) 33 CJQ 355.</w:t>
      </w:r>
    </w:p>
  </w:footnote>
  <w:footnote w:id="114">
    <w:p w14:paraId="6F197F71"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Guidance Note, para. 7(3), CJC Report, 29ff.</w:t>
      </w:r>
    </w:p>
  </w:footnote>
  <w:footnote w:id="115">
    <w:p w14:paraId="403B1480" w14:textId="14F3EA91" w:rsidR="00A352D8" w:rsidRPr="00650234" w:rsidRDefault="00A352D8">
      <w:pPr>
        <w:pStyle w:val="FootnoteText"/>
        <w:rPr>
          <w:lang w:val="en-GB"/>
        </w:rPr>
      </w:pPr>
      <w:r>
        <w:rPr>
          <w:rStyle w:val="FootnoteReference"/>
        </w:rPr>
        <w:footnoteRef/>
      </w:r>
      <w:r>
        <w:t xml:space="preserve"> </w:t>
      </w:r>
      <w:r>
        <w:rPr>
          <w:lang w:val="en-GB"/>
        </w:rPr>
        <w:t>Hot-tubbing Subcommittee report, n. 1</w:t>
      </w:r>
      <w:r w:rsidR="00A764E9">
        <w:rPr>
          <w:lang w:val="en-GB"/>
        </w:rPr>
        <w:t>0</w:t>
      </w:r>
      <w:r>
        <w:rPr>
          <w:lang w:val="en-GB"/>
        </w:rPr>
        <w:t xml:space="preserve"> above, para. 7.</w:t>
      </w:r>
    </w:p>
  </w:footnote>
  <w:footnote w:id="116">
    <w:p w14:paraId="358E557B"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21. See also 24.</w:t>
      </w:r>
    </w:p>
  </w:footnote>
  <w:footnote w:id="117">
    <w:p w14:paraId="30722780"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34.</w:t>
      </w:r>
    </w:p>
  </w:footnote>
  <w:footnote w:id="118">
    <w:p w14:paraId="26622ED8" w14:textId="77777777" w:rsidR="00A352D8" w:rsidRPr="00650234" w:rsidRDefault="00A352D8">
      <w:pPr>
        <w:pStyle w:val="FootnoteText"/>
        <w:rPr>
          <w:lang w:val="en-GB"/>
        </w:rPr>
      </w:pPr>
      <w:r>
        <w:rPr>
          <w:rStyle w:val="FootnoteReference"/>
        </w:rPr>
        <w:footnoteRef/>
      </w:r>
      <w:r>
        <w:t xml:space="preserve"> </w:t>
      </w:r>
      <w:r>
        <w:rPr>
          <w:lang w:val="en-GB"/>
        </w:rPr>
        <w:t>CPRC, n. 1 above, Item 6 – Hot-tubbing (Amendments to Annex C).</w:t>
      </w:r>
    </w:p>
  </w:footnote>
  <w:footnote w:id="119">
    <w:p w14:paraId="1FABEA0A"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49.</w:t>
      </w:r>
    </w:p>
  </w:footnote>
  <w:footnote w:id="120">
    <w:p w14:paraId="213E45BF" w14:textId="77777777" w:rsidR="00A352D8" w:rsidRPr="00F861DC" w:rsidRDefault="00A352D8" w:rsidP="00275DC4">
      <w:pPr>
        <w:pStyle w:val="FootnoteText"/>
        <w:rPr>
          <w:lang w:val="en-GB"/>
        </w:rPr>
      </w:pPr>
      <w:r>
        <w:rPr>
          <w:rStyle w:val="FootnoteReference"/>
        </w:rPr>
        <w:footnoteRef/>
      </w:r>
      <w:r>
        <w:t xml:space="preserve"> </w:t>
      </w:r>
      <w:r>
        <w:rPr>
          <w:lang w:val="en-GB"/>
        </w:rPr>
        <w:t>[2017] CAT 15</w:t>
      </w:r>
    </w:p>
  </w:footnote>
  <w:footnote w:id="121">
    <w:p w14:paraId="6D066822" w14:textId="77777777" w:rsidR="00A352D8" w:rsidRPr="0072579D" w:rsidRDefault="00A352D8">
      <w:pPr>
        <w:pStyle w:val="FootnoteText"/>
        <w:rPr>
          <w:lang w:val="en-GB"/>
        </w:rPr>
      </w:pPr>
      <w:r>
        <w:rPr>
          <w:rStyle w:val="FootnoteReference"/>
        </w:rPr>
        <w:footnoteRef/>
      </w:r>
      <w:r>
        <w:t xml:space="preserve"> </w:t>
      </w:r>
      <w:r>
        <w:rPr>
          <w:lang w:val="en-GB"/>
        </w:rPr>
        <w:t>Ibid at [40].</w:t>
      </w:r>
    </w:p>
  </w:footnote>
  <w:footnote w:id="122">
    <w:p w14:paraId="29D5BF96" w14:textId="77777777" w:rsidR="00A352D8" w:rsidRPr="0072579D" w:rsidRDefault="00A352D8">
      <w:pPr>
        <w:pStyle w:val="FootnoteText"/>
        <w:rPr>
          <w:lang w:val="en-GB"/>
        </w:rPr>
      </w:pPr>
      <w:r>
        <w:rPr>
          <w:rStyle w:val="FootnoteReference"/>
        </w:rPr>
        <w:footnoteRef/>
      </w:r>
      <w:r>
        <w:t xml:space="preserve"> </w:t>
      </w:r>
      <w:r>
        <w:rPr>
          <w:lang w:val="en-GB"/>
        </w:rPr>
        <w:t>Ibid at [36].</w:t>
      </w:r>
    </w:p>
  </w:footnote>
  <w:footnote w:id="123">
    <w:p w14:paraId="5C799258" w14:textId="6C7A814F" w:rsidR="00A352D8" w:rsidRPr="0072579D" w:rsidRDefault="00A352D8">
      <w:pPr>
        <w:pStyle w:val="FootnoteText"/>
        <w:rPr>
          <w:lang w:val="en-GB"/>
        </w:rPr>
      </w:pPr>
      <w:r>
        <w:rPr>
          <w:rStyle w:val="FootnoteReference"/>
        </w:rPr>
        <w:footnoteRef/>
      </w:r>
      <w:r>
        <w:t xml:space="preserve"> </w:t>
      </w:r>
      <w:r>
        <w:rPr>
          <w:lang w:val="en-GB"/>
        </w:rPr>
        <w:t>Ibid at [40]</w:t>
      </w:r>
    </w:p>
  </w:footnote>
  <w:footnote w:id="124">
    <w:p w14:paraId="3EF01F0C"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50.</w:t>
      </w:r>
    </w:p>
  </w:footnote>
  <w:footnote w:id="125">
    <w:p w14:paraId="1CE3EA7A" w14:textId="77777777" w:rsidR="00A352D8" w:rsidRPr="00265D81" w:rsidRDefault="00A352D8">
      <w:pPr>
        <w:pStyle w:val="FootnoteText"/>
        <w:rPr>
          <w:rFonts w:cs="Times New Roman"/>
          <w:color w:val="FF0000"/>
          <w:szCs w:val="18"/>
          <w:lang w:val="en-GB"/>
        </w:rPr>
      </w:pPr>
      <w:r w:rsidRPr="00265D81">
        <w:rPr>
          <w:rStyle w:val="FootnoteReference"/>
          <w:rFonts w:cs="Times New Roman"/>
          <w:szCs w:val="18"/>
          <w:lang w:val="en-GB"/>
        </w:rPr>
        <w:footnoteRef/>
      </w:r>
      <w:r w:rsidRPr="00265D81">
        <w:rPr>
          <w:rFonts w:cs="Times New Roman"/>
          <w:szCs w:val="18"/>
          <w:lang w:val="en-GB"/>
        </w:rPr>
        <w:t xml:space="preserve"> See Tom Tyler, </w:t>
      </w:r>
      <w:r w:rsidRPr="00265D81">
        <w:rPr>
          <w:rFonts w:cs="Times New Roman"/>
          <w:i/>
          <w:szCs w:val="18"/>
          <w:lang w:val="en-GB"/>
        </w:rPr>
        <w:t>Why People Obey the Law</w:t>
      </w:r>
      <w:r w:rsidRPr="00265D81">
        <w:rPr>
          <w:rFonts w:cs="Times New Roman"/>
          <w:szCs w:val="18"/>
          <w:lang w:val="en-GB"/>
        </w:rPr>
        <w:t xml:space="preserve"> (2006).</w:t>
      </w:r>
    </w:p>
  </w:footnote>
  <w:footnote w:id="126">
    <w:p w14:paraId="6EA6F900" w14:textId="77777777" w:rsidR="00A352D8" w:rsidRPr="00265D81" w:rsidRDefault="00A352D8" w:rsidP="004A2C59">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60.</w:t>
      </w:r>
    </w:p>
  </w:footnote>
  <w:footnote w:id="127">
    <w:p w14:paraId="16AB5510" w14:textId="24039A5B"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Compare the Canadian criminal case of </w:t>
      </w:r>
      <w:r w:rsidRPr="00265D81">
        <w:rPr>
          <w:rFonts w:cs="Times New Roman"/>
          <w:i/>
          <w:szCs w:val="18"/>
          <w:lang w:val="en-GB"/>
        </w:rPr>
        <w:t>Bornyk</w:t>
      </w:r>
      <w:r w:rsidRPr="00265D81">
        <w:rPr>
          <w:rFonts w:cs="Times New Roman"/>
          <w:szCs w:val="18"/>
          <w:lang w:val="en-GB"/>
        </w:rPr>
        <w:t xml:space="preserve">, 2014 BCCA 450where the trial judge was censured for </w:t>
      </w:r>
      <w:r>
        <w:rPr>
          <w:rFonts w:cs="Times New Roman"/>
          <w:szCs w:val="18"/>
          <w:lang w:val="en-GB"/>
        </w:rPr>
        <w:t>“</w:t>
      </w:r>
      <w:r w:rsidRPr="00265D81">
        <w:rPr>
          <w:rFonts w:cs="Times New Roman"/>
          <w:szCs w:val="18"/>
          <w:lang w:val="en-GB"/>
        </w:rPr>
        <w:t>entering the fray</w:t>
      </w:r>
      <w:r>
        <w:rPr>
          <w:rFonts w:cs="Times New Roman"/>
          <w:szCs w:val="18"/>
          <w:lang w:val="en-GB"/>
        </w:rPr>
        <w:t>”</w:t>
      </w:r>
      <w:r w:rsidRPr="00265D81">
        <w:rPr>
          <w:rFonts w:cs="Times New Roman"/>
          <w:szCs w:val="18"/>
          <w:lang w:val="en-GB"/>
        </w:rPr>
        <w:t xml:space="preserve"> on the basis of asking the parties to make submissions about a series of mainstream scientific reports that were directly pertinent to the only issue in the proceedings.</w:t>
      </w:r>
    </w:p>
  </w:footnote>
  <w:footnote w:id="128">
    <w:p w14:paraId="45EAF531" w14:textId="3612D25E"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Lon L. Fuller, </w:t>
      </w:r>
      <w:r>
        <w:rPr>
          <w:rFonts w:cs="Times New Roman"/>
          <w:szCs w:val="18"/>
          <w:lang w:val="en-GB"/>
        </w:rPr>
        <w:t>“</w:t>
      </w:r>
      <w:r w:rsidRPr="00265D81">
        <w:rPr>
          <w:rFonts w:cs="Times New Roman"/>
          <w:szCs w:val="18"/>
          <w:lang w:val="en-GB"/>
        </w:rPr>
        <w:t>The Forms and Limits of Adjudication</w:t>
      </w:r>
      <w:r>
        <w:rPr>
          <w:rFonts w:cs="Times New Roman"/>
          <w:szCs w:val="18"/>
          <w:lang w:val="en-GB"/>
        </w:rPr>
        <w:t>”</w:t>
      </w:r>
      <w:r w:rsidRPr="00265D81">
        <w:rPr>
          <w:rFonts w:cs="Times New Roman"/>
          <w:szCs w:val="18"/>
          <w:lang w:val="en-GB"/>
        </w:rPr>
        <w:t xml:space="preserve"> (1978) 92 Harv LR 353, 383.</w:t>
      </w:r>
    </w:p>
  </w:footnote>
  <w:footnote w:id="129">
    <w:p w14:paraId="61CD4359" w14:textId="32BF9C3A"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Zuckerman, </w:t>
      </w:r>
      <w:r>
        <w:rPr>
          <w:rFonts w:cs="Times New Roman"/>
          <w:szCs w:val="18"/>
          <w:lang w:val="en-GB"/>
        </w:rPr>
        <w:t>“</w:t>
      </w:r>
      <w:r w:rsidRPr="00265D81">
        <w:rPr>
          <w:rFonts w:cs="Times New Roman"/>
          <w:szCs w:val="18"/>
          <w:lang w:val="en-GB"/>
        </w:rPr>
        <w:t>No Justice Without Lawyers</w:t>
      </w:r>
      <w:r>
        <w:rPr>
          <w:rFonts w:cs="Times New Roman"/>
          <w:szCs w:val="18"/>
          <w:lang w:val="en-GB"/>
        </w:rPr>
        <w:t>”</w:t>
      </w:r>
      <w:r w:rsidR="00A764E9">
        <w:rPr>
          <w:rFonts w:cs="Times New Roman"/>
          <w:szCs w:val="18"/>
          <w:lang w:val="en-GB"/>
        </w:rPr>
        <w:t xml:space="preserve"> – n115 above</w:t>
      </w:r>
    </w:p>
  </w:footnote>
  <w:footnote w:id="130">
    <w:p w14:paraId="1A9D926A" w14:textId="4B49D9DB" w:rsidR="00A352D8" w:rsidRPr="00265D81" w:rsidRDefault="00A352D8" w:rsidP="009B29C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JA Jolowicz, </w:t>
      </w:r>
      <w:r>
        <w:rPr>
          <w:rFonts w:cs="Times New Roman"/>
          <w:szCs w:val="18"/>
          <w:lang w:val="en-GB"/>
        </w:rPr>
        <w:t>“</w:t>
      </w:r>
      <w:r w:rsidRPr="00265D81">
        <w:rPr>
          <w:rFonts w:cs="Times New Roman"/>
          <w:szCs w:val="18"/>
          <w:lang w:val="en-GB"/>
        </w:rPr>
        <w:t>Adversarial and Inquisitorial Models of Civil Procedure</w:t>
      </w:r>
      <w:r>
        <w:rPr>
          <w:rFonts w:cs="Times New Roman"/>
          <w:szCs w:val="18"/>
          <w:lang w:val="en-GB"/>
        </w:rPr>
        <w:t>”</w:t>
      </w:r>
      <w:r w:rsidRPr="00265D81">
        <w:rPr>
          <w:rFonts w:cs="Times New Roman"/>
          <w:szCs w:val="18"/>
          <w:lang w:val="en-GB"/>
        </w:rPr>
        <w:t xml:space="preserve"> (2003) 52 ICLQ 281, 286-7.</w:t>
      </w:r>
    </w:p>
  </w:footnote>
  <w:footnote w:id="131">
    <w:p w14:paraId="2A06A142" w14:textId="4303652B"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Cf. Zuckerman, </w:t>
      </w:r>
      <w:r>
        <w:rPr>
          <w:rFonts w:cs="Times New Roman"/>
          <w:szCs w:val="18"/>
          <w:lang w:val="en-GB"/>
        </w:rPr>
        <w:t>“</w:t>
      </w:r>
      <w:r w:rsidRPr="00265D81">
        <w:rPr>
          <w:rFonts w:cs="Times New Roman"/>
          <w:szCs w:val="18"/>
          <w:lang w:val="en-GB"/>
        </w:rPr>
        <w:t>No Justice Without Lawyers</w:t>
      </w:r>
      <w:r>
        <w:rPr>
          <w:rFonts w:cs="Times New Roman"/>
          <w:szCs w:val="18"/>
          <w:lang w:val="en-GB"/>
        </w:rPr>
        <w:t>”</w:t>
      </w:r>
      <w:r w:rsidR="00A764E9">
        <w:rPr>
          <w:rFonts w:cs="Times New Roman"/>
          <w:szCs w:val="18"/>
          <w:lang w:val="en-GB"/>
        </w:rPr>
        <w:t xml:space="preserve"> –n115 above</w:t>
      </w:r>
      <w:r w:rsidRPr="00265D81">
        <w:rPr>
          <w:rFonts w:cs="Times New Roman"/>
          <w:szCs w:val="18"/>
          <w:lang w:val="en-GB"/>
        </w:rPr>
        <w:t>, 359.</w:t>
      </w:r>
    </w:p>
  </w:footnote>
  <w:footnote w:id="132">
    <w:p w14:paraId="5B653605"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40</w:t>
      </w:r>
    </w:p>
  </w:footnote>
  <w:footnote w:id="133">
    <w:p w14:paraId="54D63DE0" w14:textId="50D18BDC" w:rsidR="00A352D8" w:rsidRPr="00265D81" w:rsidRDefault="00A352D8">
      <w:pPr>
        <w:pStyle w:val="FootnoteText"/>
        <w:rPr>
          <w:rFonts w:cs="Times New Roman"/>
          <w:szCs w:val="18"/>
        </w:rPr>
      </w:pPr>
      <w:r w:rsidRPr="00265D81">
        <w:rPr>
          <w:rStyle w:val="FootnoteReference"/>
          <w:rFonts w:cs="Times New Roman"/>
          <w:szCs w:val="18"/>
        </w:rPr>
        <w:footnoteRef/>
      </w:r>
      <w:r w:rsidRPr="00265D81">
        <w:rPr>
          <w:rFonts w:cs="Times New Roman"/>
          <w:szCs w:val="18"/>
        </w:rPr>
        <w:t xml:space="preserve"> See Gary Edmond, </w:t>
      </w:r>
      <w:r>
        <w:rPr>
          <w:rFonts w:cs="Times New Roman"/>
          <w:szCs w:val="18"/>
        </w:rPr>
        <w:t>“</w:t>
      </w:r>
      <w:r w:rsidRPr="00265D81">
        <w:rPr>
          <w:rFonts w:cs="Times New Roman"/>
          <w:szCs w:val="18"/>
        </w:rPr>
        <w:t>The conditions for rational (jury) evaluation of forensic science evidence</w:t>
      </w:r>
      <w:r>
        <w:rPr>
          <w:rFonts w:cs="Times New Roman"/>
          <w:szCs w:val="18"/>
        </w:rPr>
        <w:t>”</w:t>
      </w:r>
      <w:r w:rsidRPr="00265D81">
        <w:rPr>
          <w:rFonts w:cs="Times New Roman"/>
          <w:szCs w:val="18"/>
        </w:rPr>
        <w:t xml:space="preserve"> (2015) 39 </w:t>
      </w:r>
      <w:r w:rsidRPr="00265D81">
        <w:rPr>
          <w:rFonts w:cs="Times New Roman"/>
          <w:i/>
          <w:szCs w:val="18"/>
        </w:rPr>
        <w:t>Melbourne University Law Review</w:t>
      </w:r>
      <w:r w:rsidRPr="00265D81">
        <w:rPr>
          <w:rFonts w:cs="Times New Roman"/>
          <w:szCs w:val="18"/>
        </w:rPr>
        <w:t xml:space="preserve"> 1.</w:t>
      </w:r>
    </w:p>
  </w:footnote>
  <w:footnote w:id="134">
    <w:p w14:paraId="3A108EF8" w14:textId="77777777" w:rsidR="00A352D8" w:rsidRPr="00265D81" w:rsidRDefault="00A352D8">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265D81">
        <w:rPr>
          <w:rFonts w:cs="Times New Roman"/>
          <w:i/>
          <w:szCs w:val="18"/>
          <w:lang w:val="en-GB"/>
        </w:rPr>
        <w:t>Stratton v Patel</w:t>
      </w:r>
      <w:r w:rsidRPr="00265D81">
        <w:rPr>
          <w:rFonts w:cs="Times New Roman"/>
          <w:szCs w:val="18"/>
          <w:lang w:val="en-GB"/>
        </w:rPr>
        <w:t xml:space="preserve"> [2014] EWHC 2677 (TCC).</w:t>
      </w:r>
    </w:p>
  </w:footnote>
  <w:footnote w:id="135">
    <w:p w14:paraId="28499CB5" w14:textId="77777777" w:rsidR="00A352D8" w:rsidRPr="00265D81" w:rsidRDefault="00A352D8" w:rsidP="00CB7321">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CJC Report, 52.</w:t>
      </w:r>
    </w:p>
  </w:footnote>
  <w:footnote w:id="136">
    <w:p w14:paraId="2B0D92B6" w14:textId="77777777" w:rsidR="00A352D8" w:rsidRPr="00265D81" w:rsidRDefault="00A352D8" w:rsidP="00CB7321">
      <w:pPr>
        <w:pStyle w:val="FootnoteText"/>
        <w:rPr>
          <w:rFonts w:cs="Times New Roman"/>
          <w:i/>
          <w:szCs w:val="18"/>
          <w:lang w:val="en-GB"/>
        </w:rPr>
      </w:pPr>
      <w:r w:rsidRPr="00265D81">
        <w:rPr>
          <w:rStyle w:val="FootnoteReference"/>
          <w:rFonts w:cs="Times New Roman"/>
          <w:szCs w:val="18"/>
          <w:lang w:val="en-GB"/>
        </w:rPr>
        <w:footnoteRef/>
      </w:r>
      <w:r w:rsidRPr="00265D81">
        <w:rPr>
          <w:rFonts w:cs="Times New Roman"/>
          <w:szCs w:val="18"/>
          <w:lang w:val="en-GB"/>
        </w:rPr>
        <w:t xml:space="preserve"> See </w:t>
      </w:r>
      <w:r w:rsidRPr="00265D81">
        <w:rPr>
          <w:rFonts w:cs="Times New Roman"/>
          <w:i/>
          <w:szCs w:val="18"/>
          <w:lang w:val="en-GB"/>
        </w:rPr>
        <w:t xml:space="preserve">Aurora Leasing v Colliers </w:t>
      </w:r>
      <w:r w:rsidRPr="00265D81">
        <w:rPr>
          <w:rFonts w:eastAsia="SimSun" w:cs="Times New Roman"/>
          <w:szCs w:val="18"/>
          <w:lang w:val="en-GB" w:eastAsia="zh-CN"/>
        </w:rPr>
        <w:t>[2013] NIQB 116</w:t>
      </w:r>
      <w:r w:rsidRPr="00265D81">
        <w:rPr>
          <w:rFonts w:cs="Times New Roman"/>
          <w:szCs w:val="18"/>
          <w:lang w:val="en-GB"/>
        </w:rPr>
        <w:t xml:space="preserve">; </w:t>
      </w:r>
      <w:r w:rsidRPr="00265D81">
        <w:rPr>
          <w:rFonts w:cs="Times New Roman"/>
          <w:i/>
          <w:szCs w:val="18"/>
          <w:lang w:val="en-GB"/>
        </w:rPr>
        <w:t xml:space="preserve">Patel v Vigh </w:t>
      </w:r>
      <w:r w:rsidRPr="00265D81">
        <w:rPr>
          <w:rFonts w:cs="Times New Roman"/>
          <w:szCs w:val="18"/>
          <w:lang w:val="en-GB"/>
        </w:rPr>
        <w:t>[2013] EWHC 3403 (Ch);</w:t>
      </w:r>
      <w:r w:rsidRPr="00265D81" w:rsidDel="00977330">
        <w:rPr>
          <w:rFonts w:cs="Times New Roman"/>
          <w:i/>
          <w:szCs w:val="18"/>
          <w:lang w:val="en-GB"/>
        </w:rPr>
        <w:t xml:space="preserve"> </w:t>
      </w:r>
      <w:r w:rsidRPr="00265D81">
        <w:rPr>
          <w:rFonts w:cs="Times New Roman"/>
          <w:i/>
          <w:szCs w:val="18"/>
          <w:lang w:val="en-GB"/>
        </w:rPr>
        <w:t xml:space="preserve">Streetmap v Google </w:t>
      </w:r>
      <w:r w:rsidRPr="00265D81">
        <w:rPr>
          <w:rFonts w:cs="Times New Roman"/>
          <w:szCs w:val="18"/>
          <w:lang w:val="en-GB"/>
        </w:rPr>
        <w:t>[2016] EWHC 253 (Ch);</w:t>
      </w:r>
      <w:r w:rsidRPr="00265D81">
        <w:rPr>
          <w:rFonts w:cs="Times New Roman"/>
          <w:i/>
          <w:szCs w:val="18"/>
          <w:lang w:val="en-GB"/>
        </w:rPr>
        <w:t xml:space="preserve"> Hunt v Optima </w:t>
      </w:r>
      <w:r w:rsidRPr="00265D81">
        <w:rPr>
          <w:rFonts w:cs="Times New Roman"/>
          <w:szCs w:val="18"/>
          <w:lang w:val="en-GB"/>
        </w:rPr>
        <w:t>[2013] EWHC 681 (TCC).</w:t>
      </w:r>
    </w:p>
  </w:footnote>
  <w:footnote w:id="137">
    <w:p w14:paraId="42C22A7B" w14:textId="77777777" w:rsidR="00A352D8" w:rsidRPr="00551C0D" w:rsidRDefault="00A352D8">
      <w:pPr>
        <w:pStyle w:val="FootnoteText"/>
      </w:pPr>
      <w:r>
        <w:rPr>
          <w:rStyle w:val="FootnoteReference"/>
        </w:rPr>
        <w:footnoteRef/>
      </w:r>
      <w:r>
        <w:t xml:space="preserve"> Minutes of the CPRC meeting on 3 February 2017 accessible at </w:t>
      </w:r>
      <w:r w:rsidRPr="00551C0D">
        <w:t>https://www.lexisnexis.com/uk/lexispsl/disputeresolution/document/393750/5N7V-WYP1-F18B-81CF-00000-00/Minutes_of_the_CPR_Committee_meeting_of_3_February_2017</w:t>
      </w:r>
      <w:r>
        <w:t xml:space="preserve"> </w:t>
      </w:r>
    </w:p>
  </w:footnote>
  <w:footnote w:id="138">
    <w:p w14:paraId="2DE48CC6" w14:textId="77777777" w:rsidR="00A352D8" w:rsidRPr="00997630" w:rsidRDefault="00A352D8">
      <w:pPr>
        <w:pStyle w:val="FootnoteText"/>
      </w:pPr>
      <w:r>
        <w:rPr>
          <w:rStyle w:val="FootnoteReference"/>
        </w:rPr>
        <w:footnoteRef/>
      </w:r>
      <w:r>
        <w:t xml:space="preserve"> Ibid</w:t>
      </w:r>
    </w:p>
  </w:footnote>
  <w:footnote w:id="139">
    <w:p w14:paraId="33F94479" w14:textId="77777777" w:rsidR="00A352D8" w:rsidRPr="00F274B1" w:rsidRDefault="00A352D8">
      <w:pPr>
        <w:pStyle w:val="FootnoteText"/>
      </w:pPr>
      <w:r>
        <w:rPr>
          <w:rStyle w:val="FootnoteReference"/>
        </w:rPr>
        <w:footnoteRef/>
      </w:r>
      <w:r>
        <w:t xml:space="preserve"> Minutes of the CPRC meeting on 9 June 2017 accessible at </w:t>
      </w:r>
      <w:r w:rsidRPr="00F274B1">
        <w:t>https://www.lexisnexis.com/uk/lexispsl/disputeresolution/document/393750/5NY1-X8H1-F18B-80DN-00000-00/Minutes_of_the_CPR_Committee_meeting_of_9_June_2017</w:t>
      </w:r>
    </w:p>
  </w:footnote>
  <w:footnote w:id="140">
    <w:p w14:paraId="7CC4A6CD" w14:textId="77777777" w:rsidR="00A352D8" w:rsidRPr="008B66B6" w:rsidRDefault="00A352D8" w:rsidP="00056041">
      <w:pPr>
        <w:pStyle w:val="FootnoteText"/>
        <w:rPr>
          <w:rFonts w:cs="Times New Roman"/>
          <w:szCs w:val="18"/>
          <w:lang w:val="en-GB"/>
        </w:rPr>
      </w:pPr>
      <w:r w:rsidRPr="00265D81">
        <w:rPr>
          <w:rStyle w:val="FootnoteReference"/>
          <w:rFonts w:cs="Times New Roman"/>
          <w:szCs w:val="18"/>
          <w:lang w:val="en-GB"/>
        </w:rPr>
        <w:footnoteRef/>
      </w:r>
      <w:r w:rsidRPr="00265D81">
        <w:rPr>
          <w:rFonts w:cs="Times New Roman"/>
          <w:szCs w:val="18"/>
          <w:lang w:val="en-GB"/>
        </w:rPr>
        <w:t xml:space="preserve"> </w:t>
      </w:r>
      <w:r w:rsidRPr="00876672">
        <w:rPr>
          <w:rFonts w:cs="Times New Roman"/>
          <w:lang w:val="en-GB"/>
        </w:rPr>
        <w:t xml:space="preserve">Throughout this article we have placed emphasis on the need for procedural reforms to be informed by rigorous empirical research. It is beyond the scope of this </w:t>
      </w:r>
      <w:r>
        <w:rPr>
          <w:rFonts w:cs="Times New Roman"/>
          <w:lang w:val="en-GB"/>
        </w:rPr>
        <w:t>article</w:t>
      </w:r>
      <w:r w:rsidRPr="00876672">
        <w:rPr>
          <w:rFonts w:cs="Times New Roman"/>
          <w:lang w:val="en-GB"/>
        </w:rPr>
        <w:t xml:space="preserve"> to </w:t>
      </w:r>
      <w:r>
        <w:rPr>
          <w:rFonts w:cs="Times New Roman"/>
          <w:lang w:val="en-GB"/>
        </w:rPr>
        <w:t>design</w:t>
      </w:r>
      <w:r w:rsidRPr="00876672">
        <w:rPr>
          <w:rFonts w:cs="Times New Roman"/>
          <w:lang w:val="en-GB"/>
        </w:rPr>
        <w:t xml:space="preserve"> such research, but we acknowledge that assessing the quality of expert evidence (and of judicial decisions) is a difficult task for researchers as well as for judges. </w:t>
      </w:r>
      <w:r w:rsidRPr="00265D81">
        <w:rPr>
          <w:rFonts w:cs="Times New Roman"/>
          <w:szCs w:val="18"/>
          <w:lang w:val="en-GB"/>
        </w:rPr>
        <w:t xml:space="preserve">The controversy about Jane Ireland’s research on the family courts illustrates </w:t>
      </w:r>
      <w:r>
        <w:rPr>
          <w:rFonts w:cs="Times New Roman"/>
          <w:szCs w:val="18"/>
          <w:lang w:val="en-GB"/>
        </w:rPr>
        <w:t>such</w:t>
      </w:r>
      <w:r w:rsidRPr="00265D81">
        <w:rPr>
          <w:rFonts w:cs="Times New Roman"/>
          <w:szCs w:val="18"/>
          <w:lang w:val="en-GB"/>
        </w:rPr>
        <w:t xml:space="preserve"> difficulties: </w:t>
      </w:r>
      <w:r w:rsidRPr="00265D81">
        <w:rPr>
          <w:rFonts w:cs="Times New Roman"/>
          <w:i/>
          <w:szCs w:val="18"/>
          <w:lang w:val="en-GB"/>
        </w:rPr>
        <w:t xml:space="preserve">Evaluating Expert Witness Psychological Reports: Exploring Quality </w:t>
      </w:r>
      <w:r w:rsidRPr="00265D81">
        <w:rPr>
          <w:rFonts w:cs="Times New Roman"/>
          <w:szCs w:val="18"/>
          <w:lang w:val="en-GB"/>
        </w:rPr>
        <w:t xml:space="preserve">(2012) available at </w:t>
      </w:r>
      <w:hyperlink r:id="rId5" w:history="1">
        <w:r w:rsidRPr="00265D81">
          <w:rPr>
            <w:rStyle w:val="Hyperlink"/>
            <w:rFonts w:cs="Times New Roman"/>
            <w:szCs w:val="18"/>
            <w:lang w:val="en-GB"/>
          </w:rPr>
          <w:t>http://netk.net.au/Psychology/ExpertReports.pdf</w:t>
        </w:r>
      </w:hyperlink>
      <w:r w:rsidRPr="00265D81">
        <w:rPr>
          <w:rFonts w:cs="Times New Roman"/>
          <w:szCs w:val="18"/>
          <w:lang w:val="en-GB"/>
        </w:rPr>
        <w:t xml:space="preserve">; </w:t>
      </w:r>
      <w:r w:rsidRPr="00265D81">
        <w:rPr>
          <w:rFonts w:cs="Times New Roman"/>
          <w:szCs w:val="18"/>
        </w:rPr>
        <w:t xml:space="preserve">for an overview of the controversy see </w:t>
      </w:r>
      <w:hyperlink r:id="rId6" w:history="1">
        <w:r w:rsidRPr="00265D81">
          <w:rPr>
            <w:rStyle w:val="Hyperlink"/>
            <w:rFonts w:cs="Times New Roman"/>
            <w:szCs w:val="18"/>
            <w:lang w:val="en-GB"/>
          </w:rPr>
          <w:t>http://www.transparencyproject.org.uk/the-ireland-report-and-the-fitness-to-practice-panel-in-respect-of-professor-ireland/</w:t>
        </w:r>
      </w:hyperlink>
      <w:r w:rsidRPr="00265D81">
        <w:rPr>
          <w:rFonts w:cs="Times New Roman"/>
          <w:szCs w:val="18"/>
          <w:lang w:val="en-GB"/>
        </w:rPr>
        <w:t xml:space="preserve"> (accessed 12 July 2017).</w:t>
      </w:r>
      <w:r>
        <w:rPr>
          <w:rFonts w:cs="Times New Roman"/>
          <w:szCs w:val="18"/>
          <w:lang w:val="en-GB"/>
        </w:rPr>
        <w:t xml:space="preserve"> (Prof. Ireland was eventually cleared of disciplinary charges: </w:t>
      </w:r>
      <w:r>
        <w:rPr>
          <w:rFonts w:cs="Times New Roman"/>
          <w:i/>
          <w:szCs w:val="18"/>
          <w:lang w:val="en-GB"/>
        </w:rPr>
        <w:t xml:space="preserve">LSG </w:t>
      </w:r>
      <w:r>
        <w:rPr>
          <w:rFonts w:cs="Times New Roman"/>
          <w:szCs w:val="18"/>
          <w:lang w:val="en-GB"/>
        </w:rPr>
        <w:t>8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13237421"/>
      <w:docPartObj>
        <w:docPartGallery w:val="Page Numbers (Top of Page)"/>
        <w:docPartUnique/>
      </w:docPartObj>
    </w:sdtPr>
    <w:sdtEndPr>
      <w:rPr>
        <w:noProof/>
      </w:rPr>
    </w:sdtEndPr>
    <w:sdtContent>
      <w:p w14:paraId="40474B50" w14:textId="54DEF8D7" w:rsidR="00A352D8" w:rsidRPr="00D65D01" w:rsidRDefault="00A352D8">
        <w:pPr>
          <w:pStyle w:val="Header"/>
          <w:jc w:val="right"/>
          <w:rPr>
            <w:sz w:val="16"/>
            <w:szCs w:val="16"/>
          </w:rPr>
        </w:pPr>
        <w:r w:rsidRPr="00D65D01">
          <w:rPr>
            <w:sz w:val="16"/>
            <w:szCs w:val="16"/>
          </w:rPr>
          <w:fldChar w:fldCharType="begin"/>
        </w:r>
        <w:r w:rsidRPr="00D65D01">
          <w:rPr>
            <w:sz w:val="16"/>
            <w:szCs w:val="16"/>
          </w:rPr>
          <w:instrText xml:space="preserve"> PAGE   \* MERGEFORMAT </w:instrText>
        </w:r>
        <w:r w:rsidRPr="00D65D01">
          <w:rPr>
            <w:sz w:val="16"/>
            <w:szCs w:val="16"/>
          </w:rPr>
          <w:fldChar w:fldCharType="separate"/>
        </w:r>
        <w:r w:rsidR="00AA757F">
          <w:rPr>
            <w:noProof/>
            <w:sz w:val="16"/>
            <w:szCs w:val="16"/>
          </w:rPr>
          <w:t>1</w:t>
        </w:r>
        <w:r w:rsidRPr="00D65D01">
          <w:rPr>
            <w:noProof/>
            <w:sz w:val="16"/>
            <w:szCs w:val="16"/>
          </w:rPr>
          <w:fldChar w:fldCharType="end"/>
        </w:r>
      </w:p>
    </w:sdtContent>
  </w:sdt>
  <w:p w14:paraId="0A2115C1" w14:textId="77777777" w:rsidR="00A352D8" w:rsidRDefault="00A35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12AB"/>
    <w:multiLevelType w:val="hybridMultilevel"/>
    <w:tmpl w:val="B84481A4"/>
    <w:lvl w:ilvl="0" w:tplc="F16E9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B35F6"/>
    <w:multiLevelType w:val="hybridMultilevel"/>
    <w:tmpl w:val="A7C0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76"/>
    <w:rsid w:val="00000AA6"/>
    <w:rsid w:val="0001085B"/>
    <w:rsid w:val="00014637"/>
    <w:rsid w:val="00016A9D"/>
    <w:rsid w:val="00016B96"/>
    <w:rsid w:val="00030483"/>
    <w:rsid w:val="00031560"/>
    <w:rsid w:val="0003428E"/>
    <w:rsid w:val="00037989"/>
    <w:rsid w:val="00040F46"/>
    <w:rsid w:val="00043C78"/>
    <w:rsid w:val="00054B5D"/>
    <w:rsid w:val="00055C22"/>
    <w:rsid w:val="00056041"/>
    <w:rsid w:val="000575E6"/>
    <w:rsid w:val="00057AB4"/>
    <w:rsid w:val="00060786"/>
    <w:rsid w:val="00062942"/>
    <w:rsid w:val="00063A1B"/>
    <w:rsid w:val="000665D6"/>
    <w:rsid w:val="00070884"/>
    <w:rsid w:val="00072210"/>
    <w:rsid w:val="00081FF2"/>
    <w:rsid w:val="0008468A"/>
    <w:rsid w:val="00086639"/>
    <w:rsid w:val="00087DA6"/>
    <w:rsid w:val="00090028"/>
    <w:rsid w:val="00094014"/>
    <w:rsid w:val="0009451E"/>
    <w:rsid w:val="00094DDB"/>
    <w:rsid w:val="00095891"/>
    <w:rsid w:val="000B1778"/>
    <w:rsid w:val="000B331D"/>
    <w:rsid w:val="000C009F"/>
    <w:rsid w:val="000C0991"/>
    <w:rsid w:val="000C187E"/>
    <w:rsid w:val="000C27BA"/>
    <w:rsid w:val="000D57DB"/>
    <w:rsid w:val="000D7A13"/>
    <w:rsid w:val="000E1AAE"/>
    <w:rsid w:val="000E4CED"/>
    <w:rsid w:val="000E505B"/>
    <w:rsid w:val="000E572F"/>
    <w:rsid w:val="000E5D6E"/>
    <w:rsid w:val="000E79CB"/>
    <w:rsid w:val="000F2AEA"/>
    <w:rsid w:val="000F5B0F"/>
    <w:rsid w:val="000F7B5A"/>
    <w:rsid w:val="00103773"/>
    <w:rsid w:val="00105A93"/>
    <w:rsid w:val="001142D1"/>
    <w:rsid w:val="0011469A"/>
    <w:rsid w:val="0012045B"/>
    <w:rsid w:val="00120EC3"/>
    <w:rsid w:val="00122223"/>
    <w:rsid w:val="00123077"/>
    <w:rsid w:val="00125EA7"/>
    <w:rsid w:val="00126E20"/>
    <w:rsid w:val="00127E68"/>
    <w:rsid w:val="0013183C"/>
    <w:rsid w:val="0014712C"/>
    <w:rsid w:val="001475B8"/>
    <w:rsid w:val="0015137F"/>
    <w:rsid w:val="00151B05"/>
    <w:rsid w:val="0015243F"/>
    <w:rsid w:val="001527D4"/>
    <w:rsid w:val="00154702"/>
    <w:rsid w:val="00167316"/>
    <w:rsid w:val="0018515F"/>
    <w:rsid w:val="00185F1B"/>
    <w:rsid w:val="00191EE3"/>
    <w:rsid w:val="00195F19"/>
    <w:rsid w:val="001A3149"/>
    <w:rsid w:val="001A78A8"/>
    <w:rsid w:val="001B0C6B"/>
    <w:rsid w:val="001B2AE3"/>
    <w:rsid w:val="001B33DA"/>
    <w:rsid w:val="001B5DD4"/>
    <w:rsid w:val="001B75E5"/>
    <w:rsid w:val="001C1A22"/>
    <w:rsid w:val="001C1A4F"/>
    <w:rsid w:val="001C4280"/>
    <w:rsid w:val="001C5B3B"/>
    <w:rsid w:val="001D312C"/>
    <w:rsid w:val="001D629B"/>
    <w:rsid w:val="001E0F40"/>
    <w:rsid w:val="001E305F"/>
    <w:rsid w:val="001E3B4A"/>
    <w:rsid w:val="001E3C86"/>
    <w:rsid w:val="001E67E0"/>
    <w:rsid w:val="001E7C6E"/>
    <w:rsid w:val="001F101E"/>
    <w:rsid w:val="001F7CF2"/>
    <w:rsid w:val="002060CA"/>
    <w:rsid w:val="00206D38"/>
    <w:rsid w:val="00213452"/>
    <w:rsid w:val="002138FA"/>
    <w:rsid w:val="00215B0A"/>
    <w:rsid w:val="00215F06"/>
    <w:rsid w:val="002177DF"/>
    <w:rsid w:val="00220556"/>
    <w:rsid w:val="00225053"/>
    <w:rsid w:val="002268A2"/>
    <w:rsid w:val="00234771"/>
    <w:rsid w:val="00237F69"/>
    <w:rsid w:val="00241975"/>
    <w:rsid w:val="00241D3C"/>
    <w:rsid w:val="00242AD2"/>
    <w:rsid w:val="00245FD2"/>
    <w:rsid w:val="00250259"/>
    <w:rsid w:val="00255F4D"/>
    <w:rsid w:val="002575C7"/>
    <w:rsid w:val="00257D1C"/>
    <w:rsid w:val="00260108"/>
    <w:rsid w:val="002628E6"/>
    <w:rsid w:val="00262D42"/>
    <w:rsid w:val="002643CD"/>
    <w:rsid w:val="00265446"/>
    <w:rsid w:val="00265D81"/>
    <w:rsid w:val="0027224E"/>
    <w:rsid w:val="00272746"/>
    <w:rsid w:val="00275DC4"/>
    <w:rsid w:val="00280FB4"/>
    <w:rsid w:val="00283C83"/>
    <w:rsid w:val="002842CC"/>
    <w:rsid w:val="002872E9"/>
    <w:rsid w:val="00287BE7"/>
    <w:rsid w:val="002916CE"/>
    <w:rsid w:val="00297342"/>
    <w:rsid w:val="002A1AEE"/>
    <w:rsid w:val="002A1CD8"/>
    <w:rsid w:val="002A3741"/>
    <w:rsid w:val="002A4608"/>
    <w:rsid w:val="002A6F6B"/>
    <w:rsid w:val="002B0100"/>
    <w:rsid w:val="002B0F10"/>
    <w:rsid w:val="002B1ED2"/>
    <w:rsid w:val="002B2945"/>
    <w:rsid w:val="002B4FA3"/>
    <w:rsid w:val="002C3F27"/>
    <w:rsid w:val="002C5925"/>
    <w:rsid w:val="002C772B"/>
    <w:rsid w:val="002C789B"/>
    <w:rsid w:val="002D008E"/>
    <w:rsid w:val="002D00A1"/>
    <w:rsid w:val="002D7A87"/>
    <w:rsid w:val="002E143C"/>
    <w:rsid w:val="002E294F"/>
    <w:rsid w:val="002F3563"/>
    <w:rsid w:val="002F3801"/>
    <w:rsid w:val="002F58DA"/>
    <w:rsid w:val="002F59F9"/>
    <w:rsid w:val="002F6BF3"/>
    <w:rsid w:val="00303D8C"/>
    <w:rsid w:val="003111BA"/>
    <w:rsid w:val="0031716D"/>
    <w:rsid w:val="00317468"/>
    <w:rsid w:val="00321345"/>
    <w:rsid w:val="00322ABB"/>
    <w:rsid w:val="0032679F"/>
    <w:rsid w:val="00333116"/>
    <w:rsid w:val="00340291"/>
    <w:rsid w:val="0034033C"/>
    <w:rsid w:val="003416B9"/>
    <w:rsid w:val="00345564"/>
    <w:rsid w:val="003529BC"/>
    <w:rsid w:val="00352E75"/>
    <w:rsid w:val="00353D5E"/>
    <w:rsid w:val="00354BD4"/>
    <w:rsid w:val="003560CA"/>
    <w:rsid w:val="00363158"/>
    <w:rsid w:val="00363CBD"/>
    <w:rsid w:val="00376314"/>
    <w:rsid w:val="00376D10"/>
    <w:rsid w:val="003770EC"/>
    <w:rsid w:val="00380041"/>
    <w:rsid w:val="00381256"/>
    <w:rsid w:val="0038129A"/>
    <w:rsid w:val="00381758"/>
    <w:rsid w:val="0038609A"/>
    <w:rsid w:val="00392418"/>
    <w:rsid w:val="003964E8"/>
    <w:rsid w:val="003974DF"/>
    <w:rsid w:val="003A09B6"/>
    <w:rsid w:val="003A0B2B"/>
    <w:rsid w:val="003A1EE8"/>
    <w:rsid w:val="003A5DA3"/>
    <w:rsid w:val="003A7EF9"/>
    <w:rsid w:val="003B02FF"/>
    <w:rsid w:val="003B29C0"/>
    <w:rsid w:val="003C5789"/>
    <w:rsid w:val="003D00C5"/>
    <w:rsid w:val="003D0BBA"/>
    <w:rsid w:val="003D0C7C"/>
    <w:rsid w:val="003D5832"/>
    <w:rsid w:val="003E06FE"/>
    <w:rsid w:val="003F18BA"/>
    <w:rsid w:val="003F1976"/>
    <w:rsid w:val="003F646D"/>
    <w:rsid w:val="003F7313"/>
    <w:rsid w:val="00402F3A"/>
    <w:rsid w:val="004071E7"/>
    <w:rsid w:val="00415D36"/>
    <w:rsid w:val="00416C95"/>
    <w:rsid w:val="0042178F"/>
    <w:rsid w:val="00431D62"/>
    <w:rsid w:val="004331A2"/>
    <w:rsid w:val="0044710A"/>
    <w:rsid w:val="00447685"/>
    <w:rsid w:val="00453617"/>
    <w:rsid w:val="00453E31"/>
    <w:rsid w:val="0045738E"/>
    <w:rsid w:val="00457B46"/>
    <w:rsid w:val="004625C0"/>
    <w:rsid w:val="00473633"/>
    <w:rsid w:val="00473AEB"/>
    <w:rsid w:val="004776A3"/>
    <w:rsid w:val="00477BCF"/>
    <w:rsid w:val="00477F11"/>
    <w:rsid w:val="00481D9E"/>
    <w:rsid w:val="004824BD"/>
    <w:rsid w:val="00486DE5"/>
    <w:rsid w:val="0049303C"/>
    <w:rsid w:val="00493381"/>
    <w:rsid w:val="00495279"/>
    <w:rsid w:val="00495A02"/>
    <w:rsid w:val="0049635B"/>
    <w:rsid w:val="004967F0"/>
    <w:rsid w:val="00496F42"/>
    <w:rsid w:val="004A1A48"/>
    <w:rsid w:val="004A2C59"/>
    <w:rsid w:val="004A590F"/>
    <w:rsid w:val="004A72D9"/>
    <w:rsid w:val="004A7887"/>
    <w:rsid w:val="004B26DA"/>
    <w:rsid w:val="004B3B73"/>
    <w:rsid w:val="004B45C1"/>
    <w:rsid w:val="004C3649"/>
    <w:rsid w:val="004D0686"/>
    <w:rsid w:val="004D4F79"/>
    <w:rsid w:val="004D7B96"/>
    <w:rsid w:val="004E051F"/>
    <w:rsid w:val="004E1666"/>
    <w:rsid w:val="004E293C"/>
    <w:rsid w:val="004E2A12"/>
    <w:rsid w:val="004F310D"/>
    <w:rsid w:val="004F3F92"/>
    <w:rsid w:val="004F3FF2"/>
    <w:rsid w:val="004F52C3"/>
    <w:rsid w:val="004F7C12"/>
    <w:rsid w:val="00517D62"/>
    <w:rsid w:val="00520B27"/>
    <w:rsid w:val="00521F04"/>
    <w:rsid w:val="00522355"/>
    <w:rsid w:val="00524F66"/>
    <w:rsid w:val="0052552B"/>
    <w:rsid w:val="00530D83"/>
    <w:rsid w:val="00535BC0"/>
    <w:rsid w:val="0053636C"/>
    <w:rsid w:val="00536EE8"/>
    <w:rsid w:val="00540B97"/>
    <w:rsid w:val="0054471B"/>
    <w:rsid w:val="00546DAD"/>
    <w:rsid w:val="00550FFD"/>
    <w:rsid w:val="00551C0D"/>
    <w:rsid w:val="0055559A"/>
    <w:rsid w:val="00565766"/>
    <w:rsid w:val="0056700C"/>
    <w:rsid w:val="00572316"/>
    <w:rsid w:val="0058102A"/>
    <w:rsid w:val="00583F17"/>
    <w:rsid w:val="00584338"/>
    <w:rsid w:val="00584EC6"/>
    <w:rsid w:val="005867FF"/>
    <w:rsid w:val="005875F2"/>
    <w:rsid w:val="00587A0D"/>
    <w:rsid w:val="005934B3"/>
    <w:rsid w:val="00597001"/>
    <w:rsid w:val="005B041C"/>
    <w:rsid w:val="005B146D"/>
    <w:rsid w:val="005B5C1F"/>
    <w:rsid w:val="005C1EC8"/>
    <w:rsid w:val="005C3D2A"/>
    <w:rsid w:val="005C7089"/>
    <w:rsid w:val="005D0ECB"/>
    <w:rsid w:val="005D1CC5"/>
    <w:rsid w:val="005D419D"/>
    <w:rsid w:val="005D740A"/>
    <w:rsid w:val="005E05B4"/>
    <w:rsid w:val="005E15BD"/>
    <w:rsid w:val="005E1D7F"/>
    <w:rsid w:val="005E1FFB"/>
    <w:rsid w:val="005E3381"/>
    <w:rsid w:val="005E3F4E"/>
    <w:rsid w:val="005E5AA3"/>
    <w:rsid w:val="005F0C4B"/>
    <w:rsid w:val="005F0CF4"/>
    <w:rsid w:val="005F6462"/>
    <w:rsid w:val="00601997"/>
    <w:rsid w:val="00601DCF"/>
    <w:rsid w:val="006025C6"/>
    <w:rsid w:val="0060351B"/>
    <w:rsid w:val="00605033"/>
    <w:rsid w:val="006069E9"/>
    <w:rsid w:val="00611E87"/>
    <w:rsid w:val="00612303"/>
    <w:rsid w:val="0061365C"/>
    <w:rsid w:val="00614825"/>
    <w:rsid w:val="006156B0"/>
    <w:rsid w:val="0063540A"/>
    <w:rsid w:val="0063771E"/>
    <w:rsid w:val="006411E5"/>
    <w:rsid w:val="00650234"/>
    <w:rsid w:val="00650BDB"/>
    <w:rsid w:val="00655B27"/>
    <w:rsid w:val="00660E58"/>
    <w:rsid w:val="00662A60"/>
    <w:rsid w:val="00664747"/>
    <w:rsid w:val="006651DD"/>
    <w:rsid w:val="00676A88"/>
    <w:rsid w:val="00677171"/>
    <w:rsid w:val="006800F6"/>
    <w:rsid w:val="00680A90"/>
    <w:rsid w:val="00682A2E"/>
    <w:rsid w:val="00682E02"/>
    <w:rsid w:val="0068349A"/>
    <w:rsid w:val="0068401B"/>
    <w:rsid w:val="006929EB"/>
    <w:rsid w:val="006932EA"/>
    <w:rsid w:val="00693805"/>
    <w:rsid w:val="006958BA"/>
    <w:rsid w:val="00697F86"/>
    <w:rsid w:val="006A108D"/>
    <w:rsid w:val="006B1D55"/>
    <w:rsid w:val="006B3F05"/>
    <w:rsid w:val="006C1969"/>
    <w:rsid w:val="006C2686"/>
    <w:rsid w:val="006C2C2C"/>
    <w:rsid w:val="006C4AB6"/>
    <w:rsid w:val="006C6986"/>
    <w:rsid w:val="006D07F9"/>
    <w:rsid w:val="006D34FC"/>
    <w:rsid w:val="006D3CCB"/>
    <w:rsid w:val="006E0610"/>
    <w:rsid w:val="006E2A1A"/>
    <w:rsid w:val="006E3B7A"/>
    <w:rsid w:val="006E725C"/>
    <w:rsid w:val="006E7A34"/>
    <w:rsid w:val="006F00A5"/>
    <w:rsid w:val="006F1583"/>
    <w:rsid w:val="0070499D"/>
    <w:rsid w:val="0071375D"/>
    <w:rsid w:val="00715F17"/>
    <w:rsid w:val="007164D6"/>
    <w:rsid w:val="00722BDB"/>
    <w:rsid w:val="0072579D"/>
    <w:rsid w:val="0073050E"/>
    <w:rsid w:val="00737CC9"/>
    <w:rsid w:val="00745E8D"/>
    <w:rsid w:val="0075431D"/>
    <w:rsid w:val="00754FDD"/>
    <w:rsid w:val="007557AE"/>
    <w:rsid w:val="00755BE2"/>
    <w:rsid w:val="00756E9F"/>
    <w:rsid w:val="00763879"/>
    <w:rsid w:val="00764DAD"/>
    <w:rsid w:val="0076546D"/>
    <w:rsid w:val="007660F0"/>
    <w:rsid w:val="00767330"/>
    <w:rsid w:val="00772FBE"/>
    <w:rsid w:val="00774E4B"/>
    <w:rsid w:val="00781EEF"/>
    <w:rsid w:val="007872D5"/>
    <w:rsid w:val="00791946"/>
    <w:rsid w:val="00793172"/>
    <w:rsid w:val="00793A41"/>
    <w:rsid w:val="00793A6C"/>
    <w:rsid w:val="00795850"/>
    <w:rsid w:val="00796177"/>
    <w:rsid w:val="007967F0"/>
    <w:rsid w:val="007A0276"/>
    <w:rsid w:val="007A219E"/>
    <w:rsid w:val="007A37EA"/>
    <w:rsid w:val="007B332E"/>
    <w:rsid w:val="007B3CD7"/>
    <w:rsid w:val="007B49C1"/>
    <w:rsid w:val="007C3A3A"/>
    <w:rsid w:val="007C6E11"/>
    <w:rsid w:val="007D06A8"/>
    <w:rsid w:val="007D2202"/>
    <w:rsid w:val="007D2B88"/>
    <w:rsid w:val="007D64B9"/>
    <w:rsid w:val="007E2FC7"/>
    <w:rsid w:val="007E31FD"/>
    <w:rsid w:val="007F14AF"/>
    <w:rsid w:val="007F7A2C"/>
    <w:rsid w:val="00801DE1"/>
    <w:rsid w:val="00804A73"/>
    <w:rsid w:val="00820996"/>
    <w:rsid w:val="00826C13"/>
    <w:rsid w:val="00826E3D"/>
    <w:rsid w:val="00832A30"/>
    <w:rsid w:val="00835E09"/>
    <w:rsid w:val="008361BA"/>
    <w:rsid w:val="00843583"/>
    <w:rsid w:val="00844C6D"/>
    <w:rsid w:val="00845E98"/>
    <w:rsid w:val="00847329"/>
    <w:rsid w:val="00850A88"/>
    <w:rsid w:val="00850D02"/>
    <w:rsid w:val="008571D0"/>
    <w:rsid w:val="00865090"/>
    <w:rsid w:val="00865137"/>
    <w:rsid w:val="008663DE"/>
    <w:rsid w:val="00866E5A"/>
    <w:rsid w:val="00870C20"/>
    <w:rsid w:val="0087277D"/>
    <w:rsid w:val="0087312D"/>
    <w:rsid w:val="00876672"/>
    <w:rsid w:val="00877EBA"/>
    <w:rsid w:val="00881AFD"/>
    <w:rsid w:val="008A34B2"/>
    <w:rsid w:val="008A4664"/>
    <w:rsid w:val="008B1FC7"/>
    <w:rsid w:val="008B2515"/>
    <w:rsid w:val="008B66B6"/>
    <w:rsid w:val="008B759F"/>
    <w:rsid w:val="008B76F8"/>
    <w:rsid w:val="008C0E92"/>
    <w:rsid w:val="008C2CB6"/>
    <w:rsid w:val="008C33E9"/>
    <w:rsid w:val="008C5089"/>
    <w:rsid w:val="008C78E7"/>
    <w:rsid w:val="008D0D5F"/>
    <w:rsid w:val="008D2642"/>
    <w:rsid w:val="008D2A83"/>
    <w:rsid w:val="008D2DCB"/>
    <w:rsid w:val="008D6160"/>
    <w:rsid w:val="008D70CC"/>
    <w:rsid w:val="008D732B"/>
    <w:rsid w:val="008E0A2C"/>
    <w:rsid w:val="008E5040"/>
    <w:rsid w:val="008F2100"/>
    <w:rsid w:val="008F308A"/>
    <w:rsid w:val="008F3E76"/>
    <w:rsid w:val="008F5ED6"/>
    <w:rsid w:val="00903B61"/>
    <w:rsid w:val="00905971"/>
    <w:rsid w:val="00916E1E"/>
    <w:rsid w:val="009176EB"/>
    <w:rsid w:val="00920F59"/>
    <w:rsid w:val="00927D08"/>
    <w:rsid w:val="009329D2"/>
    <w:rsid w:val="009354E5"/>
    <w:rsid w:val="00935C72"/>
    <w:rsid w:val="009370E2"/>
    <w:rsid w:val="00941F7E"/>
    <w:rsid w:val="009539ED"/>
    <w:rsid w:val="00953EBA"/>
    <w:rsid w:val="0095439B"/>
    <w:rsid w:val="00955800"/>
    <w:rsid w:val="00957888"/>
    <w:rsid w:val="009607C0"/>
    <w:rsid w:val="0096202C"/>
    <w:rsid w:val="00973DF9"/>
    <w:rsid w:val="00974FF8"/>
    <w:rsid w:val="00977330"/>
    <w:rsid w:val="009861F1"/>
    <w:rsid w:val="00986CF5"/>
    <w:rsid w:val="0098717C"/>
    <w:rsid w:val="00987FD8"/>
    <w:rsid w:val="009900EF"/>
    <w:rsid w:val="00996435"/>
    <w:rsid w:val="00997630"/>
    <w:rsid w:val="009A1631"/>
    <w:rsid w:val="009A173B"/>
    <w:rsid w:val="009B29C8"/>
    <w:rsid w:val="009B3699"/>
    <w:rsid w:val="009B6F04"/>
    <w:rsid w:val="009C3246"/>
    <w:rsid w:val="009C4B9E"/>
    <w:rsid w:val="009D4160"/>
    <w:rsid w:val="009E5C5B"/>
    <w:rsid w:val="009E6745"/>
    <w:rsid w:val="009E692A"/>
    <w:rsid w:val="009E7AFF"/>
    <w:rsid w:val="00A00237"/>
    <w:rsid w:val="00A009F6"/>
    <w:rsid w:val="00A04E2A"/>
    <w:rsid w:val="00A15859"/>
    <w:rsid w:val="00A219D8"/>
    <w:rsid w:val="00A310E9"/>
    <w:rsid w:val="00A31111"/>
    <w:rsid w:val="00A31C96"/>
    <w:rsid w:val="00A32D4A"/>
    <w:rsid w:val="00A352D8"/>
    <w:rsid w:val="00A35F88"/>
    <w:rsid w:val="00A41469"/>
    <w:rsid w:val="00A4401B"/>
    <w:rsid w:val="00A453E4"/>
    <w:rsid w:val="00A50BDC"/>
    <w:rsid w:val="00A513F4"/>
    <w:rsid w:val="00A54C97"/>
    <w:rsid w:val="00A60B1C"/>
    <w:rsid w:val="00A60B71"/>
    <w:rsid w:val="00A67B92"/>
    <w:rsid w:val="00A7282A"/>
    <w:rsid w:val="00A75C68"/>
    <w:rsid w:val="00A764E9"/>
    <w:rsid w:val="00A81C63"/>
    <w:rsid w:val="00A8472B"/>
    <w:rsid w:val="00A85D04"/>
    <w:rsid w:val="00A92EAF"/>
    <w:rsid w:val="00A97C3F"/>
    <w:rsid w:val="00AA2867"/>
    <w:rsid w:val="00AA3A7A"/>
    <w:rsid w:val="00AA4393"/>
    <w:rsid w:val="00AA522E"/>
    <w:rsid w:val="00AA56DD"/>
    <w:rsid w:val="00AA660E"/>
    <w:rsid w:val="00AA757F"/>
    <w:rsid w:val="00AB10BD"/>
    <w:rsid w:val="00AB19CD"/>
    <w:rsid w:val="00AB4A3C"/>
    <w:rsid w:val="00AB4C35"/>
    <w:rsid w:val="00AB6643"/>
    <w:rsid w:val="00AC2845"/>
    <w:rsid w:val="00AC4CA5"/>
    <w:rsid w:val="00AC5C1C"/>
    <w:rsid w:val="00AC66B7"/>
    <w:rsid w:val="00AC699D"/>
    <w:rsid w:val="00AD2E2C"/>
    <w:rsid w:val="00AD34D1"/>
    <w:rsid w:val="00AD4258"/>
    <w:rsid w:val="00AD4CEF"/>
    <w:rsid w:val="00AD4EB4"/>
    <w:rsid w:val="00AD5B3D"/>
    <w:rsid w:val="00AD7F8A"/>
    <w:rsid w:val="00AE0DF4"/>
    <w:rsid w:val="00AE3E0C"/>
    <w:rsid w:val="00AF009B"/>
    <w:rsid w:val="00AF0F9C"/>
    <w:rsid w:val="00AF1D57"/>
    <w:rsid w:val="00AF2D79"/>
    <w:rsid w:val="00AF451C"/>
    <w:rsid w:val="00AF4541"/>
    <w:rsid w:val="00AF7952"/>
    <w:rsid w:val="00AF7AF9"/>
    <w:rsid w:val="00B06B41"/>
    <w:rsid w:val="00B07DAF"/>
    <w:rsid w:val="00B202B9"/>
    <w:rsid w:val="00B20928"/>
    <w:rsid w:val="00B211E9"/>
    <w:rsid w:val="00B243E6"/>
    <w:rsid w:val="00B24E14"/>
    <w:rsid w:val="00B27524"/>
    <w:rsid w:val="00B2755A"/>
    <w:rsid w:val="00B27D6B"/>
    <w:rsid w:val="00B31D2F"/>
    <w:rsid w:val="00B3281D"/>
    <w:rsid w:val="00B34A57"/>
    <w:rsid w:val="00B365FD"/>
    <w:rsid w:val="00B440C8"/>
    <w:rsid w:val="00B516FB"/>
    <w:rsid w:val="00B53A76"/>
    <w:rsid w:val="00B55556"/>
    <w:rsid w:val="00B56CB8"/>
    <w:rsid w:val="00B6103E"/>
    <w:rsid w:val="00B634CA"/>
    <w:rsid w:val="00B63D79"/>
    <w:rsid w:val="00B668CD"/>
    <w:rsid w:val="00B66963"/>
    <w:rsid w:val="00B73F4F"/>
    <w:rsid w:val="00B752F7"/>
    <w:rsid w:val="00B769A6"/>
    <w:rsid w:val="00B769F5"/>
    <w:rsid w:val="00B80B4C"/>
    <w:rsid w:val="00B83479"/>
    <w:rsid w:val="00B8744E"/>
    <w:rsid w:val="00B923D9"/>
    <w:rsid w:val="00B92FA0"/>
    <w:rsid w:val="00B92FED"/>
    <w:rsid w:val="00B94760"/>
    <w:rsid w:val="00B962CD"/>
    <w:rsid w:val="00BA2178"/>
    <w:rsid w:val="00BA22F6"/>
    <w:rsid w:val="00BA5291"/>
    <w:rsid w:val="00BA670A"/>
    <w:rsid w:val="00BA72B9"/>
    <w:rsid w:val="00BA7AA9"/>
    <w:rsid w:val="00BB457D"/>
    <w:rsid w:val="00BC0FF0"/>
    <w:rsid w:val="00BC12A9"/>
    <w:rsid w:val="00BC1632"/>
    <w:rsid w:val="00BC18C4"/>
    <w:rsid w:val="00BC22D3"/>
    <w:rsid w:val="00BC7760"/>
    <w:rsid w:val="00BD3EBA"/>
    <w:rsid w:val="00BD57AA"/>
    <w:rsid w:val="00BD6BAB"/>
    <w:rsid w:val="00BE1742"/>
    <w:rsid w:val="00BE201F"/>
    <w:rsid w:val="00BE4317"/>
    <w:rsid w:val="00BE45F4"/>
    <w:rsid w:val="00BF605E"/>
    <w:rsid w:val="00BF7EA6"/>
    <w:rsid w:val="00C0229E"/>
    <w:rsid w:val="00C0699E"/>
    <w:rsid w:val="00C069F8"/>
    <w:rsid w:val="00C310BF"/>
    <w:rsid w:val="00C361B8"/>
    <w:rsid w:val="00C45390"/>
    <w:rsid w:val="00C45F24"/>
    <w:rsid w:val="00C523DA"/>
    <w:rsid w:val="00C5340F"/>
    <w:rsid w:val="00C54CFB"/>
    <w:rsid w:val="00C60E90"/>
    <w:rsid w:val="00C627C9"/>
    <w:rsid w:val="00C62B33"/>
    <w:rsid w:val="00C67893"/>
    <w:rsid w:val="00C82803"/>
    <w:rsid w:val="00C8613B"/>
    <w:rsid w:val="00C919B7"/>
    <w:rsid w:val="00C923C7"/>
    <w:rsid w:val="00C96C84"/>
    <w:rsid w:val="00CA59CF"/>
    <w:rsid w:val="00CA5C93"/>
    <w:rsid w:val="00CA5DA1"/>
    <w:rsid w:val="00CB3732"/>
    <w:rsid w:val="00CB65BE"/>
    <w:rsid w:val="00CB6C64"/>
    <w:rsid w:val="00CB7321"/>
    <w:rsid w:val="00CB762B"/>
    <w:rsid w:val="00CD036A"/>
    <w:rsid w:val="00CD04B6"/>
    <w:rsid w:val="00CD0D57"/>
    <w:rsid w:val="00CD13B9"/>
    <w:rsid w:val="00CD1448"/>
    <w:rsid w:val="00CD5A4B"/>
    <w:rsid w:val="00CD79ED"/>
    <w:rsid w:val="00CE4B25"/>
    <w:rsid w:val="00CE550C"/>
    <w:rsid w:val="00CE69A4"/>
    <w:rsid w:val="00CF0723"/>
    <w:rsid w:val="00CF0892"/>
    <w:rsid w:val="00CF25FE"/>
    <w:rsid w:val="00CF46D4"/>
    <w:rsid w:val="00CF7CD4"/>
    <w:rsid w:val="00D01DB8"/>
    <w:rsid w:val="00D11EF7"/>
    <w:rsid w:val="00D16DC8"/>
    <w:rsid w:val="00D21927"/>
    <w:rsid w:val="00D26EAE"/>
    <w:rsid w:val="00D31894"/>
    <w:rsid w:val="00D34CB5"/>
    <w:rsid w:val="00D46875"/>
    <w:rsid w:val="00D562AA"/>
    <w:rsid w:val="00D637C7"/>
    <w:rsid w:val="00D641CB"/>
    <w:rsid w:val="00D65D01"/>
    <w:rsid w:val="00D661B8"/>
    <w:rsid w:val="00D70091"/>
    <w:rsid w:val="00D730A7"/>
    <w:rsid w:val="00D75CC1"/>
    <w:rsid w:val="00D76A06"/>
    <w:rsid w:val="00D7797D"/>
    <w:rsid w:val="00D844F0"/>
    <w:rsid w:val="00D866D8"/>
    <w:rsid w:val="00D91D33"/>
    <w:rsid w:val="00D91E94"/>
    <w:rsid w:val="00D92968"/>
    <w:rsid w:val="00D92F9A"/>
    <w:rsid w:val="00DA2526"/>
    <w:rsid w:val="00DA2850"/>
    <w:rsid w:val="00DA33AA"/>
    <w:rsid w:val="00DA3A86"/>
    <w:rsid w:val="00DB16E4"/>
    <w:rsid w:val="00DB1892"/>
    <w:rsid w:val="00DB3D6A"/>
    <w:rsid w:val="00DB4632"/>
    <w:rsid w:val="00DB544F"/>
    <w:rsid w:val="00DB7114"/>
    <w:rsid w:val="00DC2761"/>
    <w:rsid w:val="00DC318F"/>
    <w:rsid w:val="00DC4A87"/>
    <w:rsid w:val="00DC59DF"/>
    <w:rsid w:val="00DC5B18"/>
    <w:rsid w:val="00DC7962"/>
    <w:rsid w:val="00DE344E"/>
    <w:rsid w:val="00DE3AAB"/>
    <w:rsid w:val="00DE3ACF"/>
    <w:rsid w:val="00DE61E2"/>
    <w:rsid w:val="00DF44F3"/>
    <w:rsid w:val="00DF64E8"/>
    <w:rsid w:val="00DF6813"/>
    <w:rsid w:val="00DF6A19"/>
    <w:rsid w:val="00E00897"/>
    <w:rsid w:val="00E02460"/>
    <w:rsid w:val="00E03342"/>
    <w:rsid w:val="00E11A89"/>
    <w:rsid w:val="00E11BB4"/>
    <w:rsid w:val="00E13963"/>
    <w:rsid w:val="00E16BB2"/>
    <w:rsid w:val="00E17852"/>
    <w:rsid w:val="00E22B34"/>
    <w:rsid w:val="00E23C77"/>
    <w:rsid w:val="00E24111"/>
    <w:rsid w:val="00E27ACE"/>
    <w:rsid w:val="00E33C51"/>
    <w:rsid w:val="00E34F4F"/>
    <w:rsid w:val="00E3536F"/>
    <w:rsid w:val="00E44697"/>
    <w:rsid w:val="00E45A25"/>
    <w:rsid w:val="00E473CE"/>
    <w:rsid w:val="00E47C02"/>
    <w:rsid w:val="00E519A2"/>
    <w:rsid w:val="00E51E2B"/>
    <w:rsid w:val="00E54CDD"/>
    <w:rsid w:val="00E6298D"/>
    <w:rsid w:val="00E62C91"/>
    <w:rsid w:val="00E63AAF"/>
    <w:rsid w:val="00E64792"/>
    <w:rsid w:val="00E649D6"/>
    <w:rsid w:val="00E70091"/>
    <w:rsid w:val="00E74607"/>
    <w:rsid w:val="00E7500B"/>
    <w:rsid w:val="00E771E6"/>
    <w:rsid w:val="00E82EA6"/>
    <w:rsid w:val="00E8342B"/>
    <w:rsid w:val="00E90ACD"/>
    <w:rsid w:val="00E93647"/>
    <w:rsid w:val="00E96104"/>
    <w:rsid w:val="00E97556"/>
    <w:rsid w:val="00EB0E9F"/>
    <w:rsid w:val="00EB5503"/>
    <w:rsid w:val="00EB60AF"/>
    <w:rsid w:val="00EC2431"/>
    <w:rsid w:val="00EC6E0A"/>
    <w:rsid w:val="00ED0145"/>
    <w:rsid w:val="00ED0B6A"/>
    <w:rsid w:val="00ED14B5"/>
    <w:rsid w:val="00ED215E"/>
    <w:rsid w:val="00EE070E"/>
    <w:rsid w:val="00EE5A6F"/>
    <w:rsid w:val="00EE5FF3"/>
    <w:rsid w:val="00EF0123"/>
    <w:rsid w:val="00EF0E62"/>
    <w:rsid w:val="00EF4C7A"/>
    <w:rsid w:val="00EF5357"/>
    <w:rsid w:val="00EF58F2"/>
    <w:rsid w:val="00F05DC0"/>
    <w:rsid w:val="00F06F49"/>
    <w:rsid w:val="00F14854"/>
    <w:rsid w:val="00F17113"/>
    <w:rsid w:val="00F23C64"/>
    <w:rsid w:val="00F26B64"/>
    <w:rsid w:val="00F274B1"/>
    <w:rsid w:val="00F3081E"/>
    <w:rsid w:val="00F45E55"/>
    <w:rsid w:val="00F5216E"/>
    <w:rsid w:val="00F52488"/>
    <w:rsid w:val="00F60680"/>
    <w:rsid w:val="00F62429"/>
    <w:rsid w:val="00F6556D"/>
    <w:rsid w:val="00F81FD8"/>
    <w:rsid w:val="00F84453"/>
    <w:rsid w:val="00F87647"/>
    <w:rsid w:val="00F87C4A"/>
    <w:rsid w:val="00F91DB5"/>
    <w:rsid w:val="00F9329D"/>
    <w:rsid w:val="00F9333B"/>
    <w:rsid w:val="00F937BF"/>
    <w:rsid w:val="00FA428C"/>
    <w:rsid w:val="00FA59DA"/>
    <w:rsid w:val="00FA671A"/>
    <w:rsid w:val="00FA7220"/>
    <w:rsid w:val="00FB064A"/>
    <w:rsid w:val="00FC30C4"/>
    <w:rsid w:val="00FC44C2"/>
    <w:rsid w:val="00FD06B1"/>
    <w:rsid w:val="00FD1F4F"/>
    <w:rsid w:val="00FD4247"/>
    <w:rsid w:val="00FE0A26"/>
    <w:rsid w:val="00FE2DD8"/>
    <w:rsid w:val="00FF0999"/>
    <w:rsid w:val="00FF380B"/>
    <w:rsid w:val="00FF4024"/>
    <w:rsid w:val="00FF427B"/>
    <w:rsid w:val="00FF45C6"/>
    <w:rsid w:val="00FF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031FE"/>
  <w14:defaultImageDpi w14:val="300"/>
  <w15:docId w15:val="{AB900DCA-A35B-4906-8895-1BE5C47A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5A"/>
    <w:rPr>
      <w:rFonts w:ascii="Times New Roman" w:hAnsi="Times New Roman"/>
    </w:rPr>
  </w:style>
  <w:style w:type="paragraph" w:styleId="Heading2">
    <w:name w:val="heading 2"/>
    <w:basedOn w:val="Normal"/>
    <w:next w:val="Normal"/>
    <w:link w:val="Heading2Char"/>
    <w:uiPriority w:val="9"/>
    <w:semiHidden/>
    <w:unhideWhenUsed/>
    <w:qFormat/>
    <w:rsid w:val="00E647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844C6D"/>
    <w:pPr>
      <w:keepNext/>
      <w:keepLines/>
      <w:spacing w:before="40" w:line="276" w:lineRule="auto"/>
      <w:outlineLvl w:val="3"/>
    </w:pPr>
    <w:rPr>
      <w:rFonts w:asciiTheme="majorHAnsi" w:eastAsiaTheme="majorEastAsia" w:hAnsiTheme="majorHAnsi" w:cstheme="majorBidi"/>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1 Char,Footnote Text Char Char1 Char1 Char,Footnote Text Char1 Char Char Char1 Char,Footnote Text Char Char Char Char Char1 Char,Footnote Text Char1 Char1 Char1 Char"/>
    <w:basedOn w:val="Normal"/>
    <w:link w:val="FootnoteTextChar"/>
    <w:unhideWhenUsed/>
    <w:rsid w:val="002B2945"/>
    <w:rPr>
      <w:sz w:val="18"/>
    </w:rPr>
  </w:style>
  <w:style w:type="character" w:customStyle="1" w:styleId="FootnoteTextChar">
    <w:name w:val="Footnote Text Char"/>
    <w:aliases w:val="Footnote Text Char1 Char,Footnote Text Char Char Char,Footnote Text Char2 Char1 Char Char,Footnote Text Char Char1 Char1 Char Char,Footnote Text Char1 Char Char Char1 Char Char,Footnote Text Char Char Char Char Char1 Char Char"/>
    <w:basedOn w:val="DefaultParagraphFont"/>
    <w:link w:val="FootnoteText"/>
    <w:rsid w:val="002B2945"/>
    <w:rPr>
      <w:rFonts w:ascii="Times New Roman" w:hAnsi="Times New Roman"/>
      <w:sz w:val="18"/>
    </w:rPr>
  </w:style>
  <w:style w:type="character" w:styleId="FootnoteReference">
    <w:name w:val="footnote reference"/>
    <w:aliases w:val="Appel note de bas de p,Style 12,(NECG) Footnote Reference,Style 124,o,fr,Style 3,Style 13,FR,footnote ref,Footnote"/>
    <w:basedOn w:val="DefaultParagraphFont"/>
    <w:uiPriority w:val="99"/>
    <w:unhideWhenUsed/>
    <w:rsid w:val="002872E9"/>
    <w:rPr>
      <w:vertAlign w:val="superscript"/>
    </w:rPr>
  </w:style>
  <w:style w:type="character" w:customStyle="1" w:styleId="apple-converted-space">
    <w:name w:val="apple-converted-space"/>
    <w:basedOn w:val="DefaultParagraphFont"/>
    <w:rsid w:val="00B63D79"/>
  </w:style>
  <w:style w:type="paragraph" w:customStyle="1" w:styleId="Default">
    <w:name w:val="Default"/>
    <w:rsid w:val="00764DAD"/>
    <w:pPr>
      <w:autoSpaceDE w:val="0"/>
      <w:autoSpaceDN w:val="0"/>
      <w:adjustRightInd w:val="0"/>
    </w:pPr>
    <w:rPr>
      <w:rFonts w:ascii="YGSPN H+ Times New" w:eastAsiaTheme="minorHAnsi" w:hAnsi="YGSPN H+ Times New" w:cs="YGSPN H+ Times New"/>
      <w:color w:val="000000"/>
      <w:lang w:val="en-GB"/>
    </w:rPr>
  </w:style>
  <w:style w:type="character" w:customStyle="1" w:styleId="italic1">
    <w:name w:val="italic1"/>
    <w:basedOn w:val="DefaultParagraphFont"/>
    <w:rsid w:val="00764DAD"/>
    <w:rPr>
      <w:i/>
      <w:iCs/>
    </w:rPr>
  </w:style>
  <w:style w:type="character" w:customStyle="1" w:styleId="Heading4Char">
    <w:name w:val="Heading 4 Char"/>
    <w:basedOn w:val="DefaultParagraphFont"/>
    <w:link w:val="Heading4"/>
    <w:uiPriority w:val="9"/>
    <w:rsid w:val="00844C6D"/>
    <w:rPr>
      <w:rFonts w:asciiTheme="majorHAnsi" w:eastAsiaTheme="majorEastAsia" w:hAnsiTheme="majorHAnsi" w:cstheme="majorBidi"/>
      <w:i/>
      <w:iCs/>
      <w:sz w:val="22"/>
      <w:szCs w:val="22"/>
      <w:lang w:val="en-GB"/>
    </w:rPr>
  </w:style>
  <w:style w:type="paragraph" w:styleId="BalloonText">
    <w:name w:val="Balloon Text"/>
    <w:basedOn w:val="Normal"/>
    <w:link w:val="BalloonTextChar"/>
    <w:uiPriority w:val="99"/>
    <w:semiHidden/>
    <w:unhideWhenUsed/>
    <w:rsid w:val="00F17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13"/>
    <w:rPr>
      <w:rFonts w:ascii="Segoe UI" w:hAnsi="Segoe UI" w:cs="Segoe UI"/>
      <w:sz w:val="18"/>
      <w:szCs w:val="18"/>
    </w:rPr>
  </w:style>
  <w:style w:type="character" w:styleId="CommentReference">
    <w:name w:val="annotation reference"/>
    <w:basedOn w:val="DefaultParagraphFont"/>
    <w:uiPriority w:val="99"/>
    <w:semiHidden/>
    <w:unhideWhenUsed/>
    <w:rsid w:val="00447685"/>
    <w:rPr>
      <w:sz w:val="16"/>
      <w:szCs w:val="16"/>
    </w:rPr>
  </w:style>
  <w:style w:type="paragraph" w:styleId="CommentText">
    <w:name w:val="annotation text"/>
    <w:basedOn w:val="Normal"/>
    <w:link w:val="CommentTextChar"/>
    <w:uiPriority w:val="99"/>
    <w:semiHidden/>
    <w:unhideWhenUsed/>
    <w:rsid w:val="00447685"/>
    <w:rPr>
      <w:sz w:val="20"/>
      <w:szCs w:val="20"/>
    </w:rPr>
  </w:style>
  <w:style w:type="character" w:customStyle="1" w:styleId="CommentTextChar">
    <w:name w:val="Comment Text Char"/>
    <w:basedOn w:val="DefaultParagraphFont"/>
    <w:link w:val="CommentText"/>
    <w:uiPriority w:val="99"/>
    <w:semiHidden/>
    <w:rsid w:val="004476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7685"/>
    <w:rPr>
      <w:b/>
      <w:bCs/>
    </w:rPr>
  </w:style>
  <w:style w:type="character" w:customStyle="1" w:styleId="CommentSubjectChar">
    <w:name w:val="Comment Subject Char"/>
    <w:basedOn w:val="CommentTextChar"/>
    <w:link w:val="CommentSubject"/>
    <w:uiPriority w:val="99"/>
    <w:semiHidden/>
    <w:rsid w:val="00447685"/>
    <w:rPr>
      <w:rFonts w:ascii="Times New Roman" w:hAnsi="Times New Roman"/>
      <w:b/>
      <w:bCs/>
      <w:sz w:val="20"/>
      <w:szCs w:val="20"/>
    </w:rPr>
  </w:style>
  <w:style w:type="paragraph" w:styleId="Header">
    <w:name w:val="header"/>
    <w:basedOn w:val="Normal"/>
    <w:link w:val="HeaderChar"/>
    <w:uiPriority w:val="99"/>
    <w:unhideWhenUsed/>
    <w:rsid w:val="002F58DA"/>
    <w:pPr>
      <w:tabs>
        <w:tab w:val="center" w:pos="4513"/>
        <w:tab w:val="right" w:pos="9026"/>
      </w:tabs>
    </w:pPr>
  </w:style>
  <w:style w:type="character" w:customStyle="1" w:styleId="HeaderChar">
    <w:name w:val="Header Char"/>
    <w:basedOn w:val="DefaultParagraphFont"/>
    <w:link w:val="Header"/>
    <w:uiPriority w:val="99"/>
    <w:rsid w:val="002F58DA"/>
    <w:rPr>
      <w:rFonts w:ascii="Times New Roman" w:hAnsi="Times New Roman"/>
    </w:rPr>
  </w:style>
  <w:style w:type="paragraph" w:styleId="Footer">
    <w:name w:val="footer"/>
    <w:basedOn w:val="Normal"/>
    <w:link w:val="FooterChar"/>
    <w:uiPriority w:val="99"/>
    <w:unhideWhenUsed/>
    <w:rsid w:val="002F58DA"/>
    <w:pPr>
      <w:tabs>
        <w:tab w:val="center" w:pos="4513"/>
        <w:tab w:val="right" w:pos="9026"/>
      </w:tabs>
    </w:pPr>
  </w:style>
  <w:style w:type="character" w:customStyle="1" w:styleId="FooterChar">
    <w:name w:val="Footer Char"/>
    <w:basedOn w:val="DefaultParagraphFont"/>
    <w:link w:val="Footer"/>
    <w:uiPriority w:val="99"/>
    <w:rsid w:val="002F58DA"/>
    <w:rPr>
      <w:rFonts w:ascii="Times New Roman" w:hAnsi="Times New Roman"/>
    </w:rPr>
  </w:style>
  <w:style w:type="paragraph" w:styleId="ListParagraph">
    <w:name w:val="List Paragraph"/>
    <w:basedOn w:val="Normal"/>
    <w:uiPriority w:val="34"/>
    <w:qFormat/>
    <w:rsid w:val="00123077"/>
    <w:pPr>
      <w:ind w:left="720"/>
      <w:contextualSpacing/>
    </w:pPr>
  </w:style>
  <w:style w:type="character" w:customStyle="1" w:styleId="Heading2Char">
    <w:name w:val="Heading 2 Char"/>
    <w:basedOn w:val="DefaultParagraphFont"/>
    <w:link w:val="Heading2"/>
    <w:uiPriority w:val="9"/>
    <w:semiHidden/>
    <w:rsid w:val="00E6479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F3801"/>
    <w:rPr>
      <w:color w:val="0000FF" w:themeColor="hyperlink"/>
      <w:u w:val="single"/>
    </w:rPr>
  </w:style>
  <w:style w:type="character" w:customStyle="1" w:styleId="UnresolvedMention1">
    <w:name w:val="Unresolved Mention1"/>
    <w:basedOn w:val="DefaultParagraphFont"/>
    <w:uiPriority w:val="99"/>
    <w:semiHidden/>
    <w:unhideWhenUsed/>
    <w:rsid w:val="002F38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5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w.unsw.edu.au/staff/edmondg/docs/Merton-and-the-hot-tub.pdf" TargetMode="External"/><Relationship Id="rId2" Type="http://schemas.openxmlformats.org/officeDocument/2006/relationships/hyperlink" Target="https://www.judiciary.gov.uk/wp-content/uploads/JCO/Documents/Speeches/lj-jackson-lecture-focusing-expert-evidence-controlling-costs.pdf" TargetMode="External"/><Relationship Id="rId1" Type="http://schemas.openxmlformats.org/officeDocument/2006/relationships/hyperlink" Target="https://www.judiciary.gov.uk/wp-content/uploads/2011/03/cjc-civil-litigation-review-hot-tubbing-report-20160801.pdf" TargetMode="External"/><Relationship Id="rId6" Type="http://schemas.openxmlformats.org/officeDocument/2006/relationships/hyperlink" Target="http://www.transparencyproject.org.uk/the-ireland-report-and-the-fitness-to-practice-panel-in-respect-of-professor-ireland/" TargetMode="External"/><Relationship Id="rId5" Type="http://schemas.openxmlformats.org/officeDocument/2006/relationships/hyperlink" Target="http://netk.net.au/Psychology/ExpertReports.pdf" TargetMode="External"/><Relationship Id="rId4" Type="http://schemas.openxmlformats.org/officeDocument/2006/relationships/hyperlink" Target="https://www.whitehouse.gov/sites/default/files/microsites/ostp/PCAST/pcast_forensic_science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A608-8CE9-43DA-A8A0-ACF9D6CF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8723</Words>
  <Characters>49724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Tony Ward</cp:lastModifiedBy>
  <cp:revision>2</cp:revision>
  <cp:lastPrinted>2017-11-12T19:41:00Z</cp:lastPrinted>
  <dcterms:created xsi:type="dcterms:W3CDTF">2017-11-28T11:37:00Z</dcterms:created>
  <dcterms:modified xsi:type="dcterms:W3CDTF">2017-11-28T11:37:00Z</dcterms:modified>
</cp:coreProperties>
</file>