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6" w:rsidRPr="006A0CA6" w:rsidRDefault="006A0CA6" w:rsidP="006A0CA6">
      <w:pPr>
        <w:spacing w:before="240" w:line="360" w:lineRule="auto"/>
      </w:pPr>
      <w:r>
        <w:t>Journal of Criminal Law Special Edition</w:t>
      </w:r>
      <w:r>
        <w:br/>
      </w:r>
      <w:r>
        <w:rPr>
          <w:i/>
        </w:rPr>
        <w:t>The limitation of the law in relation to financial crime: back to basics</w:t>
      </w:r>
    </w:p>
    <w:p w:rsidR="00FE5F35" w:rsidRPr="00735F6E" w:rsidRDefault="00CD3CE6" w:rsidP="00FE5F35">
      <w:pPr>
        <w:spacing w:before="240" w:line="360" w:lineRule="auto"/>
        <w:rPr>
          <w:b/>
        </w:rPr>
      </w:pPr>
      <w:r w:rsidRPr="00735F6E">
        <w:rPr>
          <w:b/>
        </w:rPr>
        <w:t>An</w:t>
      </w:r>
      <w:r w:rsidR="006A0CA6" w:rsidRPr="00735F6E">
        <w:rPr>
          <w:b/>
        </w:rPr>
        <w:t xml:space="preserve"> A</w:t>
      </w:r>
      <w:r w:rsidR="00FE5F35" w:rsidRPr="00735F6E">
        <w:rPr>
          <w:b/>
        </w:rPr>
        <w:t>nti-</w:t>
      </w:r>
      <w:r w:rsidR="006A0CA6" w:rsidRPr="00735F6E">
        <w:rPr>
          <w:b/>
        </w:rPr>
        <w:t>M</w:t>
      </w:r>
      <w:r w:rsidR="00FE5F35" w:rsidRPr="00735F6E">
        <w:rPr>
          <w:b/>
        </w:rPr>
        <w:t xml:space="preserve">oney </w:t>
      </w:r>
      <w:r w:rsidR="006A0CA6" w:rsidRPr="00735F6E">
        <w:rPr>
          <w:b/>
        </w:rPr>
        <w:t>L</w:t>
      </w:r>
      <w:r w:rsidR="00FE5F35" w:rsidRPr="00735F6E">
        <w:rPr>
          <w:b/>
        </w:rPr>
        <w:t xml:space="preserve">aundering </w:t>
      </w:r>
      <w:r w:rsidR="006A0CA6" w:rsidRPr="00735F6E">
        <w:rPr>
          <w:b/>
        </w:rPr>
        <w:t>Timeline</w:t>
      </w:r>
      <w:r w:rsidR="00EA24AD" w:rsidRPr="00735F6E">
        <w:rPr>
          <w:b/>
        </w:rPr>
        <w:t xml:space="preserve"> and the Relentless Regulatory Response</w:t>
      </w:r>
      <w:bookmarkStart w:id="0" w:name="_GoBack"/>
      <w:bookmarkEnd w:id="0"/>
    </w:p>
    <w:p w:rsidR="00D81A3D" w:rsidRPr="00735F6E" w:rsidRDefault="00D81A3D" w:rsidP="00FE5F35">
      <w:pPr>
        <w:spacing w:before="240" w:line="360" w:lineRule="auto"/>
        <w:rPr>
          <w:b/>
        </w:rPr>
      </w:pPr>
      <w:r w:rsidRPr="00735F6E">
        <w:rPr>
          <w:b/>
        </w:rPr>
        <w:t>Sue Turner, Senior Lecturer, Northumbria Law School and Jonathan Bainbridge, Senior Lecturer, Northumbria Law School</w:t>
      </w:r>
    </w:p>
    <w:p w:rsidR="00F73E90" w:rsidRDefault="00F73E90" w:rsidP="00FE5F35">
      <w:pPr>
        <w:spacing w:before="240" w:line="360" w:lineRule="auto"/>
        <w:rPr>
          <w:u w:val="single"/>
        </w:rPr>
      </w:pPr>
      <w:r>
        <w:rPr>
          <w:u w:val="single"/>
        </w:rPr>
        <w:t>Abstract</w:t>
      </w:r>
    </w:p>
    <w:p w:rsidR="00F73E90" w:rsidRDefault="00F73E90" w:rsidP="00FE5F35">
      <w:pPr>
        <w:spacing w:before="240" w:line="360" w:lineRule="auto"/>
      </w:pPr>
      <w:r>
        <w:t xml:space="preserve">The Money Laundering, Terrorist Financing and Transfer of Funds (Information on the Payer) </w:t>
      </w:r>
      <w:r w:rsidR="00EA24AD">
        <w:t>Regulations 2017 (“MLR 2017”) ca</w:t>
      </w:r>
      <w:r>
        <w:t>me into force on 26</w:t>
      </w:r>
      <w:r>
        <w:rPr>
          <w:vertAlign w:val="superscript"/>
        </w:rPr>
        <w:t>th</w:t>
      </w:r>
      <w:r>
        <w:t xml:space="preserve"> June 2017, further increasing anti-money laundering compliance obligations imposed upon financial institutions and others in the UK.</w:t>
      </w:r>
    </w:p>
    <w:p w:rsidR="00C46C27" w:rsidRDefault="00F73E90" w:rsidP="00FE5F35">
      <w:pPr>
        <w:spacing w:before="240" w:line="360" w:lineRule="auto"/>
      </w:pPr>
      <w:r>
        <w:t>Against this backdrop, this paper will: identify a growing trend of anti-money laundering policy-making affecting the private sector; explore the correlation of legislative and regulatory measures taken in the UK with those in Europe and globally; and ask whether the measures represent a proportionate and effective response to the perceived threat of money laundering and terrorist financing to national security.</w:t>
      </w:r>
    </w:p>
    <w:p w:rsidR="00C91EC9" w:rsidRDefault="00C91EC9" w:rsidP="00FE5F35">
      <w:pPr>
        <w:spacing w:before="240" w:line="360" w:lineRule="auto"/>
      </w:pPr>
      <w:r w:rsidRPr="00C91EC9">
        <w:rPr>
          <w:u w:val="single"/>
        </w:rPr>
        <w:t>Key Words</w:t>
      </w:r>
    </w:p>
    <w:p w:rsidR="00C91EC9" w:rsidRPr="00C91EC9" w:rsidRDefault="00C91EC9" w:rsidP="00FE5F35">
      <w:pPr>
        <w:spacing w:before="240" w:line="360" w:lineRule="auto"/>
      </w:pPr>
      <w:r>
        <w:t xml:space="preserve">Anti-Money Laundering; </w:t>
      </w:r>
      <w:r w:rsidR="00CF7651">
        <w:t xml:space="preserve">Timeline; </w:t>
      </w:r>
      <w:r>
        <w:t>Regulation; Proportionality; Effectiveness</w:t>
      </w:r>
    </w:p>
    <w:p w:rsidR="008C682D" w:rsidRDefault="008C682D" w:rsidP="00FE5F35">
      <w:pPr>
        <w:spacing w:before="240" w:line="360" w:lineRule="auto"/>
      </w:pPr>
      <w:r w:rsidRPr="00C53494">
        <w:rPr>
          <w:u w:val="single"/>
        </w:rPr>
        <w:t>Introduction</w:t>
      </w:r>
    </w:p>
    <w:p w:rsidR="008C682D" w:rsidRDefault="003954F9" w:rsidP="00CB5735">
      <w:pPr>
        <w:spacing w:line="360" w:lineRule="auto"/>
      </w:pPr>
      <w:r>
        <w:t>Money laundering</w:t>
      </w:r>
      <w:r w:rsidR="00CB5735">
        <w:t xml:space="preserve"> </w:t>
      </w:r>
      <w:r>
        <w:t>(</w:t>
      </w:r>
      <w:r w:rsidR="00BD11AE">
        <w:t>the process by which the proceeds of crime, and the true ownership of those proceeds, are changed so that the proceeds appear to come from a legitimate source</w:t>
      </w:r>
      <w:r w:rsidR="00BD11AE">
        <w:rPr>
          <w:rStyle w:val="FootnoteReference"/>
        </w:rPr>
        <w:footnoteReference w:id="1"/>
      </w:r>
      <w:r>
        <w:t>)</w:t>
      </w:r>
      <w:r w:rsidR="00CB5735">
        <w:t xml:space="preserve"> is a </w:t>
      </w:r>
      <w:r w:rsidR="00C91EC9">
        <w:t>relatively new criminal offence.  It first made</w:t>
      </w:r>
      <w:r w:rsidR="00CB5735">
        <w:t xml:space="preserve"> an appearance following the 1988 Vienna Convention</w:t>
      </w:r>
      <w:r w:rsidR="00CB5735">
        <w:rPr>
          <w:rStyle w:val="FootnoteReference"/>
        </w:rPr>
        <w:footnoteReference w:id="2"/>
      </w:r>
      <w:r w:rsidR="00CB5735">
        <w:t xml:space="preserve"> </w:t>
      </w:r>
      <w:r w:rsidR="005B55CC">
        <w:t xml:space="preserve">(the </w:t>
      </w:r>
      <w:r w:rsidR="005B55CC" w:rsidRPr="005B55CC">
        <w:rPr>
          <w:b/>
        </w:rPr>
        <w:t>1988 Convention</w:t>
      </w:r>
      <w:r w:rsidR="005B55CC">
        <w:t xml:space="preserve">) </w:t>
      </w:r>
      <w:r w:rsidR="00CB5735">
        <w:t xml:space="preserve">and shortly thereafter </w:t>
      </w:r>
      <w:r w:rsidR="00C91EC9">
        <w:t xml:space="preserve">became </w:t>
      </w:r>
      <w:r w:rsidR="00CB5735">
        <w:t>the focus of the Financial Action Task Force</w:t>
      </w:r>
      <w:r w:rsidR="000861AC">
        <w:t xml:space="preserve"> (</w:t>
      </w:r>
      <w:r w:rsidR="000861AC" w:rsidRPr="000861AC">
        <w:rPr>
          <w:b/>
        </w:rPr>
        <w:t>FATF</w:t>
      </w:r>
      <w:r w:rsidR="000861AC">
        <w:t>)</w:t>
      </w:r>
      <w:r w:rsidR="00CB5735">
        <w:t>, established in 1989 to set international anti-money laundering policy</w:t>
      </w:r>
      <w:r w:rsidR="003E48B4">
        <w:t>.</w:t>
      </w:r>
      <w:r w:rsidR="00CB5735">
        <w:rPr>
          <w:rStyle w:val="FootnoteReference"/>
        </w:rPr>
        <w:footnoteReference w:id="3"/>
      </w:r>
      <w:r w:rsidR="00CB5735">
        <w:t xml:space="preserve">  The evolution of money laundering legislation and regulation over the last 30 years is depicted in the </w:t>
      </w:r>
      <w:r>
        <w:t xml:space="preserve">anti-money laundering </w:t>
      </w:r>
      <w:r w:rsidR="00CB5735">
        <w:t xml:space="preserve">timeline </w:t>
      </w:r>
      <w:r w:rsidR="00C91EC9">
        <w:t xml:space="preserve">(the </w:t>
      </w:r>
      <w:r w:rsidRPr="00C91EC9">
        <w:rPr>
          <w:b/>
        </w:rPr>
        <w:t>Timeline</w:t>
      </w:r>
      <w:r>
        <w:t xml:space="preserve">) </w:t>
      </w:r>
      <w:r w:rsidR="00C91EC9">
        <w:t>below.  This provides a very clear</w:t>
      </w:r>
      <w:r w:rsidR="00CB5735">
        <w:t xml:space="preserve"> </w:t>
      </w:r>
      <w:r w:rsidR="001F081C">
        <w:t xml:space="preserve">visual representation of the dramatic escalation of legislative and regulatory measures, from the 1988 Convention </w:t>
      </w:r>
      <w:r w:rsidR="00C91EC9">
        <w:t xml:space="preserve">through </w:t>
      </w:r>
      <w:r w:rsidR="001F081C">
        <w:t xml:space="preserve">to </w:t>
      </w:r>
      <w:r w:rsidR="000861AC">
        <w:t>a</w:t>
      </w:r>
      <w:r w:rsidR="001F081C">
        <w:t xml:space="preserve"> series of </w:t>
      </w:r>
      <w:r w:rsidR="001F081C">
        <w:lastRenderedPageBreak/>
        <w:t>FATF recommendations</w:t>
      </w:r>
      <w:r w:rsidR="005122F8">
        <w:rPr>
          <w:rStyle w:val="FootnoteReference"/>
        </w:rPr>
        <w:footnoteReference w:id="4"/>
      </w:r>
      <w:r w:rsidR="00C91EC9">
        <w:t xml:space="preserve"> (the </w:t>
      </w:r>
      <w:r w:rsidR="00C91EC9" w:rsidRPr="00C91EC9">
        <w:rPr>
          <w:b/>
        </w:rPr>
        <w:t>Recommendations</w:t>
      </w:r>
      <w:r w:rsidR="00C91EC9">
        <w:t>)</w:t>
      </w:r>
      <w:r w:rsidR="001F081C">
        <w:t xml:space="preserve">, </w:t>
      </w:r>
      <w:r w:rsidR="00C91EC9">
        <w:t xml:space="preserve">themselves </w:t>
      </w:r>
      <w:r w:rsidR="001F081C">
        <w:t>prompting the enactment of European directiv</w:t>
      </w:r>
      <w:r w:rsidR="00D71866">
        <w:t>es, national regulations and laws</w:t>
      </w:r>
      <w:r w:rsidR="001F081C">
        <w:t xml:space="preserve">.  As </w:t>
      </w:r>
      <w:r w:rsidR="00203198">
        <w:t>illustrated</w:t>
      </w:r>
      <w:r>
        <w:t xml:space="preserve"> by the T</w:t>
      </w:r>
      <w:r w:rsidR="001F081C">
        <w:t xml:space="preserve">imeline, </w:t>
      </w:r>
      <w:r w:rsidR="00901A7F">
        <w:t>anti-money laundering policy</w:t>
      </w:r>
      <w:r w:rsidR="001F081C">
        <w:t xml:space="preserve"> has proven “a runaway success in terms of the extent of its diffusion”</w:t>
      </w:r>
      <w:r w:rsidR="005B55CC">
        <w:t>,</w:t>
      </w:r>
      <w:r w:rsidR="001F081C">
        <w:rPr>
          <w:rStyle w:val="FootnoteReference"/>
        </w:rPr>
        <w:footnoteReference w:id="5"/>
      </w:r>
      <w:r w:rsidR="001F081C">
        <w:t xml:space="preserve"> seemingly </w:t>
      </w:r>
      <w:r w:rsidR="00CB5735">
        <w:t>driven by the perception of an ever-expanding threat of terrorist financing and money laundering to national security</w:t>
      </w:r>
      <w:r w:rsidR="005B55CC">
        <w:t>;</w:t>
      </w:r>
      <w:r w:rsidR="00314E33">
        <w:rPr>
          <w:rStyle w:val="FootnoteReference"/>
        </w:rPr>
        <w:footnoteReference w:id="6"/>
      </w:r>
      <w:r w:rsidR="00CB5735">
        <w:t xml:space="preserve"> an</w:t>
      </w:r>
      <w:r w:rsidR="000861AC">
        <w:t>d shaped by the development of the</w:t>
      </w:r>
      <w:r w:rsidR="00CB5735">
        <w:t xml:space="preserve"> growing body of European and international guidelines and directives.  </w:t>
      </w:r>
      <w:r w:rsidR="001F081C">
        <w:t xml:space="preserve">Despite </w:t>
      </w:r>
      <w:r w:rsidR="00C91EC9">
        <w:t>such extensive legislation</w:t>
      </w:r>
      <w:r w:rsidR="001F081C">
        <w:t xml:space="preserve">, </w:t>
      </w:r>
      <w:r w:rsidR="00CB5735">
        <w:t xml:space="preserve">justification for money laundering as a </w:t>
      </w:r>
      <w:r w:rsidR="00C91EC9">
        <w:t>separate offence has not been clearly established.</w:t>
      </w:r>
      <w:r w:rsidR="00CB5735">
        <w:rPr>
          <w:rStyle w:val="FootnoteReference"/>
        </w:rPr>
        <w:footnoteReference w:id="7"/>
      </w:r>
      <w:r w:rsidR="00CB5735">
        <w:t xml:space="preserve"> </w:t>
      </w:r>
      <w:r w:rsidR="00C91EC9">
        <w:t xml:space="preserve"> At the same time, academics have drawn attention to apparent </w:t>
      </w:r>
      <w:r w:rsidR="00CB5735">
        <w:t>dubious legitimacy and effectiveness of anti-money laundering policy</w:t>
      </w:r>
      <w:r w:rsidR="00CB5735">
        <w:rPr>
          <w:rStyle w:val="FootnoteReference"/>
        </w:rPr>
        <w:footnoteReference w:id="8"/>
      </w:r>
      <w:r w:rsidR="00CB5735">
        <w:t xml:space="preserve"> and </w:t>
      </w:r>
      <w:r w:rsidR="00C91EC9">
        <w:t>to the</w:t>
      </w:r>
      <w:r w:rsidR="00E64F56">
        <w:t xml:space="preserve"> speed with which the original R</w:t>
      </w:r>
      <w:r w:rsidR="00C91EC9">
        <w:t>ecommendations were determined</w:t>
      </w:r>
      <w:r w:rsidR="00CB5735">
        <w:t>, the first version of which were “written in less than half a year, with no ulterior ambition and very little academic preparation”</w:t>
      </w:r>
      <w:r w:rsidR="005B55CC">
        <w:t>.</w:t>
      </w:r>
      <w:r w:rsidR="00CB5735">
        <w:rPr>
          <w:rStyle w:val="FootnoteReference"/>
        </w:rPr>
        <w:footnoteReference w:id="9"/>
      </w:r>
      <w:r w:rsidR="00CB5735">
        <w:t xml:space="preserve">  Of further concern is the infiltration of anti-money laundering policy into the private sector</w:t>
      </w:r>
      <w:r w:rsidR="00CB5735">
        <w:rPr>
          <w:rStyle w:val="FootnoteReference"/>
        </w:rPr>
        <w:footnoteReference w:id="10"/>
      </w:r>
      <w:r w:rsidR="00CB5735">
        <w:t xml:space="preserve"> by the enactment of anti-money laundering regulations, requiring private actors to pass information about clients and transactions to law enforcement agencies as “state informants”</w:t>
      </w:r>
      <w:r w:rsidR="00CA34BE">
        <w:t>.</w:t>
      </w:r>
      <w:r w:rsidR="00CB5735">
        <w:rPr>
          <w:rStyle w:val="FootnoteReference"/>
        </w:rPr>
        <w:footnoteReference w:id="11"/>
      </w:r>
      <w:r w:rsidR="00CB5735">
        <w:t xml:space="preserve">  </w:t>
      </w:r>
      <w:r w:rsidR="00A573DF">
        <w:t>These c</w:t>
      </w:r>
      <w:r w:rsidR="008C682D">
        <w:t xml:space="preserve">oncerns over government and wider policy-making </w:t>
      </w:r>
      <w:r w:rsidR="00A573DF">
        <w:t>have not deterred</w:t>
      </w:r>
      <w:r w:rsidR="008C682D">
        <w:t xml:space="preserve"> </w:t>
      </w:r>
      <w:r w:rsidR="005122F8">
        <w:t xml:space="preserve">the relentless regulatory response </w:t>
      </w:r>
      <w:r w:rsidR="00C91EC9">
        <w:t>n</w:t>
      </w:r>
      <w:r w:rsidR="00A573DF">
        <w:t>or prevented</w:t>
      </w:r>
      <w:r w:rsidR="008C682D">
        <w:t xml:space="preserve"> a significant increase in anti-money laundering compliance obligations being imposed upon financial institutions and others in the private sector.</w:t>
      </w:r>
      <w:r w:rsidR="00A573DF">
        <w:rPr>
          <w:rStyle w:val="FootnoteReference"/>
        </w:rPr>
        <w:footnoteReference w:id="12"/>
      </w:r>
    </w:p>
    <w:p w:rsidR="00A573DF" w:rsidRDefault="008C682D" w:rsidP="00A573DF">
      <w:pPr>
        <w:spacing w:before="240" w:line="360" w:lineRule="auto"/>
      </w:pPr>
      <w:r>
        <w:t xml:space="preserve">This </w:t>
      </w:r>
      <w:r w:rsidR="008E6E83">
        <w:t>paper</w:t>
      </w:r>
      <w:r>
        <w:t xml:space="preserve"> aims to re-examine the proportionality and effectiveness of anti-money laundering measures in light of the latest legislative development in the UK, embodied in The Money Laundering, Terrorist Financing and Transfer of Funds (Information on the Payer) Regulations 2017 (</w:t>
      </w:r>
      <w:r w:rsidRPr="00201AA7">
        <w:rPr>
          <w:b/>
        </w:rPr>
        <w:t>MLR 2017</w:t>
      </w:r>
      <w:r>
        <w:t>).</w:t>
      </w:r>
      <w:r w:rsidR="001866D3">
        <w:rPr>
          <w:rStyle w:val="FootnoteReference"/>
        </w:rPr>
        <w:footnoteReference w:id="13"/>
      </w:r>
      <w:r>
        <w:t xml:space="preserve">  </w:t>
      </w:r>
      <w:r w:rsidR="00AB715E">
        <w:t xml:space="preserve">It </w:t>
      </w:r>
      <w:r>
        <w:t>will first identify the growth of anti-money laundering policy-making in the UK</w:t>
      </w:r>
      <w:r w:rsidR="003954F9">
        <w:t xml:space="preserve"> as illustrated by the T</w:t>
      </w:r>
      <w:r w:rsidR="006C31BE">
        <w:t>imeline</w:t>
      </w:r>
      <w:r>
        <w:t>.  It will then examine the MLR 2017 in the co</w:t>
      </w:r>
      <w:r w:rsidR="00314E33">
        <w:t>ntext of this trend.  Next, the</w:t>
      </w:r>
      <w:r>
        <w:t xml:space="preserve"> </w:t>
      </w:r>
      <w:r w:rsidR="008E6E83">
        <w:t>paper</w:t>
      </w:r>
      <w:r>
        <w:t xml:space="preserve"> will demonstrate</w:t>
      </w:r>
      <w:r w:rsidR="006908AB">
        <w:t xml:space="preserve"> how the MLR 2017 exacerbate</w:t>
      </w:r>
      <w:r>
        <w:t xml:space="preserve"> concerns about the nature and impact of anti-money laundering legislation.  Finally, the </w:t>
      </w:r>
      <w:r w:rsidR="008E6E83">
        <w:t>paper</w:t>
      </w:r>
      <w:r>
        <w:t xml:space="preserve"> will ask why concerns continue to be ignored</w:t>
      </w:r>
      <w:r w:rsidR="00C91EC9">
        <w:t xml:space="preserve"> </w:t>
      </w:r>
      <w:r>
        <w:t xml:space="preserve">by policy-makers and whether the </w:t>
      </w:r>
      <w:r w:rsidR="006C31BE">
        <w:t xml:space="preserve">national political </w:t>
      </w:r>
      <w:r>
        <w:t>consensus</w:t>
      </w:r>
      <w:r w:rsidR="006C31BE">
        <w:rPr>
          <w:rStyle w:val="FootnoteReference"/>
        </w:rPr>
        <w:footnoteReference w:id="14"/>
      </w:r>
      <w:r>
        <w:t xml:space="preserve"> and international framework allow a proportionate and effective approach to anti-money laundering policy-making in the UK.</w:t>
      </w:r>
    </w:p>
    <w:p w:rsidR="00314E33" w:rsidRPr="009D4C31" w:rsidRDefault="008C682D" w:rsidP="009D4C31">
      <w:pPr>
        <w:spacing w:after="200" w:line="276" w:lineRule="auto"/>
        <w:rPr>
          <w:u w:val="single"/>
        </w:rPr>
      </w:pPr>
      <w:r w:rsidRPr="008C682D">
        <w:t xml:space="preserve">[Insert </w:t>
      </w:r>
      <w:r>
        <w:t>timeline</w:t>
      </w:r>
      <w:r w:rsidR="00314E33">
        <w:t>]</w:t>
      </w:r>
    </w:p>
    <w:p w:rsidR="00ED1D4A" w:rsidRPr="00817CB9" w:rsidRDefault="00C91EC9" w:rsidP="009D4C31">
      <w:pPr>
        <w:spacing w:after="200" w:line="276" w:lineRule="auto"/>
        <w:rPr>
          <w:u w:val="single"/>
        </w:rPr>
      </w:pPr>
      <w:r>
        <w:rPr>
          <w:u w:val="single"/>
        </w:rPr>
        <w:t xml:space="preserve">Regulatory Expansion and the </w:t>
      </w:r>
      <w:r w:rsidR="00ED1D4A">
        <w:rPr>
          <w:u w:val="single"/>
        </w:rPr>
        <w:t xml:space="preserve">Anti-Money Laundering </w:t>
      </w:r>
      <w:r w:rsidR="00ED1D4A" w:rsidRPr="00817CB9">
        <w:rPr>
          <w:u w:val="single"/>
        </w:rPr>
        <w:t>Timeline</w:t>
      </w:r>
    </w:p>
    <w:p w:rsidR="00B613E9" w:rsidRDefault="00ED1D4A" w:rsidP="00ED1D4A">
      <w:pPr>
        <w:spacing w:before="240" w:line="360" w:lineRule="auto"/>
      </w:pPr>
      <w:r>
        <w:t>The Timeline</w:t>
      </w:r>
      <w:r w:rsidR="00B613E9">
        <w:t>, which covers the period from 1980</w:t>
      </w:r>
      <w:r>
        <w:t xml:space="preserve"> to the present date, includes the names and dates of statutes enacted in the UK </w:t>
      </w:r>
      <w:r w:rsidR="00C91EC9">
        <w:t xml:space="preserve">that </w:t>
      </w:r>
      <w:r>
        <w:t xml:space="preserve">together form the substantive basis of anti-money laundering law in the UK.  On top of this lie the four iterations of the money laundering regulations, each enacted in response to the four </w:t>
      </w:r>
      <w:r w:rsidR="00C91EC9">
        <w:t xml:space="preserve">(to date) </w:t>
      </w:r>
      <w:r>
        <w:t>European money laundering directives.  As is clear from the Timeline, the enactment of regulations at UK level, and, in part, legislation, follow at regular intervals behind the European money laundering directives, which in turn respond to the issuance of international FATF Recommendations.  The international conventions, the top layer of the Timeline, represent the highest level of policy accord on an international level</w:t>
      </w:r>
      <w:r w:rsidR="00B613E9">
        <w:t>.</w:t>
      </w:r>
    </w:p>
    <w:p w:rsidR="009C702D" w:rsidRDefault="00ED1D4A" w:rsidP="00ED1D4A">
      <w:pPr>
        <w:spacing w:before="240" w:line="360" w:lineRule="auto"/>
      </w:pPr>
      <w:r>
        <w:t>In order to capture clearly and contemporaneously the motivation behind the legislative and regulatory picture, the Timeline itself sits above a broad summary of, firstly, “ills” which the anti-money laundering regime purports in some way to address and, secondly, of “responses” by which these aims are intended to be achieved.</w:t>
      </w:r>
      <w:r w:rsidR="00B613E9">
        <w:t xml:space="preserve">  These show the </w:t>
      </w:r>
      <w:r w:rsidR="00283CCC">
        <w:t xml:space="preserve">beginnings of the anti-money laundering regime as a </w:t>
      </w:r>
      <w:r w:rsidR="00B613E9">
        <w:t xml:space="preserve">response to the war on drugs of the 1980s, </w:t>
      </w:r>
      <w:r w:rsidR="00283CCC">
        <w:t xml:space="preserve">which prompted </w:t>
      </w:r>
      <w:r w:rsidR="00B613E9">
        <w:t>the confiscation of the proceeds of crime under the Drug Traff</w:t>
      </w:r>
      <w:r w:rsidR="009C702D">
        <w:t>icking Offences Act 1986</w:t>
      </w:r>
      <w:r w:rsidR="00283CCC">
        <w:t xml:space="preserve"> as a means of preventing offenders from profiting from their crimes.  Next, the Timeline shows th</w:t>
      </w:r>
      <w:r w:rsidR="00B613E9">
        <w:t xml:space="preserve">e large-scale growth of the international and national anti-money laundering regime during the 1990s as </w:t>
      </w:r>
      <w:r w:rsidR="00283CCC">
        <w:t>financial services took on a global aspect</w:t>
      </w:r>
      <w:r w:rsidR="00B613E9">
        <w:t xml:space="preserve"> and </w:t>
      </w:r>
      <w:r w:rsidR="00283CCC">
        <w:t>legislation began</w:t>
      </w:r>
      <w:r w:rsidR="00B613E9">
        <w:t xml:space="preserve"> to targe</w:t>
      </w:r>
      <w:r w:rsidR="00283CCC">
        <w:t>t</w:t>
      </w:r>
      <w:r w:rsidR="00B613E9">
        <w:t xml:space="preserve"> the proceeds of crime from a much wider spectrum of offences.  As the “ills” expand, so does the response, this time </w:t>
      </w:r>
      <w:r w:rsidR="00283CCC">
        <w:t xml:space="preserve">seeking to control the activities </w:t>
      </w:r>
      <w:r w:rsidR="002B0229">
        <w:t xml:space="preserve">of </w:t>
      </w:r>
      <w:r w:rsidR="00B613E9">
        <w:t>private sector “gatekeepers” to financial services</w:t>
      </w:r>
      <w:r w:rsidR="00283CCC">
        <w:t xml:space="preserve"> under the Money Laundering Regulations 1993 (</w:t>
      </w:r>
      <w:r w:rsidR="00283CCC" w:rsidRPr="00F25535">
        <w:rPr>
          <w:b/>
        </w:rPr>
        <w:t>MLR 1993</w:t>
      </w:r>
      <w:r w:rsidR="00283CCC">
        <w:t xml:space="preserve">) by measures </w:t>
      </w:r>
      <w:r w:rsidR="00B613E9">
        <w:t>such as know your client enquiries and suspicious activities reporting.</w:t>
      </w:r>
    </w:p>
    <w:p w:rsidR="00573876" w:rsidRDefault="00283CCC" w:rsidP="009D4C31">
      <w:pPr>
        <w:spacing w:before="240" w:line="360" w:lineRule="auto"/>
        <w:rPr>
          <w:u w:val="single"/>
        </w:rPr>
      </w:pPr>
      <w:r>
        <w:t>During the following decade, the war on drugs retains its place in the list of “ills” underpinning the Timeline, but it is joined by a series of other threats, including the war on terror.  The foundation</w:t>
      </w:r>
      <w:r w:rsidR="009C702D">
        <w:t>s</w:t>
      </w:r>
      <w:r>
        <w:t xml:space="preserve"> of the current anti-money laundering regime in the UK, including the Proceeds of Crime Act 2002 and the Terrorism Act 2000, </w:t>
      </w:r>
      <w:r w:rsidR="009C702D">
        <w:t xml:space="preserve">were </w:t>
      </w:r>
      <w:r>
        <w:t xml:space="preserve">laid during this period, </w:t>
      </w:r>
      <w:r w:rsidR="009C702D">
        <w:t xml:space="preserve">including a very wide definition of criminal conduct, </w:t>
      </w:r>
      <w:r>
        <w:t xml:space="preserve">and the second and third money laundering regulations </w:t>
      </w:r>
      <w:r w:rsidR="009C702D">
        <w:t xml:space="preserve">were enacted </w:t>
      </w:r>
      <w:r>
        <w:t>in fairly quick succession</w:t>
      </w:r>
      <w:r w:rsidR="009C702D">
        <w:t>, increasing obligations on the private sector</w:t>
      </w:r>
      <w:r>
        <w:t>.</w:t>
      </w:r>
      <w:r w:rsidR="009C702D">
        <w:t xml:space="preserve">  By the time the present day is reached, several further acts are included on the Timeline targeting specific “ills” such as tax evasion, white collar cri</w:t>
      </w:r>
      <w:r w:rsidR="002B0229">
        <w:t>me and serious organised crime, and t</w:t>
      </w:r>
      <w:r w:rsidR="009C702D">
        <w:t>he response required b</w:t>
      </w:r>
      <w:r w:rsidR="00573876">
        <w:t>y the regime is expanding simul</w:t>
      </w:r>
      <w:r w:rsidR="009C702D">
        <w:t>taneously, demanding more and more transparency and accountability.</w:t>
      </w:r>
    </w:p>
    <w:p w:rsidR="008C682D" w:rsidRDefault="008C682D" w:rsidP="00FE5F35">
      <w:pPr>
        <w:spacing w:before="240" w:after="200" w:line="360" w:lineRule="auto"/>
      </w:pPr>
      <w:r>
        <w:rPr>
          <w:u w:val="single"/>
        </w:rPr>
        <w:t>Money Laundering, Terrorist Financing and Transfer of Funds (Information on the Payer) Regulations 2017</w:t>
      </w:r>
    </w:p>
    <w:p w:rsidR="006C31BE" w:rsidRDefault="008C682D" w:rsidP="00FE5F35">
      <w:pPr>
        <w:spacing w:before="240" w:line="360" w:lineRule="auto"/>
      </w:pPr>
      <w:r>
        <w:t xml:space="preserve">The most </w:t>
      </w:r>
      <w:r w:rsidR="00A450DF">
        <w:t xml:space="preserve">significant </w:t>
      </w:r>
      <w:r>
        <w:t xml:space="preserve">recent development to anti-money laundering legislation can be found </w:t>
      </w:r>
      <w:r w:rsidR="0011687A">
        <w:t>in the MLR 2017</w:t>
      </w:r>
      <w:r>
        <w:t>, which implement the Fourth Money Laundering Directive (</w:t>
      </w:r>
      <w:r w:rsidRPr="00201AA7">
        <w:rPr>
          <w:b/>
        </w:rPr>
        <w:t>4MLD</w:t>
      </w:r>
      <w:r w:rsidR="006C31BE">
        <w:t>)</w:t>
      </w:r>
      <w:r w:rsidR="00CE4238">
        <w:rPr>
          <w:rStyle w:val="FootnoteReference"/>
        </w:rPr>
        <w:footnoteReference w:id="15"/>
      </w:r>
      <w:r w:rsidR="006C31BE">
        <w:t xml:space="preserve"> in the UK.</w:t>
      </w:r>
    </w:p>
    <w:p w:rsidR="008C682D" w:rsidRPr="008C682D" w:rsidRDefault="008C682D" w:rsidP="00FE5F35">
      <w:pPr>
        <w:spacing w:before="240" w:line="360" w:lineRule="auto"/>
        <w:rPr>
          <w:i/>
        </w:rPr>
      </w:pPr>
      <w:r w:rsidRPr="008C682D">
        <w:rPr>
          <w:i/>
        </w:rPr>
        <w:t>Increased detail</w:t>
      </w:r>
    </w:p>
    <w:p w:rsidR="008C682D" w:rsidRDefault="008C682D" w:rsidP="00FE5F35">
      <w:pPr>
        <w:spacing w:before="240" w:line="360" w:lineRule="auto"/>
      </w:pPr>
      <w:r>
        <w:t xml:space="preserve">While </w:t>
      </w:r>
      <w:r w:rsidR="00F25535">
        <w:t>neither</w:t>
      </w:r>
      <w:r>
        <w:t xml:space="preserve"> a measure of effectiveness </w:t>
      </w:r>
      <w:r w:rsidR="00F25535">
        <w:t>n</w:t>
      </w:r>
      <w:r>
        <w:t xml:space="preserve">or proportionality, the increased length of the MLR 2017 is at least indicative of the increased scale and reach of the latest anti-money laundering legislative developments.  The </w:t>
      </w:r>
      <w:r w:rsidR="00F25535">
        <w:t>Money Laundering Regulations 2007 (</w:t>
      </w:r>
      <w:r w:rsidRPr="00F25535">
        <w:rPr>
          <w:b/>
        </w:rPr>
        <w:t>MLR 2007</w:t>
      </w:r>
      <w:r w:rsidR="00F25535">
        <w:t>)</w:t>
      </w:r>
      <w:r>
        <w:t xml:space="preserve">, themselves made up of 51 regulations, six schedules and 100 pages, have been replaced by the MLR 2017 at 110 regulations, seven schedules and 118 pages.  Four of the sections are devoted to the Transfer of Funds (Information on the Payer) Regulations, which regulations were previously contained in separate </w:t>
      </w:r>
      <w:r w:rsidR="006908AB">
        <w:t>legislation.  The MLR 2017 note</w:t>
      </w:r>
      <w:r>
        <w:t xml:space="preserve"> that “</w:t>
      </w:r>
      <w:r w:rsidRPr="00FA190A">
        <w:rPr>
          <w:i/>
        </w:rPr>
        <w:t>the Treasury are designated for the purposes of section 2(2) of the European Communities Act 1972 in relation to the prevention of money laundering and terrorist financing</w:t>
      </w:r>
      <w:r>
        <w:t>”</w:t>
      </w:r>
      <w:r>
        <w:rPr>
          <w:rStyle w:val="FootnoteReference"/>
        </w:rPr>
        <w:footnoteReference w:id="16"/>
      </w:r>
      <w:r>
        <w:t xml:space="preserve"> compared to simply “</w:t>
      </w:r>
      <w:r w:rsidRPr="00FA190A">
        <w:rPr>
          <w:i/>
        </w:rPr>
        <w:t>in relation to measures relation</w:t>
      </w:r>
      <w:r>
        <w:rPr>
          <w:i/>
        </w:rPr>
        <w:t xml:space="preserve"> to preventing this use of the </w:t>
      </w:r>
      <w:r w:rsidRPr="00FA190A">
        <w:rPr>
          <w:i/>
        </w:rPr>
        <w:t>financial system for the purpose of money laundering</w:t>
      </w:r>
      <w:r>
        <w:t>”</w:t>
      </w:r>
      <w:r>
        <w:rPr>
          <w:rStyle w:val="FootnoteReference"/>
        </w:rPr>
        <w:footnoteReference w:id="17"/>
      </w:r>
      <w:r>
        <w:t xml:space="preserve"> as set out in the MLR 2007.  Not only is the size of anti-money laundering measures expanding, but so is the ambition behind them and the </w:t>
      </w:r>
      <w:r w:rsidR="00F25535">
        <w:t xml:space="preserve">consequent </w:t>
      </w:r>
      <w:r>
        <w:t xml:space="preserve">burden being placed on those </w:t>
      </w:r>
      <w:r w:rsidR="00F25535">
        <w:t xml:space="preserve">required </w:t>
      </w:r>
      <w:r>
        <w:t>to comply.</w:t>
      </w:r>
    </w:p>
    <w:p w:rsidR="008C682D" w:rsidRPr="008C682D" w:rsidRDefault="008C682D" w:rsidP="00FE5F35">
      <w:pPr>
        <w:spacing w:before="240" w:line="360" w:lineRule="auto"/>
        <w:rPr>
          <w:i/>
        </w:rPr>
      </w:pPr>
      <w:r w:rsidRPr="008C682D">
        <w:rPr>
          <w:i/>
        </w:rPr>
        <w:t>Increased burden</w:t>
      </w:r>
    </w:p>
    <w:p w:rsidR="008C682D" w:rsidRDefault="008C682D" w:rsidP="00FE5F35">
      <w:pPr>
        <w:spacing w:before="240" w:line="360" w:lineRule="auto"/>
      </w:pPr>
      <w:r>
        <w:t>While the basic requirements of t</w:t>
      </w:r>
      <w:r w:rsidRPr="00A10A4C">
        <w:t xml:space="preserve">he MLR 2017 </w:t>
      </w:r>
      <w:r>
        <w:t>largely build upon the fo</w:t>
      </w:r>
      <w:r w:rsidR="00D517D3">
        <w:t>undations set by the MLR </w:t>
      </w:r>
      <w:r>
        <w:t xml:space="preserve">2007, the detailed provisions </w:t>
      </w:r>
      <w:r w:rsidRPr="00A10A4C">
        <w:t>contain several</w:t>
      </w:r>
      <w:r>
        <w:t xml:space="preserve"> extensions to the obligations.  In order to comply with the new MLR 2017, those within the regulated sector (which itself has remained largely unchanged)</w:t>
      </w:r>
      <w:r>
        <w:rPr>
          <w:rStyle w:val="FootnoteReference"/>
        </w:rPr>
        <w:footnoteReference w:id="18"/>
      </w:r>
      <w:r>
        <w:t xml:space="preserve"> must continue to carry out customer due diligence measures</w:t>
      </w:r>
      <w:r>
        <w:rPr>
          <w:rStyle w:val="FootnoteReference"/>
        </w:rPr>
        <w:footnoteReference w:id="19"/>
      </w:r>
      <w:r>
        <w:t>, make suspicious activity disclosures</w:t>
      </w:r>
      <w:r>
        <w:rPr>
          <w:rStyle w:val="FootnoteReference"/>
        </w:rPr>
        <w:footnoteReference w:id="20"/>
      </w:r>
      <w:r>
        <w:t>, train staff</w:t>
      </w:r>
      <w:r>
        <w:rPr>
          <w:rStyle w:val="FootnoteReference"/>
        </w:rPr>
        <w:footnoteReference w:id="21"/>
      </w:r>
      <w:r>
        <w:t>, keep records</w:t>
      </w:r>
      <w:r>
        <w:rPr>
          <w:rStyle w:val="FootnoteReference"/>
        </w:rPr>
        <w:footnoteReference w:id="22"/>
      </w:r>
      <w:r>
        <w:t xml:space="preserve"> and carry out risk assessments</w:t>
      </w:r>
      <w:r>
        <w:rPr>
          <w:rStyle w:val="FootnoteReference"/>
        </w:rPr>
        <w:footnoteReference w:id="23"/>
      </w:r>
      <w:r>
        <w:t>, but the way in which they do and record this must change.  As before</w:t>
      </w:r>
      <w:r>
        <w:rPr>
          <w:rStyle w:val="FootnoteReference"/>
        </w:rPr>
        <w:footnoteReference w:id="24"/>
      </w:r>
      <w:r>
        <w:t>, contravention of a “relevant requirement” under the MLR 2017 carries a hefty penalty of up to two years’ imprisonment, to a fine, or both, on indictment.</w:t>
      </w:r>
      <w:r>
        <w:rPr>
          <w:rStyle w:val="FootnoteReference"/>
        </w:rPr>
        <w:footnoteReference w:id="25"/>
      </w:r>
    </w:p>
    <w:p w:rsidR="006C31BE" w:rsidRDefault="008C682D" w:rsidP="00FE5F35">
      <w:pPr>
        <w:spacing w:before="240" w:line="360" w:lineRule="auto"/>
      </w:pPr>
      <w:r w:rsidRPr="008C682D">
        <w:rPr>
          <w:i/>
        </w:rPr>
        <w:t>Risk Assessments</w:t>
      </w:r>
      <w:r>
        <w:rPr>
          <w:i/>
        </w:rPr>
        <w:br/>
      </w:r>
      <w:r w:rsidR="006908AB">
        <w:t>The MLR 2017 require</w:t>
      </w:r>
      <w:r>
        <w:t xml:space="preserve"> several layers of risk assessments, stretching from individual firms and practitioners and reaching up to EU level and beyond.  </w:t>
      </w:r>
      <w:r w:rsidR="006C31BE">
        <w:t>In the UK, t</w:t>
      </w:r>
      <w:r>
        <w:t>he top layer involves a risk assessment to “</w:t>
      </w:r>
      <w:r w:rsidRPr="00601728">
        <w:rPr>
          <w:i/>
        </w:rPr>
        <w:t xml:space="preserve">identify, assess, understand and mitigate the risks of money laundering and terrorist financing affecting </w:t>
      </w:r>
      <w:r>
        <w:rPr>
          <w:i/>
        </w:rPr>
        <w:t>the U</w:t>
      </w:r>
      <w:r w:rsidRPr="00601728">
        <w:rPr>
          <w:i/>
        </w:rPr>
        <w:t>nited Kingdom</w:t>
      </w:r>
      <w:r>
        <w:t>”</w:t>
      </w:r>
      <w:r>
        <w:rPr>
          <w:rStyle w:val="FootnoteReference"/>
        </w:rPr>
        <w:footnoteReference w:id="26"/>
      </w:r>
      <w:r>
        <w:t xml:space="preserve"> to be carried out by the Treasury and the Home Office.</w:t>
      </w:r>
      <w:r>
        <w:rPr>
          <w:rStyle w:val="FootnoteReference"/>
        </w:rPr>
        <w:footnoteReference w:id="27"/>
      </w:r>
      <w:r>
        <w:t xml:space="preserve">  This risk assessment is required to take account of the reports of the “Commission” under Article 6.1 of 4MLD</w:t>
      </w:r>
      <w:r w:rsidR="00691B56">
        <w:t>,</w:t>
      </w:r>
      <w:r>
        <w:rPr>
          <w:rStyle w:val="FootnoteReference"/>
        </w:rPr>
        <w:footnoteReference w:id="28"/>
      </w:r>
      <w:r>
        <w:t xml:space="preserve"> reaching yet further to ensure measures taken within the UK take account of risks identified at EU level of “</w:t>
      </w:r>
      <w:r w:rsidRPr="007D3815">
        <w:rPr>
          <w:i/>
        </w:rPr>
        <w:t>money laundering and terrorist financing affecting the internal market and relating to cross-border activities</w:t>
      </w:r>
      <w:r w:rsidRPr="00A83A42">
        <w:t>”</w:t>
      </w:r>
      <w:r w:rsidR="00691B56">
        <w:t>.</w:t>
      </w:r>
      <w:r>
        <w:rPr>
          <w:rStyle w:val="FootnoteReference"/>
        </w:rPr>
        <w:footnoteReference w:id="29"/>
      </w:r>
      <w:r>
        <w:t xml:space="preserve">  Underneath the Treasury and Home Office risk assessment, each supervisory authority must undertake a risk assessment, considering “</w:t>
      </w:r>
      <w:r w:rsidRPr="007B6EB3">
        <w:rPr>
          <w:i/>
        </w:rPr>
        <w:t xml:space="preserve">international and domestic risks of money laundering and terrorist financing to those relevant persons for which it is the supervisory authority </w:t>
      </w:r>
      <w:r>
        <w:rPr>
          <w:i/>
        </w:rPr>
        <w:t xml:space="preserve">… </w:t>
      </w:r>
      <w:r w:rsidRPr="007B6EB3">
        <w:rPr>
          <w:i/>
        </w:rPr>
        <w:t>are subject</w:t>
      </w:r>
      <w:r>
        <w:t>”.</w:t>
      </w:r>
      <w:r>
        <w:rPr>
          <w:rStyle w:val="FootnoteReference"/>
        </w:rPr>
        <w:footnoteReference w:id="30"/>
      </w:r>
      <w:r>
        <w:t xml:space="preserve">  Finally, each relevant person</w:t>
      </w:r>
      <w:r>
        <w:rPr>
          <w:rStyle w:val="FootnoteReference"/>
        </w:rPr>
        <w:footnoteReference w:id="31"/>
      </w:r>
      <w:r>
        <w:t xml:space="preserve"> must “</w:t>
      </w:r>
      <w:r w:rsidRPr="008C04F0">
        <w:rPr>
          <w:i/>
        </w:rPr>
        <w:t>take appropriate steps to identify and assess the risks of money laundering and terrorist financing to which its business is subject</w:t>
      </w:r>
      <w:r>
        <w:t>”</w:t>
      </w:r>
      <w:r w:rsidR="00691B56">
        <w:t>.</w:t>
      </w:r>
      <w:r>
        <w:rPr>
          <w:rStyle w:val="FootnoteReference"/>
        </w:rPr>
        <w:footnoteReference w:id="32"/>
      </w:r>
    </w:p>
    <w:p w:rsidR="008C682D" w:rsidRDefault="008C682D" w:rsidP="00FE5F35">
      <w:pPr>
        <w:spacing w:before="240" w:line="360" w:lineRule="auto"/>
      </w:pPr>
      <w:r>
        <w:t>At each level, account must be taken of risk reports at the superior level.</w:t>
      </w:r>
      <w:r>
        <w:rPr>
          <w:rStyle w:val="FootnoteReference"/>
        </w:rPr>
        <w:footnoteReference w:id="33"/>
      </w:r>
      <w:r w:rsidRPr="008C04F0">
        <w:t xml:space="preserve"> </w:t>
      </w:r>
      <w:r>
        <w:t xml:space="preserve"> The risk assessment obligations themselves are onerous, requiring identification of areas where enhanced customer due diligence should be taken, and (where appropriate) what this would entail; identifying areas of lower and greater risk; and considering the rules made by a supervisory authority in relation to its sector would be appropriate in light of identified risks.</w:t>
      </w:r>
      <w:r>
        <w:rPr>
          <w:rStyle w:val="FootnoteReference"/>
        </w:rPr>
        <w:footnoteReference w:id="34"/>
      </w:r>
      <w:r>
        <w:t xml:space="preserve">  Relevant persons must consider factors relating to customers, geographic areas, products or services, transactions and delivery channels appropriate to its operations when undertaking risk assessments.</w:t>
      </w:r>
      <w:r>
        <w:rPr>
          <w:rStyle w:val="FootnoteReference"/>
        </w:rPr>
        <w:footnoteReference w:id="35"/>
      </w:r>
    </w:p>
    <w:p w:rsidR="008C682D" w:rsidRPr="00A42F31" w:rsidRDefault="008C682D" w:rsidP="00FE5F35">
      <w:pPr>
        <w:spacing w:before="240" w:line="360" w:lineRule="auto"/>
      </w:pPr>
      <w:r w:rsidRPr="00D4484F">
        <w:rPr>
          <w:i/>
        </w:rPr>
        <w:t>Customer Due Diligence</w:t>
      </w:r>
      <w:r w:rsidR="00895FC4">
        <w:rPr>
          <w:i/>
        </w:rPr>
        <w:t xml:space="preserve"> (CDD)</w:t>
      </w:r>
      <w:r>
        <w:rPr>
          <w:i/>
        </w:rPr>
        <w:br/>
      </w:r>
      <w:r>
        <w:t>The customer due diligence procedure under the MLR 2017 has many similarities with the procedure under the MLR 2007: as before, the requirement</w:t>
      </w:r>
      <w:r w:rsidR="00F46F8B">
        <w:t>s</w:t>
      </w:r>
      <w:r>
        <w:t xml:space="preserve"> to identify the customer and to verify the customer’s identity remain.</w:t>
      </w:r>
      <w:r>
        <w:rPr>
          <w:rStyle w:val="FootnoteReference"/>
        </w:rPr>
        <w:footnoteReference w:id="36"/>
      </w:r>
      <w:r>
        <w:t xml:space="preserve">  The relevant person must also “</w:t>
      </w:r>
      <w:r w:rsidRPr="00454D9F">
        <w:rPr>
          <w:i/>
        </w:rPr>
        <w:t>assess, and where appropriate obtain information on, the purpose and intended nature of the business relationship or occasional transaction</w:t>
      </w:r>
      <w:r>
        <w:t>”.</w:t>
      </w:r>
      <w:r>
        <w:rPr>
          <w:rStyle w:val="FootnoteReference"/>
        </w:rPr>
        <w:footnoteReference w:id="37"/>
      </w:r>
      <w:r w:rsidR="006908AB">
        <w:t xml:space="preserve">  </w:t>
      </w:r>
      <w:r w:rsidR="00D517D3">
        <w:t>Relevant persons have been familiar with customer due diligence requirements i</w:t>
      </w:r>
      <w:r w:rsidR="00F25535">
        <w:t>n some form since the MLR 1993</w:t>
      </w:r>
      <w:r w:rsidR="00D517D3">
        <w:t xml:space="preserve"> and therefore can be expected to already have systems in place to meet these obligations.  </w:t>
      </w:r>
      <w:r w:rsidR="006908AB">
        <w:t xml:space="preserve">The MLR 2017 </w:t>
      </w:r>
      <w:r w:rsidR="00D517D3">
        <w:t xml:space="preserve">continue </w:t>
      </w:r>
      <w:r>
        <w:t xml:space="preserve">to distinguish among the three options of customer due diligence, enhanced due diligence </w:t>
      </w:r>
      <w:r w:rsidR="003213C0">
        <w:t xml:space="preserve">(EDD) </w:t>
      </w:r>
      <w:r>
        <w:t>and simplified due diligence</w:t>
      </w:r>
      <w:r w:rsidR="003213C0">
        <w:t xml:space="preserve"> (SDD)</w:t>
      </w:r>
      <w:r>
        <w:t>.</w:t>
      </w:r>
      <w:r>
        <w:rPr>
          <w:rStyle w:val="FootnoteReference"/>
        </w:rPr>
        <w:footnoteReference w:id="38"/>
      </w:r>
      <w:r>
        <w:t xml:space="preserve">  </w:t>
      </w:r>
      <w:r w:rsidR="00D517D3">
        <w:t>More onerous is t</w:t>
      </w:r>
      <w:r>
        <w:t xml:space="preserve">he need for </w:t>
      </w:r>
      <w:r w:rsidR="00D517D3">
        <w:t xml:space="preserve">the relevant person to determine the need for </w:t>
      </w:r>
      <w:r w:rsidR="003213C0">
        <w:t xml:space="preserve">EDD </w:t>
      </w:r>
      <w:r>
        <w:t xml:space="preserve">or </w:t>
      </w:r>
      <w:r w:rsidR="003213C0">
        <w:t xml:space="preserve">SDD </w:t>
      </w:r>
      <w:r>
        <w:t>based on specified factors, including the risk assessment of the relevant person or on the basis of information available from the risk assessme</w:t>
      </w:r>
      <w:r w:rsidR="00D517D3">
        <w:t>nt of the supervisory authority</w:t>
      </w:r>
      <w:r w:rsidR="00F25535">
        <w:t>.</w:t>
      </w:r>
      <w:r>
        <w:rPr>
          <w:rStyle w:val="FootnoteReference"/>
        </w:rPr>
        <w:footnoteReference w:id="39"/>
      </w:r>
      <w:r w:rsidR="00F25535">
        <w:t xml:space="preserve">  At the same time,</w:t>
      </w:r>
      <w:r w:rsidR="00D517D3">
        <w:t xml:space="preserve"> some blanket provisions </w:t>
      </w:r>
      <w:r w:rsidR="003213C0">
        <w:t>allowing for SDD</w:t>
      </w:r>
      <w:r w:rsidR="003213C0">
        <w:rPr>
          <w:rStyle w:val="FootnoteReference"/>
        </w:rPr>
        <w:footnoteReference w:id="40"/>
      </w:r>
      <w:r w:rsidR="003213C0">
        <w:t xml:space="preserve"> </w:t>
      </w:r>
      <w:r w:rsidR="00D517D3">
        <w:t>have been removed</w:t>
      </w:r>
      <w:r w:rsidR="003213C0">
        <w:t xml:space="preserve"> and EDD has been extended to cover </w:t>
      </w:r>
      <w:r w:rsidR="00EA57AD">
        <w:t>domestic PEPs</w:t>
      </w:r>
      <w:r w:rsidR="00F33608">
        <w:t>.</w:t>
      </w:r>
      <w:r w:rsidR="00EA57AD">
        <w:rPr>
          <w:rStyle w:val="FootnoteReference"/>
        </w:rPr>
        <w:footnoteReference w:id="41"/>
      </w:r>
    </w:p>
    <w:p w:rsidR="008C682D" w:rsidRDefault="008C682D" w:rsidP="00FE5F35">
      <w:pPr>
        <w:spacing w:before="240" w:line="360" w:lineRule="auto"/>
      </w:pPr>
      <w:r w:rsidRPr="00D87B19">
        <w:rPr>
          <w:i/>
        </w:rPr>
        <w:t>Beneficial Ownership</w:t>
      </w:r>
      <w:r>
        <w:rPr>
          <w:i/>
        </w:rPr>
        <w:t xml:space="preserve"> and Transparency</w:t>
      </w:r>
      <w:r>
        <w:rPr>
          <w:i/>
        </w:rPr>
        <w:br/>
      </w:r>
      <w:r>
        <w:t xml:space="preserve">One of the most significant features of the MLR 2017 is the expansion of provisions relating to transparency and </w:t>
      </w:r>
      <w:r w:rsidR="00676512">
        <w:t>disclosure</w:t>
      </w:r>
      <w:r>
        <w:t>.  Relevant persons must undertake due diligence to identify the beneficial owner</w:t>
      </w:r>
      <w:r>
        <w:rPr>
          <w:rStyle w:val="FootnoteReference"/>
        </w:rPr>
        <w:footnoteReference w:id="42"/>
      </w:r>
      <w:r>
        <w:t xml:space="preserve"> of bodies corporate or partnerships</w:t>
      </w:r>
      <w:r>
        <w:rPr>
          <w:rStyle w:val="FootnoteReference"/>
        </w:rPr>
        <w:footnoteReference w:id="43"/>
      </w:r>
      <w:r>
        <w:t xml:space="preserve"> and trusts and similar arrangements and others</w:t>
      </w:r>
      <w:r w:rsidR="00F33608">
        <w:t>.</w:t>
      </w:r>
      <w:r>
        <w:rPr>
          <w:rStyle w:val="FootnoteReference"/>
        </w:rPr>
        <w:footnoteReference w:id="44"/>
      </w:r>
      <w:r>
        <w:t xml:space="preserve">  Due diligence involves identifying the beneficial owner and then taking “</w:t>
      </w:r>
      <w:r w:rsidRPr="0061613D">
        <w:rPr>
          <w:i/>
        </w:rPr>
        <w:t>reasonable measures</w:t>
      </w:r>
      <w:r>
        <w:t xml:space="preserve"> </w:t>
      </w:r>
      <w:r>
        <w:rPr>
          <w:i/>
        </w:rPr>
        <w:t>to verify the identity so that the relevant person is satisfied that it knows who the beneficial owner is</w:t>
      </w:r>
      <w:r>
        <w:t>”</w:t>
      </w:r>
      <w:r>
        <w:rPr>
          <w:rStyle w:val="FootnoteReference"/>
        </w:rPr>
        <w:footnoteReference w:id="45"/>
      </w:r>
      <w:r>
        <w:t xml:space="preserve"> and taking “</w:t>
      </w:r>
      <w:r w:rsidRPr="0061613D">
        <w:rPr>
          <w:i/>
        </w:rPr>
        <w:t>reasonable measures</w:t>
      </w:r>
      <w:r>
        <w:t>” to understand the ownership and control structure of a legal person, trust, company, foundation or similar legal arrangement.</w:t>
      </w:r>
      <w:r>
        <w:rPr>
          <w:rStyle w:val="FootnoteReference"/>
        </w:rPr>
        <w:footnoteReference w:id="46"/>
      </w:r>
      <w:r>
        <w:t xml:space="preserve">  </w:t>
      </w:r>
      <w:r w:rsidR="00F46F8B">
        <w:t>The</w:t>
      </w:r>
      <w:r>
        <w:t>s</w:t>
      </w:r>
      <w:r w:rsidR="00F46F8B">
        <w:t>e</w:t>
      </w:r>
      <w:r>
        <w:t xml:space="preserve"> requirement</w:t>
      </w:r>
      <w:r w:rsidR="00F46F8B">
        <w:t>s</w:t>
      </w:r>
      <w:r w:rsidR="00EA57AD">
        <w:t xml:space="preserve"> correspond </w:t>
      </w:r>
      <w:r>
        <w:t>with recent legislation, prompted by 4MLD, requiring companies and limited liability partnerships to keep a</w:t>
      </w:r>
      <w:r w:rsidR="00EA57AD">
        <w:t>n up to date</w:t>
      </w:r>
      <w:r>
        <w:t xml:space="preserve"> register of people with significant control and file information </w:t>
      </w:r>
      <w:r w:rsidR="00676512">
        <w:t xml:space="preserve">publicly </w:t>
      </w:r>
      <w:r>
        <w:t>with Companies House within 14 days</w:t>
      </w:r>
      <w:r w:rsidR="00EA57AD">
        <w:t xml:space="preserve"> of changes</w:t>
      </w:r>
      <w:r>
        <w:t>.</w:t>
      </w:r>
      <w:r>
        <w:rPr>
          <w:rStyle w:val="FootnoteReference"/>
        </w:rPr>
        <w:footnoteReference w:id="47"/>
      </w:r>
    </w:p>
    <w:p w:rsidR="008C682D" w:rsidRDefault="008C682D" w:rsidP="00FE5F35">
      <w:pPr>
        <w:spacing w:before="240" w:line="360" w:lineRule="auto"/>
      </w:pPr>
      <w:r>
        <w:t>In addition to requiring relevant persons to identify and verify beneficial owners,</w:t>
      </w:r>
      <w:r>
        <w:rPr>
          <w:rStyle w:val="FootnoteReference"/>
        </w:rPr>
        <w:footnoteReference w:id="48"/>
      </w:r>
      <w:r>
        <w:t xml:space="preserve"> the MLR 2017 impose obligations on corporate bodies</w:t>
      </w:r>
      <w:r>
        <w:rPr>
          <w:rStyle w:val="FootnoteReference"/>
        </w:rPr>
        <w:footnoteReference w:id="49"/>
      </w:r>
      <w:r>
        <w:t xml:space="preserve"> to comply with requests from relevant persons to provide information</w:t>
      </w:r>
      <w:r>
        <w:rPr>
          <w:rStyle w:val="FootnoteReference"/>
        </w:rPr>
        <w:footnoteReference w:id="50"/>
      </w:r>
      <w:r>
        <w:t xml:space="preserve"> identifying matters such as name, board of directors, legal and beneficial owners</w:t>
      </w:r>
      <w:r>
        <w:rPr>
          <w:rStyle w:val="FootnoteReference"/>
        </w:rPr>
        <w:footnoteReference w:id="51"/>
      </w:r>
      <w:r>
        <w:t xml:space="preserve"> and “</w:t>
      </w:r>
      <w:r w:rsidRPr="00B90EA5">
        <w:rPr>
          <w:i/>
        </w:rPr>
        <w:t>the senior person responsible for its operations</w:t>
      </w:r>
      <w:r>
        <w:t>”</w:t>
      </w:r>
      <w:r w:rsidR="00E36821">
        <w:t>.</w:t>
      </w:r>
      <w:r>
        <w:rPr>
          <w:rStyle w:val="FootnoteReference"/>
        </w:rPr>
        <w:footnoteReference w:id="52"/>
      </w:r>
      <w:r>
        <w:t xml:space="preserve">  Given that the board of directors and legal and beneficial owners must already be identified</w:t>
      </w:r>
      <w:r w:rsidR="00E36821">
        <w:t>,</w:t>
      </w:r>
      <w:r w:rsidR="00E6695F">
        <w:rPr>
          <w:rStyle w:val="FootnoteReference"/>
        </w:rPr>
        <w:footnoteReference w:id="53"/>
      </w:r>
      <w:r>
        <w:t xml:space="preserve"> it is difficult to comprehend who </w:t>
      </w:r>
      <w:r w:rsidR="00E6695F">
        <w:t xml:space="preserve">else </w:t>
      </w:r>
      <w:r>
        <w:t>would fall within this category, and this seems to be something of a fishing expedition.  Corporate bodies must also notify the relevant person of any change to information or identity of individuals within 14 days of becoming aware of such change;</w:t>
      </w:r>
      <w:r>
        <w:rPr>
          <w:rStyle w:val="FootnoteReference"/>
        </w:rPr>
        <w:footnoteReference w:id="54"/>
      </w:r>
      <w:r>
        <w:t xml:space="preserve"> and provide all or part of the identifying information supplied to a law enforcement authority on request</w:t>
      </w:r>
      <w:r>
        <w:rPr>
          <w:rStyle w:val="FootnoteReference"/>
        </w:rPr>
        <w:footnoteReference w:id="55"/>
      </w:r>
      <w:r>
        <w:t xml:space="preserve"> within a reasonable period</w:t>
      </w:r>
      <w:r w:rsidR="00E36821">
        <w:t>.</w:t>
      </w:r>
      <w:r>
        <w:rPr>
          <w:rStyle w:val="FootnoteReference"/>
        </w:rPr>
        <w:footnoteReference w:id="56"/>
      </w:r>
      <w:r>
        <w:t xml:space="preserve">  Similar obligations are imposed upon trustees.</w:t>
      </w:r>
      <w:r>
        <w:rPr>
          <w:rStyle w:val="FootnoteReference"/>
        </w:rPr>
        <w:footnoteReference w:id="57"/>
      </w:r>
    </w:p>
    <w:p w:rsidR="008C682D" w:rsidRPr="00EC7552" w:rsidRDefault="008C682D" w:rsidP="00FE5F35">
      <w:pPr>
        <w:spacing w:before="240" w:line="360" w:lineRule="auto"/>
      </w:pPr>
      <w:r>
        <w:t>To supplement the beneficial ownership obligations on trustees</w:t>
      </w:r>
      <w:r w:rsidR="00E36821">
        <w:t>,</w:t>
      </w:r>
      <w:r>
        <w:rPr>
          <w:rStyle w:val="FootnoteReference"/>
        </w:rPr>
        <w:footnoteReference w:id="58"/>
      </w:r>
      <w:r>
        <w:t xml:space="preserve"> HMRC</w:t>
      </w:r>
      <w:r w:rsidR="00962609">
        <w:rPr>
          <w:rStyle w:val="FootnoteReference"/>
        </w:rPr>
        <w:footnoteReference w:id="59"/>
      </w:r>
      <w:r>
        <w:t xml:space="preserve"> is required to maintain a register of “</w:t>
      </w:r>
      <w:r w:rsidRPr="00A67E45">
        <w:rPr>
          <w:i/>
        </w:rPr>
        <w:t>beneficial owners of taxable relevant trusts</w:t>
      </w:r>
      <w:r>
        <w:t>”</w:t>
      </w:r>
      <w:r>
        <w:rPr>
          <w:rStyle w:val="FootnoteReference"/>
        </w:rPr>
        <w:footnoteReference w:id="60"/>
      </w:r>
      <w:r>
        <w:t xml:space="preserve"> and “</w:t>
      </w:r>
      <w:r w:rsidRPr="00A67E45">
        <w:rPr>
          <w:i/>
        </w:rPr>
        <w:t>potential beneficiaries of taxable relevant trusts</w:t>
      </w:r>
      <w:r>
        <w:t>”</w:t>
      </w:r>
      <w:r w:rsidR="00E36821">
        <w:t>,</w:t>
      </w:r>
      <w:r>
        <w:rPr>
          <w:rStyle w:val="FootnoteReference"/>
        </w:rPr>
        <w:footnoteReference w:id="61"/>
      </w:r>
      <w:r>
        <w:t xml:space="preserve"> with trustees obliged to provide HMRC with specified information in relation to the trust, certain individuals, legal entities and beneficial owners</w:t>
      </w:r>
      <w:r w:rsidR="00E36821">
        <w:t>,</w:t>
      </w:r>
      <w:r>
        <w:rPr>
          <w:rStyle w:val="FootnoteReference"/>
        </w:rPr>
        <w:footnoteReference w:id="62"/>
      </w:r>
      <w:r>
        <w:t xml:space="preserve"> initially by 31 January 2018</w:t>
      </w:r>
      <w:r>
        <w:rPr>
          <w:rStyle w:val="FootnoteReference"/>
        </w:rPr>
        <w:footnoteReference w:id="63"/>
      </w:r>
      <w:r>
        <w:t xml:space="preserve"> and then by 31 January following specified tax years</w:t>
      </w:r>
      <w:r w:rsidR="00E36821">
        <w:t>.</w:t>
      </w:r>
      <w:r>
        <w:rPr>
          <w:rStyle w:val="FootnoteReference"/>
        </w:rPr>
        <w:footnoteReference w:id="64"/>
      </w:r>
      <w:r>
        <w:t xml:space="preserve">  The information to be provided and maintained on the HMRC register contains not only basic details of the trust such as its name and the date on which it was set up</w:t>
      </w:r>
      <w:r w:rsidR="00E36821">
        <w:t>,</w:t>
      </w:r>
      <w:r>
        <w:rPr>
          <w:rStyle w:val="FootnoteReference"/>
        </w:rPr>
        <w:footnoteReference w:id="65"/>
      </w:r>
      <w:r>
        <w:t xml:space="preserve"> but also the full name of any advisers being paid to provide legal, financial or tax advice to the trustees in relation to the trust</w:t>
      </w:r>
      <w:r w:rsidR="00E36821">
        <w:t>.</w:t>
      </w:r>
      <w:r>
        <w:rPr>
          <w:rStyle w:val="FootnoteReference"/>
        </w:rPr>
        <w:footnoteReference w:id="66"/>
      </w:r>
      <w:r>
        <w:t xml:space="preserve">  The information on the register must be available for inspection by any law enforcement authority;</w:t>
      </w:r>
      <w:r>
        <w:rPr>
          <w:rStyle w:val="FootnoteReference"/>
        </w:rPr>
        <w:footnoteReference w:id="67"/>
      </w:r>
      <w:r>
        <w:t xml:space="preserve"> and HMRC must ensure that the NCA</w:t>
      </w:r>
      <w:r w:rsidR="00A514F8">
        <w:rPr>
          <w:rStyle w:val="FootnoteReference"/>
        </w:rPr>
        <w:footnoteReference w:id="68"/>
      </w:r>
      <w:r>
        <w:t xml:space="preserve"> are able to use the information to respond promptly to requests for information made by certain authorities and financial intelligence units within the EEA but outside of the United Kingdom</w:t>
      </w:r>
      <w:r w:rsidR="00E36821">
        <w:t>.</w:t>
      </w:r>
      <w:r>
        <w:rPr>
          <w:rStyle w:val="FootnoteReference"/>
        </w:rPr>
        <w:footnoteReference w:id="69"/>
      </w:r>
    </w:p>
    <w:p w:rsidR="008C682D" w:rsidRDefault="008C682D" w:rsidP="00FE5F35">
      <w:pPr>
        <w:spacing w:before="240" w:line="360" w:lineRule="auto"/>
      </w:pPr>
      <w:r w:rsidRPr="00EC7552">
        <w:rPr>
          <w:i/>
        </w:rPr>
        <w:t>Ownership and Management</w:t>
      </w:r>
      <w:r>
        <w:rPr>
          <w:i/>
        </w:rPr>
        <w:br/>
      </w:r>
      <w:r w:rsidR="006908AB">
        <w:t>The MLR 2017 extend</w:t>
      </w:r>
      <w:r>
        <w:t xml:space="preserve"> </w:t>
      </w:r>
      <w:r w:rsidR="006908AB">
        <w:t xml:space="preserve">their </w:t>
      </w:r>
      <w:r>
        <w:t>reach firmly into the upper echelons of the private sector actors by requiring that any beneficial owner, officer or manager and sole practitioners of a relevant firm</w:t>
      </w:r>
      <w:r>
        <w:rPr>
          <w:rStyle w:val="FootnoteReference"/>
        </w:rPr>
        <w:footnoteReference w:id="70"/>
      </w:r>
      <w:r>
        <w:t xml:space="preserve"> should be approved by a supervisory authority on application</w:t>
      </w:r>
      <w:r w:rsidR="00E36821">
        <w:t>.</w:t>
      </w:r>
      <w:r>
        <w:rPr>
          <w:rStyle w:val="FootnoteReference"/>
        </w:rPr>
        <w:footnoteReference w:id="71"/>
      </w:r>
      <w:r>
        <w:t xml:space="preserve">  It is questionable whether this level of control is required given that a supervisory authority must grant approva</w:t>
      </w:r>
      <w:r w:rsidR="00F46F8B">
        <w:t>l unless the applicant has been</w:t>
      </w:r>
      <w:r>
        <w:t xml:space="preserve"> convicted of certain specified offences involving perjury, dishonesty or tax</w:t>
      </w:r>
      <w:r w:rsidR="00E36821">
        <w:t>,</w:t>
      </w:r>
      <w:r>
        <w:rPr>
          <w:rStyle w:val="FootnoteReference"/>
        </w:rPr>
        <w:footnoteReference w:id="72"/>
      </w:r>
      <w:r>
        <w:t xml:space="preserve"> and it is likely that relevant firms will already take care to ensure the fitness for office of those persons</w:t>
      </w:r>
      <w:r w:rsidR="00E36821">
        <w:t>.</w:t>
      </w:r>
      <w:r>
        <w:rPr>
          <w:rStyle w:val="FootnoteReference"/>
        </w:rPr>
        <w:footnoteReference w:id="73"/>
      </w:r>
      <w:r>
        <w:t xml:space="preserve">  In addition to seeking to control who may undertake certain professions, the MLR 2017 impose obligations on senior managers to approve the policies, controls and procedures of a relevant person</w:t>
      </w:r>
      <w:r>
        <w:rPr>
          <w:rStyle w:val="FootnoteReference"/>
        </w:rPr>
        <w:footnoteReference w:id="74"/>
      </w:r>
      <w:r>
        <w:t xml:space="preserve"> and require that they (or a member of the board) should be responsible for compliance by a regulated person with the provisions of the MLR 2017</w:t>
      </w:r>
      <w:r w:rsidR="00E36821">
        <w:t>.</w:t>
      </w:r>
      <w:r>
        <w:rPr>
          <w:rStyle w:val="FootnoteReference"/>
        </w:rPr>
        <w:footnoteReference w:id="75"/>
      </w:r>
      <w:r>
        <w:t xml:space="preserve">  Senior managers are also given responsibility for approving a business relationship with a PEP.</w:t>
      </w:r>
      <w:r>
        <w:rPr>
          <w:rStyle w:val="FootnoteReference"/>
        </w:rPr>
        <w:footnoteReference w:id="76"/>
      </w:r>
    </w:p>
    <w:p w:rsidR="008C682D" w:rsidRDefault="008C682D" w:rsidP="00FE5F35">
      <w:pPr>
        <w:spacing w:before="240" w:line="360" w:lineRule="auto"/>
      </w:pPr>
      <w:r>
        <w:rPr>
          <w:i/>
        </w:rPr>
        <w:t>Information Gathering and Disclosure</w:t>
      </w:r>
      <w:r>
        <w:rPr>
          <w:i/>
        </w:rPr>
        <w:br/>
      </w:r>
      <w:r>
        <w:t>Provisions are inserted throughout the MLR 2017 to support the gathering and sharing of information by ensuring the availability of written information and prompt disclosure up and down the compliance chain.  For example, a relevant person’s policies, controls and procedures regarding the mitigation and effective management of risks of money laundering and terrorist financing must be maintained in writing, in addition to any changes to them, and steps taken to communicate them or any changes within the relevant person’s business.</w:t>
      </w:r>
      <w:r>
        <w:rPr>
          <w:rStyle w:val="FootnoteReference"/>
        </w:rPr>
        <w:footnoteReference w:id="77"/>
      </w:r>
      <w:r>
        <w:t xml:space="preserve">  Even a relevant person’s risk assessment, the information upon which </w:t>
      </w:r>
      <w:r w:rsidR="00962609">
        <w:t xml:space="preserve">it </w:t>
      </w:r>
      <w:r>
        <w:t>is based</w:t>
      </w:r>
      <w:r w:rsidR="00962609">
        <w:t>,</w:t>
      </w:r>
      <w:r>
        <w:t xml:space="preserve"> and an up to date written record of steps taken to carry out the risk assessment must be provided to its supervisory authority on request.</w:t>
      </w:r>
      <w:r>
        <w:rPr>
          <w:rStyle w:val="FootnoteReference"/>
        </w:rPr>
        <w:footnoteReference w:id="78"/>
      </w:r>
    </w:p>
    <w:p w:rsidR="008C682D" w:rsidRDefault="008C682D" w:rsidP="00FE5F35">
      <w:pPr>
        <w:spacing w:before="240" w:after="200" w:line="360" w:lineRule="auto"/>
      </w:pPr>
      <w:r>
        <w:t>The MLR 2017 seek to ensure that information regarding business relationships will be available on request by a full and rapid response to enquiries to financial investigators or law enforcement authorities (amongst others).</w:t>
      </w:r>
      <w:r>
        <w:rPr>
          <w:rStyle w:val="FootnoteReference"/>
        </w:rPr>
        <w:footnoteReference w:id="79"/>
      </w:r>
      <w:r>
        <w:t xml:space="preserve">  </w:t>
      </w:r>
      <w:r w:rsidR="00A514F8">
        <w:t>A</w:t>
      </w:r>
      <w:r>
        <w:t xml:space="preserve"> written record of training must be kept,</w:t>
      </w:r>
      <w:r>
        <w:rPr>
          <w:rStyle w:val="FootnoteReference"/>
        </w:rPr>
        <w:footnoteReference w:id="80"/>
      </w:r>
      <w:r>
        <w:t xml:space="preserve"> and where disclosure of information to a law enforcement agency is required, specific provisions are made to ensure the provision of information does not give rise to liability for the body corporate</w:t>
      </w:r>
      <w:r w:rsidR="00E36821">
        <w:t>,</w:t>
      </w:r>
      <w:r>
        <w:rPr>
          <w:rStyle w:val="FootnoteReference"/>
        </w:rPr>
        <w:footnoteReference w:id="81"/>
      </w:r>
      <w:r>
        <w:t xml:space="preserve"> relevant person or supervisory authority</w:t>
      </w:r>
      <w:r w:rsidR="00E36821">
        <w:t>.</w:t>
      </w:r>
      <w:r>
        <w:rPr>
          <w:rStyle w:val="FootnoteReference"/>
        </w:rPr>
        <w:footnoteReference w:id="82"/>
      </w:r>
    </w:p>
    <w:p w:rsidR="008C682D" w:rsidRDefault="008C682D" w:rsidP="00FE5F35">
      <w:pPr>
        <w:spacing w:before="240" w:line="360" w:lineRule="auto"/>
      </w:pPr>
      <w:r>
        <w:t>In support of these measures, the Criminal Finances Act 2017 amends the Proceeds of Crime Act 2002 to extend the moratorium period for response to consent suspicious activity reports from 31 days to up to 186 days.</w:t>
      </w:r>
      <w:r>
        <w:rPr>
          <w:rStyle w:val="FootnoteReference"/>
        </w:rPr>
        <w:footnoteReference w:id="83"/>
      </w:r>
      <w:r>
        <w:t xml:space="preserve">  While the intention behind this policy is to allow law enforcement agencies sufficient time to respond to intelligence provided by the private sector</w:t>
      </w:r>
      <w:r w:rsidR="00E36821">
        <w:t>,</w:t>
      </w:r>
      <w:r>
        <w:rPr>
          <w:rStyle w:val="FootnoteReference"/>
        </w:rPr>
        <w:footnoteReference w:id="84"/>
      </w:r>
      <w:r>
        <w:t xml:space="preserve"> the potential impact on the private sector is </w:t>
      </w:r>
      <w:r w:rsidR="006100D8">
        <w:t>assessed to be limited to the delays caused to legitimate transactions</w:t>
      </w:r>
      <w:r w:rsidR="00E36821">
        <w:t>.</w:t>
      </w:r>
      <w:r w:rsidR="006100D8">
        <w:rPr>
          <w:rStyle w:val="FootnoteReference"/>
        </w:rPr>
        <w:footnoteReference w:id="85"/>
      </w:r>
    </w:p>
    <w:p w:rsidR="008C682D" w:rsidRPr="008C682D" w:rsidRDefault="008C682D" w:rsidP="00FE5F35">
      <w:pPr>
        <w:spacing w:before="240" w:line="360" w:lineRule="auto"/>
        <w:rPr>
          <w:i/>
        </w:rPr>
      </w:pPr>
      <w:r>
        <w:rPr>
          <w:i/>
        </w:rPr>
        <w:t>Regulatory Growth</w:t>
      </w:r>
      <w:r w:rsidR="00F17B04">
        <w:rPr>
          <w:i/>
        </w:rPr>
        <w:t xml:space="preserve"> and Development</w:t>
      </w:r>
    </w:p>
    <w:p w:rsidR="002D23F6" w:rsidRDefault="008C682D" w:rsidP="002D23F6">
      <w:pPr>
        <w:spacing w:before="240" w:line="360" w:lineRule="auto"/>
      </w:pPr>
      <w:r>
        <w:t>While concepts within the MLR 2017 are not new to those already</w:t>
      </w:r>
      <w:r w:rsidR="00F17B04">
        <w:t xml:space="preserve"> well-versed in AML compliance,</w:t>
      </w:r>
      <w:r>
        <w:t xml:space="preserve"> the </w:t>
      </w:r>
      <w:r w:rsidR="002B7254">
        <w:t xml:space="preserve">steady and </w:t>
      </w:r>
      <w:r>
        <w:t>significant expansio</w:t>
      </w:r>
      <w:r w:rsidR="007E779A">
        <w:t>n of obligations are of concern</w:t>
      </w:r>
      <w:r w:rsidR="00E36821">
        <w:t>.</w:t>
      </w:r>
      <w:r w:rsidR="007E779A">
        <w:rPr>
          <w:rStyle w:val="FootnoteReference"/>
        </w:rPr>
        <w:footnoteReference w:id="86"/>
      </w:r>
      <w:r w:rsidR="007E779A">
        <w:t xml:space="preserve">  </w:t>
      </w:r>
      <w:r w:rsidR="002D23F6">
        <w:t>Speculation about the pace of expansion of the money laundering regime is not new: following the publication of the 2003 FATF Forty Recommendations</w:t>
      </w:r>
      <w:r w:rsidR="00E36821">
        <w:t>,</w:t>
      </w:r>
      <w:r w:rsidR="005122F8">
        <w:rPr>
          <w:rStyle w:val="FootnoteReference"/>
        </w:rPr>
        <w:footnoteReference w:id="87"/>
      </w:r>
      <w:r w:rsidR="002D23F6">
        <w:t xml:space="preserve"> which themselves </w:t>
      </w:r>
      <w:r w:rsidR="00A514F8">
        <w:t xml:space="preserve">prompted </w:t>
      </w:r>
      <w:r w:rsidR="002D23F6">
        <w:t>the MLR 2007</w:t>
      </w:r>
      <w:r w:rsidR="00A514F8">
        <w:t xml:space="preserve"> (see the Timeline)</w:t>
      </w:r>
      <w:r w:rsidR="002D23F6">
        <w:t>, Reuter and Truman express doubts, and concerns about the desirability, “</w:t>
      </w:r>
      <w:r w:rsidR="002D23F6">
        <w:rPr>
          <w:i/>
        </w:rPr>
        <w:t>that the global AML regime will continue to expand at its recent pace</w:t>
      </w:r>
      <w:r w:rsidR="002D23F6">
        <w:t>”</w:t>
      </w:r>
      <w:r w:rsidR="00E36821">
        <w:t>.</w:t>
      </w:r>
      <w:r w:rsidR="002D23F6">
        <w:rPr>
          <w:rStyle w:val="FootnoteReference"/>
        </w:rPr>
        <w:footnoteReference w:id="88"/>
      </w:r>
      <w:r w:rsidR="002D23F6">
        <w:t xml:space="preserve">  They go further to question the cost and effectiveness of the expansion of the anti-money laundering regime:</w:t>
      </w:r>
    </w:p>
    <w:p w:rsidR="002D23F6" w:rsidRDefault="002D23F6" w:rsidP="002D23F6">
      <w:pPr>
        <w:spacing w:before="240" w:line="360" w:lineRule="auto"/>
      </w:pPr>
      <w:r>
        <w:t>“</w:t>
      </w:r>
      <w:r>
        <w:rPr>
          <w:i/>
        </w:rPr>
        <w:t>… it is reasonable to ask just how much can be expected of governments and the private sector.  Constructing a zero-tolerance regime that was consistent with the smooth flow of finance would be costly and politically unacceptable.  At the margin, the broadly defined costs of extending the regime are not likely to be worth the modest reduction in money laundering and small contributions to ultimate goals to which such an extension would contribute.</w:t>
      </w:r>
      <w:r w:rsidRPr="00871F77">
        <w:t>”</w:t>
      </w:r>
      <w:r w:rsidR="00A514F8">
        <w:rPr>
          <w:rStyle w:val="FootnoteReference"/>
        </w:rPr>
        <w:footnoteReference w:id="89"/>
      </w:r>
    </w:p>
    <w:p w:rsidR="00F17B04" w:rsidRPr="00967AA0" w:rsidRDefault="002D23F6" w:rsidP="00FE5F35">
      <w:pPr>
        <w:spacing w:before="240" w:line="360" w:lineRule="auto"/>
      </w:pPr>
      <w:r>
        <w:t>Indeed t</w:t>
      </w:r>
      <w:r w:rsidR="007E779A">
        <w:t xml:space="preserve">he problems with the policies which manifest themselves in the regulations lie </w:t>
      </w:r>
      <w:r w:rsidR="00773137">
        <w:t xml:space="preserve">precisely </w:t>
      </w:r>
      <w:r w:rsidR="007E779A">
        <w:t xml:space="preserve">in </w:t>
      </w:r>
      <w:r w:rsidR="00773137">
        <w:t xml:space="preserve">the attempt to translate a rapidly expanding </w:t>
      </w:r>
      <w:r w:rsidR="00A514F8">
        <w:t>response</w:t>
      </w:r>
      <w:r w:rsidR="005F190A">
        <w:t xml:space="preserve"> to a series of ills</w:t>
      </w:r>
      <w:r w:rsidR="003954F9">
        <w:t>, as shown on the T</w:t>
      </w:r>
      <w:r w:rsidR="00773137">
        <w:t>imeline,</w:t>
      </w:r>
      <w:r w:rsidR="007E779A">
        <w:t xml:space="preserve"> </w:t>
      </w:r>
      <w:r w:rsidR="00773137">
        <w:t xml:space="preserve">into </w:t>
      </w:r>
      <w:r w:rsidR="00BD64E6">
        <w:t xml:space="preserve">proportionate and </w:t>
      </w:r>
      <w:r w:rsidR="00773137">
        <w:t>effective procedure</w:t>
      </w:r>
      <w:r w:rsidR="007E779A">
        <w:t>.  The driving force behind the regulations seems to be a desire for intelligence</w:t>
      </w:r>
      <w:r w:rsidR="00E36821">
        <w:t>;</w:t>
      </w:r>
      <w:r w:rsidR="007E779A">
        <w:rPr>
          <w:rStyle w:val="FootnoteReference"/>
        </w:rPr>
        <w:footnoteReference w:id="90"/>
      </w:r>
      <w:r w:rsidR="007E779A">
        <w:t xml:space="preserve"> a need to </w:t>
      </w:r>
      <w:r w:rsidR="00AB715E">
        <w:t xml:space="preserve">gather, </w:t>
      </w:r>
      <w:r w:rsidR="007E779A">
        <w:t xml:space="preserve">hold, store and share information which can be used in </w:t>
      </w:r>
      <w:r w:rsidR="00E6695F">
        <w:t>creating such a “zero-tolerance regime”</w:t>
      </w:r>
      <w:r w:rsidR="00E36821">
        <w:t>.</w:t>
      </w:r>
      <w:r w:rsidR="007E779A">
        <w:rPr>
          <w:rStyle w:val="FootnoteReference"/>
        </w:rPr>
        <w:footnoteReference w:id="91"/>
      </w:r>
      <w:r w:rsidR="007E779A">
        <w:t xml:space="preserve">  </w:t>
      </w:r>
      <w:r w:rsidR="00F25535">
        <w:t xml:space="preserve">However, </w:t>
      </w:r>
      <w:r w:rsidR="00C53C6C">
        <w:t xml:space="preserve">increased </w:t>
      </w:r>
      <w:r w:rsidR="00E6695F">
        <w:t>intelligence cannot be achieved at zero cost</w:t>
      </w:r>
      <w:r w:rsidR="00773137">
        <w:t xml:space="preserve">.  </w:t>
      </w:r>
      <w:r w:rsidR="00F25535">
        <w:t>As discussed above and illustrated by our Timeline, t</w:t>
      </w:r>
      <w:r w:rsidR="00773137">
        <w:t xml:space="preserve">he increasing burden on the </w:t>
      </w:r>
      <w:r w:rsidR="00E6695F">
        <w:t>private sector in complying with regulations</w:t>
      </w:r>
      <w:r w:rsidR="00773137">
        <w:t xml:space="preserve"> </w:t>
      </w:r>
      <w:r w:rsidR="00F25535">
        <w:t xml:space="preserve">has been exacerbated by </w:t>
      </w:r>
      <w:r w:rsidR="00720213">
        <w:t xml:space="preserve">obligations </w:t>
      </w:r>
      <w:r w:rsidR="00F25535">
        <w:t xml:space="preserve">that </w:t>
      </w:r>
      <w:r w:rsidR="00720213">
        <w:t>are</w:t>
      </w:r>
      <w:r w:rsidR="00962609">
        <w:t>:</w:t>
      </w:r>
      <w:r w:rsidR="00720213">
        <w:t xml:space="preserve"> in part unnecessary or superfluous (such as controls over ownership and management); </w:t>
      </w:r>
      <w:r w:rsidR="005122F8">
        <w:t xml:space="preserve">certainly </w:t>
      </w:r>
      <w:r w:rsidR="00720213">
        <w:t>onerous in producing endless risk asses</w:t>
      </w:r>
      <w:r w:rsidR="00237A57">
        <w:t>sments and gathering and storing</w:t>
      </w:r>
      <w:r w:rsidR="00720213">
        <w:t xml:space="preserve"> information; and </w:t>
      </w:r>
      <w:r w:rsidR="009332D0">
        <w:t xml:space="preserve">subject to significant discretion </w:t>
      </w:r>
      <w:r w:rsidR="00720213">
        <w:t>in terms of interpretation and decision-making</w:t>
      </w:r>
      <w:r w:rsidR="005122F8">
        <w:t>.</w:t>
      </w:r>
    </w:p>
    <w:p w:rsidR="002B0229" w:rsidRDefault="00F25535" w:rsidP="009D4C31">
      <w:pPr>
        <w:spacing w:before="240" w:line="360" w:lineRule="auto"/>
        <w:rPr>
          <w:u w:val="single"/>
        </w:rPr>
      </w:pPr>
      <w:r>
        <w:t xml:space="preserve">Following the MLR 2007, Harvey suggested </w:t>
      </w:r>
      <w:r w:rsidR="008C682D">
        <w:t>that “</w:t>
      </w:r>
      <w:r w:rsidR="008C682D" w:rsidRPr="00193A9F">
        <w:rPr>
          <w:i/>
        </w:rPr>
        <w:t>the amount of regulation cannot continue to grow exponentially</w:t>
      </w:r>
      <w:r w:rsidR="008C682D">
        <w:t>”</w:t>
      </w:r>
      <w:r w:rsidR="008C682D">
        <w:rPr>
          <w:rStyle w:val="FootnoteReference"/>
        </w:rPr>
        <w:footnoteReference w:id="92"/>
      </w:r>
      <w:r w:rsidR="008C682D">
        <w:t xml:space="preserve"> however</w:t>
      </w:r>
      <w:r>
        <w:t>, as</w:t>
      </w:r>
      <w:r w:rsidR="008C682D">
        <w:t xml:space="preserve"> there is no sign of either a halt or a deceleration of the pace of growth, </w:t>
      </w:r>
      <w:r>
        <w:t xml:space="preserve">there appears, a decade later, to be continued reliance </w:t>
      </w:r>
      <w:r w:rsidR="008C682D">
        <w:t>on the “</w:t>
      </w:r>
      <w:r w:rsidR="008C682D" w:rsidRPr="00193A9F">
        <w:rPr>
          <w:i/>
        </w:rPr>
        <w:t>sheer hope that such blanket approach will in some way prove effective</w:t>
      </w:r>
      <w:r w:rsidR="008C682D">
        <w:t>”</w:t>
      </w:r>
      <w:r w:rsidR="00E36821">
        <w:t>.</w:t>
      </w:r>
      <w:r w:rsidR="008C682D">
        <w:rPr>
          <w:rStyle w:val="FootnoteReference"/>
        </w:rPr>
        <w:footnoteReference w:id="93"/>
      </w:r>
    </w:p>
    <w:p w:rsidR="00224E3A" w:rsidRPr="00E22E55" w:rsidRDefault="00224E3A" w:rsidP="00224E3A">
      <w:pPr>
        <w:spacing w:before="240" w:after="0" w:line="360" w:lineRule="auto"/>
        <w:rPr>
          <w:u w:val="single"/>
        </w:rPr>
      </w:pPr>
      <w:r w:rsidRPr="00E22E55">
        <w:rPr>
          <w:u w:val="single"/>
        </w:rPr>
        <w:t>Proportionality</w:t>
      </w:r>
    </w:p>
    <w:p w:rsidR="00962609" w:rsidRDefault="00224E3A" w:rsidP="00224E3A">
      <w:pPr>
        <w:spacing w:before="240" w:after="0" w:line="360" w:lineRule="auto"/>
      </w:pPr>
      <w:r>
        <w:t xml:space="preserve">Van Duyne </w:t>
      </w:r>
      <w:r w:rsidRPr="00AE6450">
        <w:rPr>
          <w:i/>
        </w:rPr>
        <w:t>et al</w:t>
      </w:r>
      <w:r>
        <w:t xml:space="preserve"> argue for a role for proportionality in regulatory policies relating to anti-money laundering</w:t>
      </w:r>
      <w:r w:rsidR="00AE6450">
        <w:t>.</w:t>
      </w:r>
      <w:r>
        <w:rPr>
          <w:rStyle w:val="FootnoteReference"/>
        </w:rPr>
        <w:footnoteReference w:id="94"/>
      </w:r>
      <w:r>
        <w:t xml:space="preserve"> </w:t>
      </w:r>
      <w:r w:rsidR="00AE6450">
        <w:t xml:space="preserve"> At the same time, </w:t>
      </w:r>
      <w:r>
        <w:t>there is no shortage of supportive rhetoric from policy-makers and standard-setters at UK, European and international level: 4MLD itself contains several references to proportionality, including an acknowledgement that “</w:t>
      </w:r>
      <w:r w:rsidRPr="003C4C2D">
        <w:rPr>
          <w:i/>
        </w:rPr>
        <w:t>the objectives of protecting society from crime and protecting the stability and integrity of the [European] Union's financial system should be balanced against the need to create a regulatory environment that allows companies to grow their businesses without incurring disproportionate compliance costs</w:t>
      </w:r>
      <w:r>
        <w:t>”</w:t>
      </w:r>
      <w:r w:rsidR="00AE6450">
        <w:t>.</w:t>
      </w:r>
      <w:r>
        <w:rPr>
          <w:rStyle w:val="FootnoteReference"/>
        </w:rPr>
        <w:footnoteReference w:id="95"/>
      </w:r>
      <w:r>
        <w:t xml:space="preserve"> </w:t>
      </w:r>
      <w:r w:rsidR="00AE6450">
        <w:t xml:space="preserve"> </w:t>
      </w:r>
      <w:r>
        <w:t>HM Treasury’s Action Plan for anti-money laundering and counter-terrorist finance tells us that the UK government will ensure that “</w:t>
      </w:r>
      <w:r>
        <w:rPr>
          <w:i/>
        </w:rPr>
        <w:t>any additional burdens placed on businesses and individuals are targeted, proportionate and justified by evidence of significant need</w:t>
      </w:r>
      <w:r>
        <w:t>”</w:t>
      </w:r>
      <w:r w:rsidR="00AE6450">
        <w:t>.</w:t>
      </w:r>
      <w:r>
        <w:rPr>
          <w:rStyle w:val="FootnoteReference"/>
        </w:rPr>
        <w:footnoteReference w:id="96"/>
      </w:r>
      <w:r>
        <w:t xml:space="preserve">  Nevertheless, the high-level nod to proportionality is overridden by the desire to stop the immeasurable threat of money laundering and, furthermore, can become somewhat lost in translati</w:t>
      </w:r>
      <w:r w:rsidR="00962609">
        <w:t xml:space="preserve">on </w:t>
      </w:r>
      <w:r w:rsidR="00561C2E">
        <w:t>in the zeal for compliance as provisions make their way through the layers of policy and regulation shown on the Timeline</w:t>
      </w:r>
      <w:r w:rsidR="00962609">
        <w:t>.</w:t>
      </w:r>
    </w:p>
    <w:p w:rsidR="0020406A" w:rsidRDefault="0020406A" w:rsidP="0020406A">
      <w:pPr>
        <w:spacing w:before="240" w:after="0" w:line="360" w:lineRule="auto"/>
      </w:pPr>
      <w:r>
        <w:rPr>
          <w:i/>
        </w:rPr>
        <w:t>Layers</w:t>
      </w:r>
    </w:p>
    <w:p w:rsidR="006E251A" w:rsidRPr="00C8768E" w:rsidRDefault="006E251A" w:rsidP="006E251A">
      <w:pPr>
        <w:spacing w:before="240" w:after="0" w:line="360" w:lineRule="auto"/>
      </w:pPr>
      <w:r>
        <w:t xml:space="preserve">The layers of compliance serve to diminish the effect of the rhetoric of proportionality by the time the end-user is reached.  As is clear from the Timeline, there is a gap of </w:t>
      </w:r>
      <w:r w:rsidR="00AE6450">
        <w:t xml:space="preserve">several </w:t>
      </w:r>
      <w:r>
        <w:t xml:space="preserve">years between the </w:t>
      </w:r>
      <w:r w:rsidR="00E64F56">
        <w:t>publication of FATF R</w:t>
      </w:r>
      <w:r>
        <w:t>ecommendations to national implementation of the latest standards via money laundering regulations within the regulated sector, and in the meantime the policies must travel down the chain via the European Union, national government and the relevant supervisory bodies.  Perhaps a result of this time and distance between policy determination and regulated sector end-users, at the initial inception of the policy, there is no real incentive for FATF to focus on proportionate implementation of standards and policies, as its high-level objectives focus upon threats to “the international financial system”</w:t>
      </w:r>
      <w:r w:rsidR="0079111E">
        <w:t>.</w:t>
      </w:r>
      <w:r>
        <w:rPr>
          <w:rStyle w:val="FootnoteReference"/>
        </w:rPr>
        <w:footnoteReference w:id="97"/>
      </w:r>
      <w:r>
        <w:t xml:space="preserve">  At the next level on the Timeline, the European Union aspires to proportionality through its directives</w:t>
      </w:r>
      <w:r w:rsidR="00051F28">
        <w:t>,</w:t>
      </w:r>
      <w:r>
        <w:rPr>
          <w:rStyle w:val="FootnoteReference"/>
        </w:rPr>
        <w:footnoteReference w:id="98"/>
      </w:r>
      <w:r>
        <w:t xml:space="preserve"> but it is also driven to address the risks identified in its EU-level supranational risk assessment</w:t>
      </w:r>
      <w:r w:rsidR="000E71F9">
        <w:t>.</w:t>
      </w:r>
      <w:r>
        <w:rPr>
          <w:rStyle w:val="FootnoteReference"/>
        </w:rPr>
        <w:footnoteReference w:id="99"/>
      </w:r>
      <w:r>
        <w:t xml:space="preserve">  Down one further layer, at national level, the ability of the UK government </w:t>
      </w:r>
      <w:r w:rsidR="0079111E">
        <w:t xml:space="preserve">to be proportionate in its </w:t>
      </w:r>
      <w:r>
        <w:t>response is determined in large part by the evaluation of its compliance by FATF,</w:t>
      </w:r>
      <w:r>
        <w:rPr>
          <w:rStyle w:val="FootnoteReference"/>
        </w:rPr>
        <w:footnoteReference w:id="100"/>
      </w:r>
      <w:r>
        <w:t xml:space="preserve"> which, subjective and variable</w:t>
      </w:r>
      <w:r w:rsidR="000E71F9">
        <w:t>,</w:t>
      </w:r>
      <w:r>
        <w:rPr>
          <w:rStyle w:val="FootnoteReference"/>
        </w:rPr>
        <w:footnoteReference w:id="101"/>
      </w:r>
      <w:r>
        <w:t xml:space="preserve"> is impossible to predict.  At supervisory level</w:t>
      </w:r>
      <w:r w:rsidR="000E71F9">
        <w:t>,</w:t>
      </w:r>
      <w:r>
        <w:rPr>
          <w:rStyle w:val="FootnoteReference"/>
        </w:rPr>
        <w:footnoteReference w:id="102"/>
      </w:r>
      <w:r>
        <w:t xml:space="preserve"> proportionality is tempered by an obligation to ensure compliance</w:t>
      </w:r>
      <w:r w:rsidR="000E71F9">
        <w:t>;</w:t>
      </w:r>
      <w:r>
        <w:rPr>
          <w:rStyle w:val="FootnoteReference"/>
        </w:rPr>
        <w:footnoteReference w:id="103"/>
      </w:r>
      <w:r>
        <w:t xml:space="preserve"> and among the regulated sector is virtually impossible to achieve as a consequence of being at the lowest level, bearing the ultimate burden of discretion </w:t>
      </w:r>
      <w:r w:rsidR="0079111E">
        <w:t xml:space="preserve">further </w:t>
      </w:r>
      <w:r>
        <w:t>discussed below.</w:t>
      </w:r>
    </w:p>
    <w:p w:rsidR="00674A41" w:rsidRDefault="00E969EC" w:rsidP="00224E3A">
      <w:pPr>
        <w:spacing w:before="240" w:after="0" w:line="360" w:lineRule="auto"/>
      </w:pPr>
      <w:r>
        <w:t>So t</w:t>
      </w:r>
      <w:r w:rsidR="006E251A">
        <w:t>he “</w:t>
      </w:r>
      <w:r w:rsidR="006E251A" w:rsidRPr="000D3385">
        <w:rPr>
          <w:i/>
        </w:rPr>
        <w:t>operationalisation</w:t>
      </w:r>
      <w:r w:rsidR="006E251A">
        <w:t>” of the concept of proportionality may require examination of policy</w:t>
      </w:r>
      <w:r w:rsidR="0079111E">
        <w:t>,</w:t>
      </w:r>
      <w:r w:rsidR="006E251A">
        <w:t xml:space="preserve"> element by element,</w:t>
      </w:r>
      <w:r w:rsidR="006E251A">
        <w:rPr>
          <w:rStyle w:val="FootnoteReference"/>
        </w:rPr>
        <w:footnoteReference w:id="104"/>
      </w:r>
      <w:r w:rsidR="006E251A">
        <w:t xml:space="preserve"> </w:t>
      </w:r>
      <w:r>
        <w:t xml:space="preserve">but </w:t>
      </w:r>
      <w:r w:rsidR="006E251A">
        <w:t xml:space="preserve">this exercise is </w:t>
      </w:r>
      <w:r>
        <w:t xml:space="preserve">complicated </w:t>
      </w:r>
      <w:r w:rsidR="006E251A">
        <w:t xml:space="preserve">by the journey each element must make from initial high-level determination to practical implementation.  </w:t>
      </w:r>
      <w:r w:rsidR="00967AA0">
        <w:t>In the case of restrictions on ownership and management of a relevant firm</w:t>
      </w:r>
      <w:r w:rsidR="00967AA0">
        <w:rPr>
          <w:rStyle w:val="FootnoteReference"/>
        </w:rPr>
        <w:footnoteReference w:id="105"/>
      </w:r>
      <w:r w:rsidR="00967AA0">
        <w:t xml:space="preserve"> outlined above, </w:t>
      </w:r>
      <w:r w:rsidR="005122F8">
        <w:t xml:space="preserve">for example, </w:t>
      </w:r>
      <w:r w:rsidR="00967AA0">
        <w:t xml:space="preserve">the high-level </w:t>
      </w:r>
      <w:r w:rsidR="00C81F64">
        <w:t>language is seemingly straightforward and uncontroversial</w:t>
      </w:r>
      <w:r w:rsidR="002C1FB8">
        <w:t>, requiring a supervisor to</w:t>
      </w:r>
      <w:r w:rsidR="00674A41">
        <w:t>:</w:t>
      </w:r>
    </w:p>
    <w:p w:rsidR="002C1FB8" w:rsidRPr="002C1FB8" w:rsidRDefault="002C1FB8" w:rsidP="002C1FB8">
      <w:pPr>
        <w:spacing w:before="240" w:after="0" w:line="360" w:lineRule="auto"/>
      </w:pPr>
      <w:r>
        <w:t>“</w:t>
      </w:r>
      <w:r>
        <w:rPr>
          <w:i/>
        </w:rPr>
        <w:t xml:space="preserve">… </w:t>
      </w:r>
      <w:r w:rsidRPr="002C1FB8">
        <w:rPr>
          <w:i/>
        </w:rPr>
        <w:t>take the necessary measures to prevent criminals or their associates from being professionally accredited, or holding or being the beneficial owner of a significant or controlling interest or holding a management function, e.g. through evaluating persons on the basis of a “fit and proper” test</w:t>
      </w:r>
      <w:r>
        <w:rPr>
          <w:i/>
        </w:rPr>
        <w:t xml:space="preserve"> …</w:t>
      </w:r>
      <w:r>
        <w:t>”</w:t>
      </w:r>
      <w:r>
        <w:rPr>
          <w:rStyle w:val="FootnoteReference"/>
        </w:rPr>
        <w:footnoteReference w:id="106"/>
      </w:r>
    </w:p>
    <w:p w:rsidR="00674A41" w:rsidRPr="00FA7B9F" w:rsidRDefault="005122F8" w:rsidP="00224E3A">
      <w:pPr>
        <w:spacing w:before="240" w:after="0" w:line="360" w:lineRule="auto"/>
      </w:pPr>
      <w:r>
        <w:t xml:space="preserve">Despite the flexibility the European Union </w:t>
      </w:r>
      <w:r w:rsidR="00B43111">
        <w:t>has in adopting this recommendation</w:t>
      </w:r>
      <w:r>
        <w:rPr>
          <w:rStyle w:val="FootnoteReference"/>
        </w:rPr>
        <w:footnoteReference w:id="107"/>
      </w:r>
      <w:r>
        <w:t>, in 4MLD this becomes</w:t>
      </w:r>
      <w:r w:rsidR="00B43111">
        <w:t xml:space="preserve"> simply</w:t>
      </w:r>
      <w:r w:rsidR="00FA7B9F">
        <w:t>:</w:t>
      </w:r>
      <w:r w:rsidR="00FA7B9F">
        <w:br/>
      </w:r>
      <w:r w:rsidR="00FA7B9F">
        <w:br/>
      </w:r>
      <w:r w:rsidR="00FA7B9F" w:rsidRPr="00FA7B9F">
        <w:t>“</w:t>
      </w:r>
      <w:r w:rsidR="00674A41">
        <w:rPr>
          <w:i/>
        </w:rPr>
        <w:t>… Member States shall ensure that competent authorities take the necessary measures to prevent criminals convicted in relevant areas or their associates from holding a management fu</w:t>
      </w:r>
      <w:r w:rsidR="002C1FB8">
        <w:rPr>
          <w:i/>
        </w:rPr>
        <w:t>n</w:t>
      </w:r>
      <w:r w:rsidR="00674A41">
        <w:rPr>
          <w:i/>
        </w:rPr>
        <w:t>ction in or being the beneficial owners of those obliged entities.”</w:t>
      </w:r>
      <w:r w:rsidR="00674A41">
        <w:rPr>
          <w:rStyle w:val="FootnoteReference"/>
          <w:i/>
        </w:rPr>
        <w:footnoteReference w:id="108"/>
      </w:r>
    </w:p>
    <w:p w:rsidR="00FD3565" w:rsidRDefault="00ED147B" w:rsidP="00224E3A">
      <w:pPr>
        <w:spacing w:before="240" w:after="0" w:line="360" w:lineRule="auto"/>
      </w:pPr>
      <w:r>
        <w:t>A</w:t>
      </w:r>
      <w:r w:rsidR="005122F8">
        <w:t>t national level,</w:t>
      </w:r>
      <w:r w:rsidR="00FA7B9F">
        <w:t xml:space="preserve"> </w:t>
      </w:r>
      <w:r>
        <w:t xml:space="preserve">the </w:t>
      </w:r>
      <w:r w:rsidR="006908AB">
        <w:t>MLR 2017 in turn adopt</w:t>
      </w:r>
      <w:r w:rsidR="00FA7B9F">
        <w:t xml:space="preserve"> this provision as:</w:t>
      </w:r>
    </w:p>
    <w:p w:rsidR="00FA7B9F" w:rsidRPr="00FA7B9F" w:rsidRDefault="00FA7B9F" w:rsidP="00224E3A">
      <w:pPr>
        <w:spacing w:before="240" w:after="0" w:line="360" w:lineRule="auto"/>
      </w:pPr>
      <w:r>
        <w:t>“</w:t>
      </w:r>
      <w:r>
        <w:rPr>
          <w:i/>
        </w:rPr>
        <w:t>No person may be the beneficial owner, officer of manager of a firm … unless that person has been approved … by the supervisory authority …</w:t>
      </w:r>
      <w:r>
        <w:t>”</w:t>
      </w:r>
      <w:r>
        <w:rPr>
          <w:rStyle w:val="FootnoteReference"/>
        </w:rPr>
        <w:footnoteReference w:id="109"/>
      </w:r>
    </w:p>
    <w:p w:rsidR="0020406A" w:rsidRDefault="005122F8" w:rsidP="00E969EC">
      <w:pPr>
        <w:spacing w:before="240" w:after="0" w:line="360" w:lineRule="auto"/>
        <w:rPr>
          <w:i/>
        </w:rPr>
      </w:pPr>
      <w:r>
        <w:t>Consequently</w:t>
      </w:r>
      <w:r w:rsidR="002E7C69">
        <w:t>,</w:t>
      </w:r>
      <w:r>
        <w:t xml:space="preserve"> </w:t>
      </w:r>
      <w:r w:rsidR="00FA7B9F">
        <w:t xml:space="preserve">the </w:t>
      </w:r>
      <w:r w:rsidR="00FA7B9F" w:rsidRPr="005122F8">
        <w:t>recommendation</w:t>
      </w:r>
      <w:r w:rsidR="00FA7B9F">
        <w:t xml:space="preserve"> that criminal ownership and management of a “</w:t>
      </w:r>
      <w:r w:rsidR="00FA7B9F" w:rsidRPr="00FA7B9F">
        <w:rPr>
          <w:i/>
        </w:rPr>
        <w:t>designated non-financial businesses and professions</w:t>
      </w:r>
      <w:r w:rsidR="00FA7B9F">
        <w:t>”</w:t>
      </w:r>
      <w:r w:rsidR="00FA7B9F">
        <w:rPr>
          <w:rStyle w:val="FootnoteReference"/>
        </w:rPr>
        <w:footnoteReference w:id="110"/>
      </w:r>
      <w:r w:rsidR="00FA7B9F">
        <w:t xml:space="preserve"> should be prevented becomes an obligation on Member States to ensure action by competent authorities</w:t>
      </w:r>
      <w:r w:rsidR="0079111E">
        <w:t>.  This</w:t>
      </w:r>
      <w:r w:rsidR="00FA7B9F">
        <w:t xml:space="preserve"> becomes a</w:t>
      </w:r>
      <w:r w:rsidR="00BD11AE">
        <w:t xml:space="preserve"> requirement via MLR 2017 for a relevant firm to seek approval from the relevant supervisory authority.  In practice, this means that a </w:t>
      </w:r>
      <w:r w:rsidR="009570AE">
        <w:t>relevant person</w:t>
      </w:r>
      <w:r w:rsidR="00BD11AE">
        <w:t xml:space="preserve">, </w:t>
      </w:r>
      <w:r w:rsidR="0020406A">
        <w:t xml:space="preserve">who is </w:t>
      </w:r>
      <w:r w:rsidR="00BD11AE">
        <w:t xml:space="preserve">already </w:t>
      </w:r>
      <w:r w:rsidR="009570AE">
        <w:t xml:space="preserve">likely to be subject to some kind of </w:t>
      </w:r>
      <w:r w:rsidR="007938E2">
        <w:t xml:space="preserve">suitability </w:t>
      </w:r>
      <w:r w:rsidR="009570AE">
        <w:t>test</w:t>
      </w:r>
      <w:r w:rsidR="0079111E">
        <w:t>,</w:t>
      </w:r>
      <w:r w:rsidR="009570AE">
        <w:rPr>
          <w:rStyle w:val="FootnoteReference"/>
        </w:rPr>
        <w:footnoteReference w:id="111"/>
      </w:r>
      <w:r w:rsidR="009570AE">
        <w:t xml:space="preserve"> now has a dual obligation to meet a single criterion,</w:t>
      </w:r>
      <w:r w:rsidR="009570AE">
        <w:rPr>
          <w:rStyle w:val="FootnoteReference"/>
        </w:rPr>
        <w:footnoteReference w:id="112"/>
      </w:r>
      <w:r w:rsidR="009570AE">
        <w:t xml:space="preserve"> even if it not the intention </w:t>
      </w:r>
      <w:r>
        <w:t xml:space="preserve">or an inevitable consequence </w:t>
      </w:r>
      <w:r w:rsidR="009570AE">
        <w:t xml:space="preserve">of the </w:t>
      </w:r>
      <w:r w:rsidR="007D4BB2">
        <w:t xml:space="preserve">initial </w:t>
      </w:r>
      <w:r w:rsidR="009570AE">
        <w:t xml:space="preserve">recommendation to create a </w:t>
      </w:r>
      <w:r>
        <w:t xml:space="preserve">disproportionate </w:t>
      </w:r>
      <w:r w:rsidR="009570AE">
        <w:t>layer of compliance.</w:t>
      </w:r>
      <w:r w:rsidR="006E251A">
        <w:t xml:space="preserve">  </w:t>
      </w:r>
      <w:r w:rsidR="0020406A">
        <w:t xml:space="preserve">Opportunities to exercise discretion higher up the chain may lose their value where it is not possible to “operationalise” specific policies until the final layer of the process </w:t>
      </w:r>
      <w:r w:rsidR="0079111E">
        <w:t xml:space="preserve">at which point </w:t>
      </w:r>
      <w:r w:rsidR="0020406A">
        <w:t>the provisions must be tailored to</w:t>
      </w:r>
      <w:r w:rsidR="006E251A">
        <w:t xml:space="preserve"> individual regulated persons.  The burdensome and disproportionate effect on the private sector is therefore in part a consequence of being the final link in the chain of standard-setting, policy-making, drafting and risk-assessing, and is partially attributable to the discretion of the operation </w:t>
      </w:r>
      <w:r w:rsidR="0079111E">
        <w:t xml:space="preserve">that is </w:t>
      </w:r>
      <w:r w:rsidR="006E251A">
        <w:t>left to the end-user.</w:t>
      </w:r>
    </w:p>
    <w:p w:rsidR="00224E3A" w:rsidRDefault="00224E3A" w:rsidP="00224E3A">
      <w:pPr>
        <w:spacing w:before="240" w:after="0" w:line="360" w:lineRule="auto"/>
        <w:rPr>
          <w:i/>
        </w:rPr>
      </w:pPr>
      <w:r>
        <w:rPr>
          <w:i/>
        </w:rPr>
        <w:t>Discretion</w:t>
      </w:r>
    </w:p>
    <w:p w:rsidR="00224E3A" w:rsidRDefault="007D4BB2" w:rsidP="00224E3A">
      <w:pPr>
        <w:spacing w:before="240" w:after="0" w:line="360" w:lineRule="auto"/>
      </w:pPr>
      <w:r>
        <w:t>Given that, u</w:t>
      </w:r>
      <w:r w:rsidR="00224E3A">
        <w:t xml:space="preserve">nder </w:t>
      </w:r>
      <w:r w:rsidR="002E7C69">
        <w:t xml:space="preserve">the </w:t>
      </w:r>
      <w:r w:rsidR="00224E3A">
        <w:t xml:space="preserve">MLR 2017, </w:t>
      </w:r>
      <w:r>
        <w:t>it is among the private sector actors that discretion under the MLR 2017 must predominantly be exercised</w:t>
      </w:r>
      <w:r w:rsidR="0079111E">
        <w:t>,</w:t>
      </w:r>
      <w:r>
        <w:rPr>
          <w:rStyle w:val="FootnoteReference"/>
        </w:rPr>
        <w:footnoteReference w:id="113"/>
      </w:r>
      <w:r>
        <w:t xml:space="preserve"> it becomes paramount that </w:t>
      </w:r>
      <w:r w:rsidR="00224E3A">
        <w:t>it is predominantly the private sector players who must comply with regulation or face repr</w:t>
      </w:r>
      <w:r>
        <w:t>imand, censure or imprisonment.</w:t>
      </w:r>
    </w:p>
    <w:p w:rsidR="00224E3A" w:rsidRDefault="002E7C69" w:rsidP="00224E3A">
      <w:pPr>
        <w:spacing w:before="240" w:after="0" w:line="360" w:lineRule="auto"/>
        <w:rPr>
          <w:i/>
        </w:rPr>
      </w:pPr>
      <w:r>
        <w:t xml:space="preserve">Discretion is found, for example, </w:t>
      </w:r>
      <w:r w:rsidR="00224E3A">
        <w:t>in the steps to be undertaken to determine beneficial ownership using “</w:t>
      </w:r>
      <w:r w:rsidR="00224E3A" w:rsidRPr="007868B2">
        <w:rPr>
          <w:i/>
        </w:rPr>
        <w:t>reasonable measures</w:t>
      </w:r>
      <w:r w:rsidR="00224E3A">
        <w:t>”.  The requirement to take “</w:t>
      </w:r>
      <w:r w:rsidR="00224E3A" w:rsidRPr="00235C1C">
        <w:rPr>
          <w:i/>
        </w:rPr>
        <w:t>reasonable measures</w:t>
      </w:r>
      <w:r w:rsidR="00224E3A">
        <w:t>” gives rise to some ambiguity about exactly what steps a relevant person would be required to undertake to comply with this provision, in particular given that reliance on public registers is deemed inadequate</w:t>
      </w:r>
      <w:r w:rsidR="0079111E">
        <w:t>.</w:t>
      </w:r>
      <w:r w:rsidR="00224E3A">
        <w:rPr>
          <w:rStyle w:val="FootnoteReference"/>
        </w:rPr>
        <w:footnoteReference w:id="114"/>
      </w:r>
      <w:r w:rsidR="00224E3A">
        <w:t xml:space="preserve">  While some discretion for the relevant person </w:t>
      </w:r>
      <w:r w:rsidR="007D4BB2">
        <w:t>helps to avoid rigid obligations</w:t>
      </w:r>
      <w:r w:rsidR="00224E3A">
        <w:t>, it brings with it an onerous burden on the relevant person in determining whether or not they would be deemed compliant with the provision.  This could lead to a relevant person refusing to act where a beneficial owner</w:t>
      </w:r>
      <w:r w:rsidR="001975A4">
        <w:t xml:space="preserve"> cannot be identified, </w:t>
      </w:r>
      <w:r w:rsidR="00224E3A">
        <w:t>though in fact the act allows the relevant person to treat the senior person in the body corporate responsible for managing it as its beneficial owner</w:t>
      </w:r>
      <w:r w:rsidR="001975A4">
        <w:t>.</w:t>
      </w:r>
      <w:r w:rsidR="00224E3A">
        <w:rPr>
          <w:rStyle w:val="FootnoteReference"/>
        </w:rPr>
        <w:footnoteReference w:id="115"/>
      </w:r>
      <w:r w:rsidR="001975A4">
        <w:t xml:space="preserve">  Similarly, </w:t>
      </w:r>
      <w:r w:rsidR="00224E3A">
        <w:t xml:space="preserve">a relevant person </w:t>
      </w:r>
      <w:r w:rsidR="001975A4">
        <w:t xml:space="preserve">might feel </w:t>
      </w:r>
      <w:r w:rsidR="00224E3A">
        <w:t xml:space="preserve">obliged to take protective measures by undertaking the onerous task of documenting thoroughly steps taken to identify a beneficial owner and reasons why this has not been possible.  </w:t>
      </w:r>
      <w:r w:rsidR="001975A4">
        <w:t>As previously mentioned, d</w:t>
      </w:r>
      <w:r w:rsidR="00224E3A">
        <w:t xml:space="preserve">iscretionary provisions </w:t>
      </w:r>
      <w:r w:rsidR="00224E3A" w:rsidRPr="003E1D0E">
        <w:t xml:space="preserve">also </w:t>
      </w:r>
      <w:r w:rsidR="00224E3A">
        <w:t xml:space="preserve">impose an element of </w:t>
      </w:r>
      <w:r w:rsidR="00224E3A" w:rsidRPr="003E1D0E">
        <w:t xml:space="preserve">policing </w:t>
      </w:r>
      <w:r w:rsidR="00224E3A">
        <w:t xml:space="preserve">upon </w:t>
      </w:r>
      <w:r w:rsidR="00224E3A" w:rsidRPr="003E1D0E">
        <w:t>the regulated sector</w:t>
      </w:r>
      <w:r w:rsidR="00224E3A">
        <w:t>, for example</w:t>
      </w:r>
      <w:r w:rsidR="00224E3A" w:rsidRPr="003E1D0E">
        <w:t xml:space="preserve"> in determining whether information disclosed by clients is correct or otherwise</w:t>
      </w:r>
      <w:r w:rsidR="00224E3A">
        <w:t xml:space="preserve">, which </w:t>
      </w:r>
      <w:r w:rsidR="001975A4">
        <w:t>may or may not be effective.  I</w:t>
      </w:r>
      <w:r w:rsidR="007D4BB2">
        <w:t xml:space="preserve">n </w:t>
      </w:r>
      <w:r w:rsidR="001975A4">
        <w:t xml:space="preserve">such </w:t>
      </w:r>
      <w:r w:rsidR="007D4BB2">
        <w:t xml:space="preserve">cases, </w:t>
      </w:r>
      <w:r w:rsidR="00224E3A">
        <w:t>there is no reason to suppose that corporate bodies would necessarily provide more accurate information to a regulated person upon request than to a public register</w:t>
      </w:r>
      <w:r w:rsidR="00224E3A" w:rsidRPr="003E1D0E">
        <w:t>.</w:t>
      </w:r>
    </w:p>
    <w:p w:rsidR="00224E3A" w:rsidRDefault="002E7C69" w:rsidP="00224E3A">
      <w:pPr>
        <w:spacing w:before="240" w:after="0" w:line="360" w:lineRule="auto"/>
      </w:pPr>
      <w:r>
        <w:t>The MLR 2017 also in</w:t>
      </w:r>
      <w:r w:rsidR="006908AB">
        <w:t>clude</w:t>
      </w:r>
      <w:r>
        <w:t xml:space="preserve"> </w:t>
      </w:r>
      <w:r w:rsidR="00224E3A">
        <w:t>a requirement for a relevant person to take account of its risk assessment (discussed above) and its assessment of the risk of the particular case</w:t>
      </w:r>
      <w:r w:rsidR="00224E3A">
        <w:rPr>
          <w:rStyle w:val="FootnoteReference"/>
        </w:rPr>
        <w:footnoteReference w:id="116"/>
      </w:r>
      <w:r w:rsidR="00224E3A">
        <w:t xml:space="preserve"> on the basis of </w:t>
      </w:r>
      <w:r w:rsidR="001975A4">
        <w:t xml:space="preserve">a range of factors.  These include, amongst others, </w:t>
      </w:r>
      <w:r w:rsidR="00224E3A">
        <w:t>the “</w:t>
      </w:r>
      <w:r w:rsidR="00224E3A" w:rsidRPr="00557EE2">
        <w:rPr>
          <w:i/>
        </w:rPr>
        <w:t>purpose of the account, transaction or business relationship</w:t>
      </w:r>
      <w:r w:rsidR="00224E3A">
        <w:t>”</w:t>
      </w:r>
      <w:r w:rsidR="003558D8">
        <w:t>,</w:t>
      </w:r>
      <w:r w:rsidR="00224E3A">
        <w:rPr>
          <w:rStyle w:val="FootnoteReference"/>
        </w:rPr>
        <w:footnoteReference w:id="117"/>
      </w:r>
      <w:r w:rsidR="00EE3F3E">
        <w:t xml:space="preserve"> the level of assets to be deposited or</w:t>
      </w:r>
      <w:r w:rsidR="00224E3A">
        <w:t xml:space="preserve"> size of the transaction</w:t>
      </w:r>
      <w:r w:rsidR="00224E3A">
        <w:rPr>
          <w:rStyle w:val="FootnoteReference"/>
        </w:rPr>
        <w:footnoteReference w:id="118"/>
      </w:r>
      <w:r w:rsidR="00224E3A">
        <w:t xml:space="preserve"> and the regularity and duration of the business relationship</w:t>
      </w:r>
      <w:r w:rsidR="001975A4">
        <w:t>.</w:t>
      </w:r>
      <w:r w:rsidR="00224E3A">
        <w:rPr>
          <w:rStyle w:val="FootnoteReference"/>
        </w:rPr>
        <w:footnoteReference w:id="119"/>
      </w:r>
      <w:r w:rsidR="00224E3A">
        <w:t xml:space="preserve"> </w:t>
      </w:r>
      <w:r w:rsidR="001975A4">
        <w:t xml:space="preserve"> </w:t>
      </w:r>
      <w:r w:rsidR="00224E3A">
        <w:t>This assessment, whilst seemingly logical, is another imposition on the relevant persons, who are, in addition to undertaking the customer due diligence checks</w:t>
      </w:r>
      <w:r w:rsidR="00224E3A">
        <w:rPr>
          <w:rStyle w:val="FootnoteReference"/>
        </w:rPr>
        <w:footnoteReference w:id="120"/>
      </w:r>
      <w:r w:rsidR="00224E3A">
        <w:t xml:space="preserve"> and keeping records</w:t>
      </w:r>
      <w:r w:rsidR="001975A4">
        <w:t>,</w:t>
      </w:r>
      <w:r w:rsidR="00224E3A">
        <w:rPr>
          <w:rStyle w:val="FootnoteReference"/>
        </w:rPr>
        <w:footnoteReference w:id="121"/>
      </w:r>
      <w:r w:rsidR="00224E3A">
        <w:t xml:space="preserve"> required to exercise judgment as to the level of enquiry required, with the threat of non-compliance in the background.</w:t>
      </w:r>
    </w:p>
    <w:p w:rsidR="00224E3A" w:rsidRDefault="00224E3A" w:rsidP="00224E3A">
      <w:pPr>
        <w:spacing w:before="240" w:after="0" w:line="360" w:lineRule="auto"/>
        <w:rPr>
          <w:i/>
        </w:rPr>
      </w:pPr>
      <w:r>
        <w:t xml:space="preserve">It is easy to see that proportionality via “discretion” would appeal to policy-makers </w:t>
      </w:r>
      <w:r w:rsidR="007D4BB2">
        <w:t xml:space="preserve">at each level </w:t>
      </w:r>
      <w:r>
        <w:t>and yet feel less than satisfactory to end-users</w:t>
      </w:r>
      <w:r w:rsidR="007D4BB2">
        <w:t xml:space="preserve"> </w:t>
      </w:r>
      <w:r w:rsidR="001975A4">
        <w:t xml:space="preserve">who find themselves with </w:t>
      </w:r>
      <w:r w:rsidR="007D4BB2">
        <w:t>no-one below to whom the decision may be transferred</w:t>
      </w:r>
      <w:r>
        <w:t>.  As was true for the MLR 2007, the MLR 2017 may be breached by failure to comply with its terms without any regard to whether money laundering has or has not taken place.  The inevitable consequence of this is that relevant persons must strive to achieve compliance at all costs and are unlikely to welcome any discretion contained within the legislation.  Where there is discretion, the relevant person will look to its sector guidance, and where that guidance is unavailable (for example as a result of delays</w:t>
      </w:r>
      <w:r>
        <w:rPr>
          <w:rStyle w:val="FootnoteReference"/>
        </w:rPr>
        <w:footnoteReference w:id="122"/>
      </w:r>
      <w:r>
        <w:t>), unclear or ambiguous, a relevant person could be forgiven for erring on the side of caution</w:t>
      </w:r>
      <w:r w:rsidR="00AC2CC6">
        <w:t>, perhaps reflected in the steep increase in “DAML SARS”</w:t>
      </w:r>
      <w:r w:rsidR="00AC2CC6">
        <w:rPr>
          <w:rStyle w:val="FootnoteReference"/>
        </w:rPr>
        <w:footnoteReference w:id="123"/>
      </w:r>
      <w:r w:rsidR="00AC2CC6">
        <w:t xml:space="preserve"> recorded by the NCA</w:t>
      </w:r>
      <w:r w:rsidR="001975A4">
        <w:t>.</w:t>
      </w:r>
      <w:r w:rsidR="00AC2CC6">
        <w:rPr>
          <w:rStyle w:val="FootnoteReference"/>
        </w:rPr>
        <w:footnoteReference w:id="124"/>
      </w:r>
      <w:r>
        <w:t xml:space="preserve">  As global anti-money laundering spending on compliance grows at a rate of almost 9% per annum</w:t>
      </w:r>
      <w:r>
        <w:rPr>
          <w:rStyle w:val="FootnoteReference"/>
        </w:rPr>
        <w:footnoteReference w:id="125"/>
      </w:r>
      <w:r>
        <w:t xml:space="preserve"> and regulatory censure </w:t>
      </w:r>
      <w:r w:rsidR="008F1C4C">
        <w:t>for failure to comply with anti-money laundering regulations receives press coverage</w:t>
      </w:r>
      <w:r>
        <w:rPr>
          <w:rStyle w:val="FootnoteReference"/>
        </w:rPr>
        <w:footnoteReference w:id="126"/>
      </w:r>
      <w:r>
        <w:t xml:space="preserve"> </w:t>
      </w:r>
      <w:r w:rsidRPr="00C545AD">
        <w:t>it</w:t>
      </w:r>
      <w:r>
        <w:t xml:space="preserve"> seems unlikely that the private sector feels confident in proportionality when it comes to the exercise of discretion.</w:t>
      </w:r>
    </w:p>
    <w:p w:rsidR="00C73E71" w:rsidRDefault="00224E3A" w:rsidP="0020406A">
      <w:pPr>
        <w:spacing w:before="240" w:after="0" w:line="360" w:lineRule="auto"/>
        <w:rPr>
          <w:u w:val="single"/>
        </w:rPr>
      </w:pPr>
      <w:r>
        <w:t xml:space="preserve">It is difficult to reconcile proportionality with a political climate determined to combat threats of terrorism, transnational crime and money laundering to national and international security, and </w:t>
      </w:r>
      <w:r w:rsidR="001975A4">
        <w:t xml:space="preserve">that is </w:t>
      </w:r>
      <w:r>
        <w:t xml:space="preserve">relentless in its rhetoric and ability to set targets, assess risks and draft regulatory standards for compliance.  </w:t>
      </w:r>
      <w:r w:rsidR="004D264E">
        <w:t>Above the</w:t>
      </w:r>
      <w:r w:rsidR="00EE3F3E">
        <w:t xml:space="preserve"> lowest level of the </w:t>
      </w:r>
      <w:r w:rsidR="004D264E">
        <w:t>chain, there is little incentive to achieve</w:t>
      </w:r>
      <w:r>
        <w:t xml:space="preserve"> a proportionate response to a vague, indeterminable threat</w:t>
      </w:r>
      <w:r w:rsidR="004D264E">
        <w:t>, yet plenty of incentive to identify risks and demonstrate compliance.</w:t>
      </w:r>
      <w:r w:rsidR="00EE3F3E">
        <w:t xml:space="preserve">  At the lowest level, the regulated sector is much further detached from the array of ills which inspire policy-making, and the motivation behind the regulated sector response much more likely to be driven by cost and compliance.</w:t>
      </w:r>
    </w:p>
    <w:p w:rsidR="00224E3A" w:rsidRPr="009D4C31" w:rsidRDefault="00224E3A" w:rsidP="00224E3A">
      <w:pPr>
        <w:spacing w:before="240" w:after="0" w:line="360" w:lineRule="auto"/>
        <w:rPr>
          <w:u w:val="single"/>
        </w:rPr>
      </w:pPr>
      <w:r w:rsidRPr="00BC7C09">
        <w:rPr>
          <w:u w:val="single"/>
        </w:rPr>
        <w:t>Effectiveness</w:t>
      </w:r>
      <w:r w:rsidR="009D4C31">
        <w:rPr>
          <w:u w:val="single"/>
        </w:rPr>
        <w:br/>
      </w:r>
      <w:r>
        <w:t>Underpinning the vague concept of “proportionality” is the equally evasive measure of effectiveness</w:t>
      </w:r>
      <w:r w:rsidR="00C84280">
        <w:t>.</w:t>
      </w:r>
      <w:r w:rsidR="003E3B77">
        <w:rPr>
          <w:rStyle w:val="FootnoteReference"/>
        </w:rPr>
        <w:footnoteReference w:id="127"/>
      </w:r>
      <w:r>
        <w:t xml:space="preserve">  </w:t>
      </w:r>
      <w:r w:rsidR="00D84B05">
        <w:t xml:space="preserve">The FATF Recommendations are scattered with </w:t>
      </w:r>
      <w:r w:rsidR="00AE6132">
        <w:t>references to</w:t>
      </w:r>
      <w:r w:rsidR="005F050D">
        <w:t xml:space="preserve"> effectiveness</w:t>
      </w:r>
      <w:r w:rsidR="00AE6132">
        <w:t xml:space="preserve">, </w:t>
      </w:r>
      <w:r w:rsidR="001975A4">
        <w:t xml:space="preserve">with little attempt to define its meaning, </w:t>
      </w:r>
      <w:r w:rsidR="005F050D">
        <w:t>including (amongst others):</w:t>
      </w:r>
      <w:r w:rsidR="00AE6132">
        <w:t xml:space="preserve"> </w:t>
      </w:r>
      <w:r w:rsidR="00D84B05">
        <w:t>effecti</w:t>
      </w:r>
      <w:r w:rsidR="00AE6132">
        <w:t>ve use of resources and efforts</w:t>
      </w:r>
      <w:r w:rsidR="001975A4">
        <w:t>;</w:t>
      </w:r>
      <w:r w:rsidR="00D84B05">
        <w:rPr>
          <w:rStyle w:val="FootnoteReference"/>
        </w:rPr>
        <w:footnoteReference w:id="128"/>
      </w:r>
      <w:r w:rsidR="00AE6132">
        <w:t xml:space="preserve"> </w:t>
      </w:r>
      <w:r w:rsidR="00D84B05">
        <w:t xml:space="preserve">effective management </w:t>
      </w:r>
      <w:r w:rsidR="00AE6132">
        <w:t>of risk</w:t>
      </w:r>
      <w:r w:rsidR="001975A4">
        <w:t>;</w:t>
      </w:r>
      <w:r w:rsidR="00D84B05">
        <w:rPr>
          <w:rStyle w:val="FootnoteReference"/>
        </w:rPr>
        <w:footnoteReference w:id="129"/>
      </w:r>
      <w:r w:rsidR="00D84B05">
        <w:t xml:space="preserve"> effect</w:t>
      </w:r>
      <w:r w:rsidR="00AE6132">
        <w:t>ive mechanisms for co-operation</w:t>
      </w:r>
      <w:r w:rsidR="001975A4">
        <w:t>;</w:t>
      </w:r>
      <w:r w:rsidR="00D84B05">
        <w:rPr>
          <w:rStyle w:val="FootnoteReference"/>
        </w:rPr>
        <w:footnoteReference w:id="130"/>
      </w:r>
      <w:r w:rsidR="00D84B05">
        <w:t xml:space="preserve"> effec</w:t>
      </w:r>
      <w:r w:rsidR="00AE6132">
        <w:t>tive and proportionate measures</w:t>
      </w:r>
      <w:r w:rsidR="001975A4">
        <w:t>;</w:t>
      </w:r>
      <w:r w:rsidR="00D84B05">
        <w:rPr>
          <w:rStyle w:val="FootnoteReference"/>
        </w:rPr>
        <w:footnoteReference w:id="131"/>
      </w:r>
      <w:r w:rsidR="00AE6132">
        <w:t xml:space="preserve"> and </w:t>
      </w:r>
      <w:r w:rsidR="00D84B05">
        <w:t>effective, proport</w:t>
      </w:r>
      <w:r w:rsidR="00AE6132">
        <w:t>ionate and dissuasive sanctions</w:t>
      </w:r>
      <w:r w:rsidR="001975A4">
        <w:t>.</w:t>
      </w:r>
      <w:r w:rsidR="00D84B05">
        <w:rPr>
          <w:rStyle w:val="FootnoteReference"/>
        </w:rPr>
        <w:footnoteReference w:id="132"/>
      </w:r>
      <w:r w:rsidR="00D84B05">
        <w:t xml:space="preserve">  </w:t>
      </w:r>
      <w:r w:rsidR="005F050D">
        <w:t>Given that the legislative and regulatory response illustrated on the Timeline corresponds to the underlying “ills”, a correlation between these in measuring effectiveness could be expected</w:t>
      </w:r>
      <w:r w:rsidR="00684B95">
        <w:t>.</w:t>
      </w:r>
      <w:r w:rsidR="00FF6121">
        <w:t xml:space="preserve"> </w:t>
      </w:r>
      <w:r w:rsidR="00684B95">
        <w:t xml:space="preserve"> </w:t>
      </w:r>
      <w:r w:rsidR="00FF6121">
        <w:t>However</w:t>
      </w:r>
      <w:r w:rsidR="009C351F">
        <w:t xml:space="preserve">, the measurement of the effectiveness of anti-money laundering policies </w:t>
      </w:r>
      <w:r w:rsidR="005F050D">
        <w:t xml:space="preserve">is </w:t>
      </w:r>
      <w:r w:rsidR="009C351F">
        <w:t>“inherently difficult”</w:t>
      </w:r>
      <w:r w:rsidR="00C84280">
        <w:t>,</w:t>
      </w:r>
      <w:r w:rsidR="009C351F">
        <w:rPr>
          <w:rStyle w:val="FootnoteReference"/>
        </w:rPr>
        <w:footnoteReference w:id="133"/>
      </w:r>
      <w:r w:rsidR="00FF6121">
        <w:t xml:space="preserve"> not least because of the difficulty in evaluating the underlying threats in the first instance</w:t>
      </w:r>
      <w:r w:rsidR="00684B95">
        <w:t xml:space="preserve"> or the scale of laundering itself</w:t>
      </w:r>
      <w:r w:rsidR="00C84280">
        <w:t>.</w:t>
      </w:r>
      <w:r w:rsidR="00E5155F">
        <w:rPr>
          <w:rStyle w:val="FootnoteReference"/>
        </w:rPr>
        <w:footnoteReference w:id="134"/>
      </w:r>
      <w:r>
        <w:t xml:space="preserve"> </w:t>
      </w:r>
      <w:r w:rsidR="00FF6121">
        <w:t xml:space="preserve"> </w:t>
      </w:r>
      <w:r w:rsidR="00684B95">
        <w:t>F</w:t>
      </w:r>
      <w:r w:rsidR="00FF6121">
        <w:t xml:space="preserve">undamental barriers to a holistic </w:t>
      </w:r>
      <w:r w:rsidR="00684B95">
        <w:t xml:space="preserve">evaluation </w:t>
      </w:r>
      <w:r w:rsidR="00FF6121">
        <w:t xml:space="preserve">of the effectiveness of </w:t>
      </w:r>
      <w:r w:rsidR="00684B95">
        <w:t xml:space="preserve">the </w:t>
      </w:r>
      <w:r w:rsidR="00FF6121">
        <w:t>anti-money laundering response</w:t>
      </w:r>
      <w:r w:rsidR="00684B95">
        <w:t xml:space="preserve"> notwithstanding</w:t>
      </w:r>
      <w:r w:rsidR="00FF6121">
        <w:t xml:space="preserve">, challenges to the operational effectiveness of the provisions contained in MLR 2017 within the private sector </w:t>
      </w:r>
      <w:r w:rsidR="002F6954">
        <w:t>remain</w:t>
      </w:r>
      <w:r w:rsidR="00FF6121">
        <w:t xml:space="preserve"> evident</w:t>
      </w:r>
      <w:r w:rsidR="002F6954">
        <w:rPr>
          <w:rStyle w:val="FootnoteReference"/>
        </w:rPr>
        <w:footnoteReference w:id="135"/>
      </w:r>
      <w:r w:rsidR="00FF6121">
        <w:t xml:space="preserve"> and are explored below.</w:t>
      </w:r>
    </w:p>
    <w:p w:rsidR="00224E3A" w:rsidRPr="00AA33AC" w:rsidRDefault="00224E3A" w:rsidP="00224E3A">
      <w:pPr>
        <w:spacing w:before="240" w:after="0" w:line="360" w:lineRule="auto"/>
        <w:rPr>
          <w:i/>
        </w:rPr>
      </w:pPr>
      <w:r>
        <w:rPr>
          <w:i/>
        </w:rPr>
        <w:t>Timing and Uncertainty</w:t>
      </w:r>
    </w:p>
    <w:p w:rsidR="00224E3A" w:rsidRDefault="00224E3A" w:rsidP="00224E3A">
      <w:pPr>
        <w:spacing w:before="240" w:after="0" w:line="360" w:lineRule="auto"/>
      </w:pPr>
      <w:r>
        <w:t>As descr</w:t>
      </w:r>
      <w:r w:rsidR="006908AB">
        <w:t xml:space="preserve">ibed above, </w:t>
      </w:r>
      <w:r w:rsidR="00982F44">
        <w:t xml:space="preserve">one of the foundations of </w:t>
      </w:r>
      <w:r w:rsidR="006908AB">
        <w:t xml:space="preserve">the MLR 2017 </w:t>
      </w:r>
      <w:r w:rsidR="00982F44">
        <w:t xml:space="preserve">is </w:t>
      </w:r>
      <w:r>
        <w:t xml:space="preserve">the undertaking of </w:t>
      </w:r>
      <w:r w:rsidR="00982F44">
        <w:t xml:space="preserve">layer upon layer of </w:t>
      </w:r>
      <w:r>
        <w:t xml:space="preserve">risk assessments, which each depend on risk assessments at the superior levels.  </w:t>
      </w:r>
      <w:r w:rsidR="00982F44">
        <w:t xml:space="preserve">These risk assessments are fundamental to the operation of the regulations, for example in </w:t>
      </w:r>
      <w:r w:rsidR="00895FC4">
        <w:t xml:space="preserve">enabling regulated persons to determine whether CDD, SDD or EDD should be undertaken in respect of an individual client.  </w:t>
      </w:r>
      <w:r w:rsidR="00982F44">
        <w:t xml:space="preserve">While </w:t>
      </w:r>
      <w:r>
        <w:t xml:space="preserve">the European-level supranational risk assessment </w:t>
      </w:r>
      <w:r w:rsidR="00982F44">
        <w:t xml:space="preserve">was </w:t>
      </w:r>
      <w:r>
        <w:t>first released on its due date, 26 June 2017</w:t>
      </w:r>
      <w:r>
        <w:rPr>
          <w:rStyle w:val="FootnoteReference"/>
          <w:i/>
        </w:rPr>
        <w:footnoteReference w:id="136"/>
      </w:r>
      <w:r>
        <w:t xml:space="preserve">, </w:t>
      </w:r>
      <w:r w:rsidR="00982F44">
        <w:t xml:space="preserve">this was </w:t>
      </w:r>
      <w:r>
        <w:t>also the date for implementation of the EU directive in member st</w:t>
      </w:r>
      <w:r w:rsidR="00982F44">
        <w:t>ates</w:t>
      </w:r>
      <w:r>
        <w:t xml:space="preserve">.  </w:t>
      </w:r>
      <w:r w:rsidR="00982F44">
        <w:t>T</w:t>
      </w:r>
      <w:r>
        <w:t>he UK’s Treasury and Home Office national risk assessment was issued in October 2017, ahead of its due date of 26 June 2018</w:t>
      </w:r>
      <w:r>
        <w:rPr>
          <w:rStyle w:val="FootnoteReference"/>
        </w:rPr>
        <w:footnoteReference w:id="137"/>
      </w:r>
      <w:r>
        <w:t xml:space="preserve"> (the first anniversary of the coming into force of the MLR 2017)</w:t>
      </w:r>
      <w:r w:rsidR="00C84280">
        <w:t>.  In consequence,</w:t>
      </w:r>
      <w:r w:rsidR="00982F44">
        <w:t xml:space="preserve"> </w:t>
      </w:r>
      <w:r>
        <w:t xml:space="preserve">those further down the risk assessment chain </w:t>
      </w:r>
      <w:r w:rsidR="00982F44">
        <w:t xml:space="preserve">have been unable to </w:t>
      </w:r>
      <w:r>
        <w:t>undertake the respo</w:t>
      </w:r>
      <w:r w:rsidR="00982F44">
        <w:t xml:space="preserve">nsive risk assessments required, and </w:t>
      </w:r>
      <w:r>
        <w:t>upon which compliance with MLR 2017 depends</w:t>
      </w:r>
      <w:r w:rsidR="00982F44">
        <w:t>, until significantly after the implementation date of the MLR 2017</w:t>
      </w:r>
      <w:r>
        <w:t>.</w:t>
      </w:r>
    </w:p>
    <w:p w:rsidR="00224E3A" w:rsidRPr="00E5155F" w:rsidRDefault="00224E3A" w:rsidP="00224E3A">
      <w:pPr>
        <w:spacing w:before="240" w:after="0" w:line="360" w:lineRule="auto"/>
      </w:pPr>
      <w:r>
        <w:t xml:space="preserve">With delays to </w:t>
      </w:r>
      <w:r w:rsidR="00895FC4">
        <w:t xml:space="preserve">the publication of </w:t>
      </w:r>
      <w:r>
        <w:t>risk assessment</w:t>
      </w:r>
      <w:r w:rsidR="00895FC4">
        <w:t>s</w:t>
      </w:r>
      <w:r>
        <w:t xml:space="preserve"> come delays to sector-specific guidance, which help the regulated sector to understand </w:t>
      </w:r>
      <w:r w:rsidR="00895FC4">
        <w:t xml:space="preserve">and interpret </w:t>
      </w:r>
      <w:r>
        <w:t>their obligations</w:t>
      </w:r>
      <w:r w:rsidR="00895FC4">
        <w:t xml:space="preserve"> under MLR 2017</w:t>
      </w:r>
      <w:r>
        <w:t xml:space="preserve">.  This is of particular importance where </w:t>
      </w:r>
      <w:r w:rsidR="00895FC4">
        <w:t>provisions of MLR 2017 deviate</w:t>
      </w:r>
      <w:r>
        <w:t xml:space="preserve"> from </w:t>
      </w:r>
      <w:r w:rsidR="00895FC4">
        <w:t>provisions of preceding legislation.</w:t>
      </w:r>
      <w:r>
        <w:t xml:space="preserve"> </w:t>
      </w:r>
      <w:r w:rsidR="00895FC4">
        <w:t xml:space="preserve"> </w:t>
      </w:r>
      <w:r>
        <w:t xml:space="preserve">For example, when undertaking customer due diligence, persons within the regulated sector must </w:t>
      </w:r>
      <w:r w:rsidR="00C412AD">
        <w:t xml:space="preserve">now </w:t>
      </w:r>
      <w:r>
        <w:t>identify customers and verify their identity “</w:t>
      </w:r>
      <w:r w:rsidRPr="00454D9F">
        <w:rPr>
          <w:i/>
        </w:rPr>
        <w:t>on the basis of</w:t>
      </w:r>
      <w:r>
        <w:rPr>
          <w:i/>
        </w:rPr>
        <w:t xml:space="preserve"> documents or information in either case obtained from a reliable source which is independent of the person whose identity is being verified</w:t>
      </w:r>
      <w:r>
        <w:t>”</w:t>
      </w:r>
      <w:r>
        <w:rPr>
          <w:rStyle w:val="FootnoteReference"/>
        </w:rPr>
        <w:footnoteReference w:id="138"/>
      </w:r>
      <w:r w:rsidR="00895FC4">
        <w:t xml:space="preserve"> rather than </w:t>
      </w:r>
      <w:r w:rsidR="00C412AD">
        <w:t>“</w:t>
      </w:r>
      <w:r w:rsidR="00C412AD" w:rsidRPr="0066439A">
        <w:rPr>
          <w:i/>
        </w:rPr>
        <w:t xml:space="preserve">on the basis of </w:t>
      </w:r>
      <w:r w:rsidR="0066439A" w:rsidRPr="0066439A">
        <w:rPr>
          <w:i/>
        </w:rPr>
        <w:t>documents , data or information obtained from a reliable and independent source</w:t>
      </w:r>
      <w:r w:rsidR="0066439A">
        <w:t>”</w:t>
      </w:r>
      <w:r w:rsidR="00C84280">
        <w:t>.</w:t>
      </w:r>
      <w:r w:rsidR="0066439A">
        <w:rPr>
          <w:rStyle w:val="FootnoteReference"/>
        </w:rPr>
        <w:footnoteReference w:id="139"/>
      </w:r>
      <w:r>
        <w:t xml:space="preserve">  </w:t>
      </w:r>
      <w:r w:rsidR="0066439A">
        <w:t>While the change of wording is slight, a change to the manner in which CDD must be undertaken would be fundamental to compliance within the regulated sector</w:t>
      </w:r>
      <w:r w:rsidR="0066439A" w:rsidRPr="0066439A">
        <w:t xml:space="preserve"> </w:t>
      </w:r>
      <w:r w:rsidR="0066439A">
        <w:t xml:space="preserve">and timely guidance is imperative to enable regulated persons to comply in the manner intended. </w:t>
      </w:r>
    </w:p>
    <w:p w:rsidR="00224E3A" w:rsidRPr="00BC7C09" w:rsidRDefault="00224E3A" w:rsidP="00224E3A">
      <w:pPr>
        <w:spacing w:before="240" w:after="0" w:line="360" w:lineRule="auto"/>
        <w:rPr>
          <w:i/>
        </w:rPr>
      </w:pPr>
      <w:r>
        <w:rPr>
          <w:i/>
        </w:rPr>
        <w:t>Ongoing Monitoring</w:t>
      </w:r>
    </w:p>
    <w:p w:rsidR="002B0229" w:rsidRDefault="0066439A" w:rsidP="000E71F9">
      <w:pPr>
        <w:spacing w:before="240" w:after="0" w:line="360" w:lineRule="auto"/>
        <w:rPr>
          <w:i/>
        </w:rPr>
      </w:pPr>
      <w:r>
        <w:t>A</w:t>
      </w:r>
      <w:r w:rsidR="00224E3A">
        <w:t xml:space="preserve">chieving the level of analysis and monitoring required </w:t>
      </w:r>
      <w:r>
        <w:t xml:space="preserve">by MLR 2017 </w:t>
      </w:r>
      <w:r w:rsidR="00224E3A">
        <w:t xml:space="preserve">within the regulated sector presents </w:t>
      </w:r>
      <w:r>
        <w:t xml:space="preserve">further operational </w:t>
      </w:r>
      <w:r w:rsidR="00224E3A">
        <w:t>challenges</w:t>
      </w:r>
      <w:r>
        <w:t xml:space="preserve"> for the regulated sector</w:t>
      </w:r>
      <w:r w:rsidR="00224E3A">
        <w:t>.  For example, the supervisory authorities themselves must “</w:t>
      </w:r>
      <w:r w:rsidR="00224E3A" w:rsidRPr="004B2C0E">
        <w:rPr>
          <w:i/>
        </w:rPr>
        <w:t>develop and record in writing risk profiles for each relevant person in its own sector</w:t>
      </w:r>
      <w:r w:rsidR="00224E3A">
        <w:t>”</w:t>
      </w:r>
      <w:r w:rsidR="008F796D">
        <w:t>.</w:t>
      </w:r>
      <w:r w:rsidR="00224E3A">
        <w:rPr>
          <w:rStyle w:val="FootnoteReference"/>
        </w:rPr>
        <w:footnoteReference w:id="140"/>
      </w:r>
      <w:r w:rsidR="00224E3A">
        <w:t xml:space="preserve">  </w:t>
      </w:r>
      <w:r w:rsidR="008F796D">
        <w:t>T</w:t>
      </w:r>
      <w:r w:rsidR="00224E3A">
        <w:t>hese risk profiles can be generic based on relevant persons sharing similar characteristics and facing similar risks of money laundering and terrorist financing</w:t>
      </w:r>
      <w:r w:rsidR="008F796D">
        <w:t>.</w:t>
      </w:r>
      <w:r w:rsidR="00224E3A">
        <w:rPr>
          <w:rStyle w:val="FootnoteReference"/>
        </w:rPr>
        <w:footnoteReference w:id="141"/>
      </w:r>
      <w:r w:rsidR="00224E3A">
        <w:t xml:space="preserve"> </w:t>
      </w:r>
      <w:r w:rsidR="008F796D">
        <w:t xml:space="preserve"> However, </w:t>
      </w:r>
      <w:r w:rsidR="00224E3A">
        <w:t>the supervisory authorities must have a good understanding of all businesses within its sector in order to make this determination, and ongoing monitoring is required to ensure the risk assessment is still appropriate, with an individual risk profile being required should circumstances change.</w:t>
      </w:r>
      <w:r w:rsidR="00224E3A">
        <w:rPr>
          <w:rStyle w:val="FootnoteReference"/>
        </w:rPr>
        <w:footnoteReference w:id="142"/>
      </w:r>
      <w:r w:rsidR="00224E3A" w:rsidRPr="00BC7C09">
        <w:t xml:space="preserve"> </w:t>
      </w:r>
      <w:r w:rsidR="00224E3A">
        <w:t xml:space="preserve"> </w:t>
      </w:r>
      <w:r w:rsidR="001549F5">
        <w:t>With a total of 25 supervisory authorities</w:t>
      </w:r>
      <w:r w:rsidR="001549F5">
        <w:rPr>
          <w:rStyle w:val="FootnoteReference"/>
        </w:rPr>
        <w:footnoteReference w:id="143"/>
      </w:r>
      <w:r w:rsidR="001549F5">
        <w:t xml:space="preserve"> (in addition to the new Office for Professional Body Anti-Money Laundering Supervision since 1 February 2018)</w:t>
      </w:r>
      <w:r w:rsidR="00576AE7">
        <w:t>;</w:t>
      </w:r>
      <w:r w:rsidR="001549F5">
        <w:t xml:space="preserve"> </w:t>
      </w:r>
      <w:r w:rsidR="00576AE7">
        <w:t>“</w:t>
      </w:r>
      <w:r w:rsidR="00576AE7" w:rsidRPr="00576AE7">
        <w:t>over 23,000 businesses in the UK carrying out accounting, bookkeeping and auditing activities, and tax consultancy</w:t>
      </w:r>
      <w:r w:rsidR="00576AE7">
        <w:t>”</w:t>
      </w:r>
      <w:r w:rsidR="008F796D">
        <w:t>;</w:t>
      </w:r>
      <w:r w:rsidR="00576AE7">
        <w:rPr>
          <w:rStyle w:val="FootnoteReference"/>
        </w:rPr>
        <w:footnoteReference w:id="144"/>
      </w:r>
      <w:r w:rsidR="00576AE7" w:rsidRPr="00576AE7">
        <w:t xml:space="preserve"> </w:t>
      </w:r>
      <w:r w:rsidR="00576AE7">
        <w:t>and “</w:t>
      </w:r>
      <w:r w:rsidR="00576AE7" w:rsidRPr="00576AE7">
        <w:t>over 14,000 businesses in the UK carrying out legal services</w:t>
      </w:r>
      <w:r w:rsidR="00576AE7">
        <w:t>”</w:t>
      </w:r>
      <w:r w:rsidR="00576AE7">
        <w:rPr>
          <w:rStyle w:val="FootnoteReference"/>
        </w:rPr>
        <w:footnoteReference w:id="145"/>
      </w:r>
      <w:r w:rsidR="00576AE7" w:rsidRPr="00576AE7">
        <w:t xml:space="preserve"> </w:t>
      </w:r>
      <w:r w:rsidR="00576AE7">
        <w:t xml:space="preserve">in addition to money service businesses, trust or company services providers, </w:t>
      </w:r>
      <w:r w:rsidR="00D231A3">
        <w:t>banks, estate agents, high value dealers, retail betting and casinos,</w:t>
      </w:r>
      <w:r w:rsidR="00576AE7" w:rsidRPr="00576AE7">
        <w:t xml:space="preserve"> </w:t>
      </w:r>
      <w:r w:rsidR="00224E3A">
        <w:t xml:space="preserve">it is </w:t>
      </w:r>
      <w:r w:rsidR="00AD7499">
        <w:t xml:space="preserve">reasonable </w:t>
      </w:r>
      <w:r w:rsidR="00224E3A">
        <w:t>to doubt whether supervisory authorities have the capacity to effectively undertake such detailed mo</w:t>
      </w:r>
      <w:r w:rsidR="00AD7499">
        <w:t>nitoring of the regulated sector</w:t>
      </w:r>
      <w:r w:rsidR="00224E3A">
        <w:t xml:space="preserve">.  </w:t>
      </w:r>
      <w:r w:rsidR="002F6954">
        <w:t>At a more fundamental level</w:t>
      </w:r>
      <w:r w:rsidR="00224E3A">
        <w:t xml:space="preserve">, the very basis of risk-assessment may also be </w:t>
      </w:r>
      <w:r w:rsidR="008F796D">
        <w:t>called into doubt</w:t>
      </w:r>
      <w:r w:rsidR="00224E3A">
        <w:t>, which calls into question the foundation upon which the MLR 2017 is constructed.</w:t>
      </w:r>
      <w:r w:rsidR="00224E3A">
        <w:rPr>
          <w:rStyle w:val="FootnoteReference"/>
        </w:rPr>
        <w:footnoteReference w:id="146"/>
      </w:r>
    </w:p>
    <w:p w:rsidR="00224E3A" w:rsidRPr="00C019C4" w:rsidRDefault="00224E3A" w:rsidP="00224E3A">
      <w:pPr>
        <w:spacing w:before="240" w:after="0" w:line="360" w:lineRule="auto"/>
        <w:rPr>
          <w:i/>
        </w:rPr>
      </w:pPr>
      <w:r w:rsidRPr="00C019C4">
        <w:rPr>
          <w:i/>
        </w:rPr>
        <w:t>Resources</w:t>
      </w:r>
    </w:p>
    <w:p w:rsidR="00224E3A" w:rsidRPr="00C019C4" w:rsidRDefault="00224E3A" w:rsidP="00224E3A">
      <w:pPr>
        <w:spacing w:before="240" w:after="0" w:line="360" w:lineRule="auto"/>
      </w:pPr>
      <w:r w:rsidRPr="00C019C4">
        <w:t xml:space="preserve">An additional barrier to </w:t>
      </w:r>
      <w:r w:rsidR="001A71F8" w:rsidRPr="00C019C4">
        <w:t>operational effectiveness</w:t>
      </w:r>
      <w:r w:rsidRPr="00C019C4">
        <w:t xml:space="preserve"> arises from the </w:t>
      </w:r>
      <w:r w:rsidR="001A71F8" w:rsidRPr="00C019C4">
        <w:t xml:space="preserve">difficulty in resourcing compliance with the provisions of MLR 2017, which require </w:t>
      </w:r>
      <w:r w:rsidRPr="00C019C4">
        <w:t xml:space="preserve">information </w:t>
      </w:r>
      <w:r w:rsidR="001A71F8" w:rsidRPr="00C019C4">
        <w:t>to be gathered and documented</w:t>
      </w:r>
      <w:r w:rsidRPr="00C019C4">
        <w:t>.  For example, an obligation to undertake risk assessments by a relevant person</w:t>
      </w:r>
      <w:r w:rsidRPr="00C019C4">
        <w:rPr>
          <w:rStyle w:val="FootnoteReference"/>
        </w:rPr>
        <w:footnoteReference w:id="147"/>
      </w:r>
      <w:r w:rsidRPr="00C019C4">
        <w:t xml:space="preserve"> is supplemented by an obligation to keep an up to date record in writing of the steps taken,</w:t>
      </w:r>
      <w:r w:rsidRPr="00C019C4">
        <w:rPr>
          <w:rStyle w:val="FootnoteReference"/>
        </w:rPr>
        <w:footnoteReference w:id="148"/>
      </w:r>
      <w:r w:rsidRPr="00C019C4">
        <w:t xml:space="preserve"> and the risk assessment, and the information on which it was based, must be provided to its supervisory authority on request.</w:t>
      </w:r>
      <w:r w:rsidRPr="00C019C4">
        <w:rPr>
          <w:rStyle w:val="FootnoteReference"/>
        </w:rPr>
        <w:footnoteReference w:id="149"/>
      </w:r>
      <w:r w:rsidRPr="00C019C4">
        <w:t xml:space="preserve">  For large firms with deep pockets and well-established compliance functions this may be achievable and even already in place.  For smaller members of the regulated sector, and in particular sole practitioners, this is likely to require a significant amount of time and attention to be withdrawn from day to day business.  The requirement to document processes and procedures, in addition to being onerous, may also contribute to the tick-box culture to prove compliance and avoid culpability without proving the effectiveness of measures taken</w:t>
      </w:r>
      <w:r w:rsidR="008F796D">
        <w:t>.</w:t>
      </w:r>
      <w:r w:rsidRPr="00C019C4">
        <w:rPr>
          <w:rStyle w:val="FootnoteReference"/>
        </w:rPr>
        <w:footnoteReference w:id="150"/>
      </w:r>
    </w:p>
    <w:p w:rsidR="00224E3A" w:rsidRPr="002B0229" w:rsidRDefault="00224E3A" w:rsidP="00224E3A">
      <w:pPr>
        <w:spacing w:before="240" w:after="0" w:line="360" w:lineRule="auto"/>
        <w:rPr>
          <w:i/>
        </w:rPr>
      </w:pPr>
      <w:r w:rsidRPr="002B0229">
        <w:rPr>
          <w:i/>
        </w:rPr>
        <w:t>Arbitrary Designations</w:t>
      </w:r>
    </w:p>
    <w:p w:rsidR="00224E3A" w:rsidRPr="0062656D" w:rsidRDefault="00224E3A" w:rsidP="00224E3A">
      <w:pPr>
        <w:spacing w:before="240" w:after="0" w:line="360" w:lineRule="auto"/>
      </w:pPr>
      <w:r w:rsidRPr="002B0229">
        <w:t>There are several examples of apparently arbitrary designations of measures and standards under MLR 2017.  For example, enhanced due diligence must be carried out in respect of any business relationship or transaction with a person established in a high-risk third country</w:t>
      </w:r>
      <w:r w:rsidR="00910116">
        <w:t>,</w:t>
      </w:r>
      <w:r w:rsidRPr="002B0229">
        <w:rPr>
          <w:rStyle w:val="FootnoteReference"/>
        </w:rPr>
        <w:footnoteReference w:id="151"/>
      </w:r>
      <w:r w:rsidRPr="002B0229">
        <w:t xml:space="preserve"> which means a country identified by the European Commission as a high-risk third country</w:t>
      </w:r>
      <w:r w:rsidR="00910116">
        <w:t>.</w:t>
      </w:r>
      <w:r w:rsidRPr="002B0229">
        <w:rPr>
          <w:rStyle w:val="FootnoteReference"/>
        </w:rPr>
        <w:footnoteReference w:id="152"/>
      </w:r>
      <w:r w:rsidRPr="002B0229">
        <w:t xml:space="preserve">  Further</w:t>
      </w:r>
      <w:r w:rsidR="00082A8E" w:rsidRPr="002B0229">
        <w:t>,</w:t>
      </w:r>
      <w:r w:rsidRPr="002B0229">
        <w:t xml:space="preserve"> assessment of geographical risk factors identify, amongst other things, “</w:t>
      </w:r>
      <w:r w:rsidRPr="002B0229">
        <w:rPr>
          <w:i/>
        </w:rPr>
        <w:t>countries identified by credible sources</w:t>
      </w:r>
      <w:r w:rsidRPr="002B0229">
        <w:t>”</w:t>
      </w:r>
      <w:r w:rsidR="00910116">
        <w:t>,</w:t>
      </w:r>
      <w:r w:rsidRPr="002B0229">
        <w:rPr>
          <w:rStyle w:val="FootnoteReference"/>
        </w:rPr>
        <w:footnoteReference w:id="153"/>
      </w:r>
      <w:r w:rsidRPr="002B0229">
        <w:t xml:space="preserve"> as “</w:t>
      </w:r>
      <w:r w:rsidRPr="002B0229">
        <w:rPr>
          <w:i/>
        </w:rPr>
        <w:t>not having effective systems to counter money laundering or terrorist financing</w:t>
      </w:r>
      <w:r w:rsidRPr="002B0229">
        <w:t>”</w:t>
      </w:r>
      <w:r w:rsidR="00910116">
        <w:t>;</w:t>
      </w:r>
      <w:r w:rsidRPr="002B0229">
        <w:rPr>
          <w:rStyle w:val="FootnoteReference"/>
        </w:rPr>
        <w:footnoteReference w:id="154"/>
      </w:r>
      <w:r w:rsidRPr="002B0229">
        <w:t xml:space="preserve"> “</w:t>
      </w:r>
      <w:r w:rsidRPr="002B0229">
        <w:rPr>
          <w:i/>
        </w:rPr>
        <w:t>having significant levels of corruption or other criminal activity</w:t>
      </w:r>
      <w:r w:rsidRPr="002B0229">
        <w:t xml:space="preserve"> …”</w:t>
      </w:r>
      <w:r w:rsidRPr="002B0229">
        <w:rPr>
          <w:rStyle w:val="FootnoteReference"/>
        </w:rPr>
        <w:footnoteReference w:id="155"/>
      </w:r>
      <w:r w:rsidRPr="002B0229">
        <w:t xml:space="preserve"> and “</w:t>
      </w:r>
      <w:r w:rsidRPr="002B0229">
        <w:rPr>
          <w:i/>
        </w:rPr>
        <w:t>not implementing requirements to counter money laundering and terrorist financing that are consistent with the recommendations published by the Financial Action Task force in February 2012 and updated in October 2016</w:t>
      </w:r>
      <w:r w:rsidRPr="002B0229">
        <w:t>”</w:t>
      </w:r>
      <w:r w:rsidR="002B127E">
        <w:t>.</w:t>
      </w:r>
      <w:r w:rsidRPr="002B0229">
        <w:rPr>
          <w:rStyle w:val="FootnoteReference"/>
        </w:rPr>
        <w:footnoteReference w:id="156"/>
      </w:r>
      <w:r w:rsidRPr="002B0229">
        <w:t xml:space="preserve">  The incorporation of such </w:t>
      </w:r>
      <w:r w:rsidR="001E1074" w:rsidRPr="002B0229">
        <w:t xml:space="preserve">arbitrary </w:t>
      </w:r>
      <w:r w:rsidRPr="002B0229">
        <w:t xml:space="preserve">standards and measures into MLR 2017 </w:t>
      </w:r>
      <w:r w:rsidR="001E1074" w:rsidRPr="002B0229">
        <w:t xml:space="preserve">raises questions of effectiveness because designations may change </w:t>
      </w:r>
      <w:r w:rsidR="008F796D">
        <w:t xml:space="preserve">due to </w:t>
      </w:r>
      <w:r w:rsidR="001E1074" w:rsidRPr="002B0229">
        <w:t>politic</w:t>
      </w:r>
      <w:r w:rsidR="00082A8E" w:rsidRPr="002B0229">
        <w:t>al bias, FATF mutual evaluation or other unpredictable events.  Responding to this will require effective communication and regular updates up and down the compliance chain.</w:t>
      </w:r>
    </w:p>
    <w:p w:rsidR="008F796D" w:rsidRPr="008F796D" w:rsidRDefault="000E71F9" w:rsidP="00224E3A">
      <w:pPr>
        <w:spacing w:before="240" w:after="0" w:line="360" w:lineRule="auto"/>
        <w:rPr>
          <w:u w:val="single"/>
        </w:rPr>
      </w:pPr>
      <w:r>
        <w:rPr>
          <w:u w:val="single"/>
        </w:rPr>
        <w:t xml:space="preserve">The </w:t>
      </w:r>
      <w:r w:rsidR="008F796D" w:rsidRPr="008F796D">
        <w:rPr>
          <w:u w:val="single"/>
        </w:rPr>
        <w:t>Future</w:t>
      </w:r>
      <w:r w:rsidR="00B05C2C">
        <w:rPr>
          <w:u w:val="single"/>
        </w:rPr>
        <w:t xml:space="preserve"> </w:t>
      </w:r>
      <w:r w:rsidR="002D32FB">
        <w:rPr>
          <w:u w:val="single"/>
        </w:rPr>
        <w:t xml:space="preserve">of The </w:t>
      </w:r>
      <w:r w:rsidR="00B05C2C">
        <w:rPr>
          <w:u w:val="single"/>
        </w:rPr>
        <w:t>Timeline</w:t>
      </w:r>
    </w:p>
    <w:p w:rsidR="00B05C2C" w:rsidRPr="00ED2C00" w:rsidRDefault="008F796D" w:rsidP="008F796D">
      <w:pPr>
        <w:spacing w:before="240" w:line="360" w:lineRule="auto"/>
        <w:rPr>
          <w:i/>
        </w:rPr>
      </w:pPr>
      <w:r>
        <w:t xml:space="preserve">While the MLR 2017 undoubtedly represent a continuation of the trend over the last thirty years of extending and developing anti-money laundering </w:t>
      </w:r>
      <w:r w:rsidR="002D32FB">
        <w:t xml:space="preserve">regulation </w:t>
      </w:r>
      <w:r>
        <w:t>in the UK, whether it is possible, or even considered desirable by policy</w:t>
      </w:r>
      <w:r w:rsidR="002D32FB">
        <w:t>-makers, to halt or reverse the</w:t>
      </w:r>
      <w:r>
        <w:t xml:space="preserve"> trend </w:t>
      </w:r>
      <w:r w:rsidR="002D32FB">
        <w:t xml:space="preserve">apparent from the Timeline </w:t>
      </w:r>
      <w:r>
        <w:t>seems doubtful.</w:t>
      </w:r>
      <w:r w:rsidRPr="008F796D">
        <w:t xml:space="preserve"> </w:t>
      </w:r>
      <w:r>
        <w:t xml:space="preserve"> The recent UK government’s policy paper on The United Kingdom’s exit from, and new partnership with, the European Union refers to serious organised crime as a transnational threat, requiring a cross-border response and co-operation with European partners</w:t>
      </w:r>
      <w:r>
        <w:rPr>
          <w:rStyle w:val="FootnoteReference"/>
        </w:rPr>
        <w:footnoteReference w:id="157"/>
      </w:r>
      <w:r>
        <w:t xml:space="preserve"> and commits to fostering a high quality, stable and predictable regulatory environment.</w:t>
      </w:r>
      <w:r>
        <w:rPr>
          <w:rStyle w:val="FootnoteReference"/>
        </w:rPr>
        <w:footnoteReference w:id="158"/>
      </w:r>
      <w:r>
        <w:t xml:space="preserve">  In its annual plan for 2017 – 18, the National Crime Agency identifies high end money laundering as  one of its six national priorities for response as agreed by the National Strategic Tasking and Coordination Group.</w:t>
      </w:r>
      <w:r>
        <w:rPr>
          <w:rStyle w:val="FootnoteReference"/>
        </w:rPr>
        <w:footnoteReference w:id="159"/>
      </w:r>
      <w:r>
        <w:t xml:space="preserve">  The Home Office and HM Treasury’s Action Plan for anti-money laundering and counter-terrorist finance clearly states its aim to “</w:t>
      </w:r>
      <w:r w:rsidRPr="00A052D0">
        <w:rPr>
          <w:i/>
        </w:rPr>
        <w:t>protect the security and prosperity of our citizens, and the integrity of our world-leading financial system</w:t>
      </w:r>
      <w:r>
        <w:t>”, identifying priorities which depend upon a “</w:t>
      </w:r>
      <w:r w:rsidRPr="00A052D0">
        <w:rPr>
          <w:i/>
        </w:rPr>
        <w:t>new way of working with the private sector</w:t>
      </w:r>
      <w:r>
        <w:t>” which relies upon “</w:t>
      </w:r>
      <w:r w:rsidRPr="00F701F4">
        <w:rPr>
          <w:i/>
        </w:rPr>
        <w:t>joint action</w:t>
      </w:r>
      <w:r>
        <w:t>” and “</w:t>
      </w:r>
      <w:r w:rsidRPr="00A052D0">
        <w:rPr>
          <w:i/>
        </w:rPr>
        <w:t>radically more</w:t>
      </w:r>
      <w:r>
        <w:t>” information sharin</w:t>
      </w:r>
      <w:r w:rsidRPr="00B05C2C">
        <w:t>g.</w:t>
      </w:r>
      <w:r w:rsidR="00B1203A">
        <w:rPr>
          <w:rStyle w:val="FootnoteReference"/>
        </w:rPr>
        <w:footnoteReference w:id="160"/>
      </w:r>
      <w:r w:rsidR="00B05C2C" w:rsidRPr="00B05C2C">
        <w:t xml:space="preserve"> </w:t>
      </w:r>
      <w:r w:rsidR="00B05C2C">
        <w:t xml:space="preserve"> It seems in this respect that “</w:t>
      </w:r>
      <w:r w:rsidR="00B05C2C" w:rsidRPr="001760EB">
        <w:rPr>
          <w:i/>
        </w:rPr>
        <w:t>fear-driven policy making</w:t>
      </w:r>
      <w:r w:rsidR="00B05C2C">
        <w:t>”, based on rhetoric without restraint or clarity,</w:t>
      </w:r>
      <w:r w:rsidR="00B05C2C">
        <w:rPr>
          <w:rStyle w:val="FootnoteReference"/>
        </w:rPr>
        <w:footnoteReference w:id="161"/>
      </w:r>
      <w:r w:rsidR="00E64F56">
        <w:t xml:space="preserve"> is likely to continue unabated.</w:t>
      </w:r>
    </w:p>
    <w:p w:rsidR="008F796D" w:rsidRPr="00B05C2C" w:rsidRDefault="00E64F56" w:rsidP="00B05C2C">
      <w:pPr>
        <w:spacing w:before="240" w:line="360" w:lineRule="auto"/>
        <w:rPr>
          <w:lang w:val="en"/>
        </w:rPr>
      </w:pPr>
      <w:r>
        <w:t>Alongside the perceived threats posed by money laundering and terrorist financing, the role of FATF in contributing to regulatory expansion must also be considered.  T</w:t>
      </w:r>
      <w:r w:rsidR="008F796D">
        <w:t xml:space="preserve">he </w:t>
      </w:r>
      <w:r w:rsidR="008F796D" w:rsidRPr="00326E43">
        <w:rPr>
          <w:i/>
        </w:rPr>
        <w:t>ad hoc</w:t>
      </w:r>
      <w:r w:rsidR="008F796D">
        <w:t xml:space="preserve"> FATF structure and its </w:t>
      </w:r>
      <w:r>
        <w:t>R</w:t>
      </w:r>
      <w:r w:rsidR="008F796D">
        <w:t>ecommendations are backed up by its mutual country evaluations, which result in peer pressure being exerted to enforce compliance with standards</w:t>
      </w:r>
      <w:r w:rsidR="00B05C2C">
        <w:t>.</w:t>
      </w:r>
      <w:r w:rsidR="008F796D">
        <w:rPr>
          <w:rStyle w:val="FootnoteReference"/>
        </w:rPr>
        <w:footnoteReference w:id="162"/>
      </w:r>
      <w:r w:rsidR="008F796D">
        <w:t xml:space="preserve"> </w:t>
      </w:r>
      <w:r w:rsidR="00B05C2C">
        <w:t xml:space="preserve"> T</w:t>
      </w:r>
      <w:r w:rsidR="008F796D">
        <w:t>he UK will face its team of assessors</w:t>
      </w:r>
      <w:r w:rsidR="00B05C2C">
        <w:t>,</w:t>
      </w:r>
      <w:r w:rsidR="008F796D">
        <w:t xml:space="preserve"> examining both “technical compliance” (</w:t>
      </w:r>
      <w:r w:rsidR="008F796D" w:rsidRPr="00FA3818">
        <w:rPr>
          <w:lang w:val="en"/>
        </w:rPr>
        <w:t>whether the necessary laws, regulations or other required measures are in force and effect, and whether the supporting AML/CFT institutional framework is in place</w:t>
      </w:r>
      <w:r w:rsidR="008F796D">
        <w:rPr>
          <w:lang w:val="en"/>
        </w:rPr>
        <w:t xml:space="preserve">) </w:t>
      </w:r>
      <w:r w:rsidR="008F796D">
        <w:t>and “effectiveness” (</w:t>
      </w:r>
      <w:r w:rsidR="008F796D" w:rsidRPr="00FA3818">
        <w:rPr>
          <w:lang w:val="en"/>
        </w:rPr>
        <w:t>whether the AML/CFT systems are working, and the extent to which the country is achiev</w:t>
      </w:r>
      <w:r w:rsidR="008F796D">
        <w:rPr>
          <w:lang w:val="en"/>
        </w:rPr>
        <w:t>ing the defined set of outcomes)</w:t>
      </w:r>
      <w:r w:rsidR="008F796D">
        <w:rPr>
          <w:rStyle w:val="FootnoteReference"/>
        </w:rPr>
        <w:footnoteReference w:id="163"/>
      </w:r>
      <w:r w:rsidR="008F796D">
        <w:t xml:space="preserve"> during 2018.</w:t>
      </w:r>
      <w:r w:rsidR="00B05C2C" w:rsidRPr="00B05C2C">
        <w:rPr>
          <w:rStyle w:val="FootnoteReference"/>
        </w:rPr>
        <w:t xml:space="preserve"> </w:t>
      </w:r>
      <w:r w:rsidR="00B05C2C">
        <w:rPr>
          <w:rStyle w:val="FootnoteReference"/>
        </w:rPr>
        <w:footnoteReference w:id="164"/>
      </w:r>
      <w:r w:rsidR="008F796D">
        <w:t xml:space="preserve">  Gallant evidences the “</w:t>
      </w:r>
      <w:r w:rsidR="008F796D" w:rsidRPr="00B63F7E">
        <w:rPr>
          <w:i/>
        </w:rPr>
        <w:t>considerable influence</w:t>
      </w:r>
      <w:r w:rsidR="008F796D">
        <w:t>” conferred on FATF with reference to the direct impact the mutual evaluation of Canada in 2008 has had on its “</w:t>
      </w:r>
      <w:r w:rsidR="008F796D" w:rsidRPr="00B63F7E">
        <w:rPr>
          <w:i/>
        </w:rPr>
        <w:t>money laundering apparatus</w:t>
      </w:r>
      <w:r w:rsidR="008F796D">
        <w:t>”.</w:t>
      </w:r>
      <w:r w:rsidR="008F796D">
        <w:rPr>
          <w:rStyle w:val="FootnoteReference"/>
        </w:rPr>
        <w:footnoteReference w:id="165"/>
      </w:r>
      <w:r w:rsidR="008F796D">
        <w:t xml:space="preserve">  There are already indications that the mutual evaluation of the UK will result in a response by the UK government to avoid falling foul of the FATF standards: the </w:t>
      </w:r>
      <w:r>
        <w:t>National Risk Assessment</w:t>
      </w:r>
      <w:r w:rsidR="008F796D">
        <w:t xml:space="preserve"> 2015 itself was prepared to meet the obliga</w:t>
      </w:r>
      <w:r>
        <w:t>tions of the UK under the FATF R</w:t>
      </w:r>
      <w:r w:rsidR="008F796D">
        <w:t>ecommendations</w:t>
      </w:r>
      <w:r w:rsidR="00B05C2C">
        <w:t>,</w:t>
      </w:r>
      <w:r w:rsidR="008F796D">
        <w:rPr>
          <w:rStyle w:val="FootnoteReference"/>
        </w:rPr>
        <w:footnoteReference w:id="166"/>
      </w:r>
      <w:r w:rsidR="008F796D">
        <w:t xml:space="preserve"> aiming to “</w:t>
      </w:r>
      <w:r w:rsidR="008F796D" w:rsidRPr="00AD6A75">
        <w:rPr>
          <w:i/>
        </w:rPr>
        <w:t>identify, understand and assess the money laundering and terrorist financing risks faced by the UK</w:t>
      </w:r>
      <w:r w:rsidR="008F796D">
        <w:t>”</w:t>
      </w:r>
      <w:r w:rsidR="00B05C2C">
        <w:t>.</w:t>
      </w:r>
      <w:r w:rsidR="008F796D">
        <w:rPr>
          <w:rStyle w:val="FootnoteReference"/>
        </w:rPr>
        <w:footnoteReference w:id="167"/>
      </w:r>
      <w:r w:rsidR="008F796D">
        <w:t xml:space="preserve"> </w:t>
      </w:r>
      <w:r w:rsidR="00B05C2C">
        <w:t xml:space="preserve"> T</w:t>
      </w:r>
      <w:r w:rsidR="008F796D">
        <w:t xml:space="preserve">he latest National Risk Assessment refers directly to the foundation of measures taken in </w:t>
      </w:r>
      <w:r>
        <w:t xml:space="preserve">the UK in </w:t>
      </w:r>
      <w:r w:rsidR="008F796D">
        <w:t>anticipation of the mutual evaluation</w:t>
      </w:r>
      <w:r>
        <w:t>,</w:t>
      </w:r>
      <w:r w:rsidR="008F796D">
        <w:rPr>
          <w:rStyle w:val="FootnoteReference"/>
        </w:rPr>
        <w:footnoteReference w:id="168"/>
      </w:r>
      <w:r>
        <w:t xml:space="preserve"> which suggests an appetite for future additions to the Timeline.</w:t>
      </w:r>
    </w:p>
    <w:p w:rsidR="00224E3A" w:rsidRPr="00B05C2C" w:rsidRDefault="00B05C2C" w:rsidP="00224E3A">
      <w:pPr>
        <w:spacing w:before="240" w:after="0" w:line="360" w:lineRule="auto"/>
      </w:pPr>
      <w:r w:rsidRPr="00C60F0D">
        <w:rPr>
          <w:u w:val="single"/>
        </w:rPr>
        <w:t>Conclusion</w:t>
      </w:r>
    </w:p>
    <w:p w:rsidR="008C682D" w:rsidRPr="002D32FB" w:rsidRDefault="00535837" w:rsidP="002D32FB">
      <w:pPr>
        <w:spacing w:before="240" w:after="0" w:line="360" w:lineRule="auto"/>
      </w:pPr>
      <w:r>
        <w:t xml:space="preserve">This paper has made use of a Timeline to visualise the growth of anti-money laundering measures being taken in the UK, across the EU and internationally and to understand the driving forces behind those measures.  It has sought to illustrate how the regulatory process is affected by the distance between policy-makers and end-users and the time taken for decisions and policies to travel down the chain.  It has also attempted to highlight how the many variables, uncertainties, layers and discretionary elements of this process affect the effectiveness of anti-money laundering legislation and regulation and place a disproportionate burden on the private sector.  </w:t>
      </w:r>
      <w:r w:rsidR="008F1795">
        <w:t xml:space="preserve">The Timeline illustrates the legislative and regulatory result of attempting to respond to the ever-expanding series of ills and threats, with the </w:t>
      </w:r>
      <w:r w:rsidR="00ED1D4A">
        <w:t xml:space="preserve">costs and </w:t>
      </w:r>
      <w:r w:rsidR="008F1795">
        <w:t>burden of compliance falling squarely on the shoulders of the private sector</w:t>
      </w:r>
      <w:r w:rsidR="005F6879">
        <w:t>.</w:t>
      </w:r>
      <w:r w:rsidR="00ED1D4A">
        <w:rPr>
          <w:rStyle w:val="FootnoteReference"/>
        </w:rPr>
        <w:footnoteReference w:id="169"/>
      </w:r>
      <w:r w:rsidR="008F1795">
        <w:t xml:space="preserve">  </w:t>
      </w:r>
      <w:r w:rsidR="00224E3A">
        <w:t>While the compliance industry and related costs are booming</w:t>
      </w:r>
      <w:r w:rsidR="008F1795">
        <w:t xml:space="preserve"> in consequence</w:t>
      </w:r>
      <w:r w:rsidR="005F6879">
        <w:t>,</w:t>
      </w:r>
      <w:r w:rsidR="00E5155F">
        <w:rPr>
          <w:rStyle w:val="FootnoteReference"/>
        </w:rPr>
        <w:footnoteReference w:id="170"/>
      </w:r>
      <w:r w:rsidR="00224E3A">
        <w:t xml:space="preserve"> great effort </w:t>
      </w:r>
      <w:r w:rsidR="00E5155F">
        <w:t xml:space="preserve">is required </w:t>
      </w:r>
      <w:r w:rsidR="00224E3A">
        <w:t>to ensure proportionality and effectiveness to avoid bolstering a compliance industry without substance.  This is not to suggest that threats should be ignored, but to ensure that threats are rational and understood</w:t>
      </w:r>
      <w:r w:rsidR="00E969EC">
        <w:rPr>
          <w:rStyle w:val="FootnoteReference"/>
        </w:rPr>
        <w:footnoteReference w:id="171"/>
      </w:r>
      <w:r w:rsidR="00224E3A">
        <w:t xml:space="preserve"> </w:t>
      </w:r>
      <w:r w:rsidR="00E969EC">
        <w:t xml:space="preserve">in order to achieve a </w:t>
      </w:r>
      <w:r w:rsidR="00224E3A">
        <w:t xml:space="preserve">response </w:t>
      </w:r>
      <w:r w:rsidR="00E969EC">
        <w:t xml:space="preserve">which </w:t>
      </w:r>
      <w:r w:rsidR="00224E3A">
        <w:t xml:space="preserve">is realistic, effective and proportionate.  At present, it seems that proportionality and effectiveness are real concerns predominantly for private sector end-users, </w:t>
      </w:r>
      <w:r w:rsidR="005F6879">
        <w:t>and that they</w:t>
      </w:r>
      <w:r w:rsidR="00224E3A">
        <w:t xml:space="preserve"> can all too easily </w:t>
      </w:r>
      <w:r w:rsidR="005F6879">
        <w:t xml:space="preserve">be </w:t>
      </w:r>
      <w:r w:rsidR="00224E3A">
        <w:t>swept aside by high-level momentum and exaggerated fears</w:t>
      </w:r>
      <w:r w:rsidR="00050C20">
        <w:t xml:space="preserve"> </w:t>
      </w:r>
      <w:r w:rsidR="00ED2C00">
        <w:t xml:space="preserve">that together </w:t>
      </w:r>
      <w:r w:rsidR="00050C20">
        <w:t>trigger the next regulatory response</w:t>
      </w:r>
      <w:r>
        <w:t>.</w:t>
      </w:r>
      <w:r w:rsidR="00050C20">
        <w:rPr>
          <w:rStyle w:val="FootnoteReference"/>
        </w:rPr>
        <w:footnoteReference w:id="172"/>
      </w:r>
      <w:r w:rsidR="00224E3A" w:rsidRPr="00BC7C09">
        <w:t xml:space="preserve"> </w:t>
      </w:r>
      <w:r w:rsidR="00224E3A">
        <w:t xml:space="preserve"> The layer upon layer of risk assessments required by MLR 2017 will inevitably reveal risks</w:t>
      </w:r>
      <w:r>
        <w:t>,</w:t>
      </w:r>
      <w:r w:rsidR="0005678B">
        <w:rPr>
          <w:rStyle w:val="FootnoteReference"/>
        </w:rPr>
        <w:footnoteReference w:id="173"/>
      </w:r>
      <w:r w:rsidR="00224E3A">
        <w:t xml:space="preserve"> and the temptation will remain to tighten regulations and rules to combat these risk</w:t>
      </w:r>
      <w:r w:rsidR="00050C20">
        <w:t>s</w:t>
      </w:r>
      <w:r w:rsidR="00E64F56">
        <w:t>,</w:t>
      </w:r>
      <w:r w:rsidR="00050C20">
        <w:rPr>
          <w:rStyle w:val="FootnoteReference"/>
        </w:rPr>
        <w:footnoteReference w:id="174"/>
      </w:r>
      <w:r w:rsidR="00E64F56">
        <w:t xml:space="preserve"> particularly in light of the </w:t>
      </w:r>
      <w:r w:rsidR="00B1203A">
        <w:t xml:space="preserve">pressure </w:t>
      </w:r>
      <w:r w:rsidR="00E64F56">
        <w:t>to demonstrate compliance with international standards.</w:t>
      </w:r>
      <w:r>
        <w:t xml:space="preserve"> </w:t>
      </w:r>
      <w:r w:rsidR="00224E3A">
        <w:t xml:space="preserve"> The real challenge for policy-makers is ensuring the response to the perceived threat is proportionate and effective</w:t>
      </w:r>
      <w:r>
        <w:t xml:space="preserve"> at an operational level.  However, </w:t>
      </w:r>
      <w:r w:rsidR="008C682D">
        <w:t xml:space="preserve">if there is no political will, at UK, EU or international level, to slow the pace of change, </w:t>
      </w:r>
      <w:r w:rsidR="00C73E71">
        <w:t>the relentless regulatory response demonstrated by the</w:t>
      </w:r>
      <w:r w:rsidR="008F1795">
        <w:t xml:space="preserve"> Timeline is likely to continue, with l</w:t>
      </w:r>
      <w:r w:rsidR="00ED2C00">
        <w:t>ittle regard to effectiveness or</w:t>
      </w:r>
      <w:r w:rsidR="008F1795">
        <w:t xml:space="preserve"> proportionality,</w:t>
      </w:r>
      <w:r w:rsidR="00C73E71">
        <w:t xml:space="preserve"> and </w:t>
      </w:r>
      <w:r w:rsidR="008C682D">
        <w:t xml:space="preserve">it </w:t>
      </w:r>
      <w:r w:rsidR="00C73E71">
        <w:t xml:space="preserve">may </w:t>
      </w:r>
      <w:r w:rsidR="002D32FB">
        <w:t xml:space="preserve">fall </w:t>
      </w:r>
      <w:r w:rsidR="00C73E71">
        <w:t xml:space="preserve">to </w:t>
      </w:r>
      <w:r w:rsidR="008C682D">
        <w:t xml:space="preserve">the </w:t>
      </w:r>
      <w:r w:rsidR="006A5C27">
        <w:t>regulated sector</w:t>
      </w:r>
      <w:r w:rsidR="008C682D">
        <w:t xml:space="preserve">, where the costs </w:t>
      </w:r>
      <w:r w:rsidR="006A5C27">
        <w:t xml:space="preserve">and burden </w:t>
      </w:r>
      <w:r w:rsidR="008C682D">
        <w:t xml:space="preserve">of compliance </w:t>
      </w:r>
      <w:r w:rsidR="002D32FB">
        <w:t xml:space="preserve">are felt </w:t>
      </w:r>
      <w:r w:rsidR="008C682D">
        <w:t xml:space="preserve">most heavily, to </w:t>
      </w:r>
      <w:r w:rsidR="00C73E71">
        <w:t>resist.</w:t>
      </w:r>
    </w:p>
    <w:p w:rsidR="00903637" w:rsidRPr="008C682D" w:rsidRDefault="00903637">
      <w:pPr>
        <w:spacing w:after="200" w:line="276" w:lineRule="auto"/>
      </w:pPr>
    </w:p>
    <w:sectPr w:rsidR="00903637" w:rsidRPr="008C68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7E" w:rsidRDefault="002B127E" w:rsidP="008C682D">
      <w:pPr>
        <w:spacing w:after="0" w:line="240" w:lineRule="auto"/>
      </w:pPr>
      <w:r>
        <w:separator/>
      </w:r>
    </w:p>
  </w:endnote>
  <w:endnote w:type="continuationSeparator" w:id="0">
    <w:p w:rsidR="002B127E" w:rsidRDefault="002B127E" w:rsidP="008C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4296"/>
      <w:docPartObj>
        <w:docPartGallery w:val="Page Numbers (Bottom of Page)"/>
        <w:docPartUnique/>
      </w:docPartObj>
    </w:sdtPr>
    <w:sdtEndPr>
      <w:rPr>
        <w:noProof/>
      </w:rPr>
    </w:sdtEndPr>
    <w:sdtContent>
      <w:p w:rsidR="002B127E" w:rsidRDefault="002B127E">
        <w:pPr>
          <w:pStyle w:val="Footer"/>
          <w:jc w:val="center"/>
        </w:pPr>
        <w:r>
          <w:fldChar w:fldCharType="begin"/>
        </w:r>
        <w:r>
          <w:instrText xml:space="preserve"> PAGE   \* MERGEFORMAT </w:instrText>
        </w:r>
        <w:r>
          <w:fldChar w:fldCharType="separate"/>
        </w:r>
        <w:r w:rsidR="006E0A09">
          <w:rPr>
            <w:noProof/>
          </w:rPr>
          <w:t>1</w:t>
        </w:r>
        <w:r>
          <w:rPr>
            <w:noProof/>
          </w:rPr>
          <w:fldChar w:fldCharType="end"/>
        </w:r>
      </w:p>
    </w:sdtContent>
  </w:sdt>
  <w:p w:rsidR="002B127E" w:rsidRDefault="002B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7E" w:rsidRDefault="002B127E" w:rsidP="008C682D">
      <w:pPr>
        <w:spacing w:after="0" w:line="240" w:lineRule="auto"/>
      </w:pPr>
      <w:r>
        <w:separator/>
      </w:r>
    </w:p>
  </w:footnote>
  <w:footnote w:type="continuationSeparator" w:id="0">
    <w:p w:rsidR="002B127E" w:rsidRDefault="002B127E" w:rsidP="008C682D">
      <w:pPr>
        <w:spacing w:after="0" w:line="240" w:lineRule="auto"/>
      </w:pPr>
      <w:r>
        <w:continuationSeparator/>
      </w:r>
    </w:p>
  </w:footnote>
  <w:footnote w:id="1">
    <w:p w:rsidR="002B127E" w:rsidRDefault="002B127E" w:rsidP="008E78E3">
      <w:pPr>
        <w:pStyle w:val="FootnoteText"/>
      </w:pPr>
      <w:r>
        <w:rPr>
          <w:rStyle w:val="FootnoteReference"/>
        </w:rPr>
        <w:footnoteRef/>
      </w:r>
      <w:r>
        <w:t xml:space="preserve"> Legal Sector Affinity Group, </w:t>
      </w:r>
      <w:r w:rsidRPr="00683F8F">
        <w:rPr>
          <w:i/>
        </w:rPr>
        <w:t>Anti-Money Laundering Guidance for the Legal Sector</w:t>
      </w:r>
      <w:r w:rsidRPr="002552A9">
        <w:t>,</w:t>
      </w:r>
      <w:r>
        <w:t xml:space="preserve"> September 2017, 12</w:t>
      </w:r>
      <w:r w:rsidRPr="008E78E3">
        <w:t xml:space="preserve"> </w:t>
      </w:r>
      <w:r>
        <w:t>para 1.3</w:t>
      </w:r>
    </w:p>
  </w:footnote>
  <w:footnote w:id="2">
    <w:p w:rsidR="002B127E" w:rsidRDefault="002B127E" w:rsidP="00CB5735">
      <w:pPr>
        <w:pStyle w:val="FootnoteText"/>
      </w:pPr>
      <w:r>
        <w:rPr>
          <w:rStyle w:val="FootnoteReference"/>
        </w:rPr>
        <w:footnoteRef/>
      </w:r>
      <w:r>
        <w:t xml:space="preserve"> </w:t>
      </w:r>
      <w:r w:rsidRPr="00ED2986">
        <w:t>United Nations Convention against Illicit Traffic in Narcotic Drugs and Psychotropic Substances of 1988</w:t>
      </w:r>
    </w:p>
  </w:footnote>
  <w:footnote w:id="3">
    <w:p w:rsidR="002B127E" w:rsidRDefault="002B127E" w:rsidP="00CB5735">
      <w:pPr>
        <w:pStyle w:val="FootnoteText"/>
      </w:pPr>
      <w:r>
        <w:rPr>
          <w:rStyle w:val="FootnoteReference"/>
        </w:rPr>
        <w:footnoteRef/>
      </w:r>
      <w:r>
        <w:t xml:space="preserve"> See FATF, ‘Who we are’&lt;</w:t>
      </w:r>
      <w:hyperlink r:id="rId1" w:history="1">
        <w:r w:rsidRPr="003E48B4">
          <w:rPr>
            <w:rStyle w:val="Hyperlink"/>
          </w:rPr>
          <w:t>http://www.fatf-gafi.org/about/</w:t>
        </w:r>
      </w:hyperlink>
      <w:r>
        <w:t xml:space="preserve">&gt; accessed 25 March 2018 </w:t>
      </w:r>
    </w:p>
  </w:footnote>
  <w:footnote w:id="4">
    <w:p w:rsidR="002B127E" w:rsidRDefault="002B127E">
      <w:pPr>
        <w:pStyle w:val="FootnoteText"/>
      </w:pPr>
      <w:r>
        <w:rPr>
          <w:rStyle w:val="FootnoteReference"/>
        </w:rPr>
        <w:footnoteRef/>
      </w:r>
      <w:r>
        <w:t xml:space="preserve"> Most recently, FATF, </w:t>
      </w:r>
      <w:r w:rsidRPr="00683F8F">
        <w:rPr>
          <w:i/>
        </w:rPr>
        <w:t>International Standards on Combating Money Laundering and the Financing of Terrorism and Proliferation:</w:t>
      </w:r>
      <w:r>
        <w:rPr>
          <w:i/>
        </w:rPr>
        <w:t xml:space="preserve"> The FATF Recommendations</w:t>
      </w:r>
      <w:r>
        <w:t>, February 2012 &lt;</w:t>
      </w:r>
      <w:hyperlink r:id="rId2" w:history="1">
        <w:r w:rsidRPr="00544E2B">
          <w:rPr>
            <w:rStyle w:val="Hyperlink"/>
          </w:rPr>
          <w:t>http://www.fatf-gafi.org/media/fatf/documents/recommendations/pdfs/FATF%20Recommendations%202012.pdf</w:t>
        </w:r>
      </w:hyperlink>
      <w:r>
        <w:t>&gt; accessed 25 March 2018.</w:t>
      </w:r>
    </w:p>
  </w:footnote>
  <w:footnote w:id="5">
    <w:p w:rsidR="002B127E" w:rsidRDefault="002B127E" w:rsidP="001F081C">
      <w:pPr>
        <w:pStyle w:val="FootnoteText"/>
      </w:pPr>
      <w:r>
        <w:rPr>
          <w:rStyle w:val="FootnoteReference"/>
        </w:rPr>
        <w:footnoteRef/>
      </w:r>
      <w:r>
        <w:t xml:space="preserve"> J.C. Sharman, ‘Power and Discourse in Policy Diffusion: Anti-Money Laundering in Developing States’ (2008) 52 International Studies Quarterly 635-656, 636</w:t>
      </w:r>
    </w:p>
  </w:footnote>
  <w:footnote w:id="6">
    <w:p w:rsidR="002B127E" w:rsidRDefault="002B127E">
      <w:pPr>
        <w:pStyle w:val="FootnoteText"/>
      </w:pPr>
      <w:r>
        <w:rPr>
          <w:rStyle w:val="FootnoteReference"/>
        </w:rPr>
        <w:footnoteRef/>
      </w:r>
      <w:r>
        <w:t xml:space="preserve"> See, for example, HM Treasury and Home Office, </w:t>
      </w:r>
      <w:r w:rsidRPr="002552A9">
        <w:rPr>
          <w:i/>
        </w:rPr>
        <w:t>UK national risk assessment of money lau</w:t>
      </w:r>
      <w:r>
        <w:rPr>
          <w:i/>
        </w:rPr>
        <w:t>ndering and terrorist financing</w:t>
      </w:r>
      <w:r>
        <w:t>, October 2015</w:t>
      </w:r>
    </w:p>
  </w:footnote>
  <w:footnote w:id="7">
    <w:p w:rsidR="002B127E" w:rsidRDefault="002B127E" w:rsidP="00CB5735">
      <w:pPr>
        <w:pStyle w:val="FootnoteText"/>
      </w:pPr>
      <w:r>
        <w:rPr>
          <w:rStyle w:val="FootnoteReference"/>
        </w:rPr>
        <w:footnoteRef/>
      </w:r>
      <w:r>
        <w:t xml:space="preserve"> See Peter Alldridge, ‘The Moral Limits of the Crime of Money Laundering’ (2001</w:t>
      </w:r>
      <w:r>
        <w:noBreakHyphen/>
        <w:t>2002) 5 Buff. Crim. L. Rev. 279</w:t>
      </w:r>
    </w:p>
  </w:footnote>
  <w:footnote w:id="8">
    <w:p w:rsidR="002B127E" w:rsidRDefault="002B127E" w:rsidP="00CB5735">
      <w:pPr>
        <w:pStyle w:val="FootnoteText"/>
      </w:pPr>
      <w:r>
        <w:rPr>
          <w:rStyle w:val="FootnoteReference"/>
        </w:rPr>
        <w:footnoteRef/>
      </w:r>
      <w:r>
        <w:t xml:space="preserve"> For example, Jackie Harvey, ‘Just How Effective is Money Laundering Legislation?’ (2008) 21 Security Journal 189-211; and J.C. Sharman (n5)</w:t>
      </w:r>
    </w:p>
  </w:footnote>
  <w:footnote w:id="9">
    <w:p w:rsidR="002B127E" w:rsidRDefault="002B127E" w:rsidP="00CB5735">
      <w:pPr>
        <w:pStyle w:val="FootnoteText"/>
      </w:pPr>
      <w:r>
        <w:rPr>
          <w:rStyle w:val="FootnoteReference"/>
        </w:rPr>
        <w:footnoteRef/>
      </w:r>
      <w:r>
        <w:t xml:space="preserve"> Mark Pieth, ‘The Harmonization of Law Against Economic Crime’ (1999) 1 Eur. J.L. Reform 527, 531</w:t>
      </w:r>
    </w:p>
  </w:footnote>
  <w:footnote w:id="10">
    <w:p w:rsidR="002B127E" w:rsidRPr="00B61FC8" w:rsidRDefault="002B127E" w:rsidP="00CB5735">
      <w:pPr>
        <w:pStyle w:val="FootnoteText"/>
      </w:pPr>
      <w:r>
        <w:rPr>
          <w:rStyle w:val="FootnoteReference"/>
        </w:rPr>
        <w:footnoteRef/>
      </w:r>
      <w:r w:rsidRPr="00B61FC8">
        <w:t xml:space="preserve"> Petru</w:t>
      </w:r>
      <w:r>
        <w:t>s C. van Duyne, Marc S. Groenhuij</w:t>
      </w:r>
      <w:r w:rsidRPr="00B61FC8">
        <w:t xml:space="preserve">sen and A.A.P. Schudelaro, </w:t>
      </w:r>
      <w:r>
        <w:t>‘</w:t>
      </w:r>
      <w:r w:rsidRPr="00B61FC8">
        <w:t>Balancing financial threats and legal interests in money-laundering policy</w:t>
      </w:r>
      <w:r>
        <w:t>’ (2005)</w:t>
      </w:r>
      <w:r w:rsidRPr="00B61FC8">
        <w:t xml:space="preserve"> </w:t>
      </w:r>
      <w:r>
        <w:t xml:space="preserve">43 </w:t>
      </w:r>
      <w:r w:rsidRPr="00B61FC8">
        <w:t>Crime, L</w:t>
      </w:r>
      <w:r>
        <w:t>aw and Social Change 117-147</w:t>
      </w:r>
    </w:p>
  </w:footnote>
  <w:footnote w:id="11">
    <w:p w:rsidR="002B127E" w:rsidRDefault="002B127E" w:rsidP="00CB5735">
      <w:pPr>
        <w:pStyle w:val="FootnoteText"/>
      </w:pPr>
      <w:r>
        <w:rPr>
          <w:rStyle w:val="FootnoteReference"/>
        </w:rPr>
        <w:footnoteRef/>
      </w:r>
      <w:r>
        <w:t xml:space="preserve"> Ibid, 141</w:t>
      </w:r>
    </w:p>
  </w:footnote>
  <w:footnote w:id="12">
    <w:p w:rsidR="002B127E" w:rsidRDefault="002B127E">
      <w:pPr>
        <w:pStyle w:val="FootnoteText"/>
      </w:pPr>
      <w:r>
        <w:rPr>
          <w:rStyle w:val="FootnoteReference"/>
        </w:rPr>
        <w:footnoteRef/>
      </w:r>
      <w:r>
        <w:t xml:space="preserve"> Regulatory obligations are primarily found in the Money Laundering Regulations and are supplemented by specific offences shown on the Timeline and described in more detail below.</w:t>
      </w:r>
    </w:p>
  </w:footnote>
  <w:footnote w:id="13">
    <w:p w:rsidR="002B127E" w:rsidRDefault="002B127E">
      <w:pPr>
        <w:pStyle w:val="FootnoteText"/>
      </w:pPr>
      <w:r>
        <w:rPr>
          <w:rStyle w:val="FootnoteReference"/>
        </w:rPr>
        <w:footnoteRef/>
      </w:r>
      <w:r>
        <w:t xml:space="preserve"> SI 2017/692</w:t>
      </w:r>
    </w:p>
  </w:footnote>
  <w:footnote w:id="14">
    <w:p w:rsidR="002B127E" w:rsidRDefault="002B127E">
      <w:pPr>
        <w:pStyle w:val="FootnoteText"/>
      </w:pPr>
      <w:r>
        <w:rPr>
          <w:rStyle w:val="FootnoteReference"/>
        </w:rPr>
        <w:footnoteRef/>
      </w:r>
      <w:r>
        <w:t xml:space="preserve"> As discussed below, recent government publications such as: Home Office and HM Treasury, </w:t>
      </w:r>
      <w:r w:rsidRPr="002552A9">
        <w:rPr>
          <w:i/>
        </w:rPr>
        <w:t>Action Plan for anti-money laundering and counter-terrorist finance</w:t>
      </w:r>
      <w:r>
        <w:t xml:space="preserve">, April 2016; and HM Government, </w:t>
      </w:r>
      <w:r w:rsidRPr="00E2156D">
        <w:rPr>
          <w:i/>
        </w:rPr>
        <w:t>The United Kingdom’s exit from, and new partnership with, the European Union</w:t>
      </w:r>
      <w:r>
        <w:t xml:space="preserve"> (CM 9417), February 2017, uphold the UK government’s commitment to addressing the threat of anti-money laundering. </w:t>
      </w:r>
    </w:p>
  </w:footnote>
  <w:footnote w:id="15">
    <w:p w:rsidR="002B127E" w:rsidRDefault="002B127E">
      <w:pPr>
        <w:pStyle w:val="FootnoteText"/>
      </w:pPr>
      <w:r>
        <w:rPr>
          <w:rStyle w:val="FootnoteReference"/>
        </w:rPr>
        <w:footnoteRef/>
      </w:r>
      <w:r>
        <w:t xml:space="preserve"> Directive (EU) 2015/849</w:t>
      </w:r>
    </w:p>
  </w:footnote>
  <w:footnote w:id="16">
    <w:p w:rsidR="002B127E" w:rsidRDefault="002B127E" w:rsidP="008C682D">
      <w:pPr>
        <w:pStyle w:val="FootnoteText"/>
      </w:pPr>
      <w:r>
        <w:rPr>
          <w:rStyle w:val="FootnoteReference"/>
        </w:rPr>
        <w:footnoteRef/>
      </w:r>
      <w:r>
        <w:t xml:space="preserve"> MLR 2017</w:t>
      </w:r>
    </w:p>
  </w:footnote>
  <w:footnote w:id="17">
    <w:p w:rsidR="002B127E" w:rsidRDefault="002B127E" w:rsidP="008C682D">
      <w:pPr>
        <w:pStyle w:val="FootnoteText"/>
      </w:pPr>
      <w:r>
        <w:rPr>
          <w:rStyle w:val="FootnoteReference"/>
        </w:rPr>
        <w:footnoteRef/>
      </w:r>
      <w:r>
        <w:t xml:space="preserve"> MLR 2007</w:t>
      </w:r>
    </w:p>
  </w:footnote>
  <w:footnote w:id="18">
    <w:p w:rsidR="002B127E" w:rsidRDefault="002B127E" w:rsidP="008C682D">
      <w:pPr>
        <w:pStyle w:val="FootnoteText"/>
      </w:pPr>
      <w:r>
        <w:rPr>
          <w:rStyle w:val="FootnoteReference"/>
        </w:rPr>
        <w:footnoteRef/>
      </w:r>
      <w:r>
        <w:t xml:space="preserve"> Regulation 8 MLR 2017</w:t>
      </w:r>
    </w:p>
  </w:footnote>
  <w:footnote w:id="19">
    <w:p w:rsidR="002B127E" w:rsidRDefault="002B127E" w:rsidP="008C682D">
      <w:pPr>
        <w:pStyle w:val="FootnoteText"/>
      </w:pPr>
      <w:r>
        <w:rPr>
          <w:rStyle w:val="FootnoteReference"/>
        </w:rPr>
        <w:footnoteRef/>
      </w:r>
      <w:r>
        <w:t xml:space="preserve"> Part 3 MLR 2017</w:t>
      </w:r>
    </w:p>
  </w:footnote>
  <w:footnote w:id="20">
    <w:p w:rsidR="002B127E" w:rsidRDefault="002B127E" w:rsidP="008C682D">
      <w:pPr>
        <w:pStyle w:val="FootnoteText"/>
      </w:pPr>
      <w:r>
        <w:rPr>
          <w:rStyle w:val="FootnoteReference"/>
        </w:rPr>
        <w:footnoteRef/>
      </w:r>
      <w:r>
        <w:t xml:space="preserve"> Suspicious activity disclosures are made in accordance with Part 3 Terrorism Act 2000 and Part 7 Proceeds of Crime Act 2002.</w:t>
      </w:r>
    </w:p>
  </w:footnote>
  <w:footnote w:id="21">
    <w:p w:rsidR="002B127E" w:rsidRDefault="002B127E" w:rsidP="008C682D">
      <w:pPr>
        <w:pStyle w:val="FootnoteText"/>
      </w:pPr>
      <w:r>
        <w:rPr>
          <w:rStyle w:val="FootnoteReference"/>
        </w:rPr>
        <w:footnoteRef/>
      </w:r>
      <w:r>
        <w:t xml:space="preserve"> Regulation 24 MLR 2017</w:t>
      </w:r>
    </w:p>
  </w:footnote>
  <w:footnote w:id="22">
    <w:p w:rsidR="002B127E" w:rsidRDefault="002B127E" w:rsidP="008C682D">
      <w:pPr>
        <w:pStyle w:val="FootnoteText"/>
      </w:pPr>
      <w:r>
        <w:rPr>
          <w:rStyle w:val="FootnoteReference"/>
        </w:rPr>
        <w:footnoteRef/>
      </w:r>
      <w:r>
        <w:t xml:space="preserve"> Part 4 MLR 2017</w:t>
      </w:r>
    </w:p>
  </w:footnote>
  <w:footnote w:id="23">
    <w:p w:rsidR="002B127E" w:rsidRDefault="002B127E" w:rsidP="008C682D">
      <w:pPr>
        <w:pStyle w:val="FootnoteText"/>
      </w:pPr>
      <w:r>
        <w:rPr>
          <w:rStyle w:val="FootnoteReference"/>
        </w:rPr>
        <w:footnoteRef/>
      </w:r>
      <w:r>
        <w:t xml:space="preserve"> Part 2, Chapter 2 MLR 2017</w:t>
      </w:r>
    </w:p>
  </w:footnote>
  <w:footnote w:id="24">
    <w:p w:rsidR="002B127E" w:rsidRDefault="002B127E" w:rsidP="008C682D">
      <w:pPr>
        <w:pStyle w:val="FootnoteText"/>
      </w:pPr>
      <w:r>
        <w:rPr>
          <w:rStyle w:val="FootnoteReference"/>
        </w:rPr>
        <w:footnoteRef/>
      </w:r>
      <w:r>
        <w:t xml:space="preserve"> Regulation 45 MLR 2007</w:t>
      </w:r>
    </w:p>
  </w:footnote>
  <w:footnote w:id="25">
    <w:p w:rsidR="002B127E" w:rsidRDefault="002B127E" w:rsidP="008C682D">
      <w:pPr>
        <w:pStyle w:val="FootnoteText"/>
      </w:pPr>
      <w:r>
        <w:rPr>
          <w:rStyle w:val="FootnoteReference"/>
        </w:rPr>
        <w:footnoteRef/>
      </w:r>
      <w:r>
        <w:t xml:space="preserve"> Regulation 86(1)(b) MLR 2017</w:t>
      </w:r>
    </w:p>
  </w:footnote>
  <w:footnote w:id="26">
    <w:p w:rsidR="002B127E" w:rsidRDefault="002B127E" w:rsidP="008C682D">
      <w:pPr>
        <w:pStyle w:val="FootnoteText"/>
      </w:pPr>
      <w:r>
        <w:rPr>
          <w:rStyle w:val="FootnoteReference"/>
        </w:rPr>
        <w:footnoteRef/>
      </w:r>
      <w:r>
        <w:t xml:space="preserve"> Regulation 16(1) MLR 2017</w:t>
      </w:r>
    </w:p>
  </w:footnote>
  <w:footnote w:id="27">
    <w:p w:rsidR="002B127E" w:rsidRDefault="002B127E" w:rsidP="008C682D">
      <w:pPr>
        <w:pStyle w:val="FootnoteText"/>
      </w:pPr>
      <w:r>
        <w:rPr>
          <w:rStyle w:val="FootnoteReference"/>
        </w:rPr>
        <w:footnoteRef/>
      </w:r>
      <w:r>
        <w:t xml:space="preserve"> Regulation 16 MLR 2017</w:t>
      </w:r>
    </w:p>
  </w:footnote>
  <w:footnote w:id="28">
    <w:p w:rsidR="002B127E" w:rsidRDefault="002B127E" w:rsidP="008C682D">
      <w:pPr>
        <w:pStyle w:val="FootnoteText"/>
      </w:pPr>
      <w:r>
        <w:rPr>
          <w:rStyle w:val="FootnoteReference"/>
        </w:rPr>
        <w:footnoteRef/>
      </w:r>
      <w:r>
        <w:t xml:space="preserve"> Regulation 16(5) MLR 2017</w:t>
      </w:r>
    </w:p>
  </w:footnote>
  <w:footnote w:id="29">
    <w:p w:rsidR="002B127E" w:rsidRDefault="002B127E" w:rsidP="008C682D">
      <w:pPr>
        <w:pStyle w:val="FootnoteText"/>
      </w:pPr>
      <w:r>
        <w:rPr>
          <w:rStyle w:val="FootnoteReference"/>
        </w:rPr>
        <w:footnoteRef/>
      </w:r>
      <w:r>
        <w:t xml:space="preserve"> Article 6.1 4MLD</w:t>
      </w:r>
    </w:p>
  </w:footnote>
  <w:footnote w:id="30">
    <w:p w:rsidR="002B127E" w:rsidRDefault="002B127E" w:rsidP="008C682D">
      <w:pPr>
        <w:pStyle w:val="FootnoteText"/>
      </w:pPr>
      <w:r>
        <w:rPr>
          <w:rStyle w:val="FootnoteReference"/>
        </w:rPr>
        <w:footnoteRef/>
      </w:r>
      <w:r>
        <w:t xml:space="preserve"> Regulation 17(1) MLR 2017</w:t>
      </w:r>
    </w:p>
  </w:footnote>
  <w:footnote w:id="31">
    <w:p w:rsidR="002B127E" w:rsidRDefault="002B127E" w:rsidP="008C682D">
      <w:pPr>
        <w:pStyle w:val="FootnoteText"/>
      </w:pPr>
      <w:r>
        <w:rPr>
          <w:rStyle w:val="FootnoteReference"/>
        </w:rPr>
        <w:footnoteRef/>
      </w:r>
      <w:r>
        <w:t xml:space="preserve"> Relevant persons are listed in Regulation 8 MLR 2017, provided they are not excluded by Regulation 15 MLR 2017 and they are acting in the course of business carried on by them in the United Kingdom, as credit institutions, financial institutions, auditors, insolvency practitioners, external accountants and tax advisers, independent legal professionals, trust or company service providers, estate agents, high value dealers and casinos.</w:t>
      </w:r>
    </w:p>
  </w:footnote>
  <w:footnote w:id="32">
    <w:p w:rsidR="002B127E" w:rsidRDefault="002B127E" w:rsidP="008C682D">
      <w:pPr>
        <w:pStyle w:val="FootnoteText"/>
      </w:pPr>
      <w:r>
        <w:rPr>
          <w:rStyle w:val="FootnoteReference"/>
        </w:rPr>
        <w:footnoteRef/>
      </w:r>
      <w:r>
        <w:t xml:space="preserve"> Regulation 18(1) MLR 2017</w:t>
      </w:r>
    </w:p>
  </w:footnote>
  <w:footnote w:id="33">
    <w:p w:rsidR="002B127E" w:rsidRDefault="002B127E" w:rsidP="008C682D">
      <w:pPr>
        <w:pStyle w:val="FootnoteText"/>
      </w:pPr>
      <w:r>
        <w:rPr>
          <w:rStyle w:val="FootnoteReference"/>
        </w:rPr>
        <w:footnoteRef/>
      </w:r>
      <w:r>
        <w:t xml:space="preserve"> Regulations 16(5); 17(2) and 18(2)(A) MLR 2017</w:t>
      </w:r>
    </w:p>
  </w:footnote>
  <w:footnote w:id="34">
    <w:p w:rsidR="002B127E" w:rsidRDefault="002B127E" w:rsidP="008C682D">
      <w:pPr>
        <w:pStyle w:val="FootnoteText"/>
      </w:pPr>
      <w:r>
        <w:rPr>
          <w:rStyle w:val="FootnoteReference"/>
        </w:rPr>
        <w:footnoteRef/>
      </w:r>
      <w:r>
        <w:t xml:space="preserve"> Regulation 16(2) MLR 2017</w:t>
      </w:r>
    </w:p>
  </w:footnote>
  <w:footnote w:id="35">
    <w:p w:rsidR="002B127E" w:rsidRDefault="002B127E" w:rsidP="008C682D">
      <w:pPr>
        <w:pStyle w:val="FootnoteText"/>
      </w:pPr>
      <w:r>
        <w:rPr>
          <w:rStyle w:val="FootnoteReference"/>
        </w:rPr>
        <w:footnoteRef/>
      </w:r>
      <w:r>
        <w:t xml:space="preserve"> Regulation 18(2)(b) MLR 2017</w:t>
      </w:r>
    </w:p>
  </w:footnote>
  <w:footnote w:id="36">
    <w:p w:rsidR="002B127E" w:rsidRDefault="002B127E" w:rsidP="008C682D">
      <w:pPr>
        <w:pStyle w:val="FootnoteText"/>
      </w:pPr>
      <w:r>
        <w:rPr>
          <w:rStyle w:val="FootnoteReference"/>
        </w:rPr>
        <w:footnoteRef/>
      </w:r>
      <w:r>
        <w:t xml:space="preserve"> Regulation 28(1) and (2) and (3) MLR 2017</w:t>
      </w:r>
    </w:p>
  </w:footnote>
  <w:footnote w:id="37">
    <w:p w:rsidR="002B127E" w:rsidRDefault="002B127E" w:rsidP="008C682D">
      <w:pPr>
        <w:pStyle w:val="FootnoteText"/>
      </w:pPr>
      <w:r>
        <w:rPr>
          <w:rStyle w:val="FootnoteReference"/>
        </w:rPr>
        <w:footnoteRef/>
      </w:r>
      <w:r>
        <w:t xml:space="preserve"> Regulation 28(2)(c) MLR 2017</w:t>
      </w:r>
    </w:p>
  </w:footnote>
  <w:footnote w:id="38">
    <w:p w:rsidR="002B127E" w:rsidRDefault="002B127E" w:rsidP="008C682D">
      <w:pPr>
        <w:pStyle w:val="FootnoteText"/>
      </w:pPr>
      <w:r>
        <w:rPr>
          <w:rStyle w:val="FootnoteReference"/>
        </w:rPr>
        <w:footnoteRef/>
      </w:r>
      <w:r>
        <w:t xml:space="preserve"> See Part 3, Chapters 2 and 3 MLR 2017 for provisions relating to enhanced and simplified due diligence.</w:t>
      </w:r>
    </w:p>
  </w:footnote>
  <w:footnote w:id="39">
    <w:p w:rsidR="002B127E" w:rsidRDefault="002B127E" w:rsidP="008C682D">
      <w:pPr>
        <w:pStyle w:val="FootnoteText"/>
      </w:pPr>
      <w:r>
        <w:rPr>
          <w:rStyle w:val="FootnoteReference"/>
        </w:rPr>
        <w:footnoteRef/>
      </w:r>
      <w:r>
        <w:t xml:space="preserve"> Regulation 33(1) MLR 2017</w:t>
      </w:r>
    </w:p>
  </w:footnote>
  <w:footnote w:id="40">
    <w:p w:rsidR="002B127E" w:rsidRDefault="002B127E">
      <w:pPr>
        <w:pStyle w:val="FootnoteText"/>
      </w:pPr>
      <w:r>
        <w:rPr>
          <w:rStyle w:val="FootnoteReference"/>
        </w:rPr>
        <w:footnoteRef/>
      </w:r>
      <w:r>
        <w:t xml:space="preserve"> For example in relation to pooled accounts held by independent legal professionals under Regulation 13(4) MLR 2007.</w:t>
      </w:r>
    </w:p>
  </w:footnote>
  <w:footnote w:id="41">
    <w:p w:rsidR="002B127E" w:rsidRDefault="002B127E">
      <w:pPr>
        <w:pStyle w:val="FootnoteText"/>
      </w:pPr>
      <w:r>
        <w:rPr>
          <w:rStyle w:val="FootnoteReference"/>
        </w:rPr>
        <w:footnoteRef/>
      </w:r>
      <w:r>
        <w:t xml:space="preserve"> “Politically Exposed Persons”, previously confined to individuals holding a prominent public function in states “other than the United Kingdom” under Regulation 14(5)(a)(i) MLR 2007.</w:t>
      </w:r>
    </w:p>
  </w:footnote>
  <w:footnote w:id="42">
    <w:p w:rsidR="002B127E" w:rsidRDefault="002B127E" w:rsidP="008C682D">
      <w:pPr>
        <w:pStyle w:val="FootnoteText"/>
      </w:pPr>
      <w:r>
        <w:rPr>
          <w:rStyle w:val="FootnoteReference"/>
        </w:rPr>
        <w:footnoteRef/>
      </w:r>
      <w:r>
        <w:t xml:space="preserve"> Regulation 28(4) MLR 2017</w:t>
      </w:r>
    </w:p>
  </w:footnote>
  <w:footnote w:id="43">
    <w:p w:rsidR="002B127E" w:rsidRPr="00D4484F" w:rsidRDefault="002B127E" w:rsidP="008C682D">
      <w:pPr>
        <w:pStyle w:val="FootnoteText"/>
      </w:pPr>
      <w:r>
        <w:rPr>
          <w:rStyle w:val="FootnoteReference"/>
        </w:rPr>
        <w:footnoteRef/>
      </w:r>
      <w:r>
        <w:t xml:space="preserve"> The requirement is in respect of a body corporate which is not a company whose securities are listed on a regulated market and includes “</w:t>
      </w:r>
      <w:r w:rsidRPr="00D4484F">
        <w:rPr>
          <w:i/>
        </w:rPr>
        <w:t>(a) any in</w:t>
      </w:r>
      <w:r>
        <w:rPr>
          <w:i/>
        </w:rPr>
        <w:t>dividual who exercises ultimate control over the management of the body corporate; (b) any individual who ultimately owns or controls (in each case whether directly or indirectly), including through bearer share holdings or by other means, more than 25% of the shares or voting rights in the body corporate; or (c) an individual who controls the body corporate.</w:t>
      </w:r>
      <w:r>
        <w:t>” (Regulation 5(1) MLR 2017)</w:t>
      </w:r>
    </w:p>
  </w:footnote>
  <w:footnote w:id="44">
    <w:p w:rsidR="002B127E" w:rsidRDefault="002B127E" w:rsidP="008C682D">
      <w:pPr>
        <w:pStyle w:val="FootnoteText"/>
      </w:pPr>
      <w:r>
        <w:rPr>
          <w:rStyle w:val="FootnoteReference"/>
        </w:rPr>
        <w:footnoteRef/>
      </w:r>
      <w:r>
        <w:t xml:space="preserve"> Regulation 6 MLR 2017</w:t>
      </w:r>
    </w:p>
  </w:footnote>
  <w:footnote w:id="45">
    <w:p w:rsidR="002B127E" w:rsidRDefault="002B127E" w:rsidP="008C682D">
      <w:pPr>
        <w:pStyle w:val="FootnoteText"/>
      </w:pPr>
      <w:r>
        <w:rPr>
          <w:rStyle w:val="FootnoteReference"/>
        </w:rPr>
        <w:footnoteRef/>
      </w:r>
      <w:r>
        <w:t xml:space="preserve"> Regulation 20(4) MLR 2017</w:t>
      </w:r>
    </w:p>
  </w:footnote>
  <w:footnote w:id="46">
    <w:p w:rsidR="002B127E" w:rsidRDefault="002B127E" w:rsidP="008C682D">
      <w:pPr>
        <w:pStyle w:val="FootnoteText"/>
      </w:pPr>
      <w:r>
        <w:rPr>
          <w:rStyle w:val="FootnoteReference"/>
        </w:rPr>
        <w:footnoteRef/>
      </w:r>
      <w:r>
        <w:t xml:space="preserve"> Regulation 28(4)(c) MLR 2017</w:t>
      </w:r>
    </w:p>
  </w:footnote>
  <w:footnote w:id="47">
    <w:p w:rsidR="002B127E" w:rsidRDefault="002B127E" w:rsidP="008C682D">
      <w:pPr>
        <w:pStyle w:val="FootnoteText"/>
      </w:pPr>
      <w:r>
        <w:rPr>
          <w:rStyle w:val="FootnoteReference"/>
        </w:rPr>
        <w:footnoteRef/>
      </w:r>
      <w:r>
        <w:t xml:space="preserve"> The provision was originally introduced as Section 21A Companies Act 2006 by the Small Business, Enterprise and Employment Act 2015 and has since been updated and amended.</w:t>
      </w:r>
    </w:p>
  </w:footnote>
  <w:footnote w:id="48">
    <w:p w:rsidR="002B127E" w:rsidRDefault="002B127E" w:rsidP="008C682D">
      <w:pPr>
        <w:pStyle w:val="FootnoteText"/>
      </w:pPr>
      <w:r>
        <w:rPr>
          <w:rStyle w:val="FootnoteReference"/>
        </w:rPr>
        <w:footnoteRef/>
      </w:r>
      <w:r>
        <w:t xml:space="preserve"> Regulation 20(4) MLR 2017</w:t>
      </w:r>
    </w:p>
  </w:footnote>
  <w:footnote w:id="49">
    <w:p w:rsidR="002B127E" w:rsidRDefault="002B127E" w:rsidP="008C682D">
      <w:pPr>
        <w:pStyle w:val="FootnoteText"/>
      </w:pPr>
      <w:r>
        <w:rPr>
          <w:rStyle w:val="FootnoteReference"/>
        </w:rPr>
        <w:footnoteRef/>
      </w:r>
      <w:r>
        <w:t xml:space="preserve"> The requirement applies to corporate bodies entering into a relevant transaction with a relevant person, or forming a business relationship with a relevant person, other than those listed on a regulated market  (Regulation 43(1) MLR 2017).</w:t>
      </w:r>
    </w:p>
  </w:footnote>
  <w:footnote w:id="50">
    <w:p w:rsidR="002B127E" w:rsidRDefault="002B127E" w:rsidP="008C682D">
      <w:pPr>
        <w:pStyle w:val="FootnoteText"/>
      </w:pPr>
      <w:r>
        <w:rPr>
          <w:rStyle w:val="FootnoteReference"/>
        </w:rPr>
        <w:footnoteRef/>
      </w:r>
      <w:r>
        <w:t xml:space="preserve"> Regulation 43(1) MLR 2017 in the case of transactions in relation to which the relevant person is required to apply customer due diligence (Regulation 43(9) MLR 2017)</w:t>
      </w:r>
    </w:p>
  </w:footnote>
  <w:footnote w:id="51">
    <w:p w:rsidR="002B127E" w:rsidRDefault="002B127E" w:rsidP="008C682D">
      <w:pPr>
        <w:pStyle w:val="FootnoteText"/>
      </w:pPr>
      <w:r>
        <w:rPr>
          <w:rStyle w:val="FootnoteReference"/>
        </w:rPr>
        <w:footnoteRef/>
      </w:r>
      <w:r>
        <w:t xml:space="preserve"> Regulation 43 (1)(a)</w:t>
      </w:r>
    </w:p>
  </w:footnote>
  <w:footnote w:id="52">
    <w:p w:rsidR="002B127E" w:rsidRDefault="002B127E" w:rsidP="008C682D">
      <w:pPr>
        <w:pStyle w:val="FootnoteText"/>
      </w:pPr>
      <w:r>
        <w:rPr>
          <w:rStyle w:val="FootnoteReference"/>
        </w:rPr>
        <w:footnoteRef/>
      </w:r>
      <w:r>
        <w:t xml:space="preserve"> Regulation 43(1)(a)(iii)</w:t>
      </w:r>
    </w:p>
  </w:footnote>
  <w:footnote w:id="53">
    <w:p w:rsidR="002B127E" w:rsidRDefault="002B127E">
      <w:pPr>
        <w:pStyle w:val="FootnoteText"/>
      </w:pPr>
      <w:r>
        <w:rPr>
          <w:rStyle w:val="FootnoteReference"/>
        </w:rPr>
        <w:footnoteRef/>
      </w:r>
      <w:r>
        <w:t xml:space="preserve"> Section 21A Companies Act 2006</w:t>
      </w:r>
    </w:p>
  </w:footnote>
  <w:footnote w:id="54">
    <w:p w:rsidR="002B127E" w:rsidRDefault="002B127E" w:rsidP="008C682D">
      <w:pPr>
        <w:pStyle w:val="FootnoteText"/>
      </w:pPr>
      <w:r>
        <w:rPr>
          <w:rStyle w:val="FootnoteReference"/>
        </w:rPr>
        <w:footnoteRef/>
      </w:r>
      <w:r>
        <w:t xml:space="preserve"> Regulation 43(4) MLR 2017</w:t>
      </w:r>
    </w:p>
  </w:footnote>
  <w:footnote w:id="55">
    <w:p w:rsidR="002B127E" w:rsidRDefault="002B127E" w:rsidP="008C682D">
      <w:pPr>
        <w:pStyle w:val="FootnoteText"/>
      </w:pPr>
      <w:r>
        <w:rPr>
          <w:rStyle w:val="FootnoteReference"/>
        </w:rPr>
        <w:footnoteRef/>
      </w:r>
      <w:r>
        <w:t xml:space="preserve"> Regulation 43(5) MLR 2017</w:t>
      </w:r>
    </w:p>
  </w:footnote>
  <w:footnote w:id="56">
    <w:p w:rsidR="002B127E" w:rsidRDefault="002B127E" w:rsidP="008C682D">
      <w:pPr>
        <w:pStyle w:val="FootnoteText"/>
      </w:pPr>
      <w:r>
        <w:rPr>
          <w:rStyle w:val="FootnoteReference"/>
        </w:rPr>
        <w:footnoteRef/>
      </w:r>
      <w:r>
        <w:t xml:space="preserve"> Regulation 43(6) MLR 2017</w:t>
      </w:r>
    </w:p>
  </w:footnote>
  <w:footnote w:id="57">
    <w:p w:rsidR="002B127E" w:rsidRDefault="002B127E" w:rsidP="008C682D">
      <w:pPr>
        <w:pStyle w:val="FootnoteText"/>
      </w:pPr>
      <w:r>
        <w:rPr>
          <w:rStyle w:val="FootnoteReference"/>
        </w:rPr>
        <w:footnoteRef/>
      </w:r>
      <w:r>
        <w:t xml:space="preserve"> Regulation 44 MLR 2017</w:t>
      </w:r>
    </w:p>
  </w:footnote>
  <w:footnote w:id="58">
    <w:p w:rsidR="002B127E" w:rsidRDefault="002B127E" w:rsidP="008C682D">
      <w:pPr>
        <w:pStyle w:val="FootnoteText"/>
      </w:pPr>
      <w:r>
        <w:rPr>
          <w:rStyle w:val="FootnoteReference"/>
        </w:rPr>
        <w:footnoteRef/>
      </w:r>
      <w:r>
        <w:t xml:space="preserve"> Regulation 44 MLR 2017</w:t>
      </w:r>
    </w:p>
  </w:footnote>
  <w:footnote w:id="59">
    <w:p w:rsidR="002B127E" w:rsidRDefault="002B127E" w:rsidP="00962609">
      <w:pPr>
        <w:pStyle w:val="FootnoteText"/>
      </w:pPr>
      <w:r>
        <w:rPr>
          <w:rStyle w:val="FootnoteReference"/>
        </w:rPr>
        <w:footnoteRef/>
      </w:r>
      <w:r>
        <w:t xml:space="preserve"> Her Majesty’s Revenue and Customs</w:t>
      </w:r>
    </w:p>
  </w:footnote>
  <w:footnote w:id="60">
    <w:p w:rsidR="002B127E" w:rsidRDefault="002B127E" w:rsidP="008C682D">
      <w:pPr>
        <w:pStyle w:val="FootnoteText"/>
      </w:pPr>
      <w:r>
        <w:rPr>
          <w:rStyle w:val="FootnoteReference"/>
        </w:rPr>
        <w:footnoteRef/>
      </w:r>
      <w:r>
        <w:t xml:space="preserve"> Regulation 45(1)(a) MLR 2017</w:t>
      </w:r>
    </w:p>
  </w:footnote>
  <w:footnote w:id="61">
    <w:p w:rsidR="002B127E" w:rsidRDefault="002B127E" w:rsidP="008C682D">
      <w:pPr>
        <w:pStyle w:val="FootnoteText"/>
      </w:pPr>
      <w:r>
        <w:rPr>
          <w:rStyle w:val="FootnoteReference"/>
        </w:rPr>
        <w:footnoteRef/>
      </w:r>
      <w:r>
        <w:t xml:space="preserve"> Regulation 45(1)(b) MLR 2017.  A taxable relevant trust is a relevant trust in any year in which its trustees are liable to pay income tax; capital gains tax; inheritance tax; stamp duty land tax; land and buildings transaction tax; and / or stamp duty reserve tax in the UK in relation to assets or income of the trust.  (Regulation 45(14) MLR 2017)</w:t>
      </w:r>
    </w:p>
  </w:footnote>
  <w:footnote w:id="62">
    <w:p w:rsidR="002B127E" w:rsidRDefault="002B127E" w:rsidP="008C682D">
      <w:pPr>
        <w:pStyle w:val="FootnoteText"/>
      </w:pPr>
      <w:r>
        <w:rPr>
          <w:rStyle w:val="FootnoteReference"/>
        </w:rPr>
        <w:footnoteRef/>
      </w:r>
      <w:r>
        <w:t xml:space="preserve"> Regulation 45(2) MLR 2017</w:t>
      </w:r>
    </w:p>
  </w:footnote>
  <w:footnote w:id="63">
    <w:p w:rsidR="002B127E" w:rsidRDefault="002B127E" w:rsidP="008C682D">
      <w:pPr>
        <w:pStyle w:val="FootnoteText"/>
      </w:pPr>
      <w:r>
        <w:rPr>
          <w:rStyle w:val="FootnoteReference"/>
        </w:rPr>
        <w:footnoteRef/>
      </w:r>
      <w:r>
        <w:t xml:space="preserve"> Regulation 45(3)(a) MLR 2017</w:t>
      </w:r>
    </w:p>
  </w:footnote>
  <w:footnote w:id="64">
    <w:p w:rsidR="002B127E" w:rsidRDefault="002B127E" w:rsidP="008C682D">
      <w:pPr>
        <w:pStyle w:val="FootnoteText"/>
      </w:pPr>
      <w:r>
        <w:rPr>
          <w:rStyle w:val="FootnoteReference"/>
        </w:rPr>
        <w:footnoteRef/>
      </w:r>
      <w:r>
        <w:t xml:space="preserve"> Regulation 45(3)(b) MLR 2017</w:t>
      </w:r>
    </w:p>
  </w:footnote>
  <w:footnote w:id="65">
    <w:p w:rsidR="002B127E" w:rsidRDefault="002B127E" w:rsidP="008C682D">
      <w:pPr>
        <w:pStyle w:val="FootnoteText"/>
      </w:pPr>
      <w:r>
        <w:rPr>
          <w:rStyle w:val="FootnoteReference"/>
        </w:rPr>
        <w:footnoteRef/>
      </w:r>
      <w:r>
        <w:t xml:space="preserve"> Regulation 45(5) MLR 2017</w:t>
      </w:r>
    </w:p>
  </w:footnote>
  <w:footnote w:id="66">
    <w:p w:rsidR="002B127E" w:rsidRDefault="002B127E" w:rsidP="008C682D">
      <w:pPr>
        <w:pStyle w:val="FootnoteText"/>
      </w:pPr>
      <w:r>
        <w:rPr>
          <w:rStyle w:val="FootnoteReference"/>
        </w:rPr>
        <w:footnoteRef/>
      </w:r>
      <w:r>
        <w:t xml:space="preserve"> Regulation 45(5)(g) MLR 2017</w:t>
      </w:r>
    </w:p>
  </w:footnote>
  <w:footnote w:id="67">
    <w:p w:rsidR="002B127E" w:rsidRDefault="002B127E" w:rsidP="008C682D">
      <w:pPr>
        <w:pStyle w:val="FootnoteText"/>
      </w:pPr>
      <w:r>
        <w:rPr>
          <w:rStyle w:val="FootnoteReference"/>
        </w:rPr>
        <w:footnoteRef/>
      </w:r>
      <w:r>
        <w:t xml:space="preserve"> Regulation 45(12) MLR 2017</w:t>
      </w:r>
    </w:p>
  </w:footnote>
  <w:footnote w:id="68">
    <w:p w:rsidR="002B127E" w:rsidRDefault="002B127E">
      <w:pPr>
        <w:pStyle w:val="FootnoteText"/>
      </w:pPr>
      <w:r>
        <w:rPr>
          <w:rStyle w:val="FootnoteReference"/>
        </w:rPr>
        <w:footnoteRef/>
      </w:r>
      <w:r>
        <w:t xml:space="preserve"> National Crime Agency</w:t>
      </w:r>
    </w:p>
  </w:footnote>
  <w:footnote w:id="69">
    <w:p w:rsidR="002B127E" w:rsidRDefault="002B127E" w:rsidP="008C682D">
      <w:pPr>
        <w:pStyle w:val="FootnoteText"/>
      </w:pPr>
      <w:r>
        <w:rPr>
          <w:rStyle w:val="FootnoteReference"/>
        </w:rPr>
        <w:footnoteRef/>
      </w:r>
      <w:r>
        <w:t xml:space="preserve"> Regulation 45(13) MLR 2017</w:t>
      </w:r>
    </w:p>
  </w:footnote>
  <w:footnote w:id="70">
    <w:p w:rsidR="002B127E" w:rsidRDefault="002B127E" w:rsidP="008C682D">
      <w:pPr>
        <w:pStyle w:val="FootnoteText"/>
      </w:pPr>
      <w:r>
        <w:rPr>
          <w:rStyle w:val="FootnoteReference"/>
        </w:rPr>
        <w:footnoteRef/>
      </w:r>
      <w:r>
        <w:t xml:space="preserve"> Regulation 26(2) MLR 2017 defines relevant firms as auditors, insolvency practitioners, external accountants and tax advisers, independent legal professionals, estate agents and high value dealers.</w:t>
      </w:r>
    </w:p>
  </w:footnote>
  <w:footnote w:id="71">
    <w:p w:rsidR="002B127E" w:rsidRDefault="002B127E" w:rsidP="008C682D">
      <w:pPr>
        <w:pStyle w:val="FootnoteText"/>
      </w:pPr>
      <w:r>
        <w:rPr>
          <w:rStyle w:val="FootnoteReference"/>
        </w:rPr>
        <w:footnoteRef/>
      </w:r>
      <w:r>
        <w:t xml:space="preserve"> Regulation 26(1) MLR 2017</w:t>
      </w:r>
    </w:p>
  </w:footnote>
  <w:footnote w:id="72">
    <w:p w:rsidR="002B127E" w:rsidRDefault="002B127E" w:rsidP="008C682D">
      <w:pPr>
        <w:pStyle w:val="FootnoteText"/>
      </w:pPr>
      <w:r>
        <w:rPr>
          <w:rStyle w:val="FootnoteReference"/>
        </w:rPr>
        <w:footnoteRef/>
      </w:r>
      <w:r>
        <w:t xml:space="preserve"> Regulation 26(8) and (14) and Schedule 3 MLR 2017</w:t>
      </w:r>
    </w:p>
  </w:footnote>
  <w:footnote w:id="73">
    <w:p w:rsidR="002B127E" w:rsidRDefault="002B127E" w:rsidP="008C682D">
      <w:pPr>
        <w:pStyle w:val="FootnoteText"/>
      </w:pPr>
      <w:r>
        <w:rPr>
          <w:rStyle w:val="FootnoteReference"/>
        </w:rPr>
        <w:footnoteRef/>
      </w:r>
      <w:r>
        <w:t xml:space="preserve"> See, for example, the suitability test for solicitors set out in the Solicitors’ Regulation Authority Handbook.</w:t>
      </w:r>
    </w:p>
  </w:footnote>
  <w:footnote w:id="74">
    <w:p w:rsidR="002B127E" w:rsidRDefault="002B127E" w:rsidP="008C682D">
      <w:pPr>
        <w:pStyle w:val="FootnoteText"/>
      </w:pPr>
      <w:r>
        <w:rPr>
          <w:rStyle w:val="FootnoteReference"/>
        </w:rPr>
        <w:footnoteRef/>
      </w:r>
      <w:r>
        <w:t xml:space="preserve"> Regulation 19(2)(b) MLR 2017</w:t>
      </w:r>
    </w:p>
  </w:footnote>
  <w:footnote w:id="75">
    <w:p w:rsidR="002B127E" w:rsidRDefault="002B127E" w:rsidP="008C682D">
      <w:pPr>
        <w:pStyle w:val="FootnoteText"/>
      </w:pPr>
      <w:r>
        <w:rPr>
          <w:rStyle w:val="FootnoteReference"/>
        </w:rPr>
        <w:footnoteRef/>
      </w:r>
      <w:r>
        <w:t xml:space="preserve"> Regulation 21(1)(a) MLR 2017</w:t>
      </w:r>
    </w:p>
  </w:footnote>
  <w:footnote w:id="76">
    <w:p w:rsidR="002B127E" w:rsidRDefault="002B127E" w:rsidP="008C682D">
      <w:pPr>
        <w:pStyle w:val="FootnoteText"/>
      </w:pPr>
      <w:r>
        <w:rPr>
          <w:rStyle w:val="FootnoteReference"/>
        </w:rPr>
        <w:footnoteRef/>
      </w:r>
      <w:r>
        <w:t xml:space="preserve"> Regulation 35(5)(a) MLR 2017</w:t>
      </w:r>
    </w:p>
  </w:footnote>
  <w:footnote w:id="77">
    <w:p w:rsidR="002B127E" w:rsidRDefault="002B127E" w:rsidP="008C682D">
      <w:pPr>
        <w:pStyle w:val="FootnoteText"/>
      </w:pPr>
      <w:r>
        <w:rPr>
          <w:rStyle w:val="FootnoteReference"/>
        </w:rPr>
        <w:footnoteRef/>
      </w:r>
      <w:r>
        <w:t xml:space="preserve"> Regulation 19(1)(c) MLR 2017</w:t>
      </w:r>
    </w:p>
  </w:footnote>
  <w:footnote w:id="78">
    <w:p w:rsidR="002B127E" w:rsidRDefault="002B127E" w:rsidP="008C682D">
      <w:pPr>
        <w:pStyle w:val="FootnoteText"/>
      </w:pPr>
      <w:r>
        <w:rPr>
          <w:rStyle w:val="FootnoteReference"/>
        </w:rPr>
        <w:footnoteRef/>
      </w:r>
      <w:r>
        <w:t xml:space="preserve"> Regulation 18(6) MLR 2017</w:t>
      </w:r>
    </w:p>
  </w:footnote>
  <w:footnote w:id="79">
    <w:p w:rsidR="002B127E" w:rsidRDefault="002B127E" w:rsidP="008C682D">
      <w:pPr>
        <w:pStyle w:val="FootnoteText"/>
      </w:pPr>
      <w:r>
        <w:rPr>
          <w:rStyle w:val="FootnoteReference"/>
        </w:rPr>
        <w:footnoteRef/>
      </w:r>
      <w:r>
        <w:t xml:space="preserve"> Regulation 21(8) and (9) MLR 2017</w:t>
      </w:r>
    </w:p>
  </w:footnote>
  <w:footnote w:id="80">
    <w:p w:rsidR="002B127E" w:rsidRDefault="002B127E" w:rsidP="008C682D">
      <w:pPr>
        <w:pStyle w:val="FootnoteText"/>
      </w:pPr>
      <w:r>
        <w:rPr>
          <w:rStyle w:val="FootnoteReference"/>
        </w:rPr>
        <w:footnoteRef/>
      </w:r>
      <w:r>
        <w:t xml:space="preserve"> Regulation 24(1)(b) MLR 2017</w:t>
      </w:r>
    </w:p>
  </w:footnote>
  <w:footnote w:id="81">
    <w:p w:rsidR="002B127E" w:rsidRDefault="002B127E" w:rsidP="008C682D">
      <w:pPr>
        <w:pStyle w:val="FootnoteText"/>
      </w:pPr>
      <w:r>
        <w:rPr>
          <w:rStyle w:val="FootnoteReference"/>
        </w:rPr>
        <w:footnoteRef/>
      </w:r>
      <w:r>
        <w:t xml:space="preserve"> For example, Regulation 43(7) and (8) MLR 2017</w:t>
      </w:r>
    </w:p>
  </w:footnote>
  <w:footnote w:id="82">
    <w:p w:rsidR="002B127E" w:rsidRDefault="002B127E" w:rsidP="008C682D">
      <w:pPr>
        <w:pStyle w:val="FootnoteText"/>
      </w:pPr>
      <w:r>
        <w:rPr>
          <w:rStyle w:val="FootnoteReference"/>
        </w:rPr>
        <w:footnoteRef/>
      </w:r>
      <w:r>
        <w:t xml:space="preserve"> For example, Regulation 51(4) and (5) MLR 2017</w:t>
      </w:r>
    </w:p>
  </w:footnote>
  <w:footnote w:id="83">
    <w:p w:rsidR="002B127E" w:rsidRPr="00E6695F" w:rsidRDefault="002B127E" w:rsidP="008C682D">
      <w:pPr>
        <w:pStyle w:val="FootnoteText"/>
      </w:pPr>
      <w:r>
        <w:rPr>
          <w:rStyle w:val="FootnoteReference"/>
        </w:rPr>
        <w:footnoteRef/>
      </w:r>
      <w:r>
        <w:t xml:space="preserve"> Section 10 Criminal Finances Act 2017 inserting Sections 336A, B, C and D into the Proceeds of Crime Act 2002.</w:t>
      </w:r>
    </w:p>
  </w:footnote>
  <w:footnote w:id="84">
    <w:p w:rsidR="002B127E" w:rsidRDefault="002B127E" w:rsidP="008C682D">
      <w:pPr>
        <w:pStyle w:val="FootnoteText"/>
      </w:pPr>
      <w:r>
        <w:rPr>
          <w:rStyle w:val="FootnoteReference"/>
        </w:rPr>
        <w:footnoteRef/>
      </w:r>
      <w:r>
        <w:t xml:space="preserve"> Home Office, </w:t>
      </w:r>
      <w:r w:rsidRPr="00513F3A">
        <w:rPr>
          <w:i/>
        </w:rPr>
        <w:t>Impact Assessment regarding the Criminal Finances Act – SARS moratorium extension</w:t>
      </w:r>
      <w:r>
        <w:t xml:space="preserve"> (HO0284, 20 June 2017), 1</w:t>
      </w:r>
    </w:p>
  </w:footnote>
  <w:footnote w:id="85">
    <w:p w:rsidR="002B127E" w:rsidRDefault="002B127E">
      <w:pPr>
        <w:pStyle w:val="FootnoteText"/>
      </w:pPr>
      <w:r>
        <w:rPr>
          <w:rStyle w:val="FootnoteReference"/>
        </w:rPr>
        <w:footnoteRef/>
      </w:r>
      <w:r>
        <w:t xml:space="preserve"> Ibid, 6</w:t>
      </w:r>
    </w:p>
  </w:footnote>
  <w:footnote w:id="86">
    <w:p w:rsidR="002B127E" w:rsidRDefault="002B127E" w:rsidP="000B3C91">
      <w:pPr>
        <w:pStyle w:val="FootnoteText"/>
      </w:pPr>
      <w:r>
        <w:rPr>
          <w:rStyle w:val="FootnoteReference"/>
        </w:rPr>
        <w:footnoteRef/>
      </w:r>
      <w:r>
        <w:t xml:space="preserve"> For example, the ICEAW, </w:t>
      </w:r>
      <w:r w:rsidRPr="00683F8F">
        <w:rPr>
          <w:i/>
        </w:rPr>
        <w:t>BIS Cutting Red Tape Anti Money Laundering Sector Review</w:t>
      </w:r>
      <w:r>
        <w:t xml:space="preserve"> (Representation 151/15) includes among its major points criticism of the time and resource cost of the implementation of the anti-money laundering regime and highlights (at p3) “</w:t>
      </w:r>
      <w:r w:rsidRPr="00683F8F">
        <w:rPr>
          <w:i/>
        </w:rPr>
        <w:t>costs associated with changes in the regime, whether regulatory or more informal such as frequent changes in NCA policy on consent</w:t>
      </w:r>
      <w:r>
        <w:rPr>
          <w:i/>
        </w:rPr>
        <w:t>.</w:t>
      </w:r>
      <w:r>
        <w:t>”</w:t>
      </w:r>
    </w:p>
  </w:footnote>
  <w:footnote w:id="87">
    <w:p w:rsidR="002B127E" w:rsidRDefault="002B127E">
      <w:pPr>
        <w:pStyle w:val="FootnoteText"/>
      </w:pPr>
      <w:r>
        <w:rPr>
          <w:rStyle w:val="FootnoteReference"/>
        </w:rPr>
        <w:footnoteRef/>
      </w:r>
      <w:r>
        <w:t xml:space="preserve"> FATF, </w:t>
      </w:r>
      <w:r w:rsidRPr="00683F8F">
        <w:rPr>
          <w:i/>
        </w:rPr>
        <w:t>Financial Action Task Force on Money Laundering: The Forty Recommendations</w:t>
      </w:r>
      <w:r>
        <w:t xml:space="preserve"> (20 June 2003) &lt;</w:t>
      </w:r>
      <w:r w:rsidRPr="00683F8F">
        <w:t xml:space="preserve"> </w:t>
      </w:r>
      <w:hyperlink r:id="rId3" w:history="1">
        <w:r w:rsidRPr="00FC0872">
          <w:rPr>
            <w:rStyle w:val="Hyperlink"/>
          </w:rPr>
          <w:t>http://www.fatf-gafi.org/media/fatf/documents/recommendations/pdfs/FATF%20Recommendations%202003.pdf</w:t>
        </w:r>
      </w:hyperlink>
      <w:r>
        <w:t>&gt; accessed 26 March 2018</w:t>
      </w:r>
    </w:p>
  </w:footnote>
  <w:footnote w:id="88">
    <w:p w:rsidR="002B127E" w:rsidRDefault="002B127E" w:rsidP="002D23F6">
      <w:pPr>
        <w:pStyle w:val="FootnoteText"/>
      </w:pPr>
      <w:r>
        <w:rPr>
          <w:rStyle w:val="FootnoteReference"/>
        </w:rPr>
        <w:footnoteRef/>
      </w:r>
      <w:r>
        <w:t xml:space="preserve"> Peter Reuter and Edwin M. Truman, </w:t>
      </w:r>
      <w:r w:rsidRPr="00F76420">
        <w:rPr>
          <w:i/>
        </w:rPr>
        <w:t>Chasing Dirty Money: The Fight Against Money Laundering</w:t>
      </w:r>
      <w:r>
        <w:t xml:space="preserve"> (</w:t>
      </w:r>
      <w:r w:rsidRPr="00886AA0">
        <w:t>Instit</w:t>
      </w:r>
      <w:r>
        <w:t>ute for International Economics</w:t>
      </w:r>
      <w:r w:rsidRPr="00886AA0">
        <w:t xml:space="preserve"> 2004</w:t>
      </w:r>
      <w:r>
        <w:t>) 172</w:t>
      </w:r>
    </w:p>
  </w:footnote>
  <w:footnote w:id="89">
    <w:p w:rsidR="002B127E" w:rsidRDefault="002B127E">
      <w:pPr>
        <w:pStyle w:val="FootnoteText"/>
      </w:pPr>
      <w:r>
        <w:rPr>
          <w:rStyle w:val="FootnoteReference"/>
        </w:rPr>
        <w:footnoteRef/>
      </w:r>
      <w:r>
        <w:t xml:space="preserve"> Ibid</w:t>
      </w:r>
    </w:p>
  </w:footnote>
  <w:footnote w:id="90">
    <w:p w:rsidR="002B127E" w:rsidRDefault="002B127E">
      <w:pPr>
        <w:pStyle w:val="FootnoteText"/>
      </w:pPr>
      <w:r>
        <w:rPr>
          <w:rStyle w:val="FootnoteReference"/>
        </w:rPr>
        <w:footnoteRef/>
      </w:r>
      <w:r>
        <w:t xml:space="preserve"> See Liliya Gelemerova, ‘On the frontline against money-laundering: the regulatory minefield,’  (2009) 52 Crime Law Soc Change 33-55, in which she explores the increasing desire following MLR 2007 for financial intelligence gathering in the war against money laundering.</w:t>
      </w:r>
    </w:p>
  </w:footnote>
  <w:footnote w:id="91">
    <w:p w:rsidR="002B127E" w:rsidRDefault="002B127E">
      <w:pPr>
        <w:pStyle w:val="FootnoteText"/>
      </w:pPr>
      <w:r>
        <w:rPr>
          <w:rStyle w:val="FootnoteReference"/>
        </w:rPr>
        <w:footnoteRef/>
      </w:r>
      <w:r>
        <w:t xml:space="preserve"> Peter Reuter and Edwin M. Truman, </w:t>
      </w:r>
      <w:r w:rsidRPr="00F76420">
        <w:rPr>
          <w:i/>
        </w:rPr>
        <w:t>Chasing Dirty Money: The Fight Against Money Laundering</w:t>
      </w:r>
      <w:r>
        <w:t xml:space="preserve"> (</w:t>
      </w:r>
      <w:r w:rsidRPr="00886AA0">
        <w:t>Instit</w:t>
      </w:r>
      <w:r>
        <w:t>ute for International Economics</w:t>
      </w:r>
      <w:r w:rsidRPr="00886AA0">
        <w:t xml:space="preserve"> 2004</w:t>
      </w:r>
      <w:r>
        <w:t>) 172</w:t>
      </w:r>
    </w:p>
  </w:footnote>
  <w:footnote w:id="92">
    <w:p w:rsidR="002B127E" w:rsidRDefault="002B127E" w:rsidP="008C682D">
      <w:pPr>
        <w:pStyle w:val="FootnoteText"/>
      </w:pPr>
      <w:r>
        <w:rPr>
          <w:rStyle w:val="FootnoteReference"/>
        </w:rPr>
        <w:footnoteRef/>
      </w:r>
      <w:r>
        <w:t xml:space="preserve"> Harvey, Jackie, “Just How Effective is Money Laundering Legislation?” (2008) 21 Security Journal 189</w:t>
      </w:r>
      <w:r>
        <w:noBreakHyphen/>
        <w:t>211, 191</w:t>
      </w:r>
    </w:p>
  </w:footnote>
  <w:footnote w:id="93">
    <w:p w:rsidR="002B127E" w:rsidRDefault="002B127E" w:rsidP="008C682D">
      <w:pPr>
        <w:pStyle w:val="FootnoteText"/>
      </w:pPr>
      <w:r>
        <w:rPr>
          <w:rStyle w:val="FootnoteReference"/>
        </w:rPr>
        <w:footnoteRef/>
      </w:r>
      <w:r>
        <w:t xml:space="preserve"> Ibid, 190</w:t>
      </w:r>
    </w:p>
  </w:footnote>
  <w:footnote w:id="94">
    <w:p w:rsidR="002B127E" w:rsidRDefault="002B127E" w:rsidP="00224E3A">
      <w:pPr>
        <w:pStyle w:val="FootnoteText"/>
      </w:pPr>
      <w:r>
        <w:rPr>
          <w:rStyle w:val="FootnoteReference"/>
        </w:rPr>
        <w:footnoteRef/>
      </w:r>
      <w:r>
        <w:t xml:space="preserve"> Petrus van Duyne, Jackie Harvey and Liliya Gelemerova, </w:t>
      </w:r>
      <w:r w:rsidRPr="00BF4037">
        <w:rPr>
          <w:i/>
          <w:iCs/>
        </w:rPr>
        <w:t>The Monty Python Flying Circus of money laundering and the question of proportionality</w:t>
      </w:r>
      <w:r>
        <w:rPr>
          <w:i/>
          <w:iCs/>
        </w:rPr>
        <w:t xml:space="preserve"> </w:t>
      </w:r>
      <w:r w:rsidRPr="00BF4037">
        <w:rPr>
          <w:iCs/>
        </w:rPr>
        <w:t>i</w:t>
      </w:r>
      <w:r w:rsidRPr="00BF4037">
        <w:t xml:space="preserve">n </w:t>
      </w:r>
      <w:r w:rsidRPr="00BF4037">
        <w:rPr>
          <w:i/>
        </w:rPr>
        <w:t>Illegal Entrepreneurship, Organized Crime and Social Control: Essays in Honour of Professor Dick Hobbs</w:t>
      </w:r>
      <w:r w:rsidRPr="00BF4037">
        <w:t xml:space="preserve"> </w:t>
      </w:r>
      <w:r>
        <w:t>(</w:t>
      </w:r>
      <w:r w:rsidRPr="00BF4037">
        <w:t>Studies of Organized Crime Series</w:t>
      </w:r>
      <w:r>
        <w:t>, Springer, London</w:t>
      </w:r>
      <w:r w:rsidRPr="00BF4037">
        <w:t xml:space="preserve"> </w:t>
      </w:r>
      <w:r>
        <w:t>(</w:t>
      </w:r>
      <w:r w:rsidRPr="00BF4037">
        <w:t>2016</w:t>
      </w:r>
      <w:r>
        <w:t>) 14</w:t>
      </w:r>
      <w:r w:rsidRPr="00BF4037">
        <w:t>)</w:t>
      </w:r>
      <w:r>
        <w:t xml:space="preserve"> 161-186</w:t>
      </w:r>
    </w:p>
  </w:footnote>
  <w:footnote w:id="95">
    <w:p w:rsidR="002B127E" w:rsidRDefault="002B127E" w:rsidP="00224E3A">
      <w:pPr>
        <w:pStyle w:val="FootnoteText"/>
      </w:pPr>
      <w:r>
        <w:rPr>
          <w:rStyle w:val="FootnoteReference"/>
        </w:rPr>
        <w:footnoteRef/>
      </w:r>
      <w:r>
        <w:t xml:space="preserve"> Directive (EU) 2015/849, Recital (2)</w:t>
      </w:r>
    </w:p>
  </w:footnote>
  <w:footnote w:id="96">
    <w:p w:rsidR="002B127E" w:rsidRDefault="002B127E" w:rsidP="00224E3A">
      <w:pPr>
        <w:pStyle w:val="FootnoteText"/>
      </w:pPr>
      <w:r>
        <w:rPr>
          <w:rStyle w:val="FootnoteReference"/>
        </w:rPr>
        <w:footnoteRef/>
      </w:r>
      <w:r>
        <w:t xml:space="preserve"> </w:t>
      </w:r>
      <w:r w:rsidRPr="00051F28">
        <w:t xml:space="preserve">Home Office and HM Treasury, </w:t>
      </w:r>
      <w:r w:rsidRPr="00051F28">
        <w:rPr>
          <w:i/>
        </w:rPr>
        <w:t>Action Plan for anti-money laundering and counter-terrorist finance</w:t>
      </w:r>
      <w:r>
        <w:t>, April </w:t>
      </w:r>
      <w:r w:rsidRPr="00051F28">
        <w:t>2016</w:t>
      </w:r>
      <w:r>
        <w:t>, 7</w:t>
      </w:r>
    </w:p>
  </w:footnote>
  <w:footnote w:id="97">
    <w:p w:rsidR="002B127E" w:rsidRDefault="002B127E" w:rsidP="00051F28">
      <w:pPr>
        <w:pStyle w:val="FootnoteText"/>
      </w:pPr>
      <w:r>
        <w:rPr>
          <w:rStyle w:val="FootnoteReference"/>
        </w:rPr>
        <w:footnoteRef/>
      </w:r>
      <w:r>
        <w:t xml:space="preserve"> See FATF, ‘Who we are’&lt;</w:t>
      </w:r>
      <w:hyperlink r:id="rId4" w:history="1">
        <w:r w:rsidRPr="003E48B4">
          <w:rPr>
            <w:rStyle w:val="Hyperlink"/>
          </w:rPr>
          <w:t>http://www.fatf-gafi.org/about/</w:t>
        </w:r>
      </w:hyperlink>
      <w:r>
        <w:t>&gt; accessed 25 March 2018</w:t>
      </w:r>
    </w:p>
  </w:footnote>
  <w:footnote w:id="98">
    <w:p w:rsidR="002B127E" w:rsidRPr="0048648D" w:rsidRDefault="002B127E" w:rsidP="006E251A">
      <w:pPr>
        <w:pStyle w:val="FootnoteText"/>
      </w:pPr>
      <w:r>
        <w:rPr>
          <w:rStyle w:val="FootnoteReference"/>
        </w:rPr>
        <w:footnoteRef/>
      </w:r>
      <w:r>
        <w:t xml:space="preserve"> </w:t>
      </w:r>
      <w:r w:rsidRPr="00051F28">
        <w:t>N 95</w:t>
      </w:r>
    </w:p>
  </w:footnote>
  <w:footnote w:id="99">
    <w:p w:rsidR="002B127E" w:rsidRPr="0048648D" w:rsidRDefault="002B127E" w:rsidP="000E71F9">
      <w:pPr>
        <w:pStyle w:val="Default"/>
        <w:rPr>
          <w:rFonts w:asciiTheme="minorHAnsi" w:hAnsiTheme="minorHAnsi" w:cstheme="minorBidi"/>
          <w:color w:val="auto"/>
          <w:sz w:val="20"/>
          <w:szCs w:val="20"/>
        </w:rPr>
      </w:pPr>
      <w:r w:rsidRPr="007B2D25">
        <w:rPr>
          <w:rStyle w:val="FootnoteReference"/>
          <w:rFonts w:ascii="Calibri" w:eastAsia="Calibri" w:hAnsi="Calibri"/>
          <w:color w:val="auto"/>
          <w:sz w:val="20"/>
          <w:szCs w:val="20"/>
        </w:rPr>
        <w:footnoteRef/>
      </w:r>
      <w:r>
        <w:t xml:space="preserve"> </w:t>
      </w:r>
      <w:r w:rsidRPr="000E71F9">
        <w:rPr>
          <w:rFonts w:asciiTheme="minorHAnsi" w:hAnsiTheme="minorHAnsi"/>
          <w:sz w:val="20"/>
          <w:szCs w:val="20"/>
        </w:rPr>
        <w:t>European Commission</w:t>
      </w:r>
      <w:r>
        <w:rPr>
          <w:rFonts w:asciiTheme="minorHAnsi" w:hAnsiTheme="minorHAnsi"/>
          <w:sz w:val="20"/>
          <w:szCs w:val="20"/>
        </w:rPr>
        <w:t xml:space="preserve">, ‘Report from the Commission to the European Parliament and the Council </w:t>
      </w:r>
      <w:r w:rsidRPr="000E71F9">
        <w:rPr>
          <w:rFonts w:asciiTheme="minorHAnsi" w:hAnsiTheme="minorHAnsi"/>
          <w:sz w:val="20"/>
          <w:szCs w:val="20"/>
        </w:rPr>
        <w:t>on the assessment of the risks of money laundering and terrorist financing affecting the internal market and relating to cross-border activities</w:t>
      </w:r>
      <w:r>
        <w:rPr>
          <w:rFonts w:asciiTheme="minorHAnsi" w:hAnsiTheme="minorHAnsi"/>
          <w:sz w:val="20"/>
          <w:szCs w:val="20"/>
        </w:rPr>
        <w:t>’</w:t>
      </w:r>
      <w:r w:rsidRPr="000E71F9">
        <w:rPr>
          <w:rFonts w:asciiTheme="minorHAnsi" w:hAnsiTheme="minorHAnsi"/>
          <w:sz w:val="20"/>
          <w:szCs w:val="20"/>
        </w:rPr>
        <w:t xml:space="preserve"> </w:t>
      </w:r>
      <w:r w:rsidRPr="000E71F9">
        <w:rPr>
          <w:rFonts w:asciiTheme="minorHAnsi" w:hAnsiTheme="minorHAnsi" w:cstheme="minorBidi"/>
          <w:color w:val="auto"/>
          <w:sz w:val="20"/>
          <w:szCs w:val="20"/>
        </w:rPr>
        <w:t>COM (2017) 340 final</w:t>
      </w:r>
    </w:p>
  </w:footnote>
  <w:footnote w:id="100">
    <w:p w:rsidR="002B127E" w:rsidRPr="008855C0" w:rsidRDefault="002B127E" w:rsidP="006E251A">
      <w:pPr>
        <w:pStyle w:val="FootnoteText"/>
      </w:pPr>
      <w:r>
        <w:rPr>
          <w:rStyle w:val="FootnoteReference"/>
        </w:rPr>
        <w:footnoteRef/>
      </w:r>
      <w:r>
        <w:t xml:space="preserve"> N 166</w:t>
      </w:r>
    </w:p>
  </w:footnote>
  <w:footnote w:id="101">
    <w:p w:rsidR="002B127E" w:rsidRDefault="002B127E" w:rsidP="006E251A">
      <w:pPr>
        <w:pStyle w:val="FootnoteText"/>
      </w:pPr>
      <w:r>
        <w:rPr>
          <w:rStyle w:val="FootnoteReference"/>
        </w:rPr>
        <w:footnoteRef/>
      </w:r>
      <w:r>
        <w:t xml:space="preserve"> Petrus van Duyne, Jackie Harvey and Liliya Gelemerova, </w:t>
      </w:r>
      <w:r w:rsidRPr="00BF4037">
        <w:rPr>
          <w:i/>
          <w:iCs/>
        </w:rPr>
        <w:t>The Monty Python Flying Circus of money laundering and the question of proportionality</w:t>
      </w:r>
      <w:r>
        <w:rPr>
          <w:i/>
          <w:iCs/>
        </w:rPr>
        <w:t xml:space="preserve"> </w:t>
      </w:r>
      <w:r w:rsidRPr="00BF4037">
        <w:rPr>
          <w:iCs/>
        </w:rPr>
        <w:t>i</w:t>
      </w:r>
      <w:r w:rsidRPr="00BF4037">
        <w:t xml:space="preserve">n </w:t>
      </w:r>
      <w:r w:rsidRPr="00BF4037">
        <w:rPr>
          <w:i/>
        </w:rPr>
        <w:t>Illegal Entrepreneurship, Organized Crime and Social Control: Essays in Honour of Professor Dick Hobbs</w:t>
      </w:r>
      <w:r w:rsidRPr="00BF4037">
        <w:t xml:space="preserve"> </w:t>
      </w:r>
      <w:r>
        <w:t>(</w:t>
      </w:r>
      <w:r w:rsidRPr="00BF4037">
        <w:t>Studies of Organized Crime Series</w:t>
      </w:r>
      <w:r>
        <w:t>, Springer, London</w:t>
      </w:r>
      <w:r w:rsidRPr="00BF4037">
        <w:t xml:space="preserve"> </w:t>
      </w:r>
      <w:r>
        <w:t>(</w:t>
      </w:r>
      <w:r w:rsidRPr="00BF4037">
        <w:t>2016</w:t>
      </w:r>
      <w:r>
        <w:t>) 14</w:t>
      </w:r>
      <w:r w:rsidRPr="00BF4037">
        <w:t>)</w:t>
      </w:r>
      <w:r>
        <w:t xml:space="preserve"> 161-186</w:t>
      </w:r>
    </w:p>
  </w:footnote>
  <w:footnote w:id="102">
    <w:p w:rsidR="002B127E" w:rsidRDefault="002B127E" w:rsidP="006E251A">
      <w:pPr>
        <w:pStyle w:val="FootnoteText"/>
      </w:pPr>
      <w:r>
        <w:rPr>
          <w:rStyle w:val="FootnoteReference"/>
        </w:rPr>
        <w:footnoteRef/>
      </w:r>
      <w:r>
        <w:t xml:space="preserve"> Now extended by a further layer for professional body supervisors since the establishment of the Office for Professional Body Anti-Money Laundering Supervision on 1 February 2018.</w:t>
      </w:r>
    </w:p>
  </w:footnote>
  <w:footnote w:id="103">
    <w:p w:rsidR="002B127E" w:rsidRDefault="002B127E" w:rsidP="006E251A">
      <w:pPr>
        <w:pStyle w:val="FootnoteText"/>
      </w:pPr>
      <w:r>
        <w:rPr>
          <w:rStyle w:val="FootnoteReference"/>
        </w:rPr>
        <w:footnoteRef/>
      </w:r>
      <w:r>
        <w:t xml:space="preserve"> Regulation 46 MLR 2017</w:t>
      </w:r>
    </w:p>
  </w:footnote>
  <w:footnote w:id="104">
    <w:p w:rsidR="002B127E" w:rsidRDefault="002B127E" w:rsidP="006E251A">
      <w:pPr>
        <w:pStyle w:val="FootnoteText"/>
      </w:pPr>
      <w:r>
        <w:rPr>
          <w:rStyle w:val="FootnoteReference"/>
        </w:rPr>
        <w:footnoteRef/>
      </w:r>
      <w:r>
        <w:t xml:space="preserve"> Petrus van Duyne, Jackie Harvey and Liliya Gelemerova, </w:t>
      </w:r>
      <w:r w:rsidRPr="00BF4037">
        <w:rPr>
          <w:i/>
          <w:iCs/>
        </w:rPr>
        <w:t>The Monty Python Flying Circus of money laundering and the question of proportionality</w:t>
      </w:r>
      <w:r>
        <w:rPr>
          <w:i/>
          <w:iCs/>
        </w:rPr>
        <w:t xml:space="preserve"> </w:t>
      </w:r>
      <w:r w:rsidRPr="00BF4037">
        <w:rPr>
          <w:iCs/>
        </w:rPr>
        <w:t>i</w:t>
      </w:r>
      <w:r w:rsidRPr="00BF4037">
        <w:t xml:space="preserve">n </w:t>
      </w:r>
      <w:r w:rsidRPr="00BF4037">
        <w:rPr>
          <w:i/>
        </w:rPr>
        <w:t>Illegal Entrepreneurship, Organized Crime and Social Control: Essays in Honour of Professor Dick Hobbs</w:t>
      </w:r>
      <w:r w:rsidRPr="00BF4037">
        <w:t xml:space="preserve"> </w:t>
      </w:r>
      <w:r>
        <w:t>(</w:t>
      </w:r>
      <w:r w:rsidRPr="00BF4037">
        <w:t>Studies of Organized Crime Series</w:t>
      </w:r>
      <w:r>
        <w:t>, Springer, London</w:t>
      </w:r>
      <w:r w:rsidRPr="00BF4037">
        <w:t xml:space="preserve"> </w:t>
      </w:r>
      <w:r>
        <w:t>(</w:t>
      </w:r>
      <w:r w:rsidRPr="00BF4037">
        <w:t>2016</w:t>
      </w:r>
      <w:r>
        <w:t>) 14</w:t>
      </w:r>
      <w:r w:rsidRPr="00BF4037">
        <w:t>)</w:t>
      </w:r>
      <w:r>
        <w:t xml:space="preserve"> 161-186, 2</w:t>
      </w:r>
    </w:p>
  </w:footnote>
  <w:footnote w:id="105">
    <w:p w:rsidR="002B127E" w:rsidRDefault="002B127E">
      <w:pPr>
        <w:pStyle w:val="FootnoteText"/>
      </w:pPr>
      <w:r>
        <w:rPr>
          <w:rStyle w:val="FootnoteReference"/>
        </w:rPr>
        <w:footnoteRef/>
      </w:r>
      <w:r>
        <w:t xml:space="preserve"> Contained in Regulation 26(1) MLR 2017</w:t>
      </w:r>
    </w:p>
  </w:footnote>
  <w:footnote w:id="106">
    <w:p w:rsidR="002B127E" w:rsidRDefault="002B127E">
      <w:pPr>
        <w:pStyle w:val="FootnoteText"/>
      </w:pPr>
      <w:r>
        <w:rPr>
          <w:rStyle w:val="FootnoteReference"/>
        </w:rPr>
        <w:footnoteRef/>
      </w:r>
      <w:r>
        <w:t xml:space="preserve"> FATF Recommendation 28(b)</w:t>
      </w:r>
    </w:p>
  </w:footnote>
  <w:footnote w:id="107">
    <w:p w:rsidR="002B127E" w:rsidRDefault="002B127E">
      <w:pPr>
        <w:pStyle w:val="FootnoteText"/>
      </w:pPr>
      <w:r>
        <w:rPr>
          <w:rStyle w:val="FootnoteReference"/>
        </w:rPr>
        <w:footnoteRef/>
      </w:r>
      <w:r>
        <w:t xml:space="preserve"> FATF specifies in the FATF Recommendations at p6 that “</w:t>
      </w:r>
      <w:r w:rsidRPr="000E71F9">
        <w:rPr>
          <w:i/>
        </w:rPr>
        <w:t>countries should implement through measures adapted to their particular circumstances</w:t>
      </w:r>
      <w:r>
        <w:t>”.</w:t>
      </w:r>
    </w:p>
  </w:footnote>
  <w:footnote w:id="108">
    <w:p w:rsidR="002B127E" w:rsidRDefault="002B127E">
      <w:pPr>
        <w:pStyle w:val="FootnoteText"/>
      </w:pPr>
      <w:r>
        <w:rPr>
          <w:rStyle w:val="FootnoteReference"/>
        </w:rPr>
        <w:footnoteRef/>
      </w:r>
      <w:r>
        <w:t xml:space="preserve"> Article 47(3) 4MLD</w:t>
      </w:r>
    </w:p>
  </w:footnote>
  <w:footnote w:id="109">
    <w:p w:rsidR="002B127E" w:rsidRDefault="002B127E">
      <w:pPr>
        <w:pStyle w:val="FootnoteText"/>
      </w:pPr>
      <w:r>
        <w:rPr>
          <w:rStyle w:val="FootnoteReference"/>
        </w:rPr>
        <w:footnoteRef/>
      </w:r>
      <w:r>
        <w:t xml:space="preserve"> Regulation 26(1) MLR 2017</w:t>
      </w:r>
    </w:p>
  </w:footnote>
  <w:footnote w:id="110">
    <w:p w:rsidR="002B127E" w:rsidRDefault="002B127E">
      <w:pPr>
        <w:pStyle w:val="FootnoteText"/>
      </w:pPr>
      <w:r>
        <w:rPr>
          <w:rStyle w:val="FootnoteReference"/>
        </w:rPr>
        <w:footnoteRef/>
      </w:r>
      <w:r>
        <w:t xml:space="preserve"> FATF Recommendation 28</w:t>
      </w:r>
    </w:p>
  </w:footnote>
  <w:footnote w:id="111">
    <w:p w:rsidR="002B127E" w:rsidRDefault="002B127E">
      <w:pPr>
        <w:pStyle w:val="FootnoteText"/>
      </w:pPr>
      <w:r>
        <w:rPr>
          <w:rStyle w:val="FootnoteReference"/>
        </w:rPr>
        <w:footnoteRef/>
      </w:r>
      <w:r>
        <w:t xml:space="preserve"> See, for example, the Solicitors Regulation Authority Suitability Test &lt;</w:t>
      </w:r>
      <w:hyperlink r:id="rId5" w:history="1">
        <w:r w:rsidRPr="00A57C39">
          <w:rPr>
            <w:rStyle w:val="Hyperlink"/>
          </w:rPr>
          <w:t>https://www.sra.org.uk/solicitors/handbook/suitabilitytest/content.page</w:t>
        </w:r>
      </w:hyperlink>
      <w:r>
        <w:rPr>
          <w:rStyle w:val="Hyperlink"/>
        </w:rPr>
        <w:t>&gt;</w:t>
      </w:r>
      <w:r>
        <w:t xml:space="preserve"> accessed 22 January 2018</w:t>
      </w:r>
    </w:p>
  </w:footnote>
  <w:footnote w:id="112">
    <w:p w:rsidR="002B127E" w:rsidRDefault="002B127E">
      <w:pPr>
        <w:pStyle w:val="FootnoteText"/>
      </w:pPr>
      <w:r>
        <w:rPr>
          <w:rStyle w:val="FootnoteReference"/>
        </w:rPr>
        <w:footnoteRef/>
      </w:r>
      <w:r>
        <w:t xml:space="preserve"> The mechanism necessary to collate and store this additional layer of information is not currently available for all supervisors.  At the time of writing, the Solicitors Regulation Authority is undertaking a survey of all solicitors’ firms to understand which firms require approvals under the MLR 2017.</w:t>
      </w:r>
    </w:p>
  </w:footnote>
  <w:footnote w:id="113">
    <w:p w:rsidR="002B127E" w:rsidRDefault="002B127E" w:rsidP="007D4BB2">
      <w:pPr>
        <w:pStyle w:val="FootnoteText"/>
      </w:pPr>
      <w:r>
        <w:rPr>
          <w:rStyle w:val="FootnoteReference"/>
        </w:rPr>
        <w:footnoteRef/>
      </w:r>
      <w:r>
        <w:t xml:space="preserve"> Antoinette Verhage calls for further insight to understand “</w:t>
      </w:r>
      <w:r w:rsidRPr="0004664D">
        <w:rPr>
          <w:i/>
        </w:rPr>
        <w:t>how actors in the AML system employ their discretion and how they fulfil their AML tasks</w:t>
      </w:r>
      <w:r>
        <w:t xml:space="preserve">” in </w:t>
      </w:r>
      <w:hyperlink r:id="rId6" w:history="1">
        <w:r w:rsidRPr="00CD3D2F">
          <w:t>Antoinette Verhage</w:t>
        </w:r>
      </w:hyperlink>
      <w:r>
        <w:t>, ‘</w:t>
      </w:r>
      <w:r w:rsidRPr="00CD3D2F">
        <w:t>Great expectations but little evid</w:t>
      </w:r>
      <w:r>
        <w:t>ence: policing money laundering’</w:t>
      </w:r>
      <w:r w:rsidRPr="00CD3D2F">
        <w:t xml:space="preserve"> </w:t>
      </w:r>
      <w:r>
        <w:t xml:space="preserve">(2017) 37 </w:t>
      </w:r>
      <w:r w:rsidRPr="00CD3D2F">
        <w:t>International Journal of Sociology and Social Policy 477-490</w:t>
      </w:r>
      <w:r>
        <w:t>, para 6.1.1</w:t>
      </w:r>
    </w:p>
  </w:footnote>
  <w:footnote w:id="114">
    <w:p w:rsidR="002B127E" w:rsidRDefault="002B127E" w:rsidP="00224E3A">
      <w:pPr>
        <w:pStyle w:val="FootnoteText"/>
      </w:pPr>
      <w:r>
        <w:rPr>
          <w:rStyle w:val="FootnoteReference"/>
        </w:rPr>
        <w:footnoteRef/>
      </w:r>
      <w:r>
        <w:t xml:space="preserve"> Regulation 28(9) MLR 2017</w:t>
      </w:r>
    </w:p>
  </w:footnote>
  <w:footnote w:id="115">
    <w:p w:rsidR="002B127E" w:rsidRDefault="002B127E" w:rsidP="00224E3A">
      <w:pPr>
        <w:pStyle w:val="FootnoteText"/>
      </w:pPr>
      <w:r>
        <w:rPr>
          <w:rStyle w:val="FootnoteReference"/>
        </w:rPr>
        <w:footnoteRef/>
      </w:r>
      <w:r>
        <w:t xml:space="preserve"> Regulation 28(6) and (7) MLR 2017</w:t>
      </w:r>
    </w:p>
  </w:footnote>
  <w:footnote w:id="116">
    <w:p w:rsidR="002B127E" w:rsidRDefault="002B127E" w:rsidP="00224E3A">
      <w:pPr>
        <w:pStyle w:val="FootnoteText"/>
      </w:pPr>
      <w:r>
        <w:rPr>
          <w:rStyle w:val="FootnoteReference"/>
        </w:rPr>
        <w:footnoteRef/>
      </w:r>
      <w:r>
        <w:t xml:space="preserve"> Regulation 28(12) MLR 2017</w:t>
      </w:r>
    </w:p>
  </w:footnote>
  <w:footnote w:id="117">
    <w:p w:rsidR="002B127E" w:rsidRDefault="002B127E" w:rsidP="00224E3A">
      <w:pPr>
        <w:pStyle w:val="FootnoteText"/>
      </w:pPr>
      <w:r>
        <w:rPr>
          <w:rStyle w:val="FootnoteReference"/>
        </w:rPr>
        <w:footnoteRef/>
      </w:r>
      <w:r>
        <w:t xml:space="preserve"> Regulation 28(13)(a) MLR 2017</w:t>
      </w:r>
    </w:p>
  </w:footnote>
  <w:footnote w:id="118">
    <w:p w:rsidR="002B127E" w:rsidRDefault="002B127E" w:rsidP="00224E3A">
      <w:pPr>
        <w:pStyle w:val="FootnoteText"/>
      </w:pPr>
      <w:r>
        <w:rPr>
          <w:rStyle w:val="FootnoteReference"/>
        </w:rPr>
        <w:footnoteRef/>
      </w:r>
      <w:r>
        <w:t xml:space="preserve"> Regulation 28(13)(b) MLR 2017</w:t>
      </w:r>
    </w:p>
  </w:footnote>
  <w:footnote w:id="119">
    <w:p w:rsidR="002B127E" w:rsidRDefault="002B127E" w:rsidP="00224E3A">
      <w:pPr>
        <w:pStyle w:val="FootnoteText"/>
      </w:pPr>
      <w:r>
        <w:rPr>
          <w:rStyle w:val="FootnoteReference"/>
        </w:rPr>
        <w:footnoteRef/>
      </w:r>
      <w:r>
        <w:t xml:space="preserve"> Regulation 28(13)(c) MLR 2017</w:t>
      </w:r>
    </w:p>
  </w:footnote>
  <w:footnote w:id="120">
    <w:p w:rsidR="002B127E" w:rsidRDefault="002B127E" w:rsidP="00224E3A">
      <w:pPr>
        <w:pStyle w:val="FootnoteText"/>
      </w:pPr>
      <w:r>
        <w:rPr>
          <w:rStyle w:val="FootnoteReference"/>
        </w:rPr>
        <w:footnoteRef/>
      </w:r>
      <w:r>
        <w:t xml:space="preserve"> Part 3 MLR 2017</w:t>
      </w:r>
    </w:p>
  </w:footnote>
  <w:footnote w:id="121">
    <w:p w:rsidR="002B127E" w:rsidRDefault="002B127E" w:rsidP="00224E3A">
      <w:pPr>
        <w:pStyle w:val="FootnoteText"/>
      </w:pPr>
      <w:r>
        <w:rPr>
          <w:rStyle w:val="FootnoteReference"/>
        </w:rPr>
        <w:footnoteRef/>
      </w:r>
      <w:r>
        <w:t xml:space="preserve"> Part 4 MLR 2017</w:t>
      </w:r>
    </w:p>
  </w:footnote>
  <w:footnote w:id="122">
    <w:p w:rsidR="002B127E" w:rsidRDefault="002B127E" w:rsidP="00224E3A">
      <w:pPr>
        <w:pStyle w:val="FootnoteText"/>
      </w:pPr>
      <w:r>
        <w:rPr>
          <w:rStyle w:val="FootnoteReference"/>
        </w:rPr>
        <w:footnoteRef/>
      </w:r>
      <w:r>
        <w:t xml:space="preserve"> For example, the Anti-Money Laundering Guidance for the legal sector dated September 2017 was still marked “draft” as subject to approval from HM Treasury as at 29 November 2017.  JMLSG Guidance was also submitted to HM Treasury for approval and, according to the JMLSG website, “</w:t>
      </w:r>
      <w:r w:rsidRPr="00CE1C44">
        <w:t>will only take over the ‘legal’ status of the existing Guidance once it has been approved by a Treasury Minister</w:t>
      </w:r>
      <w:r>
        <w:t xml:space="preserve">”.  See </w:t>
      </w:r>
      <w:hyperlink r:id="rId7" w:history="1">
        <w:r>
          <w:t>&lt;</w:t>
        </w:r>
        <w:r w:rsidRPr="00A57C39">
          <w:rPr>
            <w:rStyle w:val="Hyperlink"/>
          </w:rPr>
          <w:t>http://www.jmlsg.org.uk/industry-guidance/article/jmlsg-guidance-current</w:t>
        </w:r>
      </w:hyperlink>
      <w:r>
        <w:t>&gt; accessed 22 January 2018.  Approval from HM Treasury was received during March 2018.</w:t>
      </w:r>
    </w:p>
  </w:footnote>
  <w:footnote w:id="123">
    <w:p w:rsidR="002B127E" w:rsidRDefault="002B127E">
      <w:pPr>
        <w:pStyle w:val="FootnoteText"/>
      </w:pPr>
      <w:r>
        <w:rPr>
          <w:rStyle w:val="FootnoteReference"/>
        </w:rPr>
        <w:footnoteRef/>
      </w:r>
      <w:r>
        <w:t xml:space="preserve"> “Defence Against Money Laundering” Suspicious Activity Reports</w:t>
      </w:r>
    </w:p>
  </w:footnote>
  <w:footnote w:id="124">
    <w:p w:rsidR="002B127E" w:rsidRPr="00AC2CC6" w:rsidRDefault="002B127E" w:rsidP="00AC2CC6">
      <w:pPr>
        <w:pStyle w:val="FootnoteText"/>
      </w:pPr>
      <w:r>
        <w:rPr>
          <w:rStyle w:val="FootnoteReference"/>
        </w:rPr>
        <w:footnoteRef/>
      </w:r>
      <w:r>
        <w:t xml:space="preserve"> National Crime Agency </w:t>
      </w:r>
      <w:r w:rsidRPr="00DE4985">
        <w:rPr>
          <w:i/>
        </w:rPr>
        <w:t>Suspicious Activity Reports (SARS) Annual Report 2017</w:t>
      </w:r>
      <w:r>
        <w:t xml:space="preserve"> &lt;</w:t>
      </w:r>
      <w:hyperlink r:id="rId8" w:history="1">
        <w:r w:rsidRPr="00363B25">
          <w:rPr>
            <w:rStyle w:val="Hyperlink"/>
          </w:rPr>
          <w:t>http://www.nationalcrimeagency.gov.uk/publications/826-suspicious-activity-reports-annual-report-2017/file</w:t>
        </w:r>
      </w:hyperlink>
      <w:r w:rsidRPr="00363B25">
        <w:t>&gt;  accessed 22 January 2017</w:t>
      </w:r>
      <w:r>
        <w:t>, records “</w:t>
      </w:r>
      <w:r w:rsidRPr="00AC2CC6">
        <w:rPr>
          <w:i/>
        </w:rPr>
        <w:t>an</w:t>
      </w:r>
      <w:r>
        <w:rPr>
          <w:i/>
        </w:rPr>
        <w:t xml:space="preserve"> increase of 24.03% from 14,672 </w:t>
      </w:r>
      <w:r w:rsidRPr="00AC2CC6">
        <w:rPr>
          <w:i/>
        </w:rPr>
        <w:t>in 2014-15 to 18,198 between October 2015 and</w:t>
      </w:r>
      <w:r>
        <w:rPr>
          <w:i/>
        </w:rPr>
        <w:t xml:space="preserve"> </w:t>
      </w:r>
      <w:r w:rsidRPr="00AC2CC6">
        <w:rPr>
          <w:i/>
        </w:rPr>
        <w:t>September 2016</w:t>
      </w:r>
      <w:r>
        <w:t>” at p7, and the refusal rate is recorded as only 5.67% from October 2015 to March 2017 at p6.</w:t>
      </w:r>
    </w:p>
  </w:footnote>
  <w:footnote w:id="125">
    <w:p w:rsidR="002B127E" w:rsidRDefault="002B127E" w:rsidP="00224E3A">
      <w:pPr>
        <w:pStyle w:val="FootnoteText"/>
      </w:pPr>
      <w:r>
        <w:rPr>
          <w:rStyle w:val="FootnoteReference"/>
        </w:rPr>
        <w:footnoteRef/>
      </w:r>
      <w:r>
        <w:t xml:space="preserve"> PWC, </w:t>
      </w:r>
      <w:r w:rsidRPr="006C458E">
        <w:rPr>
          <w:i/>
        </w:rPr>
        <w:t>G</w:t>
      </w:r>
      <w:r>
        <w:rPr>
          <w:i/>
        </w:rPr>
        <w:t>lobal Economic Crime Survey 2016</w:t>
      </w:r>
      <w:r w:rsidRPr="006C458E">
        <w:t>,</w:t>
      </w:r>
      <w:r>
        <w:rPr>
          <w:i/>
        </w:rPr>
        <w:t xml:space="preserve"> </w:t>
      </w:r>
      <w:r>
        <w:t>41, quoting figures from WealthInsight, which project compliance spending to exceed $8 billion by 2017.</w:t>
      </w:r>
    </w:p>
  </w:footnote>
  <w:footnote w:id="126">
    <w:p w:rsidR="002B127E" w:rsidRPr="00AF4DDD" w:rsidRDefault="002B127E" w:rsidP="00224E3A">
      <w:pPr>
        <w:pStyle w:val="FootnoteText"/>
      </w:pPr>
      <w:r>
        <w:rPr>
          <w:rStyle w:val="FootnoteReference"/>
        </w:rPr>
        <w:footnoteRef/>
      </w:r>
      <w:r>
        <w:t xml:space="preserve"> See , for example, FCA press releases relating to failings of anti-money laundering controls in relation to Deutsche Bank &lt;</w:t>
      </w:r>
      <w:hyperlink r:id="rId9" w:history="1">
        <w:r w:rsidRPr="00A57C39">
          <w:rPr>
            <w:rStyle w:val="Hyperlink"/>
          </w:rPr>
          <w:t>https://www.fca.org.uk/news/press-releases/fca-fines-deutsche-bank-163-million-anti-money-laundering-controls-failure</w:t>
        </w:r>
      </w:hyperlink>
      <w:r>
        <w:rPr>
          <w:rStyle w:val="Hyperlink"/>
        </w:rPr>
        <w:t>&gt;</w:t>
      </w:r>
      <w:r>
        <w:t xml:space="preserve"> accessed 22 January 2018</w:t>
      </w:r>
    </w:p>
  </w:footnote>
  <w:footnote w:id="127">
    <w:p w:rsidR="002B127E" w:rsidRDefault="002B127E" w:rsidP="003E3B77">
      <w:pPr>
        <w:pStyle w:val="FootnoteText"/>
      </w:pPr>
      <w:r>
        <w:rPr>
          <w:rStyle w:val="FootnoteReference"/>
        </w:rPr>
        <w:footnoteRef/>
      </w:r>
      <w:r>
        <w:t xml:space="preserve"> “</w:t>
      </w:r>
      <w:r w:rsidRPr="006C458E">
        <w:rPr>
          <w:i/>
        </w:rPr>
        <w:t xml:space="preserve">The mandate of the FATF is to set standards and to promote </w:t>
      </w:r>
      <w:r w:rsidRPr="006C458E">
        <w:rPr>
          <w:i/>
          <w:u w:val="single"/>
        </w:rPr>
        <w:t>effective</w:t>
      </w:r>
      <w:r w:rsidRPr="006C458E">
        <w:rPr>
          <w:i/>
        </w:rPr>
        <w:t xml:space="preserve"> implementation of legal, regulatory and operational measures for combating money laundering, terrorist financing and the financing of proliferation, and other related threats to the integrity of the international financial system.</w:t>
      </w:r>
      <w:r>
        <w:t>” The FATF Recommendations, p6.</w:t>
      </w:r>
    </w:p>
  </w:footnote>
  <w:footnote w:id="128">
    <w:p w:rsidR="002B127E" w:rsidRDefault="002B127E">
      <w:pPr>
        <w:pStyle w:val="FootnoteText"/>
      </w:pPr>
      <w:r>
        <w:rPr>
          <w:rStyle w:val="FootnoteReference"/>
        </w:rPr>
        <w:footnoteRef/>
      </w:r>
      <w:r>
        <w:t xml:space="preserve"> The FATF Recommendations p7</w:t>
      </w:r>
    </w:p>
  </w:footnote>
  <w:footnote w:id="129">
    <w:p w:rsidR="002B127E" w:rsidRDefault="002B127E" w:rsidP="00D84B05">
      <w:pPr>
        <w:pStyle w:val="FootnoteText"/>
      </w:pPr>
      <w:r>
        <w:rPr>
          <w:rStyle w:val="FootnoteReference"/>
        </w:rPr>
        <w:footnoteRef/>
      </w:r>
      <w:r>
        <w:t xml:space="preserve"> The FATF Recommendations p13</w:t>
      </w:r>
    </w:p>
  </w:footnote>
  <w:footnote w:id="130">
    <w:p w:rsidR="002B127E" w:rsidRDefault="002B127E" w:rsidP="00D84B05">
      <w:pPr>
        <w:pStyle w:val="FootnoteText"/>
      </w:pPr>
      <w:r>
        <w:rPr>
          <w:rStyle w:val="FootnoteReference"/>
        </w:rPr>
        <w:footnoteRef/>
      </w:r>
      <w:r>
        <w:t xml:space="preserve"> The FATF Recommendations p9</w:t>
      </w:r>
    </w:p>
  </w:footnote>
  <w:footnote w:id="131">
    <w:p w:rsidR="002B127E" w:rsidRDefault="002B127E" w:rsidP="00D84B05">
      <w:pPr>
        <w:pStyle w:val="FootnoteText"/>
      </w:pPr>
      <w:r>
        <w:rPr>
          <w:rStyle w:val="FootnoteReference"/>
        </w:rPr>
        <w:footnoteRef/>
      </w:r>
      <w:r>
        <w:t xml:space="preserve"> The FATF Recommendations p17</w:t>
      </w:r>
    </w:p>
  </w:footnote>
  <w:footnote w:id="132">
    <w:p w:rsidR="002B127E" w:rsidRDefault="002B127E" w:rsidP="00D84B05">
      <w:pPr>
        <w:pStyle w:val="FootnoteText"/>
      </w:pPr>
      <w:r>
        <w:rPr>
          <w:rStyle w:val="FootnoteReference"/>
        </w:rPr>
        <w:footnoteRef/>
      </w:r>
      <w:r>
        <w:t xml:space="preserve"> The FATF Recommendations p22</w:t>
      </w:r>
    </w:p>
  </w:footnote>
  <w:footnote w:id="133">
    <w:p w:rsidR="002B127E" w:rsidRDefault="002B127E">
      <w:pPr>
        <w:pStyle w:val="FootnoteText"/>
      </w:pPr>
      <w:r>
        <w:rPr>
          <w:rStyle w:val="FootnoteReference"/>
        </w:rPr>
        <w:footnoteRef/>
      </w:r>
      <w:r>
        <w:t xml:space="preserve"> J.C. Sharman, ‘Power and Discourse in Policy Diffusion: Anti-Money Laundering in Developing States’ (2008) 52 International Studies Quarterly 635-656, 641</w:t>
      </w:r>
    </w:p>
  </w:footnote>
  <w:footnote w:id="134">
    <w:p w:rsidR="002B127E" w:rsidRPr="006C458E" w:rsidRDefault="002B127E">
      <w:pPr>
        <w:pStyle w:val="FootnoteText"/>
      </w:pPr>
      <w:r>
        <w:rPr>
          <w:rStyle w:val="FootnoteReference"/>
        </w:rPr>
        <w:footnoteRef/>
      </w:r>
      <w:r>
        <w:t xml:space="preserve"> Levi M, Reuter P and Halliday T, ‘Can the AML system be evaluated without better data?’</w:t>
      </w:r>
      <w:r w:rsidRPr="00684B95">
        <w:rPr>
          <w:rFonts w:ascii="Times New Roman" w:eastAsia="Times New Roman" w:hAnsi="Times New Roman"/>
          <w:sz w:val="12"/>
          <w:szCs w:val="12"/>
          <w:lang w:eastAsia="en-GB"/>
        </w:rPr>
        <w:t xml:space="preserve"> </w:t>
      </w:r>
      <w:r w:rsidRPr="00684B95">
        <w:t>Crime Law Soc Change</w:t>
      </w:r>
      <w:r>
        <w:t xml:space="preserve"> (2017) </w:t>
      </w:r>
      <w:hyperlink r:id="rId10" w:tgtFrame="_blank" w:history="1">
        <w:r>
          <w:t>&lt;</w:t>
        </w:r>
        <w:r w:rsidRPr="00684B95">
          <w:rPr>
            <w:rStyle w:val="Hyperlink"/>
          </w:rPr>
          <w:t>https://doi.org/10.1007/s10611-017-9757-4</w:t>
        </w:r>
      </w:hyperlink>
      <w:r>
        <w:rPr>
          <w:rStyle w:val="Hyperlink"/>
          <w:u w:val="none"/>
        </w:rPr>
        <w:t xml:space="preserve"> </w:t>
      </w:r>
      <w:r w:rsidRPr="006C458E">
        <w:rPr>
          <w:rStyle w:val="Hyperlink"/>
          <w:color w:val="auto"/>
          <w:u w:val="none"/>
        </w:rPr>
        <w:t>accessed</w:t>
      </w:r>
      <w:r>
        <w:rPr>
          <w:rStyle w:val="Hyperlink"/>
          <w:color w:val="auto"/>
          <w:u w:val="none"/>
        </w:rPr>
        <w:t xml:space="preserve"> 26 March 2018</w:t>
      </w:r>
    </w:p>
  </w:footnote>
  <w:footnote w:id="135">
    <w:p w:rsidR="002B127E" w:rsidRDefault="002B127E" w:rsidP="002F6954">
      <w:pPr>
        <w:pStyle w:val="FootnoteText"/>
      </w:pPr>
      <w:r>
        <w:rPr>
          <w:rStyle w:val="FootnoteReference"/>
        </w:rPr>
        <w:footnoteRef/>
      </w:r>
      <w:r>
        <w:t xml:space="preserve"> Andrew Haynes analysed the effectiveness of the anti-money laundering regime following regulatory and legislative changes during 2007 in Andrew Haynes ‘Money laundering: from failure to absurdity’ (2008) 11 Journal of Money Laundering Control 303-319</w:t>
      </w:r>
    </w:p>
  </w:footnote>
  <w:footnote w:id="136">
    <w:p w:rsidR="002B127E" w:rsidRDefault="002B127E" w:rsidP="00224E3A">
      <w:pPr>
        <w:pStyle w:val="FootnoteText"/>
      </w:pPr>
      <w:r>
        <w:rPr>
          <w:rStyle w:val="FootnoteReference"/>
        </w:rPr>
        <w:footnoteRef/>
      </w:r>
      <w:r>
        <w:t xml:space="preserve"> Article 6.1 4MLD</w:t>
      </w:r>
    </w:p>
  </w:footnote>
  <w:footnote w:id="137">
    <w:p w:rsidR="002B127E" w:rsidRDefault="002B127E" w:rsidP="00224E3A">
      <w:pPr>
        <w:pStyle w:val="FootnoteText"/>
      </w:pPr>
      <w:r>
        <w:rPr>
          <w:rStyle w:val="FootnoteReference"/>
        </w:rPr>
        <w:footnoteRef/>
      </w:r>
      <w:r>
        <w:t xml:space="preserve"> Regulation 16(1) MLR 2017</w:t>
      </w:r>
    </w:p>
  </w:footnote>
  <w:footnote w:id="138">
    <w:p w:rsidR="002B127E" w:rsidRDefault="002B127E" w:rsidP="00224E3A">
      <w:pPr>
        <w:pStyle w:val="FootnoteText"/>
      </w:pPr>
      <w:r>
        <w:rPr>
          <w:rStyle w:val="FootnoteReference"/>
        </w:rPr>
        <w:footnoteRef/>
      </w:r>
      <w:r>
        <w:t xml:space="preserve"> Regulation 28(18)(a) MLR 2017</w:t>
      </w:r>
    </w:p>
  </w:footnote>
  <w:footnote w:id="139">
    <w:p w:rsidR="002B127E" w:rsidRDefault="002B127E">
      <w:pPr>
        <w:pStyle w:val="FootnoteText"/>
      </w:pPr>
      <w:r>
        <w:rPr>
          <w:rStyle w:val="FootnoteReference"/>
        </w:rPr>
        <w:footnoteRef/>
      </w:r>
      <w:r>
        <w:t xml:space="preserve"> Regulation 5(a) MLR 2007</w:t>
      </w:r>
    </w:p>
  </w:footnote>
  <w:footnote w:id="140">
    <w:p w:rsidR="002B127E" w:rsidRDefault="002B127E" w:rsidP="00224E3A">
      <w:pPr>
        <w:pStyle w:val="FootnoteText"/>
      </w:pPr>
      <w:r>
        <w:rPr>
          <w:rStyle w:val="FootnoteReference"/>
        </w:rPr>
        <w:footnoteRef/>
      </w:r>
      <w:r>
        <w:t xml:space="preserve"> Regulation 17(4) MLR 2017</w:t>
      </w:r>
    </w:p>
  </w:footnote>
  <w:footnote w:id="141">
    <w:p w:rsidR="002B127E" w:rsidRDefault="002B127E" w:rsidP="00224E3A">
      <w:pPr>
        <w:pStyle w:val="FootnoteText"/>
      </w:pPr>
      <w:r>
        <w:rPr>
          <w:rStyle w:val="FootnoteReference"/>
        </w:rPr>
        <w:footnoteRef/>
      </w:r>
      <w:r>
        <w:t xml:space="preserve"> Regulation 17(5) MLR 2017</w:t>
      </w:r>
    </w:p>
  </w:footnote>
  <w:footnote w:id="142">
    <w:p w:rsidR="002B127E" w:rsidRDefault="002B127E" w:rsidP="00224E3A">
      <w:pPr>
        <w:pStyle w:val="FootnoteText"/>
      </w:pPr>
      <w:r>
        <w:rPr>
          <w:rStyle w:val="FootnoteReference"/>
        </w:rPr>
        <w:footnoteRef/>
      </w:r>
      <w:r>
        <w:t xml:space="preserve"> Regulation 17(6) MLR 2017</w:t>
      </w:r>
    </w:p>
  </w:footnote>
  <w:footnote w:id="143">
    <w:p w:rsidR="002B127E" w:rsidRDefault="002B127E">
      <w:pPr>
        <w:pStyle w:val="FootnoteText"/>
      </w:pPr>
      <w:r>
        <w:rPr>
          <w:rStyle w:val="FootnoteReference"/>
        </w:rPr>
        <w:footnoteRef/>
      </w:r>
      <w:r>
        <w:t xml:space="preserve"> Under Regulation 7 MLR 2017, these are the Financial Conduct Authority, HMRC and the Gambling Commission in addition to 22 professional body supervisory authorities listed in Schedule 1 MLR 2017.</w:t>
      </w:r>
    </w:p>
  </w:footnote>
  <w:footnote w:id="144">
    <w:p w:rsidR="002B127E" w:rsidRDefault="002B127E">
      <w:pPr>
        <w:pStyle w:val="FootnoteText"/>
      </w:pPr>
      <w:r>
        <w:rPr>
          <w:rStyle w:val="FootnoteReference"/>
        </w:rPr>
        <w:footnoteRef/>
      </w:r>
      <w:r>
        <w:t xml:space="preserve"> At the start of 2014 as quoted from BIS </w:t>
      </w:r>
      <w:r w:rsidRPr="00910116">
        <w:rPr>
          <w:i/>
        </w:rPr>
        <w:t>Business Population Estimates for the UK and regi</w:t>
      </w:r>
      <w:r>
        <w:rPr>
          <w:i/>
        </w:rPr>
        <w:t>ons: 2014</w:t>
      </w:r>
      <w:r>
        <w:t xml:space="preserve"> in the National Risk Assessment 2015, 38.</w:t>
      </w:r>
    </w:p>
  </w:footnote>
  <w:footnote w:id="145">
    <w:p w:rsidR="002B127E" w:rsidRDefault="002B127E">
      <w:pPr>
        <w:pStyle w:val="FootnoteText"/>
      </w:pPr>
      <w:r>
        <w:rPr>
          <w:rStyle w:val="FootnoteReference"/>
        </w:rPr>
        <w:footnoteRef/>
      </w:r>
      <w:r>
        <w:t xml:space="preserve"> Ibid 42</w:t>
      </w:r>
    </w:p>
  </w:footnote>
  <w:footnote w:id="146">
    <w:p w:rsidR="002B127E" w:rsidRDefault="002B127E" w:rsidP="00224E3A">
      <w:pPr>
        <w:pStyle w:val="FootnoteText"/>
      </w:pPr>
      <w:r>
        <w:rPr>
          <w:rStyle w:val="FootnoteReference"/>
        </w:rPr>
        <w:footnoteRef/>
      </w:r>
      <w:r>
        <w:t xml:space="preserve"> Harvey and Ashton quote a compliance officer expressing concerns about the basis of risk assessments, based on very limited empirical evidence, in </w:t>
      </w:r>
      <w:r w:rsidRPr="0034042F">
        <w:t xml:space="preserve">Jackie </w:t>
      </w:r>
      <w:r>
        <w:t xml:space="preserve">Harvey </w:t>
      </w:r>
      <w:r w:rsidRPr="0034042F">
        <w:t xml:space="preserve">and Simon </w:t>
      </w:r>
      <w:r>
        <w:t>Ashton</w:t>
      </w:r>
      <w:r w:rsidRPr="0034042F">
        <w:t xml:space="preserve"> </w:t>
      </w:r>
      <w:r>
        <w:t>‘</w:t>
      </w:r>
      <w:r w:rsidRPr="00910116">
        <w:rPr>
          <w:iCs/>
        </w:rPr>
        <w:t>Anti-money laundering policy: A response to the activity of criminals or of agencies?</w:t>
      </w:r>
      <w:r>
        <w:rPr>
          <w:iCs/>
        </w:rPr>
        <w:t>’ i</w:t>
      </w:r>
      <w:r>
        <w:t>n</w:t>
      </w:r>
      <w:r w:rsidRPr="0034042F">
        <w:t xml:space="preserve"> </w:t>
      </w:r>
      <w:r w:rsidRPr="00910116">
        <w:rPr>
          <w:i/>
        </w:rPr>
        <w:t xml:space="preserve">The relativity of wrongdoing: Corruption, organised crime, fraud and </w:t>
      </w:r>
      <w:r>
        <w:rPr>
          <w:i/>
        </w:rPr>
        <w:t>money laundering in perspective</w:t>
      </w:r>
      <w:r w:rsidRPr="0034042F">
        <w:t xml:space="preserve"> </w:t>
      </w:r>
      <w:r>
        <w:t>(</w:t>
      </w:r>
      <w:r w:rsidRPr="0034042F">
        <w:t>Wolf Legal, Netherlands</w:t>
      </w:r>
      <w:r>
        <w:t xml:space="preserve"> 2015)</w:t>
      </w:r>
      <w:r w:rsidRPr="0034042F">
        <w:t xml:space="preserve"> 283-307</w:t>
      </w:r>
      <w:r>
        <w:t>, 301</w:t>
      </w:r>
    </w:p>
  </w:footnote>
  <w:footnote w:id="147">
    <w:p w:rsidR="002B127E" w:rsidRDefault="002B127E" w:rsidP="00224E3A">
      <w:pPr>
        <w:pStyle w:val="FootnoteText"/>
      </w:pPr>
      <w:r>
        <w:rPr>
          <w:rStyle w:val="FootnoteReference"/>
        </w:rPr>
        <w:footnoteRef/>
      </w:r>
      <w:r>
        <w:t xml:space="preserve"> Regulation 18 MLR 2017</w:t>
      </w:r>
    </w:p>
  </w:footnote>
  <w:footnote w:id="148">
    <w:p w:rsidR="002B127E" w:rsidRDefault="002B127E" w:rsidP="00224E3A">
      <w:pPr>
        <w:pStyle w:val="FootnoteText"/>
      </w:pPr>
      <w:r>
        <w:rPr>
          <w:rStyle w:val="FootnoteReference"/>
        </w:rPr>
        <w:footnoteRef/>
      </w:r>
      <w:r>
        <w:t xml:space="preserve"> Regulation 18(4) MLR 2017</w:t>
      </w:r>
    </w:p>
  </w:footnote>
  <w:footnote w:id="149">
    <w:p w:rsidR="002B127E" w:rsidRDefault="002B127E" w:rsidP="00224E3A">
      <w:pPr>
        <w:pStyle w:val="FootnoteText"/>
      </w:pPr>
      <w:r>
        <w:rPr>
          <w:rStyle w:val="FootnoteReference"/>
        </w:rPr>
        <w:footnoteRef/>
      </w:r>
      <w:r>
        <w:t xml:space="preserve"> Regulation 18(6) MLR 2017</w:t>
      </w:r>
    </w:p>
  </w:footnote>
  <w:footnote w:id="150">
    <w:p w:rsidR="002B127E" w:rsidRPr="00332096" w:rsidRDefault="002B127E" w:rsidP="00224E3A">
      <w:pPr>
        <w:pStyle w:val="FootnoteText"/>
      </w:pPr>
      <w:r>
        <w:rPr>
          <w:rStyle w:val="FootnoteReference"/>
        </w:rPr>
        <w:footnoteRef/>
      </w:r>
      <w:r>
        <w:t xml:space="preserve"> Jackie Harvey ‘</w:t>
      </w:r>
      <w:r w:rsidRPr="00910116">
        <w:t>Controlling the flow of money or satisfying the regulators?</w:t>
      </w:r>
      <w:r>
        <w:t>’ in</w:t>
      </w:r>
      <w:r w:rsidRPr="00910116">
        <w:rPr>
          <w:rFonts w:ascii="Arial" w:hAnsi="Arial" w:cs="Arial"/>
          <w:color w:val="000000"/>
        </w:rPr>
        <w:t xml:space="preserve"> </w:t>
      </w:r>
      <w:r w:rsidRPr="00910116">
        <w:rPr>
          <w:i/>
        </w:rPr>
        <w:t>The Organised Crime Economy: Managing crime markets in Europe.</w:t>
      </w:r>
      <w:r w:rsidRPr="00910116">
        <w:t xml:space="preserve"> </w:t>
      </w:r>
      <w:r>
        <w:t>(</w:t>
      </w:r>
      <w:r w:rsidRPr="00910116">
        <w:t>Wolf Legal</w:t>
      </w:r>
      <w:r>
        <w:t>,</w:t>
      </w:r>
      <w:r w:rsidRPr="00910116">
        <w:t xml:space="preserve"> Netherlands</w:t>
      </w:r>
      <w:r>
        <w:t xml:space="preserve"> 2005)</w:t>
      </w:r>
      <w:r w:rsidRPr="00910116">
        <w:t xml:space="preserve"> 43-64</w:t>
      </w:r>
    </w:p>
  </w:footnote>
  <w:footnote w:id="151">
    <w:p w:rsidR="002B127E" w:rsidRDefault="002B127E" w:rsidP="00224E3A">
      <w:pPr>
        <w:pStyle w:val="FootnoteText"/>
      </w:pPr>
      <w:r>
        <w:rPr>
          <w:rStyle w:val="FootnoteReference"/>
        </w:rPr>
        <w:footnoteRef/>
      </w:r>
      <w:r>
        <w:t xml:space="preserve"> Regulation 33(1)(b) MLR 2017</w:t>
      </w:r>
    </w:p>
  </w:footnote>
  <w:footnote w:id="152">
    <w:p w:rsidR="002B127E" w:rsidRDefault="002B127E" w:rsidP="00224E3A">
      <w:pPr>
        <w:pStyle w:val="FootnoteText"/>
      </w:pPr>
      <w:r>
        <w:rPr>
          <w:rStyle w:val="FootnoteReference"/>
        </w:rPr>
        <w:footnoteRef/>
      </w:r>
      <w:r>
        <w:t xml:space="preserve"> Regulation 33(3) MLR 2017, based on the identification in delegated acts adopted under Article 9.2 of 4MLD.</w:t>
      </w:r>
    </w:p>
  </w:footnote>
  <w:footnote w:id="153">
    <w:p w:rsidR="002B127E" w:rsidRDefault="002B127E" w:rsidP="00224E3A">
      <w:pPr>
        <w:pStyle w:val="FootnoteText"/>
      </w:pPr>
      <w:r>
        <w:rPr>
          <w:rStyle w:val="FootnoteReference"/>
        </w:rPr>
        <w:footnoteRef/>
      </w:r>
      <w:r>
        <w:t xml:space="preserve"> Regulation 33(6)(c) MLR 2017</w:t>
      </w:r>
    </w:p>
  </w:footnote>
  <w:footnote w:id="154">
    <w:p w:rsidR="002B127E" w:rsidRDefault="002B127E" w:rsidP="00224E3A">
      <w:pPr>
        <w:pStyle w:val="FootnoteText"/>
      </w:pPr>
      <w:r>
        <w:rPr>
          <w:rStyle w:val="FootnoteReference"/>
        </w:rPr>
        <w:footnoteRef/>
      </w:r>
      <w:r>
        <w:t xml:space="preserve"> Regulation 33(6)(c)(i) MLR 2017</w:t>
      </w:r>
    </w:p>
  </w:footnote>
  <w:footnote w:id="155">
    <w:p w:rsidR="002B127E" w:rsidRDefault="002B127E" w:rsidP="00224E3A">
      <w:pPr>
        <w:pStyle w:val="FootnoteText"/>
      </w:pPr>
      <w:r>
        <w:rPr>
          <w:rStyle w:val="FootnoteReference"/>
        </w:rPr>
        <w:footnoteRef/>
      </w:r>
      <w:r>
        <w:t xml:space="preserve"> Regulation 33(6)(c)(ii) MLR 2017</w:t>
      </w:r>
    </w:p>
  </w:footnote>
  <w:footnote w:id="156">
    <w:p w:rsidR="002B127E" w:rsidRDefault="002B127E" w:rsidP="00224E3A">
      <w:pPr>
        <w:pStyle w:val="FootnoteText"/>
      </w:pPr>
      <w:r>
        <w:rPr>
          <w:rStyle w:val="FootnoteReference"/>
        </w:rPr>
        <w:footnoteRef/>
      </w:r>
      <w:r>
        <w:t xml:space="preserve"> Regulation 33(6)(c)(vi) MLR 2017</w:t>
      </w:r>
    </w:p>
  </w:footnote>
  <w:footnote w:id="157">
    <w:p w:rsidR="002B127E" w:rsidRDefault="002B127E" w:rsidP="008F796D">
      <w:pPr>
        <w:pStyle w:val="FootnoteText"/>
      </w:pPr>
      <w:r>
        <w:rPr>
          <w:rStyle w:val="FootnoteReference"/>
        </w:rPr>
        <w:footnoteRef/>
      </w:r>
      <w:r>
        <w:t xml:space="preserve"> HM Government, </w:t>
      </w:r>
      <w:r w:rsidRPr="00E2156D">
        <w:rPr>
          <w:i/>
        </w:rPr>
        <w:t>The United Kingdom’s exit from, and new partnership with, the European Union</w:t>
      </w:r>
      <w:r>
        <w:t xml:space="preserve"> (CM 9417) February 2017, para 11.6</w:t>
      </w:r>
    </w:p>
  </w:footnote>
  <w:footnote w:id="158">
    <w:p w:rsidR="002B127E" w:rsidRDefault="002B127E" w:rsidP="008F796D">
      <w:pPr>
        <w:pStyle w:val="FootnoteText"/>
      </w:pPr>
      <w:r>
        <w:rPr>
          <w:rStyle w:val="FootnoteReference"/>
        </w:rPr>
        <w:footnoteRef/>
      </w:r>
      <w:r>
        <w:t xml:space="preserve"> Ibid, para 8.37</w:t>
      </w:r>
    </w:p>
  </w:footnote>
  <w:footnote w:id="159">
    <w:p w:rsidR="002B127E" w:rsidRDefault="002B127E" w:rsidP="008F796D">
      <w:pPr>
        <w:pStyle w:val="FootnoteText"/>
      </w:pPr>
      <w:r>
        <w:rPr>
          <w:rStyle w:val="FootnoteReference"/>
        </w:rPr>
        <w:footnoteRef/>
      </w:r>
      <w:r>
        <w:t xml:space="preserve"> NCA, </w:t>
      </w:r>
      <w:r w:rsidRPr="002B127E">
        <w:rPr>
          <w:i/>
        </w:rPr>
        <w:t>Annual Plan 2017 – 18</w:t>
      </w:r>
      <w:r>
        <w:t>, p9, under the “Prosperity” threat pillar, which also includes economic crime, bribery and corruption and cyber crime.</w:t>
      </w:r>
    </w:p>
  </w:footnote>
  <w:footnote w:id="160">
    <w:p w:rsidR="00B1203A" w:rsidRDefault="00B1203A">
      <w:pPr>
        <w:pStyle w:val="FootnoteText"/>
      </w:pPr>
      <w:r>
        <w:rPr>
          <w:rStyle w:val="FootnoteReference"/>
        </w:rPr>
        <w:footnoteRef/>
      </w:r>
      <w:r>
        <w:t xml:space="preserve"> </w:t>
      </w:r>
      <w:r w:rsidRPr="00051F28">
        <w:t xml:space="preserve">Home Office and HM Treasury, </w:t>
      </w:r>
      <w:r w:rsidRPr="00051F28">
        <w:rPr>
          <w:i/>
        </w:rPr>
        <w:t>Action Plan for anti-money laundering and counter-terrorist finance</w:t>
      </w:r>
      <w:r>
        <w:t>, April </w:t>
      </w:r>
      <w:r w:rsidRPr="00051F28">
        <w:t>2016</w:t>
      </w:r>
      <w:r>
        <w:t>, 3</w:t>
      </w:r>
    </w:p>
  </w:footnote>
  <w:footnote w:id="161">
    <w:p w:rsidR="002B127E" w:rsidRDefault="002B127E" w:rsidP="00B05C2C">
      <w:pPr>
        <w:pStyle w:val="FootnoteText"/>
      </w:pPr>
      <w:r>
        <w:rPr>
          <w:rStyle w:val="FootnoteReference"/>
        </w:rPr>
        <w:footnoteRef/>
      </w:r>
      <w:r>
        <w:t xml:space="preserve"> </w:t>
      </w:r>
      <w:r w:rsidRPr="00B61FC8">
        <w:t>Petru</w:t>
      </w:r>
      <w:r>
        <w:t>s C. van Duyne, Marc S. Groenhuij</w:t>
      </w:r>
      <w:r w:rsidRPr="00B61FC8">
        <w:t xml:space="preserve">sen and A.A.P. Schudelaro, </w:t>
      </w:r>
      <w:r>
        <w:t>‘</w:t>
      </w:r>
      <w:r w:rsidRPr="00B61FC8">
        <w:t>Balancing financial threats and legal interests in money-laundering policy</w:t>
      </w:r>
      <w:r>
        <w:t>’ (2005)</w:t>
      </w:r>
      <w:r w:rsidRPr="00B61FC8">
        <w:t xml:space="preserve"> </w:t>
      </w:r>
      <w:r>
        <w:t xml:space="preserve">43 </w:t>
      </w:r>
      <w:r w:rsidRPr="00B61FC8">
        <w:t>Crime, L</w:t>
      </w:r>
      <w:r>
        <w:t>aw and Social Change 117-147</w:t>
      </w:r>
    </w:p>
  </w:footnote>
  <w:footnote w:id="162">
    <w:p w:rsidR="002B127E" w:rsidRDefault="002B127E" w:rsidP="008F796D">
      <w:pPr>
        <w:pStyle w:val="FootnoteText"/>
      </w:pPr>
      <w:r>
        <w:rPr>
          <w:rStyle w:val="FootnoteReference"/>
        </w:rPr>
        <w:footnoteRef/>
      </w:r>
      <w:r>
        <w:t xml:space="preserve"> </w:t>
      </w:r>
      <w:r w:rsidR="009C5BBB">
        <w:t xml:space="preserve">Mark Pieth, ‘The Harmonization of Law Against Economic Crime’ (1999) 1 Eur. J.L. Reform 527, </w:t>
      </w:r>
      <w:r>
        <w:t>533</w:t>
      </w:r>
    </w:p>
  </w:footnote>
  <w:footnote w:id="163">
    <w:p w:rsidR="002B127E" w:rsidRDefault="002B127E" w:rsidP="008F796D">
      <w:pPr>
        <w:pStyle w:val="FootnoteText"/>
      </w:pPr>
      <w:r>
        <w:rPr>
          <w:rStyle w:val="FootnoteReference"/>
        </w:rPr>
        <w:footnoteRef/>
      </w:r>
      <w:r>
        <w:t xml:space="preserve"> See FATF</w:t>
      </w:r>
      <w:r w:rsidR="009C5BBB">
        <w:t xml:space="preserve"> </w:t>
      </w:r>
      <w:r w:rsidRPr="009C5BBB">
        <w:rPr>
          <w:i/>
        </w:rPr>
        <w:t>Procedures for the FATF Fourth Round of AML/CFT Mutual Evaluations</w:t>
      </w:r>
      <w:r>
        <w:t xml:space="preserve"> updated November 2017 </w:t>
      </w:r>
      <w:hyperlink r:id="rId11" w:history="1">
        <w:r w:rsidRPr="00F5431A">
          <w:rPr>
            <w:rStyle w:val="Hyperlink"/>
          </w:rPr>
          <w:t>http://www.fatf-gafi.org/publications/mutualevaluations/documents/4th-round-procedures.html</w:t>
        </w:r>
      </w:hyperlink>
      <w:r>
        <w:t xml:space="preserve"> </w:t>
      </w:r>
      <w:r w:rsidR="009C5BBB">
        <w:t xml:space="preserve">accessed </w:t>
      </w:r>
      <w:r>
        <w:t>24 November 2017</w:t>
      </w:r>
    </w:p>
  </w:footnote>
  <w:footnote w:id="164">
    <w:p w:rsidR="002B127E" w:rsidRPr="00131037" w:rsidRDefault="002B127E" w:rsidP="00B05C2C">
      <w:pPr>
        <w:pStyle w:val="FootnoteText"/>
      </w:pPr>
      <w:r>
        <w:rPr>
          <w:rStyle w:val="FootnoteReference"/>
        </w:rPr>
        <w:footnoteRef/>
      </w:r>
      <w:r>
        <w:t xml:space="preserve"> The UK is due to face its FATF mutual evaluation during 2018 in accordance with the FATF assessment calendar </w:t>
      </w:r>
      <w:hyperlink r:id="rId12" w:history="1">
        <w:r w:rsidRPr="00F92329">
          <w:rPr>
            <w:rStyle w:val="Hyperlink"/>
          </w:rPr>
          <w:t>http://www.fatf-gafi.org/calendar/assessmentcalendar/?hf=10&amp;b=0&amp;r=%2Bf%2Ffatf_country_en%2Funited+kingdom&amp;s=asc(document_lastmodifieddate)&amp;table=1</w:t>
        </w:r>
      </w:hyperlink>
      <w:r w:rsidR="00131037">
        <w:rPr>
          <w:rStyle w:val="Hyperlink"/>
          <w:u w:val="none"/>
        </w:rPr>
        <w:t xml:space="preserve"> </w:t>
      </w:r>
      <w:r w:rsidR="00131037" w:rsidRPr="00131037">
        <w:rPr>
          <w:rStyle w:val="Hyperlink"/>
          <w:color w:val="auto"/>
          <w:u w:val="none"/>
        </w:rPr>
        <w:t>accessed 27 October 2017</w:t>
      </w:r>
    </w:p>
  </w:footnote>
  <w:footnote w:id="165">
    <w:p w:rsidR="002B127E" w:rsidRDefault="002B127E" w:rsidP="008F796D">
      <w:pPr>
        <w:pStyle w:val="FootnoteText"/>
      </w:pPr>
      <w:r>
        <w:rPr>
          <w:rStyle w:val="FootnoteReference"/>
        </w:rPr>
        <w:footnoteRef/>
      </w:r>
      <w:r>
        <w:t xml:space="preserve"> M. Michelle Gallant</w:t>
      </w:r>
      <w:r w:rsidR="00131037">
        <w:t xml:space="preserve"> ‘</w:t>
      </w:r>
      <w:r>
        <w:t>Money laundering consequences: Recovering wealth, piercing secrecy, disrupting tax havens a</w:t>
      </w:r>
      <w:r w:rsidR="00131037">
        <w:t>nd distorting international law’ (2014) 17</w:t>
      </w:r>
      <w:r>
        <w:t xml:space="preserve"> Journal of Money Laundering Control</w:t>
      </w:r>
      <w:r w:rsidR="00131037">
        <w:t xml:space="preserve">296-305, </w:t>
      </w:r>
      <w:r>
        <w:t>302</w:t>
      </w:r>
    </w:p>
  </w:footnote>
  <w:footnote w:id="166">
    <w:p w:rsidR="002B127E" w:rsidRDefault="002B127E" w:rsidP="008F796D">
      <w:pPr>
        <w:pStyle w:val="FootnoteText"/>
      </w:pPr>
      <w:r>
        <w:rPr>
          <w:rStyle w:val="FootnoteReference"/>
        </w:rPr>
        <w:footnoteRef/>
      </w:r>
      <w:r>
        <w:t xml:space="preserve"> </w:t>
      </w:r>
      <w:r w:rsidR="00131037">
        <w:t xml:space="preserve">HM Treasury and Home Office, </w:t>
      </w:r>
      <w:r w:rsidR="00131037" w:rsidRPr="002552A9">
        <w:rPr>
          <w:i/>
        </w:rPr>
        <w:t>UK national risk assessment of money lau</w:t>
      </w:r>
      <w:r w:rsidR="00131037">
        <w:rPr>
          <w:i/>
        </w:rPr>
        <w:t>ndering and terrorist financing</w:t>
      </w:r>
      <w:r w:rsidR="00131037">
        <w:t xml:space="preserve">, October 2015, </w:t>
      </w:r>
      <w:r>
        <w:t>4</w:t>
      </w:r>
    </w:p>
  </w:footnote>
  <w:footnote w:id="167">
    <w:p w:rsidR="002B127E" w:rsidRDefault="002B127E" w:rsidP="008F796D">
      <w:pPr>
        <w:pStyle w:val="FootnoteText"/>
      </w:pPr>
      <w:r>
        <w:rPr>
          <w:rStyle w:val="FootnoteReference"/>
        </w:rPr>
        <w:footnoteRef/>
      </w:r>
      <w:r>
        <w:t xml:space="preserve"> </w:t>
      </w:r>
      <w:r w:rsidR="00131037">
        <w:t xml:space="preserve">Ibid </w:t>
      </w:r>
      <w:r>
        <w:t>3</w:t>
      </w:r>
    </w:p>
  </w:footnote>
  <w:footnote w:id="168">
    <w:p w:rsidR="002B127E" w:rsidRDefault="002B127E" w:rsidP="008F796D">
      <w:pPr>
        <w:pStyle w:val="FootnoteText"/>
      </w:pPr>
      <w:r>
        <w:rPr>
          <w:rStyle w:val="FootnoteReference"/>
        </w:rPr>
        <w:footnoteRef/>
      </w:r>
      <w:r>
        <w:t xml:space="preserve"> </w:t>
      </w:r>
      <w:r w:rsidR="00131037">
        <w:t xml:space="preserve">HM Treasury and Home Office, </w:t>
      </w:r>
      <w:r w:rsidR="00131037" w:rsidRPr="002552A9">
        <w:rPr>
          <w:i/>
        </w:rPr>
        <w:t>UK national risk assessment of money lau</w:t>
      </w:r>
      <w:r w:rsidR="00131037">
        <w:rPr>
          <w:i/>
        </w:rPr>
        <w:t>ndering and terrorist financing</w:t>
      </w:r>
      <w:r w:rsidR="009A37F3">
        <w:t>,</w:t>
      </w:r>
      <w:r w:rsidR="00131037">
        <w:rPr>
          <w:i/>
        </w:rPr>
        <w:t xml:space="preserve"> </w:t>
      </w:r>
      <w:r w:rsidR="009A37F3" w:rsidRPr="009A37F3">
        <w:t xml:space="preserve">October </w:t>
      </w:r>
      <w:r w:rsidR="00131037" w:rsidRPr="009A37F3">
        <w:t>2017</w:t>
      </w:r>
      <w:r w:rsidR="009A37F3">
        <w:t xml:space="preserve">, </w:t>
      </w:r>
      <w:r>
        <w:t>4</w:t>
      </w:r>
    </w:p>
  </w:footnote>
  <w:footnote w:id="169">
    <w:p w:rsidR="002B127E" w:rsidRDefault="002B127E" w:rsidP="00ED1D4A">
      <w:pPr>
        <w:pStyle w:val="FootnoteText"/>
      </w:pPr>
      <w:r>
        <w:rPr>
          <w:rStyle w:val="FootnoteReference"/>
        </w:rPr>
        <w:footnoteRef/>
      </w:r>
      <w:r>
        <w:t xml:space="preserve"> See </w:t>
      </w:r>
      <w:r w:rsidR="009A37F3">
        <w:t>Jackie Harvey, ‘Just How Effective is Money Laundering Legislation?’ (2008) 21 Security Journal 189-211</w:t>
      </w:r>
    </w:p>
  </w:footnote>
  <w:footnote w:id="170">
    <w:p w:rsidR="002B127E" w:rsidRDefault="002B127E">
      <w:pPr>
        <w:pStyle w:val="FootnoteText"/>
      </w:pPr>
      <w:r>
        <w:rPr>
          <w:rStyle w:val="FootnoteReference"/>
        </w:rPr>
        <w:footnoteRef/>
      </w:r>
      <w:r>
        <w:t xml:space="preserve"> </w:t>
      </w:r>
      <w:r w:rsidR="009A37F3">
        <w:t xml:space="preserve">Antoinette </w:t>
      </w:r>
      <w:r>
        <w:t xml:space="preserve">Verhage, </w:t>
      </w:r>
      <w:r w:rsidR="009A37F3">
        <w:t>‘</w:t>
      </w:r>
      <w:r>
        <w:t>Between the hammer and the anvil?  The anti-money laundering-complex and its interactio</w:t>
      </w:r>
      <w:r w:rsidR="009A37F3">
        <w:t>ns with the compliance industry’ (2009) 52</w:t>
      </w:r>
      <w:r>
        <w:t xml:space="preserve"> Crime Law Soc Change </w:t>
      </w:r>
      <w:r w:rsidR="009A37F3">
        <w:t>9-</w:t>
      </w:r>
      <w:r>
        <w:t>32</w:t>
      </w:r>
    </w:p>
  </w:footnote>
  <w:footnote w:id="171">
    <w:p w:rsidR="002B127E" w:rsidRDefault="002B127E" w:rsidP="00E969EC">
      <w:pPr>
        <w:pStyle w:val="FootnoteText"/>
      </w:pPr>
      <w:r>
        <w:rPr>
          <w:rStyle w:val="FootnoteReference"/>
        </w:rPr>
        <w:footnoteRef/>
      </w:r>
      <w:r>
        <w:t xml:space="preserve"> </w:t>
      </w:r>
      <w:r w:rsidR="009A37F3">
        <w:t>Levi M, Reuter P and Halliday T, ‘Can the AML system be evaluated without better data?’</w:t>
      </w:r>
      <w:r w:rsidR="009A37F3" w:rsidRPr="00684B95">
        <w:rPr>
          <w:rFonts w:ascii="Times New Roman" w:eastAsia="Times New Roman" w:hAnsi="Times New Roman"/>
          <w:sz w:val="12"/>
          <w:szCs w:val="12"/>
          <w:lang w:eastAsia="en-GB"/>
        </w:rPr>
        <w:t xml:space="preserve"> </w:t>
      </w:r>
      <w:r w:rsidR="009A37F3" w:rsidRPr="00684B95">
        <w:t>Crime Law Soc Change</w:t>
      </w:r>
      <w:r w:rsidR="009A37F3">
        <w:t xml:space="preserve"> (2017) </w:t>
      </w:r>
      <w:hyperlink r:id="rId13" w:tgtFrame="_blank" w:history="1">
        <w:r w:rsidR="009A37F3">
          <w:t>&lt;</w:t>
        </w:r>
        <w:r w:rsidR="009A37F3" w:rsidRPr="00684B95">
          <w:rPr>
            <w:rStyle w:val="Hyperlink"/>
          </w:rPr>
          <w:t>https://doi.org/10.1007/s10611-017-9757-4</w:t>
        </w:r>
      </w:hyperlink>
      <w:r w:rsidR="009A37F3">
        <w:rPr>
          <w:rStyle w:val="Hyperlink"/>
          <w:u w:val="none"/>
        </w:rPr>
        <w:t xml:space="preserve"> </w:t>
      </w:r>
      <w:r w:rsidR="009A37F3" w:rsidRPr="006C458E">
        <w:rPr>
          <w:rStyle w:val="Hyperlink"/>
          <w:color w:val="auto"/>
          <w:u w:val="none"/>
        </w:rPr>
        <w:t>accessed</w:t>
      </w:r>
      <w:r w:rsidR="009A37F3">
        <w:rPr>
          <w:rStyle w:val="Hyperlink"/>
          <w:color w:val="auto"/>
          <w:u w:val="none"/>
        </w:rPr>
        <w:t xml:space="preserve"> 26 March 2018</w:t>
      </w:r>
    </w:p>
  </w:footnote>
  <w:footnote w:id="172">
    <w:p w:rsidR="002B127E" w:rsidRDefault="002B127E">
      <w:pPr>
        <w:pStyle w:val="FootnoteText"/>
      </w:pPr>
      <w:r>
        <w:rPr>
          <w:rStyle w:val="FootnoteReference"/>
        </w:rPr>
        <w:footnoteRef/>
      </w:r>
      <w:r>
        <w:t xml:space="preserve"> European Commission</w:t>
      </w:r>
      <w:r w:rsidR="00CA60E0">
        <w:t>,</w:t>
      </w:r>
      <w:r>
        <w:t xml:space="preserve"> </w:t>
      </w:r>
      <w:r w:rsidRPr="00CA60E0">
        <w:rPr>
          <w:i/>
        </w:rPr>
        <w:t>Staff Working Document</w:t>
      </w:r>
      <w:r>
        <w:t xml:space="preserve"> </w:t>
      </w:r>
      <w:r w:rsidR="006F14E8" w:rsidRPr="006F14E8">
        <w:rPr>
          <w:i/>
        </w:rPr>
        <w:t>executive summary of the impact assessment</w:t>
      </w:r>
      <w:r w:rsidR="006F14E8">
        <w:t xml:space="preserve"> </w:t>
      </w:r>
      <w:r w:rsidR="006F14E8" w:rsidRPr="006F14E8">
        <w:rPr>
          <w:i/>
        </w:rPr>
        <w:t xml:space="preserve">accompanying the proposal for a directive of the European Parliament and of the Council amending Directive (EU) 2015/849 on the prevention of the use of the financial system for the purposes of money laundering or terrorist financing and amending Directive 2009/101/EC </w:t>
      </w:r>
      <w:r w:rsidR="00CA60E0">
        <w:t>(</w:t>
      </w:r>
      <w:r>
        <w:t>SWD (2016) 224 final</w:t>
      </w:r>
      <w:r w:rsidR="00CA60E0">
        <w:t>)</w:t>
      </w:r>
      <w:r w:rsidR="006F14E8">
        <w:t xml:space="preserve">.  This </w:t>
      </w:r>
      <w:r>
        <w:t>expressly cites the Panama papers as one of the rationale (together with “recent terror attacks”) as grounds to further improve the anti-money laundering framework set out in the 4</w:t>
      </w:r>
      <w:r w:rsidRPr="00C86C9F">
        <w:rPr>
          <w:vertAlign w:val="superscript"/>
        </w:rPr>
        <w:t>th</w:t>
      </w:r>
      <w:r>
        <w:t xml:space="preserve"> Money Laundering Directive, </w:t>
      </w:r>
      <w:r w:rsidRPr="00C86C9F">
        <w:t>(EU) 2015/849</w:t>
      </w:r>
      <w:r w:rsidR="006F14E8">
        <w:t>.</w:t>
      </w:r>
    </w:p>
  </w:footnote>
  <w:footnote w:id="173">
    <w:p w:rsidR="002B127E" w:rsidRDefault="002B127E">
      <w:pPr>
        <w:pStyle w:val="FootnoteText"/>
      </w:pPr>
      <w:r>
        <w:rPr>
          <w:rStyle w:val="FootnoteReference"/>
        </w:rPr>
        <w:footnoteRef/>
      </w:r>
      <w:r>
        <w:t xml:space="preserve"> Roy Snell tells us that risk assessments point to be where a problem might be but does not fix problems in </w:t>
      </w:r>
      <w:r w:rsidR="00CA60E0">
        <w:t>Roy Snell, ‘</w:t>
      </w:r>
      <w:r>
        <w:t>An alternative to adding more rules, laws and regulations for preventing serious economic cr</w:t>
      </w:r>
      <w:r w:rsidR="00CA60E0">
        <w:t>ime’ in</w:t>
      </w:r>
      <w:r>
        <w:t xml:space="preserve"> </w:t>
      </w:r>
      <w:r w:rsidRPr="00CA60E0">
        <w:rPr>
          <w:i/>
        </w:rPr>
        <w:t>Serious Economic Crime: a boardroom guide to prevention and compliance</w:t>
      </w:r>
      <w:r w:rsidR="00CA60E0">
        <w:t xml:space="preserve"> 77-82, 79</w:t>
      </w:r>
    </w:p>
  </w:footnote>
  <w:footnote w:id="174">
    <w:p w:rsidR="002B127E" w:rsidRDefault="002B127E" w:rsidP="00050C20">
      <w:pPr>
        <w:pStyle w:val="FootnoteText"/>
      </w:pPr>
      <w:r>
        <w:rPr>
          <w:rStyle w:val="FootnoteReference"/>
        </w:rPr>
        <w:footnoteRef/>
      </w:r>
      <w:r>
        <w:t xml:space="preserve"> For example, the </w:t>
      </w:r>
      <w:r w:rsidR="00CA60E0">
        <w:t>N</w:t>
      </w:r>
      <w:r>
        <w:t xml:space="preserve">ational </w:t>
      </w:r>
      <w:r w:rsidR="00CA60E0">
        <w:t>R</w:t>
      </w:r>
      <w:r>
        <w:t xml:space="preserve">isk </w:t>
      </w:r>
      <w:r w:rsidR="00CA60E0">
        <w:t>A</w:t>
      </w:r>
      <w:r>
        <w:t xml:space="preserve">ssessment </w:t>
      </w:r>
      <w:r w:rsidR="00CA60E0">
        <w:t>2015</w:t>
      </w:r>
      <w:r>
        <w:t xml:space="preserve"> identified risks relating to inconsistency among professional body supervisors which has resulted in the establishment of the Office for Professional Body Anti-Money Laundering Supervision in February 2018, an additional layer in the compliance chain.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B9"/>
    <w:multiLevelType w:val="hybridMultilevel"/>
    <w:tmpl w:val="6492C99E"/>
    <w:lvl w:ilvl="0" w:tplc="FDAE8FF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269A3"/>
    <w:multiLevelType w:val="hybridMultilevel"/>
    <w:tmpl w:val="AF82BE1E"/>
    <w:lvl w:ilvl="0" w:tplc="1026EF3A">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3CDC"/>
    <w:multiLevelType w:val="hybridMultilevel"/>
    <w:tmpl w:val="D450BC88"/>
    <w:lvl w:ilvl="0" w:tplc="41328DCE">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8D2F6D"/>
    <w:multiLevelType w:val="hybridMultilevel"/>
    <w:tmpl w:val="3FAC1070"/>
    <w:lvl w:ilvl="0" w:tplc="2E1445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90"/>
    <w:rsid w:val="00050C20"/>
    <w:rsid w:val="00051F28"/>
    <w:rsid w:val="0005678B"/>
    <w:rsid w:val="00057DDF"/>
    <w:rsid w:val="000724C3"/>
    <w:rsid w:val="00081B64"/>
    <w:rsid w:val="00082A8E"/>
    <w:rsid w:val="000861AC"/>
    <w:rsid w:val="000878F8"/>
    <w:rsid w:val="000B17CF"/>
    <w:rsid w:val="000B3C91"/>
    <w:rsid w:val="000D5EE0"/>
    <w:rsid w:val="000E71F9"/>
    <w:rsid w:val="000F35AF"/>
    <w:rsid w:val="0011687A"/>
    <w:rsid w:val="00120885"/>
    <w:rsid w:val="00131037"/>
    <w:rsid w:val="001549F5"/>
    <w:rsid w:val="001866D3"/>
    <w:rsid w:val="001975A4"/>
    <w:rsid w:val="001A71F8"/>
    <w:rsid w:val="001D41D5"/>
    <w:rsid w:val="001E1074"/>
    <w:rsid w:val="001F081C"/>
    <w:rsid w:val="00203198"/>
    <w:rsid w:val="0020406A"/>
    <w:rsid w:val="00217024"/>
    <w:rsid w:val="00224E3A"/>
    <w:rsid w:val="00237A57"/>
    <w:rsid w:val="002552A9"/>
    <w:rsid w:val="00277902"/>
    <w:rsid w:val="00283CCC"/>
    <w:rsid w:val="002B0229"/>
    <w:rsid w:val="002B127E"/>
    <w:rsid w:val="002B7254"/>
    <w:rsid w:val="002C1FB8"/>
    <w:rsid w:val="002D23F6"/>
    <w:rsid w:val="002D32FB"/>
    <w:rsid w:val="002D78BD"/>
    <w:rsid w:val="002E7C69"/>
    <w:rsid w:val="002F5C64"/>
    <w:rsid w:val="002F6954"/>
    <w:rsid w:val="00314E33"/>
    <w:rsid w:val="003213C0"/>
    <w:rsid w:val="00332096"/>
    <w:rsid w:val="0033369A"/>
    <w:rsid w:val="00334397"/>
    <w:rsid w:val="003558D8"/>
    <w:rsid w:val="00363B25"/>
    <w:rsid w:val="003954F9"/>
    <w:rsid w:val="003B2BF7"/>
    <w:rsid w:val="003C2245"/>
    <w:rsid w:val="003E3B77"/>
    <w:rsid w:val="003E48B4"/>
    <w:rsid w:val="00433FA5"/>
    <w:rsid w:val="0045473C"/>
    <w:rsid w:val="00463CA1"/>
    <w:rsid w:val="00483DB7"/>
    <w:rsid w:val="004C7101"/>
    <w:rsid w:val="004D264E"/>
    <w:rsid w:val="005116AE"/>
    <w:rsid w:val="005122F8"/>
    <w:rsid w:val="00513F3A"/>
    <w:rsid w:val="00535837"/>
    <w:rsid w:val="00561C2E"/>
    <w:rsid w:val="00573876"/>
    <w:rsid w:val="00576AE7"/>
    <w:rsid w:val="005B55CC"/>
    <w:rsid w:val="005F050D"/>
    <w:rsid w:val="005F190A"/>
    <w:rsid w:val="005F6879"/>
    <w:rsid w:val="006100D8"/>
    <w:rsid w:val="00611F56"/>
    <w:rsid w:val="0066439A"/>
    <w:rsid w:val="006716B8"/>
    <w:rsid w:val="00674A41"/>
    <w:rsid w:val="00676512"/>
    <w:rsid w:val="00683F8F"/>
    <w:rsid w:val="00684B95"/>
    <w:rsid w:val="006908AB"/>
    <w:rsid w:val="00691B56"/>
    <w:rsid w:val="006A0CA6"/>
    <w:rsid w:val="006A5C27"/>
    <w:rsid w:val="006C31BE"/>
    <w:rsid w:val="006C458E"/>
    <w:rsid w:val="006E0A09"/>
    <w:rsid w:val="006E251A"/>
    <w:rsid w:val="006F14E8"/>
    <w:rsid w:val="00720213"/>
    <w:rsid w:val="00735F6E"/>
    <w:rsid w:val="00773137"/>
    <w:rsid w:val="0079111E"/>
    <w:rsid w:val="007938E2"/>
    <w:rsid w:val="007B2D25"/>
    <w:rsid w:val="007D4BB2"/>
    <w:rsid w:val="007D714A"/>
    <w:rsid w:val="007E779A"/>
    <w:rsid w:val="00882C16"/>
    <w:rsid w:val="00886AA0"/>
    <w:rsid w:val="00895FC4"/>
    <w:rsid w:val="008C682D"/>
    <w:rsid w:val="008E6E83"/>
    <w:rsid w:val="008E78E3"/>
    <w:rsid w:val="008F1795"/>
    <w:rsid w:val="008F1C4C"/>
    <w:rsid w:val="008F796D"/>
    <w:rsid w:val="00901A7F"/>
    <w:rsid w:val="00902909"/>
    <w:rsid w:val="00903637"/>
    <w:rsid w:val="00910116"/>
    <w:rsid w:val="00927A34"/>
    <w:rsid w:val="009332D0"/>
    <w:rsid w:val="009570AE"/>
    <w:rsid w:val="00962609"/>
    <w:rsid w:val="00967AA0"/>
    <w:rsid w:val="00982F44"/>
    <w:rsid w:val="009A37F3"/>
    <w:rsid w:val="009C351F"/>
    <w:rsid w:val="009C5BBB"/>
    <w:rsid w:val="009C702D"/>
    <w:rsid w:val="009D4C31"/>
    <w:rsid w:val="00A42F31"/>
    <w:rsid w:val="00A450DF"/>
    <w:rsid w:val="00A4694A"/>
    <w:rsid w:val="00A514F8"/>
    <w:rsid w:val="00A573DF"/>
    <w:rsid w:val="00A83BB3"/>
    <w:rsid w:val="00A85840"/>
    <w:rsid w:val="00AA4AD1"/>
    <w:rsid w:val="00AB715E"/>
    <w:rsid w:val="00AC2CC6"/>
    <w:rsid w:val="00AD7499"/>
    <w:rsid w:val="00AE6132"/>
    <w:rsid w:val="00AE6450"/>
    <w:rsid w:val="00B02DF3"/>
    <w:rsid w:val="00B05C2C"/>
    <w:rsid w:val="00B1203A"/>
    <w:rsid w:val="00B34541"/>
    <w:rsid w:val="00B43111"/>
    <w:rsid w:val="00B613E9"/>
    <w:rsid w:val="00BD11AE"/>
    <w:rsid w:val="00BD64E6"/>
    <w:rsid w:val="00BF09DC"/>
    <w:rsid w:val="00BF4037"/>
    <w:rsid w:val="00C019C4"/>
    <w:rsid w:val="00C412AD"/>
    <w:rsid w:val="00C46C27"/>
    <w:rsid w:val="00C53C6C"/>
    <w:rsid w:val="00C60F0D"/>
    <w:rsid w:val="00C73E71"/>
    <w:rsid w:val="00C80671"/>
    <w:rsid w:val="00C81F64"/>
    <w:rsid w:val="00C84280"/>
    <w:rsid w:val="00C8768E"/>
    <w:rsid w:val="00C91EC9"/>
    <w:rsid w:val="00CA34BE"/>
    <w:rsid w:val="00CA60E0"/>
    <w:rsid w:val="00CB5735"/>
    <w:rsid w:val="00CD1D3E"/>
    <w:rsid w:val="00CD3CE6"/>
    <w:rsid w:val="00CE1C44"/>
    <w:rsid w:val="00CE4238"/>
    <w:rsid w:val="00CE5E69"/>
    <w:rsid w:val="00CF7651"/>
    <w:rsid w:val="00D231A3"/>
    <w:rsid w:val="00D36CD1"/>
    <w:rsid w:val="00D517D3"/>
    <w:rsid w:val="00D62FF0"/>
    <w:rsid w:val="00D71866"/>
    <w:rsid w:val="00D76000"/>
    <w:rsid w:val="00D81A3D"/>
    <w:rsid w:val="00D84B05"/>
    <w:rsid w:val="00D964B6"/>
    <w:rsid w:val="00DC49D9"/>
    <w:rsid w:val="00DC6A9B"/>
    <w:rsid w:val="00DD1507"/>
    <w:rsid w:val="00DE4985"/>
    <w:rsid w:val="00E008EF"/>
    <w:rsid w:val="00E2156D"/>
    <w:rsid w:val="00E31D6E"/>
    <w:rsid w:val="00E36821"/>
    <w:rsid w:val="00E42669"/>
    <w:rsid w:val="00E5155F"/>
    <w:rsid w:val="00E64F56"/>
    <w:rsid w:val="00E65852"/>
    <w:rsid w:val="00E6695F"/>
    <w:rsid w:val="00E838C2"/>
    <w:rsid w:val="00E969EC"/>
    <w:rsid w:val="00EA24AD"/>
    <w:rsid w:val="00EA57AD"/>
    <w:rsid w:val="00ED147B"/>
    <w:rsid w:val="00ED1D4A"/>
    <w:rsid w:val="00ED2C00"/>
    <w:rsid w:val="00EE3F3E"/>
    <w:rsid w:val="00F00DB2"/>
    <w:rsid w:val="00F17B04"/>
    <w:rsid w:val="00F25535"/>
    <w:rsid w:val="00F30F88"/>
    <w:rsid w:val="00F33608"/>
    <w:rsid w:val="00F46F8B"/>
    <w:rsid w:val="00F52011"/>
    <w:rsid w:val="00F73E90"/>
    <w:rsid w:val="00F76420"/>
    <w:rsid w:val="00F9589A"/>
    <w:rsid w:val="00FA7B9F"/>
    <w:rsid w:val="00FB5E1A"/>
    <w:rsid w:val="00FD3565"/>
    <w:rsid w:val="00FE5F35"/>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AAE2-3ECC-4E28-9B11-651E428C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90"/>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A5"/>
    <w:pPr>
      <w:ind w:left="720"/>
      <w:contextualSpacing/>
    </w:pPr>
  </w:style>
  <w:style w:type="paragraph" w:styleId="FootnoteText">
    <w:name w:val="footnote text"/>
    <w:basedOn w:val="Normal"/>
    <w:link w:val="FootnoteTextChar"/>
    <w:uiPriority w:val="99"/>
    <w:unhideWhenUsed/>
    <w:rsid w:val="008C682D"/>
    <w:pPr>
      <w:spacing w:after="0" w:line="240" w:lineRule="auto"/>
    </w:pPr>
    <w:rPr>
      <w:sz w:val="20"/>
      <w:szCs w:val="20"/>
    </w:rPr>
  </w:style>
  <w:style w:type="character" w:customStyle="1" w:styleId="FootnoteTextChar">
    <w:name w:val="Footnote Text Char"/>
    <w:basedOn w:val="DefaultParagraphFont"/>
    <w:link w:val="FootnoteText"/>
    <w:uiPriority w:val="99"/>
    <w:rsid w:val="008C682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C682D"/>
    <w:rPr>
      <w:vertAlign w:val="superscript"/>
    </w:rPr>
  </w:style>
  <w:style w:type="character" w:styleId="Hyperlink">
    <w:name w:val="Hyperlink"/>
    <w:basedOn w:val="DefaultParagraphFont"/>
    <w:uiPriority w:val="99"/>
    <w:unhideWhenUsed/>
    <w:rsid w:val="008C682D"/>
    <w:rPr>
      <w:color w:val="0000FF" w:themeColor="hyperlink"/>
      <w:u w:val="single"/>
    </w:rPr>
  </w:style>
  <w:style w:type="paragraph" w:customStyle="1" w:styleId="Default">
    <w:name w:val="Default"/>
    <w:rsid w:val="00224E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F8"/>
    <w:rPr>
      <w:rFonts w:ascii="Calibri" w:eastAsia="Calibri" w:hAnsi="Calibri" w:cs="Times New Roman"/>
    </w:rPr>
  </w:style>
  <w:style w:type="paragraph" w:styleId="Footer">
    <w:name w:val="footer"/>
    <w:basedOn w:val="Normal"/>
    <w:link w:val="FooterChar"/>
    <w:uiPriority w:val="99"/>
    <w:unhideWhenUsed/>
    <w:rsid w:val="00512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F8"/>
    <w:rPr>
      <w:rFonts w:ascii="Calibri" w:eastAsia="Calibri" w:hAnsi="Calibri" w:cs="Times New Roman"/>
    </w:rPr>
  </w:style>
  <w:style w:type="character" w:styleId="FollowedHyperlink">
    <w:name w:val="FollowedHyperlink"/>
    <w:basedOn w:val="DefaultParagraphFont"/>
    <w:uiPriority w:val="99"/>
    <w:semiHidden/>
    <w:unhideWhenUsed/>
    <w:rsid w:val="003E48B4"/>
    <w:rPr>
      <w:color w:val="800080" w:themeColor="followedHyperlink"/>
      <w:u w:val="single"/>
    </w:rPr>
  </w:style>
  <w:style w:type="paragraph" w:styleId="BalloonText">
    <w:name w:val="Balloon Text"/>
    <w:basedOn w:val="Normal"/>
    <w:link w:val="BalloonTextChar"/>
    <w:uiPriority w:val="99"/>
    <w:semiHidden/>
    <w:unhideWhenUsed/>
    <w:rsid w:val="009D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5058">
      <w:bodyDiv w:val="1"/>
      <w:marLeft w:val="0"/>
      <w:marRight w:val="0"/>
      <w:marTop w:val="0"/>
      <w:marBottom w:val="0"/>
      <w:divBdr>
        <w:top w:val="none" w:sz="0" w:space="0" w:color="auto"/>
        <w:left w:val="none" w:sz="0" w:space="0" w:color="auto"/>
        <w:bottom w:val="none" w:sz="0" w:space="0" w:color="auto"/>
        <w:right w:val="none" w:sz="0" w:space="0" w:color="auto"/>
      </w:divBdr>
    </w:div>
    <w:div w:id="1935475682">
      <w:bodyDiv w:val="1"/>
      <w:marLeft w:val="0"/>
      <w:marRight w:val="0"/>
      <w:marTop w:val="0"/>
      <w:marBottom w:val="0"/>
      <w:divBdr>
        <w:top w:val="none" w:sz="0" w:space="0" w:color="auto"/>
        <w:left w:val="none" w:sz="0" w:space="0" w:color="auto"/>
        <w:bottom w:val="none" w:sz="0" w:space="0" w:color="auto"/>
        <w:right w:val="none" w:sz="0" w:space="0" w:color="auto"/>
      </w:divBdr>
      <w:divsChild>
        <w:div w:id="538395372">
          <w:marLeft w:val="0"/>
          <w:marRight w:val="0"/>
          <w:marTop w:val="0"/>
          <w:marBottom w:val="0"/>
          <w:divBdr>
            <w:top w:val="none" w:sz="0" w:space="0" w:color="auto"/>
            <w:left w:val="none" w:sz="0" w:space="0" w:color="auto"/>
            <w:bottom w:val="none" w:sz="0" w:space="0" w:color="auto"/>
            <w:right w:val="none" w:sz="0" w:space="0" w:color="auto"/>
          </w:divBdr>
          <w:divsChild>
            <w:div w:id="244150851">
              <w:marLeft w:val="0"/>
              <w:marRight w:val="0"/>
              <w:marTop w:val="0"/>
              <w:marBottom w:val="0"/>
              <w:divBdr>
                <w:top w:val="none" w:sz="0" w:space="0" w:color="auto"/>
                <w:left w:val="none" w:sz="0" w:space="0" w:color="auto"/>
                <w:bottom w:val="none" w:sz="0" w:space="0" w:color="auto"/>
                <w:right w:val="none" w:sz="0" w:space="0" w:color="auto"/>
              </w:divBdr>
              <w:divsChild>
                <w:div w:id="1780760501">
                  <w:marLeft w:val="0"/>
                  <w:marRight w:val="0"/>
                  <w:marTop w:val="0"/>
                  <w:marBottom w:val="0"/>
                  <w:divBdr>
                    <w:top w:val="none" w:sz="0" w:space="0" w:color="auto"/>
                    <w:left w:val="none" w:sz="0" w:space="0" w:color="auto"/>
                    <w:bottom w:val="none" w:sz="0" w:space="0" w:color="auto"/>
                    <w:right w:val="none" w:sz="0" w:space="0" w:color="auto"/>
                  </w:divBdr>
                  <w:divsChild>
                    <w:div w:id="416630855">
                      <w:marLeft w:val="0"/>
                      <w:marRight w:val="0"/>
                      <w:marTop w:val="0"/>
                      <w:marBottom w:val="0"/>
                      <w:divBdr>
                        <w:top w:val="none" w:sz="0" w:space="0" w:color="auto"/>
                        <w:left w:val="none" w:sz="0" w:space="0" w:color="auto"/>
                        <w:bottom w:val="none" w:sz="0" w:space="0" w:color="auto"/>
                        <w:right w:val="none" w:sz="0" w:space="0" w:color="auto"/>
                      </w:divBdr>
                      <w:divsChild>
                        <w:div w:id="15548685">
                          <w:marLeft w:val="0"/>
                          <w:marRight w:val="0"/>
                          <w:marTop w:val="0"/>
                          <w:marBottom w:val="0"/>
                          <w:divBdr>
                            <w:top w:val="none" w:sz="0" w:space="0" w:color="auto"/>
                            <w:left w:val="none" w:sz="0" w:space="0" w:color="auto"/>
                            <w:bottom w:val="none" w:sz="0" w:space="0" w:color="auto"/>
                            <w:right w:val="none" w:sz="0" w:space="0" w:color="auto"/>
                          </w:divBdr>
                          <w:divsChild>
                            <w:div w:id="981810404">
                              <w:marLeft w:val="0"/>
                              <w:marRight w:val="0"/>
                              <w:marTop w:val="0"/>
                              <w:marBottom w:val="0"/>
                              <w:divBdr>
                                <w:top w:val="none" w:sz="0" w:space="0" w:color="auto"/>
                                <w:left w:val="none" w:sz="0" w:space="0" w:color="auto"/>
                                <w:bottom w:val="none" w:sz="0" w:space="0" w:color="auto"/>
                                <w:right w:val="none" w:sz="0" w:space="0" w:color="auto"/>
                              </w:divBdr>
                              <w:divsChild>
                                <w:div w:id="2030794969">
                                  <w:marLeft w:val="0"/>
                                  <w:marRight w:val="0"/>
                                  <w:marTop w:val="0"/>
                                  <w:marBottom w:val="0"/>
                                  <w:divBdr>
                                    <w:top w:val="none" w:sz="0" w:space="0" w:color="auto"/>
                                    <w:left w:val="none" w:sz="0" w:space="0" w:color="auto"/>
                                    <w:bottom w:val="none" w:sz="0" w:space="0" w:color="auto"/>
                                    <w:right w:val="none" w:sz="0" w:space="0" w:color="auto"/>
                                  </w:divBdr>
                                  <w:divsChild>
                                    <w:div w:id="1761556954">
                                      <w:marLeft w:val="0"/>
                                      <w:marRight w:val="0"/>
                                      <w:marTop w:val="0"/>
                                      <w:marBottom w:val="0"/>
                                      <w:divBdr>
                                        <w:top w:val="none" w:sz="0" w:space="0" w:color="auto"/>
                                        <w:left w:val="none" w:sz="0" w:space="0" w:color="auto"/>
                                        <w:bottom w:val="none" w:sz="0" w:space="0" w:color="auto"/>
                                        <w:right w:val="none" w:sz="0" w:space="0" w:color="auto"/>
                                      </w:divBdr>
                                      <w:divsChild>
                                        <w:div w:id="1078135258">
                                          <w:marLeft w:val="0"/>
                                          <w:marRight w:val="0"/>
                                          <w:marTop w:val="0"/>
                                          <w:marBottom w:val="0"/>
                                          <w:divBdr>
                                            <w:top w:val="none" w:sz="0" w:space="0" w:color="auto"/>
                                            <w:left w:val="none" w:sz="0" w:space="0" w:color="auto"/>
                                            <w:bottom w:val="none" w:sz="0" w:space="0" w:color="auto"/>
                                            <w:right w:val="none" w:sz="0" w:space="0" w:color="auto"/>
                                          </w:divBdr>
                                          <w:divsChild>
                                            <w:div w:id="662701535">
                                              <w:marLeft w:val="0"/>
                                              <w:marRight w:val="0"/>
                                              <w:marTop w:val="0"/>
                                              <w:marBottom w:val="0"/>
                                              <w:divBdr>
                                                <w:top w:val="none" w:sz="0" w:space="0" w:color="auto"/>
                                                <w:left w:val="none" w:sz="0" w:space="0" w:color="auto"/>
                                                <w:bottom w:val="none" w:sz="0" w:space="0" w:color="auto"/>
                                                <w:right w:val="none" w:sz="0" w:space="0" w:color="auto"/>
                                              </w:divBdr>
                                              <w:divsChild>
                                                <w:div w:id="14040997">
                                                  <w:marLeft w:val="0"/>
                                                  <w:marRight w:val="0"/>
                                                  <w:marTop w:val="0"/>
                                                  <w:marBottom w:val="0"/>
                                                  <w:divBdr>
                                                    <w:top w:val="none" w:sz="0" w:space="0" w:color="auto"/>
                                                    <w:left w:val="none" w:sz="0" w:space="0" w:color="auto"/>
                                                    <w:bottom w:val="none" w:sz="0" w:space="0" w:color="auto"/>
                                                    <w:right w:val="none" w:sz="0" w:space="0" w:color="auto"/>
                                                  </w:divBdr>
                                                  <w:divsChild>
                                                    <w:div w:id="580530750">
                                                      <w:marLeft w:val="0"/>
                                                      <w:marRight w:val="0"/>
                                                      <w:marTop w:val="0"/>
                                                      <w:marBottom w:val="0"/>
                                                      <w:divBdr>
                                                        <w:top w:val="none" w:sz="0" w:space="0" w:color="auto"/>
                                                        <w:left w:val="none" w:sz="0" w:space="0" w:color="auto"/>
                                                        <w:bottom w:val="none" w:sz="0" w:space="0" w:color="auto"/>
                                                        <w:right w:val="none" w:sz="0" w:space="0" w:color="auto"/>
                                                      </w:divBdr>
                                                      <w:divsChild>
                                                        <w:div w:id="527332831">
                                                          <w:marLeft w:val="0"/>
                                                          <w:marRight w:val="0"/>
                                                          <w:marTop w:val="100"/>
                                                          <w:marBottom w:val="100"/>
                                                          <w:divBdr>
                                                            <w:top w:val="none" w:sz="0" w:space="0" w:color="auto"/>
                                                            <w:left w:val="none" w:sz="0" w:space="0" w:color="auto"/>
                                                            <w:bottom w:val="none" w:sz="0" w:space="0" w:color="auto"/>
                                                            <w:right w:val="none" w:sz="0" w:space="0" w:color="auto"/>
                                                          </w:divBdr>
                                                          <w:divsChild>
                                                            <w:div w:id="1028870891">
                                                              <w:marLeft w:val="0"/>
                                                              <w:marRight w:val="0"/>
                                                              <w:marTop w:val="0"/>
                                                              <w:marBottom w:val="0"/>
                                                              <w:divBdr>
                                                                <w:top w:val="none" w:sz="0" w:space="0" w:color="auto"/>
                                                                <w:left w:val="none" w:sz="0" w:space="0" w:color="auto"/>
                                                                <w:bottom w:val="none" w:sz="0" w:space="0" w:color="auto"/>
                                                                <w:right w:val="none" w:sz="0" w:space="0" w:color="auto"/>
                                                              </w:divBdr>
                                                              <w:divsChild>
                                                                <w:div w:id="461387204">
                                                                  <w:marLeft w:val="0"/>
                                                                  <w:marRight w:val="0"/>
                                                                  <w:marTop w:val="0"/>
                                                                  <w:marBottom w:val="0"/>
                                                                  <w:divBdr>
                                                                    <w:top w:val="none" w:sz="0" w:space="0" w:color="auto"/>
                                                                    <w:left w:val="none" w:sz="0" w:space="0" w:color="auto"/>
                                                                    <w:bottom w:val="none" w:sz="0" w:space="0" w:color="auto"/>
                                                                    <w:right w:val="none" w:sz="0" w:space="0" w:color="auto"/>
                                                                  </w:divBdr>
                                                                  <w:divsChild>
                                                                    <w:div w:id="2094231754">
                                                                      <w:marLeft w:val="0"/>
                                                                      <w:marRight w:val="0"/>
                                                                      <w:marTop w:val="0"/>
                                                                      <w:marBottom w:val="0"/>
                                                                      <w:divBdr>
                                                                        <w:top w:val="none" w:sz="0" w:space="0" w:color="auto"/>
                                                                        <w:left w:val="none" w:sz="0" w:space="0" w:color="auto"/>
                                                                        <w:bottom w:val="none" w:sz="0" w:space="0" w:color="auto"/>
                                                                        <w:right w:val="none" w:sz="0" w:space="0" w:color="auto"/>
                                                                      </w:divBdr>
                                                                      <w:divsChild>
                                                                        <w:div w:id="8641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tionalcrimeagency.gov.uk/publications/826-suspicious-activity-reports-annual-report-2017/file" TargetMode="External"/><Relationship Id="rId13" Type="http://schemas.openxmlformats.org/officeDocument/2006/relationships/hyperlink" Target="https://www.dropbox.com/referrer_cleansing_redirect?hmac=%2B24iqYLzKKnvGdlnza%2FBdoeqGl3HXiur%2Fy94cg8vcIQ%3D&amp;url=https%3A%2F%2Fdoi.org%2F10.1007%2Fs10611-017-9757-4" TargetMode="External"/><Relationship Id="rId3" Type="http://schemas.openxmlformats.org/officeDocument/2006/relationships/hyperlink" Target="http://www.fatf-gafi.org/media/fatf/documents/recommendations/pdfs/FATF%20Recommendations%202003.pdf" TargetMode="External"/><Relationship Id="rId7" Type="http://schemas.openxmlformats.org/officeDocument/2006/relationships/hyperlink" Target="http://www.jmlsg.org.uk/industry-guidance/article/jmlsg-guidance-current" TargetMode="External"/><Relationship Id="rId12" Type="http://schemas.openxmlformats.org/officeDocument/2006/relationships/hyperlink" Target="http://www.fatf-gafi.org/calendar/assessmentcalendar/?hf=10&amp;b=0&amp;r=%2Bf%2Ffatf_country_en%2Funited+kingdom&amp;s=asc(document_lastmodifieddate)&amp;table=1" TargetMode="External"/><Relationship Id="rId2" Type="http://schemas.openxmlformats.org/officeDocument/2006/relationships/hyperlink" Target="http://www.fatf-gafi.org/media/fatf/documents/recommendations/pdfs/FATF%20Recommendations%202012.pdf" TargetMode="External"/><Relationship Id="rId1" Type="http://schemas.openxmlformats.org/officeDocument/2006/relationships/hyperlink" Target="http://www.fatf-gafi.org/about/" TargetMode="External"/><Relationship Id="rId6" Type="http://schemas.openxmlformats.org/officeDocument/2006/relationships/hyperlink" Target="http://www.emeraldinsight.com/author/Verhage%2C+Antoinette" TargetMode="External"/><Relationship Id="rId11" Type="http://schemas.openxmlformats.org/officeDocument/2006/relationships/hyperlink" Target="http://www.fatf-gafi.org/publications/mutualevaluations/documents/4th-round-procedures.html" TargetMode="External"/><Relationship Id="rId5" Type="http://schemas.openxmlformats.org/officeDocument/2006/relationships/hyperlink" Target="https://www.sra.org.uk/solicitors/handbook/suitabilitytest/content.page" TargetMode="External"/><Relationship Id="rId10" Type="http://schemas.openxmlformats.org/officeDocument/2006/relationships/hyperlink" Target="https://www.dropbox.com/referrer_cleansing_redirect?hmac=%2B24iqYLzKKnvGdlnza%2FBdoeqGl3HXiur%2Fy94cg8vcIQ%3D&amp;url=https%3A%2F%2Fdoi.org%2F10.1007%2Fs10611-017-9757-4" TargetMode="External"/><Relationship Id="rId4" Type="http://schemas.openxmlformats.org/officeDocument/2006/relationships/hyperlink" Target="http://www.fatf-gafi.org/about/" TargetMode="External"/><Relationship Id="rId9" Type="http://schemas.openxmlformats.org/officeDocument/2006/relationships/hyperlink" Target="https://www.fca.org.uk/news/press-releases/fca-fines-deutsche-bank-163-million-anti-money-laundering-controls-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CCC9-DCBC-470A-ACC1-B2247355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6402</Words>
  <Characters>36498</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Turner</dc:creator>
  <cp:keywords/>
  <dc:description/>
  <cp:lastModifiedBy>Paul Burns</cp:lastModifiedBy>
  <cp:revision>2</cp:revision>
  <cp:lastPrinted>2018-03-27T08:20:00Z</cp:lastPrinted>
  <dcterms:created xsi:type="dcterms:W3CDTF">2018-04-20T11:07:00Z</dcterms:created>
  <dcterms:modified xsi:type="dcterms:W3CDTF">2018-04-20T11:07:00Z</dcterms:modified>
</cp:coreProperties>
</file>