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C0AA" w14:textId="18CF5DAC" w:rsidR="00BC5EC7" w:rsidRDefault="00BC5EC7" w:rsidP="004708BB">
      <w:pPr>
        <w:pStyle w:val="NormalWeb"/>
        <w:jc w:val="center"/>
        <w:rPr>
          <w:b/>
        </w:rPr>
      </w:pPr>
      <w:bookmarkStart w:id="0" w:name="_GoBack"/>
      <w:bookmarkEnd w:id="0"/>
      <w:r w:rsidRPr="000A339D">
        <w:rPr>
          <w:b/>
        </w:rPr>
        <w:t xml:space="preserve">Evidence of Bad Character </w:t>
      </w:r>
      <w:r>
        <w:rPr>
          <w:b/>
        </w:rPr>
        <w:t>in cases of</w:t>
      </w:r>
      <w:r w:rsidR="00EC6AC3">
        <w:rPr>
          <w:b/>
        </w:rPr>
        <w:t xml:space="preserve"> historic</w:t>
      </w:r>
      <w:r>
        <w:rPr>
          <w:b/>
        </w:rPr>
        <w:t xml:space="preserve"> youth sexual offending</w:t>
      </w:r>
      <w:r w:rsidRPr="000A339D">
        <w:rPr>
          <w:b/>
        </w:rPr>
        <w:t xml:space="preserve">– </w:t>
      </w:r>
      <w:r w:rsidR="00DC2E89">
        <w:rPr>
          <w:b/>
        </w:rPr>
        <w:t>d</w:t>
      </w:r>
      <w:r w:rsidRPr="000A339D">
        <w:rPr>
          <w:b/>
        </w:rPr>
        <w:t xml:space="preserve">emonstrating a </w:t>
      </w:r>
      <w:r w:rsidR="00DC2E89">
        <w:rPr>
          <w:b/>
        </w:rPr>
        <w:t>de</w:t>
      </w:r>
      <w:r w:rsidRPr="000A339D">
        <w:rPr>
          <w:b/>
        </w:rPr>
        <w:t xml:space="preserve">funct </w:t>
      </w:r>
      <w:r w:rsidR="00DC2E89">
        <w:rPr>
          <w:b/>
        </w:rPr>
        <w:t>m</w:t>
      </w:r>
      <w:r w:rsidRPr="000A339D">
        <w:rPr>
          <w:b/>
        </w:rPr>
        <w:t xml:space="preserve">oral </w:t>
      </w:r>
      <w:r w:rsidR="00DC2E89">
        <w:rPr>
          <w:b/>
        </w:rPr>
        <w:t>c</w:t>
      </w:r>
      <w:r w:rsidRPr="000A339D">
        <w:rPr>
          <w:b/>
        </w:rPr>
        <w:t xml:space="preserve">ompass or </w:t>
      </w:r>
      <w:r w:rsidR="00DC2E89">
        <w:rPr>
          <w:b/>
        </w:rPr>
        <w:t>d</w:t>
      </w:r>
      <w:r w:rsidRPr="000A339D">
        <w:rPr>
          <w:b/>
        </w:rPr>
        <w:t xml:space="preserve">istracting the </w:t>
      </w:r>
      <w:r w:rsidR="00DC2E89">
        <w:rPr>
          <w:b/>
        </w:rPr>
        <w:t>j</w:t>
      </w:r>
      <w:r w:rsidRPr="000A339D">
        <w:rPr>
          <w:b/>
        </w:rPr>
        <w:t>ury</w:t>
      </w:r>
      <w:r w:rsidR="00BE605F">
        <w:rPr>
          <w:b/>
        </w:rPr>
        <w:t xml:space="preserve"> and </w:t>
      </w:r>
      <w:r w:rsidR="00BE605F" w:rsidRPr="00BE605F">
        <w:rPr>
          <w:b/>
        </w:rPr>
        <w:t>evading</w:t>
      </w:r>
      <w:r w:rsidR="001E1B5A">
        <w:rPr>
          <w:b/>
        </w:rPr>
        <w:t xml:space="preserve"> the retrospective effect of</w:t>
      </w:r>
      <w:r w:rsidR="0095261F">
        <w:rPr>
          <w:b/>
        </w:rPr>
        <w:t xml:space="preserve"> the presumption of</w:t>
      </w:r>
      <w:r w:rsidR="00BE605F" w:rsidRPr="00BE605F">
        <w:rPr>
          <w:b/>
          <w:i/>
        </w:rPr>
        <w:t xml:space="preserve"> doli incapax</w:t>
      </w:r>
      <w:r w:rsidRPr="000A339D">
        <w:rPr>
          <w:b/>
        </w:rPr>
        <w:t>?</w:t>
      </w:r>
    </w:p>
    <w:p w14:paraId="784ADE23" w14:textId="5E057628" w:rsidR="00BC5EC7" w:rsidRDefault="00BC5EC7" w:rsidP="00BC5EC7">
      <w:pPr>
        <w:pStyle w:val="NormalWeb"/>
      </w:pPr>
    </w:p>
    <w:p w14:paraId="6B38E30B" w14:textId="77777777" w:rsidR="00BC5EC7" w:rsidRPr="001676D2" w:rsidRDefault="00BC5EC7" w:rsidP="00B00467">
      <w:pPr>
        <w:pStyle w:val="NormalWeb"/>
        <w:jc w:val="center"/>
        <w:outlineLvl w:val="0"/>
        <w:rPr>
          <w:i/>
        </w:rPr>
      </w:pPr>
      <w:r w:rsidRPr="001676D2">
        <w:rPr>
          <w:i/>
        </w:rPr>
        <w:t>Abstract</w:t>
      </w:r>
    </w:p>
    <w:p w14:paraId="006B006E" w14:textId="17F4646F" w:rsidR="001676D2" w:rsidRDefault="00B951CD" w:rsidP="001676D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D134D">
        <w:rPr>
          <w:rFonts w:ascii="Times New Roman" w:hAnsi="Times New Roman" w:cs="Times New Roman"/>
          <w:i/>
          <w:sz w:val="24"/>
          <w:szCs w:val="24"/>
        </w:rPr>
        <w:t xml:space="preserve">R v </w:t>
      </w:r>
      <w:r w:rsidR="00DC2E89">
        <w:rPr>
          <w:rFonts w:ascii="Times New Roman" w:hAnsi="Times New Roman" w:cs="Times New Roman"/>
          <w:i/>
          <w:sz w:val="24"/>
          <w:szCs w:val="24"/>
        </w:rPr>
        <w:t>M</w:t>
      </w:r>
      <w:r w:rsidRPr="004D134D">
        <w:rPr>
          <w:rFonts w:ascii="Times New Roman" w:hAnsi="Times New Roman" w:cs="Times New Roman"/>
          <w:sz w:val="24"/>
          <w:szCs w:val="24"/>
        </w:rPr>
        <w:t xml:space="preserve"> </w:t>
      </w:r>
      <w:r>
        <w:rPr>
          <w:rFonts w:ascii="Times New Roman" w:hAnsi="Times New Roman" w:cs="Times New Roman"/>
          <w:sz w:val="24"/>
          <w:szCs w:val="24"/>
        </w:rPr>
        <w:t>the Court of Appeal circumvented the</w:t>
      </w:r>
      <w:r w:rsidR="003D537F">
        <w:rPr>
          <w:rFonts w:ascii="Times New Roman" w:hAnsi="Times New Roman" w:cs="Times New Roman"/>
          <w:sz w:val="24"/>
          <w:szCs w:val="24"/>
        </w:rPr>
        <w:t xml:space="preserve"> retrospective application of</w:t>
      </w:r>
      <w:r w:rsidR="0095261F">
        <w:rPr>
          <w:rFonts w:ascii="Times New Roman" w:hAnsi="Times New Roman" w:cs="Times New Roman"/>
          <w:sz w:val="24"/>
          <w:szCs w:val="24"/>
        </w:rPr>
        <w:t xml:space="preserve"> the presumption of</w:t>
      </w:r>
      <w:r>
        <w:rPr>
          <w:rFonts w:ascii="Times New Roman" w:hAnsi="Times New Roman" w:cs="Times New Roman"/>
          <w:sz w:val="24"/>
          <w:szCs w:val="24"/>
        </w:rPr>
        <w:t xml:space="preserve"> </w:t>
      </w:r>
      <w:r w:rsidRPr="00A722F4">
        <w:rPr>
          <w:rFonts w:ascii="Times New Roman" w:hAnsi="Times New Roman" w:cs="Times New Roman"/>
          <w:i/>
          <w:sz w:val="24"/>
          <w:szCs w:val="24"/>
        </w:rPr>
        <w:t>doli incapax</w:t>
      </w:r>
      <w:r>
        <w:rPr>
          <w:rFonts w:ascii="Times New Roman" w:hAnsi="Times New Roman" w:cs="Times New Roman"/>
          <w:sz w:val="24"/>
          <w:szCs w:val="24"/>
        </w:rPr>
        <w:t xml:space="preserve"> doctrine by allowing for the admission of behaviours as evidence rather than hearing them as a charge on indictment.</w:t>
      </w:r>
      <w:r w:rsidR="003D537F">
        <w:rPr>
          <w:rFonts w:ascii="Times New Roman" w:hAnsi="Times New Roman" w:cs="Times New Roman"/>
          <w:sz w:val="24"/>
          <w:szCs w:val="24"/>
        </w:rPr>
        <w:t xml:space="preserve"> </w:t>
      </w:r>
      <w:r w:rsidR="001676D2">
        <w:rPr>
          <w:rFonts w:ascii="Times New Roman" w:hAnsi="Times New Roman" w:cs="Times New Roman"/>
          <w:sz w:val="24"/>
          <w:szCs w:val="24"/>
        </w:rPr>
        <w:t xml:space="preserve">This article will </w:t>
      </w:r>
      <w:r w:rsidR="009B75F0">
        <w:rPr>
          <w:rFonts w:ascii="Times New Roman" w:hAnsi="Times New Roman" w:cs="Times New Roman"/>
          <w:sz w:val="24"/>
          <w:szCs w:val="24"/>
        </w:rPr>
        <w:t xml:space="preserve">consider </w:t>
      </w:r>
      <w:r w:rsidR="00E20BEB">
        <w:rPr>
          <w:rFonts w:ascii="Times New Roman" w:hAnsi="Times New Roman" w:cs="Times New Roman"/>
          <w:sz w:val="24"/>
          <w:szCs w:val="24"/>
        </w:rPr>
        <w:t>whether</w:t>
      </w:r>
      <w:r w:rsidR="001676D2">
        <w:rPr>
          <w:rFonts w:ascii="Times New Roman" w:hAnsi="Times New Roman" w:cs="Times New Roman"/>
          <w:sz w:val="24"/>
          <w:szCs w:val="24"/>
        </w:rPr>
        <w:t xml:space="preserve"> </w:t>
      </w:r>
      <w:r w:rsidR="00E20BEB">
        <w:rPr>
          <w:rFonts w:ascii="Times New Roman" w:hAnsi="Times New Roman" w:cs="Times New Roman"/>
          <w:sz w:val="24"/>
          <w:szCs w:val="24"/>
        </w:rPr>
        <w:t xml:space="preserve">the </w:t>
      </w:r>
      <w:r w:rsidR="009B75F0">
        <w:rPr>
          <w:rFonts w:ascii="Times New Roman" w:hAnsi="Times New Roman" w:cs="Times New Roman"/>
          <w:sz w:val="24"/>
          <w:szCs w:val="24"/>
        </w:rPr>
        <w:t>safeguards contained withi</w:t>
      </w:r>
      <w:r w:rsidR="003D537F">
        <w:rPr>
          <w:rFonts w:ascii="Times New Roman" w:hAnsi="Times New Roman" w:cs="Times New Roman"/>
          <w:sz w:val="24"/>
          <w:szCs w:val="24"/>
        </w:rPr>
        <w:t>n the Criminal Justice Act 2003</w:t>
      </w:r>
      <w:r w:rsidR="009B75F0">
        <w:rPr>
          <w:rFonts w:ascii="Times New Roman" w:hAnsi="Times New Roman" w:cs="Times New Roman"/>
          <w:sz w:val="24"/>
          <w:szCs w:val="24"/>
        </w:rPr>
        <w:t xml:space="preserve"> are sufficient to protect against the potential unfairness in a decision to admit childhood behaviours to show propensity. Further, we question whether the </w:t>
      </w:r>
      <w:r w:rsidR="00E20BEB">
        <w:rPr>
          <w:rFonts w:ascii="Times New Roman" w:hAnsi="Times New Roman" w:cs="Times New Roman"/>
          <w:sz w:val="24"/>
          <w:szCs w:val="24"/>
        </w:rPr>
        <w:t>behaviour of children</w:t>
      </w:r>
      <w:r w:rsidR="001676D2" w:rsidRPr="00152CD4">
        <w:rPr>
          <w:rFonts w:ascii="Times New Roman" w:hAnsi="Times New Roman" w:cs="Times New Roman"/>
          <w:sz w:val="24"/>
          <w:szCs w:val="24"/>
        </w:rPr>
        <w:t xml:space="preserve"> </w:t>
      </w:r>
      <w:r w:rsidR="00BE605F">
        <w:rPr>
          <w:rFonts w:ascii="Times New Roman" w:hAnsi="Times New Roman" w:cs="Times New Roman"/>
          <w:sz w:val="24"/>
          <w:szCs w:val="24"/>
        </w:rPr>
        <w:t>younger</w:t>
      </w:r>
      <w:r w:rsidR="001676D2" w:rsidRPr="00152CD4">
        <w:rPr>
          <w:rFonts w:ascii="Times New Roman" w:hAnsi="Times New Roman" w:cs="Times New Roman"/>
          <w:sz w:val="24"/>
          <w:szCs w:val="24"/>
        </w:rPr>
        <w:t xml:space="preserve"> tha</w:t>
      </w:r>
      <w:r w:rsidR="001676D2">
        <w:rPr>
          <w:rFonts w:ascii="Times New Roman" w:hAnsi="Times New Roman" w:cs="Times New Roman"/>
          <w:sz w:val="24"/>
          <w:szCs w:val="24"/>
        </w:rPr>
        <w:t>n</w:t>
      </w:r>
      <w:r w:rsidR="001676D2" w:rsidRPr="00152CD4">
        <w:rPr>
          <w:rFonts w:ascii="Times New Roman" w:hAnsi="Times New Roman" w:cs="Times New Roman"/>
          <w:sz w:val="24"/>
          <w:szCs w:val="24"/>
        </w:rPr>
        <w:t xml:space="preserve"> 14 years old </w:t>
      </w:r>
      <w:r w:rsidR="001676D2">
        <w:rPr>
          <w:rFonts w:ascii="Times New Roman" w:hAnsi="Times New Roman" w:cs="Times New Roman"/>
          <w:sz w:val="24"/>
          <w:szCs w:val="24"/>
        </w:rPr>
        <w:t>should be deemed capable of serving</w:t>
      </w:r>
      <w:r w:rsidR="001676D2" w:rsidRPr="00152CD4">
        <w:rPr>
          <w:rFonts w:ascii="Times New Roman" w:hAnsi="Times New Roman" w:cs="Times New Roman"/>
          <w:sz w:val="24"/>
          <w:szCs w:val="24"/>
        </w:rPr>
        <w:t xml:space="preserve"> as a predictive base</w:t>
      </w:r>
      <w:r w:rsidR="001676D2">
        <w:rPr>
          <w:rFonts w:ascii="Times New Roman" w:hAnsi="Times New Roman" w:cs="Times New Roman"/>
          <w:sz w:val="24"/>
          <w:szCs w:val="24"/>
        </w:rPr>
        <w:t xml:space="preserve"> for future behaviour, particularly where these behaviours have not previously been established beyond a reasonable</w:t>
      </w:r>
      <w:r w:rsidR="00FB1BA7">
        <w:rPr>
          <w:rFonts w:ascii="Times New Roman" w:hAnsi="Times New Roman" w:cs="Times New Roman"/>
          <w:sz w:val="24"/>
          <w:szCs w:val="24"/>
        </w:rPr>
        <w:t xml:space="preserve"> doubt during a criminal trial. </w:t>
      </w:r>
      <w:r w:rsidR="001676D2" w:rsidRPr="00C637B4">
        <w:rPr>
          <w:rFonts w:ascii="Times New Roman" w:hAnsi="Times New Roman" w:cs="Times New Roman"/>
          <w:sz w:val="24"/>
          <w:szCs w:val="24"/>
        </w:rPr>
        <w:t xml:space="preserve">This article will argue that </w:t>
      </w:r>
      <w:r w:rsidR="009B75F0">
        <w:rPr>
          <w:rFonts w:ascii="Times New Roman" w:hAnsi="Times New Roman" w:cs="Times New Roman"/>
          <w:sz w:val="24"/>
          <w:szCs w:val="24"/>
        </w:rPr>
        <w:t xml:space="preserve">the current safeguards are unsatisfactory and that, </w:t>
      </w:r>
      <w:r w:rsidR="001676D2" w:rsidRPr="00C637B4">
        <w:rPr>
          <w:rFonts w:ascii="Times New Roman" w:hAnsi="Times New Roman" w:cs="Times New Roman"/>
          <w:sz w:val="24"/>
          <w:szCs w:val="24"/>
        </w:rPr>
        <w:t xml:space="preserve">although using </w:t>
      </w:r>
      <w:r w:rsidR="001676D2">
        <w:rPr>
          <w:rFonts w:ascii="Times New Roman" w:hAnsi="Times New Roman" w:cs="Times New Roman"/>
          <w:sz w:val="24"/>
          <w:szCs w:val="24"/>
        </w:rPr>
        <w:t>bad character evidence</w:t>
      </w:r>
      <w:r w:rsidR="001676D2" w:rsidRPr="00C637B4">
        <w:rPr>
          <w:rFonts w:ascii="Times New Roman" w:hAnsi="Times New Roman" w:cs="Times New Roman"/>
          <w:sz w:val="24"/>
          <w:szCs w:val="24"/>
        </w:rPr>
        <w:t xml:space="preserve"> is probative in some situations, it is not necessarily a solid predictive base particularly in cases of youth offending</w:t>
      </w:r>
      <w:r w:rsidR="001676D2">
        <w:rPr>
          <w:rFonts w:ascii="Times New Roman" w:hAnsi="Times New Roman" w:cs="Times New Roman"/>
          <w:sz w:val="24"/>
          <w:szCs w:val="24"/>
        </w:rPr>
        <w:t xml:space="preserve"> and effectively denies children the</w:t>
      </w:r>
      <w:r w:rsidR="001676D2" w:rsidRPr="000E5836">
        <w:rPr>
          <w:rFonts w:ascii="Times New Roman" w:hAnsi="Times New Roman" w:cs="Times New Roman"/>
          <w:sz w:val="24"/>
          <w:szCs w:val="24"/>
        </w:rPr>
        <w:t xml:space="preserve"> right to </w:t>
      </w:r>
      <w:r w:rsidR="001676D2">
        <w:rPr>
          <w:rFonts w:ascii="Times New Roman" w:hAnsi="Times New Roman" w:cs="Times New Roman"/>
          <w:sz w:val="24"/>
          <w:szCs w:val="24"/>
        </w:rPr>
        <w:t xml:space="preserve">a fair trial in which all </w:t>
      </w:r>
      <w:r w:rsidR="0057357A">
        <w:rPr>
          <w:rFonts w:ascii="Times New Roman" w:hAnsi="Times New Roman" w:cs="Times New Roman"/>
          <w:sz w:val="24"/>
          <w:szCs w:val="24"/>
        </w:rPr>
        <w:t xml:space="preserve">protections (including the presumption of </w:t>
      </w:r>
      <w:r w:rsidR="0057357A">
        <w:rPr>
          <w:rFonts w:ascii="Times New Roman" w:hAnsi="Times New Roman" w:cs="Times New Roman"/>
          <w:i/>
          <w:sz w:val="24"/>
          <w:szCs w:val="24"/>
        </w:rPr>
        <w:t xml:space="preserve">doli </w:t>
      </w:r>
      <w:r w:rsidR="0057357A" w:rsidRPr="0057357A">
        <w:rPr>
          <w:rFonts w:ascii="Times New Roman" w:hAnsi="Times New Roman" w:cs="Times New Roman"/>
          <w:i/>
          <w:sz w:val="24"/>
          <w:szCs w:val="24"/>
        </w:rPr>
        <w:t>incapax</w:t>
      </w:r>
      <w:r w:rsidR="0057357A">
        <w:rPr>
          <w:rFonts w:ascii="Times New Roman" w:hAnsi="Times New Roman" w:cs="Times New Roman"/>
          <w:sz w:val="24"/>
          <w:szCs w:val="24"/>
        </w:rPr>
        <w:t xml:space="preserve">) </w:t>
      </w:r>
      <w:r w:rsidR="001676D2" w:rsidRPr="0057357A">
        <w:rPr>
          <w:rFonts w:ascii="Times New Roman" w:hAnsi="Times New Roman" w:cs="Times New Roman"/>
          <w:sz w:val="24"/>
          <w:szCs w:val="24"/>
        </w:rPr>
        <w:t>are</w:t>
      </w:r>
      <w:r w:rsidR="001676D2">
        <w:rPr>
          <w:rFonts w:ascii="Times New Roman" w:hAnsi="Times New Roman" w:cs="Times New Roman"/>
          <w:sz w:val="24"/>
          <w:szCs w:val="24"/>
        </w:rPr>
        <w:t xml:space="preserve"> available to the child accused of offending.</w:t>
      </w:r>
    </w:p>
    <w:p w14:paraId="77EBCD1F" w14:textId="166F2564" w:rsidR="00BC5EC7" w:rsidRPr="00DC2E89" w:rsidRDefault="00BC5EC7" w:rsidP="00DC2E89">
      <w:pPr>
        <w:pStyle w:val="NormalWeb"/>
      </w:pPr>
      <w:r>
        <w:t xml:space="preserve">Key words: Bad Character, </w:t>
      </w:r>
      <w:r w:rsidR="00650065">
        <w:t xml:space="preserve">propensity, </w:t>
      </w:r>
      <w:r>
        <w:t xml:space="preserve">historic sexual abuse and the presumption of </w:t>
      </w:r>
      <w:r w:rsidRPr="00FD2F5A">
        <w:rPr>
          <w:i/>
        </w:rPr>
        <w:t>doli incapax</w:t>
      </w:r>
      <w:r>
        <w:t>.</w:t>
      </w:r>
      <w:r>
        <w:rPr>
          <w:b/>
        </w:rPr>
        <w:br w:type="page"/>
      </w:r>
    </w:p>
    <w:p w14:paraId="5987C115" w14:textId="494CACBA" w:rsidR="00BE605F" w:rsidRDefault="001E1B5A" w:rsidP="00BE605F">
      <w:pPr>
        <w:pStyle w:val="NormalWeb"/>
        <w:jc w:val="center"/>
        <w:rPr>
          <w:b/>
        </w:rPr>
      </w:pPr>
      <w:r w:rsidRPr="000A339D">
        <w:rPr>
          <w:b/>
        </w:rPr>
        <w:lastRenderedPageBreak/>
        <w:t xml:space="preserve">Evidence of Bad Character </w:t>
      </w:r>
      <w:r>
        <w:rPr>
          <w:b/>
        </w:rPr>
        <w:t xml:space="preserve">in cases of </w:t>
      </w:r>
      <w:r w:rsidR="00EC6AC3">
        <w:rPr>
          <w:b/>
        </w:rPr>
        <w:t xml:space="preserve">historic </w:t>
      </w:r>
      <w:r>
        <w:rPr>
          <w:b/>
        </w:rPr>
        <w:t>youth sexual offending</w:t>
      </w:r>
      <w:r w:rsidRPr="000A339D">
        <w:rPr>
          <w:b/>
        </w:rPr>
        <w:t xml:space="preserve">– </w:t>
      </w:r>
      <w:r>
        <w:rPr>
          <w:b/>
        </w:rPr>
        <w:t>d</w:t>
      </w:r>
      <w:r w:rsidRPr="000A339D">
        <w:rPr>
          <w:b/>
        </w:rPr>
        <w:t xml:space="preserve">emonstrating a </w:t>
      </w:r>
      <w:r>
        <w:rPr>
          <w:b/>
        </w:rPr>
        <w:t>de</w:t>
      </w:r>
      <w:r w:rsidRPr="000A339D">
        <w:rPr>
          <w:b/>
        </w:rPr>
        <w:t xml:space="preserve">funct </w:t>
      </w:r>
      <w:r>
        <w:rPr>
          <w:b/>
        </w:rPr>
        <w:t>m</w:t>
      </w:r>
      <w:r w:rsidRPr="000A339D">
        <w:rPr>
          <w:b/>
        </w:rPr>
        <w:t xml:space="preserve">oral </w:t>
      </w:r>
      <w:r>
        <w:rPr>
          <w:b/>
        </w:rPr>
        <w:t>c</w:t>
      </w:r>
      <w:r w:rsidRPr="000A339D">
        <w:rPr>
          <w:b/>
        </w:rPr>
        <w:t xml:space="preserve">ompass or </w:t>
      </w:r>
      <w:r>
        <w:rPr>
          <w:b/>
        </w:rPr>
        <w:t>d</w:t>
      </w:r>
      <w:r w:rsidRPr="000A339D">
        <w:rPr>
          <w:b/>
        </w:rPr>
        <w:t xml:space="preserve">istracting the </w:t>
      </w:r>
      <w:r>
        <w:rPr>
          <w:b/>
        </w:rPr>
        <w:t>j</w:t>
      </w:r>
      <w:r w:rsidRPr="000A339D">
        <w:rPr>
          <w:b/>
        </w:rPr>
        <w:t>ury</w:t>
      </w:r>
      <w:r>
        <w:rPr>
          <w:b/>
        </w:rPr>
        <w:t xml:space="preserve"> and </w:t>
      </w:r>
      <w:r w:rsidRPr="00BE605F">
        <w:rPr>
          <w:b/>
        </w:rPr>
        <w:t>evading</w:t>
      </w:r>
      <w:r>
        <w:rPr>
          <w:b/>
        </w:rPr>
        <w:t xml:space="preserve"> the retrospective effect of</w:t>
      </w:r>
      <w:r w:rsidR="0095261F">
        <w:rPr>
          <w:b/>
        </w:rPr>
        <w:t xml:space="preserve"> the presumption of</w:t>
      </w:r>
      <w:r w:rsidRPr="00BE605F">
        <w:rPr>
          <w:b/>
          <w:i/>
        </w:rPr>
        <w:t xml:space="preserve"> doli incapax</w:t>
      </w:r>
      <w:r w:rsidRPr="000A339D">
        <w:rPr>
          <w:b/>
        </w:rPr>
        <w:t>?</w:t>
      </w:r>
    </w:p>
    <w:p w14:paraId="42166AC5" w14:textId="77777777" w:rsidR="00C736D4" w:rsidRDefault="00C736D4" w:rsidP="00C736D4">
      <w:pPr>
        <w:spacing w:after="0" w:line="480" w:lineRule="auto"/>
        <w:jc w:val="both"/>
        <w:rPr>
          <w:rFonts w:ascii="Times New Roman" w:hAnsi="Times New Roman" w:cs="Times New Roman"/>
          <w:sz w:val="24"/>
          <w:szCs w:val="24"/>
        </w:rPr>
      </w:pPr>
    </w:p>
    <w:p w14:paraId="710AE0E1" w14:textId="77777777" w:rsidR="00C736D4" w:rsidRPr="005F311F" w:rsidRDefault="00C736D4" w:rsidP="00B00467">
      <w:pPr>
        <w:spacing w:after="0" w:line="480" w:lineRule="auto"/>
        <w:jc w:val="both"/>
        <w:outlineLvl w:val="0"/>
        <w:rPr>
          <w:rFonts w:ascii="Times New Roman" w:hAnsi="Times New Roman" w:cs="Times New Roman"/>
          <w:b/>
          <w:sz w:val="24"/>
          <w:szCs w:val="24"/>
        </w:rPr>
      </w:pPr>
      <w:r w:rsidRPr="005F311F">
        <w:rPr>
          <w:rFonts w:ascii="Times New Roman" w:hAnsi="Times New Roman" w:cs="Times New Roman"/>
          <w:b/>
          <w:sz w:val="24"/>
          <w:szCs w:val="24"/>
        </w:rPr>
        <w:t>Introduction</w:t>
      </w:r>
    </w:p>
    <w:p w14:paraId="4962055C" w14:textId="71D7DCF3" w:rsidR="00C736D4" w:rsidRDefault="00C736D4" w:rsidP="00C206E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4D134D">
        <w:rPr>
          <w:rFonts w:ascii="Times New Roman" w:hAnsi="Times New Roman" w:cs="Times New Roman"/>
          <w:i/>
          <w:sz w:val="24"/>
          <w:szCs w:val="24"/>
        </w:rPr>
        <w:t xml:space="preserve">R v </w:t>
      </w:r>
      <w:r w:rsidR="00DC2E89">
        <w:rPr>
          <w:rFonts w:ascii="Times New Roman" w:hAnsi="Times New Roman" w:cs="Times New Roman"/>
          <w:i/>
          <w:sz w:val="24"/>
          <w:szCs w:val="24"/>
        </w:rPr>
        <w:t>M</w:t>
      </w:r>
      <w:r w:rsidR="00FB458C" w:rsidRPr="006E1CD3">
        <w:rPr>
          <w:rStyle w:val="FootnoteReference"/>
          <w:rFonts w:ascii="Times New Roman" w:hAnsi="Times New Roman" w:cs="Times New Roman"/>
          <w:sz w:val="24"/>
          <w:szCs w:val="24"/>
        </w:rPr>
        <w:footnoteReference w:id="1"/>
      </w:r>
      <w:r w:rsidR="0060784A">
        <w:rPr>
          <w:rFonts w:ascii="Times New Roman" w:hAnsi="Times New Roman" w:cs="Times New Roman"/>
          <w:sz w:val="24"/>
          <w:szCs w:val="24"/>
        </w:rPr>
        <w:t xml:space="preserve"> </w:t>
      </w:r>
      <w:r>
        <w:rPr>
          <w:rFonts w:ascii="Times New Roman" w:hAnsi="Times New Roman" w:cs="Times New Roman"/>
          <w:sz w:val="24"/>
          <w:szCs w:val="24"/>
        </w:rPr>
        <w:t xml:space="preserve">the appellant </w:t>
      </w:r>
      <w:r w:rsidR="0047422E">
        <w:rPr>
          <w:rFonts w:ascii="Times New Roman" w:hAnsi="Times New Roman" w:cs="Times New Roman"/>
          <w:sz w:val="24"/>
          <w:szCs w:val="24"/>
        </w:rPr>
        <w:t>(aged 32</w:t>
      </w:r>
      <w:r w:rsidR="0057357A">
        <w:rPr>
          <w:rFonts w:ascii="Times New Roman" w:hAnsi="Times New Roman" w:cs="Times New Roman"/>
          <w:sz w:val="24"/>
          <w:szCs w:val="24"/>
        </w:rPr>
        <w:t xml:space="preserve"> at the time of the trial</w:t>
      </w:r>
      <w:r w:rsidR="0047422E">
        <w:rPr>
          <w:rFonts w:ascii="Times New Roman" w:hAnsi="Times New Roman" w:cs="Times New Roman"/>
          <w:sz w:val="24"/>
          <w:szCs w:val="24"/>
        </w:rPr>
        <w:t xml:space="preserve">) </w:t>
      </w:r>
      <w:r>
        <w:rPr>
          <w:rFonts w:ascii="Times New Roman" w:hAnsi="Times New Roman" w:cs="Times New Roman"/>
          <w:sz w:val="24"/>
          <w:szCs w:val="24"/>
        </w:rPr>
        <w:t>was charged with three offences of indecent assault against his younger half-sister (C) when he was aged between 14 and 16 years including digitally penetrating her vagina and simulating sexual intercourse with her when she was aged between 10 and 12 years</w:t>
      </w:r>
      <w:r w:rsidR="006C201E">
        <w:rPr>
          <w:rFonts w:ascii="Times New Roman" w:hAnsi="Times New Roman" w:cs="Times New Roman"/>
          <w:sz w:val="24"/>
          <w:szCs w:val="24"/>
        </w:rPr>
        <w:t xml:space="preserve"> between 1997 and 1999</w:t>
      </w:r>
      <w:r>
        <w:rPr>
          <w:rFonts w:ascii="Times New Roman" w:hAnsi="Times New Roman" w:cs="Times New Roman"/>
          <w:sz w:val="24"/>
          <w:szCs w:val="24"/>
        </w:rPr>
        <w:t xml:space="preserve">. In addition to the evidence provided by his younger half-sister, the prosecution relied on bad character evidence (BCE) of two unindicted incidents of sexual misconduct by the defendant when he </w:t>
      </w:r>
      <w:r w:rsidRPr="000A339D">
        <w:rPr>
          <w:rFonts w:ascii="Times New Roman" w:hAnsi="Times New Roman" w:cs="Times New Roman"/>
          <w:sz w:val="24"/>
          <w:szCs w:val="24"/>
        </w:rPr>
        <w:t xml:space="preserve">was between 10 and 14 </w:t>
      </w:r>
      <w:r w:rsidRPr="00941B78">
        <w:rPr>
          <w:rFonts w:ascii="Times New Roman" w:hAnsi="Times New Roman" w:cs="Times New Roman"/>
          <w:sz w:val="24"/>
          <w:szCs w:val="24"/>
        </w:rPr>
        <w:t xml:space="preserve">years old to demonstrate </w:t>
      </w:r>
      <w:bookmarkStart w:id="1" w:name="para8"/>
      <w:r w:rsidRPr="00941B78">
        <w:rPr>
          <w:rFonts w:ascii="Times New Roman" w:hAnsi="Times New Roman" w:cs="Times New Roman"/>
          <w:sz w:val="24"/>
          <w:szCs w:val="24"/>
        </w:rPr>
        <w:t xml:space="preserve">the appellant's propensity to sexually assault </w:t>
      </w:r>
      <w:bookmarkEnd w:id="1"/>
      <w:r w:rsidRPr="00941B78">
        <w:rPr>
          <w:rFonts w:ascii="Times New Roman" w:hAnsi="Times New Roman" w:cs="Times New Roman"/>
          <w:sz w:val="24"/>
          <w:szCs w:val="24"/>
        </w:rPr>
        <w:t>his younger sister. T</w:t>
      </w:r>
      <w:r>
        <w:rPr>
          <w:rFonts w:ascii="Times New Roman" w:hAnsi="Times New Roman" w:cs="Times New Roman"/>
          <w:sz w:val="24"/>
          <w:szCs w:val="24"/>
        </w:rPr>
        <w:t xml:space="preserve">hese two unindicted incidents occurred prior to the coming into force of the Crime and Disorder Act 1998 and the abolition of the presumption of </w:t>
      </w:r>
      <w:r>
        <w:rPr>
          <w:rFonts w:ascii="Times New Roman" w:hAnsi="Times New Roman" w:cs="Times New Roman"/>
          <w:i/>
          <w:sz w:val="24"/>
          <w:szCs w:val="24"/>
        </w:rPr>
        <w:t>doli incapax</w:t>
      </w:r>
      <w:r>
        <w:rPr>
          <w:rFonts w:ascii="Times New Roman" w:hAnsi="Times New Roman" w:cs="Times New Roman"/>
          <w:sz w:val="24"/>
          <w:szCs w:val="24"/>
        </w:rPr>
        <w:t>. The prosecution believed that these incidents established a propensity to commit offences of the type the defendant was charged with, and demonstrated a steady progression from the defendant’s ‘wild behaviours’ as a child towards sexual experimentation involving C.</w:t>
      </w:r>
      <w:r w:rsidR="00FB458C" w:rsidRPr="006E1CD3">
        <w:rPr>
          <w:rStyle w:val="FootnoteReference"/>
          <w:rFonts w:ascii="Times New Roman" w:hAnsi="Times New Roman" w:cs="Times New Roman"/>
        </w:rPr>
        <w:footnoteReference w:id="2"/>
      </w:r>
      <w:r>
        <w:rPr>
          <w:rFonts w:ascii="Times New Roman" w:hAnsi="Times New Roman" w:cs="Times New Roman"/>
          <w:sz w:val="24"/>
          <w:szCs w:val="24"/>
        </w:rPr>
        <w:t xml:space="preserve"> The Court of Appeal ruled that the behaviour the defendant engaged in between the ages of 10 and 14 years could be relied on by the jury as BCE and could serve as a predictive base for future behaviour. As the appellant was not facing a criminal charge in relation to this behaviour the court ruled that the presumption of </w:t>
      </w:r>
      <w:r>
        <w:rPr>
          <w:rFonts w:ascii="Times New Roman" w:hAnsi="Times New Roman" w:cs="Times New Roman"/>
          <w:i/>
          <w:sz w:val="24"/>
          <w:szCs w:val="24"/>
        </w:rPr>
        <w:t xml:space="preserve">doli incapax </w:t>
      </w:r>
      <w:r>
        <w:rPr>
          <w:rFonts w:ascii="Times New Roman" w:hAnsi="Times New Roman" w:cs="Times New Roman"/>
          <w:sz w:val="24"/>
          <w:szCs w:val="24"/>
        </w:rPr>
        <w:t>had no application and consequently did not need to be rebutted.</w:t>
      </w:r>
    </w:p>
    <w:p w14:paraId="1D219116" w14:textId="5046CA7B" w:rsidR="00C736D4" w:rsidRDefault="007D23CA" w:rsidP="00EC6AC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Court of Appeal i</w:t>
      </w:r>
      <w:r w:rsidR="00C736D4">
        <w:rPr>
          <w:rFonts w:ascii="Times New Roman" w:hAnsi="Times New Roman" w:cs="Times New Roman"/>
          <w:sz w:val="24"/>
          <w:szCs w:val="24"/>
        </w:rPr>
        <w:t>n</w:t>
      </w:r>
      <w:r w:rsidR="00B00467">
        <w:rPr>
          <w:rFonts w:ascii="Times New Roman" w:hAnsi="Times New Roman" w:cs="Times New Roman"/>
          <w:sz w:val="24"/>
          <w:szCs w:val="24"/>
        </w:rPr>
        <w:t xml:space="preserve"> </w:t>
      </w:r>
      <w:r w:rsidR="00B00467">
        <w:rPr>
          <w:rFonts w:ascii="Times New Roman" w:hAnsi="Times New Roman" w:cs="Times New Roman"/>
          <w:i/>
          <w:sz w:val="24"/>
          <w:szCs w:val="24"/>
        </w:rPr>
        <w:t>M</w:t>
      </w:r>
      <w:r w:rsidR="00B00467">
        <w:rPr>
          <w:rFonts w:ascii="Times New Roman" w:hAnsi="Times New Roman" w:cs="Times New Roman"/>
          <w:sz w:val="24"/>
          <w:szCs w:val="24"/>
        </w:rPr>
        <w:t xml:space="preserve"> </w:t>
      </w:r>
      <w:r>
        <w:rPr>
          <w:rFonts w:ascii="Times New Roman" w:hAnsi="Times New Roman" w:cs="Times New Roman"/>
          <w:sz w:val="24"/>
          <w:szCs w:val="24"/>
        </w:rPr>
        <w:t>noted that</w:t>
      </w:r>
      <w:r w:rsidR="00C736D4">
        <w:rPr>
          <w:rFonts w:ascii="Times New Roman" w:hAnsi="Times New Roman" w:cs="Times New Roman"/>
          <w:sz w:val="24"/>
          <w:szCs w:val="24"/>
        </w:rPr>
        <w:t xml:space="preserve"> the charges were specifically structured to avoid behaviour that took place prior to D’s 14</w:t>
      </w:r>
      <w:r w:rsidR="00C736D4" w:rsidRPr="006B2369">
        <w:rPr>
          <w:rFonts w:ascii="Times New Roman" w:hAnsi="Times New Roman" w:cs="Times New Roman"/>
          <w:sz w:val="24"/>
          <w:szCs w:val="24"/>
          <w:vertAlign w:val="superscript"/>
        </w:rPr>
        <w:t>th</w:t>
      </w:r>
      <w:r w:rsidR="00C736D4">
        <w:rPr>
          <w:rFonts w:ascii="Times New Roman" w:hAnsi="Times New Roman" w:cs="Times New Roman"/>
          <w:sz w:val="24"/>
          <w:szCs w:val="24"/>
        </w:rPr>
        <w:t xml:space="preserve"> birthday</w:t>
      </w:r>
      <w:r>
        <w:rPr>
          <w:rFonts w:ascii="Times New Roman" w:hAnsi="Times New Roman" w:cs="Times New Roman"/>
          <w:sz w:val="24"/>
          <w:szCs w:val="24"/>
        </w:rPr>
        <w:t>: ‘</w:t>
      </w:r>
      <w:r w:rsidRPr="007D23CA">
        <w:rPr>
          <w:rFonts w:ascii="Times New Roman" w:hAnsi="Times New Roman" w:cs="Times New Roman"/>
          <w:sz w:val="24"/>
          <w:szCs w:val="24"/>
        </w:rPr>
        <w:t xml:space="preserve">In his ruling allowing the evidence to be admitted, the recorder observed that the charges had been specifically framed to take into </w:t>
      </w:r>
      <w:r w:rsidRPr="007D23CA">
        <w:rPr>
          <w:rFonts w:ascii="Times New Roman" w:hAnsi="Times New Roman" w:cs="Times New Roman"/>
          <w:sz w:val="24"/>
          <w:szCs w:val="24"/>
        </w:rPr>
        <w:lastRenderedPageBreak/>
        <w:t>account the defendant’s 14th birthday</w:t>
      </w:r>
      <w:r w:rsidR="00EB0A6D">
        <w:rPr>
          <w:rFonts w:ascii="Times New Roman" w:hAnsi="Times New Roman" w:cs="Times New Roman"/>
          <w:sz w:val="24"/>
          <w:szCs w:val="24"/>
        </w:rPr>
        <w:t xml:space="preserve"> </w:t>
      </w:r>
      <w:r>
        <w:rPr>
          <w:rFonts w:ascii="Times New Roman" w:hAnsi="Times New Roman" w:cs="Times New Roman"/>
          <w:sz w:val="24"/>
          <w:szCs w:val="24"/>
        </w:rPr>
        <w:t>..</w:t>
      </w:r>
      <w:r w:rsidRPr="007D23CA">
        <w:rPr>
          <w:rFonts w:ascii="Times New Roman" w:hAnsi="Times New Roman" w:cs="Times New Roman"/>
          <w:sz w:val="24"/>
          <w:szCs w:val="24"/>
        </w:rPr>
        <w:t>. The reason for this being that the presumption of doli incapax would have been available to him prior to that date.</w:t>
      </w:r>
      <w:r>
        <w:rPr>
          <w:rFonts w:ascii="Times New Roman" w:hAnsi="Times New Roman" w:cs="Times New Roman"/>
          <w:sz w:val="24"/>
          <w:szCs w:val="24"/>
        </w:rPr>
        <w:t>’</w:t>
      </w:r>
      <w:r w:rsidR="001B6DCA">
        <w:rPr>
          <w:rStyle w:val="FootnoteReference"/>
          <w:rFonts w:ascii="Times New Roman" w:hAnsi="Times New Roman" w:cs="Times New Roman"/>
          <w:sz w:val="24"/>
          <w:szCs w:val="24"/>
        </w:rPr>
        <w:footnoteReference w:id="3"/>
      </w:r>
      <w:r w:rsidR="00941B78">
        <w:rPr>
          <w:rFonts w:ascii="Times New Roman" w:hAnsi="Times New Roman" w:cs="Times New Roman"/>
          <w:sz w:val="24"/>
          <w:szCs w:val="24"/>
        </w:rPr>
        <w:t xml:space="preserve"> </w:t>
      </w:r>
      <w:r>
        <w:rPr>
          <w:rFonts w:ascii="Times New Roman" w:hAnsi="Times New Roman" w:cs="Times New Roman"/>
          <w:sz w:val="24"/>
          <w:szCs w:val="24"/>
        </w:rPr>
        <w:t>Admission of these</w:t>
      </w:r>
      <w:r w:rsidR="00941B78">
        <w:rPr>
          <w:rFonts w:ascii="Times New Roman" w:hAnsi="Times New Roman" w:cs="Times New Roman"/>
          <w:sz w:val="24"/>
          <w:szCs w:val="24"/>
        </w:rPr>
        <w:t xml:space="preserve"> behaviour</w:t>
      </w:r>
      <w:r>
        <w:rPr>
          <w:rFonts w:ascii="Times New Roman" w:hAnsi="Times New Roman" w:cs="Times New Roman"/>
          <w:sz w:val="24"/>
          <w:szCs w:val="24"/>
        </w:rPr>
        <w:t>s</w:t>
      </w:r>
      <w:r w:rsidR="00941B78">
        <w:rPr>
          <w:rFonts w:ascii="Times New Roman" w:hAnsi="Times New Roman" w:cs="Times New Roman"/>
          <w:sz w:val="24"/>
          <w:szCs w:val="24"/>
        </w:rPr>
        <w:t xml:space="preserve"> </w:t>
      </w:r>
      <w:r>
        <w:rPr>
          <w:rFonts w:ascii="Times New Roman" w:hAnsi="Times New Roman" w:cs="Times New Roman"/>
          <w:sz w:val="24"/>
          <w:szCs w:val="24"/>
        </w:rPr>
        <w:t xml:space="preserve">as BCE </w:t>
      </w:r>
      <w:r w:rsidR="00B201E6">
        <w:rPr>
          <w:rFonts w:ascii="Times New Roman" w:hAnsi="Times New Roman" w:cs="Times New Roman"/>
          <w:sz w:val="24"/>
          <w:szCs w:val="24"/>
        </w:rPr>
        <w:t>preserved their evidential</w:t>
      </w:r>
      <w:r w:rsidR="00C736D4">
        <w:rPr>
          <w:rFonts w:ascii="Times New Roman" w:hAnsi="Times New Roman" w:cs="Times New Roman"/>
          <w:sz w:val="24"/>
          <w:szCs w:val="24"/>
        </w:rPr>
        <w:t xml:space="preserve"> support </w:t>
      </w:r>
      <w:r w:rsidR="00B201E6">
        <w:rPr>
          <w:rFonts w:ascii="Times New Roman" w:hAnsi="Times New Roman" w:cs="Times New Roman"/>
          <w:sz w:val="24"/>
          <w:szCs w:val="24"/>
        </w:rPr>
        <w:t>for</w:t>
      </w:r>
      <w:r w:rsidR="00C736D4">
        <w:rPr>
          <w:rFonts w:ascii="Times New Roman" w:hAnsi="Times New Roman" w:cs="Times New Roman"/>
          <w:sz w:val="24"/>
          <w:szCs w:val="24"/>
        </w:rPr>
        <w:t xml:space="preserve"> the </w:t>
      </w:r>
      <w:r w:rsidR="00C637B4">
        <w:rPr>
          <w:rFonts w:ascii="Times New Roman" w:hAnsi="Times New Roman" w:cs="Times New Roman"/>
          <w:sz w:val="24"/>
          <w:szCs w:val="24"/>
        </w:rPr>
        <w:t>prosecution</w:t>
      </w:r>
      <w:r w:rsidR="00B201E6">
        <w:rPr>
          <w:rFonts w:ascii="Times New Roman" w:hAnsi="Times New Roman" w:cs="Times New Roman"/>
          <w:sz w:val="24"/>
          <w:szCs w:val="24"/>
        </w:rPr>
        <w:t xml:space="preserve"> case</w:t>
      </w:r>
      <w:r w:rsidR="00C637B4">
        <w:rPr>
          <w:rFonts w:ascii="Times New Roman" w:hAnsi="Times New Roman" w:cs="Times New Roman"/>
          <w:sz w:val="24"/>
          <w:szCs w:val="24"/>
        </w:rPr>
        <w:t xml:space="preserve"> but </w:t>
      </w:r>
      <w:r w:rsidR="00B201E6">
        <w:rPr>
          <w:rFonts w:ascii="Times New Roman" w:hAnsi="Times New Roman" w:cs="Times New Roman"/>
          <w:sz w:val="24"/>
          <w:szCs w:val="24"/>
        </w:rPr>
        <w:t>removed the prosecutorial burden of</w:t>
      </w:r>
      <w:r w:rsidR="00C637B4">
        <w:rPr>
          <w:rFonts w:ascii="Times New Roman" w:hAnsi="Times New Roman" w:cs="Times New Roman"/>
          <w:sz w:val="24"/>
          <w:szCs w:val="24"/>
        </w:rPr>
        <w:t xml:space="preserve"> having to rebut the </w:t>
      </w:r>
      <w:r w:rsidR="00C736D4">
        <w:rPr>
          <w:rFonts w:ascii="Times New Roman" w:hAnsi="Times New Roman" w:cs="Times New Roman"/>
          <w:sz w:val="24"/>
          <w:szCs w:val="24"/>
        </w:rPr>
        <w:t xml:space="preserve">presumption of </w:t>
      </w:r>
      <w:r w:rsidR="00C736D4" w:rsidRPr="00EC25B9">
        <w:rPr>
          <w:rFonts w:ascii="Times New Roman" w:hAnsi="Times New Roman" w:cs="Times New Roman"/>
          <w:i/>
          <w:sz w:val="24"/>
          <w:szCs w:val="24"/>
        </w:rPr>
        <w:t>doli incapax</w:t>
      </w:r>
      <w:r w:rsidR="00C736D4">
        <w:rPr>
          <w:rFonts w:ascii="Times New Roman" w:hAnsi="Times New Roman" w:cs="Times New Roman"/>
          <w:sz w:val="24"/>
          <w:szCs w:val="24"/>
        </w:rPr>
        <w:t xml:space="preserve">. </w:t>
      </w:r>
      <w:r w:rsidR="00941B78">
        <w:rPr>
          <w:rFonts w:ascii="Times New Roman" w:hAnsi="Times New Roman" w:cs="Times New Roman"/>
          <w:sz w:val="24"/>
          <w:szCs w:val="24"/>
        </w:rPr>
        <w:t xml:space="preserve">The court’s ruling in </w:t>
      </w:r>
      <w:r w:rsidR="00941B78">
        <w:rPr>
          <w:rFonts w:ascii="Times New Roman" w:hAnsi="Times New Roman" w:cs="Times New Roman"/>
          <w:i/>
          <w:sz w:val="24"/>
          <w:szCs w:val="24"/>
        </w:rPr>
        <w:t xml:space="preserve">M </w:t>
      </w:r>
      <w:r w:rsidR="00941B78">
        <w:rPr>
          <w:rFonts w:ascii="Times New Roman" w:hAnsi="Times New Roman" w:cs="Times New Roman"/>
          <w:sz w:val="24"/>
          <w:szCs w:val="24"/>
        </w:rPr>
        <w:t>effectively allows for the admission of behaviours as evidence while circumventing the retrospective effect of the</w:t>
      </w:r>
      <w:r w:rsidR="0095261F">
        <w:rPr>
          <w:rFonts w:ascii="Times New Roman" w:hAnsi="Times New Roman" w:cs="Times New Roman"/>
          <w:sz w:val="24"/>
          <w:szCs w:val="24"/>
        </w:rPr>
        <w:t xml:space="preserve"> presumption of</w:t>
      </w:r>
      <w:r w:rsidR="00941B78">
        <w:rPr>
          <w:rFonts w:ascii="Times New Roman" w:hAnsi="Times New Roman" w:cs="Times New Roman"/>
          <w:sz w:val="24"/>
          <w:szCs w:val="24"/>
        </w:rPr>
        <w:t xml:space="preserve"> </w:t>
      </w:r>
      <w:r w:rsidR="00941B78">
        <w:rPr>
          <w:rFonts w:ascii="Times New Roman" w:hAnsi="Times New Roman" w:cs="Times New Roman"/>
          <w:i/>
          <w:sz w:val="24"/>
          <w:szCs w:val="24"/>
        </w:rPr>
        <w:t>doli incapax</w:t>
      </w:r>
      <w:r w:rsidR="00C736D4" w:rsidRPr="00B675C9">
        <w:rPr>
          <w:rFonts w:ascii="Times New Roman" w:hAnsi="Times New Roman" w:cs="Times New Roman"/>
          <w:sz w:val="24"/>
          <w:szCs w:val="24"/>
        </w:rPr>
        <w:t>.</w:t>
      </w:r>
      <w:r w:rsidR="00EC6AC3" w:rsidRPr="00EC6AC3">
        <w:rPr>
          <w:rFonts w:ascii="Times New Roman" w:hAnsi="Times New Roman" w:cs="Times New Roman"/>
          <w:sz w:val="24"/>
          <w:szCs w:val="24"/>
        </w:rPr>
        <w:t xml:space="preserve"> </w:t>
      </w:r>
    </w:p>
    <w:p w14:paraId="27277E25" w14:textId="0DD3ADC5" w:rsidR="00C736D4" w:rsidRPr="00833F68" w:rsidRDefault="00C736D4" w:rsidP="00E622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As such this judgment represents what Bandalli referred</w:t>
      </w:r>
      <w:r w:rsidR="00EC6AC3">
        <w:rPr>
          <w:rFonts w:ascii="Times New Roman" w:hAnsi="Times New Roman" w:cs="Times New Roman"/>
          <w:sz w:val="24"/>
          <w:szCs w:val="24"/>
        </w:rPr>
        <w:t xml:space="preserve"> to, when discussing the abolition of the presumption of </w:t>
      </w:r>
      <w:r w:rsidR="00EC6AC3">
        <w:rPr>
          <w:rFonts w:ascii="Times New Roman" w:hAnsi="Times New Roman" w:cs="Times New Roman"/>
          <w:i/>
          <w:sz w:val="24"/>
          <w:szCs w:val="24"/>
        </w:rPr>
        <w:t xml:space="preserve">doli incapax </w:t>
      </w:r>
      <w:r w:rsidR="00EC6AC3">
        <w:rPr>
          <w:rFonts w:ascii="Times New Roman" w:hAnsi="Times New Roman" w:cs="Times New Roman"/>
          <w:sz w:val="24"/>
          <w:szCs w:val="24"/>
        </w:rPr>
        <w:t>by the Crime and Disorder Act 1998,</w:t>
      </w:r>
      <w:r>
        <w:rPr>
          <w:rFonts w:ascii="Times New Roman" w:hAnsi="Times New Roman" w:cs="Times New Roman"/>
          <w:sz w:val="24"/>
          <w:szCs w:val="24"/>
        </w:rPr>
        <w:t xml:space="preserve"> as </w:t>
      </w:r>
      <w:r w:rsidRPr="00D83BA7">
        <w:rPr>
          <w:rFonts w:ascii="Times New Roman" w:hAnsi="Times New Roman" w:cs="Times New Roman"/>
          <w:sz w:val="24"/>
          <w:szCs w:val="24"/>
        </w:rPr>
        <w:t xml:space="preserve">an erosion of the special consideration afforded to children and </w:t>
      </w:r>
      <w:r w:rsidR="00EC6AC3">
        <w:rPr>
          <w:rFonts w:ascii="Times New Roman" w:hAnsi="Times New Roman" w:cs="Times New Roman"/>
          <w:sz w:val="24"/>
          <w:szCs w:val="24"/>
        </w:rPr>
        <w:t>a</w:t>
      </w:r>
      <w:r w:rsidRPr="00D83BA7">
        <w:rPr>
          <w:rFonts w:ascii="Times New Roman" w:hAnsi="Times New Roman" w:cs="Times New Roman"/>
          <w:sz w:val="24"/>
          <w:szCs w:val="24"/>
        </w:rPr>
        <w:t xml:space="preserve">s </w:t>
      </w:r>
      <w:r>
        <w:rPr>
          <w:rFonts w:ascii="Times New Roman" w:hAnsi="Times New Roman" w:cs="Times New Roman"/>
          <w:sz w:val="24"/>
          <w:szCs w:val="24"/>
        </w:rPr>
        <w:t>‘</w:t>
      </w:r>
      <w:r w:rsidRPr="00D83BA7">
        <w:rPr>
          <w:rFonts w:ascii="Times New Roman" w:hAnsi="Times New Roman" w:cs="Times New Roman"/>
          <w:sz w:val="24"/>
          <w:szCs w:val="24"/>
        </w:rPr>
        <w:t>symbolic of the state’s limited vision in understanding children, the nature of childhood or the true meaning of an appropriate criminal law response</w:t>
      </w:r>
      <w:r w:rsidR="00EC6AC3">
        <w:rPr>
          <w:rFonts w:ascii="Times New Roman" w:hAnsi="Times New Roman" w:cs="Times New Roman"/>
          <w:sz w:val="24"/>
          <w:szCs w:val="24"/>
        </w:rPr>
        <w:t>.</w:t>
      </w:r>
      <w:r>
        <w:rPr>
          <w:rFonts w:ascii="Times New Roman" w:hAnsi="Times New Roman" w:cs="Times New Roman"/>
          <w:sz w:val="24"/>
          <w:szCs w:val="24"/>
        </w:rPr>
        <w:t>’</w:t>
      </w:r>
      <w:r w:rsidR="001B6DCA" w:rsidRPr="006E1CD3">
        <w:rPr>
          <w:rStyle w:val="FootnoteReference"/>
          <w:rFonts w:ascii="Times New Roman" w:hAnsi="Times New Roman"/>
          <w:sz w:val="24"/>
          <w:szCs w:val="24"/>
        </w:rPr>
        <w:footnoteReference w:id="4"/>
      </w:r>
      <w:r w:rsidR="001B6DCA" w:rsidRPr="006E1CD3">
        <w:rPr>
          <w:rFonts w:ascii="Times New Roman" w:hAnsi="Times New Roman" w:cs="Times New Roman"/>
          <w:sz w:val="24"/>
          <w:szCs w:val="24"/>
        </w:rPr>
        <w:t xml:space="preserve"> </w:t>
      </w:r>
      <w:r w:rsidR="00EC6AC3">
        <w:rPr>
          <w:rFonts w:ascii="Times New Roman" w:hAnsi="Times New Roman" w:cs="Times New Roman"/>
          <w:sz w:val="24"/>
          <w:szCs w:val="24"/>
        </w:rPr>
        <w:t>The only protection for defendants such as M</w:t>
      </w:r>
      <w:r w:rsidR="005256AD">
        <w:rPr>
          <w:rFonts w:ascii="Times New Roman" w:hAnsi="Times New Roman" w:cs="Times New Roman"/>
          <w:sz w:val="24"/>
          <w:szCs w:val="24"/>
        </w:rPr>
        <w:t>,</w:t>
      </w:r>
      <w:r w:rsidR="00EC6AC3">
        <w:rPr>
          <w:rFonts w:ascii="Times New Roman" w:hAnsi="Times New Roman" w:cs="Times New Roman"/>
          <w:sz w:val="24"/>
          <w:szCs w:val="24"/>
        </w:rPr>
        <w:t xml:space="preserve"> who are having to account for behaviour engaged in as a child</w:t>
      </w:r>
      <w:r w:rsidR="005256AD">
        <w:rPr>
          <w:rFonts w:ascii="Times New Roman" w:hAnsi="Times New Roman" w:cs="Times New Roman"/>
          <w:sz w:val="24"/>
          <w:szCs w:val="24"/>
        </w:rPr>
        <w:t>,</w:t>
      </w:r>
      <w:r w:rsidR="00EC6AC3">
        <w:rPr>
          <w:rFonts w:ascii="Times New Roman" w:hAnsi="Times New Roman" w:cs="Times New Roman"/>
          <w:sz w:val="24"/>
          <w:szCs w:val="24"/>
        </w:rPr>
        <w:t xml:space="preserve"> is that the BCE will only be admissible if it meets a gateway within s101(1) Criminal Justice Act 2003</w:t>
      </w:r>
      <w:r w:rsidR="005256AD">
        <w:rPr>
          <w:rFonts w:ascii="Times New Roman" w:hAnsi="Times New Roman" w:cs="Times New Roman"/>
          <w:sz w:val="24"/>
          <w:szCs w:val="24"/>
        </w:rPr>
        <w:t xml:space="preserve"> </w:t>
      </w:r>
      <w:r w:rsidR="007A304E">
        <w:rPr>
          <w:rFonts w:ascii="Times New Roman" w:hAnsi="Times New Roman" w:cs="Times New Roman"/>
          <w:sz w:val="24"/>
          <w:szCs w:val="24"/>
        </w:rPr>
        <w:t xml:space="preserve">(CJA 2003) </w:t>
      </w:r>
      <w:r w:rsidR="005256AD">
        <w:rPr>
          <w:rFonts w:ascii="Times New Roman" w:hAnsi="Times New Roman" w:cs="Times New Roman"/>
          <w:sz w:val="24"/>
          <w:szCs w:val="24"/>
        </w:rPr>
        <w:t>and any relevant fairness/admissibility criteria</w:t>
      </w:r>
      <w:r w:rsidR="00EC6AC3">
        <w:rPr>
          <w:rFonts w:ascii="Times New Roman" w:hAnsi="Times New Roman" w:cs="Times New Roman"/>
          <w:sz w:val="24"/>
          <w:szCs w:val="24"/>
        </w:rPr>
        <w:t xml:space="preserve">. </w:t>
      </w:r>
      <w:r>
        <w:rPr>
          <w:rFonts w:ascii="Times New Roman" w:hAnsi="Times New Roman" w:cs="Times New Roman"/>
          <w:sz w:val="24"/>
          <w:szCs w:val="24"/>
        </w:rPr>
        <w:t>Th</w:t>
      </w:r>
      <w:r w:rsidR="00941B78">
        <w:rPr>
          <w:rFonts w:ascii="Times New Roman" w:hAnsi="Times New Roman" w:cs="Times New Roman"/>
          <w:sz w:val="24"/>
          <w:szCs w:val="24"/>
        </w:rPr>
        <w:t>is</w:t>
      </w:r>
      <w:r w:rsidR="00B201E6">
        <w:rPr>
          <w:rFonts w:ascii="Times New Roman" w:hAnsi="Times New Roman" w:cs="Times New Roman"/>
          <w:sz w:val="24"/>
          <w:szCs w:val="24"/>
        </w:rPr>
        <w:t xml:space="preserve"> article will demonstrate</w:t>
      </w:r>
      <w:r>
        <w:rPr>
          <w:rFonts w:ascii="Times New Roman" w:hAnsi="Times New Roman" w:cs="Times New Roman"/>
          <w:sz w:val="24"/>
          <w:szCs w:val="24"/>
        </w:rPr>
        <w:t xml:space="preserve"> that </w:t>
      </w:r>
      <w:r w:rsidR="00EC6AC3">
        <w:rPr>
          <w:rFonts w:ascii="Times New Roman" w:hAnsi="Times New Roman" w:cs="Times New Roman"/>
          <w:sz w:val="24"/>
          <w:szCs w:val="24"/>
        </w:rPr>
        <w:t xml:space="preserve">the provisions of the 2003 Act </w:t>
      </w:r>
      <w:r>
        <w:rPr>
          <w:rFonts w:ascii="Times New Roman" w:hAnsi="Times New Roman" w:cs="Times New Roman"/>
          <w:sz w:val="24"/>
          <w:szCs w:val="24"/>
        </w:rPr>
        <w:t xml:space="preserve">are </w:t>
      </w:r>
      <w:r w:rsidR="00233833">
        <w:rPr>
          <w:rFonts w:ascii="Times New Roman" w:hAnsi="Times New Roman" w:cs="Times New Roman"/>
          <w:sz w:val="24"/>
          <w:szCs w:val="24"/>
        </w:rPr>
        <w:t>inadequate</w:t>
      </w:r>
      <w:r>
        <w:rPr>
          <w:rFonts w:ascii="Times New Roman" w:hAnsi="Times New Roman" w:cs="Times New Roman"/>
          <w:sz w:val="24"/>
          <w:szCs w:val="24"/>
        </w:rPr>
        <w:t xml:space="preserve"> as a counterfoil to any unfairness inherent in the decision not to apply</w:t>
      </w:r>
      <w:r w:rsidR="0095261F">
        <w:rPr>
          <w:rFonts w:ascii="Times New Roman" w:hAnsi="Times New Roman" w:cs="Times New Roman"/>
          <w:sz w:val="24"/>
          <w:szCs w:val="24"/>
        </w:rPr>
        <w:t xml:space="preserve"> the presumption of</w:t>
      </w:r>
      <w:r>
        <w:rPr>
          <w:rFonts w:ascii="Times New Roman" w:hAnsi="Times New Roman" w:cs="Times New Roman"/>
          <w:sz w:val="24"/>
          <w:szCs w:val="24"/>
        </w:rPr>
        <w:t xml:space="preserve"> </w:t>
      </w:r>
      <w:r>
        <w:rPr>
          <w:rFonts w:ascii="Times New Roman" w:hAnsi="Times New Roman" w:cs="Times New Roman"/>
          <w:i/>
          <w:sz w:val="24"/>
          <w:szCs w:val="24"/>
        </w:rPr>
        <w:t xml:space="preserve">doli incapax </w:t>
      </w:r>
      <w:r>
        <w:rPr>
          <w:rFonts w:ascii="Times New Roman" w:hAnsi="Times New Roman" w:cs="Times New Roman"/>
          <w:sz w:val="24"/>
          <w:szCs w:val="24"/>
        </w:rPr>
        <w:t>to the BCE itself.</w:t>
      </w:r>
      <w:r w:rsidR="00941B78">
        <w:rPr>
          <w:rFonts w:ascii="Times New Roman" w:hAnsi="Times New Roman" w:cs="Times New Roman"/>
          <w:sz w:val="24"/>
          <w:szCs w:val="24"/>
        </w:rPr>
        <w:t xml:space="preserve"> This article will </w:t>
      </w:r>
      <w:r w:rsidR="00650065">
        <w:rPr>
          <w:rFonts w:ascii="Times New Roman" w:hAnsi="Times New Roman" w:cs="Times New Roman"/>
          <w:sz w:val="24"/>
          <w:szCs w:val="24"/>
        </w:rPr>
        <w:t xml:space="preserve">also </w:t>
      </w:r>
      <w:r w:rsidR="00941B78">
        <w:rPr>
          <w:rFonts w:ascii="Times New Roman" w:hAnsi="Times New Roman" w:cs="Times New Roman"/>
          <w:sz w:val="24"/>
          <w:szCs w:val="24"/>
        </w:rPr>
        <w:t>question</w:t>
      </w:r>
      <w:r w:rsidR="00DC2E89">
        <w:rPr>
          <w:rFonts w:ascii="Times New Roman" w:hAnsi="Times New Roman" w:cs="Times New Roman"/>
          <w:sz w:val="24"/>
          <w:szCs w:val="24"/>
        </w:rPr>
        <w:t xml:space="preserve"> whether</w:t>
      </w:r>
      <w:r w:rsidR="00941B78">
        <w:rPr>
          <w:rFonts w:ascii="Times New Roman" w:hAnsi="Times New Roman" w:cs="Times New Roman"/>
          <w:sz w:val="24"/>
          <w:szCs w:val="24"/>
        </w:rPr>
        <w:t xml:space="preserve"> </w:t>
      </w:r>
      <w:r w:rsidRPr="00152CD4">
        <w:rPr>
          <w:rFonts w:ascii="Times New Roman" w:hAnsi="Times New Roman" w:cs="Times New Roman"/>
          <w:sz w:val="24"/>
          <w:szCs w:val="24"/>
        </w:rPr>
        <w:t>the behaviour of children of less tha</w:t>
      </w:r>
      <w:r w:rsidR="00650065">
        <w:rPr>
          <w:rFonts w:ascii="Times New Roman" w:hAnsi="Times New Roman" w:cs="Times New Roman"/>
          <w:sz w:val="24"/>
          <w:szCs w:val="24"/>
        </w:rPr>
        <w:t>n</w:t>
      </w:r>
      <w:r w:rsidRPr="00152CD4">
        <w:rPr>
          <w:rFonts w:ascii="Times New Roman" w:hAnsi="Times New Roman" w:cs="Times New Roman"/>
          <w:sz w:val="24"/>
          <w:szCs w:val="24"/>
        </w:rPr>
        <w:t xml:space="preserve"> 14 years old </w:t>
      </w:r>
      <w:r w:rsidR="00941B78">
        <w:rPr>
          <w:rFonts w:ascii="Times New Roman" w:hAnsi="Times New Roman" w:cs="Times New Roman"/>
          <w:sz w:val="24"/>
          <w:szCs w:val="24"/>
        </w:rPr>
        <w:t xml:space="preserve">should </w:t>
      </w:r>
      <w:r>
        <w:rPr>
          <w:rFonts w:ascii="Times New Roman" w:hAnsi="Times New Roman" w:cs="Times New Roman"/>
          <w:sz w:val="24"/>
          <w:szCs w:val="24"/>
        </w:rPr>
        <w:t xml:space="preserve">be deemed capable of </w:t>
      </w:r>
      <w:r w:rsidR="00941B78">
        <w:rPr>
          <w:rFonts w:ascii="Times New Roman" w:hAnsi="Times New Roman" w:cs="Times New Roman"/>
          <w:sz w:val="24"/>
          <w:szCs w:val="24"/>
        </w:rPr>
        <w:t>serving</w:t>
      </w:r>
      <w:r w:rsidR="00941B78" w:rsidRPr="00152CD4">
        <w:rPr>
          <w:rFonts w:ascii="Times New Roman" w:hAnsi="Times New Roman" w:cs="Times New Roman"/>
          <w:sz w:val="24"/>
          <w:szCs w:val="24"/>
        </w:rPr>
        <w:t xml:space="preserve"> as a predictive base</w:t>
      </w:r>
      <w:r w:rsidR="00941B78">
        <w:rPr>
          <w:rFonts w:ascii="Times New Roman" w:hAnsi="Times New Roman" w:cs="Times New Roman"/>
          <w:sz w:val="24"/>
          <w:szCs w:val="24"/>
        </w:rPr>
        <w:t xml:space="preserve"> for future behaviour</w:t>
      </w:r>
      <w:r w:rsidR="00650065">
        <w:rPr>
          <w:rFonts w:ascii="Times New Roman" w:hAnsi="Times New Roman" w:cs="Times New Roman"/>
          <w:sz w:val="24"/>
          <w:szCs w:val="24"/>
        </w:rPr>
        <w:t>.</w:t>
      </w:r>
      <w:r w:rsidRPr="00152CD4">
        <w:rPr>
          <w:rFonts w:ascii="Times New Roman" w:hAnsi="Times New Roman" w:cs="Times New Roman"/>
          <w:sz w:val="24"/>
          <w:szCs w:val="24"/>
        </w:rPr>
        <w:t xml:space="preserve"> </w:t>
      </w:r>
      <w:r w:rsidR="00941B78">
        <w:rPr>
          <w:rFonts w:ascii="Times New Roman" w:hAnsi="Times New Roman" w:cs="Times New Roman"/>
          <w:sz w:val="24"/>
          <w:szCs w:val="24"/>
        </w:rPr>
        <w:t>This question is particularly apposite e</w:t>
      </w:r>
      <w:r>
        <w:rPr>
          <w:rFonts w:ascii="Times New Roman" w:hAnsi="Times New Roman" w:cs="Times New Roman"/>
          <w:sz w:val="24"/>
          <w:szCs w:val="24"/>
        </w:rPr>
        <w:t xml:space="preserve">specially where these behaviours are put to the fact finder as ‘non-conviction’ propensity evidence and therefore have not previously been established beyond a reasonable doubt during a criminal trial, as was the case in </w:t>
      </w:r>
      <w:r>
        <w:rPr>
          <w:rFonts w:ascii="Times New Roman" w:hAnsi="Times New Roman" w:cs="Times New Roman"/>
          <w:i/>
          <w:sz w:val="24"/>
          <w:szCs w:val="24"/>
        </w:rPr>
        <w:t xml:space="preserve">M. </w:t>
      </w:r>
      <w:r w:rsidR="00C637B4" w:rsidRPr="00C637B4">
        <w:rPr>
          <w:rFonts w:ascii="Times New Roman" w:hAnsi="Times New Roman" w:cs="Times New Roman"/>
          <w:sz w:val="24"/>
          <w:szCs w:val="24"/>
        </w:rPr>
        <w:t xml:space="preserve">This article will argue that although using BCE is probative in some situations, </w:t>
      </w:r>
      <w:r w:rsidR="00C637B4" w:rsidRPr="00292D05">
        <w:rPr>
          <w:rFonts w:ascii="Times New Roman" w:hAnsi="Times New Roman" w:cs="Times New Roman"/>
          <w:sz w:val="24"/>
          <w:szCs w:val="24"/>
        </w:rPr>
        <w:t>it is not necessarily a solid predictive base particularly in cases of youth offending.</w:t>
      </w:r>
    </w:p>
    <w:p w14:paraId="311F21B1" w14:textId="77777777" w:rsidR="00C736D4" w:rsidRDefault="00C736D4" w:rsidP="00C736D4"/>
    <w:p w14:paraId="125C4B63" w14:textId="695541C5" w:rsidR="00F66931" w:rsidRPr="00F66931" w:rsidRDefault="0095261F" w:rsidP="00B00467">
      <w:pPr>
        <w:autoSpaceDE w:val="0"/>
        <w:autoSpaceDN w:val="0"/>
        <w:adjustRightInd w:val="0"/>
        <w:spacing w:after="0" w:line="480" w:lineRule="auto"/>
        <w:jc w:val="both"/>
        <w:outlineLvl w:val="0"/>
        <w:rPr>
          <w:rFonts w:ascii="Times New Roman" w:hAnsi="Times New Roman" w:cs="Times New Roman"/>
          <w:b/>
          <w:i/>
          <w:sz w:val="24"/>
          <w:szCs w:val="24"/>
        </w:rPr>
      </w:pPr>
      <w:r w:rsidRPr="0057357A">
        <w:rPr>
          <w:rFonts w:ascii="Times New Roman" w:hAnsi="Times New Roman" w:cs="Times New Roman"/>
          <w:b/>
          <w:sz w:val="24"/>
          <w:szCs w:val="24"/>
        </w:rPr>
        <w:t>The presumption of</w:t>
      </w:r>
      <w:r>
        <w:rPr>
          <w:rFonts w:ascii="Times New Roman" w:hAnsi="Times New Roman" w:cs="Times New Roman"/>
          <w:b/>
          <w:i/>
          <w:sz w:val="24"/>
          <w:szCs w:val="24"/>
        </w:rPr>
        <w:t xml:space="preserve"> d</w:t>
      </w:r>
      <w:r w:rsidR="00F66931">
        <w:rPr>
          <w:rFonts w:ascii="Times New Roman" w:hAnsi="Times New Roman" w:cs="Times New Roman"/>
          <w:b/>
          <w:i/>
          <w:sz w:val="24"/>
          <w:szCs w:val="24"/>
        </w:rPr>
        <w:t xml:space="preserve">oli </w:t>
      </w:r>
      <w:r>
        <w:rPr>
          <w:rFonts w:ascii="Times New Roman" w:hAnsi="Times New Roman" w:cs="Times New Roman"/>
          <w:b/>
          <w:i/>
          <w:sz w:val="24"/>
          <w:szCs w:val="24"/>
        </w:rPr>
        <w:t>i</w:t>
      </w:r>
      <w:r w:rsidR="00F66931">
        <w:rPr>
          <w:rFonts w:ascii="Times New Roman" w:hAnsi="Times New Roman" w:cs="Times New Roman"/>
          <w:b/>
          <w:i/>
          <w:sz w:val="24"/>
          <w:szCs w:val="24"/>
        </w:rPr>
        <w:t>ncapax</w:t>
      </w:r>
    </w:p>
    <w:p w14:paraId="79C4BE66" w14:textId="3588599D" w:rsidR="00F66931" w:rsidRPr="00013FEF" w:rsidRDefault="00F66931" w:rsidP="00F66931">
      <w:pPr>
        <w:autoSpaceDE w:val="0"/>
        <w:autoSpaceDN w:val="0"/>
        <w:adjustRightInd w:val="0"/>
        <w:spacing w:after="0" w:line="480" w:lineRule="auto"/>
        <w:jc w:val="both"/>
        <w:rPr>
          <w:rFonts w:ascii="Times New Roman" w:hAnsi="Times New Roman" w:cs="Times New Roman"/>
          <w:sz w:val="24"/>
          <w:szCs w:val="24"/>
        </w:rPr>
      </w:pPr>
      <w:r w:rsidRPr="001F211D">
        <w:rPr>
          <w:rFonts w:ascii="Times New Roman" w:hAnsi="Times New Roman" w:cs="Times New Roman"/>
          <w:sz w:val="24"/>
          <w:szCs w:val="24"/>
        </w:rPr>
        <w:t xml:space="preserve">According to the </w:t>
      </w:r>
      <w:r>
        <w:rPr>
          <w:rFonts w:ascii="Times New Roman" w:hAnsi="Times New Roman" w:cs="Times New Roman"/>
          <w:sz w:val="24"/>
          <w:szCs w:val="24"/>
        </w:rPr>
        <w:t xml:space="preserve">rebuttable </w:t>
      </w:r>
      <w:r w:rsidRPr="001F211D">
        <w:rPr>
          <w:rFonts w:ascii="Times New Roman" w:hAnsi="Times New Roman" w:cs="Times New Roman"/>
          <w:sz w:val="24"/>
          <w:szCs w:val="24"/>
        </w:rPr>
        <w:t xml:space="preserve">presumption of </w:t>
      </w:r>
      <w:r w:rsidRPr="001F211D">
        <w:rPr>
          <w:rFonts w:ascii="Times New Roman" w:hAnsi="Times New Roman" w:cs="Times New Roman"/>
          <w:i/>
          <w:sz w:val="24"/>
          <w:szCs w:val="24"/>
        </w:rPr>
        <w:t>doli incapax</w:t>
      </w:r>
      <w:r w:rsidRPr="001F211D">
        <w:rPr>
          <w:rFonts w:ascii="Times New Roman" w:hAnsi="Times New Roman" w:cs="Times New Roman"/>
          <w:sz w:val="24"/>
          <w:szCs w:val="24"/>
        </w:rPr>
        <w:t>, children did not automatically become fully criminally responsible for their actions once they reached the age of criminal responsibility</w:t>
      </w:r>
      <w:r>
        <w:rPr>
          <w:rFonts w:ascii="Times New Roman" w:hAnsi="Times New Roman" w:cs="Times New Roman"/>
          <w:sz w:val="24"/>
          <w:szCs w:val="24"/>
        </w:rPr>
        <w:t>, which is currently 10 years in England and Wales</w:t>
      </w:r>
      <w:r w:rsidRPr="001F211D">
        <w:rPr>
          <w:rFonts w:ascii="Times New Roman" w:hAnsi="Times New Roman" w:cs="Times New Roman"/>
          <w:sz w:val="24"/>
          <w:szCs w:val="24"/>
        </w:rPr>
        <w:t>.</w:t>
      </w:r>
      <w:r w:rsidR="006D024D">
        <w:rPr>
          <w:rStyle w:val="FootnoteReference"/>
          <w:rFonts w:ascii="Times New Roman" w:hAnsi="Times New Roman" w:cs="Times New Roman"/>
          <w:sz w:val="24"/>
          <w:szCs w:val="24"/>
        </w:rPr>
        <w:footnoteReference w:id="5"/>
      </w:r>
      <w:r w:rsidRPr="001F211D">
        <w:rPr>
          <w:rFonts w:ascii="Times New Roman" w:hAnsi="Times New Roman" w:cs="Times New Roman"/>
          <w:sz w:val="24"/>
          <w:szCs w:val="24"/>
        </w:rPr>
        <w:t xml:space="preserve"> They would only be held criminally responsible if</w:t>
      </w:r>
      <w:r>
        <w:rPr>
          <w:rFonts w:ascii="Times New Roman" w:hAnsi="Times New Roman" w:cs="Times New Roman"/>
          <w:sz w:val="24"/>
          <w:szCs w:val="24"/>
        </w:rPr>
        <w:t>,</w:t>
      </w:r>
      <w:r w:rsidRPr="001F211D">
        <w:rPr>
          <w:rFonts w:ascii="Times New Roman" w:hAnsi="Times New Roman" w:cs="Times New Roman"/>
          <w:sz w:val="24"/>
          <w:szCs w:val="24"/>
        </w:rPr>
        <w:t xml:space="preserve"> in addition to committing the </w:t>
      </w:r>
      <w:r w:rsidRPr="001F211D">
        <w:rPr>
          <w:rFonts w:ascii="Times New Roman" w:hAnsi="Times New Roman" w:cs="Times New Roman"/>
          <w:i/>
          <w:sz w:val="24"/>
          <w:szCs w:val="24"/>
        </w:rPr>
        <w:t>actus reus</w:t>
      </w:r>
      <w:r w:rsidRPr="001F211D">
        <w:rPr>
          <w:rFonts w:ascii="Times New Roman" w:hAnsi="Times New Roman" w:cs="Times New Roman"/>
          <w:sz w:val="24"/>
          <w:szCs w:val="24"/>
        </w:rPr>
        <w:t xml:space="preserve"> and </w:t>
      </w:r>
      <w:r w:rsidRPr="001F211D">
        <w:rPr>
          <w:rFonts w:ascii="Times New Roman" w:hAnsi="Times New Roman" w:cs="Times New Roman"/>
          <w:i/>
          <w:sz w:val="24"/>
          <w:szCs w:val="24"/>
        </w:rPr>
        <w:t>mens rea</w:t>
      </w:r>
      <w:r w:rsidRPr="001F211D">
        <w:rPr>
          <w:rFonts w:ascii="Times New Roman" w:hAnsi="Times New Roman" w:cs="Times New Roman"/>
          <w:sz w:val="24"/>
          <w:szCs w:val="24"/>
        </w:rPr>
        <w:t xml:space="preserve"> of a criminal offence, the prosecution could also prove, beyond reasonable doubt, that when doing the act, the child knew that what they were doing was seriously wrong</w:t>
      </w:r>
      <w:r w:rsidRPr="001F211D">
        <w:rPr>
          <w:rFonts w:ascii="Times New Roman" w:hAnsi="Times New Roman" w:cs="Times New Roman"/>
          <w:bCs/>
          <w:i/>
          <w:sz w:val="24"/>
          <w:szCs w:val="24"/>
        </w:rPr>
        <w:t>.</w:t>
      </w:r>
      <w:r w:rsidRPr="001F211D">
        <w:rPr>
          <w:rFonts w:ascii="Times New Roman" w:hAnsi="Times New Roman" w:cs="Times New Roman"/>
          <w:bCs/>
          <w:sz w:val="24"/>
          <w:szCs w:val="24"/>
        </w:rPr>
        <w:t xml:space="preserve"> The common law position was stated by Archbold, and approved by Lord Lowry </w:t>
      </w:r>
      <w:r w:rsidRPr="00070243">
        <w:rPr>
          <w:rFonts w:ascii="Times New Roman" w:hAnsi="Times New Roman" w:cs="Times New Roman"/>
          <w:bCs/>
          <w:sz w:val="24"/>
          <w:szCs w:val="24"/>
        </w:rPr>
        <w:t xml:space="preserve">in </w:t>
      </w:r>
      <w:r w:rsidRPr="00070243">
        <w:rPr>
          <w:rFonts w:ascii="Times New Roman" w:hAnsi="Times New Roman" w:cs="Times New Roman"/>
          <w:bCs/>
          <w:i/>
          <w:sz w:val="24"/>
          <w:szCs w:val="24"/>
        </w:rPr>
        <w:t>Re C (a minor</w:t>
      </w:r>
      <w:r w:rsidRPr="00072CE1">
        <w:rPr>
          <w:rFonts w:ascii="Times New Roman" w:hAnsi="Times New Roman" w:cs="Times New Roman"/>
          <w:bCs/>
          <w:i/>
          <w:sz w:val="24"/>
          <w:szCs w:val="24"/>
        </w:rPr>
        <w:t>)</w:t>
      </w:r>
      <w:r w:rsidR="001B6DCA" w:rsidRPr="006E1CD3">
        <w:rPr>
          <w:rStyle w:val="FootnoteReference"/>
          <w:rFonts w:ascii="Times New Roman" w:hAnsi="Times New Roman" w:cs="Times New Roman"/>
          <w:bCs/>
        </w:rPr>
        <w:footnoteReference w:id="6"/>
      </w:r>
      <w:r w:rsidRPr="00072CE1">
        <w:rPr>
          <w:rFonts w:ascii="Times New Roman" w:hAnsi="Times New Roman" w:cs="Times New Roman"/>
          <w:bCs/>
          <w:sz w:val="24"/>
          <w:szCs w:val="24"/>
        </w:rPr>
        <w:t xml:space="preserve"> </w:t>
      </w:r>
      <w:r>
        <w:rPr>
          <w:rFonts w:ascii="Times New Roman" w:hAnsi="Times New Roman" w:cs="Times New Roman"/>
          <w:bCs/>
          <w:sz w:val="24"/>
          <w:szCs w:val="24"/>
        </w:rPr>
        <w:t xml:space="preserve">and restated by the Court of Appeal in </w:t>
      </w:r>
      <w:r w:rsidRPr="00B45BEA">
        <w:rPr>
          <w:rFonts w:ascii="Times New Roman" w:hAnsi="Times New Roman" w:cs="Times New Roman"/>
          <w:i/>
          <w:sz w:val="24"/>
          <w:szCs w:val="24"/>
        </w:rPr>
        <w:t>R v H</w:t>
      </w:r>
      <w:r w:rsidR="001B6DCA">
        <w:rPr>
          <w:rFonts w:ascii="Times New Roman" w:hAnsi="Times New Roman" w:cs="Times New Roman"/>
          <w:sz w:val="24"/>
          <w:szCs w:val="24"/>
        </w:rPr>
        <w:t>,</w:t>
      </w:r>
      <w:r w:rsidR="001B6DCA" w:rsidRPr="006E1CD3">
        <w:rPr>
          <w:rStyle w:val="FootnoteReference"/>
          <w:rFonts w:ascii="Times New Roman" w:hAnsi="Times New Roman" w:cs="Times New Roman"/>
          <w:i/>
        </w:rPr>
        <w:footnoteReference w:id="7"/>
      </w:r>
      <w:r>
        <w:rPr>
          <w:rFonts w:ascii="Times New Roman" w:hAnsi="Times New Roman" w:cs="Times New Roman"/>
          <w:i/>
          <w:sz w:val="24"/>
          <w:szCs w:val="24"/>
        </w:rPr>
        <w:t xml:space="preserve"> </w:t>
      </w:r>
      <w:r w:rsidRPr="00070243">
        <w:rPr>
          <w:rFonts w:ascii="Times New Roman" w:hAnsi="Times New Roman" w:cs="Times New Roman"/>
          <w:bCs/>
          <w:sz w:val="24"/>
          <w:szCs w:val="24"/>
        </w:rPr>
        <w:t xml:space="preserve">as follows: </w:t>
      </w:r>
    </w:p>
    <w:p w14:paraId="0BC93A0E" w14:textId="44C14FF0" w:rsidR="00F66931" w:rsidRPr="001F211D" w:rsidRDefault="00F66931" w:rsidP="001B6DCA">
      <w:pPr>
        <w:autoSpaceDE w:val="0"/>
        <w:autoSpaceDN w:val="0"/>
        <w:adjustRightInd w:val="0"/>
        <w:spacing w:after="0" w:line="480" w:lineRule="auto"/>
        <w:ind w:left="720"/>
        <w:jc w:val="both"/>
        <w:rPr>
          <w:rFonts w:ascii="Times New Roman" w:hAnsi="Times New Roman" w:cs="Times New Roman"/>
          <w:sz w:val="24"/>
          <w:szCs w:val="24"/>
        </w:rPr>
      </w:pPr>
      <w:r w:rsidRPr="00070243">
        <w:rPr>
          <w:rFonts w:ascii="Times New Roman" w:hAnsi="Times New Roman" w:cs="Times New Roman"/>
          <w:sz w:val="24"/>
          <w:szCs w:val="24"/>
        </w:rPr>
        <w:t xml:space="preserve">‘… at common law a child under 14 years is presumed </w:t>
      </w:r>
      <w:r w:rsidRPr="00070243">
        <w:rPr>
          <w:rFonts w:ascii="Times New Roman" w:hAnsi="Times New Roman" w:cs="Times New Roman"/>
          <w:iCs/>
          <w:sz w:val="24"/>
          <w:szCs w:val="24"/>
        </w:rPr>
        <w:t>not to have reached the age of discretion</w:t>
      </w:r>
      <w:r w:rsidRPr="00070243">
        <w:rPr>
          <w:rFonts w:ascii="Times New Roman" w:hAnsi="Times New Roman" w:cs="Times New Roman"/>
          <w:i/>
          <w:iCs/>
          <w:sz w:val="24"/>
          <w:szCs w:val="24"/>
        </w:rPr>
        <w:t xml:space="preserve"> </w:t>
      </w:r>
      <w:r w:rsidRPr="00070243">
        <w:rPr>
          <w:rFonts w:ascii="Times New Roman" w:hAnsi="Times New Roman" w:cs="Times New Roman"/>
          <w:sz w:val="24"/>
          <w:szCs w:val="24"/>
        </w:rPr>
        <w:t xml:space="preserve">and to be </w:t>
      </w:r>
      <w:r w:rsidRPr="00070243">
        <w:rPr>
          <w:rFonts w:ascii="Times New Roman" w:hAnsi="Times New Roman" w:cs="Times New Roman"/>
          <w:i/>
          <w:sz w:val="24"/>
          <w:szCs w:val="24"/>
        </w:rPr>
        <w:t>doli incapax</w:t>
      </w:r>
      <w:r w:rsidRPr="00070243">
        <w:rPr>
          <w:rFonts w:ascii="Times New Roman" w:hAnsi="Times New Roman" w:cs="Times New Roman"/>
          <w:sz w:val="24"/>
          <w:szCs w:val="24"/>
        </w:rPr>
        <w:t>; but this presumption may be rebutted by strong and pregnant evidence of a mischievous disposition …’</w:t>
      </w:r>
      <w:r w:rsidR="001B6DCA" w:rsidRPr="001B6DCA">
        <w:rPr>
          <w:rStyle w:val="FootnoteReference"/>
          <w:rFonts w:ascii="Times New Roman" w:hAnsi="Times New Roman" w:cs="Times New Roman"/>
        </w:rPr>
        <w:t xml:space="preserve"> </w:t>
      </w:r>
      <w:r w:rsidR="001B6DCA" w:rsidRPr="006E1CD3">
        <w:rPr>
          <w:rStyle w:val="FootnoteReference"/>
          <w:rFonts w:ascii="Times New Roman" w:hAnsi="Times New Roman" w:cs="Times New Roman"/>
        </w:rPr>
        <w:footnoteReference w:id="8"/>
      </w:r>
    </w:p>
    <w:p w14:paraId="0CADC7A1" w14:textId="3B17CC86" w:rsidR="00EB0A6D" w:rsidRDefault="00F66931" w:rsidP="00EB0A6D">
      <w:pPr>
        <w:autoSpaceDE w:val="0"/>
        <w:autoSpaceDN w:val="0"/>
        <w:adjustRightInd w:val="0"/>
        <w:spacing w:after="0" w:line="480" w:lineRule="auto"/>
        <w:jc w:val="both"/>
        <w:rPr>
          <w:rFonts w:ascii="Times New Roman" w:hAnsi="Times New Roman" w:cs="Times New Roman"/>
          <w:sz w:val="24"/>
          <w:szCs w:val="24"/>
        </w:rPr>
      </w:pPr>
      <w:r w:rsidRPr="001F211D">
        <w:rPr>
          <w:rFonts w:ascii="Times New Roman" w:hAnsi="Times New Roman" w:cs="Times New Roman"/>
          <w:bCs/>
          <w:sz w:val="24"/>
          <w:szCs w:val="24"/>
        </w:rPr>
        <w:t xml:space="preserve">The rebuttable presumption of </w:t>
      </w:r>
      <w:r w:rsidRPr="001F211D">
        <w:rPr>
          <w:rFonts w:ascii="Times New Roman" w:hAnsi="Times New Roman" w:cs="Times New Roman"/>
          <w:bCs/>
          <w:i/>
          <w:sz w:val="24"/>
          <w:szCs w:val="24"/>
        </w:rPr>
        <w:t xml:space="preserve">doli incapax </w:t>
      </w:r>
      <w:r w:rsidRPr="001F211D">
        <w:rPr>
          <w:rFonts w:ascii="Times New Roman" w:hAnsi="Times New Roman" w:cs="Times New Roman"/>
          <w:bCs/>
          <w:sz w:val="24"/>
          <w:szCs w:val="24"/>
        </w:rPr>
        <w:t xml:space="preserve">recognised the possibility that some </w:t>
      </w:r>
      <w:r w:rsidRPr="001F211D">
        <w:rPr>
          <w:rFonts w:ascii="Times New Roman" w:hAnsi="Times New Roman" w:cs="Times New Roman"/>
          <w:sz w:val="24"/>
          <w:szCs w:val="24"/>
        </w:rPr>
        <w:t>children aged between the minimum age of criminal responsib</w:t>
      </w:r>
      <w:r>
        <w:rPr>
          <w:rFonts w:ascii="Times New Roman" w:hAnsi="Times New Roman" w:cs="Times New Roman"/>
          <w:sz w:val="24"/>
          <w:szCs w:val="24"/>
        </w:rPr>
        <w:t>i</w:t>
      </w:r>
      <w:r w:rsidRPr="001F211D">
        <w:rPr>
          <w:rFonts w:ascii="Times New Roman" w:hAnsi="Times New Roman" w:cs="Times New Roman"/>
          <w:sz w:val="24"/>
          <w:szCs w:val="24"/>
        </w:rPr>
        <w:t>l</w:t>
      </w:r>
      <w:r>
        <w:rPr>
          <w:rFonts w:ascii="Times New Roman" w:hAnsi="Times New Roman" w:cs="Times New Roman"/>
          <w:sz w:val="24"/>
          <w:szCs w:val="24"/>
        </w:rPr>
        <w:t>it</w:t>
      </w:r>
      <w:r w:rsidRPr="001F211D">
        <w:rPr>
          <w:rFonts w:ascii="Times New Roman" w:hAnsi="Times New Roman" w:cs="Times New Roman"/>
          <w:sz w:val="24"/>
          <w:szCs w:val="24"/>
        </w:rPr>
        <w:t>y and 14 years of age</w:t>
      </w:r>
      <w:r>
        <w:rPr>
          <w:rFonts w:ascii="Times New Roman" w:hAnsi="Times New Roman" w:cs="Times New Roman"/>
          <w:sz w:val="24"/>
          <w:szCs w:val="24"/>
        </w:rPr>
        <w:t xml:space="preserve"> (as the appellant was in relation to the two unindicted incidents)</w:t>
      </w:r>
      <w:r w:rsidRPr="001F211D">
        <w:rPr>
          <w:rFonts w:ascii="Times New Roman" w:hAnsi="Times New Roman" w:cs="Times New Roman"/>
          <w:sz w:val="24"/>
          <w:szCs w:val="24"/>
        </w:rPr>
        <w:t xml:space="preserve"> were incapable of understanding the gravity of their criminal actions because they did not have the prerequisite normal capacities akin to </w:t>
      </w:r>
      <w:r>
        <w:rPr>
          <w:rFonts w:ascii="Times New Roman" w:hAnsi="Times New Roman" w:cs="Times New Roman"/>
          <w:sz w:val="24"/>
          <w:szCs w:val="24"/>
        </w:rPr>
        <w:t>an</w:t>
      </w:r>
      <w:r w:rsidRPr="001F211D">
        <w:rPr>
          <w:rFonts w:ascii="Times New Roman" w:hAnsi="Times New Roman" w:cs="Times New Roman"/>
          <w:sz w:val="24"/>
          <w:szCs w:val="24"/>
        </w:rPr>
        <w:t xml:space="preserve"> adult offender. </w:t>
      </w:r>
      <w:r w:rsidR="00EB0A6D">
        <w:rPr>
          <w:rFonts w:ascii="Times New Roman" w:hAnsi="Times New Roman" w:cs="Times New Roman"/>
          <w:color w:val="000000"/>
          <w:sz w:val="24"/>
          <w:szCs w:val="24"/>
        </w:rPr>
        <w:t>The</w:t>
      </w:r>
      <w:r w:rsidR="00EB0A6D" w:rsidRPr="00FC0F45">
        <w:rPr>
          <w:rFonts w:ascii="Times New Roman" w:hAnsi="Times New Roman" w:cs="Times New Roman"/>
          <w:color w:val="000000"/>
          <w:sz w:val="24"/>
          <w:szCs w:val="24"/>
        </w:rPr>
        <w:t xml:space="preserve"> </w:t>
      </w:r>
      <w:r w:rsidR="00EB0A6D">
        <w:rPr>
          <w:rFonts w:ascii="Times New Roman" w:hAnsi="Times New Roman" w:cs="Times New Roman"/>
          <w:color w:val="000000"/>
          <w:sz w:val="24"/>
          <w:szCs w:val="24"/>
        </w:rPr>
        <w:t xml:space="preserve">presumption of </w:t>
      </w:r>
      <w:r w:rsidR="00EB0A6D">
        <w:rPr>
          <w:rFonts w:ascii="Times New Roman" w:hAnsi="Times New Roman" w:cs="Times New Roman"/>
          <w:i/>
          <w:color w:val="000000"/>
          <w:sz w:val="24"/>
          <w:szCs w:val="24"/>
        </w:rPr>
        <w:t xml:space="preserve">doli incapax </w:t>
      </w:r>
      <w:r w:rsidR="00EB0A6D" w:rsidRPr="00E22D7B">
        <w:rPr>
          <w:rFonts w:ascii="Times New Roman" w:hAnsi="Times New Roman" w:cs="Times New Roman"/>
          <w:sz w:val="24"/>
          <w:szCs w:val="24"/>
        </w:rPr>
        <w:t>reflected a concern that ‘using criminal penalties to punish a child who does not appreciate the wrongfulness of his or her actions lacks moral justification’</w:t>
      </w:r>
      <w:r w:rsidR="00EB0A6D">
        <w:rPr>
          <w:rFonts w:ascii="Times New Roman" w:hAnsi="Times New Roman" w:cs="Times New Roman"/>
          <w:sz w:val="24"/>
          <w:szCs w:val="24"/>
        </w:rPr>
        <w:t>.</w:t>
      </w:r>
      <w:r w:rsidR="00EB0A6D" w:rsidRPr="006E1CD3">
        <w:rPr>
          <w:rStyle w:val="FootnoteReference"/>
          <w:rFonts w:ascii="Times New Roman" w:hAnsi="Times New Roman"/>
        </w:rPr>
        <w:footnoteReference w:id="9"/>
      </w:r>
      <w:r w:rsidR="00EB0A6D" w:rsidRPr="006E1CD3">
        <w:rPr>
          <w:rFonts w:ascii="Times New Roman" w:hAnsi="Times New Roman" w:cs="Times New Roman"/>
          <w:bCs/>
          <w:sz w:val="24"/>
          <w:szCs w:val="24"/>
        </w:rPr>
        <w:t xml:space="preserve"> </w:t>
      </w:r>
      <w:r w:rsidRPr="001F211D">
        <w:rPr>
          <w:rFonts w:ascii="Times New Roman" w:hAnsi="Times New Roman" w:cs="Times New Roman"/>
          <w:bCs/>
          <w:sz w:val="24"/>
          <w:szCs w:val="24"/>
        </w:rPr>
        <w:t xml:space="preserve">In order to rebut the presumption of </w:t>
      </w:r>
      <w:r w:rsidRPr="001F211D">
        <w:rPr>
          <w:rFonts w:ascii="Times New Roman" w:hAnsi="Times New Roman" w:cs="Times New Roman"/>
          <w:bCs/>
          <w:i/>
          <w:sz w:val="24"/>
          <w:szCs w:val="24"/>
        </w:rPr>
        <w:t xml:space="preserve">doli incapax </w:t>
      </w:r>
      <w:r w:rsidRPr="001F211D">
        <w:rPr>
          <w:rFonts w:ascii="Times New Roman" w:hAnsi="Times New Roman" w:cs="Times New Roman"/>
          <w:bCs/>
          <w:sz w:val="24"/>
          <w:szCs w:val="24"/>
        </w:rPr>
        <w:t xml:space="preserve">and secure a conviction, the </w:t>
      </w:r>
      <w:r w:rsidRPr="00070243">
        <w:rPr>
          <w:rFonts w:ascii="Times New Roman" w:hAnsi="Times New Roman" w:cs="Times New Roman"/>
          <w:bCs/>
          <w:sz w:val="24"/>
          <w:szCs w:val="24"/>
        </w:rPr>
        <w:t xml:space="preserve">prosecution had to prove that the child </w:t>
      </w:r>
      <w:r w:rsidRPr="00070243">
        <w:rPr>
          <w:rFonts w:ascii="Times New Roman" w:hAnsi="Times New Roman" w:cs="Times New Roman"/>
          <w:sz w:val="24"/>
          <w:szCs w:val="24"/>
        </w:rPr>
        <w:t>was fully capable and aware</w:t>
      </w:r>
      <w:r w:rsidRPr="00070243">
        <w:rPr>
          <w:rFonts w:ascii="Times New Roman" w:hAnsi="Times New Roman" w:cs="Times New Roman"/>
          <w:bCs/>
          <w:sz w:val="24"/>
          <w:szCs w:val="24"/>
        </w:rPr>
        <w:t xml:space="preserve"> that what was alleged was seriously wrong</w:t>
      </w:r>
      <w:r w:rsidR="00EB0A6D">
        <w:rPr>
          <w:rFonts w:ascii="Times New Roman" w:hAnsi="Times New Roman" w:cs="Times New Roman"/>
          <w:bCs/>
          <w:sz w:val="24"/>
          <w:szCs w:val="24"/>
        </w:rPr>
        <w:t xml:space="preserve">, </w:t>
      </w:r>
      <w:r w:rsidRPr="001F211D">
        <w:rPr>
          <w:rFonts w:ascii="Times New Roman" w:hAnsi="Times New Roman" w:cs="Times New Roman"/>
          <w:sz w:val="24"/>
          <w:szCs w:val="24"/>
        </w:rPr>
        <w:t>not merely wrong but ‘g</w:t>
      </w:r>
      <w:r>
        <w:rPr>
          <w:rFonts w:ascii="Times New Roman" w:hAnsi="Times New Roman" w:cs="Times New Roman"/>
          <w:sz w:val="24"/>
          <w:szCs w:val="24"/>
        </w:rPr>
        <w:t>ravely wrong, seriously wrong’</w:t>
      </w:r>
      <w:r w:rsidR="001B6DCA">
        <w:rPr>
          <w:rFonts w:ascii="Times New Roman" w:hAnsi="Times New Roman" w:cs="Times New Roman"/>
          <w:sz w:val="24"/>
          <w:szCs w:val="24"/>
        </w:rPr>
        <w:t>.</w:t>
      </w:r>
      <w:r w:rsidR="001B6DCA" w:rsidRPr="006E1CD3">
        <w:rPr>
          <w:rStyle w:val="FootnoteReference"/>
          <w:rFonts w:ascii="Times New Roman" w:hAnsi="Times New Roman" w:cs="Times New Roman"/>
        </w:rPr>
        <w:footnoteReference w:id="10"/>
      </w:r>
      <w:r w:rsidRPr="001F211D">
        <w:rPr>
          <w:rFonts w:ascii="Times New Roman" w:hAnsi="Times New Roman" w:cs="Times New Roman"/>
          <w:sz w:val="24"/>
          <w:szCs w:val="24"/>
        </w:rPr>
        <w:t xml:space="preserve"> </w:t>
      </w:r>
      <w:r>
        <w:rPr>
          <w:rFonts w:ascii="Times New Roman" w:hAnsi="Times New Roman" w:cs="Times New Roman"/>
          <w:sz w:val="24"/>
          <w:szCs w:val="24"/>
        </w:rPr>
        <w:t xml:space="preserve">The presumption required courts to consider whether the individual child defendant had more than simply a child-like knowledge of right and wrong, but instead had the capacity to understand their actions and judge whether these actions were right or </w:t>
      </w:r>
      <w:r w:rsidRPr="00747263">
        <w:rPr>
          <w:rFonts w:ascii="Times New Roman" w:hAnsi="Times New Roman" w:cs="Times New Roman"/>
          <w:sz w:val="24"/>
          <w:szCs w:val="24"/>
        </w:rPr>
        <w:t>wrong in a moral sense and an ability to act on that moral knowledge. Knowledge that an act was seriously wrong could not be presumed from the mere commission of the offence, notwithstanding how horrifying or obviously wrong to adult observers the act was</w:t>
      </w:r>
      <w:r w:rsidR="001B6DCA" w:rsidRPr="006E1CD3">
        <w:rPr>
          <w:rFonts w:ascii="Times New Roman" w:hAnsi="Times New Roman" w:cs="Times New Roman"/>
          <w:sz w:val="24"/>
          <w:szCs w:val="24"/>
        </w:rPr>
        <w:t>.</w:t>
      </w:r>
      <w:r w:rsidR="001B6DCA" w:rsidRPr="006E1CD3">
        <w:rPr>
          <w:rStyle w:val="FootnoteReference"/>
          <w:rFonts w:ascii="Times New Roman" w:hAnsi="Times New Roman" w:cs="Times New Roman"/>
          <w:sz w:val="24"/>
          <w:szCs w:val="24"/>
        </w:rPr>
        <w:footnoteReference w:id="11"/>
      </w:r>
      <w:r w:rsidR="001B6DCA" w:rsidRPr="006E1CD3">
        <w:rPr>
          <w:rFonts w:ascii="Times New Roman" w:hAnsi="Times New Roman" w:cs="Times New Roman"/>
          <w:sz w:val="24"/>
          <w:szCs w:val="24"/>
        </w:rPr>
        <w:t xml:space="preserve"> </w:t>
      </w:r>
    </w:p>
    <w:p w14:paraId="3ACE72A3" w14:textId="061FCAA5" w:rsidR="00F66931" w:rsidRPr="00EB0A6D" w:rsidRDefault="001B6DCA" w:rsidP="00EB0A6D">
      <w:pPr>
        <w:autoSpaceDE w:val="0"/>
        <w:autoSpaceDN w:val="0"/>
        <w:adjustRightInd w:val="0"/>
        <w:spacing w:after="0" w:line="480" w:lineRule="auto"/>
        <w:ind w:firstLine="720"/>
        <w:jc w:val="both"/>
        <w:rPr>
          <w:rFonts w:ascii="Times New Roman" w:hAnsi="Times New Roman" w:cs="Times New Roman"/>
          <w:bCs/>
          <w:sz w:val="24"/>
          <w:szCs w:val="24"/>
        </w:rPr>
      </w:pPr>
      <w:r w:rsidRPr="0047735F">
        <w:rPr>
          <w:rFonts w:ascii="Times New Roman" w:hAnsi="Times New Roman" w:cs="Times New Roman"/>
          <w:sz w:val="24"/>
          <w:szCs w:val="24"/>
        </w:rPr>
        <w:t xml:space="preserve">In the more recent case of </w:t>
      </w:r>
      <w:r w:rsidRPr="0047735F">
        <w:rPr>
          <w:rStyle w:val="Emphasis"/>
          <w:rFonts w:ascii="Times New Roman" w:hAnsi="Times New Roman" w:cs="Times New Roman"/>
          <w:sz w:val="24"/>
          <w:szCs w:val="24"/>
        </w:rPr>
        <w:t>PF</w:t>
      </w:r>
      <w:r w:rsidRPr="006E1CD3">
        <w:rPr>
          <w:rStyle w:val="FootnoteReference"/>
          <w:rFonts w:ascii="Times New Roman" w:hAnsi="Times New Roman" w:cs="Times New Roman"/>
          <w:iCs/>
        </w:rPr>
        <w:footnoteReference w:id="12"/>
      </w:r>
      <w:r w:rsidR="00F66931" w:rsidRPr="00BE605F">
        <w:rPr>
          <w:rStyle w:val="Emphasis"/>
          <w:rFonts w:ascii="Times New Roman" w:hAnsi="Times New Roman" w:cs="Times New Roman"/>
          <w:sz w:val="24"/>
          <w:szCs w:val="24"/>
        </w:rPr>
        <w:t xml:space="preserve"> </w:t>
      </w:r>
      <w:r w:rsidR="00F66931" w:rsidRPr="00BE605F">
        <w:rPr>
          <w:rFonts w:ascii="Times New Roman" w:hAnsi="Times New Roman" w:cs="Times New Roman"/>
          <w:sz w:val="24"/>
          <w:szCs w:val="24"/>
        </w:rPr>
        <w:t xml:space="preserve">the </w:t>
      </w:r>
      <w:r w:rsidR="00F66931" w:rsidRPr="004A1C5B">
        <w:rPr>
          <w:rFonts w:ascii="Times New Roman" w:hAnsi="Times New Roman" w:cs="Times New Roman"/>
          <w:sz w:val="24"/>
          <w:szCs w:val="24"/>
        </w:rPr>
        <w:t>Court of Appeal noted this criteria was all the more relevant in sexual offences committed by children</w:t>
      </w:r>
      <w:r w:rsidR="00F66931">
        <w:rPr>
          <w:rFonts w:ascii="Times New Roman" w:hAnsi="Times New Roman" w:cs="Times New Roman"/>
          <w:sz w:val="24"/>
          <w:szCs w:val="24"/>
        </w:rPr>
        <w:t>. T</w:t>
      </w:r>
      <w:r w:rsidR="00F66931" w:rsidRPr="004A1C5B">
        <w:rPr>
          <w:rFonts w:ascii="Times New Roman" w:hAnsi="Times New Roman" w:cs="Times New Roman"/>
          <w:sz w:val="24"/>
          <w:szCs w:val="24"/>
        </w:rPr>
        <w:t xml:space="preserve">ouching of genitalia may be patently wrong to an adult, </w:t>
      </w:r>
      <w:r w:rsidR="00F66931">
        <w:rPr>
          <w:rFonts w:ascii="Times New Roman" w:hAnsi="Times New Roman" w:cs="Times New Roman"/>
          <w:sz w:val="24"/>
          <w:szCs w:val="24"/>
        </w:rPr>
        <w:t>however in</w:t>
      </w:r>
      <w:r w:rsidR="00F66931" w:rsidRPr="004A1C5B">
        <w:rPr>
          <w:rStyle w:val="Emphasis"/>
          <w:rFonts w:ascii="Times New Roman" w:hAnsi="Times New Roman" w:cs="Times New Roman"/>
          <w:color w:val="3B3B3B"/>
          <w:sz w:val="24"/>
          <w:szCs w:val="24"/>
        </w:rPr>
        <w:t xml:space="preserve"> </w:t>
      </w:r>
      <w:r w:rsidR="00F66931" w:rsidRPr="00747263">
        <w:rPr>
          <w:rStyle w:val="Emphasis"/>
          <w:rFonts w:ascii="Times New Roman" w:hAnsi="Times New Roman" w:cs="Times New Roman"/>
          <w:color w:val="3B3B3B"/>
          <w:sz w:val="24"/>
          <w:szCs w:val="24"/>
        </w:rPr>
        <w:t>PF</w:t>
      </w:r>
      <w:r w:rsidR="00F66931">
        <w:rPr>
          <w:rFonts w:ascii="Times New Roman" w:hAnsi="Times New Roman" w:cs="Times New Roman"/>
          <w:sz w:val="24"/>
          <w:szCs w:val="24"/>
        </w:rPr>
        <w:t xml:space="preserve"> </w:t>
      </w:r>
      <w:r w:rsidR="00F66931" w:rsidRPr="004A1C5B">
        <w:rPr>
          <w:rFonts w:ascii="Times New Roman" w:hAnsi="Times New Roman" w:cs="Times New Roman"/>
          <w:sz w:val="24"/>
          <w:szCs w:val="24"/>
        </w:rPr>
        <w:t xml:space="preserve">the </w:t>
      </w:r>
      <w:r w:rsidR="00F66931">
        <w:rPr>
          <w:rFonts w:ascii="Times New Roman" w:hAnsi="Times New Roman" w:cs="Times New Roman"/>
          <w:sz w:val="24"/>
          <w:szCs w:val="24"/>
        </w:rPr>
        <w:t>c</w:t>
      </w:r>
      <w:r w:rsidR="00F66931" w:rsidRPr="004A1C5B">
        <w:rPr>
          <w:rFonts w:ascii="Times New Roman" w:hAnsi="Times New Roman" w:cs="Times New Roman"/>
          <w:sz w:val="24"/>
          <w:szCs w:val="24"/>
        </w:rPr>
        <w:t xml:space="preserve">ourt recognised that experimentation between children is not uncommon and a child may not realise such conduct </w:t>
      </w:r>
      <w:r w:rsidR="00F66931" w:rsidRPr="00747263">
        <w:rPr>
          <w:rFonts w:ascii="Times New Roman" w:hAnsi="Times New Roman" w:cs="Times New Roman"/>
          <w:sz w:val="24"/>
          <w:szCs w:val="24"/>
        </w:rPr>
        <w:t xml:space="preserve">is seriously wrong as opposed to merely rude or naughty. </w:t>
      </w:r>
      <w:r w:rsidR="00F66931">
        <w:rPr>
          <w:rFonts w:ascii="Times New Roman" w:hAnsi="Times New Roman" w:cs="Times New Roman"/>
          <w:sz w:val="24"/>
          <w:szCs w:val="24"/>
        </w:rPr>
        <w:t xml:space="preserve">Instead </w:t>
      </w:r>
      <w:r w:rsidR="00F66931" w:rsidRPr="00CA6FEB">
        <w:rPr>
          <w:rFonts w:ascii="Times New Roman" w:hAnsi="Times New Roman" w:cs="Times New Roman"/>
          <w:sz w:val="24"/>
          <w:szCs w:val="24"/>
        </w:rPr>
        <w:t xml:space="preserve">normative criteria, such as the physiological and psychological development of the individual child, </w:t>
      </w:r>
      <w:r w:rsidR="00F66931">
        <w:rPr>
          <w:rFonts w:ascii="Times New Roman" w:hAnsi="Times New Roman" w:cs="Times New Roman"/>
          <w:sz w:val="24"/>
          <w:szCs w:val="24"/>
        </w:rPr>
        <w:t>should be</w:t>
      </w:r>
      <w:r w:rsidR="00F66931" w:rsidRPr="00CA6FEB">
        <w:rPr>
          <w:rFonts w:ascii="Times New Roman" w:hAnsi="Times New Roman" w:cs="Times New Roman"/>
          <w:sz w:val="24"/>
          <w:szCs w:val="24"/>
        </w:rPr>
        <w:t xml:space="preserve"> used to identify the divide b</w:t>
      </w:r>
      <w:r w:rsidR="00F66931">
        <w:rPr>
          <w:rFonts w:ascii="Times New Roman" w:hAnsi="Times New Roman" w:cs="Times New Roman"/>
          <w:sz w:val="24"/>
          <w:szCs w:val="24"/>
        </w:rPr>
        <w:t>etween childhood and adulthood.</w:t>
      </w:r>
      <w:r w:rsidR="00F66931" w:rsidRPr="00CA6FEB">
        <w:rPr>
          <w:rFonts w:ascii="Times New Roman" w:hAnsi="Times New Roman" w:cs="Times New Roman"/>
          <w:sz w:val="24"/>
          <w:szCs w:val="24"/>
        </w:rPr>
        <w:t xml:space="preserve"> </w:t>
      </w:r>
      <w:r w:rsidR="00F66931" w:rsidRPr="00E420FB">
        <w:rPr>
          <w:rFonts w:ascii="Times New Roman" w:hAnsi="Times New Roman" w:cs="Times New Roman"/>
          <w:sz w:val="24"/>
          <w:szCs w:val="24"/>
        </w:rPr>
        <w:t xml:space="preserve">The child’s home environment </w:t>
      </w:r>
      <w:r w:rsidR="00F66931">
        <w:rPr>
          <w:rFonts w:ascii="Times New Roman" w:hAnsi="Times New Roman" w:cs="Times New Roman"/>
          <w:sz w:val="24"/>
          <w:szCs w:val="24"/>
        </w:rPr>
        <w:t>could</w:t>
      </w:r>
      <w:r w:rsidR="00F66931" w:rsidRPr="00E420FB">
        <w:rPr>
          <w:rFonts w:ascii="Times New Roman" w:hAnsi="Times New Roman" w:cs="Times New Roman"/>
          <w:sz w:val="24"/>
          <w:szCs w:val="24"/>
        </w:rPr>
        <w:t xml:space="preserve"> also be used to prove whether or not the child knew right from wrong</w:t>
      </w:r>
      <w:r w:rsidR="00F66931" w:rsidRPr="00381CAF">
        <w:rPr>
          <w:rFonts w:ascii="Times New Roman" w:hAnsi="Times New Roman" w:cs="Times New Roman"/>
          <w:sz w:val="24"/>
          <w:szCs w:val="24"/>
        </w:rPr>
        <w:t>.</w:t>
      </w:r>
      <w:r w:rsidRPr="006E1CD3">
        <w:rPr>
          <w:rStyle w:val="FootnoteReference"/>
          <w:rFonts w:ascii="Times New Roman" w:hAnsi="Times New Roman" w:cs="Times New Roman"/>
        </w:rPr>
        <w:footnoteReference w:id="13"/>
      </w:r>
      <w:r w:rsidR="00F66931" w:rsidRPr="00381CAF">
        <w:rPr>
          <w:rFonts w:ascii="Times New Roman" w:hAnsi="Times New Roman"/>
          <w:sz w:val="24"/>
          <w:szCs w:val="24"/>
        </w:rPr>
        <w:t xml:space="preserve"> </w:t>
      </w:r>
      <w:r w:rsidR="00F66931" w:rsidRPr="00AF5A8E">
        <w:rPr>
          <w:rFonts w:ascii="Times New Roman" w:hAnsi="Times New Roman"/>
          <w:sz w:val="24"/>
          <w:szCs w:val="24"/>
        </w:rPr>
        <w:t xml:space="preserve">Thus if </w:t>
      </w:r>
      <w:r w:rsidR="00F66931">
        <w:rPr>
          <w:rFonts w:ascii="Times New Roman" w:hAnsi="Times New Roman"/>
          <w:sz w:val="24"/>
          <w:szCs w:val="24"/>
        </w:rPr>
        <w:t>the child</w:t>
      </w:r>
      <w:r w:rsidR="00F66931" w:rsidRPr="00AF5A8E">
        <w:rPr>
          <w:rFonts w:ascii="Times New Roman" w:hAnsi="Times New Roman"/>
          <w:sz w:val="24"/>
          <w:szCs w:val="24"/>
        </w:rPr>
        <w:t xml:space="preserve"> did not have </w:t>
      </w:r>
      <w:r w:rsidR="00F66931">
        <w:rPr>
          <w:rFonts w:ascii="Times New Roman" w:hAnsi="Times New Roman"/>
          <w:sz w:val="24"/>
          <w:szCs w:val="24"/>
        </w:rPr>
        <w:t>the capacity to</w:t>
      </w:r>
      <w:r w:rsidR="00F66931" w:rsidRPr="00AF5A8E">
        <w:rPr>
          <w:rFonts w:ascii="Times New Roman" w:hAnsi="Times New Roman"/>
          <w:sz w:val="24"/>
          <w:szCs w:val="24"/>
        </w:rPr>
        <w:t xml:space="preserve"> rationalis</w:t>
      </w:r>
      <w:r w:rsidR="00F66931">
        <w:rPr>
          <w:rFonts w:ascii="Times New Roman" w:hAnsi="Times New Roman"/>
          <w:sz w:val="24"/>
          <w:szCs w:val="24"/>
        </w:rPr>
        <w:t>e</w:t>
      </w:r>
      <w:r w:rsidR="00F66931" w:rsidRPr="00AF5A8E">
        <w:rPr>
          <w:rFonts w:ascii="Times New Roman" w:hAnsi="Times New Roman"/>
          <w:sz w:val="24"/>
          <w:szCs w:val="24"/>
        </w:rPr>
        <w:t>, decid</w:t>
      </w:r>
      <w:r w:rsidR="00F66931">
        <w:rPr>
          <w:rFonts w:ascii="Times New Roman" w:hAnsi="Times New Roman"/>
          <w:sz w:val="24"/>
          <w:szCs w:val="24"/>
        </w:rPr>
        <w:t>e</w:t>
      </w:r>
      <w:r w:rsidR="00F66931" w:rsidRPr="00AF5A8E">
        <w:rPr>
          <w:rFonts w:ascii="Times New Roman" w:hAnsi="Times New Roman"/>
          <w:sz w:val="24"/>
          <w:szCs w:val="24"/>
        </w:rPr>
        <w:t xml:space="preserve"> and freely choos</w:t>
      </w:r>
      <w:r w:rsidR="00F66931">
        <w:rPr>
          <w:rFonts w:ascii="Times New Roman" w:hAnsi="Times New Roman"/>
          <w:sz w:val="24"/>
          <w:szCs w:val="24"/>
        </w:rPr>
        <w:t>e</w:t>
      </w:r>
      <w:r w:rsidR="00F66931" w:rsidRPr="00AF5A8E">
        <w:rPr>
          <w:rFonts w:ascii="Times New Roman" w:hAnsi="Times New Roman"/>
          <w:sz w:val="24"/>
          <w:szCs w:val="24"/>
        </w:rPr>
        <w:t xml:space="preserve"> to act, then the </w:t>
      </w:r>
      <w:r w:rsidR="00F66931">
        <w:rPr>
          <w:rFonts w:ascii="Times New Roman" w:hAnsi="Times New Roman"/>
          <w:sz w:val="24"/>
          <w:szCs w:val="24"/>
        </w:rPr>
        <w:t>child could not</w:t>
      </w:r>
      <w:r w:rsidR="00F66931" w:rsidRPr="00AF5A8E">
        <w:rPr>
          <w:rFonts w:ascii="Times New Roman" w:hAnsi="Times New Roman"/>
          <w:sz w:val="24"/>
          <w:szCs w:val="24"/>
        </w:rPr>
        <w:t xml:space="preserve"> be held responsible.</w:t>
      </w:r>
      <w:r w:rsidR="00F66931">
        <w:rPr>
          <w:rFonts w:ascii="Times New Roman" w:hAnsi="Times New Roman"/>
          <w:sz w:val="24"/>
          <w:szCs w:val="24"/>
        </w:rPr>
        <w:t xml:space="preserve"> </w:t>
      </w:r>
      <w:r w:rsidR="00EB0A6D">
        <w:rPr>
          <w:rFonts w:ascii="Times New Roman" w:hAnsi="Times New Roman" w:cs="Times New Roman"/>
          <w:bCs/>
          <w:sz w:val="24"/>
          <w:szCs w:val="24"/>
        </w:rPr>
        <w:t xml:space="preserve">Section 34 of the Crime and Disorder Act 1998 abolished the presumption of </w:t>
      </w:r>
      <w:r w:rsidR="00EB0A6D">
        <w:rPr>
          <w:rFonts w:ascii="Times New Roman" w:hAnsi="Times New Roman" w:cs="Times New Roman"/>
          <w:bCs/>
          <w:i/>
          <w:sz w:val="24"/>
          <w:szCs w:val="24"/>
        </w:rPr>
        <w:t>doli incapax</w:t>
      </w:r>
      <w:r w:rsidR="00EB0A6D">
        <w:rPr>
          <w:rFonts w:ascii="Times New Roman" w:hAnsi="Times New Roman" w:cs="Times New Roman"/>
          <w:bCs/>
          <w:sz w:val="24"/>
          <w:szCs w:val="24"/>
        </w:rPr>
        <w:t xml:space="preserve"> however the abolition was not retrospective. </w:t>
      </w:r>
      <w:r w:rsidR="00FB6C6C">
        <w:rPr>
          <w:rFonts w:ascii="Times New Roman" w:hAnsi="Times New Roman" w:cs="Times New Roman"/>
          <w:sz w:val="24"/>
          <w:szCs w:val="24"/>
        </w:rPr>
        <w:t xml:space="preserve">The decision in </w:t>
      </w:r>
      <w:r w:rsidR="00FB6C6C">
        <w:rPr>
          <w:rFonts w:ascii="Times New Roman" w:hAnsi="Times New Roman" w:cs="Times New Roman"/>
          <w:i/>
          <w:sz w:val="24"/>
          <w:szCs w:val="24"/>
        </w:rPr>
        <w:t xml:space="preserve">M </w:t>
      </w:r>
      <w:r w:rsidR="00FB6C6C">
        <w:rPr>
          <w:rFonts w:ascii="Times New Roman" w:hAnsi="Times New Roman" w:cs="Times New Roman"/>
          <w:sz w:val="24"/>
          <w:szCs w:val="24"/>
        </w:rPr>
        <w:t xml:space="preserve">which disregards the relevance of </w:t>
      </w:r>
      <w:r w:rsidR="0095261F">
        <w:rPr>
          <w:rFonts w:ascii="Times New Roman" w:hAnsi="Times New Roman" w:cs="Times New Roman"/>
          <w:sz w:val="24"/>
          <w:szCs w:val="24"/>
        </w:rPr>
        <w:t xml:space="preserve">the presumption of </w:t>
      </w:r>
      <w:r w:rsidR="00FB6C6C" w:rsidRPr="007226ED">
        <w:rPr>
          <w:rFonts w:ascii="Times New Roman" w:hAnsi="Times New Roman" w:cs="Times New Roman"/>
          <w:i/>
          <w:sz w:val="24"/>
          <w:szCs w:val="24"/>
        </w:rPr>
        <w:t>doli incapax</w:t>
      </w:r>
      <w:r w:rsidR="00FB6C6C">
        <w:rPr>
          <w:rFonts w:ascii="Times New Roman" w:hAnsi="Times New Roman" w:cs="Times New Roman"/>
          <w:sz w:val="24"/>
          <w:szCs w:val="24"/>
        </w:rPr>
        <w:t xml:space="preserve"> renders the child as a competent social actor with capacity to exercise agency and understand criminality and </w:t>
      </w:r>
      <w:r w:rsidR="0047735F">
        <w:rPr>
          <w:rFonts w:ascii="Times New Roman" w:hAnsi="Times New Roman" w:cs="Times New Roman"/>
          <w:sz w:val="24"/>
          <w:szCs w:val="24"/>
        </w:rPr>
        <w:t>the long-term consequences of his</w:t>
      </w:r>
      <w:r w:rsidR="00FB6C6C">
        <w:rPr>
          <w:rFonts w:ascii="Times New Roman" w:hAnsi="Times New Roman" w:cs="Times New Roman"/>
          <w:sz w:val="24"/>
          <w:szCs w:val="24"/>
        </w:rPr>
        <w:t xml:space="preserve"> behaviour. The next sections will consider whether</w:t>
      </w:r>
      <w:r w:rsidR="0047735F">
        <w:rPr>
          <w:rFonts w:ascii="Times New Roman" w:hAnsi="Times New Roman" w:cs="Times New Roman"/>
          <w:sz w:val="24"/>
          <w:szCs w:val="24"/>
        </w:rPr>
        <w:t>, in the absence of any consideration of</w:t>
      </w:r>
      <w:r w:rsidR="0095261F">
        <w:rPr>
          <w:rFonts w:ascii="Times New Roman" w:hAnsi="Times New Roman" w:cs="Times New Roman"/>
          <w:sz w:val="24"/>
          <w:szCs w:val="24"/>
        </w:rPr>
        <w:t xml:space="preserve"> the presumption of</w:t>
      </w:r>
      <w:r w:rsidR="0047735F">
        <w:rPr>
          <w:rFonts w:ascii="Times New Roman" w:hAnsi="Times New Roman" w:cs="Times New Roman"/>
          <w:sz w:val="24"/>
          <w:szCs w:val="24"/>
        </w:rPr>
        <w:t xml:space="preserve"> </w:t>
      </w:r>
      <w:r w:rsidR="0047735F">
        <w:rPr>
          <w:rFonts w:ascii="Times New Roman" w:hAnsi="Times New Roman" w:cs="Times New Roman"/>
          <w:i/>
          <w:sz w:val="24"/>
          <w:szCs w:val="24"/>
        </w:rPr>
        <w:t>doli incapax</w:t>
      </w:r>
      <w:r w:rsidR="0047735F">
        <w:rPr>
          <w:rFonts w:ascii="Times New Roman" w:hAnsi="Times New Roman" w:cs="Times New Roman"/>
          <w:sz w:val="24"/>
          <w:szCs w:val="24"/>
        </w:rPr>
        <w:t>,</w:t>
      </w:r>
      <w:r w:rsidR="00FB6C6C">
        <w:rPr>
          <w:rFonts w:ascii="Times New Roman" w:hAnsi="Times New Roman" w:cs="Times New Roman"/>
          <w:sz w:val="24"/>
          <w:szCs w:val="24"/>
        </w:rPr>
        <w:t xml:space="preserve"> the Criminal Justice Act 2003 provides </w:t>
      </w:r>
      <w:r w:rsidR="00EA2054">
        <w:rPr>
          <w:rFonts w:ascii="Times New Roman" w:hAnsi="Times New Roman" w:cs="Times New Roman"/>
          <w:sz w:val="24"/>
          <w:szCs w:val="24"/>
        </w:rPr>
        <w:t>satisfactory</w:t>
      </w:r>
      <w:r w:rsidR="00FB6C6C">
        <w:rPr>
          <w:rFonts w:ascii="Times New Roman" w:hAnsi="Times New Roman" w:cs="Times New Roman"/>
          <w:sz w:val="24"/>
          <w:szCs w:val="24"/>
        </w:rPr>
        <w:t xml:space="preserve"> safeguards to protect </w:t>
      </w:r>
      <w:r w:rsidR="00F66931" w:rsidRPr="00524C64">
        <w:rPr>
          <w:rFonts w:ascii="Times New Roman" w:eastAsia="Times New Roman" w:hAnsi="Times New Roman" w:cs="Times New Roman"/>
          <w:sz w:val="24"/>
          <w:szCs w:val="24"/>
        </w:rPr>
        <w:t>children between the ag</w:t>
      </w:r>
      <w:r w:rsidR="00F66931">
        <w:rPr>
          <w:rFonts w:ascii="Times New Roman" w:eastAsia="Times New Roman" w:hAnsi="Times New Roman" w:cs="Times New Roman"/>
          <w:sz w:val="24"/>
          <w:szCs w:val="24"/>
        </w:rPr>
        <w:t>es of 10 and 14</w:t>
      </w:r>
      <w:r w:rsidR="00F66931" w:rsidRPr="00524C64">
        <w:rPr>
          <w:rFonts w:ascii="Times New Roman" w:eastAsia="Times New Roman" w:hAnsi="Times New Roman" w:cs="Times New Roman"/>
          <w:sz w:val="24"/>
          <w:szCs w:val="24"/>
        </w:rPr>
        <w:t xml:space="preserve"> </w:t>
      </w:r>
      <w:r w:rsidR="00F66931">
        <w:rPr>
          <w:rFonts w:ascii="Times New Roman" w:eastAsia="Times New Roman" w:hAnsi="Times New Roman" w:cs="Times New Roman"/>
          <w:sz w:val="24"/>
          <w:szCs w:val="24"/>
        </w:rPr>
        <w:t xml:space="preserve">against punishment where the </w:t>
      </w:r>
      <w:r w:rsidR="00F66931" w:rsidRPr="00524C64">
        <w:rPr>
          <w:rFonts w:ascii="Times New Roman" w:eastAsia="Times New Roman" w:hAnsi="Times New Roman" w:cs="Times New Roman"/>
          <w:sz w:val="24"/>
          <w:szCs w:val="24"/>
        </w:rPr>
        <w:t xml:space="preserve">child had not yet become a rational or moral agent. </w:t>
      </w:r>
    </w:p>
    <w:p w14:paraId="1D10AE82" w14:textId="77777777" w:rsidR="00F66931" w:rsidRDefault="00F66931" w:rsidP="00C736D4"/>
    <w:p w14:paraId="24037C28" w14:textId="77777777" w:rsidR="00C736D4" w:rsidRPr="000A339D" w:rsidRDefault="00C736D4" w:rsidP="00B00467">
      <w:pPr>
        <w:autoSpaceDE w:val="0"/>
        <w:autoSpaceDN w:val="0"/>
        <w:adjustRightInd w:val="0"/>
        <w:spacing w:after="0" w:line="480" w:lineRule="auto"/>
        <w:jc w:val="both"/>
        <w:outlineLvl w:val="0"/>
        <w:rPr>
          <w:rFonts w:ascii="Times New Roman" w:hAnsi="Times New Roman" w:cs="Times New Roman"/>
          <w:b/>
          <w:sz w:val="24"/>
          <w:szCs w:val="24"/>
        </w:rPr>
      </w:pPr>
      <w:r w:rsidRPr="001C7829">
        <w:rPr>
          <w:rFonts w:ascii="Times New Roman" w:hAnsi="Times New Roman" w:cs="Times New Roman"/>
          <w:b/>
          <w:sz w:val="24"/>
          <w:szCs w:val="24"/>
        </w:rPr>
        <w:t>BCE: The Relevant Law</w:t>
      </w:r>
    </w:p>
    <w:p w14:paraId="183AF9FB" w14:textId="19D6494C" w:rsidR="00C736D4" w:rsidRDefault="00C736D4" w:rsidP="00C736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Criminal Justice Act 2003 brought to bear a comprehensive consolidation of the law </w:t>
      </w:r>
      <w:r w:rsidR="00FB6C6C">
        <w:rPr>
          <w:rFonts w:ascii="Times New Roman" w:hAnsi="Times New Roman" w:cs="Times New Roman"/>
          <w:sz w:val="24"/>
          <w:szCs w:val="24"/>
        </w:rPr>
        <w:t xml:space="preserve">regulating BCE’s admissibility </w:t>
      </w:r>
      <w:r>
        <w:rPr>
          <w:rFonts w:ascii="Times New Roman" w:hAnsi="Times New Roman" w:cs="Times New Roman"/>
          <w:sz w:val="24"/>
          <w:szCs w:val="24"/>
        </w:rPr>
        <w:t>and took a major step away from the pre-2003 Act prohi</w:t>
      </w:r>
      <w:r w:rsidR="00DD5201">
        <w:rPr>
          <w:rFonts w:ascii="Times New Roman" w:hAnsi="Times New Roman" w:cs="Times New Roman"/>
          <w:sz w:val="24"/>
          <w:szCs w:val="24"/>
        </w:rPr>
        <w:t>bition on propensity reasoning, in an explicit sense at least</w:t>
      </w:r>
      <w:r w:rsidRPr="00E9648E">
        <w:rPr>
          <w:rFonts w:ascii="Times New Roman" w:hAnsi="Times New Roman" w:cs="Times New Roman"/>
          <w:sz w:val="24"/>
          <w:szCs w:val="24"/>
        </w:rPr>
        <w:t>.</w:t>
      </w:r>
      <w:r w:rsidR="001B6DCA">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The reforms were, in part, designed to rebalance the criminal justice system in favour of the victim and </w:t>
      </w:r>
      <w:r w:rsidR="0047735F">
        <w:rPr>
          <w:rFonts w:ascii="Times New Roman" w:hAnsi="Times New Roman" w:cs="Times New Roman"/>
          <w:sz w:val="24"/>
          <w:szCs w:val="24"/>
        </w:rPr>
        <w:t xml:space="preserve">to recognise that </w:t>
      </w:r>
      <w:r>
        <w:rPr>
          <w:rFonts w:ascii="Times New Roman" w:hAnsi="Times New Roman" w:cs="Times New Roman"/>
          <w:sz w:val="24"/>
          <w:szCs w:val="24"/>
        </w:rPr>
        <w:t>propensity evidence has some probative value in demonstrating relevant behavioural dispositions</w:t>
      </w:r>
      <w:r w:rsidRPr="00D22001">
        <w:rPr>
          <w:rFonts w:ascii="Times New Roman" w:hAnsi="Times New Roman" w:cs="Times New Roman"/>
          <w:sz w:val="24"/>
          <w:szCs w:val="24"/>
        </w:rPr>
        <w:t>.</w:t>
      </w:r>
      <w:r w:rsidR="001B6DCA">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Where evidence is BCE for the purposes of the 2003 Act, it must satisfy the requirements in one of the seven ‘gateways to admissibility’ found within s101(1) of the 2003 Act before it can be admitted into evidence at trial</w:t>
      </w:r>
      <w:r w:rsidR="009F1CD9">
        <w:rPr>
          <w:rFonts w:ascii="Times New Roman" w:hAnsi="Times New Roman" w:cs="Times New Roman"/>
          <w:sz w:val="24"/>
          <w:szCs w:val="24"/>
        </w:rPr>
        <w:t xml:space="preserve"> for the prosecution</w:t>
      </w:r>
      <w:r w:rsidRPr="00381CAF">
        <w:rPr>
          <w:rFonts w:ascii="Times New Roman" w:hAnsi="Times New Roman" w:cs="Times New Roman"/>
          <w:sz w:val="24"/>
          <w:szCs w:val="24"/>
        </w:rPr>
        <w:t>.</w:t>
      </w:r>
      <w:r w:rsidR="001B6DCA" w:rsidRPr="006E1CD3">
        <w:rPr>
          <w:rStyle w:val="FootnoteReference"/>
          <w:rFonts w:ascii="Times New Roman" w:hAnsi="Times New Roman" w:cs="Times New Roman"/>
        </w:rPr>
        <w:footnoteReference w:id="16"/>
      </w:r>
      <w:r>
        <w:rPr>
          <w:rFonts w:ascii="Times New Roman" w:hAnsi="Times New Roman" w:cs="Times New Roman"/>
          <w:sz w:val="24"/>
          <w:szCs w:val="24"/>
        </w:rPr>
        <w:t xml:space="preserve"> The relevant gateways to admissibility referenced in the case of </w:t>
      </w:r>
      <w:r>
        <w:rPr>
          <w:rFonts w:ascii="Times New Roman" w:hAnsi="Times New Roman" w:cs="Times New Roman"/>
          <w:i/>
          <w:sz w:val="24"/>
          <w:szCs w:val="24"/>
        </w:rPr>
        <w:t>M</w:t>
      </w:r>
      <w:r>
        <w:rPr>
          <w:rFonts w:ascii="Times New Roman" w:hAnsi="Times New Roman" w:cs="Times New Roman"/>
          <w:sz w:val="24"/>
          <w:szCs w:val="24"/>
        </w:rPr>
        <w:t xml:space="preserve"> were </w:t>
      </w:r>
      <w:r w:rsidR="00C637B4">
        <w:rPr>
          <w:rFonts w:ascii="Times New Roman" w:hAnsi="Times New Roman" w:cs="Times New Roman"/>
          <w:sz w:val="24"/>
          <w:szCs w:val="24"/>
        </w:rPr>
        <w:t>s101(1)(1)(c)</w:t>
      </w:r>
      <w:r w:rsidR="00934A7B">
        <w:rPr>
          <w:rFonts w:ascii="Times New Roman" w:hAnsi="Times New Roman" w:cs="Times New Roman"/>
          <w:sz w:val="24"/>
          <w:szCs w:val="24"/>
        </w:rPr>
        <w:t xml:space="preserve"> and (d). S101(1)(c)</w:t>
      </w:r>
      <w:r w:rsidR="00C637B4">
        <w:rPr>
          <w:rFonts w:ascii="Times New Roman" w:hAnsi="Times New Roman" w:cs="Times New Roman"/>
          <w:sz w:val="24"/>
          <w:szCs w:val="24"/>
        </w:rPr>
        <w:t xml:space="preserve"> allows for </w:t>
      </w:r>
      <w:r w:rsidR="00C40FBA">
        <w:rPr>
          <w:rFonts w:ascii="Times New Roman" w:hAnsi="Times New Roman" w:cs="Times New Roman"/>
          <w:sz w:val="24"/>
          <w:szCs w:val="24"/>
        </w:rPr>
        <w:t>‘important explanatory’</w:t>
      </w:r>
      <w:r w:rsidR="00934A7B">
        <w:rPr>
          <w:rFonts w:ascii="Times New Roman" w:hAnsi="Times New Roman" w:cs="Times New Roman"/>
          <w:sz w:val="24"/>
          <w:szCs w:val="24"/>
        </w:rPr>
        <w:t xml:space="preserve"> </w:t>
      </w:r>
      <w:r w:rsidR="00C637B4">
        <w:rPr>
          <w:rFonts w:ascii="Times New Roman" w:hAnsi="Times New Roman" w:cs="Times New Roman"/>
          <w:sz w:val="24"/>
          <w:szCs w:val="24"/>
        </w:rPr>
        <w:t>BCE to be admissible where the jury would find it</w:t>
      </w:r>
      <w:r w:rsidR="00C553D3">
        <w:rPr>
          <w:rFonts w:ascii="Times New Roman" w:hAnsi="Times New Roman" w:cs="Times New Roman"/>
          <w:sz w:val="24"/>
          <w:szCs w:val="24"/>
        </w:rPr>
        <w:t xml:space="preserve"> difficult or</w:t>
      </w:r>
      <w:r w:rsidR="00C637B4">
        <w:rPr>
          <w:rFonts w:ascii="Times New Roman" w:hAnsi="Times New Roman" w:cs="Times New Roman"/>
          <w:sz w:val="24"/>
          <w:szCs w:val="24"/>
        </w:rPr>
        <w:t xml:space="preserve"> impossible to achieve a holistic understanding of the ca</w:t>
      </w:r>
      <w:r w:rsidR="00381CAF">
        <w:rPr>
          <w:rFonts w:ascii="Times New Roman" w:hAnsi="Times New Roman" w:cs="Times New Roman"/>
          <w:sz w:val="24"/>
          <w:szCs w:val="24"/>
        </w:rPr>
        <w:t>se at hand without the BCE</w:t>
      </w:r>
      <w:r w:rsidR="003E6B4A">
        <w:rPr>
          <w:rFonts w:ascii="Times New Roman" w:hAnsi="Times New Roman" w:cs="Times New Roman"/>
          <w:sz w:val="24"/>
          <w:szCs w:val="24"/>
        </w:rPr>
        <w:t xml:space="preserve"> </w:t>
      </w:r>
      <w:r w:rsidR="00934A7B">
        <w:rPr>
          <w:rFonts w:ascii="Times New Roman" w:hAnsi="Times New Roman" w:cs="Times New Roman"/>
          <w:sz w:val="24"/>
          <w:szCs w:val="24"/>
        </w:rPr>
        <w:t>and this has substantial value for un</w:t>
      </w:r>
      <w:r w:rsidR="003E6B4A">
        <w:rPr>
          <w:rFonts w:ascii="Times New Roman" w:hAnsi="Times New Roman" w:cs="Times New Roman"/>
          <w:sz w:val="24"/>
          <w:szCs w:val="24"/>
        </w:rPr>
        <w:t>derstanding the case as a whole. S</w:t>
      </w:r>
      <w:r>
        <w:rPr>
          <w:rFonts w:ascii="Times New Roman" w:hAnsi="Times New Roman" w:cs="Times New Roman"/>
          <w:sz w:val="24"/>
          <w:szCs w:val="24"/>
        </w:rPr>
        <w:t xml:space="preserve">101(1)(1)(d) allows for admission where the evidence of misconduct </w:t>
      </w:r>
      <w:r w:rsidR="00C553D3">
        <w:rPr>
          <w:rFonts w:ascii="Times New Roman" w:hAnsi="Times New Roman" w:cs="Times New Roman"/>
          <w:sz w:val="24"/>
          <w:szCs w:val="24"/>
        </w:rPr>
        <w:t>relates</w:t>
      </w:r>
      <w:r>
        <w:rPr>
          <w:rFonts w:ascii="Times New Roman" w:hAnsi="Times New Roman" w:cs="Times New Roman"/>
          <w:sz w:val="24"/>
          <w:szCs w:val="24"/>
        </w:rPr>
        <w:t xml:space="preserve"> to an important matter in issue between the defendant and the pro</w:t>
      </w:r>
      <w:r w:rsidR="00C637B4">
        <w:rPr>
          <w:rFonts w:ascii="Times New Roman" w:hAnsi="Times New Roman" w:cs="Times New Roman"/>
          <w:sz w:val="24"/>
          <w:szCs w:val="24"/>
        </w:rPr>
        <w:t>secution.</w:t>
      </w:r>
      <w:r w:rsidR="0031408B">
        <w:rPr>
          <w:rFonts w:ascii="Times New Roman" w:hAnsi="Times New Roman" w:cs="Times New Roman"/>
          <w:sz w:val="24"/>
          <w:szCs w:val="24"/>
        </w:rPr>
        <w:t xml:space="preserve"> </w:t>
      </w:r>
      <w:r>
        <w:rPr>
          <w:rFonts w:ascii="Times New Roman" w:hAnsi="Times New Roman" w:cs="Times New Roman"/>
          <w:sz w:val="24"/>
          <w:szCs w:val="24"/>
        </w:rPr>
        <w:t xml:space="preserve">The BCE that the prosecution successfully applied to admit into trial in </w:t>
      </w:r>
      <w:r>
        <w:rPr>
          <w:rFonts w:ascii="Times New Roman" w:hAnsi="Times New Roman" w:cs="Times New Roman"/>
          <w:i/>
          <w:sz w:val="24"/>
          <w:szCs w:val="24"/>
        </w:rPr>
        <w:t xml:space="preserve">M </w:t>
      </w:r>
      <w:r>
        <w:rPr>
          <w:rFonts w:ascii="Times New Roman" w:hAnsi="Times New Roman" w:cs="Times New Roman"/>
          <w:sz w:val="24"/>
          <w:szCs w:val="24"/>
        </w:rPr>
        <w:t>was as follows:</w:t>
      </w:r>
    </w:p>
    <w:p w14:paraId="2994E295" w14:textId="3062C754" w:rsidR="00C736D4" w:rsidRDefault="00C736D4" w:rsidP="00C736D4">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Lego Incident’:</w:t>
      </w:r>
      <w:r w:rsidR="001B6DCA" w:rsidRPr="006E1CD3">
        <w:rPr>
          <w:rStyle w:val="FootnoteReference"/>
          <w:rFonts w:ascii="Times New Roman" w:hAnsi="Times New Roman" w:cs="Times New Roman"/>
        </w:rPr>
        <w:footnoteReference w:id="17"/>
      </w:r>
      <w:r>
        <w:rPr>
          <w:rFonts w:ascii="Times New Roman" w:hAnsi="Times New Roman" w:cs="Times New Roman"/>
          <w:sz w:val="24"/>
          <w:szCs w:val="24"/>
        </w:rPr>
        <w:t xml:space="preserve"> While C, approximately 7 years old</w:t>
      </w:r>
      <w:r w:rsidR="006C201E">
        <w:rPr>
          <w:rFonts w:ascii="Times New Roman" w:hAnsi="Times New Roman" w:cs="Times New Roman"/>
          <w:sz w:val="24"/>
          <w:szCs w:val="24"/>
        </w:rPr>
        <w:t xml:space="preserve"> (in 1994)</w:t>
      </w:r>
      <w:r>
        <w:rPr>
          <w:rFonts w:ascii="Times New Roman" w:hAnsi="Times New Roman" w:cs="Times New Roman"/>
          <w:sz w:val="24"/>
          <w:szCs w:val="24"/>
        </w:rPr>
        <w:t xml:space="preserve">, was playing with Lego, </w:t>
      </w:r>
      <w:r w:rsidR="0047735F">
        <w:rPr>
          <w:rFonts w:ascii="Times New Roman" w:hAnsi="Times New Roman" w:cs="Times New Roman"/>
          <w:sz w:val="24"/>
          <w:szCs w:val="24"/>
        </w:rPr>
        <w:t>M</w:t>
      </w:r>
      <w:r>
        <w:rPr>
          <w:rFonts w:ascii="Times New Roman" w:hAnsi="Times New Roman" w:cs="Times New Roman"/>
          <w:sz w:val="24"/>
          <w:szCs w:val="24"/>
        </w:rPr>
        <w:t xml:space="preserve"> had attempted to persuade C to get under a blanket with him. He requested that she kiss him ‘with tongues’, and she did so. He then requested that she play with his genitals, and she refused. </w:t>
      </w:r>
      <w:r w:rsidR="0047735F">
        <w:rPr>
          <w:rFonts w:ascii="Times New Roman" w:hAnsi="Times New Roman" w:cs="Times New Roman"/>
          <w:sz w:val="24"/>
          <w:szCs w:val="24"/>
        </w:rPr>
        <w:t>M</w:t>
      </w:r>
      <w:r>
        <w:rPr>
          <w:rFonts w:ascii="Times New Roman" w:hAnsi="Times New Roman" w:cs="Times New Roman"/>
          <w:sz w:val="24"/>
          <w:szCs w:val="24"/>
        </w:rPr>
        <w:t xml:space="preserve"> then chased her upstairs where she tripped and sustained an injury to her eye. </w:t>
      </w:r>
      <w:r w:rsidR="0047735F">
        <w:rPr>
          <w:rFonts w:ascii="Times New Roman" w:hAnsi="Times New Roman" w:cs="Times New Roman"/>
          <w:sz w:val="24"/>
          <w:szCs w:val="24"/>
        </w:rPr>
        <w:t>M</w:t>
      </w:r>
      <w:r>
        <w:rPr>
          <w:rFonts w:ascii="Times New Roman" w:hAnsi="Times New Roman" w:cs="Times New Roman"/>
          <w:sz w:val="24"/>
          <w:szCs w:val="24"/>
        </w:rPr>
        <w:t xml:space="preserve"> told C to deny anything happened between them, should she be questioned about this</w:t>
      </w:r>
      <w:r w:rsidRPr="00381CAF">
        <w:rPr>
          <w:rFonts w:ascii="Times New Roman" w:hAnsi="Times New Roman" w:cs="Times New Roman"/>
          <w:sz w:val="24"/>
          <w:szCs w:val="24"/>
        </w:rPr>
        <w:t>;</w:t>
      </w:r>
    </w:p>
    <w:p w14:paraId="4FC54425" w14:textId="19E1E96A" w:rsidR="00C736D4" w:rsidRPr="00381CAF" w:rsidRDefault="00C736D4" w:rsidP="00C736D4">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‘The Swimming Baths Incident’:</w:t>
      </w:r>
      <w:r w:rsidR="001B6DCA" w:rsidRPr="001B6DCA">
        <w:rPr>
          <w:rStyle w:val="FootnoteReference"/>
          <w:rFonts w:ascii="Times New Roman" w:hAnsi="Times New Roman" w:cs="Times New Roman"/>
        </w:rPr>
        <w:t xml:space="preserve"> </w:t>
      </w:r>
      <w:r w:rsidR="001B6DCA" w:rsidRPr="006E1CD3">
        <w:rPr>
          <w:rStyle w:val="FootnoteReference"/>
          <w:rFonts w:ascii="Times New Roman" w:hAnsi="Times New Roman" w:cs="Times New Roman"/>
        </w:rPr>
        <w:footnoteReference w:id="18"/>
      </w:r>
      <w:r w:rsidR="001B6DCA">
        <w:rPr>
          <w:rFonts w:ascii="Times New Roman" w:hAnsi="Times New Roman" w:cs="Times New Roman"/>
          <w:sz w:val="24"/>
          <w:szCs w:val="24"/>
        </w:rPr>
        <w:t xml:space="preserve"> </w:t>
      </w:r>
      <w:r>
        <w:rPr>
          <w:rFonts w:ascii="Times New Roman" w:hAnsi="Times New Roman" w:cs="Times New Roman"/>
          <w:sz w:val="24"/>
          <w:szCs w:val="24"/>
        </w:rPr>
        <w:t>C, approximately 9 years old</w:t>
      </w:r>
      <w:r w:rsidR="006C201E">
        <w:rPr>
          <w:rFonts w:ascii="Times New Roman" w:hAnsi="Times New Roman" w:cs="Times New Roman"/>
          <w:sz w:val="24"/>
          <w:szCs w:val="24"/>
        </w:rPr>
        <w:t xml:space="preserve"> (in 1996)</w:t>
      </w:r>
      <w:r>
        <w:rPr>
          <w:rFonts w:ascii="Times New Roman" w:hAnsi="Times New Roman" w:cs="Times New Roman"/>
          <w:sz w:val="24"/>
          <w:szCs w:val="24"/>
        </w:rPr>
        <w:t xml:space="preserve">, was at the swimming baths with </w:t>
      </w:r>
      <w:r w:rsidR="0047735F">
        <w:rPr>
          <w:rFonts w:ascii="Times New Roman" w:hAnsi="Times New Roman" w:cs="Times New Roman"/>
          <w:sz w:val="24"/>
          <w:szCs w:val="24"/>
        </w:rPr>
        <w:t>M</w:t>
      </w:r>
      <w:r>
        <w:rPr>
          <w:rFonts w:ascii="Times New Roman" w:hAnsi="Times New Roman" w:cs="Times New Roman"/>
          <w:sz w:val="24"/>
          <w:szCs w:val="24"/>
        </w:rPr>
        <w:t xml:space="preserve">, who insisted that they share a cubicle. </w:t>
      </w:r>
      <w:r w:rsidR="0047735F">
        <w:rPr>
          <w:rFonts w:ascii="Times New Roman" w:hAnsi="Times New Roman" w:cs="Times New Roman"/>
          <w:sz w:val="24"/>
          <w:szCs w:val="24"/>
        </w:rPr>
        <w:t>M</w:t>
      </w:r>
      <w:r>
        <w:rPr>
          <w:rFonts w:ascii="Times New Roman" w:hAnsi="Times New Roman" w:cs="Times New Roman"/>
          <w:sz w:val="24"/>
          <w:szCs w:val="24"/>
        </w:rPr>
        <w:t xml:space="preserve"> inserted his fingers into C’s vagina which caused her pain. He then threatened to do so again if she did not agree to perform oral sex upon him. She did so, in order to avoid further digital penetration</w:t>
      </w:r>
      <w:r w:rsidR="0047735F">
        <w:rPr>
          <w:rFonts w:ascii="Times New Roman" w:hAnsi="Times New Roman" w:cs="Times New Roman"/>
          <w:sz w:val="24"/>
          <w:szCs w:val="24"/>
        </w:rPr>
        <w:t>.</w:t>
      </w:r>
    </w:p>
    <w:p w14:paraId="5DD42D5C" w14:textId="1D5B49A1" w:rsidR="00167AA3" w:rsidRDefault="00C736D4" w:rsidP="00A7531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 xml:space="preserve">M </w:t>
      </w:r>
      <w:r>
        <w:rPr>
          <w:rFonts w:ascii="Times New Roman" w:hAnsi="Times New Roman" w:cs="Times New Roman"/>
          <w:sz w:val="24"/>
          <w:szCs w:val="24"/>
        </w:rPr>
        <w:t xml:space="preserve">the prosecution alleged that the combined effect of the two incidents of BCE were that they demonstrated a propensity towards sexual assault, and more specifically, ‘a propensity to behave in this way towards his </w:t>
      </w:r>
      <w:r w:rsidRPr="00381CAF">
        <w:rPr>
          <w:rFonts w:ascii="Times New Roman" w:hAnsi="Times New Roman" w:cs="Times New Roman"/>
          <w:sz w:val="24"/>
          <w:szCs w:val="24"/>
        </w:rPr>
        <w:t>sister’</w:t>
      </w:r>
      <w:r w:rsidR="00381CAF" w:rsidRPr="00381CAF">
        <w:rPr>
          <w:rFonts w:ascii="Times New Roman" w:hAnsi="Times New Roman" w:cs="Times New Roman"/>
          <w:sz w:val="24"/>
          <w:szCs w:val="24"/>
        </w:rPr>
        <w:t>.</w:t>
      </w:r>
      <w:r w:rsidR="001B6DCA" w:rsidRPr="006E1CD3">
        <w:rPr>
          <w:rStyle w:val="FootnoteReference"/>
          <w:rFonts w:ascii="Times New Roman" w:hAnsi="Times New Roman" w:cs="Times New Roman"/>
        </w:rPr>
        <w:footnoteReference w:id="19"/>
      </w:r>
      <w:r>
        <w:rPr>
          <w:rFonts w:ascii="Times New Roman" w:hAnsi="Times New Roman" w:cs="Times New Roman"/>
          <w:sz w:val="24"/>
          <w:szCs w:val="24"/>
        </w:rPr>
        <w:t xml:space="preserve"> It was also argued that if the evidence was held to be incapable of showing a relevant propensity thereby satisfying gateway (d), it should still be admissible through gateway (c) as important explanatory evidence</w:t>
      </w:r>
      <w:r w:rsidR="00A75311">
        <w:rPr>
          <w:rFonts w:ascii="Times New Roman" w:hAnsi="Times New Roman" w:cs="Times New Roman"/>
          <w:sz w:val="24"/>
          <w:szCs w:val="24"/>
        </w:rPr>
        <w:t>.</w:t>
      </w:r>
      <w:r w:rsidR="00A75311" w:rsidRPr="006E1CD3">
        <w:rPr>
          <w:rStyle w:val="FootnoteReference"/>
          <w:rFonts w:ascii="Times New Roman" w:hAnsi="Times New Roman" w:cs="Times New Roman"/>
        </w:rPr>
        <w:footnoteReference w:id="20"/>
      </w:r>
    </w:p>
    <w:p w14:paraId="4E75691A" w14:textId="2C8637A1" w:rsidR="00C736D4" w:rsidRDefault="00C736D4" w:rsidP="00E622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judge at first instance </w:t>
      </w:r>
      <w:r w:rsidR="00B21DA1">
        <w:rPr>
          <w:rFonts w:ascii="Times New Roman" w:hAnsi="Times New Roman" w:cs="Times New Roman"/>
          <w:sz w:val="24"/>
          <w:szCs w:val="24"/>
        </w:rPr>
        <w:t>agreed</w:t>
      </w:r>
      <w:r>
        <w:rPr>
          <w:rFonts w:ascii="Times New Roman" w:hAnsi="Times New Roman" w:cs="Times New Roman"/>
          <w:sz w:val="24"/>
          <w:szCs w:val="24"/>
        </w:rPr>
        <w:t xml:space="preserve"> that the two instances were admissible under both gateways (c) and (d)</w:t>
      </w:r>
      <w:r w:rsidR="00A75311">
        <w:rPr>
          <w:rFonts w:ascii="Times New Roman" w:hAnsi="Times New Roman" w:cs="Times New Roman"/>
          <w:sz w:val="24"/>
          <w:szCs w:val="24"/>
        </w:rPr>
        <w:t>.</w:t>
      </w:r>
      <w:r w:rsidR="00A75311" w:rsidRPr="006E1CD3">
        <w:rPr>
          <w:rStyle w:val="FootnoteReference"/>
          <w:rFonts w:ascii="Times New Roman" w:hAnsi="Times New Roman" w:cs="Times New Roman"/>
        </w:rPr>
        <w:footnoteReference w:id="21"/>
      </w:r>
      <w:r w:rsidR="004B4F7B">
        <w:rPr>
          <w:rFonts w:ascii="Times New Roman" w:hAnsi="Times New Roman" w:cs="Times New Roman"/>
          <w:sz w:val="24"/>
          <w:szCs w:val="24"/>
        </w:rPr>
        <w:t xml:space="preserve"> This was undoubtedly evidence of bad character that </w:t>
      </w:r>
      <w:r w:rsidR="004B4F7B">
        <w:rPr>
          <w:rFonts w:ascii="Times New Roman" w:hAnsi="Times New Roman" w:cs="Times New Roman"/>
          <w:i/>
          <w:sz w:val="24"/>
          <w:szCs w:val="24"/>
        </w:rPr>
        <w:t xml:space="preserve">could </w:t>
      </w:r>
      <w:r w:rsidR="005256AD">
        <w:rPr>
          <w:rFonts w:ascii="Times New Roman" w:hAnsi="Times New Roman" w:cs="Times New Roman"/>
          <w:sz w:val="24"/>
          <w:szCs w:val="24"/>
        </w:rPr>
        <w:t>feasibly have been admissible</w:t>
      </w:r>
      <w:r w:rsidR="004B4F7B">
        <w:rPr>
          <w:rFonts w:ascii="Times New Roman" w:hAnsi="Times New Roman" w:cs="Times New Roman"/>
          <w:sz w:val="24"/>
          <w:szCs w:val="24"/>
        </w:rPr>
        <w:t xml:space="preserve"> under </w:t>
      </w:r>
      <w:r w:rsidR="005256AD">
        <w:rPr>
          <w:rFonts w:ascii="Times New Roman" w:hAnsi="Times New Roman" w:cs="Times New Roman"/>
          <w:sz w:val="24"/>
          <w:szCs w:val="24"/>
        </w:rPr>
        <w:t>each</w:t>
      </w:r>
      <w:r w:rsidR="004B4F7B">
        <w:rPr>
          <w:rFonts w:ascii="Times New Roman" w:hAnsi="Times New Roman" w:cs="Times New Roman"/>
          <w:sz w:val="24"/>
          <w:szCs w:val="24"/>
        </w:rPr>
        <w:t xml:space="preserve"> gateway, however allowing for admissibility under multiple gateways </w:t>
      </w:r>
      <w:r w:rsidR="005256AD">
        <w:rPr>
          <w:rFonts w:ascii="Times New Roman" w:hAnsi="Times New Roman" w:cs="Times New Roman"/>
          <w:sz w:val="24"/>
          <w:szCs w:val="24"/>
        </w:rPr>
        <w:t xml:space="preserve">at once </w:t>
      </w:r>
      <w:r w:rsidR="004B4F7B">
        <w:rPr>
          <w:rFonts w:ascii="Times New Roman" w:hAnsi="Times New Roman" w:cs="Times New Roman"/>
          <w:sz w:val="24"/>
          <w:szCs w:val="24"/>
        </w:rPr>
        <w:t xml:space="preserve">poses a number of issues, not least because </w:t>
      </w:r>
      <w:r w:rsidR="005256AD">
        <w:rPr>
          <w:rFonts w:ascii="Times New Roman" w:hAnsi="Times New Roman" w:cs="Times New Roman"/>
          <w:sz w:val="24"/>
          <w:szCs w:val="24"/>
        </w:rPr>
        <w:t xml:space="preserve">the criteria behind </w:t>
      </w:r>
      <w:r w:rsidR="004B4F7B">
        <w:rPr>
          <w:rFonts w:ascii="Times New Roman" w:hAnsi="Times New Roman" w:cs="Times New Roman"/>
          <w:sz w:val="24"/>
          <w:szCs w:val="24"/>
        </w:rPr>
        <w:t>each gateway var</w:t>
      </w:r>
      <w:r w:rsidR="00547580">
        <w:rPr>
          <w:rFonts w:ascii="Times New Roman" w:hAnsi="Times New Roman" w:cs="Times New Roman"/>
          <w:sz w:val="24"/>
          <w:szCs w:val="24"/>
        </w:rPr>
        <w:t>y</w:t>
      </w:r>
      <w:r w:rsidR="004B4F7B">
        <w:rPr>
          <w:rFonts w:ascii="Times New Roman" w:hAnsi="Times New Roman" w:cs="Times New Roman"/>
          <w:sz w:val="24"/>
          <w:szCs w:val="24"/>
        </w:rPr>
        <w:t xml:space="preserve"> in stringency, and some enforce a higher threshold </w:t>
      </w:r>
      <w:r w:rsidR="00C637B4">
        <w:rPr>
          <w:rFonts w:ascii="Times New Roman" w:hAnsi="Times New Roman" w:cs="Times New Roman"/>
          <w:sz w:val="24"/>
          <w:szCs w:val="24"/>
        </w:rPr>
        <w:t>of</w:t>
      </w:r>
      <w:r w:rsidR="0001028E">
        <w:rPr>
          <w:rFonts w:ascii="Times New Roman" w:hAnsi="Times New Roman" w:cs="Times New Roman"/>
          <w:sz w:val="24"/>
          <w:szCs w:val="24"/>
        </w:rPr>
        <w:t xml:space="preserve"> admissibility than others. Whilst the gateway does not determine in a strict sens</w:t>
      </w:r>
      <w:r w:rsidR="005256AD">
        <w:rPr>
          <w:rFonts w:ascii="Times New Roman" w:hAnsi="Times New Roman" w:cs="Times New Roman"/>
          <w:sz w:val="24"/>
          <w:szCs w:val="24"/>
        </w:rPr>
        <w:t>e the content of the direction,</w:t>
      </w:r>
      <w:r w:rsidR="0001028E">
        <w:rPr>
          <w:rFonts w:ascii="Times New Roman" w:hAnsi="Times New Roman" w:cs="Times New Roman"/>
          <w:sz w:val="24"/>
          <w:szCs w:val="24"/>
        </w:rPr>
        <w:t xml:space="preserve"> couching admissibility in multiple gateways</w:t>
      </w:r>
      <w:r w:rsidR="004B4F7B">
        <w:rPr>
          <w:rFonts w:ascii="Times New Roman" w:hAnsi="Times New Roman" w:cs="Times New Roman"/>
          <w:sz w:val="24"/>
          <w:szCs w:val="24"/>
        </w:rPr>
        <w:t xml:space="preserve"> can directly affect the admissibility criteria and the presence or otherwise of fairness criteria and judicial directions as safeguards.</w:t>
      </w:r>
      <w:r w:rsidR="00A75311" w:rsidRPr="00A75311">
        <w:rPr>
          <w:rStyle w:val="FootnoteReference"/>
          <w:rFonts w:ascii="Times New Roman" w:hAnsi="Times New Roman" w:cs="Times New Roman"/>
        </w:rPr>
        <w:t xml:space="preserve"> </w:t>
      </w:r>
      <w:r w:rsidR="00A75311" w:rsidRPr="006E1CD3">
        <w:rPr>
          <w:rStyle w:val="FootnoteReference"/>
          <w:rFonts w:ascii="Times New Roman" w:hAnsi="Times New Roman" w:cs="Times New Roman"/>
        </w:rPr>
        <w:footnoteReference w:id="22"/>
      </w:r>
      <w:r w:rsidR="00C637B4">
        <w:rPr>
          <w:rFonts w:ascii="Times New Roman" w:hAnsi="Times New Roman" w:cs="Times New Roman"/>
          <w:sz w:val="24"/>
          <w:szCs w:val="24"/>
        </w:rPr>
        <w:t xml:space="preserve"> </w:t>
      </w:r>
    </w:p>
    <w:p w14:paraId="094DF05A" w14:textId="77777777" w:rsidR="004B4F7B" w:rsidRDefault="004B4F7B" w:rsidP="00C736D4">
      <w:pPr>
        <w:autoSpaceDE w:val="0"/>
        <w:autoSpaceDN w:val="0"/>
        <w:adjustRightInd w:val="0"/>
        <w:spacing w:after="0" w:line="480" w:lineRule="auto"/>
        <w:jc w:val="both"/>
        <w:rPr>
          <w:rFonts w:ascii="Times New Roman" w:hAnsi="Times New Roman" w:cs="Times New Roman"/>
          <w:sz w:val="24"/>
          <w:szCs w:val="24"/>
        </w:rPr>
      </w:pPr>
    </w:p>
    <w:p w14:paraId="0E0A6160" w14:textId="77777777" w:rsidR="00823954" w:rsidRPr="00C9351C" w:rsidRDefault="00823954" w:rsidP="00B00467">
      <w:pPr>
        <w:autoSpaceDE w:val="0"/>
        <w:autoSpaceDN w:val="0"/>
        <w:adjustRightInd w:val="0"/>
        <w:spacing w:after="0" w:line="480" w:lineRule="auto"/>
        <w:jc w:val="both"/>
        <w:outlineLvl w:val="0"/>
        <w:rPr>
          <w:rFonts w:ascii="Times New Roman" w:hAnsi="Times New Roman" w:cs="Times New Roman"/>
          <w:b/>
          <w:sz w:val="24"/>
          <w:szCs w:val="24"/>
        </w:rPr>
      </w:pPr>
      <w:r w:rsidRPr="00C9351C">
        <w:rPr>
          <w:rFonts w:ascii="Times New Roman" w:hAnsi="Times New Roman" w:cs="Times New Roman"/>
          <w:b/>
          <w:sz w:val="24"/>
          <w:szCs w:val="24"/>
        </w:rPr>
        <w:t>BCE and fairness</w:t>
      </w:r>
      <w:r w:rsidR="00C637B4" w:rsidRPr="00C9351C">
        <w:rPr>
          <w:rFonts w:ascii="Times New Roman" w:hAnsi="Times New Roman" w:cs="Times New Roman"/>
          <w:b/>
          <w:sz w:val="24"/>
          <w:szCs w:val="24"/>
        </w:rPr>
        <w:t xml:space="preserve"> criteria: s101(3) Criminal Justice Act 2003</w:t>
      </w:r>
    </w:p>
    <w:p w14:paraId="0AF5604A" w14:textId="3718A99A" w:rsidR="005256AD" w:rsidRDefault="00C736D4" w:rsidP="00B21DA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Some key differences exist between gateways (c) and (d). Gateway (c) is focused </w:t>
      </w:r>
      <w:r w:rsidR="00ED6C66">
        <w:rPr>
          <w:rFonts w:ascii="Times New Roman" w:hAnsi="Times New Roman" w:cs="Times New Roman"/>
          <w:sz w:val="24"/>
          <w:szCs w:val="24"/>
        </w:rPr>
        <w:t>substantially</w:t>
      </w:r>
      <w:r>
        <w:rPr>
          <w:rFonts w:ascii="Times New Roman" w:hAnsi="Times New Roman" w:cs="Times New Roman"/>
          <w:sz w:val="24"/>
          <w:szCs w:val="24"/>
        </w:rPr>
        <w:t xml:space="preserve"> on augmenting juror understanding of the evidence on a holistic </w:t>
      </w:r>
      <w:r w:rsidR="005256AD">
        <w:rPr>
          <w:rFonts w:ascii="Times New Roman" w:hAnsi="Times New Roman" w:cs="Times New Roman"/>
          <w:sz w:val="24"/>
          <w:szCs w:val="24"/>
        </w:rPr>
        <w:t>level and</w:t>
      </w:r>
      <w:r>
        <w:rPr>
          <w:rFonts w:ascii="Times New Roman" w:hAnsi="Times New Roman" w:cs="Times New Roman"/>
          <w:sz w:val="24"/>
          <w:szCs w:val="24"/>
        </w:rPr>
        <w:t xml:space="preserve"> is not subject to any CJA 2003 specific fairness tests</w:t>
      </w:r>
      <w:r w:rsidR="004B4F7B">
        <w:rPr>
          <w:rFonts w:ascii="Times New Roman" w:hAnsi="Times New Roman" w:cs="Times New Roman"/>
          <w:sz w:val="24"/>
          <w:szCs w:val="24"/>
        </w:rPr>
        <w:t>.</w:t>
      </w:r>
      <w:r w:rsidR="00A75311" w:rsidRPr="006E1CD3">
        <w:rPr>
          <w:rStyle w:val="FootnoteReference"/>
          <w:rFonts w:ascii="Times New Roman" w:hAnsi="Times New Roman" w:cs="Times New Roman"/>
        </w:rPr>
        <w:footnoteReference w:id="23"/>
      </w:r>
      <w:r w:rsidR="00A75311" w:rsidRPr="006E1CD3">
        <w:rPr>
          <w:rFonts w:ascii="Times New Roman" w:hAnsi="Times New Roman" w:cs="Times New Roman"/>
          <w:sz w:val="24"/>
          <w:szCs w:val="24"/>
        </w:rPr>
        <w:t xml:space="preserve"> </w:t>
      </w:r>
      <w:r w:rsidR="00C637B4">
        <w:rPr>
          <w:rFonts w:ascii="Times New Roman" w:hAnsi="Times New Roman" w:cs="Times New Roman"/>
          <w:sz w:val="24"/>
          <w:szCs w:val="24"/>
        </w:rPr>
        <w:t>G</w:t>
      </w:r>
      <w:r>
        <w:rPr>
          <w:rFonts w:ascii="Times New Roman" w:hAnsi="Times New Roman" w:cs="Times New Roman"/>
          <w:sz w:val="24"/>
          <w:szCs w:val="24"/>
        </w:rPr>
        <w:t xml:space="preserve">ateway (d) facilitates ‘propensity reasoning’, allowing the fact-finder to </w:t>
      </w:r>
      <w:r w:rsidR="005256AD">
        <w:rPr>
          <w:rFonts w:ascii="Times New Roman" w:hAnsi="Times New Roman" w:cs="Times New Roman"/>
          <w:sz w:val="24"/>
          <w:szCs w:val="24"/>
        </w:rPr>
        <w:t>infer a</w:t>
      </w:r>
      <w:r>
        <w:rPr>
          <w:rFonts w:ascii="Times New Roman" w:hAnsi="Times New Roman" w:cs="Times New Roman"/>
          <w:sz w:val="24"/>
          <w:szCs w:val="24"/>
        </w:rPr>
        <w:t xml:space="preserve"> </w:t>
      </w:r>
      <w:r w:rsidR="005256AD">
        <w:rPr>
          <w:rFonts w:ascii="Times New Roman" w:hAnsi="Times New Roman" w:cs="Times New Roman"/>
          <w:sz w:val="24"/>
          <w:szCs w:val="24"/>
        </w:rPr>
        <w:t>propensity to commit like offences or be untruthful</w:t>
      </w:r>
      <w:r>
        <w:rPr>
          <w:rFonts w:ascii="Times New Roman" w:hAnsi="Times New Roman" w:cs="Times New Roman"/>
          <w:sz w:val="24"/>
          <w:szCs w:val="24"/>
        </w:rPr>
        <w:t>, and is therefore subject to the s101(3) CJA 2003 fairness test. According to s101(3) CJA 2003, ‘t</w:t>
      </w:r>
      <w:r w:rsidRPr="00805D0F">
        <w:rPr>
          <w:rFonts w:ascii="Times New Roman" w:hAnsi="Times New Roman" w:cs="Times New Roman"/>
          <w:sz w:val="24"/>
          <w:szCs w:val="24"/>
        </w:rPr>
        <w:t xml:space="preserve">he court </w:t>
      </w:r>
      <w:r w:rsidRPr="00C832AD">
        <w:rPr>
          <w:rFonts w:ascii="Times New Roman" w:hAnsi="Times New Roman" w:cs="Times New Roman"/>
          <w:i/>
          <w:sz w:val="24"/>
          <w:szCs w:val="24"/>
        </w:rPr>
        <w:t>must</w:t>
      </w:r>
      <w:r w:rsidRPr="00805D0F">
        <w:rPr>
          <w:rFonts w:ascii="Times New Roman" w:hAnsi="Times New Roman" w:cs="Times New Roman"/>
          <w:sz w:val="24"/>
          <w:szCs w:val="24"/>
        </w:rPr>
        <w:t xml:space="preserve"> not admit evidence under</w:t>
      </w:r>
      <w:r w:rsidR="00C832AD">
        <w:rPr>
          <w:rFonts w:ascii="Times New Roman" w:hAnsi="Times New Roman" w:cs="Times New Roman"/>
          <w:sz w:val="24"/>
          <w:szCs w:val="24"/>
        </w:rPr>
        <w:t>…</w:t>
      </w:r>
      <w:r w:rsidRPr="00805D0F">
        <w:rPr>
          <w:rFonts w:ascii="Times New Roman" w:hAnsi="Times New Roman" w:cs="Times New Roman"/>
          <w:sz w:val="24"/>
          <w:szCs w:val="24"/>
        </w:rPr>
        <w:t xml:space="preserve"> </w:t>
      </w:r>
      <w:r w:rsidR="00C832AD">
        <w:rPr>
          <w:rFonts w:ascii="Times New Roman" w:hAnsi="Times New Roman" w:cs="Times New Roman"/>
          <w:sz w:val="24"/>
          <w:szCs w:val="24"/>
        </w:rPr>
        <w:t>[gateway</w:t>
      </w:r>
      <w:r w:rsidR="004B4F7B">
        <w:rPr>
          <w:rFonts w:ascii="Times New Roman" w:hAnsi="Times New Roman" w:cs="Times New Roman"/>
          <w:sz w:val="24"/>
          <w:szCs w:val="24"/>
        </w:rPr>
        <w:t xml:space="preserve"> (d)</w:t>
      </w:r>
      <w:r w:rsidR="007A304E">
        <w:rPr>
          <w:rFonts w:ascii="Times New Roman" w:hAnsi="Times New Roman" w:cs="Times New Roman"/>
          <w:sz w:val="24"/>
          <w:szCs w:val="24"/>
        </w:rPr>
        <w:t xml:space="preserve"> and (g)</w:t>
      </w:r>
      <w:r>
        <w:rPr>
          <w:rFonts w:ascii="Times New Roman" w:hAnsi="Times New Roman" w:cs="Times New Roman"/>
          <w:sz w:val="24"/>
          <w:szCs w:val="24"/>
        </w:rPr>
        <w:t xml:space="preserve">] </w:t>
      </w:r>
      <w:r w:rsidRPr="00805D0F">
        <w:rPr>
          <w:rFonts w:ascii="Times New Roman" w:hAnsi="Times New Roman" w:cs="Times New Roman"/>
          <w:sz w:val="24"/>
          <w:szCs w:val="24"/>
        </w:rPr>
        <w:t>if, on an application by the defendant to exclude it, it appears to the court that the admission of the evidence would have such an adverse effect on the fairness of the proceedings that the court ought not to admit it.</w:t>
      </w:r>
      <w:r w:rsidR="004B4F7B">
        <w:rPr>
          <w:rFonts w:ascii="Times New Roman" w:hAnsi="Times New Roman" w:cs="Times New Roman"/>
          <w:sz w:val="24"/>
          <w:szCs w:val="24"/>
        </w:rPr>
        <w:t>’</w:t>
      </w:r>
      <w:r>
        <w:rPr>
          <w:rFonts w:ascii="Times New Roman" w:hAnsi="Times New Roman" w:cs="Times New Roman"/>
          <w:sz w:val="24"/>
          <w:szCs w:val="24"/>
        </w:rPr>
        <w:t xml:space="preserve"> </w:t>
      </w:r>
      <w:r w:rsidR="00C832AD">
        <w:rPr>
          <w:rFonts w:ascii="Times New Roman" w:hAnsi="Times New Roman" w:cs="Times New Roman"/>
          <w:sz w:val="24"/>
          <w:szCs w:val="24"/>
        </w:rPr>
        <w:t>This provision</w:t>
      </w:r>
      <w:r w:rsidR="00CE34F4">
        <w:rPr>
          <w:rFonts w:ascii="Times New Roman" w:hAnsi="Times New Roman" w:cs="Times New Roman"/>
          <w:sz w:val="24"/>
          <w:szCs w:val="24"/>
        </w:rPr>
        <w:t xml:space="preserve"> require</w:t>
      </w:r>
      <w:r w:rsidR="00C832AD">
        <w:rPr>
          <w:rFonts w:ascii="Times New Roman" w:hAnsi="Times New Roman" w:cs="Times New Roman"/>
          <w:sz w:val="24"/>
          <w:szCs w:val="24"/>
        </w:rPr>
        <w:t>s</w:t>
      </w:r>
      <w:r w:rsidR="00CE34F4">
        <w:rPr>
          <w:rFonts w:ascii="Times New Roman" w:hAnsi="Times New Roman" w:cs="Times New Roman"/>
          <w:sz w:val="24"/>
          <w:szCs w:val="24"/>
        </w:rPr>
        <w:t xml:space="preserve"> a careful balance of the probative value and prejudicial effect of the BCE the prosecution seeks to admit (PV&gt;PE)</w:t>
      </w:r>
      <w:r w:rsidR="00C832AD">
        <w:rPr>
          <w:rFonts w:ascii="Times New Roman" w:hAnsi="Times New Roman" w:cs="Times New Roman"/>
          <w:sz w:val="24"/>
          <w:szCs w:val="24"/>
        </w:rPr>
        <w:t xml:space="preserve"> and represents a duty on the court to exclude where the criteria is met. </w:t>
      </w:r>
      <w:r w:rsidR="005256AD">
        <w:rPr>
          <w:rFonts w:ascii="Times New Roman" w:hAnsi="Times New Roman" w:cs="Times New Roman"/>
          <w:sz w:val="24"/>
          <w:szCs w:val="24"/>
        </w:rPr>
        <w:t>This sits in contrast with s78 P</w:t>
      </w:r>
      <w:r w:rsidR="007A304E">
        <w:rPr>
          <w:rFonts w:ascii="Times New Roman" w:hAnsi="Times New Roman" w:cs="Times New Roman"/>
          <w:sz w:val="24"/>
          <w:szCs w:val="24"/>
        </w:rPr>
        <w:t xml:space="preserve">olice and Criminal Evidence </w:t>
      </w:r>
      <w:r w:rsidR="005256AD">
        <w:rPr>
          <w:rFonts w:ascii="Times New Roman" w:hAnsi="Times New Roman" w:cs="Times New Roman"/>
          <w:sz w:val="24"/>
          <w:szCs w:val="24"/>
        </w:rPr>
        <w:t>A</w:t>
      </w:r>
      <w:r w:rsidR="007A304E">
        <w:rPr>
          <w:rFonts w:ascii="Times New Roman" w:hAnsi="Times New Roman" w:cs="Times New Roman"/>
          <w:sz w:val="24"/>
          <w:szCs w:val="24"/>
        </w:rPr>
        <w:t xml:space="preserve">ct 1984 (PACE 1984) which provides an alternative discretion to exclude, stating that the court </w:t>
      </w:r>
      <w:r w:rsidR="007A304E" w:rsidRPr="007A304E">
        <w:rPr>
          <w:rFonts w:ascii="Times New Roman" w:hAnsi="Times New Roman" w:cs="Times New Roman"/>
          <w:i/>
          <w:sz w:val="24"/>
          <w:szCs w:val="24"/>
        </w:rPr>
        <w:t>may</w:t>
      </w:r>
      <w:r w:rsidR="007A304E">
        <w:rPr>
          <w:rFonts w:ascii="Times New Roman" w:hAnsi="Times New Roman" w:cs="Times New Roman"/>
          <w:sz w:val="24"/>
          <w:szCs w:val="24"/>
        </w:rPr>
        <w:t xml:space="preserve"> refuse to allow admission of any prosecution evidence where to do so would have an adverse effect on the fairness of proceedings. This discretionary power is wide in scope, and applies to all categories of prosecution evidence, but is not expressed in the same mandatory terms. </w:t>
      </w:r>
    </w:p>
    <w:p w14:paraId="289F4002" w14:textId="14D30D72" w:rsidR="00E62220" w:rsidRDefault="00B21DA1" w:rsidP="00EB0A6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fairness test in s</w:t>
      </w:r>
      <w:r w:rsidR="00C832AD">
        <w:rPr>
          <w:rFonts w:ascii="Times New Roman" w:hAnsi="Times New Roman" w:cs="Times New Roman"/>
          <w:sz w:val="24"/>
          <w:szCs w:val="24"/>
        </w:rPr>
        <w:t>101(3) CJA 2003</w:t>
      </w:r>
      <w:r w:rsidR="00CE34F4">
        <w:rPr>
          <w:rFonts w:ascii="Times New Roman" w:hAnsi="Times New Roman" w:cs="Times New Roman"/>
          <w:sz w:val="24"/>
          <w:szCs w:val="24"/>
        </w:rPr>
        <w:t xml:space="preserve"> should provide an additional safeguard where BCE is admitted to demonstrate a propensity, but the reliability of s.101(3) CJA 2003 in excluding unfair evidence appears to have been frustrated by overlaps with existing gateways </w:t>
      </w:r>
      <w:r w:rsidR="00C637B4">
        <w:rPr>
          <w:rFonts w:ascii="Times New Roman" w:hAnsi="Times New Roman" w:cs="Times New Roman"/>
          <w:sz w:val="24"/>
          <w:szCs w:val="24"/>
        </w:rPr>
        <w:t xml:space="preserve">(as occurred in </w:t>
      </w:r>
      <w:r w:rsidR="00C637B4">
        <w:rPr>
          <w:rFonts w:ascii="Times New Roman" w:hAnsi="Times New Roman" w:cs="Times New Roman"/>
          <w:i/>
          <w:sz w:val="24"/>
          <w:szCs w:val="24"/>
        </w:rPr>
        <w:t>M</w:t>
      </w:r>
      <w:r w:rsidR="00C637B4" w:rsidRPr="00C637B4">
        <w:rPr>
          <w:rFonts w:ascii="Times New Roman" w:hAnsi="Times New Roman" w:cs="Times New Roman"/>
          <w:sz w:val="24"/>
          <w:szCs w:val="24"/>
        </w:rPr>
        <w:t>)</w:t>
      </w:r>
      <w:r w:rsidR="00C637B4">
        <w:rPr>
          <w:rFonts w:ascii="Times New Roman" w:hAnsi="Times New Roman" w:cs="Times New Roman"/>
          <w:sz w:val="24"/>
          <w:szCs w:val="24"/>
        </w:rPr>
        <w:t xml:space="preserve"> </w:t>
      </w:r>
      <w:r w:rsidR="00CE34F4">
        <w:rPr>
          <w:rFonts w:ascii="Times New Roman" w:hAnsi="Times New Roman" w:cs="Times New Roman"/>
          <w:sz w:val="24"/>
          <w:szCs w:val="24"/>
        </w:rPr>
        <w:t>and a reliance upon the exercise of judicial discretion in deciding whether PV&gt;PE</w:t>
      </w:r>
      <w:r w:rsidR="00C832AD">
        <w:rPr>
          <w:rFonts w:ascii="Times New Roman" w:hAnsi="Times New Roman" w:cs="Times New Roman"/>
          <w:sz w:val="24"/>
          <w:szCs w:val="24"/>
        </w:rPr>
        <w:t>, as will be illustrated below</w:t>
      </w:r>
      <w:r w:rsidR="00CE34F4">
        <w:rPr>
          <w:rFonts w:ascii="Times New Roman" w:hAnsi="Times New Roman" w:cs="Times New Roman"/>
          <w:sz w:val="24"/>
          <w:szCs w:val="24"/>
        </w:rPr>
        <w:t>.</w:t>
      </w:r>
      <w:r>
        <w:rPr>
          <w:rFonts w:ascii="Times New Roman" w:hAnsi="Times New Roman" w:cs="Times New Roman"/>
          <w:sz w:val="24"/>
          <w:szCs w:val="24"/>
        </w:rPr>
        <w:t xml:space="preserve"> Historic (or recent) sexual abuse has been admitted under s101(1)(d) CJA 2003 previously, as have grooming behaviours</w:t>
      </w:r>
      <w:r w:rsidRPr="006E1CD3">
        <w:rPr>
          <w:rStyle w:val="FootnoteReference"/>
          <w:rFonts w:ascii="Times New Roman" w:hAnsi="Times New Roman" w:cs="Times New Roman"/>
        </w:rPr>
        <w:footnoteReference w:id="24"/>
      </w:r>
      <w:r>
        <w:rPr>
          <w:rFonts w:ascii="Times New Roman" w:hAnsi="Times New Roman" w:cs="Times New Roman"/>
          <w:sz w:val="24"/>
          <w:szCs w:val="24"/>
        </w:rPr>
        <w:t xml:space="preserve"> suggesting that, whilst there will undoubtedly be valid overlaps between gateways (c) and (d) on occasion, the judge in </w:t>
      </w:r>
      <w:r>
        <w:rPr>
          <w:rFonts w:ascii="Times New Roman" w:hAnsi="Times New Roman" w:cs="Times New Roman"/>
          <w:i/>
          <w:sz w:val="24"/>
          <w:szCs w:val="24"/>
        </w:rPr>
        <w:t>M</w:t>
      </w:r>
      <w:r>
        <w:rPr>
          <w:rFonts w:ascii="Times New Roman" w:hAnsi="Times New Roman" w:cs="Times New Roman"/>
          <w:sz w:val="24"/>
          <w:szCs w:val="24"/>
        </w:rPr>
        <w:t xml:space="preserve"> may have been incorrect to categorise evidence of </w:t>
      </w:r>
      <w:r w:rsidRPr="00220C4E">
        <w:rPr>
          <w:rFonts w:ascii="Times New Roman" w:hAnsi="Times New Roman" w:cs="Times New Roman"/>
          <w:i/>
          <w:sz w:val="24"/>
          <w:szCs w:val="24"/>
        </w:rPr>
        <w:t>this</w:t>
      </w:r>
      <w:r>
        <w:rPr>
          <w:rFonts w:ascii="Times New Roman" w:hAnsi="Times New Roman" w:cs="Times New Roman"/>
          <w:sz w:val="24"/>
          <w:szCs w:val="24"/>
        </w:rPr>
        <w:t xml:space="preserve"> natu</w:t>
      </w:r>
      <w:r w:rsidR="00AC6E19">
        <w:rPr>
          <w:rFonts w:ascii="Times New Roman" w:hAnsi="Times New Roman" w:cs="Times New Roman"/>
          <w:sz w:val="24"/>
          <w:szCs w:val="24"/>
        </w:rPr>
        <w:t>re as coming within gateway (c). O</w:t>
      </w:r>
      <w:r w:rsidR="007A304E">
        <w:rPr>
          <w:rFonts w:ascii="Times New Roman" w:hAnsi="Times New Roman" w:cs="Times New Roman"/>
          <w:sz w:val="24"/>
          <w:szCs w:val="24"/>
        </w:rPr>
        <w:t xml:space="preserve">nly gateway (d) </w:t>
      </w:r>
      <w:r w:rsidR="00AC6E19">
        <w:rPr>
          <w:rFonts w:ascii="Times New Roman" w:hAnsi="Times New Roman" w:cs="Times New Roman"/>
          <w:sz w:val="24"/>
          <w:szCs w:val="24"/>
        </w:rPr>
        <w:t>requires consideration of an</w:t>
      </w:r>
      <w:r w:rsidR="007A304E">
        <w:rPr>
          <w:rFonts w:ascii="Times New Roman" w:hAnsi="Times New Roman" w:cs="Times New Roman"/>
          <w:sz w:val="24"/>
          <w:szCs w:val="24"/>
        </w:rPr>
        <w:t xml:space="preserve"> additional fairness test beyond s78 PACE 1984 </w:t>
      </w:r>
      <w:r>
        <w:rPr>
          <w:rFonts w:ascii="Times New Roman" w:hAnsi="Times New Roman" w:cs="Times New Roman"/>
          <w:sz w:val="24"/>
          <w:szCs w:val="24"/>
        </w:rPr>
        <w:t>and</w:t>
      </w:r>
      <w:r w:rsidR="00B50C98">
        <w:rPr>
          <w:rFonts w:ascii="Times New Roman" w:hAnsi="Times New Roman" w:cs="Times New Roman"/>
          <w:sz w:val="24"/>
          <w:szCs w:val="24"/>
        </w:rPr>
        <w:t xml:space="preserve"> a failure to consider this</w:t>
      </w:r>
      <w:r w:rsidR="00AC6E19">
        <w:rPr>
          <w:rFonts w:ascii="Times New Roman" w:hAnsi="Times New Roman" w:cs="Times New Roman"/>
          <w:sz w:val="24"/>
          <w:szCs w:val="24"/>
        </w:rPr>
        <w:t xml:space="preserve"> is significant in light of </w:t>
      </w:r>
      <w:r w:rsidR="00B50C98">
        <w:rPr>
          <w:rFonts w:ascii="Times New Roman" w:hAnsi="Times New Roman" w:cs="Times New Roman"/>
          <w:sz w:val="24"/>
          <w:szCs w:val="24"/>
        </w:rPr>
        <w:t xml:space="preserve">the nature of the evidence itself, i.e. </w:t>
      </w:r>
      <w:r>
        <w:rPr>
          <w:rFonts w:ascii="Times New Roman" w:hAnsi="Times New Roman" w:cs="Times New Roman"/>
          <w:sz w:val="24"/>
          <w:szCs w:val="24"/>
        </w:rPr>
        <w:t xml:space="preserve">evidence </w:t>
      </w:r>
      <w:r w:rsidR="007A304E">
        <w:rPr>
          <w:rFonts w:ascii="Times New Roman" w:hAnsi="Times New Roman" w:cs="Times New Roman"/>
          <w:sz w:val="24"/>
          <w:szCs w:val="24"/>
        </w:rPr>
        <w:t>of</w:t>
      </w:r>
      <w:r>
        <w:rPr>
          <w:rFonts w:ascii="Times New Roman" w:hAnsi="Times New Roman" w:cs="Times New Roman"/>
          <w:sz w:val="24"/>
          <w:szCs w:val="24"/>
        </w:rPr>
        <w:t xml:space="preserve"> behaviour</w:t>
      </w:r>
      <w:r w:rsidR="007A304E">
        <w:rPr>
          <w:rFonts w:ascii="Times New Roman" w:hAnsi="Times New Roman" w:cs="Times New Roman"/>
          <w:sz w:val="24"/>
          <w:szCs w:val="24"/>
        </w:rPr>
        <w:t>s that were</w:t>
      </w:r>
      <w:r>
        <w:rPr>
          <w:rFonts w:ascii="Times New Roman" w:hAnsi="Times New Roman" w:cs="Times New Roman"/>
          <w:sz w:val="24"/>
          <w:szCs w:val="24"/>
        </w:rPr>
        <w:t xml:space="preserve"> alleged to have occurred when M was a </w:t>
      </w:r>
      <w:r w:rsidRPr="00B50C98">
        <w:rPr>
          <w:rFonts w:ascii="Times New Roman" w:hAnsi="Times New Roman" w:cs="Times New Roman"/>
          <w:i/>
          <w:sz w:val="24"/>
          <w:szCs w:val="24"/>
        </w:rPr>
        <w:t>child</w:t>
      </w:r>
      <w:r>
        <w:rPr>
          <w:rFonts w:ascii="Times New Roman" w:hAnsi="Times New Roman" w:cs="Times New Roman"/>
          <w:sz w:val="24"/>
          <w:szCs w:val="24"/>
        </w:rPr>
        <w:t xml:space="preserve">. </w:t>
      </w:r>
    </w:p>
    <w:p w14:paraId="408C7FB4" w14:textId="244AA759" w:rsidR="006C6FA4" w:rsidRDefault="005256AD" w:rsidP="00E622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 i</w:t>
      </w:r>
      <w:r w:rsidR="00B21DA1">
        <w:rPr>
          <w:rFonts w:ascii="Times New Roman" w:hAnsi="Times New Roman" w:cs="Times New Roman"/>
          <w:sz w:val="24"/>
          <w:szCs w:val="24"/>
        </w:rPr>
        <w:t>t</w:t>
      </w:r>
      <w:r w:rsidR="00823954">
        <w:rPr>
          <w:rFonts w:ascii="Times New Roman" w:hAnsi="Times New Roman" w:cs="Times New Roman"/>
          <w:sz w:val="24"/>
          <w:szCs w:val="24"/>
        </w:rPr>
        <w:t xml:space="preserve"> becomes increasingly clear </w:t>
      </w:r>
      <w:r w:rsidR="00B21DA1">
        <w:rPr>
          <w:rFonts w:ascii="Times New Roman" w:hAnsi="Times New Roman" w:cs="Times New Roman"/>
          <w:sz w:val="24"/>
          <w:szCs w:val="24"/>
        </w:rPr>
        <w:t xml:space="preserve">from the case law </w:t>
      </w:r>
      <w:r w:rsidR="00823954">
        <w:rPr>
          <w:rFonts w:ascii="Times New Roman" w:hAnsi="Times New Roman" w:cs="Times New Roman"/>
          <w:sz w:val="24"/>
          <w:szCs w:val="24"/>
        </w:rPr>
        <w:t>that t</w:t>
      </w:r>
      <w:r w:rsidR="00823954" w:rsidRPr="003C4D29">
        <w:rPr>
          <w:rFonts w:ascii="Times New Roman" w:hAnsi="Times New Roman" w:cs="Times New Roman"/>
          <w:sz w:val="24"/>
          <w:szCs w:val="24"/>
        </w:rPr>
        <w:t>he</w:t>
      </w:r>
      <w:r w:rsidR="00823954">
        <w:rPr>
          <w:rFonts w:ascii="Times New Roman" w:hAnsi="Times New Roman" w:cs="Times New Roman"/>
          <w:sz w:val="24"/>
          <w:szCs w:val="24"/>
        </w:rPr>
        <w:t xml:space="preserve"> presence of a </w:t>
      </w:r>
      <w:r>
        <w:rPr>
          <w:rFonts w:ascii="Times New Roman" w:hAnsi="Times New Roman" w:cs="Times New Roman"/>
          <w:sz w:val="24"/>
          <w:szCs w:val="24"/>
        </w:rPr>
        <w:t>‘fairness’</w:t>
      </w:r>
      <w:r w:rsidR="00C637B4">
        <w:rPr>
          <w:rFonts w:ascii="Times New Roman" w:hAnsi="Times New Roman" w:cs="Times New Roman"/>
          <w:sz w:val="24"/>
          <w:szCs w:val="24"/>
        </w:rPr>
        <w:t xml:space="preserve"> </w:t>
      </w:r>
      <w:r w:rsidR="00823954">
        <w:rPr>
          <w:rFonts w:ascii="Times New Roman" w:hAnsi="Times New Roman" w:cs="Times New Roman"/>
          <w:sz w:val="24"/>
          <w:szCs w:val="24"/>
        </w:rPr>
        <w:t xml:space="preserve">safeguard that is potentially so widely construed and difficult to engage as s101(3) CJA 2003 is incapable of providing a panacea for the denial of a retrospective presumption of </w:t>
      </w:r>
      <w:r w:rsidR="00823954">
        <w:rPr>
          <w:rFonts w:ascii="Times New Roman" w:hAnsi="Times New Roman" w:cs="Times New Roman"/>
          <w:i/>
          <w:sz w:val="24"/>
          <w:szCs w:val="24"/>
        </w:rPr>
        <w:t>doli incapax</w:t>
      </w:r>
      <w:r w:rsidR="00823954">
        <w:rPr>
          <w:rFonts w:ascii="Times New Roman" w:hAnsi="Times New Roman" w:cs="Times New Roman"/>
          <w:sz w:val="24"/>
          <w:szCs w:val="24"/>
        </w:rPr>
        <w:t>. For example</w:t>
      </w:r>
      <w:r>
        <w:rPr>
          <w:rFonts w:ascii="Times New Roman" w:hAnsi="Times New Roman" w:cs="Times New Roman"/>
          <w:sz w:val="24"/>
          <w:szCs w:val="24"/>
        </w:rPr>
        <w:t>,</w:t>
      </w:r>
      <w:r w:rsidR="00823954">
        <w:rPr>
          <w:rFonts w:ascii="Times New Roman" w:hAnsi="Times New Roman" w:cs="Times New Roman"/>
          <w:sz w:val="24"/>
          <w:szCs w:val="24"/>
        </w:rPr>
        <w:t xml:space="preserve"> i</w:t>
      </w:r>
      <w:r w:rsidR="00ED65C2">
        <w:rPr>
          <w:rFonts w:ascii="Times New Roman" w:hAnsi="Times New Roman" w:cs="Times New Roman"/>
          <w:sz w:val="24"/>
          <w:szCs w:val="24"/>
        </w:rPr>
        <w:t xml:space="preserve">n the case of </w:t>
      </w:r>
      <w:r w:rsidR="00735B2F">
        <w:rPr>
          <w:rFonts w:ascii="Times New Roman" w:hAnsi="Times New Roman" w:cs="Times New Roman"/>
          <w:i/>
          <w:sz w:val="24"/>
          <w:szCs w:val="24"/>
        </w:rPr>
        <w:t>R v Leathe</w:t>
      </w:r>
      <w:r w:rsidR="00ED65C2">
        <w:rPr>
          <w:rFonts w:ascii="Times New Roman" w:hAnsi="Times New Roman" w:cs="Times New Roman"/>
          <w:i/>
          <w:sz w:val="24"/>
          <w:szCs w:val="24"/>
        </w:rPr>
        <w:t>m and Malle</w:t>
      </w:r>
      <w:r w:rsidR="00A75311">
        <w:rPr>
          <w:rFonts w:ascii="Times New Roman" w:hAnsi="Times New Roman" w:cs="Times New Roman"/>
          <w:i/>
          <w:sz w:val="24"/>
          <w:szCs w:val="24"/>
        </w:rPr>
        <w:t>t</w:t>
      </w:r>
      <w:r w:rsidR="00ED65C2">
        <w:rPr>
          <w:rFonts w:ascii="Times New Roman" w:hAnsi="Times New Roman" w:cs="Times New Roman"/>
          <w:i/>
          <w:sz w:val="24"/>
          <w:szCs w:val="24"/>
        </w:rPr>
        <w:t>t</w:t>
      </w:r>
      <w:r w:rsidR="00A75311" w:rsidRPr="006E1CD3">
        <w:rPr>
          <w:rStyle w:val="FootnoteReference"/>
          <w:rFonts w:ascii="Times New Roman" w:hAnsi="Times New Roman" w:cs="Times New Roman"/>
          <w:sz w:val="24"/>
          <w:szCs w:val="24"/>
        </w:rPr>
        <w:footnoteReference w:id="25"/>
      </w:r>
      <w:r w:rsidR="00381CAF">
        <w:rPr>
          <w:lang w:val="en-US"/>
        </w:rPr>
        <w:t xml:space="preserve"> </w:t>
      </w:r>
      <w:r w:rsidR="00BD5398">
        <w:rPr>
          <w:rFonts w:ascii="Times New Roman" w:hAnsi="Times New Roman" w:cs="Times New Roman"/>
          <w:sz w:val="24"/>
          <w:szCs w:val="24"/>
        </w:rPr>
        <w:t xml:space="preserve">the Court of Appeal were required to assess the correctness of a decision to admit </w:t>
      </w:r>
      <w:r w:rsidR="004235F0">
        <w:rPr>
          <w:rFonts w:ascii="Times New Roman" w:hAnsi="Times New Roman" w:cs="Times New Roman"/>
          <w:sz w:val="24"/>
          <w:szCs w:val="24"/>
        </w:rPr>
        <w:t>BCE in the form of convictions for offences to which the defendant</w:t>
      </w:r>
      <w:r w:rsidR="00735B2F">
        <w:rPr>
          <w:rFonts w:ascii="Times New Roman" w:hAnsi="Times New Roman" w:cs="Times New Roman"/>
          <w:sz w:val="24"/>
          <w:szCs w:val="24"/>
        </w:rPr>
        <w:t xml:space="preserve"> (Leathe</w:t>
      </w:r>
      <w:r w:rsidR="00A431BB">
        <w:rPr>
          <w:rFonts w:ascii="Times New Roman" w:hAnsi="Times New Roman" w:cs="Times New Roman"/>
          <w:sz w:val="24"/>
          <w:szCs w:val="24"/>
        </w:rPr>
        <w:t>m)</w:t>
      </w:r>
      <w:r w:rsidR="004235F0">
        <w:rPr>
          <w:rFonts w:ascii="Times New Roman" w:hAnsi="Times New Roman" w:cs="Times New Roman"/>
          <w:sz w:val="24"/>
          <w:szCs w:val="24"/>
        </w:rPr>
        <w:t xml:space="preserve"> had pleaded guilty during an earlier hearing. </w:t>
      </w:r>
      <w:r w:rsidR="000412BA" w:rsidRPr="000412BA">
        <w:rPr>
          <w:rFonts w:ascii="Times New Roman" w:hAnsi="Times New Roman" w:cs="Times New Roman"/>
          <w:sz w:val="24"/>
          <w:szCs w:val="24"/>
        </w:rPr>
        <w:t xml:space="preserve">HHJ Gosling declined to admit the </w:t>
      </w:r>
      <w:r w:rsidR="00111434">
        <w:rPr>
          <w:rFonts w:ascii="Times New Roman" w:hAnsi="Times New Roman" w:cs="Times New Roman"/>
          <w:sz w:val="24"/>
          <w:szCs w:val="24"/>
        </w:rPr>
        <w:t>BCE under both gateways (c) and (d) at the first trial</w:t>
      </w:r>
      <w:r w:rsidR="00167AA3">
        <w:rPr>
          <w:rFonts w:ascii="Times New Roman" w:hAnsi="Times New Roman" w:cs="Times New Roman"/>
          <w:sz w:val="24"/>
          <w:szCs w:val="24"/>
        </w:rPr>
        <w:t xml:space="preserve"> as</w:t>
      </w:r>
      <w:r w:rsidR="000412BA" w:rsidRPr="000412BA">
        <w:rPr>
          <w:rFonts w:ascii="Times New Roman" w:hAnsi="Times New Roman" w:cs="Times New Roman"/>
          <w:sz w:val="24"/>
          <w:szCs w:val="24"/>
        </w:rPr>
        <w:t xml:space="preserve"> he considered that the admis</w:t>
      </w:r>
      <w:r w:rsidR="009831C8">
        <w:rPr>
          <w:rFonts w:ascii="Times New Roman" w:hAnsi="Times New Roman" w:cs="Times New Roman"/>
          <w:sz w:val="24"/>
          <w:szCs w:val="24"/>
        </w:rPr>
        <w:t>sion of the evidence would be ‘</w:t>
      </w:r>
      <w:r w:rsidR="00092336">
        <w:rPr>
          <w:rFonts w:ascii="Times New Roman" w:hAnsi="Times New Roman" w:cs="Times New Roman"/>
          <w:sz w:val="24"/>
          <w:szCs w:val="24"/>
        </w:rPr>
        <w:t>overwhelmingly prejudicial</w:t>
      </w:r>
      <w:r w:rsidR="000412BA" w:rsidRPr="000412BA">
        <w:rPr>
          <w:rFonts w:ascii="Times New Roman" w:hAnsi="Times New Roman" w:cs="Times New Roman"/>
          <w:sz w:val="24"/>
          <w:szCs w:val="24"/>
        </w:rPr>
        <w:t xml:space="preserve"> to a fair trial</w:t>
      </w:r>
      <w:r w:rsidR="00092336">
        <w:rPr>
          <w:rFonts w:ascii="Times New Roman" w:hAnsi="Times New Roman" w:cs="Times New Roman"/>
          <w:sz w:val="24"/>
          <w:szCs w:val="24"/>
        </w:rPr>
        <w:t>’</w:t>
      </w:r>
      <w:r w:rsidR="00A75311">
        <w:rPr>
          <w:rFonts w:ascii="Times New Roman" w:hAnsi="Times New Roman" w:cs="Times New Roman"/>
          <w:sz w:val="24"/>
          <w:szCs w:val="24"/>
        </w:rPr>
        <w:t>.</w:t>
      </w:r>
      <w:r w:rsidR="00A75311" w:rsidRPr="006E1CD3">
        <w:rPr>
          <w:rStyle w:val="FootnoteReference"/>
          <w:rFonts w:ascii="Times New Roman" w:hAnsi="Times New Roman" w:cs="Times New Roman"/>
          <w:sz w:val="24"/>
          <w:szCs w:val="24"/>
        </w:rPr>
        <w:footnoteReference w:id="26"/>
      </w:r>
      <w:r w:rsidR="00381CAF">
        <w:rPr>
          <w:rFonts w:ascii="Times New Roman" w:hAnsi="Times New Roman" w:cs="Times New Roman"/>
          <w:sz w:val="24"/>
          <w:szCs w:val="24"/>
        </w:rPr>
        <w:t xml:space="preserve"> </w:t>
      </w:r>
      <w:r w:rsidR="00020339">
        <w:rPr>
          <w:rFonts w:ascii="Times New Roman" w:hAnsi="Times New Roman" w:cs="Times New Roman"/>
          <w:sz w:val="24"/>
          <w:szCs w:val="24"/>
        </w:rPr>
        <w:t>At the retrial, Judge Eades allowed admission under gateway (c) but rejected arguments to admit under s101(1)(d)</w:t>
      </w:r>
      <w:r w:rsidR="000412BA" w:rsidRPr="000412BA">
        <w:rPr>
          <w:rFonts w:ascii="Times New Roman" w:hAnsi="Times New Roman" w:cs="Times New Roman"/>
          <w:sz w:val="24"/>
          <w:szCs w:val="24"/>
        </w:rPr>
        <w:t>.</w:t>
      </w:r>
      <w:r w:rsidR="00DD00C2">
        <w:rPr>
          <w:rFonts w:ascii="Times New Roman" w:hAnsi="Times New Roman" w:cs="Times New Roman"/>
          <w:sz w:val="24"/>
          <w:szCs w:val="24"/>
        </w:rPr>
        <w:t xml:space="preserve"> </w:t>
      </w:r>
      <w:r w:rsidR="00167AA3">
        <w:rPr>
          <w:rFonts w:ascii="Times New Roman" w:hAnsi="Times New Roman" w:cs="Times New Roman"/>
          <w:sz w:val="24"/>
          <w:szCs w:val="24"/>
        </w:rPr>
        <w:t xml:space="preserve">The Court of Appeal </w:t>
      </w:r>
      <w:r w:rsidR="00864A1D">
        <w:rPr>
          <w:rFonts w:ascii="Times New Roman" w:hAnsi="Times New Roman" w:cs="Times New Roman"/>
          <w:sz w:val="24"/>
          <w:szCs w:val="24"/>
        </w:rPr>
        <w:t>ruled that allowing admission of</w:t>
      </w:r>
      <w:r w:rsidR="00BC478D">
        <w:rPr>
          <w:rFonts w:ascii="Times New Roman" w:hAnsi="Times New Roman" w:cs="Times New Roman"/>
          <w:sz w:val="24"/>
          <w:szCs w:val="24"/>
        </w:rPr>
        <w:t xml:space="preserve"> B</w:t>
      </w:r>
      <w:r w:rsidR="00864A1D">
        <w:rPr>
          <w:rFonts w:ascii="Times New Roman" w:hAnsi="Times New Roman" w:cs="Times New Roman"/>
          <w:sz w:val="24"/>
          <w:szCs w:val="24"/>
        </w:rPr>
        <w:t xml:space="preserve">CE under gateway (c) </w:t>
      </w:r>
      <w:r w:rsidR="003016DD">
        <w:rPr>
          <w:rFonts w:ascii="Times New Roman" w:hAnsi="Times New Roman" w:cs="Times New Roman"/>
          <w:sz w:val="24"/>
          <w:szCs w:val="24"/>
        </w:rPr>
        <w:t xml:space="preserve">on the basis that the BCE of </w:t>
      </w:r>
      <w:r w:rsidR="003016DD" w:rsidRPr="009831C8">
        <w:rPr>
          <w:rFonts w:ascii="Times New Roman" w:hAnsi="Times New Roman" w:cs="Times New Roman"/>
          <w:sz w:val="24"/>
          <w:szCs w:val="24"/>
        </w:rPr>
        <w:t>Leatham</w:t>
      </w:r>
      <w:r w:rsidR="003016DD">
        <w:rPr>
          <w:rFonts w:ascii="Times New Roman" w:hAnsi="Times New Roman" w:cs="Times New Roman"/>
          <w:sz w:val="24"/>
          <w:szCs w:val="24"/>
        </w:rPr>
        <w:t xml:space="preserve"> could constitute important background evidence</w:t>
      </w:r>
      <w:r w:rsidR="00B21DA1">
        <w:rPr>
          <w:rFonts w:ascii="Times New Roman" w:hAnsi="Times New Roman" w:cs="Times New Roman"/>
          <w:sz w:val="24"/>
          <w:szCs w:val="24"/>
        </w:rPr>
        <w:t xml:space="preserve"> </w:t>
      </w:r>
      <w:r w:rsidR="00020339">
        <w:rPr>
          <w:rFonts w:ascii="Times New Roman" w:hAnsi="Times New Roman" w:cs="Times New Roman"/>
          <w:sz w:val="24"/>
          <w:szCs w:val="24"/>
        </w:rPr>
        <w:t>was acceptable,</w:t>
      </w:r>
      <w:r w:rsidR="00B21DA1" w:rsidRPr="006E1CD3">
        <w:rPr>
          <w:rStyle w:val="FootnoteReference"/>
          <w:rFonts w:ascii="Times New Roman" w:hAnsi="Times New Roman" w:cs="Times New Roman"/>
          <w:sz w:val="24"/>
          <w:szCs w:val="24"/>
        </w:rPr>
        <w:footnoteReference w:id="27"/>
      </w:r>
      <w:r w:rsidR="00B21DA1">
        <w:rPr>
          <w:rFonts w:ascii="Times New Roman" w:hAnsi="Times New Roman" w:cs="Times New Roman"/>
          <w:sz w:val="24"/>
          <w:szCs w:val="24"/>
        </w:rPr>
        <w:t xml:space="preserve"> </w:t>
      </w:r>
      <w:r w:rsidR="00B1247A">
        <w:rPr>
          <w:rFonts w:ascii="Times New Roman" w:hAnsi="Times New Roman" w:cs="Times New Roman"/>
          <w:sz w:val="24"/>
          <w:szCs w:val="24"/>
        </w:rPr>
        <w:t xml:space="preserve">as use for </w:t>
      </w:r>
      <w:r w:rsidR="00DD00C2">
        <w:rPr>
          <w:rFonts w:ascii="Times New Roman" w:hAnsi="Times New Roman" w:cs="Times New Roman"/>
          <w:sz w:val="24"/>
          <w:szCs w:val="24"/>
        </w:rPr>
        <w:t>p</w:t>
      </w:r>
      <w:r w:rsidR="009831C8">
        <w:rPr>
          <w:rFonts w:ascii="Times New Roman" w:hAnsi="Times New Roman" w:cs="Times New Roman"/>
          <w:sz w:val="24"/>
          <w:szCs w:val="24"/>
        </w:rPr>
        <w:t>ropensity</w:t>
      </w:r>
      <w:r w:rsidR="00020339">
        <w:rPr>
          <w:rFonts w:ascii="Times New Roman" w:hAnsi="Times New Roman" w:cs="Times New Roman"/>
          <w:sz w:val="24"/>
          <w:szCs w:val="24"/>
        </w:rPr>
        <w:t xml:space="preserve"> </w:t>
      </w:r>
      <w:r w:rsidR="00B1247A">
        <w:rPr>
          <w:rFonts w:ascii="Times New Roman" w:hAnsi="Times New Roman" w:cs="Times New Roman"/>
          <w:sz w:val="24"/>
          <w:szCs w:val="24"/>
        </w:rPr>
        <w:t>does not de-legitimise admi</w:t>
      </w:r>
      <w:r w:rsidR="00DD00C2">
        <w:rPr>
          <w:rFonts w:ascii="Times New Roman" w:hAnsi="Times New Roman" w:cs="Times New Roman"/>
          <w:sz w:val="24"/>
          <w:szCs w:val="24"/>
        </w:rPr>
        <w:t xml:space="preserve">ssion under </w:t>
      </w:r>
      <w:r w:rsidR="00DD00C2" w:rsidRPr="007A304E">
        <w:rPr>
          <w:rFonts w:ascii="Times New Roman" w:hAnsi="Times New Roman" w:cs="Times New Roman"/>
          <w:sz w:val="24"/>
          <w:szCs w:val="24"/>
        </w:rPr>
        <w:t>gateways (c) or (d)</w:t>
      </w:r>
      <w:r w:rsidR="0006536E" w:rsidRPr="007A304E">
        <w:rPr>
          <w:rFonts w:ascii="Times New Roman" w:hAnsi="Times New Roman" w:cs="Times New Roman"/>
          <w:sz w:val="24"/>
          <w:szCs w:val="24"/>
        </w:rPr>
        <w:t>.</w:t>
      </w:r>
      <w:r w:rsidR="0006536E">
        <w:rPr>
          <w:rFonts w:ascii="Times New Roman" w:hAnsi="Times New Roman" w:cs="Times New Roman"/>
          <w:sz w:val="24"/>
          <w:szCs w:val="24"/>
        </w:rPr>
        <w:t xml:space="preserve"> </w:t>
      </w:r>
      <w:r w:rsidR="003F7649">
        <w:rPr>
          <w:rFonts w:ascii="Times New Roman" w:hAnsi="Times New Roman" w:cs="Times New Roman"/>
          <w:sz w:val="24"/>
          <w:szCs w:val="24"/>
        </w:rPr>
        <w:t>W</w:t>
      </w:r>
      <w:r w:rsidR="0006536E">
        <w:rPr>
          <w:rFonts w:ascii="Times New Roman" w:hAnsi="Times New Roman" w:cs="Times New Roman"/>
          <w:sz w:val="24"/>
          <w:szCs w:val="24"/>
        </w:rPr>
        <w:t xml:space="preserve">orryingly, the Court of Appeal </w:t>
      </w:r>
      <w:r w:rsidR="00DD00C2">
        <w:rPr>
          <w:rFonts w:ascii="Times New Roman" w:hAnsi="Times New Roman" w:cs="Times New Roman"/>
          <w:sz w:val="24"/>
          <w:szCs w:val="24"/>
        </w:rPr>
        <w:t>ruled</w:t>
      </w:r>
      <w:r w:rsidR="0006536E">
        <w:rPr>
          <w:rFonts w:ascii="Times New Roman" w:hAnsi="Times New Roman" w:cs="Times New Roman"/>
          <w:sz w:val="24"/>
          <w:szCs w:val="24"/>
        </w:rPr>
        <w:t xml:space="preserve"> that: </w:t>
      </w:r>
    </w:p>
    <w:p w14:paraId="690BFC85" w14:textId="3C7A2D06" w:rsidR="00DD00C2" w:rsidRDefault="00DE1197" w:rsidP="009831C8">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DD00C2">
        <w:rPr>
          <w:rFonts w:ascii="Times New Roman" w:hAnsi="Times New Roman" w:cs="Times New Roman"/>
          <w:sz w:val="24"/>
          <w:szCs w:val="24"/>
        </w:rPr>
        <w:t xml:space="preserve"> </w:t>
      </w:r>
      <w:r w:rsidR="0006536E">
        <w:rPr>
          <w:rFonts w:ascii="Times New Roman" w:hAnsi="Times New Roman" w:cs="Times New Roman"/>
          <w:sz w:val="24"/>
          <w:szCs w:val="24"/>
        </w:rPr>
        <w:t>…</w:t>
      </w:r>
      <w:r w:rsidRPr="00DE1197">
        <w:rPr>
          <w:rFonts w:ascii="Times New Roman" w:hAnsi="Times New Roman" w:cs="Times New Roman"/>
          <w:sz w:val="24"/>
          <w:szCs w:val="24"/>
        </w:rPr>
        <w:t xml:space="preserve"> This is one of those cases where the ‘prejudice’ of the ‘bad character’ evidence can be said to be concomitant with, or part and parcel of, its essential probative value</w:t>
      </w:r>
      <w:r w:rsidR="003F7649">
        <w:rPr>
          <w:rFonts w:ascii="Times New Roman" w:hAnsi="Times New Roman" w:cs="Times New Roman"/>
          <w:sz w:val="24"/>
          <w:szCs w:val="24"/>
        </w:rPr>
        <w:t xml:space="preserve">… </w:t>
      </w:r>
      <w:r w:rsidR="003F7649" w:rsidRPr="003F7649">
        <w:rPr>
          <w:rFonts w:ascii="Times New Roman" w:hAnsi="Times New Roman" w:cs="Times New Roman"/>
          <w:sz w:val="24"/>
          <w:szCs w:val="24"/>
        </w:rPr>
        <w:t>Admissibility under s.101(1)(d) is, of course, subject to the ‘</w:t>
      </w:r>
      <w:r w:rsidR="0031408B">
        <w:rPr>
          <w:rFonts w:ascii="Times New Roman" w:hAnsi="Times New Roman" w:cs="Times New Roman"/>
          <w:sz w:val="24"/>
          <w:szCs w:val="24"/>
        </w:rPr>
        <w:t>fairness' safeguard in s.101(3)</w:t>
      </w:r>
      <w:r w:rsidR="003F7649" w:rsidRPr="003F7649">
        <w:rPr>
          <w:rFonts w:ascii="Times New Roman" w:hAnsi="Times New Roman" w:cs="Times New Roman"/>
          <w:sz w:val="24"/>
          <w:szCs w:val="24"/>
        </w:rPr>
        <w:t>. However, for the reasons given above, we would not have interfered with the judge</w:t>
      </w:r>
      <w:r w:rsidR="00C9351C">
        <w:rPr>
          <w:rFonts w:ascii="Times New Roman" w:hAnsi="Times New Roman" w:cs="Times New Roman"/>
          <w:sz w:val="24"/>
          <w:szCs w:val="24"/>
        </w:rPr>
        <w:t>’</w:t>
      </w:r>
      <w:r w:rsidR="003F7649" w:rsidRPr="003F7649">
        <w:rPr>
          <w:rFonts w:ascii="Times New Roman" w:hAnsi="Times New Roman" w:cs="Times New Roman"/>
          <w:sz w:val="24"/>
          <w:szCs w:val="24"/>
        </w:rPr>
        <w:t>s ruling on this basis if he had taken this alternative route.</w:t>
      </w:r>
      <w:r>
        <w:rPr>
          <w:rFonts w:ascii="Times New Roman" w:hAnsi="Times New Roman" w:cs="Times New Roman"/>
          <w:sz w:val="24"/>
          <w:szCs w:val="24"/>
        </w:rPr>
        <w:t>’</w:t>
      </w:r>
      <w:r w:rsidR="00A75311" w:rsidRPr="006E1CD3">
        <w:rPr>
          <w:rStyle w:val="FootnoteReference"/>
          <w:rFonts w:ascii="Times New Roman" w:hAnsi="Times New Roman" w:cs="Times New Roman"/>
          <w:sz w:val="24"/>
          <w:szCs w:val="24"/>
        </w:rPr>
        <w:footnoteReference w:id="28"/>
      </w:r>
    </w:p>
    <w:p w14:paraId="0BE37C3F" w14:textId="44861362" w:rsidR="00D164F8" w:rsidRDefault="00A75311" w:rsidP="00AC2F18">
      <w:pPr>
        <w:autoSpaceDE w:val="0"/>
        <w:autoSpaceDN w:val="0"/>
        <w:adjustRightInd w:val="0"/>
        <w:spacing w:after="0" w:line="480" w:lineRule="auto"/>
        <w:jc w:val="both"/>
        <w:rPr>
          <w:rFonts w:ascii="Times New Roman" w:hAnsi="Times New Roman" w:cs="Times New Roman"/>
          <w:sz w:val="24"/>
          <w:szCs w:val="24"/>
        </w:rPr>
      </w:pPr>
      <w:r w:rsidRPr="006E1CD3">
        <w:rPr>
          <w:rFonts w:ascii="Times New Roman" w:hAnsi="Times New Roman" w:cs="Times New Roman"/>
          <w:sz w:val="24"/>
          <w:szCs w:val="24"/>
        </w:rPr>
        <w:t>Mirfield’s analysis of this decision sums up perfectly the pervasive problem in the court’s reasoning here: ‘one does not improperly avoid gateway (d) by having proper recourse to gateway (c)</w:t>
      </w:r>
      <w:r w:rsidR="00B21DA1">
        <w:rPr>
          <w:rFonts w:ascii="Times New Roman" w:hAnsi="Times New Roman" w:cs="Times New Roman"/>
          <w:sz w:val="24"/>
          <w:szCs w:val="24"/>
        </w:rPr>
        <w:t>.’</w:t>
      </w:r>
      <w:r w:rsidRPr="006E1CD3">
        <w:rPr>
          <w:rStyle w:val="FootnoteReference"/>
          <w:rFonts w:ascii="Times New Roman" w:hAnsi="Times New Roman" w:cs="Times New Roman"/>
          <w:sz w:val="24"/>
          <w:szCs w:val="24"/>
        </w:rPr>
        <w:footnoteReference w:id="29"/>
      </w:r>
      <w:r w:rsidRPr="006E1CD3">
        <w:rPr>
          <w:rFonts w:ascii="Times New Roman" w:hAnsi="Times New Roman" w:cs="Times New Roman"/>
          <w:sz w:val="24"/>
          <w:szCs w:val="24"/>
        </w:rPr>
        <w:t xml:space="preserve"> </w:t>
      </w:r>
      <w:r>
        <w:rPr>
          <w:rFonts w:ascii="Times New Roman" w:hAnsi="Times New Roman" w:cs="Times New Roman"/>
          <w:sz w:val="24"/>
          <w:szCs w:val="24"/>
        </w:rPr>
        <w:t>It</w:t>
      </w:r>
      <w:r w:rsidR="003F7649">
        <w:rPr>
          <w:rFonts w:ascii="Times New Roman" w:hAnsi="Times New Roman" w:cs="Times New Roman"/>
          <w:sz w:val="24"/>
          <w:szCs w:val="24"/>
        </w:rPr>
        <w:t xml:space="preserve"> is insufficient to state with hindsight that the defendant was not denied recourse to s101(3) </w:t>
      </w:r>
      <w:r w:rsidR="00454228">
        <w:rPr>
          <w:rFonts w:ascii="Times New Roman" w:hAnsi="Times New Roman" w:cs="Times New Roman"/>
          <w:sz w:val="24"/>
          <w:szCs w:val="24"/>
        </w:rPr>
        <w:t>(</w:t>
      </w:r>
      <w:r w:rsidR="003F7649">
        <w:rPr>
          <w:rFonts w:ascii="Times New Roman" w:hAnsi="Times New Roman" w:cs="Times New Roman"/>
          <w:sz w:val="24"/>
          <w:szCs w:val="24"/>
        </w:rPr>
        <w:t>and the considerations required for admissibility in s103</w:t>
      </w:r>
      <w:r w:rsidR="00454228">
        <w:rPr>
          <w:rFonts w:ascii="Times New Roman" w:hAnsi="Times New Roman" w:cs="Times New Roman"/>
          <w:sz w:val="24"/>
          <w:szCs w:val="24"/>
        </w:rPr>
        <w:t xml:space="preserve"> CJA 2003</w:t>
      </w:r>
      <w:r w:rsidR="003F7649">
        <w:rPr>
          <w:rFonts w:ascii="Times New Roman" w:hAnsi="Times New Roman" w:cs="Times New Roman"/>
          <w:sz w:val="24"/>
          <w:szCs w:val="24"/>
        </w:rPr>
        <w:t>)</w:t>
      </w:r>
      <w:r w:rsidR="00454228">
        <w:rPr>
          <w:rFonts w:ascii="Times New Roman" w:hAnsi="Times New Roman" w:cs="Times New Roman"/>
          <w:sz w:val="24"/>
          <w:szCs w:val="24"/>
        </w:rPr>
        <w:t xml:space="preserve"> because the Court</w:t>
      </w:r>
      <w:r w:rsidR="00823954">
        <w:rPr>
          <w:rFonts w:ascii="Times New Roman" w:hAnsi="Times New Roman" w:cs="Times New Roman"/>
          <w:sz w:val="24"/>
          <w:szCs w:val="24"/>
        </w:rPr>
        <w:t xml:space="preserve"> of Appeal would not have inter</w:t>
      </w:r>
      <w:r w:rsidR="00454228">
        <w:rPr>
          <w:rFonts w:ascii="Times New Roman" w:hAnsi="Times New Roman" w:cs="Times New Roman"/>
          <w:sz w:val="24"/>
          <w:szCs w:val="24"/>
        </w:rPr>
        <w:t>fered with a finding of admissibility under gateway (d) in any event.</w:t>
      </w:r>
      <w:r w:rsidR="00720E12">
        <w:rPr>
          <w:rFonts w:ascii="Times New Roman" w:hAnsi="Times New Roman" w:cs="Times New Roman"/>
          <w:sz w:val="24"/>
          <w:szCs w:val="24"/>
        </w:rPr>
        <w:t xml:space="preserve"> It is true that </w:t>
      </w:r>
      <w:r w:rsidR="000159A9">
        <w:rPr>
          <w:rFonts w:ascii="Times New Roman" w:hAnsi="Times New Roman" w:cs="Times New Roman"/>
          <w:sz w:val="24"/>
          <w:szCs w:val="24"/>
        </w:rPr>
        <w:t xml:space="preserve">where gateway (c) is deployed, </w:t>
      </w:r>
      <w:r w:rsidR="00D164F8">
        <w:rPr>
          <w:rFonts w:ascii="Times New Roman" w:hAnsi="Times New Roman" w:cs="Times New Roman"/>
          <w:sz w:val="24"/>
          <w:szCs w:val="24"/>
        </w:rPr>
        <w:t xml:space="preserve">the exclusionary discretion in </w:t>
      </w:r>
      <w:r w:rsidR="000159A9">
        <w:rPr>
          <w:rFonts w:ascii="Times New Roman" w:hAnsi="Times New Roman" w:cs="Times New Roman"/>
          <w:sz w:val="24"/>
          <w:szCs w:val="24"/>
        </w:rPr>
        <w:t>s78 PACE 1984 i</w:t>
      </w:r>
      <w:r w:rsidR="00D164F8">
        <w:rPr>
          <w:rFonts w:ascii="Times New Roman" w:hAnsi="Times New Roman" w:cs="Times New Roman"/>
          <w:sz w:val="24"/>
          <w:szCs w:val="24"/>
        </w:rPr>
        <w:t>s still an applicable safeguard. H</w:t>
      </w:r>
      <w:r w:rsidR="000159A9">
        <w:rPr>
          <w:rFonts w:ascii="Times New Roman" w:hAnsi="Times New Roman" w:cs="Times New Roman"/>
          <w:sz w:val="24"/>
          <w:szCs w:val="24"/>
        </w:rPr>
        <w:t xml:space="preserve">owever, the terminology used in </w:t>
      </w:r>
      <w:r w:rsidR="009831C8">
        <w:rPr>
          <w:rFonts w:ascii="Times New Roman" w:hAnsi="Times New Roman" w:cs="Times New Roman"/>
          <w:sz w:val="24"/>
          <w:szCs w:val="24"/>
        </w:rPr>
        <w:t>the CJA 2003</w:t>
      </w:r>
      <w:r w:rsidR="00D164F8">
        <w:rPr>
          <w:rFonts w:ascii="Times New Roman" w:hAnsi="Times New Roman" w:cs="Times New Roman"/>
          <w:sz w:val="24"/>
          <w:szCs w:val="24"/>
        </w:rPr>
        <w:t xml:space="preserve"> (</w:t>
      </w:r>
      <w:r w:rsidR="007A304E">
        <w:rPr>
          <w:rFonts w:ascii="Times New Roman" w:hAnsi="Times New Roman" w:cs="Times New Roman"/>
          <w:sz w:val="24"/>
          <w:szCs w:val="24"/>
        </w:rPr>
        <w:t xml:space="preserve">‘the court </w:t>
      </w:r>
      <w:r w:rsidR="00D164F8" w:rsidRPr="007A304E">
        <w:rPr>
          <w:rFonts w:ascii="Times New Roman" w:hAnsi="Times New Roman" w:cs="Times New Roman"/>
          <w:sz w:val="24"/>
          <w:szCs w:val="24"/>
        </w:rPr>
        <w:t>must</w:t>
      </w:r>
      <w:r w:rsidR="007A304E">
        <w:rPr>
          <w:rFonts w:ascii="Times New Roman" w:hAnsi="Times New Roman" w:cs="Times New Roman"/>
          <w:i/>
          <w:sz w:val="24"/>
          <w:szCs w:val="24"/>
        </w:rPr>
        <w:t xml:space="preserve"> </w:t>
      </w:r>
      <w:r w:rsidR="007A304E">
        <w:rPr>
          <w:rFonts w:ascii="Times New Roman" w:hAnsi="Times New Roman" w:cs="Times New Roman"/>
          <w:sz w:val="24"/>
          <w:szCs w:val="24"/>
        </w:rPr>
        <w:t>not admit’</w:t>
      </w:r>
      <w:r w:rsidR="00D164F8">
        <w:rPr>
          <w:rFonts w:ascii="Times New Roman" w:hAnsi="Times New Roman" w:cs="Times New Roman"/>
          <w:sz w:val="24"/>
          <w:szCs w:val="24"/>
        </w:rPr>
        <w:t>)</w:t>
      </w:r>
      <w:r w:rsidR="000159A9">
        <w:rPr>
          <w:rFonts w:ascii="Times New Roman" w:hAnsi="Times New Roman" w:cs="Times New Roman"/>
          <w:sz w:val="24"/>
          <w:szCs w:val="24"/>
        </w:rPr>
        <w:t xml:space="preserve"> illustrates the mandatory nature of the exclusionary duty in s101(1)(3) CJA 2003</w:t>
      </w:r>
      <w:r w:rsidR="009831C8">
        <w:rPr>
          <w:rFonts w:ascii="Times New Roman" w:hAnsi="Times New Roman" w:cs="Times New Roman"/>
          <w:sz w:val="24"/>
          <w:szCs w:val="24"/>
        </w:rPr>
        <w:t xml:space="preserve"> (and lends itself to contrast with s78 PACE 1984 under which the court </w:t>
      </w:r>
      <w:r w:rsidR="009831C8">
        <w:rPr>
          <w:rFonts w:ascii="Times New Roman" w:hAnsi="Times New Roman" w:cs="Times New Roman"/>
          <w:i/>
          <w:sz w:val="24"/>
          <w:szCs w:val="24"/>
        </w:rPr>
        <w:t xml:space="preserve">may </w:t>
      </w:r>
      <w:r w:rsidR="009831C8">
        <w:rPr>
          <w:rFonts w:ascii="Times New Roman" w:hAnsi="Times New Roman" w:cs="Times New Roman"/>
          <w:sz w:val="24"/>
          <w:szCs w:val="24"/>
        </w:rPr>
        <w:t>refuse to admit</w:t>
      </w:r>
      <w:r w:rsidR="00B21DA1">
        <w:rPr>
          <w:rStyle w:val="FootnoteReference"/>
          <w:rFonts w:ascii="Times New Roman" w:hAnsi="Times New Roman" w:cs="Times New Roman"/>
          <w:sz w:val="24"/>
          <w:szCs w:val="24"/>
        </w:rPr>
        <w:footnoteReference w:id="30"/>
      </w:r>
      <w:r w:rsidR="009831C8">
        <w:rPr>
          <w:rFonts w:ascii="Times New Roman" w:hAnsi="Times New Roman" w:cs="Times New Roman"/>
          <w:sz w:val="24"/>
          <w:szCs w:val="24"/>
        </w:rPr>
        <w:t>)</w:t>
      </w:r>
      <w:r w:rsidR="000159A9">
        <w:rPr>
          <w:rFonts w:ascii="Times New Roman" w:hAnsi="Times New Roman" w:cs="Times New Roman"/>
          <w:sz w:val="24"/>
          <w:szCs w:val="24"/>
        </w:rPr>
        <w:t xml:space="preserve">, suggesting that D </w:t>
      </w:r>
      <w:r w:rsidR="007A304E">
        <w:rPr>
          <w:rFonts w:ascii="Times New Roman" w:hAnsi="Times New Roman" w:cs="Times New Roman"/>
          <w:sz w:val="24"/>
          <w:szCs w:val="24"/>
        </w:rPr>
        <w:t>may be</w:t>
      </w:r>
      <w:r w:rsidR="000159A9">
        <w:rPr>
          <w:rFonts w:ascii="Times New Roman" w:hAnsi="Times New Roman" w:cs="Times New Roman"/>
          <w:sz w:val="24"/>
          <w:szCs w:val="24"/>
        </w:rPr>
        <w:t xml:space="preserve"> no safer relying on s78 PACE 1984 </w:t>
      </w:r>
      <w:r w:rsidR="00D164F8">
        <w:rPr>
          <w:rFonts w:ascii="Times New Roman" w:hAnsi="Times New Roman" w:cs="Times New Roman"/>
          <w:sz w:val="24"/>
          <w:szCs w:val="24"/>
        </w:rPr>
        <w:t>to ameliorate unfairness</w:t>
      </w:r>
      <w:r w:rsidR="000159A9">
        <w:rPr>
          <w:rFonts w:ascii="Times New Roman" w:hAnsi="Times New Roman" w:cs="Times New Roman"/>
          <w:sz w:val="24"/>
          <w:szCs w:val="24"/>
        </w:rPr>
        <w:t>.</w:t>
      </w:r>
      <w:r w:rsidR="007A304E">
        <w:rPr>
          <w:rFonts w:ascii="Times New Roman" w:hAnsi="Times New Roman" w:cs="Times New Roman"/>
          <w:sz w:val="24"/>
          <w:szCs w:val="24"/>
        </w:rPr>
        <w:t xml:space="preserve"> Where there is potential for admission under multiple gateways, it is unsatisfactory for the court to elect the gateway that has a less stringent fairness threshold, leaving the defendant without further recourse to challenge admissibilit</w:t>
      </w:r>
      <w:r w:rsidR="00FD08A3">
        <w:rPr>
          <w:rFonts w:ascii="Times New Roman" w:hAnsi="Times New Roman" w:cs="Times New Roman"/>
          <w:sz w:val="24"/>
          <w:szCs w:val="24"/>
        </w:rPr>
        <w:t>y under s101(3) where relevant.</w:t>
      </w:r>
    </w:p>
    <w:p w14:paraId="34CB665E" w14:textId="52A1A8DE" w:rsidR="00A75311" w:rsidRPr="006E1CD3" w:rsidRDefault="00454228" w:rsidP="00E6222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06768E">
        <w:rPr>
          <w:rFonts w:ascii="Times New Roman" w:hAnsi="Times New Roman" w:cs="Times New Roman"/>
          <w:sz w:val="24"/>
          <w:szCs w:val="24"/>
        </w:rPr>
        <w:t>e</w:t>
      </w:r>
      <w:r>
        <w:rPr>
          <w:rFonts w:ascii="Times New Roman" w:hAnsi="Times New Roman" w:cs="Times New Roman"/>
          <w:sz w:val="24"/>
          <w:szCs w:val="24"/>
        </w:rPr>
        <w:t xml:space="preserve"> </w:t>
      </w:r>
      <w:r w:rsidR="00D164F8">
        <w:rPr>
          <w:rFonts w:ascii="Times New Roman" w:hAnsi="Times New Roman" w:cs="Times New Roman"/>
          <w:sz w:val="24"/>
          <w:szCs w:val="24"/>
        </w:rPr>
        <w:t xml:space="preserve">insufficiency of </w:t>
      </w:r>
      <w:r w:rsidR="0006768E">
        <w:rPr>
          <w:rFonts w:ascii="Times New Roman" w:hAnsi="Times New Roman" w:cs="Times New Roman"/>
          <w:sz w:val="24"/>
          <w:szCs w:val="24"/>
        </w:rPr>
        <w:t xml:space="preserve">the fairness test in </w:t>
      </w:r>
      <w:r w:rsidR="00D164F8">
        <w:rPr>
          <w:rFonts w:ascii="Times New Roman" w:hAnsi="Times New Roman" w:cs="Times New Roman"/>
          <w:sz w:val="24"/>
          <w:szCs w:val="24"/>
        </w:rPr>
        <w:t xml:space="preserve">s101(3) is further illustrated by the decision of the court in </w:t>
      </w:r>
      <w:r w:rsidRPr="00381CAF">
        <w:rPr>
          <w:rFonts w:ascii="Times New Roman" w:hAnsi="Times New Roman" w:cs="Times New Roman"/>
          <w:i/>
          <w:sz w:val="24"/>
          <w:szCs w:val="24"/>
        </w:rPr>
        <w:t>Hanson</w:t>
      </w:r>
      <w:r w:rsidR="00A75311" w:rsidRPr="006E1CD3">
        <w:rPr>
          <w:rStyle w:val="FootnoteReference"/>
          <w:rFonts w:ascii="Times New Roman" w:hAnsi="Times New Roman" w:cs="Times New Roman"/>
          <w:i/>
          <w:sz w:val="24"/>
          <w:szCs w:val="24"/>
        </w:rPr>
        <w:footnoteReference w:id="31"/>
      </w:r>
      <w:r w:rsidR="00381CAF" w:rsidRPr="00381CAF">
        <w:rPr>
          <w:rFonts w:ascii="Times New Roman" w:hAnsi="Times New Roman" w:cs="Times New Roman"/>
          <w:i/>
          <w:sz w:val="24"/>
          <w:szCs w:val="24"/>
        </w:rPr>
        <w:t xml:space="preserve"> </w:t>
      </w:r>
      <w:r w:rsidR="00D164F8">
        <w:rPr>
          <w:rFonts w:ascii="Times New Roman" w:hAnsi="Times New Roman" w:cs="Times New Roman"/>
          <w:sz w:val="24"/>
          <w:szCs w:val="24"/>
        </w:rPr>
        <w:t>which</w:t>
      </w:r>
      <w:r>
        <w:rPr>
          <w:rFonts w:ascii="Times New Roman" w:hAnsi="Times New Roman" w:cs="Times New Roman"/>
          <w:sz w:val="24"/>
          <w:szCs w:val="24"/>
        </w:rPr>
        <w:t xml:space="preserve"> held that </w:t>
      </w:r>
      <w:r w:rsidR="00990393">
        <w:rPr>
          <w:rFonts w:ascii="Times New Roman" w:hAnsi="Times New Roman" w:cs="Times New Roman"/>
          <w:sz w:val="24"/>
          <w:szCs w:val="24"/>
        </w:rPr>
        <w:t>provided a trial judge properly directs the jury</w:t>
      </w:r>
      <w:r w:rsidR="00990393" w:rsidRPr="00990393">
        <w:rPr>
          <w:rFonts w:ascii="Times New Roman" w:hAnsi="Times New Roman" w:cs="Times New Roman"/>
          <w:sz w:val="24"/>
          <w:szCs w:val="24"/>
        </w:rPr>
        <w:t xml:space="preserve"> in relation to the admission of bad character evidence, </w:t>
      </w:r>
      <w:r w:rsidR="00990393">
        <w:rPr>
          <w:rFonts w:ascii="Times New Roman" w:hAnsi="Times New Roman" w:cs="Times New Roman"/>
          <w:sz w:val="24"/>
          <w:szCs w:val="24"/>
        </w:rPr>
        <w:t>the C</w:t>
      </w:r>
      <w:r w:rsidR="00990393" w:rsidRPr="00990393">
        <w:rPr>
          <w:rFonts w:ascii="Times New Roman" w:hAnsi="Times New Roman" w:cs="Times New Roman"/>
          <w:sz w:val="24"/>
          <w:szCs w:val="24"/>
        </w:rPr>
        <w:t xml:space="preserve">ourt </w:t>
      </w:r>
      <w:r w:rsidR="00990393">
        <w:rPr>
          <w:rFonts w:ascii="Times New Roman" w:hAnsi="Times New Roman" w:cs="Times New Roman"/>
          <w:sz w:val="24"/>
          <w:szCs w:val="24"/>
        </w:rPr>
        <w:t xml:space="preserve">of Appeal </w:t>
      </w:r>
      <w:r w:rsidR="00990393" w:rsidRPr="00990393">
        <w:rPr>
          <w:rFonts w:ascii="Times New Roman" w:hAnsi="Times New Roman" w:cs="Times New Roman"/>
          <w:sz w:val="24"/>
          <w:szCs w:val="24"/>
        </w:rPr>
        <w:t xml:space="preserve">would be very </w:t>
      </w:r>
      <w:r w:rsidR="00E61C50">
        <w:rPr>
          <w:rFonts w:ascii="Times New Roman" w:hAnsi="Times New Roman" w:cs="Times New Roman"/>
          <w:sz w:val="24"/>
          <w:szCs w:val="24"/>
        </w:rPr>
        <w:t>reluctant</w:t>
      </w:r>
      <w:r w:rsidR="00990393" w:rsidRPr="00990393">
        <w:rPr>
          <w:rFonts w:ascii="Times New Roman" w:hAnsi="Times New Roman" w:cs="Times New Roman"/>
          <w:sz w:val="24"/>
          <w:szCs w:val="24"/>
        </w:rPr>
        <w:t xml:space="preserve"> to interfere </w:t>
      </w:r>
      <w:r w:rsidR="00E61C50">
        <w:rPr>
          <w:rFonts w:ascii="Times New Roman" w:hAnsi="Times New Roman" w:cs="Times New Roman"/>
          <w:sz w:val="24"/>
          <w:szCs w:val="24"/>
        </w:rPr>
        <w:t>and would only do so if the trial judge’s decision to admit BCE</w:t>
      </w:r>
      <w:r w:rsidR="00990393" w:rsidRPr="00990393">
        <w:rPr>
          <w:rFonts w:ascii="Times New Roman" w:hAnsi="Times New Roman" w:cs="Times New Roman"/>
          <w:sz w:val="24"/>
          <w:szCs w:val="24"/>
        </w:rPr>
        <w:t xml:space="preserve"> was plainly wrong, or if the </w:t>
      </w:r>
      <w:r w:rsidR="00E61C50">
        <w:rPr>
          <w:rFonts w:ascii="Times New Roman" w:hAnsi="Times New Roman" w:cs="Times New Roman"/>
          <w:sz w:val="24"/>
          <w:szCs w:val="24"/>
        </w:rPr>
        <w:t>exercise of judicial discretion had been palpably unreasonable</w:t>
      </w:r>
      <w:r w:rsidR="00990393" w:rsidRPr="00990393">
        <w:rPr>
          <w:rFonts w:ascii="Times New Roman" w:hAnsi="Times New Roman" w:cs="Times New Roman"/>
          <w:sz w:val="24"/>
          <w:szCs w:val="24"/>
        </w:rPr>
        <w:t xml:space="preserve"> in the </w:t>
      </w:r>
      <w:r w:rsidR="00990393" w:rsidRPr="00E61C50">
        <w:rPr>
          <w:rFonts w:ascii="Times New Roman" w:hAnsi="Times New Roman" w:cs="Times New Roman"/>
          <w:i/>
          <w:sz w:val="24"/>
          <w:szCs w:val="24"/>
        </w:rPr>
        <w:t>Wednesbury</w:t>
      </w:r>
      <w:r w:rsidR="0006768E" w:rsidRPr="0006768E">
        <w:rPr>
          <w:rStyle w:val="FootnoteReference"/>
          <w:rFonts w:ascii="Times New Roman" w:hAnsi="Times New Roman" w:cs="Times New Roman"/>
          <w:sz w:val="24"/>
          <w:szCs w:val="24"/>
        </w:rPr>
        <w:footnoteReference w:id="32"/>
      </w:r>
      <w:r w:rsidR="00990393" w:rsidRPr="0006768E">
        <w:rPr>
          <w:rFonts w:ascii="Times New Roman" w:hAnsi="Times New Roman" w:cs="Times New Roman"/>
          <w:sz w:val="24"/>
          <w:szCs w:val="24"/>
        </w:rPr>
        <w:t xml:space="preserve"> </w:t>
      </w:r>
      <w:r w:rsidR="00990393" w:rsidRPr="00990393">
        <w:rPr>
          <w:rFonts w:ascii="Times New Roman" w:hAnsi="Times New Roman" w:cs="Times New Roman"/>
          <w:sz w:val="24"/>
          <w:szCs w:val="24"/>
        </w:rPr>
        <w:t xml:space="preserve">sense. </w:t>
      </w:r>
      <w:r w:rsidR="00E61C50">
        <w:rPr>
          <w:rFonts w:ascii="Times New Roman" w:hAnsi="Times New Roman" w:cs="Times New Roman"/>
          <w:sz w:val="24"/>
          <w:szCs w:val="24"/>
        </w:rPr>
        <w:t xml:space="preserve">This was applied in the case of </w:t>
      </w:r>
      <w:r w:rsidR="00E61C50">
        <w:rPr>
          <w:rFonts w:ascii="Times New Roman" w:hAnsi="Times New Roman" w:cs="Times New Roman"/>
          <w:i/>
          <w:sz w:val="24"/>
          <w:szCs w:val="24"/>
        </w:rPr>
        <w:t xml:space="preserve">R v </w:t>
      </w:r>
      <w:r w:rsidR="00E61C50" w:rsidRPr="00381CAF">
        <w:rPr>
          <w:rFonts w:ascii="Times New Roman" w:hAnsi="Times New Roman" w:cs="Times New Roman"/>
          <w:i/>
          <w:sz w:val="24"/>
          <w:szCs w:val="24"/>
        </w:rPr>
        <w:t>Staff</w:t>
      </w:r>
      <w:r w:rsidR="0006768E">
        <w:rPr>
          <w:rFonts w:ascii="Times New Roman" w:hAnsi="Times New Roman" w:cs="Times New Roman"/>
          <w:i/>
          <w:sz w:val="24"/>
          <w:szCs w:val="24"/>
        </w:rPr>
        <w:t>,</w:t>
      </w:r>
      <w:r w:rsidR="00A75311" w:rsidRPr="006E1CD3">
        <w:rPr>
          <w:rStyle w:val="FootnoteReference"/>
          <w:rFonts w:ascii="Times New Roman" w:hAnsi="Times New Roman" w:cs="Times New Roman"/>
          <w:sz w:val="24"/>
          <w:szCs w:val="24"/>
        </w:rPr>
        <w:footnoteReference w:id="33"/>
      </w:r>
      <w:r w:rsidR="00381CAF" w:rsidRPr="00381CAF">
        <w:rPr>
          <w:rFonts w:ascii="Times New Roman" w:hAnsi="Times New Roman" w:cs="Times New Roman"/>
          <w:i/>
          <w:sz w:val="24"/>
          <w:szCs w:val="24"/>
        </w:rPr>
        <w:t xml:space="preserve"> </w:t>
      </w:r>
      <w:r w:rsidR="00E61C50">
        <w:rPr>
          <w:rFonts w:ascii="Times New Roman" w:hAnsi="Times New Roman" w:cs="Times New Roman"/>
          <w:sz w:val="24"/>
          <w:szCs w:val="24"/>
        </w:rPr>
        <w:t xml:space="preserve">the appellate court in </w:t>
      </w:r>
      <w:r w:rsidR="00E61C50">
        <w:rPr>
          <w:rFonts w:ascii="Times New Roman" w:hAnsi="Times New Roman" w:cs="Times New Roman"/>
          <w:i/>
          <w:sz w:val="24"/>
          <w:szCs w:val="24"/>
        </w:rPr>
        <w:t xml:space="preserve">Staff </w:t>
      </w:r>
      <w:r w:rsidR="00E61C50">
        <w:rPr>
          <w:rFonts w:ascii="Times New Roman" w:hAnsi="Times New Roman" w:cs="Times New Roman"/>
          <w:sz w:val="24"/>
          <w:szCs w:val="24"/>
        </w:rPr>
        <w:t>noting that ‘</w:t>
      </w:r>
      <w:r w:rsidR="0006768E">
        <w:rPr>
          <w:rFonts w:ascii="Times New Roman" w:hAnsi="Times New Roman" w:cs="Times New Roman"/>
          <w:sz w:val="24"/>
          <w:szCs w:val="24"/>
        </w:rPr>
        <w:t>In the years since …[</w:t>
      </w:r>
      <w:r w:rsidR="0006768E">
        <w:rPr>
          <w:rFonts w:ascii="Times New Roman" w:hAnsi="Times New Roman" w:cs="Times New Roman"/>
          <w:i/>
          <w:sz w:val="24"/>
          <w:szCs w:val="24"/>
        </w:rPr>
        <w:t>Hanson</w:t>
      </w:r>
      <w:r w:rsidR="0006768E">
        <w:rPr>
          <w:rFonts w:ascii="Times New Roman" w:hAnsi="Times New Roman" w:cs="Times New Roman"/>
          <w:sz w:val="24"/>
          <w:szCs w:val="24"/>
        </w:rPr>
        <w:t>]…</w:t>
      </w:r>
      <w:r w:rsidR="00990393" w:rsidRPr="00990393">
        <w:rPr>
          <w:rFonts w:ascii="Times New Roman" w:hAnsi="Times New Roman" w:cs="Times New Roman"/>
          <w:sz w:val="24"/>
          <w:szCs w:val="24"/>
        </w:rPr>
        <w:t xml:space="preserve"> numerous decisions of this court have affirmed that approach</w:t>
      </w:r>
      <w:r w:rsidR="00E61C50">
        <w:rPr>
          <w:rFonts w:ascii="Times New Roman" w:hAnsi="Times New Roman" w:cs="Times New Roman"/>
          <w:sz w:val="24"/>
          <w:szCs w:val="24"/>
        </w:rPr>
        <w:t>’</w:t>
      </w:r>
      <w:r w:rsidR="00990393" w:rsidRPr="00990393">
        <w:rPr>
          <w:rFonts w:ascii="Times New Roman" w:hAnsi="Times New Roman" w:cs="Times New Roman"/>
          <w:sz w:val="24"/>
          <w:szCs w:val="24"/>
        </w:rPr>
        <w:t>.</w:t>
      </w:r>
      <w:r w:rsidR="000A19FF">
        <w:rPr>
          <w:rFonts w:ascii="Times New Roman" w:hAnsi="Times New Roman" w:cs="Times New Roman"/>
          <w:sz w:val="24"/>
          <w:szCs w:val="24"/>
        </w:rPr>
        <w:t xml:space="preserve"> </w:t>
      </w:r>
      <w:r w:rsidR="00D164F8">
        <w:rPr>
          <w:rFonts w:ascii="Times New Roman" w:hAnsi="Times New Roman" w:cs="Times New Roman"/>
          <w:sz w:val="24"/>
          <w:szCs w:val="24"/>
        </w:rPr>
        <w:t>Further,</w:t>
      </w:r>
      <w:r w:rsidR="00DF5CDD">
        <w:rPr>
          <w:rFonts w:ascii="Times New Roman" w:hAnsi="Times New Roman" w:cs="Times New Roman"/>
          <w:sz w:val="24"/>
          <w:szCs w:val="24"/>
        </w:rPr>
        <w:t xml:space="preserve"> in </w:t>
      </w:r>
      <w:r w:rsidR="00DF5CDD" w:rsidRPr="008D0897">
        <w:rPr>
          <w:rFonts w:ascii="Times New Roman" w:hAnsi="Times New Roman" w:cs="Times New Roman"/>
          <w:i/>
          <w:sz w:val="24"/>
          <w:szCs w:val="24"/>
        </w:rPr>
        <w:t>R v Jahamithra Visvaniathan</w:t>
      </w:r>
      <w:r w:rsidR="00A75311" w:rsidRPr="006E1CD3">
        <w:rPr>
          <w:rStyle w:val="FootnoteReference"/>
          <w:rFonts w:ascii="Times New Roman" w:hAnsi="Times New Roman" w:cs="Times New Roman"/>
          <w:sz w:val="24"/>
          <w:szCs w:val="24"/>
        </w:rPr>
        <w:footnoteReference w:id="34"/>
      </w:r>
      <w:r w:rsidR="00381CAF">
        <w:t xml:space="preserve"> </w:t>
      </w:r>
      <w:r w:rsidR="00DF5CDD">
        <w:rPr>
          <w:rFonts w:ascii="Times New Roman" w:hAnsi="Times New Roman" w:cs="Times New Roman"/>
          <w:sz w:val="24"/>
          <w:szCs w:val="24"/>
        </w:rPr>
        <w:t>it was found that s101(3) CJA 2003 was inapplicable because the issues with admission ‘</w:t>
      </w:r>
      <w:r w:rsidR="00DF5CDD" w:rsidRPr="00F31205">
        <w:rPr>
          <w:rFonts w:ascii="Times New Roman" w:hAnsi="Times New Roman" w:cs="Times New Roman"/>
          <w:sz w:val="24"/>
          <w:szCs w:val="24"/>
        </w:rPr>
        <w:t xml:space="preserve">did not create the </w:t>
      </w:r>
      <w:r w:rsidR="00DF5CDD" w:rsidRPr="00F31205">
        <w:rPr>
          <w:rFonts w:ascii="Times New Roman" w:hAnsi="Times New Roman" w:cs="Times New Roman"/>
          <w:i/>
          <w:sz w:val="24"/>
          <w:szCs w:val="24"/>
        </w:rPr>
        <w:t>kind of unfairness</w:t>
      </w:r>
      <w:r w:rsidR="00DF5CDD" w:rsidRPr="00F31205">
        <w:rPr>
          <w:rFonts w:ascii="Times New Roman" w:hAnsi="Times New Roman" w:cs="Times New Roman"/>
          <w:sz w:val="24"/>
          <w:szCs w:val="24"/>
        </w:rPr>
        <w:t xml:space="preserve"> section 101(3) was designed to prevent</w:t>
      </w:r>
      <w:r w:rsidR="00DF5CDD">
        <w:rPr>
          <w:rFonts w:ascii="Times New Roman" w:hAnsi="Times New Roman" w:cs="Times New Roman"/>
          <w:sz w:val="24"/>
          <w:szCs w:val="24"/>
        </w:rPr>
        <w:t>’ and a careful judicial direction on its limited relevance would counterbalance any unfairness</w:t>
      </w:r>
      <w:r w:rsidR="0006768E">
        <w:rPr>
          <w:rFonts w:ascii="Times New Roman" w:hAnsi="Times New Roman" w:cs="Times New Roman"/>
          <w:sz w:val="24"/>
          <w:szCs w:val="24"/>
        </w:rPr>
        <w:t>.</w:t>
      </w:r>
      <w:r w:rsidR="00A75311" w:rsidRPr="006E1CD3">
        <w:rPr>
          <w:rStyle w:val="FootnoteReference"/>
          <w:rFonts w:ascii="Times New Roman" w:hAnsi="Times New Roman" w:cs="Times New Roman"/>
          <w:sz w:val="24"/>
          <w:szCs w:val="24"/>
        </w:rPr>
        <w:footnoteReference w:id="35"/>
      </w:r>
      <w:r w:rsidR="00A75311" w:rsidRPr="006E1CD3">
        <w:rPr>
          <w:rFonts w:ascii="Times New Roman" w:hAnsi="Times New Roman" w:cs="Times New Roman"/>
          <w:sz w:val="24"/>
          <w:szCs w:val="24"/>
        </w:rPr>
        <w:t xml:space="preserve"> In </w:t>
      </w:r>
      <w:r w:rsidR="00A75311" w:rsidRPr="006E1CD3">
        <w:rPr>
          <w:rFonts w:ascii="Times New Roman" w:hAnsi="Times New Roman" w:cs="Times New Roman"/>
          <w:i/>
          <w:sz w:val="24"/>
          <w:szCs w:val="24"/>
        </w:rPr>
        <w:t>R v PB</w:t>
      </w:r>
      <w:r w:rsidR="00A75311" w:rsidRPr="0006768E">
        <w:rPr>
          <w:rStyle w:val="FootnoteReference"/>
          <w:rFonts w:ascii="Times New Roman" w:hAnsi="Times New Roman" w:cs="Times New Roman"/>
          <w:sz w:val="24"/>
          <w:szCs w:val="24"/>
        </w:rPr>
        <w:footnoteReference w:id="36"/>
      </w:r>
      <w:r w:rsidR="00381CAF" w:rsidRPr="00381CAF">
        <w:rPr>
          <w:rFonts w:ascii="Times New Roman" w:hAnsi="Times New Roman" w:cs="Times New Roman"/>
          <w:sz w:val="24"/>
          <w:szCs w:val="24"/>
        </w:rPr>
        <w:t xml:space="preserve"> </w:t>
      </w:r>
      <w:r w:rsidR="00DF5CDD">
        <w:rPr>
          <w:rFonts w:ascii="Times New Roman" w:hAnsi="Times New Roman" w:cs="Times New Roman"/>
          <w:sz w:val="24"/>
          <w:szCs w:val="24"/>
        </w:rPr>
        <w:t>the Court of Appeal found that despite the prosecution neglecting to submit a written application to admit BCE that would have prompted an explicit consideration of s101(3) CJA 2003, ad</w:t>
      </w:r>
      <w:r w:rsidR="00D164F8">
        <w:rPr>
          <w:rFonts w:ascii="Times New Roman" w:hAnsi="Times New Roman" w:cs="Times New Roman"/>
          <w:sz w:val="24"/>
          <w:szCs w:val="24"/>
        </w:rPr>
        <w:t>mission of BCE was safe.</w:t>
      </w:r>
      <w:r w:rsidR="00DF5CDD">
        <w:rPr>
          <w:rFonts w:ascii="Times New Roman" w:hAnsi="Times New Roman" w:cs="Times New Roman"/>
          <w:sz w:val="24"/>
          <w:szCs w:val="24"/>
        </w:rPr>
        <w:t xml:space="preserve"> ‘</w:t>
      </w:r>
      <w:r w:rsidR="00DF5CDD" w:rsidRPr="001454A7">
        <w:rPr>
          <w:rFonts w:ascii="Times New Roman" w:hAnsi="Times New Roman" w:cs="Times New Roman"/>
          <w:sz w:val="24"/>
          <w:szCs w:val="24"/>
        </w:rPr>
        <w:t xml:space="preserve">Even if that </w:t>
      </w:r>
      <w:r w:rsidR="00DF5CDD">
        <w:rPr>
          <w:rFonts w:ascii="Times New Roman" w:hAnsi="Times New Roman" w:cs="Times New Roman"/>
          <w:sz w:val="24"/>
          <w:szCs w:val="24"/>
        </w:rPr>
        <w:t>[was]</w:t>
      </w:r>
      <w:r w:rsidR="00DF5CDD" w:rsidRPr="001454A7">
        <w:rPr>
          <w:rFonts w:ascii="Times New Roman" w:hAnsi="Times New Roman" w:cs="Times New Roman"/>
          <w:sz w:val="24"/>
          <w:szCs w:val="24"/>
        </w:rPr>
        <w:t xml:space="preserve"> wrong, having regard to the evidence as a whole, we would not have been satisfied that the conviction was</w:t>
      </w:r>
      <w:r w:rsidR="00DF5CDD">
        <w:rPr>
          <w:rFonts w:ascii="Times New Roman" w:hAnsi="Times New Roman" w:cs="Times New Roman"/>
          <w:sz w:val="24"/>
          <w:szCs w:val="24"/>
        </w:rPr>
        <w:t>…</w:t>
      </w:r>
      <w:r w:rsidR="00DF5CDD" w:rsidRPr="001454A7">
        <w:rPr>
          <w:rFonts w:ascii="Times New Roman" w:hAnsi="Times New Roman" w:cs="Times New Roman"/>
          <w:sz w:val="24"/>
          <w:szCs w:val="24"/>
        </w:rPr>
        <w:t xml:space="preserve"> unsafe</w:t>
      </w:r>
      <w:r w:rsidR="00A75311">
        <w:rPr>
          <w:rFonts w:ascii="Times New Roman" w:hAnsi="Times New Roman" w:cs="Times New Roman"/>
          <w:sz w:val="24"/>
          <w:szCs w:val="24"/>
        </w:rPr>
        <w:t>.</w:t>
      </w:r>
      <w:r w:rsidR="00DF5CDD">
        <w:rPr>
          <w:rFonts w:ascii="Times New Roman" w:hAnsi="Times New Roman" w:cs="Times New Roman"/>
          <w:sz w:val="24"/>
          <w:szCs w:val="24"/>
        </w:rPr>
        <w:t>’</w:t>
      </w:r>
      <w:r w:rsidR="00A75311" w:rsidRPr="006E1CD3">
        <w:rPr>
          <w:rStyle w:val="FootnoteReference"/>
          <w:rFonts w:ascii="Times New Roman" w:hAnsi="Times New Roman" w:cs="Times New Roman"/>
          <w:sz w:val="24"/>
          <w:szCs w:val="24"/>
        </w:rPr>
        <w:footnoteReference w:id="37"/>
      </w:r>
    </w:p>
    <w:p w14:paraId="7EEA31C3" w14:textId="190FD4D6" w:rsidR="0006536E" w:rsidRDefault="000A19FF" w:rsidP="00AA74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in </w:t>
      </w:r>
      <w:r>
        <w:rPr>
          <w:rFonts w:ascii="Times New Roman" w:hAnsi="Times New Roman" w:cs="Times New Roman"/>
          <w:i/>
          <w:sz w:val="24"/>
          <w:szCs w:val="24"/>
        </w:rPr>
        <w:t xml:space="preserve">Leathem &amp; Mallett </w:t>
      </w:r>
      <w:r>
        <w:rPr>
          <w:rFonts w:ascii="Times New Roman" w:hAnsi="Times New Roman" w:cs="Times New Roman"/>
          <w:sz w:val="24"/>
          <w:szCs w:val="24"/>
        </w:rPr>
        <w:t>evidence capable of demonstrating propensity was admissible under gateway (c) as background evidence because it could have been admissible through (d) with hindsight, but ‘</w:t>
      </w:r>
      <w:r w:rsidR="00DF5CDD">
        <w:rPr>
          <w:rFonts w:ascii="Times New Roman" w:hAnsi="Times New Roman" w:cs="Times New Roman"/>
          <w:sz w:val="24"/>
          <w:szCs w:val="24"/>
        </w:rPr>
        <w:t>[</w:t>
      </w:r>
      <w:r w:rsidRPr="000A19FF">
        <w:rPr>
          <w:rFonts w:ascii="Times New Roman" w:hAnsi="Times New Roman" w:cs="Times New Roman"/>
          <w:sz w:val="24"/>
          <w:szCs w:val="24"/>
        </w:rPr>
        <w:t>A</w:t>
      </w:r>
      <w:r w:rsidR="00DF5CDD">
        <w:rPr>
          <w:rFonts w:ascii="Times New Roman" w:hAnsi="Times New Roman" w:cs="Times New Roman"/>
          <w:sz w:val="24"/>
          <w:szCs w:val="24"/>
        </w:rPr>
        <w:t>]</w:t>
      </w:r>
      <w:r w:rsidRPr="000A19FF">
        <w:rPr>
          <w:rFonts w:ascii="Times New Roman" w:hAnsi="Times New Roman" w:cs="Times New Roman"/>
          <w:sz w:val="24"/>
          <w:szCs w:val="24"/>
        </w:rPr>
        <w:t>ny risk of prejudice, was cured by the directi</w:t>
      </w:r>
      <w:r w:rsidR="003C4D29">
        <w:rPr>
          <w:rFonts w:ascii="Times New Roman" w:hAnsi="Times New Roman" w:cs="Times New Roman"/>
          <w:sz w:val="24"/>
          <w:szCs w:val="24"/>
        </w:rPr>
        <w:t>ons properly given by the judge</w:t>
      </w:r>
      <w:r>
        <w:rPr>
          <w:rFonts w:ascii="Times New Roman" w:hAnsi="Times New Roman" w:cs="Times New Roman"/>
          <w:sz w:val="24"/>
          <w:szCs w:val="24"/>
        </w:rPr>
        <w:t>’</w:t>
      </w:r>
      <w:r w:rsidR="0006768E">
        <w:rPr>
          <w:rFonts w:ascii="Times New Roman" w:hAnsi="Times New Roman" w:cs="Times New Roman"/>
          <w:sz w:val="24"/>
          <w:szCs w:val="24"/>
        </w:rPr>
        <w:t>,</w:t>
      </w:r>
      <w:r w:rsidR="0006768E">
        <w:rPr>
          <w:rStyle w:val="FootnoteReference"/>
          <w:rFonts w:ascii="Times New Roman" w:hAnsi="Times New Roman" w:cs="Times New Roman"/>
          <w:sz w:val="24"/>
          <w:szCs w:val="24"/>
        </w:rPr>
        <w:footnoteReference w:id="38"/>
      </w:r>
      <w:r w:rsidR="003C4D29">
        <w:rPr>
          <w:rFonts w:ascii="Times New Roman" w:hAnsi="Times New Roman" w:cs="Times New Roman"/>
          <w:i/>
          <w:sz w:val="24"/>
          <w:szCs w:val="24"/>
        </w:rPr>
        <w:t xml:space="preserve"> </w:t>
      </w:r>
      <w:r w:rsidR="003C4D29">
        <w:rPr>
          <w:rFonts w:ascii="Times New Roman" w:hAnsi="Times New Roman" w:cs="Times New Roman"/>
          <w:sz w:val="24"/>
          <w:szCs w:val="24"/>
        </w:rPr>
        <w:t>one wonders how s101(3) CJA 2003</w:t>
      </w:r>
      <w:r w:rsidR="00346CA4">
        <w:rPr>
          <w:rFonts w:ascii="Times New Roman" w:hAnsi="Times New Roman" w:cs="Times New Roman"/>
          <w:sz w:val="24"/>
          <w:szCs w:val="24"/>
        </w:rPr>
        <w:t xml:space="preserve"> can serve as a </w:t>
      </w:r>
      <w:r w:rsidR="00346CA4" w:rsidRPr="00346CA4">
        <w:rPr>
          <w:rFonts w:ascii="Times New Roman" w:hAnsi="Times New Roman" w:cs="Times New Roman"/>
          <w:i/>
          <w:sz w:val="24"/>
          <w:szCs w:val="24"/>
        </w:rPr>
        <w:t>reliable</w:t>
      </w:r>
      <w:r w:rsidR="00346CA4">
        <w:rPr>
          <w:rFonts w:ascii="Times New Roman" w:hAnsi="Times New Roman" w:cs="Times New Roman"/>
          <w:sz w:val="24"/>
          <w:szCs w:val="24"/>
        </w:rPr>
        <w:t xml:space="preserve"> safeguard for a defendant</w:t>
      </w:r>
      <w:r w:rsidR="00823954">
        <w:rPr>
          <w:rFonts w:ascii="Times New Roman" w:hAnsi="Times New Roman" w:cs="Times New Roman"/>
          <w:sz w:val="24"/>
          <w:szCs w:val="24"/>
        </w:rPr>
        <w:t>, particularly a defendant</w:t>
      </w:r>
      <w:r w:rsidR="00024A6D">
        <w:rPr>
          <w:rFonts w:ascii="Times New Roman" w:hAnsi="Times New Roman" w:cs="Times New Roman"/>
          <w:sz w:val="24"/>
          <w:szCs w:val="24"/>
        </w:rPr>
        <w:t>/appellant</w:t>
      </w:r>
      <w:r w:rsidR="0006768E">
        <w:rPr>
          <w:rFonts w:ascii="Times New Roman" w:hAnsi="Times New Roman" w:cs="Times New Roman"/>
          <w:sz w:val="24"/>
          <w:szCs w:val="24"/>
        </w:rPr>
        <w:t xml:space="preserve"> such</w:t>
      </w:r>
      <w:r w:rsidR="00024A6D">
        <w:rPr>
          <w:rFonts w:ascii="Times New Roman" w:hAnsi="Times New Roman" w:cs="Times New Roman"/>
          <w:sz w:val="24"/>
          <w:szCs w:val="24"/>
        </w:rPr>
        <w:t xml:space="preserve"> as M where the evidence related</w:t>
      </w:r>
      <w:r w:rsidR="0006768E">
        <w:rPr>
          <w:rFonts w:ascii="Times New Roman" w:hAnsi="Times New Roman" w:cs="Times New Roman"/>
          <w:sz w:val="24"/>
          <w:szCs w:val="24"/>
        </w:rPr>
        <w:t xml:space="preserve"> to behaviour</w:t>
      </w:r>
      <w:r w:rsidR="00024A6D">
        <w:rPr>
          <w:rFonts w:ascii="Times New Roman" w:hAnsi="Times New Roman" w:cs="Times New Roman"/>
          <w:sz w:val="24"/>
          <w:szCs w:val="24"/>
        </w:rPr>
        <w:t>s that were</w:t>
      </w:r>
      <w:r w:rsidR="0006768E">
        <w:rPr>
          <w:rFonts w:ascii="Times New Roman" w:hAnsi="Times New Roman" w:cs="Times New Roman"/>
          <w:sz w:val="24"/>
          <w:szCs w:val="24"/>
        </w:rPr>
        <w:t xml:space="preserve"> alleged to have occurred when he was a child</w:t>
      </w:r>
      <w:r w:rsidR="00346CA4">
        <w:rPr>
          <w:rFonts w:ascii="Times New Roman" w:hAnsi="Times New Roman" w:cs="Times New Roman"/>
          <w:i/>
          <w:sz w:val="24"/>
          <w:szCs w:val="24"/>
        </w:rPr>
        <w:t>.</w:t>
      </w:r>
      <w:r w:rsidR="003C4D29">
        <w:rPr>
          <w:rFonts w:ascii="Times New Roman" w:hAnsi="Times New Roman" w:cs="Times New Roman"/>
          <w:i/>
          <w:sz w:val="24"/>
          <w:szCs w:val="24"/>
        </w:rPr>
        <w:t xml:space="preserve"> </w:t>
      </w:r>
      <w:r w:rsidR="00346CA4">
        <w:rPr>
          <w:rFonts w:ascii="Times New Roman" w:hAnsi="Times New Roman" w:cs="Times New Roman"/>
          <w:sz w:val="24"/>
          <w:szCs w:val="24"/>
        </w:rPr>
        <w:t>R</w:t>
      </w:r>
      <w:r w:rsidR="00F31205">
        <w:rPr>
          <w:rFonts w:ascii="Times New Roman" w:hAnsi="Times New Roman" w:cs="Times New Roman"/>
          <w:sz w:val="24"/>
          <w:szCs w:val="24"/>
        </w:rPr>
        <w:t xml:space="preserve">ead in conjunction with case law such as </w:t>
      </w:r>
      <w:r w:rsidR="00F31205" w:rsidRPr="008D0897">
        <w:rPr>
          <w:rFonts w:ascii="Times New Roman" w:hAnsi="Times New Roman" w:cs="Times New Roman"/>
          <w:i/>
          <w:sz w:val="24"/>
          <w:szCs w:val="24"/>
        </w:rPr>
        <w:t>R v Jahamithra Visvaniathan</w:t>
      </w:r>
      <w:r w:rsidR="00F31205">
        <w:rPr>
          <w:rFonts w:ascii="Times New Roman" w:hAnsi="Times New Roman" w:cs="Times New Roman"/>
          <w:sz w:val="24"/>
          <w:szCs w:val="24"/>
        </w:rPr>
        <w:t xml:space="preserve"> and </w:t>
      </w:r>
      <w:r w:rsidR="001454A7">
        <w:rPr>
          <w:rFonts w:ascii="Times New Roman" w:hAnsi="Times New Roman" w:cs="Times New Roman"/>
          <w:i/>
          <w:sz w:val="24"/>
          <w:szCs w:val="24"/>
        </w:rPr>
        <w:t>R v PB</w:t>
      </w:r>
      <w:r w:rsidR="00273BAB">
        <w:rPr>
          <w:rFonts w:ascii="Times New Roman" w:hAnsi="Times New Roman" w:cs="Times New Roman"/>
          <w:i/>
          <w:sz w:val="24"/>
          <w:szCs w:val="24"/>
        </w:rPr>
        <w:t xml:space="preserve"> </w:t>
      </w:r>
      <w:r w:rsidR="00823954">
        <w:rPr>
          <w:rFonts w:ascii="Times New Roman" w:hAnsi="Times New Roman" w:cs="Times New Roman"/>
          <w:sz w:val="24"/>
          <w:szCs w:val="24"/>
        </w:rPr>
        <w:t>it becomes increasingly clear that t</w:t>
      </w:r>
      <w:r w:rsidR="00823954" w:rsidRPr="003C4D29">
        <w:rPr>
          <w:rFonts w:ascii="Times New Roman" w:hAnsi="Times New Roman" w:cs="Times New Roman"/>
          <w:sz w:val="24"/>
          <w:szCs w:val="24"/>
        </w:rPr>
        <w:t>he</w:t>
      </w:r>
      <w:r w:rsidR="00823954">
        <w:rPr>
          <w:rFonts w:ascii="Times New Roman" w:hAnsi="Times New Roman" w:cs="Times New Roman"/>
          <w:sz w:val="24"/>
          <w:szCs w:val="24"/>
        </w:rPr>
        <w:t xml:space="preserve"> presence of a safeguard that is potentially so widely construed and difficult to engage as s101(3) CJA 2003 is incapable of providing a panacea for the denial of a retrospective presumption of </w:t>
      </w:r>
      <w:r w:rsidR="00823954">
        <w:rPr>
          <w:rFonts w:ascii="Times New Roman" w:hAnsi="Times New Roman" w:cs="Times New Roman"/>
          <w:i/>
          <w:sz w:val="24"/>
          <w:szCs w:val="24"/>
        </w:rPr>
        <w:t>doli incapax</w:t>
      </w:r>
      <w:r w:rsidR="00823954">
        <w:rPr>
          <w:rFonts w:ascii="Times New Roman" w:hAnsi="Times New Roman" w:cs="Times New Roman"/>
          <w:sz w:val="24"/>
          <w:szCs w:val="24"/>
        </w:rPr>
        <w:t xml:space="preserve">. </w:t>
      </w:r>
      <w:r w:rsidR="0006536E">
        <w:rPr>
          <w:rFonts w:ascii="Times New Roman" w:hAnsi="Times New Roman" w:cs="Times New Roman"/>
          <w:sz w:val="24"/>
          <w:szCs w:val="24"/>
        </w:rPr>
        <w:t xml:space="preserve"> </w:t>
      </w:r>
    </w:p>
    <w:p w14:paraId="798410FA" w14:textId="77777777" w:rsidR="00A43914" w:rsidRDefault="00A43914" w:rsidP="00AC2F18">
      <w:pPr>
        <w:autoSpaceDE w:val="0"/>
        <w:autoSpaceDN w:val="0"/>
        <w:adjustRightInd w:val="0"/>
        <w:spacing w:after="0" w:line="480" w:lineRule="auto"/>
        <w:jc w:val="both"/>
        <w:rPr>
          <w:rFonts w:ascii="Times New Roman" w:hAnsi="Times New Roman" w:cs="Times New Roman"/>
          <w:i/>
          <w:sz w:val="24"/>
          <w:szCs w:val="24"/>
        </w:rPr>
      </w:pPr>
    </w:p>
    <w:p w14:paraId="5A8C52DC" w14:textId="77777777" w:rsidR="005439CC" w:rsidRPr="00C9351C" w:rsidRDefault="005439CC" w:rsidP="00B00467">
      <w:pPr>
        <w:autoSpaceDE w:val="0"/>
        <w:autoSpaceDN w:val="0"/>
        <w:adjustRightInd w:val="0"/>
        <w:spacing w:after="0" w:line="480" w:lineRule="auto"/>
        <w:jc w:val="both"/>
        <w:outlineLvl w:val="0"/>
        <w:rPr>
          <w:rFonts w:ascii="Times New Roman" w:hAnsi="Times New Roman" w:cs="Times New Roman"/>
          <w:b/>
          <w:sz w:val="24"/>
          <w:szCs w:val="24"/>
        </w:rPr>
      </w:pPr>
      <w:r w:rsidRPr="00C9351C">
        <w:rPr>
          <w:rFonts w:ascii="Times New Roman" w:hAnsi="Times New Roman" w:cs="Times New Roman"/>
          <w:b/>
          <w:sz w:val="24"/>
          <w:szCs w:val="24"/>
        </w:rPr>
        <w:t>Section 108 Criminal Justice Act 2003</w:t>
      </w:r>
      <w:r w:rsidR="00F97E06" w:rsidRPr="00C9351C">
        <w:rPr>
          <w:rFonts w:ascii="Times New Roman" w:hAnsi="Times New Roman" w:cs="Times New Roman"/>
          <w:b/>
          <w:sz w:val="24"/>
          <w:szCs w:val="24"/>
        </w:rPr>
        <w:t>: consideration of youthful misbehaviour</w:t>
      </w:r>
    </w:p>
    <w:p w14:paraId="5453AE7E" w14:textId="6819F9FB" w:rsidR="00C9351C" w:rsidRDefault="00F97E06" w:rsidP="00F97E0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significant that s108(1) CJA 2003 abolished </w:t>
      </w:r>
      <w:r w:rsidR="00FD08A3">
        <w:rPr>
          <w:rFonts w:ascii="Times New Roman" w:hAnsi="Times New Roman" w:cs="Times New Roman"/>
          <w:sz w:val="24"/>
          <w:szCs w:val="24"/>
        </w:rPr>
        <w:t>s</w:t>
      </w:r>
      <w:r>
        <w:rPr>
          <w:rFonts w:ascii="Times New Roman" w:hAnsi="Times New Roman" w:cs="Times New Roman"/>
          <w:sz w:val="24"/>
          <w:szCs w:val="24"/>
        </w:rPr>
        <w:t xml:space="preserve">16(2)-(3) </w:t>
      </w:r>
      <w:r w:rsidRPr="00C2116F">
        <w:rPr>
          <w:rFonts w:ascii="Times New Roman" w:hAnsi="Times New Roman" w:cs="Times New Roman"/>
          <w:sz w:val="24"/>
          <w:szCs w:val="24"/>
        </w:rPr>
        <w:t xml:space="preserve">of the Children and Young Persons Act </w:t>
      </w:r>
      <w:r w:rsidR="008C175D">
        <w:rPr>
          <w:rFonts w:ascii="Times New Roman" w:hAnsi="Times New Roman" w:cs="Times New Roman"/>
          <w:sz w:val="24"/>
          <w:szCs w:val="24"/>
        </w:rPr>
        <w:t>1963</w:t>
      </w:r>
      <w:r w:rsidR="007A304E">
        <w:rPr>
          <w:rFonts w:ascii="Times New Roman" w:hAnsi="Times New Roman" w:cs="Times New Roman"/>
          <w:sz w:val="24"/>
          <w:szCs w:val="24"/>
        </w:rPr>
        <w:t xml:space="preserve"> (CYPA 1963)</w:t>
      </w:r>
      <w:r>
        <w:rPr>
          <w:rFonts w:ascii="Times New Roman" w:hAnsi="Times New Roman" w:cs="Times New Roman"/>
          <w:sz w:val="24"/>
          <w:szCs w:val="24"/>
        </w:rPr>
        <w:t>.</w:t>
      </w:r>
      <w:r w:rsidR="008C175D" w:rsidRPr="008C175D">
        <w:rPr>
          <w:rStyle w:val="FootnoteReference"/>
          <w:rFonts w:ascii="Times New Roman" w:hAnsi="Times New Roman" w:cs="Times New Roman"/>
          <w:sz w:val="24"/>
          <w:szCs w:val="24"/>
        </w:rPr>
        <w:t xml:space="preserve"> </w:t>
      </w:r>
      <w:r w:rsidR="008C175D" w:rsidRPr="006E1CD3">
        <w:rPr>
          <w:rFonts w:ascii="Times New Roman" w:hAnsi="Times New Roman" w:cs="Times New Roman"/>
          <w:sz w:val="24"/>
          <w:szCs w:val="24"/>
        </w:rPr>
        <w:t xml:space="preserve">This provision </w:t>
      </w:r>
      <w:r w:rsidR="004C57F1">
        <w:rPr>
          <w:rFonts w:ascii="Times New Roman" w:hAnsi="Times New Roman" w:cs="Times New Roman"/>
          <w:sz w:val="24"/>
          <w:szCs w:val="24"/>
        </w:rPr>
        <w:t xml:space="preserve">of the 1963 Act </w:t>
      </w:r>
      <w:r w:rsidR="008C175D" w:rsidRPr="006E1CD3">
        <w:rPr>
          <w:rFonts w:ascii="Times New Roman" w:hAnsi="Times New Roman" w:cs="Times New Roman"/>
          <w:sz w:val="24"/>
          <w:szCs w:val="24"/>
        </w:rPr>
        <w:t xml:space="preserve">effected </w:t>
      </w:r>
      <w:r>
        <w:rPr>
          <w:rFonts w:ascii="Times New Roman" w:hAnsi="Times New Roman" w:cs="Times New Roman"/>
          <w:sz w:val="24"/>
          <w:szCs w:val="24"/>
        </w:rPr>
        <w:t xml:space="preserve">a wholesale ban on the admission of evidence of bad character where D was over 21, and the BCE pertained to convictions for offences committed before D was 14. This prohibition held, even where the evidence would have been admitted </w:t>
      </w:r>
      <w:r w:rsidR="004C57F1">
        <w:rPr>
          <w:rFonts w:ascii="Times New Roman" w:hAnsi="Times New Roman" w:cs="Times New Roman"/>
          <w:sz w:val="24"/>
          <w:szCs w:val="24"/>
        </w:rPr>
        <w:t>under the</w:t>
      </w:r>
      <w:r>
        <w:rPr>
          <w:rFonts w:ascii="Times New Roman" w:hAnsi="Times New Roman" w:cs="Times New Roman"/>
          <w:sz w:val="24"/>
          <w:szCs w:val="24"/>
        </w:rPr>
        <w:t xml:space="preserve"> (</w:t>
      </w:r>
      <w:r w:rsidR="001C6C17">
        <w:rPr>
          <w:rFonts w:ascii="Times New Roman" w:hAnsi="Times New Roman" w:cs="Times New Roman"/>
          <w:sz w:val="24"/>
          <w:szCs w:val="24"/>
        </w:rPr>
        <w:t>no longer applicable</w:t>
      </w:r>
      <w:r>
        <w:rPr>
          <w:rFonts w:ascii="Times New Roman" w:hAnsi="Times New Roman" w:cs="Times New Roman"/>
          <w:sz w:val="24"/>
          <w:szCs w:val="24"/>
        </w:rPr>
        <w:t>) rules in the Criminal Evidence Act 1898, s1.</w:t>
      </w:r>
      <w:r w:rsidR="008C175D" w:rsidRPr="006E1CD3">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As Baroness Scotland of Asthal clarified during the House of Lords debates on the then Criminal Justice Bill in Se</w:t>
      </w:r>
      <w:r w:rsidR="007A304E">
        <w:rPr>
          <w:rFonts w:ascii="Times New Roman" w:hAnsi="Times New Roman" w:cs="Times New Roman"/>
          <w:sz w:val="24"/>
          <w:szCs w:val="24"/>
        </w:rPr>
        <w:t>ptember 2003, s108 CJA 2003 was:</w:t>
      </w:r>
    </w:p>
    <w:p w14:paraId="2959F92F" w14:textId="1E013367" w:rsidR="00C9351C" w:rsidRDefault="007A304E" w:rsidP="00C9351C">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97E06">
        <w:rPr>
          <w:rFonts w:ascii="Times New Roman" w:hAnsi="Times New Roman" w:cs="Times New Roman"/>
          <w:sz w:val="24"/>
          <w:szCs w:val="24"/>
        </w:rPr>
        <w:t>intended to remove the absolute barrier to admitting evidence of certain juvenile convictions in trials of offences committed as an adult… our aim is to simplify the plethora of rules governing the use of previous convictions… and enable that material to be admitted and assessed on its evidential merits</w:t>
      </w:r>
      <w:r w:rsidR="008C175D">
        <w:rPr>
          <w:rFonts w:ascii="Times New Roman" w:hAnsi="Times New Roman" w:cs="Times New Roman"/>
          <w:sz w:val="24"/>
          <w:szCs w:val="24"/>
        </w:rPr>
        <w:t>.</w:t>
      </w:r>
      <w:r>
        <w:rPr>
          <w:rFonts w:ascii="Times New Roman" w:hAnsi="Times New Roman" w:cs="Times New Roman"/>
          <w:sz w:val="24"/>
          <w:szCs w:val="24"/>
        </w:rPr>
        <w:t>’</w:t>
      </w:r>
      <w:r w:rsidR="008C175D" w:rsidRPr="006E1CD3">
        <w:rPr>
          <w:rStyle w:val="FootnoteReference"/>
          <w:rFonts w:ascii="Times New Roman" w:hAnsi="Times New Roman" w:cs="Times New Roman"/>
          <w:sz w:val="24"/>
          <w:szCs w:val="24"/>
        </w:rPr>
        <w:footnoteReference w:id="40"/>
      </w:r>
    </w:p>
    <w:p w14:paraId="6EDEC9A9" w14:textId="3BE43A4C" w:rsidR="00C92288" w:rsidRDefault="00F97E06" w:rsidP="00395D6E">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Baroness explains further that the idea behind the abolition of s16 of the CYPA 1963 was to create more flexibility and facilitate the admission of relevant BCE ‘provided – I empha</w:t>
      </w:r>
      <w:r w:rsidR="008C175D">
        <w:rPr>
          <w:rFonts w:ascii="Times New Roman" w:hAnsi="Times New Roman" w:cs="Times New Roman"/>
          <w:sz w:val="24"/>
          <w:szCs w:val="24"/>
        </w:rPr>
        <w:t>sis this – it is safe to do so’.</w:t>
      </w:r>
      <w:r w:rsidR="008C175D" w:rsidRPr="006E1CD3">
        <w:rPr>
          <w:rStyle w:val="FootnoteReference"/>
          <w:rFonts w:ascii="Times New Roman" w:hAnsi="Times New Roman" w:cs="Times New Roman"/>
          <w:sz w:val="24"/>
          <w:szCs w:val="24"/>
        </w:rPr>
        <w:footnoteReference w:id="41"/>
      </w:r>
      <w:r w:rsidR="00395D6E" w:rsidRPr="00395D6E">
        <w:rPr>
          <w:rFonts w:ascii="Times New Roman" w:hAnsi="Times New Roman" w:cs="Times New Roman"/>
          <w:sz w:val="24"/>
          <w:szCs w:val="24"/>
        </w:rPr>
        <w:t xml:space="preserve"> </w:t>
      </w:r>
      <w:r w:rsidR="00395D6E">
        <w:rPr>
          <w:rFonts w:ascii="Times New Roman" w:hAnsi="Times New Roman" w:cs="Times New Roman"/>
          <w:sz w:val="24"/>
          <w:szCs w:val="24"/>
        </w:rPr>
        <w:t xml:space="preserve">Accordingly section </w:t>
      </w:r>
      <w:r w:rsidR="00395D6E" w:rsidRPr="008C68E4">
        <w:rPr>
          <w:rFonts w:ascii="Times New Roman" w:hAnsi="Times New Roman" w:cs="Times New Roman"/>
          <w:sz w:val="24"/>
          <w:szCs w:val="24"/>
        </w:rPr>
        <w:t>108(2) CJA 2003</w:t>
      </w:r>
      <w:r w:rsidR="00395D6E">
        <w:rPr>
          <w:rFonts w:ascii="Times New Roman" w:hAnsi="Times New Roman" w:cs="Times New Roman"/>
          <w:sz w:val="24"/>
          <w:szCs w:val="24"/>
        </w:rPr>
        <w:t xml:space="preserve"> </w:t>
      </w:r>
      <w:r w:rsidR="008235C0" w:rsidRPr="008C68E4">
        <w:rPr>
          <w:rFonts w:ascii="Times New Roman" w:hAnsi="Times New Roman" w:cs="Times New Roman"/>
          <w:sz w:val="24"/>
          <w:szCs w:val="24"/>
        </w:rPr>
        <w:t>states</w:t>
      </w:r>
      <w:r w:rsidR="00395D6E">
        <w:rPr>
          <w:rFonts w:ascii="Times New Roman" w:hAnsi="Times New Roman" w:cs="Times New Roman"/>
          <w:sz w:val="24"/>
          <w:szCs w:val="24"/>
        </w:rPr>
        <w:t xml:space="preserve"> that</w:t>
      </w:r>
      <w:r w:rsidR="00395D6E" w:rsidRPr="00395D6E">
        <w:rPr>
          <w:rFonts w:ascii="Times New Roman" w:hAnsi="Times New Roman" w:cs="Times New Roman"/>
          <w:sz w:val="24"/>
          <w:szCs w:val="24"/>
        </w:rPr>
        <w:t xml:space="preserve"> </w:t>
      </w:r>
      <w:r w:rsidR="00395D6E">
        <w:rPr>
          <w:rFonts w:ascii="Times New Roman" w:hAnsi="Times New Roman" w:cs="Times New Roman"/>
          <w:sz w:val="24"/>
          <w:szCs w:val="24"/>
        </w:rPr>
        <w:t>the juvenile BCE of an adult (over 21) can only be admitted where the offence is triable on indictment and it is in the interests of justice that it is admissible.</w:t>
      </w:r>
      <w:r w:rsidR="00395D6E">
        <w:rPr>
          <w:rStyle w:val="FootnoteReference"/>
          <w:rFonts w:ascii="Times New Roman" w:hAnsi="Times New Roman" w:cs="Times New Roman"/>
          <w:sz w:val="24"/>
          <w:szCs w:val="24"/>
        </w:rPr>
        <w:footnoteReference w:id="42"/>
      </w:r>
      <w:r w:rsidR="00395D6E">
        <w:rPr>
          <w:rFonts w:ascii="Times New Roman" w:hAnsi="Times New Roman" w:cs="Times New Roman"/>
          <w:sz w:val="24"/>
          <w:szCs w:val="24"/>
        </w:rPr>
        <w:t xml:space="preserve"> </w:t>
      </w:r>
      <w:r w:rsidR="00E62621">
        <w:rPr>
          <w:rFonts w:ascii="Times New Roman" w:hAnsi="Times New Roman" w:cs="Times New Roman"/>
          <w:sz w:val="24"/>
          <w:szCs w:val="24"/>
        </w:rPr>
        <w:t>At first glance, s108 would appear to offer a safety net to</w:t>
      </w:r>
      <w:r w:rsidR="001429B2">
        <w:rPr>
          <w:rFonts w:ascii="Times New Roman" w:hAnsi="Times New Roman" w:cs="Times New Roman"/>
          <w:sz w:val="24"/>
          <w:szCs w:val="24"/>
        </w:rPr>
        <w:t xml:space="preserve"> defendants who offend or act </w:t>
      </w:r>
      <w:r w:rsidR="00D81811">
        <w:rPr>
          <w:rFonts w:ascii="Times New Roman" w:hAnsi="Times New Roman" w:cs="Times New Roman"/>
          <w:sz w:val="24"/>
          <w:szCs w:val="24"/>
        </w:rPr>
        <w:t>in a harmful manner</w:t>
      </w:r>
      <w:r w:rsidR="001429B2">
        <w:rPr>
          <w:rFonts w:ascii="Times New Roman" w:hAnsi="Times New Roman" w:cs="Times New Roman"/>
          <w:sz w:val="24"/>
          <w:szCs w:val="24"/>
        </w:rPr>
        <w:t xml:space="preserve"> as children, in that the </w:t>
      </w:r>
      <w:r>
        <w:rPr>
          <w:rFonts w:ascii="Times New Roman" w:hAnsi="Times New Roman" w:cs="Times New Roman"/>
          <w:sz w:val="24"/>
          <w:szCs w:val="24"/>
        </w:rPr>
        <w:t xml:space="preserve">2003 </w:t>
      </w:r>
      <w:r w:rsidR="001429B2">
        <w:rPr>
          <w:rFonts w:ascii="Times New Roman" w:hAnsi="Times New Roman" w:cs="Times New Roman"/>
          <w:sz w:val="24"/>
          <w:szCs w:val="24"/>
        </w:rPr>
        <w:t>Act prohibits admission of BCE where D was</w:t>
      </w:r>
      <w:r w:rsidR="00395D6E">
        <w:rPr>
          <w:rFonts w:ascii="Times New Roman" w:hAnsi="Times New Roman" w:cs="Times New Roman"/>
          <w:sz w:val="24"/>
          <w:szCs w:val="24"/>
        </w:rPr>
        <w:t xml:space="preserve"> under</w:t>
      </w:r>
      <w:r w:rsidR="001429B2">
        <w:rPr>
          <w:rFonts w:ascii="Times New Roman" w:hAnsi="Times New Roman" w:cs="Times New Roman"/>
          <w:sz w:val="24"/>
          <w:szCs w:val="24"/>
        </w:rPr>
        <w:t xml:space="preserve"> 14 years old at the time the BCE originated and is over 21 at the time they are charged. However, on closer inspection, it becomes apparent that this provision is likely to have</w:t>
      </w:r>
      <w:r w:rsidR="00600D09">
        <w:rPr>
          <w:rFonts w:ascii="Times New Roman" w:hAnsi="Times New Roman" w:cs="Times New Roman"/>
          <w:sz w:val="24"/>
          <w:szCs w:val="24"/>
        </w:rPr>
        <w:t xml:space="preserve"> very little</w:t>
      </w:r>
      <w:r w:rsidR="001429B2">
        <w:rPr>
          <w:rFonts w:ascii="Times New Roman" w:hAnsi="Times New Roman" w:cs="Times New Roman"/>
          <w:sz w:val="24"/>
          <w:szCs w:val="24"/>
        </w:rPr>
        <w:t xml:space="preserve"> practical</w:t>
      </w:r>
      <w:r w:rsidR="00600D09">
        <w:rPr>
          <w:rFonts w:ascii="Times New Roman" w:hAnsi="Times New Roman" w:cs="Times New Roman"/>
          <w:sz w:val="24"/>
          <w:szCs w:val="24"/>
        </w:rPr>
        <w:t xml:space="preserve"> application as</w:t>
      </w:r>
      <w:r w:rsidR="001429B2">
        <w:rPr>
          <w:rFonts w:ascii="Times New Roman" w:hAnsi="Times New Roman" w:cs="Times New Roman"/>
          <w:sz w:val="24"/>
          <w:szCs w:val="24"/>
        </w:rPr>
        <w:t xml:space="preserve"> the</w:t>
      </w:r>
      <w:r w:rsidR="00600D09">
        <w:rPr>
          <w:rFonts w:ascii="Times New Roman" w:hAnsi="Times New Roman" w:cs="Times New Roman"/>
          <w:sz w:val="24"/>
          <w:szCs w:val="24"/>
        </w:rPr>
        <w:t xml:space="preserve"> nature of </w:t>
      </w:r>
      <w:r w:rsidR="001429B2">
        <w:rPr>
          <w:rFonts w:ascii="Times New Roman" w:hAnsi="Times New Roman" w:cs="Times New Roman"/>
          <w:sz w:val="24"/>
          <w:szCs w:val="24"/>
        </w:rPr>
        <w:t xml:space="preserve">the s108 </w:t>
      </w:r>
      <w:r w:rsidR="00600D09">
        <w:rPr>
          <w:rFonts w:ascii="Times New Roman" w:hAnsi="Times New Roman" w:cs="Times New Roman"/>
          <w:sz w:val="24"/>
          <w:szCs w:val="24"/>
        </w:rPr>
        <w:t>wording is such that it makes it very difficult to apply</w:t>
      </w:r>
      <w:r w:rsidR="001429B2">
        <w:rPr>
          <w:rFonts w:ascii="Times New Roman" w:hAnsi="Times New Roman" w:cs="Times New Roman"/>
          <w:sz w:val="24"/>
          <w:szCs w:val="24"/>
        </w:rPr>
        <w:t>, especially given the arbitrary age limits that define the scope of the provision</w:t>
      </w:r>
      <w:r w:rsidR="00591BBA">
        <w:rPr>
          <w:rFonts w:ascii="Times New Roman" w:hAnsi="Times New Roman" w:cs="Times New Roman"/>
          <w:sz w:val="24"/>
          <w:szCs w:val="24"/>
        </w:rPr>
        <w:t>.</w:t>
      </w:r>
      <w:r w:rsidR="008C175D" w:rsidRPr="008C175D">
        <w:rPr>
          <w:rStyle w:val="FootnoteReference"/>
          <w:rFonts w:ascii="Times New Roman" w:hAnsi="Times New Roman" w:cs="Times New Roman"/>
          <w:sz w:val="24"/>
          <w:szCs w:val="24"/>
        </w:rPr>
        <w:t xml:space="preserve"> </w:t>
      </w:r>
      <w:r w:rsidR="00C92288">
        <w:rPr>
          <w:rFonts w:ascii="Times New Roman" w:hAnsi="Times New Roman" w:cs="Times New Roman"/>
          <w:sz w:val="24"/>
          <w:szCs w:val="24"/>
        </w:rPr>
        <w:t>I</w:t>
      </w:r>
      <w:r w:rsidR="0084302C">
        <w:rPr>
          <w:rFonts w:ascii="Times New Roman" w:hAnsi="Times New Roman" w:cs="Times New Roman"/>
          <w:sz w:val="24"/>
          <w:szCs w:val="24"/>
        </w:rPr>
        <w:t xml:space="preserve">n </w:t>
      </w:r>
      <w:r w:rsidR="0084302C">
        <w:rPr>
          <w:rFonts w:ascii="Times New Roman" w:hAnsi="Times New Roman" w:cs="Times New Roman"/>
          <w:i/>
          <w:sz w:val="24"/>
          <w:szCs w:val="24"/>
        </w:rPr>
        <w:t>B (Richard William)</w:t>
      </w:r>
      <w:r w:rsidR="008C175D" w:rsidRPr="00395D6E">
        <w:rPr>
          <w:rStyle w:val="FootnoteReference"/>
          <w:rFonts w:ascii="Times New Roman" w:hAnsi="Times New Roman" w:cs="Times New Roman"/>
          <w:sz w:val="24"/>
          <w:szCs w:val="24"/>
        </w:rPr>
        <w:footnoteReference w:id="43"/>
      </w:r>
      <w:r w:rsidR="0084302C" w:rsidRPr="00395D6E">
        <w:rPr>
          <w:rFonts w:ascii="Times New Roman" w:hAnsi="Times New Roman" w:cs="Times New Roman"/>
          <w:sz w:val="24"/>
          <w:szCs w:val="24"/>
        </w:rPr>
        <w:t xml:space="preserve"> </w:t>
      </w:r>
      <w:r w:rsidR="00C92288" w:rsidRPr="00C92288">
        <w:rPr>
          <w:rFonts w:ascii="Times New Roman" w:hAnsi="Times New Roman" w:cs="Times New Roman"/>
          <w:sz w:val="24"/>
          <w:szCs w:val="24"/>
        </w:rPr>
        <w:t xml:space="preserve">D was 14 at the time of the BCE which meant the safeguard </w:t>
      </w:r>
      <w:r w:rsidR="00C92288">
        <w:rPr>
          <w:rFonts w:ascii="Times New Roman" w:hAnsi="Times New Roman" w:cs="Times New Roman"/>
          <w:sz w:val="24"/>
          <w:szCs w:val="24"/>
        </w:rPr>
        <w:t xml:space="preserve">in s108 </w:t>
      </w:r>
      <w:r w:rsidR="00C92288" w:rsidRPr="00C92288">
        <w:rPr>
          <w:rFonts w:ascii="Times New Roman" w:hAnsi="Times New Roman" w:cs="Times New Roman"/>
          <w:sz w:val="24"/>
          <w:szCs w:val="24"/>
        </w:rPr>
        <w:t>did not apply despite the appellate court recognising</w:t>
      </w:r>
      <w:r w:rsidR="003F2F1F">
        <w:rPr>
          <w:rStyle w:val="FootnoteReference"/>
          <w:rFonts w:ascii="Times New Roman" w:hAnsi="Times New Roman" w:cs="Times New Roman"/>
          <w:sz w:val="24"/>
          <w:szCs w:val="24"/>
        </w:rPr>
        <w:footnoteReference w:id="44"/>
      </w:r>
      <w:r w:rsidR="003F2F1F">
        <w:rPr>
          <w:rFonts w:ascii="Times New Roman" w:hAnsi="Times New Roman" w:cs="Times New Roman"/>
          <w:sz w:val="24"/>
          <w:szCs w:val="24"/>
        </w:rPr>
        <w:t xml:space="preserve"> </w:t>
      </w:r>
      <w:r w:rsidR="00C92288" w:rsidRPr="00C92288">
        <w:rPr>
          <w:rFonts w:ascii="Times New Roman" w:hAnsi="Times New Roman" w:cs="Times New Roman"/>
          <w:sz w:val="24"/>
          <w:szCs w:val="24"/>
        </w:rPr>
        <w:t>the danger inherent in allowing a jury to infer that D (aged 38) had a propensity towards sexual activity with children on the basis of</w:t>
      </w:r>
      <w:r w:rsidR="00395D6E">
        <w:rPr>
          <w:rFonts w:ascii="Times New Roman" w:hAnsi="Times New Roman" w:cs="Times New Roman"/>
          <w:sz w:val="24"/>
          <w:szCs w:val="24"/>
        </w:rPr>
        <w:t xml:space="preserve"> behaviours when D was aged 14</w:t>
      </w:r>
      <w:r w:rsidR="00C92288" w:rsidRPr="00C92288">
        <w:rPr>
          <w:rFonts w:ascii="Times New Roman" w:hAnsi="Times New Roman" w:cs="Times New Roman"/>
          <w:sz w:val="24"/>
          <w:szCs w:val="24"/>
        </w:rPr>
        <w:t>.</w:t>
      </w:r>
      <w:r w:rsidR="00395D6E">
        <w:rPr>
          <w:rStyle w:val="FootnoteReference"/>
          <w:rFonts w:ascii="Times New Roman" w:hAnsi="Times New Roman" w:cs="Times New Roman"/>
          <w:sz w:val="24"/>
          <w:szCs w:val="24"/>
        </w:rPr>
        <w:footnoteReference w:id="45"/>
      </w:r>
      <w:r w:rsidR="00C92288" w:rsidRPr="00C92288">
        <w:rPr>
          <w:rFonts w:ascii="Times New Roman" w:hAnsi="Times New Roman" w:cs="Times New Roman"/>
          <w:sz w:val="24"/>
          <w:szCs w:val="24"/>
        </w:rPr>
        <w:t xml:space="preserve"> Further in </w:t>
      </w:r>
      <w:r w:rsidR="00C92288" w:rsidRPr="00C92288">
        <w:rPr>
          <w:rFonts w:ascii="Times New Roman" w:hAnsi="Times New Roman" w:cs="Times New Roman"/>
          <w:i/>
          <w:sz w:val="24"/>
          <w:szCs w:val="24"/>
        </w:rPr>
        <w:t>R v Hickinbottom</w:t>
      </w:r>
      <w:r w:rsidR="008C175D" w:rsidRPr="00395D6E">
        <w:rPr>
          <w:rStyle w:val="FootnoteReference"/>
          <w:rFonts w:ascii="Times New Roman" w:hAnsi="Times New Roman" w:cs="Times New Roman"/>
          <w:sz w:val="24"/>
          <w:szCs w:val="24"/>
        </w:rPr>
        <w:footnoteReference w:id="46"/>
      </w:r>
      <w:r w:rsidR="00C92288" w:rsidRPr="00395D6E">
        <w:rPr>
          <w:rFonts w:ascii="Times New Roman" w:hAnsi="Times New Roman" w:cs="Times New Roman"/>
          <w:sz w:val="24"/>
          <w:szCs w:val="24"/>
        </w:rPr>
        <w:t xml:space="preserve"> </w:t>
      </w:r>
      <w:r w:rsidR="00C92288">
        <w:rPr>
          <w:rFonts w:ascii="Times New Roman" w:hAnsi="Times New Roman" w:cs="Times New Roman"/>
          <w:sz w:val="24"/>
          <w:szCs w:val="24"/>
        </w:rPr>
        <w:t>it emerged on appeal that s</w:t>
      </w:r>
      <w:r w:rsidR="00C92288" w:rsidRPr="00C92288">
        <w:rPr>
          <w:rFonts w:ascii="Times New Roman" w:hAnsi="Times New Roman" w:cs="Times New Roman"/>
          <w:sz w:val="24"/>
          <w:szCs w:val="24"/>
        </w:rPr>
        <w:t xml:space="preserve">108 could have been </w:t>
      </w:r>
      <w:r w:rsidR="00A416AA" w:rsidRPr="00C92288">
        <w:rPr>
          <w:rFonts w:ascii="Times New Roman" w:hAnsi="Times New Roman" w:cs="Times New Roman"/>
          <w:sz w:val="24"/>
          <w:szCs w:val="24"/>
        </w:rPr>
        <w:t>applicable,</w:t>
      </w:r>
      <w:r w:rsidR="00C92288" w:rsidRPr="00C92288">
        <w:rPr>
          <w:rFonts w:ascii="Times New Roman" w:hAnsi="Times New Roman" w:cs="Times New Roman"/>
          <w:sz w:val="24"/>
          <w:szCs w:val="24"/>
        </w:rPr>
        <w:t xml:space="preserve"> but the Court stated that this would not have altered the decision</w:t>
      </w:r>
      <w:r w:rsidR="00395D6E">
        <w:rPr>
          <w:rStyle w:val="FootnoteReference"/>
          <w:rFonts w:ascii="Times New Roman" w:hAnsi="Times New Roman" w:cs="Times New Roman"/>
          <w:sz w:val="24"/>
          <w:szCs w:val="24"/>
        </w:rPr>
        <w:footnoteReference w:id="47"/>
      </w:r>
      <w:r w:rsidR="00395D6E">
        <w:rPr>
          <w:rFonts w:ascii="Times New Roman" w:hAnsi="Times New Roman" w:cs="Times New Roman"/>
          <w:sz w:val="24"/>
          <w:szCs w:val="24"/>
        </w:rPr>
        <w:t xml:space="preserve"> </w:t>
      </w:r>
      <w:r w:rsidR="00C92288" w:rsidRPr="00C92288">
        <w:rPr>
          <w:rFonts w:ascii="Times New Roman" w:hAnsi="Times New Roman" w:cs="Times New Roman"/>
          <w:sz w:val="24"/>
          <w:szCs w:val="24"/>
        </w:rPr>
        <w:t>– which begs the question of what exactly s108 CJA 2003 can realistically achieve as</w:t>
      </w:r>
      <w:r w:rsidR="00C92288">
        <w:rPr>
          <w:rFonts w:ascii="Times New Roman" w:hAnsi="Times New Roman" w:cs="Times New Roman"/>
          <w:sz w:val="24"/>
          <w:szCs w:val="24"/>
        </w:rPr>
        <w:t xml:space="preserve"> a safeguard</w:t>
      </w:r>
      <w:r w:rsidR="008B4019">
        <w:rPr>
          <w:rFonts w:ascii="Times New Roman" w:hAnsi="Times New Roman" w:cs="Times New Roman"/>
          <w:sz w:val="24"/>
          <w:szCs w:val="24"/>
        </w:rPr>
        <w:t>, especially</w:t>
      </w:r>
      <w:r w:rsidR="00C92288">
        <w:rPr>
          <w:rFonts w:ascii="Times New Roman" w:hAnsi="Times New Roman" w:cs="Times New Roman"/>
          <w:sz w:val="24"/>
          <w:szCs w:val="24"/>
        </w:rPr>
        <w:t xml:space="preserve"> when defined in such an </w:t>
      </w:r>
      <w:r w:rsidR="00555DDA">
        <w:rPr>
          <w:rFonts w:ascii="Times New Roman" w:hAnsi="Times New Roman" w:cs="Times New Roman"/>
          <w:sz w:val="24"/>
          <w:szCs w:val="24"/>
        </w:rPr>
        <w:t>inaccessible</w:t>
      </w:r>
      <w:r w:rsidR="00C92288">
        <w:rPr>
          <w:rFonts w:ascii="Times New Roman" w:hAnsi="Times New Roman" w:cs="Times New Roman"/>
          <w:sz w:val="24"/>
          <w:szCs w:val="24"/>
        </w:rPr>
        <w:t xml:space="preserve"> way</w:t>
      </w:r>
      <w:r w:rsidR="00C92288" w:rsidRPr="00C92288">
        <w:rPr>
          <w:rFonts w:ascii="Times New Roman" w:hAnsi="Times New Roman" w:cs="Times New Roman"/>
          <w:sz w:val="24"/>
          <w:szCs w:val="24"/>
        </w:rPr>
        <w:t>.</w:t>
      </w:r>
    </w:p>
    <w:p w14:paraId="36920266" w14:textId="77777777" w:rsidR="00395D6E" w:rsidRDefault="00F643BE" w:rsidP="00AA74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of Appeal in </w:t>
      </w:r>
      <w:r>
        <w:rPr>
          <w:rFonts w:ascii="Times New Roman" w:hAnsi="Times New Roman" w:cs="Times New Roman"/>
          <w:i/>
          <w:sz w:val="24"/>
          <w:szCs w:val="24"/>
        </w:rPr>
        <w:t xml:space="preserve">B (Richard William) </w:t>
      </w:r>
      <w:r>
        <w:rPr>
          <w:rFonts w:ascii="Times New Roman" w:hAnsi="Times New Roman" w:cs="Times New Roman"/>
          <w:sz w:val="24"/>
          <w:szCs w:val="24"/>
        </w:rPr>
        <w:t>further</w:t>
      </w:r>
      <w:r w:rsidR="0084302C">
        <w:rPr>
          <w:rFonts w:ascii="Times New Roman" w:hAnsi="Times New Roman" w:cs="Times New Roman"/>
          <w:sz w:val="24"/>
          <w:szCs w:val="24"/>
        </w:rPr>
        <w:t xml:space="preserve"> recognise that </w:t>
      </w:r>
      <w:r w:rsidR="0035327D">
        <w:rPr>
          <w:rFonts w:ascii="Times New Roman" w:hAnsi="Times New Roman" w:cs="Times New Roman"/>
          <w:sz w:val="24"/>
          <w:szCs w:val="24"/>
        </w:rPr>
        <w:t>‘</w:t>
      </w:r>
      <w:r w:rsidR="00306225" w:rsidRPr="00306225">
        <w:rPr>
          <w:rFonts w:ascii="Times New Roman" w:hAnsi="Times New Roman" w:cs="Times New Roman"/>
          <w:sz w:val="24"/>
          <w:szCs w:val="24"/>
        </w:rPr>
        <w:t xml:space="preserve">when </w:t>
      </w:r>
      <w:r w:rsidR="0035327D">
        <w:rPr>
          <w:rFonts w:ascii="Times New Roman" w:hAnsi="Times New Roman" w:cs="Times New Roman"/>
          <w:sz w:val="24"/>
          <w:szCs w:val="24"/>
        </w:rPr>
        <w:t>[s]</w:t>
      </w:r>
      <w:r w:rsidR="00306225" w:rsidRPr="00306225">
        <w:rPr>
          <w:rFonts w:ascii="Times New Roman" w:hAnsi="Times New Roman" w:cs="Times New Roman"/>
          <w:sz w:val="24"/>
          <w:szCs w:val="24"/>
        </w:rPr>
        <w:t>108 was inserted into the Bill and approved, it was not realised that the bad character provisions under gateway (d) could include misconduct which had not led to a conviction</w:t>
      </w:r>
      <w:r w:rsidR="0035327D">
        <w:rPr>
          <w:rFonts w:ascii="Times New Roman" w:hAnsi="Times New Roman" w:cs="Times New Roman"/>
          <w:sz w:val="24"/>
          <w:szCs w:val="24"/>
        </w:rPr>
        <w:t>’</w:t>
      </w:r>
      <w:r w:rsidR="008C175D">
        <w:rPr>
          <w:rFonts w:ascii="Times New Roman" w:hAnsi="Times New Roman" w:cs="Times New Roman"/>
          <w:sz w:val="24"/>
          <w:szCs w:val="24"/>
        </w:rPr>
        <w:t>.</w:t>
      </w:r>
      <w:r w:rsidR="008C175D" w:rsidRPr="006E1CD3">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w:t>
      </w:r>
      <w:r w:rsidR="0035327D">
        <w:rPr>
          <w:rFonts w:ascii="Times New Roman" w:hAnsi="Times New Roman" w:cs="Times New Roman"/>
          <w:sz w:val="24"/>
          <w:szCs w:val="24"/>
        </w:rPr>
        <w:t>The literal wording of the provision suggests that only behaviour amounting to the commission of an offence is relevant BCE for s108 purposes.</w:t>
      </w:r>
      <w:r w:rsidR="00306225" w:rsidRPr="00306225">
        <w:rPr>
          <w:rFonts w:ascii="Times New Roman" w:hAnsi="Times New Roman" w:cs="Times New Roman"/>
          <w:sz w:val="24"/>
          <w:szCs w:val="24"/>
        </w:rPr>
        <w:t xml:space="preserve"> </w:t>
      </w:r>
      <w:r w:rsidR="0035327D">
        <w:rPr>
          <w:rFonts w:ascii="Times New Roman" w:hAnsi="Times New Roman" w:cs="Times New Roman"/>
          <w:sz w:val="24"/>
          <w:szCs w:val="24"/>
        </w:rPr>
        <w:t xml:space="preserve">It was accepted in </w:t>
      </w:r>
      <w:r w:rsidR="0035327D">
        <w:rPr>
          <w:rFonts w:ascii="Times New Roman" w:hAnsi="Times New Roman" w:cs="Times New Roman"/>
          <w:i/>
          <w:sz w:val="24"/>
          <w:szCs w:val="24"/>
        </w:rPr>
        <w:t xml:space="preserve">B </w:t>
      </w:r>
      <w:r w:rsidR="0035327D">
        <w:rPr>
          <w:rFonts w:ascii="Times New Roman" w:hAnsi="Times New Roman" w:cs="Times New Roman"/>
          <w:sz w:val="24"/>
          <w:szCs w:val="24"/>
        </w:rPr>
        <w:t xml:space="preserve">that </w:t>
      </w:r>
    </w:p>
    <w:p w14:paraId="5AB85AEA" w14:textId="77777777" w:rsidR="00395D6E" w:rsidRDefault="0035327D" w:rsidP="00395D6E">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306225" w:rsidRPr="00306225">
        <w:rPr>
          <w:rFonts w:ascii="Times New Roman" w:hAnsi="Times New Roman" w:cs="Times New Roman"/>
          <w:sz w:val="24"/>
          <w:szCs w:val="24"/>
        </w:rPr>
        <w:t>when a judge is asked to admit evidence of the defendant</w:t>
      </w:r>
      <w:r w:rsidR="00F97E06">
        <w:rPr>
          <w:rFonts w:ascii="Times New Roman" w:hAnsi="Times New Roman" w:cs="Times New Roman"/>
          <w:sz w:val="24"/>
          <w:szCs w:val="24"/>
        </w:rPr>
        <w:t>’</w:t>
      </w:r>
      <w:r w:rsidR="00306225" w:rsidRPr="00306225">
        <w:rPr>
          <w:rFonts w:ascii="Times New Roman" w:hAnsi="Times New Roman" w:cs="Times New Roman"/>
          <w:sz w:val="24"/>
          <w:szCs w:val="24"/>
        </w:rPr>
        <w:t>s misconduct which is alleged to have occurred at a time when the defendant was under the age of 14, judges should apply t</w:t>
      </w:r>
      <w:r>
        <w:rPr>
          <w:rFonts w:ascii="Times New Roman" w:hAnsi="Times New Roman" w:cs="Times New Roman"/>
          <w:sz w:val="24"/>
          <w:szCs w:val="24"/>
        </w:rPr>
        <w:t>he principles in section 108(2)</w:t>
      </w:r>
      <w:r w:rsidR="00306225" w:rsidRPr="00306225">
        <w:rPr>
          <w:rFonts w:ascii="Times New Roman" w:hAnsi="Times New Roman" w:cs="Times New Roman"/>
          <w:sz w:val="24"/>
          <w:szCs w:val="24"/>
        </w:rPr>
        <w:t>. If that were not the case, the prosecution would not be able to rely upon a conviction because of section 108(2</w:t>
      </w:r>
      <w:r w:rsidR="001E564E" w:rsidRPr="00306225">
        <w:rPr>
          <w:rFonts w:ascii="Times New Roman" w:hAnsi="Times New Roman" w:cs="Times New Roman"/>
          <w:sz w:val="24"/>
          <w:szCs w:val="24"/>
        </w:rPr>
        <w:t>),</w:t>
      </w:r>
      <w:r w:rsidR="00306225" w:rsidRPr="00306225">
        <w:rPr>
          <w:rFonts w:ascii="Times New Roman" w:hAnsi="Times New Roman" w:cs="Times New Roman"/>
          <w:sz w:val="24"/>
          <w:szCs w:val="24"/>
        </w:rPr>
        <w:t xml:space="preserve"> but could rely on the conduct which led up to that conviction</w:t>
      </w:r>
      <w:r>
        <w:rPr>
          <w:rFonts w:ascii="Times New Roman" w:hAnsi="Times New Roman" w:cs="Times New Roman"/>
          <w:sz w:val="24"/>
          <w:szCs w:val="24"/>
        </w:rPr>
        <w:t>’</w:t>
      </w:r>
      <w:r w:rsidR="00306225" w:rsidRPr="00306225">
        <w:rPr>
          <w:rFonts w:ascii="Times New Roman" w:hAnsi="Times New Roman" w:cs="Times New Roman"/>
          <w:sz w:val="24"/>
          <w:szCs w:val="24"/>
        </w:rPr>
        <w:t>.</w:t>
      </w:r>
      <w:r w:rsidR="008C175D" w:rsidRPr="006E1CD3">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w:t>
      </w:r>
    </w:p>
    <w:p w14:paraId="270EB331" w14:textId="78593950" w:rsidR="004C1037" w:rsidRDefault="0035327D" w:rsidP="00395D6E">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Sadly the suggestion of the Court of Appeal in </w:t>
      </w:r>
      <w:r>
        <w:rPr>
          <w:rFonts w:ascii="Times New Roman" w:hAnsi="Times New Roman" w:cs="Times New Roman"/>
          <w:i/>
          <w:sz w:val="24"/>
          <w:szCs w:val="24"/>
        </w:rPr>
        <w:t>B</w:t>
      </w:r>
      <w:r>
        <w:rPr>
          <w:rFonts w:ascii="Times New Roman" w:hAnsi="Times New Roman" w:cs="Times New Roman"/>
          <w:sz w:val="24"/>
          <w:szCs w:val="24"/>
        </w:rPr>
        <w:t>, that s108 CJA 2003 be purposively interpreted so as to include the wider concept of ‘misconduct’</w:t>
      </w:r>
      <w:r w:rsidR="00395D6E">
        <w:rPr>
          <w:rFonts w:ascii="Times New Roman" w:hAnsi="Times New Roman" w:cs="Times New Roman"/>
          <w:sz w:val="24"/>
          <w:szCs w:val="24"/>
        </w:rPr>
        <w:t>,</w:t>
      </w:r>
      <w:r w:rsidR="00395D6E">
        <w:rPr>
          <w:rStyle w:val="FootnoteReference"/>
          <w:rFonts w:ascii="Times New Roman" w:hAnsi="Times New Roman" w:cs="Times New Roman"/>
          <w:sz w:val="24"/>
          <w:szCs w:val="24"/>
        </w:rPr>
        <w:footnoteReference w:id="50"/>
      </w:r>
      <w:r w:rsidR="00395D6E">
        <w:rPr>
          <w:rFonts w:ascii="Times New Roman" w:hAnsi="Times New Roman" w:cs="Times New Roman"/>
          <w:sz w:val="24"/>
          <w:szCs w:val="24"/>
        </w:rPr>
        <w:t xml:space="preserve"> </w:t>
      </w:r>
      <w:r>
        <w:rPr>
          <w:rFonts w:ascii="Times New Roman" w:hAnsi="Times New Roman" w:cs="Times New Roman"/>
          <w:sz w:val="24"/>
          <w:szCs w:val="24"/>
        </w:rPr>
        <w:t xml:space="preserve">appears to have been largely ignored. The court in </w:t>
      </w:r>
      <w:r>
        <w:rPr>
          <w:rFonts w:ascii="Times New Roman" w:hAnsi="Times New Roman" w:cs="Times New Roman"/>
          <w:i/>
          <w:sz w:val="24"/>
          <w:szCs w:val="24"/>
        </w:rPr>
        <w:t xml:space="preserve">M </w:t>
      </w:r>
      <w:r>
        <w:rPr>
          <w:rFonts w:ascii="Times New Roman" w:hAnsi="Times New Roman" w:cs="Times New Roman"/>
          <w:sz w:val="24"/>
          <w:szCs w:val="24"/>
        </w:rPr>
        <w:t>do not consider</w:t>
      </w:r>
      <w:r w:rsidR="00395D6E">
        <w:rPr>
          <w:rFonts w:ascii="Times New Roman" w:hAnsi="Times New Roman" w:cs="Times New Roman"/>
          <w:sz w:val="24"/>
          <w:szCs w:val="24"/>
        </w:rPr>
        <w:t xml:space="preserve"> s108 at all, for example</w:t>
      </w:r>
      <w:r w:rsidR="00E22FA9">
        <w:rPr>
          <w:rFonts w:ascii="Times New Roman" w:hAnsi="Times New Roman" w:cs="Times New Roman"/>
          <w:sz w:val="24"/>
          <w:szCs w:val="24"/>
        </w:rPr>
        <w:t>,</w:t>
      </w:r>
      <w:r w:rsidR="00395D6E">
        <w:rPr>
          <w:rFonts w:ascii="Times New Roman" w:hAnsi="Times New Roman" w:cs="Times New Roman"/>
          <w:sz w:val="24"/>
          <w:szCs w:val="24"/>
        </w:rPr>
        <w:t xml:space="preserve"> which underlines </w:t>
      </w:r>
      <w:r w:rsidR="000A028D">
        <w:rPr>
          <w:rFonts w:ascii="Times New Roman" w:hAnsi="Times New Roman" w:cs="Times New Roman"/>
          <w:sz w:val="24"/>
          <w:szCs w:val="24"/>
        </w:rPr>
        <w:t>how illusive the scope of s108 CJA 2003 is</w:t>
      </w:r>
      <w:r w:rsidR="00395D6E">
        <w:rPr>
          <w:rFonts w:ascii="Times New Roman" w:hAnsi="Times New Roman" w:cs="Times New Roman"/>
          <w:sz w:val="24"/>
          <w:szCs w:val="24"/>
        </w:rPr>
        <w:t>.</w:t>
      </w:r>
      <w:r w:rsidR="00395D6E" w:rsidRPr="00395D6E">
        <w:rPr>
          <w:rFonts w:ascii="Times New Roman" w:hAnsi="Times New Roman" w:cs="Times New Roman"/>
          <w:sz w:val="24"/>
          <w:szCs w:val="24"/>
        </w:rPr>
        <w:t xml:space="preserve"> </w:t>
      </w:r>
      <w:r w:rsidR="00395D6E">
        <w:rPr>
          <w:rFonts w:ascii="Times New Roman" w:hAnsi="Times New Roman" w:cs="Times New Roman"/>
          <w:sz w:val="24"/>
          <w:szCs w:val="24"/>
        </w:rPr>
        <w:t xml:space="preserve">The restrictions in s108(2) CJA 2003 do not seem to limit admission sufficiently due to how narrowly the provision has been drawn. This trend is </w:t>
      </w:r>
      <w:r w:rsidR="007A304E">
        <w:rPr>
          <w:rFonts w:ascii="Times New Roman" w:hAnsi="Times New Roman" w:cs="Times New Roman"/>
          <w:sz w:val="24"/>
          <w:szCs w:val="24"/>
        </w:rPr>
        <w:t>particularly</w:t>
      </w:r>
      <w:r w:rsidR="00395D6E">
        <w:rPr>
          <w:rFonts w:ascii="Times New Roman" w:hAnsi="Times New Roman" w:cs="Times New Roman"/>
          <w:sz w:val="24"/>
          <w:szCs w:val="24"/>
        </w:rPr>
        <w:t xml:space="preserve"> evident in the recent cases of </w:t>
      </w:r>
      <w:r w:rsidR="00395D6E" w:rsidRPr="006E1CD3">
        <w:rPr>
          <w:rFonts w:ascii="Times New Roman" w:hAnsi="Times New Roman" w:cs="Times New Roman"/>
          <w:i/>
          <w:sz w:val="24"/>
          <w:szCs w:val="24"/>
        </w:rPr>
        <w:t>R v Clarke (Lucy)</w:t>
      </w:r>
      <w:r w:rsidR="00395D6E" w:rsidRPr="006E1CD3">
        <w:rPr>
          <w:rStyle w:val="FootnoteReference"/>
          <w:rFonts w:ascii="Times New Roman" w:hAnsi="Times New Roman" w:cs="Times New Roman"/>
          <w:sz w:val="24"/>
          <w:szCs w:val="24"/>
        </w:rPr>
        <w:footnoteReference w:id="51"/>
      </w:r>
      <w:r w:rsidR="00395D6E" w:rsidRPr="006E1CD3">
        <w:rPr>
          <w:rFonts w:ascii="Times New Roman" w:hAnsi="Times New Roman" w:cs="Times New Roman"/>
          <w:sz w:val="24"/>
          <w:szCs w:val="24"/>
        </w:rPr>
        <w:t xml:space="preserve"> and </w:t>
      </w:r>
      <w:r w:rsidR="00395D6E" w:rsidRPr="006E1CD3">
        <w:rPr>
          <w:rFonts w:ascii="Times New Roman" w:hAnsi="Times New Roman" w:cs="Times New Roman"/>
          <w:i/>
          <w:sz w:val="24"/>
          <w:szCs w:val="24"/>
        </w:rPr>
        <w:t>R v Valencia (Bryan Fabrisio)</w:t>
      </w:r>
      <w:r w:rsidR="00395D6E">
        <w:rPr>
          <w:rFonts w:ascii="Times New Roman" w:hAnsi="Times New Roman" w:cs="Times New Roman"/>
          <w:sz w:val="24"/>
          <w:szCs w:val="24"/>
        </w:rPr>
        <w:t>.</w:t>
      </w:r>
      <w:r w:rsidR="00395D6E" w:rsidRPr="006E1CD3">
        <w:rPr>
          <w:rStyle w:val="FootnoteReference"/>
          <w:rFonts w:ascii="Times New Roman" w:hAnsi="Times New Roman" w:cs="Times New Roman"/>
          <w:sz w:val="24"/>
          <w:szCs w:val="24"/>
        </w:rPr>
        <w:footnoteReference w:id="52"/>
      </w:r>
    </w:p>
    <w:p w14:paraId="2B069AF9" w14:textId="4683D06F" w:rsidR="009F69A9" w:rsidRDefault="00E24592" w:rsidP="00AA745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00600D09" w:rsidRPr="00600D09">
        <w:rPr>
          <w:rFonts w:ascii="Times New Roman" w:hAnsi="Times New Roman" w:cs="Times New Roman"/>
          <w:i/>
          <w:sz w:val="24"/>
          <w:szCs w:val="24"/>
        </w:rPr>
        <w:t>Clarke</w:t>
      </w:r>
      <w:r>
        <w:rPr>
          <w:rFonts w:ascii="Times New Roman" w:hAnsi="Times New Roman" w:cs="Times New Roman"/>
          <w:sz w:val="24"/>
          <w:szCs w:val="24"/>
        </w:rPr>
        <w:t xml:space="preserve"> D was unanimously convicted of </w:t>
      </w:r>
      <w:r w:rsidR="008B0764">
        <w:rPr>
          <w:rFonts w:ascii="Times New Roman" w:hAnsi="Times New Roman" w:cs="Times New Roman"/>
          <w:sz w:val="24"/>
          <w:szCs w:val="24"/>
        </w:rPr>
        <w:t xml:space="preserve">assault </w:t>
      </w:r>
      <w:r w:rsidR="00791C25">
        <w:rPr>
          <w:rFonts w:ascii="Times New Roman" w:hAnsi="Times New Roman" w:cs="Times New Roman"/>
          <w:sz w:val="24"/>
          <w:szCs w:val="24"/>
        </w:rPr>
        <w:t>occasioning</w:t>
      </w:r>
      <w:r w:rsidR="008B0764">
        <w:rPr>
          <w:rFonts w:ascii="Times New Roman" w:hAnsi="Times New Roman" w:cs="Times New Roman"/>
          <w:sz w:val="24"/>
          <w:szCs w:val="24"/>
        </w:rPr>
        <w:t xml:space="preserve"> Actual Bodily Harm during a retrial in which the judge </w:t>
      </w:r>
      <w:r w:rsidR="00C57EF4">
        <w:rPr>
          <w:rFonts w:ascii="Times New Roman" w:hAnsi="Times New Roman" w:cs="Times New Roman"/>
          <w:sz w:val="24"/>
          <w:szCs w:val="24"/>
        </w:rPr>
        <w:t xml:space="preserve">departed from an earlier denial of BCE applications </w:t>
      </w:r>
      <w:r w:rsidR="008B0764">
        <w:rPr>
          <w:rFonts w:ascii="Times New Roman" w:hAnsi="Times New Roman" w:cs="Times New Roman"/>
          <w:sz w:val="24"/>
          <w:szCs w:val="24"/>
        </w:rPr>
        <w:t xml:space="preserve">(at the first trial) </w:t>
      </w:r>
      <w:r w:rsidR="00C57EF4">
        <w:rPr>
          <w:rFonts w:ascii="Times New Roman" w:hAnsi="Times New Roman" w:cs="Times New Roman"/>
          <w:sz w:val="24"/>
          <w:szCs w:val="24"/>
        </w:rPr>
        <w:t>and admitted all pre</w:t>
      </w:r>
      <w:r w:rsidR="007A304E">
        <w:rPr>
          <w:rFonts w:ascii="Times New Roman" w:hAnsi="Times New Roman" w:cs="Times New Roman"/>
          <w:sz w:val="24"/>
          <w:szCs w:val="24"/>
        </w:rPr>
        <w:t xml:space="preserve">vious </w:t>
      </w:r>
      <w:r w:rsidR="00C57EF4">
        <w:rPr>
          <w:rFonts w:ascii="Times New Roman" w:hAnsi="Times New Roman" w:cs="Times New Roman"/>
          <w:sz w:val="24"/>
          <w:szCs w:val="24"/>
        </w:rPr>
        <w:t>con</w:t>
      </w:r>
      <w:r w:rsidR="007A304E">
        <w:rPr>
          <w:rFonts w:ascii="Times New Roman" w:hAnsi="Times New Roman" w:cs="Times New Roman"/>
          <w:sz w:val="24"/>
          <w:szCs w:val="24"/>
        </w:rPr>
        <w:t>viction</w:t>
      </w:r>
      <w:r w:rsidR="00C57EF4">
        <w:rPr>
          <w:rFonts w:ascii="Times New Roman" w:hAnsi="Times New Roman" w:cs="Times New Roman"/>
          <w:sz w:val="24"/>
          <w:szCs w:val="24"/>
        </w:rPr>
        <w:t>s under gateways (d) and (g)</w:t>
      </w:r>
      <w:r w:rsidR="00552C20">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3"/>
      </w:r>
      <w:r w:rsidR="008235C0">
        <w:rPr>
          <w:rFonts w:ascii="Times New Roman" w:hAnsi="Times New Roman" w:cs="Times New Roman"/>
          <w:sz w:val="24"/>
          <w:szCs w:val="24"/>
        </w:rPr>
        <w:t xml:space="preserve"> </w:t>
      </w:r>
      <w:r w:rsidR="008B0764">
        <w:rPr>
          <w:rFonts w:ascii="Times New Roman" w:hAnsi="Times New Roman" w:cs="Times New Roman"/>
          <w:sz w:val="24"/>
          <w:szCs w:val="24"/>
        </w:rPr>
        <w:t xml:space="preserve">holding that no fairness </w:t>
      </w:r>
      <w:r w:rsidR="00395D6E">
        <w:rPr>
          <w:rFonts w:ascii="Times New Roman" w:hAnsi="Times New Roman" w:cs="Times New Roman"/>
          <w:sz w:val="24"/>
          <w:szCs w:val="24"/>
        </w:rPr>
        <w:t xml:space="preserve">issues </w:t>
      </w:r>
      <w:r w:rsidR="008B0764">
        <w:rPr>
          <w:rFonts w:ascii="Times New Roman" w:hAnsi="Times New Roman" w:cs="Times New Roman"/>
          <w:sz w:val="24"/>
          <w:szCs w:val="24"/>
        </w:rPr>
        <w:t>ensued that would engage</w:t>
      </w:r>
      <w:r w:rsidR="008235C0">
        <w:rPr>
          <w:rFonts w:ascii="Times New Roman" w:hAnsi="Times New Roman" w:cs="Times New Roman"/>
          <w:sz w:val="24"/>
          <w:szCs w:val="24"/>
        </w:rPr>
        <w:t xml:space="preserve"> s101(3)</w:t>
      </w:r>
      <w:r w:rsidR="008B0764">
        <w:rPr>
          <w:rFonts w:ascii="Times New Roman" w:hAnsi="Times New Roman" w:cs="Times New Roman"/>
          <w:sz w:val="24"/>
          <w:szCs w:val="24"/>
        </w:rPr>
        <w:t xml:space="preserve"> CJA 2003</w:t>
      </w:r>
      <w:r w:rsidR="00552C20">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4"/>
      </w:r>
      <w:r w:rsidR="00141A41">
        <w:rPr>
          <w:rFonts w:ascii="Times New Roman" w:hAnsi="Times New Roman" w:cs="Times New Roman"/>
          <w:sz w:val="24"/>
          <w:szCs w:val="24"/>
        </w:rPr>
        <w:t xml:space="preserve"> </w:t>
      </w:r>
      <w:r w:rsidR="00C57EF4">
        <w:rPr>
          <w:rFonts w:ascii="Times New Roman" w:hAnsi="Times New Roman" w:cs="Times New Roman"/>
          <w:sz w:val="24"/>
          <w:szCs w:val="24"/>
        </w:rPr>
        <w:t>Defence counsel acknowledged gatewa</w:t>
      </w:r>
      <w:r w:rsidR="008235C0">
        <w:rPr>
          <w:rFonts w:ascii="Times New Roman" w:hAnsi="Times New Roman" w:cs="Times New Roman"/>
          <w:sz w:val="24"/>
          <w:szCs w:val="24"/>
        </w:rPr>
        <w:t xml:space="preserve">y (g) may have been engaged due to D arguing </w:t>
      </w:r>
      <w:r w:rsidR="0048046C">
        <w:rPr>
          <w:rFonts w:ascii="Times New Roman" w:hAnsi="Times New Roman" w:cs="Times New Roman"/>
          <w:sz w:val="24"/>
          <w:szCs w:val="24"/>
        </w:rPr>
        <w:t>self-defence but</w:t>
      </w:r>
      <w:r w:rsidR="008235C0">
        <w:rPr>
          <w:rFonts w:ascii="Times New Roman" w:hAnsi="Times New Roman" w:cs="Times New Roman"/>
          <w:sz w:val="24"/>
          <w:szCs w:val="24"/>
        </w:rPr>
        <w:t xml:space="preserve"> said the passage of time between the present offence and D’s </w:t>
      </w:r>
      <w:r w:rsidR="008B0764">
        <w:rPr>
          <w:rFonts w:ascii="Times New Roman" w:hAnsi="Times New Roman" w:cs="Times New Roman"/>
          <w:sz w:val="24"/>
          <w:szCs w:val="24"/>
        </w:rPr>
        <w:t>previous convictions</w:t>
      </w:r>
      <w:r w:rsidR="008235C0">
        <w:rPr>
          <w:rFonts w:ascii="Times New Roman" w:hAnsi="Times New Roman" w:cs="Times New Roman"/>
          <w:sz w:val="24"/>
          <w:szCs w:val="24"/>
        </w:rPr>
        <w:t xml:space="preserve"> made </w:t>
      </w:r>
      <w:r w:rsidR="008B0764">
        <w:rPr>
          <w:rFonts w:ascii="Times New Roman" w:hAnsi="Times New Roman" w:cs="Times New Roman"/>
          <w:sz w:val="24"/>
          <w:szCs w:val="24"/>
        </w:rPr>
        <w:t xml:space="preserve">the </w:t>
      </w:r>
      <w:r w:rsidR="008235C0">
        <w:rPr>
          <w:rFonts w:ascii="Times New Roman" w:hAnsi="Times New Roman" w:cs="Times New Roman"/>
          <w:sz w:val="24"/>
          <w:szCs w:val="24"/>
        </w:rPr>
        <w:t xml:space="preserve">admission </w:t>
      </w:r>
      <w:r w:rsidR="008B0764">
        <w:rPr>
          <w:rFonts w:ascii="Times New Roman" w:hAnsi="Times New Roman" w:cs="Times New Roman"/>
          <w:sz w:val="24"/>
          <w:szCs w:val="24"/>
        </w:rPr>
        <w:t xml:space="preserve">of her BCE </w:t>
      </w:r>
      <w:r w:rsidR="008235C0">
        <w:rPr>
          <w:rFonts w:ascii="Times New Roman" w:hAnsi="Times New Roman" w:cs="Times New Roman"/>
          <w:sz w:val="24"/>
          <w:szCs w:val="24"/>
        </w:rPr>
        <w:t xml:space="preserve">unfair and </w:t>
      </w:r>
      <w:r w:rsidR="008B0764">
        <w:rPr>
          <w:rFonts w:ascii="Times New Roman" w:hAnsi="Times New Roman" w:cs="Times New Roman"/>
          <w:sz w:val="24"/>
          <w:szCs w:val="24"/>
        </w:rPr>
        <w:t>merely served to bolster</w:t>
      </w:r>
      <w:r w:rsidR="008235C0">
        <w:rPr>
          <w:rFonts w:ascii="Times New Roman" w:hAnsi="Times New Roman" w:cs="Times New Roman"/>
          <w:sz w:val="24"/>
          <w:szCs w:val="24"/>
        </w:rPr>
        <w:t xml:space="preserve"> a weak case. With respect to </w:t>
      </w:r>
      <w:r w:rsidR="008B0764">
        <w:rPr>
          <w:rFonts w:ascii="Times New Roman" w:hAnsi="Times New Roman" w:cs="Times New Roman"/>
          <w:sz w:val="24"/>
          <w:szCs w:val="24"/>
        </w:rPr>
        <w:t xml:space="preserve">gateway </w:t>
      </w:r>
      <w:r w:rsidR="008235C0">
        <w:rPr>
          <w:rFonts w:ascii="Times New Roman" w:hAnsi="Times New Roman" w:cs="Times New Roman"/>
          <w:sz w:val="24"/>
          <w:szCs w:val="24"/>
        </w:rPr>
        <w:t>(d), counsel argued that the circumstances of the offending (</w:t>
      </w:r>
      <w:r w:rsidR="008B0764">
        <w:rPr>
          <w:rFonts w:ascii="Times New Roman" w:hAnsi="Times New Roman" w:cs="Times New Roman"/>
          <w:sz w:val="24"/>
          <w:szCs w:val="24"/>
        </w:rPr>
        <w:t xml:space="preserve">D was </w:t>
      </w:r>
      <w:r w:rsidR="008235C0">
        <w:rPr>
          <w:rFonts w:ascii="Times New Roman" w:hAnsi="Times New Roman" w:cs="Times New Roman"/>
          <w:sz w:val="24"/>
          <w:szCs w:val="24"/>
        </w:rPr>
        <w:t>very young</w:t>
      </w:r>
      <w:r w:rsidR="00791C25">
        <w:rPr>
          <w:rFonts w:ascii="Times New Roman" w:hAnsi="Times New Roman" w:cs="Times New Roman"/>
          <w:sz w:val="24"/>
          <w:szCs w:val="24"/>
        </w:rPr>
        <w:t>, aged 10/11,</w:t>
      </w:r>
      <w:r w:rsidR="008235C0">
        <w:rPr>
          <w:rFonts w:ascii="Times New Roman" w:hAnsi="Times New Roman" w:cs="Times New Roman"/>
          <w:sz w:val="24"/>
          <w:szCs w:val="24"/>
        </w:rPr>
        <w:t xml:space="preserve"> and in care at the time) prevented the BCE from being capable of demonstrating propensity</w:t>
      </w:r>
      <w:r w:rsidR="00791C25">
        <w:rPr>
          <w:rFonts w:ascii="Times New Roman" w:hAnsi="Times New Roman" w:cs="Times New Roman"/>
          <w:sz w:val="24"/>
          <w:szCs w:val="24"/>
        </w:rPr>
        <w:t>, despite the size of her antecedent history</w:t>
      </w:r>
      <w:r w:rsidR="00C9351C">
        <w:rPr>
          <w:rFonts w:ascii="Times New Roman" w:hAnsi="Times New Roman" w:cs="Times New Roman"/>
          <w:sz w:val="24"/>
          <w:szCs w:val="24"/>
        </w:rPr>
        <w:t>.</w:t>
      </w:r>
      <w:r w:rsidR="008235C0">
        <w:rPr>
          <w:rFonts w:ascii="Times New Roman" w:hAnsi="Times New Roman" w:cs="Times New Roman"/>
          <w:sz w:val="24"/>
          <w:szCs w:val="24"/>
        </w:rPr>
        <w:t xml:space="preserve"> </w:t>
      </w:r>
      <w:r w:rsidR="00C9351C">
        <w:rPr>
          <w:rFonts w:ascii="Times New Roman" w:hAnsi="Times New Roman" w:cs="Times New Roman"/>
          <w:sz w:val="24"/>
          <w:szCs w:val="24"/>
        </w:rPr>
        <w:t>T</w:t>
      </w:r>
      <w:r w:rsidR="008235C0">
        <w:rPr>
          <w:rFonts w:ascii="Times New Roman" w:hAnsi="Times New Roman" w:cs="Times New Roman"/>
          <w:sz w:val="24"/>
          <w:szCs w:val="24"/>
        </w:rPr>
        <w:t xml:space="preserve">he gap in </w:t>
      </w:r>
      <w:r w:rsidR="00C9351C">
        <w:rPr>
          <w:rFonts w:ascii="Times New Roman" w:hAnsi="Times New Roman" w:cs="Times New Roman"/>
          <w:sz w:val="24"/>
          <w:szCs w:val="24"/>
        </w:rPr>
        <w:t xml:space="preserve">time </w:t>
      </w:r>
      <w:r w:rsidR="00395D6E">
        <w:rPr>
          <w:rFonts w:ascii="Times New Roman" w:hAnsi="Times New Roman" w:cs="Times New Roman"/>
          <w:sz w:val="24"/>
          <w:szCs w:val="24"/>
        </w:rPr>
        <w:t xml:space="preserve">(almost 10 years) </w:t>
      </w:r>
      <w:r w:rsidR="00C9351C">
        <w:rPr>
          <w:rFonts w:ascii="Times New Roman" w:hAnsi="Times New Roman" w:cs="Times New Roman"/>
          <w:sz w:val="24"/>
          <w:szCs w:val="24"/>
        </w:rPr>
        <w:t xml:space="preserve">between </w:t>
      </w:r>
      <w:r w:rsidR="008235C0">
        <w:rPr>
          <w:rFonts w:ascii="Times New Roman" w:hAnsi="Times New Roman" w:cs="Times New Roman"/>
          <w:sz w:val="24"/>
          <w:szCs w:val="24"/>
        </w:rPr>
        <w:t xml:space="preserve">offending reinforced this </w:t>
      </w:r>
      <w:r w:rsidR="008B0764">
        <w:rPr>
          <w:rFonts w:ascii="Times New Roman" w:hAnsi="Times New Roman" w:cs="Times New Roman"/>
          <w:sz w:val="24"/>
          <w:szCs w:val="24"/>
        </w:rPr>
        <w:t>and demonstrated a willingness to cease offending behaviours</w:t>
      </w:r>
      <w:r w:rsidR="008235C0">
        <w:rPr>
          <w:rFonts w:ascii="Times New Roman" w:hAnsi="Times New Roman" w:cs="Times New Roman"/>
          <w:sz w:val="24"/>
          <w:szCs w:val="24"/>
        </w:rPr>
        <w:t xml:space="preserve">. </w:t>
      </w:r>
      <w:r w:rsidR="008B0764">
        <w:rPr>
          <w:rFonts w:ascii="Times New Roman" w:hAnsi="Times New Roman" w:cs="Times New Roman"/>
          <w:sz w:val="24"/>
          <w:szCs w:val="24"/>
        </w:rPr>
        <w:t xml:space="preserve">The </w:t>
      </w:r>
      <w:r w:rsidR="008235C0">
        <w:rPr>
          <w:rFonts w:ascii="Times New Roman" w:hAnsi="Times New Roman" w:cs="Times New Roman"/>
          <w:sz w:val="24"/>
          <w:szCs w:val="24"/>
        </w:rPr>
        <w:t xml:space="preserve">Judge in </w:t>
      </w:r>
      <w:r w:rsidR="008B0764">
        <w:rPr>
          <w:rFonts w:ascii="Times New Roman" w:hAnsi="Times New Roman" w:cs="Times New Roman"/>
          <w:sz w:val="24"/>
          <w:szCs w:val="24"/>
        </w:rPr>
        <w:t xml:space="preserve">the </w:t>
      </w:r>
      <w:r w:rsidR="008235C0">
        <w:rPr>
          <w:rFonts w:ascii="Times New Roman" w:hAnsi="Times New Roman" w:cs="Times New Roman"/>
          <w:sz w:val="24"/>
          <w:szCs w:val="24"/>
        </w:rPr>
        <w:t>second trial ‘would have none of it’ and held that the BCE must be admitted to prevent t</w:t>
      </w:r>
      <w:r w:rsidR="008B0764">
        <w:rPr>
          <w:rFonts w:ascii="Times New Roman" w:hAnsi="Times New Roman" w:cs="Times New Roman"/>
          <w:sz w:val="24"/>
          <w:szCs w:val="24"/>
        </w:rPr>
        <w:t>he jury from considering D and the complainant</w:t>
      </w:r>
      <w:r w:rsidR="00791C25">
        <w:rPr>
          <w:rFonts w:ascii="Times New Roman" w:hAnsi="Times New Roman" w:cs="Times New Roman"/>
          <w:sz w:val="24"/>
          <w:szCs w:val="24"/>
        </w:rPr>
        <w:t xml:space="preserve"> on an equal footing</w:t>
      </w:r>
      <w:r w:rsidR="00552C20">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5"/>
      </w:r>
      <w:r w:rsidR="00552C20">
        <w:rPr>
          <w:rFonts w:ascii="Times New Roman" w:hAnsi="Times New Roman" w:cs="Times New Roman"/>
          <w:sz w:val="24"/>
          <w:szCs w:val="24"/>
        </w:rPr>
        <w:t xml:space="preserve"> </w:t>
      </w:r>
      <w:r w:rsidR="00791C25">
        <w:rPr>
          <w:rFonts w:ascii="Times New Roman" w:hAnsi="Times New Roman" w:cs="Times New Roman"/>
          <w:sz w:val="24"/>
          <w:szCs w:val="24"/>
        </w:rPr>
        <w:t xml:space="preserve">Unfortunately for the D in </w:t>
      </w:r>
      <w:r w:rsidR="00791C25">
        <w:rPr>
          <w:rFonts w:ascii="Times New Roman" w:hAnsi="Times New Roman" w:cs="Times New Roman"/>
          <w:i/>
          <w:sz w:val="24"/>
          <w:szCs w:val="24"/>
        </w:rPr>
        <w:t>Clarke</w:t>
      </w:r>
      <w:r w:rsidR="00791C25">
        <w:rPr>
          <w:rFonts w:ascii="Times New Roman" w:hAnsi="Times New Roman" w:cs="Times New Roman"/>
          <w:sz w:val="24"/>
          <w:szCs w:val="24"/>
        </w:rPr>
        <w:t>, she was aged 20 when ch</w:t>
      </w:r>
      <w:r w:rsidR="002468C2">
        <w:rPr>
          <w:rFonts w:ascii="Times New Roman" w:hAnsi="Times New Roman" w:cs="Times New Roman"/>
          <w:sz w:val="24"/>
          <w:szCs w:val="24"/>
        </w:rPr>
        <w:t>arged as opposed to 21 and the c</w:t>
      </w:r>
      <w:r w:rsidR="00791C25">
        <w:rPr>
          <w:rFonts w:ascii="Times New Roman" w:hAnsi="Times New Roman" w:cs="Times New Roman"/>
          <w:sz w:val="24"/>
          <w:szCs w:val="24"/>
        </w:rPr>
        <w:t xml:space="preserve">ourt took a strict approach to this during retrial, </w:t>
      </w:r>
      <w:r w:rsidR="002468C2">
        <w:rPr>
          <w:rFonts w:ascii="Times New Roman" w:hAnsi="Times New Roman" w:cs="Times New Roman"/>
          <w:sz w:val="24"/>
          <w:szCs w:val="24"/>
        </w:rPr>
        <w:t>despite defence counsel arguing that the e</w:t>
      </w:r>
      <w:r w:rsidR="00FB1BA7">
        <w:rPr>
          <w:rFonts w:ascii="Times New Roman" w:hAnsi="Times New Roman" w:cs="Times New Roman"/>
          <w:sz w:val="24"/>
          <w:szCs w:val="24"/>
        </w:rPr>
        <w:t>xistence of s108, even where it</w:t>
      </w:r>
      <w:r w:rsidR="002468C2">
        <w:rPr>
          <w:rFonts w:ascii="Times New Roman" w:hAnsi="Times New Roman" w:cs="Times New Roman"/>
          <w:sz w:val="24"/>
          <w:szCs w:val="24"/>
        </w:rPr>
        <w:t>s aims are somewhat elusive, demonstrates that Parliament place</w:t>
      </w:r>
      <w:r w:rsidR="0048046C">
        <w:rPr>
          <w:rFonts w:ascii="Times New Roman" w:hAnsi="Times New Roman" w:cs="Times New Roman"/>
          <w:sz w:val="24"/>
          <w:szCs w:val="24"/>
        </w:rPr>
        <w:t>d</w:t>
      </w:r>
      <w:r w:rsidR="002468C2">
        <w:rPr>
          <w:rFonts w:ascii="Times New Roman" w:hAnsi="Times New Roman" w:cs="Times New Roman"/>
          <w:sz w:val="24"/>
          <w:szCs w:val="24"/>
        </w:rPr>
        <w:t xml:space="preserve"> significance on preventing the admission of D’s juvenile BCE. The Court of Appeal dismissed the appeal, holding that judges did need to consider carefully and sensitively whether it would be appropriate to admit behaviours taking place before D attained 14 years of age, but the judge during the retrial bore this well in mind. On a holistic viewing, the totality of the offending demonstrated a propensity towards gratuitous violence that should not, according to the appellate court, be displaced by the fact that the incidents occurred when D was a young child, therefore the judge was held to have pursued a line of reasoning that was entirely proper</w:t>
      </w:r>
      <w:r w:rsidR="00552C20" w:rsidRPr="006E1CD3">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6"/>
      </w:r>
    </w:p>
    <w:p w14:paraId="77D9960B" w14:textId="50FA33E9" w:rsidR="006A798F" w:rsidRDefault="00D92155" w:rsidP="00AA745E">
      <w:pPr>
        <w:autoSpaceDE w:val="0"/>
        <w:autoSpaceDN w:val="0"/>
        <w:adjustRightInd w:val="0"/>
        <w:spacing w:after="0" w:line="480" w:lineRule="auto"/>
        <w:ind w:firstLine="720"/>
        <w:jc w:val="both"/>
        <w:rPr>
          <w:rFonts w:ascii="Times New Roman" w:hAnsi="Times New Roman" w:cs="Times New Roman"/>
          <w:sz w:val="24"/>
          <w:szCs w:val="24"/>
        </w:rPr>
      </w:pPr>
      <w:r w:rsidRPr="00D92155">
        <w:rPr>
          <w:rFonts w:ascii="Times New Roman" w:hAnsi="Times New Roman" w:cs="Times New Roman"/>
          <w:sz w:val="24"/>
          <w:szCs w:val="24"/>
        </w:rPr>
        <w:t>In</w:t>
      </w:r>
      <w:r>
        <w:rPr>
          <w:rFonts w:ascii="Times New Roman" w:hAnsi="Times New Roman" w:cs="Times New Roman"/>
          <w:i/>
          <w:sz w:val="24"/>
          <w:szCs w:val="24"/>
        </w:rPr>
        <w:t xml:space="preserve"> </w:t>
      </w:r>
      <w:r w:rsidR="00AE6E5A" w:rsidRPr="00600D09">
        <w:rPr>
          <w:rFonts w:ascii="Times New Roman" w:hAnsi="Times New Roman" w:cs="Times New Roman"/>
          <w:i/>
          <w:sz w:val="24"/>
          <w:szCs w:val="24"/>
        </w:rPr>
        <w:t>Valencia</w:t>
      </w:r>
      <w:r w:rsidR="006A798F">
        <w:rPr>
          <w:rFonts w:ascii="Times New Roman" w:hAnsi="Times New Roman" w:cs="Times New Roman"/>
          <w:i/>
          <w:sz w:val="24"/>
          <w:szCs w:val="24"/>
        </w:rPr>
        <w:t xml:space="preserve">, </w:t>
      </w:r>
      <w:r w:rsidR="006A798F">
        <w:rPr>
          <w:rFonts w:ascii="Times New Roman" w:hAnsi="Times New Roman" w:cs="Times New Roman"/>
          <w:sz w:val="24"/>
          <w:szCs w:val="24"/>
        </w:rPr>
        <w:t xml:space="preserve">D’s age again made s108 inapplicable, and the Court of Appeal observed that there is no: </w:t>
      </w:r>
    </w:p>
    <w:p w14:paraId="715E1D27" w14:textId="227A30C3" w:rsidR="00AE6E5A" w:rsidRDefault="006A798F" w:rsidP="00013FEF">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w:t>
      </w:r>
      <w:r w:rsidRPr="006A798F">
        <w:rPr>
          <w:rFonts w:ascii="Times New Roman" w:hAnsi="Times New Roman" w:cs="Times New Roman"/>
          <w:sz w:val="24"/>
          <w:szCs w:val="24"/>
        </w:rPr>
        <w:t>oom for a n</w:t>
      </w:r>
      <w:r>
        <w:rPr>
          <w:rFonts w:ascii="Times New Roman" w:hAnsi="Times New Roman" w:cs="Times New Roman"/>
          <w:sz w:val="24"/>
          <w:szCs w:val="24"/>
        </w:rPr>
        <w:t xml:space="preserve">ear miss, as [per] the case of </w:t>
      </w:r>
      <w:r w:rsidRPr="00986D97">
        <w:rPr>
          <w:rFonts w:ascii="Times New Roman" w:hAnsi="Times New Roman" w:cs="Times New Roman"/>
          <w:i/>
          <w:sz w:val="24"/>
          <w:szCs w:val="24"/>
        </w:rPr>
        <w:t>Clarke</w:t>
      </w:r>
      <w:r>
        <w:rPr>
          <w:rFonts w:ascii="Times New Roman" w:hAnsi="Times New Roman" w:cs="Times New Roman"/>
          <w:sz w:val="24"/>
          <w:szCs w:val="24"/>
        </w:rPr>
        <w:t xml:space="preserve">… </w:t>
      </w:r>
      <w:r w:rsidRPr="006A798F">
        <w:rPr>
          <w:rFonts w:ascii="Times New Roman" w:hAnsi="Times New Roman" w:cs="Times New Roman"/>
          <w:sz w:val="24"/>
          <w:szCs w:val="24"/>
        </w:rPr>
        <w:t>However, counsel sought to extrapolate fro</w:t>
      </w:r>
      <w:r>
        <w:rPr>
          <w:rFonts w:ascii="Times New Roman" w:hAnsi="Times New Roman" w:cs="Times New Roman"/>
          <w:sz w:val="24"/>
          <w:szCs w:val="24"/>
        </w:rPr>
        <w:t>m the provisions of section 108</w:t>
      </w:r>
      <w:r w:rsidRPr="006A798F">
        <w:rPr>
          <w:rFonts w:ascii="Times New Roman" w:hAnsi="Times New Roman" w:cs="Times New Roman"/>
          <w:sz w:val="24"/>
          <w:szCs w:val="24"/>
        </w:rPr>
        <w:t>, and to persuade us that it was wrong because of this appellant's age for the judge to have admitted his previous convictions. We are not persuaded by this point</w:t>
      </w:r>
      <w:r>
        <w:rPr>
          <w:rFonts w:ascii="Times New Roman" w:hAnsi="Times New Roman" w:cs="Times New Roman"/>
          <w:sz w:val="24"/>
          <w:szCs w:val="24"/>
        </w:rPr>
        <w:t>…</w:t>
      </w:r>
      <w:r w:rsidRPr="006A798F">
        <w:rPr>
          <w:rFonts w:ascii="Times New Roman" w:hAnsi="Times New Roman" w:cs="Times New Roman"/>
          <w:sz w:val="24"/>
          <w:szCs w:val="24"/>
        </w:rPr>
        <w:t xml:space="preserve"> </w:t>
      </w:r>
      <w:r>
        <w:rPr>
          <w:rFonts w:ascii="Times New Roman" w:hAnsi="Times New Roman" w:cs="Times New Roman"/>
          <w:sz w:val="24"/>
          <w:szCs w:val="24"/>
        </w:rPr>
        <w:t>[</w:t>
      </w:r>
      <w:r w:rsidRPr="006A798F">
        <w:rPr>
          <w:rFonts w:ascii="Times New Roman" w:hAnsi="Times New Roman" w:cs="Times New Roman"/>
          <w:sz w:val="24"/>
          <w:szCs w:val="24"/>
        </w:rPr>
        <w:t>Parliament</w:t>
      </w:r>
      <w:r>
        <w:rPr>
          <w:rFonts w:ascii="Times New Roman" w:hAnsi="Times New Roman" w:cs="Times New Roman"/>
          <w:sz w:val="24"/>
          <w:szCs w:val="24"/>
        </w:rPr>
        <w:t>]</w:t>
      </w:r>
      <w:r w:rsidRPr="006A798F">
        <w:rPr>
          <w:rFonts w:ascii="Times New Roman" w:hAnsi="Times New Roman" w:cs="Times New Roman"/>
          <w:sz w:val="24"/>
          <w:szCs w:val="24"/>
        </w:rPr>
        <w:t xml:space="preserve"> legislated in a relatively limited way regarding convictions where a person over 21 was under 14 at the time of conviction, the very nature of those limitations tends to show that there is no inherent unfairness in circumstances such as these</w:t>
      </w:r>
      <w:r>
        <w:rPr>
          <w:rFonts w:ascii="Times New Roman" w:hAnsi="Times New Roman" w:cs="Times New Roman"/>
          <w:sz w:val="24"/>
          <w:szCs w:val="24"/>
        </w:rPr>
        <w:t>’</w:t>
      </w:r>
      <w:r w:rsidR="00552C20">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7"/>
      </w:r>
    </w:p>
    <w:p w14:paraId="4291566E" w14:textId="39BC3CCB" w:rsidR="00F66931" w:rsidRDefault="006A798F" w:rsidP="00F6693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went on to observe that they were satisfied that the judge was sensitive to the need for careful consideration when admitting BCE of a person over 21, who was </w:t>
      </w:r>
      <w:r w:rsidR="00C678A6">
        <w:rPr>
          <w:rFonts w:ascii="Times New Roman" w:hAnsi="Times New Roman" w:cs="Times New Roman"/>
          <w:sz w:val="24"/>
          <w:szCs w:val="24"/>
        </w:rPr>
        <w:t xml:space="preserve">aged </w:t>
      </w:r>
      <w:r>
        <w:rPr>
          <w:rFonts w:ascii="Times New Roman" w:hAnsi="Times New Roman" w:cs="Times New Roman"/>
          <w:sz w:val="24"/>
          <w:szCs w:val="24"/>
        </w:rPr>
        <w:t>14 at the time of the BCE</w:t>
      </w:r>
      <w:r w:rsidR="00C678A6">
        <w:rPr>
          <w:rFonts w:ascii="Times New Roman" w:hAnsi="Times New Roman" w:cs="Times New Roman"/>
          <w:sz w:val="24"/>
          <w:szCs w:val="24"/>
        </w:rPr>
        <w:t xml:space="preserve"> and admission of the evidence was not unfair</w:t>
      </w:r>
      <w:r w:rsidR="00552C20" w:rsidRPr="006E1CD3">
        <w:rPr>
          <w:rFonts w:ascii="Times New Roman" w:hAnsi="Times New Roman" w:cs="Times New Roman"/>
          <w:sz w:val="24"/>
          <w:szCs w:val="24"/>
        </w:rPr>
        <w:t>.</w:t>
      </w:r>
      <w:r w:rsidR="00552C20" w:rsidRPr="006E1CD3">
        <w:rPr>
          <w:rStyle w:val="FootnoteReference"/>
          <w:rFonts w:ascii="Times New Roman" w:hAnsi="Times New Roman" w:cs="Times New Roman"/>
          <w:sz w:val="24"/>
          <w:szCs w:val="24"/>
        </w:rPr>
        <w:footnoteReference w:id="58"/>
      </w:r>
      <w:r w:rsidR="00552C20">
        <w:rPr>
          <w:rFonts w:ascii="Times New Roman" w:hAnsi="Times New Roman" w:cs="Times New Roman"/>
          <w:sz w:val="24"/>
          <w:szCs w:val="24"/>
        </w:rPr>
        <w:t xml:space="preserve"> </w:t>
      </w:r>
      <w:r w:rsidR="00793F4F">
        <w:rPr>
          <w:rFonts w:ascii="Times New Roman" w:hAnsi="Times New Roman" w:cs="Times New Roman"/>
          <w:i/>
          <w:sz w:val="24"/>
          <w:szCs w:val="24"/>
        </w:rPr>
        <w:t xml:space="preserve">Valencia </w:t>
      </w:r>
      <w:r w:rsidR="00793F4F">
        <w:rPr>
          <w:rFonts w:ascii="Times New Roman" w:hAnsi="Times New Roman" w:cs="Times New Roman"/>
          <w:sz w:val="24"/>
          <w:szCs w:val="24"/>
        </w:rPr>
        <w:t xml:space="preserve">appears to suggest that because the age limits are couched in statute, they cannot be deemed unfair – which is not the case. </w:t>
      </w:r>
      <w:r w:rsidR="00E347E3">
        <w:rPr>
          <w:rFonts w:ascii="Times New Roman" w:hAnsi="Times New Roman" w:cs="Times New Roman"/>
          <w:sz w:val="24"/>
          <w:szCs w:val="24"/>
        </w:rPr>
        <w:t xml:space="preserve">Whilst one must be </w:t>
      </w:r>
      <w:r w:rsidR="00536DA9">
        <w:rPr>
          <w:rFonts w:ascii="Times New Roman" w:hAnsi="Times New Roman" w:cs="Times New Roman"/>
          <w:sz w:val="24"/>
          <w:szCs w:val="24"/>
        </w:rPr>
        <w:t>reticent</w:t>
      </w:r>
      <w:r w:rsidR="00E347E3">
        <w:rPr>
          <w:rFonts w:ascii="Times New Roman" w:hAnsi="Times New Roman" w:cs="Times New Roman"/>
          <w:sz w:val="24"/>
          <w:szCs w:val="24"/>
        </w:rPr>
        <w:t xml:space="preserve"> </w:t>
      </w:r>
      <w:r w:rsidR="00536DA9">
        <w:rPr>
          <w:rFonts w:ascii="Times New Roman" w:hAnsi="Times New Roman" w:cs="Times New Roman"/>
          <w:sz w:val="24"/>
          <w:szCs w:val="24"/>
        </w:rPr>
        <w:t>when</w:t>
      </w:r>
      <w:r w:rsidR="00E347E3">
        <w:rPr>
          <w:rFonts w:ascii="Times New Roman" w:hAnsi="Times New Roman" w:cs="Times New Roman"/>
          <w:sz w:val="24"/>
          <w:szCs w:val="24"/>
        </w:rPr>
        <w:t xml:space="preserve"> drawing inferences based on a limited number of cases, the common law to date evidences an undeniable emphasis on the literal wording of the provision, and </w:t>
      </w:r>
      <w:r w:rsidR="00536DA9">
        <w:rPr>
          <w:rFonts w:ascii="Times New Roman" w:hAnsi="Times New Roman" w:cs="Times New Roman"/>
          <w:sz w:val="24"/>
          <w:szCs w:val="24"/>
        </w:rPr>
        <w:t>a willingness to admit (and countenance admission on appeal)</w:t>
      </w:r>
      <w:r w:rsidR="00E347E3">
        <w:rPr>
          <w:rFonts w:ascii="Times New Roman" w:hAnsi="Times New Roman" w:cs="Times New Roman"/>
          <w:sz w:val="24"/>
          <w:szCs w:val="24"/>
        </w:rPr>
        <w:t xml:space="preserve"> juvenile BCE </w:t>
      </w:r>
      <w:r w:rsidR="00536DA9">
        <w:rPr>
          <w:rFonts w:ascii="Times New Roman" w:hAnsi="Times New Roman" w:cs="Times New Roman"/>
          <w:sz w:val="24"/>
          <w:szCs w:val="24"/>
        </w:rPr>
        <w:t>provided the judge is mindful of the sensitivities surrounding admission of this evidence</w:t>
      </w:r>
      <w:r w:rsidR="00E944FB">
        <w:rPr>
          <w:rFonts w:ascii="Times New Roman" w:hAnsi="Times New Roman" w:cs="Times New Roman"/>
          <w:sz w:val="24"/>
          <w:szCs w:val="24"/>
        </w:rPr>
        <w:t xml:space="preserve">, especially where this is coupled with what the </w:t>
      </w:r>
      <w:r w:rsidR="00C9351C">
        <w:rPr>
          <w:rFonts w:ascii="Times New Roman" w:hAnsi="Times New Roman" w:cs="Times New Roman"/>
          <w:sz w:val="24"/>
          <w:szCs w:val="24"/>
        </w:rPr>
        <w:t>C</w:t>
      </w:r>
      <w:r w:rsidR="00E944FB">
        <w:rPr>
          <w:rFonts w:ascii="Times New Roman" w:hAnsi="Times New Roman" w:cs="Times New Roman"/>
          <w:sz w:val="24"/>
          <w:szCs w:val="24"/>
        </w:rPr>
        <w:t xml:space="preserve">ourt of </w:t>
      </w:r>
      <w:r w:rsidR="00C9351C">
        <w:rPr>
          <w:rFonts w:ascii="Times New Roman" w:hAnsi="Times New Roman" w:cs="Times New Roman"/>
          <w:sz w:val="24"/>
          <w:szCs w:val="24"/>
        </w:rPr>
        <w:t>A</w:t>
      </w:r>
      <w:r w:rsidR="00E944FB">
        <w:rPr>
          <w:rFonts w:ascii="Times New Roman" w:hAnsi="Times New Roman" w:cs="Times New Roman"/>
          <w:sz w:val="24"/>
          <w:szCs w:val="24"/>
        </w:rPr>
        <w:t xml:space="preserve">ppeal considers to be a careful direction to the jury. </w:t>
      </w:r>
      <w:r w:rsidR="00DE4508">
        <w:rPr>
          <w:rFonts w:ascii="Times New Roman" w:hAnsi="Times New Roman" w:cs="Times New Roman"/>
          <w:sz w:val="24"/>
          <w:szCs w:val="24"/>
        </w:rPr>
        <w:t xml:space="preserve">The narrowly defined age limits mean that this </w:t>
      </w:r>
      <w:r w:rsidR="00013FEF">
        <w:rPr>
          <w:rFonts w:ascii="Times New Roman" w:hAnsi="Times New Roman" w:cs="Times New Roman"/>
          <w:sz w:val="24"/>
          <w:szCs w:val="24"/>
        </w:rPr>
        <w:t>provision</w:t>
      </w:r>
      <w:r w:rsidR="00DE4508">
        <w:rPr>
          <w:rFonts w:ascii="Times New Roman" w:hAnsi="Times New Roman" w:cs="Times New Roman"/>
          <w:sz w:val="24"/>
          <w:szCs w:val="24"/>
        </w:rPr>
        <w:t xml:space="preserve"> does little to protect an adult defendant from admission of their behaviour committed before they could fairly be said to have developed any kind of definite understanding of</w:t>
      </w:r>
      <w:r w:rsidR="009F69A9">
        <w:rPr>
          <w:rFonts w:ascii="Times New Roman" w:hAnsi="Times New Roman" w:cs="Times New Roman"/>
          <w:sz w:val="24"/>
          <w:szCs w:val="24"/>
        </w:rPr>
        <w:t xml:space="preserve"> their criminal responsibility. </w:t>
      </w:r>
    </w:p>
    <w:p w14:paraId="4B558D22" w14:textId="77777777" w:rsidR="00013FEF" w:rsidRPr="00986D97" w:rsidRDefault="00013FEF" w:rsidP="00C736D4">
      <w:pPr>
        <w:autoSpaceDE w:val="0"/>
        <w:autoSpaceDN w:val="0"/>
        <w:adjustRightInd w:val="0"/>
        <w:spacing w:after="0" w:line="480" w:lineRule="auto"/>
        <w:jc w:val="both"/>
        <w:rPr>
          <w:rFonts w:ascii="Times New Roman" w:hAnsi="Times New Roman" w:cs="Times New Roman"/>
          <w:sz w:val="24"/>
          <w:szCs w:val="24"/>
        </w:rPr>
      </w:pPr>
    </w:p>
    <w:p w14:paraId="2C1426B2" w14:textId="77777777" w:rsidR="00C736D4" w:rsidRPr="00BD5398" w:rsidRDefault="00BD5398" w:rsidP="00B00467">
      <w:pPr>
        <w:autoSpaceDE w:val="0"/>
        <w:autoSpaceDN w:val="0"/>
        <w:adjustRightInd w:val="0"/>
        <w:spacing w:after="0" w:line="480" w:lineRule="auto"/>
        <w:jc w:val="both"/>
        <w:outlineLvl w:val="0"/>
        <w:rPr>
          <w:rFonts w:ascii="Times New Roman" w:hAnsi="Times New Roman" w:cs="Times New Roman"/>
          <w:b/>
          <w:i/>
          <w:sz w:val="24"/>
          <w:szCs w:val="24"/>
        </w:rPr>
      </w:pPr>
      <w:r>
        <w:rPr>
          <w:rFonts w:ascii="Times New Roman" w:hAnsi="Times New Roman" w:cs="Times New Roman"/>
          <w:b/>
          <w:i/>
          <w:sz w:val="24"/>
          <w:szCs w:val="24"/>
        </w:rPr>
        <w:t xml:space="preserve">M </w:t>
      </w:r>
      <w:r w:rsidRPr="00BD5398">
        <w:rPr>
          <w:rFonts w:ascii="Times New Roman" w:hAnsi="Times New Roman" w:cs="Times New Roman"/>
          <w:b/>
          <w:sz w:val="24"/>
          <w:szCs w:val="24"/>
        </w:rPr>
        <w:t>and the admission of BCE</w:t>
      </w:r>
    </w:p>
    <w:p w14:paraId="1C1D503C" w14:textId="7E8A4650" w:rsidR="00C736D4" w:rsidRDefault="00C736D4" w:rsidP="00C736D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Court of Appeal </w:t>
      </w:r>
      <w:r w:rsidR="00CE34F4">
        <w:rPr>
          <w:rFonts w:ascii="Times New Roman" w:hAnsi="Times New Roman" w:cs="Times New Roman"/>
          <w:sz w:val="24"/>
          <w:szCs w:val="24"/>
        </w:rPr>
        <w:t xml:space="preserve">in </w:t>
      </w:r>
      <w:r w:rsidR="00CE34F4">
        <w:rPr>
          <w:rFonts w:ascii="Times New Roman" w:hAnsi="Times New Roman" w:cs="Times New Roman"/>
          <w:i/>
          <w:sz w:val="24"/>
          <w:szCs w:val="24"/>
        </w:rPr>
        <w:t xml:space="preserve">M </w:t>
      </w:r>
      <w:r>
        <w:rPr>
          <w:rFonts w:ascii="Times New Roman" w:hAnsi="Times New Roman" w:cs="Times New Roman"/>
          <w:sz w:val="24"/>
          <w:szCs w:val="24"/>
        </w:rPr>
        <w:t>held that the BCE was properly admitted.</w:t>
      </w:r>
      <w:r w:rsidR="00711AD3" w:rsidRPr="006E1CD3">
        <w:rPr>
          <w:rStyle w:val="FootnoteReference"/>
          <w:rFonts w:ascii="Times New Roman" w:hAnsi="Times New Roman" w:cs="Times New Roman"/>
        </w:rPr>
        <w:footnoteReference w:id="59"/>
      </w:r>
      <w:r>
        <w:rPr>
          <w:rFonts w:ascii="Times New Roman" w:hAnsi="Times New Roman" w:cs="Times New Roman"/>
          <w:sz w:val="24"/>
          <w:szCs w:val="24"/>
        </w:rPr>
        <w:t xml:space="preserve"> Further</w:t>
      </w:r>
      <w:r w:rsidR="00013FEF">
        <w:rPr>
          <w:rFonts w:ascii="Times New Roman" w:hAnsi="Times New Roman" w:cs="Times New Roman"/>
          <w:sz w:val="24"/>
          <w:szCs w:val="24"/>
        </w:rPr>
        <w:t>more, even</w:t>
      </w:r>
      <w:r w:rsidR="00F66931">
        <w:rPr>
          <w:rFonts w:ascii="Times New Roman" w:hAnsi="Times New Roman" w:cs="Times New Roman"/>
          <w:sz w:val="24"/>
          <w:szCs w:val="24"/>
        </w:rPr>
        <w:t xml:space="preserve"> </w:t>
      </w:r>
      <w:r>
        <w:rPr>
          <w:rFonts w:ascii="Times New Roman" w:hAnsi="Times New Roman" w:cs="Times New Roman"/>
          <w:sz w:val="24"/>
          <w:szCs w:val="24"/>
        </w:rPr>
        <w:t>though the unproven incidents occurred prior to the defendant’s 14</w:t>
      </w:r>
      <w:r w:rsidRPr="004C2E09">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the court held that the BCE did not constitute a criminal charge and so there was no need to provide a </w:t>
      </w:r>
      <w:r w:rsidR="0095261F">
        <w:rPr>
          <w:rFonts w:ascii="Times New Roman" w:hAnsi="Times New Roman" w:cs="Times New Roman"/>
          <w:sz w:val="24"/>
          <w:szCs w:val="24"/>
        </w:rPr>
        <w:t>direction on the presumption of</w:t>
      </w:r>
      <w:r w:rsidR="0095261F">
        <w:rPr>
          <w:rFonts w:ascii="Times New Roman" w:hAnsi="Times New Roman" w:cs="Times New Roman"/>
          <w:i/>
          <w:sz w:val="24"/>
          <w:szCs w:val="24"/>
        </w:rPr>
        <w:t xml:space="preserve"> </w:t>
      </w:r>
      <w:r>
        <w:rPr>
          <w:rFonts w:ascii="Times New Roman" w:hAnsi="Times New Roman" w:cs="Times New Roman"/>
          <w:i/>
          <w:sz w:val="24"/>
          <w:szCs w:val="24"/>
        </w:rPr>
        <w:t xml:space="preserve">doli incapax </w:t>
      </w:r>
      <w:r>
        <w:rPr>
          <w:rFonts w:ascii="Times New Roman" w:hAnsi="Times New Roman" w:cs="Times New Roman"/>
          <w:sz w:val="24"/>
          <w:szCs w:val="24"/>
        </w:rPr>
        <w:t>with respect to this conduct</w:t>
      </w:r>
      <w:r w:rsidR="00711AD3">
        <w:rPr>
          <w:rFonts w:ascii="Times New Roman" w:hAnsi="Times New Roman" w:cs="Times New Roman"/>
          <w:sz w:val="24"/>
          <w:szCs w:val="24"/>
        </w:rPr>
        <w:t>.</w:t>
      </w:r>
      <w:r w:rsidR="00711AD3">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The Court of Appeal in </w:t>
      </w:r>
      <w:r>
        <w:rPr>
          <w:rFonts w:ascii="Times New Roman" w:hAnsi="Times New Roman" w:cs="Times New Roman"/>
          <w:i/>
          <w:sz w:val="24"/>
          <w:szCs w:val="24"/>
        </w:rPr>
        <w:t xml:space="preserve">M </w:t>
      </w:r>
      <w:r>
        <w:rPr>
          <w:rFonts w:ascii="Times New Roman" w:hAnsi="Times New Roman" w:cs="Times New Roman"/>
          <w:sz w:val="24"/>
          <w:szCs w:val="24"/>
        </w:rPr>
        <w:t xml:space="preserve">considered the previous case of </w:t>
      </w:r>
      <w:r w:rsidRPr="001C7829">
        <w:rPr>
          <w:rFonts w:ascii="Times New Roman" w:hAnsi="Times New Roman" w:cs="Times New Roman"/>
          <w:i/>
          <w:sz w:val="24"/>
          <w:szCs w:val="24"/>
        </w:rPr>
        <w:t>R v H</w:t>
      </w:r>
      <w:r w:rsidR="00711AD3">
        <w:rPr>
          <w:rFonts w:ascii="Times New Roman" w:hAnsi="Times New Roman" w:cs="Times New Roman"/>
          <w:sz w:val="24"/>
          <w:szCs w:val="24"/>
        </w:rPr>
        <w:t>.</w:t>
      </w:r>
      <w:r w:rsidR="00711AD3" w:rsidRPr="00711AD3">
        <w:rPr>
          <w:rStyle w:val="FootnoteReference"/>
          <w:rFonts w:ascii="Times New Roman" w:hAnsi="Times New Roman" w:cs="Times New Roman"/>
        </w:rPr>
        <w:footnoteReference w:id="61"/>
      </w:r>
      <w:r w:rsidR="005B68B7" w:rsidRPr="00711AD3">
        <w:rPr>
          <w:rFonts w:ascii="Times New Roman" w:hAnsi="Times New Roman" w:cs="Times New Roman"/>
          <w:sz w:val="24"/>
          <w:szCs w:val="24"/>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 xml:space="preserve">H, </w:t>
      </w:r>
      <w:r>
        <w:rPr>
          <w:rFonts w:ascii="Times New Roman" w:hAnsi="Times New Roman" w:cs="Times New Roman"/>
          <w:sz w:val="24"/>
          <w:szCs w:val="24"/>
        </w:rPr>
        <w:t>a case similarly involving historical sexual abuse,</w:t>
      </w:r>
      <w:r>
        <w:rPr>
          <w:rFonts w:ascii="Times New Roman" w:hAnsi="Times New Roman" w:cs="Times New Roman"/>
          <w:i/>
          <w:sz w:val="24"/>
          <w:szCs w:val="24"/>
        </w:rPr>
        <w:t xml:space="preserve"> </w:t>
      </w:r>
      <w:r>
        <w:rPr>
          <w:rFonts w:ascii="Times New Roman" w:hAnsi="Times New Roman" w:cs="Times New Roman"/>
          <w:sz w:val="24"/>
          <w:szCs w:val="24"/>
        </w:rPr>
        <w:t>the Court of Appeal stated that:</w:t>
      </w:r>
    </w:p>
    <w:p w14:paraId="2B9BD1E9" w14:textId="3BD1E379" w:rsidR="00C736D4" w:rsidRDefault="00C736D4" w:rsidP="00C736D4">
      <w:p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E2883">
        <w:rPr>
          <w:rFonts w:ascii="Times New Roman" w:hAnsi="Times New Roman" w:cs="Times New Roman"/>
          <w:sz w:val="24"/>
          <w:szCs w:val="24"/>
        </w:rPr>
        <w:t>It was essential that the jury should know - and the judge should only have ruled in this way - what happened in the years immediately preceding the attainment of the appellant's fourteenth birthday. It would have been wholly artificial and unsatisfactory if the evidence before the jury had commenced with the appellant's fourteenth birthday</w:t>
      </w:r>
      <w:r>
        <w:rPr>
          <w:rFonts w:ascii="Times New Roman" w:hAnsi="Times New Roman" w:cs="Times New Roman"/>
          <w:sz w:val="24"/>
          <w:szCs w:val="24"/>
        </w:rPr>
        <w:t>’</w:t>
      </w:r>
      <w:r w:rsidR="00711AD3">
        <w:rPr>
          <w:rFonts w:ascii="Times New Roman" w:hAnsi="Times New Roman" w:cs="Times New Roman"/>
          <w:sz w:val="24"/>
          <w:szCs w:val="24"/>
        </w:rPr>
        <w:t>.</w:t>
      </w:r>
      <w:r w:rsidR="00711AD3" w:rsidRPr="006E1CD3">
        <w:rPr>
          <w:rStyle w:val="FootnoteReference"/>
          <w:rFonts w:ascii="Times New Roman" w:hAnsi="Times New Roman" w:cs="Times New Roman"/>
        </w:rPr>
        <w:footnoteReference w:id="62"/>
      </w:r>
    </w:p>
    <w:p w14:paraId="4319CE90" w14:textId="46B6FB9B" w:rsidR="00013FEF" w:rsidRDefault="00C736D4" w:rsidP="00037021">
      <w:pPr>
        <w:autoSpaceDE w:val="0"/>
        <w:autoSpaceDN w:val="0"/>
        <w:adjustRightInd w:val="0"/>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This passage was reproduced in </w:t>
      </w:r>
      <w:r>
        <w:rPr>
          <w:rFonts w:ascii="Times New Roman" w:hAnsi="Times New Roman" w:cs="Times New Roman"/>
          <w:i/>
          <w:sz w:val="24"/>
          <w:szCs w:val="24"/>
        </w:rPr>
        <w:t xml:space="preserve">M, </w:t>
      </w:r>
      <w:r w:rsidR="00F07EDF">
        <w:rPr>
          <w:rFonts w:ascii="Times New Roman" w:hAnsi="Times New Roman" w:cs="Times New Roman"/>
          <w:sz w:val="24"/>
          <w:szCs w:val="24"/>
        </w:rPr>
        <w:t>the Court of Appeal noting that</w:t>
      </w:r>
      <w:r>
        <w:rPr>
          <w:rFonts w:ascii="Times New Roman" w:hAnsi="Times New Roman" w:cs="Times New Roman"/>
          <w:sz w:val="24"/>
          <w:szCs w:val="24"/>
        </w:rPr>
        <w:t>: ‘In [</w:t>
      </w:r>
      <w:r w:rsidRPr="00CB226A">
        <w:rPr>
          <w:rFonts w:ascii="Times New Roman" w:hAnsi="Times New Roman" w:cs="Times New Roman"/>
          <w:i/>
          <w:sz w:val="24"/>
          <w:szCs w:val="24"/>
        </w:rPr>
        <w:t>H</w:t>
      </w:r>
      <w:r>
        <w:rPr>
          <w:rFonts w:ascii="Times New Roman" w:hAnsi="Times New Roman" w:cs="Times New Roman"/>
          <w:sz w:val="24"/>
          <w:szCs w:val="24"/>
        </w:rPr>
        <w:t>] what was required was that the recorder should properly direct the jury that they must be sure that the two incidents occurred and, if they were, how the incidents might help them decide whether the defendant had committed the indicted offences’</w:t>
      </w:r>
      <w:r w:rsidR="00711AD3">
        <w:rPr>
          <w:rFonts w:ascii="Times New Roman" w:hAnsi="Times New Roman" w:cs="Times New Roman"/>
          <w:sz w:val="24"/>
          <w:szCs w:val="24"/>
        </w:rPr>
        <w:t>.</w:t>
      </w:r>
      <w:r w:rsidR="00711AD3" w:rsidRPr="006E1CD3">
        <w:rPr>
          <w:rStyle w:val="FootnoteReference"/>
          <w:rFonts w:ascii="Times New Roman" w:hAnsi="Times New Roman" w:cs="Times New Roman"/>
        </w:rPr>
        <w:footnoteReference w:id="63"/>
      </w:r>
      <w:r w:rsidR="00711AD3">
        <w:rPr>
          <w:rFonts w:ascii="Times New Roman" w:hAnsi="Times New Roman" w:cs="Times New Roman"/>
          <w:sz w:val="24"/>
          <w:szCs w:val="24"/>
        </w:rPr>
        <w:t xml:space="preserve"> </w:t>
      </w:r>
      <w:r w:rsidR="00F07EDF">
        <w:rPr>
          <w:rFonts w:ascii="Times New Roman" w:hAnsi="Times New Roman" w:cs="Times New Roman"/>
          <w:sz w:val="24"/>
          <w:szCs w:val="24"/>
        </w:rPr>
        <w:t>This is reminiscent of other case law in which</w:t>
      </w:r>
      <w:r w:rsidR="005905D7">
        <w:rPr>
          <w:rFonts w:ascii="Times New Roman" w:hAnsi="Times New Roman" w:cs="Times New Roman"/>
          <w:sz w:val="24"/>
          <w:szCs w:val="24"/>
        </w:rPr>
        <w:t xml:space="preserve"> admission of unproven (non-conviction) BCE has been rationalised by virtue of a jury direction requiring the prosecution to have proven the separate incidents of BCE so that the jury are sure. As will be demonstrated, this is neither reliable, nor sufficient to avoid the dangers of denying the application of</w:t>
      </w:r>
      <w:r w:rsidR="0095261F">
        <w:rPr>
          <w:rFonts w:ascii="Times New Roman" w:hAnsi="Times New Roman" w:cs="Times New Roman"/>
          <w:sz w:val="24"/>
          <w:szCs w:val="24"/>
        </w:rPr>
        <w:t xml:space="preserve"> the presumption of</w:t>
      </w:r>
      <w:r w:rsidR="005905D7">
        <w:rPr>
          <w:rFonts w:ascii="Times New Roman" w:hAnsi="Times New Roman" w:cs="Times New Roman"/>
          <w:sz w:val="24"/>
          <w:szCs w:val="24"/>
        </w:rPr>
        <w:t xml:space="preserve"> </w:t>
      </w:r>
      <w:r w:rsidR="005905D7">
        <w:rPr>
          <w:rFonts w:ascii="Times New Roman" w:hAnsi="Times New Roman" w:cs="Times New Roman"/>
          <w:i/>
          <w:sz w:val="24"/>
          <w:szCs w:val="24"/>
        </w:rPr>
        <w:t>doli incapax</w:t>
      </w:r>
      <w:r w:rsidR="005905D7">
        <w:rPr>
          <w:rFonts w:ascii="Times New Roman" w:hAnsi="Times New Roman" w:cs="Times New Roman"/>
          <w:sz w:val="24"/>
          <w:szCs w:val="24"/>
        </w:rPr>
        <w:t xml:space="preserve"> in </w:t>
      </w:r>
      <w:r w:rsidR="005905D7">
        <w:rPr>
          <w:rFonts w:ascii="Times New Roman" w:hAnsi="Times New Roman" w:cs="Times New Roman"/>
          <w:i/>
          <w:sz w:val="24"/>
          <w:szCs w:val="24"/>
        </w:rPr>
        <w:t xml:space="preserve">M. </w:t>
      </w:r>
    </w:p>
    <w:p w14:paraId="50163EFB" w14:textId="0FB42217" w:rsidR="00037021" w:rsidRDefault="00037021" w:rsidP="000850F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74(3) </w:t>
      </w:r>
      <w:r w:rsidR="007A304E">
        <w:rPr>
          <w:rFonts w:ascii="Times New Roman" w:hAnsi="Times New Roman" w:cs="Times New Roman"/>
          <w:sz w:val="24"/>
          <w:szCs w:val="24"/>
        </w:rPr>
        <w:t>PACE</w:t>
      </w:r>
      <w:r>
        <w:rPr>
          <w:rFonts w:ascii="Times New Roman" w:hAnsi="Times New Roman" w:cs="Times New Roman"/>
          <w:sz w:val="24"/>
          <w:szCs w:val="24"/>
        </w:rPr>
        <w:t xml:space="preserve"> 1984 states that where the previous conviction of a defendant is admitted into the trial as evidence he</w:t>
      </w:r>
      <w:r w:rsidR="008B4019">
        <w:rPr>
          <w:rFonts w:ascii="Times New Roman" w:hAnsi="Times New Roman" w:cs="Times New Roman"/>
          <w:sz w:val="24"/>
          <w:szCs w:val="24"/>
        </w:rPr>
        <w:t>/she</w:t>
      </w:r>
      <w:r>
        <w:rPr>
          <w:rFonts w:ascii="Times New Roman" w:hAnsi="Times New Roman" w:cs="Times New Roman"/>
          <w:sz w:val="24"/>
          <w:szCs w:val="24"/>
        </w:rPr>
        <w:t xml:space="preserve"> committed that offence, it will be assumed that he/she did so unless the contrary can be proven. However, where, as in the case of </w:t>
      </w:r>
      <w:r w:rsidRPr="004147E1">
        <w:rPr>
          <w:rFonts w:ascii="Times New Roman" w:hAnsi="Times New Roman" w:cs="Times New Roman"/>
          <w:i/>
          <w:sz w:val="24"/>
          <w:szCs w:val="24"/>
        </w:rPr>
        <w:t>M</w:t>
      </w:r>
      <w:r>
        <w:rPr>
          <w:rFonts w:ascii="Times New Roman" w:hAnsi="Times New Roman" w:cs="Times New Roman"/>
          <w:sz w:val="24"/>
          <w:szCs w:val="24"/>
        </w:rPr>
        <w:t>, evidence that has not been proven at trial (‘non-conviction’ or ‘unproven’ BCE) is admitted this is regulated by common law. In</w:t>
      </w:r>
      <w:r w:rsidRPr="000B0209">
        <w:rPr>
          <w:rFonts w:ascii="Times New Roman" w:hAnsi="Times New Roman" w:cs="Times New Roman"/>
          <w:sz w:val="24"/>
          <w:szCs w:val="24"/>
        </w:rPr>
        <w:t xml:space="preserve"> </w:t>
      </w:r>
      <w:r w:rsidRPr="00C50014">
        <w:rPr>
          <w:rFonts w:ascii="Times New Roman" w:hAnsi="Times New Roman" w:cs="Times New Roman"/>
          <w:i/>
          <w:sz w:val="24"/>
          <w:szCs w:val="24"/>
        </w:rPr>
        <w:t>R v Lowe</w:t>
      </w:r>
      <w:r w:rsidR="003C3975" w:rsidRPr="006E1CD3">
        <w:rPr>
          <w:rStyle w:val="FootnoteReference"/>
          <w:rFonts w:ascii="Times New Roman" w:hAnsi="Times New Roman" w:cs="Times New Roman"/>
        </w:rPr>
        <w:footnoteReference w:id="64"/>
      </w:r>
      <w:r w:rsidR="003C3975">
        <w:rPr>
          <w:rFonts w:ascii="Times New Roman" w:hAnsi="Times New Roman" w:cs="Times New Roman"/>
          <w:i/>
          <w:sz w:val="24"/>
          <w:szCs w:val="24"/>
        </w:rPr>
        <w:t xml:space="preserve"> </w:t>
      </w:r>
      <w:r>
        <w:rPr>
          <w:rFonts w:ascii="Times New Roman" w:hAnsi="Times New Roman" w:cs="Times New Roman"/>
          <w:sz w:val="24"/>
          <w:szCs w:val="24"/>
        </w:rPr>
        <w:t>the</w:t>
      </w:r>
      <w:r w:rsidRPr="000B0209">
        <w:rPr>
          <w:rFonts w:ascii="Times New Roman" w:hAnsi="Times New Roman" w:cs="Times New Roman"/>
          <w:sz w:val="24"/>
          <w:szCs w:val="24"/>
        </w:rPr>
        <w:t xml:space="preserve"> court provided guidance </w:t>
      </w:r>
      <w:r>
        <w:rPr>
          <w:rFonts w:ascii="Times New Roman" w:hAnsi="Times New Roman" w:cs="Times New Roman"/>
          <w:sz w:val="24"/>
          <w:szCs w:val="24"/>
        </w:rPr>
        <w:t>regarding what must be covered in the jury direction where BCE</w:t>
      </w:r>
      <w:r w:rsidRPr="000B0209">
        <w:rPr>
          <w:rFonts w:ascii="Times New Roman" w:hAnsi="Times New Roman" w:cs="Times New Roman"/>
          <w:sz w:val="24"/>
          <w:szCs w:val="24"/>
        </w:rPr>
        <w:t xml:space="preserve"> takes the form of evidence other than previous convictions. </w:t>
      </w:r>
      <w:r>
        <w:rPr>
          <w:rFonts w:ascii="Times New Roman" w:hAnsi="Times New Roman" w:cs="Times New Roman"/>
          <w:sz w:val="24"/>
          <w:szCs w:val="24"/>
        </w:rPr>
        <w:t xml:space="preserve">Their </w:t>
      </w:r>
      <w:r w:rsidR="00013FEF">
        <w:rPr>
          <w:rFonts w:ascii="Times New Roman" w:hAnsi="Times New Roman" w:cs="Times New Roman"/>
          <w:sz w:val="24"/>
          <w:szCs w:val="24"/>
        </w:rPr>
        <w:t>L</w:t>
      </w:r>
      <w:r>
        <w:rPr>
          <w:rFonts w:ascii="Times New Roman" w:hAnsi="Times New Roman" w:cs="Times New Roman"/>
          <w:sz w:val="24"/>
          <w:szCs w:val="24"/>
        </w:rPr>
        <w:t>ordships dictated that the judge should identify the incidents in question for the jury</w:t>
      </w:r>
      <w:r w:rsidRPr="000B0209">
        <w:rPr>
          <w:rFonts w:ascii="Times New Roman" w:hAnsi="Times New Roman" w:cs="Times New Roman"/>
          <w:sz w:val="24"/>
          <w:szCs w:val="24"/>
        </w:rPr>
        <w:t xml:space="preserve"> </w:t>
      </w:r>
      <w:r>
        <w:rPr>
          <w:rFonts w:ascii="Times New Roman" w:hAnsi="Times New Roman" w:cs="Times New Roman"/>
          <w:sz w:val="24"/>
          <w:szCs w:val="24"/>
        </w:rPr>
        <w:t>and direct that they only use the BCE in their deliberation processes if they consider that the prosecution proved those incidents to them beyond a reasonable doubt. Any doubt will prohibit them from attributing any significance to the incident, and regardless they should be cautionary in their approach and not afford more weight than the evidence deserves. The court even went so far as to state that the jury should receive direction as to the potential</w:t>
      </w:r>
      <w:r w:rsidRPr="000B0209">
        <w:rPr>
          <w:rFonts w:ascii="Times New Roman" w:hAnsi="Times New Roman" w:cs="Times New Roman"/>
          <w:sz w:val="24"/>
          <w:szCs w:val="24"/>
        </w:rPr>
        <w:t xml:space="preserve"> significance of an incident or i</w:t>
      </w:r>
      <w:r w:rsidR="003C3975">
        <w:rPr>
          <w:rFonts w:ascii="Times New Roman" w:hAnsi="Times New Roman" w:cs="Times New Roman"/>
          <w:sz w:val="24"/>
          <w:szCs w:val="24"/>
        </w:rPr>
        <w:t>ncidents that had been proved.</w:t>
      </w:r>
      <w:r w:rsidR="003C3975" w:rsidRPr="006E1CD3">
        <w:rPr>
          <w:rStyle w:val="FootnoteReference"/>
          <w:rFonts w:ascii="Times New Roman" w:hAnsi="Times New Roman" w:cs="Times New Roman"/>
        </w:rPr>
        <w:footnoteReference w:id="65"/>
      </w:r>
      <w:r>
        <w:rPr>
          <w:rFonts w:ascii="Times New Roman" w:hAnsi="Times New Roman" w:cs="Times New Roman"/>
          <w:sz w:val="24"/>
          <w:szCs w:val="24"/>
        </w:rPr>
        <w:t xml:space="preserve"> </w:t>
      </w:r>
      <w:r>
        <w:rPr>
          <w:rFonts w:ascii="Times New Roman" w:hAnsi="Times New Roman" w:cs="Times New Roman"/>
          <w:i/>
          <w:sz w:val="24"/>
          <w:szCs w:val="24"/>
        </w:rPr>
        <w:t xml:space="preserve">Lowe </w:t>
      </w:r>
      <w:r>
        <w:rPr>
          <w:rFonts w:ascii="Times New Roman" w:hAnsi="Times New Roman" w:cs="Times New Roman"/>
          <w:sz w:val="24"/>
          <w:szCs w:val="24"/>
        </w:rPr>
        <w:t>is cited with approval in later case law</w:t>
      </w:r>
      <w:r w:rsidR="003C3975" w:rsidRPr="006E1CD3">
        <w:rPr>
          <w:rFonts w:ascii="Times New Roman" w:hAnsi="Times New Roman" w:cs="Times New Roman"/>
          <w:sz w:val="24"/>
          <w:szCs w:val="24"/>
        </w:rPr>
        <w:t>,</w:t>
      </w:r>
      <w:r w:rsidR="003C3975" w:rsidRPr="006E1CD3">
        <w:rPr>
          <w:rStyle w:val="FootnoteReference"/>
          <w:rFonts w:ascii="Times New Roman" w:hAnsi="Times New Roman" w:cs="Times New Roman"/>
        </w:rPr>
        <w:footnoteReference w:id="66"/>
      </w:r>
      <w:r w:rsidR="003C3975" w:rsidRPr="006E1CD3">
        <w:rPr>
          <w:rFonts w:ascii="Times New Roman" w:hAnsi="Times New Roman" w:cs="Times New Roman"/>
          <w:sz w:val="24"/>
          <w:szCs w:val="24"/>
        </w:rPr>
        <w:t xml:space="preserve"> however, the Supreme </w:t>
      </w:r>
      <w:r w:rsidR="00FB1BA7">
        <w:rPr>
          <w:rFonts w:ascii="Times New Roman" w:hAnsi="Times New Roman" w:cs="Times New Roman"/>
          <w:sz w:val="24"/>
          <w:szCs w:val="24"/>
        </w:rPr>
        <w:t>C</w:t>
      </w:r>
      <w:r w:rsidR="003C3975" w:rsidRPr="006E1CD3">
        <w:rPr>
          <w:rFonts w:ascii="Times New Roman" w:hAnsi="Times New Roman" w:cs="Times New Roman"/>
          <w:sz w:val="24"/>
          <w:szCs w:val="24"/>
        </w:rPr>
        <w:t xml:space="preserve">ourt case of </w:t>
      </w:r>
      <w:r w:rsidR="003C3975" w:rsidRPr="006E1CD3">
        <w:rPr>
          <w:rFonts w:ascii="Times New Roman" w:hAnsi="Times New Roman" w:cs="Times New Roman"/>
          <w:i/>
          <w:sz w:val="24"/>
          <w:szCs w:val="24"/>
        </w:rPr>
        <w:t>R v Mitchell</w:t>
      </w:r>
      <w:r w:rsidR="003C3975" w:rsidRPr="006E1CD3">
        <w:rPr>
          <w:rStyle w:val="FootnoteReference"/>
          <w:rFonts w:ascii="Times New Roman" w:hAnsi="Times New Roman" w:cs="Times New Roman"/>
          <w:i/>
        </w:rPr>
        <w:footnoteReference w:id="67"/>
      </w:r>
      <w:r w:rsidR="003C3975" w:rsidRPr="006E1CD3">
        <w:rPr>
          <w:rFonts w:ascii="Times New Roman" w:hAnsi="Times New Roman" w:cs="Times New Roman"/>
          <w:i/>
          <w:sz w:val="24"/>
          <w:szCs w:val="24"/>
        </w:rPr>
        <w:t xml:space="preserve"> </w:t>
      </w:r>
      <w:r>
        <w:rPr>
          <w:rFonts w:ascii="Times New Roman" w:hAnsi="Times New Roman" w:cs="Times New Roman"/>
          <w:sz w:val="24"/>
          <w:szCs w:val="24"/>
        </w:rPr>
        <w:t>suggests</w:t>
      </w:r>
      <w:r w:rsidR="00793F4F">
        <w:rPr>
          <w:rFonts w:ascii="Times New Roman" w:hAnsi="Times New Roman" w:cs="Times New Roman"/>
          <w:sz w:val="24"/>
          <w:szCs w:val="24"/>
        </w:rPr>
        <w:t xml:space="preserve"> the potential for </w:t>
      </w:r>
      <w:r>
        <w:rPr>
          <w:rFonts w:ascii="Times New Roman" w:hAnsi="Times New Roman" w:cs="Times New Roman"/>
          <w:sz w:val="24"/>
          <w:szCs w:val="24"/>
        </w:rPr>
        <w:t xml:space="preserve">a turn in the tide. In this case, the Supreme Court agreed with the Northern Ireland Court of Appeal wherein </w:t>
      </w:r>
      <w:r w:rsidRPr="003C23B2">
        <w:rPr>
          <w:rFonts w:ascii="Times New Roman" w:hAnsi="Times New Roman" w:cs="Times New Roman"/>
          <w:sz w:val="24"/>
          <w:szCs w:val="24"/>
        </w:rPr>
        <w:t xml:space="preserve">the conviction of the defendant had been quashed and a retrial ordered on the basis of an insufficient direction to the jury on the admissible propensity evidence. The Supreme Court stated that the conviction was unsafe, but that </w:t>
      </w:r>
      <w:r w:rsidRPr="003C23B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issue for the jury wa</w:t>
      </w:r>
      <w:r w:rsidRPr="003C23B2">
        <w:rPr>
          <w:rFonts w:ascii="Times New Roman" w:hAnsi="Times New Roman" w:cs="Times New Roman"/>
          <w:color w:val="000000"/>
          <w:sz w:val="24"/>
          <w:szCs w:val="24"/>
        </w:rPr>
        <w:t xml:space="preserve">s </w:t>
      </w:r>
      <w:r>
        <w:rPr>
          <w:rFonts w:ascii="Times New Roman" w:hAnsi="Times New Roman" w:cs="Times New Roman"/>
          <w:color w:val="000000"/>
          <w:sz w:val="24"/>
          <w:szCs w:val="24"/>
        </w:rPr>
        <w:t xml:space="preserve">not whether the incidents happened, but was </w:t>
      </w:r>
      <w:r w:rsidRPr="003C23B2">
        <w:rPr>
          <w:rFonts w:ascii="Times New Roman" w:hAnsi="Times New Roman" w:cs="Times New Roman"/>
          <w:color w:val="000000"/>
          <w:sz w:val="24"/>
          <w:szCs w:val="24"/>
        </w:rPr>
        <w:t>in</w:t>
      </w:r>
      <w:r w:rsidR="001E1B5A">
        <w:rPr>
          <w:rFonts w:ascii="Times New Roman" w:hAnsi="Times New Roman" w:cs="Times New Roman"/>
          <w:color w:val="000000"/>
          <w:sz w:val="24"/>
          <w:szCs w:val="24"/>
        </w:rPr>
        <w:t xml:space="preserve"> </w:t>
      </w:r>
      <w:r w:rsidRPr="003C23B2">
        <w:rPr>
          <w:rFonts w:ascii="Times New Roman" w:hAnsi="Times New Roman" w:cs="Times New Roman"/>
          <w:color w:val="000000"/>
          <w:sz w:val="24"/>
          <w:szCs w:val="24"/>
        </w:rPr>
        <w:t xml:space="preserve">fact </w:t>
      </w:r>
      <w:r>
        <w:rPr>
          <w:rFonts w:ascii="Times New Roman" w:hAnsi="Times New Roman" w:cs="Times New Roman"/>
          <w:color w:val="000000"/>
          <w:sz w:val="24"/>
          <w:szCs w:val="24"/>
        </w:rPr>
        <w:t>whether ‘[the jury]</w:t>
      </w:r>
      <w:r w:rsidRPr="003C23B2">
        <w:rPr>
          <w:rFonts w:ascii="Times New Roman" w:hAnsi="Times New Roman" w:cs="Times New Roman"/>
          <w:color w:val="000000"/>
          <w:sz w:val="24"/>
          <w:szCs w:val="24"/>
        </w:rPr>
        <w:t xml:space="preserve"> are sure that the propensity has been proved’</w:t>
      </w:r>
      <w:r w:rsidR="003C3975">
        <w:rPr>
          <w:rFonts w:ascii="Times New Roman" w:hAnsi="Times New Roman" w:cs="Times New Roman"/>
          <w:color w:val="000000"/>
          <w:sz w:val="24"/>
          <w:szCs w:val="24"/>
        </w:rPr>
        <w:t>.</w:t>
      </w:r>
      <w:r w:rsidR="003C3975" w:rsidRPr="006E1CD3">
        <w:rPr>
          <w:rStyle w:val="FootnoteReference"/>
          <w:rFonts w:ascii="Times New Roman" w:hAnsi="Times New Roman" w:cs="Times New Roman"/>
          <w:color w:val="000000"/>
        </w:rPr>
        <w:footnoteReference w:id="68"/>
      </w:r>
      <w:r w:rsidR="003C3975" w:rsidRPr="006E1CD3">
        <w:rPr>
          <w:rFonts w:ascii="Times New Roman" w:hAnsi="Times New Roman" w:cs="Times New Roman"/>
          <w:color w:val="000000"/>
          <w:sz w:val="24"/>
          <w:szCs w:val="24"/>
        </w:rPr>
        <w:t xml:space="preserve"> </w:t>
      </w:r>
      <w:r w:rsidRPr="003C23B2">
        <w:rPr>
          <w:rFonts w:ascii="Times New Roman" w:hAnsi="Times New Roman" w:cs="Times New Roman"/>
          <w:color w:val="000000"/>
          <w:sz w:val="24"/>
          <w:szCs w:val="24"/>
        </w:rPr>
        <w:t>Consequently, where there are several instances of misconduct which are capable of showing a relevant propensity it is unnecessary for the jury to be convinced that each one occurred individually, instead they should adopt a more holistic viewpoint</w:t>
      </w:r>
      <w:r w:rsidR="003C3975">
        <w:rPr>
          <w:rFonts w:ascii="Times New Roman" w:hAnsi="Times New Roman" w:cs="Times New Roman"/>
          <w:color w:val="000000"/>
          <w:sz w:val="24"/>
          <w:szCs w:val="24"/>
        </w:rPr>
        <w:t>.</w:t>
      </w:r>
      <w:r w:rsidR="003C3975" w:rsidRPr="006E1CD3">
        <w:rPr>
          <w:rStyle w:val="FootnoteReference"/>
          <w:rFonts w:ascii="Times New Roman" w:hAnsi="Times New Roman" w:cs="Times New Roman"/>
          <w:color w:val="000000"/>
        </w:rPr>
        <w:footnoteReference w:id="69"/>
      </w:r>
      <w:r w:rsidR="003C3975" w:rsidRPr="006E1CD3">
        <w:rPr>
          <w:rFonts w:ascii="Times New Roman" w:hAnsi="Times New Roman" w:cs="Times New Roman"/>
          <w:color w:val="000000"/>
          <w:sz w:val="24"/>
          <w:szCs w:val="24"/>
        </w:rPr>
        <w:t xml:space="preserve"> </w:t>
      </w:r>
      <w:r w:rsidR="00710924">
        <w:rPr>
          <w:rFonts w:ascii="Times New Roman" w:hAnsi="Times New Roman" w:cs="Times New Roman"/>
          <w:sz w:val="24"/>
          <w:szCs w:val="24"/>
        </w:rPr>
        <w:t>T</w:t>
      </w:r>
      <w:r w:rsidRPr="003C23B2">
        <w:rPr>
          <w:rFonts w:ascii="Times New Roman" w:hAnsi="Times New Roman" w:cs="Times New Roman"/>
          <w:sz w:val="24"/>
          <w:szCs w:val="24"/>
        </w:rPr>
        <w:t>he Supreme Court did recognise that it was important that the judge still reiterate that propensity evidence ‘</w:t>
      </w:r>
      <w:r w:rsidRPr="003C23B2">
        <w:rPr>
          <w:rFonts w:ascii="Times New Roman" w:hAnsi="Times New Roman" w:cs="Times New Roman"/>
          <w:color w:val="000000"/>
          <w:sz w:val="24"/>
          <w:szCs w:val="24"/>
        </w:rPr>
        <w:t>must not be regarded as a satisfactory substitute for direct evidence of the accused's involvement in the crime charged’</w:t>
      </w:r>
      <w:r w:rsidR="003C3975">
        <w:rPr>
          <w:rFonts w:ascii="Times New Roman" w:hAnsi="Times New Roman" w:cs="Times New Roman"/>
          <w:color w:val="000000"/>
          <w:sz w:val="24"/>
          <w:szCs w:val="24"/>
        </w:rPr>
        <w:t>.</w:t>
      </w:r>
      <w:r w:rsidR="003C3975" w:rsidRPr="006E1CD3">
        <w:rPr>
          <w:rStyle w:val="FootnoteReference"/>
          <w:rFonts w:ascii="Times New Roman" w:hAnsi="Times New Roman" w:cs="Times New Roman"/>
          <w:color w:val="000000"/>
        </w:rPr>
        <w:footnoteReference w:id="70"/>
      </w:r>
      <w:r w:rsidR="003C3975" w:rsidRPr="006E1CD3">
        <w:rPr>
          <w:rFonts w:ascii="Times New Roman" w:hAnsi="Times New Roman" w:cs="Times New Roman"/>
          <w:color w:val="000000"/>
          <w:sz w:val="24"/>
          <w:szCs w:val="24"/>
        </w:rPr>
        <w:t xml:space="preserve"> </w:t>
      </w:r>
      <w:r w:rsidR="003A7308">
        <w:rPr>
          <w:rFonts w:ascii="Times New Roman" w:hAnsi="Times New Roman" w:cs="Times New Roman"/>
          <w:color w:val="000000"/>
          <w:sz w:val="24"/>
          <w:szCs w:val="24"/>
        </w:rPr>
        <w:t>T</w:t>
      </w:r>
      <w:r>
        <w:rPr>
          <w:rFonts w:ascii="Times New Roman" w:hAnsi="Times New Roman" w:cs="Times New Roman"/>
          <w:color w:val="000000"/>
          <w:sz w:val="24"/>
          <w:szCs w:val="24"/>
        </w:rPr>
        <w:t>his suggests that unless only one incident of non-conviction BCE is involved, it may no longer be required that the incidents be proven for the jury to be able to take them into account as highlighting a relevant propensity</w:t>
      </w:r>
      <w:r w:rsidRPr="003C23B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57924F66" w14:textId="303F5248" w:rsidR="00986D97" w:rsidRDefault="00037021" w:rsidP="0095261F">
      <w:pPr>
        <w:autoSpaceDE w:val="0"/>
        <w:autoSpaceDN w:val="0"/>
        <w:adjustRightInd w:val="0"/>
        <w:spacing w:after="0" w:line="480" w:lineRule="auto"/>
        <w:ind w:firstLine="720"/>
        <w:jc w:val="both"/>
        <w:rPr>
          <w:rFonts w:ascii="Times New Roman" w:hAnsi="Times New Roman" w:cs="Times New Roman"/>
          <w:sz w:val="24"/>
          <w:szCs w:val="24"/>
        </w:rPr>
      </w:pPr>
      <w:r w:rsidRPr="004147E1">
        <w:rPr>
          <w:rFonts w:ascii="Times New Roman" w:hAnsi="Times New Roman" w:cs="Times New Roman"/>
          <w:sz w:val="24"/>
          <w:szCs w:val="24"/>
        </w:rPr>
        <w:t>The</w:t>
      </w:r>
      <w:r w:rsidRPr="001A5A3A">
        <w:rPr>
          <w:rFonts w:ascii="Times New Roman" w:hAnsi="Times New Roman" w:cs="Times New Roman"/>
          <w:sz w:val="24"/>
          <w:szCs w:val="24"/>
        </w:rPr>
        <w:t xml:space="preserve"> Court of Appeal in </w:t>
      </w:r>
      <w:r w:rsidRPr="004B5B24">
        <w:rPr>
          <w:rFonts w:ascii="Times New Roman" w:hAnsi="Times New Roman" w:cs="Times New Roman"/>
          <w:i/>
          <w:sz w:val="24"/>
          <w:szCs w:val="24"/>
        </w:rPr>
        <w:t>M</w:t>
      </w:r>
      <w:r w:rsidRPr="001A5A3A">
        <w:rPr>
          <w:rFonts w:ascii="Times New Roman" w:hAnsi="Times New Roman" w:cs="Times New Roman"/>
          <w:sz w:val="24"/>
          <w:szCs w:val="24"/>
        </w:rPr>
        <w:t xml:space="preserve">, relying on </w:t>
      </w:r>
      <w:r w:rsidRPr="001A5A3A">
        <w:rPr>
          <w:rFonts w:ascii="Times New Roman" w:hAnsi="Times New Roman" w:cs="Times New Roman"/>
          <w:i/>
          <w:sz w:val="24"/>
          <w:szCs w:val="24"/>
        </w:rPr>
        <w:t xml:space="preserve">H, </w:t>
      </w:r>
      <w:r w:rsidRPr="001A5A3A">
        <w:rPr>
          <w:rFonts w:ascii="Times New Roman" w:hAnsi="Times New Roman" w:cs="Times New Roman"/>
          <w:sz w:val="24"/>
          <w:szCs w:val="24"/>
        </w:rPr>
        <w:t>stated that provided the jury is directed that they must be sure the incidents occurre</w:t>
      </w:r>
      <w:r>
        <w:rPr>
          <w:rFonts w:ascii="Times New Roman" w:hAnsi="Times New Roman" w:cs="Times New Roman"/>
          <w:sz w:val="24"/>
          <w:szCs w:val="24"/>
        </w:rPr>
        <w:t>d, evidence of ‘non-conviction’ BCE wa</w:t>
      </w:r>
      <w:r w:rsidRPr="001A5A3A">
        <w:rPr>
          <w:rFonts w:ascii="Times New Roman" w:hAnsi="Times New Roman" w:cs="Times New Roman"/>
          <w:sz w:val="24"/>
          <w:szCs w:val="24"/>
        </w:rPr>
        <w:t>s safely admitted</w:t>
      </w:r>
      <w:r>
        <w:rPr>
          <w:rFonts w:ascii="Times New Roman" w:hAnsi="Times New Roman" w:cs="Times New Roman"/>
          <w:sz w:val="24"/>
          <w:szCs w:val="24"/>
        </w:rPr>
        <w:t xml:space="preserve"> and</w:t>
      </w:r>
      <w:r w:rsidR="0095261F">
        <w:rPr>
          <w:rFonts w:ascii="Times New Roman" w:hAnsi="Times New Roman" w:cs="Times New Roman"/>
          <w:sz w:val="24"/>
          <w:szCs w:val="24"/>
        </w:rPr>
        <w:t xml:space="preserve"> the presumption of</w:t>
      </w:r>
      <w:r>
        <w:rPr>
          <w:rFonts w:ascii="Times New Roman" w:hAnsi="Times New Roman" w:cs="Times New Roman"/>
          <w:sz w:val="24"/>
          <w:szCs w:val="24"/>
        </w:rPr>
        <w:t xml:space="preserve"> </w:t>
      </w:r>
      <w:r>
        <w:rPr>
          <w:rFonts w:ascii="Times New Roman" w:hAnsi="Times New Roman" w:cs="Times New Roman"/>
          <w:i/>
          <w:sz w:val="24"/>
          <w:szCs w:val="24"/>
        </w:rPr>
        <w:t xml:space="preserve">doli incapax </w:t>
      </w:r>
      <w:r>
        <w:rPr>
          <w:rFonts w:ascii="Times New Roman" w:hAnsi="Times New Roman" w:cs="Times New Roman"/>
          <w:sz w:val="24"/>
          <w:szCs w:val="24"/>
        </w:rPr>
        <w:t>did not apply</w:t>
      </w:r>
      <w:r w:rsidRPr="001A5A3A">
        <w:rPr>
          <w:rFonts w:ascii="Times New Roman" w:hAnsi="Times New Roman" w:cs="Times New Roman"/>
          <w:sz w:val="24"/>
          <w:szCs w:val="24"/>
        </w:rPr>
        <w:t xml:space="preserve">. </w:t>
      </w:r>
      <w:r w:rsidR="00986D97">
        <w:rPr>
          <w:rFonts w:ascii="Times New Roman" w:hAnsi="Times New Roman" w:cs="Times New Roman"/>
          <w:sz w:val="24"/>
          <w:szCs w:val="24"/>
        </w:rPr>
        <w:t xml:space="preserve">This leaves only the fairness-based safeguards in the CJA 2003 and PACE 1984 some of which can only apply with respect to particular gateways. </w:t>
      </w:r>
      <w:r>
        <w:rPr>
          <w:rFonts w:ascii="Times New Roman" w:hAnsi="Times New Roman" w:cs="Times New Roman"/>
          <w:sz w:val="24"/>
          <w:szCs w:val="24"/>
        </w:rPr>
        <w:t>This is iterated as a justification for the non-application of the</w:t>
      </w:r>
      <w:r w:rsidR="0095261F">
        <w:rPr>
          <w:rFonts w:ascii="Times New Roman" w:hAnsi="Times New Roman" w:cs="Times New Roman"/>
          <w:sz w:val="24"/>
          <w:szCs w:val="24"/>
        </w:rPr>
        <w:t xml:space="preserve"> presumption of</w:t>
      </w:r>
      <w:r>
        <w:rPr>
          <w:rFonts w:ascii="Times New Roman" w:hAnsi="Times New Roman" w:cs="Times New Roman"/>
          <w:sz w:val="24"/>
          <w:szCs w:val="24"/>
        </w:rPr>
        <w:t xml:space="preserve"> </w:t>
      </w:r>
      <w:r w:rsidR="0095261F">
        <w:rPr>
          <w:rFonts w:ascii="Times New Roman" w:hAnsi="Times New Roman" w:cs="Times New Roman"/>
          <w:i/>
          <w:sz w:val="24"/>
          <w:szCs w:val="24"/>
        </w:rPr>
        <w:t>doli incapax</w:t>
      </w:r>
      <w:r>
        <w:rPr>
          <w:rFonts w:ascii="Times New Roman" w:hAnsi="Times New Roman" w:cs="Times New Roman"/>
          <w:sz w:val="24"/>
          <w:szCs w:val="24"/>
        </w:rPr>
        <w:t>, but what the above case analysis demonstrates is that this is unreliable as a counterfoil to any unfairness inherent in the decision not to apply</w:t>
      </w:r>
      <w:r w:rsidR="0095261F">
        <w:rPr>
          <w:rFonts w:ascii="Times New Roman" w:hAnsi="Times New Roman" w:cs="Times New Roman"/>
          <w:sz w:val="24"/>
          <w:szCs w:val="24"/>
        </w:rPr>
        <w:t xml:space="preserve"> the presumption of</w:t>
      </w:r>
      <w:r>
        <w:rPr>
          <w:rFonts w:ascii="Times New Roman" w:hAnsi="Times New Roman" w:cs="Times New Roman"/>
          <w:sz w:val="24"/>
          <w:szCs w:val="24"/>
        </w:rPr>
        <w:t xml:space="preserve"> </w:t>
      </w:r>
      <w:r>
        <w:rPr>
          <w:rFonts w:ascii="Times New Roman" w:hAnsi="Times New Roman" w:cs="Times New Roman"/>
          <w:i/>
          <w:sz w:val="24"/>
          <w:szCs w:val="24"/>
        </w:rPr>
        <w:t xml:space="preserve">doli incapax </w:t>
      </w:r>
      <w:r w:rsidR="00986D97">
        <w:rPr>
          <w:rFonts w:ascii="Times New Roman" w:hAnsi="Times New Roman" w:cs="Times New Roman"/>
          <w:sz w:val="24"/>
          <w:szCs w:val="24"/>
        </w:rPr>
        <w:t>to the BCE itself</w:t>
      </w:r>
      <w:r>
        <w:rPr>
          <w:rFonts w:ascii="Times New Roman" w:hAnsi="Times New Roman" w:cs="Times New Roman"/>
          <w:sz w:val="24"/>
          <w:szCs w:val="24"/>
        </w:rPr>
        <w:t xml:space="preserve"> </w:t>
      </w:r>
      <w:r w:rsidR="00986D97">
        <w:rPr>
          <w:rFonts w:ascii="Times New Roman" w:hAnsi="Times New Roman" w:cs="Times New Roman"/>
          <w:sz w:val="24"/>
          <w:szCs w:val="24"/>
        </w:rPr>
        <w:t>and as such are a poor substitute when compared to a finding of incapacity as regards criminal capability/responsibility.</w:t>
      </w:r>
    </w:p>
    <w:p w14:paraId="149DE4BF" w14:textId="533CE508" w:rsidR="004C63EE" w:rsidRDefault="004C63EE" w:rsidP="00F165F5">
      <w:pPr>
        <w:autoSpaceDE w:val="0"/>
        <w:autoSpaceDN w:val="0"/>
        <w:adjustRightInd w:val="0"/>
        <w:spacing w:after="0" w:line="480" w:lineRule="auto"/>
        <w:jc w:val="both"/>
        <w:rPr>
          <w:rFonts w:ascii="Times New Roman" w:hAnsi="Times New Roman" w:cs="Times New Roman"/>
          <w:sz w:val="24"/>
          <w:szCs w:val="24"/>
        </w:rPr>
      </w:pPr>
    </w:p>
    <w:p w14:paraId="6EF3A293" w14:textId="33E2925E" w:rsidR="007D51F1" w:rsidRPr="007D51F1" w:rsidRDefault="007D3639" w:rsidP="007D51F1">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 (Retrospective) Importance of the </w:t>
      </w:r>
      <w:r w:rsidR="0095261F">
        <w:rPr>
          <w:rFonts w:ascii="Times New Roman" w:hAnsi="Times New Roman" w:cs="Times New Roman"/>
          <w:b/>
          <w:sz w:val="24"/>
          <w:szCs w:val="24"/>
        </w:rPr>
        <w:t>Presumption</w:t>
      </w:r>
      <w:r>
        <w:rPr>
          <w:rFonts w:ascii="Times New Roman" w:hAnsi="Times New Roman" w:cs="Times New Roman"/>
          <w:b/>
          <w:sz w:val="24"/>
          <w:szCs w:val="24"/>
        </w:rPr>
        <w:t xml:space="preserve"> of </w:t>
      </w:r>
      <w:r w:rsidR="007D51F1" w:rsidRPr="007D51F1">
        <w:rPr>
          <w:rFonts w:ascii="Times New Roman" w:hAnsi="Times New Roman" w:cs="Times New Roman"/>
          <w:b/>
          <w:i/>
          <w:sz w:val="24"/>
          <w:szCs w:val="24"/>
        </w:rPr>
        <w:t>Doli Incapax</w:t>
      </w:r>
      <w:r w:rsidR="007D51F1">
        <w:rPr>
          <w:rFonts w:ascii="Times New Roman" w:hAnsi="Times New Roman" w:cs="Times New Roman"/>
          <w:b/>
          <w:sz w:val="24"/>
          <w:szCs w:val="24"/>
        </w:rPr>
        <w:t>: Protecting Troubled Young P</w:t>
      </w:r>
      <w:r w:rsidR="007D51F1" w:rsidRPr="007D51F1">
        <w:rPr>
          <w:rFonts w:ascii="Times New Roman" w:hAnsi="Times New Roman" w:cs="Times New Roman"/>
          <w:b/>
          <w:sz w:val="24"/>
          <w:szCs w:val="24"/>
        </w:rPr>
        <w:t>eople</w:t>
      </w:r>
    </w:p>
    <w:p w14:paraId="13B0E4AE" w14:textId="77777777" w:rsidR="00013FEF" w:rsidRDefault="00013FEF" w:rsidP="0085236E">
      <w:pPr>
        <w:autoSpaceDE w:val="0"/>
        <w:autoSpaceDN w:val="0"/>
        <w:adjustRightInd w:val="0"/>
        <w:spacing w:after="0" w:line="480" w:lineRule="auto"/>
        <w:jc w:val="both"/>
        <w:rPr>
          <w:rFonts w:ascii="Times New Roman" w:hAnsi="Times New Roman" w:cs="Times New Roman"/>
          <w:sz w:val="24"/>
          <w:szCs w:val="24"/>
        </w:rPr>
      </w:pPr>
    </w:p>
    <w:p w14:paraId="0441A3AF" w14:textId="2D548117" w:rsidR="00FF5206" w:rsidRDefault="0085236E" w:rsidP="00FF5206">
      <w:pPr>
        <w:autoSpaceDE w:val="0"/>
        <w:autoSpaceDN w:val="0"/>
        <w:adjustRightInd w:val="0"/>
        <w:spacing w:after="0" w:line="480" w:lineRule="auto"/>
        <w:jc w:val="both"/>
        <w:rPr>
          <w:rFonts w:ascii="Times New Roman" w:hAnsi="Times New Roman" w:cs="Times New Roman"/>
          <w:sz w:val="24"/>
          <w:szCs w:val="24"/>
        </w:rPr>
      </w:pPr>
      <w:r w:rsidRPr="00152CD4">
        <w:rPr>
          <w:rFonts w:ascii="Times New Roman" w:hAnsi="Times New Roman" w:cs="Times New Roman"/>
          <w:sz w:val="24"/>
          <w:szCs w:val="24"/>
        </w:rPr>
        <w:t>BCE</w:t>
      </w:r>
      <w:r>
        <w:rPr>
          <w:rFonts w:ascii="Times New Roman" w:hAnsi="Times New Roman" w:cs="Times New Roman"/>
          <w:sz w:val="24"/>
          <w:szCs w:val="24"/>
        </w:rPr>
        <w:t>, whilst probative in some situations,</w:t>
      </w:r>
      <w:r w:rsidRPr="00152CD4">
        <w:rPr>
          <w:rFonts w:ascii="Times New Roman" w:hAnsi="Times New Roman" w:cs="Times New Roman"/>
          <w:sz w:val="24"/>
          <w:szCs w:val="24"/>
        </w:rPr>
        <w:t xml:space="preserve"> is not </w:t>
      </w:r>
      <w:r w:rsidRPr="00CE34F4">
        <w:rPr>
          <w:rFonts w:ascii="Times New Roman" w:hAnsi="Times New Roman" w:cs="Times New Roman"/>
          <w:sz w:val="24"/>
          <w:szCs w:val="24"/>
        </w:rPr>
        <w:t>necessarily</w:t>
      </w:r>
      <w:r w:rsidRPr="00152CD4">
        <w:rPr>
          <w:rFonts w:ascii="Times New Roman" w:hAnsi="Times New Roman" w:cs="Times New Roman"/>
          <w:sz w:val="24"/>
          <w:szCs w:val="24"/>
        </w:rPr>
        <w:t xml:space="preserve"> a solid predictive base. There have been intense and persistent debates surrounding the stability of ‘character’ and ‘personality’ and the extent to which situational factors influence the consistency or predictability of a person’s behaviours</w:t>
      </w:r>
      <w:r>
        <w:rPr>
          <w:rFonts w:ascii="Times New Roman" w:hAnsi="Times New Roman" w:cs="Times New Roman"/>
          <w:sz w:val="24"/>
          <w:szCs w:val="24"/>
        </w:rPr>
        <w:t xml:space="preserve"> for a long time</w:t>
      </w:r>
      <w:r w:rsidRPr="00152CD4">
        <w:rPr>
          <w:rFonts w:ascii="Times New Roman" w:hAnsi="Times New Roman" w:cs="Times New Roman"/>
          <w:sz w:val="24"/>
          <w:szCs w:val="24"/>
        </w:rPr>
        <w:t xml:space="preserve">. Using BCE is </w:t>
      </w:r>
      <w:r>
        <w:rPr>
          <w:rFonts w:ascii="Times New Roman" w:hAnsi="Times New Roman" w:cs="Times New Roman"/>
          <w:sz w:val="24"/>
          <w:szCs w:val="24"/>
        </w:rPr>
        <w:t xml:space="preserve">usually </w:t>
      </w:r>
      <w:r w:rsidRPr="00152CD4">
        <w:rPr>
          <w:rFonts w:ascii="Times New Roman" w:hAnsi="Times New Roman" w:cs="Times New Roman"/>
          <w:sz w:val="24"/>
          <w:szCs w:val="24"/>
        </w:rPr>
        <w:t xml:space="preserve">geared towards the enablement of a predictive exercise, </w:t>
      </w:r>
      <w:r>
        <w:rPr>
          <w:rFonts w:ascii="Times New Roman" w:hAnsi="Times New Roman" w:cs="Times New Roman"/>
          <w:sz w:val="24"/>
          <w:szCs w:val="24"/>
        </w:rPr>
        <w:t>but if we cannot say with certainty that</w:t>
      </w:r>
      <w:r w:rsidRPr="00152CD4">
        <w:rPr>
          <w:rFonts w:ascii="Times New Roman" w:hAnsi="Times New Roman" w:cs="Times New Roman"/>
          <w:sz w:val="24"/>
          <w:szCs w:val="24"/>
        </w:rPr>
        <w:t xml:space="preserve"> the chara</w:t>
      </w:r>
      <w:r>
        <w:rPr>
          <w:rFonts w:ascii="Times New Roman" w:hAnsi="Times New Roman" w:cs="Times New Roman"/>
          <w:sz w:val="24"/>
          <w:szCs w:val="24"/>
        </w:rPr>
        <w:t>cter of adults is</w:t>
      </w:r>
      <w:r w:rsidRPr="00152CD4">
        <w:rPr>
          <w:rFonts w:ascii="Times New Roman" w:hAnsi="Times New Roman" w:cs="Times New Roman"/>
          <w:sz w:val="24"/>
          <w:szCs w:val="24"/>
        </w:rPr>
        <w:t xml:space="preserve"> stable enough</w:t>
      </w:r>
      <w:r>
        <w:rPr>
          <w:rFonts w:ascii="Times New Roman" w:hAnsi="Times New Roman" w:cs="Times New Roman"/>
          <w:sz w:val="24"/>
          <w:szCs w:val="24"/>
        </w:rPr>
        <w:t xml:space="preserve"> across situational variants</w:t>
      </w:r>
      <w:r w:rsidRPr="00152CD4">
        <w:rPr>
          <w:rFonts w:ascii="Times New Roman" w:hAnsi="Times New Roman" w:cs="Times New Roman"/>
          <w:sz w:val="24"/>
          <w:szCs w:val="24"/>
        </w:rPr>
        <w:t xml:space="preserve"> to serve as a predictive base, </w:t>
      </w:r>
      <w:r>
        <w:rPr>
          <w:rFonts w:ascii="Times New Roman" w:hAnsi="Times New Roman" w:cs="Times New Roman"/>
          <w:sz w:val="24"/>
          <w:szCs w:val="24"/>
        </w:rPr>
        <w:t xml:space="preserve">this raises questions regarding whether we should </w:t>
      </w:r>
      <w:r w:rsidRPr="00152CD4">
        <w:rPr>
          <w:rFonts w:ascii="Times New Roman" w:hAnsi="Times New Roman" w:cs="Times New Roman"/>
          <w:sz w:val="24"/>
          <w:szCs w:val="24"/>
        </w:rPr>
        <w:t>be using the behaviour of children of less th</w:t>
      </w:r>
      <w:r w:rsidR="00710924">
        <w:rPr>
          <w:rFonts w:ascii="Times New Roman" w:hAnsi="Times New Roman" w:cs="Times New Roman"/>
          <w:sz w:val="24"/>
          <w:szCs w:val="24"/>
        </w:rPr>
        <w:t>at 14 years old in the same way,</w:t>
      </w:r>
      <w:r w:rsidRPr="00152CD4">
        <w:rPr>
          <w:rFonts w:ascii="Times New Roman" w:hAnsi="Times New Roman" w:cs="Times New Roman"/>
          <w:sz w:val="24"/>
          <w:szCs w:val="24"/>
        </w:rPr>
        <w:t xml:space="preserve"> </w:t>
      </w:r>
      <w:r w:rsidR="00710924">
        <w:rPr>
          <w:rFonts w:ascii="Times New Roman" w:hAnsi="Times New Roman" w:cs="Times New Roman"/>
          <w:sz w:val="24"/>
          <w:szCs w:val="24"/>
        </w:rPr>
        <w:t>e</w:t>
      </w:r>
      <w:r>
        <w:rPr>
          <w:rFonts w:ascii="Times New Roman" w:hAnsi="Times New Roman" w:cs="Times New Roman"/>
          <w:sz w:val="24"/>
          <w:szCs w:val="24"/>
        </w:rPr>
        <w:t xml:space="preserve">specially where these behaviours are put to the fact finder as ‘non-conviction’ propensity evidence and therefore have not previously been established beyond a reasonable doubt during a criminal trial, as was the case in </w:t>
      </w:r>
      <w:r>
        <w:rPr>
          <w:rFonts w:ascii="Times New Roman" w:hAnsi="Times New Roman" w:cs="Times New Roman"/>
          <w:i/>
          <w:sz w:val="24"/>
          <w:szCs w:val="24"/>
        </w:rPr>
        <w:t>M</w:t>
      </w:r>
      <w:r>
        <w:rPr>
          <w:rFonts w:ascii="Times New Roman" w:hAnsi="Times New Roman" w:cs="Times New Roman"/>
          <w:sz w:val="24"/>
          <w:szCs w:val="24"/>
        </w:rPr>
        <w:t xml:space="preserve">. </w:t>
      </w:r>
      <w:r w:rsidR="00FF5206" w:rsidRPr="00F2761B">
        <w:rPr>
          <w:rFonts w:ascii="Times New Roman" w:hAnsi="Times New Roman" w:cs="Times New Roman"/>
          <w:sz w:val="24"/>
          <w:szCs w:val="24"/>
        </w:rPr>
        <w:t>As Kupperman observed, ‘character traits are propensities to behave in certain ways… a person can have a propensity to behave in a certain way if given suitable opportunity, even if suitable opportunities hardly ever arise’</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1"/>
      </w:r>
      <w:r w:rsidR="003A7308">
        <w:rPr>
          <w:rFonts w:ascii="Times New Roman" w:hAnsi="Times New Roman" w:cs="Times New Roman"/>
          <w:sz w:val="24"/>
          <w:szCs w:val="24"/>
        </w:rPr>
        <w:t xml:space="preserve"> </w:t>
      </w:r>
      <w:r w:rsidR="00FF5206" w:rsidRPr="00F2761B">
        <w:rPr>
          <w:rFonts w:ascii="Times New Roman" w:hAnsi="Times New Roman" w:cs="Times New Roman"/>
          <w:sz w:val="24"/>
          <w:szCs w:val="24"/>
        </w:rPr>
        <w:t xml:space="preserve">This speaks to an ongoing debate based in social psychology regarding the influence of personality or of situation on a person’s likelihood to behave in a particular way. Social </w:t>
      </w:r>
      <w:r w:rsidR="00045D04">
        <w:rPr>
          <w:rFonts w:ascii="Times New Roman" w:hAnsi="Times New Roman" w:cs="Times New Roman"/>
          <w:sz w:val="24"/>
          <w:szCs w:val="24"/>
        </w:rPr>
        <w:t>p</w:t>
      </w:r>
      <w:r w:rsidR="00FF5206" w:rsidRPr="00F2761B">
        <w:rPr>
          <w:rFonts w:ascii="Times New Roman" w:hAnsi="Times New Roman" w:cs="Times New Roman"/>
          <w:sz w:val="24"/>
          <w:szCs w:val="24"/>
        </w:rPr>
        <w:t>sychologists have achieved something of a consensus on an approach based in interactionism, recognising that bot</w:t>
      </w:r>
      <w:r w:rsidR="00E51DDE">
        <w:rPr>
          <w:rFonts w:ascii="Times New Roman" w:hAnsi="Times New Roman" w:cs="Times New Roman"/>
          <w:sz w:val="24"/>
          <w:szCs w:val="24"/>
        </w:rPr>
        <w:t>h the person</w:t>
      </w:r>
      <w:r w:rsidR="00FF5206" w:rsidRPr="00F2761B">
        <w:rPr>
          <w:rFonts w:ascii="Times New Roman" w:hAnsi="Times New Roman" w:cs="Times New Roman"/>
          <w:sz w:val="24"/>
          <w:szCs w:val="24"/>
        </w:rPr>
        <w:t xml:space="preserve"> and their circumstances can have an effect on behavioural tendencies.</w:t>
      </w:r>
      <w:r w:rsidR="003378F4" w:rsidRPr="003378F4">
        <w:rPr>
          <w:rStyle w:val="FootnoteReference"/>
          <w:rFonts w:ascii="Times New Roman" w:hAnsi="Times New Roman" w:cs="Times New Roman"/>
        </w:rPr>
        <w:t xml:space="preserve"> </w:t>
      </w:r>
      <w:r w:rsidR="003378F4" w:rsidRPr="006E1CD3">
        <w:rPr>
          <w:rStyle w:val="FootnoteReference"/>
          <w:rFonts w:ascii="Times New Roman" w:hAnsi="Times New Roman" w:cs="Times New Roman"/>
        </w:rPr>
        <w:footnoteReference w:id="72"/>
      </w:r>
      <w:r w:rsidR="00FF5206" w:rsidRPr="00F2761B">
        <w:rPr>
          <w:rFonts w:ascii="Times New Roman" w:hAnsi="Times New Roman" w:cs="Times New Roman"/>
          <w:sz w:val="24"/>
          <w:szCs w:val="24"/>
        </w:rPr>
        <w:t xml:space="preserve"> </w:t>
      </w:r>
    </w:p>
    <w:p w14:paraId="65311417" w14:textId="6E668B97" w:rsidR="00FF5206" w:rsidRDefault="00FF5206" w:rsidP="00FF5206">
      <w:pPr>
        <w:autoSpaceDE w:val="0"/>
        <w:autoSpaceDN w:val="0"/>
        <w:adjustRightInd w:val="0"/>
        <w:spacing w:after="0" w:line="480" w:lineRule="auto"/>
        <w:ind w:left="720"/>
        <w:jc w:val="both"/>
        <w:rPr>
          <w:rFonts w:ascii="Times New Roman" w:hAnsi="Times New Roman" w:cs="Times New Roman"/>
          <w:sz w:val="24"/>
          <w:szCs w:val="24"/>
        </w:rPr>
      </w:pPr>
      <w:r w:rsidRPr="00F2761B">
        <w:rPr>
          <w:rFonts w:ascii="Times New Roman" w:hAnsi="Times New Roman" w:cs="Times New Roman"/>
          <w:sz w:val="24"/>
          <w:szCs w:val="24"/>
        </w:rPr>
        <w:t xml:space="preserve">‘The relation between character and actions, however, is much more complicated… Part of the reason is that to have a character trait </w:t>
      </w:r>
      <w:r w:rsidRPr="00F2761B">
        <w:rPr>
          <w:rFonts w:ascii="Times New Roman" w:hAnsi="Times New Roman" w:cs="Times New Roman"/>
          <w:i/>
          <w:sz w:val="24"/>
          <w:szCs w:val="24"/>
        </w:rPr>
        <w:t>X</w:t>
      </w:r>
      <w:r w:rsidRPr="00F2761B">
        <w:rPr>
          <w:rFonts w:ascii="Times New Roman" w:hAnsi="Times New Roman" w:cs="Times New Roman"/>
          <w:sz w:val="24"/>
          <w:szCs w:val="24"/>
        </w:rPr>
        <w:t xml:space="preserve"> is to have a propensity to do things of sort </w:t>
      </w:r>
      <w:r w:rsidRPr="00F2761B">
        <w:rPr>
          <w:rFonts w:ascii="Times New Roman" w:hAnsi="Times New Roman" w:cs="Times New Roman"/>
          <w:i/>
          <w:sz w:val="24"/>
          <w:szCs w:val="24"/>
        </w:rPr>
        <w:t>X</w:t>
      </w:r>
      <w:r w:rsidRPr="00F2761B">
        <w:rPr>
          <w:rFonts w:ascii="Times New Roman" w:hAnsi="Times New Roman" w:cs="Times New Roman"/>
          <w:sz w:val="24"/>
          <w:szCs w:val="24"/>
        </w:rPr>
        <w:t xml:space="preserve"> and does not require that one constantly, on every occasion, do things of sort </w:t>
      </w:r>
      <w:r w:rsidRPr="00F2761B">
        <w:rPr>
          <w:rFonts w:ascii="Times New Roman" w:hAnsi="Times New Roman" w:cs="Times New Roman"/>
          <w:i/>
          <w:sz w:val="24"/>
          <w:szCs w:val="24"/>
        </w:rPr>
        <w:t>X</w:t>
      </w:r>
      <w:r w:rsidRPr="00F2761B">
        <w:rPr>
          <w:rFonts w:ascii="Times New Roman" w:hAnsi="Times New Roman" w:cs="Times New Roman"/>
          <w:sz w:val="24"/>
          <w:szCs w:val="24"/>
        </w:rPr>
        <w:t>…it does not even require that one usually or often do them’</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3"/>
      </w:r>
      <w:r w:rsidR="003378F4" w:rsidRPr="006E1CD3">
        <w:rPr>
          <w:rFonts w:ascii="Times New Roman" w:hAnsi="Times New Roman" w:cs="Times New Roman"/>
          <w:sz w:val="24"/>
          <w:szCs w:val="24"/>
        </w:rPr>
        <w:t xml:space="preserve"> </w:t>
      </w:r>
    </w:p>
    <w:p w14:paraId="361D5A23" w14:textId="77777777" w:rsidR="00F165F5" w:rsidRDefault="00FF5206" w:rsidP="0085236E">
      <w:pPr>
        <w:autoSpaceDE w:val="0"/>
        <w:autoSpaceDN w:val="0"/>
        <w:adjustRightInd w:val="0"/>
        <w:spacing w:after="0" w:line="480" w:lineRule="auto"/>
        <w:jc w:val="both"/>
        <w:rPr>
          <w:rFonts w:ascii="Times New Roman" w:hAnsi="Times New Roman" w:cs="Times New Roman"/>
          <w:sz w:val="24"/>
          <w:szCs w:val="24"/>
        </w:rPr>
      </w:pPr>
      <w:r w:rsidRPr="00F2761B">
        <w:rPr>
          <w:rFonts w:ascii="Times New Roman" w:hAnsi="Times New Roman" w:cs="Times New Roman"/>
          <w:sz w:val="24"/>
          <w:szCs w:val="24"/>
        </w:rPr>
        <w:t xml:space="preserve">The extent to which personality or situation influences behaviour is difficult to quantify and it is almost impossible to say with certainty which will be the most prevalent, however, ‘while we cannot say that S is aggressive </w:t>
      </w:r>
      <w:r w:rsidRPr="00F2761B">
        <w:rPr>
          <w:rFonts w:ascii="Times New Roman" w:hAnsi="Times New Roman" w:cs="Times New Roman"/>
          <w:i/>
          <w:sz w:val="24"/>
          <w:szCs w:val="24"/>
        </w:rPr>
        <w:t>tout court</w:t>
      </w:r>
      <w:r w:rsidRPr="00F2761B">
        <w:rPr>
          <w:rFonts w:ascii="Times New Roman" w:hAnsi="Times New Roman" w:cs="Times New Roman"/>
          <w:sz w:val="24"/>
          <w:szCs w:val="24"/>
        </w:rPr>
        <w:t>, we can say that S tends to be aggressive if he finds himself in situation X’, and further ‘recidivism is a brute fact of criminology’</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4"/>
      </w:r>
      <w:r w:rsidR="003378F4">
        <w:rPr>
          <w:rFonts w:ascii="Times New Roman" w:hAnsi="Times New Roman" w:cs="Times New Roman"/>
          <w:sz w:val="24"/>
          <w:szCs w:val="24"/>
        </w:rPr>
        <w:t xml:space="preserve"> </w:t>
      </w:r>
      <w:r w:rsidRPr="00F2761B">
        <w:rPr>
          <w:rFonts w:ascii="Times New Roman" w:hAnsi="Times New Roman" w:cs="Times New Roman"/>
          <w:sz w:val="24"/>
          <w:szCs w:val="24"/>
        </w:rPr>
        <w:t>Redmayne recognises that whilst recidivist statistics offer no more than useful general lessons, making behavioural predictions difficult</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5"/>
      </w:r>
      <w:r w:rsidR="003378F4" w:rsidRPr="006E1CD3">
        <w:rPr>
          <w:rFonts w:ascii="Times New Roman" w:hAnsi="Times New Roman" w:cs="Times New Roman"/>
          <w:sz w:val="24"/>
          <w:szCs w:val="24"/>
        </w:rPr>
        <w:t xml:space="preserve"> </w:t>
      </w:r>
      <w:r w:rsidRPr="00F2761B">
        <w:rPr>
          <w:rFonts w:ascii="Times New Roman" w:hAnsi="Times New Roman" w:cs="Times New Roman"/>
          <w:sz w:val="24"/>
          <w:szCs w:val="24"/>
        </w:rPr>
        <w:t>they do demonstrate that prior offending behaviours can make a person comparatively more likely to be guilty than someone who has not exhibited such behaviours, or the remainder of the general population.</w:t>
      </w:r>
      <w:r w:rsidR="003378F4" w:rsidRPr="006E1CD3">
        <w:rPr>
          <w:rStyle w:val="FootnoteReference"/>
          <w:rFonts w:ascii="Times New Roman" w:hAnsi="Times New Roman" w:cs="Times New Roman"/>
        </w:rPr>
        <w:footnoteReference w:id="76"/>
      </w:r>
      <w:r w:rsidRPr="00F2761B">
        <w:rPr>
          <w:rFonts w:ascii="Times New Roman" w:hAnsi="Times New Roman" w:cs="Times New Roman"/>
          <w:sz w:val="24"/>
          <w:szCs w:val="24"/>
        </w:rPr>
        <w:t xml:space="preserve"> This is known as a comparative propensity to </w:t>
      </w:r>
      <w:r w:rsidR="00710924" w:rsidRPr="00F2761B">
        <w:rPr>
          <w:rFonts w:ascii="Times New Roman" w:hAnsi="Times New Roman" w:cs="Times New Roman"/>
          <w:sz w:val="24"/>
          <w:szCs w:val="24"/>
        </w:rPr>
        <w:t>offend and</w:t>
      </w:r>
      <w:r w:rsidRPr="00F2761B">
        <w:rPr>
          <w:rFonts w:ascii="Times New Roman" w:hAnsi="Times New Roman" w:cs="Times New Roman"/>
          <w:sz w:val="24"/>
          <w:szCs w:val="24"/>
        </w:rPr>
        <w:t xml:space="preserve"> can even increase or decrease depending on the type of offence at hand. For example, when collating recidivist statistics based on long term studies, Redmayne notes that whilst sexual offending occurs less frequently than theft, the ‘hazard rate’ for sexual offences declines more slowly than for theft offences, and therefore a sex offender maintains their comparative propensity (likelihood of reoffence) for longer than a thief</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7"/>
      </w:r>
      <w:r w:rsidR="003A7308">
        <w:rPr>
          <w:rFonts w:ascii="Times New Roman" w:hAnsi="Times New Roman" w:cs="Times New Roman"/>
          <w:sz w:val="24"/>
          <w:szCs w:val="24"/>
        </w:rPr>
        <w:t xml:space="preserve"> </w:t>
      </w:r>
      <w:r w:rsidRPr="00F2761B">
        <w:rPr>
          <w:rFonts w:ascii="Times New Roman" w:hAnsi="Times New Roman" w:cs="Times New Roman"/>
          <w:sz w:val="24"/>
          <w:szCs w:val="24"/>
        </w:rPr>
        <w:t>This is even more prevalent where the previous conviction is recent.</w:t>
      </w:r>
      <w:r w:rsidR="003378F4" w:rsidRPr="006E1CD3">
        <w:rPr>
          <w:rStyle w:val="FootnoteReference"/>
          <w:rFonts w:ascii="Times New Roman" w:hAnsi="Times New Roman" w:cs="Times New Roman"/>
        </w:rPr>
        <w:footnoteReference w:id="78"/>
      </w:r>
      <w:r w:rsidRPr="00F2761B">
        <w:rPr>
          <w:rFonts w:ascii="Times New Roman" w:hAnsi="Times New Roman" w:cs="Times New Roman"/>
          <w:sz w:val="24"/>
          <w:szCs w:val="24"/>
        </w:rPr>
        <w:t xml:space="preserve"> </w:t>
      </w:r>
      <w:r>
        <w:rPr>
          <w:rFonts w:ascii="Times New Roman" w:hAnsi="Times New Roman" w:cs="Times New Roman"/>
          <w:sz w:val="24"/>
          <w:szCs w:val="24"/>
        </w:rPr>
        <w:t>However, a note of caution is needed here,</w:t>
      </w:r>
      <w:r>
        <w:rPr>
          <w:rFonts w:ascii="Times New Roman" w:hAnsi="Times New Roman" w:cs="Times New Roman"/>
          <w:i/>
          <w:sz w:val="24"/>
          <w:szCs w:val="24"/>
        </w:rPr>
        <w:t xml:space="preserve"> </w:t>
      </w:r>
      <w:r>
        <w:rPr>
          <w:rFonts w:ascii="Times New Roman" w:hAnsi="Times New Roman" w:cs="Times New Roman"/>
          <w:sz w:val="24"/>
          <w:szCs w:val="24"/>
        </w:rPr>
        <w:t>the inductive reasoning processes that underpin an inference of a propensity towards sexual offending requires an acceptance of the proposition that ‘people who have sexually assaulted children in the past are likely to continue to do so’</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79"/>
      </w:r>
      <w:r w:rsidR="003378F4" w:rsidRPr="006E1CD3">
        <w:rPr>
          <w:rFonts w:ascii="Times New Roman" w:hAnsi="Times New Roman" w:cs="Times New Roman"/>
          <w:sz w:val="24"/>
          <w:szCs w:val="24"/>
        </w:rPr>
        <w:t xml:space="preserve"> </w:t>
      </w:r>
      <w:r>
        <w:rPr>
          <w:rFonts w:ascii="Times New Roman" w:hAnsi="Times New Roman" w:cs="Times New Roman"/>
          <w:sz w:val="24"/>
          <w:szCs w:val="24"/>
        </w:rPr>
        <w:t>Whilst some of the recidivist statistics collated by Redmayne might point to this being a reliable assertion, Redmayne recognised the dangers of making gener</w:t>
      </w:r>
      <w:r w:rsidR="00F165F5">
        <w:rPr>
          <w:rFonts w:ascii="Times New Roman" w:hAnsi="Times New Roman" w:cs="Times New Roman"/>
          <w:sz w:val="24"/>
          <w:szCs w:val="24"/>
        </w:rPr>
        <w:t>alised statements based on these. Some social science studies</w:t>
      </w:r>
      <w:r>
        <w:rPr>
          <w:rFonts w:ascii="Times New Roman" w:hAnsi="Times New Roman" w:cs="Times New Roman"/>
          <w:sz w:val="24"/>
          <w:szCs w:val="24"/>
        </w:rPr>
        <w:t xml:space="preserve"> evaluating desistance and the significance of childhood risk factors can paint a different picture to that described above. </w:t>
      </w:r>
      <w:r w:rsidRPr="00CF6E5D">
        <w:rPr>
          <w:rFonts w:ascii="Times New Roman" w:hAnsi="Times New Roman" w:cs="Times New Roman"/>
          <w:sz w:val="24"/>
          <w:szCs w:val="24"/>
        </w:rPr>
        <w:t>Although a high percentage of adults who sexually offend began offending as young people</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80"/>
      </w:r>
      <w:r w:rsidRPr="00CF6E5D">
        <w:rPr>
          <w:rFonts w:ascii="Times New Roman" w:hAnsi="Times New Roman" w:cs="Times New Roman"/>
          <w:sz w:val="24"/>
          <w:szCs w:val="24"/>
        </w:rPr>
        <w:t xml:space="preserve"> many studies suggest that most children and young people who commit sexual offences in their adolescence do not then carry on </w:t>
      </w:r>
      <w:hyperlink r:id="rId7" w:history="1">
        <w:r w:rsidRPr="00CF6E5D">
          <w:rPr>
            <w:rFonts w:ascii="Times New Roman" w:hAnsi="Times New Roman" w:cs="Times New Roman"/>
            <w:sz w:val="24"/>
            <w:szCs w:val="24"/>
          </w:rPr>
          <w:t>sexually offending in adulthood</w:t>
        </w:r>
      </w:hyperlink>
      <w:r w:rsidRPr="00CF6E5D">
        <w:rPr>
          <w:rFonts w:ascii="Times New Roman" w:hAnsi="Times New Roman" w:cs="Times New Roman"/>
          <w:sz w:val="24"/>
          <w:szCs w:val="24"/>
        </w:rPr>
        <w:t>.</w:t>
      </w:r>
      <w:r w:rsidRPr="004D55E1">
        <w:rPr>
          <w:rFonts w:ascii="Times New Roman" w:hAnsi="Times New Roman" w:cs="Times New Roman"/>
          <w:sz w:val="24"/>
          <w:szCs w:val="24"/>
        </w:rPr>
        <w:t xml:space="preserve"> </w:t>
      </w:r>
    </w:p>
    <w:p w14:paraId="26DC93F1" w14:textId="2846905F" w:rsidR="00FF5206" w:rsidRDefault="00FF5206" w:rsidP="00F165F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4D55E1">
        <w:rPr>
          <w:rFonts w:ascii="Times New Roman" w:hAnsi="Times New Roman" w:cs="Times New Roman"/>
          <w:sz w:val="24"/>
          <w:szCs w:val="24"/>
        </w:rPr>
        <w:t xml:space="preserve"> study of 498 Netherland </w:t>
      </w:r>
      <w:r>
        <w:rPr>
          <w:rFonts w:ascii="Times New Roman" w:hAnsi="Times New Roman" w:cs="Times New Roman"/>
          <w:sz w:val="24"/>
          <w:szCs w:val="24"/>
        </w:rPr>
        <w:t>young</w:t>
      </w:r>
      <w:r w:rsidRPr="004D55E1">
        <w:rPr>
          <w:rFonts w:ascii="Times New Roman" w:hAnsi="Times New Roman" w:cs="Times New Roman"/>
          <w:sz w:val="24"/>
          <w:szCs w:val="24"/>
        </w:rPr>
        <w:t xml:space="preserve"> sexual offenders, with a mean age of 14.4 years, </w:t>
      </w:r>
      <w:r>
        <w:rPr>
          <w:rFonts w:ascii="Times New Roman" w:hAnsi="Times New Roman" w:cs="Times New Roman"/>
          <w:sz w:val="24"/>
          <w:szCs w:val="24"/>
        </w:rPr>
        <w:t xml:space="preserve">and </w:t>
      </w:r>
      <w:r w:rsidRPr="004D55E1">
        <w:rPr>
          <w:rFonts w:ascii="Times New Roman" w:hAnsi="Times New Roman" w:cs="Times New Roman"/>
          <w:sz w:val="24"/>
          <w:szCs w:val="24"/>
        </w:rPr>
        <w:t>who had been convicted or confessed to a sexual offen</w:t>
      </w:r>
      <w:r>
        <w:rPr>
          <w:rFonts w:ascii="Times New Roman" w:hAnsi="Times New Roman" w:cs="Times New Roman"/>
          <w:sz w:val="24"/>
          <w:szCs w:val="24"/>
        </w:rPr>
        <w:t>c</w:t>
      </w:r>
      <w:r w:rsidRPr="004D55E1">
        <w:rPr>
          <w:rFonts w:ascii="Times New Roman" w:hAnsi="Times New Roman" w:cs="Times New Roman"/>
          <w:sz w:val="24"/>
          <w:szCs w:val="24"/>
        </w:rPr>
        <w:t>e, found that for 89.6% of the sample, sexual offending peaked at age 14 before declining to nearly zero by age 20.</w:t>
      </w:r>
      <w:r w:rsidR="003378F4" w:rsidRPr="006E1CD3">
        <w:rPr>
          <w:rStyle w:val="FootnoteReference"/>
          <w:rFonts w:ascii="Times New Roman" w:hAnsi="Times New Roman" w:cs="Times New Roman"/>
        </w:rPr>
        <w:footnoteReference w:id="81"/>
      </w:r>
      <w:r w:rsidRPr="005E098E">
        <w:rPr>
          <w:rFonts w:ascii="Times New Roman" w:hAnsi="Times New Roman" w:cs="Times New Roman"/>
          <w:sz w:val="24"/>
          <w:szCs w:val="24"/>
        </w:rPr>
        <w:t xml:space="preserve"> </w:t>
      </w:r>
      <w:r w:rsidRPr="004D55E1">
        <w:rPr>
          <w:rFonts w:ascii="Times New Roman" w:hAnsi="Times New Roman" w:cs="Times New Roman"/>
          <w:sz w:val="24"/>
          <w:szCs w:val="24"/>
        </w:rPr>
        <w:t>Vandiver</w:t>
      </w:r>
      <w:r>
        <w:rPr>
          <w:rFonts w:ascii="Times New Roman" w:hAnsi="Times New Roman" w:cs="Times New Roman"/>
          <w:sz w:val="24"/>
          <w:szCs w:val="24"/>
        </w:rPr>
        <w:t>,</w:t>
      </w:r>
      <w:r w:rsidRPr="004D55E1">
        <w:rPr>
          <w:rFonts w:ascii="Times New Roman" w:hAnsi="Times New Roman" w:cs="Times New Roman"/>
          <w:sz w:val="24"/>
          <w:szCs w:val="24"/>
        </w:rPr>
        <w:t xml:space="preserve"> in a study of 300 registered male sex offenders who were juveniles at the time of their initial arrest for a sex offen</w:t>
      </w:r>
      <w:r>
        <w:rPr>
          <w:rFonts w:ascii="Times New Roman" w:hAnsi="Times New Roman" w:cs="Times New Roman"/>
          <w:sz w:val="24"/>
          <w:szCs w:val="24"/>
        </w:rPr>
        <w:t>c</w:t>
      </w:r>
      <w:r w:rsidRPr="004D55E1">
        <w:rPr>
          <w:rFonts w:ascii="Times New Roman" w:hAnsi="Times New Roman" w:cs="Times New Roman"/>
          <w:sz w:val="24"/>
          <w:szCs w:val="24"/>
        </w:rPr>
        <w:t>e, explains how non-sexual offen</w:t>
      </w:r>
      <w:r>
        <w:rPr>
          <w:rFonts w:ascii="Times New Roman" w:hAnsi="Times New Roman" w:cs="Times New Roman"/>
          <w:sz w:val="24"/>
          <w:szCs w:val="24"/>
        </w:rPr>
        <w:t>c</w:t>
      </w:r>
      <w:r w:rsidRPr="004D55E1">
        <w:rPr>
          <w:rFonts w:ascii="Times New Roman" w:hAnsi="Times New Roman" w:cs="Times New Roman"/>
          <w:sz w:val="24"/>
          <w:szCs w:val="24"/>
        </w:rPr>
        <w:t xml:space="preserve">es are predominate in recidivism among juvenile sex offenders. The </w:t>
      </w:r>
      <w:r>
        <w:rPr>
          <w:rFonts w:ascii="Times New Roman" w:hAnsi="Times New Roman" w:cs="Times New Roman"/>
          <w:sz w:val="24"/>
          <w:szCs w:val="24"/>
        </w:rPr>
        <w:t>sample</w:t>
      </w:r>
      <w:r w:rsidRPr="004D55E1">
        <w:rPr>
          <w:rFonts w:ascii="Times New Roman" w:hAnsi="Times New Roman" w:cs="Times New Roman"/>
          <w:sz w:val="24"/>
          <w:szCs w:val="24"/>
        </w:rPr>
        <w:t xml:space="preserve"> </w:t>
      </w:r>
      <w:r>
        <w:rPr>
          <w:rFonts w:ascii="Times New Roman" w:hAnsi="Times New Roman" w:cs="Times New Roman"/>
          <w:sz w:val="24"/>
          <w:szCs w:val="24"/>
        </w:rPr>
        <w:t>were</w:t>
      </w:r>
      <w:r w:rsidRPr="004D55E1">
        <w:rPr>
          <w:rFonts w:ascii="Times New Roman" w:hAnsi="Times New Roman" w:cs="Times New Roman"/>
          <w:sz w:val="24"/>
          <w:szCs w:val="24"/>
        </w:rPr>
        <w:t xml:space="preserve"> followed through for </w:t>
      </w:r>
      <w:r w:rsidR="00E51DDE">
        <w:rPr>
          <w:rFonts w:ascii="Times New Roman" w:hAnsi="Times New Roman" w:cs="Times New Roman"/>
          <w:sz w:val="24"/>
          <w:szCs w:val="24"/>
        </w:rPr>
        <w:t>up to six</w:t>
      </w:r>
      <w:r w:rsidRPr="004D55E1">
        <w:rPr>
          <w:rFonts w:ascii="Times New Roman" w:hAnsi="Times New Roman" w:cs="Times New Roman"/>
          <w:sz w:val="24"/>
          <w:szCs w:val="24"/>
        </w:rPr>
        <w:t xml:space="preserve"> years after they reached adulthood and, while more than half of the </w:t>
      </w:r>
      <w:r>
        <w:rPr>
          <w:rFonts w:ascii="Times New Roman" w:hAnsi="Times New Roman" w:cs="Times New Roman"/>
          <w:sz w:val="24"/>
          <w:szCs w:val="24"/>
        </w:rPr>
        <w:t>participants were</w:t>
      </w:r>
      <w:r w:rsidRPr="004D55E1">
        <w:rPr>
          <w:rFonts w:ascii="Times New Roman" w:hAnsi="Times New Roman" w:cs="Times New Roman"/>
          <w:sz w:val="24"/>
          <w:szCs w:val="24"/>
        </w:rPr>
        <w:t xml:space="preserve"> arrested at least once for a nonsexual offense during this adult period, only 13 (4%) were rearrested for a sex offense.</w:t>
      </w:r>
      <w:r w:rsidR="003378F4" w:rsidRPr="006E1CD3">
        <w:rPr>
          <w:rStyle w:val="FootnoteReference"/>
          <w:rFonts w:ascii="Times New Roman" w:hAnsi="Times New Roman" w:cs="Times New Roman"/>
        </w:rPr>
        <w:footnoteReference w:id="82"/>
      </w:r>
      <w:r>
        <w:rPr>
          <w:rFonts w:ascii="Times New Roman" w:hAnsi="Times New Roman" w:cs="Times New Roman"/>
          <w:sz w:val="24"/>
          <w:szCs w:val="24"/>
        </w:rPr>
        <w:t xml:space="preserve"> </w:t>
      </w:r>
      <w:r w:rsidRPr="004D55E1">
        <w:rPr>
          <w:rFonts w:ascii="Times New Roman" w:hAnsi="Times New Roman" w:cs="Times New Roman"/>
          <w:sz w:val="24"/>
          <w:szCs w:val="24"/>
        </w:rPr>
        <w:t xml:space="preserve">Research in the US has found that although </w:t>
      </w:r>
      <w:r w:rsidRPr="004D55E1">
        <w:rPr>
          <w:rFonts w:ascii="Times New Roman" w:hAnsi="Times New Roman" w:cs="Times New Roman"/>
          <w:color w:val="000000"/>
          <w:sz w:val="24"/>
          <w:szCs w:val="24"/>
        </w:rPr>
        <w:t>a small number of sex-offending youth are at elevated risk to progress to adult sex offen</w:t>
      </w:r>
      <w:r>
        <w:rPr>
          <w:rFonts w:ascii="Times New Roman" w:hAnsi="Times New Roman" w:cs="Times New Roman"/>
          <w:color w:val="000000"/>
          <w:sz w:val="24"/>
          <w:szCs w:val="24"/>
        </w:rPr>
        <w:t>c</w:t>
      </w:r>
      <w:r w:rsidRPr="004D55E1">
        <w:rPr>
          <w:rFonts w:ascii="Times New Roman" w:hAnsi="Times New Roman" w:cs="Times New Roman"/>
          <w:color w:val="000000"/>
          <w:sz w:val="24"/>
          <w:szCs w:val="24"/>
        </w:rPr>
        <w:t>es</w:t>
      </w:r>
      <w:r>
        <w:rPr>
          <w:rFonts w:ascii="Times New Roman" w:hAnsi="Times New Roman" w:cs="Times New Roman"/>
          <w:sz w:val="24"/>
          <w:szCs w:val="24"/>
        </w:rPr>
        <w:t xml:space="preserve">, </w:t>
      </w:r>
      <w:r w:rsidRPr="004D55E1">
        <w:rPr>
          <w:rFonts w:ascii="Times New Roman" w:hAnsi="Times New Roman" w:cs="Times New Roman"/>
          <w:sz w:val="24"/>
          <w:szCs w:val="24"/>
        </w:rPr>
        <w:t xml:space="preserve">a </w:t>
      </w:r>
      <w:r w:rsidR="00045D04">
        <w:rPr>
          <w:rFonts w:ascii="Times New Roman" w:hAnsi="Times New Roman" w:cs="Times New Roman"/>
          <w:color w:val="000000"/>
          <w:sz w:val="24"/>
          <w:szCs w:val="24"/>
        </w:rPr>
        <w:t>large majority (about 85–95%</w:t>
      </w:r>
      <w:r w:rsidRPr="004D55E1">
        <w:rPr>
          <w:rFonts w:ascii="Times New Roman" w:hAnsi="Times New Roman" w:cs="Times New Roman"/>
          <w:color w:val="000000"/>
          <w:sz w:val="24"/>
          <w:szCs w:val="24"/>
        </w:rPr>
        <w:t>) of sex-offending youth have no arrests or reports for future sex crimes. When previously sex-offending youth do have future arrests, they are far more likely to be for nonsexual crimes such as property or drug offenses than for sex crimes</w:t>
      </w:r>
      <w:r w:rsidR="003378F4">
        <w:rPr>
          <w:rFonts w:ascii="Times New Roman" w:hAnsi="Times New Roman" w:cs="Times New Roman"/>
          <w:color w:val="000000"/>
          <w:sz w:val="24"/>
          <w:szCs w:val="24"/>
        </w:rPr>
        <w:t>.</w:t>
      </w:r>
      <w:r w:rsidR="003378F4" w:rsidRPr="006E1CD3">
        <w:rPr>
          <w:rStyle w:val="FootnoteReference"/>
          <w:rFonts w:ascii="Times New Roman" w:hAnsi="Times New Roman" w:cs="Times New Roman"/>
          <w:color w:val="000000"/>
        </w:rPr>
        <w:footnoteReference w:id="83"/>
      </w:r>
      <w:r w:rsidR="003378F4" w:rsidRPr="006E1CD3">
        <w:rPr>
          <w:rFonts w:ascii="Times New Roman" w:hAnsi="Times New Roman" w:cs="Times New Roman"/>
          <w:color w:val="000000"/>
          <w:sz w:val="24"/>
          <w:szCs w:val="24"/>
        </w:rPr>
        <w:t xml:space="preserve"> </w:t>
      </w:r>
      <w:r w:rsidRPr="005E098E">
        <w:rPr>
          <w:rFonts w:ascii="Times New Roman" w:hAnsi="Times New Roman" w:cs="Times New Roman"/>
          <w:color w:val="000000"/>
          <w:sz w:val="24"/>
          <w:szCs w:val="24"/>
        </w:rPr>
        <w:t>More recently</w:t>
      </w:r>
      <w:r>
        <w:rPr>
          <w:rFonts w:ascii="Times New Roman" w:hAnsi="Times New Roman" w:cs="Times New Roman"/>
          <w:color w:val="000000"/>
          <w:sz w:val="24"/>
          <w:szCs w:val="24"/>
        </w:rPr>
        <w:t>,</w:t>
      </w:r>
      <w:r w:rsidRPr="005E098E">
        <w:rPr>
          <w:rFonts w:ascii="Times New Roman" w:hAnsi="Times New Roman" w:cs="Times New Roman"/>
          <w:color w:val="000000"/>
          <w:sz w:val="24"/>
          <w:szCs w:val="24"/>
        </w:rPr>
        <w:t xml:space="preserve"> Janes found that contrary to popular opinion and </w:t>
      </w:r>
      <w:r w:rsidRPr="005E098E">
        <w:rPr>
          <w:rFonts w:ascii="Times New Roman" w:hAnsi="Times New Roman" w:cs="Times New Roman"/>
          <w:sz w:val="24"/>
          <w:szCs w:val="24"/>
        </w:rPr>
        <w:t>regardless of the formal disposal, recidivism studies of those who committed sexual offences as children have concluded that child sex offenders are likely to desist in adulthood.</w:t>
      </w:r>
      <w:r w:rsidR="003378F4" w:rsidRPr="006E1CD3">
        <w:rPr>
          <w:rStyle w:val="FootnoteReference"/>
          <w:rFonts w:ascii="Times New Roman" w:hAnsi="Times New Roman" w:cs="Times New Roman"/>
          <w:sz w:val="24"/>
          <w:szCs w:val="24"/>
        </w:rPr>
        <w:footnoteReference w:id="84"/>
      </w:r>
    </w:p>
    <w:p w14:paraId="37BEE9BC" w14:textId="31E8ECA4" w:rsidR="00F165F5" w:rsidRDefault="00907BBA" w:rsidP="00F165F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w:t>
      </w:r>
      <w:r w:rsidR="0085236E" w:rsidRPr="008F274D">
        <w:rPr>
          <w:rFonts w:ascii="Times New Roman" w:hAnsi="Times New Roman" w:cs="Times New Roman"/>
          <w:sz w:val="24"/>
          <w:szCs w:val="24"/>
        </w:rPr>
        <w:t>esearch conducted</w:t>
      </w:r>
      <w:r w:rsidR="0085236E" w:rsidRPr="00225347">
        <w:rPr>
          <w:rFonts w:ascii="Times New Roman" w:hAnsi="Times New Roman" w:cs="Times New Roman"/>
          <w:sz w:val="24"/>
          <w:szCs w:val="24"/>
        </w:rPr>
        <w:t xml:space="preserve"> </w:t>
      </w:r>
      <w:r w:rsidR="0085236E" w:rsidRPr="008F274D">
        <w:rPr>
          <w:rFonts w:ascii="Times New Roman" w:hAnsi="Times New Roman" w:cs="Times New Roman"/>
          <w:sz w:val="24"/>
          <w:szCs w:val="24"/>
        </w:rPr>
        <w:t>over the past 30 years, in the USA and UK, has documented that young people</w:t>
      </w:r>
      <w:r w:rsidR="0085236E">
        <w:rPr>
          <w:rFonts w:ascii="Times New Roman" w:hAnsi="Times New Roman" w:cs="Times New Roman"/>
          <w:sz w:val="24"/>
          <w:szCs w:val="24"/>
        </w:rPr>
        <w:t xml:space="preserve"> who engage in</w:t>
      </w:r>
      <w:r w:rsidR="0085236E" w:rsidRPr="00E512F5">
        <w:rPr>
          <w:rFonts w:ascii="Times New Roman" w:hAnsi="Times New Roman" w:cs="Times New Roman"/>
          <w:sz w:val="24"/>
          <w:szCs w:val="24"/>
        </w:rPr>
        <w:t xml:space="preserve"> sexual</w:t>
      </w:r>
      <w:r w:rsidR="0085236E">
        <w:rPr>
          <w:rFonts w:ascii="Times New Roman" w:hAnsi="Times New Roman" w:cs="Times New Roman"/>
          <w:sz w:val="24"/>
          <w:szCs w:val="24"/>
        </w:rPr>
        <w:t>ly</w:t>
      </w:r>
      <w:r w:rsidR="0085236E" w:rsidRPr="00E512F5">
        <w:rPr>
          <w:rFonts w:ascii="Times New Roman" w:hAnsi="Times New Roman" w:cs="Times New Roman"/>
          <w:sz w:val="24"/>
          <w:szCs w:val="24"/>
        </w:rPr>
        <w:t xml:space="preserve"> abus</w:t>
      </w:r>
      <w:r w:rsidR="0085236E">
        <w:rPr>
          <w:rFonts w:ascii="Times New Roman" w:hAnsi="Times New Roman" w:cs="Times New Roman"/>
          <w:sz w:val="24"/>
          <w:szCs w:val="24"/>
        </w:rPr>
        <w:t>ive behaviour</w:t>
      </w:r>
      <w:r w:rsidR="0085236E" w:rsidRPr="00E512F5">
        <w:rPr>
          <w:rFonts w:ascii="Times New Roman" w:hAnsi="Times New Roman" w:cs="Times New Roman"/>
          <w:sz w:val="24"/>
          <w:szCs w:val="24"/>
        </w:rPr>
        <w:t xml:space="preserve"> are often characterised as having a number of psychosocial problems and social skills deficits, often being socially isolated, lacking intimacy skills and sexual knowledge, and experiencing high levels of social anxiety</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85"/>
      </w:r>
      <w:r w:rsidR="003378F4" w:rsidRPr="006E1CD3">
        <w:rPr>
          <w:rFonts w:ascii="Times New Roman" w:hAnsi="Times New Roman" w:cs="Times New Roman"/>
          <w:sz w:val="24"/>
          <w:szCs w:val="24"/>
        </w:rPr>
        <w:t xml:space="preserve"> </w:t>
      </w:r>
      <w:r w:rsidR="0085236E">
        <w:rPr>
          <w:rFonts w:ascii="Times New Roman" w:hAnsi="Times New Roman" w:cs="Times New Roman"/>
          <w:sz w:val="24"/>
          <w:szCs w:val="24"/>
        </w:rPr>
        <w:t xml:space="preserve">As with </w:t>
      </w:r>
      <w:r w:rsidR="0085236E" w:rsidRPr="00E512F5">
        <w:rPr>
          <w:rFonts w:ascii="Times New Roman" w:hAnsi="Times New Roman" w:cs="Times New Roman"/>
          <w:sz w:val="24"/>
          <w:szCs w:val="24"/>
        </w:rPr>
        <w:t>adult male sexual offenders</w:t>
      </w:r>
      <w:r w:rsidR="0085236E">
        <w:rPr>
          <w:rFonts w:ascii="Times New Roman" w:hAnsi="Times New Roman" w:cs="Times New Roman"/>
          <w:sz w:val="24"/>
          <w:szCs w:val="24"/>
        </w:rPr>
        <w:t>,</w:t>
      </w:r>
      <w:r w:rsidR="0085236E" w:rsidRPr="00E512F5">
        <w:rPr>
          <w:rFonts w:ascii="Times New Roman" w:hAnsi="Times New Roman" w:cs="Times New Roman"/>
          <w:sz w:val="24"/>
          <w:szCs w:val="24"/>
        </w:rPr>
        <w:t xml:space="preserve"> relatively high numbers of young male sexual abusers (up to 60%) report having been victims of sexual abuse themselves</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86"/>
      </w:r>
      <w:r w:rsidR="003378F4">
        <w:rPr>
          <w:rFonts w:ascii="Times New Roman" w:hAnsi="Times New Roman" w:cs="Times New Roman"/>
        </w:rPr>
        <w:t xml:space="preserve"> </w:t>
      </w:r>
      <w:r w:rsidR="0085236E" w:rsidRPr="00E512F5">
        <w:rPr>
          <w:rFonts w:ascii="Times New Roman" w:hAnsi="Times New Roman" w:cs="Times New Roman"/>
          <w:sz w:val="24"/>
          <w:szCs w:val="24"/>
        </w:rPr>
        <w:t>The families of such young people may also have a number of difficulties in terms of their stability and intra-familial dynamics</w:t>
      </w:r>
      <w:r w:rsidR="0085236E">
        <w:rPr>
          <w:rFonts w:ascii="Times New Roman" w:hAnsi="Times New Roman" w:cs="Times New Roman"/>
          <w:sz w:val="24"/>
          <w:szCs w:val="24"/>
        </w:rPr>
        <w:t xml:space="preserve">. For example </w:t>
      </w:r>
      <w:r w:rsidR="0085236E" w:rsidRPr="00E512F5">
        <w:rPr>
          <w:rFonts w:ascii="Times New Roman" w:hAnsi="Times New Roman" w:cs="Times New Roman"/>
          <w:sz w:val="24"/>
          <w:szCs w:val="24"/>
        </w:rPr>
        <w:t xml:space="preserve">Burton et al.’s study of 287 sexually aggressive children aged 12 years and under, </w:t>
      </w:r>
      <w:r w:rsidR="0085236E">
        <w:rPr>
          <w:rFonts w:ascii="Times New Roman" w:hAnsi="Times New Roman" w:cs="Times New Roman"/>
          <w:sz w:val="24"/>
          <w:szCs w:val="24"/>
        </w:rPr>
        <w:t xml:space="preserve">found that </w:t>
      </w:r>
      <w:r w:rsidR="0085236E" w:rsidRPr="00E512F5">
        <w:rPr>
          <w:rFonts w:ascii="Times New Roman" w:hAnsi="Times New Roman" w:cs="Times New Roman"/>
          <w:sz w:val="24"/>
          <w:szCs w:val="24"/>
        </w:rPr>
        <w:t>in 70% of the families at least one parent was chemically dependent, 48% had at least one parent known to have been sexually abused and 72% of the children were sexually abused themselves.</w:t>
      </w:r>
      <w:r w:rsidR="003378F4" w:rsidRPr="006E1CD3">
        <w:rPr>
          <w:rStyle w:val="FootnoteReference"/>
          <w:rFonts w:ascii="Times New Roman" w:hAnsi="Times New Roman" w:cs="Times New Roman"/>
        </w:rPr>
        <w:footnoteReference w:id="87"/>
      </w:r>
      <w:r w:rsidR="0085236E" w:rsidRPr="00E512F5">
        <w:rPr>
          <w:rFonts w:ascii="Times New Roman" w:hAnsi="Times New Roman" w:cs="Times New Roman"/>
          <w:sz w:val="24"/>
          <w:szCs w:val="24"/>
        </w:rPr>
        <w:t xml:space="preserve"> Lane and Lobanov-Rostovsky worked with 100 young people under 12 years of age who displayed</w:t>
      </w:r>
      <w:r w:rsidR="0085236E">
        <w:rPr>
          <w:rFonts w:ascii="Times New Roman" w:hAnsi="Times New Roman" w:cs="Times New Roman"/>
          <w:sz w:val="24"/>
          <w:szCs w:val="24"/>
        </w:rPr>
        <w:t xml:space="preserve"> sexually aggressive behaviour, </w:t>
      </w:r>
      <w:r w:rsidR="0085236E" w:rsidRPr="00E512F5">
        <w:rPr>
          <w:rFonts w:ascii="Times New Roman" w:hAnsi="Times New Roman" w:cs="Times New Roman"/>
          <w:sz w:val="24"/>
          <w:szCs w:val="24"/>
        </w:rPr>
        <w:t>66% of the children had a history of sexual, psychiatric or emotional victimisation or abandonment experiences</w:t>
      </w:r>
      <w:r w:rsidR="0085236E">
        <w:rPr>
          <w:rFonts w:ascii="Times New Roman" w:hAnsi="Times New Roman" w:cs="Times New Roman"/>
          <w:sz w:val="24"/>
          <w:szCs w:val="24"/>
        </w:rPr>
        <w:t xml:space="preserve"> and </w:t>
      </w:r>
      <w:r w:rsidR="0085236E" w:rsidRPr="00E512F5">
        <w:rPr>
          <w:rFonts w:ascii="Times New Roman" w:hAnsi="Times New Roman" w:cs="Times New Roman"/>
          <w:sz w:val="24"/>
          <w:szCs w:val="24"/>
        </w:rPr>
        <w:t>33% exhibited psychiatric, learning or medical problems.</w:t>
      </w:r>
      <w:r w:rsidR="003378F4" w:rsidRPr="006E1CD3">
        <w:rPr>
          <w:rStyle w:val="FootnoteReference"/>
          <w:rFonts w:ascii="Times New Roman" w:hAnsi="Times New Roman" w:cs="Times New Roman"/>
        </w:rPr>
        <w:footnoteReference w:id="88"/>
      </w:r>
      <w:r w:rsidR="0085236E" w:rsidRPr="00E512F5">
        <w:rPr>
          <w:rFonts w:ascii="Times New Roman" w:hAnsi="Times New Roman" w:cs="Times New Roman"/>
          <w:sz w:val="24"/>
          <w:szCs w:val="24"/>
        </w:rPr>
        <w:t xml:space="preserve"> </w:t>
      </w:r>
      <w:r w:rsidR="0085236E" w:rsidRPr="00225347">
        <w:rPr>
          <w:rFonts w:ascii="Times New Roman" w:hAnsi="Times New Roman" w:cs="Times New Roman"/>
          <w:sz w:val="24"/>
          <w:szCs w:val="24"/>
        </w:rPr>
        <w:t>Th</w:t>
      </w:r>
      <w:r w:rsidR="0085236E">
        <w:rPr>
          <w:rFonts w:ascii="Times New Roman" w:hAnsi="Times New Roman" w:cs="Times New Roman"/>
          <w:sz w:val="24"/>
          <w:szCs w:val="24"/>
        </w:rPr>
        <w:t>is research tells us that th</w:t>
      </w:r>
      <w:r w:rsidR="0085236E" w:rsidRPr="00225347">
        <w:rPr>
          <w:rFonts w:ascii="Times New Roman" w:hAnsi="Times New Roman" w:cs="Times New Roman"/>
          <w:sz w:val="24"/>
          <w:szCs w:val="24"/>
        </w:rPr>
        <w:t>e majority of children who engage in sexual offending live in families with poor emotional, physical and sexual boundaries and have generally observed domestic violence. Their role models are their parents’ whose lives are generally fraught with marital break-ups, a history of abuse, incarcerations, drug and alcohol addiction and overall poor social and emotional adjustment. These children’s caretakers provide coercive and aggressive role models</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89"/>
      </w:r>
      <w:r w:rsidR="00E14512">
        <w:rPr>
          <w:rFonts w:ascii="Times New Roman" w:hAnsi="Times New Roman" w:cs="Times New Roman"/>
          <w:sz w:val="24"/>
          <w:szCs w:val="24"/>
        </w:rPr>
        <w:t xml:space="preserve"> </w:t>
      </w:r>
    </w:p>
    <w:p w14:paraId="3219A3A5" w14:textId="7CFAC00B" w:rsidR="00F165F5" w:rsidRPr="00AE0E42" w:rsidRDefault="00F165F5" w:rsidP="00F165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approach in </w:t>
      </w:r>
      <w:r>
        <w:rPr>
          <w:rFonts w:ascii="Times New Roman" w:hAnsi="Times New Roman" w:cs="Times New Roman"/>
          <w:i/>
          <w:sz w:val="24"/>
          <w:szCs w:val="24"/>
        </w:rPr>
        <w:t xml:space="preserve">M </w:t>
      </w:r>
      <w:r>
        <w:rPr>
          <w:rFonts w:ascii="Times New Roman" w:hAnsi="Times New Roman" w:cs="Times New Roman"/>
          <w:sz w:val="24"/>
          <w:szCs w:val="24"/>
        </w:rPr>
        <w:t>marginalises the</w:t>
      </w:r>
      <w:r w:rsidRPr="00463DE6">
        <w:rPr>
          <w:rFonts w:ascii="Times New Roman" w:hAnsi="Times New Roman" w:cs="Times New Roman"/>
          <w:sz w:val="24"/>
          <w:szCs w:val="24"/>
        </w:rPr>
        <w:t xml:space="preserve"> important welfare principle </w:t>
      </w:r>
      <w:r>
        <w:rPr>
          <w:rFonts w:ascii="Times New Roman" w:hAnsi="Times New Roman" w:cs="Times New Roman"/>
          <w:sz w:val="24"/>
          <w:szCs w:val="24"/>
        </w:rPr>
        <w:t>imposed by s</w:t>
      </w:r>
      <w:r w:rsidRPr="00463DE6">
        <w:rPr>
          <w:rFonts w:ascii="Times New Roman" w:hAnsi="Times New Roman" w:cs="Times New Roman"/>
          <w:sz w:val="24"/>
          <w:szCs w:val="24"/>
        </w:rPr>
        <w:t>ection 44 of the Child</w:t>
      </w:r>
      <w:r>
        <w:rPr>
          <w:rFonts w:ascii="Times New Roman" w:hAnsi="Times New Roman" w:cs="Times New Roman"/>
          <w:sz w:val="24"/>
          <w:szCs w:val="24"/>
        </w:rPr>
        <w:t>ren and Young Persons Act 1933</w:t>
      </w:r>
      <w:r w:rsidRPr="00463DE6">
        <w:rPr>
          <w:rFonts w:ascii="Times New Roman" w:hAnsi="Times New Roman" w:cs="Times New Roman"/>
          <w:sz w:val="24"/>
          <w:szCs w:val="24"/>
        </w:rPr>
        <w:t xml:space="preserve"> which requires every court to have regard to the welfare of a child who is brought before it, either as an offender or otherwise.</w:t>
      </w:r>
      <w:r>
        <w:rPr>
          <w:rFonts w:ascii="Times New Roman" w:hAnsi="Times New Roman" w:cs="Times New Roman"/>
          <w:sz w:val="24"/>
          <w:szCs w:val="24"/>
        </w:rPr>
        <w:t xml:space="preserve"> The </w:t>
      </w:r>
      <w:r w:rsidRPr="00463DE6">
        <w:rPr>
          <w:rFonts w:ascii="Times New Roman" w:hAnsi="Times New Roman" w:cs="Times New Roman"/>
          <w:sz w:val="24"/>
          <w:szCs w:val="24"/>
        </w:rPr>
        <w:t xml:space="preserve">main virtue </w:t>
      </w:r>
      <w:r>
        <w:rPr>
          <w:rFonts w:ascii="Times New Roman" w:hAnsi="Times New Roman" w:cs="Times New Roman"/>
          <w:sz w:val="24"/>
          <w:szCs w:val="24"/>
        </w:rPr>
        <w:t xml:space="preserve">of section 33 </w:t>
      </w:r>
      <w:r w:rsidRPr="00463DE6">
        <w:rPr>
          <w:rFonts w:ascii="Times New Roman" w:hAnsi="Times New Roman" w:cs="Times New Roman"/>
          <w:sz w:val="24"/>
          <w:szCs w:val="24"/>
        </w:rPr>
        <w:t xml:space="preserve">is that it requires a decision made with respect to a child to be justified from the point of view of a judgment about the child’s interests, </w:t>
      </w:r>
      <w:r w:rsidRPr="00463DE6">
        <w:rPr>
          <w:rFonts w:ascii="Times New Roman" w:hAnsi="Times New Roman"/>
          <w:sz w:val="24"/>
          <w:szCs w:val="24"/>
        </w:rPr>
        <w:t>objective immaturity, vulnerability and comparative lack of control over their immediate surroundings.</w:t>
      </w:r>
      <w:r>
        <w:rPr>
          <w:rFonts w:ascii="Times New Roman" w:hAnsi="Times New Roman"/>
          <w:sz w:val="24"/>
          <w:szCs w:val="24"/>
        </w:rPr>
        <w:t xml:space="preserve"> </w:t>
      </w:r>
      <w:r>
        <w:rPr>
          <w:rFonts w:ascii="Times New Roman" w:hAnsi="Times New Roman" w:cs="Times New Roman"/>
          <w:sz w:val="24"/>
          <w:szCs w:val="24"/>
        </w:rPr>
        <w:t>In</w:t>
      </w:r>
      <w:r w:rsidRPr="00463DE6">
        <w:rPr>
          <w:rFonts w:ascii="Times New Roman" w:hAnsi="Times New Roman" w:cs="Times New Roman"/>
          <w:sz w:val="24"/>
          <w:szCs w:val="24"/>
        </w:rPr>
        <w:t xml:space="preserve"> </w:t>
      </w:r>
      <w:r w:rsidRPr="00463DE6">
        <w:rPr>
          <w:rFonts w:ascii="Times New Roman" w:hAnsi="Times New Roman" w:cs="Times New Roman"/>
          <w:i/>
          <w:iCs/>
          <w:sz w:val="24"/>
          <w:szCs w:val="24"/>
        </w:rPr>
        <w:t>R v Durham Constabulary</w:t>
      </w:r>
      <w:r w:rsidRPr="006E1CD3">
        <w:rPr>
          <w:rStyle w:val="FootnoteReference"/>
          <w:rFonts w:ascii="Times New Roman" w:hAnsi="Times New Roman" w:cs="Times New Roman"/>
          <w:iCs/>
        </w:rPr>
        <w:footnoteReference w:id="90"/>
      </w:r>
      <w:r w:rsidRPr="00463DE6">
        <w:rPr>
          <w:rFonts w:ascii="Times New Roman" w:hAnsi="Times New Roman" w:cs="Times New Roman"/>
          <w:i/>
          <w:iCs/>
          <w:sz w:val="24"/>
          <w:szCs w:val="24"/>
        </w:rPr>
        <w:t xml:space="preserve"> </w:t>
      </w:r>
      <w:r w:rsidRPr="00463DE6">
        <w:rPr>
          <w:rFonts w:ascii="Times New Roman" w:hAnsi="Times New Roman"/>
          <w:sz w:val="24"/>
          <w:szCs w:val="24"/>
        </w:rPr>
        <w:t xml:space="preserve">Baroness Hale noted that </w:t>
      </w:r>
      <w:r>
        <w:rPr>
          <w:rFonts w:ascii="Times New Roman" w:hAnsi="Times New Roman"/>
          <w:sz w:val="24"/>
          <w:szCs w:val="24"/>
        </w:rPr>
        <w:t>the principles enshrined in section 44 of the 1933 Act</w:t>
      </w:r>
      <w:r w:rsidRPr="00463DE6">
        <w:rPr>
          <w:rFonts w:ascii="Times New Roman" w:hAnsi="Times New Roman"/>
          <w:sz w:val="24"/>
          <w:szCs w:val="24"/>
        </w:rPr>
        <w:t xml:space="preserve"> </w:t>
      </w:r>
      <w:r>
        <w:rPr>
          <w:rFonts w:ascii="Times New Roman" w:hAnsi="Times New Roman"/>
          <w:sz w:val="24"/>
          <w:szCs w:val="24"/>
        </w:rPr>
        <w:t>are</w:t>
      </w:r>
      <w:r w:rsidRPr="00463DE6">
        <w:rPr>
          <w:rFonts w:ascii="Times New Roman" w:hAnsi="Times New Roman"/>
          <w:sz w:val="24"/>
          <w:szCs w:val="24"/>
        </w:rPr>
        <w:t xml:space="preserve"> also reflected in </w:t>
      </w:r>
      <w:r w:rsidRPr="00463DE6">
        <w:rPr>
          <w:rFonts w:ascii="Times New Roman" w:hAnsi="Times New Roman" w:cs="Times New Roman"/>
          <w:sz w:val="24"/>
          <w:szCs w:val="24"/>
        </w:rPr>
        <w:t>Article 3(1) of the UN Convention which confers on a child a right to have his or her best interests tre</w:t>
      </w:r>
      <w:r>
        <w:rPr>
          <w:rFonts w:ascii="Times New Roman" w:hAnsi="Times New Roman" w:cs="Times New Roman"/>
          <w:sz w:val="24"/>
          <w:szCs w:val="24"/>
        </w:rPr>
        <w:t xml:space="preserve">ated as a primary consideration </w:t>
      </w:r>
      <w:r w:rsidRPr="00463DE6">
        <w:rPr>
          <w:rFonts w:ascii="Times New Roman" w:hAnsi="Times New Roman" w:cs="Times New Roman"/>
          <w:sz w:val="24"/>
          <w:szCs w:val="24"/>
        </w:rPr>
        <w:t>in all court actions involving them</w:t>
      </w:r>
      <w:r>
        <w:rPr>
          <w:rFonts w:ascii="Times New Roman" w:hAnsi="Times New Roman" w:cs="Times New Roman"/>
          <w:sz w:val="24"/>
          <w:szCs w:val="24"/>
        </w:rPr>
        <w:t>.</w:t>
      </w:r>
      <w:r w:rsidRPr="00882B62">
        <w:rPr>
          <w:rFonts w:ascii="Times New Roman" w:hAnsi="Times New Roman" w:cs="Times New Roman"/>
          <w:sz w:val="24"/>
          <w:szCs w:val="24"/>
        </w:rPr>
        <w:t xml:space="preserve"> </w:t>
      </w:r>
      <w:r w:rsidRPr="00463DE6">
        <w:rPr>
          <w:rFonts w:ascii="Times New Roman" w:hAnsi="Times New Roman" w:cs="Times New Roman"/>
          <w:sz w:val="24"/>
          <w:szCs w:val="24"/>
        </w:rPr>
        <w:t>Baroness Hale cited section 44(1) of the Children and Young Persons Act 1933 and Article 3 of the Convention on the Rights of the Child in support of the proposition that the first objective of the youth justice system is the promotion of the well-being of the child</w:t>
      </w:r>
      <w:r>
        <w:rPr>
          <w:rFonts w:ascii="Times New Roman" w:hAnsi="Times New Roman" w:cs="Times New Roman"/>
          <w:sz w:val="24"/>
          <w:szCs w:val="24"/>
        </w:rPr>
        <w:t>,</w:t>
      </w:r>
      <w:r w:rsidRPr="001C15EE">
        <w:rPr>
          <w:rFonts w:ascii="Times New Roman" w:hAnsi="Times New Roman" w:cs="Times New Roman"/>
          <w:sz w:val="24"/>
          <w:szCs w:val="24"/>
        </w:rPr>
        <w:t xml:space="preserve"> </w:t>
      </w:r>
      <w:r>
        <w:rPr>
          <w:rFonts w:ascii="Times New Roman" w:hAnsi="Times New Roman" w:cs="Times New Roman"/>
          <w:sz w:val="24"/>
          <w:szCs w:val="24"/>
        </w:rPr>
        <w:t xml:space="preserve">including an adult such as </w:t>
      </w:r>
      <w:r>
        <w:rPr>
          <w:rFonts w:ascii="Times New Roman" w:hAnsi="Times New Roman" w:cs="Times New Roman"/>
          <w:i/>
          <w:sz w:val="24"/>
          <w:szCs w:val="24"/>
        </w:rPr>
        <w:t xml:space="preserve">M </w:t>
      </w:r>
      <w:r>
        <w:rPr>
          <w:rFonts w:ascii="Times New Roman" w:hAnsi="Times New Roman" w:cs="Times New Roman"/>
          <w:sz w:val="24"/>
          <w:szCs w:val="24"/>
        </w:rPr>
        <w:t>who is having to account for behaviour engaged in as a child</w:t>
      </w:r>
      <w:r w:rsidRPr="00463DE6">
        <w:rPr>
          <w:rFonts w:ascii="Times New Roman" w:hAnsi="Times New Roman" w:cs="Times New Roman"/>
          <w:sz w:val="24"/>
          <w:szCs w:val="24"/>
        </w:rPr>
        <w:t>. The primary importance of Article 3 is in making children’s interests visible and giving them force in decision-making processes</w:t>
      </w:r>
      <w:r>
        <w:rPr>
          <w:rFonts w:ascii="Times New Roman" w:hAnsi="Times New Roman" w:cs="Times New Roman"/>
          <w:sz w:val="24"/>
          <w:szCs w:val="24"/>
        </w:rPr>
        <w:t>.</w:t>
      </w:r>
      <w:r w:rsidRPr="006E1CD3">
        <w:rPr>
          <w:rStyle w:val="FootnoteReference"/>
          <w:rFonts w:ascii="Times New Roman" w:hAnsi="Times New Roman" w:cs="Times New Roman"/>
        </w:rPr>
        <w:footnoteReference w:id="91"/>
      </w:r>
      <w:r w:rsidRPr="00463DE6">
        <w:rPr>
          <w:rFonts w:ascii="Times New Roman" w:hAnsi="Times New Roman" w:cs="Times New Roman"/>
          <w:sz w:val="24"/>
          <w:szCs w:val="24"/>
        </w:rPr>
        <w:t xml:space="preserve"> As such, Article 3 represents a radical transformation in giving effect to children’s interests and capacities and the idea that all children</w:t>
      </w:r>
      <w:r w:rsidRPr="00882B62">
        <w:rPr>
          <w:rFonts w:ascii="Times New Roman" w:hAnsi="Times New Roman" w:cs="Times New Roman"/>
          <w:sz w:val="24"/>
          <w:szCs w:val="24"/>
        </w:rPr>
        <w:t xml:space="preserve"> </w:t>
      </w:r>
      <w:r w:rsidRPr="00463DE6">
        <w:rPr>
          <w:rFonts w:ascii="Times New Roman" w:hAnsi="Times New Roman" w:cs="Times New Roman"/>
          <w:sz w:val="24"/>
          <w:szCs w:val="24"/>
        </w:rPr>
        <w:t xml:space="preserve">need protection, including those </w:t>
      </w:r>
      <w:r>
        <w:rPr>
          <w:rFonts w:ascii="Times New Roman" w:hAnsi="Times New Roman" w:cs="Times New Roman"/>
          <w:sz w:val="24"/>
          <w:szCs w:val="24"/>
        </w:rPr>
        <w:t xml:space="preserve">who may have engaged in </w:t>
      </w:r>
      <w:r w:rsidRPr="00463DE6">
        <w:rPr>
          <w:rFonts w:ascii="Times New Roman" w:hAnsi="Times New Roman" w:cs="Times New Roman"/>
          <w:sz w:val="24"/>
          <w:szCs w:val="24"/>
        </w:rPr>
        <w:t>sexual offending</w:t>
      </w:r>
      <w:r>
        <w:rPr>
          <w:rFonts w:ascii="Times New Roman" w:hAnsi="Times New Roman" w:cs="Times New Roman"/>
          <w:sz w:val="24"/>
          <w:szCs w:val="24"/>
        </w:rPr>
        <w:t xml:space="preserve"> behaviour.</w:t>
      </w:r>
      <w:r w:rsidRPr="006E1CD3">
        <w:rPr>
          <w:rStyle w:val="FootnoteReference"/>
          <w:rFonts w:ascii="Times New Roman" w:hAnsi="Times New Roman" w:cs="Times New Roman"/>
        </w:rPr>
        <w:footnoteReference w:id="92"/>
      </w:r>
      <w:r>
        <w:rPr>
          <w:rFonts w:ascii="Times New Roman" w:hAnsi="Times New Roman" w:cs="Times New Roman"/>
          <w:sz w:val="24"/>
          <w:szCs w:val="24"/>
        </w:rPr>
        <w:t xml:space="preserve"> </w:t>
      </w:r>
      <w:r w:rsidRPr="00463DE6">
        <w:rPr>
          <w:rFonts w:ascii="Times New Roman" w:hAnsi="Times New Roman" w:cs="Times New Roman"/>
          <w:sz w:val="24"/>
          <w:szCs w:val="24"/>
        </w:rPr>
        <w:t xml:space="preserve">In </w:t>
      </w:r>
      <w:r w:rsidRPr="00463DE6">
        <w:rPr>
          <w:rFonts w:ascii="Times New Roman" w:hAnsi="Times New Roman" w:cs="Times New Roman"/>
          <w:i/>
          <w:sz w:val="24"/>
          <w:szCs w:val="24"/>
        </w:rPr>
        <w:t>S &amp; Marper v UK</w:t>
      </w:r>
      <w:r w:rsidRPr="00552C20">
        <w:rPr>
          <w:rStyle w:val="FootnoteReference"/>
          <w:rFonts w:ascii="Times New Roman" w:hAnsi="Times New Roman" w:cs="Times New Roman"/>
          <w:sz w:val="24"/>
          <w:szCs w:val="24"/>
        </w:rPr>
        <w:footnoteReference w:id="93"/>
      </w:r>
      <w:r w:rsidRPr="00552C20">
        <w:rPr>
          <w:rFonts w:ascii="Times New Roman" w:hAnsi="Times New Roman" w:cs="Times New Roman"/>
          <w:sz w:val="24"/>
          <w:szCs w:val="24"/>
        </w:rPr>
        <w:t xml:space="preserve"> </w:t>
      </w:r>
      <w:r w:rsidRPr="00463DE6">
        <w:rPr>
          <w:rFonts w:ascii="Times New Roman" w:hAnsi="Times New Roman" w:cs="Times New Roman"/>
          <w:sz w:val="24"/>
          <w:szCs w:val="24"/>
        </w:rPr>
        <w:t>the European Court of Human Rights referred to the UNCRC and commented upon the importance of treating young people differently from adults with regard to the criminal justice system ‘given their special situation and the importance of their development and integration in society’.</w:t>
      </w:r>
      <w:r>
        <w:rPr>
          <w:rFonts w:ascii="Times New Roman" w:hAnsi="Times New Roman" w:cs="Times New Roman"/>
          <w:sz w:val="24"/>
          <w:szCs w:val="24"/>
        </w:rPr>
        <w:t xml:space="preserve"> </w:t>
      </w:r>
      <w:r w:rsidRPr="00350ADA">
        <w:rPr>
          <w:rFonts w:ascii="Times New Roman" w:hAnsi="Times New Roman" w:cs="Times New Roman"/>
          <w:sz w:val="24"/>
          <w:szCs w:val="24"/>
        </w:rPr>
        <w:t xml:space="preserve">In </w:t>
      </w:r>
      <w:r w:rsidRPr="00350ADA">
        <w:rPr>
          <w:rFonts w:ascii="Times New Roman" w:hAnsi="Times New Roman" w:cs="Times New Roman"/>
          <w:i/>
          <w:sz w:val="24"/>
          <w:szCs w:val="24"/>
        </w:rPr>
        <w:t>V and T v UK</w:t>
      </w:r>
      <w:r w:rsidRPr="00350ADA">
        <w:rPr>
          <w:rStyle w:val="FootnoteReference"/>
          <w:rFonts w:ascii="Times New Roman" w:hAnsi="Times New Roman" w:cs="Times New Roman"/>
          <w:i/>
          <w:sz w:val="24"/>
          <w:szCs w:val="24"/>
        </w:rPr>
        <w:footnoteReference w:id="94"/>
      </w:r>
      <w:r>
        <w:rPr>
          <w:rFonts w:ascii="Times New Roman" w:hAnsi="Times New Roman" w:cs="Times New Roman"/>
          <w:sz w:val="24"/>
          <w:szCs w:val="24"/>
        </w:rPr>
        <w:t xml:space="preserve"> </w:t>
      </w:r>
      <w:r w:rsidRPr="00350ADA">
        <w:rPr>
          <w:rFonts w:ascii="Times New Roman" w:hAnsi="Times New Roman" w:cs="Times New Roman"/>
          <w:sz w:val="24"/>
          <w:szCs w:val="24"/>
        </w:rPr>
        <w:t xml:space="preserve">Lord Reed held </w:t>
      </w:r>
      <w:r w:rsidR="0022035B">
        <w:rPr>
          <w:rFonts w:ascii="Times New Roman" w:hAnsi="Times New Roman" w:cs="Times New Roman"/>
          <w:sz w:val="24"/>
          <w:szCs w:val="24"/>
        </w:rPr>
        <w:t xml:space="preserve">in </w:t>
      </w:r>
      <w:r w:rsidR="0022035B" w:rsidRPr="00350ADA">
        <w:rPr>
          <w:rFonts w:ascii="Times New Roman" w:hAnsi="Times New Roman" w:cs="Times New Roman"/>
          <w:sz w:val="24"/>
          <w:szCs w:val="24"/>
        </w:rPr>
        <w:t xml:space="preserve">the European Court of Human Rights </w:t>
      </w:r>
      <w:r w:rsidRPr="00350ADA">
        <w:rPr>
          <w:rFonts w:ascii="Times New Roman" w:hAnsi="Times New Roman" w:cs="Times New Roman"/>
          <w:sz w:val="24"/>
          <w:szCs w:val="24"/>
        </w:rPr>
        <w:t>that ‘Even children who may appear to be lacking in innocence or vulnerability are nevertheless evolving, psychologically as well as physically, towards the maturity of adulthood’.</w:t>
      </w:r>
      <w:r w:rsidRPr="00350ADA">
        <w:rPr>
          <w:rStyle w:val="FootnoteReference"/>
          <w:rFonts w:ascii="Times New Roman" w:hAnsi="Times New Roman" w:cs="Times New Roman"/>
          <w:sz w:val="24"/>
          <w:szCs w:val="24"/>
        </w:rPr>
        <w:footnoteReference w:id="95"/>
      </w:r>
      <w:r w:rsidRPr="00350ADA">
        <w:rPr>
          <w:rFonts w:ascii="Times New Roman" w:hAnsi="Times New Roman" w:cs="Times New Roman"/>
          <w:sz w:val="24"/>
          <w:szCs w:val="24"/>
        </w:rPr>
        <w:t xml:space="preserve"> This case involved Jon Venables and Robert Thompson, two boys convicted of murdering toddler James Bulger in 1993.</w:t>
      </w:r>
      <w:r>
        <w:rPr>
          <w:rFonts w:ascii="Times New Roman" w:hAnsi="Times New Roman" w:cs="Times New Roman"/>
          <w:sz w:val="24"/>
          <w:szCs w:val="24"/>
        </w:rPr>
        <w:t xml:space="preserve"> </w:t>
      </w:r>
      <w:r w:rsidRPr="00AE0E42">
        <w:rPr>
          <w:rFonts w:ascii="Times New Roman" w:hAnsi="Times New Roman" w:cs="Times New Roman"/>
          <w:bCs/>
          <w:sz w:val="24"/>
          <w:szCs w:val="24"/>
        </w:rPr>
        <w:t xml:space="preserve">The US Supreme Court decision in </w:t>
      </w:r>
      <w:r w:rsidRPr="00AE0E42">
        <w:rPr>
          <w:rFonts w:ascii="Times New Roman" w:hAnsi="Times New Roman" w:cs="Times New Roman"/>
          <w:bCs/>
          <w:i/>
          <w:sz w:val="24"/>
          <w:szCs w:val="24"/>
        </w:rPr>
        <w:t>Roper v Simmons</w:t>
      </w:r>
      <w:r>
        <w:rPr>
          <w:rStyle w:val="FootnoteReference"/>
          <w:rFonts w:ascii="Times New Roman" w:hAnsi="Times New Roman" w:cs="Times New Roman"/>
          <w:bCs/>
          <w:i/>
          <w:sz w:val="24"/>
          <w:szCs w:val="24"/>
        </w:rPr>
        <w:footnoteReference w:id="96"/>
      </w:r>
      <w:r w:rsidRPr="00AE0E42">
        <w:rPr>
          <w:rFonts w:ascii="Times New Roman" w:hAnsi="Times New Roman" w:cs="Times New Roman"/>
          <w:bCs/>
          <w:i/>
          <w:sz w:val="24"/>
          <w:szCs w:val="24"/>
        </w:rPr>
        <w:t xml:space="preserve"> </w:t>
      </w:r>
      <w:r w:rsidRPr="00AE0E42">
        <w:rPr>
          <w:rFonts w:ascii="Times New Roman" w:hAnsi="Times New Roman" w:cs="Times New Roman"/>
          <w:bCs/>
          <w:sz w:val="24"/>
          <w:szCs w:val="24"/>
        </w:rPr>
        <w:t xml:space="preserve">which declared the juvenile death penalty unconstitutional also accepted and reaffirmed the presumption of the diminished responsibility of youth. </w:t>
      </w:r>
      <w:r w:rsidRPr="00AE0E42">
        <w:rPr>
          <w:rFonts w:ascii="Times New Roman" w:hAnsi="Times New Roman" w:cs="Times New Roman"/>
          <w:color w:val="000000"/>
          <w:sz w:val="24"/>
          <w:szCs w:val="24"/>
        </w:rPr>
        <w:t>The US Supreme Court ruled that young peoples’ objective immaturity, vulnerability and comparative lack of control over their immediate surroundings renders them less culpable than adult criminals.</w:t>
      </w:r>
      <w:r>
        <w:rPr>
          <w:rFonts w:ascii="Times New Roman" w:hAnsi="Times New Roman" w:cs="Times New Roman"/>
          <w:color w:val="000000"/>
          <w:sz w:val="24"/>
          <w:szCs w:val="24"/>
        </w:rPr>
        <w:t xml:space="preserve"> </w:t>
      </w:r>
      <w:r w:rsidRPr="00463DE6">
        <w:rPr>
          <w:rFonts w:ascii="Times New Roman" w:hAnsi="Times New Roman" w:cs="Times New Roman"/>
          <w:sz w:val="24"/>
          <w:szCs w:val="24"/>
        </w:rPr>
        <w:t xml:space="preserve">Similarly </w:t>
      </w:r>
      <w:r>
        <w:rPr>
          <w:rFonts w:ascii="Times New Roman" w:hAnsi="Times New Roman" w:cs="Times New Roman"/>
          <w:sz w:val="24"/>
          <w:szCs w:val="24"/>
        </w:rPr>
        <w:t>i</w:t>
      </w:r>
      <w:r w:rsidRPr="00463DE6">
        <w:rPr>
          <w:rFonts w:ascii="Times New Roman" w:hAnsi="Times New Roman" w:cs="Times New Roman"/>
          <w:sz w:val="24"/>
          <w:szCs w:val="24"/>
        </w:rPr>
        <w:t xml:space="preserve">n </w:t>
      </w:r>
      <w:r w:rsidRPr="00463DE6">
        <w:rPr>
          <w:rFonts w:ascii="Times New Roman" w:hAnsi="Times New Roman" w:cs="Times New Roman"/>
          <w:i/>
          <w:iCs/>
          <w:sz w:val="24"/>
          <w:szCs w:val="24"/>
        </w:rPr>
        <w:t>R v G</w:t>
      </w:r>
      <w:r w:rsidRPr="00E54CB8">
        <w:rPr>
          <w:rStyle w:val="FootnoteReference"/>
          <w:rFonts w:ascii="Times New Roman" w:hAnsi="Times New Roman" w:cs="Times New Roman"/>
          <w:iCs/>
        </w:rPr>
        <w:footnoteReference w:id="97"/>
      </w:r>
      <w:r w:rsidRPr="00463DE6">
        <w:rPr>
          <w:rFonts w:ascii="Times New Roman" w:hAnsi="Times New Roman" w:cs="Times New Roman"/>
          <w:sz w:val="24"/>
          <w:szCs w:val="24"/>
        </w:rPr>
        <w:t xml:space="preserve"> Lord Steyn believed that the United Nations Convention created a norm which acknowledged that the criminal justice system should take account of a defendant’s age, level of maturity, and intellectual and emotional capacity.</w:t>
      </w:r>
      <w:r>
        <w:rPr>
          <w:rStyle w:val="FootnoteReference"/>
          <w:rFonts w:ascii="Times New Roman" w:hAnsi="Times New Roman" w:cs="Times New Roman"/>
          <w:sz w:val="24"/>
          <w:szCs w:val="24"/>
        </w:rPr>
        <w:footnoteReference w:id="98"/>
      </w:r>
      <w:r w:rsidRPr="00463DE6">
        <w:rPr>
          <w:rFonts w:ascii="Times New Roman" w:hAnsi="Times New Roman" w:cs="Times New Roman"/>
          <w:sz w:val="24"/>
          <w:szCs w:val="24"/>
        </w:rPr>
        <w:t xml:space="preserve"> Lord Steyn </w:t>
      </w:r>
      <w:r w:rsidRPr="00463DE6">
        <w:rPr>
          <w:rFonts w:ascii="Times New Roman" w:hAnsi="Times New Roman" w:cs="Times New Roman"/>
          <w:color w:val="000000"/>
          <w:sz w:val="24"/>
          <w:szCs w:val="24"/>
          <w:lang w:eastAsia="en-GB"/>
        </w:rPr>
        <w:t>emphasised that ignoring the special position of children in the criminal justice system is not acceptable in a modern civil society.</w:t>
      </w:r>
      <w:r>
        <w:rPr>
          <w:rStyle w:val="FootnoteReference"/>
          <w:rFonts w:ascii="Times New Roman" w:hAnsi="Times New Roman" w:cs="Times New Roman"/>
          <w:color w:val="000000"/>
          <w:sz w:val="24"/>
          <w:szCs w:val="24"/>
          <w:lang w:eastAsia="en-GB"/>
        </w:rPr>
        <w:footnoteReference w:id="99"/>
      </w:r>
      <w:r>
        <w:rPr>
          <w:rFonts w:ascii="Times New Roman" w:hAnsi="Times New Roman" w:cs="Times New Roman"/>
          <w:color w:val="000000"/>
          <w:sz w:val="24"/>
          <w:szCs w:val="24"/>
          <w:lang w:eastAsia="en-GB"/>
        </w:rPr>
        <w:t xml:space="preserve"> </w:t>
      </w:r>
      <w:r w:rsidRPr="00AE0E42">
        <w:rPr>
          <w:rFonts w:ascii="Times New Roman" w:hAnsi="Times New Roman" w:cs="Times New Roman"/>
          <w:sz w:val="24"/>
          <w:szCs w:val="24"/>
        </w:rPr>
        <w:t xml:space="preserve">In </w:t>
      </w:r>
      <w:r w:rsidRPr="00AE0E42">
        <w:rPr>
          <w:rFonts w:ascii="Times New Roman" w:hAnsi="Times New Roman" w:cs="Times New Roman"/>
          <w:i/>
          <w:sz w:val="24"/>
          <w:szCs w:val="24"/>
        </w:rPr>
        <w:t>Camplin</w:t>
      </w:r>
      <w:r>
        <w:rPr>
          <w:rStyle w:val="FootnoteReference"/>
          <w:rFonts w:ascii="Times New Roman" w:hAnsi="Times New Roman" w:cs="Times New Roman"/>
          <w:i/>
          <w:sz w:val="24"/>
          <w:szCs w:val="24"/>
        </w:rPr>
        <w:footnoteReference w:id="100"/>
      </w:r>
      <w:r w:rsidRPr="00AE0E42">
        <w:rPr>
          <w:rFonts w:ascii="Times New Roman" w:hAnsi="Times New Roman" w:cs="Times New Roman"/>
          <w:sz w:val="24"/>
          <w:szCs w:val="24"/>
        </w:rPr>
        <w:t xml:space="preserve"> Lord Diplock expressly acknowledg</w:t>
      </w:r>
      <w:r w:rsidR="0022035B">
        <w:rPr>
          <w:rFonts w:ascii="Times New Roman" w:hAnsi="Times New Roman" w:cs="Times New Roman"/>
          <w:sz w:val="24"/>
          <w:szCs w:val="24"/>
        </w:rPr>
        <w:t>ed</w:t>
      </w:r>
      <w:r w:rsidRPr="00AE0E42">
        <w:rPr>
          <w:rFonts w:ascii="Times New Roman" w:hAnsi="Times New Roman" w:cs="Times New Roman"/>
          <w:sz w:val="24"/>
          <w:szCs w:val="24"/>
        </w:rPr>
        <w:t xml:space="preserve"> that the law must make allowances for youthful immaturity rather than insisting on the impossible, that the young person must at all times demonstrate the same standard of self-control as an adult.</w:t>
      </w:r>
    </w:p>
    <w:p w14:paraId="1CA7BC52" w14:textId="48C0E5FA" w:rsidR="00F165F5" w:rsidRDefault="00F165F5" w:rsidP="00F165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Pr="00905E20">
        <w:rPr>
          <w:rFonts w:ascii="Times New Roman" w:hAnsi="Times New Roman" w:cs="Times New Roman"/>
          <w:sz w:val="24"/>
          <w:szCs w:val="24"/>
        </w:rPr>
        <w:t xml:space="preserve">e welfarist and paternalist approach </w:t>
      </w:r>
      <w:r>
        <w:rPr>
          <w:rFonts w:ascii="Times New Roman" w:hAnsi="Times New Roman" w:cs="Times New Roman"/>
          <w:sz w:val="24"/>
          <w:szCs w:val="24"/>
        </w:rPr>
        <w:t>of the 1933 Act, and Article 3 of the UNCRC, must be read in conjunction with s</w:t>
      </w:r>
      <w:r w:rsidRPr="00905E20">
        <w:rPr>
          <w:rFonts w:ascii="Times New Roman" w:eastAsia="Calibri" w:hAnsi="Times New Roman" w:cs="Times New Roman"/>
          <w:sz w:val="24"/>
          <w:szCs w:val="24"/>
        </w:rPr>
        <w:t xml:space="preserve">ection 37 of the </w:t>
      </w:r>
      <w:r w:rsidRPr="00905E20">
        <w:rPr>
          <w:rFonts w:ascii="Times New Roman" w:hAnsi="Times New Roman" w:cs="Times New Roman"/>
          <w:sz w:val="24"/>
          <w:szCs w:val="24"/>
        </w:rPr>
        <w:t xml:space="preserve">Crime and Disorder </w:t>
      </w:r>
      <w:r w:rsidRPr="00905E20">
        <w:rPr>
          <w:rFonts w:ascii="Times New Roman" w:eastAsia="Calibri" w:hAnsi="Times New Roman" w:cs="Times New Roman"/>
          <w:sz w:val="24"/>
          <w:szCs w:val="24"/>
        </w:rPr>
        <w:t xml:space="preserve">Act </w:t>
      </w:r>
      <w:r>
        <w:rPr>
          <w:rFonts w:ascii="Times New Roman" w:eastAsia="Calibri" w:hAnsi="Times New Roman" w:cs="Times New Roman"/>
          <w:sz w:val="24"/>
          <w:szCs w:val="24"/>
        </w:rPr>
        <w:t xml:space="preserve">1998 which </w:t>
      </w:r>
      <w:r w:rsidRPr="00905E20">
        <w:rPr>
          <w:rFonts w:ascii="Times New Roman" w:eastAsia="Calibri" w:hAnsi="Times New Roman" w:cs="Times New Roman"/>
          <w:sz w:val="24"/>
          <w:szCs w:val="24"/>
        </w:rPr>
        <w:t>establishes preventing offending by children and young people as the principal aim of the youth justice system</w:t>
      </w:r>
      <w:r w:rsidRPr="00905E20">
        <w:rPr>
          <w:rFonts w:ascii="Times New Roman" w:hAnsi="Times New Roman" w:cs="Times New Roman"/>
          <w:sz w:val="24"/>
          <w:szCs w:val="24"/>
        </w:rPr>
        <w:t xml:space="preserve"> and</w:t>
      </w:r>
      <w:r w:rsidRPr="00905E20">
        <w:rPr>
          <w:rFonts w:ascii="Times New Roman" w:eastAsia="Calibri" w:hAnsi="Times New Roman" w:cs="Times New Roman"/>
          <w:sz w:val="24"/>
          <w:szCs w:val="24"/>
        </w:rPr>
        <w:t xml:space="preserve"> places all those working in the youth justice system under a duty to have regard to that aim in carrying out their duties. </w:t>
      </w:r>
      <w:r w:rsidRPr="00905E20">
        <w:rPr>
          <w:rFonts w:ascii="Times New Roman" w:hAnsi="Times New Roman" w:cs="Times New Roman"/>
          <w:sz w:val="24"/>
          <w:szCs w:val="24"/>
        </w:rPr>
        <w:t xml:space="preserve">The Crime and Disorder Act 1998 gives no direction to the courts or anyone else working in the youth justice system that the child’s welfare should also be of primary </w:t>
      </w:r>
      <w:r w:rsidRPr="007536C3">
        <w:rPr>
          <w:rFonts w:ascii="Times New Roman" w:hAnsi="Times New Roman" w:cs="Times New Roman"/>
          <w:sz w:val="24"/>
          <w:szCs w:val="24"/>
        </w:rPr>
        <w:t xml:space="preserve">consideration. Consequently the primary duty of those involved, including the police, is to prevent offending and not necessarily to promote the child’s best interests. In </w:t>
      </w:r>
      <w:r w:rsidRPr="007536C3">
        <w:rPr>
          <w:rFonts w:ascii="Times New Roman" w:hAnsi="Times New Roman" w:cs="Times New Roman"/>
          <w:i/>
          <w:iCs/>
          <w:sz w:val="24"/>
          <w:szCs w:val="24"/>
        </w:rPr>
        <w:t>No More Excuses</w:t>
      </w:r>
      <w:r w:rsidRPr="007536C3">
        <w:rPr>
          <w:rFonts w:ascii="Times New Roman" w:hAnsi="Times New Roman" w:cs="Times New Roman"/>
          <w:sz w:val="24"/>
          <w:szCs w:val="24"/>
        </w:rPr>
        <w:t xml:space="preserve"> New Labour stressed that it did not see any conflict between protecting the welfare of the young offender and preventing that individual from offending again because </w:t>
      </w:r>
      <w:r>
        <w:rPr>
          <w:rFonts w:ascii="Times New Roman" w:hAnsi="Times New Roman" w:cs="Times New Roman"/>
          <w:sz w:val="24"/>
          <w:szCs w:val="24"/>
        </w:rPr>
        <w:t>‘</w:t>
      </w:r>
      <w:r w:rsidRPr="007536C3">
        <w:rPr>
          <w:rFonts w:ascii="Times New Roman" w:hAnsi="Times New Roman" w:cs="Times New Roman"/>
          <w:sz w:val="24"/>
          <w:szCs w:val="24"/>
        </w:rPr>
        <w:t>preventing offending promotes the welfare of the individual young offender and protects the public</w:t>
      </w:r>
      <w:r>
        <w:rPr>
          <w:rFonts w:ascii="Times New Roman" w:hAnsi="Times New Roman" w:cs="Times New Roman"/>
          <w:sz w:val="24"/>
          <w:szCs w:val="24"/>
        </w:rPr>
        <w:t>’</w:t>
      </w:r>
      <w:r w:rsidRPr="007536C3">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r w:rsidRPr="007536C3">
        <w:rPr>
          <w:rFonts w:ascii="Times New Roman" w:hAnsi="Times New Roman" w:cs="Times New Roman"/>
          <w:sz w:val="24"/>
          <w:szCs w:val="24"/>
        </w:rPr>
        <w:t xml:space="preserve"> However this is not a view </w:t>
      </w:r>
      <w:r w:rsidR="0022035B">
        <w:rPr>
          <w:rFonts w:ascii="Times New Roman" w:hAnsi="Times New Roman" w:cs="Times New Roman"/>
          <w:sz w:val="24"/>
          <w:szCs w:val="24"/>
        </w:rPr>
        <w:t xml:space="preserve">necessarily </w:t>
      </w:r>
      <w:r w:rsidRPr="007536C3">
        <w:rPr>
          <w:rFonts w:ascii="Times New Roman" w:hAnsi="Times New Roman" w:cs="Times New Roman"/>
          <w:sz w:val="24"/>
          <w:szCs w:val="24"/>
        </w:rPr>
        <w:t xml:space="preserve">shared by the courts. In the case of </w:t>
      </w:r>
      <w:r w:rsidRPr="007536C3">
        <w:rPr>
          <w:rFonts w:ascii="Times New Roman" w:hAnsi="Times New Roman" w:cs="Times New Roman"/>
          <w:i/>
          <w:sz w:val="24"/>
          <w:szCs w:val="24"/>
        </w:rPr>
        <w:t>R v Inner London Crown Court, ex p N. and S.</w:t>
      </w:r>
      <w:r w:rsidRPr="007536C3">
        <w:rPr>
          <w:rStyle w:val="FootnoteReference"/>
          <w:rFonts w:ascii="Times New Roman" w:hAnsi="Times New Roman" w:cs="Times New Roman"/>
          <w:sz w:val="24"/>
          <w:szCs w:val="24"/>
        </w:rPr>
        <w:footnoteReference w:id="102"/>
      </w:r>
      <w:r>
        <w:rPr>
          <w:rFonts w:ascii="Times New Roman" w:hAnsi="Times New Roman" w:cs="Times New Roman"/>
          <w:sz w:val="24"/>
          <w:szCs w:val="24"/>
        </w:rPr>
        <w:t xml:space="preserve"> </w:t>
      </w:r>
      <w:r w:rsidRPr="007536C3">
        <w:rPr>
          <w:rFonts w:ascii="Times New Roman" w:hAnsi="Times New Roman" w:cs="Times New Roman"/>
          <w:sz w:val="24"/>
          <w:szCs w:val="24"/>
        </w:rPr>
        <w:t xml:space="preserve">Rose LJ examined section 37 of the Crime and Disorder Act 1998 and stated that the need to impose a deterrent sentence may take priority over the provisions of section 44(1) of the Children and Young Persons Act 1933 which requires the court to promote the welfare of individual offenders. Thus despite the government’s assurances in </w:t>
      </w:r>
      <w:r w:rsidRPr="007536C3">
        <w:rPr>
          <w:rFonts w:ascii="Times New Roman" w:hAnsi="Times New Roman" w:cs="Times New Roman"/>
          <w:i/>
          <w:sz w:val="24"/>
          <w:szCs w:val="24"/>
        </w:rPr>
        <w:t xml:space="preserve">No More Excuses </w:t>
      </w:r>
      <w:r w:rsidRPr="007536C3">
        <w:rPr>
          <w:rFonts w:ascii="Times New Roman" w:hAnsi="Times New Roman" w:cs="Times New Roman"/>
          <w:sz w:val="24"/>
          <w:szCs w:val="24"/>
        </w:rPr>
        <w:t xml:space="preserve">to protect the welfare of young people who engage in offending behaviour, section 37 </w:t>
      </w:r>
      <w:r>
        <w:rPr>
          <w:rFonts w:ascii="Times New Roman" w:hAnsi="Times New Roman" w:cs="Times New Roman"/>
          <w:sz w:val="24"/>
          <w:szCs w:val="24"/>
        </w:rPr>
        <w:t>of the 1998 Act</w:t>
      </w:r>
      <w:r w:rsidRPr="007536C3">
        <w:rPr>
          <w:rFonts w:ascii="Times New Roman" w:hAnsi="Times New Roman" w:cs="Times New Roman"/>
          <w:sz w:val="24"/>
          <w:szCs w:val="24"/>
        </w:rPr>
        <w:t xml:space="preserve"> allows </w:t>
      </w:r>
      <w:r>
        <w:rPr>
          <w:rFonts w:ascii="Times New Roman" w:hAnsi="Times New Roman" w:cs="Times New Roman"/>
          <w:sz w:val="24"/>
          <w:szCs w:val="24"/>
        </w:rPr>
        <w:t>for the</w:t>
      </w:r>
      <w:r w:rsidRPr="007536C3">
        <w:rPr>
          <w:rFonts w:ascii="Times New Roman" w:hAnsi="Times New Roman" w:cs="Times New Roman"/>
          <w:sz w:val="24"/>
          <w:szCs w:val="24"/>
        </w:rPr>
        <w:t xml:space="preserve"> impos</w:t>
      </w:r>
      <w:r>
        <w:rPr>
          <w:rFonts w:ascii="Times New Roman" w:hAnsi="Times New Roman" w:cs="Times New Roman"/>
          <w:sz w:val="24"/>
          <w:szCs w:val="24"/>
        </w:rPr>
        <w:t>ition of</w:t>
      </w:r>
      <w:r w:rsidRPr="007536C3">
        <w:rPr>
          <w:rFonts w:ascii="Times New Roman" w:hAnsi="Times New Roman" w:cs="Times New Roman"/>
          <w:sz w:val="24"/>
          <w:szCs w:val="24"/>
        </w:rPr>
        <w:t xml:space="preserve"> a deterrent sentence with the aim of preventing young people in general from offending, but which does not necessarily serve the welfare of the young offender</w:t>
      </w:r>
      <w:r>
        <w:rPr>
          <w:rFonts w:ascii="Times New Roman" w:hAnsi="Times New Roman" w:cs="Times New Roman"/>
          <w:sz w:val="24"/>
          <w:szCs w:val="24"/>
        </w:rPr>
        <w:t xml:space="preserve">. </w:t>
      </w:r>
    </w:p>
    <w:p w14:paraId="69F06549" w14:textId="23407412" w:rsidR="00F165F5" w:rsidRDefault="00F165F5" w:rsidP="00F165F5">
      <w:pPr>
        <w:spacing w:after="0" w:line="480" w:lineRule="auto"/>
        <w:ind w:firstLine="720"/>
        <w:jc w:val="both"/>
        <w:rPr>
          <w:rFonts w:ascii="Times New Roman" w:hAnsi="Times New Roman" w:cs="Times New Roman"/>
          <w:sz w:val="24"/>
          <w:szCs w:val="24"/>
        </w:rPr>
      </w:pPr>
      <w:r w:rsidRPr="00F47579">
        <w:rPr>
          <w:rFonts w:ascii="Times New Roman" w:hAnsi="Times New Roman" w:cs="Times New Roman"/>
          <w:sz w:val="24"/>
          <w:szCs w:val="24"/>
        </w:rPr>
        <w:t xml:space="preserve">Focussing on prevention of youth offending allows the law (for example, section 34 of the Crime and Disorder Act) and the courts (as in </w:t>
      </w:r>
      <w:r w:rsidRPr="00F47579">
        <w:rPr>
          <w:rFonts w:ascii="Times New Roman" w:hAnsi="Times New Roman" w:cs="Times New Roman"/>
          <w:i/>
          <w:sz w:val="24"/>
          <w:szCs w:val="24"/>
        </w:rPr>
        <w:t>R v M</w:t>
      </w:r>
      <w:r w:rsidRPr="00F47579">
        <w:rPr>
          <w:rFonts w:ascii="Times New Roman" w:hAnsi="Times New Roman" w:cs="Times New Roman"/>
          <w:sz w:val="24"/>
          <w:szCs w:val="24"/>
        </w:rPr>
        <w:t xml:space="preserve">) to </w:t>
      </w:r>
      <w:r w:rsidRPr="00F47579">
        <w:rPr>
          <w:rFonts w:ascii="Times New Roman" w:hAnsi="Times New Roman" w:cs="Times New Roman"/>
          <w:color w:val="000000"/>
          <w:sz w:val="24"/>
          <w:szCs w:val="24"/>
        </w:rPr>
        <w:t xml:space="preserve">respond to childhood criminality in a </w:t>
      </w:r>
      <w:r w:rsidRPr="00F47579">
        <w:rPr>
          <w:rFonts w:ascii="Times New Roman" w:hAnsi="Times New Roman" w:cs="Times New Roman"/>
          <w:sz w:val="24"/>
          <w:szCs w:val="24"/>
        </w:rPr>
        <w:t xml:space="preserve">retributive way by </w:t>
      </w:r>
      <w:r w:rsidRPr="00F47579">
        <w:rPr>
          <w:rFonts w:ascii="Times New Roman" w:hAnsi="Times New Roman" w:cs="Times New Roman"/>
          <w:color w:val="000000"/>
          <w:sz w:val="24"/>
          <w:szCs w:val="24"/>
        </w:rPr>
        <w:t>focussing on the moral culpability of the young person accused of sexual offending. Goldson and Muncie have characterised these processes as ‘adulteration’</w:t>
      </w:r>
      <w:r w:rsidRPr="00F47579">
        <w:rPr>
          <w:rStyle w:val="FootnoteReference"/>
          <w:rFonts w:ascii="Times New Roman" w:hAnsi="Times New Roman" w:cs="Times New Roman"/>
          <w:color w:val="000000"/>
          <w:sz w:val="24"/>
          <w:szCs w:val="24"/>
        </w:rPr>
        <w:footnoteReference w:id="103"/>
      </w:r>
      <w:r w:rsidRPr="00F47579">
        <w:rPr>
          <w:rFonts w:ascii="Times New Roman" w:hAnsi="Times New Roman" w:cs="Times New Roman"/>
          <w:color w:val="000000"/>
          <w:sz w:val="24"/>
          <w:szCs w:val="24"/>
        </w:rPr>
        <w:t xml:space="preserve"> or ‘adultification’</w:t>
      </w:r>
      <w:r>
        <w:rPr>
          <w:rFonts w:ascii="Times New Roman" w:hAnsi="Times New Roman" w:cs="Times New Roman"/>
          <w:color w:val="000000"/>
          <w:sz w:val="24"/>
          <w:szCs w:val="24"/>
        </w:rPr>
        <w:t>,</w:t>
      </w:r>
      <w:r w:rsidRPr="00F47579">
        <w:rPr>
          <w:rStyle w:val="FootnoteReference"/>
          <w:rFonts w:ascii="Times New Roman" w:hAnsi="Times New Roman" w:cs="Times New Roman"/>
          <w:color w:val="000000"/>
          <w:sz w:val="24"/>
          <w:szCs w:val="24"/>
        </w:rPr>
        <w:footnoteReference w:id="104"/>
      </w:r>
      <w:r>
        <w:rPr>
          <w:rFonts w:ascii="Times New Roman" w:hAnsi="Times New Roman" w:cs="Times New Roman"/>
          <w:color w:val="000000"/>
          <w:sz w:val="24"/>
          <w:szCs w:val="24"/>
        </w:rPr>
        <w:t xml:space="preserve"> which means that children are increasingly being treated in ways usually reserved for competent adults. This process of ‘adulteration</w:t>
      </w:r>
      <w:r w:rsidR="0022035B">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young people in trouble with the law</w:t>
      </w:r>
      <w:r w:rsidR="00A14F3B">
        <w:rPr>
          <w:rFonts w:ascii="Times New Roman" w:hAnsi="Times New Roman" w:cs="Times New Roman"/>
          <w:color w:val="000000"/>
          <w:sz w:val="24"/>
          <w:szCs w:val="24"/>
        </w:rPr>
        <w:t>, which Goldson characterises as a ‘mutation of justice’,</w:t>
      </w:r>
      <w:r w:rsidR="00A14F3B">
        <w:rPr>
          <w:rStyle w:val="FootnoteReference"/>
          <w:rFonts w:ascii="Times New Roman" w:hAnsi="Times New Roman" w:cs="Times New Roman"/>
          <w:color w:val="000000"/>
          <w:sz w:val="24"/>
          <w:szCs w:val="24"/>
        </w:rPr>
        <w:footnoteReference w:id="105"/>
      </w:r>
      <w:r>
        <w:rPr>
          <w:rFonts w:ascii="Times New Roman" w:hAnsi="Times New Roman" w:cs="Times New Roman"/>
          <w:color w:val="000000"/>
          <w:sz w:val="24"/>
          <w:szCs w:val="24"/>
        </w:rPr>
        <w:t xml:space="preserve"> underpins the rationale for </w:t>
      </w:r>
      <w:r w:rsidRPr="00F47579">
        <w:rPr>
          <w:rFonts w:ascii="Times New Roman" w:hAnsi="Times New Roman" w:cs="Times New Roman"/>
          <w:color w:val="000000"/>
          <w:sz w:val="24"/>
          <w:szCs w:val="24"/>
        </w:rPr>
        <w:t xml:space="preserve">abolishing the presumption of </w:t>
      </w:r>
      <w:r w:rsidRPr="00F47579">
        <w:rPr>
          <w:rFonts w:ascii="Times New Roman" w:hAnsi="Times New Roman" w:cs="Times New Roman"/>
          <w:i/>
          <w:color w:val="000000"/>
          <w:sz w:val="24"/>
          <w:szCs w:val="24"/>
        </w:rPr>
        <w:t xml:space="preserve">doli incapax </w:t>
      </w:r>
      <w:r w:rsidR="0022035B">
        <w:rPr>
          <w:rFonts w:ascii="Times New Roman" w:hAnsi="Times New Roman" w:cs="Times New Roman"/>
          <w:color w:val="000000"/>
          <w:sz w:val="24"/>
          <w:szCs w:val="24"/>
        </w:rPr>
        <w:t xml:space="preserve">– the presumption was considered to be </w:t>
      </w:r>
      <w:r w:rsidRPr="00F47579">
        <w:rPr>
          <w:rFonts w:ascii="Times New Roman" w:hAnsi="Times New Roman" w:cs="Times New Roman"/>
          <w:sz w:val="24"/>
          <w:szCs w:val="24"/>
        </w:rPr>
        <w:t>‘contrary to common sense’, ‘not in the interests of justice, or victims or of the young people themselves’;</w:t>
      </w:r>
      <w:r w:rsidRPr="00F47579">
        <w:rPr>
          <w:rStyle w:val="FootnoteReference"/>
          <w:rFonts w:ascii="Times New Roman" w:hAnsi="Times New Roman" w:cs="Times New Roman"/>
          <w:sz w:val="24"/>
          <w:szCs w:val="24"/>
        </w:rPr>
        <w:footnoteReference w:id="106"/>
      </w:r>
      <w:r w:rsidRPr="00F4757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F47579">
        <w:rPr>
          <w:rFonts w:ascii="Times New Roman" w:hAnsi="Times New Roman" w:cs="Times New Roman"/>
          <w:sz w:val="24"/>
          <w:szCs w:val="24"/>
        </w:rPr>
        <w:t>‘the child is, and must be, capable of being held to account’.</w:t>
      </w:r>
      <w:r w:rsidRPr="00F47579">
        <w:rPr>
          <w:rStyle w:val="FootnoteReference"/>
          <w:rFonts w:ascii="Times New Roman" w:hAnsi="Times New Roman" w:cs="Times New Roman"/>
          <w:sz w:val="24"/>
          <w:szCs w:val="24"/>
        </w:rPr>
        <w:footnoteReference w:id="107"/>
      </w:r>
      <w:r w:rsidRPr="00F47579">
        <w:rPr>
          <w:rFonts w:ascii="Times New Roman" w:hAnsi="Times New Roman" w:cs="Times New Roman"/>
          <w:sz w:val="24"/>
          <w:szCs w:val="24"/>
        </w:rPr>
        <w:t xml:space="preserve"> The presumption was ‘wholly out of date’</w:t>
      </w:r>
      <w:r w:rsidRPr="00F47579">
        <w:rPr>
          <w:rStyle w:val="FootnoteReference"/>
          <w:rFonts w:ascii="Times New Roman" w:hAnsi="Times New Roman" w:cs="Times New Roman"/>
          <w:sz w:val="24"/>
          <w:szCs w:val="24"/>
        </w:rPr>
        <w:footnoteReference w:id="108"/>
      </w:r>
      <w:r w:rsidRPr="00F47579">
        <w:rPr>
          <w:rFonts w:ascii="Times New Roman" w:hAnsi="Times New Roman" w:cs="Times New Roman"/>
          <w:sz w:val="24"/>
          <w:szCs w:val="24"/>
        </w:rPr>
        <w:t xml:space="preserve"> as it allowed young offenders ‘</w:t>
      </w:r>
      <w:r w:rsidRPr="00F47579">
        <w:rPr>
          <w:rFonts w:ascii="Times New Roman" w:hAnsi="Times New Roman" w:cs="Times New Roman"/>
          <w:bCs/>
          <w:sz w:val="24"/>
          <w:szCs w:val="24"/>
        </w:rPr>
        <w:t>to run rings around the court system, and to avoid proper sanctions’.</w:t>
      </w:r>
      <w:r w:rsidRPr="00F47579">
        <w:rPr>
          <w:rStyle w:val="FootnoteReference"/>
          <w:rFonts w:ascii="Times New Roman" w:hAnsi="Times New Roman" w:cs="Times New Roman"/>
          <w:bCs/>
          <w:sz w:val="24"/>
          <w:szCs w:val="24"/>
        </w:rPr>
        <w:footnoteReference w:id="109"/>
      </w:r>
      <w:r w:rsidRPr="00F47579">
        <w:rPr>
          <w:rFonts w:ascii="Times New Roman" w:hAnsi="Times New Roman" w:cs="Times New Roman"/>
          <w:bCs/>
          <w:sz w:val="24"/>
          <w:szCs w:val="24"/>
        </w:rPr>
        <w:t xml:space="preserve"> </w:t>
      </w:r>
      <w:r w:rsidRPr="00F47579">
        <w:rPr>
          <w:rFonts w:ascii="Times New Roman" w:hAnsi="Times New Roman" w:cs="Times New Roman"/>
          <w:sz w:val="24"/>
          <w:szCs w:val="24"/>
        </w:rPr>
        <w:t>Accordingly society must stop making excuses for youth crime and children must bear an increasing responsibility for their actions.</w:t>
      </w:r>
      <w:r w:rsidRPr="00F47579">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Similarly the judiciary</w:t>
      </w:r>
      <w:r w:rsidRPr="00F47579">
        <w:rPr>
          <w:rFonts w:ascii="Times New Roman" w:hAnsi="Times New Roman" w:cs="Times New Roman"/>
          <w:sz w:val="24"/>
          <w:szCs w:val="24"/>
        </w:rPr>
        <w:t xml:space="preserve"> criticised the presumption of </w:t>
      </w:r>
      <w:r w:rsidRPr="00F47579">
        <w:rPr>
          <w:rFonts w:ascii="Times New Roman" w:hAnsi="Times New Roman" w:cs="Times New Roman"/>
          <w:i/>
          <w:sz w:val="24"/>
          <w:szCs w:val="24"/>
        </w:rPr>
        <w:t xml:space="preserve">doli incapax </w:t>
      </w:r>
      <w:r w:rsidRPr="00F47579">
        <w:rPr>
          <w:rFonts w:ascii="Times New Roman" w:hAnsi="Times New Roman" w:cs="Times New Roman"/>
          <w:sz w:val="24"/>
          <w:szCs w:val="24"/>
        </w:rPr>
        <w:t xml:space="preserve">as being </w:t>
      </w:r>
      <w:r>
        <w:rPr>
          <w:rFonts w:ascii="Times New Roman" w:hAnsi="Times New Roman" w:cs="Times New Roman"/>
          <w:sz w:val="24"/>
          <w:szCs w:val="24"/>
        </w:rPr>
        <w:t>‘</w:t>
      </w:r>
      <w:r w:rsidRPr="001F211D">
        <w:rPr>
          <w:rFonts w:ascii="Times New Roman" w:hAnsi="Times New Roman" w:cs="Times New Roman"/>
          <w:sz w:val="24"/>
          <w:szCs w:val="24"/>
        </w:rPr>
        <w:t>in principle objectionable and disturbing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1"/>
      </w:r>
      <w:r>
        <w:rPr>
          <w:rFonts w:ascii="Times New Roman" w:hAnsi="Times New Roman" w:cs="Times New Roman"/>
          <w:sz w:val="24"/>
          <w:szCs w:val="24"/>
        </w:rPr>
        <w:t xml:space="preserve"> ‘</w:t>
      </w:r>
      <w:r w:rsidRPr="001F211D">
        <w:rPr>
          <w:rFonts w:ascii="Times New Roman" w:hAnsi="Times New Roman" w:cs="Times New Roman"/>
          <w:sz w:val="24"/>
          <w:szCs w:val="24"/>
        </w:rPr>
        <w:t>nonsensical</w:t>
      </w:r>
      <w:r>
        <w:rPr>
          <w:rFonts w:ascii="Times New Roman" w:hAnsi="Times New Roman" w:cs="Times New Roman"/>
          <w:sz w:val="24"/>
          <w:szCs w:val="24"/>
        </w:rPr>
        <w:t>’ and ‘</w:t>
      </w:r>
      <w:r w:rsidRPr="001F211D">
        <w:rPr>
          <w:rFonts w:ascii="Times New Roman" w:hAnsi="Times New Roman" w:cs="Times New Roman"/>
          <w:sz w:val="24"/>
          <w:szCs w:val="24"/>
        </w:rPr>
        <w:t>as capable of giving rise to the risk of injustice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 xml:space="preserve"> and that it could ‘</w:t>
      </w:r>
      <w:r w:rsidRPr="001F211D">
        <w:rPr>
          <w:rFonts w:ascii="Times New Roman" w:hAnsi="Times New Roman" w:cs="Times New Roman"/>
          <w:sz w:val="24"/>
          <w:szCs w:val="24"/>
        </w:rPr>
        <w:t>lead to results inconsistent with common sense’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w:t>
      </w:r>
    </w:p>
    <w:p w14:paraId="466A9702" w14:textId="645652F3" w:rsidR="00F165F5" w:rsidRDefault="00F165F5" w:rsidP="00F165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‘adulteration’ of young people in conflict with the law and the desire to force young people to accept responsibility for their actions is also evident in other aspects of the English criminal justice system. For example, this focus on predicting the risk of the young person engaging in future offending behaviour is also evident in the </w:t>
      </w:r>
      <w:r w:rsidR="0022035B">
        <w:rPr>
          <w:rFonts w:ascii="Times New Roman" w:hAnsi="Times New Roman" w:cs="Times New Roman"/>
          <w:sz w:val="24"/>
          <w:szCs w:val="24"/>
        </w:rPr>
        <w:t>English criminal justice system’s</w:t>
      </w:r>
      <w:r>
        <w:rPr>
          <w:rFonts w:ascii="Times New Roman" w:hAnsi="Times New Roman" w:cs="Times New Roman"/>
          <w:sz w:val="24"/>
          <w:szCs w:val="24"/>
        </w:rPr>
        <w:t xml:space="preserve"> approach to creating and disclosing youth criminal records. </w:t>
      </w:r>
      <w:r w:rsidRPr="00DB25FE">
        <w:rPr>
          <w:rFonts w:ascii="Times New Roman" w:hAnsi="Times New Roman" w:cs="Times New Roman"/>
          <w:sz w:val="24"/>
          <w:szCs w:val="24"/>
        </w:rPr>
        <w:t>A spent childhood conviction will be removed from the Disclosure and Barring Service basic (or enhanced) certificate if 66 months have elapsed since the date of the conviction; and it is the person’s only offence; and it did not result in a custodial sentence; and it does not appear on the list of “exempt offences” which will never be removed from a certificate. Exempt offences include</w:t>
      </w:r>
      <w:r>
        <w:rPr>
          <w:rFonts w:ascii="Times New Roman" w:hAnsi="Times New Roman" w:cs="Times New Roman"/>
          <w:sz w:val="24"/>
          <w:szCs w:val="24"/>
        </w:rPr>
        <w:t xml:space="preserve"> sexual offences. Also, e</w:t>
      </w:r>
      <w:r w:rsidRPr="00DB25FE">
        <w:rPr>
          <w:rFonts w:ascii="Times New Roman" w:hAnsi="Times New Roman" w:cs="Times New Roman"/>
          <w:sz w:val="24"/>
          <w:szCs w:val="24"/>
        </w:rPr>
        <w:t>ven where no arrest takes place, any investigation by the police will be logged and details of the individuals involved and the nature of the allegations will be recorded on the police intelligence database.</w:t>
      </w:r>
      <w:r>
        <w:rPr>
          <w:rStyle w:val="FootnoteReference"/>
          <w:rFonts w:ascii="Times New Roman" w:hAnsi="Times New Roman" w:cs="Times New Roman"/>
          <w:sz w:val="24"/>
          <w:szCs w:val="24"/>
        </w:rPr>
        <w:footnoteReference w:id="114"/>
      </w:r>
      <w:r w:rsidRPr="007603E8">
        <w:rPr>
          <w:rFonts w:ascii="Times New Roman" w:hAnsi="Times New Roman" w:cs="Times New Roman"/>
          <w:sz w:val="24"/>
          <w:szCs w:val="24"/>
        </w:rPr>
        <w:t xml:space="preserve"> </w:t>
      </w:r>
      <w:r>
        <w:rPr>
          <w:rFonts w:ascii="Times New Roman" w:hAnsi="Times New Roman" w:cs="Times New Roman"/>
          <w:sz w:val="24"/>
          <w:szCs w:val="24"/>
        </w:rPr>
        <w:t>This intelligence can</w:t>
      </w:r>
      <w:r w:rsidRPr="00DB25FE">
        <w:rPr>
          <w:rFonts w:ascii="Times New Roman" w:hAnsi="Times New Roman" w:cs="Times New Roman"/>
          <w:sz w:val="24"/>
          <w:szCs w:val="24"/>
        </w:rPr>
        <w:t xml:space="preserve"> including non-conviction informatio</w:t>
      </w:r>
      <w:r>
        <w:rPr>
          <w:rFonts w:ascii="Times New Roman" w:hAnsi="Times New Roman" w:cs="Times New Roman"/>
          <w:sz w:val="24"/>
          <w:szCs w:val="24"/>
        </w:rPr>
        <w:t>n such as reports to the police and</w:t>
      </w:r>
      <w:r w:rsidRPr="00DB25FE">
        <w:rPr>
          <w:rFonts w:ascii="Times New Roman" w:hAnsi="Times New Roman" w:cs="Times New Roman"/>
          <w:sz w:val="24"/>
          <w:szCs w:val="24"/>
        </w:rPr>
        <w:t xml:space="preserve"> is held for a minimum of 6 years and can be retained until the subject’s 100</w:t>
      </w:r>
      <w:r w:rsidRPr="00DB25FE">
        <w:rPr>
          <w:rFonts w:ascii="Times New Roman" w:hAnsi="Times New Roman" w:cs="Times New Roman"/>
          <w:sz w:val="24"/>
          <w:szCs w:val="24"/>
          <w:vertAlign w:val="superscript"/>
        </w:rPr>
        <w:t>th</w:t>
      </w:r>
      <w:r w:rsidRPr="00DB25FE">
        <w:rPr>
          <w:rFonts w:ascii="Times New Roman" w:hAnsi="Times New Roman" w:cs="Times New Roman"/>
          <w:sz w:val="24"/>
          <w:szCs w:val="24"/>
        </w:rPr>
        <w:t xml:space="preserve"> birthday.</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T</w:t>
      </w:r>
      <w:r w:rsidRPr="00DB25FE">
        <w:rPr>
          <w:rFonts w:ascii="Times New Roman" w:hAnsi="Times New Roman" w:cs="Times New Roman"/>
          <w:sz w:val="24"/>
          <w:szCs w:val="24"/>
        </w:rPr>
        <w:t>he existence of a recorded investigation without any discretion for the police to delete that record could have a significant and disproportio</w:t>
      </w:r>
      <w:r>
        <w:rPr>
          <w:rFonts w:ascii="Times New Roman" w:hAnsi="Times New Roman" w:cs="Times New Roman"/>
          <w:sz w:val="24"/>
          <w:szCs w:val="24"/>
        </w:rPr>
        <w:t>nate impact on a child’s future</w:t>
      </w:r>
      <w:r w:rsidRPr="00DB25FE">
        <w:rPr>
          <w:rFonts w:ascii="Times New Roman" w:hAnsi="Times New Roman" w:cs="Times New Roman"/>
          <w:sz w:val="24"/>
          <w:szCs w:val="24"/>
        </w:rPr>
        <w:t xml:space="preserve"> </w:t>
      </w:r>
      <w:r>
        <w:rPr>
          <w:rFonts w:ascii="Times New Roman" w:hAnsi="Times New Roman" w:cs="Times New Roman"/>
          <w:sz w:val="24"/>
          <w:szCs w:val="24"/>
        </w:rPr>
        <w:t>access to education,</w:t>
      </w:r>
      <w:r w:rsidRPr="00DB25FE">
        <w:rPr>
          <w:rFonts w:ascii="Times New Roman" w:hAnsi="Times New Roman" w:cs="Times New Roman"/>
          <w:sz w:val="24"/>
          <w:szCs w:val="24"/>
        </w:rPr>
        <w:t xml:space="preserve"> employment, travel</w:t>
      </w:r>
      <w:r>
        <w:rPr>
          <w:rFonts w:ascii="Times New Roman" w:hAnsi="Times New Roman" w:cs="Times New Roman"/>
          <w:sz w:val="24"/>
          <w:szCs w:val="24"/>
        </w:rPr>
        <w:t xml:space="preserve">, </w:t>
      </w:r>
      <w:r w:rsidRPr="00DB25FE">
        <w:rPr>
          <w:rFonts w:ascii="Times New Roman" w:hAnsi="Times New Roman" w:cs="Times New Roman"/>
          <w:sz w:val="24"/>
          <w:szCs w:val="24"/>
        </w:rPr>
        <w:t>insurance and housing.</w:t>
      </w:r>
      <w:r>
        <w:rPr>
          <w:rStyle w:val="FootnoteReference"/>
          <w:rFonts w:ascii="Times New Roman" w:hAnsi="Times New Roman" w:cs="Times New Roman"/>
          <w:sz w:val="24"/>
          <w:szCs w:val="24"/>
        </w:rPr>
        <w:footnoteReference w:id="116"/>
      </w:r>
    </w:p>
    <w:p w14:paraId="7E67CDB0" w14:textId="0065BE77" w:rsidR="00311871" w:rsidRDefault="00F165F5" w:rsidP="00311871">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If the court </w:t>
      </w:r>
      <w:r w:rsidRPr="00F47579">
        <w:rPr>
          <w:rFonts w:ascii="Times New Roman" w:hAnsi="Times New Roman" w:cs="Times New Roman"/>
          <w:sz w:val="24"/>
          <w:szCs w:val="24"/>
        </w:rPr>
        <w:t xml:space="preserve">in </w:t>
      </w:r>
      <w:r w:rsidRPr="00F47579">
        <w:rPr>
          <w:rFonts w:ascii="Times New Roman" w:hAnsi="Times New Roman" w:cs="Times New Roman"/>
          <w:i/>
          <w:sz w:val="24"/>
          <w:szCs w:val="24"/>
        </w:rPr>
        <w:t>R v M</w:t>
      </w:r>
      <w:r>
        <w:rPr>
          <w:rFonts w:ascii="Times New Roman" w:hAnsi="Times New Roman" w:cs="Times New Roman"/>
          <w:color w:val="000000"/>
          <w:sz w:val="24"/>
          <w:szCs w:val="24"/>
        </w:rPr>
        <w:t xml:space="preserve"> were </w:t>
      </w:r>
      <w:r w:rsidRPr="00463DE6">
        <w:rPr>
          <w:rFonts w:ascii="Times New Roman" w:hAnsi="Times New Roman" w:cs="Times New Roman"/>
          <w:color w:val="000000"/>
          <w:sz w:val="24"/>
          <w:szCs w:val="24"/>
        </w:rPr>
        <w:t>focus</w:t>
      </w:r>
      <w:r>
        <w:rPr>
          <w:rFonts w:ascii="Times New Roman" w:hAnsi="Times New Roman" w:cs="Times New Roman"/>
          <w:color w:val="000000"/>
          <w:sz w:val="24"/>
          <w:szCs w:val="24"/>
        </w:rPr>
        <w:t>sing</w:t>
      </w:r>
      <w:r w:rsidRPr="00463DE6">
        <w:rPr>
          <w:rFonts w:ascii="Times New Roman" w:hAnsi="Times New Roman" w:cs="Times New Roman"/>
          <w:color w:val="000000"/>
          <w:sz w:val="24"/>
          <w:szCs w:val="24"/>
        </w:rPr>
        <w:t xml:space="preserve"> on the rights</w:t>
      </w:r>
      <w:r w:rsidR="0022035B">
        <w:rPr>
          <w:rFonts w:ascii="Times New Roman" w:hAnsi="Times New Roman" w:cs="Times New Roman"/>
          <w:color w:val="000000"/>
          <w:sz w:val="24"/>
          <w:szCs w:val="24"/>
        </w:rPr>
        <w:t>,</w:t>
      </w:r>
      <w:r w:rsidRPr="00463DE6">
        <w:rPr>
          <w:rFonts w:ascii="Times New Roman" w:hAnsi="Times New Roman" w:cs="Times New Roman"/>
          <w:color w:val="000000"/>
          <w:sz w:val="24"/>
          <w:szCs w:val="24"/>
        </w:rPr>
        <w:t xml:space="preserve"> vulnerability</w:t>
      </w:r>
      <w:r w:rsidR="0022035B">
        <w:rPr>
          <w:rFonts w:ascii="Times New Roman" w:hAnsi="Times New Roman" w:cs="Times New Roman"/>
          <w:color w:val="000000"/>
          <w:sz w:val="24"/>
          <w:szCs w:val="24"/>
        </w:rPr>
        <w:t>, welfare and best interests</w:t>
      </w:r>
      <w:r w:rsidRPr="00463DE6">
        <w:rPr>
          <w:rFonts w:ascii="Times New Roman" w:hAnsi="Times New Roman" w:cs="Times New Roman"/>
          <w:color w:val="000000"/>
          <w:sz w:val="24"/>
          <w:szCs w:val="24"/>
        </w:rPr>
        <w:t xml:space="preserve"> of the accused </w:t>
      </w:r>
      <w:r>
        <w:rPr>
          <w:rFonts w:ascii="Times New Roman" w:hAnsi="Times New Roman" w:cs="Times New Roman"/>
          <w:color w:val="000000"/>
          <w:sz w:val="24"/>
          <w:szCs w:val="24"/>
        </w:rPr>
        <w:t xml:space="preserve">as a </w:t>
      </w:r>
      <w:r w:rsidRPr="00463DE6">
        <w:rPr>
          <w:rFonts w:ascii="Times New Roman" w:hAnsi="Times New Roman" w:cs="Times New Roman"/>
          <w:color w:val="000000"/>
          <w:sz w:val="24"/>
          <w:szCs w:val="24"/>
        </w:rPr>
        <w:t>young person</w:t>
      </w:r>
      <w:r>
        <w:rPr>
          <w:rFonts w:ascii="Times New Roman" w:hAnsi="Times New Roman" w:cs="Times New Roman"/>
          <w:color w:val="000000"/>
          <w:sz w:val="24"/>
          <w:szCs w:val="24"/>
        </w:rPr>
        <w:t>, then this would have required</w:t>
      </w:r>
      <w:r w:rsidRPr="00463DE6">
        <w:rPr>
          <w:rFonts w:ascii="Times New Roman" w:hAnsi="Times New Roman" w:cs="Times New Roman"/>
          <w:color w:val="000000"/>
          <w:sz w:val="24"/>
          <w:szCs w:val="24"/>
        </w:rPr>
        <w:t xml:space="preserve"> a consideration of the obligation of the state to provide a fair trial in which all available defences are carefully considered. </w:t>
      </w:r>
      <w:r w:rsidRPr="00463DE6">
        <w:rPr>
          <w:rFonts w:ascii="Times New Roman" w:hAnsi="Times New Roman" w:cs="Times New Roman"/>
          <w:sz w:val="24"/>
          <w:szCs w:val="24"/>
        </w:rPr>
        <w:t xml:space="preserve">Lord Justice Scott Baker in </w:t>
      </w:r>
      <w:r w:rsidRPr="00463DE6">
        <w:rPr>
          <w:rFonts w:ascii="Times New Roman" w:hAnsi="Times New Roman" w:cs="Times New Roman"/>
          <w:i/>
          <w:sz w:val="24"/>
          <w:szCs w:val="24"/>
        </w:rPr>
        <w:t>R (TP) v West London Youth Court</w:t>
      </w:r>
      <w:r w:rsidRPr="00E51DDE">
        <w:rPr>
          <w:rStyle w:val="FootnoteReference"/>
          <w:rFonts w:ascii="Times New Roman" w:hAnsi="Times New Roman" w:cs="Times New Roman"/>
        </w:rPr>
        <w:footnoteReference w:id="117"/>
      </w:r>
      <w:r>
        <w:rPr>
          <w:rFonts w:ascii="Times New Roman" w:hAnsi="Times New Roman" w:cs="Times New Roman"/>
          <w:i/>
          <w:sz w:val="24"/>
          <w:szCs w:val="24"/>
        </w:rPr>
        <w:t xml:space="preserve"> </w:t>
      </w:r>
      <w:r w:rsidRPr="00463DE6">
        <w:rPr>
          <w:rFonts w:ascii="Times New Roman" w:hAnsi="Times New Roman" w:cs="Times New Roman"/>
          <w:sz w:val="24"/>
          <w:szCs w:val="24"/>
        </w:rPr>
        <w:t xml:space="preserve">held that the minimum requirements of a fair trial include, amongst other issues, that the court is satisfied that the accused had the means of knowing that their actions were wrong. This ruling reaffirms the requirement under Article 40 of the UNCRC that criminal proceedings should consider whether a child, by virtue of her or his individual discernment and understanding, can be held responsible for their behaviour. This provision imposes both procedural and substantive obligations on state parties to protect the special position of children in the criminal justice system. </w:t>
      </w:r>
      <w:r>
        <w:rPr>
          <w:rFonts w:ascii="Times New Roman" w:hAnsi="Times New Roman" w:cs="Times New Roman"/>
          <w:sz w:val="24"/>
          <w:szCs w:val="24"/>
        </w:rPr>
        <w:t>On a practical level it was questionable how much protection the presumption provided to young people as it was rarely used due to the high proportion of guilty pleas by young people.</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When used, </w:t>
      </w:r>
      <w:r w:rsidRPr="00B910BB">
        <w:rPr>
          <w:rFonts w:ascii="Times New Roman" w:hAnsi="Times New Roman" w:cs="Times New Roman"/>
          <w:sz w:val="24"/>
          <w:szCs w:val="24"/>
        </w:rPr>
        <w:t>the presumption was easily rebutted as evidence that the child understood the act was seriously wrong could be inferred from the surrounding circumstances of the offending or evidence that the child was of normal mental capacity for their 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w:t>
      </w:r>
      <w:r w:rsidRPr="00B910BB">
        <w:rPr>
          <w:rFonts w:ascii="Times New Roman" w:hAnsi="Times New Roman" w:cs="Times New Roman"/>
          <w:sz w:val="24"/>
          <w:szCs w:val="24"/>
        </w:rPr>
        <w:t xml:space="preserve">For example, if the surrounding circumstances were sufficient for the court to conclude that the defendant knew what he was doing was seriously wrong then the presumption of </w:t>
      </w:r>
      <w:r w:rsidRPr="00B910BB">
        <w:rPr>
          <w:rFonts w:ascii="Times New Roman" w:hAnsi="Times New Roman" w:cs="Times New Roman"/>
          <w:i/>
          <w:sz w:val="24"/>
          <w:szCs w:val="24"/>
        </w:rPr>
        <w:t>doli incapax</w:t>
      </w:r>
      <w:r w:rsidRPr="00B910BB">
        <w:rPr>
          <w:rFonts w:ascii="Times New Roman" w:hAnsi="Times New Roman" w:cs="Times New Roman"/>
          <w:sz w:val="24"/>
          <w:szCs w:val="24"/>
        </w:rPr>
        <w:t xml:space="preserve"> had been rebutted. </w:t>
      </w:r>
      <w:r w:rsidR="00905287">
        <w:rPr>
          <w:rFonts w:ascii="Times New Roman" w:hAnsi="Times New Roman" w:cs="Times New Roman"/>
          <w:sz w:val="24"/>
          <w:szCs w:val="24"/>
        </w:rPr>
        <w:t>It was only in exceptional cases that expert evidence would be required.</w:t>
      </w:r>
      <w:r w:rsidR="00905287">
        <w:rPr>
          <w:rStyle w:val="FootnoteReference"/>
          <w:rFonts w:ascii="Times New Roman" w:hAnsi="Times New Roman" w:cs="Times New Roman"/>
          <w:sz w:val="24"/>
          <w:szCs w:val="24"/>
        </w:rPr>
        <w:footnoteReference w:id="120"/>
      </w:r>
      <w:r w:rsidR="00905287">
        <w:rPr>
          <w:rFonts w:ascii="Times New Roman" w:hAnsi="Times New Roman" w:cs="Times New Roman"/>
          <w:sz w:val="24"/>
          <w:szCs w:val="24"/>
        </w:rPr>
        <w:t xml:space="preserve"> </w:t>
      </w:r>
      <w:r w:rsidRPr="00B910BB">
        <w:rPr>
          <w:rFonts w:ascii="Times New Roman" w:hAnsi="Times New Roman" w:cs="Times New Roman"/>
          <w:sz w:val="24"/>
          <w:szCs w:val="24"/>
        </w:rPr>
        <w:t xml:space="preserve">Lord Lowry in </w:t>
      </w:r>
      <w:r w:rsidRPr="00B910BB">
        <w:rPr>
          <w:rFonts w:ascii="Times New Roman" w:hAnsi="Times New Roman" w:cs="Times New Roman"/>
          <w:i/>
          <w:sz w:val="24"/>
          <w:szCs w:val="24"/>
        </w:rPr>
        <w:t>CC (Minor) v DPP</w:t>
      </w:r>
      <w:r w:rsidRPr="00B910BB">
        <w:rPr>
          <w:rStyle w:val="FootnoteReference"/>
          <w:rFonts w:ascii="Times New Roman" w:hAnsi="Times New Roman" w:cs="Times New Roman"/>
          <w:i/>
          <w:sz w:val="24"/>
          <w:szCs w:val="24"/>
        </w:rPr>
        <w:footnoteReference w:id="121"/>
      </w:r>
      <w:r w:rsidRPr="00B910BB">
        <w:rPr>
          <w:rFonts w:ascii="Times New Roman" w:hAnsi="Times New Roman" w:cs="Times New Roman"/>
          <w:i/>
          <w:sz w:val="24"/>
          <w:szCs w:val="24"/>
        </w:rPr>
        <w:t xml:space="preserve"> </w:t>
      </w:r>
      <w:r w:rsidRPr="00B910BB">
        <w:rPr>
          <w:rFonts w:ascii="Times New Roman" w:hAnsi="Times New Roman" w:cs="Times New Roman"/>
          <w:sz w:val="24"/>
          <w:szCs w:val="24"/>
        </w:rPr>
        <w:t xml:space="preserve">stated that in practice the courts ‘often treat the rebuttal of the presumption as a formality’. </w:t>
      </w:r>
      <w:r>
        <w:rPr>
          <w:rFonts w:ascii="Times New Roman" w:hAnsi="Times New Roman" w:cs="Times New Roman"/>
          <w:sz w:val="24"/>
          <w:szCs w:val="24"/>
        </w:rPr>
        <w:t>Nevertheless t</w:t>
      </w:r>
      <w:r w:rsidRPr="00B64F84">
        <w:rPr>
          <w:rFonts w:ascii="Times New Roman" w:hAnsi="Times New Roman" w:cs="Times New Roman"/>
          <w:sz w:val="24"/>
          <w:szCs w:val="24"/>
        </w:rPr>
        <w:t xml:space="preserve">he </w:t>
      </w:r>
      <w:r>
        <w:rPr>
          <w:rFonts w:ascii="Times New Roman" w:hAnsi="Times New Roman" w:cs="Times New Roman"/>
          <w:sz w:val="24"/>
          <w:szCs w:val="24"/>
        </w:rPr>
        <w:t xml:space="preserve">immediate </w:t>
      </w:r>
      <w:r w:rsidRPr="00B64F84">
        <w:rPr>
          <w:rFonts w:ascii="Times New Roman" w:hAnsi="Times New Roman" w:cs="Times New Roman"/>
          <w:sz w:val="24"/>
          <w:szCs w:val="24"/>
        </w:rPr>
        <w:t xml:space="preserve">impact of abolition </w:t>
      </w:r>
      <w:r>
        <w:rPr>
          <w:rFonts w:ascii="Times New Roman" w:hAnsi="Times New Roman" w:cs="Times New Roman"/>
          <w:sz w:val="24"/>
          <w:szCs w:val="24"/>
        </w:rPr>
        <w:t xml:space="preserve">of the presumption </w:t>
      </w:r>
      <w:r w:rsidRPr="00B64F84">
        <w:rPr>
          <w:rFonts w:ascii="Times New Roman" w:hAnsi="Times New Roman" w:cs="Times New Roman"/>
          <w:sz w:val="24"/>
          <w:szCs w:val="24"/>
        </w:rPr>
        <w:t xml:space="preserve">was </w:t>
      </w:r>
      <w:r>
        <w:rPr>
          <w:rFonts w:ascii="Times New Roman" w:hAnsi="Times New Roman" w:cs="Times New Roman"/>
          <w:sz w:val="24"/>
          <w:szCs w:val="24"/>
        </w:rPr>
        <w:t>striking</w:t>
      </w:r>
      <w:r w:rsidRPr="00B64F84">
        <w:rPr>
          <w:rFonts w:ascii="Times New Roman" w:hAnsi="Times New Roman" w:cs="Times New Roman"/>
          <w:sz w:val="24"/>
          <w:szCs w:val="24"/>
        </w:rPr>
        <w:t xml:space="preserve">: in 1999, the number of 10-14 year olds criminalised for indictable offences was 29% higher than it had been in the year prior to implementation, </w:t>
      </w:r>
      <w:r>
        <w:rPr>
          <w:rFonts w:ascii="Times New Roman" w:hAnsi="Times New Roman" w:cs="Times New Roman"/>
          <w:sz w:val="24"/>
          <w:szCs w:val="24"/>
        </w:rPr>
        <w:t>and actually fell by 2% for older children.</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w:t>
      </w:r>
    </w:p>
    <w:p w14:paraId="0821B253" w14:textId="35AE00EE" w:rsidR="007603E8" w:rsidRPr="005C48AA" w:rsidRDefault="0085236E" w:rsidP="005C48AA">
      <w:pPr>
        <w:spacing w:after="0" w:line="480" w:lineRule="auto"/>
        <w:ind w:firstLine="720"/>
        <w:jc w:val="both"/>
        <w:rPr>
          <w:rFonts w:ascii="Times New Roman" w:hAnsi="Times New Roman" w:cs="Times New Roman"/>
          <w:sz w:val="24"/>
          <w:szCs w:val="24"/>
        </w:rPr>
      </w:pPr>
      <w:r w:rsidRPr="00350ADA">
        <w:rPr>
          <w:rFonts w:ascii="Times New Roman" w:hAnsi="Times New Roman" w:cs="Times New Roman"/>
          <w:sz w:val="24"/>
          <w:szCs w:val="24"/>
        </w:rPr>
        <w:t xml:space="preserve">Criminal liability </w:t>
      </w:r>
      <w:r>
        <w:rPr>
          <w:rFonts w:ascii="Times New Roman" w:hAnsi="Times New Roman" w:cs="Times New Roman"/>
          <w:sz w:val="24"/>
          <w:szCs w:val="24"/>
        </w:rPr>
        <w:t>sh</w:t>
      </w:r>
      <w:r w:rsidRPr="00350ADA">
        <w:rPr>
          <w:rFonts w:ascii="Times New Roman" w:hAnsi="Times New Roman" w:cs="Times New Roman"/>
          <w:sz w:val="24"/>
          <w:szCs w:val="24"/>
        </w:rPr>
        <w:t>ould only be imposed</w:t>
      </w:r>
      <w:r>
        <w:rPr>
          <w:rFonts w:ascii="Times New Roman" w:hAnsi="Times New Roman" w:cs="Times New Roman"/>
          <w:sz w:val="24"/>
          <w:szCs w:val="24"/>
        </w:rPr>
        <w:t xml:space="preserve"> when</w:t>
      </w:r>
      <w:r w:rsidRPr="007226ED">
        <w:rPr>
          <w:rFonts w:ascii="Times New Roman" w:eastAsia="Times New Roman" w:hAnsi="Times New Roman" w:cs="Times New Roman"/>
          <w:sz w:val="24"/>
          <w:szCs w:val="24"/>
        </w:rPr>
        <w:t xml:space="preserve"> </w:t>
      </w:r>
      <w:r w:rsidRPr="00350ADA">
        <w:rPr>
          <w:rFonts w:ascii="Times New Roman" w:eastAsia="Times New Roman" w:hAnsi="Times New Roman" w:cs="Times New Roman"/>
          <w:sz w:val="24"/>
          <w:szCs w:val="24"/>
        </w:rPr>
        <w:t>an evidence-based</w:t>
      </w:r>
      <w:r>
        <w:rPr>
          <w:rFonts w:ascii="Times New Roman" w:eastAsia="Times New Roman" w:hAnsi="Times New Roman" w:cs="Times New Roman"/>
          <w:sz w:val="24"/>
          <w:szCs w:val="24"/>
        </w:rPr>
        <w:t xml:space="preserve"> approach which considers all of the circumstances of the child’s life and the offending concludes that </w:t>
      </w:r>
      <w:r>
        <w:rPr>
          <w:rFonts w:ascii="Times New Roman" w:hAnsi="Times New Roman" w:cs="Times New Roman"/>
          <w:sz w:val="24"/>
          <w:szCs w:val="24"/>
        </w:rPr>
        <w:t>the child</w:t>
      </w:r>
      <w:r w:rsidRPr="00350ADA">
        <w:rPr>
          <w:rFonts w:ascii="Times New Roman" w:hAnsi="Times New Roman" w:cs="Times New Roman"/>
          <w:sz w:val="24"/>
          <w:szCs w:val="24"/>
        </w:rPr>
        <w:t xml:space="preserve"> had sufficient mental capacity, competence and maturity to understand the nature of their conduct and exercise volition over their behaviour.</w:t>
      </w:r>
      <w:r w:rsidR="00E66C41">
        <w:rPr>
          <w:rFonts w:ascii="Times New Roman" w:hAnsi="Times New Roman" w:cs="Times New Roman"/>
          <w:sz w:val="24"/>
          <w:szCs w:val="24"/>
        </w:rPr>
        <w:t xml:space="preserve"> </w:t>
      </w:r>
      <w:r w:rsidR="00E66C41" w:rsidRPr="00FF5206">
        <w:rPr>
          <w:rFonts w:ascii="Times New Roman" w:hAnsi="Times New Roman" w:cs="Times New Roman"/>
          <w:i/>
          <w:color w:val="000000"/>
          <w:sz w:val="24"/>
          <w:szCs w:val="24"/>
        </w:rPr>
        <w:t xml:space="preserve">R v </w:t>
      </w:r>
      <w:r w:rsidR="00DC2E89">
        <w:rPr>
          <w:rFonts w:ascii="Times New Roman" w:hAnsi="Times New Roman" w:cs="Times New Roman"/>
          <w:i/>
          <w:color w:val="000000"/>
          <w:sz w:val="24"/>
          <w:szCs w:val="24"/>
        </w:rPr>
        <w:t>M</w:t>
      </w:r>
      <w:r w:rsidR="00E66C41" w:rsidRPr="00FF5206">
        <w:rPr>
          <w:rFonts w:ascii="Times New Roman" w:hAnsi="Times New Roman" w:cs="Times New Roman"/>
          <w:color w:val="000000"/>
          <w:sz w:val="24"/>
          <w:szCs w:val="24"/>
        </w:rPr>
        <w:t xml:space="preserve"> </w:t>
      </w:r>
      <w:r w:rsidR="00E66C41" w:rsidRPr="00FF5206">
        <w:rPr>
          <w:rFonts w:ascii="Times New Roman" w:hAnsi="Times New Roman" w:cs="Times New Roman"/>
          <w:sz w:val="24"/>
          <w:szCs w:val="24"/>
        </w:rPr>
        <w:t>is exactly the type of situation in which the presumption</w:t>
      </w:r>
      <w:r w:rsidR="001E1B5A">
        <w:rPr>
          <w:rFonts w:ascii="Times New Roman" w:hAnsi="Times New Roman" w:cs="Times New Roman"/>
          <w:sz w:val="24"/>
          <w:szCs w:val="24"/>
        </w:rPr>
        <w:t xml:space="preserve"> of </w:t>
      </w:r>
      <w:r w:rsidR="001E1B5A">
        <w:rPr>
          <w:rFonts w:ascii="Times New Roman" w:hAnsi="Times New Roman" w:cs="Times New Roman"/>
          <w:i/>
          <w:sz w:val="24"/>
          <w:szCs w:val="24"/>
        </w:rPr>
        <w:t>doli incapax</w:t>
      </w:r>
      <w:r w:rsidR="00E66C41" w:rsidRPr="00FF5206">
        <w:rPr>
          <w:rFonts w:ascii="Times New Roman" w:hAnsi="Times New Roman" w:cs="Times New Roman"/>
          <w:sz w:val="24"/>
          <w:szCs w:val="24"/>
        </w:rPr>
        <w:t xml:space="preserve"> could have acted as a safeguard. </w:t>
      </w:r>
      <w:r w:rsidR="00F61F8C" w:rsidRPr="00FF5206">
        <w:rPr>
          <w:rFonts w:ascii="Times New Roman" w:hAnsi="Times New Roman" w:cs="Times New Roman"/>
          <w:sz w:val="24"/>
          <w:szCs w:val="24"/>
        </w:rPr>
        <w:t xml:space="preserve">In </w:t>
      </w:r>
      <w:r w:rsidR="00F61F8C" w:rsidRPr="00FF5206">
        <w:rPr>
          <w:rFonts w:ascii="Times New Roman" w:hAnsi="Times New Roman" w:cs="Times New Roman"/>
          <w:i/>
          <w:sz w:val="24"/>
          <w:szCs w:val="24"/>
        </w:rPr>
        <w:t xml:space="preserve">M </w:t>
      </w:r>
      <w:r w:rsidR="00F61F8C" w:rsidRPr="00FF5206">
        <w:rPr>
          <w:rFonts w:ascii="Times New Roman" w:hAnsi="Times New Roman" w:cs="Times New Roman"/>
          <w:sz w:val="24"/>
          <w:szCs w:val="24"/>
        </w:rPr>
        <w:t xml:space="preserve">the court held the BCE to be admissible under two separate gateways, and allowed for </w:t>
      </w:r>
      <w:r w:rsidR="00907BBA">
        <w:rPr>
          <w:rFonts w:ascii="Times New Roman" w:hAnsi="Times New Roman" w:cs="Times New Roman"/>
          <w:sz w:val="24"/>
          <w:szCs w:val="24"/>
        </w:rPr>
        <w:t xml:space="preserve">its </w:t>
      </w:r>
      <w:r w:rsidR="00F61F8C" w:rsidRPr="00FF5206">
        <w:rPr>
          <w:rFonts w:ascii="Times New Roman" w:hAnsi="Times New Roman" w:cs="Times New Roman"/>
          <w:sz w:val="24"/>
          <w:szCs w:val="24"/>
        </w:rPr>
        <w:t xml:space="preserve">use to demonstrate a propensity on the part of D to sexually assault, or groom his younger sibling C. The misconduct forming the BCE is admitted merely as evidence of a proclivity towards specific offending behaviours rather than constituting a charge </w:t>
      </w:r>
      <w:r w:rsidR="00F61F8C" w:rsidRPr="00FF5206">
        <w:rPr>
          <w:rFonts w:ascii="Times New Roman" w:hAnsi="Times New Roman" w:cs="Times New Roman"/>
          <w:i/>
          <w:sz w:val="24"/>
          <w:szCs w:val="24"/>
        </w:rPr>
        <w:t>because</w:t>
      </w:r>
      <w:r w:rsidR="00F61F8C" w:rsidRPr="00FF5206">
        <w:rPr>
          <w:rFonts w:ascii="Times New Roman" w:hAnsi="Times New Roman" w:cs="Times New Roman"/>
          <w:sz w:val="24"/>
          <w:szCs w:val="24"/>
        </w:rPr>
        <w:t xml:space="preserve"> to make it a charge would have attracted the application of the</w:t>
      </w:r>
      <w:r w:rsidR="0095261F">
        <w:rPr>
          <w:rFonts w:ascii="Times New Roman" w:hAnsi="Times New Roman" w:cs="Times New Roman"/>
          <w:sz w:val="24"/>
          <w:szCs w:val="24"/>
        </w:rPr>
        <w:t xml:space="preserve"> presumption of</w:t>
      </w:r>
      <w:r w:rsidR="00F61F8C" w:rsidRPr="00FF5206">
        <w:rPr>
          <w:rFonts w:ascii="Times New Roman" w:hAnsi="Times New Roman" w:cs="Times New Roman"/>
          <w:sz w:val="24"/>
          <w:szCs w:val="24"/>
        </w:rPr>
        <w:t xml:space="preserve"> </w:t>
      </w:r>
      <w:r w:rsidR="00F61F8C" w:rsidRPr="00FF5206">
        <w:rPr>
          <w:rFonts w:ascii="Times New Roman" w:hAnsi="Times New Roman" w:cs="Times New Roman"/>
          <w:i/>
          <w:sz w:val="24"/>
          <w:szCs w:val="24"/>
        </w:rPr>
        <w:t>doli incapax</w:t>
      </w:r>
      <w:r w:rsidR="00F61F8C" w:rsidRPr="00FF5206">
        <w:rPr>
          <w:rFonts w:ascii="Times New Roman" w:hAnsi="Times New Roman" w:cs="Times New Roman"/>
          <w:sz w:val="24"/>
          <w:szCs w:val="24"/>
        </w:rPr>
        <w:t xml:space="preserve">. </w:t>
      </w:r>
      <w:r w:rsidR="00E66C41">
        <w:rPr>
          <w:rFonts w:ascii="Times New Roman" w:hAnsi="Times New Roman" w:cs="Times New Roman"/>
          <w:sz w:val="24"/>
          <w:szCs w:val="24"/>
        </w:rPr>
        <w:t>T</w:t>
      </w:r>
      <w:r w:rsidR="00F61F8C" w:rsidRPr="00FF5206">
        <w:rPr>
          <w:rFonts w:ascii="Times New Roman" w:hAnsi="Times New Roman" w:cs="Times New Roman"/>
          <w:sz w:val="24"/>
          <w:szCs w:val="24"/>
        </w:rPr>
        <w:t>o infer guilt, and deny the applicability of the</w:t>
      </w:r>
      <w:r w:rsidR="0095261F">
        <w:rPr>
          <w:rFonts w:ascii="Times New Roman" w:hAnsi="Times New Roman" w:cs="Times New Roman"/>
          <w:sz w:val="24"/>
          <w:szCs w:val="24"/>
        </w:rPr>
        <w:t xml:space="preserve"> presumption of</w:t>
      </w:r>
      <w:r w:rsidR="00F61F8C" w:rsidRPr="00FF5206">
        <w:rPr>
          <w:rFonts w:ascii="Times New Roman" w:hAnsi="Times New Roman" w:cs="Times New Roman"/>
          <w:sz w:val="24"/>
          <w:szCs w:val="24"/>
        </w:rPr>
        <w:t xml:space="preserve"> </w:t>
      </w:r>
      <w:r w:rsidR="00F61F8C" w:rsidRPr="00FF5206">
        <w:rPr>
          <w:rFonts w:ascii="Times New Roman" w:hAnsi="Times New Roman" w:cs="Times New Roman"/>
          <w:i/>
          <w:sz w:val="24"/>
          <w:szCs w:val="24"/>
        </w:rPr>
        <w:t xml:space="preserve">doli incapax </w:t>
      </w:r>
      <w:r w:rsidR="00F61F8C" w:rsidRPr="00FF5206">
        <w:rPr>
          <w:rFonts w:ascii="Times New Roman" w:hAnsi="Times New Roman" w:cs="Times New Roman"/>
          <w:sz w:val="24"/>
          <w:szCs w:val="24"/>
        </w:rPr>
        <w:t xml:space="preserve">on the basis of a lack of a direct charge </w:t>
      </w:r>
      <w:r w:rsidR="00907BBA">
        <w:rPr>
          <w:rFonts w:ascii="Times New Roman" w:hAnsi="Times New Roman" w:cs="Times New Roman"/>
          <w:sz w:val="24"/>
          <w:szCs w:val="24"/>
        </w:rPr>
        <w:t>demonstrates a harsh blindness to M’s status as a child when the behaviour occurred</w:t>
      </w:r>
      <w:r w:rsidR="00F61F8C" w:rsidRPr="00FF5206">
        <w:rPr>
          <w:rFonts w:ascii="Times New Roman" w:hAnsi="Times New Roman" w:cs="Times New Roman"/>
          <w:sz w:val="24"/>
          <w:szCs w:val="24"/>
        </w:rPr>
        <w:t>. The denial of</w:t>
      </w:r>
      <w:r w:rsidR="0095261F">
        <w:rPr>
          <w:rFonts w:ascii="Times New Roman" w:hAnsi="Times New Roman" w:cs="Times New Roman"/>
          <w:sz w:val="24"/>
          <w:szCs w:val="24"/>
        </w:rPr>
        <w:t xml:space="preserve"> the presumption of</w:t>
      </w:r>
      <w:r w:rsidR="00F61F8C" w:rsidRPr="00FF5206">
        <w:rPr>
          <w:rFonts w:ascii="Times New Roman" w:hAnsi="Times New Roman" w:cs="Times New Roman"/>
          <w:sz w:val="24"/>
          <w:szCs w:val="24"/>
        </w:rPr>
        <w:t xml:space="preserve"> </w:t>
      </w:r>
      <w:r w:rsidR="00F61F8C" w:rsidRPr="00FF5206">
        <w:rPr>
          <w:rFonts w:ascii="Times New Roman" w:hAnsi="Times New Roman" w:cs="Times New Roman"/>
          <w:i/>
          <w:sz w:val="24"/>
          <w:szCs w:val="24"/>
        </w:rPr>
        <w:t xml:space="preserve">doli incapax </w:t>
      </w:r>
      <w:r w:rsidR="00F61F8C" w:rsidRPr="00FF5206">
        <w:rPr>
          <w:rFonts w:ascii="Times New Roman" w:hAnsi="Times New Roman" w:cs="Times New Roman"/>
          <w:sz w:val="24"/>
          <w:szCs w:val="24"/>
        </w:rPr>
        <w:t xml:space="preserve">in </w:t>
      </w:r>
      <w:r w:rsidR="00F61F8C" w:rsidRPr="00FF5206">
        <w:rPr>
          <w:rFonts w:ascii="Times New Roman" w:hAnsi="Times New Roman" w:cs="Times New Roman"/>
          <w:i/>
          <w:sz w:val="24"/>
          <w:szCs w:val="24"/>
        </w:rPr>
        <w:t>M</w:t>
      </w:r>
      <w:r w:rsidR="00F61F8C" w:rsidRPr="00FF5206">
        <w:rPr>
          <w:rFonts w:ascii="Times New Roman" w:hAnsi="Times New Roman" w:cs="Times New Roman"/>
          <w:sz w:val="24"/>
          <w:szCs w:val="24"/>
        </w:rPr>
        <w:t>, when viewed in light of the above considerations, suggests that there may be an ongoing shift in emphasis; the courts are now less concerned with childhood capacity to offend and/or carry criminal responsibility and the importance is now squarely placed on the consistency of offending behaviours. This represents a worrying shift in focus from whether the defendant appreciated the wrongfulness of his conduct to whether this defendant is the kind of person that would, or is likely to, commit serious sexual offences.</w:t>
      </w:r>
      <w:r w:rsidR="007603E8">
        <w:rPr>
          <w:rFonts w:ascii="Times New Roman" w:hAnsi="Times New Roman" w:cs="Times New Roman"/>
          <w:sz w:val="24"/>
          <w:szCs w:val="24"/>
        </w:rPr>
        <w:t xml:space="preserve"> </w:t>
      </w:r>
    </w:p>
    <w:p w14:paraId="7BD9950D" w14:textId="04BD5A15" w:rsidR="00F61F8C" w:rsidRPr="00D9464D" w:rsidRDefault="00311871" w:rsidP="00D946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9464D">
        <w:rPr>
          <w:rFonts w:ascii="Times New Roman" w:hAnsi="Times New Roman" w:cs="Times New Roman"/>
          <w:sz w:val="24"/>
          <w:szCs w:val="24"/>
        </w:rPr>
        <w:t xml:space="preserve">he judgment in </w:t>
      </w:r>
      <w:r w:rsidR="00D9464D">
        <w:rPr>
          <w:rFonts w:ascii="Times New Roman" w:hAnsi="Times New Roman" w:cs="Times New Roman"/>
          <w:i/>
          <w:sz w:val="24"/>
          <w:szCs w:val="24"/>
        </w:rPr>
        <w:t xml:space="preserve">R v M </w:t>
      </w:r>
      <w:r>
        <w:rPr>
          <w:rFonts w:ascii="Times New Roman" w:hAnsi="Times New Roman" w:cs="Times New Roman"/>
          <w:sz w:val="24"/>
          <w:szCs w:val="24"/>
        </w:rPr>
        <w:t>is</w:t>
      </w:r>
      <w:r w:rsidR="00D9464D">
        <w:rPr>
          <w:rFonts w:ascii="Times New Roman" w:hAnsi="Times New Roman" w:cs="Times New Roman"/>
          <w:sz w:val="24"/>
          <w:szCs w:val="24"/>
        </w:rPr>
        <w:t xml:space="preserve"> needlessly divisive and encourage</w:t>
      </w:r>
      <w:r w:rsidR="00892437">
        <w:rPr>
          <w:rFonts w:ascii="Times New Roman" w:hAnsi="Times New Roman" w:cs="Times New Roman"/>
          <w:sz w:val="24"/>
          <w:szCs w:val="24"/>
        </w:rPr>
        <w:t>s</w:t>
      </w:r>
      <w:r w:rsidR="00D9464D">
        <w:rPr>
          <w:rFonts w:ascii="Times New Roman" w:hAnsi="Times New Roman" w:cs="Times New Roman"/>
          <w:sz w:val="24"/>
          <w:szCs w:val="24"/>
        </w:rPr>
        <w:t xml:space="preserve"> highly contestable judgments about individuality, identity, needs and welfare. Had the court in </w:t>
      </w:r>
      <w:r w:rsidR="00D9464D">
        <w:rPr>
          <w:rFonts w:ascii="Times New Roman" w:hAnsi="Times New Roman" w:cs="Times New Roman"/>
          <w:i/>
          <w:sz w:val="24"/>
          <w:szCs w:val="24"/>
        </w:rPr>
        <w:t xml:space="preserve">R v M </w:t>
      </w:r>
      <w:r w:rsidR="00D9464D">
        <w:rPr>
          <w:rFonts w:ascii="Times New Roman" w:hAnsi="Times New Roman" w:cs="Times New Roman"/>
          <w:sz w:val="24"/>
          <w:szCs w:val="24"/>
        </w:rPr>
        <w:t xml:space="preserve">required the prosecution to rebut the presumption of </w:t>
      </w:r>
      <w:r w:rsidR="00D9464D">
        <w:rPr>
          <w:rFonts w:ascii="Times New Roman" w:hAnsi="Times New Roman" w:cs="Times New Roman"/>
          <w:i/>
          <w:sz w:val="24"/>
          <w:szCs w:val="24"/>
        </w:rPr>
        <w:t xml:space="preserve">doli incapax </w:t>
      </w:r>
      <w:r w:rsidR="00D9464D" w:rsidRPr="00350ADA">
        <w:rPr>
          <w:rFonts w:ascii="Times New Roman" w:eastAsia="Times New Roman" w:hAnsi="Times New Roman" w:cs="Times New Roman"/>
          <w:sz w:val="24"/>
          <w:szCs w:val="24"/>
        </w:rPr>
        <w:t>t</w:t>
      </w:r>
      <w:r w:rsidR="00D9464D">
        <w:rPr>
          <w:rFonts w:ascii="Times New Roman" w:eastAsia="Times New Roman" w:hAnsi="Times New Roman" w:cs="Times New Roman"/>
          <w:sz w:val="24"/>
          <w:szCs w:val="24"/>
        </w:rPr>
        <w:t>his could potentially have created a space for the court t</w:t>
      </w:r>
      <w:r w:rsidR="00D9464D" w:rsidRPr="00350ADA">
        <w:rPr>
          <w:rFonts w:ascii="Times New Roman" w:eastAsia="Times New Roman" w:hAnsi="Times New Roman" w:cs="Times New Roman"/>
          <w:sz w:val="24"/>
          <w:szCs w:val="24"/>
        </w:rPr>
        <w:t>o</w:t>
      </w:r>
      <w:r w:rsidR="0008411A">
        <w:rPr>
          <w:rFonts w:ascii="Times New Roman" w:eastAsia="Times New Roman" w:hAnsi="Times New Roman" w:cs="Times New Roman"/>
          <w:sz w:val="24"/>
          <w:szCs w:val="24"/>
        </w:rPr>
        <w:t xml:space="preserve"> consider M’s developmental capacities</w:t>
      </w:r>
      <w:r w:rsidR="001E7687">
        <w:rPr>
          <w:rFonts w:ascii="Times New Roman" w:eastAsia="Times New Roman" w:hAnsi="Times New Roman" w:cs="Times New Roman"/>
          <w:sz w:val="24"/>
          <w:szCs w:val="24"/>
        </w:rPr>
        <w:t>, psychological development</w:t>
      </w:r>
      <w:r w:rsidR="00506502">
        <w:rPr>
          <w:rFonts w:ascii="Times New Roman" w:eastAsia="Times New Roman" w:hAnsi="Times New Roman" w:cs="Times New Roman"/>
          <w:sz w:val="24"/>
          <w:szCs w:val="24"/>
        </w:rPr>
        <w:t>,</w:t>
      </w:r>
      <w:r w:rsidR="0008411A">
        <w:rPr>
          <w:rFonts w:ascii="Times New Roman" w:eastAsia="Times New Roman" w:hAnsi="Times New Roman" w:cs="Times New Roman"/>
          <w:sz w:val="24"/>
          <w:szCs w:val="24"/>
        </w:rPr>
        <w:t xml:space="preserve"> maturation</w:t>
      </w:r>
      <w:r w:rsidR="00506502">
        <w:rPr>
          <w:rFonts w:ascii="Times New Roman" w:eastAsia="Times New Roman" w:hAnsi="Times New Roman" w:cs="Times New Roman"/>
          <w:sz w:val="24"/>
          <w:szCs w:val="24"/>
        </w:rPr>
        <w:t>, understanding and judgment</w:t>
      </w:r>
      <w:r w:rsidR="0008411A">
        <w:rPr>
          <w:rFonts w:ascii="Times New Roman" w:eastAsia="Times New Roman" w:hAnsi="Times New Roman" w:cs="Times New Roman"/>
          <w:sz w:val="24"/>
          <w:szCs w:val="24"/>
        </w:rPr>
        <w:t xml:space="preserve"> at the time of the alleged behaviour and</w:t>
      </w:r>
      <w:r w:rsidR="00D9464D" w:rsidRPr="00350ADA">
        <w:rPr>
          <w:rFonts w:ascii="Times New Roman" w:eastAsia="Times New Roman" w:hAnsi="Times New Roman" w:cs="Times New Roman"/>
          <w:sz w:val="24"/>
          <w:szCs w:val="24"/>
        </w:rPr>
        <w:t xml:space="preserve"> locate the behavioural repertoires of </w:t>
      </w:r>
      <w:r w:rsidR="00282F27">
        <w:rPr>
          <w:rFonts w:ascii="Times New Roman" w:eastAsia="Times New Roman" w:hAnsi="Times New Roman" w:cs="Times New Roman"/>
          <w:sz w:val="24"/>
          <w:szCs w:val="24"/>
        </w:rPr>
        <w:t>M</w:t>
      </w:r>
      <w:r w:rsidR="00D9464D" w:rsidRPr="00350ADA">
        <w:rPr>
          <w:rFonts w:ascii="Times New Roman" w:eastAsia="Times New Roman" w:hAnsi="Times New Roman" w:cs="Times New Roman"/>
          <w:sz w:val="24"/>
          <w:szCs w:val="24"/>
        </w:rPr>
        <w:t xml:space="preserve"> within a holistic socio-economic </w:t>
      </w:r>
      <w:r w:rsidR="00D9464D">
        <w:rPr>
          <w:rFonts w:ascii="Times New Roman" w:eastAsia="Times New Roman" w:hAnsi="Times New Roman" w:cs="Times New Roman"/>
          <w:sz w:val="24"/>
          <w:szCs w:val="24"/>
        </w:rPr>
        <w:t xml:space="preserve">and familial </w:t>
      </w:r>
      <w:r w:rsidR="00D9464D" w:rsidRPr="00350ADA">
        <w:rPr>
          <w:rFonts w:ascii="Times New Roman" w:eastAsia="Times New Roman" w:hAnsi="Times New Roman" w:cs="Times New Roman"/>
          <w:sz w:val="24"/>
          <w:szCs w:val="24"/>
        </w:rPr>
        <w:t>context.</w:t>
      </w:r>
      <w:r w:rsidR="00D9464D">
        <w:rPr>
          <w:rFonts w:ascii="Times New Roman" w:hAnsi="Times New Roman" w:cs="Times New Roman"/>
          <w:sz w:val="24"/>
          <w:szCs w:val="24"/>
        </w:rPr>
        <w:t xml:space="preserve"> </w:t>
      </w:r>
      <w:r w:rsidR="00D9464D" w:rsidRPr="00350ADA">
        <w:rPr>
          <w:rFonts w:ascii="Times New Roman" w:hAnsi="Times New Roman" w:cs="Times New Roman"/>
          <w:sz w:val="24"/>
          <w:szCs w:val="24"/>
        </w:rPr>
        <w:t xml:space="preserve">Emphasising such </w:t>
      </w:r>
      <w:r w:rsidR="00D9464D" w:rsidRPr="00350ADA">
        <w:rPr>
          <w:rFonts w:ascii="Times New Roman" w:hAnsi="Times New Roman" w:cs="Times New Roman"/>
          <w:iCs/>
          <w:sz w:val="24"/>
          <w:szCs w:val="24"/>
        </w:rPr>
        <w:t xml:space="preserve">an individualised focus </w:t>
      </w:r>
      <w:r w:rsidR="00D9464D" w:rsidRPr="00350ADA">
        <w:rPr>
          <w:rFonts w:ascii="Times New Roman" w:hAnsi="Times New Roman" w:cs="Times New Roman"/>
          <w:sz w:val="24"/>
          <w:szCs w:val="24"/>
        </w:rPr>
        <w:t>on the child’s needs may plausibly result in uncertain and unclear outcomes and disproportionate and</w:t>
      </w:r>
      <w:r w:rsidR="00D9464D" w:rsidRPr="00350ADA">
        <w:rPr>
          <w:rFonts w:ascii="Times New Roman" w:hAnsi="Times New Roman" w:cs="Times New Roman"/>
          <w:iCs/>
          <w:sz w:val="24"/>
          <w:szCs w:val="24"/>
        </w:rPr>
        <w:t xml:space="preserve"> indeterminate treatments, in circumstances where if an adult had committed the offences they would have been treated more leniently.</w:t>
      </w:r>
      <w:r w:rsidR="00D9464D">
        <w:rPr>
          <w:rFonts w:ascii="Times New Roman" w:hAnsi="Times New Roman" w:cs="Times New Roman"/>
          <w:sz w:val="24"/>
          <w:szCs w:val="24"/>
        </w:rPr>
        <w:t xml:space="preserve"> </w:t>
      </w:r>
      <w:r w:rsidR="00282F27">
        <w:rPr>
          <w:rFonts w:ascii="Times New Roman" w:hAnsi="Times New Roman" w:cs="Times New Roman"/>
          <w:sz w:val="24"/>
          <w:szCs w:val="24"/>
        </w:rPr>
        <w:t xml:space="preserve">However </w:t>
      </w:r>
      <w:r w:rsidR="00561BDC">
        <w:rPr>
          <w:rFonts w:ascii="Times New Roman" w:hAnsi="Times New Roman" w:cs="Times New Roman"/>
          <w:sz w:val="24"/>
          <w:szCs w:val="24"/>
        </w:rPr>
        <w:t xml:space="preserve">the presumption also </w:t>
      </w:r>
      <w:r w:rsidR="00F61F8C" w:rsidRPr="00907BBA">
        <w:rPr>
          <w:rFonts w:ascii="Times New Roman" w:hAnsi="Times New Roman" w:cs="Times New Roman"/>
          <w:sz w:val="24"/>
          <w:szCs w:val="24"/>
        </w:rPr>
        <w:t>underlines the importance of treating young people, including adolescent sex offenders, in developmentally sensitive ways and the need to focus on young people’s sexual development and sexual histories and their broad experiences of sex and sexuality, abusive and nonabusive, in order to understand their overall sexual motivations, rather than an approach which focuses primarily on the ‘offence’</w:t>
      </w:r>
      <w:r w:rsidR="003378F4">
        <w:rPr>
          <w:rFonts w:ascii="Times New Roman" w:hAnsi="Times New Roman" w:cs="Times New Roman"/>
          <w:sz w:val="24"/>
          <w:szCs w:val="24"/>
        </w:rPr>
        <w:t>.</w:t>
      </w:r>
      <w:r w:rsidR="003378F4" w:rsidRPr="006E1CD3">
        <w:rPr>
          <w:rStyle w:val="FootnoteReference"/>
          <w:rFonts w:ascii="Times New Roman" w:hAnsi="Times New Roman" w:cs="Times New Roman"/>
        </w:rPr>
        <w:footnoteReference w:id="123"/>
      </w:r>
      <w:r w:rsidR="00E14512">
        <w:rPr>
          <w:rFonts w:ascii="Times New Roman" w:hAnsi="Times New Roman" w:cs="Times New Roman"/>
          <w:sz w:val="24"/>
          <w:szCs w:val="24"/>
        </w:rPr>
        <w:t xml:space="preserve"> </w:t>
      </w:r>
      <w:r w:rsidR="00F61F8C" w:rsidRPr="00907BBA">
        <w:rPr>
          <w:rStyle w:val="CommentReference"/>
          <w:rFonts w:ascii="Times New Roman" w:hAnsi="Times New Roman" w:cs="Times New Roman"/>
          <w:sz w:val="24"/>
          <w:szCs w:val="24"/>
        </w:rPr>
        <w:t>It must be acknowledged that t</w:t>
      </w:r>
      <w:r w:rsidR="00F61F8C" w:rsidRPr="00907BBA">
        <w:rPr>
          <w:rFonts w:ascii="Times New Roman" w:hAnsi="Times New Roman" w:cs="Times New Roman"/>
          <w:sz w:val="24"/>
          <w:szCs w:val="24"/>
        </w:rPr>
        <w:t>he complexities surrounding work with young sexual abusers have yet to be fully understood within the broader contextual frameworks relating to the nature of childhood and childhood sexuality</w:t>
      </w:r>
      <w:r w:rsidR="003378F4">
        <w:rPr>
          <w:rFonts w:ascii="Times New Roman" w:hAnsi="Times New Roman" w:cs="Times New Roman"/>
          <w:sz w:val="24"/>
          <w:szCs w:val="24"/>
        </w:rPr>
        <w:t>.</w:t>
      </w:r>
      <w:r w:rsidR="003378F4" w:rsidRPr="006E1CD3">
        <w:rPr>
          <w:rStyle w:val="FootnoteReference"/>
          <w:rFonts w:ascii="Times New Roman" w:hAnsi="Times New Roman" w:cs="Times New Roman"/>
          <w:sz w:val="24"/>
          <w:szCs w:val="24"/>
        </w:rPr>
        <w:footnoteReference w:id="124"/>
      </w:r>
      <w:r w:rsidR="003378F4" w:rsidRPr="006E1CD3">
        <w:rPr>
          <w:rFonts w:ascii="Times New Roman" w:hAnsi="Times New Roman" w:cs="Times New Roman"/>
          <w:sz w:val="24"/>
          <w:szCs w:val="24"/>
        </w:rPr>
        <w:t xml:space="preserve"> </w:t>
      </w:r>
      <w:r w:rsidR="00F61F8C" w:rsidRPr="00907BBA">
        <w:rPr>
          <w:rFonts w:ascii="Times New Roman" w:hAnsi="Times New Roman" w:cs="Times New Roman"/>
          <w:sz w:val="24"/>
          <w:szCs w:val="24"/>
        </w:rPr>
        <w:t xml:space="preserve">Hackett </w:t>
      </w:r>
      <w:r w:rsidR="00F61F8C" w:rsidRPr="00907BBA">
        <w:rPr>
          <w:rFonts w:ascii="Times New Roman" w:hAnsi="Times New Roman" w:cs="Times New Roman"/>
          <w:i/>
          <w:sz w:val="24"/>
          <w:szCs w:val="24"/>
        </w:rPr>
        <w:t>et al.</w:t>
      </w:r>
      <w:r w:rsidR="00F61F8C" w:rsidRPr="00907BBA">
        <w:rPr>
          <w:rFonts w:ascii="Times New Roman" w:hAnsi="Times New Roman" w:cs="Times New Roman"/>
          <w:sz w:val="24"/>
          <w:szCs w:val="24"/>
        </w:rPr>
        <w:t>’s UK wide study of experienced practitioners in the field who were asked about the principles and goals of working with young people displaying sexually harmful or abusive behaviour, found high levels of respondent agreement that children and young people who display sexually harmful or abusive behaviour are children first and should not be regarded as mini adult sex offenders</w:t>
      </w:r>
      <w:r w:rsidR="00DD69EA">
        <w:rPr>
          <w:rFonts w:ascii="Times New Roman" w:hAnsi="Times New Roman" w:cs="Times New Roman"/>
          <w:sz w:val="24"/>
          <w:szCs w:val="24"/>
        </w:rPr>
        <w:t>.</w:t>
      </w:r>
      <w:r w:rsidR="00DD69EA" w:rsidRPr="006E1CD3">
        <w:rPr>
          <w:rStyle w:val="FootnoteReference"/>
          <w:rFonts w:ascii="Times New Roman" w:hAnsi="Times New Roman" w:cs="Times New Roman"/>
        </w:rPr>
        <w:footnoteReference w:id="125"/>
      </w:r>
      <w:r w:rsidR="00F61F8C" w:rsidRPr="00907BBA">
        <w:rPr>
          <w:rStyle w:val="FootnoteReference"/>
          <w:rFonts w:ascii="Times New Roman" w:hAnsi="Times New Roman" w:cs="Times New Roman"/>
        </w:rPr>
        <w:t xml:space="preserve"> </w:t>
      </w:r>
      <w:r w:rsidR="00F61F8C" w:rsidRPr="00907BBA">
        <w:rPr>
          <w:rFonts w:ascii="Times New Roman" w:hAnsi="Times New Roman" w:cs="Times New Roman"/>
          <w:sz w:val="24"/>
          <w:szCs w:val="24"/>
        </w:rPr>
        <w:t>The practitioners recommended that the goal should be for carers to acknowledge what their child has done, believe in and support change and to take on responsibility for changing the context of the family.</w:t>
      </w:r>
      <w:r w:rsidR="00F61F8C" w:rsidRPr="00B20774">
        <w:rPr>
          <w:rFonts w:ascii="Times New Roman" w:hAnsi="Times New Roman" w:cs="Times New Roman"/>
          <w:sz w:val="24"/>
          <w:szCs w:val="24"/>
        </w:rPr>
        <w:t xml:space="preserve"> </w:t>
      </w:r>
    </w:p>
    <w:p w14:paraId="65380D08" w14:textId="77777777" w:rsidR="00F61F8C" w:rsidRDefault="00F61F8C" w:rsidP="00F45B0B">
      <w:pPr>
        <w:spacing w:after="0" w:line="480" w:lineRule="auto"/>
        <w:jc w:val="both"/>
        <w:rPr>
          <w:rFonts w:ascii="Times New Roman" w:hAnsi="Times New Roman" w:cs="Times New Roman"/>
          <w:b/>
          <w:sz w:val="24"/>
          <w:szCs w:val="24"/>
        </w:rPr>
      </w:pPr>
    </w:p>
    <w:p w14:paraId="3258C8BE" w14:textId="77777777" w:rsidR="00F45B0B" w:rsidRPr="00F61F8C" w:rsidRDefault="00F45B0B" w:rsidP="00B00467">
      <w:pPr>
        <w:spacing w:after="0" w:line="480" w:lineRule="auto"/>
        <w:jc w:val="both"/>
        <w:outlineLvl w:val="0"/>
        <w:rPr>
          <w:rFonts w:ascii="Times New Roman" w:hAnsi="Times New Roman" w:cs="Times New Roman"/>
          <w:b/>
          <w:sz w:val="24"/>
          <w:szCs w:val="24"/>
        </w:rPr>
      </w:pPr>
      <w:r w:rsidRPr="00350ADA">
        <w:rPr>
          <w:rFonts w:ascii="Times New Roman" w:hAnsi="Times New Roman" w:cs="Times New Roman"/>
          <w:b/>
          <w:sz w:val="24"/>
          <w:szCs w:val="24"/>
        </w:rPr>
        <w:t>Conclusion</w:t>
      </w:r>
    </w:p>
    <w:p w14:paraId="6D980CC6" w14:textId="4B55B92D" w:rsidR="00D91695" w:rsidRDefault="00F45B0B" w:rsidP="00433EA9">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T</w:t>
      </w:r>
      <w:r w:rsidRPr="00231C91">
        <w:rPr>
          <w:rFonts w:ascii="Times New Roman" w:eastAsiaTheme="minorEastAsia" w:hAnsi="Times New Roman" w:cs="Times New Roman"/>
          <w:sz w:val="24"/>
          <w:szCs w:val="24"/>
          <w:lang w:eastAsia="zh-CN"/>
        </w:rPr>
        <w:t>he law must protect any victim who does not consent to sexual activity</w:t>
      </w:r>
      <w:r>
        <w:rPr>
          <w:rFonts w:ascii="Times New Roman" w:eastAsiaTheme="minorEastAsia" w:hAnsi="Times New Roman" w:cs="Times New Roman"/>
          <w:sz w:val="24"/>
          <w:szCs w:val="24"/>
          <w:lang w:eastAsia="zh-CN"/>
        </w:rPr>
        <w:t xml:space="preserve"> and </w:t>
      </w:r>
      <w:r w:rsidRPr="00231C91">
        <w:rPr>
          <w:rFonts w:ascii="Times New Roman" w:eastAsiaTheme="minorEastAsia" w:hAnsi="Times New Roman" w:cs="Times New Roman"/>
          <w:sz w:val="24"/>
          <w:szCs w:val="24"/>
          <w:lang w:eastAsia="zh-CN"/>
        </w:rPr>
        <w:t>children as young as the victim</w:t>
      </w:r>
      <w:r>
        <w:rPr>
          <w:rFonts w:ascii="Times New Roman" w:eastAsiaTheme="minorEastAsia" w:hAnsi="Times New Roman" w:cs="Times New Roman"/>
          <w:sz w:val="24"/>
          <w:szCs w:val="24"/>
          <w:lang w:eastAsia="zh-CN"/>
        </w:rPr>
        <w:t xml:space="preserve"> </w:t>
      </w:r>
      <w:r w:rsidRPr="00231C91">
        <w:rPr>
          <w:rFonts w:ascii="Times New Roman" w:eastAsiaTheme="minorEastAsia" w:hAnsi="Times New Roman" w:cs="Times New Roman"/>
          <w:sz w:val="24"/>
          <w:szCs w:val="24"/>
          <w:lang w:eastAsia="zh-CN"/>
        </w:rPr>
        <w:t xml:space="preserve">in this case </w:t>
      </w:r>
      <w:r>
        <w:rPr>
          <w:rFonts w:ascii="Times New Roman" w:eastAsiaTheme="minorEastAsia" w:hAnsi="Times New Roman" w:cs="Times New Roman"/>
          <w:sz w:val="24"/>
          <w:szCs w:val="24"/>
          <w:lang w:eastAsia="zh-CN"/>
        </w:rPr>
        <w:t>who do not</w:t>
      </w:r>
      <w:r w:rsidRPr="00231C91">
        <w:rPr>
          <w:rFonts w:ascii="Times New Roman" w:eastAsiaTheme="minorEastAsia" w:hAnsi="Times New Roman" w:cs="Times New Roman"/>
          <w:sz w:val="24"/>
          <w:szCs w:val="24"/>
          <w:lang w:eastAsia="zh-CN"/>
        </w:rPr>
        <w:t xml:space="preserve"> have the capacity to consent. </w:t>
      </w:r>
      <w:r>
        <w:rPr>
          <w:rFonts w:ascii="Times New Roman" w:eastAsiaTheme="minorEastAsia" w:hAnsi="Times New Roman" w:cs="Times New Roman"/>
          <w:sz w:val="24"/>
          <w:szCs w:val="24"/>
          <w:lang w:eastAsia="zh-CN"/>
        </w:rPr>
        <w:t>Yet this case forces the court to think about childhood, sexuality and how children are held to account for their behaviour.</w:t>
      </w:r>
      <w:r w:rsidRPr="00780522">
        <w:rPr>
          <w:rFonts w:ascii="Times New Roman" w:hAnsi="Times New Roman" w:cs="Times New Roman"/>
          <w:sz w:val="24"/>
          <w:szCs w:val="24"/>
        </w:rPr>
        <w:t xml:space="preserve"> </w:t>
      </w:r>
      <w:r>
        <w:rPr>
          <w:rFonts w:ascii="Times New Roman" w:hAnsi="Times New Roman" w:cs="Times New Roman"/>
          <w:sz w:val="24"/>
          <w:szCs w:val="24"/>
        </w:rPr>
        <w:t xml:space="preserve">The misconduct forming the BCE </w:t>
      </w:r>
      <w:r w:rsidR="00D91695">
        <w:rPr>
          <w:rFonts w:ascii="Times New Roman" w:eastAsia="Times New Roman" w:hAnsi="Times New Roman" w:cs="Times New Roman"/>
          <w:sz w:val="24"/>
          <w:szCs w:val="24"/>
        </w:rPr>
        <w:t xml:space="preserve">in </w:t>
      </w:r>
      <w:r w:rsidR="00D91695" w:rsidRPr="00780522">
        <w:rPr>
          <w:rFonts w:ascii="Times New Roman" w:hAnsi="Times New Roman" w:cs="Times New Roman"/>
          <w:i/>
          <w:sz w:val="24"/>
          <w:szCs w:val="24"/>
        </w:rPr>
        <w:t xml:space="preserve">R v </w:t>
      </w:r>
      <w:r w:rsidR="00D91695">
        <w:rPr>
          <w:rFonts w:ascii="Times New Roman" w:hAnsi="Times New Roman" w:cs="Times New Roman"/>
          <w:i/>
          <w:sz w:val="24"/>
          <w:szCs w:val="24"/>
        </w:rPr>
        <w:t>M</w:t>
      </w:r>
      <w:r w:rsidR="00D91695">
        <w:rPr>
          <w:rFonts w:ascii="Times New Roman" w:hAnsi="Times New Roman" w:cs="Times New Roman"/>
          <w:sz w:val="24"/>
          <w:szCs w:val="24"/>
        </w:rPr>
        <w:t xml:space="preserve"> </w:t>
      </w:r>
      <w:r>
        <w:rPr>
          <w:rFonts w:ascii="Times New Roman" w:hAnsi="Times New Roman" w:cs="Times New Roman"/>
          <w:sz w:val="24"/>
          <w:szCs w:val="24"/>
        </w:rPr>
        <w:t xml:space="preserve">is admitted merely as evidence of a proclivity towards specific offending behaviours rather than constituting a charge </w:t>
      </w:r>
      <w:r>
        <w:rPr>
          <w:rFonts w:ascii="Times New Roman" w:hAnsi="Times New Roman" w:cs="Times New Roman"/>
          <w:i/>
          <w:sz w:val="24"/>
          <w:szCs w:val="24"/>
        </w:rPr>
        <w:t>because</w:t>
      </w:r>
      <w:r>
        <w:rPr>
          <w:rFonts w:ascii="Times New Roman" w:hAnsi="Times New Roman" w:cs="Times New Roman"/>
          <w:sz w:val="24"/>
          <w:szCs w:val="24"/>
        </w:rPr>
        <w:t xml:space="preserve"> to make it a charge would have attracted the application of the</w:t>
      </w:r>
      <w:r w:rsidR="0095261F">
        <w:rPr>
          <w:rFonts w:ascii="Times New Roman" w:hAnsi="Times New Roman" w:cs="Times New Roman"/>
          <w:sz w:val="24"/>
          <w:szCs w:val="24"/>
        </w:rPr>
        <w:t xml:space="preserve"> presumption of</w:t>
      </w:r>
      <w:r>
        <w:rPr>
          <w:rFonts w:ascii="Times New Roman" w:hAnsi="Times New Roman" w:cs="Times New Roman"/>
          <w:sz w:val="24"/>
          <w:szCs w:val="24"/>
        </w:rPr>
        <w:t xml:space="preserve"> </w:t>
      </w:r>
      <w:r>
        <w:rPr>
          <w:rFonts w:ascii="Times New Roman" w:hAnsi="Times New Roman" w:cs="Times New Roman"/>
          <w:i/>
          <w:sz w:val="24"/>
          <w:szCs w:val="24"/>
        </w:rPr>
        <w:t>doli incapax</w:t>
      </w:r>
      <w:r>
        <w:rPr>
          <w:rFonts w:ascii="Times New Roman" w:hAnsi="Times New Roman" w:cs="Times New Roman"/>
          <w:sz w:val="24"/>
          <w:szCs w:val="24"/>
        </w:rPr>
        <w:t xml:space="preserve">. </w:t>
      </w:r>
      <w:r w:rsidR="00D91695">
        <w:rPr>
          <w:rFonts w:ascii="Times New Roman" w:hAnsi="Times New Roman" w:cs="Times New Roman"/>
          <w:sz w:val="24"/>
          <w:szCs w:val="24"/>
        </w:rPr>
        <w:t xml:space="preserve">Had the prosecution been required to rebut the presumption of </w:t>
      </w:r>
      <w:r w:rsidR="00D91695">
        <w:rPr>
          <w:rFonts w:ascii="Times New Roman" w:hAnsi="Times New Roman" w:cs="Times New Roman"/>
          <w:i/>
          <w:sz w:val="24"/>
          <w:szCs w:val="24"/>
        </w:rPr>
        <w:t xml:space="preserve">doli incapax </w:t>
      </w:r>
      <w:r w:rsidR="00D91695">
        <w:rPr>
          <w:rFonts w:ascii="Times New Roman" w:hAnsi="Times New Roman" w:cs="Times New Roman"/>
          <w:sz w:val="24"/>
          <w:szCs w:val="24"/>
        </w:rPr>
        <w:t xml:space="preserve">in this case, it may very well have not altered the outcome. </w:t>
      </w:r>
      <w:r w:rsidR="00561BDC">
        <w:rPr>
          <w:rFonts w:ascii="Times New Roman" w:hAnsi="Times New Roman" w:cs="Times New Roman"/>
          <w:sz w:val="24"/>
          <w:szCs w:val="24"/>
        </w:rPr>
        <w:t xml:space="preserve">However </w:t>
      </w:r>
      <w:r w:rsidR="00724D76">
        <w:rPr>
          <w:rFonts w:ascii="Times New Roman" w:hAnsi="Times New Roman" w:cs="Times New Roman"/>
          <w:sz w:val="24"/>
          <w:szCs w:val="24"/>
        </w:rPr>
        <w:t>as Gelsthorpe and Morris stated ‘the importance of the presumption lay in its symbolism: it was a statement about the nature of childhood, the vulnerability of children and the appropriateness of criminal justice sanctions for children.’</w:t>
      </w:r>
      <w:r w:rsidR="00724D76">
        <w:rPr>
          <w:rStyle w:val="FootnoteReference"/>
          <w:rFonts w:ascii="Times New Roman" w:hAnsi="Times New Roman" w:cs="Times New Roman"/>
          <w:sz w:val="24"/>
          <w:szCs w:val="24"/>
        </w:rPr>
        <w:footnoteReference w:id="126"/>
      </w:r>
      <w:r w:rsidR="00724D76">
        <w:rPr>
          <w:rFonts w:ascii="Times New Roman" w:hAnsi="Times New Roman" w:cs="Times New Roman"/>
          <w:sz w:val="24"/>
          <w:szCs w:val="24"/>
        </w:rPr>
        <w:t xml:space="preserve"> Had the prosecution in </w:t>
      </w:r>
      <w:r w:rsidR="00724D76">
        <w:rPr>
          <w:rFonts w:ascii="Times New Roman" w:hAnsi="Times New Roman" w:cs="Times New Roman"/>
          <w:i/>
          <w:sz w:val="24"/>
          <w:szCs w:val="24"/>
        </w:rPr>
        <w:t xml:space="preserve">M </w:t>
      </w:r>
      <w:r w:rsidR="00724D76">
        <w:rPr>
          <w:rFonts w:ascii="Times New Roman" w:hAnsi="Times New Roman" w:cs="Times New Roman"/>
          <w:sz w:val="24"/>
          <w:szCs w:val="24"/>
        </w:rPr>
        <w:t xml:space="preserve">been required to rebut </w:t>
      </w:r>
      <w:r w:rsidR="00DF793A" w:rsidRPr="00DF793A">
        <w:rPr>
          <w:rFonts w:ascii="Times New Roman" w:hAnsi="Times New Roman" w:cs="Times New Roman"/>
          <w:sz w:val="24"/>
          <w:szCs w:val="24"/>
        </w:rPr>
        <w:t xml:space="preserve">the presumption of </w:t>
      </w:r>
      <w:r w:rsidR="00DF793A" w:rsidRPr="00DF793A">
        <w:rPr>
          <w:rFonts w:ascii="Times New Roman" w:hAnsi="Times New Roman" w:cs="Times New Roman"/>
          <w:i/>
          <w:sz w:val="24"/>
          <w:szCs w:val="24"/>
        </w:rPr>
        <w:t>doli incapax</w:t>
      </w:r>
      <w:r w:rsidR="00724D76">
        <w:rPr>
          <w:rFonts w:ascii="Times New Roman" w:hAnsi="Times New Roman" w:cs="Times New Roman"/>
          <w:sz w:val="24"/>
          <w:szCs w:val="24"/>
        </w:rPr>
        <w:t xml:space="preserve">, this may have allowed the court to </w:t>
      </w:r>
      <w:r w:rsidR="00DF793A">
        <w:rPr>
          <w:rFonts w:ascii="Times New Roman" w:hAnsi="Times New Roman" w:cs="Times New Roman"/>
          <w:sz w:val="24"/>
          <w:szCs w:val="24"/>
        </w:rPr>
        <w:t>‘</w:t>
      </w:r>
      <w:r w:rsidR="00DF793A" w:rsidRPr="00DF793A">
        <w:rPr>
          <w:rFonts w:ascii="Times New Roman" w:hAnsi="Times New Roman" w:cs="Times New Roman"/>
          <w:sz w:val="24"/>
          <w:szCs w:val="24"/>
        </w:rPr>
        <w:t>focus on individual capacity and the development of understanding, rather than an arbitrary measure of chronological age</w:t>
      </w:r>
      <w:r w:rsidR="00DF793A">
        <w:rPr>
          <w:rFonts w:ascii="Times New Roman" w:hAnsi="Times New Roman" w:cs="Times New Roman"/>
          <w:sz w:val="24"/>
          <w:szCs w:val="24"/>
        </w:rPr>
        <w:t>’</w:t>
      </w:r>
      <w:r w:rsidR="00DF793A" w:rsidRPr="00DF793A">
        <w:rPr>
          <w:rFonts w:ascii="Times New Roman" w:hAnsi="Times New Roman" w:cs="Times New Roman"/>
          <w:sz w:val="24"/>
          <w:szCs w:val="24"/>
        </w:rPr>
        <w:t>.</w:t>
      </w:r>
      <w:r w:rsidR="00DF793A" w:rsidRPr="00DF793A">
        <w:rPr>
          <w:rStyle w:val="FootnoteReference"/>
          <w:rFonts w:ascii="Times New Roman" w:hAnsi="Times New Roman" w:cs="Times New Roman"/>
          <w:sz w:val="24"/>
          <w:szCs w:val="24"/>
        </w:rPr>
        <w:footnoteReference w:id="127"/>
      </w:r>
      <w:r w:rsidR="00DF793A" w:rsidRPr="00DF793A">
        <w:rPr>
          <w:rFonts w:ascii="Times New Roman" w:hAnsi="Times New Roman" w:cs="Times New Roman"/>
          <w:sz w:val="24"/>
          <w:szCs w:val="24"/>
        </w:rPr>
        <w:t xml:space="preserve"> </w:t>
      </w:r>
      <w:r w:rsidR="00830BE2">
        <w:rPr>
          <w:rFonts w:ascii="Times New Roman" w:hAnsi="Times New Roman" w:cs="Times New Roman"/>
          <w:sz w:val="24"/>
          <w:szCs w:val="24"/>
        </w:rPr>
        <w:t>The presumption</w:t>
      </w:r>
      <w:r w:rsidR="00D91695">
        <w:rPr>
          <w:rFonts w:ascii="Times New Roman" w:hAnsi="Times New Roman" w:cs="Times New Roman"/>
          <w:sz w:val="24"/>
          <w:szCs w:val="24"/>
        </w:rPr>
        <w:t xml:space="preserve"> would have </w:t>
      </w:r>
      <w:r w:rsidR="00DF793A">
        <w:rPr>
          <w:rFonts w:ascii="Times New Roman" w:hAnsi="Times New Roman" w:cs="Times New Roman"/>
          <w:sz w:val="24"/>
          <w:szCs w:val="24"/>
        </w:rPr>
        <w:t xml:space="preserve">ensured that criminal liability could only be imposed after </w:t>
      </w:r>
      <w:r w:rsidR="00830BE2">
        <w:rPr>
          <w:rFonts w:ascii="Times New Roman" w:hAnsi="Times New Roman" w:cs="Times New Roman"/>
          <w:sz w:val="24"/>
          <w:szCs w:val="24"/>
        </w:rPr>
        <w:t xml:space="preserve">some </w:t>
      </w:r>
      <w:r w:rsidR="00DF793A" w:rsidRPr="00573AE1">
        <w:rPr>
          <w:rFonts w:ascii="Times New Roman" w:hAnsi="Times New Roman" w:cs="Times New Roman"/>
          <w:sz w:val="24"/>
          <w:szCs w:val="24"/>
        </w:rPr>
        <w:t>assessment of the mental capacity, competence</w:t>
      </w:r>
      <w:r w:rsidR="00830BE2">
        <w:rPr>
          <w:rFonts w:ascii="Times New Roman" w:hAnsi="Times New Roman" w:cs="Times New Roman"/>
          <w:sz w:val="24"/>
          <w:szCs w:val="24"/>
        </w:rPr>
        <w:t>,</w:t>
      </w:r>
      <w:r w:rsidR="00DF793A" w:rsidRPr="00573AE1">
        <w:rPr>
          <w:rFonts w:ascii="Times New Roman" w:hAnsi="Times New Roman" w:cs="Times New Roman"/>
          <w:sz w:val="24"/>
          <w:szCs w:val="24"/>
        </w:rPr>
        <w:t xml:space="preserve"> </w:t>
      </w:r>
      <w:r w:rsidR="00830BE2">
        <w:rPr>
          <w:rFonts w:ascii="Times New Roman" w:eastAsia="Times New Roman" w:hAnsi="Times New Roman" w:cs="Times New Roman"/>
          <w:sz w:val="24"/>
          <w:szCs w:val="24"/>
        </w:rPr>
        <w:t xml:space="preserve">autonomy </w:t>
      </w:r>
      <w:r w:rsidR="00DF793A" w:rsidRPr="00573AE1">
        <w:rPr>
          <w:rFonts w:ascii="Times New Roman" w:hAnsi="Times New Roman" w:cs="Times New Roman"/>
          <w:sz w:val="24"/>
          <w:szCs w:val="24"/>
        </w:rPr>
        <w:t xml:space="preserve">and maturity of </w:t>
      </w:r>
      <w:r w:rsidR="00DF793A">
        <w:rPr>
          <w:rFonts w:ascii="Times New Roman" w:hAnsi="Times New Roman" w:cs="Times New Roman"/>
          <w:sz w:val="24"/>
          <w:szCs w:val="24"/>
        </w:rPr>
        <w:t xml:space="preserve">the child to prove that the </w:t>
      </w:r>
      <w:r w:rsidR="00D91695" w:rsidRPr="00CA6FEB">
        <w:rPr>
          <w:rFonts w:ascii="Times New Roman" w:hAnsi="Times New Roman" w:cs="Times New Roman"/>
          <w:sz w:val="24"/>
          <w:szCs w:val="24"/>
        </w:rPr>
        <w:t xml:space="preserve">child knew that what they were doing was seriously wrong </w:t>
      </w:r>
      <w:r w:rsidR="00830BE2" w:rsidRPr="00CA6FEB">
        <w:rPr>
          <w:rFonts w:ascii="Times New Roman" w:hAnsi="Times New Roman" w:cs="Times New Roman"/>
          <w:sz w:val="24"/>
          <w:szCs w:val="24"/>
        </w:rPr>
        <w:t>as opposed to being merely mischievous or naughty</w:t>
      </w:r>
      <w:r w:rsidR="00830BE2">
        <w:rPr>
          <w:rFonts w:ascii="Times New Roman" w:hAnsi="Times New Roman" w:cs="Times New Roman"/>
          <w:sz w:val="24"/>
          <w:szCs w:val="24"/>
        </w:rPr>
        <w:t xml:space="preserve">. </w:t>
      </w:r>
      <w:r w:rsidR="0044595E">
        <w:rPr>
          <w:rFonts w:ascii="Times New Roman" w:hAnsi="Times New Roman" w:cs="Times New Roman"/>
          <w:sz w:val="24"/>
          <w:szCs w:val="24"/>
        </w:rPr>
        <w:t xml:space="preserve">It could have ensured a greater focus on children’s rights, development and justice. </w:t>
      </w:r>
    </w:p>
    <w:p w14:paraId="545C4148" w14:textId="5003D657" w:rsidR="00EF6845" w:rsidRPr="00EF6845" w:rsidRDefault="00EF6845" w:rsidP="00EF6845">
      <w:pPr>
        <w:tabs>
          <w:tab w:val="left" w:pos="1095"/>
        </w:tabs>
        <w:spacing w:after="0" w:line="240" w:lineRule="auto"/>
        <w:rPr>
          <w:rFonts w:ascii="Times New Roman" w:hAnsi="Times New Roman" w:cs="Times New Roman"/>
          <w:b/>
          <w:sz w:val="24"/>
          <w:szCs w:val="24"/>
          <w:lang w:val="en"/>
        </w:rPr>
      </w:pPr>
    </w:p>
    <w:sectPr w:rsidR="00EF6845" w:rsidRPr="00EF6845" w:rsidSect="001D25D2">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A6B7B" w14:textId="77777777" w:rsidR="00620045" w:rsidRDefault="00620045" w:rsidP="00C736D4">
      <w:pPr>
        <w:spacing w:after="0" w:line="240" w:lineRule="auto"/>
      </w:pPr>
      <w:r>
        <w:separator/>
      </w:r>
    </w:p>
  </w:endnote>
  <w:endnote w:type="continuationSeparator" w:id="0">
    <w:p w14:paraId="40726D7D" w14:textId="77777777" w:rsidR="00620045" w:rsidRDefault="00620045" w:rsidP="00C7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auto"/>
    <w:notTrueType/>
    <w:pitch w:val="variable"/>
    <w:sig w:usb0="A00002BF" w:usb1="38CF7CFA" w:usb2="00000016" w:usb3="00000000" w:csb0="0004000F" w:csb1="00000000"/>
  </w:font>
  <w:font w:name="Segoe UI">
    <w:altName w:val="Didot"/>
    <w:panose1 w:val="020B0502040204020203"/>
    <w:charset w:val="00"/>
    <w:family w:val="swiss"/>
    <w:pitch w:val="variable"/>
    <w:sig w:usb0="E4002EFF" w:usb1="C000E47F"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AvantGarde-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AdvTT5235d5a9">
    <w:panose1 w:val="00000000000000000000"/>
    <w:charset w:val="00"/>
    <w:family w:val="roman"/>
    <w:notTrueType/>
    <w:pitch w:val="default"/>
    <w:sig w:usb0="00000003" w:usb1="00000000" w:usb2="00000000" w:usb3="00000000" w:csb0="00000001" w:csb1="00000000"/>
  </w:font>
  <w:font w:name="AdvTT94c8263f.I">
    <w:panose1 w:val="00000000000000000000"/>
    <w:charset w:val="00"/>
    <w:family w:val="roman"/>
    <w:notTrueType/>
    <w:pitch w:val="default"/>
    <w:sig w:usb0="00000003" w:usb1="00000000" w:usb2="00000000" w:usb3="00000000" w:csb0="00000001" w:csb1="00000000"/>
  </w:font>
  <w:font w:name="AdvTT5235d5a9+20">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dvhel_light">
    <w:panose1 w:val="00000000000000000000"/>
    <w:charset w:val="00"/>
    <w:family w:val="swiss"/>
    <w:notTrueType/>
    <w:pitch w:val="default"/>
    <w:sig w:usb0="00000003" w:usb1="00000000" w:usb2="00000000" w:usb3="00000000" w:csb0="00000001" w:csb1="00000000"/>
  </w:font>
  <w:font w:name="Advhel_lightit">
    <w:panose1 w:val="00000000000000000000"/>
    <w:charset w:val="00"/>
    <w:family w:val="swiss"/>
    <w:notTrueType/>
    <w:pitch w:val="default"/>
    <w:sig w:usb0="00000003" w:usb1="00000000" w:usb2="00000000" w:usb3="00000000" w:csb0="00000001" w:csb1="00000000"/>
  </w:font>
  <w:font w:name="F18">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74983"/>
      <w:docPartObj>
        <w:docPartGallery w:val="Page Numbers (Bottom of Page)"/>
        <w:docPartUnique/>
      </w:docPartObj>
    </w:sdtPr>
    <w:sdtEndPr>
      <w:rPr>
        <w:noProof/>
      </w:rPr>
    </w:sdtEndPr>
    <w:sdtContent>
      <w:p w14:paraId="7A88CF81" w14:textId="0833446F" w:rsidR="000850F7" w:rsidRDefault="000850F7">
        <w:pPr>
          <w:pStyle w:val="Footer"/>
          <w:jc w:val="center"/>
        </w:pPr>
        <w:r>
          <w:fldChar w:fldCharType="begin"/>
        </w:r>
        <w:r>
          <w:instrText xml:space="preserve"> PAGE   \* MERGEFORMAT </w:instrText>
        </w:r>
        <w:r>
          <w:fldChar w:fldCharType="separate"/>
        </w:r>
        <w:r w:rsidR="00082196">
          <w:rPr>
            <w:noProof/>
          </w:rPr>
          <w:t>1</w:t>
        </w:r>
        <w:r>
          <w:rPr>
            <w:noProof/>
          </w:rPr>
          <w:fldChar w:fldCharType="end"/>
        </w:r>
      </w:p>
    </w:sdtContent>
  </w:sdt>
  <w:p w14:paraId="6D8D75DB" w14:textId="77777777" w:rsidR="000850F7" w:rsidRDefault="00085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46A4" w14:textId="77777777" w:rsidR="00620045" w:rsidRDefault="00620045" w:rsidP="00C736D4">
      <w:pPr>
        <w:spacing w:after="0" w:line="240" w:lineRule="auto"/>
      </w:pPr>
      <w:r>
        <w:separator/>
      </w:r>
    </w:p>
  </w:footnote>
  <w:footnote w:type="continuationSeparator" w:id="0">
    <w:p w14:paraId="192DCE16" w14:textId="77777777" w:rsidR="00620045" w:rsidRDefault="00620045" w:rsidP="00C736D4">
      <w:pPr>
        <w:spacing w:after="0" w:line="240" w:lineRule="auto"/>
      </w:pPr>
      <w:r>
        <w:continuationSeparator/>
      </w:r>
    </w:p>
  </w:footnote>
  <w:footnote w:id="1">
    <w:p w14:paraId="3DFEC263" w14:textId="64E91132" w:rsidR="000850F7" w:rsidRPr="00941B78" w:rsidRDefault="000850F7" w:rsidP="00FB458C">
      <w:pPr>
        <w:pStyle w:val="FootnoteText"/>
      </w:pPr>
      <w:r>
        <w:rPr>
          <w:rStyle w:val="FootnoteReference"/>
        </w:rPr>
        <w:footnoteRef/>
      </w:r>
      <w:r w:rsidRPr="00941B78">
        <w:t xml:space="preserve"> [2016] EWCA Crim 674</w:t>
      </w:r>
      <w:r>
        <w:t>.</w:t>
      </w:r>
    </w:p>
  </w:footnote>
  <w:footnote w:id="2">
    <w:p w14:paraId="7DC743FB" w14:textId="5B721EC4" w:rsidR="000850F7" w:rsidRPr="00941B78" w:rsidRDefault="000850F7" w:rsidP="00FB458C">
      <w:pPr>
        <w:pStyle w:val="FootnoteText"/>
      </w:pPr>
      <w:r>
        <w:rPr>
          <w:rStyle w:val="FootnoteReference"/>
        </w:rPr>
        <w:footnoteRef/>
      </w:r>
      <w:r w:rsidR="005256AD">
        <w:t xml:space="preserve"> ibid</w:t>
      </w:r>
      <w:r>
        <w:t xml:space="preserve"> [</w:t>
      </w:r>
      <w:r w:rsidRPr="00941B78">
        <w:t>8</w:t>
      </w:r>
      <w:r>
        <w:t>].</w:t>
      </w:r>
    </w:p>
  </w:footnote>
  <w:footnote w:id="3">
    <w:p w14:paraId="56633F3F" w14:textId="2278F1D5" w:rsidR="000850F7" w:rsidRDefault="000850F7">
      <w:pPr>
        <w:pStyle w:val="FootnoteText"/>
      </w:pPr>
      <w:r>
        <w:rPr>
          <w:rStyle w:val="FootnoteReference"/>
        </w:rPr>
        <w:footnoteRef/>
      </w:r>
      <w:r w:rsidR="005256AD">
        <w:t xml:space="preserve"> ibid</w:t>
      </w:r>
      <w:r>
        <w:t xml:space="preserve"> [17].</w:t>
      </w:r>
    </w:p>
  </w:footnote>
  <w:footnote w:id="4">
    <w:p w14:paraId="4F1AD276" w14:textId="057A8C8E" w:rsidR="000850F7" w:rsidRPr="002E4F30" w:rsidRDefault="000850F7" w:rsidP="001B6DCA">
      <w:pPr>
        <w:pStyle w:val="FootnoteText"/>
        <w:rPr>
          <w:b/>
        </w:rPr>
      </w:pPr>
      <w:r>
        <w:rPr>
          <w:rStyle w:val="FootnoteReference"/>
        </w:rPr>
        <w:footnoteRef/>
      </w:r>
      <w:r>
        <w:t xml:space="preserve"> S</w:t>
      </w:r>
      <w:r w:rsidRPr="002E4F30">
        <w:t xml:space="preserve"> Bandalli</w:t>
      </w:r>
      <w:r>
        <w:t>, ‘</w:t>
      </w:r>
      <w:r w:rsidRPr="002E4F30">
        <w:t xml:space="preserve">Children, responsibility and the new youth justice’ in B Goldson (ed.), </w:t>
      </w:r>
      <w:r w:rsidRPr="002E4F30">
        <w:rPr>
          <w:i/>
        </w:rPr>
        <w:t xml:space="preserve">The New Youth Justice </w:t>
      </w:r>
      <w:r w:rsidRPr="002E4F30">
        <w:t>(</w:t>
      </w:r>
      <w:r w:rsidR="00DB36AD" w:rsidRPr="008C4E3C">
        <w:rPr>
          <w:rFonts w:cs="AvantGarde-Book"/>
        </w:rPr>
        <w:t>Lyme Regis</w:t>
      </w:r>
      <w:r w:rsidRPr="002E4F30">
        <w:t>, 2000)</w:t>
      </w:r>
      <w:r>
        <w:t>, 94.</w:t>
      </w:r>
    </w:p>
  </w:footnote>
  <w:footnote w:id="5">
    <w:p w14:paraId="4AE29C8D" w14:textId="19357A14" w:rsidR="006D024D" w:rsidRDefault="006D024D">
      <w:pPr>
        <w:pStyle w:val="FootnoteText"/>
      </w:pPr>
      <w:r>
        <w:rPr>
          <w:rStyle w:val="FootnoteReference"/>
        </w:rPr>
        <w:footnoteRef/>
      </w:r>
      <w:r>
        <w:t xml:space="preserve"> s. 16 Children and Young Persons Act 1963</w:t>
      </w:r>
    </w:p>
  </w:footnote>
  <w:footnote w:id="6">
    <w:p w14:paraId="6746CD64" w14:textId="6B7EDF51" w:rsidR="000850F7" w:rsidRDefault="000850F7" w:rsidP="001B6DCA">
      <w:pPr>
        <w:pStyle w:val="FootnoteText"/>
      </w:pPr>
      <w:r>
        <w:rPr>
          <w:rStyle w:val="FootnoteReference"/>
        </w:rPr>
        <w:footnoteRef/>
      </w:r>
      <w:r>
        <w:t xml:space="preserve"> </w:t>
      </w:r>
      <w:r w:rsidR="005256AD">
        <w:t>[1995] UKHL 15,</w:t>
      </w:r>
      <w:r w:rsidRPr="00E95757">
        <w:t xml:space="preserve"> [18]</w:t>
      </w:r>
      <w:r>
        <w:t>.</w:t>
      </w:r>
    </w:p>
  </w:footnote>
  <w:footnote w:id="7">
    <w:p w14:paraId="3FCDBFAC" w14:textId="46FE932F" w:rsidR="000850F7" w:rsidRPr="000B3405" w:rsidRDefault="000850F7" w:rsidP="001B6DCA">
      <w:pPr>
        <w:pStyle w:val="FootnoteText"/>
        <w:rPr>
          <w:lang w:val="en-US"/>
        </w:rPr>
      </w:pPr>
      <w:r>
        <w:rPr>
          <w:rStyle w:val="FootnoteReference"/>
        </w:rPr>
        <w:footnoteRef/>
      </w:r>
      <w:r>
        <w:t xml:space="preserve"> [2010] EWCA Crim 312.</w:t>
      </w:r>
    </w:p>
  </w:footnote>
  <w:footnote w:id="8">
    <w:p w14:paraId="6267D773" w14:textId="2B686C94" w:rsidR="000850F7" w:rsidRPr="00E95757" w:rsidRDefault="000850F7" w:rsidP="001B6DCA">
      <w:pPr>
        <w:pStyle w:val="FootnoteText"/>
      </w:pPr>
      <w:r>
        <w:rPr>
          <w:rStyle w:val="FootnoteReference"/>
        </w:rPr>
        <w:footnoteRef/>
      </w:r>
      <w:r>
        <w:t xml:space="preserve"> </w:t>
      </w:r>
      <w:r w:rsidRPr="00E95757">
        <w:t xml:space="preserve">Archbold </w:t>
      </w:r>
      <w:r>
        <w:rPr>
          <w:i/>
        </w:rPr>
        <w:t xml:space="preserve">Criminal Pleading, Evidence and Practice </w:t>
      </w:r>
      <w:r w:rsidRPr="00E95757">
        <w:t>(</w:t>
      </w:r>
      <w:r>
        <w:t xml:space="preserve">London, </w:t>
      </w:r>
      <w:r w:rsidRPr="00E95757">
        <w:t>1993)</w:t>
      </w:r>
      <w:r>
        <w:t>,</w:t>
      </w:r>
      <w:r w:rsidR="0047735F">
        <w:t xml:space="preserve"> vol 1, para 1-96, at para 13.</w:t>
      </w:r>
    </w:p>
  </w:footnote>
  <w:footnote w:id="9">
    <w:p w14:paraId="46BAE847" w14:textId="77777777" w:rsidR="00EB0A6D" w:rsidRDefault="00EB0A6D" w:rsidP="00EB0A6D">
      <w:pPr>
        <w:pStyle w:val="FootnoteText"/>
      </w:pPr>
      <w:r>
        <w:rPr>
          <w:rStyle w:val="FootnoteReference"/>
        </w:rPr>
        <w:footnoteRef/>
      </w:r>
      <w:r>
        <w:t xml:space="preserve"> Penal Affairs Consortium </w:t>
      </w:r>
      <w:r>
        <w:rPr>
          <w:i/>
        </w:rPr>
        <w:t xml:space="preserve">The Doctrine of ‘Doli Incapax’ </w:t>
      </w:r>
      <w:r>
        <w:t>(London</w:t>
      </w:r>
      <w:r>
        <w:rPr>
          <w:color w:val="000000"/>
        </w:rPr>
        <w:t>, 1995), 5.</w:t>
      </w:r>
    </w:p>
  </w:footnote>
  <w:footnote w:id="10">
    <w:p w14:paraId="5240D86C" w14:textId="31DEB4D4" w:rsidR="000850F7" w:rsidRPr="00934B1E" w:rsidRDefault="000850F7" w:rsidP="001B6DCA">
      <w:pPr>
        <w:pStyle w:val="FootnoteText"/>
        <w:rPr>
          <w:lang w:val="es-ES_tradnl"/>
        </w:rPr>
      </w:pPr>
      <w:r>
        <w:rPr>
          <w:rStyle w:val="FootnoteReference"/>
        </w:rPr>
        <w:footnoteRef/>
      </w:r>
      <w:r w:rsidRPr="00934B1E">
        <w:rPr>
          <w:lang w:val="es-ES_tradnl"/>
        </w:rPr>
        <w:t xml:space="preserve"> </w:t>
      </w:r>
      <w:r w:rsidRPr="00934B1E">
        <w:rPr>
          <w:rFonts w:cs="Times New Roman"/>
          <w:i/>
          <w:lang w:val="es-ES_tradnl"/>
        </w:rPr>
        <w:t xml:space="preserve">R v Gorrie </w:t>
      </w:r>
      <w:r w:rsidRPr="00934B1E">
        <w:rPr>
          <w:rFonts w:cs="Times New Roman"/>
          <w:lang w:val="es-ES_tradnl"/>
        </w:rPr>
        <w:t>(1918) 83 JP 186</w:t>
      </w:r>
      <w:r>
        <w:rPr>
          <w:rFonts w:cs="Times New Roman"/>
          <w:lang w:val="es-ES_tradnl"/>
        </w:rPr>
        <w:t>.</w:t>
      </w:r>
    </w:p>
  </w:footnote>
  <w:footnote w:id="11">
    <w:p w14:paraId="49400046" w14:textId="1E672594" w:rsidR="000850F7" w:rsidRPr="00E62220" w:rsidRDefault="000850F7" w:rsidP="001B6DCA">
      <w:pPr>
        <w:pStyle w:val="FootnoteText"/>
        <w:rPr>
          <w:lang w:val="es-ES_tradnl"/>
        </w:rPr>
      </w:pPr>
      <w:r>
        <w:rPr>
          <w:rStyle w:val="FootnoteReference"/>
        </w:rPr>
        <w:footnoteRef/>
      </w:r>
      <w:r w:rsidRPr="00E62220">
        <w:rPr>
          <w:lang w:val="es-ES_tradnl"/>
        </w:rPr>
        <w:t xml:space="preserve"> </w:t>
      </w:r>
      <w:r w:rsidRPr="00E62220">
        <w:rPr>
          <w:rFonts w:cs="Times New Roman"/>
          <w:i/>
          <w:lang w:val="es-ES_tradnl"/>
        </w:rPr>
        <w:t>A v DPP</w:t>
      </w:r>
      <w:r w:rsidRPr="00E62220">
        <w:rPr>
          <w:rFonts w:ascii="Times New Roman" w:hAnsi="Times New Roman" w:cs="Times New Roman"/>
          <w:i/>
          <w:sz w:val="24"/>
          <w:szCs w:val="24"/>
          <w:lang w:val="es-ES_tradnl"/>
        </w:rPr>
        <w:t xml:space="preserve"> </w:t>
      </w:r>
      <w:r w:rsidRPr="00E62220">
        <w:rPr>
          <w:rFonts w:cstheme="minorHAnsi"/>
          <w:lang w:val="es-ES_tradnl"/>
        </w:rPr>
        <w:t>1997] Crim LR 125.</w:t>
      </w:r>
    </w:p>
  </w:footnote>
  <w:footnote w:id="12">
    <w:p w14:paraId="37574968" w14:textId="02833393" w:rsidR="000850F7" w:rsidRPr="00934B1E" w:rsidRDefault="000850F7" w:rsidP="001B6DCA">
      <w:pPr>
        <w:pStyle w:val="FootnoteText"/>
        <w:rPr>
          <w:lang w:val="es-ES_tradnl"/>
        </w:rPr>
      </w:pPr>
      <w:r>
        <w:rPr>
          <w:rStyle w:val="FootnoteReference"/>
        </w:rPr>
        <w:footnoteRef/>
      </w:r>
      <w:r w:rsidRPr="00934B1E">
        <w:rPr>
          <w:lang w:val="es-ES_tradnl"/>
        </w:rPr>
        <w:t xml:space="preserve"> </w:t>
      </w:r>
      <w:r w:rsidRPr="00934B1E">
        <w:rPr>
          <w:rStyle w:val="Emphasis"/>
          <w:rFonts w:cstheme="minorHAnsi"/>
          <w:color w:val="3B3B3B"/>
          <w:lang w:val="es-ES_tradnl"/>
        </w:rPr>
        <w:t>[2017] EWCA Crim 983</w:t>
      </w:r>
      <w:r>
        <w:rPr>
          <w:rStyle w:val="Emphasis"/>
          <w:rFonts w:cstheme="minorHAnsi"/>
          <w:color w:val="3B3B3B"/>
          <w:lang w:val="es-ES_tradnl"/>
        </w:rPr>
        <w:t>.</w:t>
      </w:r>
    </w:p>
  </w:footnote>
  <w:footnote w:id="13">
    <w:p w14:paraId="75B98A39" w14:textId="7E956F3E" w:rsidR="000850F7" w:rsidRPr="00934B1E" w:rsidRDefault="000850F7" w:rsidP="001B6DCA">
      <w:pPr>
        <w:pStyle w:val="FootnoteText"/>
        <w:rPr>
          <w:lang w:val="es-ES_tradnl"/>
        </w:rPr>
      </w:pPr>
      <w:r>
        <w:rPr>
          <w:rStyle w:val="FootnoteReference"/>
        </w:rPr>
        <w:footnoteRef/>
      </w:r>
      <w:r w:rsidRPr="00934B1E">
        <w:rPr>
          <w:lang w:val="es-ES_tradnl"/>
        </w:rPr>
        <w:t xml:space="preserve"> </w:t>
      </w:r>
      <w:r w:rsidRPr="00934B1E">
        <w:rPr>
          <w:rFonts w:cstheme="minorHAnsi"/>
          <w:i/>
          <w:lang w:val="es-ES_tradnl"/>
        </w:rPr>
        <w:t xml:space="preserve">F v Padwick </w:t>
      </w:r>
      <w:r w:rsidRPr="00934B1E">
        <w:rPr>
          <w:rFonts w:cstheme="minorHAnsi"/>
          <w:lang w:val="es-ES_tradnl"/>
        </w:rPr>
        <w:t xml:space="preserve">[1959] Crim LR 439; </w:t>
      </w:r>
      <w:r w:rsidRPr="00934B1E">
        <w:rPr>
          <w:rFonts w:cstheme="minorHAnsi"/>
          <w:i/>
          <w:lang w:val="es-ES_tradnl"/>
        </w:rPr>
        <w:t xml:space="preserve">B v R </w:t>
      </w:r>
      <w:r w:rsidRPr="00934B1E">
        <w:rPr>
          <w:rFonts w:cstheme="minorHAnsi"/>
          <w:lang w:val="es-ES_tradnl"/>
        </w:rPr>
        <w:t>(1958) 44 Cr App R 1</w:t>
      </w:r>
      <w:r>
        <w:rPr>
          <w:rFonts w:cstheme="minorHAnsi"/>
          <w:lang w:val="es-ES_tradnl"/>
        </w:rPr>
        <w:t>.</w:t>
      </w:r>
    </w:p>
  </w:footnote>
  <w:footnote w:id="14">
    <w:p w14:paraId="4743D43D" w14:textId="79A4AB54" w:rsidR="000850F7" w:rsidRPr="001B6DCA" w:rsidRDefault="000850F7">
      <w:pPr>
        <w:pStyle w:val="FootnoteText"/>
      </w:pPr>
      <w:r>
        <w:rPr>
          <w:rStyle w:val="FootnoteReference"/>
        </w:rPr>
        <w:footnoteRef/>
      </w:r>
      <w:r>
        <w:t xml:space="preserve"> </w:t>
      </w:r>
      <w:r w:rsidRPr="001B6DCA">
        <w:rPr>
          <w:rFonts w:cs="Times New Roman"/>
        </w:rPr>
        <w:t xml:space="preserve">s99 CJA 2003, See also </w:t>
      </w:r>
      <w:r w:rsidRPr="001B6DCA">
        <w:rPr>
          <w:rFonts w:cs="Times New Roman"/>
          <w:i/>
        </w:rPr>
        <w:t xml:space="preserve">Makin v AG NSW </w:t>
      </w:r>
      <w:r w:rsidRPr="001B6DCA">
        <w:rPr>
          <w:rFonts w:cs="Times New Roman"/>
        </w:rPr>
        <w:t>[1894] AC 57</w:t>
      </w:r>
      <w:r w:rsidRPr="001B6DCA">
        <w:rPr>
          <w:rFonts w:cs="Times New Roman"/>
          <w:i/>
        </w:rPr>
        <w:t>; Boardman v DPP</w:t>
      </w:r>
      <w:r w:rsidRPr="001B6DCA">
        <w:rPr>
          <w:rFonts w:cs="Times New Roman"/>
        </w:rPr>
        <w:t xml:space="preserve"> [1975] AC 421;</w:t>
      </w:r>
      <w:r w:rsidRPr="001B6DCA">
        <w:rPr>
          <w:rFonts w:cs="Times New Roman"/>
          <w:i/>
        </w:rPr>
        <w:t xml:space="preserve"> DPP v P </w:t>
      </w:r>
      <w:r w:rsidRPr="001B6DCA">
        <w:rPr>
          <w:rFonts w:cs="Times New Roman"/>
        </w:rPr>
        <w:t>[1991] 2 AC 447</w:t>
      </w:r>
      <w:r>
        <w:rPr>
          <w:rFonts w:cs="Times New Roman"/>
        </w:rPr>
        <w:t>.</w:t>
      </w:r>
    </w:p>
  </w:footnote>
  <w:footnote w:id="15">
    <w:p w14:paraId="4184E6B4" w14:textId="21C4CFEC" w:rsidR="000850F7" w:rsidRPr="001B6DCA" w:rsidRDefault="000850F7">
      <w:pPr>
        <w:pStyle w:val="FootnoteText"/>
        <w:rPr>
          <w:rFonts w:ascii="Calibri" w:hAnsi="Calibri"/>
        </w:rPr>
      </w:pPr>
      <w:r>
        <w:rPr>
          <w:rStyle w:val="FootnoteReference"/>
        </w:rPr>
        <w:footnoteRef/>
      </w:r>
      <w:r>
        <w:t xml:space="preserve"> </w:t>
      </w:r>
      <w:r w:rsidRPr="001B6DCA">
        <w:rPr>
          <w:rFonts w:ascii="Calibri" w:hAnsi="Calibri" w:cs="Times New Roman"/>
        </w:rPr>
        <w:t xml:space="preserve">Home Office </w:t>
      </w:r>
      <w:r>
        <w:rPr>
          <w:rFonts w:ascii="Calibri" w:hAnsi="Calibri" w:cs="Times New Roman"/>
          <w:i/>
        </w:rPr>
        <w:t xml:space="preserve">Justice for All </w:t>
      </w:r>
      <w:r>
        <w:rPr>
          <w:rFonts w:ascii="Calibri" w:hAnsi="Calibri" w:cs="Times New Roman"/>
        </w:rPr>
        <w:t>(</w:t>
      </w:r>
      <w:r w:rsidRPr="001B6DCA">
        <w:rPr>
          <w:rFonts w:ascii="Calibri" w:hAnsi="Calibri" w:cs="Times New Roman"/>
        </w:rPr>
        <w:t>London</w:t>
      </w:r>
      <w:r>
        <w:rPr>
          <w:rFonts w:ascii="Calibri" w:hAnsi="Calibri" w:cs="Times New Roman"/>
        </w:rPr>
        <w:t>, 2002)</w:t>
      </w:r>
      <w:r w:rsidRPr="001B6DCA">
        <w:rPr>
          <w:rFonts w:ascii="Calibri" w:hAnsi="Calibri" w:cs="Times New Roman"/>
        </w:rPr>
        <w:t>.</w:t>
      </w:r>
    </w:p>
  </w:footnote>
  <w:footnote w:id="16">
    <w:p w14:paraId="3936ABA1" w14:textId="3501BBF2" w:rsidR="000850F7" w:rsidRDefault="000850F7" w:rsidP="001B6DCA">
      <w:pPr>
        <w:pStyle w:val="FootnoteText"/>
      </w:pPr>
      <w:r>
        <w:rPr>
          <w:rStyle w:val="FootnoteReference"/>
        </w:rPr>
        <w:footnoteRef/>
      </w:r>
      <w:r>
        <w:t xml:space="preserve"> see s98 CJA 2003 which states that BCE amounts to ‘evidence of, or of a disposition towards, misconduct’</w:t>
      </w:r>
      <w:r w:rsidR="005256AD">
        <w:t xml:space="preserve"> and is admissible ‘if, but only if’ a gateway is satisfied</w:t>
      </w:r>
      <w:r>
        <w:t xml:space="preserve">. Misconduct is further defined in s112 CJA 2003 as ‘the commission of an offence’ or ‘reprehensible behaviour’. </w:t>
      </w:r>
    </w:p>
  </w:footnote>
  <w:footnote w:id="17">
    <w:p w14:paraId="037CB0F7" w14:textId="765A3C2D" w:rsidR="000850F7" w:rsidRPr="007A653D" w:rsidRDefault="000850F7" w:rsidP="001B6DCA">
      <w:pPr>
        <w:pStyle w:val="FootnoteText"/>
      </w:pPr>
      <w:r>
        <w:rPr>
          <w:rStyle w:val="FootnoteReference"/>
        </w:rPr>
        <w:footnoteRef/>
      </w:r>
      <w:r w:rsidRPr="007A653D">
        <w:t xml:space="preserve"> [2016] EWCA Crim 674 [13]</w:t>
      </w:r>
      <w:r>
        <w:t>.</w:t>
      </w:r>
    </w:p>
  </w:footnote>
  <w:footnote w:id="18">
    <w:p w14:paraId="10030D92" w14:textId="2F70EA3D" w:rsidR="000850F7" w:rsidRDefault="000850F7" w:rsidP="001B6DCA">
      <w:pPr>
        <w:pStyle w:val="FootnoteText"/>
      </w:pPr>
      <w:r>
        <w:rPr>
          <w:rStyle w:val="FootnoteReference"/>
        </w:rPr>
        <w:footnoteRef/>
      </w:r>
      <w:r w:rsidR="009C2BA9">
        <w:t xml:space="preserve"> ibid</w:t>
      </w:r>
      <w:r>
        <w:t xml:space="preserve"> [14].</w:t>
      </w:r>
    </w:p>
  </w:footnote>
  <w:footnote w:id="19">
    <w:p w14:paraId="4838123E" w14:textId="532719B9" w:rsidR="000850F7" w:rsidRDefault="000850F7" w:rsidP="001B6DCA">
      <w:pPr>
        <w:pStyle w:val="FootnoteText"/>
      </w:pPr>
      <w:r>
        <w:rPr>
          <w:rStyle w:val="FootnoteReference"/>
        </w:rPr>
        <w:footnoteRef/>
      </w:r>
      <w:r w:rsidR="009C2BA9">
        <w:t xml:space="preserve"> i</w:t>
      </w:r>
      <w:r>
        <w:t>bid [17], see also [8].</w:t>
      </w:r>
    </w:p>
  </w:footnote>
  <w:footnote w:id="20">
    <w:p w14:paraId="6D38A584" w14:textId="11EA5590" w:rsidR="000850F7" w:rsidRDefault="000850F7" w:rsidP="00A75311">
      <w:pPr>
        <w:pStyle w:val="FootnoteText"/>
      </w:pPr>
      <w:r>
        <w:rPr>
          <w:rStyle w:val="FootnoteReference"/>
        </w:rPr>
        <w:footnoteRef/>
      </w:r>
      <w:r w:rsidR="009C2BA9">
        <w:t xml:space="preserve"> i</w:t>
      </w:r>
      <w:r>
        <w:t>bid [17].</w:t>
      </w:r>
    </w:p>
  </w:footnote>
  <w:footnote w:id="21">
    <w:p w14:paraId="5DC1A202" w14:textId="326A28AE" w:rsidR="000850F7" w:rsidRDefault="000850F7" w:rsidP="00A75311">
      <w:pPr>
        <w:pStyle w:val="FootnoteText"/>
      </w:pPr>
      <w:r>
        <w:rPr>
          <w:rStyle w:val="FootnoteReference"/>
        </w:rPr>
        <w:footnoteRef/>
      </w:r>
      <w:r w:rsidR="009C2BA9">
        <w:t xml:space="preserve"> i</w:t>
      </w:r>
      <w:r>
        <w:t>bid.</w:t>
      </w:r>
    </w:p>
  </w:footnote>
  <w:footnote w:id="22">
    <w:p w14:paraId="70F56B40" w14:textId="49518FE3" w:rsidR="000850F7" w:rsidRPr="00AC6E19" w:rsidRDefault="000850F7" w:rsidP="00A75311">
      <w:pPr>
        <w:pStyle w:val="FootnoteText"/>
      </w:pPr>
      <w:r>
        <w:rPr>
          <w:rStyle w:val="FootnoteReference"/>
        </w:rPr>
        <w:footnoteRef/>
      </w:r>
      <w:r>
        <w:t xml:space="preserve"> This is all that can be said within the scope of this article, but see further</w:t>
      </w:r>
      <w:r w:rsidRPr="00A75311">
        <w:t xml:space="preserve">: </w:t>
      </w:r>
      <w:r>
        <w:t xml:space="preserve">M </w:t>
      </w:r>
      <w:r w:rsidRPr="00A75311">
        <w:rPr>
          <w:rFonts w:cs="Times New Roman"/>
        </w:rPr>
        <w:t xml:space="preserve">Stockdale, </w:t>
      </w:r>
      <w:r>
        <w:rPr>
          <w:rFonts w:cs="Times New Roman"/>
        </w:rPr>
        <w:t>E</w:t>
      </w:r>
      <w:r w:rsidRPr="00A75311">
        <w:rPr>
          <w:rFonts w:cs="Times New Roman"/>
        </w:rPr>
        <w:t xml:space="preserve"> Smith, </w:t>
      </w:r>
      <w:r>
        <w:rPr>
          <w:rFonts w:cs="Times New Roman"/>
        </w:rPr>
        <w:t>M San Roque ‘</w:t>
      </w:r>
      <w:r w:rsidRPr="00A75311">
        <w:rPr>
          <w:rFonts w:cs="Times New Roman"/>
        </w:rPr>
        <w:t>Bad Character Evidence in the Criminal Trial: The English Statutory/Common Law Dichotomy – Anglo-Australian Perspectives</w:t>
      </w:r>
      <w:r>
        <w:rPr>
          <w:rFonts w:cs="Times New Roman"/>
        </w:rPr>
        <w:t>’ (2016) 3(2)</w:t>
      </w:r>
      <w:r w:rsidRPr="00A75311">
        <w:rPr>
          <w:rFonts w:cs="Times New Roman"/>
        </w:rPr>
        <w:t xml:space="preserve"> </w:t>
      </w:r>
      <w:r w:rsidRPr="009C2BA9">
        <w:rPr>
          <w:rFonts w:cs="Times New Roman"/>
        </w:rPr>
        <w:t>Journal of International and Comparative Law</w:t>
      </w:r>
      <w:r w:rsidRPr="00A75311">
        <w:rPr>
          <w:rFonts w:cs="Times New Roman"/>
        </w:rPr>
        <w:t xml:space="preserve"> 441; </w:t>
      </w:r>
      <w:r>
        <w:rPr>
          <w:rFonts w:cs="Times New Roman"/>
        </w:rPr>
        <w:t xml:space="preserve">P </w:t>
      </w:r>
      <w:r w:rsidRPr="00A75311">
        <w:rPr>
          <w:rFonts w:cs="Times New Roman"/>
        </w:rPr>
        <w:t xml:space="preserve">Huxley, </w:t>
      </w:r>
      <w:r>
        <w:rPr>
          <w:rFonts w:cs="Times New Roman"/>
        </w:rPr>
        <w:t>‘</w:t>
      </w:r>
      <w:r w:rsidRPr="00A75311">
        <w:rPr>
          <w:rFonts w:cs="Times New Roman"/>
        </w:rPr>
        <w:t>Mental Gymnastics and Intellectual Acrobatics: The Meanings of Statutory</w:t>
      </w:r>
      <w:r>
        <w:rPr>
          <w:rFonts w:cs="Times New Roman"/>
        </w:rPr>
        <w:t xml:space="preserve"> and Common Law “Bad Character”’ (2011) 75(2)</w:t>
      </w:r>
      <w:r w:rsidRPr="00A75311">
        <w:rPr>
          <w:rFonts w:cs="Times New Roman"/>
        </w:rPr>
        <w:t xml:space="preserve"> </w:t>
      </w:r>
      <w:r w:rsidRPr="009C2BA9">
        <w:rPr>
          <w:rFonts w:cs="Times New Roman"/>
        </w:rPr>
        <w:t>Journal of Criminal Law</w:t>
      </w:r>
      <w:r w:rsidRPr="00A75311">
        <w:rPr>
          <w:rFonts w:cs="Times New Roman"/>
        </w:rPr>
        <w:t xml:space="preserve"> 132</w:t>
      </w:r>
      <w:r w:rsidR="00AC6E19">
        <w:rPr>
          <w:rFonts w:cs="Times New Roman"/>
        </w:rPr>
        <w:t xml:space="preserve">; R Glover, </w:t>
      </w:r>
      <w:r w:rsidR="00AC6E19">
        <w:rPr>
          <w:rFonts w:cs="Times New Roman"/>
          <w:i/>
        </w:rPr>
        <w:t xml:space="preserve">Murphy on Evidence </w:t>
      </w:r>
      <w:r w:rsidR="00AC6E19">
        <w:rPr>
          <w:rFonts w:cs="Times New Roman"/>
        </w:rPr>
        <w:t>(15</w:t>
      </w:r>
      <w:r w:rsidR="00AC6E19" w:rsidRPr="00AC6E19">
        <w:rPr>
          <w:rFonts w:cs="Times New Roman"/>
          <w:vertAlign w:val="superscript"/>
        </w:rPr>
        <w:t>th</w:t>
      </w:r>
      <w:r w:rsidR="00AC6E19">
        <w:rPr>
          <w:rFonts w:cs="Times New Roman"/>
        </w:rPr>
        <w:t xml:space="preserve"> Edition, Oxford University Press, 2017) Chapter 15</w:t>
      </w:r>
    </w:p>
  </w:footnote>
  <w:footnote w:id="23">
    <w:p w14:paraId="1D41290B" w14:textId="77777777" w:rsidR="000850F7" w:rsidRDefault="000850F7" w:rsidP="00A75311">
      <w:pPr>
        <w:pStyle w:val="FootnoteText"/>
      </w:pPr>
      <w:r>
        <w:rPr>
          <w:rStyle w:val="FootnoteReference"/>
        </w:rPr>
        <w:footnoteRef/>
      </w:r>
      <w:r>
        <w:t xml:space="preserve"> but is subject potentially to exclusion under s78 PACE 1984 on the grounds of fairness.</w:t>
      </w:r>
    </w:p>
  </w:footnote>
  <w:footnote w:id="24">
    <w:p w14:paraId="7034EE29" w14:textId="77777777" w:rsidR="00B21DA1" w:rsidRPr="00640C33" w:rsidRDefault="00B21DA1" w:rsidP="00B21DA1">
      <w:pPr>
        <w:pStyle w:val="FootnoteText"/>
      </w:pPr>
      <w:r>
        <w:rPr>
          <w:rStyle w:val="FootnoteReference"/>
        </w:rPr>
        <w:footnoteRef/>
      </w:r>
      <w:r>
        <w:t xml:space="preserve"> For examples of historic sexual abuse/grooming behaviours as bad character, see </w:t>
      </w:r>
      <w:r>
        <w:rPr>
          <w:i/>
        </w:rPr>
        <w:t xml:space="preserve">R v PK </w:t>
      </w:r>
      <w:r>
        <w:t>[2008] EWCA Crim 434</w:t>
      </w:r>
      <w:r>
        <w:rPr>
          <w:i/>
        </w:rPr>
        <w:t xml:space="preserve">, R v DJ </w:t>
      </w:r>
      <w:r>
        <w:t xml:space="preserve">[2015] EWCA Crim 563 </w:t>
      </w:r>
      <w:r w:rsidRPr="00640C33">
        <w:t>and</w:t>
      </w:r>
      <w:r>
        <w:rPr>
          <w:i/>
        </w:rPr>
        <w:t xml:space="preserve"> R v Wilkinson </w:t>
      </w:r>
      <w:r>
        <w:t>[2006] EWCA Crim 1332.</w:t>
      </w:r>
    </w:p>
  </w:footnote>
  <w:footnote w:id="25">
    <w:p w14:paraId="52FE803E" w14:textId="77777777" w:rsidR="000850F7" w:rsidRPr="00ED65C2" w:rsidRDefault="000850F7" w:rsidP="00A75311">
      <w:pPr>
        <w:pStyle w:val="FootnoteText"/>
        <w:rPr>
          <w:lang w:val="en-US"/>
        </w:rPr>
      </w:pPr>
      <w:r>
        <w:rPr>
          <w:rStyle w:val="FootnoteReference"/>
        </w:rPr>
        <w:footnoteRef/>
      </w:r>
      <w:r>
        <w:t xml:space="preserve"> </w:t>
      </w:r>
      <w:r>
        <w:rPr>
          <w:lang w:val="en-US"/>
        </w:rPr>
        <w:t>[2017] EWCA Crim 42</w:t>
      </w:r>
    </w:p>
  </w:footnote>
  <w:footnote w:id="26">
    <w:p w14:paraId="01B7781C" w14:textId="60E40327" w:rsidR="000850F7" w:rsidRPr="00111434" w:rsidRDefault="000850F7" w:rsidP="00A75311">
      <w:pPr>
        <w:pStyle w:val="FootnoteText"/>
        <w:rPr>
          <w:lang w:val="en-US"/>
        </w:rPr>
      </w:pPr>
      <w:r>
        <w:rPr>
          <w:rStyle w:val="FootnoteReference"/>
        </w:rPr>
        <w:footnoteRef/>
      </w:r>
      <w:r>
        <w:t xml:space="preserve"> </w:t>
      </w:r>
      <w:r w:rsidR="009C2BA9">
        <w:rPr>
          <w:lang w:val="en-US"/>
        </w:rPr>
        <w:t>i</w:t>
      </w:r>
      <w:r w:rsidR="009C2BA9" w:rsidRPr="009C2BA9">
        <w:rPr>
          <w:lang w:val="en-US"/>
        </w:rPr>
        <w:t>bid</w:t>
      </w:r>
      <w:r>
        <w:rPr>
          <w:lang w:val="en-US"/>
        </w:rPr>
        <w:t xml:space="preserve"> [18]</w:t>
      </w:r>
    </w:p>
  </w:footnote>
  <w:footnote w:id="27">
    <w:p w14:paraId="3505502F" w14:textId="07CDA917" w:rsidR="00B21DA1" w:rsidRPr="003016DD" w:rsidRDefault="00B21DA1" w:rsidP="00B21DA1">
      <w:pPr>
        <w:pStyle w:val="FootnoteText"/>
        <w:rPr>
          <w:lang w:val="en-US"/>
        </w:rPr>
      </w:pPr>
      <w:r>
        <w:rPr>
          <w:rStyle w:val="FootnoteReference"/>
        </w:rPr>
        <w:footnoteRef/>
      </w:r>
      <w:r>
        <w:t xml:space="preserve"> </w:t>
      </w:r>
      <w:r w:rsidR="009C2BA9">
        <w:rPr>
          <w:lang w:val="en-US"/>
        </w:rPr>
        <w:t>ibid</w:t>
      </w:r>
      <w:r>
        <w:rPr>
          <w:lang w:val="en-US"/>
        </w:rPr>
        <w:t xml:space="preserve"> [42]-[43]</w:t>
      </w:r>
    </w:p>
  </w:footnote>
  <w:footnote w:id="28">
    <w:p w14:paraId="4354B5E3" w14:textId="369F50BF" w:rsidR="000850F7" w:rsidRPr="004035BB" w:rsidRDefault="000850F7" w:rsidP="00A75311">
      <w:pPr>
        <w:pStyle w:val="FootnoteText"/>
        <w:rPr>
          <w:lang w:val="en-US"/>
        </w:rPr>
      </w:pPr>
      <w:r w:rsidRPr="004035BB">
        <w:rPr>
          <w:rStyle w:val="FootnoteReference"/>
        </w:rPr>
        <w:footnoteRef/>
      </w:r>
      <w:r w:rsidRPr="004035BB">
        <w:t xml:space="preserve"> </w:t>
      </w:r>
      <w:r w:rsidR="009C2BA9" w:rsidRPr="009C2BA9">
        <w:rPr>
          <w:lang w:val="en-US"/>
        </w:rPr>
        <w:t>ibid</w:t>
      </w:r>
      <w:r w:rsidRPr="004035BB">
        <w:rPr>
          <w:lang w:val="en-US"/>
        </w:rPr>
        <w:t xml:space="preserve"> [46]</w:t>
      </w:r>
    </w:p>
  </w:footnote>
  <w:footnote w:id="29">
    <w:p w14:paraId="05AA21C6" w14:textId="5000CA9E" w:rsidR="000850F7" w:rsidRPr="002C503C" w:rsidRDefault="000850F7" w:rsidP="00A75311">
      <w:pPr>
        <w:widowControl w:val="0"/>
        <w:autoSpaceDE w:val="0"/>
        <w:autoSpaceDN w:val="0"/>
        <w:adjustRightInd w:val="0"/>
        <w:spacing w:after="0" w:line="240" w:lineRule="auto"/>
        <w:rPr>
          <w:sz w:val="20"/>
          <w:szCs w:val="20"/>
        </w:rPr>
      </w:pPr>
      <w:r w:rsidRPr="004035BB">
        <w:rPr>
          <w:rStyle w:val="FootnoteReference"/>
          <w:sz w:val="20"/>
          <w:szCs w:val="20"/>
        </w:rPr>
        <w:footnoteRef/>
      </w:r>
      <w:r w:rsidRPr="004035BB">
        <w:rPr>
          <w:sz w:val="20"/>
          <w:szCs w:val="20"/>
        </w:rPr>
        <w:t xml:space="preserve"> Though Mirfield challenges admissibility under gateway (c) here – a</w:t>
      </w:r>
      <w:r w:rsidR="009C2BA9">
        <w:rPr>
          <w:sz w:val="20"/>
          <w:szCs w:val="20"/>
        </w:rPr>
        <w:t>nd is (correctly in the authors’</w:t>
      </w:r>
      <w:r w:rsidRPr="004035BB">
        <w:rPr>
          <w:sz w:val="20"/>
          <w:szCs w:val="20"/>
        </w:rPr>
        <w:t xml:space="preserve"> opinion) of the mind that this evidence should have been admitted under gateway (d). P</w:t>
      </w:r>
      <w:r>
        <w:rPr>
          <w:sz w:val="20"/>
          <w:szCs w:val="20"/>
        </w:rPr>
        <w:t xml:space="preserve"> Mirfield</w:t>
      </w:r>
      <w:r w:rsidRPr="004035BB">
        <w:rPr>
          <w:sz w:val="20"/>
          <w:szCs w:val="20"/>
        </w:rPr>
        <w:t xml:space="preserve"> ‘Bad character: R. v Leathem and Mallett Court of Appeal (Criminal Division): McCombe LJ; Haddon-Cave J and Judge Batty QC: 15 February 2017; [2017] EWCA Crim 42’ [2017] Crim LR 788 at 791-792. Mirfield notes </w:t>
      </w:r>
      <w:r>
        <w:rPr>
          <w:sz w:val="20"/>
          <w:szCs w:val="20"/>
        </w:rPr>
        <w:t xml:space="preserve">(p792) </w:t>
      </w:r>
      <w:r w:rsidRPr="004035BB">
        <w:rPr>
          <w:sz w:val="20"/>
          <w:szCs w:val="20"/>
        </w:rPr>
        <w:t>that the court in L [2012] EWCA Crim 316 at [12] recognised that ‘To say that evidence fills out the picture is not the same as saying that the rest of the picture is either impossible or difficult to see without it’. Further, it is accepted at common law that gateway (c) is not designed to serve as a substitute where gateway (d) is unavailable, see Beverley [2006] EWC</w:t>
      </w:r>
      <w:r w:rsidR="002C503C">
        <w:rPr>
          <w:sz w:val="20"/>
          <w:szCs w:val="20"/>
        </w:rPr>
        <w:t xml:space="preserve">A Crim 1287, </w:t>
      </w:r>
      <w:r w:rsidRPr="004035BB">
        <w:rPr>
          <w:sz w:val="20"/>
          <w:szCs w:val="20"/>
        </w:rPr>
        <w:t>D [2011] EWCA Crim 1474</w:t>
      </w:r>
      <w:r w:rsidR="00F55A3A">
        <w:rPr>
          <w:sz w:val="20"/>
          <w:szCs w:val="20"/>
        </w:rPr>
        <w:t xml:space="preserve"> and</w:t>
      </w:r>
      <w:r w:rsidR="002C503C">
        <w:rPr>
          <w:sz w:val="20"/>
          <w:szCs w:val="20"/>
        </w:rPr>
        <w:t xml:space="preserve"> </w:t>
      </w:r>
      <w:r w:rsidR="00B50C98">
        <w:rPr>
          <w:i/>
          <w:sz w:val="20"/>
          <w:szCs w:val="20"/>
        </w:rPr>
        <w:t xml:space="preserve">R v Lee </w:t>
      </w:r>
      <w:r w:rsidR="002C503C">
        <w:rPr>
          <w:sz w:val="20"/>
          <w:szCs w:val="20"/>
        </w:rPr>
        <w:t xml:space="preserve">[2012] </w:t>
      </w:r>
      <w:r w:rsidR="00F55A3A">
        <w:rPr>
          <w:sz w:val="20"/>
          <w:szCs w:val="20"/>
        </w:rPr>
        <w:t>EWCA Crim 316 at [19].</w:t>
      </w:r>
      <w:r w:rsidR="002C503C">
        <w:rPr>
          <w:sz w:val="20"/>
          <w:szCs w:val="20"/>
        </w:rPr>
        <w:t xml:space="preserve"> </w:t>
      </w:r>
    </w:p>
  </w:footnote>
  <w:footnote w:id="30">
    <w:p w14:paraId="41A5570B" w14:textId="0664240A" w:rsidR="00B21DA1" w:rsidRPr="00B21DA1" w:rsidRDefault="00B21DA1">
      <w:pPr>
        <w:pStyle w:val="FootnoteText"/>
      </w:pPr>
      <w:r>
        <w:rPr>
          <w:rStyle w:val="FootnoteReference"/>
        </w:rPr>
        <w:footnoteRef/>
      </w:r>
      <w:r>
        <w:t xml:space="preserve"> </w:t>
      </w:r>
      <w:r w:rsidRPr="00B21DA1">
        <w:rPr>
          <w:rFonts w:cs="Times New Roman"/>
          <w:color w:val="000000"/>
        </w:rPr>
        <w:t xml:space="preserve">JR Spencer, </w:t>
      </w:r>
      <w:r w:rsidRPr="00B21DA1">
        <w:rPr>
          <w:rFonts w:cs="Times New Roman"/>
          <w:i/>
          <w:color w:val="000000"/>
        </w:rPr>
        <w:t>Evidence of Bad Character</w:t>
      </w:r>
      <w:r w:rsidRPr="00B21DA1">
        <w:rPr>
          <w:rFonts w:cs="Times New Roman"/>
          <w:color w:val="000000"/>
        </w:rPr>
        <w:t xml:space="preserve"> </w:t>
      </w:r>
      <w:r w:rsidRPr="00B21DA1">
        <w:rPr>
          <w:rFonts w:cs="Times New Roman"/>
          <w:i/>
          <w:color w:val="000000"/>
        </w:rPr>
        <w:t>3</w:t>
      </w:r>
      <w:r w:rsidRPr="00B21DA1">
        <w:rPr>
          <w:rFonts w:cs="Times New Roman"/>
          <w:i/>
          <w:color w:val="000000"/>
          <w:vertAlign w:val="superscript"/>
        </w:rPr>
        <w:t>rd</w:t>
      </w:r>
      <w:r w:rsidRPr="00B21DA1">
        <w:rPr>
          <w:rFonts w:cs="Times New Roman"/>
          <w:i/>
          <w:color w:val="000000"/>
        </w:rPr>
        <w:t xml:space="preserve"> ed.</w:t>
      </w:r>
      <w:r w:rsidRPr="00B21DA1">
        <w:rPr>
          <w:rFonts w:cs="Times New Roman"/>
          <w:color w:val="000000"/>
        </w:rPr>
        <w:t xml:space="preserve"> (Oxford, 2016)</w:t>
      </w:r>
      <w:r>
        <w:rPr>
          <w:rFonts w:cs="Times New Roman"/>
          <w:color w:val="000000"/>
        </w:rPr>
        <w:t>, 21.</w:t>
      </w:r>
    </w:p>
  </w:footnote>
  <w:footnote w:id="31">
    <w:p w14:paraId="285BD745" w14:textId="63CECED8" w:rsidR="000850F7" w:rsidRPr="00990393" w:rsidRDefault="000850F7" w:rsidP="00A75311">
      <w:pPr>
        <w:pStyle w:val="FootnoteText"/>
        <w:rPr>
          <w:lang w:val="en-US"/>
        </w:rPr>
      </w:pPr>
      <w:r w:rsidRPr="004035BB">
        <w:rPr>
          <w:rStyle w:val="FootnoteReference"/>
        </w:rPr>
        <w:footnoteRef/>
      </w:r>
      <w:r w:rsidRPr="004035BB">
        <w:t xml:space="preserve"> </w:t>
      </w:r>
      <w:r w:rsidR="00D51260">
        <w:rPr>
          <w:rFonts w:cs="Times New Roman"/>
        </w:rPr>
        <w:t xml:space="preserve">[2005] EWCA Crim 824, </w:t>
      </w:r>
      <w:r w:rsidRPr="004035BB">
        <w:rPr>
          <w:rFonts w:cs="Times New Roman"/>
        </w:rPr>
        <w:t>[15]</w:t>
      </w:r>
      <w:r>
        <w:rPr>
          <w:rFonts w:cs="Times New Roman"/>
        </w:rPr>
        <w:t>.</w:t>
      </w:r>
    </w:p>
  </w:footnote>
  <w:footnote w:id="32">
    <w:p w14:paraId="6DAE274E" w14:textId="58C854EF" w:rsidR="0006768E" w:rsidRPr="0006768E" w:rsidRDefault="0006768E" w:rsidP="0006768E">
      <w:pPr>
        <w:pStyle w:val="FootnoteText"/>
      </w:pPr>
      <w:r>
        <w:rPr>
          <w:rStyle w:val="FootnoteReference"/>
        </w:rPr>
        <w:footnoteRef/>
      </w:r>
      <w:r>
        <w:t xml:space="preserve"> </w:t>
      </w:r>
      <w:r w:rsidRPr="0006768E">
        <w:rPr>
          <w:rFonts w:cs="Arial"/>
          <w:i/>
          <w:color w:val="222222"/>
        </w:rPr>
        <w:t>Associated Provincial Picture Houses Ltd. v Wednesbury Corporation</w:t>
      </w:r>
      <w:r w:rsidRPr="0006768E">
        <w:rPr>
          <w:rFonts w:cs="Arial"/>
          <w:color w:val="222222"/>
        </w:rPr>
        <w:t xml:space="preserve"> [1948] 1 KB 223</w:t>
      </w:r>
    </w:p>
  </w:footnote>
  <w:footnote w:id="33">
    <w:p w14:paraId="167C09D0" w14:textId="4CE8BA77" w:rsidR="000850F7" w:rsidRPr="0095261F" w:rsidRDefault="000850F7" w:rsidP="00A75311">
      <w:pPr>
        <w:spacing w:after="0" w:line="240" w:lineRule="auto"/>
        <w:rPr>
          <w:sz w:val="20"/>
          <w:lang w:val="es-ES_tradnl" w:eastAsia="en-GB"/>
        </w:rPr>
      </w:pPr>
      <w:r w:rsidRPr="00E61C50">
        <w:rPr>
          <w:rStyle w:val="FootnoteReference"/>
          <w:sz w:val="20"/>
        </w:rPr>
        <w:footnoteRef/>
      </w:r>
      <w:r w:rsidRPr="0095261F">
        <w:rPr>
          <w:sz w:val="20"/>
          <w:lang w:val="es-ES_tradnl"/>
        </w:rPr>
        <w:t xml:space="preserve"> [2017] EWCA Crim 1769</w:t>
      </w:r>
      <w:r w:rsidR="00D51260" w:rsidRPr="0095261F">
        <w:rPr>
          <w:sz w:val="20"/>
          <w:lang w:val="es-ES_tradnl"/>
        </w:rPr>
        <w:t>,</w:t>
      </w:r>
      <w:r w:rsidRPr="0095261F">
        <w:rPr>
          <w:sz w:val="20"/>
          <w:lang w:val="es-ES_tradnl"/>
        </w:rPr>
        <w:t xml:space="preserve"> [28].</w:t>
      </w:r>
    </w:p>
  </w:footnote>
  <w:footnote w:id="34">
    <w:p w14:paraId="5E948815" w14:textId="20FCF1BF" w:rsidR="000850F7" w:rsidRPr="0095261F" w:rsidRDefault="000850F7" w:rsidP="00A75311">
      <w:pPr>
        <w:pStyle w:val="FootnoteText"/>
        <w:rPr>
          <w:lang w:val="es-ES_tradnl"/>
        </w:rPr>
      </w:pPr>
      <w:r>
        <w:rPr>
          <w:rStyle w:val="FootnoteReference"/>
        </w:rPr>
        <w:footnoteRef/>
      </w:r>
      <w:r w:rsidRPr="0095261F">
        <w:rPr>
          <w:lang w:val="es-ES_tradnl"/>
        </w:rPr>
        <w:t xml:space="preserve"> [2017] EWCA Crim 517.</w:t>
      </w:r>
    </w:p>
  </w:footnote>
  <w:footnote w:id="35">
    <w:p w14:paraId="32B6D48C" w14:textId="35B4A28C" w:rsidR="000850F7" w:rsidRPr="0095261F" w:rsidRDefault="000850F7" w:rsidP="00A75311">
      <w:pPr>
        <w:pStyle w:val="FootnoteText"/>
        <w:rPr>
          <w:lang w:val="es-ES_tradnl"/>
        </w:rPr>
      </w:pPr>
      <w:r>
        <w:rPr>
          <w:rStyle w:val="FootnoteReference"/>
        </w:rPr>
        <w:footnoteRef/>
      </w:r>
      <w:r w:rsidR="009C2BA9" w:rsidRPr="0095261F">
        <w:rPr>
          <w:lang w:val="es-ES_tradnl"/>
        </w:rPr>
        <w:t xml:space="preserve"> ibid </w:t>
      </w:r>
      <w:r w:rsidRPr="0095261F">
        <w:rPr>
          <w:lang w:val="es-ES_tradnl"/>
        </w:rPr>
        <w:t>[27]</w:t>
      </w:r>
    </w:p>
  </w:footnote>
  <w:footnote w:id="36">
    <w:p w14:paraId="2B04C9F0" w14:textId="331EE0D3" w:rsidR="000850F7" w:rsidRPr="00E62220" w:rsidRDefault="000850F7" w:rsidP="00A75311">
      <w:pPr>
        <w:pStyle w:val="FootnoteText"/>
      </w:pPr>
      <w:r>
        <w:rPr>
          <w:rStyle w:val="FootnoteReference"/>
        </w:rPr>
        <w:footnoteRef/>
      </w:r>
      <w:r w:rsidRPr="00E62220">
        <w:t xml:space="preserve"> [2016] EWCA Crim</w:t>
      </w:r>
      <w:r w:rsidR="009C2BA9">
        <w:t xml:space="preserve"> </w:t>
      </w:r>
      <w:r w:rsidRPr="00E62220">
        <w:t>1462</w:t>
      </w:r>
      <w:r>
        <w:t>.</w:t>
      </w:r>
    </w:p>
  </w:footnote>
  <w:footnote w:id="37">
    <w:p w14:paraId="7A22F033" w14:textId="0A38DBE7" w:rsidR="000850F7" w:rsidRPr="001454A7" w:rsidRDefault="000850F7" w:rsidP="00A75311">
      <w:pPr>
        <w:pStyle w:val="FootnoteText"/>
        <w:rPr>
          <w:lang w:val="en-US"/>
        </w:rPr>
      </w:pPr>
      <w:r>
        <w:rPr>
          <w:rStyle w:val="FootnoteReference"/>
        </w:rPr>
        <w:footnoteRef/>
      </w:r>
      <w:r>
        <w:t xml:space="preserve"> </w:t>
      </w:r>
      <w:r w:rsidR="009C2BA9">
        <w:t>ibid</w:t>
      </w:r>
      <w:r>
        <w:t xml:space="preserve"> [47].</w:t>
      </w:r>
    </w:p>
  </w:footnote>
  <w:footnote w:id="38">
    <w:p w14:paraId="1DCD2A10" w14:textId="2F875D0D" w:rsidR="0006768E" w:rsidRPr="0006768E" w:rsidRDefault="0006768E">
      <w:pPr>
        <w:pStyle w:val="FootnoteText"/>
      </w:pPr>
      <w:r>
        <w:rPr>
          <w:rStyle w:val="FootnoteReference"/>
        </w:rPr>
        <w:footnoteRef/>
      </w:r>
      <w:r>
        <w:t xml:space="preserve"> </w:t>
      </w:r>
      <w:r w:rsidRPr="0006768E">
        <w:rPr>
          <w:rFonts w:cs="Times New Roman"/>
          <w:i/>
        </w:rPr>
        <w:t>Leathem and Mallett</w:t>
      </w:r>
      <w:r w:rsidRPr="0006768E">
        <w:rPr>
          <w:rFonts w:cs="Times New Roman"/>
          <w:lang w:val="en-US"/>
        </w:rPr>
        <w:t xml:space="preserve"> </w:t>
      </w:r>
      <w:r w:rsidR="009C2BA9">
        <w:rPr>
          <w:rFonts w:cs="Times New Roman"/>
          <w:lang w:val="en-US"/>
        </w:rPr>
        <w:t xml:space="preserve">(n 24) </w:t>
      </w:r>
      <w:r w:rsidRPr="0006768E">
        <w:rPr>
          <w:rFonts w:cs="Times New Roman"/>
          <w:lang w:val="en-US"/>
        </w:rPr>
        <w:t>[46]</w:t>
      </w:r>
    </w:p>
  </w:footnote>
  <w:footnote w:id="39">
    <w:p w14:paraId="7296D45C" w14:textId="77777777" w:rsidR="000850F7" w:rsidRDefault="000850F7" w:rsidP="008C175D">
      <w:pPr>
        <w:pStyle w:val="FootnoteText"/>
      </w:pPr>
      <w:r>
        <w:rPr>
          <w:rStyle w:val="FootnoteReference"/>
        </w:rPr>
        <w:footnoteRef/>
      </w:r>
      <w:r>
        <w:t xml:space="preserve"> This provision is no longer applicable and has no bearing on the admissibility of BCE following the reforms in the Criminal Justice Act 2003.</w:t>
      </w:r>
    </w:p>
  </w:footnote>
  <w:footnote w:id="40">
    <w:p w14:paraId="02CC61AC" w14:textId="79F02549" w:rsidR="000850F7" w:rsidRDefault="000850F7" w:rsidP="008C175D">
      <w:pPr>
        <w:pStyle w:val="FootnoteText"/>
      </w:pPr>
      <w:r>
        <w:rPr>
          <w:rStyle w:val="FootnoteReference"/>
        </w:rPr>
        <w:footnoteRef/>
      </w:r>
      <w:r>
        <w:t xml:space="preserve"> HL Deb vol 652 col 1103 (18</w:t>
      </w:r>
      <w:r w:rsidRPr="003273BC">
        <w:rPr>
          <w:vertAlign w:val="superscript"/>
        </w:rPr>
        <w:t>th</w:t>
      </w:r>
      <w:r>
        <w:t xml:space="preserve"> September 2003).</w:t>
      </w:r>
    </w:p>
  </w:footnote>
  <w:footnote w:id="41">
    <w:p w14:paraId="36A26D29" w14:textId="1D2D8FB6" w:rsidR="000850F7" w:rsidRDefault="000850F7" w:rsidP="008C175D">
      <w:pPr>
        <w:pStyle w:val="FootnoteText"/>
      </w:pPr>
      <w:r>
        <w:rPr>
          <w:rStyle w:val="FootnoteReference"/>
        </w:rPr>
        <w:footnoteRef/>
      </w:r>
      <w:r w:rsidR="009C2BA9">
        <w:t xml:space="preserve"> i</w:t>
      </w:r>
      <w:r>
        <w:t>bid.</w:t>
      </w:r>
    </w:p>
  </w:footnote>
  <w:footnote w:id="42">
    <w:p w14:paraId="4115C2B9" w14:textId="0154438F" w:rsidR="00395D6E" w:rsidRDefault="00395D6E">
      <w:pPr>
        <w:pStyle w:val="FootnoteText"/>
      </w:pPr>
      <w:r>
        <w:rPr>
          <w:rStyle w:val="FootnoteReference"/>
        </w:rPr>
        <w:footnoteRef/>
      </w:r>
      <w:r>
        <w:t xml:space="preserve"> </w:t>
      </w:r>
      <w:r w:rsidR="009C2BA9">
        <w:t>s</w:t>
      </w:r>
      <w:r w:rsidRPr="00395D6E">
        <w:t>108</w:t>
      </w:r>
      <w:r w:rsidR="009C2BA9" w:rsidRPr="00395D6E">
        <w:t>(2)</w:t>
      </w:r>
      <w:r w:rsidRPr="00395D6E">
        <w:t xml:space="preserve"> CJA 2003</w:t>
      </w:r>
      <w:r>
        <w:t>:</w:t>
      </w:r>
      <w:r w:rsidRPr="00395D6E">
        <w:t xml:space="preserve"> In proceedings for an offence committed or alleged to have been committed by the defendant when aged 21 or over, evidence of his conviction for an offence when under the age of 14 is not admissible unless— (a) both of the offences are triable only on indictment, and (b) the court is satisfied that the interests of justice require the evidence to be admissible.</w:t>
      </w:r>
    </w:p>
  </w:footnote>
  <w:footnote w:id="43">
    <w:p w14:paraId="30D36F2A" w14:textId="023D5BF4" w:rsidR="000850F7" w:rsidRPr="0095261F" w:rsidRDefault="000850F7" w:rsidP="008C175D">
      <w:pPr>
        <w:pStyle w:val="FootnoteText"/>
      </w:pPr>
      <w:r>
        <w:rPr>
          <w:rStyle w:val="FootnoteReference"/>
        </w:rPr>
        <w:footnoteRef/>
      </w:r>
      <w:r w:rsidRPr="0095261F">
        <w:t xml:space="preserve"> [2008] EWCA Crim 1850.  </w:t>
      </w:r>
    </w:p>
  </w:footnote>
  <w:footnote w:id="44">
    <w:p w14:paraId="46000AE5" w14:textId="25711116" w:rsidR="003F2F1F" w:rsidRDefault="003F2F1F">
      <w:pPr>
        <w:pStyle w:val="FootnoteText"/>
      </w:pPr>
      <w:r>
        <w:rPr>
          <w:rStyle w:val="FootnoteReference"/>
        </w:rPr>
        <w:footnoteRef/>
      </w:r>
      <w:r>
        <w:t xml:space="preserve"> ibid [17]</w:t>
      </w:r>
    </w:p>
  </w:footnote>
  <w:footnote w:id="45">
    <w:p w14:paraId="63BD3EC6" w14:textId="02F9F1CE" w:rsidR="00395D6E" w:rsidRPr="00395D6E" w:rsidRDefault="00395D6E">
      <w:pPr>
        <w:pStyle w:val="FootnoteText"/>
        <w:rPr>
          <w:rFonts w:ascii="Calibri" w:hAnsi="Calibri"/>
        </w:rPr>
      </w:pPr>
      <w:r>
        <w:rPr>
          <w:rStyle w:val="FootnoteReference"/>
        </w:rPr>
        <w:footnoteRef/>
      </w:r>
      <w:r>
        <w:t xml:space="preserve"> </w:t>
      </w:r>
      <w:r w:rsidR="003F2F1F">
        <w:rPr>
          <w:rFonts w:ascii="Calibri" w:hAnsi="Calibri" w:cs="Times New Roman"/>
        </w:rPr>
        <w:t>T</w:t>
      </w:r>
      <w:r w:rsidRPr="00395D6E">
        <w:rPr>
          <w:rFonts w:ascii="Calibri" w:hAnsi="Calibri" w:cs="Times New Roman"/>
        </w:rPr>
        <w:t>he court instead excluded under s101(3) CJA 2003, see [16]</w:t>
      </w:r>
      <w:r w:rsidR="007A304E">
        <w:rPr>
          <w:rFonts w:ascii="Calibri" w:hAnsi="Calibri" w:cs="Times New Roman"/>
        </w:rPr>
        <w:t xml:space="preserve">. Sadly, this </w:t>
      </w:r>
      <w:r w:rsidR="00024A6D">
        <w:rPr>
          <w:rFonts w:ascii="Calibri" w:hAnsi="Calibri" w:cs="Times New Roman"/>
        </w:rPr>
        <w:t>kind of recognition is not routine in the available s108 CJA 2003 case law.</w:t>
      </w:r>
      <w:r w:rsidR="007A304E">
        <w:rPr>
          <w:rFonts w:ascii="Calibri" w:hAnsi="Calibri" w:cs="Times New Roman"/>
        </w:rPr>
        <w:t xml:space="preserve"> </w:t>
      </w:r>
    </w:p>
  </w:footnote>
  <w:footnote w:id="46">
    <w:p w14:paraId="689A0261" w14:textId="4DE5147E" w:rsidR="000850F7" w:rsidRPr="0095261F" w:rsidRDefault="000850F7">
      <w:pPr>
        <w:pStyle w:val="FootnoteText"/>
        <w:rPr>
          <w:lang w:val="es-ES_tradnl"/>
        </w:rPr>
      </w:pPr>
      <w:r>
        <w:rPr>
          <w:rStyle w:val="FootnoteReference"/>
        </w:rPr>
        <w:footnoteRef/>
      </w:r>
      <w:r w:rsidRPr="0095261F">
        <w:rPr>
          <w:lang w:val="es-ES_tradnl"/>
        </w:rPr>
        <w:t xml:space="preserve"> </w:t>
      </w:r>
      <w:r w:rsidRPr="0095261F">
        <w:rPr>
          <w:rFonts w:cs="Times New Roman"/>
          <w:lang w:val="es-ES_tradnl"/>
        </w:rPr>
        <w:t>[2012] EWCA Crim 783.</w:t>
      </w:r>
    </w:p>
  </w:footnote>
  <w:footnote w:id="47">
    <w:p w14:paraId="30044891" w14:textId="71A1F18C" w:rsidR="00395D6E" w:rsidRPr="0095261F" w:rsidRDefault="00395D6E">
      <w:pPr>
        <w:pStyle w:val="FootnoteText"/>
        <w:rPr>
          <w:lang w:val="es-ES_tradnl"/>
        </w:rPr>
      </w:pPr>
      <w:r>
        <w:rPr>
          <w:rStyle w:val="FootnoteReference"/>
        </w:rPr>
        <w:footnoteRef/>
      </w:r>
      <w:r w:rsidR="00E22FA9" w:rsidRPr="0095261F">
        <w:rPr>
          <w:lang w:val="es-ES_tradnl"/>
        </w:rPr>
        <w:t xml:space="preserve"> i</w:t>
      </w:r>
      <w:r w:rsidR="007A304E" w:rsidRPr="0095261F">
        <w:rPr>
          <w:lang w:val="es-ES_tradnl"/>
        </w:rPr>
        <w:t>bid</w:t>
      </w:r>
      <w:r w:rsidRPr="0095261F">
        <w:rPr>
          <w:lang w:val="es-ES_tradnl"/>
        </w:rPr>
        <w:t xml:space="preserve"> [56].</w:t>
      </w:r>
    </w:p>
  </w:footnote>
  <w:footnote w:id="48">
    <w:p w14:paraId="3E534A52" w14:textId="116EBAA6" w:rsidR="000850F7" w:rsidRPr="00934B1E" w:rsidRDefault="000850F7" w:rsidP="008C175D">
      <w:pPr>
        <w:pStyle w:val="FootnoteText"/>
        <w:rPr>
          <w:lang w:val="es-ES_tradnl"/>
        </w:rPr>
      </w:pPr>
      <w:r>
        <w:rPr>
          <w:rStyle w:val="FootnoteReference"/>
        </w:rPr>
        <w:footnoteRef/>
      </w:r>
      <w:r w:rsidRPr="00934B1E">
        <w:rPr>
          <w:lang w:val="es-ES_tradnl"/>
        </w:rPr>
        <w:t xml:space="preserve"> [2008] EWCA Crim 1850 [12]</w:t>
      </w:r>
      <w:r>
        <w:rPr>
          <w:lang w:val="es-ES_tradnl"/>
        </w:rPr>
        <w:t>.</w:t>
      </w:r>
    </w:p>
  </w:footnote>
  <w:footnote w:id="49">
    <w:p w14:paraId="53E41FBB" w14:textId="04011EEC" w:rsidR="000850F7" w:rsidRPr="0095261F" w:rsidRDefault="000850F7" w:rsidP="008C175D">
      <w:pPr>
        <w:pStyle w:val="FootnoteText"/>
      </w:pPr>
      <w:r>
        <w:rPr>
          <w:rStyle w:val="FootnoteReference"/>
        </w:rPr>
        <w:footnoteRef/>
      </w:r>
      <w:r w:rsidRPr="0095261F">
        <w:t xml:space="preserve"> </w:t>
      </w:r>
      <w:r w:rsidR="003F2F1F" w:rsidRPr="0095261F">
        <w:t>i</w:t>
      </w:r>
      <w:r w:rsidRPr="0095261F">
        <w:t>bid.</w:t>
      </w:r>
    </w:p>
  </w:footnote>
  <w:footnote w:id="50">
    <w:p w14:paraId="1628D39C" w14:textId="05F973C1" w:rsidR="00395D6E" w:rsidRPr="00395D6E" w:rsidRDefault="00395D6E">
      <w:pPr>
        <w:pStyle w:val="FootnoteText"/>
      </w:pPr>
      <w:r>
        <w:rPr>
          <w:rStyle w:val="FootnoteReference"/>
        </w:rPr>
        <w:footnoteRef/>
      </w:r>
      <w:r>
        <w:t xml:space="preserve"> </w:t>
      </w:r>
      <w:r w:rsidRPr="00395D6E">
        <w:rPr>
          <w:rFonts w:cs="Times New Roman"/>
        </w:rPr>
        <w:t>as defined in s112 CJA 2003:</w:t>
      </w:r>
      <w:r w:rsidRPr="00395D6E">
        <w:t xml:space="preserve"> </w:t>
      </w:r>
      <w:r w:rsidRPr="00395D6E">
        <w:rPr>
          <w:rStyle w:val="legterm"/>
          <w:rFonts w:cs="Arial"/>
          <w:lang w:val="en"/>
        </w:rPr>
        <w:t>misconduct</w:t>
      </w:r>
      <w:r w:rsidRPr="00395D6E">
        <w:rPr>
          <w:rFonts w:cs="Arial"/>
          <w:lang w:val="en"/>
        </w:rPr>
        <w:t>” means the commission of an offence or other reprehensible behaviour</w:t>
      </w:r>
    </w:p>
  </w:footnote>
  <w:footnote w:id="51">
    <w:p w14:paraId="7A3098C8" w14:textId="77777777" w:rsidR="00395D6E" w:rsidRPr="0095261F" w:rsidRDefault="00395D6E" w:rsidP="00395D6E">
      <w:pPr>
        <w:pStyle w:val="FootnoteText"/>
      </w:pPr>
      <w:r>
        <w:rPr>
          <w:rStyle w:val="FootnoteReference"/>
        </w:rPr>
        <w:footnoteRef/>
      </w:r>
      <w:r w:rsidRPr="0095261F">
        <w:t xml:space="preserve"> [2014] EWCA Crim 1053.</w:t>
      </w:r>
    </w:p>
  </w:footnote>
  <w:footnote w:id="52">
    <w:p w14:paraId="35621F2D" w14:textId="77777777" w:rsidR="00395D6E" w:rsidRPr="0095261F" w:rsidRDefault="00395D6E" w:rsidP="00395D6E">
      <w:pPr>
        <w:pStyle w:val="FootnoteText"/>
      </w:pPr>
      <w:r>
        <w:rPr>
          <w:rStyle w:val="FootnoteReference"/>
        </w:rPr>
        <w:footnoteRef/>
      </w:r>
      <w:r w:rsidRPr="0095261F">
        <w:t xml:space="preserve"> [2015] EWCA Crim 857.</w:t>
      </w:r>
    </w:p>
  </w:footnote>
  <w:footnote w:id="53">
    <w:p w14:paraId="493A69D2" w14:textId="32314A07" w:rsidR="000850F7" w:rsidRDefault="000850F7" w:rsidP="00552C20">
      <w:pPr>
        <w:pStyle w:val="FootnoteText"/>
      </w:pPr>
      <w:r>
        <w:rPr>
          <w:rStyle w:val="FootnoteReference"/>
        </w:rPr>
        <w:footnoteRef/>
      </w:r>
      <w:r>
        <w:t xml:space="preserve"> Section 101(1)(g)</w:t>
      </w:r>
      <w:r w:rsidRPr="00013FEF">
        <w:t xml:space="preserve"> </w:t>
      </w:r>
      <w:r w:rsidR="008B4019">
        <w:t xml:space="preserve">allows for admission of BCE where </w:t>
      </w:r>
      <w:r w:rsidRPr="00013FEF">
        <w:t>the defendant has made an attack on another person’s character.</w:t>
      </w:r>
    </w:p>
  </w:footnote>
  <w:footnote w:id="54">
    <w:p w14:paraId="471F51B6" w14:textId="0532E615" w:rsidR="000850F7" w:rsidRPr="00941B78" w:rsidRDefault="000850F7" w:rsidP="00552C20">
      <w:pPr>
        <w:pStyle w:val="FootnoteText"/>
      </w:pPr>
      <w:r>
        <w:rPr>
          <w:rStyle w:val="FootnoteReference"/>
        </w:rPr>
        <w:footnoteRef/>
      </w:r>
      <w:r w:rsidRPr="00941B78">
        <w:t xml:space="preserve"> </w:t>
      </w:r>
      <w:r w:rsidRPr="00941B78">
        <w:rPr>
          <w:i/>
        </w:rPr>
        <w:t>Clarke</w:t>
      </w:r>
      <w:r>
        <w:rPr>
          <w:i/>
        </w:rPr>
        <w:t xml:space="preserve"> </w:t>
      </w:r>
      <w:r>
        <w:t>(n 44)</w:t>
      </w:r>
      <w:r w:rsidRPr="00941B78">
        <w:rPr>
          <w:i/>
        </w:rPr>
        <w:t xml:space="preserve"> </w:t>
      </w:r>
      <w:r w:rsidRPr="00941B78">
        <w:t>[7] - [15]</w:t>
      </w:r>
      <w:r>
        <w:t>.</w:t>
      </w:r>
    </w:p>
  </w:footnote>
  <w:footnote w:id="55">
    <w:p w14:paraId="3DB88A15" w14:textId="53D7884F" w:rsidR="000850F7" w:rsidRPr="00941B78" w:rsidRDefault="000850F7" w:rsidP="00552C20">
      <w:pPr>
        <w:pStyle w:val="FootnoteText"/>
      </w:pPr>
      <w:r>
        <w:rPr>
          <w:rStyle w:val="FootnoteReference"/>
        </w:rPr>
        <w:footnoteRef/>
      </w:r>
      <w:r w:rsidRPr="00941B78">
        <w:t xml:space="preserve"> </w:t>
      </w:r>
      <w:r w:rsidRPr="00941B78">
        <w:rPr>
          <w:i/>
        </w:rPr>
        <w:t>Clarke</w:t>
      </w:r>
      <w:r>
        <w:rPr>
          <w:i/>
        </w:rPr>
        <w:t xml:space="preserve"> </w:t>
      </w:r>
      <w:r>
        <w:t>(n 44)</w:t>
      </w:r>
      <w:r w:rsidRPr="00941B78">
        <w:rPr>
          <w:i/>
        </w:rPr>
        <w:t xml:space="preserve"> </w:t>
      </w:r>
      <w:r w:rsidRPr="00941B78">
        <w:t>[15]</w:t>
      </w:r>
      <w:r>
        <w:t>.</w:t>
      </w:r>
    </w:p>
  </w:footnote>
  <w:footnote w:id="56">
    <w:p w14:paraId="15A4A27D" w14:textId="5136F222" w:rsidR="000850F7" w:rsidRDefault="000850F7" w:rsidP="00552C20">
      <w:pPr>
        <w:pStyle w:val="FootnoteText"/>
      </w:pPr>
      <w:r>
        <w:rPr>
          <w:rStyle w:val="FootnoteReference"/>
        </w:rPr>
        <w:footnoteRef/>
      </w:r>
      <w:r>
        <w:t xml:space="preserve"> </w:t>
      </w:r>
      <w:r>
        <w:rPr>
          <w:i/>
        </w:rPr>
        <w:t xml:space="preserve">Clarke </w:t>
      </w:r>
      <w:r>
        <w:t>(n 44)</w:t>
      </w:r>
      <w:r>
        <w:rPr>
          <w:i/>
        </w:rPr>
        <w:t xml:space="preserve"> </w:t>
      </w:r>
      <w:r>
        <w:t>[20].</w:t>
      </w:r>
    </w:p>
  </w:footnote>
  <w:footnote w:id="57">
    <w:p w14:paraId="03D75955" w14:textId="2C15747A" w:rsidR="000850F7" w:rsidRPr="00AA745E" w:rsidRDefault="000850F7" w:rsidP="00552C20">
      <w:pPr>
        <w:pStyle w:val="FootnoteText"/>
        <w:rPr>
          <w:lang w:val="es-ES_tradnl"/>
        </w:rPr>
      </w:pPr>
      <w:r>
        <w:rPr>
          <w:rStyle w:val="FootnoteReference"/>
        </w:rPr>
        <w:footnoteRef/>
      </w:r>
      <w:r w:rsidRPr="00AA745E">
        <w:rPr>
          <w:lang w:val="es-ES_tradnl"/>
        </w:rPr>
        <w:t xml:space="preserve"> </w:t>
      </w:r>
      <w:r w:rsidRPr="00AA745E">
        <w:rPr>
          <w:i/>
          <w:lang w:val="es-ES_tradnl"/>
        </w:rPr>
        <w:t xml:space="preserve">Valencia </w:t>
      </w:r>
      <w:r w:rsidRPr="00AA745E">
        <w:rPr>
          <w:lang w:val="es-ES_tradnl"/>
        </w:rPr>
        <w:t>(n 45) [19].</w:t>
      </w:r>
    </w:p>
  </w:footnote>
  <w:footnote w:id="58">
    <w:p w14:paraId="1E6A2A76" w14:textId="1DD0BF72" w:rsidR="000850F7" w:rsidRPr="00AA745E" w:rsidRDefault="000850F7" w:rsidP="00552C20">
      <w:pPr>
        <w:pStyle w:val="FootnoteText"/>
        <w:rPr>
          <w:lang w:val="es-ES_tradnl"/>
        </w:rPr>
      </w:pPr>
      <w:r>
        <w:rPr>
          <w:rStyle w:val="FootnoteReference"/>
        </w:rPr>
        <w:footnoteRef/>
      </w:r>
      <w:r w:rsidRPr="00AA745E">
        <w:rPr>
          <w:lang w:val="es-ES_tradnl"/>
        </w:rPr>
        <w:t xml:space="preserve"> </w:t>
      </w:r>
      <w:r w:rsidRPr="00AA745E">
        <w:rPr>
          <w:i/>
          <w:lang w:val="es-ES_tradnl"/>
        </w:rPr>
        <w:t xml:space="preserve">Valencia </w:t>
      </w:r>
      <w:r w:rsidRPr="00AA745E">
        <w:rPr>
          <w:lang w:val="es-ES_tradnl"/>
        </w:rPr>
        <w:t xml:space="preserve">(n 45) [19] and [20] </w:t>
      </w:r>
    </w:p>
  </w:footnote>
  <w:footnote w:id="59">
    <w:p w14:paraId="4816F01D" w14:textId="42A6C43C" w:rsidR="000850F7" w:rsidRDefault="000850F7" w:rsidP="00711AD3">
      <w:pPr>
        <w:pStyle w:val="FootnoteText"/>
      </w:pPr>
      <w:r>
        <w:rPr>
          <w:rStyle w:val="FootnoteReference"/>
        </w:rPr>
        <w:footnoteRef/>
      </w:r>
      <w:r>
        <w:t xml:space="preserve"> this is not in dispute here necessarily; the authors take issue with the next point – i.e. that</w:t>
      </w:r>
      <w:r w:rsidR="0095261F">
        <w:t xml:space="preserve"> the presumption of</w:t>
      </w:r>
      <w:r>
        <w:t xml:space="preserve"> </w:t>
      </w:r>
      <w:r w:rsidRPr="00CB226A">
        <w:rPr>
          <w:i/>
        </w:rPr>
        <w:t>doli</w:t>
      </w:r>
      <w:r>
        <w:t xml:space="preserve"> </w:t>
      </w:r>
      <w:r w:rsidRPr="00CB226A">
        <w:rPr>
          <w:i/>
        </w:rPr>
        <w:t>incapax</w:t>
      </w:r>
      <w:r>
        <w:t xml:space="preserve"> was held to be inapplicable where BCE is at play and the incidents pre-dated the D’s 14</w:t>
      </w:r>
      <w:r w:rsidRPr="00CB226A">
        <w:rPr>
          <w:vertAlign w:val="superscript"/>
        </w:rPr>
        <w:t>th</w:t>
      </w:r>
      <w:r>
        <w:t xml:space="preserve"> birthday. </w:t>
      </w:r>
    </w:p>
  </w:footnote>
  <w:footnote w:id="60">
    <w:p w14:paraId="037E3905" w14:textId="1A2AC8BD" w:rsidR="000850F7" w:rsidRPr="000850F7" w:rsidRDefault="000850F7">
      <w:pPr>
        <w:pStyle w:val="FootnoteText"/>
        <w:rPr>
          <w:lang w:val="es-ES_tradnl"/>
        </w:rPr>
      </w:pPr>
      <w:r>
        <w:rPr>
          <w:rStyle w:val="FootnoteReference"/>
        </w:rPr>
        <w:footnoteRef/>
      </w:r>
      <w:r w:rsidRPr="000850F7">
        <w:rPr>
          <w:lang w:val="es-ES_tradnl"/>
        </w:rPr>
        <w:t xml:space="preserve"> </w:t>
      </w:r>
      <w:r w:rsidRPr="000850F7">
        <w:rPr>
          <w:rFonts w:ascii="Calibri" w:hAnsi="Calibri" w:cs="Times New Roman"/>
          <w:i/>
          <w:lang w:val="es-ES_tradnl"/>
        </w:rPr>
        <w:t xml:space="preserve">M </w:t>
      </w:r>
      <w:r w:rsidRPr="000850F7">
        <w:rPr>
          <w:rFonts w:ascii="Calibri" w:hAnsi="Calibri" w:cs="Times New Roman"/>
          <w:lang w:val="es-ES_tradnl"/>
        </w:rPr>
        <w:t>[2016] EWCA Crim 674 [17].</w:t>
      </w:r>
    </w:p>
  </w:footnote>
  <w:footnote w:id="61">
    <w:p w14:paraId="05F760DC" w14:textId="06453804" w:rsidR="000850F7" w:rsidRPr="00CA5373" w:rsidRDefault="000850F7" w:rsidP="00711AD3">
      <w:pPr>
        <w:pStyle w:val="FootnoteText"/>
        <w:rPr>
          <w:lang w:val="es-ES_tradnl"/>
        </w:rPr>
      </w:pPr>
      <w:r>
        <w:rPr>
          <w:rStyle w:val="FootnoteReference"/>
        </w:rPr>
        <w:footnoteRef/>
      </w:r>
      <w:r w:rsidRPr="00CA5373">
        <w:rPr>
          <w:lang w:val="es-ES_tradnl"/>
        </w:rPr>
        <w:t xml:space="preserve"> [2010] EWCA Crim 312</w:t>
      </w:r>
      <w:r>
        <w:rPr>
          <w:lang w:val="es-ES_tradnl"/>
        </w:rPr>
        <w:t>.</w:t>
      </w:r>
    </w:p>
  </w:footnote>
  <w:footnote w:id="62">
    <w:p w14:paraId="21DC89A7" w14:textId="770F0C08" w:rsidR="000850F7" w:rsidRPr="0029665A" w:rsidRDefault="000850F7" w:rsidP="00711AD3">
      <w:pPr>
        <w:pStyle w:val="FootnoteText"/>
      </w:pPr>
      <w:r>
        <w:rPr>
          <w:rStyle w:val="FootnoteReference"/>
        </w:rPr>
        <w:footnoteRef/>
      </w:r>
      <w:r w:rsidR="007A304E">
        <w:t xml:space="preserve"> i</w:t>
      </w:r>
      <w:r w:rsidRPr="0029665A">
        <w:t>bid [45]</w:t>
      </w:r>
    </w:p>
  </w:footnote>
  <w:footnote w:id="63">
    <w:p w14:paraId="7733D027" w14:textId="4E065884" w:rsidR="000850F7" w:rsidRPr="003305D3" w:rsidRDefault="000850F7" w:rsidP="00711AD3">
      <w:pPr>
        <w:pStyle w:val="FootnoteText"/>
      </w:pPr>
      <w:r>
        <w:rPr>
          <w:rStyle w:val="FootnoteReference"/>
        </w:rPr>
        <w:footnoteRef/>
      </w:r>
      <w:r w:rsidRPr="00934B1E">
        <w:t xml:space="preserve"> [2016] EWCA Crim 674 [21]. </w:t>
      </w:r>
      <w:r>
        <w:t xml:space="preserve">See also, [17]-[20]. These decisions are confirmed in the later case of </w:t>
      </w:r>
      <w:r>
        <w:rPr>
          <w:i/>
        </w:rPr>
        <w:t xml:space="preserve">R v PF. </w:t>
      </w:r>
    </w:p>
  </w:footnote>
  <w:footnote w:id="64">
    <w:p w14:paraId="5A83FD21" w14:textId="77777777" w:rsidR="000850F7" w:rsidRPr="00276606" w:rsidRDefault="000850F7" w:rsidP="003C3975">
      <w:pPr>
        <w:pStyle w:val="FootnoteText"/>
        <w:rPr>
          <w:szCs w:val="22"/>
          <w:lang w:val="en-US"/>
        </w:rPr>
      </w:pPr>
      <w:r w:rsidRPr="003C23B2">
        <w:rPr>
          <w:rStyle w:val="FootnoteReference"/>
          <w:szCs w:val="22"/>
        </w:rPr>
        <w:footnoteRef/>
      </w:r>
      <w:r w:rsidRPr="003C23B2">
        <w:rPr>
          <w:szCs w:val="22"/>
        </w:rPr>
        <w:t xml:space="preserve"> </w:t>
      </w:r>
      <w:r w:rsidRPr="003C23B2">
        <w:rPr>
          <w:rFonts w:cs="Times New Roman"/>
          <w:szCs w:val="22"/>
        </w:rPr>
        <w:t xml:space="preserve">[2007] EWCA Crim 3047. See also </w:t>
      </w:r>
      <w:r w:rsidRPr="003C23B2">
        <w:rPr>
          <w:i/>
          <w:szCs w:val="22"/>
        </w:rPr>
        <w:t>R v Lafayette</w:t>
      </w:r>
      <w:r w:rsidRPr="003C23B2">
        <w:rPr>
          <w:szCs w:val="22"/>
        </w:rPr>
        <w:t xml:space="preserve"> [2008] EWCA Crim 3238; [2009] Crim LR 809</w:t>
      </w:r>
      <w:r>
        <w:rPr>
          <w:szCs w:val="22"/>
        </w:rPr>
        <w:t xml:space="preserve">, </w:t>
      </w:r>
      <w:r>
        <w:rPr>
          <w:i/>
          <w:szCs w:val="22"/>
        </w:rPr>
        <w:t xml:space="preserve">Ngyuen </w:t>
      </w:r>
      <w:r>
        <w:rPr>
          <w:szCs w:val="22"/>
        </w:rPr>
        <w:t>[2008] EWCA Crim 585.</w:t>
      </w:r>
    </w:p>
  </w:footnote>
  <w:footnote w:id="65">
    <w:p w14:paraId="0BF89929" w14:textId="03903F78" w:rsidR="000850F7" w:rsidRPr="003C23B2" w:rsidRDefault="000850F7" w:rsidP="003C3975">
      <w:pPr>
        <w:pStyle w:val="FootnoteText"/>
        <w:rPr>
          <w:szCs w:val="22"/>
          <w:lang w:val="en-US"/>
        </w:rPr>
      </w:pPr>
      <w:r w:rsidRPr="003C23B2">
        <w:rPr>
          <w:rStyle w:val="FootnoteReference"/>
          <w:szCs w:val="22"/>
        </w:rPr>
        <w:footnoteRef/>
      </w:r>
      <w:r w:rsidRPr="003C23B2">
        <w:rPr>
          <w:szCs w:val="22"/>
        </w:rPr>
        <w:t xml:space="preserve"> </w:t>
      </w:r>
      <w:r w:rsidRPr="003C23B2">
        <w:rPr>
          <w:i/>
          <w:szCs w:val="22"/>
          <w:lang w:val="en-US"/>
        </w:rPr>
        <w:t>Lowe</w:t>
      </w:r>
      <w:r w:rsidRPr="003C23B2">
        <w:rPr>
          <w:szCs w:val="22"/>
          <w:lang w:val="en-US"/>
        </w:rPr>
        <w:t xml:space="preserve"> [21]</w:t>
      </w:r>
      <w:r>
        <w:rPr>
          <w:szCs w:val="22"/>
          <w:lang w:val="en-US"/>
        </w:rPr>
        <w:t>.</w:t>
      </w:r>
    </w:p>
  </w:footnote>
  <w:footnote w:id="66">
    <w:p w14:paraId="079C54E3" w14:textId="7DA580BF" w:rsidR="000850F7" w:rsidRPr="00DD6AD6" w:rsidRDefault="000850F7" w:rsidP="003C3975">
      <w:pPr>
        <w:pStyle w:val="FootnoteText"/>
        <w:rPr>
          <w:szCs w:val="22"/>
          <w:lang w:val="en-US"/>
        </w:rPr>
      </w:pPr>
      <w:r w:rsidRPr="003C23B2">
        <w:rPr>
          <w:rStyle w:val="FootnoteReference"/>
          <w:szCs w:val="22"/>
        </w:rPr>
        <w:footnoteRef/>
      </w:r>
      <w:r w:rsidRPr="003C23B2">
        <w:rPr>
          <w:szCs w:val="22"/>
        </w:rPr>
        <w:t xml:space="preserve"> See for example, </w:t>
      </w:r>
      <w:r w:rsidRPr="007A304E">
        <w:rPr>
          <w:rFonts w:cs="Times New Roman"/>
          <w:i/>
          <w:szCs w:val="22"/>
        </w:rPr>
        <w:t>R v Stewart</w:t>
      </w:r>
      <w:r>
        <w:rPr>
          <w:rFonts w:cs="Times New Roman"/>
          <w:szCs w:val="22"/>
        </w:rPr>
        <w:t xml:space="preserve"> [2016] EWCA Crim 447, </w:t>
      </w:r>
      <w:r w:rsidRPr="007A304E">
        <w:rPr>
          <w:rFonts w:cs="Times New Roman"/>
          <w:i/>
          <w:szCs w:val="22"/>
        </w:rPr>
        <w:t>R v Awoyemi</w:t>
      </w:r>
      <w:r w:rsidRPr="003C23B2">
        <w:rPr>
          <w:rFonts w:cs="Times New Roman"/>
          <w:szCs w:val="22"/>
        </w:rPr>
        <w:t xml:space="preserve"> [2016] 4 WLR 114</w:t>
      </w:r>
      <w:r>
        <w:rPr>
          <w:rFonts w:cs="Times New Roman"/>
          <w:szCs w:val="22"/>
        </w:rPr>
        <w:t xml:space="preserve"> and </w:t>
      </w:r>
      <w:r>
        <w:rPr>
          <w:rFonts w:cs="Times New Roman"/>
          <w:i/>
          <w:szCs w:val="22"/>
        </w:rPr>
        <w:t xml:space="preserve">R v B(E) </w:t>
      </w:r>
      <w:r>
        <w:rPr>
          <w:rFonts w:cs="Times New Roman"/>
          <w:szCs w:val="22"/>
        </w:rPr>
        <w:t>[2017] EWCA Crim 35.</w:t>
      </w:r>
    </w:p>
  </w:footnote>
  <w:footnote w:id="67">
    <w:p w14:paraId="13713786" w14:textId="2BFA84B9" w:rsidR="000850F7" w:rsidRPr="003C23B2" w:rsidRDefault="000850F7" w:rsidP="003C3975">
      <w:pPr>
        <w:spacing w:after="0" w:line="240" w:lineRule="auto"/>
        <w:rPr>
          <w:sz w:val="20"/>
        </w:rPr>
      </w:pPr>
      <w:r w:rsidRPr="003C23B2">
        <w:rPr>
          <w:rStyle w:val="FootnoteReference"/>
          <w:sz w:val="20"/>
        </w:rPr>
        <w:footnoteRef/>
      </w:r>
      <w:r w:rsidRPr="003C23B2">
        <w:rPr>
          <w:sz w:val="20"/>
        </w:rPr>
        <w:t xml:space="preserve"> [2016] UKSC 55. See further, E Engleby</w:t>
      </w:r>
      <w:r>
        <w:rPr>
          <w:sz w:val="20"/>
        </w:rPr>
        <w:t>,</w:t>
      </w:r>
      <w:r w:rsidRPr="003C23B2">
        <w:rPr>
          <w:sz w:val="20"/>
        </w:rPr>
        <w:t xml:space="preserve"> M Stockdale, ‘Non-Conviction Bad Character Evidence and Directions to the Jury on Use to Show Propensity: R v Mitchell </w:t>
      </w:r>
      <w:r w:rsidRPr="003C23B2">
        <w:rPr>
          <w:rFonts w:cs="Helvetica"/>
          <w:color w:val="000000"/>
          <w:sz w:val="20"/>
        </w:rPr>
        <w:t xml:space="preserve">[2015] NICA 34 (CA); </w:t>
      </w:r>
      <w:r w:rsidRPr="003C23B2">
        <w:rPr>
          <w:sz w:val="20"/>
        </w:rPr>
        <w:t xml:space="preserve">[2016] UKSC 55; </w:t>
      </w:r>
      <w:r w:rsidRPr="003C23B2">
        <w:rPr>
          <w:rFonts w:cs="Helvetica"/>
          <w:color w:val="000000"/>
          <w:sz w:val="20"/>
        </w:rPr>
        <w:t xml:space="preserve">[2016] 3 W.L.R. 1405 (SC)’ (2017) 81(2) </w:t>
      </w:r>
      <w:r w:rsidRPr="00E22FA9">
        <w:rPr>
          <w:rFonts w:cs="Helvetica"/>
          <w:color w:val="000000"/>
          <w:sz w:val="20"/>
        </w:rPr>
        <w:t>Journal of Criminal Law</w:t>
      </w:r>
      <w:r>
        <w:rPr>
          <w:rFonts w:cs="Helvetica"/>
          <w:color w:val="000000"/>
          <w:sz w:val="20"/>
        </w:rPr>
        <w:t xml:space="preserve"> 94</w:t>
      </w:r>
      <w:r w:rsidRPr="003C23B2">
        <w:rPr>
          <w:rFonts w:cs="Helvetica"/>
          <w:color w:val="000000"/>
          <w:sz w:val="20"/>
        </w:rPr>
        <w:t>.</w:t>
      </w:r>
    </w:p>
  </w:footnote>
  <w:footnote w:id="68">
    <w:p w14:paraId="2211C82D" w14:textId="00506951" w:rsidR="000850F7" w:rsidRPr="003C23B2" w:rsidRDefault="000850F7" w:rsidP="003C3975">
      <w:pPr>
        <w:pStyle w:val="FootnoteText"/>
        <w:rPr>
          <w:szCs w:val="22"/>
          <w:lang w:val="en-US"/>
        </w:rPr>
      </w:pPr>
      <w:r w:rsidRPr="003C23B2">
        <w:rPr>
          <w:rStyle w:val="FootnoteReference"/>
          <w:szCs w:val="22"/>
        </w:rPr>
        <w:footnoteRef/>
      </w:r>
      <w:r w:rsidRPr="003C23B2">
        <w:rPr>
          <w:szCs w:val="22"/>
        </w:rPr>
        <w:t xml:space="preserve"> </w:t>
      </w:r>
      <w:r w:rsidRPr="003C23B2">
        <w:rPr>
          <w:rFonts w:cs="Helvetica"/>
          <w:color w:val="000000"/>
          <w:szCs w:val="22"/>
        </w:rPr>
        <w:t>[2016] UKSC 55 [43]</w:t>
      </w:r>
      <w:r>
        <w:rPr>
          <w:rFonts w:cs="Helvetica"/>
          <w:color w:val="000000"/>
          <w:szCs w:val="22"/>
        </w:rPr>
        <w:t>.</w:t>
      </w:r>
    </w:p>
  </w:footnote>
  <w:footnote w:id="69">
    <w:p w14:paraId="1E6FB40E" w14:textId="320A3064" w:rsidR="000850F7" w:rsidRPr="000D2218" w:rsidRDefault="000850F7" w:rsidP="003C3975">
      <w:pPr>
        <w:pStyle w:val="FootnoteText"/>
        <w:rPr>
          <w:lang w:val="en-US"/>
        </w:rPr>
      </w:pPr>
      <w:r w:rsidRPr="003C23B2">
        <w:rPr>
          <w:rStyle w:val="FootnoteReference"/>
          <w:szCs w:val="22"/>
        </w:rPr>
        <w:footnoteRef/>
      </w:r>
      <w:r w:rsidRPr="003C23B2">
        <w:rPr>
          <w:szCs w:val="22"/>
        </w:rPr>
        <w:t xml:space="preserve"> </w:t>
      </w:r>
      <w:r w:rsidRPr="003C23B2">
        <w:rPr>
          <w:i/>
          <w:szCs w:val="22"/>
          <w:lang w:val="en-US"/>
        </w:rPr>
        <w:t>Mitchell</w:t>
      </w:r>
      <w:r w:rsidRPr="003C23B2">
        <w:rPr>
          <w:szCs w:val="22"/>
          <w:lang w:val="en-US"/>
        </w:rPr>
        <w:t xml:space="preserve"> [43].</w:t>
      </w:r>
    </w:p>
  </w:footnote>
  <w:footnote w:id="70">
    <w:p w14:paraId="482197E4" w14:textId="77777777" w:rsidR="000850F7" w:rsidRPr="003C23B2" w:rsidRDefault="000850F7" w:rsidP="003C3975">
      <w:pPr>
        <w:pStyle w:val="FootnoteText"/>
        <w:rPr>
          <w:lang w:val="en-US"/>
        </w:rPr>
      </w:pPr>
      <w:r>
        <w:rPr>
          <w:rStyle w:val="FootnoteReference"/>
        </w:rPr>
        <w:footnoteRef/>
      </w:r>
      <w:r>
        <w:t xml:space="preserve"> </w:t>
      </w:r>
      <w:r>
        <w:rPr>
          <w:i/>
          <w:lang w:val="en-US"/>
        </w:rPr>
        <w:t xml:space="preserve">Mitchell </w:t>
      </w:r>
      <w:r>
        <w:rPr>
          <w:lang w:val="en-US"/>
        </w:rPr>
        <w:t>[45]</w:t>
      </w:r>
    </w:p>
  </w:footnote>
  <w:footnote w:id="71">
    <w:p w14:paraId="24AF69A2" w14:textId="1262EE66" w:rsidR="000850F7" w:rsidRPr="00993186" w:rsidRDefault="000850F7" w:rsidP="003378F4">
      <w:pPr>
        <w:spacing w:after="0" w:line="240" w:lineRule="auto"/>
        <w:rPr>
          <w:lang w:val="en-US"/>
        </w:rPr>
      </w:pPr>
      <w:r w:rsidRPr="00536567">
        <w:rPr>
          <w:rStyle w:val="FootnoteReference"/>
          <w:sz w:val="20"/>
          <w:szCs w:val="20"/>
        </w:rPr>
        <w:footnoteRef/>
      </w:r>
      <w:r>
        <w:rPr>
          <w:sz w:val="20"/>
          <w:szCs w:val="20"/>
        </w:rPr>
        <w:t xml:space="preserve"> JL Kupperman</w:t>
      </w:r>
      <w:r w:rsidRPr="00536567">
        <w:rPr>
          <w:sz w:val="20"/>
          <w:szCs w:val="20"/>
        </w:rPr>
        <w:t xml:space="preserve"> </w:t>
      </w:r>
      <w:r w:rsidRPr="000850F7">
        <w:rPr>
          <w:i/>
          <w:sz w:val="20"/>
          <w:szCs w:val="20"/>
        </w:rPr>
        <w:t>Character</w:t>
      </w:r>
      <w:r w:rsidRPr="00536567">
        <w:rPr>
          <w:sz w:val="20"/>
          <w:szCs w:val="20"/>
        </w:rPr>
        <w:t xml:space="preserve"> (Oxford,</w:t>
      </w:r>
      <w:r>
        <w:t xml:space="preserve"> 1991), 15.</w:t>
      </w:r>
    </w:p>
  </w:footnote>
  <w:footnote w:id="72">
    <w:p w14:paraId="03FE4587" w14:textId="003AEA53" w:rsidR="000850F7" w:rsidRPr="00993186" w:rsidRDefault="000850F7" w:rsidP="003378F4">
      <w:pPr>
        <w:pStyle w:val="FootnoteText"/>
        <w:rPr>
          <w:lang w:val="en-US"/>
        </w:rPr>
      </w:pPr>
      <w:r>
        <w:rPr>
          <w:rStyle w:val="FootnoteReference"/>
        </w:rPr>
        <w:footnoteRef/>
      </w:r>
      <w:r>
        <w:t xml:space="preserve"> M </w:t>
      </w:r>
      <w:r w:rsidRPr="003378F4">
        <w:rPr>
          <w:rFonts w:ascii="Calibri" w:hAnsi="Calibri" w:cs="Times New Roman"/>
          <w:lang w:val="en-US"/>
        </w:rPr>
        <w:t>Redmayne</w:t>
      </w:r>
      <w:r>
        <w:rPr>
          <w:rFonts w:ascii="Calibri" w:hAnsi="Calibri" w:cs="Times New Roman"/>
          <w:color w:val="000000"/>
        </w:rPr>
        <w:t xml:space="preserve"> </w:t>
      </w:r>
      <w:r w:rsidR="00E51DDE">
        <w:rPr>
          <w:rFonts w:ascii="Calibri" w:hAnsi="Calibri" w:cs="Times New Roman"/>
          <w:i/>
          <w:color w:val="000000"/>
        </w:rPr>
        <w:t>Character in the Criminal Trial</w:t>
      </w:r>
      <w:r w:rsidRPr="003378F4">
        <w:rPr>
          <w:rFonts w:ascii="Calibri" w:hAnsi="Calibri" w:cs="Times New Roman"/>
          <w:i/>
          <w:color w:val="000000"/>
        </w:rPr>
        <w:t xml:space="preserve"> </w:t>
      </w:r>
      <w:r w:rsidR="00E51DDE">
        <w:rPr>
          <w:rFonts w:ascii="Calibri" w:hAnsi="Calibri" w:cs="Times New Roman"/>
          <w:color w:val="000000"/>
        </w:rPr>
        <w:t>(</w:t>
      </w:r>
      <w:r>
        <w:rPr>
          <w:rFonts w:ascii="Calibri" w:hAnsi="Calibri" w:cs="Times New Roman"/>
          <w:color w:val="000000"/>
        </w:rPr>
        <w:t>Oxford, 2015),</w:t>
      </w:r>
      <w:r w:rsidRPr="003378F4">
        <w:rPr>
          <w:rFonts w:ascii="Calibri" w:hAnsi="Calibri" w:cs="Times New Roman"/>
          <w:color w:val="000000"/>
        </w:rPr>
        <w:t xml:space="preserve"> </w:t>
      </w:r>
      <w:r>
        <w:rPr>
          <w:lang w:val="en-US"/>
        </w:rPr>
        <w:t xml:space="preserve">12-13. For further discussion on Trait Theory, Situationist theories and Interactionism, see CH Rose ‘Should the Tail Wag the Dog?: The Potential Effects of Recidivism Data on Character Evidence Rules’ (2006) 36 </w:t>
      </w:r>
      <w:r w:rsidRPr="00E22FA9">
        <w:rPr>
          <w:lang w:val="en-US"/>
        </w:rPr>
        <w:t>New Mexico Law Review</w:t>
      </w:r>
      <w:r>
        <w:rPr>
          <w:lang w:val="en-US"/>
        </w:rPr>
        <w:t xml:space="preserve"> 341.</w:t>
      </w:r>
    </w:p>
  </w:footnote>
  <w:footnote w:id="73">
    <w:p w14:paraId="28A9AF25" w14:textId="61562393" w:rsidR="000850F7" w:rsidRPr="00EA4149" w:rsidRDefault="000850F7" w:rsidP="003378F4">
      <w:pPr>
        <w:pStyle w:val="FootnoteText"/>
        <w:rPr>
          <w:lang w:val="en-US"/>
        </w:rPr>
      </w:pPr>
      <w:r>
        <w:rPr>
          <w:rStyle w:val="FootnoteReference"/>
        </w:rPr>
        <w:footnoteRef/>
      </w:r>
      <w:r>
        <w:t xml:space="preserve"> </w:t>
      </w:r>
      <w:r>
        <w:rPr>
          <w:lang w:val="en-US"/>
        </w:rPr>
        <w:t xml:space="preserve">Kupperman (n </w:t>
      </w:r>
      <w:r w:rsidRPr="003378F4">
        <w:rPr>
          <w:lang w:val="en-US"/>
        </w:rPr>
        <w:t>75</w:t>
      </w:r>
      <w:r>
        <w:rPr>
          <w:lang w:val="en-US"/>
        </w:rPr>
        <w:t>) 59.</w:t>
      </w:r>
    </w:p>
  </w:footnote>
  <w:footnote w:id="74">
    <w:p w14:paraId="5C85CC8C" w14:textId="267D2469" w:rsidR="000850F7" w:rsidRPr="00AE60C2" w:rsidRDefault="000850F7" w:rsidP="003378F4">
      <w:pPr>
        <w:pStyle w:val="FootnoteText"/>
        <w:rPr>
          <w:lang w:val="en-US"/>
        </w:rPr>
      </w:pPr>
      <w:r>
        <w:rPr>
          <w:rStyle w:val="FootnoteReference"/>
        </w:rPr>
        <w:footnoteRef/>
      </w:r>
      <w:r>
        <w:t xml:space="preserve"> </w:t>
      </w:r>
      <w:r>
        <w:rPr>
          <w:lang w:val="en-US"/>
        </w:rPr>
        <w:t xml:space="preserve">Redmayne (n </w:t>
      </w:r>
      <w:r w:rsidR="00D51260">
        <w:rPr>
          <w:lang w:val="en-US"/>
        </w:rPr>
        <w:t>79</w:t>
      </w:r>
      <w:r>
        <w:rPr>
          <w:lang w:val="en-US"/>
        </w:rPr>
        <w:t xml:space="preserve">) 12-14. However, see further MA </w:t>
      </w:r>
      <w:r w:rsidRPr="003425DE">
        <w:rPr>
          <w:lang w:val="en-US"/>
        </w:rPr>
        <w:t>M</w:t>
      </w:r>
      <w:r w:rsidRPr="003425DE">
        <w:rPr>
          <w:rFonts w:cs="Times New Roman"/>
        </w:rPr>
        <w:t>é</w:t>
      </w:r>
      <w:r>
        <w:rPr>
          <w:rFonts w:cs="Times New Roman"/>
        </w:rPr>
        <w:t xml:space="preserve">ndez ‘The Law of Evidence and the Search for a Stable Personality’ (1996) 45 </w:t>
      </w:r>
      <w:r w:rsidRPr="000850F7">
        <w:rPr>
          <w:rFonts w:cs="Times New Roman"/>
          <w:i/>
        </w:rPr>
        <w:t>Emory Law Journal</w:t>
      </w:r>
      <w:r>
        <w:rPr>
          <w:rFonts w:cs="Times New Roman"/>
        </w:rPr>
        <w:t xml:space="preserve"> 221 who recognises that the effects of situational variance can have significant effects on behaviour, and a person’s perceptions of a situation are dependant upon a number of factors (Cognitive Affective Theory of Personality, page 232 onwards) – both of which might potentially diminish the predictive capability of BCE.</w:t>
      </w:r>
    </w:p>
  </w:footnote>
  <w:footnote w:id="75">
    <w:p w14:paraId="07BAC448" w14:textId="46945878" w:rsidR="000850F7" w:rsidRPr="00B5178C" w:rsidRDefault="000850F7" w:rsidP="003378F4">
      <w:pPr>
        <w:pStyle w:val="FootnoteText"/>
        <w:rPr>
          <w:lang w:val="en-US"/>
        </w:rPr>
      </w:pPr>
      <w:r>
        <w:rPr>
          <w:rStyle w:val="FootnoteReference"/>
        </w:rPr>
        <w:footnoteRef/>
      </w:r>
      <w:r>
        <w:t xml:space="preserve"> </w:t>
      </w:r>
      <w:r w:rsidR="00D51260">
        <w:rPr>
          <w:lang w:val="en-US"/>
        </w:rPr>
        <w:t>Redmayne (n 79</w:t>
      </w:r>
      <w:r>
        <w:rPr>
          <w:lang w:val="en-US"/>
        </w:rPr>
        <w:t>) 32.</w:t>
      </w:r>
    </w:p>
  </w:footnote>
  <w:footnote w:id="76">
    <w:p w14:paraId="35DCB31A" w14:textId="185C1C8F" w:rsidR="000850F7" w:rsidRPr="00277EDB" w:rsidRDefault="000850F7" w:rsidP="003378F4">
      <w:pPr>
        <w:pStyle w:val="FootnoteText"/>
        <w:rPr>
          <w:lang w:val="en-US"/>
        </w:rPr>
      </w:pPr>
      <w:r>
        <w:rPr>
          <w:rStyle w:val="FootnoteReference"/>
        </w:rPr>
        <w:footnoteRef/>
      </w:r>
      <w:r>
        <w:t xml:space="preserve"> </w:t>
      </w:r>
      <w:r>
        <w:rPr>
          <w:lang w:val="en-US"/>
        </w:rPr>
        <w:t>Hereafter referred to as ‘compara</w:t>
      </w:r>
      <w:r w:rsidR="00D51260">
        <w:rPr>
          <w:lang w:val="en-US"/>
        </w:rPr>
        <w:t>tive propensity’, Redmayne (n 79</w:t>
      </w:r>
      <w:r w:rsidRPr="003378F4">
        <w:rPr>
          <w:lang w:val="en-US"/>
        </w:rPr>
        <w:t xml:space="preserve">) </w:t>
      </w:r>
      <w:r>
        <w:rPr>
          <w:lang w:val="en-US"/>
        </w:rPr>
        <w:t>15.</w:t>
      </w:r>
    </w:p>
  </w:footnote>
  <w:footnote w:id="77">
    <w:p w14:paraId="7DA9178F" w14:textId="010B3961" w:rsidR="000850F7" w:rsidRPr="00A21FBA" w:rsidRDefault="000850F7" w:rsidP="003378F4">
      <w:pPr>
        <w:pStyle w:val="FootnoteText"/>
        <w:rPr>
          <w:lang w:val="en-US"/>
        </w:rPr>
      </w:pPr>
      <w:r>
        <w:rPr>
          <w:rStyle w:val="FootnoteReference"/>
        </w:rPr>
        <w:footnoteRef/>
      </w:r>
      <w:r w:rsidR="007A304E">
        <w:t xml:space="preserve"> Redmayne (n 79</w:t>
      </w:r>
      <w:r>
        <w:t>) 27.</w:t>
      </w:r>
    </w:p>
  </w:footnote>
  <w:footnote w:id="78">
    <w:p w14:paraId="5B129E59" w14:textId="21860C9A" w:rsidR="000850F7" w:rsidRPr="008716BB" w:rsidRDefault="000850F7" w:rsidP="003378F4">
      <w:pPr>
        <w:pStyle w:val="FootnoteText"/>
        <w:rPr>
          <w:lang w:val="en-US"/>
        </w:rPr>
      </w:pPr>
      <w:r>
        <w:rPr>
          <w:rStyle w:val="FootnoteReference"/>
        </w:rPr>
        <w:footnoteRef/>
      </w:r>
      <w:r>
        <w:t xml:space="preserve"> </w:t>
      </w:r>
      <w:r>
        <w:rPr>
          <w:lang w:val="en-US"/>
        </w:rPr>
        <w:t>ibid 29.</w:t>
      </w:r>
    </w:p>
  </w:footnote>
  <w:footnote w:id="79">
    <w:p w14:paraId="3E837F86" w14:textId="0A8D8026" w:rsidR="000850F7" w:rsidRPr="0015132D" w:rsidRDefault="000850F7" w:rsidP="003378F4">
      <w:pPr>
        <w:pStyle w:val="FootnoteText"/>
        <w:rPr>
          <w:lang w:val="en-US"/>
        </w:rPr>
      </w:pPr>
      <w:r>
        <w:rPr>
          <w:rStyle w:val="FootnoteReference"/>
        </w:rPr>
        <w:footnoteRef/>
      </w:r>
      <w:r>
        <w:t xml:space="preserve"> AE </w:t>
      </w:r>
      <w:r>
        <w:rPr>
          <w:lang w:val="en-US"/>
        </w:rPr>
        <w:t xml:space="preserve">Acorn ‘Similar Fact Evidence and the Principle of Inductive Reasoning: Makin Sense’ (1991) 11(1) </w:t>
      </w:r>
      <w:r w:rsidRPr="00E22FA9">
        <w:rPr>
          <w:lang w:val="en-US"/>
        </w:rPr>
        <w:t>Oxford Journal of Legal Studies</w:t>
      </w:r>
      <w:r w:rsidR="00E22FA9">
        <w:rPr>
          <w:lang w:val="en-US"/>
        </w:rPr>
        <w:t xml:space="preserve"> 63, </w:t>
      </w:r>
      <w:r>
        <w:rPr>
          <w:lang w:val="en-US"/>
        </w:rPr>
        <w:t>87.</w:t>
      </w:r>
    </w:p>
  </w:footnote>
  <w:footnote w:id="80">
    <w:p w14:paraId="0A4C022C" w14:textId="1EA75A02" w:rsidR="000850F7" w:rsidRPr="008C4E3C" w:rsidRDefault="000850F7" w:rsidP="003378F4">
      <w:pPr>
        <w:pStyle w:val="FootnoteText"/>
      </w:pPr>
      <w:r w:rsidRPr="008C4E3C">
        <w:rPr>
          <w:rStyle w:val="FootnoteReference"/>
        </w:rPr>
        <w:footnoteRef/>
      </w:r>
      <w:r w:rsidRPr="008C4E3C">
        <w:t xml:space="preserve"> </w:t>
      </w:r>
      <w:r>
        <w:t>P Tidmarsh</w:t>
      </w:r>
      <w:r w:rsidRPr="008C4E3C">
        <w:t xml:space="preserve"> </w:t>
      </w:r>
      <w:r>
        <w:t>‘</w:t>
      </w:r>
      <w:r w:rsidRPr="008C4E3C">
        <w:t>Young men, se</w:t>
      </w:r>
      <w:r>
        <w:t>x</w:t>
      </w:r>
      <w:r w:rsidRPr="008C4E3C">
        <w:t>uality and sexual offending (risk management and public education</w:t>
      </w:r>
      <w:r>
        <w:t>’</w:t>
      </w:r>
      <w:r w:rsidRPr="008C4E3C">
        <w:t xml:space="preserve">) in </w:t>
      </w:r>
      <w:r>
        <w:t xml:space="preserve">M </w:t>
      </w:r>
      <w:r w:rsidRPr="008C4E3C">
        <w:t xml:space="preserve">James (ed.) </w:t>
      </w:r>
      <w:r w:rsidRPr="000850F7">
        <w:rPr>
          <w:i/>
        </w:rPr>
        <w:t>Paedophilia: policy and prevention</w:t>
      </w:r>
      <w:r w:rsidRPr="008C4E3C">
        <w:t xml:space="preserve"> </w:t>
      </w:r>
      <w:r>
        <w:t>(</w:t>
      </w:r>
      <w:r w:rsidRPr="008C4E3C">
        <w:t>Canberra</w:t>
      </w:r>
      <w:r>
        <w:t xml:space="preserve">, 1997). </w:t>
      </w:r>
    </w:p>
  </w:footnote>
  <w:footnote w:id="81">
    <w:p w14:paraId="35DA2FF7" w14:textId="4ECE0664" w:rsidR="000850F7" w:rsidRPr="008C4E3C" w:rsidRDefault="000850F7" w:rsidP="003378F4">
      <w:pPr>
        <w:autoSpaceDE w:val="0"/>
        <w:autoSpaceDN w:val="0"/>
        <w:adjustRightInd w:val="0"/>
        <w:spacing w:after="0" w:line="240" w:lineRule="auto"/>
        <w:rPr>
          <w:rFonts w:cs="AdvTT5235d5a9"/>
          <w:sz w:val="20"/>
          <w:szCs w:val="20"/>
        </w:rPr>
      </w:pPr>
      <w:r w:rsidRPr="008C4E3C">
        <w:rPr>
          <w:rStyle w:val="FootnoteReference"/>
          <w:sz w:val="20"/>
          <w:szCs w:val="20"/>
        </w:rPr>
        <w:footnoteRef/>
      </w:r>
      <w:r w:rsidRPr="000850F7">
        <w:rPr>
          <w:sz w:val="20"/>
          <w:szCs w:val="20"/>
        </w:rPr>
        <w:t xml:space="preserve"> P </w:t>
      </w:r>
      <w:r w:rsidRPr="000850F7">
        <w:rPr>
          <w:rFonts w:cs="AdvTT5235d5a9"/>
          <w:sz w:val="20"/>
          <w:szCs w:val="20"/>
        </w:rPr>
        <w:t>Lussier, C  van den Berg</w:t>
      </w:r>
      <w:r w:rsidR="00E22FA9">
        <w:rPr>
          <w:rFonts w:cs="AdvTT5235d5a9"/>
          <w:sz w:val="20"/>
          <w:szCs w:val="20"/>
        </w:rPr>
        <w:t xml:space="preserve">, C Bijleveld, </w:t>
      </w:r>
      <w:r w:rsidR="00E51DDE">
        <w:rPr>
          <w:rFonts w:cs="AdvTT5235d5a9"/>
          <w:sz w:val="20"/>
          <w:szCs w:val="20"/>
        </w:rPr>
        <w:t>&amp; J Hendriks</w:t>
      </w:r>
      <w:r w:rsidR="00E22FA9">
        <w:rPr>
          <w:rFonts w:cs="AdvTT5235d5a9"/>
          <w:sz w:val="20"/>
          <w:szCs w:val="20"/>
        </w:rPr>
        <w:t>,</w:t>
      </w:r>
      <w:r w:rsidRPr="000850F7">
        <w:rPr>
          <w:rFonts w:cs="AdvTT5235d5a9"/>
          <w:sz w:val="20"/>
          <w:szCs w:val="20"/>
        </w:rPr>
        <w:t xml:space="preserve"> </w:t>
      </w:r>
      <w:r>
        <w:rPr>
          <w:rFonts w:cs="AdvTT5235d5a9"/>
          <w:sz w:val="20"/>
          <w:szCs w:val="20"/>
        </w:rPr>
        <w:t>‘</w:t>
      </w:r>
      <w:r w:rsidRPr="008C4E3C">
        <w:rPr>
          <w:rFonts w:cs="AdvTT5235d5a9"/>
          <w:sz w:val="20"/>
          <w:szCs w:val="20"/>
        </w:rPr>
        <w:t>A developmental taxonomy of juvenile sex offenders for theory, research and prevention: The adolescent-limited and the high-rate slow desister</w:t>
      </w:r>
      <w:r>
        <w:rPr>
          <w:rFonts w:cs="AdvTT5235d5a9"/>
          <w:sz w:val="20"/>
          <w:szCs w:val="20"/>
        </w:rPr>
        <w:t xml:space="preserve">’ (2012) 39 </w:t>
      </w:r>
      <w:r w:rsidRPr="00E22FA9">
        <w:rPr>
          <w:rFonts w:cs="AdvTT94c8263f.I"/>
          <w:sz w:val="20"/>
          <w:szCs w:val="20"/>
        </w:rPr>
        <w:t>Criminal Justice and Behavior</w:t>
      </w:r>
      <w:r w:rsidRPr="00E22FA9">
        <w:rPr>
          <w:rFonts w:cs="AdvTT5235d5a9"/>
          <w:sz w:val="20"/>
          <w:szCs w:val="20"/>
        </w:rPr>
        <w:t xml:space="preserve"> </w:t>
      </w:r>
      <w:r w:rsidRPr="008C4E3C">
        <w:rPr>
          <w:rFonts w:cs="AdvTT5235d5a9"/>
          <w:sz w:val="20"/>
          <w:szCs w:val="20"/>
        </w:rPr>
        <w:t>1559.</w:t>
      </w:r>
    </w:p>
  </w:footnote>
  <w:footnote w:id="82">
    <w:p w14:paraId="04D84C4D" w14:textId="201C5ACD" w:rsidR="000850F7" w:rsidRPr="008C4E3C" w:rsidRDefault="000850F7" w:rsidP="003378F4">
      <w:pPr>
        <w:autoSpaceDE w:val="0"/>
        <w:autoSpaceDN w:val="0"/>
        <w:adjustRightInd w:val="0"/>
        <w:spacing w:after="0" w:line="240" w:lineRule="auto"/>
        <w:rPr>
          <w:rFonts w:cs="AdvTT5235d5a9"/>
          <w:sz w:val="20"/>
          <w:szCs w:val="20"/>
        </w:rPr>
      </w:pPr>
      <w:r w:rsidRPr="008C4E3C">
        <w:rPr>
          <w:rStyle w:val="FootnoteReference"/>
          <w:sz w:val="20"/>
          <w:szCs w:val="20"/>
        </w:rPr>
        <w:footnoteRef/>
      </w:r>
      <w:r w:rsidRPr="008C4E3C">
        <w:rPr>
          <w:sz w:val="20"/>
          <w:szCs w:val="20"/>
        </w:rPr>
        <w:t xml:space="preserve"> </w:t>
      </w:r>
      <w:r>
        <w:rPr>
          <w:sz w:val="20"/>
          <w:szCs w:val="20"/>
        </w:rPr>
        <w:t xml:space="preserve">DM </w:t>
      </w:r>
      <w:r>
        <w:rPr>
          <w:rFonts w:cs="AdvTT5235d5a9"/>
          <w:sz w:val="20"/>
          <w:szCs w:val="20"/>
        </w:rPr>
        <w:t>Vandiver</w:t>
      </w:r>
      <w:r w:rsidRPr="008C4E3C">
        <w:rPr>
          <w:rFonts w:cs="AdvTT5235d5a9"/>
          <w:sz w:val="20"/>
          <w:szCs w:val="20"/>
        </w:rPr>
        <w:t xml:space="preserve"> </w:t>
      </w:r>
      <w:r>
        <w:rPr>
          <w:rFonts w:cs="AdvTT5235d5a9"/>
          <w:sz w:val="20"/>
          <w:szCs w:val="20"/>
        </w:rPr>
        <w:t>‘</w:t>
      </w:r>
      <w:r w:rsidRPr="008C4E3C">
        <w:rPr>
          <w:rFonts w:cs="AdvTT5235d5a9"/>
          <w:sz w:val="20"/>
          <w:szCs w:val="20"/>
        </w:rPr>
        <w:t>A Pro</w:t>
      </w:r>
      <w:r>
        <w:rPr>
          <w:rFonts w:cs="AdvTT5235d5a9"/>
          <w:sz w:val="20"/>
          <w:szCs w:val="20"/>
        </w:rPr>
        <w:t>spective Analysis of Juvenile Ma</w:t>
      </w:r>
      <w:r w:rsidRPr="008C4E3C">
        <w:rPr>
          <w:rFonts w:cs="AdvTT5235d5a9"/>
          <w:sz w:val="20"/>
          <w:szCs w:val="20"/>
        </w:rPr>
        <w:t>le Sex Offenders: Characteristics</w:t>
      </w:r>
      <w:r>
        <w:rPr>
          <w:rFonts w:cs="AdvTT5235d5a9"/>
          <w:sz w:val="20"/>
          <w:szCs w:val="20"/>
        </w:rPr>
        <w:t xml:space="preserve"> and Recidivism Rates as Adults’</w:t>
      </w:r>
      <w:r w:rsidRPr="008C4E3C">
        <w:rPr>
          <w:rFonts w:cs="AdvTT5235d5a9"/>
          <w:sz w:val="20"/>
          <w:szCs w:val="20"/>
        </w:rPr>
        <w:t xml:space="preserve"> </w:t>
      </w:r>
      <w:r>
        <w:rPr>
          <w:rFonts w:cs="AdvTT5235d5a9"/>
          <w:sz w:val="20"/>
          <w:szCs w:val="20"/>
        </w:rPr>
        <w:t xml:space="preserve">(2006) 21(5) </w:t>
      </w:r>
      <w:r w:rsidRPr="00E22FA9">
        <w:rPr>
          <w:rFonts w:cs="AdvTT94c8263f.I"/>
          <w:sz w:val="20"/>
          <w:szCs w:val="20"/>
        </w:rPr>
        <w:t>Journal of Interpersonal Violence</w:t>
      </w:r>
      <w:r>
        <w:rPr>
          <w:rFonts w:cs="AdvTT94c8263f.I"/>
          <w:i/>
          <w:sz w:val="20"/>
          <w:szCs w:val="20"/>
        </w:rPr>
        <w:t xml:space="preserve"> </w:t>
      </w:r>
      <w:r w:rsidRPr="008C4E3C">
        <w:rPr>
          <w:rFonts w:cs="AdvTT5235d5a9"/>
          <w:sz w:val="20"/>
          <w:szCs w:val="20"/>
        </w:rPr>
        <w:t xml:space="preserve">673; Also, </w:t>
      </w:r>
      <w:r>
        <w:rPr>
          <w:rFonts w:cs="AdvTT5235d5a9"/>
          <w:sz w:val="20"/>
          <w:szCs w:val="20"/>
        </w:rPr>
        <w:t xml:space="preserve">C </w:t>
      </w:r>
      <w:r w:rsidRPr="008C4E3C">
        <w:rPr>
          <w:rFonts w:cs="AdvTT5235d5a9"/>
          <w:sz w:val="20"/>
          <w:szCs w:val="20"/>
        </w:rPr>
        <w:t xml:space="preserve">Hargreaves, </w:t>
      </w:r>
      <w:r>
        <w:rPr>
          <w:rFonts w:cs="AdvTT5235d5a9"/>
          <w:sz w:val="20"/>
          <w:szCs w:val="20"/>
        </w:rPr>
        <w:t>B Francis ‘</w:t>
      </w:r>
      <w:r w:rsidRPr="008C4E3C">
        <w:rPr>
          <w:rFonts w:cs="AdvTT5235d5a9"/>
          <w:sz w:val="20"/>
          <w:szCs w:val="20"/>
        </w:rPr>
        <w:t>The long term recidivism risk of young sexual offenders in England and Wales</w:t>
      </w:r>
      <w:r w:rsidRPr="008C4E3C">
        <w:rPr>
          <w:rFonts w:cs="AdvTT5235d5a9+20"/>
          <w:sz w:val="20"/>
          <w:szCs w:val="20"/>
        </w:rPr>
        <w:t xml:space="preserve">– </w:t>
      </w:r>
      <w:r w:rsidRPr="008C4E3C">
        <w:rPr>
          <w:rFonts w:cs="AdvTT5235d5a9"/>
          <w:sz w:val="20"/>
          <w:szCs w:val="20"/>
        </w:rPr>
        <w:t>enduring risk or redemption?</w:t>
      </w:r>
      <w:r>
        <w:rPr>
          <w:rFonts w:cs="AdvTT5235d5a9"/>
          <w:sz w:val="20"/>
          <w:szCs w:val="20"/>
        </w:rPr>
        <w:t>’ (2014) 42</w:t>
      </w:r>
      <w:r w:rsidRPr="008C4E3C">
        <w:rPr>
          <w:rFonts w:cs="AdvTT5235d5a9"/>
          <w:sz w:val="20"/>
          <w:szCs w:val="20"/>
        </w:rPr>
        <w:t xml:space="preserve"> </w:t>
      </w:r>
      <w:r w:rsidRPr="00E22FA9">
        <w:rPr>
          <w:rFonts w:cs="AdvTT5235d5a9"/>
          <w:sz w:val="20"/>
          <w:szCs w:val="20"/>
        </w:rPr>
        <w:t>Journal of Criminal Justice</w:t>
      </w:r>
      <w:r w:rsidRPr="008C4E3C">
        <w:rPr>
          <w:rFonts w:cs="AdvTT5235d5a9"/>
          <w:sz w:val="20"/>
          <w:szCs w:val="20"/>
        </w:rPr>
        <w:t xml:space="preserve"> 164</w:t>
      </w:r>
      <w:r>
        <w:rPr>
          <w:rFonts w:cs="AdvTT5235d5a9+20"/>
          <w:sz w:val="20"/>
          <w:szCs w:val="20"/>
        </w:rPr>
        <w:t>.</w:t>
      </w:r>
    </w:p>
  </w:footnote>
  <w:footnote w:id="83">
    <w:p w14:paraId="1F5E8071" w14:textId="230A384E" w:rsidR="000850F7" w:rsidRPr="008C4E3C" w:rsidRDefault="000850F7" w:rsidP="003378F4">
      <w:pPr>
        <w:pStyle w:val="FootnoteText"/>
      </w:pPr>
      <w:r w:rsidRPr="008C4E3C">
        <w:rPr>
          <w:rStyle w:val="FootnoteReference"/>
        </w:rPr>
        <w:footnoteRef/>
      </w:r>
      <w:r w:rsidRPr="008C4E3C">
        <w:t xml:space="preserve"> </w:t>
      </w:r>
      <w:r>
        <w:t xml:space="preserve">MF </w:t>
      </w:r>
      <w:r>
        <w:rPr>
          <w:rFonts w:cs="Times New Roman"/>
          <w:color w:val="000000"/>
        </w:rPr>
        <w:t>Caldwell</w:t>
      </w:r>
      <w:r w:rsidRPr="008C4E3C">
        <w:rPr>
          <w:rFonts w:cs="Times New Roman"/>
          <w:color w:val="000000"/>
        </w:rPr>
        <w:t xml:space="preserve"> </w:t>
      </w:r>
      <w:r>
        <w:rPr>
          <w:rFonts w:cs="Times New Roman"/>
          <w:color w:val="000000"/>
        </w:rPr>
        <w:t>‘</w:t>
      </w:r>
      <w:r w:rsidRPr="008C4E3C">
        <w:rPr>
          <w:rFonts w:cs="Times New Roman"/>
          <w:color w:val="000000"/>
        </w:rPr>
        <w:t>What we do not know about juvenile sexual reoffense risk</w:t>
      </w:r>
      <w:r>
        <w:rPr>
          <w:rFonts w:cs="Times New Roman"/>
          <w:color w:val="000000"/>
        </w:rPr>
        <w:t>’ (2002) 7(4)</w:t>
      </w:r>
      <w:r w:rsidRPr="008C4E3C">
        <w:rPr>
          <w:rFonts w:cs="Times New Roman"/>
          <w:color w:val="000000"/>
        </w:rPr>
        <w:t xml:space="preserve"> </w:t>
      </w:r>
      <w:r w:rsidRPr="00E22FA9">
        <w:rPr>
          <w:rFonts w:cs="Times New Roman"/>
          <w:iCs/>
          <w:color w:val="000000"/>
        </w:rPr>
        <w:t>Child Maltreatment</w:t>
      </w:r>
      <w:r w:rsidRPr="008C4E3C">
        <w:rPr>
          <w:rFonts w:cs="Times New Roman"/>
          <w:i/>
          <w:iCs/>
          <w:color w:val="000000"/>
        </w:rPr>
        <w:t xml:space="preserve"> </w:t>
      </w:r>
      <w:r w:rsidRPr="008C4E3C">
        <w:rPr>
          <w:rFonts w:cs="Times New Roman"/>
          <w:color w:val="000000"/>
        </w:rPr>
        <w:t xml:space="preserve">291; </w:t>
      </w:r>
      <w:r>
        <w:rPr>
          <w:rFonts w:cs="Times New Roman"/>
          <w:color w:val="000000"/>
        </w:rPr>
        <w:t xml:space="preserve">LR Reitzel </w:t>
      </w:r>
      <w:r w:rsidRPr="008C4E3C">
        <w:rPr>
          <w:rFonts w:cs="Times New Roman"/>
          <w:color w:val="000000"/>
        </w:rPr>
        <w:t xml:space="preserve">and </w:t>
      </w:r>
      <w:r>
        <w:rPr>
          <w:rFonts w:cs="Times New Roman"/>
          <w:color w:val="000000"/>
        </w:rPr>
        <w:t xml:space="preserve">JL </w:t>
      </w:r>
      <w:r w:rsidRPr="008C4E3C">
        <w:rPr>
          <w:rFonts w:cs="Times New Roman"/>
          <w:color w:val="000000"/>
        </w:rPr>
        <w:t>Carbonell</w:t>
      </w:r>
      <w:r>
        <w:rPr>
          <w:rFonts w:cs="Times New Roman"/>
          <w:color w:val="000000"/>
        </w:rPr>
        <w:t xml:space="preserve"> ‘</w:t>
      </w:r>
      <w:r w:rsidRPr="008C4E3C">
        <w:rPr>
          <w:rFonts w:cs="Times New Roman"/>
          <w:color w:val="000000"/>
        </w:rPr>
        <w:t>The effectiveness of sexual offender treatment for juveniles as measured by recidivism: A metaanalysis</w:t>
      </w:r>
      <w:r>
        <w:rPr>
          <w:rFonts w:cs="Times New Roman"/>
          <w:color w:val="000000"/>
        </w:rPr>
        <w:t>’ (2007) 18</w:t>
      </w:r>
      <w:r w:rsidRPr="008C4E3C">
        <w:rPr>
          <w:rFonts w:cs="Times New Roman"/>
          <w:color w:val="000000"/>
        </w:rPr>
        <w:t xml:space="preserve"> </w:t>
      </w:r>
      <w:r w:rsidRPr="00E22FA9">
        <w:rPr>
          <w:rFonts w:cs="Times New Roman"/>
          <w:iCs/>
          <w:color w:val="000000"/>
        </w:rPr>
        <w:t>Sexual Abuse: A Journal of Research and Treatment</w:t>
      </w:r>
      <w:r>
        <w:rPr>
          <w:rFonts w:cs="Times New Roman"/>
          <w:color w:val="000000"/>
        </w:rPr>
        <w:t xml:space="preserve"> </w:t>
      </w:r>
      <w:r w:rsidRPr="008C4E3C">
        <w:rPr>
          <w:rFonts w:cs="Times New Roman"/>
          <w:color w:val="000000"/>
        </w:rPr>
        <w:t xml:space="preserve">401; </w:t>
      </w:r>
      <w:r>
        <w:rPr>
          <w:rFonts w:cs="Times New Roman"/>
          <w:color w:val="000000"/>
        </w:rPr>
        <w:t>D</w:t>
      </w:r>
      <w:r w:rsidRPr="008C4E3C">
        <w:rPr>
          <w:rFonts w:cs="Times New Roman"/>
          <w:color w:val="000000"/>
        </w:rPr>
        <w:t xml:space="preserve"> Finkelhor, </w:t>
      </w:r>
      <w:r>
        <w:rPr>
          <w:rFonts w:cs="Times New Roman"/>
          <w:color w:val="000000"/>
        </w:rPr>
        <w:t>R</w:t>
      </w:r>
      <w:r w:rsidRPr="008C4E3C">
        <w:rPr>
          <w:rFonts w:cs="Times New Roman"/>
          <w:color w:val="000000"/>
        </w:rPr>
        <w:t xml:space="preserve"> Ormrod, </w:t>
      </w:r>
      <w:r>
        <w:rPr>
          <w:rFonts w:cs="Times New Roman"/>
          <w:color w:val="000000"/>
        </w:rPr>
        <w:t>M</w:t>
      </w:r>
      <w:r w:rsidRPr="008C4E3C">
        <w:rPr>
          <w:rFonts w:cs="Times New Roman"/>
          <w:color w:val="000000"/>
        </w:rPr>
        <w:t xml:space="preserve"> Chaffin ‘Juveniles who comm</w:t>
      </w:r>
      <w:r>
        <w:rPr>
          <w:rFonts w:cs="Times New Roman"/>
          <w:color w:val="000000"/>
        </w:rPr>
        <w:t>it sex offences against minors’ (2009)</w:t>
      </w:r>
      <w:r w:rsidRPr="008C4E3C">
        <w:rPr>
          <w:rFonts w:cs="Times New Roman"/>
          <w:color w:val="000000"/>
        </w:rPr>
        <w:t xml:space="preserve"> </w:t>
      </w:r>
      <w:r w:rsidRPr="00E22FA9">
        <w:rPr>
          <w:rFonts w:cs="Times New Roman"/>
          <w:color w:val="000000"/>
        </w:rPr>
        <w:t>Juvenile Justice Bulletin</w:t>
      </w:r>
      <w:r>
        <w:rPr>
          <w:rFonts w:cs="Times New Roman"/>
          <w:color w:val="000000"/>
        </w:rPr>
        <w:t xml:space="preserve"> 1.</w:t>
      </w:r>
    </w:p>
  </w:footnote>
  <w:footnote w:id="84">
    <w:p w14:paraId="38C44F2A" w14:textId="338939C9" w:rsidR="000850F7" w:rsidRPr="008D0F02" w:rsidRDefault="000850F7" w:rsidP="008D0F02">
      <w:pPr>
        <w:autoSpaceDE w:val="0"/>
        <w:autoSpaceDN w:val="0"/>
        <w:adjustRightInd w:val="0"/>
        <w:spacing w:after="0" w:line="240" w:lineRule="auto"/>
        <w:rPr>
          <w:rFonts w:ascii="Calibri" w:hAnsi="Calibri" w:cs="Times New Roman"/>
          <w:sz w:val="20"/>
          <w:szCs w:val="20"/>
        </w:rPr>
      </w:pPr>
      <w:r>
        <w:rPr>
          <w:rStyle w:val="FootnoteReference"/>
        </w:rPr>
        <w:footnoteRef/>
      </w:r>
      <w:r>
        <w:t xml:space="preserve"> </w:t>
      </w:r>
      <w:r w:rsidRPr="008D0F02">
        <w:rPr>
          <w:rFonts w:ascii="Calibri" w:hAnsi="Calibri"/>
          <w:sz w:val="20"/>
          <w:szCs w:val="20"/>
        </w:rPr>
        <w:t>L Janes ‘Is criminalising children’s sexual behaviour counterproductive?</w:t>
      </w:r>
      <w:r w:rsidR="00DB36AD">
        <w:rPr>
          <w:rFonts w:ascii="Calibri" w:hAnsi="Calibri"/>
          <w:sz w:val="20"/>
          <w:szCs w:val="20"/>
        </w:rPr>
        <w:t>’ (2016) 28(3)</w:t>
      </w:r>
      <w:r w:rsidRPr="008D0F02">
        <w:rPr>
          <w:rFonts w:ascii="Calibri" w:hAnsi="Calibri"/>
          <w:sz w:val="20"/>
          <w:szCs w:val="20"/>
        </w:rPr>
        <w:t xml:space="preserve"> </w:t>
      </w:r>
      <w:r w:rsidR="00DB36AD" w:rsidRPr="00E22FA9">
        <w:rPr>
          <w:rFonts w:ascii="Calibri" w:hAnsi="Calibri"/>
          <w:sz w:val="20"/>
          <w:szCs w:val="20"/>
        </w:rPr>
        <w:t>Child and Family Law Quarterly</w:t>
      </w:r>
      <w:r w:rsidR="00DB36AD">
        <w:rPr>
          <w:rFonts w:ascii="Calibri" w:hAnsi="Calibri"/>
          <w:i/>
          <w:sz w:val="20"/>
          <w:szCs w:val="20"/>
        </w:rPr>
        <w:t xml:space="preserve"> </w:t>
      </w:r>
      <w:r w:rsidR="00DB36AD">
        <w:rPr>
          <w:rFonts w:ascii="Calibri" w:hAnsi="Calibri"/>
          <w:sz w:val="20"/>
          <w:szCs w:val="20"/>
        </w:rPr>
        <w:t>239</w:t>
      </w:r>
      <w:r w:rsidRPr="008D0F02">
        <w:rPr>
          <w:rFonts w:ascii="Calibri" w:hAnsi="Calibri"/>
          <w:sz w:val="20"/>
          <w:szCs w:val="20"/>
        </w:rPr>
        <w:t xml:space="preserve">. Also </w:t>
      </w:r>
      <w:r w:rsidRPr="008D0F02">
        <w:rPr>
          <w:rFonts w:ascii="Calibri" w:hAnsi="Calibri" w:cs="Times New Roman"/>
          <w:sz w:val="20"/>
          <w:szCs w:val="20"/>
        </w:rPr>
        <w:t xml:space="preserve">R Beckett, 'Risk prediction, decision making and evaluation of adolescent sexual abusers', in M Erooga and H Masson (eds), </w:t>
      </w:r>
      <w:r w:rsidRPr="008D0F02">
        <w:rPr>
          <w:rFonts w:ascii="Calibri" w:hAnsi="Calibri" w:cs="Times New Roman"/>
          <w:i/>
          <w:iCs/>
          <w:sz w:val="20"/>
          <w:szCs w:val="20"/>
        </w:rPr>
        <w:t xml:space="preserve">Children and Young People Who Sexually Abuse Others: Current Developments and Practice Responses </w:t>
      </w:r>
      <w:r w:rsidRPr="008D0F02">
        <w:rPr>
          <w:rFonts w:ascii="Calibri" w:hAnsi="Calibri" w:cs="Times New Roman"/>
          <w:sz w:val="20"/>
          <w:szCs w:val="20"/>
        </w:rPr>
        <w:t>(</w:t>
      </w:r>
      <w:r w:rsidR="00DB36AD">
        <w:rPr>
          <w:rFonts w:ascii="Calibri" w:hAnsi="Calibri" w:cs="Times New Roman"/>
          <w:sz w:val="20"/>
          <w:szCs w:val="20"/>
        </w:rPr>
        <w:t>London</w:t>
      </w:r>
      <w:r w:rsidRPr="008D0F02">
        <w:rPr>
          <w:rFonts w:ascii="Calibri" w:hAnsi="Calibri" w:cs="Times New Roman"/>
          <w:sz w:val="20"/>
          <w:szCs w:val="20"/>
        </w:rPr>
        <w:t xml:space="preserve">, </w:t>
      </w:r>
      <w:r w:rsidRPr="008D0F02">
        <w:rPr>
          <w:rFonts w:ascii="Calibri" w:hAnsi="Calibri" w:cs="Times New Roman"/>
          <w:bCs/>
          <w:sz w:val="20"/>
          <w:szCs w:val="20"/>
        </w:rPr>
        <w:t xml:space="preserve">2006), </w:t>
      </w:r>
      <w:r w:rsidRPr="008D0F02">
        <w:rPr>
          <w:rFonts w:ascii="Calibri" w:hAnsi="Calibri" w:cs="Times New Roman"/>
          <w:sz w:val="20"/>
          <w:szCs w:val="20"/>
        </w:rPr>
        <w:t xml:space="preserve">at </w:t>
      </w:r>
      <w:r w:rsidRPr="008D0F02">
        <w:rPr>
          <w:rFonts w:ascii="Calibri" w:hAnsi="Calibri" w:cs="Times New Roman"/>
          <w:bCs/>
          <w:sz w:val="20"/>
          <w:szCs w:val="20"/>
        </w:rPr>
        <w:t>233</w:t>
      </w:r>
      <w:r w:rsidRPr="008D0F02">
        <w:rPr>
          <w:rFonts w:ascii="Calibri" w:hAnsi="Calibri" w:cs="Times New Roman"/>
          <w:sz w:val="20"/>
          <w:szCs w:val="20"/>
        </w:rPr>
        <w:t xml:space="preserve">; </w:t>
      </w:r>
      <w:r w:rsidRPr="008D0F02">
        <w:rPr>
          <w:rFonts w:ascii="Calibri" w:hAnsi="Calibri" w:cs="Times New Roman"/>
          <w:bCs/>
          <w:sz w:val="20"/>
          <w:szCs w:val="20"/>
        </w:rPr>
        <w:t xml:space="preserve">C </w:t>
      </w:r>
      <w:r w:rsidRPr="008D0F02">
        <w:rPr>
          <w:rFonts w:ascii="Calibri" w:hAnsi="Calibri" w:cs="Times New Roman"/>
          <w:sz w:val="20"/>
          <w:szCs w:val="20"/>
        </w:rPr>
        <w:t xml:space="preserve">Hargreaves and B Francis, 'The long term recidivism risk of young sexual offenders in England and Wales </w:t>
      </w:r>
      <w:r w:rsidRPr="008D0F02">
        <w:rPr>
          <w:rFonts w:ascii="Calibri" w:hAnsi="Calibri" w:cs="Arial"/>
          <w:b/>
          <w:bCs/>
          <w:sz w:val="20"/>
          <w:szCs w:val="20"/>
        </w:rPr>
        <w:t xml:space="preserve">- </w:t>
      </w:r>
      <w:r w:rsidRPr="008D0F02">
        <w:rPr>
          <w:rFonts w:ascii="Calibri" w:hAnsi="Calibri" w:cs="Times New Roman"/>
          <w:sz w:val="20"/>
          <w:szCs w:val="20"/>
        </w:rPr>
        <w:t xml:space="preserve">enduring risk or redemption?' (2014) 42 </w:t>
      </w:r>
      <w:r w:rsidRPr="00E22FA9">
        <w:rPr>
          <w:rFonts w:ascii="Calibri" w:hAnsi="Calibri" w:cs="Times New Roman"/>
          <w:iCs/>
          <w:sz w:val="20"/>
          <w:szCs w:val="20"/>
        </w:rPr>
        <w:t>Journal of Criminal Justice</w:t>
      </w:r>
      <w:r w:rsidRPr="008D0F02">
        <w:rPr>
          <w:rFonts w:ascii="Calibri" w:hAnsi="Calibri" w:cs="Times New Roman"/>
          <w:i/>
          <w:iCs/>
          <w:sz w:val="20"/>
          <w:szCs w:val="20"/>
        </w:rPr>
        <w:t xml:space="preserve"> </w:t>
      </w:r>
      <w:r w:rsidRPr="00DB36AD">
        <w:rPr>
          <w:rFonts w:ascii="Calibri" w:hAnsi="Calibri" w:cs="Times New Roman"/>
          <w:iCs/>
          <w:sz w:val="20"/>
          <w:szCs w:val="20"/>
        </w:rPr>
        <w:t>164</w:t>
      </w:r>
      <w:r w:rsidRPr="008D0F02">
        <w:rPr>
          <w:rFonts w:ascii="Calibri" w:hAnsi="Calibri" w:cs="Times New Roman"/>
          <w:i/>
          <w:iCs/>
          <w:sz w:val="20"/>
          <w:szCs w:val="20"/>
        </w:rPr>
        <w:t>.</w:t>
      </w:r>
    </w:p>
  </w:footnote>
  <w:footnote w:id="85">
    <w:p w14:paraId="42370F41" w14:textId="72045DAB" w:rsidR="000850F7" w:rsidRPr="008C4E3C" w:rsidRDefault="000850F7" w:rsidP="003378F4">
      <w:pPr>
        <w:autoSpaceDE w:val="0"/>
        <w:autoSpaceDN w:val="0"/>
        <w:adjustRightInd w:val="0"/>
        <w:spacing w:after="0" w:line="240" w:lineRule="auto"/>
        <w:rPr>
          <w:rFonts w:cs="AvantGarde-Book"/>
          <w:sz w:val="20"/>
          <w:szCs w:val="20"/>
        </w:rPr>
      </w:pPr>
      <w:r>
        <w:rPr>
          <w:rStyle w:val="FootnoteReference"/>
        </w:rPr>
        <w:footnoteRef/>
      </w:r>
      <w:r>
        <w:t xml:space="preserve"> </w:t>
      </w:r>
      <w:r w:rsidR="00DB36AD" w:rsidRPr="00DB36AD">
        <w:rPr>
          <w:sz w:val="20"/>
          <w:szCs w:val="20"/>
        </w:rPr>
        <w:t xml:space="preserve">G. </w:t>
      </w:r>
      <w:r w:rsidRPr="008C4E3C">
        <w:rPr>
          <w:rFonts w:cs="AvantGarde-Book"/>
          <w:sz w:val="20"/>
          <w:szCs w:val="20"/>
        </w:rPr>
        <w:t xml:space="preserve">Awad, &amp; </w:t>
      </w:r>
      <w:r w:rsidR="00DB36AD">
        <w:rPr>
          <w:rFonts w:cs="AvantGarde-Book"/>
          <w:sz w:val="20"/>
          <w:szCs w:val="20"/>
        </w:rPr>
        <w:t>EB Saunders</w:t>
      </w:r>
      <w:r w:rsidRPr="008C4E3C">
        <w:rPr>
          <w:rFonts w:cs="AvantGarde-Book"/>
          <w:sz w:val="20"/>
          <w:szCs w:val="20"/>
        </w:rPr>
        <w:t xml:space="preserve"> ‘Male adolescent sexual assaulters’ </w:t>
      </w:r>
      <w:r w:rsidR="00DB36AD">
        <w:rPr>
          <w:rFonts w:cs="AvantGarde-Book"/>
          <w:sz w:val="20"/>
          <w:szCs w:val="20"/>
        </w:rPr>
        <w:t xml:space="preserve">(1989) 6 </w:t>
      </w:r>
      <w:r w:rsidRPr="00E22FA9">
        <w:rPr>
          <w:rFonts w:cs="AvantGarde-Book"/>
          <w:sz w:val="20"/>
          <w:szCs w:val="20"/>
        </w:rPr>
        <w:t>Journal of Interpersonal Violence</w:t>
      </w:r>
      <w:r w:rsidR="00DB36AD">
        <w:rPr>
          <w:rFonts w:cs="AvantGarde-Book"/>
          <w:sz w:val="20"/>
          <w:szCs w:val="20"/>
        </w:rPr>
        <w:t>, 6, 446; M Erooga and H</w:t>
      </w:r>
      <w:r w:rsidRPr="008C4E3C">
        <w:rPr>
          <w:rFonts w:cs="AvantGarde-Book"/>
          <w:sz w:val="20"/>
          <w:szCs w:val="20"/>
        </w:rPr>
        <w:t xml:space="preserve"> Masson ‘Children and young people with sexually harmful or abusive behaviours: underpinning knowledge, principles, approaches </w:t>
      </w:r>
      <w:r w:rsidR="00DB36AD">
        <w:rPr>
          <w:rFonts w:cs="AvantGarde-Book"/>
          <w:sz w:val="20"/>
          <w:szCs w:val="20"/>
        </w:rPr>
        <w:t>and service provision’ in M Erooga and H</w:t>
      </w:r>
      <w:r w:rsidRPr="008C4E3C">
        <w:rPr>
          <w:rFonts w:cs="AvantGarde-Book"/>
          <w:sz w:val="20"/>
          <w:szCs w:val="20"/>
        </w:rPr>
        <w:t xml:space="preserve"> Masson </w:t>
      </w:r>
      <w:r w:rsidRPr="008C4E3C">
        <w:rPr>
          <w:rFonts w:cs="AvantGarde-Book"/>
          <w:i/>
          <w:sz w:val="20"/>
          <w:szCs w:val="20"/>
        </w:rPr>
        <w:t xml:space="preserve">Children and young people who sexually abuse others: current developments and practice responses </w:t>
      </w:r>
      <w:r w:rsidR="00DB36AD">
        <w:rPr>
          <w:rFonts w:cs="AvantGarde-Book"/>
          <w:sz w:val="20"/>
          <w:szCs w:val="20"/>
        </w:rPr>
        <w:t>(</w:t>
      </w:r>
      <w:r w:rsidRPr="008C4E3C">
        <w:rPr>
          <w:rFonts w:cs="AvantGarde-Book"/>
          <w:sz w:val="20"/>
          <w:szCs w:val="20"/>
        </w:rPr>
        <w:t>London</w:t>
      </w:r>
      <w:r w:rsidR="00DB36AD">
        <w:rPr>
          <w:rFonts w:cs="AvantGarde-Book"/>
          <w:sz w:val="20"/>
          <w:szCs w:val="20"/>
        </w:rPr>
        <w:t xml:space="preserve">, 2006), at </w:t>
      </w:r>
      <w:r w:rsidRPr="008C4E3C">
        <w:rPr>
          <w:rFonts w:cs="AvantGarde-Book"/>
          <w:sz w:val="20"/>
          <w:szCs w:val="20"/>
        </w:rPr>
        <w:t xml:space="preserve">3-17; </w:t>
      </w:r>
      <w:r w:rsidR="00DB36AD">
        <w:rPr>
          <w:rFonts w:cs="AvantGarde-Book"/>
          <w:sz w:val="20"/>
          <w:szCs w:val="20"/>
        </w:rPr>
        <w:t>S Smallbone</w:t>
      </w:r>
      <w:r w:rsidRPr="008C4E3C">
        <w:rPr>
          <w:rFonts w:cs="AvantGarde-Book"/>
          <w:sz w:val="20"/>
          <w:szCs w:val="20"/>
        </w:rPr>
        <w:t xml:space="preserve"> ‘Attachment insecurity as a predisposing and precipitating factor for sexually abusive behaviour by young people’, in M Calder (ed.) </w:t>
      </w:r>
      <w:r w:rsidRPr="008C4E3C">
        <w:rPr>
          <w:rFonts w:cs="AvantGarde-Book"/>
          <w:i/>
          <w:sz w:val="20"/>
          <w:szCs w:val="20"/>
        </w:rPr>
        <w:t xml:space="preserve">Children and Young People who sexually abuse. New Theory, Research and Practice Developments </w:t>
      </w:r>
      <w:r w:rsidR="00DB36AD">
        <w:rPr>
          <w:rFonts w:cs="AvantGarde-Book"/>
          <w:sz w:val="20"/>
          <w:szCs w:val="20"/>
        </w:rPr>
        <w:t>(</w:t>
      </w:r>
      <w:r w:rsidRPr="008C4E3C">
        <w:rPr>
          <w:rFonts w:cs="AvantGarde-Book"/>
          <w:sz w:val="20"/>
          <w:szCs w:val="20"/>
        </w:rPr>
        <w:t>Lyme Regis</w:t>
      </w:r>
      <w:r w:rsidR="00DB36AD">
        <w:rPr>
          <w:rFonts w:cs="AvantGarde-Book"/>
          <w:sz w:val="20"/>
          <w:szCs w:val="20"/>
        </w:rPr>
        <w:t>, 2005).</w:t>
      </w:r>
    </w:p>
  </w:footnote>
  <w:footnote w:id="86">
    <w:p w14:paraId="3F446C0E" w14:textId="662E19E6" w:rsidR="000850F7" w:rsidRPr="008C4E3C" w:rsidRDefault="000850F7" w:rsidP="003378F4">
      <w:pPr>
        <w:autoSpaceDE w:val="0"/>
        <w:autoSpaceDN w:val="0"/>
        <w:adjustRightInd w:val="0"/>
        <w:spacing w:after="0" w:line="240" w:lineRule="auto"/>
        <w:rPr>
          <w:rFonts w:cs="AvantGarde-Book"/>
          <w:sz w:val="20"/>
          <w:szCs w:val="20"/>
        </w:rPr>
      </w:pPr>
      <w:r>
        <w:rPr>
          <w:rStyle w:val="FootnoteReference"/>
        </w:rPr>
        <w:footnoteRef/>
      </w:r>
      <w:r>
        <w:t xml:space="preserve"> </w:t>
      </w:r>
      <w:r w:rsidR="00DB36AD">
        <w:rPr>
          <w:sz w:val="20"/>
          <w:szCs w:val="20"/>
        </w:rPr>
        <w:t xml:space="preserve">T </w:t>
      </w:r>
      <w:r w:rsidR="00DB36AD">
        <w:rPr>
          <w:rFonts w:cs="AvantGarde-Book"/>
          <w:sz w:val="20"/>
          <w:szCs w:val="20"/>
        </w:rPr>
        <w:t>Cavanagh-Johnson</w:t>
      </w:r>
      <w:r w:rsidR="00E22FA9">
        <w:rPr>
          <w:rFonts w:cs="AvantGarde-Book"/>
          <w:sz w:val="20"/>
          <w:szCs w:val="20"/>
        </w:rPr>
        <w:t>,</w:t>
      </w:r>
      <w:r w:rsidR="00DB36AD">
        <w:rPr>
          <w:rFonts w:cs="AvantGarde-Book"/>
          <w:sz w:val="20"/>
          <w:szCs w:val="20"/>
        </w:rPr>
        <w:t xml:space="preserve"> </w:t>
      </w:r>
      <w:r w:rsidRPr="008C4E3C">
        <w:rPr>
          <w:rFonts w:cs="AvantGarde-Book"/>
          <w:sz w:val="20"/>
          <w:szCs w:val="20"/>
        </w:rPr>
        <w:t>‘Child perpetrators – children who molest other c</w:t>
      </w:r>
      <w:r w:rsidR="00DB36AD">
        <w:rPr>
          <w:rFonts w:cs="AvantGarde-Book"/>
          <w:sz w:val="20"/>
          <w:szCs w:val="20"/>
        </w:rPr>
        <w:t xml:space="preserve">hildren: Preliminary findings’ (1988) 12 </w:t>
      </w:r>
      <w:r w:rsidRPr="00DB36AD">
        <w:rPr>
          <w:rFonts w:cs="AvantGarde-Book"/>
          <w:i/>
          <w:sz w:val="20"/>
          <w:szCs w:val="20"/>
        </w:rPr>
        <w:t>Journal of Child Abuse &amp; Neglect</w:t>
      </w:r>
      <w:r w:rsidR="00DB36AD">
        <w:rPr>
          <w:rFonts w:cs="AvantGarde-Book"/>
          <w:sz w:val="20"/>
          <w:szCs w:val="20"/>
        </w:rPr>
        <w:t xml:space="preserve"> </w:t>
      </w:r>
      <w:r w:rsidRPr="008C4E3C">
        <w:rPr>
          <w:rFonts w:cs="AvantGarde-Book"/>
          <w:sz w:val="20"/>
          <w:szCs w:val="20"/>
        </w:rPr>
        <w:t>219;</w:t>
      </w:r>
      <w:r w:rsidR="00DB36AD">
        <w:rPr>
          <w:rFonts w:cs="AvantGarde-Book"/>
          <w:sz w:val="20"/>
          <w:szCs w:val="20"/>
        </w:rPr>
        <w:t xml:space="preserve"> D</w:t>
      </w:r>
      <w:r w:rsidRPr="008C4E3C">
        <w:rPr>
          <w:rFonts w:cs="AvantGarde-Book"/>
          <w:sz w:val="20"/>
          <w:szCs w:val="20"/>
        </w:rPr>
        <w:t xml:space="preserve"> O’Callaghan, </w:t>
      </w:r>
      <w:r w:rsidR="00DB36AD">
        <w:rPr>
          <w:rFonts w:cs="AvantGarde-Book"/>
          <w:sz w:val="20"/>
          <w:szCs w:val="20"/>
        </w:rPr>
        <w:t>B Print</w:t>
      </w:r>
      <w:r w:rsidRPr="008C4E3C">
        <w:rPr>
          <w:rFonts w:cs="AvantGarde-Book"/>
          <w:sz w:val="20"/>
          <w:szCs w:val="20"/>
        </w:rPr>
        <w:t xml:space="preserve"> (1994) ‘Adolescent sexual abusers: research, assessment and treatment’ in T Morrisson, M Erooga and RC Beckett (eds.) </w:t>
      </w:r>
      <w:r w:rsidRPr="008C4E3C">
        <w:rPr>
          <w:rFonts w:cs="AvantGarde-Book"/>
          <w:i/>
          <w:sz w:val="20"/>
          <w:szCs w:val="20"/>
        </w:rPr>
        <w:t xml:space="preserve">Sexual offending against children: assessment and treatment of male offenders </w:t>
      </w:r>
      <w:r w:rsidR="00DB36AD">
        <w:rPr>
          <w:rFonts w:cs="AvantGarde-Book"/>
          <w:sz w:val="20"/>
          <w:szCs w:val="20"/>
        </w:rPr>
        <w:t>(</w:t>
      </w:r>
      <w:r w:rsidRPr="008C4E3C">
        <w:rPr>
          <w:rFonts w:cs="AvantGarde-Book"/>
          <w:sz w:val="20"/>
          <w:szCs w:val="20"/>
        </w:rPr>
        <w:t>London</w:t>
      </w:r>
      <w:r w:rsidR="00E22FA9">
        <w:rPr>
          <w:rFonts w:cs="AvantGarde-Book"/>
          <w:sz w:val="20"/>
          <w:szCs w:val="20"/>
        </w:rPr>
        <w:t>: Routledge</w:t>
      </w:r>
      <w:r w:rsidR="00DB36AD">
        <w:rPr>
          <w:rFonts w:cs="AvantGarde-Book"/>
          <w:sz w:val="20"/>
          <w:szCs w:val="20"/>
        </w:rPr>
        <w:t>, 1994).</w:t>
      </w:r>
    </w:p>
  </w:footnote>
  <w:footnote w:id="87">
    <w:p w14:paraId="0706813C" w14:textId="32E263EE" w:rsidR="000850F7" w:rsidRPr="008C4E3C" w:rsidRDefault="000850F7" w:rsidP="003378F4">
      <w:pPr>
        <w:autoSpaceDE w:val="0"/>
        <w:autoSpaceDN w:val="0"/>
        <w:adjustRightInd w:val="0"/>
        <w:spacing w:after="0" w:line="240" w:lineRule="auto"/>
        <w:rPr>
          <w:rFonts w:cs="AvantGarde-Book"/>
          <w:sz w:val="20"/>
          <w:szCs w:val="20"/>
        </w:rPr>
      </w:pPr>
      <w:r>
        <w:rPr>
          <w:rStyle w:val="FootnoteReference"/>
        </w:rPr>
        <w:footnoteRef/>
      </w:r>
      <w:r>
        <w:t xml:space="preserve"> </w:t>
      </w:r>
      <w:r w:rsidR="00DB36AD">
        <w:rPr>
          <w:sz w:val="20"/>
          <w:szCs w:val="20"/>
        </w:rPr>
        <w:t xml:space="preserve">DL </w:t>
      </w:r>
      <w:r w:rsidRPr="008C4E3C">
        <w:rPr>
          <w:rFonts w:cs="AvantGarde-Book"/>
          <w:sz w:val="20"/>
          <w:szCs w:val="20"/>
        </w:rPr>
        <w:t xml:space="preserve">Burton, </w:t>
      </w:r>
      <w:r w:rsidR="00DB36AD">
        <w:rPr>
          <w:rFonts w:cs="AvantGarde-Book"/>
          <w:sz w:val="20"/>
          <w:szCs w:val="20"/>
        </w:rPr>
        <w:t>AA</w:t>
      </w:r>
      <w:r w:rsidRPr="008C4E3C">
        <w:rPr>
          <w:rFonts w:cs="AvantGarde-Book"/>
          <w:sz w:val="20"/>
          <w:szCs w:val="20"/>
        </w:rPr>
        <w:t xml:space="preserve"> Nesmith, </w:t>
      </w:r>
      <w:r w:rsidR="00DB36AD">
        <w:rPr>
          <w:rFonts w:cs="AvantGarde-Book"/>
          <w:sz w:val="20"/>
          <w:szCs w:val="20"/>
        </w:rPr>
        <w:t>L</w:t>
      </w:r>
      <w:r w:rsidR="00EF119F">
        <w:rPr>
          <w:rFonts w:cs="AvantGarde-Book"/>
          <w:sz w:val="20"/>
          <w:szCs w:val="20"/>
        </w:rPr>
        <w:t xml:space="preserve"> Badten </w:t>
      </w:r>
      <w:r w:rsidRPr="008C4E3C">
        <w:rPr>
          <w:rFonts w:cs="AvantGarde-Book"/>
          <w:sz w:val="20"/>
          <w:szCs w:val="20"/>
        </w:rPr>
        <w:t>‘Clinicians views on sexually aggressive children and their famili</w:t>
      </w:r>
      <w:r w:rsidR="00EF119F">
        <w:rPr>
          <w:rFonts w:cs="AvantGarde-Book"/>
          <w:sz w:val="20"/>
          <w:szCs w:val="20"/>
        </w:rPr>
        <w:t xml:space="preserve">es: a theoretical exploration’ </w:t>
      </w:r>
      <w:r w:rsidR="00DB36AD">
        <w:rPr>
          <w:rFonts w:cs="AvantGarde-Book"/>
          <w:sz w:val="20"/>
          <w:szCs w:val="20"/>
        </w:rPr>
        <w:t xml:space="preserve">(1997) </w:t>
      </w:r>
      <w:r w:rsidR="00EF119F">
        <w:rPr>
          <w:rFonts w:cs="AvantGarde-Book"/>
          <w:sz w:val="20"/>
          <w:szCs w:val="20"/>
        </w:rPr>
        <w:t xml:space="preserve">21(2) </w:t>
      </w:r>
      <w:r w:rsidRPr="00E22FA9">
        <w:rPr>
          <w:rFonts w:cs="AvantGarde-Book"/>
          <w:sz w:val="20"/>
          <w:szCs w:val="20"/>
        </w:rPr>
        <w:t>Child Abuse and Neglect</w:t>
      </w:r>
      <w:r w:rsidRPr="00EF119F">
        <w:rPr>
          <w:rFonts w:cs="AvantGarde-Book"/>
          <w:i/>
          <w:sz w:val="20"/>
          <w:szCs w:val="20"/>
        </w:rPr>
        <w:t xml:space="preserve"> </w:t>
      </w:r>
      <w:r w:rsidR="00EF119F">
        <w:rPr>
          <w:rFonts w:cs="AvantGarde-Book"/>
          <w:sz w:val="20"/>
          <w:szCs w:val="20"/>
        </w:rPr>
        <w:t>157.</w:t>
      </w:r>
      <w:r w:rsidRPr="008C4E3C">
        <w:rPr>
          <w:rFonts w:cs="AvantGarde-Book"/>
          <w:sz w:val="20"/>
          <w:szCs w:val="20"/>
        </w:rPr>
        <w:t xml:space="preserve"> </w:t>
      </w:r>
    </w:p>
  </w:footnote>
  <w:footnote w:id="88">
    <w:p w14:paraId="2A4BBA18" w14:textId="00F48739" w:rsidR="000850F7" w:rsidRPr="008C4E3C" w:rsidRDefault="000850F7" w:rsidP="003378F4">
      <w:pPr>
        <w:pStyle w:val="FootnoteText"/>
      </w:pPr>
      <w:r>
        <w:rPr>
          <w:rStyle w:val="FootnoteReference"/>
        </w:rPr>
        <w:footnoteRef/>
      </w:r>
      <w:r>
        <w:t xml:space="preserve"> </w:t>
      </w:r>
      <w:r w:rsidR="00EF119F">
        <w:t xml:space="preserve">S. </w:t>
      </w:r>
      <w:r w:rsidRPr="008C4E3C">
        <w:rPr>
          <w:rFonts w:cs="AvantGarde-Book"/>
        </w:rPr>
        <w:t>Lane,</w:t>
      </w:r>
      <w:r w:rsidR="00EF119F">
        <w:rPr>
          <w:rFonts w:cs="AvantGarde-Book"/>
        </w:rPr>
        <w:t xml:space="preserve"> C Lobanov-Rostovsky</w:t>
      </w:r>
      <w:r w:rsidRPr="008C4E3C">
        <w:rPr>
          <w:rFonts w:cs="AvantGarde-Book"/>
        </w:rPr>
        <w:t xml:space="preserve"> </w:t>
      </w:r>
      <w:r w:rsidR="00EF119F">
        <w:rPr>
          <w:rFonts w:cs="AvantGarde-Book"/>
        </w:rPr>
        <w:t>‘</w:t>
      </w:r>
      <w:r w:rsidRPr="008C4E3C">
        <w:rPr>
          <w:rFonts w:cs="AvantGarde-Book"/>
        </w:rPr>
        <w:t>Special populations: children, females, the developmentally disabled and violent youth</w:t>
      </w:r>
      <w:r w:rsidR="00EF119F">
        <w:rPr>
          <w:rFonts w:cs="AvantGarde-Book"/>
        </w:rPr>
        <w:t>’</w:t>
      </w:r>
      <w:r w:rsidRPr="008C4E3C">
        <w:rPr>
          <w:rFonts w:cs="AvantGarde-Book"/>
        </w:rPr>
        <w:t xml:space="preserve"> in G Ryan and S Lane </w:t>
      </w:r>
      <w:r w:rsidRPr="008C4E3C">
        <w:rPr>
          <w:rFonts w:cs="AvantGarde-Book"/>
          <w:i/>
        </w:rPr>
        <w:t xml:space="preserve">Juvenile Sexual Offending: Causes, Consequences and Corrections </w:t>
      </w:r>
      <w:r w:rsidR="00EF119F">
        <w:rPr>
          <w:rFonts w:cs="AvantGarde-Book"/>
        </w:rPr>
        <w:t>(</w:t>
      </w:r>
      <w:r w:rsidRPr="008C4E3C">
        <w:rPr>
          <w:rFonts w:cs="AvantGarde-Book"/>
        </w:rPr>
        <w:t xml:space="preserve">San Francisco, </w:t>
      </w:r>
      <w:r w:rsidR="00EF119F">
        <w:rPr>
          <w:rFonts w:cs="AvantGarde-Book"/>
        </w:rPr>
        <w:t>1997)</w:t>
      </w:r>
      <w:r w:rsidRPr="008C4E3C">
        <w:rPr>
          <w:rFonts w:cs="AvantGarde-Book"/>
        </w:rPr>
        <w:t>.</w:t>
      </w:r>
    </w:p>
  </w:footnote>
  <w:footnote w:id="89">
    <w:p w14:paraId="7C1FD89A" w14:textId="5A36EF0C" w:rsidR="000850F7" w:rsidRPr="008C4E3C" w:rsidRDefault="000850F7" w:rsidP="003378F4">
      <w:pPr>
        <w:pStyle w:val="FootnoteText"/>
      </w:pPr>
      <w:r w:rsidRPr="008C4E3C">
        <w:rPr>
          <w:rStyle w:val="FootnoteReference"/>
        </w:rPr>
        <w:footnoteRef/>
      </w:r>
      <w:r w:rsidRPr="008C4E3C">
        <w:t xml:space="preserve"> </w:t>
      </w:r>
      <w:r w:rsidR="00EF119F">
        <w:t xml:space="preserve">TC </w:t>
      </w:r>
      <w:r w:rsidRPr="008C4E3C">
        <w:rPr>
          <w:rFonts w:cs="AvantGarde-Book"/>
        </w:rPr>
        <w:t xml:space="preserve">Johnson, </w:t>
      </w:r>
      <w:r w:rsidR="00EF119F">
        <w:rPr>
          <w:rFonts w:cs="AvantGarde-Book"/>
        </w:rPr>
        <w:t>R Doonan (2005) ‘Children wi</w:t>
      </w:r>
      <w:r w:rsidRPr="008C4E3C">
        <w:rPr>
          <w:rFonts w:cs="AvantGarde-Book"/>
        </w:rPr>
        <w:t>th sexual behaviour problems: what have we learned in the last t</w:t>
      </w:r>
      <w:r w:rsidR="00EF119F">
        <w:rPr>
          <w:rFonts w:cs="AvantGarde-Book"/>
        </w:rPr>
        <w:t xml:space="preserve">wo decades?’ in M Calder (ed.) </w:t>
      </w:r>
      <w:r w:rsidRPr="008C4E3C">
        <w:rPr>
          <w:rFonts w:cs="AvantGarde-Book"/>
          <w:i/>
        </w:rPr>
        <w:t xml:space="preserve">Children and Young People who sexually abuse. New Theory, Research and Practice Developments </w:t>
      </w:r>
      <w:r w:rsidR="00EF119F">
        <w:rPr>
          <w:rFonts w:cs="AvantGarde-Book"/>
        </w:rPr>
        <w:t>(</w:t>
      </w:r>
      <w:r w:rsidRPr="008C4E3C">
        <w:rPr>
          <w:rFonts w:cs="AvantGarde-Book"/>
        </w:rPr>
        <w:t>Lyme Regis: Russell House Publishing,</w:t>
      </w:r>
      <w:r w:rsidR="00771C8D">
        <w:rPr>
          <w:rFonts w:cs="AvantGarde-Book"/>
        </w:rPr>
        <w:t xml:space="preserve"> 2005),</w:t>
      </w:r>
      <w:r w:rsidRPr="008C4E3C">
        <w:rPr>
          <w:rFonts w:cs="AvantGarde-Book"/>
        </w:rPr>
        <w:t xml:space="preserve"> 32-58</w:t>
      </w:r>
      <w:r w:rsidR="00771C8D">
        <w:rPr>
          <w:rFonts w:cs="AvantGarde-Book"/>
        </w:rPr>
        <w:t>.</w:t>
      </w:r>
    </w:p>
  </w:footnote>
  <w:footnote w:id="90">
    <w:p w14:paraId="53E845FA" w14:textId="77777777" w:rsidR="00F165F5" w:rsidRDefault="00F165F5" w:rsidP="00F165F5">
      <w:pPr>
        <w:pStyle w:val="FootnoteText"/>
      </w:pPr>
      <w:r>
        <w:rPr>
          <w:rStyle w:val="FootnoteReference"/>
        </w:rPr>
        <w:footnoteRef/>
      </w:r>
      <w:r>
        <w:t xml:space="preserve"> </w:t>
      </w:r>
      <w:r w:rsidRPr="00A30F2A">
        <w:rPr>
          <w:rFonts w:cs="Times New Roman"/>
        </w:rPr>
        <w:t>[2005] UKHL 21.</w:t>
      </w:r>
    </w:p>
  </w:footnote>
  <w:footnote w:id="91">
    <w:p w14:paraId="10D15872" w14:textId="77777777" w:rsidR="00F165F5" w:rsidRPr="00AA22FB" w:rsidRDefault="00F165F5" w:rsidP="00F165F5">
      <w:pPr>
        <w:pStyle w:val="FootnoteText"/>
        <w:rPr>
          <w:rFonts w:cs="Times New Roman"/>
          <w:i/>
        </w:rPr>
      </w:pPr>
      <w:r w:rsidRPr="00AA22FB">
        <w:rPr>
          <w:rStyle w:val="FootnoteReference"/>
        </w:rPr>
        <w:footnoteRef/>
      </w:r>
      <w:r w:rsidRPr="00AA22FB">
        <w:t xml:space="preserve"> </w:t>
      </w:r>
      <w:r>
        <w:rPr>
          <w:rFonts w:cs="Times New Roman"/>
        </w:rPr>
        <w:t>R</w:t>
      </w:r>
      <w:r w:rsidRPr="00AA22FB">
        <w:rPr>
          <w:rFonts w:cs="Times New Roman"/>
        </w:rPr>
        <w:t xml:space="preserve"> Taylor ‘Putting children first? Children’s interests as a primary consideration in public law’ (2016) 28(1) </w:t>
      </w:r>
      <w:r w:rsidRPr="00E22FA9">
        <w:rPr>
          <w:rFonts w:cs="Times New Roman"/>
        </w:rPr>
        <w:t>Child and Family Law Quarterly</w:t>
      </w:r>
      <w:r w:rsidRPr="00AA22FB">
        <w:rPr>
          <w:rFonts w:cs="Times New Roman"/>
          <w:i/>
        </w:rPr>
        <w:t xml:space="preserve"> 45.</w:t>
      </w:r>
    </w:p>
  </w:footnote>
  <w:footnote w:id="92">
    <w:p w14:paraId="4A3AD1F9" w14:textId="77777777" w:rsidR="00F165F5" w:rsidRPr="00AA22FB" w:rsidRDefault="00F165F5" w:rsidP="00F165F5">
      <w:pPr>
        <w:pStyle w:val="FootnoteText"/>
      </w:pPr>
      <w:r w:rsidRPr="00AA22FB">
        <w:rPr>
          <w:rStyle w:val="FootnoteReference"/>
        </w:rPr>
        <w:footnoteRef/>
      </w:r>
      <w:r w:rsidRPr="00AA22FB">
        <w:t xml:space="preserve"> </w:t>
      </w:r>
      <w:r>
        <w:t>F Earls, ‘</w:t>
      </w:r>
      <w:r w:rsidRPr="00AA22FB">
        <w:rPr>
          <w:rFonts w:eastAsia="Times New Roman" w:cs="Arial"/>
          <w:vanish/>
          <w:lang w:val="en" w:eastAsia="en-GB"/>
        </w:rPr>
        <w:t>F</w:t>
      </w:r>
      <w:r>
        <w:rPr>
          <w:rFonts w:eastAsia="Times New Roman" w:cs="Arial"/>
          <w:vanish/>
          <w:lang w:val="en" w:eastAsia="en-GB"/>
        </w:rPr>
        <w:t xml:space="preserve"> </w:t>
      </w:r>
      <w:r w:rsidRPr="00AA22FB">
        <w:rPr>
          <w:rFonts w:eastAsia="Times New Roman" w:cs="Arial"/>
          <w:vanish/>
          <w:lang w:val="en" w:eastAsia="en-GB"/>
        </w:rPr>
        <w:t xml:space="preserve">Earls </w:t>
      </w:r>
      <w:r>
        <w:rPr>
          <w:rFonts w:eastAsia="Times New Roman" w:cs="Arial"/>
          <w:vanish/>
          <w:lang w:val="en" w:eastAsia="en-GB"/>
        </w:rPr>
        <w:t>‘</w:t>
      </w:r>
      <w:r w:rsidRPr="00AA745E">
        <w:rPr>
          <w:rFonts w:eastAsia="Times New Roman" w:cs="Arial"/>
          <w:bCs/>
          <w:lang w:val="en" w:eastAsia="en-GB"/>
        </w:rPr>
        <w:t>Children: From Rights to Citizenship</w:t>
      </w:r>
      <w:r>
        <w:rPr>
          <w:rFonts w:eastAsia="Times New Roman" w:cs="Arial"/>
          <w:bCs/>
          <w:lang w:val="en" w:eastAsia="en-GB"/>
        </w:rPr>
        <w:t>’ (2011) 633(1)</w:t>
      </w:r>
      <w:r w:rsidRPr="00AA22FB">
        <w:rPr>
          <w:rFonts w:eastAsia="Times New Roman" w:cs="Arial"/>
          <w:lang w:val="en" w:eastAsia="en-GB"/>
        </w:rPr>
        <w:t xml:space="preserve"> </w:t>
      </w:r>
      <w:r w:rsidRPr="00E22FA9">
        <w:rPr>
          <w:rFonts w:eastAsia="Times New Roman" w:cs="Arial"/>
          <w:lang w:val="en" w:eastAsia="en-GB"/>
        </w:rPr>
        <w:t>The ANNALS of the American Academy of Political and Social Science</w:t>
      </w:r>
      <w:r>
        <w:rPr>
          <w:rFonts w:eastAsia="Times New Roman" w:cs="Arial"/>
          <w:lang w:val="en" w:eastAsia="en-GB"/>
        </w:rPr>
        <w:t xml:space="preserve"> 6.</w:t>
      </w:r>
    </w:p>
  </w:footnote>
  <w:footnote w:id="93">
    <w:p w14:paraId="4D961F03" w14:textId="77777777" w:rsidR="00F165F5" w:rsidRDefault="00F165F5" w:rsidP="00F165F5">
      <w:pPr>
        <w:pStyle w:val="FootnoteText"/>
      </w:pPr>
      <w:r>
        <w:rPr>
          <w:rStyle w:val="FootnoteReference"/>
        </w:rPr>
        <w:footnoteRef/>
      </w:r>
      <w:r>
        <w:t xml:space="preserve"> </w:t>
      </w:r>
      <w:r>
        <w:rPr>
          <w:rFonts w:cs="Times New Roman"/>
        </w:rPr>
        <w:t xml:space="preserve">(2009) 48 EHRR 50, </w:t>
      </w:r>
      <w:r w:rsidRPr="00552C20">
        <w:rPr>
          <w:rFonts w:cs="Times New Roman"/>
        </w:rPr>
        <w:t>124</w:t>
      </w:r>
      <w:r>
        <w:rPr>
          <w:rFonts w:cs="Times New Roman"/>
        </w:rPr>
        <w:t>.</w:t>
      </w:r>
    </w:p>
  </w:footnote>
  <w:footnote w:id="94">
    <w:p w14:paraId="1330A2F7" w14:textId="77777777" w:rsidR="00F165F5" w:rsidRPr="00E4602F" w:rsidRDefault="00F165F5" w:rsidP="00F165F5">
      <w:pPr>
        <w:pStyle w:val="FootnoteText"/>
      </w:pPr>
      <w:r>
        <w:rPr>
          <w:rStyle w:val="FootnoteReference"/>
        </w:rPr>
        <w:footnoteRef/>
      </w:r>
      <w:r>
        <w:t xml:space="preserve"> </w:t>
      </w:r>
      <w:r w:rsidRPr="00E4602F">
        <w:rPr>
          <w:rFonts w:ascii="Times New Roman" w:hAnsi="Times New Roman" w:cs="Times New Roman"/>
        </w:rPr>
        <w:t>(</w:t>
      </w:r>
      <w:r w:rsidRPr="00E4602F">
        <w:rPr>
          <w:rFonts w:ascii="TimesNewRoman" w:hAnsi="TimesNewRoman" w:cs="TimesNewRoman"/>
        </w:rPr>
        <w:t>2000) 3 EHRR 121</w:t>
      </w:r>
      <w:r>
        <w:rPr>
          <w:rFonts w:ascii="TimesNewRoman" w:hAnsi="TimesNewRoman" w:cs="TimesNewRoman"/>
        </w:rPr>
        <w:t>.</w:t>
      </w:r>
    </w:p>
  </w:footnote>
  <w:footnote w:id="95">
    <w:p w14:paraId="4BE88E49" w14:textId="77777777" w:rsidR="00F165F5" w:rsidRDefault="00F165F5" w:rsidP="00F165F5">
      <w:pPr>
        <w:pStyle w:val="FootnoteText"/>
      </w:pPr>
      <w:r>
        <w:rPr>
          <w:rStyle w:val="FootnoteReference"/>
        </w:rPr>
        <w:footnoteRef/>
      </w:r>
      <w:r>
        <w:t xml:space="preserve"> </w:t>
      </w:r>
      <w:r>
        <w:rPr>
          <w:rFonts w:ascii="Times New Roman" w:hAnsi="Times New Roman" w:cs="Times New Roman"/>
        </w:rPr>
        <w:t xml:space="preserve">Ibid. </w:t>
      </w:r>
    </w:p>
  </w:footnote>
  <w:footnote w:id="96">
    <w:p w14:paraId="33A754F8" w14:textId="77777777" w:rsidR="00F165F5" w:rsidRDefault="00F165F5" w:rsidP="00F165F5">
      <w:pPr>
        <w:pStyle w:val="FootnoteText"/>
      </w:pPr>
      <w:r>
        <w:rPr>
          <w:rStyle w:val="FootnoteReference"/>
        </w:rPr>
        <w:footnoteRef/>
      </w:r>
      <w:r>
        <w:t xml:space="preserve"> </w:t>
      </w:r>
      <w:r w:rsidRPr="00B34129">
        <w:rPr>
          <w:rFonts w:ascii="Times New Roman" w:hAnsi="Times New Roman"/>
        </w:rPr>
        <w:t>(2005) 543 US 551</w:t>
      </w:r>
    </w:p>
  </w:footnote>
  <w:footnote w:id="97">
    <w:p w14:paraId="35738EC1" w14:textId="77777777" w:rsidR="00F165F5" w:rsidRPr="00AE0E42" w:rsidRDefault="00F165F5" w:rsidP="00F165F5">
      <w:pPr>
        <w:pStyle w:val="FootnoteText"/>
      </w:pPr>
      <w:r w:rsidRPr="00AA22FB">
        <w:rPr>
          <w:rStyle w:val="FootnoteReference"/>
        </w:rPr>
        <w:footnoteRef/>
      </w:r>
      <w:r w:rsidRPr="00AE0E42">
        <w:t xml:space="preserve"> </w:t>
      </w:r>
      <w:hyperlink r:id="rId1" w:tooltip="Link to BAILII version" w:history="1">
        <w:r w:rsidRPr="00AE0E42">
          <w:rPr>
            <w:rFonts w:cs="Times New Roman"/>
          </w:rPr>
          <w:t>[2003] UKHL 50</w:t>
        </w:r>
      </w:hyperlink>
      <w:r w:rsidRPr="00AE0E42">
        <w:rPr>
          <w:rFonts w:cs="Times New Roman"/>
        </w:rPr>
        <w:t xml:space="preserve">, </w:t>
      </w:r>
      <w:hyperlink r:id="rId2" w:tooltip="Link to BAILII version" w:history="1">
        <w:r w:rsidRPr="00AE0E42">
          <w:rPr>
            <w:rFonts w:cs="Times New Roman"/>
          </w:rPr>
          <w:t>[2004] 1 AC 1034</w:t>
        </w:r>
      </w:hyperlink>
      <w:r w:rsidRPr="00AE0E42">
        <w:rPr>
          <w:rFonts w:cs="Times New Roman"/>
        </w:rPr>
        <w:t>.</w:t>
      </w:r>
    </w:p>
  </w:footnote>
  <w:footnote w:id="98">
    <w:p w14:paraId="2D3841BB" w14:textId="77777777" w:rsidR="00F165F5" w:rsidRPr="00AE0E42" w:rsidRDefault="00F165F5" w:rsidP="00F165F5">
      <w:pPr>
        <w:pStyle w:val="FootnoteText"/>
      </w:pPr>
      <w:r>
        <w:rPr>
          <w:rStyle w:val="FootnoteReference"/>
        </w:rPr>
        <w:footnoteRef/>
      </w:r>
      <w:r w:rsidRPr="00AE0E42">
        <w:t xml:space="preserve"> </w:t>
      </w:r>
      <w:hyperlink r:id="rId3" w:tooltip="Link to BAILII version" w:history="1">
        <w:r w:rsidRPr="00AE0E42">
          <w:rPr>
            <w:rFonts w:cs="Times New Roman"/>
          </w:rPr>
          <w:t>[2003] UKHL 50</w:t>
        </w:r>
      </w:hyperlink>
      <w:r w:rsidRPr="00AE0E42">
        <w:rPr>
          <w:rFonts w:cs="Times New Roman"/>
        </w:rPr>
        <w:t>, para [53]</w:t>
      </w:r>
    </w:p>
  </w:footnote>
  <w:footnote w:id="99">
    <w:p w14:paraId="623E5E93" w14:textId="77777777" w:rsidR="00F165F5" w:rsidRPr="00AE0E42" w:rsidRDefault="00F165F5" w:rsidP="00F165F5">
      <w:pPr>
        <w:pStyle w:val="FootnoteText"/>
      </w:pPr>
      <w:r>
        <w:rPr>
          <w:rStyle w:val="FootnoteReference"/>
        </w:rPr>
        <w:footnoteRef/>
      </w:r>
      <w:r w:rsidRPr="00AE0E42">
        <w:t xml:space="preserve"> </w:t>
      </w:r>
      <w:hyperlink r:id="rId4" w:tooltip="Link to BAILII version" w:history="1">
        <w:r w:rsidRPr="00AE0E42">
          <w:rPr>
            <w:rFonts w:cs="Times New Roman"/>
          </w:rPr>
          <w:t>[2003] UKHL 50</w:t>
        </w:r>
      </w:hyperlink>
      <w:r w:rsidRPr="00AE0E42">
        <w:rPr>
          <w:rFonts w:cs="Times New Roman"/>
        </w:rPr>
        <w:t>, para [53]</w:t>
      </w:r>
    </w:p>
  </w:footnote>
  <w:footnote w:id="100">
    <w:p w14:paraId="0DBF1DB9" w14:textId="77777777" w:rsidR="00F165F5" w:rsidRPr="00AE0E42" w:rsidRDefault="00F165F5" w:rsidP="00F165F5">
      <w:pPr>
        <w:pStyle w:val="FootnoteText"/>
      </w:pPr>
      <w:r>
        <w:rPr>
          <w:rStyle w:val="FootnoteReference"/>
        </w:rPr>
        <w:footnoteRef/>
      </w:r>
      <w:r>
        <w:t xml:space="preserve"> </w:t>
      </w:r>
      <w:r w:rsidRPr="00AE0E42">
        <w:rPr>
          <w:i/>
        </w:rPr>
        <w:t xml:space="preserve">Camplin </w:t>
      </w:r>
      <w:r w:rsidRPr="00AE0E42">
        <w:t>[1978] AC 705, 717</w:t>
      </w:r>
    </w:p>
  </w:footnote>
  <w:footnote w:id="101">
    <w:p w14:paraId="77E40065" w14:textId="77777777" w:rsidR="00F165F5" w:rsidRPr="007536C3" w:rsidRDefault="00F165F5" w:rsidP="00F165F5">
      <w:pPr>
        <w:pStyle w:val="FootnoteText"/>
        <w:rPr>
          <w:rFonts w:ascii="Calibri" w:hAnsi="Calibri"/>
        </w:rPr>
      </w:pPr>
      <w:r>
        <w:rPr>
          <w:rStyle w:val="FootnoteReference"/>
        </w:rPr>
        <w:footnoteRef/>
      </w:r>
      <w:r>
        <w:t xml:space="preserve"> </w:t>
      </w:r>
      <w:r>
        <w:rPr>
          <w:rFonts w:ascii="Calibri" w:hAnsi="Calibri" w:cs="Arial"/>
        </w:rPr>
        <w:t xml:space="preserve">Home Office </w:t>
      </w:r>
      <w:r w:rsidRPr="007536C3">
        <w:rPr>
          <w:rFonts w:ascii="Calibri" w:hAnsi="Calibri" w:cs="Arial"/>
          <w:i/>
        </w:rPr>
        <w:t xml:space="preserve">No more excuses: A new approach to tackling youth crime in England and Wales </w:t>
      </w:r>
      <w:r>
        <w:rPr>
          <w:rFonts w:ascii="Calibri" w:hAnsi="Calibri" w:cs="Arial"/>
        </w:rPr>
        <w:t>(</w:t>
      </w:r>
      <w:r w:rsidRPr="007536C3">
        <w:rPr>
          <w:rFonts w:ascii="Calibri" w:hAnsi="Calibri" w:cs="Arial"/>
        </w:rPr>
        <w:t>London</w:t>
      </w:r>
      <w:r>
        <w:rPr>
          <w:rFonts w:ascii="Calibri" w:hAnsi="Calibri" w:cs="Arial"/>
        </w:rPr>
        <w:t>, 1997), para 2.2.</w:t>
      </w:r>
    </w:p>
  </w:footnote>
  <w:footnote w:id="102">
    <w:p w14:paraId="00F019C2" w14:textId="77777777" w:rsidR="00F165F5" w:rsidRPr="007536C3" w:rsidRDefault="00F165F5" w:rsidP="00F165F5">
      <w:pPr>
        <w:pStyle w:val="FootnoteText"/>
        <w:rPr>
          <w:rFonts w:ascii="Calibri" w:hAnsi="Calibri"/>
        </w:rPr>
      </w:pPr>
      <w:r>
        <w:rPr>
          <w:rStyle w:val="FootnoteReference"/>
        </w:rPr>
        <w:footnoteRef/>
      </w:r>
      <w:r>
        <w:t xml:space="preserve"> </w:t>
      </w:r>
      <w:r w:rsidRPr="007536C3">
        <w:rPr>
          <w:rFonts w:ascii="Calibri" w:hAnsi="Calibri" w:cs="Times New Roman"/>
        </w:rPr>
        <w:t>[2001] 1 Cr. App. R. 343</w:t>
      </w:r>
    </w:p>
  </w:footnote>
  <w:footnote w:id="103">
    <w:p w14:paraId="1618CCB8" w14:textId="77777777" w:rsidR="00F165F5" w:rsidRPr="00B46037" w:rsidRDefault="00F165F5" w:rsidP="00F165F5">
      <w:pPr>
        <w:autoSpaceDE w:val="0"/>
        <w:autoSpaceDN w:val="0"/>
        <w:adjustRightInd w:val="0"/>
        <w:spacing w:after="0" w:line="240" w:lineRule="auto"/>
        <w:rPr>
          <w:rFonts w:ascii="Calibri" w:hAnsi="Calibri" w:cs="ArialMT"/>
          <w:sz w:val="20"/>
          <w:szCs w:val="20"/>
        </w:rPr>
      </w:pPr>
      <w:r>
        <w:rPr>
          <w:rStyle w:val="FootnoteReference"/>
        </w:rPr>
        <w:footnoteRef/>
      </w:r>
      <w:r>
        <w:t xml:space="preserve"> J </w:t>
      </w:r>
      <w:r w:rsidRPr="00B46037">
        <w:rPr>
          <w:rFonts w:cs="ArialMT"/>
          <w:sz w:val="20"/>
          <w:szCs w:val="20"/>
        </w:rPr>
        <w:t>Muncie</w:t>
      </w:r>
      <w:r>
        <w:rPr>
          <w:rFonts w:cs="ArialMT"/>
          <w:sz w:val="20"/>
          <w:szCs w:val="20"/>
        </w:rPr>
        <w:t xml:space="preserve"> </w:t>
      </w:r>
      <w:r w:rsidRPr="00B46037">
        <w:rPr>
          <w:rFonts w:cs="ArialMT"/>
          <w:sz w:val="20"/>
          <w:szCs w:val="20"/>
        </w:rPr>
        <w:t xml:space="preserve">and </w:t>
      </w:r>
      <w:r>
        <w:rPr>
          <w:rFonts w:cs="ArialMT"/>
          <w:sz w:val="20"/>
          <w:szCs w:val="20"/>
        </w:rPr>
        <w:t>B Goldson, B</w:t>
      </w:r>
      <w:r w:rsidRPr="00B46037">
        <w:rPr>
          <w:rFonts w:cs="ArialMT"/>
          <w:sz w:val="20"/>
          <w:szCs w:val="20"/>
        </w:rPr>
        <w:t xml:space="preserve"> ‘States of transition: convergence in international youth justice’ in </w:t>
      </w:r>
      <w:r>
        <w:rPr>
          <w:rFonts w:cs="ArialMT"/>
          <w:sz w:val="20"/>
          <w:szCs w:val="20"/>
        </w:rPr>
        <w:t xml:space="preserve">J </w:t>
      </w:r>
      <w:r w:rsidRPr="00B46037">
        <w:rPr>
          <w:rFonts w:cs="ArialMT"/>
          <w:sz w:val="20"/>
          <w:szCs w:val="20"/>
        </w:rPr>
        <w:t>Muncie</w:t>
      </w:r>
      <w:r>
        <w:rPr>
          <w:rFonts w:cs="ArialMT"/>
          <w:sz w:val="20"/>
          <w:szCs w:val="20"/>
        </w:rPr>
        <w:t xml:space="preserve"> </w:t>
      </w:r>
      <w:r w:rsidRPr="00B46037">
        <w:rPr>
          <w:rFonts w:cs="ArialMT"/>
          <w:sz w:val="20"/>
          <w:szCs w:val="20"/>
        </w:rPr>
        <w:t xml:space="preserve">and </w:t>
      </w:r>
      <w:r>
        <w:rPr>
          <w:rFonts w:cs="ArialMT"/>
          <w:sz w:val="20"/>
          <w:szCs w:val="20"/>
        </w:rPr>
        <w:t xml:space="preserve">B </w:t>
      </w:r>
      <w:r w:rsidRPr="00B46037">
        <w:rPr>
          <w:rFonts w:cs="ArialMT"/>
          <w:sz w:val="20"/>
          <w:szCs w:val="20"/>
        </w:rPr>
        <w:t>Goldson</w:t>
      </w:r>
      <w:r>
        <w:rPr>
          <w:rFonts w:cs="ArialMT"/>
          <w:sz w:val="20"/>
          <w:szCs w:val="20"/>
        </w:rPr>
        <w:t xml:space="preserve"> </w:t>
      </w:r>
      <w:r w:rsidRPr="00B46037">
        <w:rPr>
          <w:rFonts w:cs="ArialMT"/>
          <w:sz w:val="20"/>
          <w:szCs w:val="20"/>
        </w:rPr>
        <w:t>(eds</w:t>
      </w:r>
      <w:r>
        <w:rPr>
          <w:rFonts w:cs="ArialMT"/>
          <w:sz w:val="20"/>
          <w:szCs w:val="20"/>
        </w:rPr>
        <w:t>,</w:t>
      </w:r>
      <w:r w:rsidRPr="00B46037">
        <w:rPr>
          <w:rFonts w:cs="ArialMT"/>
          <w:sz w:val="20"/>
          <w:szCs w:val="20"/>
        </w:rPr>
        <w:t xml:space="preserve">) </w:t>
      </w:r>
      <w:r>
        <w:rPr>
          <w:rFonts w:cs="Arial-ItalicMT"/>
          <w:i/>
          <w:iCs/>
          <w:sz w:val="20"/>
          <w:szCs w:val="20"/>
        </w:rPr>
        <w:t xml:space="preserve">Comparative youth justice </w:t>
      </w:r>
      <w:r>
        <w:rPr>
          <w:rFonts w:cs="Arial-ItalicMT"/>
          <w:iCs/>
          <w:sz w:val="20"/>
          <w:szCs w:val="20"/>
        </w:rPr>
        <w:t>(</w:t>
      </w:r>
      <w:r w:rsidRPr="00B46037">
        <w:rPr>
          <w:rFonts w:cs="ArialMT"/>
          <w:sz w:val="20"/>
          <w:szCs w:val="20"/>
        </w:rPr>
        <w:t>Sage</w:t>
      </w:r>
      <w:r>
        <w:rPr>
          <w:rFonts w:cs="ArialMT"/>
          <w:sz w:val="20"/>
          <w:szCs w:val="20"/>
        </w:rPr>
        <w:t>, 2006)</w:t>
      </w:r>
    </w:p>
  </w:footnote>
  <w:footnote w:id="104">
    <w:p w14:paraId="50726CE3" w14:textId="77777777" w:rsidR="00F165F5" w:rsidRPr="008E258A" w:rsidRDefault="00F165F5" w:rsidP="00F165F5">
      <w:pPr>
        <w:autoSpaceDE w:val="0"/>
        <w:autoSpaceDN w:val="0"/>
        <w:adjustRightInd w:val="0"/>
        <w:spacing w:after="0" w:line="240" w:lineRule="auto"/>
        <w:rPr>
          <w:rFonts w:cs="Advhel_light"/>
          <w:sz w:val="20"/>
          <w:szCs w:val="20"/>
        </w:rPr>
      </w:pPr>
      <w:r>
        <w:rPr>
          <w:rStyle w:val="FootnoteReference"/>
        </w:rPr>
        <w:footnoteRef/>
      </w:r>
      <w:r>
        <w:t xml:space="preserve"> </w:t>
      </w:r>
      <w:r>
        <w:rPr>
          <w:sz w:val="20"/>
          <w:szCs w:val="20"/>
        </w:rPr>
        <w:t xml:space="preserve">B </w:t>
      </w:r>
      <w:r>
        <w:rPr>
          <w:rFonts w:cs="Advhel_light"/>
          <w:sz w:val="20"/>
          <w:szCs w:val="20"/>
        </w:rPr>
        <w:t>Goldson ‘</w:t>
      </w:r>
      <w:r w:rsidRPr="00B46037">
        <w:rPr>
          <w:rFonts w:cs="Advhel_light"/>
          <w:sz w:val="20"/>
          <w:szCs w:val="20"/>
        </w:rPr>
        <w:t xml:space="preserve">Difficult to understand or defend a reasoned case </w:t>
      </w:r>
      <w:r>
        <w:rPr>
          <w:rFonts w:cs="Advhel_light"/>
          <w:sz w:val="20"/>
          <w:szCs w:val="20"/>
        </w:rPr>
        <w:t>for raising the age of criminal responsibility’ (2009) 48(5</w:t>
      </w:r>
      <w:r w:rsidRPr="008E258A">
        <w:rPr>
          <w:rFonts w:cs="Advhel_light"/>
          <w:sz w:val="20"/>
          <w:szCs w:val="20"/>
        </w:rPr>
        <w:t>)</w:t>
      </w:r>
      <w:r w:rsidRPr="008E258A">
        <w:rPr>
          <w:rFonts w:cs="Advhel_light"/>
          <w:i/>
          <w:sz w:val="20"/>
          <w:szCs w:val="20"/>
        </w:rPr>
        <w:t xml:space="preserve"> </w:t>
      </w:r>
      <w:r w:rsidRPr="008E258A">
        <w:rPr>
          <w:rFonts w:cs="Advhel_lightit"/>
          <w:i/>
          <w:sz w:val="20"/>
          <w:szCs w:val="20"/>
        </w:rPr>
        <w:t>Howard Journal for Criminal Justice</w:t>
      </w:r>
      <w:r>
        <w:rPr>
          <w:rFonts w:cs="Advhel_light"/>
          <w:i/>
          <w:sz w:val="20"/>
          <w:szCs w:val="20"/>
        </w:rPr>
        <w:t xml:space="preserve"> </w:t>
      </w:r>
      <w:r>
        <w:rPr>
          <w:rFonts w:cs="Advhel_light"/>
          <w:sz w:val="20"/>
          <w:szCs w:val="20"/>
        </w:rPr>
        <w:t>514</w:t>
      </w:r>
    </w:p>
  </w:footnote>
  <w:footnote w:id="105">
    <w:p w14:paraId="7AB18C8F" w14:textId="1D68F319" w:rsidR="00A14F3B" w:rsidRDefault="00A14F3B">
      <w:pPr>
        <w:pStyle w:val="FootnoteText"/>
      </w:pPr>
      <w:r>
        <w:rPr>
          <w:rStyle w:val="FootnoteReference"/>
        </w:rPr>
        <w:footnoteRef/>
      </w:r>
      <w:r>
        <w:t xml:space="preserve"> B </w:t>
      </w:r>
      <w:r>
        <w:rPr>
          <w:rFonts w:cs="Advhel_light"/>
        </w:rPr>
        <w:t>Goldson ‘”Unsafe, Unjust and Harmful to Wider Society: Grounds for Raising the Minimum Age of Criminal Responsibility in England and Wales’ (2013) 13(2</w:t>
      </w:r>
      <w:r w:rsidRPr="008E258A">
        <w:rPr>
          <w:rFonts w:cs="Advhel_light"/>
        </w:rPr>
        <w:t>)</w:t>
      </w:r>
      <w:r w:rsidRPr="008E258A">
        <w:rPr>
          <w:rFonts w:cs="Advhel_light"/>
          <w:i/>
        </w:rPr>
        <w:t xml:space="preserve"> </w:t>
      </w:r>
      <w:r>
        <w:rPr>
          <w:rFonts w:cs="Advhel_lightit"/>
          <w:i/>
        </w:rPr>
        <w:t>Youth</w:t>
      </w:r>
      <w:r w:rsidRPr="008E258A">
        <w:rPr>
          <w:rFonts w:cs="Advhel_lightit"/>
          <w:i/>
        </w:rPr>
        <w:t xml:space="preserve"> Justice</w:t>
      </w:r>
      <w:r>
        <w:rPr>
          <w:rFonts w:cs="Advhel_light"/>
          <w:i/>
        </w:rPr>
        <w:t xml:space="preserve"> </w:t>
      </w:r>
      <w:r>
        <w:rPr>
          <w:rFonts w:cs="Advhel_light"/>
        </w:rPr>
        <w:t>126</w:t>
      </w:r>
    </w:p>
  </w:footnote>
  <w:footnote w:id="106">
    <w:p w14:paraId="50C80EBA" w14:textId="77777777" w:rsidR="00F165F5" w:rsidRPr="00B46037" w:rsidRDefault="00F165F5" w:rsidP="00F165F5">
      <w:pPr>
        <w:spacing w:after="0" w:line="240" w:lineRule="auto"/>
        <w:contextualSpacing/>
        <w:jc w:val="both"/>
        <w:rPr>
          <w:rFonts w:eastAsia="Calibri" w:cs="Times New Roman"/>
          <w:sz w:val="20"/>
          <w:szCs w:val="20"/>
        </w:rPr>
      </w:pPr>
      <w:r>
        <w:rPr>
          <w:rStyle w:val="FootnoteReference"/>
        </w:rPr>
        <w:footnoteRef/>
      </w:r>
      <w:r>
        <w:t xml:space="preserve"> </w:t>
      </w:r>
      <w:r w:rsidRPr="00B46037">
        <w:rPr>
          <w:rFonts w:eastAsia="Calibri" w:cs="Times New Roman"/>
          <w:sz w:val="20"/>
          <w:szCs w:val="20"/>
        </w:rPr>
        <w:t xml:space="preserve">Home Office </w:t>
      </w:r>
      <w:r w:rsidRPr="00B46037">
        <w:rPr>
          <w:rFonts w:eastAsia="Calibri" w:cs="Times New Roman"/>
          <w:i/>
          <w:sz w:val="20"/>
          <w:szCs w:val="20"/>
        </w:rPr>
        <w:t xml:space="preserve">No more excuses: A new approach to tackling youth crime in England and Wales </w:t>
      </w:r>
      <w:r>
        <w:rPr>
          <w:rFonts w:eastAsia="Calibri" w:cs="Times New Roman"/>
          <w:sz w:val="20"/>
          <w:szCs w:val="20"/>
        </w:rPr>
        <w:t>(</w:t>
      </w:r>
      <w:r w:rsidRPr="00B46037">
        <w:rPr>
          <w:rFonts w:eastAsia="Calibri" w:cs="Times New Roman"/>
          <w:sz w:val="20"/>
          <w:szCs w:val="20"/>
        </w:rPr>
        <w:t xml:space="preserve">The Stationery Office, </w:t>
      </w:r>
      <w:r>
        <w:rPr>
          <w:rFonts w:eastAsia="Calibri" w:cs="Times New Roman"/>
          <w:sz w:val="20"/>
          <w:szCs w:val="20"/>
        </w:rPr>
        <w:t>1997), [</w:t>
      </w:r>
      <w:r w:rsidRPr="00B46037">
        <w:rPr>
          <w:rFonts w:eastAsia="Calibri" w:cs="Times New Roman"/>
          <w:sz w:val="20"/>
          <w:szCs w:val="20"/>
        </w:rPr>
        <w:t>4.4</w:t>
      </w:r>
      <w:r>
        <w:rPr>
          <w:rFonts w:eastAsia="Calibri" w:cs="Times New Roman"/>
          <w:sz w:val="20"/>
          <w:szCs w:val="20"/>
        </w:rPr>
        <w:t>].</w:t>
      </w:r>
    </w:p>
  </w:footnote>
  <w:footnote w:id="107">
    <w:p w14:paraId="25E9D807" w14:textId="77777777" w:rsidR="00F165F5" w:rsidRDefault="00F165F5" w:rsidP="00F165F5">
      <w:pPr>
        <w:pStyle w:val="FootnoteText"/>
      </w:pPr>
      <w:r>
        <w:rPr>
          <w:rStyle w:val="FootnoteReference"/>
        </w:rPr>
        <w:footnoteRef/>
      </w:r>
      <w:r>
        <w:t xml:space="preserve"> Ibid.</w:t>
      </w:r>
    </w:p>
  </w:footnote>
  <w:footnote w:id="108">
    <w:p w14:paraId="171151F2" w14:textId="77777777" w:rsidR="00F165F5" w:rsidRDefault="00F165F5" w:rsidP="00F165F5">
      <w:pPr>
        <w:pStyle w:val="FootnoteText"/>
      </w:pPr>
      <w:r>
        <w:rPr>
          <w:rStyle w:val="FootnoteReference"/>
        </w:rPr>
        <w:footnoteRef/>
      </w:r>
      <w:r>
        <w:t xml:space="preserve"> </w:t>
      </w:r>
      <w:r w:rsidRPr="002643B8">
        <w:rPr>
          <w:i/>
        </w:rPr>
        <w:t>Hansard,</w:t>
      </w:r>
      <w:r>
        <w:t xml:space="preserve"> </w:t>
      </w:r>
      <w:r w:rsidRPr="002643B8">
        <w:rPr>
          <w:i/>
        </w:rPr>
        <w:t>Lords Debates</w:t>
      </w:r>
      <w:r>
        <w:t xml:space="preserve"> vol 585, col 1323 (</w:t>
      </w:r>
      <w:r w:rsidRPr="00B46037">
        <w:rPr>
          <w:rFonts w:cs="Times New Roman"/>
        </w:rPr>
        <w:t>12 Feb</w:t>
      </w:r>
      <w:r>
        <w:rPr>
          <w:rFonts w:cs="Times New Roman"/>
        </w:rPr>
        <w:t>ruary</w:t>
      </w:r>
      <w:r w:rsidRPr="00B46037">
        <w:rPr>
          <w:rFonts w:cs="Times New Roman"/>
        </w:rPr>
        <w:t xml:space="preserve"> 1998</w:t>
      </w:r>
      <w:r>
        <w:rPr>
          <w:rFonts w:cs="Times New Roman"/>
        </w:rPr>
        <w:t xml:space="preserve">), per </w:t>
      </w:r>
      <w:r w:rsidRPr="00B46037">
        <w:rPr>
          <w:rFonts w:cs="Times New Roman"/>
          <w:bCs/>
        </w:rPr>
        <w:t>Lord Williams of Mostyn</w:t>
      </w:r>
    </w:p>
  </w:footnote>
  <w:footnote w:id="109">
    <w:p w14:paraId="0E817CBF" w14:textId="77777777" w:rsidR="00F165F5" w:rsidRPr="008E258A" w:rsidRDefault="00F165F5" w:rsidP="00F165F5">
      <w:pPr>
        <w:pStyle w:val="FootnoteText"/>
      </w:pPr>
      <w:r>
        <w:rPr>
          <w:rStyle w:val="FootnoteReference"/>
        </w:rPr>
        <w:footnoteRef/>
      </w:r>
      <w:r>
        <w:t xml:space="preserve"> </w:t>
      </w:r>
      <w:r w:rsidRPr="002643B8">
        <w:rPr>
          <w:i/>
        </w:rPr>
        <w:t>Hansard</w:t>
      </w:r>
      <w:r w:rsidRPr="002643B8">
        <w:t>, HC Deb,</w:t>
      </w:r>
      <w:r>
        <w:rPr>
          <w:i/>
        </w:rPr>
        <w:t xml:space="preserve"> </w:t>
      </w:r>
      <w:r>
        <w:t>vol 294 col 390 (</w:t>
      </w:r>
      <w:r w:rsidRPr="008E258A">
        <w:rPr>
          <w:rFonts w:cs="Times New Roman"/>
          <w:bCs/>
        </w:rPr>
        <w:t>19 May 1997</w:t>
      </w:r>
      <w:r>
        <w:rPr>
          <w:rFonts w:cs="Times New Roman"/>
          <w:bCs/>
        </w:rPr>
        <w:t xml:space="preserve">), per </w:t>
      </w:r>
      <w:r w:rsidRPr="008E258A">
        <w:t>Jack Straw</w:t>
      </w:r>
    </w:p>
  </w:footnote>
  <w:footnote w:id="110">
    <w:p w14:paraId="189B57F9" w14:textId="77777777" w:rsidR="00F165F5" w:rsidRPr="008E258A" w:rsidRDefault="00F165F5" w:rsidP="00F165F5">
      <w:pPr>
        <w:pStyle w:val="FootnoteText"/>
      </w:pPr>
      <w:r>
        <w:rPr>
          <w:rStyle w:val="FootnoteReference"/>
        </w:rPr>
        <w:footnoteRef/>
      </w:r>
      <w:r>
        <w:t xml:space="preserve"> </w:t>
      </w:r>
      <w:r w:rsidRPr="00B46037">
        <w:rPr>
          <w:rFonts w:eastAsia="Calibri" w:cs="Times New Roman"/>
        </w:rPr>
        <w:t xml:space="preserve">Home Office </w:t>
      </w:r>
      <w:r w:rsidRPr="00B46037">
        <w:rPr>
          <w:rFonts w:eastAsia="Calibri" w:cs="Times New Roman"/>
          <w:i/>
        </w:rPr>
        <w:t xml:space="preserve">No more excuses: A new approach to tackling youth crime in England and Wales </w:t>
      </w:r>
      <w:r>
        <w:rPr>
          <w:rFonts w:eastAsia="Calibri" w:cs="Times New Roman"/>
        </w:rPr>
        <w:t>(</w:t>
      </w:r>
      <w:r w:rsidRPr="00B46037">
        <w:rPr>
          <w:rFonts w:eastAsia="Calibri" w:cs="Times New Roman"/>
        </w:rPr>
        <w:t xml:space="preserve">The Stationery Office, </w:t>
      </w:r>
      <w:r>
        <w:rPr>
          <w:rFonts w:eastAsia="Calibri" w:cs="Times New Roman"/>
        </w:rPr>
        <w:t>1997)</w:t>
      </w:r>
    </w:p>
  </w:footnote>
  <w:footnote w:id="111">
    <w:p w14:paraId="1A8AA1DC" w14:textId="77777777" w:rsidR="00F165F5" w:rsidRDefault="00F165F5" w:rsidP="00F165F5">
      <w:pPr>
        <w:pStyle w:val="FootnoteText"/>
      </w:pPr>
      <w:r>
        <w:rPr>
          <w:rStyle w:val="FootnoteReference"/>
        </w:rPr>
        <w:footnoteRef/>
      </w:r>
      <w:r>
        <w:t xml:space="preserve"> </w:t>
      </w:r>
      <w:r w:rsidRPr="008E258A">
        <w:rPr>
          <w:rFonts w:cs="Times New Roman"/>
          <w:i/>
          <w:iCs/>
        </w:rPr>
        <w:t xml:space="preserve">C (A Minor) v Director of Public Prosecutions </w:t>
      </w:r>
      <w:r w:rsidRPr="008E258A">
        <w:rPr>
          <w:rFonts w:cs="Times New Roman"/>
          <w:iCs/>
        </w:rPr>
        <w:t>[1994] 3 All ER 190, per Laws J 197</w:t>
      </w:r>
    </w:p>
  </w:footnote>
  <w:footnote w:id="112">
    <w:p w14:paraId="53702374" w14:textId="77777777" w:rsidR="00F165F5" w:rsidRDefault="00F165F5" w:rsidP="00F165F5">
      <w:pPr>
        <w:pStyle w:val="FootnoteText"/>
      </w:pPr>
      <w:r>
        <w:rPr>
          <w:rStyle w:val="FootnoteReference"/>
        </w:rPr>
        <w:footnoteRef/>
      </w:r>
      <w:r>
        <w:t xml:space="preserve"> Ibid. 198</w:t>
      </w:r>
    </w:p>
  </w:footnote>
  <w:footnote w:id="113">
    <w:p w14:paraId="100CEB44" w14:textId="77777777" w:rsidR="00F165F5" w:rsidRPr="008E258A" w:rsidRDefault="00F165F5" w:rsidP="00F165F5">
      <w:pPr>
        <w:pStyle w:val="FootnoteText"/>
      </w:pPr>
      <w:r>
        <w:rPr>
          <w:rStyle w:val="FootnoteReference"/>
        </w:rPr>
        <w:footnoteRef/>
      </w:r>
      <w:r>
        <w:t xml:space="preserve"> </w:t>
      </w:r>
      <w:r w:rsidRPr="008E258A">
        <w:rPr>
          <w:rFonts w:cs="Times New Roman"/>
          <w:i/>
          <w:iCs/>
        </w:rPr>
        <w:t xml:space="preserve">A v Director of Public Prosecutions </w:t>
      </w:r>
      <w:r w:rsidRPr="008E258A">
        <w:rPr>
          <w:rFonts w:cs="Times New Roman"/>
        </w:rPr>
        <w:t>[1992] Crim LR 34</w:t>
      </w:r>
      <w:r>
        <w:rPr>
          <w:rFonts w:cs="Times New Roman"/>
        </w:rPr>
        <w:t>, per</w:t>
      </w:r>
      <w:r w:rsidRPr="008E258A">
        <w:rPr>
          <w:rFonts w:cs="Times New Roman"/>
        </w:rPr>
        <w:t xml:space="preserve"> Bingham LJ</w:t>
      </w:r>
    </w:p>
  </w:footnote>
  <w:footnote w:id="114">
    <w:p w14:paraId="5AAA462D" w14:textId="77777777" w:rsidR="00F165F5" w:rsidRPr="005C48AA" w:rsidRDefault="00F165F5" w:rsidP="00F165F5">
      <w:pPr>
        <w:pStyle w:val="FootnoteText"/>
        <w:rPr>
          <w:rFonts w:cs="Times New Roman"/>
        </w:rPr>
      </w:pPr>
      <w:r>
        <w:rPr>
          <w:rStyle w:val="FootnoteReference"/>
        </w:rPr>
        <w:footnoteRef/>
      </w:r>
      <w:r>
        <w:t xml:space="preserve"> </w:t>
      </w:r>
      <w:r w:rsidRPr="005C48AA">
        <w:rPr>
          <w:rFonts w:cs="Times New Roman"/>
        </w:rPr>
        <w:t xml:space="preserve">Home Office </w:t>
      </w:r>
      <w:r w:rsidRPr="005C48AA">
        <w:rPr>
          <w:rFonts w:cs="Times New Roman"/>
          <w:i/>
        </w:rPr>
        <w:t xml:space="preserve">Home Office Counting Rules for Recorded Crime: Crime Recording General Rules </w:t>
      </w:r>
      <w:r w:rsidRPr="005C48AA">
        <w:rPr>
          <w:rFonts w:cs="Times New Roman"/>
        </w:rPr>
        <w:t>(London: Home Office, 2017).</w:t>
      </w:r>
    </w:p>
  </w:footnote>
  <w:footnote w:id="115">
    <w:p w14:paraId="51530836" w14:textId="77777777" w:rsidR="00F165F5" w:rsidRPr="005C48AA" w:rsidRDefault="00F165F5" w:rsidP="00F165F5">
      <w:pPr>
        <w:pStyle w:val="FootnoteText"/>
        <w:rPr>
          <w:rFonts w:cs="Times New Roman"/>
        </w:rPr>
      </w:pPr>
      <w:r>
        <w:rPr>
          <w:rStyle w:val="FootnoteReference"/>
        </w:rPr>
        <w:footnoteRef/>
      </w:r>
      <w:r>
        <w:t xml:space="preserve"> </w:t>
      </w:r>
      <w:r w:rsidRPr="005C48AA">
        <w:rPr>
          <w:rFonts w:cs="Times New Roman"/>
          <w:color w:val="000000"/>
        </w:rPr>
        <w:t xml:space="preserve">The power for police to keep records on the Police National Database is contained in the National Police Records (Recordable Offences) Regulations 2000, </w:t>
      </w:r>
      <w:r w:rsidRPr="005C48AA">
        <w:rPr>
          <w:rStyle w:val="A15"/>
          <w:rFonts w:cs="Times New Roman"/>
        </w:rPr>
        <w:t>SI No 2000/1139.</w:t>
      </w:r>
    </w:p>
  </w:footnote>
  <w:footnote w:id="116">
    <w:p w14:paraId="796ECD9D" w14:textId="77777777" w:rsidR="00F165F5" w:rsidRPr="005C48AA" w:rsidRDefault="00F165F5" w:rsidP="00F165F5">
      <w:pPr>
        <w:pStyle w:val="FootnoteText"/>
        <w:rPr>
          <w:rFonts w:cs="Times New Roman"/>
        </w:rPr>
      </w:pPr>
      <w:r>
        <w:rPr>
          <w:rStyle w:val="FootnoteReference"/>
        </w:rPr>
        <w:footnoteRef/>
      </w:r>
      <w:r>
        <w:rPr>
          <w:rFonts w:ascii="Times New Roman" w:hAnsi="Times New Roman" w:cs="Times New Roman"/>
        </w:rPr>
        <w:t xml:space="preserve"> </w:t>
      </w:r>
      <w:r w:rsidRPr="005C48AA">
        <w:rPr>
          <w:rFonts w:cs="Times New Roman"/>
        </w:rPr>
        <w:t>R Arthur</w:t>
      </w:r>
      <w:r>
        <w:rPr>
          <w:rFonts w:cs="Times New Roman"/>
        </w:rPr>
        <w:t xml:space="preserve"> ‘</w:t>
      </w:r>
      <w:r w:rsidRPr="005C48AA">
        <w:rPr>
          <w:rFonts w:cs="Arial"/>
        </w:rPr>
        <w:t>Consensual Teenage Sexting and Youth Criminal Records</w:t>
      </w:r>
      <w:r>
        <w:rPr>
          <w:rFonts w:cs="Arial"/>
        </w:rPr>
        <w:t>’ (2018) 5</w:t>
      </w:r>
      <w:r w:rsidRPr="005C48AA">
        <w:rPr>
          <w:rFonts w:cs="Arial"/>
        </w:rPr>
        <w:t xml:space="preserve"> </w:t>
      </w:r>
      <w:r w:rsidRPr="005C48AA">
        <w:rPr>
          <w:rFonts w:cs="Arial"/>
          <w:i/>
        </w:rPr>
        <w:t>Criminal Law Review</w:t>
      </w:r>
      <w:r w:rsidRPr="005C48AA">
        <w:rPr>
          <w:rFonts w:cs="Arial"/>
        </w:rPr>
        <w:t xml:space="preserve"> 381-387</w:t>
      </w:r>
    </w:p>
  </w:footnote>
  <w:footnote w:id="117">
    <w:p w14:paraId="2AD3039C" w14:textId="77777777" w:rsidR="00F165F5" w:rsidRPr="00AA22FB" w:rsidRDefault="00F165F5" w:rsidP="00F165F5">
      <w:pPr>
        <w:pStyle w:val="FootnoteText"/>
      </w:pPr>
      <w:r w:rsidRPr="00AA22FB">
        <w:rPr>
          <w:rStyle w:val="FootnoteReference"/>
        </w:rPr>
        <w:footnoteRef/>
      </w:r>
      <w:r>
        <w:t xml:space="preserve"> [</w:t>
      </w:r>
      <w:r w:rsidRPr="00AA22FB">
        <w:rPr>
          <w:rFonts w:cs="Times New Roman"/>
        </w:rPr>
        <w:t>2005] EWHC 2583 (Admin)</w:t>
      </w:r>
      <w:r>
        <w:rPr>
          <w:rFonts w:cs="Times New Roman"/>
        </w:rPr>
        <w:t>.</w:t>
      </w:r>
    </w:p>
  </w:footnote>
  <w:footnote w:id="118">
    <w:p w14:paraId="7C3E5002" w14:textId="7F10D342" w:rsidR="00F165F5" w:rsidRPr="00871F5D" w:rsidRDefault="00F165F5" w:rsidP="00F165F5">
      <w:pPr>
        <w:pStyle w:val="FootnoteText"/>
      </w:pPr>
      <w:r>
        <w:rPr>
          <w:rStyle w:val="FootnoteReference"/>
        </w:rPr>
        <w:footnoteRef/>
      </w:r>
      <w:r>
        <w:t xml:space="preserve"> For example in 1995 81% of young people pleaded guilty in magistrates courts (Home Office, </w:t>
      </w:r>
      <w:r>
        <w:rPr>
          <w:i/>
        </w:rPr>
        <w:t xml:space="preserve">Criminal Statistics for England and Wales 1995 </w:t>
      </w:r>
      <w:r>
        <w:t>(The Stationery Office, 1996).</w:t>
      </w:r>
      <w:r>
        <w:rPr>
          <w:i/>
        </w:rPr>
        <w:t xml:space="preserve"> </w:t>
      </w:r>
      <w:r w:rsidR="00871F5D">
        <w:t xml:space="preserve">Also Audit Commission </w:t>
      </w:r>
      <w:r w:rsidR="00871F5D">
        <w:rPr>
          <w:i/>
        </w:rPr>
        <w:t xml:space="preserve">Misspent Youth: Young People and Crime </w:t>
      </w:r>
      <w:r w:rsidR="00871F5D">
        <w:t xml:space="preserve">(Audit Commission, 1996). </w:t>
      </w:r>
    </w:p>
  </w:footnote>
  <w:footnote w:id="119">
    <w:p w14:paraId="7D9062D8" w14:textId="77777777" w:rsidR="00F165F5" w:rsidRDefault="00F165F5" w:rsidP="00F165F5">
      <w:pPr>
        <w:pStyle w:val="FootnoteText"/>
      </w:pPr>
      <w:r>
        <w:rPr>
          <w:rStyle w:val="FootnoteReference"/>
        </w:rPr>
        <w:footnoteRef/>
      </w:r>
      <w:r>
        <w:t xml:space="preserve"> </w:t>
      </w:r>
      <w:r>
        <w:rPr>
          <w:color w:val="000000"/>
        </w:rPr>
        <w:t xml:space="preserve">T Crofts ‘Rebutting the presumption of doli incapax’, (1998) 62(2) </w:t>
      </w:r>
      <w:r>
        <w:rPr>
          <w:i/>
          <w:color w:val="000000"/>
        </w:rPr>
        <w:t xml:space="preserve">Journal of Criminal Law </w:t>
      </w:r>
      <w:r>
        <w:rPr>
          <w:color w:val="000000"/>
        </w:rPr>
        <w:t xml:space="preserve">185; </w:t>
      </w:r>
      <w:r w:rsidRPr="0094657A">
        <w:t>E Stokes, ‘Abolishing the Presumption of Doli Incapax: Reflections on the Death of a Doctrine’ in J Pickford (ed), Youth Justice: Theory and Practice (London: Cavendish, 2000</w:t>
      </w:r>
      <w:r>
        <w:t>), 57-58.</w:t>
      </w:r>
    </w:p>
  </w:footnote>
  <w:footnote w:id="120">
    <w:p w14:paraId="5A4886C3" w14:textId="0180E631" w:rsidR="00905287" w:rsidRPr="00905287" w:rsidRDefault="00905287">
      <w:pPr>
        <w:pStyle w:val="FootnoteText"/>
      </w:pPr>
      <w:r>
        <w:rPr>
          <w:rStyle w:val="FootnoteReference"/>
        </w:rPr>
        <w:footnoteRef/>
      </w:r>
      <w:r>
        <w:t xml:space="preserve"> </w:t>
      </w:r>
      <w:r>
        <w:rPr>
          <w:i/>
        </w:rPr>
        <w:t xml:space="preserve">L and others v DPP </w:t>
      </w:r>
      <w:r>
        <w:t>[1996] 2 Cr App R 501</w:t>
      </w:r>
    </w:p>
  </w:footnote>
  <w:footnote w:id="121">
    <w:p w14:paraId="272CFE11" w14:textId="77777777" w:rsidR="00F165F5" w:rsidRDefault="00F165F5" w:rsidP="00F165F5">
      <w:pPr>
        <w:pStyle w:val="FootnoteText"/>
      </w:pPr>
      <w:r>
        <w:rPr>
          <w:rStyle w:val="FootnoteReference"/>
        </w:rPr>
        <w:footnoteRef/>
      </w:r>
      <w:r>
        <w:t xml:space="preserve"> (1996) 1 CR APP 375, 382</w:t>
      </w:r>
    </w:p>
  </w:footnote>
  <w:footnote w:id="122">
    <w:p w14:paraId="041BA6EC" w14:textId="77777777" w:rsidR="00F165F5" w:rsidRPr="008E258A" w:rsidRDefault="00F165F5" w:rsidP="00F165F5">
      <w:pPr>
        <w:pStyle w:val="FootnoteText"/>
      </w:pPr>
      <w:r>
        <w:rPr>
          <w:rStyle w:val="FootnoteReference"/>
        </w:rPr>
        <w:footnoteRef/>
      </w:r>
      <w:r>
        <w:t xml:space="preserve"> </w:t>
      </w:r>
      <w:r>
        <w:rPr>
          <w:rFonts w:cs="Times New Roman"/>
        </w:rPr>
        <w:t xml:space="preserve">Home Office </w:t>
      </w:r>
      <w:r w:rsidRPr="008E258A">
        <w:rPr>
          <w:rFonts w:cs="Times New Roman"/>
          <w:i/>
          <w:iCs/>
        </w:rPr>
        <w:t xml:space="preserve">Criminal statistics: England and Wales 2000. </w:t>
      </w:r>
      <w:r>
        <w:rPr>
          <w:rFonts w:cs="Times New Roman"/>
        </w:rPr>
        <w:t>(</w:t>
      </w:r>
      <w:r w:rsidRPr="008E258A">
        <w:rPr>
          <w:rFonts w:cs="Times New Roman"/>
        </w:rPr>
        <w:t>The Stationery Office</w:t>
      </w:r>
      <w:r>
        <w:rPr>
          <w:rFonts w:cs="Times New Roman"/>
        </w:rPr>
        <w:t>, 2001).</w:t>
      </w:r>
    </w:p>
  </w:footnote>
  <w:footnote w:id="123">
    <w:p w14:paraId="1C6660A1" w14:textId="5140ADD5" w:rsidR="000850F7" w:rsidRPr="008C4E3C" w:rsidRDefault="000850F7" w:rsidP="003378F4">
      <w:pPr>
        <w:pStyle w:val="FootnoteText"/>
      </w:pPr>
      <w:r>
        <w:rPr>
          <w:rStyle w:val="FootnoteReference"/>
        </w:rPr>
        <w:footnoteRef/>
      </w:r>
      <w:r>
        <w:t xml:space="preserve"> </w:t>
      </w:r>
      <w:r w:rsidR="0029665A">
        <w:t xml:space="preserve">S </w:t>
      </w:r>
      <w:r w:rsidRPr="0029665A">
        <w:rPr>
          <w:rFonts w:cs="F18"/>
        </w:rPr>
        <w:t xml:space="preserve">Hackett, </w:t>
      </w:r>
      <w:r w:rsidR="0029665A">
        <w:rPr>
          <w:rFonts w:cs="F18"/>
        </w:rPr>
        <w:t xml:space="preserve">J </w:t>
      </w:r>
      <w:r w:rsidRPr="0029665A">
        <w:rPr>
          <w:rFonts w:cs="F18"/>
        </w:rPr>
        <w:t xml:space="preserve">Phillips, </w:t>
      </w:r>
      <w:r w:rsidR="0029665A">
        <w:rPr>
          <w:rFonts w:cs="F18"/>
        </w:rPr>
        <w:t xml:space="preserve">H </w:t>
      </w:r>
      <w:r w:rsidRPr="0029665A">
        <w:rPr>
          <w:rFonts w:cs="F18"/>
        </w:rPr>
        <w:t xml:space="preserve">Masson, </w:t>
      </w:r>
      <w:r w:rsidR="0029665A">
        <w:rPr>
          <w:rFonts w:cs="F18"/>
        </w:rPr>
        <w:t>M</w:t>
      </w:r>
      <w:r w:rsidRPr="0029665A">
        <w:rPr>
          <w:rFonts w:cs="F18"/>
        </w:rPr>
        <w:t xml:space="preserve"> Balfe</w:t>
      </w:r>
      <w:r w:rsidR="0029665A">
        <w:rPr>
          <w:rFonts w:cs="F18"/>
        </w:rPr>
        <w:t xml:space="preserve"> </w:t>
      </w:r>
      <w:r w:rsidRPr="0029665A">
        <w:rPr>
          <w:rFonts w:cs="F18"/>
        </w:rPr>
        <w:t>'Individual, family and abuse characteristics of 700 British child</w:t>
      </w:r>
      <w:r w:rsidRPr="008C4E3C">
        <w:rPr>
          <w:rFonts w:cs="F18"/>
        </w:rPr>
        <w:t xml:space="preserve"> and adolescent sexual abusers'</w:t>
      </w:r>
      <w:r w:rsidR="0029665A">
        <w:rPr>
          <w:rFonts w:cs="F18"/>
        </w:rPr>
        <w:t xml:space="preserve"> (2013) 22(4)</w:t>
      </w:r>
      <w:r w:rsidRPr="008C4E3C">
        <w:rPr>
          <w:rFonts w:cs="F18"/>
        </w:rPr>
        <w:t xml:space="preserve"> </w:t>
      </w:r>
      <w:r w:rsidR="005256AD">
        <w:rPr>
          <w:rFonts w:cs="F18"/>
        </w:rPr>
        <w:t>Child Abuse R</w:t>
      </w:r>
      <w:r w:rsidRPr="005256AD">
        <w:rPr>
          <w:rFonts w:cs="F18"/>
        </w:rPr>
        <w:t>eview</w:t>
      </w:r>
      <w:r w:rsidRPr="008C4E3C">
        <w:rPr>
          <w:rFonts w:cs="F18"/>
        </w:rPr>
        <w:t xml:space="preserve"> 232.</w:t>
      </w:r>
    </w:p>
  </w:footnote>
  <w:footnote w:id="124">
    <w:p w14:paraId="0BBA94C4" w14:textId="3D3E993D" w:rsidR="000850F7" w:rsidRDefault="000850F7" w:rsidP="003378F4">
      <w:pPr>
        <w:pStyle w:val="FootnoteText"/>
      </w:pPr>
      <w:r>
        <w:rPr>
          <w:rStyle w:val="FootnoteReference"/>
        </w:rPr>
        <w:footnoteRef/>
      </w:r>
      <w:r>
        <w:t xml:space="preserve"> </w:t>
      </w:r>
      <w:r w:rsidR="0029665A">
        <w:t xml:space="preserve">H </w:t>
      </w:r>
      <w:r w:rsidRPr="008D0F02">
        <w:rPr>
          <w:rFonts w:ascii="Calibri" w:hAnsi="Calibri" w:cs="AvantGarde-Book"/>
        </w:rPr>
        <w:t xml:space="preserve">Masson, </w:t>
      </w:r>
      <w:r w:rsidR="0029665A">
        <w:rPr>
          <w:rFonts w:ascii="Calibri" w:hAnsi="Calibri" w:cs="AvantGarde-Book"/>
        </w:rPr>
        <w:t>T</w:t>
      </w:r>
      <w:r w:rsidRPr="008D0F02">
        <w:rPr>
          <w:rFonts w:ascii="Calibri" w:hAnsi="Calibri" w:cs="AvantGarde-Book"/>
        </w:rPr>
        <w:t xml:space="preserve"> Morrisson </w:t>
      </w:r>
      <w:r w:rsidR="0029665A">
        <w:rPr>
          <w:rFonts w:ascii="Calibri" w:hAnsi="Calibri" w:cs="AvantGarde-Book"/>
        </w:rPr>
        <w:t>‘</w:t>
      </w:r>
      <w:r w:rsidRPr="008D0F02">
        <w:rPr>
          <w:rFonts w:ascii="Calibri" w:hAnsi="Calibri" w:cs="AvantGarde-Book"/>
        </w:rPr>
        <w:t>Young sexual abusers: conceptual frameworks, issues and imperatives’</w:t>
      </w:r>
      <w:r w:rsidR="0029665A">
        <w:rPr>
          <w:rFonts w:ascii="Calibri" w:hAnsi="Calibri" w:cs="AvantGarde-Book"/>
        </w:rPr>
        <w:t xml:space="preserve"> (1999) 13</w:t>
      </w:r>
      <w:r w:rsidRPr="008D0F02">
        <w:rPr>
          <w:rFonts w:ascii="Calibri" w:hAnsi="Calibri" w:cs="AvantGarde-Book"/>
        </w:rPr>
        <w:t xml:space="preserve"> </w:t>
      </w:r>
      <w:r w:rsidRPr="005256AD">
        <w:rPr>
          <w:rFonts w:ascii="Calibri" w:hAnsi="Calibri" w:cs="AvantGarde-Book"/>
        </w:rPr>
        <w:t>Children &amp; Society</w:t>
      </w:r>
      <w:r w:rsidRPr="008D0F02">
        <w:rPr>
          <w:rFonts w:ascii="Calibri" w:hAnsi="Calibri" w:cs="AvantGarde-Book"/>
        </w:rPr>
        <w:t xml:space="preserve"> 203</w:t>
      </w:r>
      <w:r w:rsidR="0029665A">
        <w:rPr>
          <w:rFonts w:ascii="Calibri" w:hAnsi="Calibri" w:cs="AvantGarde-Book"/>
        </w:rPr>
        <w:t>.</w:t>
      </w:r>
    </w:p>
  </w:footnote>
  <w:footnote w:id="125">
    <w:p w14:paraId="087E6AE5" w14:textId="4020D81B" w:rsidR="000850F7" w:rsidRPr="00AA22FB" w:rsidRDefault="000850F7" w:rsidP="00DD69EA">
      <w:pPr>
        <w:pStyle w:val="FootnoteText"/>
      </w:pPr>
      <w:r>
        <w:rPr>
          <w:rStyle w:val="FootnoteReference"/>
        </w:rPr>
        <w:footnoteRef/>
      </w:r>
      <w:r>
        <w:t xml:space="preserve"> </w:t>
      </w:r>
      <w:r w:rsidR="0029665A">
        <w:t xml:space="preserve">S </w:t>
      </w:r>
      <w:r w:rsidRPr="00AA22FB">
        <w:rPr>
          <w:rFonts w:cs="AvantGarde-Book"/>
        </w:rPr>
        <w:t xml:space="preserve">Hackett, </w:t>
      </w:r>
      <w:r w:rsidR="0029665A">
        <w:rPr>
          <w:rFonts w:cs="AvantGarde-Book"/>
        </w:rPr>
        <w:t>H</w:t>
      </w:r>
      <w:r w:rsidRPr="00AA22FB">
        <w:rPr>
          <w:rFonts w:cs="AvantGarde-Book"/>
        </w:rPr>
        <w:t xml:space="preserve"> Masson, </w:t>
      </w:r>
      <w:r w:rsidR="0029665A">
        <w:rPr>
          <w:rFonts w:cs="AvantGarde-Book"/>
        </w:rPr>
        <w:t>S</w:t>
      </w:r>
      <w:r w:rsidRPr="00AA22FB">
        <w:rPr>
          <w:rFonts w:cs="AvantGarde-Book"/>
        </w:rPr>
        <w:t xml:space="preserve"> Phillips </w:t>
      </w:r>
      <w:r w:rsidRPr="00F24BB3">
        <w:rPr>
          <w:rFonts w:cs="AvantGarde-Book"/>
          <w:i/>
        </w:rPr>
        <w:t>Services for young people who sexually abuse</w:t>
      </w:r>
      <w:r w:rsidRPr="00AA22FB">
        <w:rPr>
          <w:rFonts w:cs="AvantGarde-Book"/>
        </w:rPr>
        <w:t xml:space="preserve"> (London</w:t>
      </w:r>
      <w:r w:rsidR="0029665A">
        <w:rPr>
          <w:rFonts w:cs="AvantGarde-Book"/>
        </w:rPr>
        <w:t>: 2005</w:t>
      </w:r>
      <w:r w:rsidRPr="00AA22FB">
        <w:rPr>
          <w:rFonts w:cs="AvantGarde-Book"/>
        </w:rPr>
        <w:t>)</w:t>
      </w:r>
      <w:r w:rsidR="00F24BB3">
        <w:rPr>
          <w:rFonts w:cs="AvantGarde-Book"/>
        </w:rPr>
        <w:t>.</w:t>
      </w:r>
    </w:p>
  </w:footnote>
  <w:footnote w:id="126">
    <w:p w14:paraId="7E57DE5A" w14:textId="36F2D1C4" w:rsidR="00724D76" w:rsidRDefault="00724D76">
      <w:pPr>
        <w:pStyle w:val="FootnoteText"/>
      </w:pPr>
      <w:r>
        <w:rPr>
          <w:rStyle w:val="FootnoteReference"/>
        </w:rPr>
        <w:footnoteRef/>
      </w:r>
      <w:r>
        <w:t xml:space="preserve"> L Gelsthorpe, A Morris ‘Much ado about nothing: A critical comment on key provisions relating to children in the Crime and Disorder Act 1998’, (1998) 11(3) </w:t>
      </w:r>
      <w:r>
        <w:rPr>
          <w:i/>
        </w:rPr>
        <w:t>Child and Family Law Quarterly</w:t>
      </w:r>
      <w:r>
        <w:t xml:space="preserve"> 213</w:t>
      </w:r>
    </w:p>
  </w:footnote>
  <w:footnote w:id="127">
    <w:p w14:paraId="5AA832E0" w14:textId="77777777" w:rsidR="00DF793A" w:rsidRDefault="00DF793A" w:rsidP="00DF793A">
      <w:pPr>
        <w:pStyle w:val="FootnoteText"/>
      </w:pPr>
      <w:r>
        <w:rPr>
          <w:rStyle w:val="FootnoteReference"/>
        </w:rPr>
        <w:footnoteRef/>
      </w:r>
      <w:r>
        <w:t xml:space="preserve"> </w:t>
      </w:r>
      <w:r w:rsidRPr="0094657A">
        <w:t>E Stokes, ‘Abolishing the Presumption of Doli Incapax: Reflections on the Death of a Doctrine’ in J Pickford (ed), Youth Justice: Theory and Practice (London: Cavendish, 2000</w:t>
      </w:r>
      <w:r>
        <w:t>). 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D4"/>
    <w:rsid w:val="000067E0"/>
    <w:rsid w:val="0001028E"/>
    <w:rsid w:val="00013FEF"/>
    <w:rsid w:val="000159A9"/>
    <w:rsid w:val="00020339"/>
    <w:rsid w:val="00024A6D"/>
    <w:rsid w:val="0002585F"/>
    <w:rsid w:val="00037021"/>
    <w:rsid w:val="000412BA"/>
    <w:rsid w:val="00045D04"/>
    <w:rsid w:val="000500AC"/>
    <w:rsid w:val="0006068C"/>
    <w:rsid w:val="0006536E"/>
    <w:rsid w:val="0006768E"/>
    <w:rsid w:val="00072CE1"/>
    <w:rsid w:val="00075D00"/>
    <w:rsid w:val="00082196"/>
    <w:rsid w:val="0008411A"/>
    <w:rsid w:val="000850F7"/>
    <w:rsid w:val="00092336"/>
    <w:rsid w:val="000A028D"/>
    <w:rsid w:val="000A0A22"/>
    <w:rsid w:val="000A19FF"/>
    <w:rsid w:val="000A5B65"/>
    <w:rsid w:val="000B3A02"/>
    <w:rsid w:val="000C5C97"/>
    <w:rsid w:val="000D6796"/>
    <w:rsid w:val="00105A51"/>
    <w:rsid w:val="00111434"/>
    <w:rsid w:val="00141A41"/>
    <w:rsid w:val="001429B2"/>
    <w:rsid w:val="0014318E"/>
    <w:rsid w:val="001454A7"/>
    <w:rsid w:val="001518EF"/>
    <w:rsid w:val="00160BF8"/>
    <w:rsid w:val="001669DA"/>
    <w:rsid w:val="001676D2"/>
    <w:rsid w:val="00167AA3"/>
    <w:rsid w:val="00180EC3"/>
    <w:rsid w:val="00183BAB"/>
    <w:rsid w:val="00185FA0"/>
    <w:rsid w:val="001B5311"/>
    <w:rsid w:val="001B5404"/>
    <w:rsid w:val="001B6DCA"/>
    <w:rsid w:val="001C15EE"/>
    <w:rsid w:val="001C3B18"/>
    <w:rsid w:val="001C6C17"/>
    <w:rsid w:val="001D25D2"/>
    <w:rsid w:val="001E1B5A"/>
    <w:rsid w:val="001E2612"/>
    <w:rsid w:val="001E2B23"/>
    <w:rsid w:val="001E564E"/>
    <w:rsid w:val="001E7687"/>
    <w:rsid w:val="001F5ED8"/>
    <w:rsid w:val="0022035B"/>
    <w:rsid w:val="00220C4E"/>
    <w:rsid w:val="00231AB0"/>
    <w:rsid w:val="00233833"/>
    <w:rsid w:val="00241155"/>
    <w:rsid w:val="002434ED"/>
    <w:rsid w:val="002452DC"/>
    <w:rsid w:val="00245C94"/>
    <w:rsid w:val="002468C2"/>
    <w:rsid w:val="00246EBE"/>
    <w:rsid w:val="00250BD0"/>
    <w:rsid w:val="002550E0"/>
    <w:rsid w:val="002643B8"/>
    <w:rsid w:val="0026744C"/>
    <w:rsid w:val="00273BAB"/>
    <w:rsid w:val="002777D3"/>
    <w:rsid w:val="00282F27"/>
    <w:rsid w:val="00282FF2"/>
    <w:rsid w:val="0028794F"/>
    <w:rsid w:val="00291E56"/>
    <w:rsid w:val="00292D05"/>
    <w:rsid w:val="0029665A"/>
    <w:rsid w:val="002C503C"/>
    <w:rsid w:val="002D5EEC"/>
    <w:rsid w:val="002E36B9"/>
    <w:rsid w:val="002F17F2"/>
    <w:rsid w:val="003016DD"/>
    <w:rsid w:val="00306225"/>
    <w:rsid w:val="00311871"/>
    <w:rsid w:val="0031408B"/>
    <w:rsid w:val="003170AF"/>
    <w:rsid w:val="00326A06"/>
    <w:rsid w:val="003273BC"/>
    <w:rsid w:val="0032745E"/>
    <w:rsid w:val="00335B12"/>
    <w:rsid w:val="003378F4"/>
    <w:rsid w:val="00346CA4"/>
    <w:rsid w:val="00346FEB"/>
    <w:rsid w:val="00347929"/>
    <w:rsid w:val="0035327D"/>
    <w:rsid w:val="00355EC9"/>
    <w:rsid w:val="00363F8B"/>
    <w:rsid w:val="003657CE"/>
    <w:rsid w:val="003671FF"/>
    <w:rsid w:val="00367925"/>
    <w:rsid w:val="00373224"/>
    <w:rsid w:val="0037763A"/>
    <w:rsid w:val="00381CAF"/>
    <w:rsid w:val="003905C9"/>
    <w:rsid w:val="003957FA"/>
    <w:rsid w:val="00395D6E"/>
    <w:rsid w:val="0039767B"/>
    <w:rsid w:val="003A192D"/>
    <w:rsid w:val="003A7308"/>
    <w:rsid w:val="003B1F10"/>
    <w:rsid w:val="003C3975"/>
    <w:rsid w:val="003C4D29"/>
    <w:rsid w:val="003D537F"/>
    <w:rsid w:val="003D64B8"/>
    <w:rsid w:val="003E53D2"/>
    <w:rsid w:val="003E6B4A"/>
    <w:rsid w:val="003F2F1F"/>
    <w:rsid w:val="003F7649"/>
    <w:rsid w:val="00403353"/>
    <w:rsid w:val="004035BB"/>
    <w:rsid w:val="004209CD"/>
    <w:rsid w:val="00421E09"/>
    <w:rsid w:val="004235F0"/>
    <w:rsid w:val="00433EA9"/>
    <w:rsid w:val="0044595E"/>
    <w:rsid w:val="00454228"/>
    <w:rsid w:val="00465C60"/>
    <w:rsid w:val="004708BB"/>
    <w:rsid w:val="0047422E"/>
    <w:rsid w:val="00476997"/>
    <w:rsid w:val="0047735F"/>
    <w:rsid w:val="0048046C"/>
    <w:rsid w:val="0048787A"/>
    <w:rsid w:val="004A35B5"/>
    <w:rsid w:val="004B4393"/>
    <w:rsid w:val="004B4F7B"/>
    <w:rsid w:val="004C1037"/>
    <w:rsid w:val="004C51A1"/>
    <w:rsid w:val="004C57F1"/>
    <w:rsid w:val="004C63EE"/>
    <w:rsid w:val="004D0CB2"/>
    <w:rsid w:val="005037DB"/>
    <w:rsid w:val="00506502"/>
    <w:rsid w:val="005256AD"/>
    <w:rsid w:val="00536DA9"/>
    <w:rsid w:val="005439CC"/>
    <w:rsid w:val="005459CB"/>
    <w:rsid w:val="00547580"/>
    <w:rsid w:val="00552C20"/>
    <w:rsid w:val="00555DDA"/>
    <w:rsid w:val="0055780D"/>
    <w:rsid w:val="00561BDC"/>
    <w:rsid w:val="0057357A"/>
    <w:rsid w:val="005905D7"/>
    <w:rsid w:val="00591BBA"/>
    <w:rsid w:val="005A472F"/>
    <w:rsid w:val="005A6BA4"/>
    <w:rsid w:val="005B68B7"/>
    <w:rsid w:val="005C48AA"/>
    <w:rsid w:val="005C7826"/>
    <w:rsid w:val="005E2897"/>
    <w:rsid w:val="005E425F"/>
    <w:rsid w:val="005F3896"/>
    <w:rsid w:val="005F3CFA"/>
    <w:rsid w:val="00600D09"/>
    <w:rsid w:val="00604E9A"/>
    <w:rsid w:val="0060784A"/>
    <w:rsid w:val="00614291"/>
    <w:rsid w:val="00620045"/>
    <w:rsid w:val="00650065"/>
    <w:rsid w:val="006974B9"/>
    <w:rsid w:val="006A454E"/>
    <w:rsid w:val="006A74E5"/>
    <w:rsid w:val="006A798F"/>
    <w:rsid w:val="006B7D89"/>
    <w:rsid w:val="006C201E"/>
    <w:rsid w:val="006C6FA4"/>
    <w:rsid w:val="006D024D"/>
    <w:rsid w:val="006D0CE8"/>
    <w:rsid w:val="006D5565"/>
    <w:rsid w:val="006E1952"/>
    <w:rsid w:val="006F3C75"/>
    <w:rsid w:val="006F5B1D"/>
    <w:rsid w:val="00710924"/>
    <w:rsid w:val="00711AD3"/>
    <w:rsid w:val="00714B74"/>
    <w:rsid w:val="00720E12"/>
    <w:rsid w:val="00724D76"/>
    <w:rsid w:val="007255EB"/>
    <w:rsid w:val="007326BF"/>
    <w:rsid w:val="00735B2F"/>
    <w:rsid w:val="007536C3"/>
    <w:rsid w:val="007603E8"/>
    <w:rsid w:val="00771C8D"/>
    <w:rsid w:val="0078556B"/>
    <w:rsid w:val="007917B5"/>
    <w:rsid w:val="00791C25"/>
    <w:rsid w:val="00793F4F"/>
    <w:rsid w:val="007A00B7"/>
    <w:rsid w:val="007A304E"/>
    <w:rsid w:val="007A407F"/>
    <w:rsid w:val="007B2D5D"/>
    <w:rsid w:val="007B5FF5"/>
    <w:rsid w:val="007D23CA"/>
    <w:rsid w:val="007D3639"/>
    <w:rsid w:val="007D50A3"/>
    <w:rsid w:val="007D51F1"/>
    <w:rsid w:val="007D79B0"/>
    <w:rsid w:val="0080005C"/>
    <w:rsid w:val="008025CF"/>
    <w:rsid w:val="00816A06"/>
    <w:rsid w:val="008235C0"/>
    <w:rsid w:val="00823954"/>
    <w:rsid w:val="0082671E"/>
    <w:rsid w:val="00830BE2"/>
    <w:rsid w:val="008344C7"/>
    <w:rsid w:val="0083545E"/>
    <w:rsid w:val="00841D04"/>
    <w:rsid w:val="0084302C"/>
    <w:rsid w:val="0085236E"/>
    <w:rsid w:val="00862F3A"/>
    <w:rsid w:val="00864A1D"/>
    <w:rsid w:val="00871F5D"/>
    <w:rsid w:val="00874F0B"/>
    <w:rsid w:val="00882900"/>
    <w:rsid w:val="00892437"/>
    <w:rsid w:val="008B0764"/>
    <w:rsid w:val="008B4019"/>
    <w:rsid w:val="008B70C3"/>
    <w:rsid w:val="008C175D"/>
    <w:rsid w:val="008C68E4"/>
    <w:rsid w:val="008D0897"/>
    <w:rsid w:val="008D0F02"/>
    <w:rsid w:val="008E258A"/>
    <w:rsid w:val="008E631C"/>
    <w:rsid w:val="00905287"/>
    <w:rsid w:val="00907BBA"/>
    <w:rsid w:val="009127D0"/>
    <w:rsid w:val="00914FD9"/>
    <w:rsid w:val="00934A7B"/>
    <w:rsid w:val="00934B1E"/>
    <w:rsid w:val="00934DD2"/>
    <w:rsid w:val="00941B78"/>
    <w:rsid w:val="0094657A"/>
    <w:rsid w:val="00947ABA"/>
    <w:rsid w:val="0095261F"/>
    <w:rsid w:val="00954B70"/>
    <w:rsid w:val="0096137D"/>
    <w:rsid w:val="009831C8"/>
    <w:rsid w:val="00986D97"/>
    <w:rsid w:val="00990393"/>
    <w:rsid w:val="009965A1"/>
    <w:rsid w:val="009B75F0"/>
    <w:rsid w:val="009C2BA9"/>
    <w:rsid w:val="009E1CE2"/>
    <w:rsid w:val="009E6349"/>
    <w:rsid w:val="009F1CD9"/>
    <w:rsid w:val="009F69A9"/>
    <w:rsid w:val="00A0728E"/>
    <w:rsid w:val="00A1307A"/>
    <w:rsid w:val="00A14F3B"/>
    <w:rsid w:val="00A416AA"/>
    <w:rsid w:val="00A431BB"/>
    <w:rsid w:val="00A43914"/>
    <w:rsid w:val="00A47B45"/>
    <w:rsid w:val="00A5085A"/>
    <w:rsid w:val="00A51713"/>
    <w:rsid w:val="00A75311"/>
    <w:rsid w:val="00A80122"/>
    <w:rsid w:val="00A8626E"/>
    <w:rsid w:val="00A96F4D"/>
    <w:rsid w:val="00AA0D31"/>
    <w:rsid w:val="00AA665A"/>
    <w:rsid w:val="00AA6BF4"/>
    <w:rsid w:val="00AA745E"/>
    <w:rsid w:val="00AC2F18"/>
    <w:rsid w:val="00AC6E19"/>
    <w:rsid w:val="00AD1CAB"/>
    <w:rsid w:val="00AE6E5A"/>
    <w:rsid w:val="00B00467"/>
    <w:rsid w:val="00B1247A"/>
    <w:rsid w:val="00B13F64"/>
    <w:rsid w:val="00B201E6"/>
    <w:rsid w:val="00B21B0B"/>
    <w:rsid w:val="00B21DA1"/>
    <w:rsid w:val="00B36AC7"/>
    <w:rsid w:val="00B45E91"/>
    <w:rsid w:val="00B46037"/>
    <w:rsid w:val="00B50C98"/>
    <w:rsid w:val="00B60974"/>
    <w:rsid w:val="00B631AD"/>
    <w:rsid w:val="00B951CD"/>
    <w:rsid w:val="00BA1D53"/>
    <w:rsid w:val="00BB78BA"/>
    <w:rsid w:val="00BC023C"/>
    <w:rsid w:val="00BC282C"/>
    <w:rsid w:val="00BC478D"/>
    <w:rsid w:val="00BC5EC7"/>
    <w:rsid w:val="00BD5398"/>
    <w:rsid w:val="00BE26BC"/>
    <w:rsid w:val="00BE605F"/>
    <w:rsid w:val="00C01829"/>
    <w:rsid w:val="00C02DE5"/>
    <w:rsid w:val="00C05449"/>
    <w:rsid w:val="00C206E1"/>
    <w:rsid w:val="00C2116F"/>
    <w:rsid w:val="00C349F0"/>
    <w:rsid w:val="00C40FBA"/>
    <w:rsid w:val="00C553D3"/>
    <w:rsid w:val="00C57EF4"/>
    <w:rsid w:val="00C637B4"/>
    <w:rsid w:val="00C678A6"/>
    <w:rsid w:val="00C736D4"/>
    <w:rsid w:val="00C832AD"/>
    <w:rsid w:val="00C83BED"/>
    <w:rsid w:val="00C83CE4"/>
    <w:rsid w:val="00C92288"/>
    <w:rsid w:val="00C9351C"/>
    <w:rsid w:val="00CC0F6C"/>
    <w:rsid w:val="00CE34F4"/>
    <w:rsid w:val="00D164F8"/>
    <w:rsid w:val="00D22001"/>
    <w:rsid w:val="00D239E6"/>
    <w:rsid w:val="00D25B77"/>
    <w:rsid w:val="00D51260"/>
    <w:rsid w:val="00D62176"/>
    <w:rsid w:val="00D769FB"/>
    <w:rsid w:val="00D81811"/>
    <w:rsid w:val="00D87F05"/>
    <w:rsid w:val="00D91695"/>
    <w:rsid w:val="00D92155"/>
    <w:rsid w:val="00D9464D"/>
    <w:rsid w:val="00DA0342"/>
    <w:rsid w:val="00DA14AF"/>
    <w:rsid w:val="00DB36AD"/>
    <w:rsid w:val="00DB688E"/>
    <w:rsid w:val="00DC2E89"/>
    <w:rsid w:val="00DC3B25"/>
    <w:rsid w:val="00DD00C2"/>
    <w:rsid w:val="00DD5201"/>
    <w:rsid w:val="00DD69EA"/>
    <w:rsid w:val="00DE09E9"/>
    <w:rsid w:val="00DE1197"/>
    <w:rsid w:val="00DE4508"/>
    <w:rsid w:val="00DE458B"/>
    <w:rsid w:val="00DE50FC"/>
    <w:rsid w:val="00DF5CDD"/>
    <w:rsid w:val="00DF793A"/>
    <w:rsid w:val="00E14512"/>
    <w:rsid w:val="00E20BEB"/>
    <w:rsid w:val="00E22FA9"/>
    <w:rsid w:val="00E24592"/>
    <w:rsid w:val="00E25CC5"/>
    <w:rsid w:val="00E31F42"/>
    <w:rsid w:val="00E347E3"/>
    <w:rsid w:val="00E51DDE"/>
    <w:rsid w:val="00E54CB8"/>
    <w:rsid w:val="00E554A2"/>
    <w:rsid w:val="00E61C50"/>
    <w:rsid w:val="00E62220"/>
    <w:rsid w:val="00E62621"/>
    <w:rsid w:val="00E66C41"/>
    <w:rsid w:val="00E7645B"/>
    <w:rsid w:val="00E826D5"/>
    <w:rsid w:val="00E843BF"/>
    <w:rsid w:val="00E944FB"/>
    <w:rsid w:val="00E9648E"/>
    <w:rsid w:val="00EA2054"/>
    <w:rsid w:val="00EB0587"/>
    <w:rsid w:val="00EB0A6D"/>
    <w:rsid w:val="00EC6AC3"/>
    <w:rsid w:val="00EC7466"/>
    <w:rsid w:val="00ED65C2"/>
    <w:rsid w:val="00ED6C66"/>
    <w:rsid w:val="00EF119F"/>
    <w:rsid w:val="00EF1375"/>
    <w:rsid w:val="00EF6845"/>
    <w:rsid w:val="00F07EDF"/>
    <w:rsid w:val="00F136FA"/>
    <w:rsid w:val="00F139D6"/>
    <w:rsid w:val="00F165F5"/>
    <w:rsid w:val="00F24BB3"/>
    <w:rsid w:val="00F31205"/>
    <w:rsid w:val="00F31572"/>
    <w:rsid w:val="00F31D7A"/>
    <w:rsid w:val="00F4237F"/>
    <w:rsid w:val="00F44281"/>
    <w:rsid w:val="00F44724"/>
    <w:rsid w:val="00F459D4"/>
    <w:rsid w:val="00F45B0B"/>
    <w:rsid w:val="00F55A3A"/>
    <w:rsid w:val="00F61F8C"/>
    <w:rsid w:val="00F643BE"/>
    <w:rsid w:val="00F64E1B"/>
    <w:rsid w:val="00F66931"/>
    <w:rsid w:val="00F71E40"/>
    <w:rsid w:val="00F8131E"/>
    <w:rsid w:val="00F97E06"/>
    <w:rsid w:val="00FB1BA7"/>
    <w:rsid w:val="00FB458C"/>
    <w:rsid w:val="00FB6C6C"/>
    <w:rsid w:val="00FB6D9E"/>
    <w:rsid w:val="00FC39BD"/>
    <w:rsid w:val="00FD08A3"/>
    <w:rsid w:val="00FE5CF6"/>
    <w:rsid w:val="00FF52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B4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D4"/>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61C5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36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C736D4"/>
    <w:pPr>
      <w:spacing w:after="0" w:line="240" w:lineRule="auto"/>
    </w:pPr>
    <w:rPr>
      <w:sz w:val="20"/>
      <w:szCs w:val="20"/>
    </w:rPr>
  </w:style>
  <w:style w:type="character" w:customStyle="1" w:styleId="FootnoteTextChar">
    <w:name w:val="Footnote Text Char"/>
    <w:basedOn w:val="DefaultParagraphFont"/>
    <w:link w:val="FootnoteText"/>
    <w:uiPriority w:val="99"/>
    <w:rsid w:val="00C736D4"/>
    <w:rPr>
      <w:sz w:val="20"/>
      <w:szCs w:val="20"/>
    </w:rPr>
  </w:style>
  <w:style w:type="character" w:styleId="FootnoteReference">
    <w:name w:val="footnote reference"/>
    <w:basedOn w:val="DefaultParagraphFont"/>
    <w:uiPriority w:val="99"/>
    <w:unhideWhenUsed/>
    <w:rsid w:val="00C736D4"/>
    <w:rPr>
      <w:vertAlign w:val="superscript"/>
    </w:rPr>
  </w:style>
  <w:style w:type="character" w:styleId="Emphasis">
    <w:name w:val="Emphasis"/>
    <w:basedOn w:val="DefaultParagraphFont"/>
    <w:uiPriority w:val="20"/>
    <w:qFormat/>
    <w:rsid w:val="0085236E"/>
    <w:rPr>
      <w:i/>
      <w:iCs/>
    </w:rPr>
  </w:style>
  <w:style w:type="character" w:customStyle="1" w:styleId="Heading2Char">
    <w:name w:val="Heading 2 Char"/>
    <w:basedOn w:val="DefaultParagraphFont"/>
    <w:link w:val="Heading2"/>
    <w:uiPriority w:val="9"/>
    <w:semiHidden/>
    <w:rsid w:val="00E61C5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1F8C"/>
    <w:rPr>
      <w:sz w:val="18"/>
      <w:szCs w:val="18"/>
    </w:rPr>
  </w:style>
  <w:style w:type="character" w:customStyle="1" w:styleId="cit-title">
    <w:name w:val="cit-title"/>
    <w:basedOn w:val="DefaultParagraphFont"/>
    <w:rsid w:val="00F61F8C"/>
  </w:style>
  <w:style w:type="paragraph" w:styleId="CommentText">
    <w:name w:val="annotation text"/>
    <w:basedOn w:val="Normal"/>
    <w:link w:val="CommentTextChar"/>
    <w:uiPriority w:val="99"/>
    <w:semiHidden/>
    <w:unhideWhenUsed/>
    <w:rsid w:val="004B4F7B"/>
    <w:pPr>
      <w:spacing w:line="240" w:lineRule="auto"/>
    </w:pPr>
    <w:rPr>
      <w:sz w:val="20"/>
      <w:szCs w:val="20"/>
    </w:rPr>
  </w:style>
  <w:style w:type="character" w:customStyle="1" w:styleId="CommentTextChar">
    <w:name w:val="Comment Text Char"/>
    <w:basedOn w:val="DefaultParagraphFont"/>
    <w:link w:val="CommentText"/>
    <w:uiPriority w:val="99"/>
    <w:semiHidden/>
    <w:rsid w:val="004B4F7B"/>
    <w:rPr>
      <w:sz w:val="20"/>
      <w:szCs w:val="20"/>
    </w:rPr>
  </w:style>
  <w:style w:type="paragraph" w:styleId="CommentSubject">
    <w:name w:val="annotation subject"/>
    <w:basedOn w:val="CommentText"/>
    <w:next w:val="CommentText"/>
    <w:link w:val="CommentSubjectChar"/>
    <w:uiPriority w:val="99"/>
    <w:semiHidden/>
    <w:unhideWhenUsed/>
    <w:rsid w:val="004B4F7B"/>
    <w:rPr>
      <w:b/>
      <w:bCs/>
    </w:rPr>
  </w:style>
  <w:style w:type="character" w:customStyle="1" w:styleId="CommentSubjectChar">
    <w:name w:val="Comment Subject Char"/>
    <w:basedOn w:val="CommentTextChar"/>
    <w:link w:val="CommentSubject"/>
    <w:uiPriority w:val="99"/>
    <w:semiHidden/>
    <w:rsid w:val="004B4F7B"/>
    <w:rPr>
      <w:b/>
      <w:bCs/>
      <w:sz w:val="20"/>
      <w:szCs w:val="20"/>
    </w:rPr>
  </w:style>
  <w:style w:type="paragraph" w:styleId="BalloonText">
    <w:name w:val="Balloon Text"/>
    <w:basedOn w:val="Normal"/>
    <w:link w:val="BalloonTextChar"/>
    <w:uiPriority w:val="99"/>
    <w:semiHidden/>
    <w:unhideWhenUsed/>
    <w:rsid w:val="004B4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F7B"/>
    <w:rPr>
      <w:rFonts w:ascii="Segoe UI" w:hAnsi="Segoe UI" w:cs="Segoe UI"/>
      <w:sz w:val="18"/>
      <w:szCs w:val="18"/>
    </w:rPr>
  </w:style>
  <w:style w:type="character" w:customStyle="1" w:styleId="legds2">
    <w:name w:val="legds2"/>
    <w:basedOn w:val="DefaultParagraphFont"/>
    <w:rsid w:val="00F97E06"/>
    <w:rPr>
      <w:vanish w:val="0"/>
      <w:webHidden w:val="0"/>
      <w:specVanish w:val="0"/>
    </w:rPr>
  </w:style>
  <w:style w:type="character" w:styleId="Hyperlink">
    <w:name w:val="Hyperlink"/>
    <w:basedOn w:val="DefaultParagraphFont"/>
    <w:uiPriority w:val="99"/>
    <w:unhideWhenUsed/>
    <w:rsid w:val="00BC5EC7"/>
    <w:rPr>
      <w:color w:val="0563C1" w:themeColor="hyperlink"/>
      <w:u w:val="single"/>
    </w:rPr>
  </w:style>
  <w:style w:type="paragraph" w:styleId="Header">
    <w:name w:val="header"/>
    <w:basedOn w:val="Normal"/>
    <w:link w:val="HeaderChar"/>
    <w:uiPriority w:val="99"/>
    <w:unhideWhenUsed/>
    <w:rsid w:val="001E2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612"/>
    <w:rPr>
      <w:sz w:val="22"/>
      <w:szCs w:val="22"/>
    </w:rPr>
  </w:style>
  <w:style w:type="paragraph" w:styleId="Footer">
    <w:name w:val="footer"/>
    <w:basedOn w:val="Normal"/>
    <w:link w:val="FooterChar"/>
    <w:uiPriority w:val="99"/>
    <w:unhideWhenUsed/>
    <w:rsid w:val="001E2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612"/>
    <w:rPr>
      <w:sz w:val="22"/>
      <w:szCs w:val="22"/>
    </w:rPr>
  </w:style>
  <w:style w:type="character" w:customStyle="1" w:styleId="legterm">
    <w:name w:val="legterm"/>
    <w:basedOn w:val="DefaultParagraphFont"/>
    <w:rsid w:val="00395D6E"/>
  </w:style>
  <w:style w:type="character" w:customStyle="1" w:styleId="tgc">
    <w:name w:val="_tgc"/>
    <w:basedOn w:val="DefaultParagraphFont"/>
    <w:rsid w:val="007603E8"/>
  </w:style>
  <w:style w:type="character" w:customStyle="1" w:styleId="A15">
    <w:name w:val="A15"/>
    <w:uiPriority w:val="99"/>
    <w:rsid w:val="007603E8"/>
    <w:rPr>
      <w:rFonts w:cs="Frutiger LT Std 55 Roman"/>
      <w:color w:val="000000"/>
      <w:sz w:val="15"/>
      <w:szCs w:val="15"/>
      <w:u w:val="single"/>
    </w:rPr>
  </w:style>
  <w:style w:type="paragraph" w:customStyle="1" w:styleId="Default">
    <w:name w:val="Default"/>
    <w:rsid w:val="007603E8"/>
    <w:pPr>
      <w:autoSpaceDE w:val="0"/>
      <w:autoSpaceDN w:val="0"/>
      <w:adjustRightInd w:val="0"/>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4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mmissiononsexoffenderrecidivism.com/wp-content/uploads/2014/09/Caldwell-Michael-2010-Study-Characteristics-and-recidivism-base-rates-in-juvenile-sex-offender-recidivism.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ailii.org/uk/cases/UKHL/2003/50.html" TargetMode="External"/><Relationship Id="rId2" Type="http://schemas.openxmlformats.org/officeDocument/2006/relationships/hyperlink" Target="http://www.bailii.org/cgi-bin/redirect.cgi?path=/uk/cases/UKHL/2003/50.html" TargetMode="External"/><Relationship Id="rId1" Type="http://schemas.openxmlformats.org/officeDocument/2006/relationships/hyperlink" Target="http://www.bailii.org/uk/cases/UKHL/2003/50.html" TargetMode="External"/><Relationship Id="rId4" Type="http://schemas.openxmlformats.org/officeDocument/2006/relationships/hyperlink" Target="http://www.bailii.org/uk/cases/UKHL/2003/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A0BC-31C5-4BA9-B5F7-D8693F64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8248</Words>
  <Characters>47017</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55155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Arthur</dc:creator>
  <cp:keywords/>
  <dc:description/>
  <cp:lastModifiedBy>Paul Burns</cp:lastModifiedBy>
  <cp:revision>2</cp:revision>
  <cp:lastPrinted>2018-06-07T12:56:00Z</cp:lastPrinted>
  <dcterms:created xsi:type="dcterms:W3CDTF">2018-07-09T13:32:00Z</dcterms:created>
  <dcterms:modified xsi:type="dcterms:W3CDTF">2018-07-09T13:32:00Z</dcterms:modified>
</cp:coreProperties>
</file>