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F3EF" w14:textId="44479809" w:rsidR="008F06F9" w:rsidRDefault="005A0CEB" w:rsidP="008F06F9">
      <w:pPr>
        <w:spacing w:after="0" w:line="480" w:lineRule="auto"/>
        <w:jc w:val="center"/>
        <w:rPr>
          <w:rFonts w:ascii="Times New Roman" w:hAnsi="Times New Roman" w:cs="Times New Roman"/>
          <w:b/>
          <w:bCs/>
          <w:color w:val="000000" w:themeColor="text1"/>
          <w:sz w:val="28"/>
          <w:szCs w:val="28"/>
        </w:rPr>
      </w:pPr>
      <w:bookmarkStart w:id="0" w:name="_GoBack"/>
      <w:bookmarkEnd w:id="0"/>
      <w:r w:rsidRPr="005A0CEB">
        <w:rPr>
          <w:rFonts w:ascii="Times New Roman" w:hAnsi="Times New Roman" w:cs="Times New Roman"/>
          <w:b/>
          <w:bCs/>
          <w:color w:val="000000" w:themeColor="text1"/>
          <w:sz w:val="28"/>
          <w:szCs w:val="28"/>
          <w:highlight w:val="yellow"/>
        </w:rPr>
        <w:t>Competitive balance trends</w:t>
      </w:r>
      <w:r w:rsidR="008F06F9" w:rsidRPr="009B3172">
        <w:rPr>
          <w:rFonts w:ascii="Times New Roman" w:hAnsi="Times New Roman" w:cs="Times New Roman"/>
          <w:b/>
          <w:bCs/>
          <w:color w:val="000000" w:themeColor="text1"/>
          <w:sz w:val="28"/>
          <w:szCs w:val="28"/>
        </w:rPr>
        <w:t xml:space="preserve"> in elite table tennis: The Olympic Games and World Championships 1988-2016</w:t>
      </w:r>
    </w:p>
    <w:p w14:paraId="6444113D" w14:textId="77777777" w:rsidR="00266FD9" w:rsidRDefault="00266FD9" w:rsidP="008F06F9">
      <w:pPr>
        <w:spacing w:after="0" w:line="480" w:lineRule="auto"/>
        <w:jc w:val="center"/>
        <w:rPr>
          <w:rFonts w:ascii="Times New Roman" w:hAnsi="Times New Roman" w:cs="Times New Roman"/>
          <w:b/>
          <w:bCs/>
          <w:color w:val="000000" w:themeColor="text1"/>
          <w:sz w:val="28"/>
          <w:szCs w:val="28"/>
        </w:rPr>
      </w:pPr>
    </w:p>
    <w:p w14:paraId="7475D1D1" w14:textId="77777777" w:rsidR="008F06F9" w:rsidRPr="008F5AA6" w:rsidRDefault="008F06F9" w:rsidP="008F06F9">
      <w:pPr>
        <w:spacing w:after="0" w:line="480" w:lineRule="auto"/>
        <w:jc w:val="center"/>
        <w:rPr>
          <w:rFonts w:ascii="Times New Roman" w:hAnsi="Times New Roman" w:cs="Times New Roman"/>
          <w:color w:val="000000" w:themeColor="text1"/>
          <w:sz w:val="24"/>
          <w:szCs w:val="24"/>
        </w:rPr>
      </w:pPr>
    </w:p>
    <w:p w14:paraId="21012368" w14:textId="77777777" w:rsidR="008F06F9" w:rsidRPr="008F5AA6" w:rsidRDefault="008F06F9" w:rsidP="008F06F9">
      <w:pPr>
        <w:rPr>
          <w:rFonts w:ascii="Times New Roman" w:hAnsi="Times New Roman" w:cs="Times New Roman"/>
          <w:b/>
          <w:color w:val="000000" w:themeColor="text1"/>
          <w:sz w:val="24"/>
          <w:szCs w:val="24"/>
        </w:rPr>
      </w:pPr>
      <w:r w:rsidRPr="008F5AA6">
        <w:rPr>
          <w:rFonts w:ascii="Times New Roman" w:hAnsi="Times New Roman" w:cs="Times New Roman"/>
          <w:b/>
          <w:color w:val="000000" w:themeColor="text1"/>
          <w:sz w:val="24"/>
          <w:szCs w:val="24"/>
        </w:rPr>
        <w:br w:type="page"/>
      </w:r>
    </w:p>
    <w:p w14:paraId="43B7FFCF" w14:textId="77777777" w:rsidR="008F06F9" w:rsidRPr="008F5AA6" w:rsidRDefault="008F06F9" w:rsidP="00C201D1">
      <w:pPr>
        <w:spacing w:after="0" w:line="480" w:lineRule="auto"/>
        <w:jc w:val="both"/>
        <w:rPr>
          <w:rFonts w:ascii="Times New Roman" w:hAnsi="Times New Roman" w:cs="Times New Roman"/>
          <w:b/>
          <w:color w:val="000000" w:themeColor="text1"/>
          <w:sz w:val="24"/>
          <w:szCs w:val="24"/>
        </w:rPr>
      </w:pPr>
      <w:r w:rsidRPr="008F5AA6">
        <w:rPr>
          <w:rFonts w:ascii="Times New Roman" w:hAnsi="Times New Roman" w:cs="Times New Roman"/>
          <w:b/>
          <w:color w:val="000000" w:themeColor="text1"/>
          <w:sz w:val="24"/>
          <w:szCs w:val="24"/>
        </w:rPr>
        <w:lastRenderedPageBreak/>
        <w:t>Abstract</w:t>
      </w:r>
    </w:p>
    <w:p w14:paraId="65BCDDA8" w14:textId="7EB6BA5E" w:rsidR="008F5AA6" w:rsidRDefault="00647491" w:rsidP="00C201D1">
      <w:pPr>
        <w:spacing w:after="0" w:line="480" w:lineRule="auto"/>
        <w:jc w:val="both"/>
        <w:rPr>
          <w:rFonts w:ascii="Times New Roman" w:hAnsi="Times New Roman" w:cs="Times New Roman"/>
          <w:bCs/>
          <w:color w:val="000000" w:themeColor="text1"/>
          <w:sz w:val="24"/>
          <w:szCs w:val="24"/>
        </w:rPr>
      </w:pPr>
      <w:r w:rsidRPr="00D93887">
        <w:rPr>
          <w:rFonts w:ascii="Times New Roman" w:hAnsi="Times New Roman" w:cs="Times New Roman"/>
          <w:color w:val="000000" w:themeColor="text1"/>
          <w:sz w:val="24"/>
          <w:szCs w:val="24"/>
          <w:highlight w:val="yellow"/>
        </w:rPr>
        <w:t xml:space="preserve">Competitive balance is important because it </w:t>
      </w:r>
      <w:r>
        <w:rPr>
          <w:rFonts w:ascii="Times New Roman" w:hAnsi="Times New Roman" w:cs="Times New Roman"/>
          <w:color w:val="000000" w:themeColor="text1"/>
          <w:sz w:val="24"/>
          <w:szCs w:val="24"/>
          <w:highlight w:val="yellow"/>
        </w:rPr>
        <w:t>enhances</w:t>
      </w:r>
      <w:r w:rsidRPr="00D93887">
        <w:rPr>
          <w:rFonts w:ascii="Times New Roman" w:hAnsi="Times New Roman" w:cs="Times New Roman"/>
          <w:color w:val="000000" w:themeColor="text1"/>
          <w:sz w:val="24"/>
          <w:szCs w:val="24"/>
          <w:highlight w:val="yellow"/>
        </w:rPr>
        <w:t xml:space="preserve"> outcome uncertainty and therefore </w:t>
      </w:r>
      <w:r w:rsidRPr="00D93887">
        <w:rPr>
          <w:rFonts w:ascii="Times New Roman" w:hAnsi="Times New Roman" w:cs="Times New Roman"/>
          <w:bCs/>
          <w:color w:val="000000" w:themeColor="text1"/>
          <w:sz w:val="24"/>
          <w:szCs w:val="24"/>
          <w:highlight w:val="yellow"/>
        </w:rPr>
        <w:t>it promotes spectator interest, and encourages government investment in a sport</w:t>
      </w:r>
      <w:r w:rsidRPr="00D93887">
        <w:rPr>
          <w:rFonts w:ascii="Times New Roman" w:hAnsi="Times New Roman" w:cs="Times New Roman"/>
          <w:color w:val="000000" w:themeColor="text1"/>
          <w:sz w:val="24"/>
          <w:szCs w:val="24"/>
          <w:highlight w:val="yellow"/>
        </w:rPr>
        <w:t>.</w:t>
      </w:r>
      <w:r w:rsidRPr="008F5AA6">
        <w:rPr>
          <w:rFonts w:ascii="Times New Roman" w:hAnsi="Times New Roman" w:cs="Times New Roman"/>
          <w:color w:val="000000" w:themeColor="text1"/>
          <w:sz w:val="24"/>
          <w:szCs w:val="24"/>
        </w:rPr>
        <w:t xml:space="preserve"> </w:t>
      </w:r>
      <w:r w:rsidR="008F06F9" w:rsidRPr="008F5AA6">
        <w:rPr>
          <w:rFonts w:ascii="Times New Roman" w:hAnsi="Times New Roman" w:cs="Times New Roman"/>
          <w:color w:val="000000" w:themeColor="text1"/>
          <w:sz w:val="24"/>
          <w:szCs w:val="24"/>
        </w:rPr>
        <w:t>This article analyses the distribution of gold medals, medals, medal points and top eight points amongst nations</w:t>
      </w:r>
      <w:r w:rsidR="00EF37F4">
        <w:rPr>
          <w:rFonts w:ascii="Times New Roman" w:hAnsi="Times New Roman" w:cs="Times New Roman"/>
          <w:color w:val="000000" w:themeColor="text1"/>
          <w:sz w:val="24"/>
          <w:szCs w:val="24"/>
        </w:rPr>
        <w:t xml:space="preserve"> in table tennis</w:t>
      </w:r>
      <w:r w:rsidR="008F06F9" w:rsidRPr="008F5AA6">
        <w:rPr>
          <w:rFonts w:ascii="Times New Roman" w:hAnsi="Times New Roman" w:cs="Times New Roman"/>
          <w:color w:val="000000" w:themeColor="text1"/>
          <w:sz w:val="24"/>
          <w:szCs w:val="24"/>
        </w:rPr>
        <w:t xml:space="preserve"> from 1988 to 2016 at the Olympic Games and </w:t>
      </w:r>
      <w:r w:rsidR="002D254D">
        <w:rPr>
          <w:rFonts w:ascii="Times New Roman" w:hAnsi="Times New Roman" w:cs="Times New Roman"/>
          <w:color w:val="000000" w:themeColor="text1"/>
          <w:sz w:val="24"/>
          <w:szCs w:val="24"/>
        </w:rPr>
        <w:t xml:space="preserve">the </w:t>
      </w:r>
      <w:r w:rsidR="008F06F9" w:rsidRPr="008F5AA6">
        <w:rPr>
          <w:rFonts w:ascii="Times New Roman" w:hAnsi="Times New Roman" w:cs="Times New Roman"/>
          <w:color w:val="000000" w:themeColor="text1"/>
          <w:sz w:val="24"/>
          <w:szCs w:val="24"/>
        </w:rPr>
        <w:t xml:space="preserve">World Championships respectively. A normalised version of the Herfindahl-Hirschman Index and a coefficient of variation are calculated for each nation’s share of these performance indicators. </w:t>
      </w:r>
      <w:r w:rsidR="008F5AA6" w:rsidRPr="008F5AA6">
        <w:rPr>
          <w:rFonts w:ascii="Times New Roman" w:hAnsi="Times New Roman" w:cs="Times New Roman"/>
          <w:bCs/>
          <w:color w:val="000000" w:themeColor="text1"/>
          <w:sz w:val="24"/>
          <w:szCs w:val="24"/>
        </w:rPr>
        <w:t>The key findings are that Ch</w:t>
      </w:r>
      <w:r w:rsidR="00C201D1">
        <w:rPr>
          <w:rFonts w:ascii="Times New Roman" w:hAnsi="Times New Roman" w:cs="Times New Roman"/>
          <w:bCs/>
          <w:color w:val="000000" w:themeColor="text1"/>
          <w:sz w:val="24"/>
          <w:szCs w:val="24"/>
        </w:rPr>
        <w:t xml:space="preserve">ina dominates both </w:t>
      </w:r>
      <w:r w:rsidR="000D08E8">
        <w:rPr>
          <w:rFonts w:ascii="Times New Roman" w:hAnsi="Times New Roman" w:cs="Times New Roman"/>
          <w:bCs/>
          <w:color w:val="000000" w:themeColor="text1"/>
          <w:sz w:val="24"/>
          <w:szCs w:val="24"/>
        </w:rPr>
        <w:t>events</w:t>
      </w:r>
      <w:r w:rsidR="00AC00FC">
        <w:rPr>
          <w:rFonts w:ascii="Times New Roman" w:hAnsi="Times New Roman" w:cs="Times New Roman"/>
          <w:bCs/>
          <w:color w:val="000000" w:themeColor="text1"/>
          <w:sz w:val="24"/>
          <w:szCs w:val="24"/>
        </w:rPr>
        <w:t>, with</w:t>
      </w:r>
      <w:r w:rsidR="008F5AA6" w:rsidRPr="008F5AA6">
        <w:rPr>
          <w:rFonts w:ascii="Times New Roman" w:hAnsi="Times New Roman" w:cs="Times New Roman"/>
          <w:bCs/>
          <w:color w:val="000000" w:themeColor="text1"/>
          <w:sz w:val="24"/>
          <w:szCs w:val="24"/>
        </w:rPr>
        <w:t xml:space="preserve"> </w:t>
      </w:r>
      <w:r w:rsidR="00AC00FC">
        <w:rPr>
          <w:rFonts w:ascii="Times New Roman" w:hAnsi="Times New Roman" w:cs="Times New Roman"/>
          <w:bCs/>
          <w:color w:val="000000" w:themeColor="text1"/>
          <w:sz w:val="24"/>
          <w:szCs w:val="24"/>
        </w:rPr>
        <w:t xml:space="preserve">successful </w:t>
      </w:r>
      <w:r w:rsidR="008F5AA6" w:rsidRPr="008F5AA6">
        <w:rPr>
          <w:rFonts w:ascii="Times New Roman" w:hAnsi="Times New Roman" w:cs="Times New Roman"/>
          <w:bCs/>
          <w:color w:val="000000" w:themeColor="text1"/>
          <w:sz w:val="24"/>
          <w:szCs w:val="24"/>
        </w:rPr>
        <w:t xml:space="preserve">female players </w:t>
      </w:r>
      <w:r w:rsidR="00AC00FC">
        <w:rPr>
          <w:rFonts w:ascii="Times New Roman" w:hAnsi="Times New Roman" w:cs="Times New Roman"/>
          <w:bCs/>
          <w:color w:val="000000" w:themeColor="text1"/>
          <w:sz w:val="24"/>
          <w:szCs w:val="24"/>
        </w:rPr>
        <w:t>being</w:t>
      </w:r>
      <w:r w:rsidR="00AC00FC" w:rsidRPr="008F5AA6">
        <w:rPr>
          <w:rFonts w:ascii="Times New Roman" w:hAnsi="Times New Roman" w:cs="Times New Roman"/>
          <w:bCs/>
          <w:color w:val="000000" w:themeColor="text1"/>
          <w:sz w:val="24"/>
          <w:szCs w:val="24"/>
        </w:rPr>
        <w:t xml:space="preserve"> </w:t>
      </w:r>
      <w:r w:rsidR="008F5AA6" w:rsidRPr="008F5AA6">
        <w:rPr>
          <w:rFonts w:ascii="Times New Roman" w:hAnsi="Times New Roman" w:cs="Times New Roman"/>
          <w:bCs/>
          <w:color w:val="000000" w:themeColor="text1"/>
          <w:sz w:val="24"/>
          <w:szCs w:val="24"/>
        </w:rPr>
        <w:t>more dominant than their ma</w:t>
      </w:r>
      <w:r w:rsidR="00C201D1">
        <w:rPr>
          <w:rFonts w:ascii="Times New Roman" w:hAnsi="Times New Roman" w:cs="Times New Roman"/>
          <w:bCs/>
          <w:color w:val="000000" w:themeColor="text1"/>
          <w:sz w:val="24"/>
          <w:szCs w:val="24"/>
        </w:rPr>
        <w:t xml:space="preserve">le counterparts. </w:t>
      </w:r>
      <w:r w:rsidR="00AC00FC">
        <w:rPr>
          <w:rFonts w:ascii="Times New Roman" w:hAnsi="Times New Roman" w:cs="Times New Roman"/>
          <w:bCs/>
          <w:color w:val="000000" w:themeColor="text1"/>
          <w:sz w:val="24"/>
          <w:szCs w:val="24"/>
        </w:rPr>
        <w:t>The</w:t>
      </w:r>
      <w:r w:rsidR="008F5AA6" w:rsidRPr="008F5AA6">
        <w:rPr>
          <w:rFonts w:ascii="Times New Roman" w:hAnsi="Times New Roman" w:cs="Times New Roman"/>
          <w:bCs/>
          <w:color w:val="000000" w:themeColor="text1"/>
          <w:sz w:val="24"/>
          <w:szCs w:val="24"/>
        </w:rPr>
        <w:t xml:space="preserve"> competitive balance</w:t>
      </w:r>
      <w:r w:rsidR="009E1D0A">
        <w:rPr>
          <w:rFonts w:ascii="Times New Roman" w:hAnsi="Times New Roman" w:cs="Times New Roman"/>
          <w:bCs/>
          <w:color w:val="000000" w:themeColor="text1"/>
          <w:sz w:val="24"/>
          <w:szCs w:val="24"/>
        </w:rPr>
        <w:t xml:space="preserve"> for gold medals</w:t>
      </w:r>
      <w:r w:rsidR="00EF37F4">
        <w:rPr>
          <w:rFonts w:ascii="Times New Roman" w:hAnsi="Times New Roman" w:cs="Times New Roman"/>
          <w:bCs/>
          <w:color w:val="000000" w:themeColor="text1"/>
          <w:sz w:val="24"/>
          <w:szCs w:val="24"/>
        </w:rPr>
        <w:t xml:space="preserve"> has declined</w:t>
      </w:r>
      <w:r w:rsidR="00AC00FC">
        <w:rPr>
          <w:rFonts w:ascii="Times New Roman" w:hAnsi="Times New Roman" w:cs="Times New Roman"/>
          <w:bCs/>
          <w:color w:val="000000" w:themeColor="text1"/>
          <w:sz w:val="24"/>
          <w:szCs w:val="24"/>
        </w:rPr>
        <w:t xml:space="preserve">, </w:t>
      </w:r>
      <w:r w:rsidR="00EF37F4">
        <w:rPr>
          <w:rFonts w:ascii="Times New Roman" w:hAnsi="Times New Roman" w:cs="Times New Roman"/>
          <w:bCs/>
          <w:color w:val="000000" w:themeColor="text1"/>
          <w:sz w:val="24"/>
          <w:szCs w:val="24"/>
        </w:rPr>
        <w:t xml:space="preserve">whilst there is a trend towards improved competitive balance for </w:t>
      </w:r>
      <w:r w:rsidR="00C201D1">
        <w:rPr>
          <w:rFonts w:ascii="Times New Roman" w:hAnsi="Times New Roman" w:cs="Times New Roman"/>
          <w:bCs/>
          <w:color w:val="000000" w:themeColor="text1"/>
          <w:sz w:val="24"/>
          <w:szCs w:val="24"/>
        </w:rPr>
        <w:t>top eight</w:t>
      </w:r>
      <w:r w:rsidR="008F5AA6" w:rsidRPr="008F5AA6">
        <w:rPr>
          <w:rFonts w:ascii="Times New Roman" w:hAnsi="Times New Roman" w:cs="Times New Roman"/>
          <w:bCs/>
          <w:color w:val="000000" w:themeColor="text1"/>
          <w:sz w:val="24"/>
          <w:szCs w:val="24"/>
        </w:rPr>
        <w:t xml:space="preserve"> points for women, suggesting that more teams are featuring in the </w:t>
      </w:r>
      <w:r w:rsidR="00C201D1">
        <w:rPr>
          <w:rFonts w:ascii="Times New Roman" w:hAnsi="Times New Roman" w:cs="Times New Roman"/>
          <w:bCs/>
          <w:color w:val="000000" w:themeColor="text1"/>
          <w:sz w:val="24"/>
          <w:szCs w:val="24"/>
        </w:rPr>
        <w:t>top eight</w:t>
      </w:r>
      <w:r w:rsidR="00EF37F4">
        <w:rPr>
          <w:rFonts w:ascii="Times New Roman" w:hAnsi="Times New Roman" w:cs="Times New Roman"/>
          <w:bCs/>
          <w:color w:val="000000" w:themeColor="text1"/>
          <w:sz w:val="24"/>
          <w:szCs w:val="24"/>
        </w:rPr>
        <w:t xml:space="preserve"> </w:t>
      </w:r>
      <w:r w:rsidR="00EF37F4" w:rsidRPr="008F5AA6">
        <w:rPr>
          <w:rFonts w:ascii="Times New Roman" w:hAnsi="Times New Roman" w:cs="Times New Roman"/>
          <w:bCs/>
          <w:color w:val="000000" w:themeColor="text1"/>
          <w:sz w:val="24"/>
          <w:szCs w:val="24"/>
        </w:rPr>
        <w:t>(but not necessarily the top three</w:t>
      </w:r>
      <w:r w:rsidR="00EF37F4">
        <w:rPr>
          <w:rFonts w:ascii="Times New Roman" w:hAnsi="Times New Roman" w:cs="Times New Roman"/>
          <w:bCs/>
          <w:color w:val="000000" w:themeColor="text1"/>
          <w:sz w:val="24"/>
          <w:szCs w:val="24"/>
        </w:rPr>
        <w:t>) placings</w:t>
      </w:r>
      <w:r w:rsidR="008F5AA6" w:rsidRPr="008F5AA6">
        <w:rPr>
          <w:rFonts w:ascii="Times New Roman" w:hAnsi="Times New Roman" w:cs="Times New Roman"/>
          <w:bCs/>
          <w:color w:val="000000" w:themeColor="text1"/>
          <w:sz w:val="24"/>
          <w:szCs w:val="24"/>
        </w:rPr>
        <w:t>.</w:t>
      </w:r>
      <w:r w:rsidR="003C089D">
        <w:rPr>
          <w:rFonts w:ascii="Times New Roman" w:hAnsi="Times New Roman" w:cs="Times New Roman"/>
          <w:bCs/>
          <w:color w:val="000000" w:themeColor="text1"/>
          <w:sz w:val="24"/>
          <w:szCs w:val="24"/>
        </w:rPr>
        <w:t xml:space="preserve"> This research has implications for the development of table </w:t>
      </w:r>
      <w:r w:rsidR="009739B6">
        <w:rPr>
          <w:rFonts w:ascii="Times New Roman" w:hAnsi="Times New Roman" w:cs="Times New Roman"/>
          <w:bCs/>
          <w:color w:val="000000" w:themeColor="text1"/>
          <w:sz w:val="24"/>
          <w:szCs w:val="24"/>
        </w:rPr>
        <w:t xml:space="preserve">tennis </w:t>
      </w:r>
      <w:r w:rsidR="003C089D">
        <w:rPr>
          <w:rFonts w:ascii="Times New Roman" w:hAnsi="Times New Roman" w:cs="Times New Roman"/>
          <w:bCs/>
          <w:color w:val="000000" w:themeColor="text1"/>
          <w:sz w:val="24"/>
          <w:szCs w:val="24"/>
        </w:rPr>
        <w:t>competitions.</w:t>
      </w:r>
      <w:r w:rsidR="008F5AA6" w:rsidRPr="008F5AA6">
        <w:rPr>
          <w:rFonts w:ascii="Times New Roman" w:hAnsi="Times New Roman" w:cs="Times New Roman"/>
          <w:bCs/>
          <w:color w:val="000000" w:themeColor="text1"/>
          <w:sz w:val="24"/>
          <w:szCs w:val="24"/>
        </w:rPr>
        <w:t xml:space="preserve"> </w:t>
      </w:r>
      <w:r w:rsidR="00EF37F4">
        <w:rPr>
          <w:rFonts w:ascii="Times New Roman" w:hAnsi="Times New Roman" w:cs="Times New Roman"/>
          <w:bCs/>
          <w:color w:val="000000" w:themeColor="text1"/>
          <w:sz w:val="24"/>
          <w:szCs w:val="24"/>
        </w:rPr>
        <w:t>Compared to other racket sports, the issue of competitive imbalance</w:t>
      </w:r>
      <w:r w:rsidR="00DA247A">
        <w:rPr>
          <w:rFonts w:ascii="Times New Roman" w:hAnsi="Times New Roman" w:cs="Times New Roman"/>
          <w:bCs/>
          <w:color w:val="000000" w:themeColor="text1"/>
          <w:sz w:val="24"/>
          <w:szCs w:val="24"/>
        </w:rPr>
        <w:t xml:space="preserve"> in table tennis</w:t>
      </w:r>
      <w:r w:rsidR="00EF37F4">
        <w:rPr>
          <w:rFonts w:ascii="Times New Roman" w:hAnsi="Times New Roman" w:cs="Times New Roman"/>
          <w:bCs/>
          <w:color w:val="000000" w:themeColor="text1"/>
          <w:sz w:val="24"/>
          <w:szCs w:val="24"/>
        </w:rPr>
        <w:t xml:space="preserve"> is particularly thorny</w:t>
      </w:r>
      <w:r w:rsidR="00DA247A">
        <w:rPr>
          <w:rFonts w:ascii="Times New Roman" w:hAnsi="Times New Roman" w:cs="Times New Roman"/>
          <w:bCs/>
          <w:color w:val="000000" w:themeColor="text1"/>
          <w:sz w:val="24"/>
          <w:szCs w:val="24"/>
        </w:rPr>
        <w:t>, which threatens the long-term development of this sport</w:t>
      </w:r>
      <w:r w:rsidR="00EF37F4">
        <w:rPr>
          <w:rFonts w:ascii="Times New Roman" w:hAnsi="Times New Roman" w:cs="Times New Roman"/>
          <w:bCs/>
          <w:color w:val="000000" w:themeColor="text1"/>
          <w:sz w:val="24"/>
          <w:szCs w:val="24"/>
        </w:rPr>
        <w:t>. Accordingly, some m</w:t>
      </w:r>
      <w:r w:rsidR="0058291E" w:rsidRPr="00FD3DA3">
        <w:rPr>
          <w:rFonts w:ascii="Times New Roman" w:hAnsi="Times New Roman" w:cs="Times New Roman"/>
          <w:bCs/>
          <w:color w:val="000000" w:themeColor="text1"/>
          <w:sz w:val="24"/>
          <w:szCs w:val="24"/>
        </w:rPr>
        <w:t xml:space="preserve">easures </w:t>
      </w:r>
      <w:r w:rsidR="00EF37F4">
        <w:rPr>
          <w:rFonts w:ascii="Times New Roman" w:hAnsi="Times New Roman" w:cs="Times New Roman"/>
          <w:bCs/>
          <w:color w:val="000000" w:themeColor="text1"/>
          <w:sz w:val="24"/>
          <w:szCs w:val="24"/>
        </w:rPr>
        <w:t xml:space="preserve">are recommended for the International Olympic Committee and the International Table Tennis Federation to propel a more balanced development of international table tennis. </w:t>
      </w:r>
    </w:p>
    <w:p w14:paraId="216BF053" w14:textId="77777777" w:rsidR="00640696" w:rsidRDefault="00640696" w:rsidP="00640696">
      <w:pPr>
        <w:spacing w:after="0" w:line="480" w:lineRule="auto"/>
        <w:rPr>
          <w:rFonts w:ascii="Times New Roman" w:hAnsi="Times New Roman" w:cs="Times New Roman"/>
          <w:bCs/>
          <w:color w:val="000000" w:themeColor="text1"/>
          <w:sz w:val="24"/>
          <w:szCs w:val="24"/>
        </w:rPr>
      </w:pPr>
    </w:p>
    <w:p w14:paraId="2E79015E" w14:textId="77777777" w:rsidR="00640696" w:rsidRPr="00640696" w:rsidRDefault="00640696" w:rsidP="00640696">
      <w:pPr>
        <w:spacing w:line="480" w:lineRule="auto"/>
        <w:rPr>
          <w:rFonts w:ascii="Times New Roman" w:eastAsia="SimSun" w:hAnsi="Times New Roman" w:cs="Times New Roman"/>
          <w:sz w:val="24"/>
        </w:rPr>
      </w:pPr>
      <w:r w:rsidRPr="00640696">
        <w:rPr>
          <w:rFonts w:ascii="Times New Roman" w:eastAsia="SimSun" w:hAnsi="Times New Roman" w:cs="Times New Roman"/>
          <w:b/>
          <w:sz w:val="24"/>
        </w:rPr>
        <w:t xml:space="preserve">Keywords: </w:t>
      </w:r>
      <w:r w:rsidRPr="00640696">
        <w:rPr>
          <w:rFonts w:ascii="Times New Roman" w:eastAsia="SimSun" w:hAnsi="Times New Roman" w:cs="Times New Roman"/>
          <w:sz w:val="24"/>
        </w:rPr>
        <w:t>Table tennis, competitive balance, the Olympic Games, the World Championships, dominance</w:t>
      </w:r>
    </w:p>
    <w:p w14:paraId="44EF616A" w14:textId="77777777" w:rsidR="00640696" w:rsidRPr="00FD3DA3" w:rsidRDefault="00640696" w:rsidP="00C201D1">
      <w:pPr>
        <w:spacing w:after="0" w:line="480" w:lineRule="auto"/>
        <w:jc w:val="both"/>
        <w:rPr>
          <w:rFonts w:ascii="Times New Roman" w:hAnsi="Times New Roman" w:cs="Times New Roman"/>
          <w:bCs/>
          <w:color w:val="000000" w:themeColor="text1"/>
          <w:sz w:val="24"/>
          <w:szCs w:val="24"/>
        </w:rPr>
      </w:pPr>
    </w:p>
    <w:p w14:paraId="04DD766E" w14:textId="772B6799" w:rsidR="008F06F9" w:rsidRPr="008F5AA6" w:rsidRDefault="008F06F9" w:rsidP="00C201D1">
      <w:pPr>
        <w:spacing w:after="0" w:line="480" w:lineRule="auto"/>
        <w:jc w:val="both"/>
        <w:rPr>
          <w:rFonts w:ascii="Times New Roman" w:hAnsi="Times New Roman" w:cs="Times New Roman"/>
          <w:bCs/>
          <w:color w:val="000000" w:themeColor="text1"/>
          <w:sz w:val="24"/>
          <w:szCs w:val="24"/>
        </w:rPr>
      </w:pPr>
    </w:p>
    <w:p w14:paraId="3F14FF5A" w14:textId="77777777" w:rsidR="008F06F9" w:rsidRPr="008F5AA6" w:rsidRDefault="008F06F9" w:rsidP="00C201D1">
      <w:pPr>
        <w:spacing w:after="0" w:line="480" w:lineRule="auto"/>
        <w:jc w:val="both"/>
        <w:rPr>
          <w:rFonts w:ascii="Times New Roman" w:hAnsi="Times New Roman" w:cs="Times New Roman"/>
          <w:b/>
          <w:color w:val="000000" w:themeColor="text1"/>
          <w:sz w:val="24"/>
          <w:szCs w:val="24"/>
        </w:rPr>
      </w:pPr>
    </w:p>
    <w:p w14:paraId="20BE835C" w14:textId="77777777" w:rsidR="008F06F9" w:rsidRPr="008F5AA6" w:rsidRDefault="008F06F9" w:rsidP="00C201D1">
      <w:pPr>
        <w:jc w:val="both"/>
        <w:rPr>
          <w:rFonts w:ascii="Times New Roman" w:hAnsi="Times New Roman" w:cs="Times New Roman"/>
          <w:b/>
          <w:color w:val="000000" w:themeColor="text1"/>
          <w:sz w:val="24"/>
          <w:szCs w:val="24"/>
        </w:rPr>
      </w:pPr>
      <w:r w:rsidRPr="008F5AA6">
        <w:rPr>
          <w:rFonts w:ascii="Times New Roman" w:hAnsi="Times New Roman" w:cs="Times New Roman"/>
          <w:b/>
          <w:color w:val="000000" w:themeColor="text1"/>
          <w:sz w:val="24"/>
          <w:szCs w:val="24"/>
        </w:rPr>
        <w:br w:type="page"/>
      </w:r>
    </w:p>
    <w:p w14:paraId="6DFB27DB" w14:textId="77777777" w:rsidR="006B680D" w:rsidRPr="006B680D" w:rsidRDefault="006B680D" w:rsidP="006B680D">
      <w:pPr>
        <w:spacing w:after="0" w:line="480" w:lineRule="auto"/>
        <w:jc w:val="center"/>
        <w:rPr>
          <w:rFonts w:ascii="Times New Roman" w:eastAsia="DengXian" w:hAnsi="Times New Roman" w:cs="Times New Roman"/>
          <w:b/>
          <w:color w:val="000000"/>
          <w:sz w:val="28"/>
          <w:szCs w:val="28"/>
        </w:rPr>
      </w:pPr>
      <w:r w:rsidRPr="006B680D">
        <w:rPr>
          <w:rFonts w:ascii="Times New Roman" w:eastAsia="DengXian" w:hAnsi="Times New Roman" w:cs="Times New Roman"/>
          <w:b/>
          <w:bCs/>
          <w:color w:val="000000"/>
          <w:sz w:val="28"/>
          <w:szCs w:val="28"/>
          <w:highlight w:val="yellow"/>
        </w:rPr>
        <w:t>Competitive balance trends</w:t>
      </w:r>
      <w:r w:rsidRPr="006B680D">
        <w:rPr>
          <w:rFonts w:ascii="Times New Roman" w:eastAsia="DengXian" w:hAnsi="Times New Roman" w:cs="Times New Roman"/>
          <w:b/>
          <w:bCs/>
          <w:color w:val="000000"/>
          <w:sz w:val="28"/>
          <w:szCs w:val="28"/>
        </w:rPr>
        <w:t xml:space="preserve"> in elite table tennis: The Olympic Games and World Championships 1988-2016</w:t>
      </w:r>
    </w:p>
    <w:p w14:paraId="5734F185" w14:textId="77777777" w:rsidR="006B680D" w:rsidRPr="006B680D" w:rsidRDefault="006B680D" w:rsidP="006B680D">
      <w:pPr>
        <w:spacing w:after="0" w:line="480" w:lineRule="auto"/>
        <w:jc w:val="both"/>
        <w:rPr>
          <w:rFonts w:ascii="Times New Roman" w:eastAsia="DengXian" w:hAnsi="Times New Roman" w:cs="Times New Roman"/>
          <w:b/>
          <w:color w:val="000000"/>
          <w:sz w:val="24"/>
          <w:szCs w:val="24"/>
        </w:rPr>
      </w:pPr>
      <w:r w:rsidRPr="006B680D">
        <w:rPr>
          <w:rFonts w:ascii="Times New Roman" w:eastAsia="DengXian" w:hAnsi="Times New Roman" w:cs="Times New Roman"/>
          <w:b/>
          <w:color w:val="000000"/>
          <w:sz w:val="24"/>
          <w:szCs w:val="24"/>
        </w:rPr>
        <w:t>Introduction</w:t>
      </w:r>
    </w:p>
    <w:p w14:paraId="252269FD" w14:textId="77777777" w:rsidR="006B680D" w:rsidRPr="006B680D" w:rsidRDefault="006B680D" w:rsidP="006B680D">
      <w:pPr>
        <w:spacing w:after="0" w:line="480" w:lineRule="auto"/>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Despite the globalisation of professional sport (Dickson &amp; Malaia, 2017) and the “global sporting arms race” (De Bosscher, Bingham, Shibli, Van Bottenburg &amp; De Knop, 2008), there is a widespread view that table tennis has long confronted the issue of a lack of balance and diversity. Such an imbalance threatens the international character of the sport and perhaps even its inclusion in the Olympic Games itself, because the International Olympic Committee (IOC) has long endeavoured to reduce a small number of nations’ dominance (Houlihan &amp; Zheng, 2013). Furthermore, competitive balance in table tennis is highly valued because it stimulates consumer interest (Tainsky, Xu &amp; Yang, 2017). </w:t>
      </w:r>
    </w:p>
    <w:p w14:paraId="3448CD40" w14:textId="77777777" w:rsidR="006B680D" w:rsidRPr="006B680D" w:rsidRDefault="006B680D" w:rsidP="006B680D">
      <w:pPr>
        <w:spacing w:after="0" w:line="480" w:lineRule="auto"/>
        <w:ind w:firstLine="709"/>
        <w:jc w:val="both"/>
        <w:rPr>
          <w:rFonts w:ascii="Times New Roman" w:eastAsia="DengXian" w:hAnsi="Times New Roman" w:cs="Times New Roman"/>
          <w:bCs/>
          <w:color w:val="000000"/>
          <w:sz w:val="24"/>
          <w:szCs w:val="24"/>
          <w:lang w:val="en"/>
        </w:rPr>
      </w:pPr>
      <w:r w:rsidRPr="006B680D">
        <w:rPr>
          <w:rFonts w:ascii="Times New Roman" w:eastAsia="DengXian" w:hAnsi="Times New Roman" w:cs="Times New Roman"/>
          <w:color w:val="000000"/>
          <w:sz w:val="24"/>
          <w:szCs w:val="24"/>
        </w:rPr>
        <w:t xml:space="preserve">In the context of sport, competitive balance is the extent to which competitors are evenly matched (Fort &amp; Quirk, 1995). </w:t>
      </w:r>
      <w:r w:rsidRPr="006B680D">
        <w:rPr>
          <w:rFonts w:ascii="Times New Roman" w:eastAsia="DengXian" w:hAnsi="Times New Roman" w:cs="Times New Roman"/>
          <w:color w:val="000000"/>
          <w:sz w:val="24"/>
          <w:szCs w:val="24"/>
          <w:highlight w:val="yellow"/>
        </w:rPr>
        <w:t xml:space="preserve">Competitive balance is important because it enhances outcome uncertainty and therefore </w:t>
      </w:r>
      <w:r w:rsidRPr="006B680D">
        <w:rPr>
          <w:rFonts w:ascii="Times New Roman" w:eastAsia="DengXian" w:hAnsi="Times New Roman" w:cs="Times New Roman"/>
          <w:bCs/>
          <w:color w:val="000000"/>
          <w:sz w:val="24"/>
          <w:szCs w:val="24"/>
          <w:highlight w:val="yellow"/>
        </w:rPr>
        <w:t>it promotes spectator interest, and encourages government investment in a sport</w:t>
      </w:r>
      <w:r w:rsidRPr="006B680D">
        <w:rPr>
          <w:rFonts w:ascii="Times New Roman" w:eastAsia="DengXian" w:hAnsi="Times New Roman" w:cs="Times New Roman"/>
          <w:color w:val="000000"/>
          <w:sz w:val="24"/>
          <w:szCs w:val="24"/>
          <w:highlight w:val="yellow"/>
        </w:rPr>
        <w:t>.</w:t>
      </w:r>
      <w:r w:rsidRPr="006B680D">
        <w:rPr>
          <w:rFonts w:ascii="Times New Roman" w:eastAsia="DengXian" w:hAnsi="Times New Roman" w:cs="Times New Roman"/>
          <w:color w:val="000000"/>
          <w:sz w:val="24"/>
          <w:szCs w:val="24"/>
        </w:rPr>
        <w:t xml:space="preserve"> According to the outcome uncertainty hypothesis (Rottenberg, 1956), higher levels of competitive balance, result in more uncertain outcomes, which increase match attendances, television audiences, overall interest and revenues (Knowles, Sherony &amp; Haupert, 1992; Rascher, 1999; Szymanski, 2002; Weber, Kempf, Shibli &amp; De Bosscher, 2017). </w:t>
      </w:r>
      <w:r w:rsidRPr="006B680D">
        <w:rPr>
          <w:rFonts w:ascii="Times New Roman" w:eastAsia="DengXian" w:hAnsi="Times New Roman" w:cs="Times New Roman"/>
          <w:bCs/>
          <w:color w:val="000000"/>
          <w:sz w:val="24"/>
          <w:szCs w:val="24"/>
        </w:rPr>
        <w:t xml:space="preserve">It is therefore </w:t>
      </w:r>
      <w:r w:rsidRPr="006B680D">
        <w:rPr>
          <w:rFonts w:ascii="Times New Roman" w:eastAsia="DengXian" w:hAnsi="Times New Roman" w:cs="Times New Roman"/>
          <w:color w:val="000000"/>
          <w:sz w:val="24"/>
          <w:szCs w:val="24"/>
        </w:rPr>
        <w:t xml:space="preserve">conducive to the long-term development of table tennis and its global diffusion. For example, Jane (2014) empirically confirmed the positive correlation between outcome uncertainty and match attendance within the National Basketball Association (NBA). Tainsky et al (2017) measured competitive balance within the China Table Tennis Super League, motivated by concerns that competitive imbalance was contributing to the league’s lack of popularity. Competitive balance research is dominated by studies on professional team sports, but in relation to international sport events, they are in their infancy. For example, </w:t>
      </w:r>
      <w:r w:rsidRPr="006B680D">
        <w:rPr>
          <w:rFonts w:ascii="Times New Roman" w:eastAsia="DengXian" w:hAnsi="Times New Roman" w:cs="Times New Roman"/>
          <w:bCs/>
          <w:color w:val="000000"/>
          <w:sz w:val="24"/>
          <w:szCs w:val="24"/>
          <w:lang w:val="en"/>
        </w:rPr>
        <w:t xml:space="preserve">Otamendi and Doncel </w:t>
      </w:r>
      <w:r w:rsidRPr="006B680D">
        <w:rPr>
          <w:rFonts w:ascii="Times New Roman" w:eastAsia="DengXian" w:hAnsi="Times New Roman" w:cs="Times New Roman"/>
          <w:bCs/>
          <w:color w:val="000000"/>
          <w:sz w:val="24"/>
          <w:szCs w:val="24"/>
          <w:lang w:val="en"/>
        </w:rPr>
        <w:fldChar w:fldCharType="begin" w:fldLock="1"/>
      </w:r>
      <w:r w:rsidRPr="006B680D">
        <w:rPr>
          <w:rFonts w:ascii="Times New Roman" w:eastAsia="DengXian" w:hAnsi="Times New Roman" w:cs="Times New Roman"/>
          <w:bCs/>
          <w:color w:val="000000"/>
          <w:sz w:val="24"/>
          <w:szCs w:val="24"/>
          <w:lang w:val="en"/>
        </w:rPr>
        <w:instrText>ADDIN CSL_CITATION { "citationItems" : [ { "id" : "ITEM-1", "itemData" : { "DOI" : "10.1111/ssqu.12055", "ISSN" : "15406237", "abstract" : "ObjectivesThe quantitative analysis of the medal shares (MSs) in recent\\nWinter Olympic history by sport and country will identify the relevant\\nsocioeconomic factors that are likely to derive policy issues.\\nMethodsEconometric modeling and concentration indices are used to\\npredict and assess MSs by sport and country. The development of a\\nmathematical routine to convert MSs to counts and the proposal of a\\nmodified Herfindahl index has added robustness to the analysis.\\nResultsThe deviations of the predictions for Vancouver (2010) from the\\nobserved values pinpoint significant factor differences among the\\nsports. Medal concentrations are different by sport in the number of\\ncountries and their names.\\nConclusionsTradition and geography are primary factors affecting the\\nmedal-winning process. Concerning feasible policies for newcomers,\\nnationalization of athletes, development of talent identification\\nsystems, and fostering the participation in sports without a\\nmonopolistic winner could become short - and long-run successful paths.", "author" : [ { "dropping-particle" : "", "family" : "Otamendi", "given" : "Javier", "non-dropping-particle" : "", "parse-names" : false, "suffix" : "" }, { "dropping-particle" : "", "family" : "Doncel", "given" : "Luis M.", "non-dropping-particle" : "", "parse-names" : false, "suffix" : "" } ], "container-title" : "Social Science Quarterly", "id" : "ITEM-1", "issue" : "2", "issued" : { "date-parts" : [ [ "2014" ] ] }, "page" : "598-614", "title" : "Medal Shares in Winter Olympic Games by Sport: Socioeconomic Analysis After Vancouver 2010", "type" : "article-journal", "volume" : "95" }, "suppress-author" : 1, "uris" : [ "http://www.mendeley.com/documents/?uuid=af18e6cf-991d-4182-9619-f3edc060eb42" ] } ], "mendeley" : { "formattedCitation" : "(2014)", "plainTextFormattedCitation" : "(2014)", "previouslyFormattedCitation" : "(2014)" }, "properties" : { "noteIndex" : 0 }, "schema" : "https://github.com/citation-style-language/schema/raw/master/csl-citation.json" }</w:instrText>
      </w:r>
      <w:r w:rsidRPr="006B680D">
        <w:rPr>
          <w:rFonts w:ascii="Times New Roman" w:eastAsia="DengXian" w:hAnsi="Times New Roman" w:cs="Times New Roman"/>
          <w:bCs/>
          <w:color w:val="000000"/>
          <w:sz w:val="24"/>
          <w:szCs w:val="24"/>
          <w:lang w:val="en"/>
        </w:rPr>
        <w:fldChar w:fldCharType="separate"/>
      </w:r>
      <w:r w:rsidRPr="006B680D">
        <w:rPr>
          <w:rFonts w:ascii="Times New Roman" w:eastAsia="DengXian" w:hAnsi="Times New Roman" w:cs="Times New Roman"/>
          <w:bCs/>
          <w:color w:val="000000"/>
          <w:sz w:val="24"/>
          <w:szCs w:val="24"/>
          <w:lang w:val="en"/>
        </w:rPr>
        <w:t>(2014)</w:t>
      </w:r>
      <w:r w:rsidRPr="006B680D">
        <w:rPr>
          <w:rFonts w:ascii="Times New Roman" w:eastAsia="DengXian" w:hAnsi="Times New Roman" w:cs="Times New Roman"/>
          <w:color w:val="000000"/>
          <w:sz w:val="24"/>
          <w:szCs w:val="24"/>
        </w:rPr>
        <w:fldChar w:fldCharType="end"/>
      </w:r>
      <w:r w:rsidRPr="006B680D">
        <w:rPr>
          <w:rFonts w:ascii="Times New Roman" w:eastAsia="DengXian" w:hAnsi="Times New Roman" w:cs="Times New Roman"/>
          <w:bCs/>
          <w:color w:val="000000"/>
          <w:sz w:val="24"/>
          <w:szCs w:val="24"/>
          <w:lang w:val="en"/>
        </w:rPr>
        <w:t xml:space="preserve"> conducted a multi-edition study of medal distributions at the Winter Olympic Games between 1992 and 2010. They identified differences regarding medal concentrations from one sport to another. Similarly, </w:t>
      </w:r>
      <w:r w:rsidRPr="006B680D">
        <w:rPr>
          <w:rFonts w:ascii="Times New Roman" w:eastAsia="DengXian" w:hAnsi="Times New Roman" w:cs="Times New Roman"/>
          <w:bCs/>
          <w:color w:val="000000"/>
          <w:sz w:val="24"/>
          <w:szCs w:val="24"/>
        </w:rPr>
        <w:t>Weber et al. (2017) used the</w:t>
      </w:r>
      <w:r w:rsidRPr="006B680D">
        <w:rPr>
          <w:rFonts w:ascii="Times New Roman" w:eastAsia="DengXian" w:hAnsi="Times New Roman" w:cs="Times New Roman"/>
          <w:color w:val="000000"/>
          <w:sz w:val="24"/>
          <w:szCs w:val="24"/>
        </w:rPr>
        <w:t xml:space="preserve"> </w:t>
      </w:r>
      <w:r w:rsidRPr="006B680D">
        <w:rPr>
          <w:rFonts w:ascii="Times New Roman" w:eastAsia="DengXian" w:hAnsi="Times New Roman" w:cs="Times New Roman"/>
          <w:bCs/>
          <w:color w:val="000000"/>
          <w:sz w:val="24"/>
          <w:szCs w:val="24"/>
        </w:rPr>
        <w:t xml:space="preserve">Herfindahl-Hirschman Index (HHI) and Przeworski, two economic indices, to analyse the competitive balance at the seven most recent Winter Olympic Games. Biathlon and short track speed skating represented the most salient examples of significant changes in competitive balance. </w:t>
      </w:r>
      <w:r w:rsidRPr="006B680D">
        <w:rPr>
          <w:rFonts w:ascii="Times New Roman" w:eastAsia="DengXian" w:hAnsi="Times New Roman" w:cs="Times New Roman"/>
          <w:bCs/>
          <w:color w:val="000000"/>
          <w:sz w:val="24"/>
          <w:szCs w:val="24"/>
          <w:lang w:val="en"/>
        </w:rPr>
        <w:t xml:space="preserve">Ramchandani and Wilson </w:t>
      </w:r>
      <w:r w:rsidRPr="006B680D">
        <w:rPr>
          <w:rFonts w:ascii="Times New Roman" w:eastAsia="DengXian" w:hAnsi="Times New Roman" w:cs="Times New Roman"/>
          <w:bCs/>
          <w:color w:val="000000"/>
          <w:sz w:val="24"/>
          <w:szCs w:val="24"/>
          <w:lang w:val="en"/>
        </w:rPr>
        <w:fldChar w:fldCharType="begin" w:fldLock="1"/>
      </w:r>
      <w:r w:rsidRPr="006B680D">
        <w:rPr>
          <w:rFonts w:ascii="Times New Roman" w:eastAsia="DengXian" w:hAnsi="Times New Roman" w:cs="Times New Roman"/>
          <w:bCs/>
          <w:color w:val="000000"/>
          <w:sz w:val="24"/>
          <w:szCs w:val="24"/>
          <w:lang w:val="en"/>
        </w:rPr>
        <w:instrText>ADDIN CSL_CITATION { "citationItems" : [ { "id" : "ITEM-1", "itemData" : { "DOI" : "10.5232/ricyde2011.02405", "ISBN" : "9789802183043", "ISSN" : "1885-3137", "abstract" : "An\u00e1lisis de las competencias adquiridas y utilizadas por los egresados maestros en Educaci\u00f3n F\u00edsica Analysis of the skills acquired and used by graduated teachers in physical education M a r \u00ed a d e l C a r m e n C a m p o s M e s a F r a n c i s R i e s \u00d3 s c a r D e l C a s t i l l o A n d r \u00e9 s Resumen En este art\u00edculo se plantea un an\u00e1lisis de las competencias que dicen haber adquirido los egresados de Magisterio de la especialidad de Educaci\u00f3n F\u00edsica durante sus estudios, y las competencias que utilizan esos mismos sujetos una vez insertos en el mercado laboral. Para ello, se dise\u00f1\u00f3 un cuestionario ad hoc titulado Cuestionario sobre la inserci\u00f3n laboral de los maestros especialistas en Educaci\u00f3n F\u00edsica egresa-dos en la Facultad de Ciencias de la Educaci\u00f3n de la Universidad de Sevilla, cuyo acr\u00f3nimo es E.E.F.U.S., pas\u00e1ndoselo a seis promociones de egresados de Magisterio (N=104). A los datos obtenidos se les ha rea-lizado un an\u00e1lisis factorial y comparativo entre poblaciones. Podemos concluir que la competencia m\u00e1s valorada por los egresados en sus dos momentos de la vida, es decir, al finalizar sus estudios y una vez insertos en el mercado laboral, es aplicar el juego como recurso did\u00e1ctico y contenido de ense\u00f1anza. Adem\u00e1s, proponemos la agrupaci\u00f3n de las competencias espec\u00edficas en cuatro factores o dimensiones a trabajar con los futuros Grados en Educaci\u00f3n Primaria con menci\u00f3n en Educaci\u00f3n F\u00edsica.", "author" : [ { "dropping-particle" : "", "family" : "Ramchandani", "given" : "Girish", "non-dropping-particle" : "", "parse-names" : false, "suffix" : "" }, { "dropping-particle" : "", "family" : "Wilson", "given" : "Darryl", "non-dropping-particle" : "", "parse-names" : false, "suffix" : "" } ], "container-title" : "International Journal of Sport Science", "id" : "ITEM-1", "issue" : "35", "issued" : { "date-parts" : [ [ "2011" ] ] }, "page" : "75-88", "title" : "Historical and contemporary trends in competitive balance in the Commonwealth Games", "type" : "article-journal", "volume" : "10" }, "suppress-author" : 1, "uris" : [ "http://www.mendeley.com/documents/?uuid=25218513-147b-4125-bc12-16979a1a327a" ] } ], "mendeley" : { "formattedCitation" : "(2011)", "plainTextFormattedCitation" : "(2011)", "previouslyFormattedCitation" : "(2011)" }, "properties" : { "noteIndex" : 0 }, "schema" : "https://github.com/citation-style-language/schema/raw/master/csl-citation.json" }</w:instrText>
      </w:r>
      <w:r w:rsidRPr="006B680D">
        <w:rPr>
          <w:rFonts w:ascii="Times New Roman" w:eastAsia="DengXian" w:hAnsi="Times New Roman" w:cs="Times New Roman"/>
          <w:bCs/>
          <w:color w:val="000000"/>
          <w:sz w:val="24"/>
          <w:szCs w:val="24"/>
          <w:lang w:val="en"/>
        </w:rPr>
        <w:fldChar w:fldCharType="separate"/>
      </w:r>
      <w:r w:rsidRPr="006B680D">
        <w:rPr>
          <w:rFonts w:ascii="Times New Roman" w:eastAsia="DengXian" w:hAnsi="Times New Roman" w:cs="Times New Roman"/>
          <w:bCs/>
          <w:color w:val="000000"/>
          <w:sz w:val="24"/>
          <w:szCs w:val="24"/>
          <w:lang w:val="en"/>
        </w:rPr>
        <w:t>(2014)</w:t>
      </w:r>
      <w:r w:rsidRPr="006B680D">
        <w:rPr>
          <w:rFonts w:ascii="Times New Roman" w:eastAsia="DengXian" w:hAnsi="Times New Roman" w:cs="Times New Roman"/>
          <w:color w:val="000000"/>
          <w:sz w:val="24"/>
          <w:szCs w:val="24"/>
        </w:rPr>
        <w:fldChar w:fldCharType="end"/>
      </w:r>
      <w:r w:rsidRPr="006B680D">
        <w:rPr>
          <w:rFonts w:ascii="Times New Roman" w:eastAsia="DengXian" w:hAnsi="Times New Roman" w:cs="Times New Roman"/>
          <w:bCs/>
          <w:color w:val="000000"/>
          <w:sz w:val="24"/>
          <w:szCs w:val="24"/>
          <w:lang w:val="en"/>
        </w:rPr>
        <w:t xml:space="preserve"> concluded that the Commonwealth Games became significantly less competitive between 1930 and 1990 and that events contested by men only were more balanced compared to both women’s and mixed events. </w:t>
      </w:r>
      <w:r w:rsidRPr="006B680D">
        <w:rPr>
          <w:rFonts w:ascii="Times New Roman" w:eastAsia="DengXian" w:hAnsi="Times New Roman" w:cs="Times New Roman"/>
          <w:color w:val="000000"/>
          <w:sz w:val="24"/>
          <w:szCs w:val="24"/>
        </w:rPr>
        <w:t xml:space="preserve">More recently, </w:t>
      </w:r>
      <w:r w:rsidRPr="006B680D">
        <w:rPr>
          <w:rFonts w:ascii="Times New Roman" w:eastAsia="DengXian" w:hAnsi="Times New Roman" w:cs="Times New Roman"/>
          <w:bCs/>
          <w:color w:val="000000"/>
          <w:sz w:val="24"/>
          <w:szCs w:val="24"/>
        </w:rPr>
        <w:t xml:space="preserve">Forrest, McHale, Sanz and Tena (2016) examined 15 individual sports at the Summer Olympic Games between 1992 and 2012, and concluded that medal distributions are less unequal in sports practised in multi-sports venues. </w:t>
      </w:r>
    </w:p>
    <w:p w14:paraId="67F6EEE2" w14:textId="77777777" w:rsidR="006B680D" w:rsidRPr="006B680D" w:rsidRDefault="006B680D" w:rsidP="006B680D">
      <w:pPr>
        <w:spacing w:after="0" w:line="480" w:lineRule="auto"/>
        <w:ind w:firstLine="709"/>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However, there remains a dearth of sport-specific research investigating the distribution of medals among nations at elite sport events. A notable exception is Truyens, De Bosscher and Heyndels’ (2016) study on athletics which identified a decrease in competitive balance across all athletic events, and also amongst both men’s and women’s events. At the discipline-specific level, divergent trends were evident. There was an increased number of nations finishing in the top eight in women’s sprint/hurdles, long-distance running and race walking. However, there was a convergence of nations winning medals in men’s long-distance running. Chaplin and Mendoza (2017) analysed the competitive balance in boxing at the Commonwealth Games. Their study provided clear evidence of a reduced competitive balance in the 1980s (attributed in part to the widespread boycotts of the 1986 Games) and a steady deterioration of competitive balance since the 1990s. </w:t>
      </w:r>
    </w:p>
    <w:p w14:paraId="07373DC1" w14:textId="77777777" w:rsidR="006B680D" w:rsidRPr="006B680D" w:rsidRDefault="006B680D" w:rsidP="006B680D">
      <w:pPr>
        <w:spacing w:after="0" w:line="480" w:lineRule="auto"/>
        <w:ind w:firstLine="709"/>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There is a plethora of studies on elite table tennis that has focused on psychology (Greenlees, Bradley, Holder &amp; Thelwell, 2005; Poizat, Bourbousson, Saury &amp; Sève, 2009; Sève, Ria, Poizat, Saury &amp; Durand, 2007; Williams, Vickers &amp; Rodrigues, 2002), motor control/learning (Poolton, Masters &amp; Maxwell, 2006; Raab, Masters &amp; Maxwell, 2005), skills and techniques (Lanzoni, Di Michele &amp; Merni, 2014; Zhang, W. Liu, Hu &amp; R. Liu, 2013), and physiology (Zagatto, Milioni, Freitas, Arcangelo &amp; Padulo, 2016). Tainsky et al’s (2017) very recent paper bridged the divide between the concept of competitive balance and table tennis, but its focus was on within-season balance measures within the China Table Tennis Super League. Table tennis is one of many sports without a detailed examination of its competitive balance at either the Olympic Games, Commonwealth Games or World Championships. To address this gap, this research analyses the competitive balance in table tennis through its distribution of gold medals, medals, medal points and top eight </w:t>
      </w:r>
      <w:r w:rsidRPr="006B680D">
        <w:rPr>
          <w:rFonts w:ascii="Times New Roman" w:eastAsia="DengXian" w:hAnsi="Times New Roman" w:cs="Times New Roman"/>
          <w:color w:val="000000"/>
          <w:sz w:val="24"/>
          <w:szCs w:val="24"/>
          <w:highlight w:val="yellow"/>
        </w:rPr>
        <w:t>(i.e., athletes/teams in the quarter-finals)</w:t>
      </w:r>
      <w:r w:rsidRPr="006B680D">
        <w:rPr>
          <w:rFonts w:ascii="Times New Roman" w:eastAsia="DengXian" w:hAnsi="Times New Roman" w:cs="Times New Roman"/>
          <w:color w:val="000000"/>
          <w:sz w:val="24"/>
          <w:szCs w:val="24"/>
        </w:rPr>
        <w:t xml:space="preserve"> points at the eight Olympic Games between 1988 and 2016, and 14 World Championships</w:t>
      </w:r>
      <w:r w:rsidRPr="006B680D" w:rsidDel="001654B2">
        <w:rPr>
          <w:rFonts w:ascii="Times New Roman" w:eastAsia="DengXian" w:hAnsi="Times New Roman" w:cs="Times New Roman"/>
          <w:color w:val="000000"/>
          <w:sz w:val="24"/>
          <w:szCs w:val="24"/>
        </w:rPr>
        <w:t xml:space="preserve"> </w:t>
      </w:r>
      <w:r w:rsidRPr="006B680D">
        <w:rPr>
          <w:rFonts w:ascii="Times New Roman" w:eastAsia="DengXian" w:hAnsi="Times New Roman" w:cs="Times New Roman"/>
          <w:color w:val="000000"/>
          <w:sz w:val="24"/>
          <w:szCs w:val="24"/>
        </w:rPr>
        <w:t xml:space="preserve">between 1989 and 2016. </w:t>
      </w:r>
      <w:r w:rsidRPr="006B680D">
        <w:rPr>
          <w:rFonts w:ascii="Times New Roman" w:eastAsia="DengXian" w:hAnsi="Times New Roman" w:cs="Times New Roman"/>
          <w:color w:val="000000"/>
          <w:sz w:val="24"/>
          <w:szCs w:val="24"/>
          <w:highlight w:val="yellow"/>
        </w:rPr>
        <w:t>More specifically,</w:t>
      </w:r>
      <w:r w:rsidRPr="006B680D">
        <w:rPr>
          <w:rFonts w:ascii="Times New Roman" w:eastAsia="DengXian" w:hAnsi="Times New Roman" w:cs="Times New Roman"/>
          <w:color w:val="000000"/>
          <w:sz w:val="24"/>
          <w:szCs w:val="24"/>
        </w:rPr>
        <w:t xml:space="preserve"> this paper aims to evaluate competitive balance in table tennis by (a) identifying the most successful nations; (b) quantifying the overall distribution of success across nations </w:t>
      </w:r>
      <w:r w:rsidRPr="006B680D">
        <w:rPr>
          <w:rFonts w:ascii="Times New Roman" w:eastAsia="DengXian" w:hAnsi="Times New Roman" w:cs="Times New Roman"/>
          <w:color w:val="000000"/>
          <w:sz w:val="24"/>
          <w:szCs w:val="24"/>
          <w:highlight w:val="yellow"/>
        </w:rPr>
        <w:t>and identifying temporal trends in competitive balance</w:t>
      </w:r>
      <w:r w:rsidRPr="006B680D">
        <w:rPr>
          <w:rFonts w:ascii="Times New Roman" w:eastAsia="DengXian" w:hAnsi="Times New Roman" w:cs="Times New Roman"/>
          <w:color w:val="000000"/>
          <w:sz w:val="24"/>
          <w:szCs w:val="24"/>
        </w:rPr>
        <w:t xml:space="preserve">; (c) quantifying the distribution of success across nations for men’s and women’s competitions, </w:t>
      </w:r>
      <w:r w:rsidRPr="006B680D">
        <w:rPr>
          <w:rFonts w:ascii="Times New Roman" w:eastAsia="DengXian" w:hAnsi="Times New Roman" w:cs="Times New Roman"/>
          <w:color w:val="000000"/>
          <w:sz w:val="24"/>
          <w:szCs w:val="24"/>
          <w:highlight w:val="yellow"/>
        </w:rPr>
        <w:t>and investigating the trends for both male and female competitions; and (4) comparing the trends in competitive balance trends between male and female competitions.</w:t>
      </w:r>
    </w:p>
    <w:p w14:paraId="6D48CCEF" w14:textId="77777777" w:rsidR="006B680D" w:rsidRPr="006B680D" w:rsidRDefault="006B680D" w:rsidP="006B680D">
      <w:pPr>
        <w:spacing w:after="0" w:line="480" w:lineRule="auto"/>
        <w:ind w:firstLine="709"/>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Quantifying the distribution of success at major competitions is important for both the IOC and the International Table Tennis Federation (ITTF), because it enables not just an evaluation of the </w:t>
      </w:r>
      <w:r w:rsidRPr="006B680D">
        <w:rPr>
          <w:rFonts w:ascii="Times New Roman" w:eastAsia="DengXian" w:hAnsi="Times New Roman" w:cs="Times New Roman"/>
          <w:i/>
          <w:color w:val="000000"/>
          <w:sz w:val="24"/>
          <w:szCs w:val="24"/>
        </w:rPr>
        <w:t>status quo</w:t>
      </w:r>
      <w:r w:rsidRPr="006B680D">
        <w:rPr>
          <w:rFonts w:ascii="Times New Roman" w:eastAsia="DengXian" w:hAnsi="Times New Roman" w:cs="Times New Roman"/>
          <w:color w:val="000000"/>
          <w:sz w:val="24"/>
          <w:szCs w:val="24"/>
        </w:rPr>
        <w:t xml:space="preserve"> of competitive balance, but more importantly a platform for policy initiatives to widen the distribution of success amongst competing nations. Improved distribution of success will likely facilitate the global development of table tennis, </w:t>
      </w:r>
      <w:r w:rsidRPr="006B680D">
        <w:rPr>
          <w:rFonts w:ascii="Times New Roman" w:eastAsia="DengXian" w:hAnsi="Times New Roman" w:cs="Times New Roman"/>
          <w:color w:val="000000"/>
          <w:sz w:val="24"/>
          <w:szCs w:val="24"/>
          <w:highlight w:val="yellow"/>
        </w:rPr>
        <w:t>because a very small number of nations’ dominance in the distribution of success tends</w:t>
      </w:r>
      <w:r w:rsidRPr="006B680D">
        <w:rPr>
          <w:rFonts w:ascii="Times New Roman" w:eastAsia="DengXian" w:hAnsi="Times New Roman" w:cs="Times New Roman"/>
          <w:color w:val="000000"/>
          <w:sz w:val="24"/>
          <w:szCs w:val="24"/>
        </w:rPr>
        <w:t xml:space="preserve"> to create a disincentive for large-scale investment in table tennis by governments, and for “new entries” (De Bondt, Slaets &amp; Cassiman, 1992, p. 41). </w:t>
      </w:r>
      <w:r w:rsidRPr="006B680D">
        <w:rPr>
          <w:rFonts w:ascii="Times New Roman" w:eastAsia="DengXian" w:hAnsi="Times New Roman" w:cs="Times New Roman"/>
          <w:color w:val="000000"/>
          <w:sz w:val="24"/>
          <w:szCs w:val="24"/>
          <w:highlight w:val="yellow"/>
        </w:rPr>
        <w:t>The value of this research also resides in its quantification of China’s dominance in table tennis. Despite a widespread consensus on China’s dominance in table tennis, the extent of this dominance has never been quantified. A comparison of table tennis to badminton and tennis at the Olympics will permit benchmarking and subsequently, a more rigorous and objective understanding of the competitive balance problem in elite table tennis.</w:t>
      </w:r>
      <w:r w:rsidRPr="006B680D">
        <w:rPr>
          <w:rFonts w:ascii="Times New Roman" w:eastAsia="DengXian" w:hAnsi="Times New Roman" w:cs="Times New Roman"/>
          <w:color w:val="000000"/>
          <w:sz w:val="24"/>
          <w:szCs w:val="24"/>
        </w:rPr>
        <w:t xml:space="preserve"> </w:t>
      </w:r>
      <w:r w:rsidRPr="006B680D">
        <w:rPr>
          <w:rFonts w:ascii="Times New Roman" w:eastAsia="DengXian" w:hAnsi="Times New Roman" w:cs="Times New Roman"/>
          <w:color w:val="000000"/>
          <w:sz w:val="24"/>
          <w:szCs w:val="24"/>
          <w:highlight w:val="yellow"/>
        </w:rPr>
        <w:t>Moreover, this paper further reifies the competitive balance issue in table tennis by investigating gender-specific characteristics, enabling a comparison between male and female competitions.</w:t>
      </w:r>
      <w:r w:rsidRPr="006B680D">
        <w:rPr>
          <w:rFonts w:ascii="Times New Roman" w:eastAsia="DengXian" w:hAnsi="Times New Roman" w:cs="Times New Roman"/>
          <w:color w:val="000000"/>
          <w:sz w:val="24"/>
          <w:szCs w:val="24"/>
        </w:rPr>
        <w:t xml:space="preserve"> </w:t>
      </w:r>
      <w:r w:rsidRPr="006B680D">
        <w:rPr>
          <w:rFonts w:ascii="Times New Roman" w:eastAsia="DengXian" w:hAnsi="Times New Roman" w:cs="Times New Roman"/>
          <w:color w:val="000000"/>
          <w:sz w:val="24"/>
          <w:szCs w:val="24"/>
          <w:highlight w:val="yellow"/>
        </w:rPr>
        <w:t xml:space="preserve">Last, </w:t>
      </w:r>
      <w:r w:rsidRPr="006B680D">
        <w:rPr>
          <w:rFonts w:ascii="Times New Roman" w:eastAsia="DengXian" w:hAnsi="Times New Roman" w:cs="Times New Roman"/>
          <w:bCs/>
          <w:color w:val="000000"/>
          <w:sz w:val="24"/>
          <w:szCs w:val="24"/>
          <w:highlight w:val="yellow"/>
        </w:rPr>
        <w:t>the use of four performance measures and two competitive balance indicators is a notable methodological feature of this article.</w:t>
      </w:r>
      <w:r w:rsidRPr="006B680D">
        <w:rPr>
          <w:rFonts w:ascii="Times New Roman" w:eastAsia="DengXian" w:hAnsi="Times New Roman" w:cs="Times New Roman"/>
          <w:bCs/>
          <w:color w:val="000000"/>
          <w:sz w:val="24"/>
          <w:szCs w:val="24"/>
        </w:rPr>
        <w:t xml:space="preserve">  </w:t>
      </w:r>
    </w:p>
    <w:p w14:paraId="1CEAD307" w14:textId="77777777" w:rsidR="006B680D" w:rsidRPr="006B680D" w:rsidRDefault="006B680D" w:rsidP="006B680D">
      <w:pPr>
        <w:spacing w:after="0" w:line="480" w:lineRule="auto"/>
        <w:ind w:firstLine="709"/>
        <w:jc w:val="both"/>
        <w:rPr>
          <w:rFonts w:ascii="Times New Roman" w:eastAsia="DengXian" w:hAnsi="Times New Roman" w:cs="Times New Roman"/>
          <w:color w:val="000000"/>
          <w:sz w:val="24"/>
          <w:szCs w:val="24"/>
        </w:rPr>
      </w:pPr>
    </w:p>
    <w:p w14:paraId="77AE8416" w14:textId="77777777" w:rsidR="006B680D" w:rsidRPr="006B680D" w:rsidRDefault="006B680D" w:rsidP="006B680D">
      <w:pPr>
        <w:spacing w:after="0" w:line="480" w:lineRule="auto"/>
        <w:jc w:val="both"/>
        <w:rPr>
          <w:rFonts w:ascii="Times New Roman" w:eastAsia="DengXian" w:hAnsi="Times New Roman" w:cs="Times New Roman"/>
          <w:b/>
          <w:color w:val="000000"/>
          <w:sz w:val="24"/>
          <w:szCs w:val="24"/>
        </w:rPr>
      </w:pPr>
      <w:r w:rsidRPr="006B680D">
        <w:rPr>
          <w:rFonts w:ascii="Times New Roman" w:eastAsia="DengXian" w:hAnsi="Times New Roman" w:cs="Times New Roman"/>
          <w:b/>
          <w:color w:val="000000"/>
          <w:sz w:val="24"/>
          <w:szCs w:val="24"/>
        </w:rPr>
        <w:t>Methods</w:t>
      </w:r>
    </w:p>
    <w:p w14:paraId="7D0E4A4E" w14:textId="77777777" w:rsidR="006B680D" w:rsidRPr="006B680D" w:rsidRDefault="006B680D" w:rsidP="006B680D">
      <w:pPr>
        <w:spacing w:after="0" w:line="480" w:lineRule="auto"/>
        <w:jc w:val="both"/>
        <w:rPr>
          <w:rFonts w:ascii="Times New Roman" w:eastAsia="DengXian" w:hAnsi="Times New Roman" w:cs="Times New Roman"/>
          <w:b/>
          <w:color w:val="000000"/>
          <w:sz w:val="24"/>
          <w:szCs w:val="24"/>
        </w:rPr>
      </w:pPr>
      <w:r w:rsidRPr="006B680D">
        <w:rPr>
          <w:rFonts w:ascii="Times New Roman" w:eastAsia="DengXian" w:hAnsi="Times New Roman" w:cs="Times New Roman"/>
          <w:b/>
          <w:color w:val="000000"/>
          <w:sz w:val="24"/>
          <w:szCs w:val="24"/>
        </w:rPr>
        <w:t xml:space="preserve">Data collection. </w:t>
      </w:r>
    </w:p>
    <w:p w14:paraId="28459E87" w14:textId="3E9DDA4B" w:rsidR="006B680D" w:rsidRPr="006B680D" w:rsidRDefault="006B680D" w:rsidP="003A4C7A">
      <w:pPr>
        <w:spacing w:after="0" w:line="480" w:lineRule="auto"/>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A database of all top eight performances at the Summer Olympic Games and World Table Tennis Championships between 1988 and 2016 is established using data sourced from the IOC website (https://www.olympic.org/olympic-results) and ITTF database (</w:t>
      </w:r>
      <w:hyperlink r:id="rId7" w:tgtFrame="_blank" w:history="1">
        <w:r w:rsidRPr="006B680D">
          <w:rPr>
            <w:rFonts w:ascii="Times New Roman" w:eastAsia="DengXian" w:hAnsi="Times New Roman" w:cs="Times New Roman"/>
            <w:bCs/>
            <w:color w:val="000000"/>
            <w:sz w:val="24"/>
            <w:szCs w:val="24"/>
          </w:rPr>
          <w:t>http://old.ittf.com/ittf_stats/</w:t>
        </w:r>
      </w:hyperlink>
      <w:r w:rsidRPr="006B680D">
        <w:rPr>
          <w:rFonts w:ascii="Times New Roman" w:eastAsia="DengXian" w:hAnsi="Times New Roman" w:cs="Times New Roman"/>
          <w:color w:val="000000"/>
          <w:sz w:val="24"/>
          <w:szCs w:val="24"/>
        </w:rPr>
        <w:t xml:space="preserve">). 1988 is selected as the starting point because table tennis did not become an official Olympic sport until then. On occasions throughout this period, the ITTF held separate World Championships for different events. Since 2003, the World Championships for five singles and doubles events were held in odd years, and (men’s and women’s) team-events-only-World Championships in even years. This demarcation was also evident in 1999 and 2000. </w:t>
      </w:r>
      <w:r w:rsidRPr="006B680D">
        <w:rPr>
          <w:rFonts w:ascii="Times New Roman" w:eastAsia="DengXian" w:hAnsi="Times New Roman" w:cs="Times New Roman"/>
          <w:bCs/>
          <w:color w:val="000000"/>
          <w:sz w:val="24"/>
          <w:szCs w:val="24"/>
        </w:rPr>
        <w:t>For pragmatic reasons the 1999/2000, 2003/2004, 2005/2006, 2007/2008, 2009/2010, 2011/2012, 2013/2014 and 2015/2016</w:t>
      </w:r>
      <w:r w:rsidR="00A60AD4">
        <w:rPr>
          <w:rFonts w:ascii="Times New Roman" w:eastAsia="DengXian" w:hAnsi="Times New Roman" w:cs="Times New Roman"/>
          <w:bCs/>
          <w:color w:val="000000"/>
          <w:sz w:val="24"/>
          <w:szCs w:val="24"/>
        </w:rPr>
        <w:t xml:space="preserve"> editions are combined</w:t>
      </w:r>
      <w:r w:rsidRPr="006B680D">
        <w:rPr>
          <w:rFonts w:ascii="Times New Roman" w:eastAsia="DengXian" w:hAnsi="Times New Roman" w:cs="Times New Roman"/>
          <w:bCs/>
          <w:color w:val="000000"/>
          <w:sz w:val="24"/>
          <w:szCs w:val="24"/>
        </w:rPr>
        <w:t xml:space="preserve">. </w:t>
      </w:r>
      <w:r w:rsidRPr="006B680D">
        <w:rPr>
          <w:rFonts w:ascii="Times New Roman" w:eastAsia="DengXian" w:hAnsi="Times New Roman" w:cs="Times New Roman"/>
          <w:color w:val="000000"/>
          <w:sz w:val="24"/>
          <w:szCs w:val="24"/>
          <w:highlight w:val="yellow"/>
        </w:rPr>
        <w:t xml:space="preserve">There are seven events at each (combined) World Championships. The events include men’s and women’s singles, doubles, and team events, and mixed doubles. In comparison, there are </w:t>
      </w:r>
      <w:r w:rsidRPr="006B680D">
        <w:rPr>
          <w:rFonts w:ascii="Times New Roman" w:eastAsia="DengXian" w:hAnsi="Times New Roman" w:cs="Times New Roman"/>
          <w:bCs/>
          <w:color w:val="000000"/>
          <w:sz w:val="24"/>
          <w:szCs w:val="24"/>
          <w:highlight w:val="yellow"/>
          <w:lang w:val="en"/>
        </w:rPr>
        <w:t>only four table tennis events at each Olympic Games. However</w:t>
      </w:r>
      <w:r w:rsidR="00646470">
        <w:rPr>
          <w:rFonts w:ascii="Times New Roman" w:eastAsia="DengXian" w:hAnsi="Times New Roman" w:cs="Times New Roman"/>
          <w:bCs/>
          <w:color w:val="000000"/>
          <w:sz w:val="24"/>
          <w:szCs w:val="24"/>
          <w:highlight w:val="yellow"/>
          <w:lang w:val="en"/>
        </w:rPr>
        <w:t>,</w:t>
      </w:r>
      <w:r w:rsidRPr="006B680D">
        <w:rPr>
          <w:rFonts w:ascii="Times New Roman" w:eastAsia="DengXian" w:hAnsi="Times New Roman" w:cs="Times New Roman"/>
          <w:bCs/>
          <w:color w:val="000000"/>
          <w:sz w:val="24"/>
          <w:szCs w:val="24"/>
          <w:highlight w:val="yellow"/>
          <w:lang w:val="en"/>
        </w:rPr>
        <w:t xml:space="preserve"> the competition format at the Olympic Games </w:t>
      </w:r>
      <w:r w:rsidR="00CE0840">
        <w:rPr>
          <w:rFonts w:ascii="Times New Roman" w:eastAsia="DengXian" w:hAnsi="Times New Roman" w:cs="Times New Roman"/>
          <w:bCs/>
          <w:color w:val="000000"/>
          <w:sz w:val="24"/>
          <w:szCs w:val="24"/>
          <w:highlight w:val="yellow"/>
          <w:lang w:val="en"/>
        </w:rPr>
        <w:t>has not been consistent. Whilst</w:t>
      </w:r>
      <w:r w:rsidRPr="006B680D">
        <w:rPr>
          <w:rFonts w:ascii="Times New Roman" w:eastAsia="DengXian" w:hAnsi="Times New Roman" w:cs="Times New Roman"/>
          <w:bCs/>
          <w:color w:val="000000"/>
          <w:sz w:val="24"/>
          <w:szCs w:val="24"/>
          <w:highlight w:val="yellow"/>
          <w:lang w:val="en"/>
        </w:rPr>
        <w:t xml:space="preserve"> men’s and women’s singles have been contested at all eight editions between 1988 and 2016, men’s and women’s doubles were played only between 1988 and 2004. The doubles format was replaced </w:t>
      </w:r>
      <w:r w:rsidR="00E0616F">
        <w:rPr>
          <w:rFonts w:ascii="Times New Roman" w:eastAsia="DengXian" w:hAnsi="Times New Roman" w:cs="Times New Roman"/>
          <w:bCs/>
          <w:color w:val="000000"/>
          <w:sz w:val="24"/>
          <w:szCs w:val="24"/>
          <w:highlight w:val="yellow"/>
          <w:lang w:val="en"/>
        </w:rPr>
        <w:t>by</w:t>
      </w:r>
      <w:r w:rsidRPr="006B680D">
        <w:rPr>
          <w:rFonts w:ascii="Times New Roman" w:eastAsia="DengXian" w:hAnsi="Times New Roman" w:cs="Times New Roman"/>
          <w:bCs/>
          <w:color w:val="000000"/>
          <w:sz w:val="24"/>
          <w:szCs w:val="24"/>
          <w:highlight w:val="yellow"/>
          <w:lang w:val="en"/>
        </w:rPr>
        <w:t xml:space="preserve"> men’s and women’s </w:t>
      </w:r>
      <w:r w:rsidR="00361D9C">
        <w:rPr>
          <w:rFonts w:ascii="Times New Roman" w:eastAsia="DengXian" w:hAnsi="Times New Roman" w:cs="Times New Roman"/>
          <w:bCs/>
          <w:color w:val="000000"/>
          <w:sz w:val="24"/>
          <w:szCs w:val="24"/>
          <w:highlight w:val="yellow"/>
          <w:lang w:val="en"/>
        </w:rPr>
        <w:t>team events</w:t>
      </w:r>
      <w:r w:rsidRPr="006B680D">
        <w:rPr>
          <w:rFonts w:ascii="Times New Roman" w:eastAsia="DengXian" w:hAnsi="Times New Roman" w:cs="Times New Roman"/>
          <w:bCs/>
          <w:color w:val="000000"/>
          <w:sz w:val="24"/>
          <w:szCs w:val="24"/>
          <w:highlight w:val="yellow"/>
          <w:lang w:val="en"/>
        </w:rPr>
        <w:t xml:space="preserve"> in 2008. Because of these format differences, the Olympic Games and the World Championships are </w:t>
      </w:r>
      <w:r w:rsidRPr="006B680D">
        <w:rPr>
          <w:rFonts w:ascii="Times New Roman" w:eastAsia="DengXian" w:hAnsi="Times New Roman" w:cs="Times New Roman"/>
          <w:bCs/>
          <w:color w:val="000000"/>
          <w:sz w:val="24"/>
          <w:szCs w:val="24"/>
          <w:highlight w:val="yellow"/>
        </w:rPr>
        <w:t xml:space="preserve">analysed separately. </w:t>
      </w:r>
      <w:r w:rsidRPr="006B680D">
        <w:rPr>
          <w:rFonts w:ascii="Times New Roman" w:eastAsia="SimSun" w:hAnsi="Times New Roman" w:cs="Times New Roman"/>
          <w:bCs/>
          <w:color w:val="000000"/>
          <w:sz w:val="24"/>
          <w:szCs w:val="24"/>
          <w:highlight w:val="yellow"/>
        </w:rPr>
        <w:t xml:space="preserve">Distinct analyses of </w:t>
      </w:r>
      <w:r w:rsidRPr="006B680D">
        <w:rPr>
          <w:rFonts w:ascii="Times New Roman" w:eastAsia="SimSun" w:hAnsi="Times New Roman" w:cs="Times New Roman"/>
          <w:bCs/>
          <w:color w:val="000000"/>
          <w:sz w:val="24"/>
          <w:szCs w:val="24"/>
          <w:highlight w:val="yellow"/>
          <w:lang w:val="en"/>
        </w:rPr>
        <w:t>the Olympic Games and the World Championships still enable the identification of competitive balance trends</w:t>
      </w:r>
      <w:r w:rsidRPr="006B680D">
        <w:rPr>
          <w:rFonts w:ascii="Times New Roman" w:eastAsia="SimSun" w:hAnsi="Times New Roman" w:cs="Times New Roman"/>
          <w:color w:val="000000"/>
          <w:sz w:val="24"/>
          <w:szCs w:val="24"/>
          <w:highlight w:val="yellow"/>
        </w:rPr>
        <w:t xml:space="preserve">, and a comparison of these trends between the Olympic Games and the World Championships. </w:t>
      </w:r>
      <w:r w:rsidRPr="006B680D">
        <w:rPr>
          <w:rFonts w:ascii="Times New Roman" w:eastAsia="DengXian" w:hAnsi="Times New Roman" w:cs="Times New Roman"/>
          <w:color w:val="000000"/>
          <w:sz w:val="24"/>
          <w:szCs w:val="24"/>
          <w:highlight w:val="yellow"/>
        </w:rPr>
        <w:t>In the cases of mixed doubles, male and female athletes are each awarded half of the gold medals, medals, medal points and top eight points.</w:t>
      </w:r>
      <w:r w:rsidRPr="006B680D">
        <w:rPr>
          <w:rFonts w:ascii="Times New Roman" w:eastAsia="DengXian" w:hAnsi="Times New Roman" w:cs="Times New Roman"/>
          <w:color w:val="000000"/>
          <w:sz w:val="24"/>
          <w:szCs w:val="24"/>
        </w:rPr>
        <w:t xml:space="preserve"> </w:t>
      </w:r>
    </w:p>
    <w:p w14:paraId="11DF7531" w14:textId="77777777" w:rsidR="006B680D" w:rsidRPr="006B680D" w:rsidRDefault="006B680D" w:rsidP="006B680D">
      <w:pPr>
        <w:spacing w:after="0" w:line="480" w:lineRule="auto"/>
        <w:ind w:firstLine="709"/>
        <w:jc w:val="both"/>
        <w:rPr>
          <w:rFonts w:ascii="Times New Roman" w:eastAsia="DengXian" w:hAnsi="Times New Roman" w:cs="Times New Roman"/>
          <w:color w:val="000000"/>
          <w:sz w:val="24"/>
          <w:szCs w:val="24"/>
        </w:rPr>
      </w:pPr>
      <w:r w:rsidRPr="006B680D">
        <w:rPr>
          <w:rFonts w:ascii="Times New Roman" w:eastAsia="DengXian" w:hAnsi="Times New Roman" w:cs="Times New Roman"/>
          <w:b/>
          <w:i/>
          <w:color w:val="000000"/>
          <w:sz w:val="24"/>
          <w:szCs w:val="24"/>
        </w:rPr>
        <w:t xml:space="preserve">Performance measures. </w:t>
      </w:r>
      <w:r w:rsidRPr="006B680D">
        <w:rPr>
          <w:rFonts w:ascii="Times New Roman" w:eastAsia="DengXian" w:hAnsi="Times New Roman" w:cs="Times New Roman"/>
          <w:color w:val="000000"/>
          <w:sz w:val="24"/>
          <w:szCs w:val="24"/>
        </w:rPr>
        <w:t>The study relies on four performance measures for each competing nation: the total number of gold medals, medals, medal points and top eight points that were won. Medal points are calculated by awarding three points for each gold, two points for each silver and one point for each bronze medal awarded. Concerning top eight points, the</w:t>
      </w:r>
      <w:r w:rsidRPr="006B680D">
        <w:rPr>
          <w:rFonts w:ascii="Times New Roman" w:eastAsia="DengXian" w:hAnsi="Times New Roman" w:cs="Times New Roman"/>
          <w:b/>
          <w:color w:val="000000"/>
          <w:sz w:val="24"/>
          <w:szCs w:val="24"/>
        </w:rPr>
        <w:t xml:space="preserve"> </w:t>
      </w:r>
      <w:r w:rsidRPr="006B680D">
        <w:rPr>
          <w:rFonts w:ascii="Times New Roman" w:eastAsia="DengXian" w:hAnsi="Times New Roman" w:cs="Times New Roman"/>
          <w:color w:val="000000"/>
          <w:sz w:val="24"/>
          <w:szCs w:val="24"/>
        </w:rPr>
        <w:t xml:space="preserve">formula is 10-8-6-5-4-3-2-1 (points) for 1-2-3-4-5-6-7-8 (ranking position), which is congruent with most existing studies that analyse elite sport success (De Bosscher et al., 2008; De Bosscher, Shibli, Westerbeek &amp; Van Bottenburg, 2015). </w:t>
      </w:r>
    </w:p>
    <w:p w14:paraId="449F8B9A" w14:textId="77777777" w:rsidR="006B680D" w:rsidRPr="006B680D" w:rsidRDefault="006B680D" w:rsidP="006B680D">
      <w:pPr>
        <w:spacing w:after="0" w:line="480" w:lineRule="auto"/>
        <w:jc w:val="both"/>
        <w:rPr>
          <w:rFonts w:ascii="Times New Roman" w:eastAsia="DengXian" w:hAnsi="Times New Roman" w:cs="Times New Roman"/>
          <w:color w:val="000000"/>
          <w:sz w:val="24"/>
          <w:szCs w:val="24"/>
        </w:rPr>
      </w:pPr>
    </w:p>
    <w:p w14:paraId="37BB72A1" w14:textId="77777777" w:rsidR="006B680D" w:rsidRPr="006B680D" w:rsidRDefault="006B680D" w:rsidP="006B680D">
      <w:pPr>
        <w:spacing w:after="0" w:line="480" w:lineRule="auto"/>
        <w:jc w:val="both"/>
        <w:rPr>
          <w:rFonts w:ascii="Times New Roman" w:eastAsia="DengXian" w:hAnsi="Times New Roman" w:cs="Times New Roman"/>
          <w:b/>
          <w:i/>
          <w:color w:val="000000"/>
          <w:sz w:val="24"/>
          <w:szCs w:val="24"/>
        </w:rPr>
      </w:pPr>
      <w:r w:rsidRPr="006B680D">
        <w:rPr>
          <w:rFonts w:ascii="Times New Roman" w:eastAsia="DengXian" w:hAnsi="Times New Roman" w:cs="Times New Roman"/>
          <w:b/>
          <w:color w:val="000000"/>
          <w:sz w:val="24"/>
          <w:szCs w:val="24"/>
        </w:rPr>
        <w:t>Data analysis: Indicators of competitive balance.</w:t>
      </w:r>
      <w:r w:rsidRPr="006B680D">
        <w:rPr>
          <w:rFonts w:ascii="Times New Roman" w:eastAsia="DengXian" w:hAnsi="Times New Roman" w:cs="Times New Roman"/>
          <w:b/>
          <w:i/>
          <w:color w:val="000000"/>
          <w:sz w:val="24"/>
          <w:szCs w:val="24"/>
        </w:rPr>
        <w:t xml:space="preserve"> </w:t>
      </w:r>
    </w:p>
    <w:p w14:paraId="2D29629B" w14:textId="77777777" w:rsidR="006B680D" w:rsidRPr="006B680D" w:rsidRDefault="006B680D" w:rsidP="006B680D">
      <w:pPr>
        <w:spacing w:after="0" w:line="480" w:lineRule="auto"/>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The research uses two indicators of competitive balance – a normalised version of the Herfindahl-Hirschman Index (HHIN); and a coefficient of variation (CV) in nations' market share </w:t>
      </w:r>
      <w:r w:rsidRPr="006B680D">
        <w:rPr>
          <w:rFonts w:ascii="Times New Roman" w:eastAsia="DengXian" w:hAnsi="Times New Roman" w:cs="Times New Roman"/>
          <w:color w:val="000000"/>
          <w:sz w:val="24"/>
          <w:szCs w:val="24"/>
          <w:highlight w:val="yellow"/>
        </w:rPr>
        <w:t>(MS)</w:t>
      </w:r>
      <w:r w:rsidRPr="006B680D">
        <w:rPr>
          <w:rFonts w:ascii="Times New Roman" w:eastAsia="DengXian" w:hAnsi="Times New Roman" w:cs="Times New Roman"/>
          <w:color w:val="000000"/>
          <w:sz w:val="24"/>
          <w:szCs w:val="24"/>
        </w:rPr>
        <w:t>.</w:t>
      </w:r>
    </w:p>
    <w:p w14:paraId="27B89F2A" w14:textId="7C07A212" w:rsidR="006B680D" w:rsidRPr="006B680D" w:rsidRDefault="006B680D" w:rsidP="006B680D">
      <w:pPr>
        <w:spacing w:after="0" w:line="480" w:lineRule="auto"/>
        <w:ind w:firstLine="709"/>
        <w:jc w:val="both"/>
        <w:rPr>
          <w:rFonts w:ascii="Times New Roman" w:eastAsia="DengXian" w:hAnsi="Times New Roman" w:cs="Times New Roman"/>
          <w:b/>
          <w:i/>
          <w:color w:val="000000"/>
          <w:sz w:val="24"/>
          <w:szCs w:val="24"/>
        </w:rPr>
      </w:pPr>
      <w:r w:rsidRPr="006B680D">
        <w:rPr>
          <w:rFonts w:ascii="Times New Roman" w:eastAsia="DengXian" w:hAnsi="Times New Roman" w:cs="Times New Roman"/>
          <w:b/>
          <w:i/>
          <w:color w:val="000000"/>
          <w:sz w:val="24"/>
          <w:szCs w:val="24"/>
        </w:rPr>
        <w:t>(Normalised) Herfindahl-Hirschman Index</w:t>
      </w:r>
      <w:r w:rsidRPr="006B680D">
        <w:rPr>
          <w:rFonts w:ascii="Times New Roman" w:eastAsia="DengXian" w:hAnsi="Times New Roman" w:cs="Times New Roman"/>
          <w:b/>
          <w:color w:val="000000"/>
          <w:sz w:val="24"/>
          <w:szCs w:val="24"/>
        </w:rPr>
        <w:t>.</w:t>
      </w:r>
      <w:r w:rsidRPr="006B680D">
        <w:rPr>
          <w:rFonts w:ascii="Times New Roman" w:eastAsia="DengXian" w:hAnsi="Times New Roman" w:cs="Times New Roman"/>
          <w:color w:val="000000"/>
          <w:sz w:val="24"/>
          <w:szCs w:val="24"/>
        </w:rPr>
        <w:t xml:space="preserve"> The HHI measures market concentration </w:t>
      </w:r>
      <w:r w:rsidRPr="006B680D">
        <w:rPr>
          <w:rFonts w:ascii="Times New Roman" w:eastAsia="DengXian" w:hAnsi="Times New Roman" w:cs="Times New Roman"/>
          <w:color w:val="000000"/>
          <w:sz w:val="24"/>
          <w:szCs w:val="24"/>
        </w:rPr>
        <w:fldChar w:fldCharType="begin" w:fldLock="1"/>
      </w:r>
      <w:r w:rsidRPr="006B680D">
        <w:rPr>
          <w:rFonts w:ascii="Times New Roman" w:eastAsia="DengXian" w:hAnsi="Times New Roman" w:cs="Times New Roman"/>
          <w:color w:val="000000"/>
          <w:sz w:val="24"/>
          <w:szCs w:val="24"/>
        </w:rPr>
        <w:instrText>ADDIN CSL_CITATION { "citationItems" : [ { "id" : "ITEM-1", "itemData" : { "DOI" : "10.1080/23750472.2016.1169213", "ISSN" : "2375-0472", "author" : [ { "dropping-particle" : "", "family" : "Truyens", "given" : "Jasper", "non-dropping-particle" : "", "parse-names" : false, "suffix" : "" }, { "dropping-particle" : "", "family" : "Bosscher", "given" : "Veerle", "non-dropping-particle" : "De", "parse-names" : false, "suffix" : "" }, { "dropping-particle" : "", "family" : "Heyndels", "given" : "Bruno", "non-dropping-particle" : "", "parse-names" : false, "suffix" : "" } ], "container-title" : "Managing Sport and Leisure", "id" : "ITEM-1", "issue" : "1", "issued" : { "date-parts" : [ [ "2016" ] ] }, "page" : "23-43", "publisher" : "Taylor &amp; Francis", "title" : "Competitive balance in athletics", "type" : "article-journal", "volume" : "21" }, "uris" : [ "http://www.mendeley.com/documents/?uuid=ba71b488-76d6-455e-b601-bbaa7f8c6307" ] }, { "id" : "ITEM-2", "itemData" : { "DOI" : "10.5232/ricyde2011.02405", "ISBN" : "9789802183043", "ISSN" : "1885-3137", "abstract" : "An\u00e1lisis de las competencias adquiridas y utilizadas por los egresados maestros en Educaci\u00f3n F\u00edsica Analysis of the skills acquired and used by graduated teachers in physical education M a r \u00ed a d e l C a r m e n C a m p o s M e s a F r a n c i s R i e s \u00d3 s c a r D e l C a s t i l l o A n d r \u00e9 s Resumen En este art\u00edculo se plantea un an\u00e1lisis de las competencias que dicen haber adquirido los egresados de Magisterio de la especialidad de Educaci\u00f3n F\u00edsica durante sus estudios, y las competencias que utilizan esos mismos sujetos una vez insertos en el mercado laboral. Para ello, se dise\u00f1\u00f3 un cuestionario ad hoc titulado Cuestionario sobre la inserci\u00f3n laboral de los maestros especialistas en Educaci\u00f3n F\u00edsica egresa-dos en la Facultad de Ciencias de la Educaci\u00f3n de la Universidad de Sevilla, cuyo acr\u00f3nimo es E.E.F.U.S., pas\u00e1ndoselo a seis promociones de egresados de Magisterio (N=104). A los datos obtenidos se les ha rea-lizado un an\u00e1lisis factorial y comparativo entre poblaciones. Podemos concluir que la competencia m\u00e1s valorada por los egresados en sus dos momentos de la vida, es decir, al finalizar sus estudios y una vez insertos en el mercado laboral, es aplicar el juego como recurso did\u00e1ctico y contenido de ense\u00f1anza. Adem\u00e1s, proponemos la agrupaci\u00f3n de las competencias espec\u00edficas en cuatro factores o dimensiones a trabajar con los futuros Grados en Educaci\u00f3n Primaria con menci\u00f3n en Educaci\u00f3n F\u00edsica.", "author" : [ { "dropping-particle" : "", "family" : "Ramchandani", "given" : "Girish", "non-dropping-particle" : "", "parse-names" : false, "suffix" : "" }, { "dropping-particle" : "", "family" : "Wilson", "given" : "Darryl", "non-dropping-particle" : "", "parse-names" : false, "suffix" : "" } ], "container-title" : "International Journal of Sport Science", "id" : "ITEM-2", "issue" : "35", "issued" : { "date-parts" : [ [ "2011" ] ] }, "page" : "75-88", "title" : "Historical and contemporary trends in competitive balance in the Commonwealth Games", "type" : "article-journal", "volume" : "10" }, "uris" : [ "http://www.mendeley.com/documents/?uuid=25218513-147b-4125-bc12-16979a1a327a" ] } ], "mendeley" : { "formattedCitation" : "(Ramchandani &amp; Wilson, 2011; Truyens et al., 2016)", "plainTextFormattedCitation" : "(Ramchandani &amp; Wilson, 2011; Truyens et al., 2016)", "previouslyFormattedCitation" : "(Ramchandani &amp; Wilson, 2011; Truyens et al., 2016)" }, "properties" : { "noteIndex" : 0 }, "schema" : "https://github.com/citation-style-language/schema/raw/master/csl-citation.json" }</w:instrText>
      </w:r>
      <w:r w:rsidRPr="006B680D">
        <w:rPr>
          <w:rFonts w:ascii="Times New Roman" w:eastAsia="DengXian" w:hAnsi="Times New Roman" w:cs="Times New Roman"/>
          <w:color w:val="000000"/>
          <w:sz w:val="24"/>
          <w:szCs w:val="24"/>
        </w:rPr>
        <w:fldChar w:fldCharType="separate"/>
      </w:r>
      <w:r w:rsidRPr="006B680D">
        <w:rPr>
          <w:rFonts w:ascii="Times New Roman" w:eastAsia="DengXian" w:hAnsi="Times New Roman" w:cs="Times New Roman"/>
          <w:noProof/>
          <w:color w:val="000000"/>
          <w:sz w:val="24"/>
          <w:szCs w:val="24"/>
        </w:rPr>
        <w:t>(Forrest et al., 2016; Otamendi &amp; Doncel, 2014; Ramchandani &amp; Wilson, 2011; Truyens et al., 2016)</w:t>
      </w:r>
      <w:r w:rsidRPr="006B680D">
        <w:rPr>
          <w:rFonts w:ascii="Times New Roman" w:eastAsia="DengXian" w:hAnsi="Times New Roman" w:cs="Times New Roman"/>
          <w:color w:val="000000"/>
          <w:sz w:val="24"/>
          <w:szCs w:val="24"/>
        </w:rPr>
        <w:fldChar w:fldCharType="end"/>
      </w:r>
      <w:r w:rsidRPr="006B680D">
        <w:rPr>
          <w:rFonts w:ascii="Times New Roman" w:eastAsia="DengXian" w:hAnsi="Times New Roman" w:cs="Times New Roman"/>
          <w:color w:val="000000"/>
          <w:sz w:val="24"/>
          <w:szCs w:val="24"/>
        </w:rPr>
        <w:t xml:space="preserve">.  The HHI for a given Olympics or World Championships is the sum of the squared market shares of each nation. The market share is simply each nation’s share of the medals and points on offer. The HHI can range from 0 to 1, and a high HHI reflects a large concentration of success among a small number of nations. </w:t>
      </w:r>
      <w:r w:rsidRPr="006B680D">
        <w:rPr>
          <w:rFonts w:ascii="Times New Roman" w:eastAsia="DengXian" w:hAnsi="Times New Roman" w:cs="Times New Roman"/>
          <w:color w:val="000000"/>
          <w:sz w:val="24"/>
          <w:szCs w:val="24"/>
          <w:highlight w:val="yellow"/>
        </w:rPr>
        <w:t>The extreme value of 1 indicates that the market is dominated by one nation as the sole winner, and this, from an economic perspective, is defined as a “monopoly” (Mankiw &amp; Taylor, 2010, p. 296).</w:t>
      </w:r>
      <w:r w:rsidR="00B5476C">
        <w:rPr>
          <w:rFonts w:ascii="Times New Roman" w:eastAsia="DengXian" w:hAnsi="Times New Roman" w:cs="Times New Roman"/>
          <w:color w:val="000000"/>
          <w:sz w:val="24"/>
          <w:szCs w:val="24"/>
        </w:rPr>
        <w:t xml:space="preserve"> HHI is calculated as follows, where</w:t>
      </w:r>
      <m:oMath>
        <m:r>
          <w:rPr>
            <w:rFonts w:ascii="Cambria Math" w:eastAsia="DengXian" w:hAnsi="Cambria Math" w:cs="Times New Roman"/>
            <w:color w:val="000000"/>
            <w:sz w:val="24"/>
            <w:szCs w:val="24"/>
          </w:rPr>
          <m:t xml:space="preserve"> </m:t>
        </m:r>
        <m:sSub>
          <m:sSubPr>
            <m:ctrlPr>
              <w:rPr>
                <w:rFonts w:ascii="Cambria Math" w:eastAsia="DengXian" w:hAnsi="Cambria Math" w:cs="Times New Roman"/>
                <w:i/>
                <w:color w:val="000000"/>
                <w:sz w:val="24"/>
                <w:szCs w:val="24"/>
              </w:rPr>
            </m:ctrlPr>
          </m:sSubPr>
          <m:e>
            <m:r>
              <w:rPr>
                <w:rFonts w:ascii="Cambria Math" w:eastAsia="DengXian" w:hAnsi="Cambria Math" w:cs="Times New Roman"/>
                <w:color w:val="000000"/>
                <w:sz w:val="24"/>
                <w:szCs w:val="24"/>
              </w:rPr>
              <m:t>MS</m:t>
            </m:r>
          </m:e>
          <m:sub>
            <m:r>
              <w:rPr>
                <w:rFonts w:ascii="Cambria Math" w:eastAsia="DengXian" w:hAnsi="Cambria Math" w:cs="Times New Roman"/>
                <w:color w:val="000000"/>
                <w:sz w:val="24"/>
                <w:szCs w:val="24"/>
              </w:rPr>
              <m:t>i</m:t>
            </m:r>
          </m:sub>
        </m:sSub>
      </m:oMath>
      <w:r w:rsidR="00B5476C" w:rsidRPr="00B5476C">
        <w:rPr>
          <w:rFonts w:ascii="Times New Roman" w:eastAsia="DengXian" w:hAnsi="Times New Roman" w:cs="Times New Roman"/>
          <w:color w:val="000000"/>
          <w:sz w:val="24"/>
          <w:szCs w:val="24"/>
        </w:rPr>
        <w:t xml:space="preserve"> denotes market share (medals, medal points and top 8 points) of each participating nation </w:t>
      </w:r>
      <w:r w:rsidR="00B5476C" w:rsidRPr="00B5476C">
        <w:rPr>
          <w:rFonts w:ascii="Times New Roman" w:eastAsia="DengXian" w:hAnsi="Times New Roman" w:cs="Times New Roman"/>
          <w:i/>
          <w:color w:val="000000"/>
          <w:sz w:val="24"/>
          <w:szCs w:val="24"/>
        </w:rPr>
        <w:t>i</w:t>
      </w:r>
      <w:r w:rsidR="00B5476C">
        <w:rPr>
          <w:rFonts w:ascii="Times New Roman" w:eastAsia="DengXian" w:hAnsi="Times New Roman" w:cs="Times New Roman"/>
          <w:color w:val="000000"/>
          <w:sz w:val="24"/>
          <w:szCs w:val="24"/>
        </w:rPr>
        <w:t>;</w:t>
      </w:r>
    </w:p>
    <w:p w14:paraId="70BED357" w14:textId="77777777" w:rsidR="006B680D" w:rsidRPr="006B680D" w:rsidRDefault="006B680D" w:rsidP="006B680D">
      <w:pPr>
        <w:spacing w:after="0" w:line="480" w:lineRule="auto"/>
        <w:ind w:firstLine="706"/>
        <w:jc w:val="both"/>
        <w:rPr>
          <w:rFonts w:ascii="Times New Roman" w:eastAsia="DengXian" w:hAnsi="Times New Roman" w:cs="Times New Roman"/>
          <w:color w:val="000000"/>
          <w:sz w:val="24"/>
          <w:szCs w:val="24"/>
        </w:rPr>
      </w:pPr>
      <m:oMathPara>
        <m:oMath>
          <m:r>
            <w:rPr>
              <w:rFonts w:ascii="Cambria Math" w:eastAsia="DengXian" w:hAnsi="Cambria Math" w:cs="Times New Roman"/>
              <w:color w:val="000000"/>
              <w:sz w:val="24"/>
              <w:szCs w:val="24"/>
            </w:rPr>
            <m:t>HHI</m:t>
          </m:r>
          <m:r>
            <m:rPr>
              <m:sty m:val="p"/>
            </m:rPr>
            <w:rPr>
              <w:rFonts w:ascii="Cambria Math" w:eastAsia="DengXian" w:hAnsi="Cambria Math" w:cs="Times New Roman"/>
              <w:color w:val="000000"/>
              <w:sz w:val="24"/>
              <w:szCs w:val="24"/>
            </w:rPr>
            <m:t>=</m:t>
          </m:r>
          <m:nary>
            <m:naryPr>
              <m:chr m:val="∑"/>
              <m:limLoc m:val="undOvr"/>
              <m:supHide m:val="1"/>
              <m:ctrlPr>
                <w:rPr>
                  <w:rFonts w:ascii="Cambria Math" w:eastAsia="DengXian" w:hAnsi="Cambria Math" w:cs="Times New Roman"/>
                  <w:color w:val="000000"/>
                  <w:sz w:val="24"/>
                  <w:szCs w:val="24"/>
                </w:rPr>
              </m:ctrlPr>
            </m:naryPr>
            <m:sub>
              <m:r>
                <w:rPr>
                  <w:rFonts w:ascii="Cambria Math" w:eastAsia="DengXian" w:hAnsi="Cambria Math" w:cs="Times New Roman"/>
                  <w:color w:val="000000"/>
                  <w:sz w:val="24"/>
                  <w:szCs w:val="24"/>
                </w:rPr>
                <m:t>i</m:t>
              </m:r>
            </m:sub>
            <m:sup/>
            <m:e>
              <m:sSup>
                <m:sSupPr>
                  <m:ctrlPr>
                    <w:rPr>
                      <w:rFonts w:ascii="Cambria Math" w:eastAsia="DengXian" w:hAnsi="Cambria Math" w:cs="Times New Roman"/>
                      <w:i/>
                      <w:color w:val="000000"/>
                      <w:sz w:val="24"/>
                      <w:szCs w:val="24"/>
                    </w:rPr>
                  </m:ctrlPr>
                </m:sSupPr>
                <m:e>
                  <m:sSub>
                    <m:sSubPr>
                      <m:ctrlPr>
                        <w:rPr>
                          <w:rFonts w:ascii="Cambria Math" w:eastAsia="DengXian" w:hAnsi="Cambria Math" w:cs="Times New Roman"/>
                          <w:i/>
                          <w:color w:val="000000"/>
                          <w:sz w:val="24"/>
                          <w:szCs w:val="24"/>
                        </w:rPr>
                      </m:ctrlPr>
                    </m:sSubPr>
                    <m:e>
                      <m:r>
                        <w:rPr>
                          <w:rFonts w:ascii="Cambria Math" w:eastAsia="DengXian" w:hAnsi="Cambria Math" w:cs="Times New Roman"/>
                          <w:color w:val="000000"/>
                          <w:sz w:val="24"/>
                          <w:szCs w:val="24"/>
                        </w:rPr>
                        <m:t>MS</m:t>
                      </m:r>
                    </m:e>
                    <m:sub>
                      <m:r>
                        <w:rPr>
                          <w:rFonts w:ascii="Cambria Math" w:eastAsia="DengXian" w:hAnsi="Cambria Math" w:cs="Times New Roman"/>
                          <w:color w:val="000000"/>
                          <w:sz w:val="24"/>
                          <w:szCs w:val="24"/>
                        </w:rPr>
                        <m:t>i</m:t>
                      </m:r>
                    </m:sub>
                  </m:sSub>
                </m:e>
                <m:sup>
                  <m:r>
                    <w:rPr>
                      <w:rFonts w:ascii="Cambria Math" w:eastAsia="DengXian" w:hAnsi="Cambria Math" w:cs="Times New Roman"/>
                      <w:color w:val="000000"/>
                      <w:sz w:val="24"/>
                      <w:szCs w:val="24"/>
                    </w:rPr>
                    <m:t>2</m:t>
                  </m:r>
                </m:sup>
              </m:sSup>
            </m:e>
          </m:nary>
        </m:oMath>
      </m:oMathPara>
    </w:p>
    <w:p w14:paraId="515A52B9" w14:textId="77777777" w:rsidR="00B53278" w:rsidRDefault="00B53278" w:rsidP="006B680D">
      <w:pPr>
        <w:spacing w:after="0" w:line="480" w:lineRule="auto"/>
        <w:ind w:firstLine="706"/>
        <w:jc w:val="both"/>
        <w:rPr>
          <w:rFonts w:ascii="Times New Roman" w:eastAsia="DengXian" w:hAnsi="Times New Roman" w:cs="Times New Roman"/>
          <w:color w:val="000000"/>
          <w:sz w:val="24"/>
          <w:szCs w:val="24"/>
        </w:rPr>
      </w:pPr>
    </w:p>
    <w:p w14:paraId="63BE9C93" w14:textId="2B2FB7FE" w:rsidR="006B680D" w:rsidRPr="006B680D" w:rsidRDefault="009D570F" w:rsidP="006B680D">
      <w:pPr>
        <w:spacing w:after="0" w:line="480" w:lineRule="auto"/>
        <w:ind w:firstLine="706"/>
        <w:jc w:val="both"/>
        <w:rPr>
          <w:rFonts w:ascii="Times New Roman" w:eastAsia="DengXian" w:hAnsi="Times New Roman" w:cs="Times New Roman"/>
          <w:color w:val="000000"/>
          <w:sz w:val="24"/>
          <w:szCs w:val="24"/>
        </w:rPr>
      </w:pPr>
      <w:r>
        <w:rPr>
          <w:rFonts w:ascii="Times New Roman" w:eastAsia="DengXian" w:hAnsi="Times New Roman" w:cs="Times New Roman"/>
          <w:color w:val="000000"/>
          <w:sz w:val="24"/>
          <w:szCs w:val="24"/>
        </w:rPr>
        <w:t>A</w:t>
      </w:r>
      <w:r w:rsidR="006B680D" w:rsidRPr="006B680D">
        <w:rPr>
          <w:rFonts w:ascii="Times New Roman" w:eastAsia="DengXian" w:hAnsi="Times New Roman" w:cs="Times New Roman"/>
          <w:color w:val="000000"/>
          <w:sz w:val="24"/>
          <w:szCs w:val="24"/>
        </w:rPr>
        <w:t xml:space="preserve"> normalised version of HHI (HHIN) </w:t>
      </w:r>
      <w:r>
        <w:rPr>
          <w:rFonts w:ascii="Times New Roman" w:eastAsia="DengXian" w:hAnsi="Times New Roman" w:cs="Times New Roman"/>
          <w:color w:val="000000"/>
          <w:sz w:val="24"/>
          <w:szCs w:val="24"/>
        </w:rPr>
        <w:t xml:space="preserve">is applied in this paper </w:t>
      </w:r>
      <w:r w:rsidR="006B680D" w:rsidRPr="006B680D">
        <w:rPr>
          <w:rFonts w:ascii="Times New Roman" w:eastAsia="DengXian" w:hAnsi="Times New Roman" w:cs="Times New Roman"/>
          <w:color w:val="000000"/>
          <w:sz w:val="24"/>
          <w:szCs w:val="24"/>
        </w:rPr>
        <w:t>because the number of nations varies in each edition. The modifie</w:t>
      </w:r>
      <w:r w:rsidR="00B5476C">
        <w:rPr>
          <w:rFonts w:ascii="Times New Roman" w:eastAsia="DengXian" w:hAnsi="Times New Roman" w:cs="Times New Roman"/>
          <w:color w:val="000000"/>
          <w:sz w:val="24"/>
          <w:szCs w:val="24"/>
        </w:rPr>
        <w:t>d HHI formula for an edition is</w:t>
      </w:r>
      <w:r w:rsidR="00A46C60">
        <w:rPr>
          <w:rFonts w:ascii="Times New Roman" w:eastAsia="DengXian" w:hAnsi="Times New Roman" w:cs="Times New Roman"/>
          <w:color w:val="000000"/>
          <w:sz w:val="24"/>
          <w:szCs w:val="24"/>
        </w:rPr>
        <w:t>:</w:t>
      </w:r>
    </w:p>
    <w:p w14:paraId="2289A9DE" w14:textId="77777777" w:rsidR="006B680D" w:rsidRPr="006B680D" w:rsidRDefault="006B680D" w:rsidP="006B680D">
      <w:pPr>
        <w:spacing w:after="0" w:line="480" w:lineRule="auto"/>
        <w:jc w:val="both"/>
        <w:rPr>
          <w:rFonts w:ascii="Times New Roman" w:eastAsia="DengXian" w:hAnsi="Times New Roman" w:cs="Times New Roman"/>
          <w:color w:val="000000"/>
          <w:sz w:val="24"/>
          <w:szCs w:val="24"/>
        </w:rPr>
      </w:pPr>
      <m:oMathPara>
        <m:oMath>
          <m:r>
            <w:rPr>
              <w:rFonts w:ascii="Cambria Math" w:eastAsia="Batang" w:hAnsi="Cambria Math" w:cs="Times New Roman"/>
              <w:color w:val="000000"/>
              <w:sz w:val="24"/>
              <w:szCs w:val="24"/>
              <w:lang w:eastAsia="ko-KR"/>
            </w:rPr>
            <m:t>HHIN</m:t>
          </m:r>
          <m:r>
            <m:rPr>
              <m:sty m:val="p"/>
            </m:rPr>
            <w:rPr>
              <w:rFonts w:ascii="Cambria Math" w:eastAsia="DengXian" w:hAnsi="Cambria Math" w:cs="Times New Roman"/>
              <w:color w:val="000000"/>
              <w:sz w:val="24"/>
              <w:szCs w:val="24"/>
            </w:rPr>
            <m:t>=</m:t>
          </m:r>
          <m:f>
            <m:fPr>
              <m:ctrlPr>
                <w:rPr>
                  <w:rFonts w:ascii="Cambria Math" w:eastAsia="DengXian" w:hAnsi="Cambria Math" w:cs="Times New Roman"/>
                  <w:color w:val="000000"/>
                  <w:sz w:val="24"/>
                  <w:szCs w:val="24"/>
                </w:rPr>
              </m:ctrlPr>
            </m:fPr>
            <m:num>
              <m:r>
                <w:rPr>
                  <w:rFonts w:ascii="Cambria Math" w:eastAsia="DengXian" w:hAnsi="Cambria Math" w:cs="Times New Roman"/>
                  <w:color w:val="000000"/>
                  <w:sz w:val="24"/>
                  <w:szCs w:val="24"/>
                </w:rPr>
                <m:t>(HHI-</m:t>
              </m:r>
              <m:f>
                <m:fPr>
                  <m:ctrlPr>
                    <w:rPr>
                      <w:rFonts w:ascii="Cambria Math" w:eastAsia="DengXian" w:hAnsi="Cambria Math" w:cs="Times New Roman"/>
                      <w:i/>
                      <w:color w:val="000000"/>
                      <w:sz w:val="24"/>
                      <w:szCs w:val="24"/>
                    </w:rPr>
                  </m:ctrlPr>
                </m:fPr>
                <m:num>
                  <m:r>
                    <w:rPr>
                      <w:rFonts w:ascii="Cambria Math" w:eastAsia="DengXian" w:hAnsi="Cambria Math" w:cs="Times New Roman"/>
                      <w:color w:val="000000"/>
                      <w:sz w:val="24"/>
                      <w:szCs w:val="24"/>
                    </w:rPr>
                    <m:t>1</m:t>
                  </m:r>
                </m:num>
                <m:den>
                  <m:r>
                    <w:rPr>
                      <w:rFonts w:ascii="Cambria Math" w:eastAsia="DengXian" w:hAnsi="Cambria Math" w:cs="Times New Roman"/>
                      <w:color w:val="000000"/>
                      <w:sz w:val="24"/>
                      <w:szCs w:val="24"/>
                    </w:rPr>
                    <m:t>N</m:t>
                  </m:r>
                </m:den>
              </m:f>
              <m:r>
                <w:rPr>
                  <w:rFonts w:ascii="Cambria Math" w:eastAsia="DengXian" w:hAnsi="Cambria Math" w:cs="Times New Roman"/>
                  <w:color w:val="000000"/>
                  <w:sz w:val="24"/>
                  <w:szCs w:val="24"/>
                </w:rPr>
                <m:t>)</m:t>
              </m:r>
            </m:num>
            <m:den>
              <m:r>
                <w:rPr>
                  <w:rFonts w:ascii="Cambria Math" w:eastAsia="DengXian" w:hAnsi="Cambria Math" w:cs="Times New Roman"/>
                  <w:color w:val="000000"/>
                  <w:sz w:val="24"/>
                  <w:szCs w:val="24"/>
                </w:rPr>
                <m:t>(1-</m:t>
              </m:r>
              <m:f>
                <m:fPr>
                  <m:ctrlPr>
                    <w:rPr>
                      <w:rFonts w:ascii="Cambria Math" w:eastAsia="DengXian" w:hAnsi="Cambria Math" w:cs="Times New Roman"/>
                      <w:i/>
                      <w:color w:val="000000"/>
                      <w:sz w:val="24"/>
                      <w:szCs w:val="24"/>
                    </w:rPr>
                  </m:ctrlPr>
                </m:fPr>
                <m:num>
                  <m:r>
                    <w:rPr>
                      <w:rFonts w:ascii="Cambria Math" w:eastAsia="DengXian" w:hAnsi="Cambria Math" w:cs="Times New Roman"/>
                      <w:color w:val="000000"/>
                      <w:sz w:val="24"/>
                      <w:szCs w:val="24"/>
                    </w:rPr>
                    <m:t>1</m:t>
                  </m:r>
                </m:num>
                <m:den>
                  <m:r>
                    <w:rPr>
                      <w:rFonts w:ascii="Cambria Math" w:eastAsia="DengXian" w:hAnsi="Cambria Math" w:cs="Times New Roman"/>
                      <w:color w:val="000000"/>
                      <w:sz w:val="24"/>
                      <w:szCs w:val="24"/>
                    </w:rPr>
                    <m:t>N</m:t>
                  </m:r>
                </m:den>
              </m:f>
              <m:r>
                <w:rPr>
                  <w:rFonts w:ascii="Cambria Math" w:eastAsia="DengXian" w:hAnsi="Cambria Math" w:cs="Times New Roman"/>
                  <w:color w:val="000000"/>
                  <w:sz w:val="24"/>
                  <w:szCs w:val="24"/>
                </w:rPr>
                <m:t>)</m:t>
              </m:r>
            </m:den>
          </m:f>
        </m:oMath>
      </m:oMathPara>
    </w:p>
    <w:p w14:paraId="6DD49DA6" w14:textId="77777777" w:rsidR="00424EE5" w:rsidRDefault="00424EE5" w:rsidP="006B680D">
      <w:pPr>
        <w:spacing w:after="0" w:line="480" w:lineRule="auto"/>
        <w:jc w:val="both"/>
        <w:rPr>
          <w:rFonts w:ascii="Times New Roman" w:eastAsia="DengXian" w:hAnsi="Times New Roman" w:cs="Times New Roman"/>
          <w:color w:val="000000"/>
          <w:sz w:val="24"/>
          <w:szCs w:val="24"/>
        </w:rPr>
      </w:pPr>
    </w:p>
    <w:p w14:paraId="164663CC" w14:textId="77777777" w:rsidR="006B680D" w:rsidRPr="006B680D" w:rsidRDefault="006B680D" w:rsidP="006B680D">
      <w:pPr>
        <w:spacing w:after="0" w:line="480" w:lineRule="auto"/>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In this study, N stands for the number of all participating nations, irrespective of the performance/non-performance distinction. The underlying premise is that every participating nation is eligible to win a medal as long as they are represented at the Olympic Games or World Championships (</w:t>
      </w:r>
      <w:r w:rsidRPr="006B680D">
        <w:rPr>
          <w:rFonts w:ascii="Times New Roman" w:eastAsia="DengXian" w:hAnsi="Times New Roman" w:cs="Times New Roman"/>
          <w:bCs/>
          <w:color w:val="000000"/>
          <w:sz w:val="24"/>
          <w:szCs w:val="24"/>
        </w:rPr>
        <w:t>Forrest, et al, 2016)</w:t>
      </w:r>
      <w:r w:rsidRPr="006B680D">
        <w:rPr>
          <w:rFonts w:ascii="Times New Roman" w:eastAsia="DengXian" w:hAnsi="Times New Roman" w:cs="Times New Roman"/>
          <w:color w:val="FF0000"/>
          <w:sz w:val="24"/>
          <w:szCs w:val="24"/>
        </w:rPr>
        <w:t xml:space="preserve">. </w:t>
      </w:r>
      <w:r w:rsidRPr="006B680D">
        <w:rPr>
          <w:rFonts w:ascii="Times New Roman" w:eastAsia="DengXian" w:hAnsi="Times New Roman" w:cs="Times New Roman"/>
          <w:color w:val="000000"/>
          <w:sz w:val="24"/>
          <w:szCs w:val="24"/>
          <w:highlight w:val="yellow"/>
        </w:rPr>
        <w:t>HHIN is calculated using each of the four performance indicators for overall, male and female competitions, applicable to all specific editions.</w:t>
      </w:r>
      <w:r w:rsidRPr="006B680D">
        <w:rPr>
          <w:rFonts w:ascii="Times New Roman" w:eastAsia="DengXian" w:hAnsi="Times New Roman" w:cs="Times New Roman"/>
          <w:color w:val="000000"/>
          <w:sz w:val="24"/>
          <w:szCs w:val="24"/>
        </w:rPr>
        <w:t xml:space="preserve"> </w:t>
      </w:r>
    </w:p>
    <w:p w14:paraId="256F3ACA" w14:textId="19E1511A" w:rsidR="006B680D" w:rsidRPr="006B680D" w:rsidRDefault="006B680D" w:rsidP="006B680D">
      <w:pPr>
        <w:spacing w:after="0" w:line="480" w:lineRule="auto"/>
        <w:ind w:firstLine="706"/>
        <w:jc w:val="both"/>
        <w:rPr>
          <w:rFonts w:ascii="Times New Roman" w:eastAsia="DengXian" w:hAnsi="Times New Roman" w:cs="Times New Roman"/>
          <w:color w:val="000000"/>
          <w:sz w:val="24"/>
          <w:szCs w:val="24"/>
        </w:rPr>
      </w:pPr>
      <w:r w:rsidRPr="006B680D">
        <w:rPr>
          <w:rFonts w:ascii="Times New Roman" w:eastAsia="DengXian" w:hAnsi="Times New Roman" w:cs="Times New Roman"/>
          <w:b/>
          <w:i/>
          <w:color w:val="000000"/>
          <w:sz w:val="24"/>
          <w:szCs w:val="24"/>
        </w:rPr>
        <w:t>Coefficient of variation</w:t>
      </w:r>
      <w:r w:rsidRPr="006B680D">
        <w:rPr>
          <w:rFonts w:ascii="Times New Roman" w:eastAsia="DengXian" w:hAnsi="Times New Roman" w:cs="Times New Roman"/>
          <w:b/>
          <w:color w:val="000000"/>
          <w:sz w:val="24"/>
          <w:szCs w:val="24"/>
        </w:rPr>
        <w:t>.</w:t>
      </w:r>
      <w:r w:rsidRPr="006B680D">
        <w:rPr>
          <w:rFonts w:ascii="Times New Roman" w:eastAsia="DengXian" w:hAnsi="Times New Roman" w:cs="Times New Roman"/>
          <w:color w:val="000000"/>
          <w:sz w:val="24"/>
          <w:szCs w:val="24"/>
        </w:rPr>
        <w:t xml:space="preserve"> CV is a standardised measure of data dispersion defined as the ratio of standard deviation to the mean. </w:t>
      </w:r>
      <w:r w:rsidRPr="006B680D">
        <w:rPr>
          <w:rFonts w:ascii="Times New Roman" w:eastAsia="DengXian" w:hAnsi="Times New Roman" w:cs="Times New Roman"/>
          <w:color w:val="000000"/>
          <w:sz w:val="24"/>
          <w:szCs w:val="24"/>
          <w:highlight w:val="yellow"/>
        </w:rPr>
        <w:t xml:space="preserve">CV has been used to measure the competitive balance of </w:t>
      </w:r>
      <w:r w:rsidRPr="006B680D">
        <w:rPr>
          <w:rFonts w:ascii="Times New Roman" w:eastAsia="DengXian" w:hAnsi="Times New Roman" w:cs="Times New Roman"/>
          <w:noProof/>
          <w:color w:val="000000"/>
          <w:sz w:val="24"/>
          <w:szCs w:val="24"/>
          <w:highlight w:val="yellow"/>
        </w:rPr>
        <w:t>the Commonwealth Games between 1930 and 2010 (Ramchandani &amp; Wilson, 2011) and athletics at the World Championships and the Olympic Games between 2000 and 2015 (Truyens et al., 2016).</w:t>
      </w:r>
      <w:r w:rsidRPr="006B680D">
        <w:rPr>
          <w:rFonts w:ascii="Times New Roman" w:eastAsia="DengXian" w:hAnsi="Times New Roman" w:cs="Times New Roman"/>
          <w:noProof/>
          <w:color w:val="000000"/>
          <w:sz w:val="24"/>
          <w:szCs w:val="24"/>
        </w:rPr>
        <w:t xml:space="preserve"> CV </w:t>
      </w:r>
      <w:r w:rsidRPr="006B680D">
        <w:rPr>
          <w:rFonts w:ascii="Times New Roman" w:eastAsia="DengXian" w:hAnsi="Times New Roman" w:cs="Times New Roman"/>
          <w:color w:val="000000"/>
          <w:sz w:val="24"/>
          <w:szCs w:val="24"/>
        </w:rPr>
        <w:t xml:space="preserve">is simply calculated by dividing the standard deviation of data by its mean. In </w:t>
      </w:r>
      <w:r w:rsidR="00E5450D">
        <w:rPr>
          <w:rFonts w:ascii="Times New Roman" w:eastAsia="DengXian" w:hAnsi="Times New Roman" w:cs="Times New Roman"/>
          <w:color w:val="000000"/>
          <w:sz w:val="24"/>
          <w:szCs w:val="24"/>
        </w:rPr>
        <w:t>this</w:t>
      </w:r>
      <w:r w:rsidRPr="006B680D">
        <w:rPr>
          <w:rFonts w:ascii="Times New Roman" w:eastAsia="DengXian" w:hAnsi="Times New Roman" w:cs="Times New Roman"/>
          <w:color w:val="000000"/>
          <w:sz w:val="24"/>
          <w:szCs w:val="24"/>
        </w:rPr>
        <w:t xml:space="preserve"> study, the N to calculate the mean refers to all participating nations, consistent with the </w:t>
      </w:r>
      <w:r w:rsidRPr="006B680D">
        <w:rPr>
          <w:rFonts w:ascii="Times New Roman" w:eastAsia="DengXian" w:hAnsi="Times New Roman" w:cs="Times New Roman"/>
          <w:bCs/>
          <w:color w:val="000000"/>
          <w:sz w:val="24"/>
          <w:szCs w:val="24"/>
        </w:rPr>
        <w:t>HHIN</w:t>
      </w:r>
      <w:r w:rsidRPr="006B680D">
        <w:rPr>
          <w:rFonts w:ascii="Times New Roman" w:eastAsia="DengXian" w:hAnsi="Times New Roman" w:cs="Times New Roman"/>
          <w:color w:val="000000"/>
          <w:sz w:val="24"/>
          <w:szCs w:val="24"/>
        </w:rPr>
        <w:t>. A low CV indicates a clustering of data around the mean (i.e. equality amongst nations and hence competitive balance). A CV is calculated for all four performance measures – gold medals won, medals won, medal points and top eight points.</w:t>
      </w:r>
      <w:r w:rsidRPr="006B680D" w:rsidDel="00CF1BFC">
        <w:rPr>
          <w:rFonts w:ascii="Times New Roman" w:eastAsia="DengXian" w:hAnsi="Times New Roman" w:cs="Times New Roman"/>
          <w:color w:val="000000"/>
          <w:sz w:val="24"/>
          <w:szCs w:val="24"/>
        </w:rPr>
        <w:t xml:space="preserve"> </w:t>
      </w:r>
      <w:r w:rsidRPr="006B680D">
        <w:rPr>
          <w:rFonts w:ascii="Times New Roman" w:eastAsia="DengXian" w:hAnsi="Times New Roman" w:cs="Times New Roman"/>
          <w:color w:val="000000"/>
          <w:sz w:val="24"/>
          <w:szCs w:val="24"/>
          <w:highlight w:val="yellow"/>
        </w:rPr>
        <w:t>Consistent with HHIN, CV calculation is also applied to overall, male and female competitions for all editions included.</w:t>
      </w:r>
      <w:r w:rsidRPr="006B680D">
        <w:rPr>
          <w:rFonts w:ascii="Times New Roman" w:eastAsia="DengXian" w:hAnsi="Times New Roman" w:cs="Times New Roman"/>
          <w:color w:val="000000"/>
          <w:sz w:val="24"/>
          <w:szCs w:val="24"/>
        </w:rPr>
        <w:t xml:space="preserve"> </w:t>
      </w:r>
    </w:p>
    <w:p w14:paraId="372F1B45" w14:textId="77777777" w:rsidR="006B680D" w:rsidRPr="006B680D" w:rsidRDefault="006B680D" w:rsidP="006B680D">
      <w:pPr>
        <w:spacing w:after="0" w:line="480" w:lineRule="auto"/>
        <w:ind w:firstLine="706"/>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The descriptive analysis of the distribution of success amongst nations is conducted using Microsoft Excel. Given the non-parametric nature of the data, a two-tailed Spearman rank-order correlation </w:t>
      </w:r>
      <w:r w:rsidRPr="006B680D">
        <w:rPr>
          <w:rFonts w:ascii="Times New Roman" w:eastAsia="DengXian" w:hAnsi="Times New Roman" w:cs="Times New Roman"/>
          <w:color w:val="000000"/>
          <w:sz w:val="24"/>
          <w:szCs w:val="24"/>
          <w:highlight w:val="yellow"/>
        </w:rPr>
        <w:t>between each performance indicator and the passage of time/edition</w:t>
      </w:r>
      <w:r w:rsidRPr="006B680D">
        <w:rPr>
          <w:rFonts w:ascii="Times New Roman" w:eastAsia="DengXian" w:hAnsi="Times New Roman" w:cs="Times New Roman"/>
          <w:color w:val="000000"/>
          <w:sz w:val="24"/>
          <w:szCs w:val="24"/>
        </w:rPr>
        <w:t xml:space="preserve"> determined the strength and direction of the competitive balance trends. The </w:t>
      </w:r>
      <w:r w:rsidRPr="003C2E37">
        <w:rPr>
          <w:rFonts w:ascii="Times New Roman" w:eastAsia="DengXian" w:hAnsi="Times New Roman" w:cs="Times New Roman"/>
          <w:i/>
          <w:color w:val="000000"/>
          <w:sz w:val="24"/>
          <w:szCs w:val="24"/>
        </w:rPr>
        <w:t>p</w:t>
      </w:r>
      <w:r w:rsidRPr="006B680D">
        <w:rPr>
          <w:rFonts w:ascii="Times New Roman" w:eastAsia="DengXian" w:hAnsi="Times New Roman" w:cs="Times New Roman"/>
          <w:color w:val="000000"/>
          <w:sz w:val="24"/>
          <w:szCs w:val="24"/>
        </w:rPr>
        <w:t>-level for the</w:t>
      </w:r>
      <w:r w:rsidRPr="006B680D">
        <w:rPr>
          <w:rFonts w:ascii="Times New Roman" w:eastAsia="DengXian" w:hAnsi="Times New Roman" w:cs="Times New Roman"/>
          <w:color w:val="000000"/>
          <w:sz w:val="24"/>
          <w:szCs w:val="24"/>
          <w:highlight w:val="yellow"/>
        </w:rPr>
        <w:t xml:space="preserve"> Spearman correlation was set at 0.05.</w:t>
      </w:r>
      <w:r w:rsidRPr="006B680D">
        <w:rPr>
          <w:rFonts w:ascii="Times New Roman" w:eastAsia="DengXian" w:hAnsi="Times New Roman" w:cs="Times New Roman"/>
          <w:color w:val="000000"/>
          <w:sz w:val="24"/>
          <w:szCs w:val="24"/>
        </w:rPr>
        <w:t xml:space="preserve">  This analysis was conducted using SPSS (Version 24). </w:t>
      </w:r>
    </w:p>
    <w:p w14:paraId="2535EF46" w14:textId="77777777" w:rsidR="006B680D" w:rsidRPr="006B680D" w:rsidRDefault="006B680D" w:rsidP="006B680D">
      <w:pPr>
        <w:spacing w:after="0" w:line="480" w:lineRule="auto"/>
        <w:jc w:val="both"/>
        <w:rPr>
          <w:rFonts w:ascii="Times New Roman" w:eastAsia="DengXian" w:hAnsi="Times New Roman" w:cs="Times New Roman"/>
          <w:color w:val="000000"/>
          <w:sz w:val="24"/>
          <w:szCs w:val="24"/>
        </w:rPr>
      </w:pPr>
    </w:p>
    <w:p w14:paraId="212915AA" w14:textId="77777777" w:rsidR="006B680D" w:rsidRPr="006B680D" w:rsidRDefault="006B680D" w:rsidP="006B680D">
      <w:pPr>
        <w:spacing w:after="0" w:line="480" w:lineRule="auto"/>
        <w:jc w:val="both"/>
        <w:rPr>
          <w:rFonts w:ascii="Times New Roman" w:eastAsia="DengXian" w:hAnsi="Times New Roman" w:cs="Times New Roman"/>
          <w:color w:val="000000"/>
          <w:sz w:val="24"/>
          <w:szCs w:val="24"/>
        </w:rPr>
      </w:pPr>
      <w:r w:rsidRPr="006B680D">
        <w:rPr>
          <w:rFonts w:ascii="Times New Roman" w:eastAsia="DengXian" w:hAnsi="Times New Roman" w:cs="Times New Roman"/>
          <w:b/>
          <w:color w:val="000000"/>
          <w:sz w:val="24"/>
          <w:szCs w:val="24"/>
        </w:rPr>
        <w:t>Results</w:t>
      </w:r>
    </w:p>
    <w:p w14:paraId="4030EE4E" w14:textId="77777777" w:rsidR="006B680D" w:rsidRPr="006B680D" w:rsidRDefault="006B680D" w:rsidP="006B680D">
      <w:pPr>
        <w:spacing w:after="0" w:line="480" w:lineRule="auto"/>
        <w:jc w:val="both"/>
        <w:outlineLvl w:val="0"/>
        <w:rPr>
          <w:rFonts w:ascii="Times New Roman" w:eastAsia="SimSun" w:hAnsi="Times New Roman" w:cs="Times New Roman"/>
          <w:b/>
          <w:i/>
          <w:sz w:val="24"/>
          <w:szCs w:val="24"/>
        </w:rPr>
      </w:pPr>
      <w:r w:rsidRPr="006B680D">
        <w:rPr>
          <w:rFonts w:ascii="Times New Roman" w:eastAsia="SimSun" w:hAnsi="Times New Roman" w:cs="Times New Roman"/>
          <w:b/>
          <w:i/>
          <w:sz w:val="24"/>
          <w:szCs w:val="24"/>
        </w:rPr>
        <w:t>Top 10 nations’ dominance: All editions combined</w:t>
      </w:r>
    </w:p>
    <w:p w14:paraId="3032EE1E" w14:textId="463648C6" w:rsidR="006B680D" w:rsidRPr="006B680D" w:rsidRDefault="006B680D" w:rsidP="006B680D">
      <w:pPr>
        <w:spacing w:after="0" w:line="480" w:lineRule="auto"/>
        <w:contextualSpacing/>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Descriptive analyses on the number of gold medals, medals, medal points and top eight points won between 1988 and 2016 demonstrate that Olympic success is concentrated in only a very small number of nations (see Table 1). From the 32 gold medals awarded at the eight Olympic Games, 28 (87.5%) have been awarded to China, three (9.4%) to South Korea, and one (3.1%) to Sweden. The </w:t>
      </w:r>
      <w:r w:rsidRPr="006B680D">
        <w:rPr>
          <w:rFonts w:ascii="Times New Roman" w:eastAsia="DengXian" w:hAnsi="Times New Roman" w:cs="Times New Roman"/>
          <w:color w:val="000000"/>
          <w:sz w:val="24"/>
          <w:szCs w:val="24"/>
          <w:highlight w:val="yellow"/>
        </w:rPr>
        <w:t xml:space="preserve">ten most successful nations, measured by top </w:t>
      </w:r>
      <w:r w:rsidR="00E5450D">
        <w:rPr>
          <w:rFonts w:ascii="Times New Roman" w:eastAsia="DengXian" w:hAnsi="Times New Roman" w:cs="Times New Roman"/>
          <w:color w:val="000000"/>
          <w:sz w:val="24"/>
          <w:szCs w:val="24"/>
          <w:highlight w:val="yellow"/>
        </w:rPr>
        <w:t>eight</w:t>
      </w:r>
      <w:r w:rsidRPr="006B680D">
        <w:rPr>
          <w:rFonts w:ascii="Times New Roman" w:eastAsia="DengXian" w:hAnsi="Times New Roman" w:cs="Times New Roman"/>
          <w:color w:val="000000"/>
          <w:sz w:val="24"/>
          <w:szCs w:val="24"/>
          <w:highlight w:val="yellow"/>
        </w:rPr>
        <w:t xml:space="preserve"> points won by each nation across all eight Olympic Games,</w:t>
      </w:r>
      <w:r w:rsidRPr="006B680D">
        <w:rPr>
          <w:rFonts w:ascii="Times New Roman" w:eastAsia="DengXian" w:hAnsi="Times New Roman" w:cs="Times New Roman"/>
          <w:color w:val="000000"/>
          <w:sz w:val="24"/>
          <w:szCs w:val="24"/>
        </w:rPr>
        <w:t xml:space="preserve"> won 95.0% of all Olympic medals and 96.4% of all medal points. With 53 medals and 126 medal points, China accounts for over half of the medals and medal points won. Top 10 nations’ proportion of top eight points is notably lower than medal-related indicators, but remains high. China has a dominant share of top eight points, </w:t>
      </w:r>
      <w:r w:rsidRPr="006B680D">
        <w:rPr>
          <w:rFonts w:ascii="Times New Roman" w:eastAsia="DengXian" w:hAnsi="Times New Roman" w:cs="Times New Roman"/>
          <w:color w:val="000000"/>
          <w:sz w:val="24"/>
          <w:szCs w:val="24"/>
          <w:highlight w:val="yellow"/>
        </w:rPr>
        <w:t>but this is less than the medal indicators</w:t>
      </w:r>
      <w:r w:rsidRPr="006B680D">
        <w:rPr>
          <w:rFonts w:ascii="Times New Roman" w:eastAsia="DengXian" w:hAnsi="Times New Roman" w:cs="Times New Roman"/>
          <w:color w:val="000000"/>
          <w:sz w:val="24"/>
          <w:szCs w:val="24"/>
        </w:rPr>
        <w:t xml:space="preserve">. </w:t>
      </w:r>
      <w:r w:rsidRPr="006B680D">
        <w:rPr>
          <w:rFonts w:ascii="Times New Roman" w:eastAsia="DengXian" w:hAnsi="Times New Roman" w:cs="Times New Roman"/>
          <w:color w:val="000000"/>
          <w:sz w:val="24"/>
          <w:szCs w:val="24"/>
          <w:highlight w:val="yellow"/>
        </w:rPr>
        <w:t>This is perhaps not surprising because of the strict limit on the number of athletes that each nation can send to Olympic table tennis competitions. Prior to London 2012, a maximum of three athletes from same nation could participate in the men’s and women’s singles event. At London 2012 and Rio 2016, the number was reduced to only two.</w:t>
      </w:r>
      <w:r w:rsidRPr="006B680D">
        <w:rPr>
          <w:rFonts w:ascii="Times New Roman" w:eastAsia="DengXian" w:hAnsi="Times New Roman" w:cs="Times New Roman"/>
          <w:color w:val="000000"/>
          <w:sz w:val="24"/>
          <w:szCs w:val="24"/>
        </w:rPr>
        <w:t xml:space="preserve"> Concerning top eight points, Chinese women are slightly more dominant than their male counterparts. It is also evident that Eastern Asian nations, including China, South Korea, Japan, North Korea, Hong Kong and Chinese Taipei have won the vast majority of gold medals, medals, medal points and top eight points. </w:t>
      </w:r>
    </w:p>
    <w:p w14:paraId="2CE5CF30" w14:textId="77777777" w:rsidR="006B680D" w:rsidRPr="006B680D" w:rsidRDefault="006B680D" w:rsidP="006B680D">
      <w:pPr>
        <w:spacing w:after="0" w:line="480" w:lineRule="auto"/>
        <w:contextualSpacing/>
        <w:jc w:val="both"/>
        <w:rPr>
          <w:rFonts w:ascii="Times New Roman" w:eastAsia="DengXian" w:hAnsi="Times New Roman" w:cs="Times New Roman"/>
          <w:color w:val="000000"/>
          <w:sz w:val="24"/>
          <w:szCs w:val="24"/>
        </w:rPr>
      </w:pPr>
    </w:p>
    <w:p w14:paraId="074A398F" w14:textId="77777777" w:rsidR="006B680D" w:rsidRPr="006B680D" w:rsidRDefault="006B680D" w:rsidP="006B680D">
      <w:pPr>
        <w:spacing w:after="0" w:line="480" w:lineRule="auto"/>
        <w:contextualSpacing/>
        <w:jc w:val="center"/>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Table 1 near here****</w:t>
      </w:r>
    </w:p>
    <w:p w14:paraId="458EE39D" w14:textId="77777777" w:rsidR="006B680D" w:rsidRPr="006B680D" w:rsidRDefault="006B680D" w:rsidP="006B680D">
      <w:pPr>
        <w:spacing w:after="0" w:line="480" w:lineRule="auto"/>
        <w:contextualSpacing/>
        <w:jc w:val="center"/>
        <w:rPr>
          <w:rFonts w:ascii="Times New Roman" w:eastAsia="DengXian" w:hAnsi="Times New Roman" w:cs="Times New Roman"/>
          <w:color w:val="000000"/>
          <w:sz w:val="24"/>
          <w:szCs w:val="24"/>
        </w:rPr>
      </w:pPr>
    </w:p>
    <w:p w14:paraId="15BECE83" w14:textId="77777777" w:rsidR="006B680D" w:rsidRPr="006B680D" w:rsidRDefault="006B680D" w:rsidP="006B680D">
      <w:pPr>
        <w:spacing w:after="0" w:line="480" w:lineRule="auto"/>
        <w:ind w:firstLine="706"/>
        <w:contextualSpacing/>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Similar outcomes are evident at the World Championships (See Table 2). China again dominates the market for gold medals, medals, medal points and top eight points. China has won just over 80% of gold medals, their share of the medal market is just under 60% (compared to 53% at the Olympics), accounts for two-thirds of the available medal points and nearly half of the top eight points. </w:t>
      </w:r>
      <w:r w:rsidRPr="006B680D">
        <w:rPr>
          <w:rFonts w:ascii="Times New Roman" w:eastAsia="DengXian" w:hAnsi="Times New Roman" w:cs="Times New Roman"/>
          <w:color w:val="000000"/>
          <w:sz w:val="24"/>
          <w:szCs w:val="24"/>
          <w:highlight w:val="yellow"/>
        </w:rPr>
        <w:t xml:space="preserve">China’s share of top eight points is notably higher at the World Championship (46.38%) compared to the Olympic Games (35.41%). This is likely a consequence of China’s ability to send more athletes to the non-team events at the World Championships compared to </w:t>
      </w:r>
      <w:r w:rsidRPr="006B680D">
        <w:rPr>
          <w:rFonts w:ascii="Times New Roman" w:eastAsia="DengXian" w:hAnsi="Times New Roman" w:cs="Times New Roman"/>
          <w:color w:val="000000"/>
          <w:sz w:val="24"/>
          <w:szCs w:val="24"/>
        </w:rPr>
        <w:t xml:space="preserve">the Olympic Games. </w:t>
      </w:r>
      <w:r w:rsidRPr="006B680D">
        <w:rPr>
          <w:rFonts w:ascii="Times New Roman" w:eastAsia="DengXian" w:hAnsi="Times New Roman" w:cs="Times New Roman"/>
          <w:color w:val="000000"/>
          <w:sz w:val="24"/>
          <w:szCs w:val="24"/>
          <w:highlight w:val="yellow"/>
        </w:rPr>
        <w:t>For example, Chinese players in mixed doubles at Eindhoven 1999 won all of the top eight places and seven Chinese players reached the quarter-finals (i.e., top eight places) in women’s individuals at the Rotterdam 2011 World Championships. This degree of dominance of quarter-final places would be impossible at the Olympic Games.</w:t>
      </w:r>
      <w:r w:rsidRPr="006B680D">
        <w:rPr>
          <w:rFonts w:ascii="Times New Roman" w:eastAsia="DengXian" w:hAnsi="Times New Roman" w:cs="Times New Roman"/>
          <w:color w:val="000000"/>
          <w:sz w:val="24"/>
          <w:szCs w:val="24"/>
        </w:rPr>
        <w:t xml:space="preserve"> </w:t>
      </w:r>
    </w:p>
    <w:p w14:paraId="54052E36" w14:textId="77777777" w:rsidR="006B680D" w:rsidRPr="006B680D" w:rsidRDefault="006B680D" w:rsidP="006B680D">
      <w:pPr>
        <w:spacing w:after="0" w:line="480" w:lineRule="auto"/>
        <w:ind w:firstLine="706"/>
        <w:contextualSpacing/>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The top 10 nations have won 92.1% of all World Championship medals, 93.5% of all medal points, and had a combined top eight point market share of 85.5%. Chinese women at the World Championships again outperform their male compatriots in terms of their share of top eight points.</w:t>
      </w:r>
    </w:p>
    <w:p w14:paraId="65CAB76A" w14:textId="77777777" w:rsidR="006B680D" w:rsidRPr="006B680D" w:rsidRDefault="006B680D" w:rsidP="006B680D">
      <w:pPr>
        <w:spacing w:after="0" w:line="480" w:lineRule="auto"/>
        <w:ind w:firstLine="706"/>
        <w:contextualSpacing/>
        <w:jc w:val="both"/>
        <w:rPr>
          <w:rFonts w:ascii="Times New Roman" w:eastAsia="DengXian" w:hAnsi="Times New Roman" w:cs="Times New Roman"/>
          <w:color w:val="000000"/>
          <w:sz w:val="24"/>
          <w:szCs w:val="24"/>
        </w:rPr>
      </w:pPr>
    </w:p>
    <w:p w14:paraId="2CEB49A1" w14:textId="77777777" w:rsidR="006B680D" w:rsidRPr="006B680D" w:rsidRDefault="006B680D" w:rsidP="006B680D">
      <w:pPr>
        <w:spacing w:after="0" w:line="480" w:lineRule="auto"/>
        <w:jc w:val="center"/>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Table 2 near here****</w:t>
      </w:r>
    </w:p>
    <w:p w14:paraId="59748372" w14:textId="77777777" w:rsidR="006B680D" w:rsidRPr="006B680D" w:rsidRDefault="006B680D" w:rsidP="006B680D">
      <w:pPr>
        <w:spacing w:after="0" w:line="480" w:lineRule="auto"/>
        <w:ind w:firstLine="706"/>
        <w:jc w:val="both"/>
        <w:rPr>
          <w:rFonts w:ascii="Times New Roman" w:eastAsia="DengXian" w:hAnsi="Times New Roman" w:cs="Times New Roman"/>
          <w:color w:val="000000"/>
          <w:sz w:val="24"/>
          <w:szCs w:val="24"/>
        </w:rPr>
      </w:pPr>
    </w:p>
    <w:p w14:paraId="65E3A413" w14:textId="77777777" w:rsidR="006B680D" w:rsidRPr="006B680D" w:rsidRDefault="006B680D" w:rsidP="006B680D">
      <w:pPr>
        <w:spacing w:after="0" w:line="480" w:lineRule="auto"/>
        <w:ind w:firstLine="706"/>
        <w:jc w:val="both"/>
        <w:rPr>
          <w:rFonts w:ascii="Times New Roman" w:eastAsia="DengXian" w:hAnsi="Times New Roman" w:cs="Times New Roman"/>
          <w:color w:val="000000"/>
          <w:sz w:val="24"/>
          <w:szCs w:val="24"/>
        </w:rPr>
      </w:pPr>
      <w:r w:rsidRPr="006B680D">
        <w:rPr>
          <w:rFonts w:ascii="Times New Roman" w:eastAsia="DengXian" w:hAnsi="Times New Roman" w:cs="Times New Roman"/>
          <w:color w:val="000000"/>
          <w:sz w:val="24"/>
          <w:szCs w:val="24"/>
        </w:rPr>
        <w:t xml:space="preserve"> In summary, China dominates both the Olympic Games and the World Championships across all performance indicators. The top 10 nations, mostly Eastern Asian nations, account for the vast majority of success at both events. Chinese women are slightly more dominant than the Chinese men.  </w:t>
      </w:r>
    </w:p>
    <w:p w14:paraId="319C0031" w14:textId="77777777" w:rsidR="004A3F53" w:rsidRDefault="004A3F53" w:rsidP="00C201D1">
      <w:pPr>
        <w:spacing w:after="0" w:line="480" w:lineRule="auto"/>
        <w:ind w:firstLine="706"/>
        <w:jc w:val="both"/>
        <w:rPr>
          <w:rFonts w:ascii="Times New Roman" w:hAnsi="Times New Roman" w:cs="Times New Roman"/>
          <w:color w:val="000000" w:themeColor="text1"/>
          <w:sz w:val="24"/>
          <w:szCs w:val="24"/>
        </w:rPr>
      </w:pPr>
    </w:p>
    <w:p w14:paraId="48C02713" w14:textId="0BA5CB13" w:rsidR="004A3F53" w:rsidRPr="000E597D" w:rsidRDefault="004A3F53" w:rsidP="004A3F53">
      <w:pPr>
        <w:spacing w:after="0" w:line="480" w:lineRule="auto"/>
        <w:jc w:val="both"/>
        <w:rPr>
          <w:rFonts w:ascii="Times New Roman" w:hAnsi="Times New Roman" w:cs="Times New Roman"/>
          <w:b/>
          <w:i/>
          <w:color w:val="000000" w:themeColor="text1"/>
          <w:sz w:val="24"/>
          <w:szCs w:val="24"/>
        </w:rPr>
      </w:pPr>
      <w:r w:rsidRPr="0058056A">
        <w:rPr>
          <w:rFonts w:ascii="Times New Roman" w:hAnsi="Times New Roman" w:cs="Times New Roman"/>
          <w:b/>
          <w:i/>
          <w:color w:val="000000" w:themeColor="text1"/>
          <w:sz w:val="24"/>
          <w:szCs w:val="24"/>
          <w:highlight w:val="yellow"/>
        </w:rPr>
        <w:t>Edition-specific results of competitive balance</w:t>
      </w:r>
    </w:p>
    <w:p w14:paraId="4E0FBDC1" w14:textId="0087176B" w:rsidR="004A3F53" w:rsidRPr="00E67761" w:rsidRDefault="004A3F53" w:rsidP="007F370A">
      <w:pPr>
        <w:spacing w:after="0" w:line="480" w:lineRule="auto"/>
        <w:jc w:val="both"/>
        <w:rPr>
          <w:rFonts w:ascii="Times New Roman" w:hAnsi="Times New Roman" w:cs="Times New Roman"/>
          <w:color w:val="000000" w:themeColor="text1"/>
          <w:sz w:val="24"/>
          <w:szCs w:val="24"/>
          <w:highlight w:val="yellow"/>
        </w:rPr>
      </w:pPr>
      <w:r w:rsidRPr="00E67761">
        <w:rPr>
          <w:rFonts w:ascii="Times New Roman" w:hAnsi="Times New Roman" w:cs="Times New Roman"/>
          <w:color w:val="000000" w:themeColor="text1"/>
          <w:sz w:val="24"/>
          <w:szCs w:val="24"/>
          <w:highlight w:val="yellow"/>
        </w:rPr>
        <w:t xml:space="preserve">Table 3 </w:t>
      </w:r>
      <w:r w:rsidR="000E597D" w:rsidRPr="00E67761">
        <w:rPr>
          <w:rFonts w:ascii="Times New Roman" w:hAnsi="Times New Roman" w:cs="Times New Roman"/>
          <w:color w:val="000000" w:themeColor="text1"/>
          <w:sz w:val="24"/>
          <w:szCs w:val="24"/>
          <w:highlight w:val="yellow"/>
        </w:rPr>
        <w:t>and Table 4 display</w:t>
      </w:r>
      <w:r w:rsidRPr="00E67761">
        <w:rPr>
          <w:rFonts w:ascii="Times New Roman" w:hAnsi="Times New Roman" w:cs="Times New Roman"/>
          <w:color w:val="000000" w:themeColor="text1"/>
          <w:sz w:val="24"/>
          <w:szCs w:val="24"/>
          <w:highlight w:val="yellow"/>
        </w:rPr>
        <w:t xml:space="preserve"> the HHIN and CV indicators for gold medals, medals, medal points and top eight points at the Olympic Games</w:t>
      </w:r>
      <w:r w:rsidR="000E597D" w:rsidRPr="00E67761">
        <w:rPr>
          <w:rFonts w:ascii="Times New Roman" w:hAnsi="Times New Roman" w:cs="Times New Roman"/>
          <w:color w:val="000000" w:themeColor="text1"/>
          <w:sz w:val="24"/>
          <w:szCs w:val="24"/>
          <w:highlight w:val="yellow"/>
        </w:rPr>
        <w:t xml:space="preserve"> and the World Championships respectively</w:t>
      </w:r>
      <w:r w:rsidRPr="00E67761">
        <w:rPr>
          <w:rFonts w:ascii="Times New Roman" w:hAnsi="Times New Roman" w:cs="Times New Roman"/>
          <w:color w:val="000000" w:themeColor="text1"/>
          <w:sz w:val="24"/>
          <w:szCs w:val="24"/>
          <w:highlight w:val="yellow"/>
        </w:rPr>
        <w:t xml:space="preserve">. The gold medal distribution for female competitions is monopolistic (i.e., HHIN = 1) at seven of the eight </w:t>
      </w:r>
      <w:r w:rsidR="000E597D" w:rsidRPr="00E67761">
        <w:rPr>
          <w:rFonts w:ascii="Times New Roman" w:hAnsi="Times New Roman" w:cs="Times New Roman"/>
          <w:color w:val="000000" w:themeColor="text1"/>
          <w:sz w:val="24"/>
          <w:szCs w:val="24"/>
          <w:highlight w:val="yellow"/>
        </w:rPr>
        <w:t xml:space="preserve">Olympic </w:t>
      </w:r>
      <w:r w:rsidRPr="00E67761">
        <w:rPr>
          <w:rFonts w:ascii="Times New Roman" w:hAnsi="Times New Roman" w:cs="Times New Roman"/>
          <w:color w:val="000000" w:themeColor="text1"/>
          <w:sz w:val="24"/>
          <w:szCs w:val="24"/>
          <w:highlight w:val="yellow"/>
        </w:rPr>
        <w:t>editions and for five editions for male competitions.</w:t>
      </w:r>
      <w:r w:rsidR="000E597D" w:rsidRPr="00E67761">
        <w:rPr>
          <w:rFonts w:ascii="Times New Roman" w:hAnsi="Times New Roman" w:cs="Times New Roman"/>
          <w:color w:val="000000" w:themeColor="text1"/>
          <w:sz w:val="24"/>
          <w:szCs w:val="24"/>
          <w:highlight w:val="yellow"/>
        </w:rPr>
        <w:t xml:space="preserve"> In the case of the World Championships, HHIN </w:t>
      </w:r>
      <w:r w:rsidR="005D5DBD">
        <w:rPr>
          <w:rFonts w:ascii="Times New Roman" w:hAnsi="Times New Roman" w:cs="Times New Roman"/>
          <w:color w:val="000000" w:themeColor="text1"/>
          <w:sz w:val="24"/>
          <w:szCs w:val="24"/>
          <w:highlight w:val="yellow"/>
        </w:rPr>
        <w:t>values of</w:t>
      </w:r>
      <w:r w:rsidR="000E597D" w:rsidRPr="00E67761">
        <w:rPr>
          <w:rFonts w:ascii="Times New Roman" w:hAnsi="Times New Roman" w:cs="Times New Roman"/>
          <w:color w:val="000000" w:themeColor="text1"/>
          <w:sz w:val="24"/>
          <w:szCs w:val="24"/>
          <w:highlight w:val="yellow"/>
        </w:rPr>
        <w:t xml:space="preserve"> 1 </w:t>
      </w:r>
      <w:r w:rsidR="005D5DBD">
        <w:rPr>
          <w:rFonts w:ascii="Times New Roman" w:hAnsi="Times New Roman" w:cs="Times New Roman"/>
          <w:color w:val="000000" w:themeColor="text1"/>
          <w:sz w:val="24"/>
          <w:szCs w:val="24"/>
          <w:highlight w:val="yellow"/>
        </w:rPr>
        <w:t xml:space="preserve">are evident </w:t>
      </w:r>
      <w:r w:rsidR="000E597D" w:rsidRPr="00E67761">
        <w:rPr>
          <w:rFonts w:ascii="Times New Roman" w:hAnsi="Times New Roman" w:cs="Times New Roman"/>
          <w:color w:val="000000" w:themeColor="text1"/>
          <w:sz w:val="24"/>
          <w:szCs w:val="24"/>
          <w:highlight w:val="yellow"/>
        </w:rPr>
        <w:t xml:space="preserve">in five </w:t>
      </w:r>
      <w:r w:rsidR="005D5DBD">
        <w:rPr>
          <w:rFonts w:ascii="Times New Roman" w:hAnsi="Times New Roman" w:cs="Times New Roman"/>
          <w:color w:val="000000" w:themeColor="text1"/>
          <w:sz w:val="24"/>
          <w:szCs w:val="24"/>
          <w:highlight w:val="yellow"/>
        </w:rPr>
        <w:t>of the</w:t>
      </w:r>
      <w:r w:rsidR="000E597D" w:rsidRPr="00E67761">
        <w:rPr>
          <w:rFonts w:ascii="Times New Roman" w:hAnsi="Times New Roman" w:cs="Times New Roman"/>
          <w:color w:val="000000" w:themeColor="text1"/>
          <w:sz w:val="24"/>
          <w:szCs w:val="24"/>
          <w:highlight w:val="yellow"/>
        </w:rPr>
        <w:t xml:space="preserve"> 14 editions, including seven editions for male competitions and eight editions for female competitions. </w:t>
      </w:r>
      <w:r w:rsidR="002D7CD6" w:rsidRPr="002D7CD6">
        <w:rPr>
          <w:rFonts w:ascii="Times New Roman" w:hAnsi="Times New Roman" w:cs="Times New Roman"/>
          <w:color w:val="000000" w:themeColor="text1"/>
          <w:sz w:val="24"/>
          <w:szCs w:val="24"/>
          <w:highlight w:val="yellow"/>
        </w:rPr>
        <w:t>These findings reflect China’s dominance.</w:t>
      </w:r>
      <w:r w:rsidR="002D7CD6">
        <w:rPr>
          <w:rFonts w:ascii="Times New Roman" w:hAnsi="Times New Roman" w:cs="Times New Roman"/>
          <w:color w:val="000000" w:themeColor="text1"/>
          <w:sz w:val="24"/>
          <w:szCs w:val="24"/>
          <w:highlight w:val="yellow"/>
        </w:rPr>
        <w:t xml:space="preserve"> </w:t>
      </w:r>
    </w:p>
    <w:p w14:paraId="13A2AA68" w14:textId="2629D117" w:rsidR="007E6204" w:rsidRPr="00E67761" w:rsidRDefault="007E6204" w:rsidP="00AD718E">
      <w:pPr>
        <w:spacing w:after="0" w:line="480" w:lineRule="auto"/>
        <w:ind w:firstLine="706"/>
        <w:jc w:val="both"/>
        <w:rPr>
          <w:rFonts w:ascii="Times New Roman" w:hAnsi="Times New Roman" w:cs="Times New Roman"/>
          <w:color w:val="000000" w:themeColor="text1"/>
          <w:sz w:val="24"/>
          <w:szCs w:val="24"/>
          <w:highlight w:val="yellow"/>
        </w:rPr>
      </w:pPr>
      <w:r w:rsidRPr="00E67761">
        <w:rPr>
          <w:rFonts w:ascii="Times New Roman" w:hAnsi="Times New Roman" w:cs="Times New Roman"/>
          <w:color w:val="000000" w:themeColor="text1"/>
          <w:sz w:val="24"/>
          <w:szCs w:val="24"/>
          <w:highlight w:val="yellow"/>
        </w:rPr>
        <w:t>A comparison between the Olympic Games and the World Championships reveals</w:t>
      </w:r>
      <w:r w:rsidR="00946A02">
        <w:rPr>
          <w:rFonts w:ascii="Times New Roman" w:hAnsi="Times New Roman" w:cs="Times New Roman"/>
          <w:color w:val="000000" w:themeColor="text1"/>
          <w:sz w:val="24"/>
          <w:szCs w:val="24"/>
          <w:highlight w:val="yellow"/>
        </w:rPr>
        <w:t xml:space="preserve"> a wider variation of figures at the World Championships</w:t>
      </w:r>
      <w:r w:rsidR="00946A02">
        <w:rPr>
          <w:rFonts w:ascii="Times New Roman" w:hAnsi="Times New Roman" w:cs="Times New Roman"/>
          <w:bCs/>
          <w:color w:val="000000" w:themeColor="text1"/>
          <w:sz w:val="24"/>
          <w:szCs w:val="24"/>
          <w:highlight w:val="yellow"/>
        </w:rPr>
        <w:t xml:space="preserve">. </w:t>
      </w:r>
      <w:r w:rsidR="00AD718E">
        <w:rPr>
          <w:rFonts w:ascii="Times New Roman" w:hAnsi="Times New Roman" w:cs="Times New Roman"/>
          <w:bCs/>
          <w:color w:val="000000" w:themeColor="text1"/>
          <w:sz w:val="24"/>
          <w:szCs w:val="24"/>
          <w:highlight w:val="yellow"/>
        </w:rPr>
        <w:t xml:space="preserve">The HHIN results between the Olympic Games and World Championships are largely at the same level for overall, male and female competitions. In comparison, CV results for the World Championships across all four measures are considerably higher than the Olympic Games, </w:t>
      </w:r>
      <w:r w:rsidR="00045B31">
        <w:rPr>
          <w:rFonts w:ascii="Times New Roman" w:hAnsi="Times New Roman" w:cs="Times New Roman"/>
          <w:bCs/>
          <w:color w:val="000000" w:themeColor="text1"/>
          <w:sz w:val="24"/>
          <w:szCs w:val="24"/>
          <w:highlight w:val="yellow"/>
        </w:rPr>
        <w:t>indicating</w:t>
      </w:r>
      <w:r w:rsidR="00AD718E">
        <w:rPr>
          <w:rFonts w:ascii="Times New Roman" w:hAnsi="Times New Roman" w:cs="Times New Roman"/>
          <w:bCs/>
          <w:color w:val="000000" w:themeColor="text1"/>
          <w:sz w:val="24"/>
          <w:szCs w:val="24"/>
          <w:highlight w:val="yellow"/>
        </w:rPr>
        <w:t xml:space="preserve"> a higher level of competitive imbalance at the World Championships than at the Olympic Games. </w:t>
      </w:r>
    </w:p>
    <w:p w14:paraId="568CC628" w14:textId="6EE2EEEF" w:rsidR="00CA33CE" w:rsidRDefault="001C4775" w:rsidP="00C201D1">
      <w:pPr>
        <w:spacing w:after="0"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Combining both HHIN and CV across</w:t>
      </w:r>
      <w:r w:rsidR="007E6204" w:rsidRPr="00E67761">
        <w:rPr>
          <w:rFonts w:ascii="Times New Roman" w:hAnsi="Times New Roman" w:cs="Times New Roman"/>
          <w:color w:val="000000" w:themeColor="text1"/>
          <w:sz w:val="24"/>
          <w:szCs w:val="24"/>
          <w:highlight w:val="yellow"/>
        </w:rPr>
        <w:t xml:space="preserve"> all eight Olympic Games, the Seoul 1988 and Barcelona 1992 </w:t>
      </w:r>
      <w:r w:rsidR="00F529AB">
        <w:rPr>
          <w:rFonts w:ascii="Times New Roman" w:hAnsi="Times New Roman" w:cs="Times New Roman"/>
          <w:color w:val="000000" w:themeColor="text1"/>
          <w:sz w:val="24"/>
          <w:szCs w:val="24"/>
          <w:highlight w:val="yellow"/>
        </w:rPr>
        <w:t xml:space="preserve">editions were characterised by </w:t>
      </w:r>
      <w:r w:rsidR="007E6204" w:rsidRPr="00E67761">
        <w:rPr>
          <w:rFonts w:ascii="Times New Roman" w:hAnsi="Times New Roman" w:cs="Times New Roman"/>
          <w:color w:val="000000" w:themeColor="text1"/>
          <w:sz w:val="24"/>
          <w:szCs w:val="24"/>
          <w:highlight w:val="yellow"/>
        </w:rPr>
        <w:t>a high degree of competitive balanc</w:t>
      </w:r>
      <w:r w:rsidR="00826F53">
        <w:rPr>
          <w:rFonts w:ascii="Times New Roman" w:hAnsi="Times New Roman" w:cs="Times New Roman"/>
          <w:color w:val="000000" w:themeColor="text1"/>
          <w:sz w:val="24"/>
          <w:szCs w:val="24"/>
          <w:highlight w:val="yellow"/>
        </w:rPr>
        <w:t>e in the distribution of medals</w:t>
      </w:r>
      <w:r w:rsidR="007E6204" w:rsidRPr="00E67761">
        <w:rPr>
          <w:rFonts w:ascii="Times New Roman" w:hAnsi="Times New Roman" w:cs="Times New Roman"/>
          <w:color w:val="000000" w:themeColor="text1"/>
          <w:sz w:val="24"/>
          <w:szCs w:val="24"/>
          <w:highlight w:val="yellow"/>
        </w:rPr>
        <w:t xml:space="preserve">. The distribution of </w:t>
      </w:r>
      <w:r w:rsidR="00826F53">
        <w:rPr>
          <w:rFonts w:ascii="Times New Roman" w:hAnsi="Times New Roman" w:cs="Times New Roman"/>
          <w:color w:val="000000" w:themeColor="text1"/>
          <w:sz w:val="24"/>
          <w:szCs w:val="24"/>
          <w:highlight w:val="yellow"/>
        </w:rPr>
        <w:t>top eight points</w:t>
      </w:r>
      <w:r w:rsidR="007E6204" w:rsidRPr="00E67761">
        <w:rPr>
          <w:rFonts w:ascii="Times New Roman" w:hAnsi="Times New Roman" w:cs="Times New Roman"/>
          <w:color w:val="000000" w:themeColor="text1"/>
          <w:sz w:val="24"/>
          <w:szCs w:val="24"/>
          <w:highlight w:val="yellow"/>
        </w:rPr>
        <w:t xml:space="preserve"> </w:t>
      </w:r>
      <w:r w:rsidR="00147408">
        <w:rPr>
          <w:rFonts w:ascii="Times New Roman" w:hAnsi="Times New Roman" w:cs="Times New Roman"/>
          <w:color w:val="000000" w:themeColor="text1"/>
          <w:sz w:val="24"/>
          <w:szCs w:val="24"/>
          <w:highlight w:val="yellow"/>
        </w:rPr>
        <w:t xml:space="preserve">also </w:t>
      </w:r>
      <w:r w:rsidR="00432959">
        <w:rPr>
          <w:rFonts w:ascii="Times New Roman" w:hAnsi="Times New Roman" w:cs="Times New Roman"/>
          <w:color w:val="000000" w:themeColor="text1"/>
          <w:sz w:val="24"/>
          <w:szCs w:val="24"/>
          <w:highlight w:val="yellow"/>
        </w:rPr>
        <w:t>tended</w:t>
      </w:r>
      <w:r w:rsidR="007E6204" w:rsidRPr="00E67761">
        <w:rPr>
          <w:rFonts w:ascii="Times New Roman" w:hAnsi="Times New Roman" w:cs="Times New Roman"/>
          <w:color w:val="000000" w:themeColor="text1"/>
          <w:sz w:val="24"/>
          <w:szCs w:val="24"/>
          <w:highlight w:val="yellow"/>
        </w:rPr>
        <w:t xml:space="preserve"> to be balanced at Athens 2004 compared to other editions. Beijing 2008, at which China won all the four gold medals and dominated top three in both men’s and women’s singles, </w:t>
      </w:r>
      <w:r w:rsidR="00DE55D1">
        <w:rPr>
          <w:rFonts w:ascii="Times New Roman" w:hAnsi="Times New Roman" w:cs="Times New Roman"/>
          <w:color w:val="000000" w:themeColor="text1"/>
          <w:sz w:val="24"/>
          <w:szCs w:val="24"/>
          <w:highlight w:val="yellow"/>
        </w:rPr>
        <w:t>had</w:t>
      </w:r>
      <w:r w:rsidR="007E6204" w:rsidRPr="00E67761">
        <w:rPr>
          <w:rFonts w:ascii="Times New Roman" w:hAnsi="Times New Roman" w:cs="Times New Roman"/>
          <w:color w:val="000000" w:themeColor="text1"/>
          <w:sz w:val="24"/>
          <w:szCs w:val="24"/>
          <w:highlight w:val="yellow"/>
        </w:rPr>
        <w:t xml:space="preserve"> a very low degree of competitive balance across all four measures, with the figures being the highest or second</w:t>
      </w:r>
      <w:r w:rsidR="00DE55D1">
        <w:rPr>
          <w:rFonts w:ascii="Times New Roman" w:hAnsi="Times New Roman" w:cs="Times New Roman"/>
          <w:color w:val="000000" w:themeColor="text1"/>
          <w:sz w:val="24"/>
          <w:szCs w:val="24"/>
          <w:highlight w:val="yellow"/>
        </w:rPr>
        <w:t xml:space="preserve"> highest across most indicators</w:t>
      </w:r>
      <w:r w:rsidR="007E6204" w:rsidRPr="00E67761">
        <w:rPr>
          <w:rFonts w:ascii="Times New Roman" w:hAnsi="Times New Roman" w:cs="Times New Roman"/>
          <w:color w:val="000000" w:themeColor="text1"/>
          <w:sz w:val="24"/>
          <w:szCs w:val="24"/>
          <w:highlight w:val="yellow"/>
        </w:rPr>
        <w:t xml:space="preserve"> </w:t>
      </w:r>
      <w:r w:rsidR="00DE55D1">
        <w:rPr>
          <w:rFonts w:ascii="Times New Roman" w:hAnsi="Times New Roman" w:cs="Times New Roman"/>
          <w:color w:val="000000" w:themeColor="text1"/>
          <w:sz w:val="24"/>
          <w:szCs w:val="24"/>
          <w:highlight w:val="yellow"/>
        </w:rPr>
        <w:t>particularly</w:t>
      </w:r>
      <w:r w:rsidR="007E6204" w:rsidRPr="00E67761">
        <w:rPr>
          <w:rFonts w:ascii="Times New Roman" w:hAnsi="Times New Roman" w:cs="Times New Roman"/>
          <w:color w:val="000000" w:themeColor="text1"/>
          <w:sz w:val="24"/>
          <w:szCs w:val="24"/>
          <w:highlight w:val="yellow"/>
        </w:rPr>
        <w:t xml:space="preserve"> CV. </w:t>
      </w:r>
      <w:r w:rsidR="00993098">
        <w:rPr>
          <w:rFonts w:ascii="Times New Roman" w:hAnsi="Times New Roman" w:cs="Times New Roman"/>
          <w:color w:val="000000" w:themeColor="text1"/>
          <w:sz w:val="24"/>
          <w:szCs w:val="24"/>
          <w:highlight w:val="yellow"/>
        </w:rPr>
        <w:t xml:space="preserve">The distribution of success was imbalanced at Atlanta 1996 and Sydney 2000 with most figures ranking sixth to seventh. Competitive balance in Olympic table tennis has slightly improved in the most recent London 2012 and Rio de Janeiro 2016 in particular regarding the distribution of medals, medal points and top eight points. CV reflects a high degree of imbalance in the distribution of gold medals at the two most recent Olympic Games in 2008 and 2012. </w:t>
      </w:r>
    </w:p>
    <w:p w14:paraId="7ED73B5F" w14:textId="081A7321" w:rsidR="007E6204" w:rsidRPr="000E597D" w:rsidRDefault="00CA33CE" w:rsidP="00C201D1">
      <w:pPr>
        <w:spacing w:after="0"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Similar to</w:t>
      </w:r>
      <w:r w:rsidR="00445598" w:rsidRPr="00445598">
        <w:rPr>
          <w:rFonts w:ascii="Times New Roman" w:hAnsi="Times New Roman" w:cs="Times New Roman"/>
          <w:color w:val="000000" w:themeColor="text1"/>
          <w:sz w:val="24"/>
          <w:szCs w:val="24"/>
          <w:highlight w:val="yellow"/>
        </w:rPr>
        <w:t xml:space="preserve"> the Olympic Games, competitive balance </w:t>
      </w:r>
      <w:r>
        <w:rPr>
          <w:rFonts w:ascii="Times New Roman" w:hAnsi="Times New Roman" w:cs="Times New Roman"/>
          <w:color w:val="000000" w:themeColor="text1"/>
          <w:sz w:val="24"/>
          <w:szCs w:val="24"/>
          <w:highlight w:val="yellow"/>
        </w:rPr>
        <w:t xml:space="preserve">at the World Championships </w:t>
      </w:r>
      <w:r w:rsidR="00445598" w:rsidRPr="00445598">
        <w:rPr>
          <w:rFonts w:ascii="Times New Roman" w:hAnsi="Times New Roman" w:cs="Times New Roman"/>
          <w:color w:val="000000" w:themeColor="text1"/>
          <w:sz w:val="24"/>
          <w:szCs w:val="24"/>
          <w:highlight w:val="yellow"/>
        </w:rPr>
        <w:t>tends to be the highest in the three earliest</w:t>
      </w:r>
      <w:r w:rsidR="009018E9">
        <w:rPr>
          <w:rFonts w:ascii="Times New Roman" w:hAnsi="Times New Roman" w:cs="Times New Roman"/>
          <w:color w:val="000000" w:themeColor="text1"/>
          <w:sz w:val="24"/>
          <w:szCs w:val="24"/>
          <w:highlight w:val="yellow"/>
        </w:rPr>
        <w:t xml:space="preserve"> editions (1989, 1991 and 1993). There are some exceptions, for example, </w:t>
      </w:r>
      <w:r w:rsidR="00445598" w:rsidRPr="00445598">
        <w:rPr>
          <w:rFonts w:ascii="Times New Roman" w:hAnsi="Times New Roman" w:cs="Times New Roman"/>
          <w:color w:val="000000" w:themeColor="text1"/>
          <w:sz w:val="24"/>
          <w:szCs w:val="24"/>
          <w:highlight w:val="yellow"/>
        </w:rPr>
        <w:t>H</w:t>
      </w:r>
      <w:r w:rsidR="00445598" w:rsidRPr="002546BD">
        <w:rPr>
          <w:rFonts w:ascii="Times New Roman" w:hAnsi="Times New Roman" w:cs="Times New Roman"/>
          <w:color w:val="000000" w:themeColor="text1"/>
          <w:sz w:val="24"/>
          <w:szCs w:val="24"/>
          <w:highlight w:val="yellow"/>
        </w:rPr>
        <w:t>HIN Gold for male in 1991 (7</w:t>
      </w:r>
      <w:r w:rsidR="00445598" w:rsidRPr="002546BD">
        <w:rPr>
          <w:rFonts w:ascii="Times New Roman" w:hAnsi="Times New Roman" w:cs="Times New Roman"/>
          <w:color w:val="000000" w:themeColor="text1"/>
          <w:sz w:val="24"/>
          <w:szCs w:val="24"/>
          <w:highlight w:val="yellow"/>
          <w:vertAlign w:val="superscript"/>
        </w:rPr>
        <w:t>th</w:t>
      </w:r>
      <w:r w:rsidR="00445598" w:rsidRPr="002546BD">
        <w:rPr>
          <w:rFonts w:ascii="Times New Roman" w:hAnsi="Times New Roman" w:cs="Times New Roman"/>
          <w:color w:val="000000" w:themeColor="text1"/>
          <w:sz w:val="24"/>
          <w:szCs w:val="24"/>
          <w:highlight w:val="yellow"/>
        </w:rPr>
        <w:t>)</w:t>
      </w:r>
      <w:r w:rsidR="005B7F7F">
        <w:rPr>
          <w:rFonts w:ascii="Times New Roman" w:hAnsi="Times New Roman" w:cs="Times New Roman"/>
          <w:color w:val="000000" w:themeColor="text1"/>
          <w:sz w:val="24"/>
          <w:szCs w:val="24"/>
          <w:highlight w:val="yellow"/>
        </w:rPr>
        <w:t>,</w:t>
      </w:r>
      <w:r w:rsidR="00445598" w:rsidRPr="002546BD">
        <w:rPr>
          <w:rFonts w:ascii="Times New Roman" w:hAnsi="Times New Roman" w:cs="Times New Roman"/>
          <w:color w:val="000000" w:themeColor="text1"/>
          <w:sz w:val="24"/>
          <w:szCs w:val="24"/>
          <w:highlight w:val="yellow"/>
        </w:rPr>
        <w:t xml:space="preserve"> and HHIN Medals for female in 1989 (8</w:t>
      </w:r>
      <w:r w:rsidR="00445598" w:rsidRPr="002546BD">
        <w:rPr>
          <w:rFonts w:ascii="Times New Roman" w:hAnsi="Times New Roman" w:cs="Times New Roman"/>
          <w:color w:val="000000" w:themeColor="text1"/>
          <w:sz w:val="24"/>
          <w:szCs w:val="24"/>
          <w:highlight w:val="yellow"/>
          <w:vertAlign w:val="superscript"/>
        </w:rPr>
        <w:t>th</w:t>
      </w:r>
      <w:r w:rsidR="00445598" w:rsidRPr="002546BD">
        <w:rPr>
          <w:rFonts w:ascii="Times New Roman" w:hAnsi="Times New Roman" w:cs="Times New Roman"/>
          <w:color w:val="000000" w:themeColor="text1"/>
          <w:sz w:val="24"/>
          <w:szCs w:val="24"/>
          <w:highlight w:val="yellow"/>
        </w:rPr>
        <w:t>)</w:t>
      </w:r>
      <w:r w:rsidR="004E4687" w:rsidRPr="002546BD">
        <w:rPr>
          <w:rFonts w:ascii="Times New Roman" w:hAnsi="Times New Roman" w:cs="Times New Roman"/>
          <w:color w:val="000000" w:themeColor="text1"/>
          <w:sz w:val="24"/>
          <w:szCs w:val="24"/>
          <w:highlight w:val="yellow"/>
        </w:rPr>
        <w:t xml:space="preserve"> and 1991 (7</w:t>
      </w:r>
      <w:r w:rsidR="004E4687" w:rsidRPr="002546BD">
        <w:rPr>
          <w:rFonts w:ascii="Times New Roman" w:hAnsi="Times New Roman" w:cs="Times New Roman"/>
          <w:color w:val="000000" w:themeColor="text1"/>
          <w:sz w:val="24"/>
          <w:szCs w:val="24"/>
          <w:highlight w:val="yellow"/>
          <w:vertAlign w:val="superscript"/>
        </w:rPr>
        <w:t>th</w:t>
      </w:r>
      <w:r w:rsidR="004E4687" w:rsidRPr="002546BD">
        <w:rPr>
          <w:rFonts w:ascii="Times New Roman" w:hAnsi="Times New Roman" w:cs="Times New Roman"/>
          <w:color w:val="000000" w:themeColor="text1"/>
          <w:sz w:val="24"/>
          <w:szCs w:val="24"/>
          <w:highlight w:val="yellow"/>
        </w:rPr>
        <w:t>)</w:t>
      </w:r>
      <w:r w:rsidR="009018E9">
        <w:rPr>
          <w:rFonts w:ascii="Times New Roman" w:hAnsi="Times New Roman" w:cs="Times New Roman"/>
          <w:color w:val="000000" w:themeColor="text1"/>
          <w:sz w:val="24"/>
          <w:szCs w:val="24"/>
          <w:highlight w:val="yellow"/>
        </w:rPr>
        <w:t>.</w:t>
      </w:r>
      <w:r w:rsidR="00445598" w:rsidRPr="002546BD">
        <w:rPr>
          <w:rFonts w:ascii="Times New Roman" w:hAnsi="Times New Roman" w:cs="Times New Roman"/>
          <w:color w:val="000000" w:themeColor="text1"/>
          <w:sz w:val="24"/>
          <w:szCs w:val="24"/>
          <w:highlight w:val="yellow"/>
        </w:rPr>
        <w:t xml:space="preserve"> </w:t>
      </w:r>
      <w:r w:rsidR="009A7738" w:rsidRPr="002546BD">
        <w:rPr>
          <w:rFonts w:ascii="Times New Roman" w:hAnsi="Times New Roman" w:cs="Times New Roman"/>
          <w:color w:val="000000" w:themeColor="text1"/>
          <w:sz w:val="24"/>
          <w:szCs w:val="24"/>
          <w:highlight w:val="yellow"/>
        </w:rPr>
        <w:t xml:space="preserve">Both HHIN and CV results indicate that competitive balance </w:t>
      </w:r>
      <w:r w:rsidR="009018E9">
        <w:rPr>
          <w:rFonts w:ascii="Times New Roman" w:hAnsi="Times New Roman" w:cs="Times New Roman"/>
          <w:color w:val="000000" w:themeColor="text1"/>
          <w:sz w:val="24"/>
          <w:szCs w:val="24"/>
          <w:highlight w:val="yellow"/>
        </w:rPr>
        <w:t>was relatively low</w:t>
      </w:r>
      <w:r w:rsidR="009A7738" w:rsidRPr="002546BD">
        <w:rPr>
          <w:rFonts w:ascii="Times New Roman" w:hAnsi="Times New Roman" w:cs="Times New Roman"/>
          <w:color w:val="000000" w:themeColor="text1"/>
          <w:sz w:val="24"/>
          <w:szCs w:val="24"/>
          <w:highlight w:val="yellow"/>
        </w:rPr>
        <w:t xml:space="preserve"> between 2003/2004 and 2011/2012 for overall and male competitions. </w:t>
      </w:r>
      <w:r w:rsidR="002546BD" w:rsidRPr="002546BD">
        <w:rPr>
          <w:rFonts w:ascii="Times New Roman" w:hAnsi="Times New Roman" w:cs="Times New Roman"/>
          <w:color w:val="000000" w:themeColor="text1"/>
          <w:sz w:val="24"/>
          <w:szCs w:val="24"/>
          <w:highlight w:val="yellow"/>
        </w:rPr>
        <w:t xml:space="preserve">The pattern for female competitions </w:t>
      </w:r>
      <w:r w:rsidR="00E32E65">
        <w:rPr>
          <w:rFonts w:ascii="Times New Roman" w:hAnsi="Times New Roman" w:cs="Times New Roman"/>
          <w:color w:val="000000" w:themeColor="text1"/>
          <w:sz w:val="24"/>
          <w:szCs w:val="24"/>
          <w:highlight w:val="yellow"/>
        </w:rPr>
        <w:t>manifests</w:t>
      </w:r>
      <w:r w:rsidR="002546BD" w:rsidRPr="002546BD">
        <w:rPr>
          <w:rFonts w:ascii="Times New Roman" w:hAnsi="Times New Roman" w:cs="Times New Roman"/>
          <w:color w:val="000000" w:themeColor="text1"/>
          <w:sz w:val="24"/>
          <w:szCs w:val="24"/>
          <w:highlight w:val="yellow"/>
        </w:rPr>
        <w:t xml:space="preserve"> notable differences between measures (gold medals, medals, medal points and top eight points) and indicators (HHIN and CV). The 1997 World Championships witnessed the lowest or the second lowest degree of competitive balance in the distribution of medals, medal points and top eight points, but the CV </w:t>
      </w:r>
      <w:r w:rsidR="0064091B">
        <w:rPr>
          <w:rFonts w:ascii="Times New Roman" w:hAnsi="Times New Roman" w:cs="Times New Roman"/>
          <w:color w:val="000000" w:themeColor="text1"/>
          <w:sz w:val="24"/>
          <w:szCs w:val="24"/>
          <w:highlight w:val="yellow"/>
        </w:rPr>
        <w:t>Gold</w:t>
      </w:r>
      <w:r w:rsidR="002546BD" w:rsidRPr="002546BD">
        <w:rPr>
          <w:rFonts w:ascii="Times New Roman" w:hAnsi="Times New Roman" w:cs="Times New Roman"/>
          <w:color w:val="000000" w:themeColor="text1"/>
          <w:sz w:val="24"/>
          <w:szCs w:val="24"/>
          <w:highlight w:val="yellow"/>
        </w:rPr>
        <w:t xml:space="preserve"> </w:t>
      </w:r>
      <w:r w:rsidR="00F60D2D">
        <w:rPr>
          <w:rFonts w:ascii="Times New Roman" w:hAnsi="Times New Roman" w:cs="Times New Roman"/>
          <w:color w:val="000000" w:themeColor="text1"/>
          <w:sz w:val="24"/>
          <w:szCs w:val="24"/>
          <w:highlight w:val="yellow"/>
        </w:rPr>
        <w:t xml:space="preserve">in 1997 </w:t>
      </w:r>
      <w:r w:rsidR="002546BD" w:rsidRPr="002546BD">
        <w:rPr>
          <w:rFonts w:ascii="Times New Roman" w:hAnsi="Times New Roman" w:cs="Times New Roman"/>
          <w:color w:val="000000" w:themeColor="text1"/>
          <w:sz w:val="24"/>
          <w:szCs w:val="24"/>
          <w:highlight w:val="yellow"/>
        </w:rPr>
        <w:t xml:space="preserve">tends to be medium amongst all 14 editions. The most notable differences between HHIN and CV in female competitions is that HHIN results all reflect a high degree of competitive balance in 2011/2012 and 2013/2014, while CV presents a counter pattern. </w:t>
      </w:r>
    </w:p>
    <w:p w14:paraId="726C52B8" w14:textId="77777777" w:rsidR="004A3F53" w:rsidRPr="001015DF" w:rsidRDefault="004A3F53" w:rsidP="005E3E3C">
      <w:pPr>
        <w:spacing w:after="0" w:line="480" w:lineRule="auto"/>
        <w:jc w:val="both"/>
        <w:rPr>
          <w:rFonts w:ascii="Times New Roman" w:hAnsi="Times New Roman" w:cs="Times New Roman"/>
          <w:color w:val="FF0000"/>
          <w:sz w:val="24"/>
          <w:szCs w:val="24"/>
        </w:rPr>
      </w:pPr>
    </w:p>
    <w:p w14:paraId="4CEF7B51" w14:textId="35490027" w:rsidR="004A3F53" w:rsidRPr="00F81452" w:rsidRDefault="004A3F53" w:rsidP="00F81452">
      <w:pPr>
        <w:tabs>
          <w:tab w:val="right" w:pos="9360"/>
        </w:tabs>
        <w:spacing w:after="0" w:line="480" w:lineRule="auto"/>
        <w:jc w:val="both"/>
        <w:rPr>
          <w:rFonts w:ascii="Times New Roman" w:hAnsi="Times New Roman" w:cs="Times New Roman"/>
          <w:b/>
          <w:i/>
          <w:color w:val="000000" w:themeColor="text1"/>
          <w:sz w:val="24"/>
          <w:szCs w:val="24"/>
        </w:rPr>
      </w:pPr>
      <w:r w:rsidRPr="00F81452">
        <w:rPr>
          <w:rFonts w:ascii="Times New Roman" w:hAnsi="Times New Roman" w:cs="Times New Roman"/>
          <w:b/>
          <w:i/>
          <w:color w:val="000000" w:themeColor="text1"/>
          <w:sz w:val="24"/>
          <w:szCs w:val="24"/>
          <w:highlight w:val="yellow"/>
        </w:rPr>
        <w:t>Trends in competitive balance</w:t>
      </w:r>
      <w:r w:rsidR="00F81452" w:rsidRPr="00F81452">
        <w:rPr>
          <w:rFonts w:ascii="Times New Roman" w:hAnsi="Times New Roman" w:cs="Times New Roman"/>
          <w:b/>
          <w:i/>
          <w:color w:val="000000" w:themeColor="text1"/>
          <w:sz w:val="24"/>
          <w:szCs w:val="24"/>
        </w:rPr>
        <w:tab/>
      </w:r>
    </w:p>
    <w:p w14:paraId="1B99D998" w14:textId="7E460EB5" w:rsidR="008F06F9" w:rsidRDefault="002D7CD6" w:rsidP="007F370A">
      <w:pPr>
        <w:spacing w:after="0" w:line="480" w:lineRule="auto"/>
        <w:jc w:val="both"/>
        <w:rPr>
          <w:rFonts w:ascii="Times New Roman" w:hAnsi="Times New Roman" w:cs="Times New Roman"/>
          <w:color w:val="000000" w:themeColor="text1"/>
          <w:sz w:val="24"/>
          <w:szCs w:val="24"/>
        </w:rPr>
      </w:pPr>
      <w:r w:rsidRPr="00F81452">
        <w:rPr>
          <w:rFonts w:ascii="Times New Roman" w:hAnsi="Times New Roman" w:cs="Times New Roman"/>
          <w:color w:val="000000" w:themeColor="text1"/>
          <w:sz w:val="24"/>
          <w:szCs w:val="24"/>
        </w:rPr>
        <w:t>According to Table 3,</w:t>
      </w:r>
      <w:r w:rsidR="008F06F9" w:rsidRPr="00F81452">
        <w:rPr>
          <w:rFonts w:ascii="Times New Roman" w:hAnsi="Times New Roman" w:cs="Times New Roman"/>
          <w:color w:val="000000" w:themeColor="text1"/>
          <w:sz w:val="24"/>
          <w:szCs w:val="24"/>
        </w:rPr>
        <w:t xml:space="preserve"> significant positive correlation</w:t>
      </w:r>
      <w:r w:rsidR="00787C25" w:rsidRPr="00F81452">
        <w:rPr>
          <w:rFonts w:ascii="Times New Roman" w:hAnsi="Times New Roman" w:cs="Times New Roman"/>
          <w:color w:val="000000" w:themeColor="text1"/>
          <w:sz w:val="24"/>
          <w:szCs w:val="24"/>
        </w:rPr>
        <w:t>s</w:t>
      </w:r>
      <w:r w:rsidR="008F06F9" w:rsidRPr="00F81452">
        <w:rPr>
          <w:rFonts w:ascii="Times New Roman" w:hAnsi="Times New Roman" w:cs="Times New Roman"/>
          <w:color w:val="000000" w:themeColor="text1"/>
          <w:sz w:val="24"/>
          <w:szCs w:val="24"/>
        </w:rPr>
        <w:t xml:space="preserve"> </w:t>
      </w:r>
      <w:r w:rsidR="00787C25" w:rsidRPr="00F81452">
        <w:rPr>
          <w:rFonts w:ascii="Times New Roman" w:hAnsi="Times New Roman" w:cs="Times New Roman"/>
          <w:color w:val="000000" w:themeColor="text1"/>
          <w:sz w:val="24"/>
          <w:szCs w:val="24"/>
        </w:rPr>
        <w:t xml:space="preserve">are evident in the cases of </w:t>
      </w:r>
      <w:r w:rsidR="008F06F9" w:rsidRPr="00F81452">
        <w:rPr>
          <w:rFonts w:ascii="Times New Roman" w:hAnsi="Times New Roman" w:cs="Times New Roman"/>
          <w:color w:val="000000" w:themeColor="text1"/>
          <w:sz w:val="24"/>
          <w:szCs w:val="24"/>
        </w:rPr>
        <w:t xml:space="preserve">HHIN </w:t>
      </w:r>
      <w:r w:rsidR="00C82EF8" w:rsidRPr="00F81452">
        <w:rPr>
          <w:rFonts w:ascii="Times New Roman" w:hAnsi="Times New Roman" w:cs="Times New Roman"/>
          <w:color w:val="000000" w:themeColor="text1"/>
          <w:sz w:val="24"/>
          <w:szCs w:val="24"/>
        </w:rPr>
        <w:t>G</w:t>
      </w:r>
      <w:r w:rsidR="008F06F9" w:rsidRPr="00F81452">
        <w:rPr>
          <w:rFonts w:ascii="Times New Roman" w:hAnsi="Times New Roman" w:cs="Times New Roman"/>
          <w:color w:val="000000" w:themeColor="text1"/>
          <w:sz w:val="24"/>
          <w:szCs w:val="24"/>
        </w:rPr>
        <w:t>old (</w:t>
      </w:r>
      <w:r w:rsidR="008F06F9" w:rsidRPr="00F81452">
        <w:rPr>
          <w:rFonts w:ascii="Times New Roman" w:hAnsi="Times New Roman" w:cs="Times New Roman"/>
          <w:i/>
          <w:color w:val="000000" w:themeColor="text1"/>
          <w:sz w:val="24"/>
          <w:szCs w:val="24"/>
        </w:rPr>
        <w:t>ρ</w:t>
      </w:r>
      <w:r w:rsidR="008F06F9" w:rsidRPr="00F81452">
        <w:rPr>
          <w:rFonts w:ascii="Times New Roman" w:hAnsi="Times New Roman" w:cs="Times New Roman"/>
          <w:color w:val="000000" w:themeColor="text1"/>
          <w:sz w:val="24"/>
          <w:szCs w:val="24"/>
        </w:rPr>
        <w:t xml:space="preserve"> = 0.709, </w:t>
      </w:r>
      <w:r w:rsidR="008F06F9" w:rsidRPr="00F81452">
        <w:rPr>
          <w:rFonts w:ascii="Times New Roman" w:hAnsi="Times New Roman" w:cs="Times New Roman"/>
          <w:i/>
          <w:color w:val="000000" w:themeColor="text1"/>
          <w:sz w:val="24"/>
          <w:szCs w:val="24"/>
        </w:rPr>
        <w:t>p</w:t>
      </w:r>
      <w:r w:rsidR="008F06F9" w:rsidRPr="00F81452">
        <w:rPr>
          <w:rFonts w:ascii="Times New Roman" w:hAnsi="Times New Roman" w:cs="Times New Roman"/>
          <w:color w:val="000000" w:themeColor="text1"/>
          <w:sz w:val="24"/>
          <w:szCs w:val="24"/>
        </w:rPr>
        <w:t xml:space="preserve"> = 0.049) and CV </w:t>
      </w:r>
      <w:r w:rsidR="00C82EF8" w:rsidRPr="00F81452">
        <w:rPr>
          <w:rFonts w:ascii="Times New Roman" w:hAnsi="Times New Roman" w:cs="Times New Roman"/>
          <w:color w:val="000000" w:themeColor="text1"/>
          <w:sz w:val="24"/>
          <w:szCs w:val="24"/>
        </w:rPr>
        <w:t>G</w:t>
      </w:r>
      <w:r w:rsidR="008F06F9" w:rsidRPr="00F81452">
        <w:rPr>
          <w:rFonts w:ascii="Times New Roman" w:hAnsi="Times New Roman" w:cs="Times New Roman"/>
          <w:color w:val="000000" w:themeColor="text1"/>
          <w:sz w:val="24"/>
          <w:szCs w:val="24"/>
        </w:rPr>
        <w:t>old (</w:t>
      </w:r>
      <w:r w:rsidR="008F06F9" w:rsidRPr="00F81452">
        <w:rPr>
          <w:rFonts w:ascii="Times New Roman" w:hAnsi="Times New Roman" w:cs="Times New Roman"/>
          <w:i/>
          <w:color w:val="000000" w:themeColor="text1"/>
          <w:sz w:val="24"/>
          <w:szCs w:val="24"/>
        </w:rPr>
        <w:t>ρ</w:t>
      </w:r>
      <w:r w:rsidR="008F06F9" w:rsidRPr="00F81452">
        <w:rPr>
          <w:rFonts w:ascii="Times New Roman" w:hAnsi="Times New Roman" w:cs="Times New Roman"/>
          <w:color w:val="000000" w:themeColor="text1"/>
          <w:sz w:val="24"/>
          <w:szCs w:val="24"/>
        </w:rPr>
        <w:t xml:space="preserve"> = 0.833, </w:t>
      </w:r>
      <w:r w:rsidR="008F06F9" w:rsidRPr="00F81452">
        <w:rPr>
          <w:rFonts w:ascii="Times New Roman" w:hAnsi="Times New Roman" w:cs="Times New Roman"/>
          <w:i/>
          <w:color w:val="000000" w:themeColor="text1"/>
          <w:sz w:val="24"/>
          <w:szCs w:val="24"/>
        </w:rPr>
        <w:t>p</w:t>
      </w:r>
      <w:r w:rsidR="008F06F9" w:rsidRPr="00F81452">
        <w:rPr>
          <w:rFonts w:ascii="Times New Roman" w:hAnsi="Times New Roman" w:cs="Times New Roman"/>
          <w:color w:val="000000" w:themeColor="text1"/>
          <w:sz w:val="24"/>
          <w:szCs w:val="24"/>
        </w:rPr>
        <w:t xml:space="preserve"> = 0.010), which </w:t>
      </w:r>
      <w:r w:rsidR="00B119C1" w:rsidRPr="00F81452">
        <w:rPr>
          <w:rFonts w:ascii="Times New Roman" w:hAnsi="Times New Roman" w:cs="Times New Roman"/>
          <w:color w:val="000000" w:themeColor="text1"/>
          <w:sz w:val="24"/>
          <w:szCs w:val="24"/>
        </w:rPr>
        <w:t xml:space="preserve">both </w:t>
      </w:r>
      <w:r w:rsidR="008F06F9" w:rsidRPr="00F81452">
        <w:rPr>
          <w:rFonts w:ascii="Times New Roman" w:hAnsi="Times New Roman" w:cs="Times New Roman"/>
          <w:color w:val="000000" w:themeColor="text1"/>
          <w:sz w:val="24"/>
          <w:szCs w:val="24"/>
        </w:rPr>
        <w:t xml:space="preserve">indicate a growing </w:t>
      </w:r>
      <w:r w:rsidR="008F06F9" w:rsidRPr="008F5AA6">
        <w:rPr>
          <w:rFonts w:ascii="Times New Roman" w:hAnsi="Times New Roman" w:cs="Times New Roman"/>
          <w:color w:val="000000" w:themeColor="text1"/>
          <w:sz w:val="24"/>
          <w:szCs w:val="24"/>
        </w:rPr>
        <w:t>imbalance</w:t>
      </w:r>
      <w:r>
        <w:rPr>
          <w:rFonts w:ascii="Times New Roman" w:hAnsi="Times New Roman" w:cs="Times New Roman"/>
          <w:color w:val="000000" w:themeColor="text1"/>
          <w:sz w:val="24"/>
          <w:szCs w:val="24"/>
        </w:rPr>
        <w:t xml:space="preserve"> at the Olympic Games</w:t>
      </w:r>
      <w:r w:rsidR="008F06F9" w:rsidRPr="008F5AA6">
        <w:rPr>
          <w:rFonts w:ascii="Times New Roman" w:hAnsi="Times New Roman" w:cs="Times New Roman"/>
          <w:color w:val="000000" w:themeColor="text1"/>
          <w:sz w:val="24"/>
          <w:szCs w:val="24"/>
        </w:rPr>
        <w:t xml:space="preserve">. The HHIN trends for medals, medal points and </w:t>
      </w:r>
      <w:r w:rsidR="00AD4EC4">
        <w:rPr>
          <w:rFonts w:ascii="Times New Roman" w:hAnsi="Times New Roman" w:cs="Times New Roman"/>
          <w:color w:val="000000" w:themeColor="text1"/>
          <w:sz w:val="24"/>
          <w:szCs w:val="24"/>
        </w:rPr>
        <w:t>top eight</w:t>
      </w:r>
      <w:r w:rsidR="008F06F9" w:rsidRPr="008F5AA6">
        <w:rPr>
          <w:rFonts w:ascii="Times New Roman" w:hAnsi="Times New Roman" w:cs="Times New Roman"/>
          <w:color w:val="000000" w:themeColor="text1"/>
          <w:sz w:val="24"/>
          <w:szCs w:val="24"/>
        </w:rPr>
        <w:t xml:space="preserve"> points </w:t>
      </w:r>
      <w:r w:rsidR="00CC0883">
        <w:rPr>
          <w:rFonts w:ascii="Times New Roman" w:hAnsi="Times New Roman" w:cs="Times New Roman"/>
          <w:color w:val="000000" w:themeColor="text1"/>
          <w:sz w:val="24"/>
          <w:szCs w:val="24"/>
        </w:rPr>
        <w:t>are</w:t>
      </w:r>
      <w:r w:rsidR="008F06F9" w:rsidRPr="008F5AA6">
        <w:rPr>
          <w:rFonts w:ascii="Times New Roman" w:hAnsi="Times New Roman" w:cs="Times New Roman"/>
          <w:color w:val="000000" w:themeColor="text1"/>
          <w:sz w:val="24"/>
          <w:szCs w:val="24"/>
        </w:rPr>
        <w:t xml:space="preserve"> not significant</w:t>
      </w:r>
      <w:r w:rsidR="00787C25">
        <w:rPr>
          <w:rFonts w:ascii="Times New Roman" w:hAnsi="Times New Roman" w:cs="Times New Roman"/>
          <w:color w:val="000000" w:themeColor="text1"/>
          <w:sz w:val="24"/>
          <w:szCs w:val="24"/>
        </w:rPr>
        <w:t>, measured by Spearman correlations</w:t>
      </w:r>
      <w:r w:rsidR="008F06F9" w:rsidRPr="008F5AA6">
        <w:rPr>
          <w:rFonts w:ascii="Times New Roman" w:hAnsi="Times New Roman" w:cs="Times New Roman"/>
          <w:color w:val="000000" w:themeColor="text1"/>
          <w:sz w:val="24"/>
          <w:szCs w:val="24"/>
        </w:rPr>
        <w:t xml:space="preserve">.  </w:t>
      </w:r>
    </w:p>
    <w:p w14:paraId="121EB845" w14:textId="08FFA3E6" w:rsidR="00914795" w:rsidRDefault="00914795" w:rsidP="00914795">
      <w:pPr>
        <w:spacing w:after="0"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Concerning gender-specific results, t</w:t>
      </w:r>
      <w:r w:rsidR="007846BD" w:rsidRPr="008F5AA6">
        <w:rPr>
          <w:rFonts w:ascii="Times New Roman" w:hAnsi="Times New Roman" w:cs="Times New Roman"/>
          <w:color w:val="000000" w:themeColor="text1"/>
          <w:sz w:val="24"/>
          <w:szCs w:val="24"/>
        </w:rPr>
        <w:t>he analysis of male competitions</w:t>
      </w:r>
      <w:r w:rsidR="007846BD">
        <w:rPr>
          <w:rFonts w:ascii="Times New Roman" w:hAnsi="Times New Roman" w:cs="Times New Roman"/>
          <w:color w:val="000000" w:themeColor="text1"/>
          <w:sz w:val="24"/>
          <w:szCs w:val="24"/>
        </w:rPr>
        <w:t xml:space="preserve"> </w:t>
      </w:r>
      <w:r w:rsidR="007846BD" w:rsidRPr="008F5AA6">
        <w:rPr>
          <w:rFonts w:ascii="Times New Roman" w:hAnsi="Times New Roman" w:cs="Times New Roman"/>
          <w:color w:val="000000" w:themeColor="text1"/>
          <w:sz w:val="24"/>
          <w:szCs w:val="24"/>
        </w:rPr>
        <w:t>identifie</w:t>
      </w:r>
      <w:r w:rsidR="007846BD">
        <w:rPr>
          <w:rFonts w:ascii="Times New Roman" w:hAnsi="Times New Roman" w:cs="Times New Roman"/>
          <w:color w:val="000000" w:themeColor="text1"/>
          <w:sz w:val="24"/>
          <w:szCs w:val="24"/>
        </w:rPr>
        <w:t>s</w:t>
      </w:r>
      <w:r w:rsidR="007846BD" w:rsidRPr="008F5AA6">
        <w:rPr>
          <w:rFonts w:ascii="Times New Roman" w:hAnsi="Times New Roman" w:cs="Times New Roman"/>
          <w:color w:val="000000" w:themeColor="text1"/>
          <w:sz w:val="24"/>
          <w:szCs w:val="24"/>
        </w:rPr>
        <w:t xml:space="preserve"> a significant and positive result for CV Gold (</w:t>
      </w:r>
      <w:r w:rsidR="007846BD" w:rsidRPr="008F5AA6">
        <w:rPr>
          <w:rFonts w:ascii="Times New Roman" w:hAnsi="Times New Roman" w:cs="Times New Roman"/>
          <w:i/>
          <w:color w:val="000000" w:themeColor="text1"/>
          <w:sz w:val="24"/>
          <w:szCs w:val="24"/>
        </w:rPr>
        <w:t>ρ</w:t>
      </w:r>
      <w:r w:rsidR="007846BD" w:rsidRPr="008F5AA6">
        <w:rPr>
          <w:rFonts w:ascii="Times New Roman" w:hAnsi="Times New Roman" w:cs="Times New Roman"/>
          <w:color w:val="000000" w:themeColor="text1"/>
          <w:sz w:val="24"/>
          <w:szCs w:val="24"/>
        </w:rPr>
        <w:t xml:space="preserve"> = 0.898, </w:t>
      </w:r>
      <w:r w:rsidR="007846BD" w:rsidRPr="008F5AA6">
        <w:rPr>
          <w:rFonts w:ascii="Times New Roman" w:hAnsi="Times New Roman" w:cs="Times New Roman"/>
          <w:i/>
          <w:color w:val="000000" w:themeColor="text1"/>
          <w:sz w:val="24"/>
          <w:szCs w:val="24"/>
        </w:rPr>
        <w:t>p</w:t>
      </w:r>
      <w:r w:rsidR="007846BD" w:rsidRPr="008F5AA6">
        <w:rPr>
          <w:rFonts w:ascii="Times New Roman" w:hAnsi="Times New Roman" w:cs="Times New Roman"/>
          <w:color w:val="000000" w:themeColor="text1"/>
          <w:sz w:val="24"/>
          <w:szCs w:val="24"/>
        </w:rPr>
        <w:t xml:space="preserve"> = 0.002). Commensurately, there </w:t>
      </w:r>
      <w:r w:rsidR="007846BD">
        <w:rPr>
          <w:rFonts w:ascii="Times New Roman" w:hAnsi="Times New Roman" w:cs="Times New Roman"/>
          <w:color w:val="000000" w:themeColor="text1"/>
          <w:sz w:val="24"/>
          <w:szCs w:val="24"/>
        </w:rPr>
        <w:t>is</w:t>
      </w:r>
      <w:r w:rsidR="007846BD" w:rsidRPr="008F5AA6">
        <w:rPr>
          <w:rFonts w:ascii="Times New Roman" w:hAnsi="Times New Roman" w:cs="Times New Roman"/>
          <w:color w:val="000000" w:themeColor="text1"/>
          <w:sz w:val="24"/>
          <w:szCs w:val="24"/>
        </w:rPr>
        <w:t xml:space="preserve"> also a significant and positive correlation for HHIN Gold (</w:t>
      </w:r>
      <w:r w:rsidR="007846BD" w:rsidRPr="008F5AA6">
        <w:rPr>
          <w:rFonts w:ascii="Times New Roman" w:hAnsi="Times New Roman" w:cs="Times New Roman"/>
          <w:i/>
          <w:color w:val="000000" w:themeColor="text1"/>
          <w:sz w:val="24"/>
          <w:szCs w:val="24"/>
        </w:rPr>
        <w:t>ρ</w:t>
      </w:r>
      <w:r w:rsidR="007846BD" w:rsidRPr="008F5AA6">
        <w:rPr>
          <w:rFonts w:ascii="Times New Roman" w:hAnsi="Times New Roman" w:cs="Times New Roman"/>
          <w:color w:val="000000" w:themeColor="text1"/>
          <w:sz w:val="24"/>
          <w:szCs w:val="24"/>
        </w:rPr>
        <w:t xml:space="preserve"> = 0.709, </w:t>
      </w:r>
      <w:r w:rsidR="007846BD" w:rsidRPr="008F5AA6">
        <w:rPr>
          <w:rFonts w:ascii="Times New Roman" w:hAnsi="Times New Roman" w:cs="Times New Roman"/>
          <w:i/>
          <w:color w:val="000000" w:themeColor="text1"/>
          <w:sz w:val="24"/>
          <w:szCs w:val="24"/>
        </w:rPr>
        <w:t>p</w:t>
      </w:r>
      <w:r w:rsidR="007846BD" w:rsidRPr="008F5AA6">
        <w:rPr>
          <w:rFonts w:ascii="Times New Roman" w:hAnsi="Times New Roman" w:cs="Times New Roman"/>
          <w:color w:val="000000" w:themeColor="text1"/>
          <w:sz w:val="24"/>
          <w:szCs w:val="24"/>
        </w:rPr>
        <w:t xml:space="preserve"> = 0.049)</w:t>
      </w:r>
      <w:r w:rsidR="007846BD">
        <w:rPr>
          <w:rFonts w:ascii="Times New Roman" w:hAnsi="Times New Roman" w:cs="Times New Roman"/>
          <w:color w:val="000000" w:themeColor="text1"/>
          <w:sz w:val="24"/>
          <w:szCs w:val="24"/>
        </w:rPr>
        <w:t xml:space="preserve">, indicative of a significant trend towards </w:t>
      </w:r>
      <w:r w:rsidR="00C82EF8">
        <w:rPr>
          <w:rFonts w:ascii="Times New Roman" w:hAnsi="Times New Roman" w:cs="Times New Roman"/>
          <w:color w:val="000000" w:themeColor="text1"/>
          <w:sz w:val="24"/>
          <w:szCs w:val="24"/>
        </w:rPr>
        <w:t>a deteriorated</w:t>
      </w:r>
      <w:r w:rsidR="007846BD">
        <w:rPr>
          <w:rFonts w:ascii="Times New Roman" w:hAnsi="Times New Roman" w:cs="Times New Roman"/>
          <w:color w:val="000000" w:themeColor="text1"/>
          <w:sz w:val="24"/>
          <w:szCs w:val="24"/>
        </w:rPr>
        <w:t xml:space="preserve"> competitive balance of the distribution of gold medals amongst male table tennis players at the Olympic Games from Seoul 1988 to Rio de Janeiro 2016</w:t>
      </w:r>
      <w:r w:rsidR="007846BD" w:rsidRPr="008F5AA6">
        <w:rPr>
          <w:rFonts w:ascii="Times New Roman" w:hAnsi="Times New Roman" w:cs="Times New Roman"/>
          <w:color w:val="000000" w:themeColor="text1"/>
          <w:sz w:val="24"/>
          <w:szCs w:val="24"/>
        </w:rPr>
        <w:t xml:space="preserve">.  </w:t>
      </w:r>
    </w:p>
    <w:p w14:paraId="783D63C6" w14:textId="0B365465" w:rsidR="008F06F9" w:rsidRPr="008F5AA6" w:rsidRDefault="00B119C1" w:rsidP="00914795">
      <w:pPr>
        <w:spacing w:after="0"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the contrary, t</w:t>
      </w:r>
      <w:r w:rsidR="008F06F9" w:rsidRPr="008F5AA6">
        <w:rPr>
          <w:rFonts w:ascii="Times New Roman" w:hAnsi="Times New Roman" w:cs="Times New Roman"/>
          <w:color w:val="000000" w:themeColor="text1"/>
          <w:sz w:val="24"/>
          <w:szCs w:val="24"/>
        </w:rPr>
        <w:t xml:space="preserve">he analysis of female competitions shows </w:t>
      </w:r>
      <w:r w:rsidR="00CC0883">
        <w:rPr>
          <w:rFonts w:ascii="Times New Roman" w:hAnsi="Times New Roman" w:cs="Times New Roman"/>
          <w:color w:val="000000" w:themeColor="text1"/>
          <w:sz w:val="24"/>
          <w:szCs w:val="24"/>
        </w:rPr>
        <w:t xml:space="preserve">a </w:t>
      </w:r>
      <w:r w:rsidR="008F06F9" w:rsidRPr="008F5AA6">
        <w:rPr>
          <w:rFonts w:ascii="Times New Roman" w:hAnsi="Times New Roman" w:cs="Times New Roman"/>
          <w:color w:val="000000" w:themeColor="text1"/>
          <w:sz w:val="24"/>
          <w:szCs w:val="24"/>
        </w:rPr>
        <w:t xml:space="preserve">significant negative HHIN trend for </w:t>
      </w:r>
      <w:r w:rsidR="00493658">
        <w:rPr>
          <w:rFonts w:ascii="Times New Roman" w:hAnsi="Times New Roman" w:cs="Times New Roman"/>
          <w:color w:val="000000" w:themeColor="text1"/>
          <w:sz w:val="24"/>
          <w:szCs w:val="24"/>
        </w:rPr>
        <w:t>top eight</w:t>
      </w:r>
      <w:r w:rsidR="008F06F9" w:rsidRPr="008F5AA6">
        <w:rPr>
          <w:rFonts w:ascii="Times New Roman" w:hAnsi="Times New Roman" w:cs="Times New Roman"/>
          <w:color w:val="000000" w:themeColor="text1"/>
          <w:sz w:val="24"/>
          <w:szCs w:val="24"/>
        </w:rPr>
        <w:t xml:space="preserve"> points (</w:t>
      </w:r>
      <w:r w:rsidR="008F06F9" w:rsidRPr="008F5AA6">
        <w:rPr>
          <w:rFonts w:ascii="Times New Roman" w:hAnsi="Times New Roman" w:cs="Times New Roman"/>
          <w:i/>
          <w:color w:val="000000" w:themeColor="text1"/>
          <w:sz w:val="24"/>
          <w:szCs w:val="24"/>
        </w:rPr>
        <w:t>ρ</w:t>
      </w:r>
      <w:r w:rsidR="008F06F9" w:rsidRPr="008F5AA6">
        <w:rPr>
          <w:rFonts w:ascii="Times New Roman" w:hAnsi="Times New Roman" w:cs="Times New Roman"/>
          <w:color w:val="000000" w:themeColor="text1"/>
          <w:sz w:val="24"/>
          <w:szCs w:val="24"/>
        </w:rPr>
        <w:t xml:space="preserve"> = </w:t>
      </w:r>
      <w:r w:rsidR="008F06F9" w:rsidRPr="00B073DB">
        <w:rPr>
          <w:rFonts w:ascii="Times New Roman" w:hAnsi="Times New Roman" w:cs="Times New Roman"/>
          <w:color w:val="000000" w:themeColor="text1"/>
          <w:sz w:val="24"/>
          <w:szCs w:val="24"/>
          <w:highlight w:val="yellow"/>
        </w:rPr>
        <w:t>-0.</w:t>
      </w:r>
      <w:r w:rsidR="00B073DB" w:rsidRPr="00B073DB">
        <w:rPr>
          <w:rFonts w:ascii="Times New Roman" w:hAnsi="Times New Roman" w:cs="Times New Roman"/>
          <w:color w:val="000000" w:themeColor="text1"/>
          <w:sz w:val="24"/>
          <w:szCs w:val="24"/>
          <w:highlight w:val="yellow"/>
        </w:rPr>
        <w:t>738</w:t>
      </w:r>
      <w:r w:rsidR="008F06F9" w:rsidRPr="00B073DB">
        <w:rPr>
          <w:rFonts w:ascii="Times New Roman" w:hAnsi="Times New Roman" w:cs="Times New Roman"/>
          <w:color w:val="000000" w:themeColor="text1"/>
          <w:sz w:val="24"/>
          <w:szCs w:val="24"/>
          <w:highlight w:val="yellow"/>
        </w:rPr>
        <w:t>,</w:t>
      </w:r>
      <w:r w:rsidR="008F06F9" w:rsidRPr="008F5AA6">
        <w:rPr>
          <w:rFonts w:ascii="Times New Roman" w:hAnsi="Times New Roman" w:cs="Times New Roman"/>
          <w:color w:val="000000" w:themeColor="text1"/>
          <w:sz w:val="24"/>
          <w:szCs w:val="24"/>
        </w:rPr>
        <w:t xml:space="preserve"> </w:t>
      </w:r>
      <w:r w:rsidR="008F06F9" w:rsidRPr="008F5AA6">
        <w:rPr>
          <w:rFonts w:ascii="Times New Roman" w:hAnsi="Times New Roman" w:cs="Times New Roman"/>
          <w:i/>
          <w:color w:val="000000" w:themeColor="text1"/>
          <w:sz w:val="24"/>
          <w:szCs w:val="24"/>
        </w:rPr>
        <w:t>p</w:t>
      </w:r>
      <w:r w:rsidR="008F06F9" w:rsidRPr="008F5AA6">
        <w:rPr>
          <w:rFonts w:ascii="Times New Roman" w:hAnsi="Times New Roman" w:cs="Times New Roman"/>
          <w:color w:val="000000" w:themeColor="text1"/>
          <w:sz w:val="24"/>
          <w:szCs w:val="24"/>
        </w:rPr>
        <w:t xml:space="preserve"> = 0.037). When considered in th</w:t>
      </w:r>
      <w:r w:rsidR="00493658">
        <w:rPr>
          <w:rFonts w:ascii="Times New Roman" w:hAnsi="Times New Roman" w:cs="Times New Roman"/>
          <w:color w:val="000000" w:themeColor="text1"/>
          <w:sz w:val="24"/>
          <w:szCs w:val="24"/>
        </w:rPr>
        <w:t>e context of the small number of</w:t>
      </w:r>
      <w:r w:rsidR="008F06F9" w:rsidRPr="008F5AA6">
        <w:rPr>
          <w:rFonts w:ascii="Times New Roman" w:hAnsi="Times New Roman" w:cs="Times New Roman"/>
          <w:color w:val="000000" w:themeColor="text1"/>
          <w:sz w:val="24"/>
          <w:szCs w:val="24"/>
        </w:rPr>
        <w:t xml:space="preserve"> nations winning medals, this finding indicates that</w:t>
      </w:r>
      <w:r w:rsidR="00493658">
        <w:rPr>
          <w:rFonts w:ascii="Times New Roman" w:hAnsi="Times New Roman" w:cs="Times New Roman"/>
          <w:color w:val="000000" w:themeColor="text1"/>
          <w:sz w:val="24"/>
          <w:szCs w:val="24"/>
        </w:rPr>
        <w:t xml:space="preserve"> there</w:t>
      </w:r>
      <w:r w:rsidR="008F06F9" w:rsidRPr="008F5AA6">
        <w:rPr>
          <w:rFonts w:ascii="Times New Roman" w:hAnsi="Times New Roman" w:cs="Times New Roman"/>
          <w:color w:val="000000" w:themeColor="text1"/>
          <w:sz w:val="24"/>
          <w:szCs w:val="24"/>
        </w:rPr>
        <w:t xml:space="preserve"> </w:t>
      </w:r>
      <w:r w:rsidR="00493658">
        <w:rPr>
          <w:rFonts w:ascii="Times New Roman" w:hAnsi="Times New Roman" w:cs="Times New Roman"/>
          <w:color w:val="000000" w:themeColor="text1"/>
          <w:sz w:val="24"/>
          <w:szCs w:val="24"/>
        </w:rPr>
        <w:t>has been</w:t>
      </w:r>
      <w:r w:rsidR="008F06F9" w:rsidRPr="008F5AA6">
        <w:rPr>
          <w:rFonts w:ascii="Times New Roman" w:hAnsi="Times New Roman" w:cs="Times New Roman"/>
          <w:color w:val="000000" w:themeColor="text1"/>
          <w:sz w:val="24"/>
          <w:szCs w:val="24"/>
        </w:rPr>
        <w:t xml:space="preserve"> an increasing number of teams finishing fourth to eighth. </w:t>
      </w:r>
      <w:r w:rsidR="005815C9">
        <w:rPr>
          <w:rFonts w:ascii="Times New Roman" w:hAnsi="Times New Roman" w:cs="Times New Roman"/>
          <w:color w:val="000000" w:themeColor="text1"/>
          <w:sz w:val="24"/>
          <w:szCs w:val="24"/>
        </w:rPr>
        <w:t>It should be noted</w:t>
      </w:r>
      <w:r w:rsidR="008F06F9" w:rsidRPr="008F5AA6">
        <w:rPr>
          <w:rFonts w:ascii="Times New Roman" w:hAnsi="Times New Roman" w:cs="Times New Roman"/>
          <w:color w:val="000000" w:themeColor="text1"/>
          <w:sz w:val="24"/>
          <w:szCs w:val="24"/>
        </w:rPr>
        <w:t xml:space="preserve"> that whilst the direction of this trend </w:t>
      </w:r>
      <w:r w:rsidR="00493658">
        <w:rPr>
          <w:rFonts w:ascii="Times New Roman" w:hAnsi="Times New Roman" w:cs="Times New Roman"/>
          <w:color w:val="000000" w:themeColor="text1"/>
          <w:sz w:val="24"/>
          <w:szCs w:val="24"/>
        </w:rPr>
        <w:t>is</w:t>
      </w:r>
      <w:r w:rsidR="008F06F9" w:rsidRPr="008F5AA6">
        <w:rPr>
          <w:rFonts w:ascii="Times New Roman" w:hAnsi="Times New Roman" w:cs="Times New Roman"/>
          <w:color w:val="000000" w:themeColor="text1"/>
          <w:sz w:val="24"/>
          <w:szCs w:val="24"/>
        </w:rPr>
        <w:t xml:space="preserve"> the same for </w:t>
      </w:r>
      <w:r>
        <w:rPr>
          <w:rFonts w:ascii="Times New Roman" w:hAnsi="Times New Roman" w:cs="Times New Roman"/>
          <w:color w:val="000000" w:themeColor="text1"/>
          <w:sz w:val="24"/>
          <w:szCs w:val="24"/>
        </w:rPr>
        <w:t>male</w:t>
      </w:r>
      <w:r w:rsidRPr="008F5AA6">
        <w:rPr>
          <w:rFonts w:ascii="Times New Roman" w:hAnsi="Times New Roman" w:cs="Times New Roman"/>
          <w:color w:val="000000" w:themeColor="text1"/>
          <w:sz w:val="24"/>
          <w:szCs w:val="24"/>
        </w:rPr>
        <w:t xml:space="preserve"> </w:t>
      </w:r>
      <w:r w:rsidR="008F06F9" w:rsidRPr="008F5AA6">
        <w:rPr>
          <w:rFonts w:ascii="Times New Roman" w:hAnsi="Times New Roman" w:cs="Times New Roman"/>
          <w:color w:val="000000" w:themeColor="text1"/>
          <w:sz w:val="24"/>
          <w:szCs w:val="24"/>
        </w:rPr>
        <w:t xml:space="preserve">and male-female combined (i.e., overall), the result </w:t>
      </w:r>
      <w:r w:rsidR="00CC0883">
        <w:rPr>
          <w:rFonts w:ascii="Times New Roman" w:hAnsi="Times New Roman" w:cs="Times New Roman"/>
          <w:color w:val="000000" w:themeColor="text1"/>
          <w:sz w:val="24"/>
          <w:szCs w:val="24"/>
        </w:rPr>
        <w:t>is</w:t>
      </w:r>
      <w:r w:rsidR="008F06F9" w:rsidRPr="008F5AA6">
        <w:rPr>
          <w:rFonts w:ascii="Times New Roman" w:hAnsi="Times New Roman" w:cs="Times New Roman"/>
          <w:color w:val="000000" w:themeColor="text1"/>
          <w:sz w:val="24"/>
          <w:szCs w:val="24"/>
        </w:rPr>
        <w:t xml:space="preserve"> insignificant. </w:t>
      </w:r>
      <w:r w:rsidR="00914795">
        <w:rPr>
          <w:rFonts w:ascii="Times New Roman" w:hAnsi="Times New Roman" w:cs="Times New Roman"/>
          <w:color w:val="000000" w:themeColor="text1"/>
          <w:sz w:val="24"/>
          <w:szCs w:val="24"/>
        </w:rPr>
        <w:t xml:space="preserve">Consistent </w:t>
      </w:r>
      <w:r w:rsidR="00914795" w:rsidRPr="00EB3228">
        <w:rPr>
          <w:rFonts w:ascii="Times New Roman" w:hAnsi="Times New Roman" w:cs="Times New Roman"/>
          <w:color w:val="000000" w:themeColor="text1"/>
          <w:sz w:val="24"/>
          <w:szCs w:val="24"/>
          <w:highlight w:val="yellow"/>
        </w:rPr>
        <w:t xml:space="preserve">with </w:t>
      </w:r>
      <w:r w:rsidR="00EB3228" w:rsidRPr="00EB3228">
        <w:rPr>
          <w:rFonts w:ascii="Times New Roman" w:hAnsi="Times New Roman" w:cs="Times New Roman"/>
          <w:color w:val="000000" w:themeColor="text1"/>
          <w:sz w:val="24"/>
          <w:szCs w:val="24"/>
          <w:highlight w:val="yellow"/>
        </w:rPr>
        <w:t>overall and male analyses</w:t>
      </w:r>
      <w:r w:rsidR="00914795">
        <w:rPr>
          <w:rFonts w:ascii="Times New Roman" w:hAnsi="Times New Roman" w:cs="Times New Roman"/>
          <w:color w:val="000000" w:themeColor="text1"/>
          <w:sz w:val="24"/>
          <w:szCs w:val="24"/>
        </w:rPr>
        <w:t>, t</w:t>
      </w:r>
      <w:r w:rsidR="008F06F9" w:rsidRPr="008F5AA6">
        <w:rPr>
          <w:rFonts w:ascii="Times New Roman" w:hAnsi="Times New Roman" w:cs="Times New Roman"/>
          <w:color w:val="000000" w:themeColor="text1"/>
          <w:sz w:val="24"/>
          <w:szCs w:val="24"/>
        </w:rPr>
        <w:t>he CV</w:t>
      </w:r>
      <w:r w:rsidR="00493658">
        <w:rPr>
          <w:rFonts w:ascii="Times New Roman" w:hAnsi="Times New Roman" w:cs="Times New Roman"/>
          <w:color w:val="000000" w:themeColor="text1"/>
          <w:sz w:val="24"/>
          <w:szCs w:val="24"/>
        </w:rPr>
        <w:t xml:space="preserve"> analysis for females </w:t>
      </w:r>
      <w:r w:rsidR="007846BD">
        <w:rPr>
          <w:rFonts w:ascii="Times New Roman" w:hAnsi="Times New Roman" w:cs="Times New Roman"/>
          <w:color w:val="000000" w:themeColor="text1"/>
          <w:sz w:val="24"/>
          <w:szCs w:val="24"/>
        </w:rPr>
        <w:t xml:space="preserve">also </w:t>
      </w:r>
      <w:r w:rsidR="00493658">
        <w:rPr>
          <w:rFonts w:ascii="Times New Roman" w:hAnsi="Times New Roman" w:cs="Times New Roman"/>
          <w:color w:val="000000" w:themeColor="text1"/>
          <w:sz w:val="24"/>
          <w:szCs w:val="24"/>
        </w:rPr>
        <w:t>identifies</w:t>
      </w:r>
      <w:r w:rsidR="008F06F9" w:rsidRPr="008F5AA6">
        <w:rPr>
          <w:rFonts w:ascii="Times New Roman" w:hAnsi="Times New Roman" w:cs="Times New Roman"/>
          <w:color w:val="000000" w:themeColor="text1"/>
          <w:sz w:val="24"/>
          <w:szCs w:val="24"/>
        </w:rPr>
        <w:t xml:space="preserve"> a significant positive </w:t>
      </w:r>
      <w:r w:rsidR="00493658">
        <w:rPr>
          <w:rFonts w:ascii="Times New Roman" w:hAnsi="Times New Roman" w:cs="Times New Roman"/>
          <w:color w:val="000000" w:themeColor="text1"/>
          <w:sz w:val="24"/>
          <w:szCs w:val="24"/>
        </w:rPr>
        <w:t>trend for gold medals</w:t>
      </w:r>
      <w:r w:rsidR="008F06F9" w:rsidRPr="008F5AA6">
        <w:rPr>
          <w:rFonts w:ascii="Times New Roman" w:hAnsi="Times New Roman" w:cs="Times New Roman"/>
          <w:color w:val="000000" w:themeColor="text1"/>
          <w:sz w:val="24"/>
          <w:szCs w:val="24"/>
        </w:rPr>
        <w:t xml:space="preserve"> (</w:t>
      </w:r>
      <w:r w:rsidR="008F06F9" w:rsidRPr="008F5AA6">
        <w:rPr>
          <w:rFonts w:ascii="Times New Roman" w:hAnsi="Times New Roman" w:cs="Times New Roman"/>
          <w:i/>
          <w:color w:val="000000" w:themeColor="text1"/>
          <w:sz w:val="24"/>
          <w:szCs w:val="24"/>
        </w:rPr>
        <w:t>ρ</w:t>
      </w:r>
      <w:r w:rsidR="008F06F9" w:rsidRPr="008F5AA6">
        <w:rPr>
          <w:rFonts w:ascii="Times New Roman" w:hAnsi="Times New Roman" w:cs="Times New Roman"/>
          <w:color w:val="000000" w:themeColor="text1"/>
          <w:sz w:val="24"/>
          <w:szCs w:val="24"/>
        </w:rPr>
        <w:t xml:space="preserve"> = 0.762, </w:t>
      </w:r>
      <w:r w:rsidR="008F06F9" w:rsidRPr="008F5AA6">
        <w:rPr>
          <w:rFonts w:ascii="Times New Roman" w:hAnsi="Times New Roman" w:cs="Times New Roman"/>
          <w:i/>
          <w:color w:val="000000" w:themeColor="text1"/>
          <w:sz w:val="24"/>
          <w:szCs w:val="24"/>
        </w:rPr>
        <w:t>p</w:t>
      </w:r>
      <w:r w:rsidR="008F06F9" w:rsidRPr="008F5AA6">
        <w:rPr>
          <w:rFonts w:ascii="Times New Roman" w:hAnsi="Times New Roman" w:cs="Times New Roman"/>
          <w:color w:val="000000" w:themeColor="text1"/>
          <w:sz w:val="24"/>
          <w:szCs w:val="24"/>
        </w:rPr>
        <w:t xml:space="preserve"> = 0.028). </w:t>
      </w:r>
    </w:p>
    <w:p w14:paraId="6353647A" w14:textId="77777777" w:rsidR="008F06F9" w:rsidRPr="008F5AA6" w:rsidRDefault="008F06F9" w:rsidP="00C201D1">
      <w:pPr>
        <w:spacing w:after="0" w:line="480" w:lineRule="auto"/>
        <w:contextualSpacing/>
        <w:jc w:val="both"/>
        <w:rPr>
          <w:rFonts w:ascii="Times New Roman" w:hAnsi="Times New Roman" w:cs="Times New Roman"/>
          <w:color w:val="000000" w:themeColor="text1"/>
          <w:sz w:val="24"/>
          <w:szCs w:val="24"/>
        </w:rPr>
      </w:pPr>
    </w:p>
    <w:p w14:paraId="1142902A" w14:textId="77777777" w:rsidR="008F06F9" w:rsidRPr="008F5AA6" w:rsidRDefault="008F06F9" w:rsidP="00127246">
      <w:pPr>
        <w:spacing w:after="0" w:line="480" w:lineRule="auto"/>
        <w:contextualSpacing/>
        <w:jc w:val="center"/>
        <w:rPr>
          <w:rFonts w:ascii="Times New Roman" w:hAnsi="Times New Roman" w:cs="Times New Roman"/>
          <w:color w:val="000000" w:themeColor="text1"/>
          <w:sz w:val="24"/>
          <w:szCs w:val="24"/>
        </w:rPr>
      </w:pPr>
      <w:r w:rsidRPr="008F5AA6">
        <w:rPr>
          <w:rFonts w:ascii="Times New Roman" w:hAnsi="Times New Roman" w:cs="Times New Roman"/>
          <w:color w:val="000000" w:themeColor="text1"/>
          <w:sz w:val="24"/>
          <w:szCs w:val="24"/>
        </w:rPr>
        <w:t>**** Table 3 near here****</w:t>
      </w:r>
    </w:p>
    <w:p w14:paraId="41A147B1" w14:textId="77777777" w:rsidR="008F06F9" w:rsidRPr="008F5AA6" w:rsidRDefault="008F06F9" w:rsidP="00C201D1">
      <w:pPr>
        <w:spacing w:after="0" w:line="480" w:lineRule="auto"/>
        <w:contextualSpacing/>
        <w:jc w:val="both"/>
        <w:rPr>
          <w:rFonts w:ascii="Times New Roman" w:hAnsi="Times New Roman" w:cs="Times New Roman"/>
          <w:bCs/>
          <w:color w:val="000000" w:themeColor="text1"/>
          <w:sz w:val="24"/>
          <w:szCs w:val="24"/>
        </w:rPr>
      </w:pPr>
    </w:p>
    <w:p w14:paraId="63482020" w14:textId="29A223F2" w:rsidR="008F06F9" w:rsidRPr="008F5AA6" w:rsidRDefault="00D71E2E" w:rsidP="00C201D1">
      <w:pPr>
        <w:spacing w:after="0"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Concerning the</w:t>
      </w:r>
      <w:r w:rsidR="008F06F9" w:rsidRPr="008F5AA6">
        <w:rPr>
          <w:rFonts w:ascii="Times New Roman" w:hAnsi="Times New Roman" w:cs="Times New Roman"/>
          <w:color w:val="000000" w:themeColor="text1"/>
          <w:sz w:val="24"/>
          <w:szCs w:val="24"/>
        </w:rPr>
        <w:t xml:space="preserve"> World Championships</w:t>
      </w:r>
      <w:r>
        <w:rPr>
          <w:rFonts w:ascii="Times New Roman" w:hAnsi="Times New Roman" w:cs="Times New Roman"/>
          <w:color w:val="000000" w:themeColor="text1"/>
          <w:sz w:val="24"/>
          <w:szCs w:val="24"/>
        </w:rPr>
        <w:t xml:space="preserve"> (Table 4), o</w:t>
      </w:r>
      <w:r w:rsidR="008F06F9" w:rsidRPr="008F5AA6">
        <w:rPr>
          <w:rFonts w:ascii="Times New Roman" w:hAnsi="Times New Roman" w:cs="Times New Roman"/>
          <w:color w:val="000000" w:themeColor="text1"/>
          <w:sz w:val="24"/>
          <w:szCs w:val="24"/>
        </w:rPr>
        <w:t xml:space="preserve">verall, there </w:t>
      </w:r>
      <w:r w:rsidR="00D36169">
        <w:rPr>
          <w:rFonts w:ascii="Times New Roman" w:hAnsi="Times New Roman" w:cs="Times New Roman"/>
          <w:color w:val="000000" w:themeColor="text1"/>
          <w:sz w:val="24"/>
          <w:szCs w:val="24"/>
        </w:rPr>
        <w:t>are</w:t>
      </w:r>
      <w:r w:rsidR="008F06F9" w:rsidRPr="008F5AA6">
        <w:rPr>
          <w:rFonts w:ascii="Times New Roman" w:hAnsi="Times New Roman" w:cs="Times New Roman"/>
          <w:color w:val="000000" w:themeColor="text1"/>
          <w:sz w:val="24"/>
          <w:szCs w:val="24"/>
        </w:rPr>
        <w:t xml:space="preserve"> no significant trend</w:t>
      </w:r>
      <w:r w:rsidR="00C82EF8">
        <w:rPr>
          <w:rFonts w:ascii="Times New Roman" w:hAnsi="Times New Roman" w:cs="Times New Roman"/>
          <w:color w:val="000000" w:themeColor="text1"/>
          <w:sz w:val="24"/>
          <w:szCs w:val="24"/>
        </w:rPr>
        <w:t xml:space="preserve">s for any of the HHIN analyses. </w:t>
      </w:r>
      <w:r w:rsidR="008F06F9" w:rsidRPr="008F5AA6">
        <w:rPr>
          <w:rFonts w:ascii="Times New Roman" w:hAnsi="Times New Roman" w:cs="Times New Roman"/>
          <w:color w:val="000000" w:themeColor="text1"/>
          <w:sz w:val="24"/>
          <w:szCs w:val="24"/>
        </w:rPr>
        <w:t xml:space="preserve">However, the CV analyses </w:t>
      </w:r>
      <w:r w:rsidR="00D36169">
        <w:rPr>
          <w:rFonts w:ascii="Times New Roman" w:hAnsi="Times New Roman" w:cs="Times New Roman"/>
          <w:color w:val="000000" w:themeColor="text1"/>
          <w:sz w:val="24"/>
          <w:szCs w:val="24"/>
        </w:rPr>
        <w:t>are</w:t>
      </w:r>
      <w:r w:rsidR="008F06F9" w:rsidRPr="008F5AA6">
        <w:rPr>
          <w:rFonts w:ascii="Times New Roman" w:hAnsi="Times New Roman" w:cs="Times New Roman"/>
          <w:color w:val="000000" w:themeColor="text1"/>
          <w:sz w:val="24"/>
          <w:szCs w:val="24"/>
        </w:rPr>
        <w:t xml:space="preserve"> all significant and positive – Gold (</w:t>
      </w:r>
      <w:r w:rsidR="008F06F9" w:rsidRPr="008F5AA6">
        <w:rPr>
          <w:rFonts w:ascii="Times New Roman" w:hAnsi="Times New Roman" w:cs="Times New Roman"/>
          <w:i/>
          <w:color w:val="000000" w:themeColor="text1"/>
          <w:sz w:val="24"/>
          <w:szCs w:val="24"/>
        </w:rPr>
        <w:t>ρ</w:t>
      </w:r>
      <w:r w:rsidR="008F06F9" w:rsidRPr="008F5AA6">
        <w:rPr>
          <w:rFonts w:ascii="Times New Roman" w:hAnsi="Times New Roman" w:cs="Times New Roman"/>
          <w:color w:val="000000" w:themeColor="text1"/>
          <w:sz w:val="24"/>
          <w:szCs w:val="24"/>
        </w:rPr>
        <w:t xml:space="preserve"> = 0.749, </w:t>
      </w:r>
      <w:r w:rsidR="008F06F9" w:rsidRPr="008F5AA6">
        <w:rPr>
          <w:rFonts w:ascii="Times New Roman" w:hAnsi="Times New Roman" w:cs="Times New Roman"/>
          <w:i/>
          <w:color w:val="000000" w:themeColor="text1"/>
          <w:sz w:val="24"/>
          <w:szCs w:val="24"/>
        </w:rPr>
        <w:t>p</w:t>
      </w:r>
      <w:r w:rsidR="008F06F9" w:rsidRPr="008F5AA6">
        <w:rPr>
          <w:rFonts w:ascii="Times New Roman" w:hAnsi="Times New Roman" w:cs="Times New Roman"/>
          <w:color w:val="000000" w:themeColor="text1"/>
          <w:sz w:val="24"/>
          <w:szCs w:val="24"/>
        </w:rPr>
        <w:t xml:space="preserve"> = 0.002), Medals (</w:t>
      </w:r>
      <w:r w:rsidR="008F06F9" w:rsidRPr="008F5AA6">
        <w:rPr>
          <w:rFonts w:ascii="Times New Roman" w:hAnsi="Times New Roman" w:cs="Times New Roman"/>
          <w:i/>
          <w:color w:val="000000" w:themeColor="text1"/>
          <w:sz w:val="24"/>
          <w:szCs w:val="24"/>
        </w:rPr>
        <w:t>ρ</w:t>
      </w:r>
      <w:r w:rsidR="008F06F9" w:rsidRPr="008F5AA6">
        <w:rPr>
          <w:rFonts w:ascii="Times New Roman" w:hAnsi="Times New Roman" w:cs="Times New Roman"/>
          <w:color w:val="000000" w:themeColor="text1"/>
          <w:sz w:val="24"/>
          <w:szCs w:val="24"/>
        </w:rPr>
        <w:t xml:space="preserve"> = 0.697, </w:t>
      </w:r>
      <w:r w:rsidR="008F06F9" w:rsidRPr="008F5AA6">
        <w:rPr>
          <w:rFonts w:ascii="Times New Roman" w:hAnsi="Times New Roman" w:cs="Times New Roman"/>
          <w:i/>
          <w:color w:val="000000" w:themeColor="text1"/>
          <w:sz w:val="24"/>
          <w:szCs w:val="24"/>
        </w:rPr>
        <w:t>p</w:t>
      </w:r>
      <w:r w:rsidR="008F06F9" w:rsidRPr="008F5AA6">
        <w:rPr>
          <w:rFonts w:ascii="Times New Roman" w:hAnsi="Times New Roman" w:cs="Times New Roman"/>
          <w:color w:val="000000" w:themeColor="text1"/>
          <w:sz w:val="24"/>
          <w:szCs w:val="24"/>
        </w:rPr>
        <w:t xml:space="preserve"> = 0.00</w:t>
      </w:r>
      <w:r w:rsidR="00657D48">
        <w:rPr>
          <w:rFonts w:ascii="Times New Roman" w:hAnsi="Times New Roman" w:cs="Times New Roman"/>
          <w:color w:val="000000" w:themeColor="text1"/>
          <w:sz w:val="24"/>
          <w:szCs w:val="24"/>
        </w:rPr>
        <w:t>6</w:t>
      </w:r>
      <w:r w:rsidR="008F06F9" w:rsidRPr="008F5AA6">
        <w:rPr>
          <w:rFonts w:ascii="Times New Roman" w:hAnsi="Times New Roman" w:cs="Times New Roman"/>
          <w:color w:val="000000" w:themeColor="text1"/>
          <w:sz w:val="24"/>
          <w:szCs w:val="24"/>
        </w:rPr>
        <w:t xml:space="preserve">), Medal </w:t>
      </w:r>
      <w:r w:rsidR="00D36169">
        <w:rPr>
          <w:rFonts w:ascii="Times New Roman" w:hAnsi="Times New Roman" w:cs="Times New Roman"/>
          <w:color w:val="000000" w:themeColor="text1"/>
          <w:sz w:val="24"/>
          <w:szCs w:val="24"/>
        </w:rPr>
        <w:t>p</w:t>
      </w:r>
      <w:r w:rsidR="008F06F9" w:rsidRPr="008F5AA6">
        <w:rPr>
          <w:rFonts w:ascii="Times New Roman" w:hAnsi="Times New Roman" w:cs="Times New Roman"/>
          <w:color w:val="000000" w:themeColor="text1"/>
          <w:sz w:val="24"/>
          <w:szCs w:val="24"/>
        </w:rPr>
        <w:t>oints (</w:t>
      </w:r>
      <w:r w:rsidR="008F06F9" w:rsidRPr="008F5AA6">
        <w:rPr>
          <w:rFonts w:ascii="Times New Roman" w:hAnsi="Times New Roman" w:cs="Times New Roman"/>
          <w:i/>
          <w:color w:val="000000" w:themeColor="text1"/>
          <w:sz w:val="24"/>
          <w:szCs w:val="24"/>
        </w:rPr>
        <w:t>ρ</w:t>
      </w:r>
      <w:r w:rsidR="008F06F9" w:rsidRPr="008F5AA6">
        <w:rPr>
          <w:rFonts w:ascii="Times New Roman" w:hAnsi="Times New Roman" w:cs="Times New Roman"/>
          <w:color w:val="000000" w:themeColor="text1"/>
          <w:sz w:val="24"/>
          <w:szCs w:val="24"/>
        </w:rPr>
        <w:t xml:space="preserve"> = 0.811, </w:t>
      </w:r>
      <w:r w:rsidR="008F06F9" w:rsidRPr="008F5AA6">
        <w:rPr>
          <w:rFonts w:ascii="Times New Roman" w:hAnsi="Times New Roman" w:cs="Times New Roman"/>
          <w:i/>
          <w:color w:val="000000" w:themeColor="text1"/>
          <w:sz w:val="24"/>
          <w:szCs w:val="24"/>
        </w:rPr>
        <w:t>p</w:t>
      </w:r>
      <w:r w:rsidR="008F06F9" w:rsidRPr="008F5AA6">
        <w:rPr>
          <w:rFonts w:ascii="Times New Roman" w:hAnsi="Times New Roman" w:cs="Times New Roman"/>
          <w:color w:val="000000" w:themeColor="text1"/>
          <w:sz w:val="24"/>
          <w:szCs w:val="24"/>
        </w:rPr>
        <w:t xml:space="preserve"> = 0.00</w:t>
      </w:r>
      <w:r w:rsidR="00657D48">
        <w:rPr>
          <w:rFonts w:ascii="Times New Roman" w:hAnsi="Times New Roman" w:cs="Times New Roman"/>
          <w:color w:val="000000" w:themeColor="text1"/>
          <w:sz w:val="24"/>
          <w:szCs w:val="24"/>
        </w:rPr>
        <w:t>0</w:t>
      </w:r>
      <w:r w:rsidR="008F06F9" w:rsidRPr="008F5AA6">
        <w:rPr>
          <w:rFonts w:ascii="Times New Roman" w:hAnsi="Times New Roman" w:cs="Times New Roman"/>
          <w:color w:val="000000" w:themeColor="text1"/>
          <w:sz w:val="24"/>
          <w:szCs w:val="24"/>
        </w:rPr>
        <w:t>), and Top 8 points (</w:t>
      </w:r>
      <w:r w:rsidR="008F06F9" w:rsidRPr="008F5AA6">
        <w:rPr>
          <w:rFonts w:ascii="Times New Roman" w:hAnsi="Times New Roman" w:cs="Times New Roman"/>
          <w:i/>
          <w:color w:val="000000" w:themeColor="text1"/>
          <w:sz w:val="24"/>
          <w:szCs w:val="24"/>
        </w:rPr>
        <w:t>ρ</w:t>
      </w:r>
      <w:r w:rsidR="008F06F9" w:rsidRPr="008F5AA6">
        <w:rPr>
          <w:rFonts w:ascii="Times New Roman" w:hAnsi="Times New Roman" w:cs="Times New Roman"/>
          <w:color w:val="000000" w:themeColor="text1"/>
          <w:sz w:val="24"/>
          <w:szCs w:val="24"/>
        </w:rPr>
        <w:t xml:space="preserve"> = 0.648, </w:t>
      </w:r>
      <w:r w:rsidR="008F06F9" w:rsidRPr="008F5AA6">
        <w:rPr>
          <w:rFonts w:ascii="Times New Roman" w:hAnsi="Times New Roman" w:cs="Times New Roman"/>
          <w:i/>
          <w:color w:val="000000" w:themeColor="text1"/>
          <w:sz w:val="24"/>
          <w:szCs w:val="24"/>
        </w:rPr>
        <w:t>p</w:t>
      </w:r>
      <w:r w:rsidR="008F06F9" w:rsidRPr="008F5AA6">
        <w:rPr>
          <w:rFonts w:ascii="Times New Roman" w:hAnsi="Times New Roman" w:cs="Times New Roman"/>
          <w:color w:val="000000" w:themeColor="text1"/>
          <w:sz w:val="24"/>
          <w:szCs w:val="24"/>
        </w:rPr>
        <w:t xml:space="preserve"> = 0.0</w:t>
      </w:r>
      <w:r w:rsidR="00657D48">
        <w:rPr>
          <w:rFonts w:ascii="Times New Roman" w:hAnsi="Times New Roman" w:cs="Times New Roman"/>
          <w:color w:val="000000" w:themeColor="text1"/>
          <w:sz w:val="24"/>
          <w:szCs w:val="24"/>
        </w:rPr>
        <w:t>1</w:t>
      </w:r>
      <w:r w:rsidR="008F06F9" w:rsidRPr="008F5AA6">
        <w:rPr>
          <w:rFonts w:ascii="Times New Roman" w:hAnsi="Times New Roman" w:cs="Times New Roman"/>
          <w:color w:val="000000" w:themeColor="text1"/>
          <w:sz w:val="24"/>
          <w:szCs w:val="24"/>
        </w:rPr>
        <w:t xml:space="preserve">2). All of these </w:t>
      </w:r>
      <w:r w:rsidR="00B119C1">
        <w:rPr>
          <w:rFonts w:ascii="Times New Roman" w:hAnsi="Times New Roman" w:cs="Times New Roman"/>
          <w:color w:val="000000" w:themeColor="text1"/>
          <w:sz w:val="24"/>
          <w:szCs w:val="24"/>
        </w:rPr>
        <w:t>confirm</w:t>
      </w:r>
      <w:r w:rsidR="00B119C1" w:rsidRPr="008F5AA6">
        <w:rPr>
          <w:rFonts w:ascii="Times New Roman" w:hAnsi="Times New Roman" w:cs="Times New Roman"/>
          <w:color w:val="000000" w:themeColor="text1"/>
          <w:sz w:val="24"/>
          <w:szCs w:val="24"/>
        </w:rPr>
        <w:t xml:space="preserve"> </w:t>
      </w:r>
      <w:r w:rsidR="00156E3E">
        <w:rPr>
          <w:rFonts w:ascii="Times New Roman" w:hAnsi="Times New Roman" w:cs="Times New Roman"/>
          <w:color w:val="000000" w:themeColor="text1"/>
          <w:sz w:val="24"/>
          <w:szCs w:val="24"/>
        </w:rPr>
        <w:t>a decreased</w:t>
      </w:r>
      <w:r w:rsidR="008F06F9" w:rsidRPr="008F5AA6">
        <w:rPr>
          <w:rFonts w:ascii="Times New Roman" w:hAnsi="Times New Roman" w:cs="Times New Roman"/>
          <w:color w:val="000000" w:themeColor="text1"/>
          <w:sz w:val="24"/>
          <w:szCs w:val="24"/>
        </w:rPr>
        <w:t xml:space="preserve"> </w:t>
      </w:r>
      <w:r w:rsidR="00D36169">
        <w:rPr>
          <w:rFonts w:ascii="Times New Roman" w:hAnsi="Times New Roman" w:cs="Times New Roman"/>
          <w:color w:val="000000" w:themeColor="text1"/>
          <w:sz w:val="24"/>
          <w:szCs w:val="24"/>
        </w:rPr>
        <w:t xml:space="preserve">dispersion of the </w:t>
      </w:r>
      <w:r w:rsidR="008F06F9" w:rsidRPr="008F5AA6">
        <w:rPr>
          <w:rFonts w:ascii="Times New Roman" w:hAnsi="Times New Roman" w:cs="Times New Roman"/>
          <w:color w:val="000000" w:themeColor="text1"/>
          <w:sz w:val="24"/>
          <w:szCs w:val="24"/>
        </w:rPr>
        <w:t xml:space="preserve">distribution of success (or </w:t>
      </w:r>
      <w:r w:rsidR="00156E3E">
        <w:rPr>
          <w:rFonts w:ascii="Times New Roman" w:hAnsi="Times New Roman" w:cs="Times New Roman"/>
          <w:color w:val="000000" w:themeColor="text1"/>
          <w:sz w:val="24"/>
          <w:szCs w:val="24"/>
        </w:rPr>
        <w:t>deteriorated</w:t>
      </w:r>
      <w:r w:rsidR="008F06F9" w:rsidRPr="008F5AA6">
        <w:rPr>
          <w:rFonts w:ascii="Times New Roman" w:hAnsi="Times New Roman" w:cs="Times New Roman"/>
          <w:color w:val="000000" w:themeColor="text1"/>
          <w:sz w:val="24"/>
          <w:szCs w:val="24"/>
        </w:rPr>
        <w:t xml:space="preserve"> competitive balance)</w:t>
      </w:r>
      <w:r w:rsidR="00B119C1">
        <w:rPr>
          <w:rFonts w:ascii="Times New Roman" w:hAnsi="Times New Roman" w:cs="Times New Roman"/>
          <w:color w:val="000000" w:themeColor="text1"/>
          <w:sz w:val="24"/>
          <w:szCs w:val="24"/>
        </w:rPr>
        <w:t>, as noted earlier</w:t>
      </w:r>
      <w:r w:rsidR="008F06F9" w:rsidRPr="008F5AA6">
        <w:rPr>
          <w:rFonts w:ascii="Times New Roman" w:hAnsi="Times New Roman" w:cs="Times New Roman"/>
          <w:color w:val="000000" w:themeColor="text1"/>
          <w:sz w:val="24"/>
          <w:szCs w:val="24"/>
        </w:rPr>
        <w:t>.</w:t>
      </w:r>
    </w:p>
    <w:p w14:paraId="22C53237" w14:textId="4696C927" w:rsidR="008F06F9" w:rsidRDefault="008F06F9" w:rsidP="00C201D1">
      <w:pPr>
        <w:spacing w:after="0" w:line="480" w:lineRule="auto"/>
        <w:ind w:firstLine="706"/>
        <w:jc w:val="both"/>
        <w:rPr>
          <w:rFonts w:ascii="Times New Roman" w:hAnsi="Times New Roman" w:cs="Times New Roman"/>
          <w:color w:val="000000" w:themeColor="text1"/>
          <w:sz w:val="24"/>
          <w:szCs w:val="24"/>
        </w:rPr>
      </w:pPr>
      <w:r w:rsidRPr="008F5AA6">
        <w:rPr>
          <w:rFonts w:ascii="Times New Roman" w:hAnsi="Times New Roman" w:cs="Times New Roman"/>
          <w:color w:val="000000" w:themeColor="text1"/>
          <w:sz w:val="24"/>
          <w:szCs w:val="24"/>
        </w:rPr>
        <w:t>For male competitions, the HHIN trends for both Medals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0.543,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0.045) and Medal </w:t>
      </w:r>
      <w:r w:rsidR="002A501B">
        <w:rPr>
          <w:rFonts w:ascii="Times New Roman" w:hAnsi="Times New Roman" w:cs="Times New Roman"/>
          <w:color w:val="000000" w:themeColor="text1"/>
          <w:sz w:val="24"/>
          <w:szCs w:val="24"/>
        </w:rPr>
        <w:t>p</w:t>
      </w:r>
      <w:r w:rsidRPr="008F5AA6">
        <w:rPr>
          <w:rFonts w:ascii="Times New Roman" w:hAnsi="Times New Roman" w:cs="Times New Roman"/>
          <w:color w:val="000000" w:themeColor="text1"/>
          <w:sz w:val="24"/>
          <w:szCs w:val="24"/>
        </w:rPr>
        <w:t>oints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0.626,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0.017) </w:t>
      </w:r>
      <w:r w:rsidR="002A501B">
        <w:rPr>
          <w:rFonts w:ascii="Times New Roman" w:hAnsi="Times New Roman" w:cs="Times New Roman"/>
          <w:color w:val="000000" w:themeColor="text1"/>
          <w:sz w:val="24"/>
          <w:szCs w:val="24"/>
        </w:rPr>
        <w:t>are</w:t>
      </w:r>
      <w:r w:rsidRPr="008F5AA6">
        <w:rPr>
          <w:rFonts w:ascii="Times New Roman" w:hAnsi="Times New Roman" w:cs="Times New Roman"/>
          <w:color w:val="000000" w:themeColor="text1"/>
          <w:sz w:val="24"/>
          <w:szCs w:val="24"/>
        </w:rPr>
        <w:t xml:space="preserve"> </w:t>
      </w:r>
      <w:r w:rsidR="002A501B">
        <w:rPr>
          <w:rFonts w:ascii="Times New Roman" w:hAnsi="Times New Roman" w:cs="Times New Roman"/>
          <w:color w:val="000000" w:themeColor="text1"/>
          <w:sz w:val="24"/>
          <w:szCs w:val="24"/>
        </w:rPr>
        <w:t xml:space="preserve">both significant and positive. </w:t>
      </w:r>
      <w:r w:rsidR="003C089D">
        <w:rPr>
          <w:rFonts w:ascii="Times New Roman" w:hAnsi="Times New Roman" w:cs="Times New Roman"/>
          <w:color w:val="000000" w:themeColor="text1"/>
          <w:sz w:val="24"/>
          <w:szCs w:val="24"/>
        </w:rPr>
        <w:t>All</w:t>
      </w:r>
      <w:r w:rsidRPr="008F5AA6">
        <w:rPr>
          <w:rFonts w:ascii="Times New Roman" w:hAnsi="Times New Roman" w:cs="Times New Roman"/>
          <w:color w:val="000000" w:themeColor="text1"/>
          <w:sz w:val="24"/>
          <w:szCs w:val="24"/>
        </w:rPr>
        <w:t xml:space="preserve"> of the male CV trends </w:t>
      </w:r>
      <w:r w:rsidR="002A501B">
        <w:rPr>
          <w:rFonts w:ascii="Times New Roman" w:hAnsi="Times New Roman" w:cs="Times New Roman"/>
          <w:color w:val="000000" w:themeColor="text1"/>
          <w:sz w:val="24"/>
          <w:szCs w:val="24"/>
        </w:rPr>
        <w:t>are</w:t>
      </w:r>
      <w:r w:rsidRPr="008F5AA6">
        <w:rPr>
          <w:rFonts w:ascii="Times New Roman" w:hAnsi="Times New Roman" w:cs="Times New Roman"/>
          <w:color w:val="000000" w:themeColor="text1"/>
          <w:sz w:val="24"/>
          <w:szCs w:val="24"/>
        </w:rPr>
        <w:t xml:space="preserve"> significant and positive </w:t>
      </w:r>
      <w:r w:rsidR="002A501B" w:rsidRPr="002A501B">
        <w:rPr>
          <w:rFonts w:ascii="Times New Roman" w:hAnsi="Times New Roman" w:cs="Times New Roman"/>
          <w:color w:val="000000" w:themeColor="text1"/>
          <w:sz w:val="24"/>
          <w:szCs w:val="24"/>
        </w:rPr>
        <w:t>–</w:t>
      </w:r>
      <w:r w:rsidRPr="008F5AA6">
        <w:rPr>
          <w:rFonts w:ascii="Times New Roman" w:hAnsi="Times New Roman" w:cs="Times New Roman"/>
          <w:color w:val="000000" w:themeColor="text1"/>
          <w:sz w:val="24"/>
          <w:szCs w:val="24"/>
        </w:rPr>
        <w:t xml:space="preserve"> Gold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0.692,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0.006), Medals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0.837,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0.000), Medal Points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0.837,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0.000), and Top 8 points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0.675,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0.008). </w:t>
      </w:r>
    </w:p>
    <w:p w14:paraId="4519BBE1" w14:textId="6AFB7BDC" w:rsidR="007846BD" w:rsidRPr="008F5AA6" w:rsidRDefault="007846BD" w:rsidP="004F029F">
      <w:pPr>
        <w:spacing w:after="0" w:line="480" w:lineRule="auto"/>
        <w:ind w:firstLine="706"/>
        <w:jc w:val="both"/>
        <w:rPr>
          <w:rFonts w:ascii="Times New Roman" w:hAnsi="Times New Roman" w:cs="Times New Roman"/>
          <w:color w:val="000000" w:themeColor="text1"/>
          <w:sz w:val="24"/>
          <w:szCs w:val="24"/>
        </w:rPr>
      </w:pPr>
      <w:r w:rsidRPr="008F5AA6">
        <w:rPr>
          <w:rFonts w:ascii="Times New Roman" w:hAnsi="Times New Roman" w:cs="Times New Roman"/>
          <w:color w:val="000000" w:themeColor="text1"/>
          <w:sz w:val="24"/>
          <w:szCs w:val="24"/>
        </w:rPr>
        <w:t xml:space="preserve">For female competitions, </w:t>
      </w:r>
      <w:r w:rsidR="003C089D">
        <w:rPr>
          <w:rFonts w:ascii="Times New Roman" w:hAnsi="Times New Roman" w:cs="Times New Roman"/>
          <w:color w:val="000000" w:themeColor="text1"/>
          <w:sz w:val="24"/>
          <w:szCs w:val="24"/>
        </w:rPr>
        <w:t xml:space="preserve">consistent with overall and male analyses, </w:t>
      </w:r>
      <w:r w:rsidRPr="008F5AA6">
        <w:rPr>
          <w:rFonts w:ascii="Times New Roman" w:hAnsi="Times New Roman" w:cs="Times New Roman"/>
          <w:color w:val="000000" w:themeColor="text1"/>
          <w:sz w:val="24"/>
          <w:szCs w:val="24"/>
        </w:rPr>
        <w:t xml:space="preserve">the CV analyses </w:t>
      </w:r>
      <w:r>
        <w:rPr>
          <w:rFonts w:ascii="Times New Roman" w:hAnsi="Times New Roman" w:cs="Times New Roman"/>
          <w:color w:val="000000" w:themeColor="text1"/>
          <w:sz w:val="24"/>
          <w:szCs w:val="24"/>
        </w:rPr>
        <w:t>are</w:t>
      </w:r>
      <w:r w:rsidRPr="008F5AA6">
        <w:rPr>
          <w:rFonts w:ascii="Times New Roman" w:hAnsi="Times New Roman" w:cs="Times New Roman"/>
          <w:color w:val="000000" w:themeColor="text1"/>
          <w:sz w:val="24"/>
          <w:szCs w:val="24"/>
        </w:rPr>
        <w:t xml:space="preserve"> also all significant and positive </w:t>
      </w:r>
      <w:r w:rsidRPr="002A501B">
        <w:rPr>
          <w:rFonts w:ascii="Times New Roman" w:hAnsi="Times New Roman" w:cs="Times New Roman"/>
          <w:color w:val="000000" w:themeColor="text1"/>
          <w:sz w:val="24"/>
          <w:szCs w:val="24"/>
        </w:rPr>
        <w:t>–</w:t>
      </w:r>
      <w:r w:rsidRPr="008F5AA6">
        <w:rPr>
          <w:rFonts w:ascii="Times New Roman" w:hAnsi="Times New Roman" w:cs="Times New Roman"/>
          <w:color w:val="000000" w:themeColor="text1"/>
          <w:sz w:val="24"/>
          <w:szCs w:val="24"/>
        </w:rPr>
        <w:t xml:space="preserve"> Gold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0.829,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0.000), Medals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0.547,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0.043), Medal </w:t>
      </w:r>
      <w:r>
        <w:rPr>
          <w:rFonts w:ascii="Times New Roman" w:hAnsi="Times New Roman" w:cs="Times New Roman"/>
          <w:color w:val="000000" w:themeColor="text1"/>
          <w:sz w:val="24"/>
          <w:szCs w:val="24"/>
        </w:rPr>
        <w:t>p</w:t>
      </w:r>
      <w:r w:rsidRPr="008F5AA6">
        <w:rPr>
          <w:rFonts w:ascii="Times New Roman" w:hAnsi="Times New Roman" w:cs="Times New Roman"/>
          <w:color w:val="000000" w:themeColor="text1"/>
          <w:sz w:val="24"/>
          <w:szCs w:val="24"/>
        </w:rPr>
        <w:t>oints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0.662,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0.010), and Top 8 points (</w:t>
      </w:r>
      <w:r w:rsidRPr="008F5AA6">
        <w:rPr>
          <w:rFonts w:ascii="Times New Roman" w:hAnsi="Times New Roman" w:cs="Times New Roman"/>
          <w:i/>
          <w:color w:val="000000" w:themeColor="text1"/>
          <w:sz w:val="24"/>
          <w:szCs w:val="24"/>
        </w:rPr>
        <w:t>ρ</w:t>
      </w:r>
      <w:r w:rsidRPr="008F5AA6">
        <w:rPr>
          <w:rFonts w:ascii="Times New Roman" w:hAnsi="Times New Roman" w:cs="Times New Roman"/>
          <w:color w:val="000000" w:themeColor="text1"/>
          <w:sz w:val="24"/>
          <w:szCs w:val="24"/>
        </w:rPr>
        <w:t xml:space="preserve"> = 0.626, </w:t>
      </w:r>
      <w:r w:rsidRPr="008F5AA6">
        <w:rPr>
          <w:rFonts w:ascii="Times New Roman" w:hAnsi="Times New Roman" w:cs="Times New Roman"/>
          <w:i/>
          <w:color w:val="000000" w:themeColor="text1"/>
          <w:sz w:val="24"/>
          <w:szCs w:val="24"/>
        </w:rPr>
        <w:t>p</w:t>
      </w:r>
      <w:r w:rsidRPr="008F5AA6">
        <w:rPr>
          <w:rFonts w:ascii="Times New Roman" w:hAnsi="Times New Roman" w:cs="Times New Roman"/>
          <w:color w:val="000000" w:themeColor="text1"/>
          <w:sz w:val="24"/>
          <w:szCs w:val="24"/>
        </w:rPr>
        <w:t xml:space="preserve"> = 0.017). </w:t>
      </w:r>
      <w:r w:rsidR="003C089D">
        <w:rPr>
          <w:rFonts w:ascii="Times New Roman" w:hAnsi="Times New Roman" w:cs="Times New Roman"/>
          <w:color w:val="000000" w:themeColor="text1"/>
          <w:sz w:val="24"/>
          <w:szCs w:val="24"/>
        </w:rPr>
        <w:t>However, compared to male analyse, t</w:t>
      </w:r>
      <w:r w:rsidRPr="008F5AA6">
        <w:rPr>
          <w:rFonts w:ascii="Times New Roman" w:hAnsi="Times New Roman" w:cs="Times New Roman"/>
          <w:color w:val="000000" w:themeColor="text1"/>
          <w:sz w:val="24"/>
          <w:szCs w:val="24"/>
        </w:rPr>
        <w:t xml:space="preserve">here </w:t>
      </w:r>
      <w:r>
        <w:rPr>
          <w:rFonts w:ascii="Times New Roman" w:hAnsi="Times New Roman" w:cs="Times New Roman"/>
          <w:color w:val="000000" w:themeColor="text1"/>
          <w:sz w:val="24"/>
          <w:szCs w:val="24"/>
        </w:rPr>
        <w:t>are</w:t>
      </w:r>
      <w:r w:rsidRPr="008F5AA6">
        <w:rPr>
          <w:rFonts w:ascii="Times New Roman" w:hAnsi="Times New Roman" w:cs="Times New Roman"/>
          <w:color w:val="000000" w:themeColor="text1"/>
          <w:sz w:val="24"/>
          <w:szCs w:val="24"/>
        </w:rPr>
        <w:t xml:space="preserve"> no significant trends for any of the HHI analyses for the female competitions.</w:t>
      </w:r>
    </w:p>
    <w:p w14:paraId="02242580" w14:textId="77777777" w:rsidR="008F06F9" w:rsidRPr="008F5AA6" w:rsidRDefault="008F06F9" w:rsidP="00C201D1">
      <w:pPr>
        <w:spacing w:after="0" w:line="480" w:lineRule="auto"/>
        <w:contextualSpacing/>
        <w:jc w:val="both"/>
        <w:rPr>
          <w:rFonts w:ascii="Times New Roman" w:hAnsi="Times New Roman" w:cs="Times New Roman"/>
          <w:bCs/>
          <w:color w:val="000000" w:themeColor="text1"/>
          <w:sz w:val="24"/>
          <w:szCs w:val="24"/>
        </w:rPr>
      </w:pPr>
    </w:p>
    <w:p w14:paraId="3FBF57D9" w14:textId="77777777" w:rsidR="008F06F9" w:rsidRPr="008F5AA6" w:rsidRDefault="008F06F9" w:rsidP="00EC64C6">
      <w:pPr>
        <w:spacing w:after="0" w:line="480" w:lineRule="auto"/>
        <w:contextualSpacing/>
        <w:jc w:val="center"/>
        <w:rPr>
          <w:rFonts w:ascii="Times New Roman" w:hAnsi="Times New Roman" w:cs="Times New Roman"/>
          <w:color w:val="000000" w:themeColor="text1"/>
          <w:sz w:val="24"/>
          <w:szCs w:val="24"/>
        </w:rPr>
      </w:pPr>
      <w:r w:rsidRPr="008F5AA6">
        <w:rPr>
          <w:rFonts w:ascii="Times New Roman" w:hAnsi="Times New Roman" w:cs="Times New Roman"/>
          <w:color w:val="000000" w:themeColor="text1"/>
          <w:sz w:val="24"/>
          <w:szCs w:val="24"/>
        </w:rPr>
        <w:t>**** Table 4 near here****</w:t>
      </w:r>
    </w:p>
    <w:p w14:paraId="689DF9BB" w14:textId="77777777" w:rsidR="006D4373" w:rsidRPr="008F5AA6" w:rsidRDefault="006D4373" w:rsidP="00C201D1">
      <w:pPr>
        <w:spacing w:after="0" w:line="480" w:lineRule="auto"/>
        <w:contextualSpacing/>
        <w:jc w:val="both"/>
        <w:rPr>
          <w:rFonts w:ascii="Times New Roman" w:hAnsi="Times New Roman" w:cs="Times New Roman"/>
          <w:color w:val="000000" w:themeColor="text1"/>
          <w:sz w:val="24"/>
          <w:szCs w:val="24"/>
        </w:rPr>
      </w:pPr>
    </w:p>
    <w:p w14:paraId="6DB63F0E" w14:textId="77777777" w:rsidR="008F06F9" w:rsidRPr="008F5AA6" w:rsidRDefault="008F06F9" w:rsidP="00C201D1">
      <w:pPr>
        <w:spacing w:after="0" w:line="480" w:lineRule="auto"/>
        <w:jc w:val="both"/>
        <w:rPr>
          <w:rFonts w:ascii="Times New Roman" w:hAnsi="Times New Roman" w:cs="Times New Roman"/>
          <w:b/>
          <w:color w:val="000000" w:themeColor="text1"/>
          <w:sz w:val="24"/>
          <w:szCs w:val="24"/>
        </w:rPr>
      </w:pPr>
      <w:r w:rsidRPr="008F5AA6">
        <w:rPr>
          <w:rFonts w:ascii="Times New Roman" w:hAnsi="Times New Roman" w:cs="Times New Roman"/>
          <w:b/>
          <w:color w:val="000000" w:themeColor="text1"/>
          <w:sz w:val="24"/>
          <w:szCs w:val="24"/>
        </w:rPr>
        <w:t>Discussion</w:t>
      </w:r>
    </w:p>
    <w:p w14:paraId="039DFFF7" w14:textId="361C7609" w:rsidR="008F06F9" w:rsidRPr="008F5AA6" w:rsidRDefault="008F06F9" w:rsidP="00C201D1">
      <w:pPr>
        <w:spacing w:after="0" w:line="480" w:lineRule="auto"/>
        <w:jc w:val="both"/>
        <w:rPr>
          <w:rFonts w:ascii="Times New Roman" w:hAnsi="Times New Roman" w:cs="Times New Roman"/>
          <w:bCs/>
          <w:color w:val="000000" w:themeColor="text1"/>
          <w:sz w:val="24"/>
          <w:szCs w:val="24"/>
        </w:rPr>
      </w:pPr>
      <w:r w:rsidRPr="008F5AA6">
        <w:rPr>
          <w:rFonts w:ascii="Times New Roman" w:hAnsi="Times New Roman" w:cs="Times New Roman"/>
          <w:color w:val="000000" w:themeColor="text1"/>
          <w:sz w:val="24"/>
          <w:szCs w:val="24"/>
        </w:rPr>
        <w:t>This study measure</w:t>
      </w:r>
      <w:r w:rsidR="009B65D6">
        <w:rPr>
          <w:rFonts w:ascii="Times New Roman" w:hAnsi="Times New Roman" w:cs="Times New Roman"/>
          <w:color w:val="000000" w:themeColor="text1"/>
          <w:sz w:val="24"/>
          <w:szCs w:val="24"/>
        </w:rPr>
        <w:t>s</w:t>
      </w:r>
      <w:r w:rsidRPr="008F5AA6">
        <w:rPr>
          <w:rFonts w:ascii="Times New Roman" w:hAnsi="Times New Roman" w:cs="Times New Roman"/>
          <w:color w:val="000000" w:themeColor="text1"/>
          <w:sz w:val="24"/>
          <w:szCs w:val="24"/>
        </w:rPr>
        <w:t xml:space="preserve"> </w:t>
      </w:r>
      <w:r w:rsidRPr="008F5AA6">
        <w:rPr>
          <w:rFonts w:ascii="Times New Roman" w:hAnsi="Times New Roman" w:cs="Times New Roman"/>
          <w:bCs/>
          <w:color w:val="000000" w:themeColor="text1"/>
          <w:sz w:val="24"/>
          <w:szCs w:val="24"/>
        </w:rPr>
        <w:t>competition in elite table tennis using dat</w:t>
      </w:r>
      <w:r w:rsidR="00C35252">
        <w:rPr>
          <w:rFonts w:ascii="Times New Roman" w:hAnsi="Times New Roman" w:cs="Times New Roman"/>
          <w:bCs/>
          <w:color w:val="000000" w:themeColor="text1"/>
          <w:sz w:val="24"/>
          <w:szCs w:val="24"/>
        </w:rPr>
        <w:t>a</w:t>
      </w:r>
      <w:r w:rsidRPr="008F5AA6">
        <w:rPr>
          <w:rFonts w:ascii="Times New Roman" w:hAnsi="Times New Roman" w:cs="Times New Roman"/>
          <w:bCs/>
          <w:color w:val="000000" w:themeColor="text1"/>
          <w:sz w:val="24"/>
          <w:szCs w:val="24"/>
        </w:rPr>
        <w:t xml:space="preserve"> from the Olympic Games and </w:t>
      </w:r>
      <w:r w:rsidR="00CC0883">
        <w:rPr>
          <w:rFonts w:ascii="Times New Roman" w:hAnsi="Times New Roman" w:cs="Times New Roman"/>
          <w:bCs/>
          <w:color w:val="000000" w:themeColor="text1"/>
          <w:sz w:val="24"/>
          <w:szCs w:val="24"/>
        </w:rPr>
        <w:t xml:space="preserve">the </w:t>
      </w:r>
      <w:r w:rsidRPr="008F5AA6">
        <w:rPr>
          <w:rFonts w:ascii="Times New Roman" w:hAnsi="Times New Roman" w:cs="Times New Roman"/>
          <w:bCs/>
          <w:color w:val="000000" w:themeColor="text1"/>
          <w:sz w:val="24"/>
          <w:szCs w:val="24"/>
        </w:rPr>
        <w:t>World Championships between 1988 and 2016. The key findings of the research are that Ch</w:t>
      </w:r>
      <w:r w:rsidR="00850BC7">
        <w:rPr>
          <w:rFonts w:ascii="Times New Roman" w:hAnsi="Times New Roman" w:cs="Times New Roman"/>
          <w:bCs/>
          <w:color w:val="000000" w:themeColor="text1"/>
          <w:sz w:val="24"/>
          <w:szCs w:val="24"/>
        </w:rPr>
        <w:t xml:space="preserve">ina dominates both the Olympic Games </w:t>
      </w:r>
      <w:r w:rsidRPr="008F5AA6">
        <w:rPr>
          <w:rFonts w:ascii="Times New Roman" w:hAnsi="Times New Roman" w:cs="Times New Roman"/>
          <w:bCs/>
          <w:color w:val="000000" w:themeColor="text1"/>
          <w:sz w:val="24"/>
          <w:szCs w:val="24"/>
        </w:rPr>
        <w:t xml:space="preserve">and </w:t>
      </w:r>
      <w:r w:rsidR="00CC0883">
        <w:rPr>
          <w:rFonts w:ascii="Times New Roman" w:hAnsi="Times New Roman" w:cs="Times New Roman"/>
          <w:bCs/>
          <w:color w:val="000000" w:themeColor="text1"/>
          <w:sz w:val="24"/>
          <w:szCs w:val="24"/>
        </w:rPr>
        <w:t xml:space="preserve">the </w:t>
      </w:r>
      <w:r w:rsidRPr="008F5AA6">
        <w:rPr>
          <w:rFonts w:ascii="Times New Roman" w:hAnsi="Times New Roman" w:cs="Times New Roman"/>
          <w:bCs/>
          <w:color w:val="000000" w:themeColor="text1"/>
          <w:sz w:val="24"/>
          <w:szCs w:val="24"/>
        </w:rPr>
        <w:t>World Championships. At these events, China’s female table tennis players are more dominant than their male c</w:t>
      </w:r>
      <w:r w:rsidR="00850BC7">
        <w:rPr>
          <w:rFonts w:ascii="Times New Roman" w:hAnsi="Times New Roman" w:cs="Times New Roman"/>
          <w:bCs/>
          <w:color w:val="000000" w:themeColor="text1"/>
          <w:sz w:val="24"/>
          <w:szCs w:val="24"/>
        </w:rPr>
        <w:t>ompatriots. At the Olympic Games</w:t>
      </w:r>
      <w:r w:rsidRPr="008F5AA6">
        <w:rPr>
          <w:rFonts w:ascii="Times New Roman" w:hAnsi="Times New Roman" w:cs="Times New Roman"/>
          <w:bCs/>
          <w:color w:val="000000" w:themeColor="text1"/>
          <w:sz w:val="24"/>
          <w:szCs w:val="24"/>
        </w:rPr>
        <w:t xml:space="preserve">, China’s market share of gold medals </w:t>
      </w:r>
      <w:r w:rsidR="00850BC7">
        <w:rPr>
          <w:rFonts w:ascii="Times New Roman" w:hAnsi="Times New Roman" w:cs="Times New Roman"/>
          <w:bCs/>
          <w:color w:val="000000" w:themeColor="text1"/>
          <w:sz w:val="24"/>
          <w:szCs w:val="24"/>
        </w:rPr>
        <w:t>has been</w:t>
      </w:r>
      <w:r w:rsidRPr="008F5AA6">
        <w:rPr>
          <w:rFonts w:ascii="Times New Roman" w:hAnsi="Times New Roman" w:cs="Times New Roman"/>
          <w:bCs/>
          <w:color w:val="000000" w:themeColor="text1"/>
          <w:sz w:val="24"/>
          <w:szCs w:val="24"/>
        </w:rPr>
        <w:t xml:space="preserve"> monopolistic at most editions for both male and female competitions. In terms of overall gold medal distributions, both the HHIN and CV provide evidence of </w:t>
      </w:r>
      <w:r w:rsidR="00C35252">
        <w:rPr>
          <w:rFonts w:ascii="Times New Roman" w:hAnsi="Times New Roman" w:cs="Times New Roman"/>
          <w:bCs/>
          <w:color w:val="000000" w:themeColor="text1"/>
          <w:sz w:val="24"/>
          <w:szCs w:val="24"/>
        </w:rPr>
        <w:t xml:space="preserve">a </w:t>
      </w:r>
      <w:r w:rsidR="001D0093">
        <w:rPr>
          <w:rFonts w:ascii="Times New Roman" w:hAnsi="Times New Roman" w:cs="Times New Roman"/>
          <w:bCs/>
          <w:color w:val="000000" w:themeColor="text1"/>
          <w:sz w:val="24"/>
          <w:szCs w:val="24"/>
        </w:rPr>
        <w:t xml:space="preserve">decreased competitive balance. </w:t>
      </w:r>
      <w:r w:rsidRPr="008F5AA6">
        <w:rPr>
          <w:rFonts w:ascii="Times New Roman" w:hAnsi="Times New Roman" w:cs="Times New Roman"/>
          <w:bCs/>
          <w:color w:val="000000" w:themeColor="text1"/>
          <w:sz w:val="24"/>
          <w:szCs w:val="24"/>
        </w:rPr>
        <w:t xml:space="preserve">This trend </w:t>
      </w:r>
      <w:r w:rsidR="00850BC7">
        <w:rPr>
          <w:rFonts w:ascii="Times New Roman" w:hAnsi="Times New Roman" w:cs="Times New Roman"/>
          <w:bCs/>
          <w:color w:val="000000" w:themeColor="text1"/>
          <w:sz w:val="24"/>
          <w:szCs w:val="24"/>
        </w:rPr>
        <w:t>is</w:t>
      </w:r>
      <w:r w:rsidRPr="008F5AA6">
        <w:rPr>
          <w:rFonts w:ascii="Times New Roman" w:hAnsi="Times New Roman" w:cs="Times New Roman"/>
          <w:bCs/>
          <w:color w:val="000000" w:themeColor="text1"/>
          <w:sz w:val="24"/>
          <w:szCs w:val="24"/>
        </w:rPr>
        <w:t xml:space="preserve"> also evident for HHIN and CV for m</w:t>
      </w:r>
      <w:r w:rsidR="00850BC7">
        <w:rPr>
          <w:rFonts w:ascii="Times New Roman" w:hAnsi="Times New Roman" w:cs="Times New Roman"/>
          <w:bCs/>
          <w:color w:val="000000" w:themeColor="text1"/>
          <w:sz w:val="24"/>
          <w:szCs w:val="24"/>
        </w:rPr>
        <w:t>ale</w:t>
      </w:r>
      <w:r w:rsidR="00C35252">
        <w:rPr>
          <w:rFonts w:ascii="Times New Roman" w:hAnsi="Times New Roman" w:cs="Times New Roman"/>
          <w:bCs/>
          <w:color w:val="000000" w:themeColor="text1"/>
          <w:sz w:val="24"/>
          <w:szCs w:val="24"/>
        </w:rPr>
        <w:t xml:space="preserve"> competition</w:t>
      </w:r>
      <w:r w:rsidR="00C82EF8">
        <w:rPr>
          <w:rFonts w:ascii="Times New Roman" w:hAnsi="Times New Roman" w:cs="Times New Roman"/>
          <w:bCs/>
          <w:color w:val="000000" w:themeColor="text1"/>
          <w:sz w:val="24"/>
          <w:szCs w:val="24"/>
        </w:rPr>
        <w:t>s</w:t>
      </w:r>
      <w:r w:rsidR="00850BC7">
        <w:rPr>
          <w:rFonts w:ascii="Times New Roman" w:hAnsi="Times New Roman" w:cs="Times New Roman"/>
          <w:bCs/>
          <w:color w:val="000000" w:themeColor="text1"/>
          <w:sz w:val="24"/>
          <w:szCs w:val="24"/>
        </w:rPr>
        <w:t xml:space="preserve">, </w:t>
      </w:r>
      <w:r w:rsidR="00E90290">
        <w:rPr>
          <w:rFonts w:ascii="Times New Roman" w:hAnsi="Times New Roman" w:cs="Times New Roman"/>
          <w:bCs/>
          <w:color w:val="000000" w:themeColor="text1"/>
          <w:sz w:val="24"/>
          <w:szCs w:val="24"/>
        </w:rPr>
        <w:t>and</w:t>
      </w:r>
      <w:r w:rsidR="00850BC7">
        <w:rPr>
          <w:rFonts w:ascii="Times New Roman" w:hAnsi="Times New Roman" w:cs="Times New Roman"/>
          <w:bCs/>
          <w:color w:val="000000" w:themeColor="text1"/>
          <w:sz w:val="24"/>
          <w:szCs w:val="24"/>
        </w:rPr>
        <w:t xml:space="preserve"> CV for females. </w:t>
      </w:r>
      <w:r w:rsidRPr="008F5AA6">
        <w:rPr>
          <w:rFonts w:ascii="Times New Roman" w:hAnsi="Times New Roman" w:cs="Times New Roman"/>
          <w:bCs/>
          <w:color w:val="000000" w:themeColor="text1"/>
          <w:sz w:val="24"/>
          <w:szCs w:val="24"/>
        </w:rPr>
        <w:t xml:space="preserve">There </w:t>
      </w:r>
      <w:r w:rsidR="00850BC7">
        <w:rPr>
          <w:rFonts w:ascii="Times New Roman" w:hAnsi="Times New Roman" w:cs="Times New Roman"/>
          <w:bCs/>
          <w:color w:val="000000" w:themeColor="text1"/>
          <w:sz w:val="24"/>
          <w:szCs w:val="24"/>
        </w:rPr>
        <w:t>is</w:t>
      </w:r>
      <w:r w:rsidRPr="008F5AA6">
        <w:rPr>
          <w:rFonts w:ascii="Times New Roman" w:hAnsi="Times New Roman" w:cs="Times New Roman"/>
          <w:bCs/>
          <w:color w:val="000000" w:themeColor="text1"/>
          <w:sz w:val="24"/>
          <w:szCs w:val="24"/>
        </w:rPr>
        <w:t xml:space="preserve"> evidence of increased competitive balance for </w:t>
      </w:r>
      <w:r w:rsidR="00850BC7">
        <w:rPr>
          <w:rFonts w:ascii="Times New Roman" w:hAnsi="Times New Roman" w:cs="Times New Roman"/>
          <w:bCs/>
          <w:color w:val="000000" w:themeColor="text1"/>
          <w:sz w:val="24"/>
          <w:szCs w:val="24"/>
        </w:rPr>
        <w:t>top eight</w:t>
      </w:r>
      <w:r w:rsidRPr="008F5AA6">
        <w:rPr>
          <w:rFonts w:ascii="Times New Roman" w:hAnsi="Times New Roman" w:cs="Times New Roman"/>
          <w:bCs/>
          <w:color w:val="000000" w:themeColor="text1"/>
          <w:sz w:val="24"/>
          <w:szCs w:val="24"/>
        </w:rPr>
        <w:t xml:space="preserve"> points for women, suggesting that more teams are featuring in the </w:t>
      </w:r>
      <w:r w:rsidR="00850BC7">
        <w:rPr>
          <w:rFonts w:ascii="Times New Roman" w:hAnsi="Times New Roman" w:cs="Times New Roman"/>
          <w:bCs/>
          <w:color w:val="000000" w:themeColor="text1"/>
          <w:sz w:val="24"/>
          <w:szCs w:val="24"/>
        </w:rPr>
        <w:t>top eight</w:t>
      </w:r>
      <w:r w:rsidRPr="008F5AA6">
        <w:rPr>
          <w:rFonts w:ascii="Times New Roman" w:hAnsi="Times New Roman" w:cs="Times New Roman"/>
          <w:bCs/>
          <w:color w:val="000000" w:themeColor="text1"/>
          <w:sz w:val="24"/>
          <w:szCs w:val="24"/>
        </w:rPr>
        <w:t xml:space="preserve"> placings (but not necessarily the top three placings). </w:t>
      </w:r>
    </w:p>
    <w:p w14:paraId="5F9633D2" w14:textId="0B685E9D" w:rsidR="0066480D" w:rsidRDefault="008F06F9" w:rsidP="001F51E9">
      <w:pPr>
        <w:spacing w:after="0" w:line="480" w:lineRule="auto"/>
        <w:ind w:firstLine="709"/>
        <w:jc w:val="both"/>
        <w:rPr>
          <w:rFonts w:ascii="Times New Roman" w:hAnsi="Times New Roman" w:cs="Times New Roman"/>
          <w:bCs/>
          <w:color w:val="000000" w:themeColor="text1"/>
          <w:sz w:val="24"/>
          <w:szCs w:val="24"/>
        </w:rPr>
      </w:pPr>
      <w:r w:rsidRPr="008F5AA6">
        <w:rPr>
          <w:rFonts w:ascii="Times New Roman" w:hAnsi="Times New Roman" w:cs="Times New Roman"/>
          <w:color w:val="000000" w:themeColor="text1"/>
          <w:sz w:val="24"/>
          <w:szCs w:val="24"/>
        </w:rPr>
        <w:t>China’s dominance of t</w:t>
      </w:r>
      <w:r w:rsidR="00E458AD">
        <w:rPr>
          <w:rFonts w:ascii="Times New Roman" w:hAnsi="Times New Roman" w:cs="Times New Roman"/>
          <w:color w:val="000000" w:themeColor="text1"/>
          <w:sz w:val="24"/>
          <w:szCs w:val="24"/>
        </w:rPr>
        <w:t>able tennis at both the Olympic Games</w:t>
      </w:r>
      <w:r w:rsidRPr="008F5AA6">
        <w:rPr>
          <w:rFonts w:ascii="Times New Roman" w:hAnsi="Times New Roman" w:cs="Times New Roman"/>
          <w:color w:val="000000" w:themeColor="text1"/>
          <w:sz w:val="24"/>
          <w:szCs w:val="24"/>
        </w:rPr>
        <w:t xml:space="preserve"> and </w:t>
      </w:r>
      <w:r w:rsidR="00CC0883">
        <w:rPr>
          <w:rFonts w:ascii="Times New Roman" w:hAnsi="Times New Roman" w:cs="Times New Roman"/>
          <w:color w:val="000000" w:themeColor="text1"/>
          <w:sz w:val="24"/>
          <w:szCs w:val="24"/>
        </w:rPr>
        <w:t xml:space="preserve">the </w:t>
      </w:r>
      <w:r w:rsidRPr="008F5AA6">
        <w:rPr>
          <w:rFonts w:ascii="Times New Roman" w:hAnsi="Times New Roman" w:cs="Times New Roman"/>
          <w:color w:val="000000" w:themeColor="text1"/>
          <w:sz w:val="24"/>
          <w:szCs w:val="24"/>
        </w:rPr>
        <w:t xml:space="preserve">World Championships cannot be understated. </w:t>
      </w:r>
      <w:r w:rsidR="00E458AD">
        <w:rPr>
          <w:rFonts w:ascii="Times New Roman" w:hAnsi="Times New Roman" w:cs="Times New Roman"/>
          <w:color w:val="000000" w:themeColor="text1"/>
          <w:sz w:val="24"/>
          <w:szCs w:val="24"/>
        </w:rPr>
        <w:t xml:space="preserve">At the seven most recent Summer Olympic Games (between Barcelona 1992 and Rio de Janeiro 2016), </w:t>
      </w:r>
      <w:r w:rsidRPr="008F5AA6">
        <w:rPr>
          <w:rFonts w:ascii="Times New Roman" w:hAnsi="Times New Roman" w:cs="Times New Roman"/>
          <w:color w:val="000000" w:themeColor="text1"/>
          <w:sz w:val="24"/>
          <w:szCs w:val="24"/>
        </w:rPr>
        <w:t xml:space="preserve">China’s </w:t>
      </w:r>
      <w:r w:rsidR="00E458AD">
        <w:rPr>
          <w:rFonts w:ascii="Times New Roman" w:hAnsi="Times New Roman" w:cs="Times New Roman"/>
          <w:color w:val="000000" w:themeColor="text1"/>
          <w:sz w:val="24"/>
          <w:szCs w:val="24"/>
        </w:rPr>
        <w:t xml:space="preserve">combined </w:t>
      </w:r>
      <w:r w:rsidRPr="008F5AA6">
        <w:rPr>
          <w:rFonts w:ascii="Times New Roman" w:hAnsi="Times New Roman" w:cs="Times New Roman"/>
          <w:color w:val="000000" w:themeColor="text1"/>
          <w:sz w:val="24"/>
          <w:szCs w:val="24"/>
        </w:rPr>
        <w:t xml:space="preserve">market share of gold medals and all medals is 93% and 55% respectively. </w:t>
      </w:r>
      <w:r w:rsidR="00F54BF7" w:rsidRPr="008F5AA6">
        <w:rPr>
          <w:rFonts w:ascii="Times New Roman" w:hAnsi="Times New Roman" w:cs="Times New Roman"/>
          <w:color w:val="000000" w:themeColor="text1"/>
          <w:sz w:val="24"/>
          <w:szCs w:val="24"/>
        </w:rPr>
        <w:t xml:space="preserve">China’s gold medal dominance is making </w:t>
      </w:r>
      <w:r w:rsidR="00C155BF">
        <w:rPr>
          <w:rFonts w:ascii="Times New Roman" w:hAnsi="Times New Roman" w:cs="Times New Roman"/>
          <w:color w:val="000000" w:themeColor="text1"/>
          <w:sz w:val="24"/>
          <w:szCs w:val="24"/>
        </w:rPr>
        <w:t xml:space="preserve">it more difficult for new nations to </w:t>
      </w:r>
      <w:r w:rsidR="00097B4C">
        <w:rPr>
          <w:rFonts w:ascii="Times New Roman" w:hAnsi="Times New Roman" w:cs="Times New Roman"/>
          <w:color w:val="000000" w:themeColor="text1"/>
          <w:sz w:val="24"/>
          <w:szCs w:val="24"/>
        </w:rPr>
        <w:t xml:space="preserve">be capable of winning medals </w:t>
      </w:r>
      <w:r w:rsidR="00C155BF">
        <w:rPr>
          <w:rFonts w:ascii="Times New Roman" w:hAnsi="Times New Roman" w:cs="Times New Roman"/>
          <w:color w:val="000000" w:themeColor="text1"/>
          <w:sz w:val="24"/>
          <w:szCs w:val="24"/>
        </w:rPr>
        <w:t xml:space="preserve">in particular </w:t>
      </w:r>
      <w:r w:rsidR="00F54BF7" w:rsidRPr="008F5AA6">
        <w:rPr>
          <w:rFonts w:ascii="Times New Roman" w:hAnsi="Times New Roman" w:cs="Times New Roman"/>
          <w:color w:val="000000" w:themeColor="text1"/>
          <w:sz w:val="24"/>
          <w:szCs w:val="24"/>
        </w:rPr>
        <w:t>gold medal</w:t>
      </w:r>
      <w:r w:rsidR="00097B4C">
        <w:rPr>
          <w:rFonts w:ascii="Times New Roman" w:hAnsi="Times New Roman" w:cs="Times New Roman"/>
          <w:color w:val="000000" w:themeColor="text1"/>
          <w:sz w:val="24"/>
          <w:szCs w:val="24"/>
        </w:rPr>
        <w:t>s</w:t>
      </w:r>
      <w:r w:rsidR="00F54BF7" w:rsidRPr="008F5AA6">
        <w:rPr>
          <w:rFonts w:ascii="Times New Roman" w:hAnsi="Times New Roman" w:cs="Times New Roman"/>
          <w:color w:val="000000" w:themeColor="text1"/>
          <w:sz w:val="24"/>
          <w:szCs w:val="24"/>
        </w:rPr>
        <w:t xml:space="preserve">. </w:t>
      </w:r>
      <w:r w:rsidR="001F51E9" w:rsidRPr="008F5AA6">
        <w:rPr>
          <w:rFonts w:ascii="Times New Roman" w:hAnsi="Times New Roman" w:cs="Times New Roman"/>
          <w:color w:val="000000" w:themeColor="text1"/>
          <w:sz w:val="24"/>
          <w:szCs w:val="24"/>
        </w:rPr>
        <w:t xml:space="preserve">This is </w:t>
      </w:r>
      <w:r w:rsidR="001F51E9">
        <w:rPr>
          <w:rFonts w:ascii="Times New Roman" w:hAnsi="Times New Roman" w:cs="Times New Roman"/>
          <w:color w:val="000000" w:themeColor="text1"/>
          <w:sz w:val="24"/>
          <w:szCs w:val="24"/>
        </w:rPr>
        <w:t>particularly</w:t>
      </w:r>
      <w:r w:rsidR="001F51E9" w:rsidRPr="008F5AA6">
        <w:rPr>
          <w:rFonts w:ascii="Times New Roman" w:hAnsi="Times New Roman" w:cs="Times New Roman"/>
          <w:color w:val="000000" w:themeColor="text1"/>
          <w:sz w:val="24"/>
          <w:szCs w:val="24"/>
        </w:rPr>
        <w:t xml:space="preserve"> the case for female table tennis.</w:t>
      </w:r>
      <w:r w:rsidR="001F51E9">
        <w:rPr>
          <w:rFonts w:ascii="Times New Roman" w:hAnsi="Times New Roman" w:cs="Times New Roman"/>
          <w:color w:val="000000" w:themeColor="text1"/>
          <w:sz w:val="24"/>
          <w:szCs w:val="24"/>
        </w:rPr>
        <w:t xml:space="preserve"> It is very likely that, </w:t>
      </w:r>
      <w:r w:rsidR="001F51E9">
        <w:rPr>
          <w:rFonts w:ascii="Times New Roman" w:hAnsi="Times New Roman" w:cs="Times New Roman"/>
          <w:bCs/>
          <w:color w:val="000000" w:themeColor="text1"/>
          <w:sz w:val="24"/>
          <w:szCs w:val="24"/>
        </w:rPr>
        <w:t>i</w:t>
      </w:r>
      <w:r w:rsidR="001F51E9" w:rsidRPr="004839A5">
        <w:rPr>
          <w:rFonts w:ascii="Times New Roman" w:hAnsi="Times New Roman" w:cs="Times New Roman"/>
          <w:bCs/>
          <w:color w:val="000000" w:themeColor="text1"/>
          <w:sz w:val="24"/>
          <w:szCs w:val="24"/>
        </w:rPr>
        <w:t>f there were no China, the distribution of success would be more balanced among</w:t>
      </w:r>
      <w:r w:rsidR="001F51E9">
        <w:rPr>
          <w:rFonts w:ascii="Times New Roman" w:hAnsi="Times New Roman" w:cs="Times New Roman"/>
          <w:bCs/>
          <w:color w:val="000000" w:themeColor="text1"/>
          <w:sz w:val="24"/>
          <w:szCs w:val="24"/>
        </w:rPr>
        <w:t xml:space="preserve"> a wider set of</w:t>
      </w:r>
      <w:r w:rsidR="001F51E9" w:rsidRPr="004839A5">
        <w:rPr>
          <w:rFonts w:ascii="Times New Roman" w:hAnsi="Times New Roman" w:cs="Times New Roman"/>
          <w:bCs/>
          <w:color w:val="000000" w:themeColor="text1"/>
          <w:sz w:val="24"/>
          <w:szCs w:val="24"/>
        </w:rPr>
        <w:t xml:space="preserve"> nations. </w:t>
      </w:r>
    </w:p>
    <w:p w14:paraId="59C823E8" w14:textId="48AD56C6" w:rsidR="001F51E9" w:rsidRPr="00DC075A" w:rsidRDefault="00DC075A" w:rsidP="00DC075A">
      <w:pPr>
        <w:spacing w:after="0" w:line="480"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To put China’s dominance of table tennis at the Olympic Games into perspective</w:t>
      </w:r>
      <w:r w:rsidR="00E25AA4">
        <w:rPr>
          <w:rFonts w:ascii="Times New Roman" w:hAnsi="Times New Roman" w:cs="Times New Roman"/>
          <w:color w:val="000000" w:themeColor="text1"/>
          <w:sz w:val="24"/>
          <w:szCs w:val="24"/>
          <w:highlight w:val="yellow"/>
        </w:rPr>
        <w:t>,</w:t>
      </w:r>
      <w:r>
        <w:rPr>
          <w:rFonts w:ascii="Times New Roman" w:hAnsi="Times New Roman" w:cs="Times New Roman"/>
          <w:color w:val="000000" w:themeColor="text1"/>
          <w:sz w:val="24"/>
          <w:szCs w:val="24"/>
          <w:highlight w:val="yellow"/>
        </w:rPr>
        <w:t xml:space="preserve"> some simple comparisons to Olympic badminton and tennis over the roughly same period </w:t>
      </w:r>
      <w:r w:rsidR="00E84674">
        <w:rPr>
          <w:rFonts w:ascii="Times New Roman" w:hAnsi="Times New Roman" w:cs="Times New Roman"/>
          <w:color w:val="000000" w:themeColor="text1"/>
          <w:sz w:val="24"/>
          <w:szCs w:val="24"/>
          <w:highlight w:val="yellow"/>
        </w:rPr>
        <w:t>are</w:t>
      </w:r>
      <w:r>
        <w:rPr>
          <w:rFonts w:ascii="Times New Roman" w:hAnsi="Times New Roman" w:cs="Times New Roman"/>
          <w:color w:val="000000" w:themeColor="text1"/>
          <w:sz w:val="24"/>
          <w:szCs w:val="24"/>
          <w:highlight w:val="yellow"/>
        </w:rPr>
        <w:t xml:space="preserve"> made.</w:t>
      </w:r>
      <w:r w:rsidRPr="00DC075A">
        <w:rPr>
          <w:rFonts w:ascii="Times New Roman" w:eastAsia="DengXian" w:hAnsi="Times New Roman" w:cs="Times New Roman"/>
          <w:color w:val="000000"/>
          <w:sz w:val="24"/>
          <w:szCs w:val="24"/>
        </w:rPr>
        <w:t xml:space="preserve"> The most dominant nations in badminton (i.e., China) and tennis (i.e</w:t>
      </w:r>
      <w:r>
        <w:rPr>
          <w:rFonts w:ascii="Times New Roman" w:eastAsia="DengXian" w:hAnsi="Times New Roman" w:cs="Times New Roman"/>
          <w:color w:val="000000"/>
          <w:sz w:val="24"/>
          <w:szCs w:val="24"/>
        </w:rPr>
        <w:t>.</w:t>
      </w:r>
      <w:r w:rsidRPr="00DC075A">
        <w:rPr>
          <w:rFonts w:ascii="Times New Roman" w:eastAsia="DengXian" w:hAnsi="Times New Roman" w:cs="Times New Roman"/>
          <w:color w:val="000000"/>
          <w:sz w:val="24"/>
          <w:szCs w:val="24"/>
        </w:rPr>
        <w:t>, USA), account for only 53% and 40% of gold medals won, and 39% and 20% of all medals won</w:t>
      </w:r>
      <w:r w:rsidR="00390D84">
        <w:rPr>
          <w:rFonts w:ascii="Times New Roman" w:eastAsia="DengXian" w:hAnsi="Times New Roman" w:cs="Times New Roman"/>
          <w:color w:val="000000"/>
          <w:sz w:val="24"/>
          <w:szCs w:val="24"/>
        </w:rPr>
        <w:t xml:space="preserve"> (between 1992 and 2016)</w:t>
      </w:r>
      <w:r w:rsidRPr="00DC075A">
        <w:rPr>
          <w:rFonts w:ascii="Times New Roman" w:eastAsia="DengXian" w:hAnsi="Times New Roman" w:cs="Times New Roman"/>
          <w:color w:val="000000"/>
          <w:sz w:val="24"/>
          <w:szCs w:val="24"/>
        </w:rPr>
        <w:t>.</w:t>
      </w:r>
      <w:r>
        <w:rPr>
          <w:rFonts w:ascii="Times New Roman" w:hAnsi="Times New Roman" w:cs="Times New Roman"/>
          <w:color w:val="000000" w:themeColor="text1"/>
          <w:sz w:val="24"/>
          <w:szCs w:val="24"/>
          <w:highlight w:val="yellow"/>
        </w:rPr>
        <w:t xml:space="preserve"> </w:t>
      </w:r>
      <w:r w:rsidR="001F51E9" w:rsidRPr="001F51E9">
        <w:rPr>
          <w:rFonts w:ascii="Times New Roman" w:hAnsi="Times New Roman" w:cs="Times New Roman"/>
          <w:color w:val="000000" w:themeColor="text1"/>
          <w:sz w:val="24"/>
          <w:szCs w:val="24"/>
          <w:highlight w:val="yellow"/>
        </w:rPr>
        <w:t>In addition, almost all edition-specific HHIN and CV results for badminton and tennis are lower than the corresponding table tennis figures for overall competitions at the seven most recent Summer Olympic Games between 1992 and 2016</w:t>
      </w:r>
      <w:r>
        <w:rPr>
          <w:rFonts w:ascii="Times New Roman" w:hAnsi="Times New Roman" w:cs="Times New Roman"/>
          <w:color w:val="000000" w:themeColor="text1"/>
          <w:sz w:val="24"/>
          <w:szCs w:val="24"/>
          <w:highlight w:val="yellow"/>
        </w:rPr>
        <w:t xml:space="preserve"> (see Table 5)</w:t>
      </w:r>
      <w:r w:rsidR="001F51E9" w:rsidRPr="001F51E9">
        <w:rPr>
          <w:rFonts w:ascii="Times New Roman" w:hAnsi="Times New Roman" w:cs="Times New Roman"/>
          <w:color w:val="000000" w:themeColor="text1"/>
          <w:sz w:val="24"/>
          <w:szCs w:val="24"/>
          <w:highlight w:val="yellow"/>
        </w:rPr>
        <w:t>.</w:t>
      </w:r>
      <w:r w:rsidR="001F51E9">
        <w:rPr>
          <w:rFonts w:ascii="Times New Roman" w:hAnsi="Times New Roman" w:cs="Times New Roman"/>
          <w:color w:val="000000" w:themeColor="text1"/>
          <w:sz w:val="24"/>
          <w:szCs w:val="24"/>
        </w:rPr>
        <w:t xml:space="preserve"> </w:t>
      </w:r>
      <w:r w:rsidR="00607559" w:rsidRPr="00607559">
        <w:rPr>
          <w:rFonts w:ascii="Times New Roman" w:hAnsi="Times New Roman" w:cs="Times New Roman"/>
          <w:color w:val="000000" w:themeColor="text1"/>
          <w:sz w:val="24"/>
          <w:szCs w:val="24"/>
          <w:highlight w:val="yellow"/>
        </w:rPr>
        <w:t xml:space="preserve">There has been only one </w:t>
      </w:r>
      <w:r w:rsidR="00581C83">
        <w:rPr>
          <w:rFonts w:ascii="Times New Roman" w:hAnsi="Times New Roman" w:cs="Times New Roman"/>
          <w:color w:val="000000" w:themeColor="text1"/>
          <w:sz w:val="24"/>
          <w:szCs w:val="24"/>
          <w:highlight w:val="yellow"/>
        </w:rPr>
        <w:t xml:space="preserve">instance of a </w:t>
      </w:r>
      <w:r w:rsidR="00581C83" w:rsidRPr="00DC075A">
        <w:rPr>
          <w:rFonts w:ascii="Times New Roman" w:hAnsi="Times New Roman" w:cs="Times New Roman"/>
          <w:color w:val="000000" w:themeColor="text1"/>
          <w:sz w:val="24"/>
          <w:szCs w:val="24"/>
          <w:highlight w:val="yellow"/>
        </w:rPr>
        <w:t xml:space="preserve">nation </w:t>
      </w:r>
      <w:r w:rsidR="00581C83">
        <w:rPr>
          <w:rFonts w:ascii="Times New Roman" w:hAnsi="Times New Roman" w:cs="Times New Roman"/>
          <w:color w:val="000000" w:themeColor="text1"/>
          <w:sz w:val="24"/>
          <w:szCs w:val="24"/>
          <w:highlight w:val="yellow"/>
        </w:rPr>
        <w:t>monopolising</w:t>
      </w:r>
      <w:r w:rsidR="00607559" w:rsidRPr="00607559">
        <w:rPr>
          <w:rFonts w:ascii="Times New Roman" w:hAnsi="Times New Roman" w:cs="Times New Roman"/>
          <w:color w:val="000000" w:themeColor="text1"/>
          <w:sz w:val="24"/>
          <w:szCs w:val="24"/>
          <w:highlight w:val="yellow"/>
        </w:rPr>
        <w:t xml:space="preserve"> the distribution of gold medals</w:t>
      </w:r>
      <w:r w:rsidR="00C23284">
        <w:rPr>
          <w:rFonts w:ascii="Times New Roman" w:hAnsi="Times New Roman" w:cs="Times New Roman"/>
          <w:color w:val="000000" w:themeColor="text1"/>
          <w:sz w:val="24"/>
          <w:szCs w:val="24"/>
          <w:highlight w:val="yellow"/>
        </w:rPr>
        <w:t xml:space="preserve"> </w:t>
      </w:r>
      <w:r w:rsidR="00C23284" w:rsidRPr="00DC075A">
        <w:rPr>
          <w:rFonts w:ascii="Times New Roman" w:hAnsi="Times New Roman" w:cs="Times New Roman"/>
          <w:color w:val="000000" w:themeColor="text1"/>
          <w:sz w:val="24"/>
          <w:szCs w:val="24"/>
          <w:highlight w:val="yellow"/>
        </w:rPr>
        <w:t>in badminton</w:t>
      </w:r>
      <w:r w:rsidR="00607559" w:rsidRPr="00607559">
        <w:rPr>
          <w:rFonts w:ascii="Times New Roman" w:hAnsi="Times New Roman" w:cs="Times New Roman"/>
          <w:color w:val="000000" w:themeColor="text1"/>
          <w:sz w:val="24"/>
          <w:szCs w:val="24"/>
          <w:highlight w:val="yellow"/>
        </w:rPr>
        <w:t xml:space="preserve">, and the distribution of medals and medal points are significantly more balanced in tennis, particularly </w:t>
      </w:r>
      <w:r w:rsidR="00EC2C68">
        <w:rPr>
          <w:rFonts w:ascii="Times New Roman" w:hAnsi="Times New Roman" w:cs="Times New Roman"/>
          <w:color w:val="000000" w:themeColor="text1"/>
          <w:sz w:val="24"/>
          <w:szCs w:val="24"/>
          <w:highlight w:val="yellow"/>
        </w:rPr>
        <w:t xml:space="preserve">when </w:t>
      </w:r>
      <w:r w:rsidR="00607559" w:rsidRPr="00607559">
        <w:rPr>
          <w:rFonts w:ascii="Times New Roman" w:hAnsi="Times New Roman" w:cs="Times New Roman"/>
          <w:color w:val="000000" w:themeColor="text1"/>
          <w:sz w:val="24"/>
          <w:szCs w:val="24"/>
          <w:highlight w:val="yellow"/>
        </w:rPr>
        <w:t xml:space="preserve">measured by HHIN. All the correlations for (gold) medal-related indicators </w:t>
      </w:r>
      <w:r w:rsidR="00EC2C68">
        <w:rPr>
          <w:rFonts w:ascii="Times New Roman" w:hAnsi="Times New Roman" w:cs="Times New Roman"/>
          <w:color w:val="000000" w:themeColor="text1"/>
          <w:sz w:val="24"/>
          <w:szCs w:val="24"/>
          <w:highlight w:val="yellow"/>
        </w:rPr>
        <w:t>are positive</w:t>
      </w:r>
      <w:r w:rsidR="00607559" w:rsidRPr="00607559">
        <w:rPr>
          <w:rFonts w:ascii="Times New Roman" w:hAnsi="Times New Roman" w:cs="Times New Roman"/>
          <w:color w:val="000000" w:themeColor="text1"/>
          <w:sz w:val="24"/>
          <w:szCs w:val="24"/>
          <w:highlight w:val="yellow"/>
        </w:rPr>
        <w:t xml:space="preserve"> for overall competitions in table tennis, including the significant correlation of HHIN Gold and CV Gold, indicating a declined competitive balance. In comparison, there are a number of </w:t>
      </w:r>
      <w:r w:rsidR="00A40C48" w:rsidRPr="00A40C48">
        <w:rPr>
          <w:rFonts w:ascii="Times New Roman" w:hAnsi="Times New Roman" w:cs="Times New Roman"/>
          <w:color w:val="000000" w:themeColor="text1"/>
          <w:sz w:val="24"/>
          <w:szCs w:val="24"/>
          <w:highlight w:val="yellow"/>
        </w:rPr>
        <w:t xml:space="preserve">(insignificant) negative correlations in badminton and tennis, implying </w:t>
      </w:r>
      <w:r w:rsidR="00607559" w:rsidRPr="00607559">
        <w:rPr>
          <w:rFonts w:ascii="Times New Roman" w:hAnsi="Times New Roman" w:cs="Times New Roman"/>
          <w:color w:val="000000" w:themeColor="text1"/>
          <w:sz w:val="24"/>
          <w:szCs w:val="24"/>
          <w:highlight w:val="yellow"/>
        </w:rPr>
        <w:t>improved competitive ba</w:t>
      </w:r>
      <w:r w:rsidR="00A40C48">
        <w:rPr>
          <w:rFonts w:ascii="Times New Roman" w:hAnsi="Times New Roman" w:cs="Times New Roman"/>
          <w:color w:val="000000" w:themeColor="text1"/>
          <w:sz w:val="24"/>
          <w:szCs w:val="24"/>
          <w:highlight w:val="yellow"/>
        </w:rPr>
        <w:t>lance.</w:t>
      </w:r>
      <w:r w:rsidR="00607559" w:rsidRPr="00607559">
        <w:rPr>
          <w:rFonts w:ascii="Times New Roman" w:hAnsi="Times New Roman" w:cs="Times New Roman"/>
          <w:color w:val="000000" w:themeColor="text1"/>
          <w:sz w:val="24"/>
          <w:szCs w:val="24"/>
          <w:highlight w:val="yellow"/>
        </w:rPr>
        <w:t xml:space="preserve"> The magnitudes of the three positive correlations (HHIN Gold and CV Gold for badminton and CV Medals for tennis) are notably smaller than </w:t>
      </w:r>
      <w:r w:rsidR="00A40C48">
        <w:rPr>
          <w:rFonts w:ascii="Times New Roman" w:hAnsi="Times New Roman" w:cs="Times New Roman"/>
          <w:color w:val="000000" w:themeColor="text1"/>
          <w:sz w:val="24"/>
          <w:szCs w:val="24"/>
          <w:highlight w:val="yellow"/>
        </w:rPr>
        <w:t>in</w:t>
      </w:r>
      <w:r w:rsidR="00607559" w:rsidRPr="00607559">
        <w:rPr>
          <w:rFonts w:ascii="Times New Roman" w:hAnsi="Times New Roman" w:cs="Times New Roman"/>
          <w:color w:val="000000" w:themeColor="text1"/>
          <w:sz w:val="24"/>
          <w:szCs w:val="24"/>
          <w:highlight w:val="yellow"/>
        </w:rPr>
        <w:t xml:space="preserve"> table tennis (HHIN Gold: 0.709 for table tennis vs. 0.039 for badminton, CV Go</w:t>
      </w:r>
      <w:r w:rsidR="00DD5120">
        <w:rPr>
          <w:rFonts w:ascii="Times New Roman" w:hAnsi="Times New Roman" w:cs="Times New Roman"/>
          <w:color w:val="000000" w:themeColor="text1"/>
          <w:sz w:val="24"/>
          <w:szCs w:val="24"/>
          <w:highlight w:val="yellow"/>
        </w:rPr>
        <w:t>ld: 0.833</w:t>
      </w:r>
      <w:r w:rsidR="00A40C48">
        <w:rPr>
          <w:rFonts w:ascii="Times New Roman" w:hAnsi="Times New Roman" w:cs="Times New Roman"/>
          <w:color w:val="000000" w:themeColor="text1"/>
          <w:sz w:val="24"/>
          <w:szCs w:val="24"/>
          <w:highlight w:val="yellow"/>
        </w:rPr>
        <w:t xml:space="preserve"> for table tennis vs. </w:t>
      </w:r>
      <w:r w:rsidR="00607559" w:rsidRPr="00607559">
        <w:rPr>
          <w:rFonts w:ascii="Times New Roman" w:hAnsi="Times New Roman" w:cs="Times New Roman"/>
          <w:color w:val="000000" w:themeColor="text1"/>
          <w:sz w:val="24"/>
          <w:szCs w:val="24"/>
          <w:highlight w:val="yellow"/>
        </w:rPr>
        <w:t xml:space="preserve">0.250 for badminton, and CV Medals: 0.429 for table tennis vs. 0.036 for tennis). </w:t>
      </w:r>
      <w:r w:rsidR="00EC2C68">
        <w:rPr>
          <w:rFonts w:ascii="Times New Roman" w:hAnsi="Times New Roman" w:cs="Times New Roman"/>
          <w:color w:val="000000" w:themeColor="text1"/>
          <w:sz w:val="24"/>
          <w:szCs w:val="24"/>
          <w:highlight w:val="yellow"/>
        </w:rPr>
        <w:t>These</w:t>
      </w:r>
      <w:r w:rsidR="008D5F64" w:rsidRPr="0002023E">
        <w:rPr>
          <w:rFonts w:ascii="Times New Roman" w:hAnsi="Times New Roman" w:cs="Times New Roman"/>
          <w:color w:val="000000" w:themeColor="text1"/>
          <w:sz w:val="24"/>
          <w:szCs w:val="24"/>
          <w:highlight w:val="yellow"/>
        </w:rPr>
        <w:t xml:space="preserve"> comparisons highlight the</w:t>
      </w:r>
      <w:r w:rsidR="0002023E" w:rsidRPr="0002023E">
        <w:rPr>
          <w:rFonts w:ascii="Times New Roman" w:hAnsi="Times New Roman" w:cs="Times New Roman"/>
          <w:color w:val="000000" w:themeColor="text1"/>
          <w:sz w:val="24"/>
          <w:szCs w:val="24"/>
          <w:highlight w:val="yellow"/>
        </w:rPr>
        <w:t xml:space="preserve"> </w:t>
      </w:r>
      <w:r w:rsidR="00EC2C68">
        <w:rPr>
          <w:rFonts w:ascii="Times New Roman" w:hAnsi="Times New Roman" w:cs="Times New Roman"/>
          <w:color w:val="000000" w:themeColor="text1"/>
          <w:sz w:val="24"/>
          <w:szCs w:val="24"/>
          <w:highlight w:val="yellow"/>
        </w:rPr>
        <w:t xml:space="preserve">competitive </w:t>
      </w:r>
      <w:r w:rsidR="0002023E" w:rsidRPr="0002023E">
        <w:rPr>
          <w:rFonts w:ascii="Times New Roman" w:hAnsi="Times New Roman" w:cs="Times New Roman"/>
          <w:color w:val="000000" w:themeColor="text1"/>
          <w:sz w:val="24"/>
          <w:szCs w:val="24"/>
          <w:highlight w:val="yellow"/>
        </w:rPr>
        <w:t xml:space="preserve">balance </w:t>
      </w:r>
      <w:r w:rsidR="00EC2C68">
        <w:rPr>
          <w:rFonts w:ascii="Times New Roman" w:hAnsi="Times New Roman" w:cs="Times New Roman"/>
          <w:color w:val="000000" w:themeColor="text1"/>
          <w:sz w:val="24"/>
          <w:szCs w:val="24"/>
          <w:highlight w:val="yellow"/>
        </w:rPr>
        <w:t xml:space="preserve">problem </w:t>
      </w:r>
      <w:r w:rsidR="0002023E" w:rsidRPr="0002023E">
        <w:rPr>
          <w:rFonts w:ascii="Times New Roman" w:hAnsi="Times New Roman" w:cs="Times New Roman"/>
          <w:color w:val="000000" w:themeColor="text1"/>
          <w:sz w:val="24"/>
          <w:szCs w:val="24"/>
          <w:highlight w:val="yellow"/>
        </w:rPr>
        <w:t>in table tennis at the Olympic Games.</w:t>
      </w:r>
      <w:r w:rsidR="0002023E">
        <w:rPr>
          <w:rFonts w:ascii="Times New Roman" w:hAnsi="Times New Roman" w:cs="Times New Roman"/>
          <w:color w:val="000000" w:themeColor="text1"/>
          <w:sz w:val="24"/>
          <w:szCs w:val="24"/>
        </w:rPr>
        <w:t xml:space="preserve"> </w:t>
      </w:r>
      <w:r w:rsidR="008D5F64">
        <w:rPr>
          <w:rFonts w:ascii="Times New Roman" w:hAnsi="Times New Roman" w:cs="Times New Roman"/>
          <w:color w:val="000000" w:themeColor="text1"/>
          <w:sz w:val="24"/>
          <w:szCs w:val="24"/>
        </w:rPr>
        <w:t xml:space="preserve">  </w:t>
      </w:r>
      <w:r w:rsidR="00607559">
        <w:rPr>
          <w:rFonts w:ascii="Times New Roman" w:hAnsi="Times New Roman" w:cs="Times New Roman"/>
          <w:color w:val="000000" w:themeColor="text1"/>
          <w:sz w:val="24"/>
          <w:szCs w:val="24"/>
        </w:rPr>
        <w:t xml:space="preserve"> </w:t>
      </w:r>
    </w:p>
    <w:p w14:paraId="3017315F" w14:textId="77777777" w:rsidR="00190532" w:rsidRDefault="00190532" w:rsidP="001F51E9">
      <w:pPr>
        <w:spacing w:after="0" w:line="480" w:lineRule="auto"/>
        <w:ind w:firstLine="709"/>
        <w:jc w:val="both"/>
        <w:rPr>
          <w:rFonts w:ascii="Times New Roman" w:hAnsi="Times New Roman" w:cs="Times New Roman"/>
          <w:color w:val="000000" w:themeColor="text1"/>
          <w:sz w:val="24"/>
          <w:szCs w:val="24"/>
        </w:rPr>
      </w:pPr>
    </w:p>
    <w:p w14:paraId="6A3B9DFE" w14:textId="0B8AA618" w:rsidR="00190532" w:rsidRPr="008F5AA6" w:rsidRDefault="00247C21" w:rsidP="00190532">
      <w:pPr>
        <w:spacing w:after="0" w:line="480" w:lineRule="auto"/>
        <w:contextualSpacing/>
        <w:jc w:val="center"/>
        <w:rPr>
          <w:rFonts w:ascii="Times New Roman" w:hAnsi="Times New Roman" w:cs="Times New Roman"/>
          <w:color w:val="000000" w:themeColor="text1"/>
          <w:sz w:val="24"/>
          <w:szCs w:val="24"/>
        </w:rPr>
      </w:pPr>
      <w:r w:rsidRPr="00247C21">
        <w:rPr>
          <w:rFonts w:ascii="Times New Roman" w:hAnsi="Times New Roman" w:cs="Times New Roman"/>
          <w:color w:val="000000" w:themeColor="text1"/>
          <w:sz w:val="24"/>
          <w:szCs w:val="24"/>
          <w:highlight w:val="yellow"/>
        </w:rPr>
        <w:t>**** Table 5</w:t>
      </w:r>
      <w:r w:rsidR="00190532" w:rsidRPr="00247C21">
        <w:rPr>
          <w:rFonts w:ascii="Times New Roman" w:hAnsi="Times New Roman" w:cs="Times New Roman"/>
          <w:color w:val="000000" w:themeColor="text1"/>
          <w:sz w:val="24"/>
          <w:szCs w:val="24"/>
          <w:highlight w:val="yellow"/>
        </w:rPr>
        <w:t xml:space="preserve"> near here****</w:t>
      </w:r>
    </w:p>
    <w:p w14:paraId="04CDE7A0" w14:textId="77777777" w:rsidR="00190532" w:rsidRPr="001F51E9" w:rsidRDefault="00190532" w:rsidP="001F51E9">
      <w:pPr>
        <w:spacing w:after="0" w:line="480" w:lineRule="auto"/>
        <w:ind w:firstLine="709"/>
        <w:jc w:val="both"/>
        <w:rPr>
          <w:rFonts w:ascii="Times New Roman" w:hAnsi="Times New Roman" w:cs="Times New Roman"/>
          <w:color w:val="000000" w:themeColor="text1"/>
          <w:sz w:val="24"/>
          <w:szCs w:val="24"/>
        </w:rPr>
      </w:pPr>
    </w:p>
    <w:p w14:paraId="25EDCEFA" w14:textId="12D76C4F" w:rsidR="00855BEF" w:rsidRDefault="00EC2C68" w:rsidP="0058291E">
      <w:pPr>
        <w:spacing w:after="0" w:line="480" w:lineRule="auto"/>
        <w:ind w:firstLine="709"/>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This</w:t>
      </w:r>
      <w:r w:rsidR="00855BEF" w:rsidRPr="004839A5">
        <w:rPr>
          <w:rFonts w:ascii="Times New Roman" w:eastAsia="SimSun" w:hAnsi="Times New Roman" w:cs="Times New Roman"/>
          <w:color w:val="000000" w:themeColor="text1"/>
          <w:sz w:val="24"/>
          <w:szCs w:val="24"/>
        </w:rPr>
        <w:t xml:space="preserve"> research provides another Olympic sport example to illustrate the rich tapestry, </w:t>
      </w:r>
      <w:r w:rsidR="00195B6B" w:rsidRPr="004839A5">
        <w:rPr>
          <w:rFonts w:ascii="Times New Roman" w:eastAsia="SimSun" w:hAnsi="Times New Roman" w:cs="Times New Roman"/>
          <w:color w:val="000000" w:themeColor="text1"/>
          <w:sz w:val="24"/>
          <w:szCs w:val="24"/>
        </w:rPr>
        <w:t xml:space="preserve">and </w:t>
      </w:r>
      <w:r w:rsidR="00855BEF" w:rsidRPr="004839A5">
        <w:rPr>
          <w:rFonts w:ascii="Times New Roman" w:eastAsia="SimSun" w:hAnsi="Times New Roman" w:cs="Times New Roman"/>
          <w:color w:val="000000" w:themeColor="text1"/>
          <w:sz w:val="24"/>
          <w:szCs w:val="24"/>
        </w:rPr>
        <w:t xml:space="preserve">complexity in trends in relation to competitive balance of varying Olympic sports and disciplines at different sports mega events. Table tennis has experienced declined competitive balance, similar to what </w:t>
      </w:r>
      <w:r w:rsidR="008F0026">
        <w:rPr>
          <w:rFonts w:ascii="Times New Roman" w:eastAsia="SimSun" w:hAnsi="Times New Roman" w:cs="Times New Roman"/>
          <w:color w:val="000000" w:themeColor="text1"/>
          <w:sz w:val="24"/>
          <w:szCs w:val="24"/>
        </w:rPr>
        <w:t xml:space="preserve">for example </w:t>
      </w:r>
      <w:r w:rsidR="00855BEF" w:rsidRPr="004839A5">
        <w:rPr>
          <w:rFonts w:ascii="Times New Roman" w:eastAsia="SimSun" w:hAnsi="Times New Roman" w:cs="Times New Roman"/>
          <w:color w:val="000000" w:themeColor="text1"/>
          <w:sz w:val="24"/>
          <w:szCs w:val="24"/>
        </w:rPr>
        <w:t xml:space="preserve">elite athletics </w:t>
      </w:r>
      <w:r w:rsidR="00A27AED" w:rsidRPr="004839A5">
        <w:rPr>
          <w:rFonts w:ascii="Times New Roman" w:eastAsia="SimSun" w:hAnsi="Times New Roman" w:cs="Times New Roman"/>
          <w:color w:val="000000" w:themeColor="text1"/>
          <w:sz w:val="24"/>
          <w:szCs w:val="24"/>
        </w:rPr>
        <w:t>underwent</w:t>
      </w:r>
      <w:r w:rsidR="00855BEF" w:rsidRPr="004839A5">
        <w:rPr>
          <w:rFonts w:ascii="Times New Roman" w:eastAsia="SimSun" w:hAnsi="Times New Roman" w:cs="Times New Roman"/>
          <w:color w:val="000000" w:themeColor="text1"/>
          <w:sz w:val="24"/>
          <w:szCs w:val="24"/>
        </w:rPr>
        <w:t xml:space="preserve"> from 2000 to 2015 (Truyens et al., 2016), and in boxing at the Commonwealth Games since the 1980s (Chaplin &amp; Mendoza, 2017). However, compared to athletics and boxing, the distinctiveness of elite table tennis is its extremely high level of dominance and skewed pattern of (gold) med</w:t>
      </w:r>
      <w:r w:rsidR="003D6F6B" w:rsidRPr="004839A5">
        <w:rPr>
          <w:rFonts w:ascii="Times New Roman" w:eastAsia="SimSun" w:hAnsi="Times New Roman" w:cs="Times New Roman"/>
          <w:color w:val="000000" w:themeColor="text1"/>
          <w:sz w:val="24"/>
          <w:szCs w:val="24"/>
        </w:rPr>
        <w:t>al distribution amongst nations</w:t>
      </w:r>
      <w:r w:rsidR="00855BEF" w:rsidRPr="004839A5">
        <w:rPr>
          <w:rFonts w:ascii="Times New Roman" w:eastAsia="SimSun" w:hAnsi="Times New Roman" w:cs="Times New Roman"/>
          <w:color w:val="000000" w:themeColor="text1"/>
          <w:sz w:val="24"/>
          <w:szCs w:val="24"/>
        </w:rPr>
        <w:t xml:space="preserve">. </w:t>
      </w:r>
      <w:r w:rsidR="00C056F1" w:rsidRPr="004839A5">
        <w:rPr>
          <w:rFonts w:ascii="Times New Roman" w:eastAsia="SimSun" w:hAnsi="Times New Roman" w:cs="Times New Roman"/>
          <w:color w:val="000000" w:themeColor="text1"/>
          <w:sz w:val="24"/>
          <w:szCs w:val="24"/>
        </w:rPr>
        <w:t xml:space="preserve">Truyens et al’s (2016) research on competitive balance in athletics, combining the Olympic Games and </w:t>
      </w:r>
      <w:r w:rsidR="00CC0883" w:rsidRPr="004839A5">
        <w:rPr>
          <w:rFonts w:ascii="Times New Roman" w:eastAsia="SimSun" w:hAnsi="Times New Roman" w:cs="Times New Roman"/>
          <w:color w:val="000000" w:themeColor="text1"/>
          <w:sz w:val="24"/>
          <w:szCs w:val="24"/>
        </w:rPr>
        <w:t xml:space="preserve">the </w:t>
      </w:r>
      <w:r w:rsidR="00C056F1" w:rsidRPr="004839A5">
        <w:rPr>
          <w:rFonts w:ascii="Times New Roman" w:eastAsia="SimSun" w:hAnsi="Times New Roman" w:cs="Times New Roman"/>
          <w:color w:val="000000" w:themeColor="text1"/>
          <w:sz w:val="24"/>
          <w:szCs w:val="24"/>
        </w:rPr>
        <w:t xml:space="preserve">World Championships, </w:t>
      </w:r>
      <w:r w:rsidR="003D6F6B" w:rsidRPr="004839A5">
        <w:rPr>
          <w:rFonts w:ascii="Times New Roman" w:eastAsia="SimSun" w:hAnsi="Times New Roman" w:cs="Times New Roman"/>
          <w:color w:val="000000" w:themeColor="text1"/>
          <w:sz w:val="24"/>
          <w:szCs w:val="24"/>
        </w:rPr>
        <w:t>presented</w:t>
      </w:r>
      <w:r w:rsidR="00C056F1" w:rsidRPr="004839A5">
        <w:rPr>
          <w:rFonts w:ascii="Times New Roman" w:eastAsia="SimSun" w:hAnsi="Times New Roman" w:cs="Times New Roman"/>
          <w:color w:val="000000" w:themeColor="text1"/>
          <w:sz w:val="24"/>
          <w:szCs w:val="24"/>
        </w:rPr>
        <w:t xml:space="preserve"> year-to-year CV results for elite athletics. For CV medals and top eight points regarding athletics, the results range from 1.0 to 1.9, </w:t>
      </w:r>
      <w:r w:rsidR="000627B4" w:rsidRPr="004839A5">
        <w:rPr>
          <w:rFonts w:ascii="Times New Roman" w:eastAsia="SimSun" w:hAnsi="Times New Roman" w:cs="Times New Roman"/>
          <w:color w:val="000000" w:themeColor="text1"/>
          <w:sz w:val="24"/>
          <w:szCs w:val="24"/>
        </w:rPr>
        <w:t xml:space="preserve">with an </w:t>
      </w:r>
      <w:r w:rsidR="00C056F1" w:rsidRPr="004839A5">
        <w:rPr>
          <w:rFonts w:ascii="Times New Roman" w:eastAsia="SimSun" w:hAnsi="Times New Roman" w:cs="Times New Roman"/>
          <w:color w:val="000000" w:themeColor="text1"/>
          <w:sz w:val="24"/>
          <w:szCs w:val="24"/>
        </w:rPr>
        <w:t>average of approximately 1.41 for CV medals and 1.55 for CV top eight points</w:t>
      </w:r>
      <w:r w:rsidR="003D6F6B" w:rsidRPr="004839A5">
        <w:rPr>
          <w:rFonts w:ascii="Times New Roman" w:eastAsia="SimSun" w:hAnsi="Times New Roman" w:cs="Times New Roman"/>
          <w:color w:val="000000" w:themeColor="text1"/>
          <w:sz w:val="24"/>
          <w:szCs w:val="24"/>
        </w:rPr>
        <w:t xml:space="preserve"> </w:t>
      </w:r>
      <w:r w:rsidR="00E26305" w:rsidRPr="004839A5">
        <w:rPr>
          <w:rFonts w:ascii="Times New Roman" w:eastAsia="SimSun" w:hAnsi="Times New Roman" w:cs="Times New Roman"/>
          <w:color w:val="000000" w:themeColor="text1"/>
          <w:sz w:val="24"/>
          <w:szCs w:val="24"/>
        </w:rPr>
        <w:t>respectively</w:t>
      </w:r>
      <w:r w:rsidR="00C056F1" w:rsidRPr="004839A5">
        <w:rPr>
          <w:rFonts w:ascii="Times New Roman" w:eastAsia="SimSun" w:hAnsi="Times New Roman" w:cs="Times New Roman"/>
          <w:color w:val="000000" w:themeColor="text1"/>
          <w:sz w:val="24"/>
          <w:szCs w:val="24"/>
        </w:rPr>
        <w:t xml:space="preserve">. </w:t>
      </w:r>
      <w:r w:rsidR="00AD2162" w:rsidRPr="004839A5">
        <w:rPr>
          <w:rFonts w:ascii="Times New Roman" w:eastAsia="SimSun" w:hAnsi="Times New Roman" w:cs="Times New Roman"/>
          <w:color w:val="000000" w:themeColor="text1"/>
          <w:sz w:val="24"/>
          <w:szCs w:val="24"/>
        </w:rPr>
        <w:t xml:space="preserve">There is a </w:t>
      </w:r>
      <w:r w:rsidR="00EB799A" w:rsidRPr="004839A5">
        <w:rPr>
          <w:rFonts w:ascii="Times New Roman" w:eastAsia="SimSun" w:hAnsi="Times New Roman" w:cs="Times New Roman"/>
          <w:color w:val="000000" w:themeColor="text1"/>
          <w:sz w:val="24"/>
          <w:szCs w:val="24"/>
        </w:rPr>
        <w:t xml:space="preserve">much higher degree of competitive imbalance in elite table tennis. For table tennis, edition-specific </w:t>
      </w:r>
      <w:r w:rsidR="005A6BE8" w:rsidRPr="004839A5">
        <w:rPr>
          <w:rFonts w:ascii="Times New Roman" w:eastAsia="SimSun" w:hAnsi="Times New Roman" w:cs="Times New Roman"/>
          <w:color w:val="000000" w:themeColor="text1"/>
          <w:sz w:val="24"/>
          <w:szCs w:val="24"/>
        </w:rPr>
        <w:t xml:space="preserve">overall </w:t>
      </w:r>
      <w:r w:rsidR="00EB799A" w:rsidRPr="004839A5">
        <w:rPr>
          <w:rFonts w:ascii="Times New Roman" w:eastAsia="SimSun" w:hAnsi="Times New Roman" w:cs="Times New Roman"/>
          <w:color w:val="000000" w:themeColor="text1"/>
          <w:sz w:val="24"/>
          <w:szCs w:val="24"/>
        </w:rPr>
        <w:t xml:space="preserve">results range between 3.4 and 5.5 (4.2 on average) for CV medals at the Olympic Games, between 2.6 and </w:t>
      </w:r>
      <w:r w:rsidR="005A6BE8" w:rsidRPr="004839A5">
        <w:rPr>
          <w:rFonts w:ascii="Times New Roman" w:eastAsia="SimSun" w:hAnsi="Times New Roman" w:cs="Times New Roman"/>
          <w:color w:val="000000" w:themeColor="text1"/>
          <w:sz w:val="24"/>
          <w:szCs w:val="24"/>
        </w:rPr>
        <w:t>3.2 (2.9 on average) for CV top eight points at the Olympic Games, between 4.3 and 7.6 (6.</w:t>
      </w:r>
      <w:r w:rsidR="004304DB" w:rsidRPr="004839A5">
        <w:rPr>
          <w:rFonts w:ascii="Times New Roman" w:eastAsia="SimSun" w:hAnsi="Times New Roman" w:cs="Times New Roman"/>
          <w:color w:val="000000" w:themeColor="text1"/>
          <w:sz w:val="24"/>
          <w:szCs w:val="24"/>
        </w:rPr>
        <w:t>0</w:t>
      </w:r>
      <w:r w:rsidR="005A6BE8" w:rsidRPr="004839A5">
        <w:rPr>
          <w:rFonts w:ascii="Times New Roman" w:eastAsia="SimSun" w:hAnsi="Times New Roman" w:cs="Times New Roman"/>
          <w:color w:val="000000" w:themeColor="text1"/>
          <w:sz w:val="24"/>
          <w:szCs w:val="24"/>
        </w:rPr>
        <w:t xml:space="preserve"> on average) for CV medals at the World Championships, and between 3.4 and 6.2 (</w:t>
      </w:r>
      <w:r w:rsidR="004304DB" w:rsidRPr="004839A5">
        <w:rPr>
          <w:rFonts w:ascii="Times New Roman" w:eastAsia="SimSun" w:hAnsi="Times New Roman" w:cs="Times New Roman"/>
          <w:color w:val="000000" w:themeColor="text1"/>
          <w:sz w:val="24"/>
          <w:szCs w:val="24"/>
        </w:rPr>
        <w:t>5.1</w:t>
      </w:r>
      <w:r w:rsidR="005A6BE8" w:rsidRPr="004839A5">
        <w:rPr>
          <w:rFonts w:ascii="Times New Roman" w:eastAsia="SimSun" w:hAnsi="Times New Roman" w:cs="Times New Roman"/>
          <w:color w:val="000000" w:themeColor="text1"/>
          <w:sz w:val="24"/>
          <w:szCs w:val="24"/>
        </w:rPr>
        <w:t xml:space="preserve"> on average) for CV top eight points</w:t>
      </w:r>
      <w:r w:rsidR="00E26305" w:rsidRPr="004839A5">
        <w:rPr>
          <w:rFonts w:ascii="Times New Roman" w:eastAsia="SimSun" w:hAnsi="Times New Roman" w:cs="Times New Roman"/>
          <w:color w:val="000000" w:themeColor="text1"/>
          <w:sz w:val="24"/>
          <w:szCs w:val="24"/>
        </w:rPr>
        <w:t xml:space="preserve"> at the World Championships</w:t>
      </w:r>
      <w:r w:rsidR="005A6BE8" w:rsidRPr="004839A5">
        <w:rPr>
          <w:rFonts w:ascii="Times New Roman" w:eastAsia="SimSun" w:hAnsi="Times New Roman" w:cs="Times New Roman"/>
          <w:color w:val="000000" w:themeColor="text1"/>
          <w:sz w:val="24"/>
          <w:szCs w:val="24"/>
        </w:rPr>
        <w:t xml:space="preserve">. In other words, the degree of competitive imbalance in table tennis is more than three times </w:t>
      </w:r>
      <w:r w:rsidR="00AD2162" w:rsidRPr="004839A5">
        <w:rPr>
          <w:rFonts w:ascii="Times New Roman" w:eastAsia="SimSun" w:hAnsi="Times New Roman" w:cs="Times New Roman"/>
          <w:color w:val="000000" w:themeColor="text1"/>
          <w:sz w:val="24"/>
          <w:szCs w:val="24"/>
        </w:rPr>
        <w:t xml:space="preserve">higher </w:t>
      </w:r>
      <w:r w:rsidR="005A6BE8" w:rsidRPr="004839A5">
        <w:rPr>
          <w:rFonts w:ascii="Times New Roman" w:eastAsia="SimSun" w:hAnsi="Times New Roman" w:cs="Times New Roman"/>
          <w:color w:val="000000" w:themeColor="text1"/>
          <w:sz w:val="24"/>
          <w:szCs w:val="24"/>
        </w:rPr>
        <w:t xml:space="preserve">in athletics in relation to the distribution of medals, and at least </w:t>
      </w:r>
      <w:r w:rsidR="0041262B" w:rsidRPr="004839A5">
        <w:rPr>
          <w:rFonts w:ascii="Times New Roman" w:eastAsia="SimSun" w:hAnsi="Times New Roman" w:cs="Times New Roman"/>
          <w:color w:val="000000" w:themeColor="text1"/>
          <w:sz w:val="24"/>
          <w:szCs w:val="24"/>
        </w:rPr>
        <w:t>double</w:t>
      </w:r>
      <w:r w:rsidR="005A6BE8" w:rsidRPr="004839A5">
        <w:rPr>
          <w:rFonts w:ascii="Times New Roman" w:eastAsia="SimSun" w:hAnsi="Times New Roman" w:cs="Times New Roman"/>
          <w:color w:val="000000" w:themeColor="text1"/>
          <w:sz w:val="24"/>
          <w:szCs w:val="24"/>
        </w:rPr>
        <w:t xml:space="preserve"> in the case of top eight points. </w:t>
      </w:r>
      <w:r w:rsidR="004304DB" w:rsidRPr="004839A5">
        <w:rPr>
          <w:rFonts w:ascii="Times New Roman" w:eastAsia="SimSun" w:hAnsi="Times New Roman" w:cs="Times New Roman"/>
          <w:color w:val="000000" w:themeColor="text1"/>
          <w:sz w:val="24"/>
          <w:szCs w:val="24"/>
        </w:rPr>
        <w:t>However, Truyens et al. (2016) employed HHI rather than HHIN. Therefore, the HHI(N) results are not comparable between table tennis and athletics. Similar difference applie</w:t>
      </w:r>
      <w:r w:rsidR="008F0026">
        <w:rPr>
          <w:rFonts w:ascii="Times New Roman" w:eastAsia="SimSun" w:hAnsi="Times New Roman" w:cs="Times New Roman"/>
          <w:color w:val="000000" w:themeColor="text1"/>
          <w:sz w:val="24"/>
          <w:szCs w:val="24"/>
        </w:rPr>
        <w:t>d</w:t>
      </w:r>
      <w:r w:rsidR="004304DB" w:rsidRPr="004839A5">
        <w:rPr>
          <w:rFonts w:ascii="Times New Roman" w:eastAsia="SimSun" w:hAnsi="Times New Roman" w:cs="Times New Roman"/>
          <w:color w:val="000000" w:themeColor="text1"/>
          <w:sz w:val="24"/>
          <w:szCs w:val="24"/>
        </w:rPr>
        <w:t xml:space="preserve"> to Chaplin and Mendoza’s (2017) research on competitive balance in boxing at the Commonwealth Games, where HHI, instead of HHIN</w:t>
      </w:r>
      <w:r w:rsidR="001E0C59" w:rsidRPr="004839A5">
        <w:rPr>
          <w:rFonts w:ascii="Times New Roman" w:eastAsia="SimSun" w:hAnsi="Times New Roman" w:cs="Times New Roman"/>
          <w:color w:val="000000" w:themeColor="text1"/>
          <w:sz w:val="24"/>
          <w:szCs w:val="24"/>
        </w:rPr>
        <w:t>,</w:t>
      </w:r>
      <w:r w:rsidR="004304DB" w:rsidRPr="004839A5">
        <w:rPr>
          <w:rFonts w:ascii="Times New Roman" w:eastAsia="SimSun" w:hAnsi="Times New Roman" w:cs="Times New Roman"/>
          <w:color w:val="000000" w:themeColor="text1"/>
          <w:sz w:val="24"/>
          <w:szCs w:val="24"/>
        </w:rPr>
        <w:t xml:space="preserve"> was used</w:t>
      </w:r>
      <w:r w:rsidR="008432AC" w:rsidRPr="004839A5">
        <w:rPr>
          <w:rFonts w:ascii="Times New Roman" w:eastAsia="SimSun" w:hAnsi="Times New Roman" w:cs="Times New Roman"/>
          <w:color w:val="000000" w:themeColor="text1"/>
          <w:sz w:val="24"/>
          <w:szCs w:val="24"/>
        </w:rPr>
        <w:t>,</w:t>
      </w:r>
      <w:r w:rsidR="004304DB" w:rsidRPr="004839A5">
        <w:rPr>
          <w:rFonts w:ascii="Times New Roman" w:eastAsia="SimSun" w:hAnsi="Times New Roman" w:cs="Times New Roman"/>
          <w:color w:val="000000" w:themeColor="text1"/>
          <w:sz w:val="24"/>
          <w:szCs w:val="24"/>
        </w:rPr>
        <w:t xml:space="preserve"> and furthermore, no edition-, or year-specific results were specified. </w:t>
      </w:r>
      <w:r w:rsidR="003641DA" w:rsidRPr="004839A5">
        <w:rPr>
          <w:rFonts w:ascii="Times New Roman" w:eastAsia="SimSun" w:hAnsi="Times New Roman" w:cs="Times New Roman"/>
          <w:color w:val="000000" w:themeColor="text1"/>
          <w:sz w:val="24"/>
          <w:szCs w:val="24"/>
        </w:rPr>
        <w:t xml:space="preserve">This also reflects the different approaches </w:t>
      </w:r>
      <w:r w:rsidR="008F0026">
        <w:rPr>
          <w:rFonts w:ascii="Times New Roman" w:eastAsia="SimSun" w:hAnsi="Times New Roman" w:cs="Times New Roman"/>
          <w:color w:val="000000" w:themeColor="text1"/>
          <w:sz w:val="24"/>
          <w:szCs w:val="24"/>
        </w:rPr>
        <w:t xml:space="preserve">that have been used to evaluate competitive balance </w:t>
      </w:r>
      <w:r w:rsidR="003641DA" w:rsidRPr="004839A5">
        <w:rPr>
          <w:rFonts w:ascii="Times New Roman" w:eastAsia="SimSun" w:hAnsi="Times New Roman" w:cs="Times New Roman"/>
          <w:color w:val="000000" w:themeColor="text1"/>
          <w:sz w:val="24"/>
          <w:szCs w:val="24"/>
        </w:rPr>
        <w:t>in single sport-based competitive balance studie</w:t>
      </w:r>
      <w:r w:rsidR="00802EB3" w:rsidRPr="004839A5">
        <w:rPr>
          <w:rFonts w:ascii="Times New Roman" w:eastAsia="SimSun" w:hAnsi="Times New Roman" w:cs="Times New Roman"/>
          <w:color w:val="000000" w:themeColor="text1"/>
          <w:sz w:val="24"/>
          <w:szCs w:val="24"/>
        </w:rPr>
        <w:t xml:space="preserve">s thus far. </w:t>
      </w:r>
    </w:p>
    <w:p w14:paraId="375C7715" w14:textId="77777777" w:rsidR="00B263C5" w:rsidRDefault="003142A3" w:rsidP="00D1788E">
      <w:pPr>
        <w:spacing w:after="0" w:line="480" w:lineRule="auto"/>
        <w:ind w:firstLine="709"/>
        <w:jc w:val="both"/>
        <w:rPr>
          <w:rFonts w:ascii="Times New Roman" w:hAnsi="Times New Roman" w:cs="Times New Roman"/>
          <w:bCs/>
          <w:color w:val="000000" w:themeColor="text1"/>
          <w:sz w:val="24"/>
          <w:szCs w:val="24"/>
        </w:rPr>
      </w:pPr>
      <w:r w:rsidRPr="004839A5">
        <w:rPr>
          <w:rFonts w:ascii="Times New Roman" w:hAnsi="Times New Roman" w:cs="Times New Roman"/>
          <w:bCs/>
          <w:color w:val="000000" w:themeColor="text1"/>
          <w:sz w:val="24"/>
          <w:szCs w:val="24"/>
        </w:rPr>
        <w:t>This study uses two competitive balance indicators – HHIN and CV</w:t>
      </w:r>
      <w:r w:rsidR="00307F68">
        <w:rPr>
          <w:rFonts w:ascii="Times New Roman" w:hAnsi="Times New Roman" w:cs="Times New Roman"/>
          <w:bCs/>
          <w:color w:val="000000" w:themeColor="text1"/>
          <w:sz w:val="24"/>
          <w:szCs w:val="24"/>
        </w:rPr>
        <w:t>. B</w:t>
      </w:r>
      <w:r w:rsidR="00307F68" w:rsidRPr="00307F68">
        <w:rPr>
          <w:rFonts w:ascii="Times New Roman" w:hAnsi="Times New Roman" w:cs="Times New Roman"/>
          <w:bCs/>
          <w:color w:val="000000" w:themeColor="text1"/>
          <w:sz w:val="24"/>
          <w:szCs w:val="24"/>
        </w:rPr>
        <w:t>oth indicators have been applied in most existing competitive balance studies on elite sport performance and they measure competitive balance from complementary angles</w:t>
      </w:r>
      <w:r w:rsidR="00307F68">
        <w:rPr>
          <w:rFonts w:ascii="Times New Roman" w:hAnsi="Times New Roman" w:cs="Times New Roman"/>
          <w:bCs/>
          <w:color w:val="000000" w:themeColor="text1"/>
          <w:sz w:val="24"/>
          <w:szCs w:val="24"/>
        </w:rPr>
        <w:t>. However,</w:t>
      </w:r>
      <w:r w:rsidRPr="004839A5">
        <w:rPr>
          <w:rFonts w:ascii="Times New Roman" w:hAnsi="Times New Roman" w:cs="Times New Roman"/>
          <w:bCs/>
          <w:color w:val="000000" w:themeColor="text1"/>
          <w:sz w:val="24"/>
          <w:szCs w:val="24"/>
        </w:rPr>
        <w:t xml:space="preserve"> the results are inconsistent </w:t>
      </w:r>
      <w:r w:rsidR="00B73DD3" w:rsidRPr="004839A5">
        <w:rPr>
          <w:rFonts w:ascii="Times New Roman" w:hAnsi="Times New Roman" w:cs="Times New Roman"/>
          <w:bCs/>
          <w:color w:val="000000" w:themeColor="text1"/>
          <w:sz w:val="24"/>
          <w:szCs w:val="24"/>
        </w:rPr>
        <w:t>particularly in the case of the</w:t>
      </w:r>
      <w:r w:rsidRPr="004839A5">
        <w:rPr>
          <w:rFonts w:ascii="Times New Roman" w:hAnsi="Times New Roman" w:cs="Times New Roman"/>
          <w:bCs/>
          <w:color w:val="000000" w:themeColor="text1"/>
          <w:sz w:val="24"/>
          <w:szCs w:val="24"/>
        </w:rPr>
        <w:t xml:space="preserve"> World Championships. As </w:t>
      </w:r>
      <w:r w:rsidR="00B73DD3" w:rsidRPr="004839A5">
        <w:rPr>
          <w:rFonts w:ascii="Times New Roman" w:hAnsi="Times New Roman" w:cs="Times New Roman"/>
          <w:bCs/>
          <w:color w:val="000000" w:themeColor="text1"/>
          <w:sz w:val="24"/>
          <w:szCs w:val="24"/>
        </w:rPr>
        <w:t>Joo and Oh (2015)</w:t>
      </w:r>
      <w:r w:rsidRPr="004839A5">
        <w:rPr>
          <w:rFonts w:ascii="Times New Roman" w:hAnsi="Times New Roman" w:cs="Times New Roman"/>
          <w:bCs/>
          <w:color w:val="000000" w:themeColor="text1"/>
          <w:sz w:val="24"/>
          <w:szCs w:val="24"/>
        </w:rPr>
        <w:t xml:space="preserve"> pointed out, indices using the ratio of deviation </w:t>
      </w:r>
      <w:r w:rsidR="00DF2A09">
        <w:rPr>
          <w:rFonts w:ascii="Times New Roman" w:hAnsi="Times New Roman" w:cs="Times New Roman"/>
          <w:bCs/>
          <w:color w:val="000000" w:themeColor="text1"/>
          <w:sz w:val="24"/>
          <w:szCs w:val="24"/>
        </w:rPr>
        <w:t xml:space="preserve">such as </w:t>
      </w:r>
      <w:r w:rsidR="008F0026">
        <w:rPr>
          <w:rFonts w:ascii="Times New Roman" w:hAnsi="Times New Roman" w:cs="Times New Roman"/>
          <w:bCs/>
          <w:color w:val="000000" w:themeColor="text1"/>
          <w:sz w:val="24"/>
          <w:szCs w:val="24"/>
        </w:rPr>
        <w:t xml:space="preserve">CV </w:t>
      </w:r>
      <w:r w:rsidRPr="004839A5">
        <w:rPr>
          <w:rFonts w:ascii="Times New Roman" w:hAnsi="Times New Roman" w:cs="Times New Roman"/>
          <w:bCs/>
          <w:color w:val="000000" w:themeColor="text1"/>
          <w:sz w:val="24"/>
          <w:szCs w:val="24"/>
        </w:rPr>
        <w:t>are influenced by the number of participants while indicators using market shares such as HHI</w:t>
      </w:r>
      <w:r w:rsidR="00B73DD3" w:rsidRPr="004839A5">
        <w:rPr>
          <w:rFonts w:ascii="Times New Roman" w:hAnsi="Times New Roman" w:cs="Times New Roman"/>
          <w:bCs/>
          <w:color w:val="000000" w:themeColor="text1"/>
          <w:sz w:val="24"/>
          <w:szCs w:val="24"/>
        </w:rPr>
        <w:t xml:space="preserve">(N) </w:t>
      </w:r>
      <w:r w:rsidR="0041262B" w:rsidRPr="004839A5">
        <w:rPr>
          <w:rFonts w:ascii="Times New Roman" w:hAnsi="Times New Roman" w:cs="Times New Roman"/>
          <w:bCs/>
          <w:color w:val="000000" w:themeColor="text1"/>
          <w:sz w:val="24"/>
          <w:szCs w:val="24"/>
        </w:rPr>
        <w:t xml:space="preserve">have </w:t>
      </w:r>
      <w:r w:rsidRPr="004839A5">
        <w:rPr>
          <w:rFonts w:ascii="Times New Roman" w:hAnsi="Times New Roman" w:cs="Times New Roman"/>
          <w:bCs/>
          <w:color w:val="000000" w:themeColor="text1"/>
          <w:sz w:val="24"/>
          <w:szCs w:val="24"/>
        </w:rPr>
        <w:t>invariant result</w:t>
      </w:r>
      <w:r w:rsidR="0041262B" w:rsidRPr="004839A5">
        <w:rPr>
          <w:rFonts w:ascii="Times New Roman" w:hAnsi="Times New Roman" w:cs="Times New Roman"/>
          <w:bCs/>
          <w:color w:val="000000" w:themeColor="text1"/>
          <w:sz w:val="24"/>
          <w:szCs w:val="24"/>
        </w:rPr>
        <w:t>s</w:t>
      </w:r>
      <w:r w:rsidRPr="004839A5">
        <w:rPr>
          <w:rFonts w:ascii="Times New Roman" w:hAnsi="Times New Roman" w:cs="Times New Roman"/>
          <w:bCs/>
          <w:color w:val="000000" w:themeColor="text1"/>
          <w:sz w:val="24"/>
          <w:szCs w:val="24"/>
        </w:rPr>
        <w:t xml:space="preserve"> </w:t>
      </w:r>
      <w:r w:rsidR="000550D5" w:rsidRPr="004839A5">
        <w:rPr>
          <w:rFonts w:ascii="Times New Roman" w:hAnsi="Times New Roman" w:cs="Times New Roman"/>
          <w:bCs/>
          <w:color w:val="000000" w:themeColor="text1"/>
          <w:sz w:val="24"/>
          <w:szCs w:val="24"/>
        </w:rPr>
        <w:t>when the number of teams change</w:t>
      </w:r>
      <w:r w:rsidR="006E7160">
        <w:rPr>
          <w:rFonts w:ascii="Times New Roman" w:hAnsi="Times New Roman" w:cs="Times New Roman"/>
          <w:bCs/>
          <w:color w:val="000000" w:themeColor="text1"/>
          <w:sz w:val="24"/>
          <w:szCs w:val="24"/>
        </w:rPr>
        <w:t>s</w:t>
      </w:r>
      <w:r w:rsidRPr="004839A5">
        <w:rPr>
          <w:rFonts w:ascii="Times New Roman" w:hAnsi="Times New Roman" w:cs="Times New Roman"/>
          <w:bCs/>
          <w:color w:val="000000" w:themeColor="text1"/>
          <w:sz w:val="24"/>
          <w:szCs w:val="24"/>
        </w:rPr>
        <w:t>.</w:t>
      </w:r>
      <w:r w:rsidR="00550854" w:rsidRPr="004839A5">
        <w:rPr>
          <w:rFonts w:ascii="Times New Roman" w:hAnsi="Times New Roman" w:cs="Times New Roman"/>
          <w:bCs/>
          <w:color w:val="000000" w:themeColor="text1"/>
          <w:sz w:val="24"/>
          <w:szCs w:val="24"/>
        </w:rPr>
        <w:t xml:space="preserve"> </w:t>
      </w:r>
      <w:r w:rsidR="0053606E">
        <w:rPr>
          <w:rFonts w:ascii="Times New Roman" w:hAnsi="Times New Roman" w:cs="Times New Roman"/>
          <w:bCs/>
          <w:color w:val="000000" w:themeColor="text1"/>
          <w:sz w:val="24"/>
          <w:szCs w:val="24"/>
        </w:rPr>
        <w:t>In this</w:t>
      </w:r>
      <w:r w:rsidRPr="004839A5">
        <w:rPr>
          <w:rFonts w:ascii="Times New Roman" w:hAnsi="Times New Roman" w:cs="Times New Roman"/>
          <w:bCs/>
          <w:color w:val="000000" w:themeColor="text1"/>
          <w:sz w:val="24"/>
          <w:szCs w:val="24"/>
        </w:rPr>
        <w:t xml:space="preserve"> study, </w:t>
      </w:r>
      <w:r w:rsidR="00B73DD3" w:rsidRPr="004839A5">
        <w:rPr>
          <w:rFonts w:ascii="Times New Roman" w:hAnsi="Times New Roman" w:cs="Times New Roman"/>
          <w:bCs/>
          <w:color w:val="000000" w:themeColor="text1"/>
          <w:sz w:val="24"/>
          <w:szCs w:val="24"/>
        </w:rPr>
        <w:t xml:space="preserve">more significant trends towards competitive imbalance are </w:t>
      </w:r>
      <w:r w:rsidR="00E5085F" w:rsidRPr="004839A5">
        <w:rPr>
          <w:rFonts w:ascii="Times New Roman" w:hAnsi="Times New Roman" w:cs="Times New Roman"/>
          <w:bCs/>
          <w:color w:val="000000" w:themeColor="text1"/>
          <w:sz w:val="24"/>
          <w:szCs w:val="24"/>
        </w:rPr>
        <w:t>observed</w:t>
      </w:r>
      <w:r w:rsidRPr="004839A5">
        <w:rPr>
          <w:rFonts w:ascii="Times New Roman" w:hAnsi="Times New Roman" w:cs="Times New Roman"/>
          <w:bCs/>
          <w:color w:val="000000" w:themeColor="text1"/>
          <w:sz w:val="24"/>
          <w:szCs w:val="24"/>
        </w:rPr>
        <w:t xml:space="preserve"> at </w:t>
      </w:r>
      <w:r w:rsidR="00B73DD3" w:rsidRPr="004839A5">
        <w:rPr>
          <w:rFonts w:ascii="Times New Roman" w:hAnsi="Times New Roman" w:cs="Times New Roman"/>
          <w:bCs/>
          <w:color w:val="000000" w:themeColor="text1"/>
          <w:sz w:val="24"/>
          <w:szCs w:val="24"/>
        </w:rPr>
        <w:t xml:space="preserve">the </w:t>
      </w:r>
      <w:r w:rsidRPr="004839A5">
        <w:rPr>
          <w:rFonts w:ascii="Times New Roman" w:hAnsi="Times New Roman" w:cs="Times New Roman"/>
          <w:bCs/>
          <w:color w:val="000000" w:themeColor="text1"/>
          <w:sz w:val="24"/>
          <w:szCs w:val="24"/>
        </w:rPr>
        <w:t>World Championships but HHINs vary insignificantly</w:t>
      </w:r>
      <w:r w:rsidR="00E5085F" w:rsidRPr="004839A5">
        <w:rPr>
          <w:rFonts w:ascii="Times New Roman" w:hAnsi="Times New Roman" w:cs="Times New Roman"/>
          <w:bCs/>
          <w:color w:val="000000" w:themeColor="text1"/>
          <w:sz w:val="24"/>
          <w:szCs w:val="24"/>
        </w:rPr>
        <w:t xml:space="preserve"> across the same period. </w:t>
      </w:r>
      <w:r w:rsidR="00E5085F" w:rsidRPr="00DA2ED2">
        <w:rPr>
          <w:rFonts w:ascii="Times New Roman" w:hAnsi="Times New Roman" w:cs="Times New Roman"/>
          <w:bCs/>
          <w:color w:val="000000" w:themeColor="text1"/>
          <w:sz w:val="24"/>
          <w:szCs w:val="24"/>
        </w:rPr>
        <w:t>Over the period 1988-2016,</w:t>
      </w:r>
      <w:r w:rsidRPr="00DA2ED2">
        <w:rPr>
          <w:rFonts w:ascii="Times New Roman" w:hAnsi="Times New Roman" w:cs="Times New Roman"/>
          <w:bCs/>
          <w:color w:val="000000" w:themeColor="text1"/>
          <w:sz w:val="24"/>
          <w:szCs w:val="24"/>
        </w:rPr>
        <w:t xml:space="preserve"> </w:t>
      </w:r>
      <w:r w:rsidR="00AC2B6C" w:rsidRPr="00DA2ED2">
        <w:rPr>
          <w:rFonts w:ascii="Times New Roman" w:hAnsi="Times New Roman" w:cs="Times New Roman"/>
          <w:bCs/>
          <w:color w:val="000000" w:themeColor="text1"/>
          <w:sz w:val="24"/>
          <w:szCs w:val="24"/>
        </w:rPr>
        <w:t>the distribution of</w:t>
      </w:r>
      <w:r w:rsidRPr="00DA2ED2">
        <w:rPr>
          <w:rFonts w:ascii="Times New Roman" w:hAnsi="Times New Roman" w:cs="Times New Roman"/>
          <w:bCs/>
          <w:color w:val="000000" w:themeColor="text1"/>
          <w:sz w:val="24"/>
          <w:szCs w:val="24"/>
        </w:rPr>
        <w:t xml:space="preserve"> </w:t>
      </w:r>
      <w:r w:rsidR="006E7160" w:rsidRPr="00DA2ED2">
        <w:rPr>
          <w:rFonts w:ascii="Times New Roman" w:hAnsi="Times New Roman" w:cs="Times New Roman"/>
          <w:bCs/>
          <w:color w:val="000000" w:themeColor="text1"/>
          <w:sz w:val="24"/>
          <w:szCs w:val="24"/>
        </w:rPr>
        <w:t>success</w:t>
      </w:r>
      <w:r w:rsidRPr="00DA2ED2">
        <w:rPr>
          <w:rFonts w:ascii="Times New Roman" w:hAnsi="Times New Roman" w:cs="Times New Roman"/>
          <w:bCs/>
          <w:color w:val="000000" w:themeColor="text1"/>
          <w:sz w:val="24"/>
          <w:szCs w:val="24"/>
        </w:rPr>
        <w:t xml:space="preserve"> </w:t>
      </w:r>
      <w:r w:rsidR="00AC2B6C" w:rsidRPr="00DA2ED2">
        <w:rPr>
          <w:rFonts w:ascii="Times New Roman" w:hAnsi="Times New Roman" w:cs="Times New Roman"/>
          <w:bCs/>
          <w:color w:val="000000" w:themeColor="text1"/>
          <w:sz w:val="24"/>
          <w:szCs w:val="24"/>
        </w:rPr>
        <w:t xml:space="preserve">has </w:t>
      </w:r>
      <w:r w:rsidR="006E7160" w:rsidRPr="00DA2ED2">
        <w:rPr>
          <w:rFonts w:ascii="Times New Roman" w:hAnsi="Times New Roman" w:cs="Times New Roman"/>
          <w:bCs/>
          <w:color w:val="000000" w:themeColor="text1"/>
          <w:sz w:val="24"/>
          <w:szCs w:val="24"/>
        </w:rPr>
        <w:t>not changed significantly</w:t>
      </w:r>
      <w:r w:rsidRPr="00DA2ED2">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In brief</w:t>
      </w:r>
      <w:r w:rsidRPr="004839A5">
        <w:rPr>
          <w:rFonts w:ascii="Times New Roman" w:hAnsi="Times New Roman" w:cs="Times New Roman"/>
          <w:bCs/>
          <w:color w:val="000000" w:themeColor="text1"/>
          <w:sz w:val="24"/>
          <w:szCs w:val="24"/>
        </w:rPr>
        <w:t xml:space="preserve">, China and other </w:t>
      </w:r>
      <w:r w:rsidR="00E5085F" w:rsidRPr="004839A5">
        <w:rPr>
          <w:rFonts w:ascii="Times New Roman" w:hAnsi="Times New Roman" w:cs="Times New Roman"/>
          <w:bCs/>
          <w:color w:val="000000" w:themeColor="text1"/>
          <w:sz w:val="24"/>
          <w:szCs w:val="24"/>
        </w:rPr>
        <w:t>E</w:t>
      </w:r>
      <w:r w:rsidRPr="004839A5">
        <w:rPr>
          <w:rFonts w:ascii="Times New Roman" w:hAnsi="Times New Roman" w:cs="Times New Roman"/>
          <w:bCs/>
          <w:color w:val="000000" w:themeColor="text1"/>
          <w:sz w:val="24"/>
          <w:szCs w:val="24"/>
        </w:rPr>
        <w:t>ast</w:t>
      </w:r>
      <w:r w:rsidR="00E27F06">
        <w:rPr>
          <w:rFonts w:ascii="Times New Roman" w:hAnsi="Times New Roman" w:cs="Times New Roman"/>
          <w:bCs/>
          <w:color w:val="000000" w:themeColor="text1"/>
          <w:sz w:val="24"/>
          <w:szCs w:val="24"/>
        </w:rPr>
        <w:t>ern</w:t>
      </w:r>
      <w:r w:rsidRPr="004839A5">
        <w:rPr>
          <w:rFonts w:ascii="Times New Roman" w:hAnsi="Times New Roman" w:cs="Times New Roman"/>
          <w:bCs/>
          <w:color w:val="000000" w:themeColor="text1"/>
          <w:sz w:val="24"/>
          <w:szCs w:val="24"/>
        </w:rPr>
        <w:t xml:space="preserve"> Asian countries</w:t>
      </w:r>
      <w:r w:rsidR="00DC7B8D" w:rsidRPr="004839A5">
        <w:rPr>
          <w:rFonts w:ascii="Times New Roman" w:hAnsi="Times New Roman" w:cs="Times New Roman"/>
          <w:bCs/>
          <w:color w:val="000000" w:themeColor="text1"/>
          <w:sz w:val="24"/>
          <w:szCs w:val="24"/>
        </w:rPr>
        <w:t>’ dominance</w:t>
      </w:r>
      <w:r w:rsidRPr="004839A5">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at</w:t>
      </w:r>
      <w:r w:rsidRPr="004839A5">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the World C</w:t>
      </w:r>
      <w:r w:rsidRPr="004839A5">
        <w:rPr>
          <w:rFonts w:ascii="Times New Roman" w:hAnsi="Times New Roman" w:cs="Times New Roman"/>
          <w:bCs/>
          <w:color w:val="000000" w:themeColor="text1"/>
          <w:sz w:val="24"/>
          <w:szCs w:val="24"/>
        </w:rPr>
        <w:t xml:space="preserve">hampionships </w:t>
      </w:r>
      <w:r w:rsidR="00F23AF1">
        <w:rPr>
          <w:rFonts w:ascii="Times New Roman" w:hAnsi="Times New Roman" w:cs="Times New Roman"/>
          <w:bCs/>
          <w:color w:val="000000" w:themeColor="text1"/>
          <w:sz w:val="24"/>
          <w:szCs w:val="24"/>
        </w:rPr>
        <w:t>has been more “hegemonic”</w:t>
      </w:r>
      <w:r w:rsidR="00DC7B8D" w:rsidRPr="004839A5">
        <w:rPr>
          <w:rFonts w:ascii="Times New Roman" w:hAnsi="Times New Roman" w:cs="Times New Roman"/>
          <w:bCs/>
          <w:color w:val="000000" w:themeColor="text1"/>
          <w:sz w:val="24"/>
          <w:szCs w:val="24"/>
        </w:rPr>
        <w:t xml:space="preserve"> than at the Olympic Games, </w:t>
      </w:r>
      <w:r w:rsidRPr="004839A5">
        <w:rPr>
          <w:rFonts w:ascii="Times New Roman" w:hAnsi="Times New Roman" w:cs="Times New Roman"/>
          <w:bCs/>
          <w:color w:val="000000" w:themeColor="text1"/>
          <w:sz w:val="24"/>
          <w:szCs w:val="24"/>
        </w:rPr>
        <w:t>while t</w:t>
      </w:r>
      <w:r w:rsidR="00DC7B8D" w:rsidRPr="004839A5">
        <w:rPr>
          <w:rFonts w:ascii="Times New Roman" w:hAnsi="Times New Roman" w:cs="Times New Roman"/>
          <w:bCs/>
          <w:color w:val="000000" w:themeColor="text1"/>
          <w:sz w:val="24"/>
          <w:szCs w:val="24"/>
        </w:rPr>
        <w:t>he number of participating nations</w:t>
      </w:r>
      <w:r w:rsidRPr="004839A5">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 xml:space="preserve">has </w:t>
      </w:r>
      <w:r w:rsidRPr="004839A5">
        <w:rPr>
          <w:rFonts w:ascii="Times New Roman" w:hAnsi="Times New Roman" w:cs="Times New Roman"/>
          <w:bCs/>
          <w:color w:val="000000" w:themeColor="text1"/>
          <w:sz w:val="24"/>
          <w:szCs w:val="24"/>
        </w:rPr>
        <w:t xml:space="preserve">increased </w:t>
      </w:r>
      <w:r w:rsidR="00B90500">
        <w:rPr>
          <w:rFonts w:ascii="Times New Roman" w:hAnsi="Times New Roman" w:cs="Times New Roman"/>
          <w:bCs/>
          <w:color w:val="000000" w:themeColor="text1"/>
          <w:sz w:val="24"/>
          <w:szCs w:val="24"/>
        </w:rPr>
        <w:t>over</w:t>
      </w:r>
      <w:r w:rsidR="00B90500" w:rsidRPr="004839A5">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time</w:t>
      </w:r>
      <w:r w:rsidRPr="004839A5">
        <w:rPr>
          <w:rFonts w:ascii="Times New Roman" w:hAnsi="Times New Roman" w:cs="Times New Roman"/>
          <w:bCs/>
          <w:color w:val="000000" w:themeColor="text1"/>
          <w:sz w:val="24"/>
          <w:szCs w:val="24"/>
        </w:rPr>
        <w:t xml:space="preserve">. </w:t>
      </w:r>
      <w:r w:rsidR="00770137">
        <w:rPr>
          <w:rFonts w:ascii="Times New Roman" w:hAnsi="Times New Roman" w:cs="Times New Roman"/>
          <w:bCs/>
          <w:color w:val="000000" w:themeColor="text1"/>
          <w:sz w:val="24"/>
          <w:szCs w:val="24"/>
        </w:rPr>
        <w:t>In nature</w:t>
      </w:r>
      <w:r w:rsidR="00B90500">
        <w:rPr>
          <w:rFonts w:ascii="Times New Roman" w:hAnsi="Times New Roman" w:cs="Times New Roman"/>
          <w:bCs/>
          <w:color w:val="000000" w:themeColor="text1"/>
          <w:sz w:val="24"/>
          <w:szCs w:val="24"/>
        </w:rPr>
        <w:t xml:space="preserve">, </w:t>
      </w:r>
      <w:r w:rsidR="00550854" w:rsidRPr="004839A5">
        <w:rPr>
          <w:rFonts w:ascii="Times New Roman" w:hAnsi="Times New Roman" w:cs="Times New Roman"/>
          <w:bCs/>
          <w:color w:val="000000" w:themeColor="text1"/>
          <w:sz w:val="24"/>
          <w:szCs w:val="24"/>
        </w:rPr>
        <w:t xml:space="preserve">CV </w:t>
      </w:r>
      <w:r w:rsidR="00B90500">
        <w:rPr>
          <w:rFonts w:ascii="Times New Roman" w:hAnsi="Times New Roman" w:cs="Times New Roman"/>
          <w:bCs/>
          <w:color w:val="000000" w:themeColor="text1"/>
          <w:sz w:val="24"/>
          <w:szCs w:val="24"/>
        </w:rPr>
        <w:t>concentrates</w:t>
      </w:r>
      <w:r w:rsidR="00B90500" w:rsidRPr="004839A5">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on the measurement of</w:t>
      </w:r>
      <w:r w:rsidR="00550854" w:rsidRPr="004839A5">
        <w:rPr>
          <w:rFonts w:ascii="Times New Roman" w:hAnsi="Times New Roman" w:cs="Times New Roman"/>
          <w:bCs/>
          <w:color w:val="000000" w:themeColor="text1"/>
          <w:sz w:val="24"/>
          <w:szCs w:val="24"/>
        </w:rPr>
        <w:t xml:space="preserve"> </w:t>
      </w:r>
      <w:r w:rsidR="00F23AF1">
        <w:rPr>
          <w:rFonts w:ascii="Times New Roman" w:hAnsi="Times New Roman" w:cs="Times New Roman"/>
          <w:bCs/>
          <w:color w:val="000000" w:themeColor="text1"/>
          <w:sz w:val="24"/>
          <w:szCs w:val="24"/>
        </w:rPr>
        <w:t>“</w:t>
      </w:r>
      <w:r w:rsidR="00550854" w:rsidRPr="004839A5">
        <w:rPr>
          <w:rFonts w:ascii="Times New Roman" w:hAnsi="Times New Roman" w:cs="Times New Roman"/>
          <w:bCs/>
          <w:color w:val="000000" w:themeColor="text1"/>
          <w:sz w:val="24"/>
          <w:szCs w:val="24"/>
        </w:rPr>
        <w:t>dispersion</w:t>
      </w:r>
      <w:r w:rsidR="00F23AF1">
        <w:rPr>
          <w:rFonts w:ascii="Times New Roman" w:hAnsi="Times New Roman" w:cs="Times New Roman"/>
          <w:bCs/>
          <w:color w:val="000000" w:themeColor="text1"/>
          <w:sz w:val="24"/>
          <w:szCs w:val="24"/>
        </w:rPr>
        <w:t>”</w:t>
      </w:r>
      <w:r w:rsidR="005B58C8" w:rsidRPr="004839A5">
        <w:rPr>
          <w:rFonts w:ascii="Times New Roman" w:hAnsi="Times New Roman" w:cs="Times New Roman"/>
          <w:bCs/>
          <w:color w:val="000000" w:themeColor="text1"/>
          <w:sz w:val="24"/>
          <w:szCs w:val="24"/>
        </w:rPr>
        <w:t xml:space="preserve"> (Brown, 1998</w:t>
      </w:r>
      <w:r w:rsidR="006F6590" w:rsidRPr="004839A5">
        <w:rPr>
          <w:rFonts w:ascii="Times New Roman" w:hAnsi="Times New Roman" w:cs="Times New Roman"/>
          <w:bCs/>
          <w:color w:val="000000" w:themeColor="text1"/>
          <w:sz w:val="24"/>
          <w:szCs w:val="24"/>
        </w:rPr>
        <w:t>, p. 155</w:t>
      </w:r>
      <w:r w:rsidR="005B58C8" w:rsidRPr="004839A5">
        <w:rPr>
          <w:rFonts w:ascii="Times New Roman" w:hAnsi="Times New Roman" w:cs="Times New Roman"/>
          <w:bCs/>
          <w:color w:val="000000" w:themeColor="text1"/>
          <w:sz w:val="24"/>
          <w:szCs w:val="24"/>
        </w:rPr>
        <w:t>),</w:t>
      </w:r>
      <w:r w:rsidR="00550854" w:rsidRPr="004839A5">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 xml:space="preserve">whilst </w:t>
      </w:r>
      <w:r w:rsidR="00550854" w:rsidRPr="004839A5">
        <w:rPr>
          <w:rFonts w:ascii="Times New Roman" w:hAnsi="Times New Roman" w:cs="Times New Roman"/>
          <w:bCs/>
          <w:color w:val="000000" w:themeColor="text1"/>
          <w:sz w:val="24"/>
          <w:szCs w:val="24"/>
        </w:rPr>
        <w:t>HHI</w:t>
      </w:r>
      <w:r w:rsidR="00DC7B8D" w:rsidRPr="004839A5">
        <w:rPr>
          <w:rFonts w:ascii="Times New Roman" w:hAnsi="Times New Roman" w:cs="Times New Roman"/>
          <w:bCs/>
          <w:color w:val="000000" w:themeColor="text1"/>
          <w:sz w:val="24"/>
          <w:szCs w:val="24"/>
        </w:rPr>
        <w:t xml:space="preserve">(N) </w:t>
      </w:r>
      <w:r w:rsidR="00B90500" w:rsidRPr="004839A5">
        <w:rPr>
          <w:rFonts w:ascii="Times New Roman" w:hAnsi="Times New Roman" w:cs="Times New Roman"/>
          <w:bCs/>
          <w:color w:val="000000" w:themeColor="text1"/>
          <w:sz w:val="24"/>
          <w:szCs w:val="24"/>
        </w:rPr>
        <w:t xml:space="preserve">focuses </w:t>
      </w:r>
      <w:r w:rsidR="00DC7B8D" w:rsidRPr="004839A5">
        <w:rPr>
          <w:rFonts w:ascii="Times New Roman" w:hAnsi="Times New Roman" w:cs="Times New Roman"/>
          <w:bCs/>
          <w:color w:val="000000" w:themeColor="text1"/>
          <w:sz w:val="24"/>
          <w:szCs w:val="24"/>
        </w:rPr>
        <w:t>on</w:t>
      </w:r>
      <w:r w:rsidR="00550854" w:rsidRPr="004839A5">
        <w:rPr>
          <w:rFonts w:ascii="Times New Roman" w:hAnsi="Times New Roman" w:cs="Times New Roman"/>
          <w:bCs/>
          <w:color w:val="000000" w:themeColor="text1"/>
          <w:sz w:val="24"/>
          <w:szCs w:val="24"/>
        </w:rPr>
        <w:t xml:space="preserve"> </w:t>
      </w:r>
      <w:r w:rsidR="00F23AF1">
        <w:rPr>
          <w:rFonts w:ascii="Times New Roman" w:hAnsi="Times New Roman" w:cs="Times New Roman"/>
          <w:bCs/>
          <w:color w:val="000000" w:themeColor="text1"/>
          <w:sz w:val="24"/>
          <w:szCs w:val="24"/>
        </w:rPr>
        <w:t>“</w:t>
      </w:r>
      <w:r w:rsidR="00550854" w:rsidRPr="004839A5">
        <w:rPr>
          <w:rFonts w:ascii="Times New Roman" w:hAnsi="Times New Roman" w:cs="Times New Roman"/>
          <w:bCs/>
          <w:color w:val="000000" w:themeColor="text1"/>
          <w:sz w:val="24"/>
          <w:szCs w:val="24"/>
        </w:rPr>
        <w:t>concentration</w:t>
      </w:r>
      <w:r w:rsidR="00F23AF1">
        <w:rPr>
          <w:rFonts w:ascii="Times New Roman" w:hAnsi="Times New Roman" w:cs="Times New Roman"/>
          <w:bCs/>
          <w:color w:val="000000" w:themeColor="text1"/>
          <w:sz w:val="24"/>
          <w:szCs w:val="24"/>
        </w:rPr>
        <w:t>”</w:t>
      </w:r>
      <w:r w:rsidR="005B58C8" w:rsidRPr="004839A5">
        <w:rPr>
          <w:rFonts w:ascii="Times New Roman" w:hAnsi="Times New Roman" w:cs="Times New Roman"/>
          <w:bCs/>
          <w:color w:val="000000" w:themeColor="text1"/>
          <w:sz w:val="24"/>
          <w:szCs w:val="24"/>
        </w:rPr>
        <w:t xml:space="preserve"> (Rhoades, 1993</w:t>
      </w:r>
      <w:r w:rsidR="00474591" w:rsidRPr="004839A5">
        <w:rPr>
          <w:rFonts w:ascii="Times New Roman" w:hAnsi="Times New Roman" w:cs="Times New Roman"/>
          <w:bCs/>
          <w:color w:val="000000" w:themeColor="text1"/>
          <w:sz w:val="24"/>
          <w:szCs w:val="24"/>
        </w:rPr>
        <w:t>, p. 188</w:t>
      </w:r>
      <w:r w:rsidR="005B58C8" w:rsidRPr="004839A5">
        <w:rPr>
          <w:rFonts w:ascii="Times New Roman" w:hAnsi="Times New Roman" w:cs="Times New Roman"/>
          <w:bCs/>
          <w:color w:val="000000" w:themeColor="text1"/>
          <w:sz w:val="24"/>
          <w:szCs w:val="24"/>
        </w:rPr>
        <w:t>)</w:t>
      </w:r>
      <w:r w:rsidR="00B90500">
        <w:rPr>
          <w:rFonts w:ascii="Times New Roman" w:hAnsi="Times New Roman" w:cs="Times New Roman"/>
          <w:bCs/>
          <w:color w:val="000000" w:themeColor="text1"/>
          <w:sz w:val="24"/>
          <w:szCs w:val="24"/>
        </w:rPr>
        <w:t>. Therefore, in HHI(N),</w:t>
      </w:r>
      <w:r w:rsidR="00550854" w:rsidRPr="004839A5">
        <w:rPr>
          <w:rFonts w:ascii="Times New Roman" w:hAnsi="Times New Roman" w:cs="Times New Roman"/>
          <w:bCs/>
          <w:color w:val="000000" w:themeColor="text1"/>
          <w:sz w:val="24"/>
          <w:szCs w:val="24"/>
        </w:rPr>
        <w:t xml:space="preserve"> </w:t>
      </w:r>
      <w:r w:rsidR="00DC7B8D" w:rsidRPr="004839A5">
        <w:rPr>
          <w:rFonts w:ascii="Times New Roman" w:hAnsi="Times New Roman" w:cs="Times New Roman"/>
          <w:bCs/>
          <w:color w:val="000000" w:themeColor="text1"/>
          <w:sz w:val="24"/>
          <w:szCs w:val="24"/>
        </w:rPr>
        <w:t xml:space="preserve">the distribution of </w:t>
      </w:r>
      <w:r w:rsidR="00550854" w:rsidRPr="004839A5">
        <w:rPr>
          <w:rFonts w:ascii="Times New Roman" w:hAnsi="Times New Roman" w:cs="Times New Roman"/>
          <w:bCs/>
          <w:color w:val="000000" w:themeColor="text1"/>
          <w:sz w:val="24"/>
          <w:szCs w:val="24"/>
        </w:rPr>
        <w:t>medal</w:t>
      </w:r>
      <w:r w:rsidR="00DC7B8D" w:rsidRPr="004839A5">
        <w:rPr>
          <w:rFonts w:ascii="Times New Roman" w:hAnsi="Times New Roman" w:cs="Times New Roman"/>
          <w:bCs/>
          <w:color w:val="000000" w:themeColor="text1"/>
          <w:sz w:val="24"/>
          <w:szCs w:val="24"/>
        </w:rPr>
        <w:t>s</w:t>
      </w:r>
      <w:r w:rsidR="00550854" w:rsidRPr="004839A5">
        <w:rPr>
          <w:rFonts w:ascii="Times New Roman" w:hAnsi="Times New Roman" w:cs="Times New Roman"/>
          <w:bCs/>
          <w:color w:val="000000" w:themeColor="text1"/>
          <w:sz w:val="24"/>
          <w:szCs w:val="24"/>
        </w:rPr>
        <w:t xml:space="preserve"> is less diffused </w:t>
      </w:r>
      <w:r w:rsidR="00DC7B8D" w:rsidRPr="004839A5">
        <w:rPr>
          <w:rFonts w:ascii="Times New Roman" w:hAnsi="Times New Roman" w:cs="Times New Roman"/>
          <w:bCs/>
          <w:color w:val="000000" w:themeColor="text1"/>
          <w:sz w:val="24"/>
          <w:szCs w:val="24"/>
        </w:rPr>
        <w:t>with time</w:t>
      </w:r>
      <w:r w:rsidR="00550854" w:rsidRPr="004839A5">
        <w:rPr>
          <w:rFonts w:ascii="Times New Roman" w:hAnsi="Times New Roman" w:cs="Times New Roman"/>
          <w:bCs/>
          <w:color w:val="000000" w:themeColor="text1"/>
          <w:sz w:val="24"/>
          <w:szCs w:val="24"/>
        </w:rPr>
        <w:t xml:space="preserve"> but </w:t>
      </w:r>
      <w:r w:rsidR="00DC7B8D" w:rsidRPr="004839A5">
        <w:rPr>
          <w:rFonts w:ascii="Times New Roman" w:hAnsi="Times New Roman" w:cs="Times New Roman"/>
          <w:bCs/>
          <w:color w:val="000000" w:themeColor="text1"/>
          <w:sz w:val="24"/>
          <w:szCs w:val="24"/>
        </w:rPr>
        <w:t xml:space="preserve">nations’ market share of medals remains relatively stable, </w:t>
      </w:r>
      <w:r w:rsidR="00307F68">
        <w:rPr>
          <w:rFonts w:ascii="Times New Roman" w:hAnsi="Times New Roman" w:cs="Times New Roman"/>
          <w:bCs/>
          <w:color w:val="000000" w:themeColor="text1"/>
          <w:sz w:val="24"/>
          <w:szCs w:val="24"/>
        </w:rPr>
        <w:t xml:space="preserve">where </w:t>
      </w:r>
      <w:r w:rsidR="00F023E7">
        <w:rPr>
          <w:rFonts w:ascii="Times New Roman" w:hAnsi="Times New Roman" w:cs="Times New Roman"/>
          <w:bCs/>
          <w:color w:val="000000" w:themeColor="text1"/>
          <w:sz w:val="24"/>
          <w:szCs w:val="24"/>
        </w:rPr>
        <w:t>only a</w:t>
      </w:r>
      <w:r w:rsidR="00307F68">
        <w:rPr>
          <w:rFonts w:ascii="Times New Roman" w:hAnsi="Times New Roman" w:cs="Times New Roman"/>
          <w:bCs/>
          <w:color w:val="000000" w:themeColor="text1"/>
          <w:sz w:val="24"/>
          <w:szCs w:val="24"/>
        </w:rPr>
        <w:t xml:space="preserve"> </w:t>
      </w:r>
      <w:r w:rsidR="00F023E7">
        <w:rPr>
          <w:rFonts w:ascii="Times New Roman" w:hAnsi="Times New Roman" w:cs="Times New Roman"/>
          <w:bCs/>
          <w:color w:val="000000" w:themeColor="text1"/>
          <w:sz w:val="24"/>
          <w:szCs w:val="24"/>
        </w:rPr>
        <w:t>few</w:t>
      </w:r>
      <w:r w:rsidR="00307F68">
        <w:rPr>
          <w:rFonts w:ascii="Times New Roman" w:hAnsi="Times New Roman" w:cs="Times New Roman"/>
          <w:bCs/>
          <w:color w:val="000000" w:themeColor="text1"/>
          <w:sz w:val="24"/>
          <w:szCs w:val="24"/>
        </w:rPr>
        <w:t>, mainly Eastern Asian nations</w:t>
      </w:r>
      <w:r w:rsidR="00097B4C">
        <w:rPr>
          <w:rFonts w:ascii="Times New Roman" w:hAnsi="Times New Roman" w:cs="Times New Roman"/>
          <w:bCs/>
          <w:color w:val="000000" w:themeColor="text1"/>
          <w:sz w:val="24"/>
          <w:szCs w:val="24"/>
        </w:rPr>
        <w:t>,</w:t>
      </w:r>
      <w:r w:rsidR="00307F68">
        <w:rPr>
          <w:rFonts w:ascii="Times New Roman" w:hAnsi="Times New Roman" w:cs="Times New Roman"/>
          <w:bCs/>
          <w:color w:val="000000" w:themeColor="text1"/>
          <w:sz w:val="24"/>
          <w:szCs w:val="24"/>
        </w:rPr>
        <w:t xml:space="preserve"> have long dominated</w:t>
      </w:r>
      <w:r w:rsidR="00242AE1" w:rsidRPr="004839A5">
        <w:rPr>
          <w:rFonts w:ascii="Times New Roman" w:hAnsi="Times New Roman" w:cs="Times New Roman"/>
          <w:bCs/>
          <w:color w:val="000000" w:themeColor="text1"/>
          <w:sz w:val="24"/>
          <w:szCs w:val="24"/>
        </w:rPr>
        <w:t xml:space="preserve">. </w:t>
      </w:r>
      <w:r w:rsidR="00550854" w:rsidRPr="004839A5">
        <w:rPr>
          <w:rFonts w:ascii="Times New Roman" w:hAnsi="Times New Roman" w:cs="Times New Roman"/>
          <w:bCs/>
          <w:color w:val="000000" w:themeColor="text1"/>
          <w:sz w:val="24"/>
          <w:szCs w:val="24"/>
        </w:rPr>
        <w:t xml:space="preserve">This </w:t>
      </w:r>
      <w:r w:rsidR="00242AE1" w:rsidRPr="004839A5">
        <w:rPr>
          <w:rFonts w:ascii="Times New Roman" w:hAnsi="Times New Roman" w:cs="Times New Roman"/>
          <w:bCs/>
          <w:color w:val="000000" w:themeColor="text1"/>
          <w:sz w:val="24"/>
          <w:szCs w:val="24"/>
        </w:rPr>
        <w:t>explains</w:t>
      </w:r>
      <w:r w:rsidR="00550854" w:rsidRPr="004839A5">
        <w:rPr>
          <w:rFonts w:ascii="Times New Roman" w:hAnsi="Times New Roman" w:cs="Times New Roman"/>
          <w:bCs/>
          <w:color w:val="000000" w:themeColor="text1"/>
          <w:sz w:val="24"/>
          <w:szCs w:val="24"/>
        </w:rPr>
        <w:t xml:space="preserve"> </w:t>
      </w:r>
      <w:r w:rsidR="00242AE1" w:rsidRPr="004839A5">
        <w:rPr>
          <w:rFonts w:ascii="Times New Roman" w:hAnsi="Times New Roman" w:cs="Times New Roman"/>
          <w:bCs/>
          <w:color w:val="000000" w:themeColor="text1"/>
          <w:sz w:val="24"/>
          <w:szCs w:val="24"/>
        </w:rPr>
        <w:t>the</w:t>
      </w:r>
      <w:r w:rsidR="00550854" w:rsidRPr="004839A5">
        <w:rPr>
          <w:rFonts w:ascii="Times New Roman" w:hAnsi="Times New Roman" w:cs="Times New Roman"/>
          <w:bCs/>
          <w:color w:val="000000" w:themeColor="text1"/>
          <w:sz w:val="24"/>
          <w:szCs w:val="24"/>
        </w:rPr>
        <w:t xml:space="preserve"> </w:t>
      </w:r>
      <w:r w:rsidR="00575263">
        <w:rPr>
          <w:rFonts w:ascii="Times New Roman" w:hAnsi="Times New Roman" w:cs="Times New Roman"/>
          <w:bCs/>
          <w:color w:val="000000" w:themeColor="text1"/>
          <w:sz w:val="24"/>
          <w:szCs w:val="24"/>
        </w:rPr>
        <w:t xml:space="preserve">more notable </w:t>
      </w:r>
      <w:r w:rsidR="00550854" w:rsidRPr="004839A5">
        <w:rPr>
          <w:rFonts w:ascii="Times New Roman" w:hAnsi="Times New Roman" w:cs="Times New Roman"/>
          <w:bCs/>
          <w:color w:val="000000" w:themeColor="text1"/>
          <w:sz w:val="24"/>
          <w:szCs w:val="24"/>
        </w:rPr>
        <w:t xml:space="preserve">inconsistency </w:t>
      </w:r>
      <w:r w:rsidR="00242AE1" w:rsidRPr="004839A5">
        <w:rPr>
          <w:rFonts w:ascii="Times New Roman" w:hAnsi="Times New Roman" w:cs="Times New Roman"/>
          <w:bCs/>
          <w:color w:val="000000" w:themeColor="text1"/>
          <w:sz w:val="24"/>
          <w:szCs w:val="24"/>
        </w:rPr>
        <w:t>found at the</w:t>
      </w:r>
      <w:r w:rsidR="00550854" w:rsidRPr="004839A5">
        <w:rPr>
          <w:rFonts w:ascii="Times New Roman" w:hAnsi="Times New Roman" w:cs="Times New Roman"/>
          <w:bCs/>
          <w:color w:val="000000" w:themeColor="text1"/>
          <w:sz w:val="24"/>
          <w:szCs w:val="24"/>
        </w:rPr>
        <w:t xml:space="preserve"> World Championships</w:t>
      </w:r>
      <w:r w:rsidR="00575263">
        <w:rPr>
          <w:rFonts w:ascii="Times New Roman" w:hAnsi="Times New Roman" w:cs="Times New Roman"/>
          <w:bCs/>
          <w:color w:val="000000" w:themeColor="text1"/>
          <w:sz w:val="24"/>
          <w:szCs w:val="24"/>
        </w:rPr>
        <w:t xml:space="preserve"> which involves a larger number of nations</w:t>
      </w:r>
      <w:r w:rsidR="00550854" w:rsidRPr="004839A5">
        <w:rPr>
          <w:rFonts w:ascii="Times New Roman" w:hAnsi="Times New Roman" w:cs="Times New Roman"/>
          <w:bCs/>
          <w:color w:val="000000" w:themeColor="text1"/>
          <w:sz w:val="24"/>
          <w:szCs w:val="24"/>
        </w:rPr>
        <w:t xml:space="preserve">. </w:t>
      </w:r>
      <w:r w:rsidR="00242AE1" w:rsidRPr="004839A5">
        <w:rPr>
          <w:rFonts w:ascii="Times New Roman" w:hAnsi="Times New Roman" w:cs="Times New Roman"/>
          <w:bCs/>
          <w:color w:val="000000" w:themeColor="text1"/>
          <w:sz w:val="24"/>
          <w:szCs w:val="24"/>
        </w:rPr>
        <w:t>In comparison</w:t>
      </w:r>
      <w:r w:rsidRPr="004839A5">
        <w:rPr>
          <w:rFonts w:ascii="Times New Roman" w:hAnsi="Times New Roman" w:cs="Times New Roman"/>
          <w:bCs/>
          <w:color w:val="000000" w:themeColor="text1"/>
          <w:sz w:val="24"/>
          <w:szCs w:val="24"/>
        </w:rPr>
        <w:t xml:space="preserve">, the trend of changes for HHIN and CV is </w:t>
      </w:r>
      <w:r w:rsidR="00242AE1" w:rsidRPr="004839A5">
        <w:rPr>
          <w:rFonts w:ascii="Times New Roman" w:hAnsi="Times New Roman" w:cs="Times New Roman"/>
          <w:bCs/>
          <w:color w:val="000000" w:themeColor="text1"/>
          <w:sz w:val="24"/>
          <w:szCs w:val="24"/>
        </w:rPr>
        <w:t xml:space="preserve">highly </w:t>
      </w:r>
      <w:r w:rsidRPr="004839A5">
        <w:rPr>
          <w:rFonts w:ascii="Times New Roman" w:hAnsi="Times New Roman" w:cs="Times New Roman"/>
          <w:bCs/>
          <w:color w:val="000000" w:themeColor="text1"/>
          <w:sz w:val="24"/>
          <w:szCs w:val="24"/>
        </w:rPr>
        <w:t xml:space="preserve">similar </w:t>
      </w:r>
      <w:r w:rsidR="00242AE1" w:rsidRPr="004839A5">
        <w:rPr>
          <w:rFonts w:ascii="Times New Roman" w:hAnsi="Times New Roman" w:cs="Times New Roman"/>
          <w:bCs/>
          <w:color w:val="000000" w:themeColor="text1"/>
          <w:sz w:val="24"/>
          <w:szCs w:val="24"/>
        </w:rPr>
        <w:t>at the Olympic G</w:t>
      </w:r>
      <w:r w:rsidRPr="004839A5">
        <w:rPr>
          <w:rFonts w:ascii="Times New Roman" w:hAnsi="Times New Roman" w:cs="Times New Roman"/>
          <w:bCs/>
          <w:color w:val="000000" w:themeColor="text1"/>
          <w:sz w:val="24"/>
          <w:szCs w:val="24"/>
        </w:rPr>
        <w:t xml:space="preserve">ames which </w:t>
      </w:r>
      <w:r w:rsidR="00242AE1" w:rsidRPr="004839A5">
        <w:rPr>
          <w:rFonts w:ascii="Times New Roman" w:hAnsi="Times New Roman" w:cs="Times New Roman"/>
          <w:bCs/>
          <w:color w:val="000000" w:themeColor="text1"/>
          <w:sz w:val="24"/>
          <w:szCs w:val="24"/>
        </w:rPr>
        <w:t xml:space="preserve">involves </w:t>
      </w:r>
      <w:r w:rsidR="00B90500">
        <w:rPr>
          <w:rFonts w:ascii="Times New Roman" w:hAnsi="Times New Roman" w:cs="Times New Roman"/>
          <w:bCs/>
          <w:color w:val="000000" w:themeColor="text1"/>
          <w:sz w:val="24"/>
          <w:szCs w:val="24"/>
        </w:rPr>
        <w:t xml:space="preserve">a </w:t>
      </w:r>
      <w:r w:rsidR="00242AE1" w:rsidRPr="004839A5">
        <w:rPr>
          <w:rFonts w:ascii="Times New Roman" w:hAnsi="Times New Roman" w:cs="Times New Roman"/>
          <w:bCs/>
          <w:color w:val="000000" w:themeColor="text1"/>
          <w:sz w:val="24"/>
          <w:szCs w:val="24"/>
        </w:rPr>
        <w:t>relatively</w:t>
      </w:r>
      <w:r w:rsidRPr="004839A5">
        <w:rPr>
          <w:rFonts w:ascii="Times New Roman" w:hAnsi="Times New Roman" w:cs="Times New Roman"/>
          <w:bCs/>
          <w:color w:val="000000" w:themeColor="text1"/>
          <w:sz w:val="24"/>
          <w:szCs w:val="24"/>
        </w:rPr>
        <w:t xml:space="preserve"> limited number of participating nations</w:t>
      </w:r>
      <w:r w:rsidR="00C612AF" w:rsidRPr="004839A5">
        <w:rPr>
          <w:rFonts w:ascii="Times New Roman" w:hAnsi="Times New Roman" w:cs="Times New Roman"/>
          <w:bCs/>
          <w:color w:val="000000" w:themeColor="text1"/>
          <w:sz w:val="24"/>
          <w:szCs w:val="24"/>
        </w:rPr>
        <w:t xml:space="preserve">. </w:t>
      </w:r>
    </w:p>
    <w:p w14:paraId="03D99802" w14:textId="71513F43" w:rsidR="0076748E" w:rsidRPr="00480C89" w:rsidRDefault="00836D28" w:rsidP="00D1788E">
      <w:pPr>
        <w:spacing w:after="0" w:line="480" w:lineRule="auto"/>
        <w:ind w:firstLine="709"/>
        <w:jc w:val="both"/>
        <w:rPr>
          <w:rFonts w:ascii="Times New Roman" w:hAnsi="Times New Roman" w:cs="Times New Roman"/>
          <w:bCs/>
          <w:color w:val="000000" w:themeColor="text1"/>
          <w:sz w:val="24"/>
          <w:szCs w:val="24"/>
        </w:rPr>
      </w:pPr>
      <w:r w:rsidRPr="00836D28">
        <w:rPr>
          <w:rFonts w:ascii="Times New Roman" w:hAnsi="Times New Roman" w:cs="Times New Roman"/>
          <w:bCs/>
          <w:color w:val="000000" w:themeColor="text1"/>
          <w:sz w:val="24"/>
          <w:szCs w:val="24"/>
          <w:highlight w:val="yellow"/>
        </w:rPr>
        <w:t>The greater sensitivity of CV to changes in the number of participating nation also explains why there are more significant correlations for CV than</w:t>
      </w:r>
      <w:r w:rsidRPr="00836D28">
        <w:rPr>
          <w:rFonts w:ascii="Times New Roman" w:hAnsi="Times New Roman" w:cs="Times New Roman"/>
          <w:bCs/>
          <w:i/>
          <w:color w:val="000000" w:themeColor="text1"/>
          <w:sz w:val="24"/>
          <w:szCs w:val="24"/>
          <w:highlight w:val="yellow"/>
        </w:rPr>
        <w:t xml:space="preserve"> </w:t>
      </w:r>
      <w:r w:rsidRPr="00836D28">
        <w:rPr>
          <w:rFonts w:ascii="Times New Roman" w:hAnsi="Times New Roman" w:cs="Times New Roman"/>
          <w:bCs/>
          <w:color w:val="000000" w:themeColor="text1"/>
          <w:sz w:val="24"/>
          <w:szCs w:val="24"/>
          <w:highlight w:val="yellow"/>
        </w:rPr>
        <w:t xml:space="preserve">HHIN at the World Championships (see Table 4). The number of participating nations at the World Championships increased from 81 in 1989 to 127 in 2013/2014. However, the distribution pattern of gold medals, medals and to a lesser extent, top eight points was largely stable over this period. This means that the vast majority of the new participating nations failed to win any (gold) medal or point, a feature which is reflected in the in lower CV-based competitive balance values at the World Championships. In comparison, the increased number of participating nations at the Olympic Games has been more modest, </w:t>
      </w:r>
      <w:r w:rsidR="001008A2">
        <w:rPr>
          <w:rFonts w:ascii="Times New Roman" w:hAnsi="Times New Roman" w:cs="Times New Roman"/>
          <w:bCs/>
          <w:color w:val="000000" w:themeColor="text1"/>
          <w:sz w:val="24"/>
          <w:szCs w:val="24"/>
          <w:highlight w:val="yellow"/>
        </w:rPr>
        <w:t>increas</w:t>
      </w:r>
      <w:r w:rsidRPr="00836D28">
        <w:rPr>
          <w:rFonts w:ascii="Times New Roman" w:hAnsi="Times New Roman" w:cs="Times New Roman"/>
          <w:bCs/>
          <w:color w:val="000000" w:themeColor="text1"/>
          <w:sz w:val="24"/>
          <w:szCs w:val="24"/>
          <w:highlight w:val="yellow"/>
        </w:rPr>
        <w:t>ing from 41 in 1988 to 55 in 2016. Therefore, most CV-based correlation trends at the Olympic Games, including all non-gold trends, are insignificant.</w:t>
      </w:r>
      <w:r w:rsidR="00D1788E">
        <w:rPr>
          <w:rFonts w:ascii="Times New Roman" w:hAnsi="Times New Roman" w:cs="Times New Roman"/>
          <w:bCs/>
          <w:color w:val="000000" w:themeColor="text1"/>
          <w:sz w:val="24"/>
          <w:szCs w:val="24"/>
        </w:rPr>
        <w:t xml:space="preserve"> </w:t>
      </w:r>
      <w:r w:rsidR="000D6E0A" w:rsidRPr="004839A5">
        <w:rPr>
          <w:rFonts w:ascii="Times New Roman" w:hAnsi="Times New Roman" w:cs="Times New Roman"/>
          <w:bCs/>
          <w:color w:val="000000" w:themeColor="text1"/>
          <w:sz w:val="24"/>
          <w:szCs w:val="24"/>
        </w:rPr>
        <w:t>Despite the differences,</w:t>
      </w:r>
      <w:r w:rsidR="00097B4C">
        <w:rPr>
          <w:rFonts w:ascii="Times New Roman" w:hAnsi="Times New Roman" w:cs="Times New Roman"/>
          <w:bCs/>
          <w:color w:val="000000" w:themeColor="text1"/>
          <w:sz w:val="24"/>
          <w:szCs w:val="24"/>
        </w:rPr>
        <w:t xml:space="preserve"> </w:t>
      </w:r>
      <w:r w:rsidR="000D6E0A" w:rsidRPr="004839A5">
        <w:rPr>
          <w:rFonts w:ascii="Times New Roman" w:hAnsi="Times New Roman" w:cs="Times New Roman"/>
          <w:bCs/>
          <w:color w:val="000000" w:themeColor="text1"/>
          <w:sz w:val="24"/>
          <w:szCs w:val="24"/>
        </w:rPr>
        <w:t xml:space="preserve">HHIN and CV are instrumental in providing a fuller </w:t>
      </w:r>
      <w:r w:rsidR="005B58C8" w:rsidRPr="004839A5">
        <w:rPr>
          <w:rFonts w:ascii="Times New Roman" w:hAnsi="Times New Roman" w:cs="Times New Roman"/>
          <w:bCs/>
          <w:color w:val="000000" w:themeColor="text1"/>
          <w:sz w:val="24"/>
          <w:szCs w:val="24"/>
        </w:rPr>
        <w:t>and more thorough understanding</w:t>
      </w:r>
      <w:r w:rsidR="000D6E0A" w:rsidRPr="004839A5">
        <w:rPr>
          <w:rFonts w:ascii="Times New Roman" w:hAnsi="Times New Roman" w:cs="Times New Roman"/>
          <w:bCs/>
          <w:color w:val="000000" w:themeColor="text1"/>
          <w:sz w:val="24"/>
          <w:szCs w:val="24"/>
        </w:rPr>
        <w:t xml:space="preserve"> of the distribution of success in international table tennis during the period 1988-2016</w:t>
      </w:r>
      <w:r w:rsidR="00E27F06">
        <w:rPr>
          <w:rFonts w:ascii="Times New Roman" w:hAnsi="Times New Roman" w:cs="Times New Roman"/>
          <w:bCs/>
          <w:color w:val="000000" w:themeColor="text1"/>
          <w:sz w:val="24"/>
          <w:szCs w:val="24"/>
        </w:rPr>
        <w:t>, compared to the adoption of a solitary indicator</w:t>
      </w:r>
      <w:r w:rsidR="000D6E0A" w:rsidRPr="004839A5">
        <w:rPr>
          <w:rFonts w:ascii="Times New Roman" w:hAnsi="Times New Roman" w:cs="Times New Roman"/>
          <w:bCs/>
          <w:color w:val="000000" w:themeColor="text1"/>
          <w:sz w:val="24"/>
          <w:szCs w:val="24"/>
        </w:rPr>
        <w:t xml:space="preserve">. In addition, despite the varying degree of significance of the trends, the general trends towards competitive </w:t>
      </w:r>
      <w:r w:rsidR="005B58C8" w:rsidRPr="004839A5">
        <w:rPr>
          <w:rFonts w:ascii="Times New Roman" w:hAnsi="Times New Roman" w:cs="Times New Roman"/>
          <w:bCs/>
          <w:color w:val="000000" w:themeColor="text1"/>
          <w:sz w:val="24"/>
          <w:szCs w:val="24"/>
        </w:rPr>
        <w:t>im</w:t>
      </w:r>
      <w:r w:rsidR="000D6E0A" w:rsidRPr="004839A5">
        <w:rPr>
          <w:rFonts w:ascii="Times New Roman" w:hAnsi="Times New Roman" w:cs="Times New Roman"/>
          <w:bCs/>
          <w:color w:val="000000" w:themeColor="text1"/>
          <w:sz w:val="24"/>
          <w:szCs w:val="24"/>
        </w:rPr>
        <w:t>balance are consistent between the two indica</w:t>
      </w:r>
      <w:r w:rsidR="005B58C8" w:rsidRPr="004839A5">
        <w:rPr>
          <w:rFonts w:ascii="Times New Roman" w:hAnsi="Times New Roman" w:cs="Times New Roman"/>
          <w:bCs/>
          <w:color w:val="000000" w:themeColor="text1"/>
          <w:sz w:val="24"/>
          <w:szCs w:val="24"/>
        </w:rPr>
        <w:t>tors according to most indicators at the Olympic Games and the World Championships.</w:t>
      </w:r>
    </w:p>
    <w:p w14:paraId="6A8FD261" w14:textId="6AFB6B4D" w:rsidR="0076748E" w:rsidRDefault="00097B4C" w:rsidP="00C201D1">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Implications.</w:t>
      </w:r>
      <w:r w:rsidR="0076748E">
        <w:rPr>
          <w:rFonts w:ascii="Times New Roman" w:hAnsi="Times New Roman" w:cs="Times New Roman"/>
          <w:b/>
          <w:color w:val="000000" w:themeColor="text1"/>
          <w:sz w:val="24"/>
          <w:szCs w:val="24"/>
        </w:rPr>
        <w:t xml:space="preserve"> </w:t>
      </w:r>
      <w:r w:rsidR="0076748E" w:rsidRPr="0076748E">
        <w:rPr>
          <w:rFonts w:ascii="Times New Roman" w:hAnsi="Times New Roman" w:cs="Times New Roman"/>
          <w:color w:val="000000" w:themeColor="text1"/>
          <w:sz w:val="24"/>
          <w:szCs w:val="24"/>
        </w:rPr>
        <w:t>The</w:t>
      </w:r>
      <w:r w:rsidR="004269D1">
        <w:rPr>
          <w:rFonts w:ascii="Times New Roman" w:hAnsi="Times New Roman" w:cs="Times New Roman"/>
          <w:color w:val="000000" w:themeColor="text1"/>
          <w:sz w:val="24"/>
          <w:szCs w:val="24"/>
        </w:rPr>
        <w:t xml:space="preserve"> ITTF </w:t>
      </w:r>
      <w:r w:rsidR="00E27F06">
        <w:rPr>
          <w:rFonts w:ascii="Times New Roman" w:hAnsi="Times New Roman" w:cs="Times New Roman"/>
          <w:color w:val="000000" w:themeColor="text1"/>
          <w:sz w:val="24"/>
          <w:szCs w:val="24"/>
        </w:rPr>
        <w:t>may consider</w:t>
      </w:r>
      <w:r w:rsidR="004269D1">
        <w:rPr>
          <w:rFonts w:ascii="Times New Roman" w:hAnsi="Times New Roman" w:cs="Times New Roman"/>
          <w:color w:val="000000" w:themeColor="text1"/>
          <w:sz w:val="24"/>
          <w:szCs w:val="24"/>
        </w:rPr>
        <w:t xml:space="preserve"> implement</w:t>
      </w:r>
      <w:r w:rsidR="00E27F06">
        <w:rPr>
          <w:rFonts w:ascii="Times New Roman" w:hAnsi="Times New Roman" w:cs="Times New Roman"/>
          <w:color w:val="000000" w:themeColor="text1"/>
          <w:sz w:val="24"/>
          <w:szCs w:val="24"/>
        </w:rPr>
        <w:t xml:space="preserve">ing </w:t>
      </w:r>
      <w:r w:rsidR="004269D1">
        <w:rPr>
          <w:rFonts w:ascii="Times New Roman" w:hAnsi="Times New Roman" w:cs="Times New Roman"/>
          <w:color w:val="000000" w:themeColor="text1"/>
          <w:sz w:val="24"/>
          <w:szCs w:val="24"/>
        </w:rPr>
        <w:t>a double-bronze policy at the Olymp</w:t>
      </w:r>
      <w:r w:rsidR="006E7160">
        <w:rPr>
          <w:rFonts w:ascii="Times New Roman" w:hAnsi="Times New Roman" w:cs="Times New Roman"/>
          <w:color w:val="000000" w:themeColor="text1"/>
          <w:sz w:val="24"/>
          <w:szCs w:val="24"/>
        </w:rPr>
        <w:t>ic Games</w:t>
      </w:r>
      <w:r w:rsidR="00950BFC">
        <w:rPr>
          <w:rFonts w:ascii="Times New Roman" w:hAnsi="Times New Roman" w:cs="Times New Roman"/>
          <w:color w:val="000000" w:themeColor="text1"/>
          <w:sz w:val="24"/>
          <w:szCs w:val="24"/>
        </w:rPr>
        <w:t xml:space="preserve">, </w:t>
      </w:r>
      <w:r w:rsidR="00950BFC" w:rsidRPr="006E7160">
        <w:rPr>
          <w:rFonts w:ascii="Times New Roman" w:hAnsi="Times New Roman" w:cs="Times New Roman"/>
          <w:color w:val="000000" w:themeColor="text1"/>
          <w:sz w:val="24"/>
          <w:szCs w:val="24"/>
        </w:rPr>
        <w:t xml:space="preserve">as it </w:t>
      </w:r>
      <w:r w:rsidR="00884CA0" w:rsidRPr="006E7160">
        <w:rPr>
          <w:rFonts w:ascii="Times New Roman" w:hAnsi="Times New Roman" w:cs="Times New Roman"/>
          <w:color w:val="000000" w:themeColor="text1"/>
          <w:sz w:val="24"/>
          <w:szCs w:val="24"/>
        </w:rPr>
        <w:t xml:space="preserve">once </w:t>
      </w:r>
      <w:r w:rsidR="00950BFC" w:rsidRPr="006E7160">
        <w:rPr>
          <w:rFonts w:ascii="Times New Roman" w:hAnsi="Times New Roman" w:cs="Times New Roman"/>
          <w:color w:val="000000" w:themeColor="text1"/>
          <w:sz w:val="24"/>
          <w:szCs w:val="24"/>
        </w:rPr>
        <w:t xml:space="preserve">did </w:t>
      </w:r>
      <w:r w:rsidR="00E27F06">
        <w:rPr>
          <w:rFonts w:ascii="Times New Roman" w:hAnsi="Times New Roman" w:cs="Times New Roman"/>
          <w:color w:val="000000" w:themeColor="text1"/>
          <w:sz w:val="24"/>
          <w:szCs w:val="24"/>
        </w:rPr>
        <w:t xml:space="preserve">in table tennis </w:t>
      </w:r>
      <w:r w:rsidR="00950BFC" w:rsidRPr="006E7160">
        <w:rPr>
          <w:rFonts w:ascii="Times New Roman" w:hAnsi="Times New Roman" w:cs="Times New Roman"/>
          <w:color w:val="000000" w:themeColor="text1"/>
          <w:sz w:val="24"/>
          <w:szCs w:val="24"/>
        </w:rPr>
        <w:t>at the 1992 Barcelona Olympic Games</w:t>
      </w:r>
      <w:r w:rsidR="00E27F06">
        <w:rPr>
          <w:rFonts w:ascii="Times New Roman" w:hAnsi="Times New Roman" w:cs="Times New Roman"/>
          <w:color w:val="000000" w:themeColor="text1"/>
          <w:sz w:val="24"/>
          <w:szCs w:val="24"/>
        </w:rPr>
        <w:t xml:space="preserve">, and as </w:t>
      </w:r>
      <w:r>
        <w:rPr>
          <w:rFonts w:ascii="Times New Roman" w:hAnsi="Times New Roman" w:cs="Times New Roman"/>
          <w:color w:val="000000" w:themeColor="text1"/>
          <w:sz w:val="24"/>
          <w:szCs w:val="24"/>
        </w:rPr>
        <w:t>combat sp</w:t>
      </w:r>
      <w:r w:rsidR="00A02C6B">
        <w:rPr>
          <w:rFonts w:ascii="Times New Roman" w:hAnsi="Times New Roman" w:cs="Times New Roman"/>
          <w:color w:val="000000" w:themeColor="text1"/>
          <w:sz w:val="24"/>
          <w:szCs w:val="24"/>
        </w:rPr>
        <w:t>orts such as judo and boxing have</w:t>
      </w:r>
      <w:r>
        <w:rPr>
          <w:rFonts w:ascii="Times New Roman" w:hAnsi="Times New Roman" w:cs="Times New Roman"/>
          <w:color w:val="000000" w:themeColor="text1"/>
          <w:sz w:val="24"/>
          <w:szCs w:val="24"/>
        </w:rPr>
        <w:t xml:space="preserve"> </w:t>
      </w:r>
      <w:r w:rsidR="00E27F06">
        <w:rPr>
          <w:rFonts w:ascii="Times New Roman" w:hAnsi="Times New Roman" w:cs="Times New Roman"/>
          <w:color w:val="000000" w:themeColor="text1"/>
          <w:sz w:val="24"/>
          <w:szCs w:val="24"/>
        </w:rPr>
        <w:t xml:space="preserve">long </w:t>
      </w:r>
      <w:r>
        <w:rPr>
          <w:rFonts w:ascii="Times New Roman" w:hAnsi="Times New Roman" w:cs="Times New Roman"/>
          <w:color w:val="000000" w:themeColor="text1"/>
          <w:sz w:val="24"/>
          <w:szCs w:val="24"/>
        </w:rPr>
        <w:t>adopted</w:t>
      </w:r>
      <w:r w:rsidR="000728F1" w:rsidRPr="006E7160">
        <w:rPr>
          <w:rFonts w:ascii="Times New Roman" w:hAnsi="Times New Roman" w:cs="Times New Roman"/>
          <w:color w:val="000000" w:themeColor="text1"/>
          <w:sz w:val="24"/>
          <w:szCs w:val="24"/>
        </w:rPr>
        <w:t xml:space="preserve">. </w:t>
      </w:r>
      <w:r w:rsidR="000728F1">
        <w:rPr>
          <w:rFonts w:ascii="Times New Roman" w:hAnsi="Times New Roman" w:cs="Times New Roman"/>
          <w:color w:val="000000" w:themeColor="text1"/>
          <w:sz w:val="24"/>
          <w:szCs w:val="24"/>
        </w:rPr>
        <w:t xml:space="preserve">This </w:t>
      </w:r>
      <w:r w:rsidR="004269D1">
        <w:rPr>
          <w:rFonts w:ascii="Times New Roman" w:hAnsi="Times New Roman" w:cs="Times New Roman"/>
          <w:color w:val="000000" w:themeColor="text1"/>
          <w:sz w:val="24"/>
          <w:szCs w:val="24"/>
        </w:rPr>
        <w:t xml:space="preserve">will not change the distribution </w:t>
      </w:r>
      <w:r w:rsidR="000728F1">
        <w:rPr>
          <w:rFonts w:ascii="Times New Roman" w:hAnsi="Times New Roman" w:cs="Times New Roman"/>
          <w:color w:val="000000" w:themeColor="text1"/>
          <w:sz w:val="24"/>
          <w:szCs w:val="24"/>
        </w:rPr>
        <w:t>of gold</w:t>
      </w:r>
      <w:r w:rsidR="004269D1">
        <w:rPr>
          <w:rFonts w:ascii="Times New Roman" w:hAnsi="Times New Roman" w:cs="Times New Roman"/>
          <w:color w:val="000000" w:themeColor="text1"/>
          <w:sz w:val="24"/>
          <w:szCs w:val="24"/>
        </w:rPr>
        <w:t xml:space="preserve"> medals, but it will enhance the </w:t>
      </w:r>
      <w:r w:rsidR="000728F1">
        <w:rPr>
          <w:rFonts w:ascii="Times New Roman" w:hAnsi="Times New Roman" w:cs="Times New Roman"/>
          <w:color w:val="000000" w:themeColor="text1"/>
          <w:sz w:val="24"/>
          <w:szCs w:val="24"/>
        </w:rPr>
        <w:t xml:space="preserve">probability </w:t>
      </w:r>
      <w:r w:rsidR="005B5D49">
        <w:rPr>
          <w:rFonts w:ascii="Times New Roman" w:hAnsi="Times New Roman" w:cs="Times New Roman"/>
          <w:color w:val="000000" w:themeColor="text1"/>
          <w:sz w:val="24"/>
          <w:szCs w:val="24"/>
        </w:rPr>
        <w:t xml:space="preserve">that </w:t>
      </w:r>
      <w:r w:rsidR="000728F1">
        <w:rPr>
          <w:rFonts w:ascii="Times New Roman" w:hAnsi="Times New Roman" w:cs="Times New Roman"/>
          <w:color w:val="000000" w:themeColor="text1"/>
          <w:sz w:val="24"/>
          <w:szCs w:val="24"/>
        </w:rPr>
        <w:t>more nations win</w:t>
      </w:r>
      <w:r w:rsidR="005B5D49">
        <w:rPr>
          <w:rFonts w:ascii="Times New Roman" w:hAnsi="Times New Roman" w:cs="Times New Roman"/>
          <w:color w:val="000000" w:themeColor="text1"/>
          <w:sz w:val="24"/>
          <w:szCs w:val="24"/>
        </w:rPr>
        <w:t xml:space="preserve"> at least</w:t>
      </w:r>
      <w:r w:rsidR="000728F1">
        <w:rPr>
          <w:rFonts w:ascii="Times New Roman" w:hAnsi="Times New Roman" w:cs="Times New Roman"/>
          <w:color w:val="000000" w:themeColor="text1"/>
          <w:sz w:val="24"/>
          <w:szCs w:val="24"/>
        </w:rPr>
        <w:t xml:space="preserve"> </w:t>
      </w:r>
      <w:r w:rsidR="005B5D49">
        <w:rPr>
          <w:rFonts w:ascii="Times New Roman" w:hAnsi="Times New Roman" w:cs="Times New Roman"/>
          <w:color w:val="000000" w:themeColor="text1"/>
          <w:sz w:val="24"/>
          <w:szCs w:val="24"/>
        </w:rPr>
        <w:t>one</w:t>
      </w:r>
      <w:r w:rsidR="000728F1">
        <w:rPr>
          <w:rFonts w:ascii="Times New Roman" w:hAnsi="Times New Roman" w:cs="Times New Roman"/>
          <w:color w:val="000000" w:themeColor="text1"/>
          <w:sz w:val="24"/>
          <w:szCs w:val="24"/>
        </w:rPr>
        <w:t xml:space="preserve"> medal</w:t>
      </w:r>
      <w:r w:rsidR="00DC19FB">
        <w:rPr>
          <w:rFonts w:ascii="Times New Roman" w:hAnsi="Times New Roman" w:cs="Times New Roman"/>
          <w:color w:val="000000" w:themeColor="text1"/>
          <w:sz w:val="24"/>
          <w:szCs w:val="24"/>
        </w:rPr>
        <w:t>, because China can win at most two medals in singles events, following the two athlete-maximum policy</w:t>
      </w:r>
      <w:r w:rsidR="000728F1">
        <w:rPr>
          <w:rFonts w:ascii="Times New Roman" w:hAnsi="Times New Roman" w:cs="Times New Roman"/>
          <w:color w:val="000000" w:themeColor="text1"/>
          <w:sz w:val="24"/>
          <w:szCs w:val="24"/>
        </w:rPr>
        <w:t>. A more radical suggestion is to limit the number of events that any single nation can enter</w:t>
      </w:r>
      <w:r w:rsidR="00F77969">
        <w:rPr>
          <w:rFonts w:ascii="Times New Roman" w:hAnsi="Times New Roman" w:cs="Times New Roman"/>
          <w:color w:val="000000" w:themeColor="text1"/>
          <w:sz w:val="24"/>
          <w:szCs w:val="24"/>
        </w:rPr>
        <w:t xml:space="preserve"> at the Olympic Games</w:t>
      </w:r>
      <w:r w:rsidR="000728F1">
        <w:rPr>
          <w:rFonts w:ascii="Times New Roman" w:hAnsi="Times New Roman" w:cs="Times New Roman"/>
          <w:color w:val="000000" w:themeColor="text1"/>
          <w:sz w:val="24"/>
          <w:szCs w:val="24"/>
        </w:rPr>
        <w:t xml:space="preserve">. This will ensure that at </w:t>
      </w:r>
      <w:r w:rsidR="001B2B49">
        <w:rPr>
          <w:rFonts w:ascii="Times New Roman" w:hAnsi="Times New Roman" w:cs="Times New Roman"/>
          <w:color w:val="000000" w:themeColor="text1"/>
          <w:sz w:val="24"/>
          <w:szCs w:val="24"/>
        </w:rPr>
        <w:t>l</w:t>
      </w:r>
      <w:r w:rsidR="000728F1">
        <w:rPr>
          <w:rFonts w:ascii="Times New Roman" w:hAnsi="Times New Roman" w:cs="Times New Roman"/>
          <w:color w:val="000000" w:themeColor="text1"/>
          <w:sz w:val="24"/>
          <w:szCs w:val="24"/>
        </w:rPr>
        <w:t>east one of the four event</w:t>
      </w:r>
      <w:r w:rsidR="00934D84">
        <w:rPr>
          <w:rFonts w:ascii="Times New Roman" w:hAnsi="Times New Roman" w:cs="Times New Roman"/>
          <w:color w:val="000000" w:themeColor="text1"/>
          <w:sz w:val="24"/>
          <w:szCs w:val="24"/>
        </w:rPr>
        <w:t xml:space="preserve">s </w:t>
      </w:r>
      <w:r w:rsidR="00DC19FB">
        <w:rPr>
          <w:rFonts w:ascii="Times New Roman" w:hAnsi="Times New Roman" w:cs="Times New Roman"/>
          <w:color w:val="000000" w:themeColor="text1"/>
          <w:sz w:val="24"/>
          <w:szCs w:val="24"/>
        </w:rPr>
        <w:t>excludes</w:t>
      </w:r>
      <w:r w:rsidR="00934D84">
        <w:rPr>
          <w:rFonts w:ascii="Times New Roman" w:hAnsi="Times New Roman" w:cs="Times New Roman"/>
          <w:color w:val="000000" w:themeColor="text1"/>
          <w:sz w:val="24"/>
          <w:szCs w:val="24"/>
        </w:rPr>
        <w:t xml:space="preserve"> a Chinese entrant.</w:t>
      </w:r>
      <w:r w:rsidR="000728F1">
        <w:rPr>
          <w:rFonts w:ascii="Times New Roman" w:hAnsi="Times New Roman" w:cs="Times New Roman"/>
          <w:color w:val="000000" w:themeColor="text1"/>
          <w:sz w:val="24"/>
          <w:szCs w:val="24"/>
        </w:rPr>
        <w:t xml:space="preserve"> This f</w:t>
      </w:r>
      <w:r w:rsidR="00934D84">
        <w:rPr>
          <w:rFonts w:ascii="Times New Roman" w:hAnsi="Times New Roman" w:cs="Times New Roman"/>
          <w:color w:val="000000" w:themeColor="text1"/>
          <w:sz w:val="24"/>
          <w:szCs w:val="24"/>
        </w:rPr>
        <w:t>ormat is not without precedent.</w:t>
      </w:r>
      <w:r w:rsidR="000728F1">
        <w:rPr>
          <w:rFonts w:ascii="Times New Roman" w:hAnsi="Times New Roman" w:cs="Times New Roman"/>
          <w:color w:val="000000" w:themeColor="text1"/>
          <w:sz w:val="24"/>
          <w:szCs w:val="24"/>
        </w:rPr>
        <w:t xml:space="preserve"> Both </w:t>
      </w:r>
      <w:r w:rsidR="00F77969">
        <w:rPr>
          <w:rFonts w:ascii="Times New Roman" w:hAnsi="Times New Roman" w:cs="Times New Roman"/>
          <w:color w:val="000000" w:themeColor="text1"/>
          <w:sz w:val="24"/>
          <w:szCs w:val="24"/>
        </w:rPr>
        <w:t>t</w:t>
      </w:r>
      <w:r w:rsidR="000728F1">
        <w:rPr>
          <w:rFonts w:ascii="Times New Roman" w:hAnsi="Times New Roman" w:cs="Times New Roman"/>
          <w:color w:val="000000" w:themeColor="text1"/>
          <w:sz w:val="24"/>
          <w:szCs w:val="24"/>
        </w:rPr>
        <w:t>aekwondo and weightlifting have such policies</w:t>
      </w:r>
      <w:r w:rsidR="00F77969">
        <w:rPr>
          <w:rFonts w:ascii="Times New Roman" w:hAnsi="Times New Roman" w:cs="Times New Roman"/>
          <w:color w:val="000000" w:themeColor="text1"/>
          <w:sz w:val="24"/>
          <w:szCs w:val="24"/>
        </w:rPr>
        <w:t xml:space="preserve"> </w:t>
      </w:r>
      <w:r w:rsidR="00F77969" w:rsidRPr="00A2691A">
        <w:rPr>
          <w:rFonts w:ascii="Times New Roman" w:hAnsi="Times New Roman" w:cs="Times New Roman"/>
          <w:color w:val="000000" w:themeColor="text1"/>
          <w:sz w:val="24"/>
          <w:szCs w:val="24"/>
        </w:rPr>
        <w:t>according to which any single nation can participate in at most five of eight taekwondo events</w:t>
      </w:r>
      <w:r w:rsidR="00934D84" w:rsidRPr="00A2691A">
        <w:rPr>
          <w:rFonts w:ascii="Times New Roman" w:hAnsi="Times New Roman" w:cs="Times New Roman"/>
          <w:color w:val="000000" w:themeColor="text1"/>
          <w:sz w:val="24"/>
          <w:szCs w:val="24"/>
        </w:rPr>
        <w:t xml:space="preserve"> </w:t>
      </w:r>
      <w:r w:rsidR="00F77969" w:rsidRPr="00A2691A">
        <w:rPr>
          <w:rFonts w:ascii="Times New Roman" w:hAnsi="Times New Roman" w:cs="Times New Roman"/>
          <w:color w:val="000000" w:themeColor="text1"/>
          <w:sz w:val="24"/>
          <w:szCs w:val="24"/>
        </w:rPr>
        <w:t>(a maximum of four events between Sydney 2000 and London 2012</w:t>
      </w:r>
      <w:r w:rsidR="00EA0B2C" w:rsidRPr="00A2691A">
        <w:rPr>
          <w:rFonts w:ascii="Times New Roman" w:hAnsi="Times New Roman" w:cs="Times New Roman"/>
          <w:color w:val="000000" w:themeColor="text1"/>
          <w:sz w:val="24"/>
          <w:szCs w:val="24"/>
        </w:rPr>
        <w:t xml:space="preserve"> and the increased limit to five events at Rio de Janeiro 2016</w:t>
      </w:r>
      <w:r w:rsidR="00F77969" w:rsidRPr="00A2691A">
        <w:rPr>
          <w:rFonts w:ascii="Times New Roman" w:hAnsi="Times New Roman" w:cs="Times New Roman"/>
          <w:color w:val="000000" w:themeColor="text1"/>
          <w:sz w:val="24"/>
          <w:szCs w:val="24"/>
        </w:rPr>
        <w:t xml:space="preserve">) and can send a maximum of four weightlifters in women’s weightlifting </w:t>
      </w:r>
      <w:r w:rsidR="005B5D49">
        <w:rPr>
          <w:rFonts w:ascii="Times New Roman" w:hAnsi="Times New Roman" w:cs="Times New Roman"/>
          <w:color w:val="000000" w:themeColor="text1"/>
          <w:sz w:val="24"/>
          <w:szCs w:val="24"/>
        </w:rPr>
        <w:t>out of</w:t>
      </w:r>
      <w:r w:rsidR="00F77969" w:rsidRPr="00A2691A">
        <w:rPr>
          <w:rFonts w:ascii="Times New Roman" w:hAnsi="Times New Roman" w:cs="Times New Roman"/>
          <w:color w:val="000000" w:themeColor="text1"/>
          <w:sz w:val="24"/>
          <w:szCs w:val="24"/>
        </w:rPr>
        <w:t xml:space="preserve"> seven events at the Olympic Games</w:t>
      </w:r>
      <w:r w:rsidR="000728F1" w:rsidRPr="00A2691A">
        <w:rPr>
          <w:rFonts w:ascii="Times New Roman" w:hAnsi="Times New Roman" w:cs="Times New Roman"/>
          <w:color w:val="000000" w:themeColor="text1"/>
          <w:sz w:val="24"/>
          <w:szCs w:val="24"/>
        </w:rPr>
        <w:t xml:space="preserve">. </w:t>
      </w:r>
      <w:r w:rsidR="000728F1">
        <w:rPr>
          <w:rFonts w:ascii="Times New Roman" w:hAnsi="Times New Roman" w:cs="Times New Roman"/>
          <w:color w:val="000000" w:themeColor="text1"/>
          <w:sz w:val="24"/>
          <w:szCs w:val="24"/>
        </w:rPr>
        <w:t>Chin</w:t>
      </w:r>
      <w:r w:rsidR="0058291E">
        <w:rPr>
          <w:rFonts w:ascii="Times New Roman" w:hAnsi="Times New Roman" w:cs="Times New Roman"/>
          <w:color w:val="000000" w:themeColor="text1"/>
          <w:sz w:val="24"/>
          <w:szCs w:val="24"/>
        </w:rPr>
        <w:t>a’s</w:t>
      </w:r>
      <w:r w:rsidR="000728F1">
        <w:rPr>
          <w:rFonts w:ascii="Times New Roman" w:hAnsi="Times New Roman" w:cs="Times New Roman"/>
          <w:color w:val="000000" w:themeColor="text1"/>
          <w:sz w:val="24"/>
          <w:szCs w:val="24"/>
        </w:rPr>
        <w:t xml:space="preserve"> resistance to such a policy </w:t>
      </w:r>
      <w:r w:rsidR="001B2B49">
        <w:rPr>
          <w:rFonts w:ascii="Times New Roman" w:hAnsi="Times New Roman" w:cs="Times New Roman"/>
          <w:color w:val="000000" w:themeColor="text1"/>
          <w:sz w:val="24"/>
          <w:szCs w:val="24"/>
        </w:rPr>
        <w:t>may</w:t>
      </w:r>
      <w:r w:rsidR="000728F1">
        <w:rPr>
          <w:rFonts w:ascii="Times New Roman" w:hAnsi="Times New Roman" w:cs="Times New Roman"/>
          <w:color w:val="000000" w:themeColor="text1"/>
          <w:sz w:val="24"/>
          <w:szCs w:val="24"/>
        </w:rPr>
        <w:t xml:space="preserve"> be </w:t>
      </w:r>
      <w:r w:rsidR="001B2B49">
        <w:rPr>
          <w:rFonts w:ascii="Times New Roman" w:hAnsi="Times New Roman" w:cs="Times New Roman"/>
          <w:color w:val="000000" w:themeColor="text1"/>
          <w:sz w:val="24"/>
          <w:szCs w:val="24"/>
        </w:rPr>
        <w:t>reduced</w:t>
      </w:r>
      <w:r w:rsidR="000728F1">
        <w:rPr>
          <w:rFonts w:ascii="Times New Roman" w:hAnsi="Times New Roman" w:cs="Times New Roman"/>
          <w:color w:val="000000" w:themeColor="text1"/>
          <w:sz w:val="24"/>
          <w:szCs w:val="24"/>
        </w:rPr>
        <w:t xml:space="preserve"> by adding mixed doubles</w:t>
      </w:r>
      <w:r w:rsidR="001B2B49">
        <w:rPr>
          <w:rFonts w:ascii="Times New Roman" w:hAnsi="Times New Roman" w:cs="Times New Roman"/>
          <w:color w:val="000000" w:themeColor="text1"/>
          <w:sz w:val="24"/>
          <w:szCs w:val="24"/>
        </w:rPr>
        <w:t xml:space="preserve"> </w:t>
      </w:r>
      <w:r w:rsidR="00DC19FB">
        <w:rPr>
          <w:rFonts w:ascii="Times New Roman" w:hAnsi="Times New Roman" w:cs="Times New Roman"/>
          <w:color w:val="000000" w:themeColor="text1"/>
          <w:sz w:val="24"/>
          <w:szCs w:val="24"/>
        </w:rPr>
        <w:t>(</w:t>
      </w:r>
      <w:r w:rsidR="005B5D49">
        <w:rPr>
          <w:rFonts w:ascii="Times New Roman" w:hAnsi="Times New Roman" w:cs="Times New Roman"/>
          <w:color w:val="000000" w:themeColor="text1"/>
          <w:sz w:val="24"/>
          <w:szCs w:val="24"/>
        </w:rPr>
        <w:t>male</w:t>
      </w:r>
      <w:r w:rsidR="00DC19FB">
        <w:rPr>
          <w:rFonts w:ascii="Times New Roman" w:hAnsi="Times New Roman" w:cs="Times New Roman"/>
          <w:color w:val="000000" w:themeColor="text1"/>
          <w:sz w:val="24"/>
          <w:szCs w:val="24"/>
        </w:rPr>
        <w:t xml:space="preserve"> </w:t>
      </w:r>
      <w:r w:rsidR="005B5D49">
        <w:rPr>
          <w:rFonts w:ascii="Times New Roman" w:hAnsi="Times New Roman" w:cs="Times New Roman"/>
          <w:color w:val="000000" w:themeColor="text1"/>
          <w:sz w:val="24"/>
          <w:szCs w:val="24"/>
        </w:rPr>
        <w:t>+</w:t>
      </w:r>
      <w:r w:rsidR="00DC19FB">
        <w:rPr>
          <w:rFonts w:ascii="Times New Roman" w:hAnsi="Times New Roman" w:cs="Times New Roman"/>
          <w:color w:val="000000" w:themeColor="text1"/>
          <w:sz w:val="24"/>
          <w:szCs w:val="24"/>
        </w:rPr>
        <w:t xml:space="preserve"> </w:t>
      </w:r>
      <w:r w:rsidR="005B5D49">
        <w:rPr>
          <w:rFonts w:ascii="Times New Roman" w:hAnsi="Times New Roman" w:cs="Times New Roman"/>
          <w:color w:val="000000" w:themeColor="text1"/>
          <w:sz w:val="24"/>
          <w:szCs w:val="24"/>
        </w:rPr>
        <w:t>fema</w:t>
      </w:r>
      <w:r w:rsidR="00DC19FB">
        <w:rPr>
          <w:rFonts w:ascii="Times New Roman" w:hAnsi="Times New Roman" w:cs="Times New Roman"/>
          <w:color w:val="000000" w:themeColor="text1"/>
          <w:sz w:val="24"/>
          <w:szCs w:val="24"/>
        </w:rPr>
        <w:t>le</w:t>
      </w:r>
      <w:r w:rsidR="005B5D49">
        <w:rPr>
          <w:rFonts w:ascii="Times New Roman" w:hAnsi="Times New Roman" w:cs="Times New Roman"/>
          <w:color w:val="000000" w:themeColor="text1"/>
          <w:sz w:val="24"/>
          <w:szCs w:val="24"/>
        </w:rPr>
        <w:t xml:space="preserve">) </w:t>
      </w:r>
      <w:r w:rsidR="001B2B49">
        <w:rPr>
          <w:rFonts w:ascii="Times New Roman" w:hAnsi="Times New Roman" w:cs="Times New Roman"/>
          <w:color w:val="000000" w:themeColor="text1"/>
          <w:sz w:val="24"/>
          <w:szCs w:val="24"/>
        </w:rPr>
        <w:t>to the competition schedule</w:t>
      </w:r>
      <w:r w:rsidR="005B5D49">
        <w:rPr>
          <w:rFonts w:ascii="Times New Roman" w:hAnsi="Times New Roman" w:cs="Times New Roman"/>
          <w:color w:val="000000" w:themeColor="text1"/>
          <w:sz w:val="24"/>
          <w:szCs w:val="24"/>
        </w:rPr>
        <w:t>, as is the case in b</w:t>
      </w:r>
      <w:r w:rsidR="00886680">
        <w:rPr>
          <w:rFonts w:ascii="Times New Roman" w:hAnsi="Times New Roman" w:cs="Times New Roman"/>
          <w:color w:val="000000" w:themeColor="text1"/>
          <w:sz w:val="24"/>
          <w:szCs w:val="24"/>
        </w:rPr>
        <w:t>adminton (</w:t>
      </w:r>
      <w:r w:rsidR="00DC19FB">
        <w:rPr>
          <w:rFonts w:ascii="Times New Roman" w:hAnsi="Times New Roman" w:cs="Times New Roman"/>
          <w:color w:val="000000" w:themeColor="text1"/>
          <w:sz w:val="24"/>
          <w:szCs w:val="24"/>
        </w:rPr>
        <w:t xml:space="preserve">since </w:t>
      </w:r>
      <w:r w:rsidR="00B43F22">
        <w:rPr>
          <w:rFonts w:ascii="Times New Roman" w:hAnsi="Times New Roman" w:cs="Times New Roman"/>
          <w:color w:val="000000" w:themeColor="text1"/>
          <w:sz w:val="24"/>
          <w:szCs w:val="24"/>
        </w:rPr>
        <w:t xml:space="preserve">Atlanta </w:t>
      </w:r>
      <w:r w:rsidR="00886680">
        <w:rPr>
          <w:rFonts w:ascii="Times New Roman" w:hAnsi="Times New Roman" w:cs="Times New Roman"/>
          <w:color w:val="000000" w:themeColor="text1"/>
          <w:sz w:val="24"/>
          <w:szCs w:val="24"/>
        </w:rPr>
        <w:t>1996) and tennis (</w:t>
      </w:r>
      <w:r w:rsidR="00DC19FB">
        <w:rPr>
          <w:rFonts w:ascii="Times New Roman" w:hAnsi="Times New Roman" w:cs="Times New Roman"/>
          <w:color w:val="000000" w:themeColor="text1"/>
          <w:sz w:val="24"/>
          <w:szCs w:val="24"/>
        </w:rPr>
        <w:t xml:space="preserve">since </w:t>
      </w:r>
      <w:r w:rsidR="00B43F22">
        <w:rPr>
          <w:rFonts w:ascii="Times New Roman" w:hAnsi="Times New Roman" w:cs="Times New Roman"/>
          <w:color w:val="000000" w:themeColor="text1"/>
          <w:sz w:val="24"/>
          <w:szCs w:val="24"/>
        </w:rPr>
        <w:t xml:space="preserve">London </w:t>
      </w:r>
      <w:r w:rsidR="00886680">
        <w:rPr>
          <w:rFonts w:ascii="Times New Roman" w:hAnsi="Times New Roman" w:cs="Times New Roman"/>
          <w:color w:val="000000" w:themeColor="text1"/>
          <w:sz w:val="24"/>
          <w:szCs w:val="24"/>
        </w:rPr>
        <w:t xml:space="preserve">2012). </w:t>
      </w:r>
      <w:r w:rsidR="001B2B49">
        <w:rPr>
          <w:rFonts w:ascii="Times New Roman" w:hAnsi="Times New Roman" w:cs="Times New Roman"/>
          <w:color w:val="000000" w:themeColor="text1"/>
          <w:sz w:val="24"/>
          <w:szCs w:val="24"/>
        </w:rPr>
        <w:t xml:space="preserve">This would create five </w:t>
      </w:r>
      <w:r w:rsidR="00886680">
        <w:rPr>
          <w:rFonts w:ascii="Times New Roman" w:hAnsi="Times New Roman" w:cs="Times New Roman"/>
          <w:color w:val="000000" w:themeColor="text1"/>
          <w:sz w:val="24"/>
          <w:szCs w:val="24"/>
        </w:rPr>
        <w:t xml:space="preserve">table tennis </w:t>
      </w:r>
      <w:r w:rsidR="001B2B49">
        <w:rPr>
          <w:rFonts w:ascii="Times New Roman" w:hAnsi="Times New Roman" w:cs="Times New Roman"/>
          <w:color w:val="000000" w:themeColor="text1"/>
          <w:sz w:val="24"/>
          <w:szCs w:val="24"/>
        </w:rPr>
        <w:t xml:space="preserve">events and provide China with the ability to </w:t>
      </w:r>
      <w:r w:rsidR="00E26EE0">
        <w:rPr>
          <w:rFonts w:ascii="Times New Roman" w:hAnsi="Times New Roman" w:cs="Times New Roman"/>
          <w:color w:val="000000" w:themeColor="text1"/>
          <w:sz w:val="24"/>
          <w:szCs w:val="24"/>
        </w:rPr>
        <w:t>maintain its four-gold performance</w:t>
      </w:r>
      <w:r w:rsidR="001B2B49">
        <w:rPr>
          <w:rFonts w:ascii="Times New Roman" w:hAnsi="Times New Roman" w:cs="Times New Roman"/>
          <w:color w:val="000000" w:themeColor="text1"/>
          <w:sz w:val="24"/>
          <w:szCs w:val="24"/>
        </w:rPr>
        <w:t>, which is what they can win under the four-event format.</w:t>
      </w:r>
    </w:p>
    <w:p w14:paraId="6D67A873" w14:textId="77777777" w:rsidR="00D1788E" w:rsidRPr="00D1788E" w:rsidRDefault="003330DB" w:rsidP="00D1788E">
      <w:pPr>
        <w:spacing w:after="0" w:line="480" w:lineRule="auto"/>
        <w:ind w:firstLine="709"/>
        <w:jc w:val="both"/>
        <w:rPr>
          <w:rFonts w:ascii="Times New Roman" w:hAnsi="Times New Roman" w:cs="Times New Roman"/>
          <w:color w:val="000000" w:themeColor="text1"/>
          <w:sz w:val="24"/>
          <w:szCs w:val="24"/>
          <w:highlight w:val="yellow"/>
        </w:rPr>
      </w:pPr>
      <w:r>
        <w:rPr>
          <w:rFonts w:ascii="Times New Roman" w:hAnsi="Times New Roman" w:cs="Times New Roman"/>
          <w:b/>
          <w:color w:val="000000" w:themeColor="text1"/>
          <w:sz w:val="24"/>
          <w:szCs w:val="24"/>
        </w:rPr>
        <w:t xml:space="preserve">Limitations and </w:t>
      </w:r>
      <w:r w:rsidR="0058291E">
        <w:rPr>
          <w:rFonts w:ascii="Times New Roman" w:hAnsi="Times New Roman" w:cs="Times New Roman"/>
          <w:b/>
          <w:color w:val="000000" w:themeColor="text1"/>
          <w:sz w:val="24"/>
          <w:szCs w:val="24"/>
        </w:rPr>
        <w:t xml:space="preserve">suggestions for </w:t>
      </w:r>
      <w:r w:rsidR="005B5D49">
        <w:rPr>
          <w:rFonts w:ascii="Times New Roman" w:hAnsi="Times New Roman" w:cs="Times New Roman"/>
          <w:b/>
          <w:color w:val="000000" w:themeColor="text1"/>
          <w:sz w:val="24"/>
          <w:szCs w:val="24"/>
        </w:rPr>
        <w:t xml:space="preserve">future </w:t>
      </w:r>
      <w:r w:rsidR="0058291E">
        <w:rPr>
          <w:rFonts w:ascii="Times New Roman" w:hAnsi="Times New Roman" w:cs="Times New Roman"/>
          <w:b/>
          <w:color w:val="000000" w:themeColor="text1"/>
          <w:sz w:val="24"/>
          <w:szCs w:val="24"/>
        </w:rPr>
        <w:t>research</w:t>
      </w:r>
      <w:r>
        <w:rPr>
          <w:rFonts w:ascii="Times New Roman" w:hAnsi="Times New Roman" w:cs="Times New Roman"/>
          <w:b/>
          <w:color w:val="000000" w:themeColor="text1"/>
          <w:sz w:val="24"/>
          <w:szCs w:val="24"/>
        </w:rPr>
        <w:t>.</w:t>
      </w:r>
      <w:r w:rsidR="0076748E" w:rsidRPr="0076748E">
        <w:rPr>
          <w:rFonts w:ascii="Times New Roman" w:hAnsi="Times New Roman" w:cs="Times New Roman"/>
          <w:b/>
          <w:color w:val="000000" w:themeColor="text1"/>
          <w:sz w:val="24"/>
          <w:szCs w:val="24"/>
        </w:rPr>
        <w:t xml:space="preserve"> </w:t>
      </w:r>
      <w:r w:rsidR="000D3415">
        <w:rPr>
          <w:rFonts w:ascii="Times New Roman" w:hAnsi="Times New Roman" w:cs="Times New Roman"/>
          <w:color w:val="000000" w:themeColor="text1"/>
          <w:sz w:val="24"/>
          <w:szCs w:val="24"/>
        </w:rPr>
        <w:t>One</w:t>
      </w:r>
      <w:r w:rsidR="0076748E" w:rsidRPr="0076748E">
        <w:rPr>
          <w:rFonts w:ascii="Times New Roman" w:hAnsi="Times New Roman" w:cs="Times New Roman"/>
          <w:color w:val="000000" w:themeColor="text1"/>
          <w:sz w:val="24"/>
          <w:szCs w:val="24"/>
        </w:rPr>
        <w:t xml:space="preserve"> </w:t>
      </w:r>
      <w:r w:rsidR="000D3415">
        <w:rPr>
          <w:rFonts w:ascii="Times New Roman" w:hAnsi="Times New Roman" w:cs="Times New Roman"/>
          <w:color w:val="000000" w:themeColor="text1"/>
          <w:sz w:val="24"/>
          <w:szCs w:val="24"/>
        </w:rPr>
        <w:t>limitation</w:t>
      </w:r>
      <w:r w:rsidR="0076748E" w:rsidRPr="0076748E">
        <w:rPr>
          <w:rFonts w:ascii="Times New Roman" w:hAnsi="Times New Roman" w:cs="Times New Roman"/>
          <w:color w:val="000000" w:themeColor="text1"/>
          <w:sz w:val="24"/>
          <w:szCs w:val="24"/>
        </w:rPr>
        <w:t xml:space="preserve"> </w:t>
      </w:r>
      <w:r w:rsidR="000D3415">
        <w:rPr>
          <w:rFonts w:ascii="Times New Roman" w:hAnsi="Times New Roman" w:cs="Times New Roman"/>
          <w:color w:val="000000" w:themeColor="text1"/>
          <w:sz w:val="24"/>
          <w:szCs w:val="24"/>
        </w:rPr>
        <w:t>of this study is that it analyse</w:t>
      </w:r>
      <w:r w:rsidR="00575BAD">
        <w:rPr>
          <w:rFonts w:ascii="Times New Roman" w:hAnsi="Times New Roman" w:cs="Times New Roman"/>
          <w:color w:val="000000" w:themeColor="text1"/>
          <w:sz w:val="24"/>
          <w:szCs w:val="24"/>
        </w:rPr>
        <w:t>s</w:t>
      </w:r>
      <w:r w:rsidR="000D3415">
        <w:rPr>
          <w:rFonts w:ascii="Times New Roman" w:hAnsi="Times New Roman" w:cs="Times New Roman"/>
          <w:color w:val="000000" w:themeColor="text1"/>
          <w:sz w:val="24"/>
          <w:szCs w:val="24"/>
        </w:rPr>
        <w:t xml:space="preserve"> the distribution of </w:t>
      </w:r>
      <w:r w:rsidR="00EA0B2C" w:rsidRPr="00B43F22">
        <w:rPr>
          <w:rFonts w:ascii="Times New Roman" w:hAnsi="Times New Roman" w:cs="Times New Roman"/>
          <w:color w:val="000000" w:themeColor="text1"/>
          <w:sz w:val="24"/>
          <w:szCs w:val="24"/>
        </w:rPr>
        <w:t xml:space="preserve">(gold) </w:t>
      </w:r>
      <w:r w:rsidR="000D3415" w:rsidRPr="00B43F22">
        <w:rPr>
          <w:rFonts w:ascii="Times New Roman" w:hAnsi="Times New Roman" w:cs="Times New Roman"/>
          <w:color w:val="000000" w:themeColor="text1"/>
          <w:sz w:val="24"/>
          <w:szCs w:val="24"/>
        </w:rPr>
        <w:t xml:space="preserve">medals and </w:t>
      </w:r>
      <w:r w:rsidR="00575BAD" w:rsidRPr="00B43F22">
        <w:rPr>
          <w:rFonts w:ascii="Times New Roman" w:hAnsi="Times New Roman" w:cs="Times New Roman"/>
          <w:color w:val="000000" w:themeColor="text1"/>
          <w:sz w:val="24"/>
          <w:szCs w:val="24"/>
        </w:rPr>
        <w:t>top eight</w:t>
      </w:r>
      <w:r w:rsidR="000D3415" w:rsidRPr="00B43F22">
        <w:rPr>
          <w:rFonts w:ascii="Times New Roman" w:hAnsi="Times New Roman" w:cs="Times New Roman"/>
          <w:color w:val="000000" w:themeColor="text1"/>
          <w:sz w:val="24"/>
          <w:szCs w:val="24"/>
        </w:rPr>
        <w:t xml:space="preserve"> places, but d</w:t>
      </w:r>
      <w:r w:rsidR="00575BAD" w:rsidRPr="00B43F22">
        <w:rPr>
          <w:rFonts w:ascii="Times New Roman" w:hAnsi="Times New Roman" w:cs="Times New Roman"/>
          <w:color w:val="000000" w:themeColor="text1"/>
          <w:sz w:val="24"/>
          <w:szCs w:val="24"/>
        </w:rPr>
        <w:t>oes</w:t>
      </w:r>
      <w:r w:rsidR="000D3415" w:rsidRPr="00B43F22">
        <w:rPr>
          <w:rFonts w:ascii="Times New Roman" w:hAnsi="Times New Roman" w:cs="Times New Roman"/>
          <w:color w:val="000000" w:themeColor="text1"/>
          <w:sz w:val="24"/>
          <w:szCs w:val="24"/>
        </w:rPr>
        <w:t xml:space="preserve"> not evaluate the sc</w:t>
      </w:r>
      <w:r w:rsidR="00575BAD" w:rsidRPr="00B43F22">
        <w:rPr>
          <w:rFonts w:ascii="Times New Roman" w:hAnsi="Times New Roman" w:cs="Times New Roman"/>
          <w:color w:val="000000" w:themeColor="text1"/>
          <w:sz w:val="24"/>
          <w:szCs w:val="24"/>
        </w:rPr>
        <w:t>ore difference within matches</w:t>
      </w:r>
      <w:r w:rsidR="00BD6DDF" w:rsidRPr="00B43F22">
        <w:rPr>
          <w:rFonts w:ascii="Times New Roman" w:hAnsi="Times New Roman" w:cs="Times New Roman"/>
          <w:color w:val="000000" w:themeColor="text1"/>
          <w:sz w:val="24"/>
          <w:szCs w:val="24"/>
        </w:rPr>
        <w:t xml:space="preserve"> at the micro level</w:t>
      </w:r>
      <w:r w:rsidR="00575BAD" w:rsidRPr="00B43F22">
        <w:rPr>
          <w:rFonts w:ascii="Times New Roman" w:hAnsi="Times New Roman" w:cs="Times New Roman"/>
          <w:color w:val="000000" w:themeColor="text1"/>
          <w:sz w:val="24"/>
          <w:szCs w:val="24"/>
        </w:rPr>
        <w:t xml:space="preserve">. </w:t>
      </w:r>
      <w:r w:rsidR="000D3415" w:rsidRPr="00B43F22">
        <w:rPr>
          <w:rFonts w:ascii="Times New Roman" w:hAnsi="Times New Roman" w:cs="Times New Roman"/>
          <w:color w:val="000000" w:themeColor="text1"/>
          <w:sz w:val="24"/>
          <w:szCs w:val="24"/>
        </w:rPr>
        <w:t xml:space="preserve">It is </w:t>
      </w:r>
      <w:r w:rsidR="000D3415">
        <w:rPr>
          <w:rFonts w:ascii="Times New Roman" w:hAnsi="Times New Roman" w:cs="Times New Roman"/>
          <w:color w:val="000000" w:themeColor="text1"/>
          <w:sz w:val="24"/>
          <w:szCs w:val="24"/>
        </w:rPr>
        <w:t xml:space="preserve">possible for a nation to win every gold medal, but if these matches </w:t>
      </w:r>
      <w:r w:rsidR="00575BAD">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won 4-3, and the score in each set </w:t>
      </w:r>
      <w:r w:rsidR="00575BAD">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11-9, then this paints a very different picture of the competitive balance.</w:t>
      </w:r>
      <w:r w:rsidR="000D3415">
        <w:rPr>
          <w:rFonts w:ascii="Times New Roman" w:hAnsi="Times New Roman" w:cs="Times New Roman"/>
          <w:color w:val="000000" w:themeColor="text1"/>
          <w:sz w:val="24"/>
          <w:szCs w:val="24"/>
        </w:rPr>
        <w:t xml:space="preserve"> </w:t>
      </w:r>
      <w:r w:rsidR="00097B4C">
        <w:rPr>
          <w:rFonts w:ascii="Times New Roman" w:hAnsi="Times New Roman" w:cs="Times New Roman"/>
          <w:color w:val="000000" w:themeColor="text1"/>
          <w:sz w:val="24"/>
          <w:szCs w:val="24"/>
        </w:rPr>
        <w:t>Future research</w:t>
      </w:r>
      <w:r w:rsidR="0076748E" w:rsidRPr="008F5AA6">
        <w:rPr>
          <w:rFonts w:ascii="Times New Roman" w:hAnsi="Times New Roman" w:cs="Times New Roman"/>
          <w:color w:val="000000" w:themeColor="text1"/>
          <w:sz w:val="24"/>
          <w:szCs w:val="24"/>
        </w:rPr>
        <w:t xml:space="preserve"> </w:t>
      </w:r>
      <w:r w:rsidR="000D3415">
        <w:rPr>
          <w:rFonts w:ascii="Times New Roman" w:hAnsi="Times New Roman" w:cs="Times New Roman"/>
          <w:color w:val="000000" w:themeColor="text1"/>
          <w:sz w:val="24"/>
          <w:szCs w:val="24"/>
        </w:rPr>
        <w:t xml:space="preserve">on measuring competition in table tennis at the Olympic </w:t>
      </w:r>
      <w:r w:rsidR="00575BAD">
        <w:rPr>
          <w:rFonts w:ascii="Times New Roman" w:hAnsi="Times New Roman" w:cs="Times New Roman"/>
          <w:color w:val="000000" w:themeColor="text1"/>
          <w:sz w:val="24"/>
          <w:szCs w:val="24"/>
        </w:rPr>
        <w:t xml:space="preserve">Games </w:t>
      </w:r>
      <w:r w:rsidR="000D3415">
        <w:rPr>
          <w:rFonts w:ascii="Times New Roman" w:hAnsi="Times New Roman" w:cs="Times New Roman"/>
          <w:color w:val="000000" w:themeColor="text1"/>
          <w:sz w:val="24"/>
          <w:szCs w:val="24"/>
        </w:rPr>
        <w:t xml:space="preserve">and </w:t>
      </w:r>
      <w:r w:rsidR="00CC0883">
        <w:rPr>
          <w:rFonts w:ascii="Times New Roman" w:hAnsi="Times New Roman" w:cs="Times New Roman"/>
          <w:color w:val="000000" w:themeColor="text1"/>
          <w:sz w:val="24"/>
          <w:szCs w:val="24"/>
        </w:rPr>
        <w:t xml:space="preserve">the </w:t>
      </w:r>
      <w:r w:rsidR="000D3415">
        <w:rPr>
          <w:rFonts w:ascii="Times New Roman" w:hAnsi="Times New Roman" w:cs="Times New Roman"/>
          <w:color w:val="000000" w:themeColor="text1"/>
          <w:sz w:val="24"/>
          <w:szCs w:val="24"/>
        </w:rPr>
        <w:t xml:space="preserve">World Championships </w:t>
      </w:r>
      <w:r w:rsidR="00097B4C">
        <w:rPr>
          <w:rFonts w:ascii="Times New Roman" w:hAnsi="Times New Roman" w:cs="Times New Roman"/>
          <w:color w:val="000000" w:themeColor="text1"/>
          <w:sz w:val="24"/>
          <w:szCs w:val="24"/>
        </w:rPr>
        <w:t>can</w:t>
      </w:r>
      <w:r w:rsidR="000D3415">
        <w:rPr>
          <w:rFonts w:ascii="Times New Roman" w:hAnsi="Times New Roman" w:cs="Times New Roman"/>
          <w:color w:val="000000" w:themeColor="text1"/>
          <w:sz w:val="24"/>
          <w:szCs w:val="24"/>
        </w:rPr>
        <w:t xml:space="preserve"> seek to quantify the difference in the winning and losing scores.</w:t>
      </w:r>
      <w:r>
        <w:rPr>
          <w:rFonts w:ascii="Times New Roman" w:hAnsi="Times New Roman" w:cs="Times New Roman"/>
          <w:color w:val="000000" w:themeColor="text1"/>
          <w:sz w:val="24"/>
          <w:szCs w:val="24"/>
        </w:rPr>
        <w:t xml:space="preserve"> A second limitation is that </w:t>
      </w:r>
      <w:r w:rsidR="001E54ED">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analysis </w:t>
      </w:r>
      <w:r w:rsidR="00575BAD">
        <w:rPr>
          <w:rFonts w:ascii="Times New Roman" w:hAnsi="Times New Roman" w:cs="Times New Roman"/>
          <w:color w:val="000000" w:themeColor="text1"/>
          <w:sz w:val="24"/>
          <w:szCs w:val="24"/>
        </w:rPr>
        <w:t>is not event-</w:t>
      </w:r>
      <w:r>
        <w:rPr>
          <w:rFonts w:ascii="Times New Roman" w:hAnsi="Times New Roman" w:cs="Times New Roman"/>
          <w:color w:val="000000" w:themeColor="text1"/>
          <w:sz w:val="24"/>
          <w:szCs w:val="24"/>
        </w:rPr>
        <w:t xml:space="preserve">specific. In other words, this research </w:t>
      </w:r>
      <w:r w:rsidR="00575BAD">
        <w:rPr>
          <w:rFonts w:ascii="Times New Roman" w:hAnsi="Times New Roman" w:cs="Times New Roman"/>
          <w:color w:val="000000" w:themeColor="text1"/>
          <w:sz w:val="24"/>
          <w:szCs w:val="24"/>
        </w:rPr>
        <w:t>does</w:t>
      </w:r>
      <w:r>
        <w:rPr>
          <w:rFonts w:ascii="Times New Roman" w:hAnsi="Times New Roman" w:cs="Times New Roman"/>
          <w:color w:val="000000" w:themeColor="text1"/>
          <w:sz w:val="24"/>
          <w:szCs w:val="24"/>
        </w:rPr>
        <w:t xml:space="preserve"> not differentiate between singles, doubles and team’s events. </w:t>
      </w:r>
      <w:r w:rsidR="00575BAD">
        <w:rPr>
          <w:rFonts w:ascii="Times New Roman" w:hAnsi="Times New Roman" w:cs="Times New Roman"/>
          <w:color w:val="000000" w:themeColor="text1"/>
          <w:sz w:val="24"/>
          <w:szCs w:val="24"/>
        </w:rPr>
        <w:t>Research in the future</w:t>
      </w:r>
      <w:r>
        <w:rPr>
          <w:rFonts w:ascii="Times New Roman" w:hAnsi="Times New Roman" w:cs="Times New Roman"/>
          <w:color w:val="000000" w:themeColor="text1"/>
          <w:sz w:val="24"/>
          <w:szCs w:val="24"/>
        </w:rPr>
        <w:t xml:space="preserve"> </w:t>
      </w:r>
      <w:r w:rsidR="00097B4C">
        <w:rPr>
          <w:rFonts w:ascii="Times New Roman" w:hAnsi="Times New Roman" w:cs="Times New Roman"/>
          <w:color w:val="000000" w:themeColor="text1"/>
          <w:sz w:val="24"/>
          <w:szCs w:val="24"/>
        </w:rPr>
        <w:t>is advised to</w:t>
      </w:r>
      <w:r>
        <w:rPr>
          <w:rFonts w:ascii="Times New Roman" w:hAnsi="Times New Roman" w:cs="Times New Roman"/>
          <w:color w:val="000000" w:themeColor="text1"/>
          <w:sz w:val="24"/>
          <w:szCs w:val="24"/>
        </w:rPr>
        <w:t xml:space="preserve"> provide a more nuanced examination of competition within these events.</w:t>
      </w:r>
      <w:r w:rsidR="002A5697">
        <w:rPr>
          <w:rFonts w:ascii="Times New Roman" w:hAnsi="Times New Roman" w:cs="Times New Roman"/>
          <w:color w:val="000000" w:themeColor="text1"/>
          <w:sz w:val="24"/>
          <w:szCs w:val="24"/>
        </w:rPr>
        <w:t xml:space="preserve"> </w:t>
      </w:r>
      <w:r w:rsidR="002A5697" w:rsidRPr="002A5697">
        <w:rPr>
          <w:rFonts w:ascii="Times New Roman" w:hAnsi="Times New Roman" w:cs="Times New Roman"/>
          <w:color w:val="000000" w:themeColor="text1"/>
          <w:sz w:val="24"/>
          <w:szCs w:val="24"/>
          <w:highlight w:val="yellow"/>
        </w:rPr>
        <w:t xml:space="preserve">Nevertheless, </w:t>
      </w:r>
      <w:r w:rsidR="002A5697">
        <w:rPr>
          <w:rFonts w:ascii="Times New Roman" w:hAnsi="Times New Roman" w:cs="Times New Roman"/>
          <w:color w:val="000000" w:themeColor="text1"/>
          <w:sz w:val="24"/>
          <w:szCs w:val="24"/>
          <w:highlight w:val="yellow"/>
        </w:rPr>
        <w:t xml:space="preserve">the results of </w:t>
      </w:r>
      <w:r w:rsidR="002A5697" w:rsidRPr="002A5697">
        <w:rPr>
          <w:rFonts w:ascii="Times New Roman" w:hAnsi="Times New Roman" w:cs="Times New Roman"/>
          <w:color w:val="000000" w:themeColor="text1"/>
          <w:sz w:val="24"/>
          <w:szCs w:val="24"/>
          <w:highlight w:val="yellow"/>
        </w:rPr>
        <w:t xml:space="preserve">this paper </w:t>
      </w:r>
      <w:r w:rsidR="00D1788E" w:rsidRPr="00D1788E">
        <w:rPr>
          <w:rFonts w:ascii="Times New Roman" w:hAnsi="Times New Roman" w:cs="Times New Roman"/>
          <w:color w:val="000000" w:themeColor="text1"/>
          <w:sz w:val="24"/>
          <w:szCs w:val="24"/>
          <w:highlight w:val="yellow"/>
        </w:rPr>
        <w:t xml:space="preserve">provide a robust assessment of the competitive balance trends at the two most important international table tennis tournaments. </w:t>
      </w:r>
    </w:p>
    <w:p w14:paraId="0F97037B" w14:textId="77777777" w:rsidR="002A21AF" w:rsidRPr="00802EB3" w:rsidRDefault="002A21AF" w:rsidP="00D1788E">
      <w:pPr>
        <w:spacing w:after="0" w:line="480" w:lineRule="auto"/>
        <w:jc w:val="both"/>
        <w:rPr>
          <w:rFonts w:ascii="Times New Roman" w:hAnsi="Times New Roman" w:cs="Times New Roman"/>
          <w:color w:val="000000" w:themeColor="text1"/>
          <w:sz w:val="24"/>
          <w:szCs w:val="24"/>
        </w:rPr>
      </w:pPr>
    </w:p>
    <w:p w14:paraId="5BC3ABED" w14:textId="77777777" w:rsidR="008F06F9" w:rsidRPr="008F5AA6" w:rsidRDefault="008F06F9" w:rsidP="00C201D1">
      <w:pPr>
        <w:spacing w:after="0" w:line="480" w:lineRule="auto"/>
        <w:jc w:val="both"/>
        <w:rPr>
          <w:rFonts w:ascii="Times New Roman" w:hAnsi="Times New Roman" w:cs="Times New Roman"/>
          <w:b/>
          <w:color w:val="000000" w:themeColor="text1"/>
          <w:sz w:val="24"/>
          <w:szCs w:val="24"/>
        </w:rPr>
      </w:pPr>
      <w:r w:rsidRPr="008F5AA6">
        <w:rPr>
          <w:rFonts w:ascii="Times New Roman" w:hAnsi="Times New Roman" w:cs="Times New Roman"/>
          <w:b/>
          <w:color w:val="000000" w:themeColor="text1"/>
          <w:sz w:val="24"/>
          <w:szCs w:val="24"/>
        </w:rPr>
        <w:t>Conclusions</w:t>
      </w:r>
    </w:p>
    <w:p w14:paraId="0639282D" w14:textId="79F871E2" w:rsidR="0082193B" w:rsidRDefault="00F54BF7" w:rsidP="00C201D1">
      <w:pPr>
        <w:spacing w:after="0" w:line="480" w:lineRule="auto"/>
        <w:jc w:val="both"/>
        <w:rPr>
          <w:rFonts w:ascii="Times New Roman" w:hAnsi="Times New Roman" w:cs="Times New Roman"/>
          <w:bCs/>
          <w:color w:val="000000" w:themeColor="text1"/>
          <w:sz w:val="24"/>
          <w:szCs w:val="24"/>
        </w:rPr>
      </w:pPr>
      <w:r w:rsidRPr="008F5AA6">
        <w:rPr>
          <w:rFonts w:ascii="Times New Roman" w:hAnsi="Times New Roman" w:cs="Times New Roman"/>
          <w:color w:val="000000" w:themeColor="text1"/>
          <w:sz w:val="24"/>
          <w:szCs w:val="24"/>
        </w:rPr>
        <w:t xml:space="preserve">China </w:t>
      </w:r>
      <w:r w:rsidR="009D6DA2" w:rsidRPr="008F5AA6">
        <w:rPr>
          <w:rFonts w:ascii="Times New Roman" w:hAnsi="Times New Roman" w:cs="Times New Roman"/>
          <w:color w:val="000000" w:themeColor="text1"/>
          <w:sz w:val="24"/>
          <w:szCs w:val="24"/>
        </w:rPr>
        <w:t>has dominated</w:t>
      </w:r>
      <w:r w:rsidRPr="008F5AA6">
        <w:rPr>
          <w:rFonts w:ascii="Times New Roman" w:hAnsi="Times New Roman" w:cs="Times New Roman"/>
          <w:color w:val="000000" w:themeColor="text1"/>
          <w:sz w:val="24"/>
          <w:szCs w:val="24"/>
        </w:rPr>
        <w:t xml:space="preserve"> table tennis at </w:t>
      </w:r>
      <w:r w:rsidRPr="008F5AA6">
        <w:rPr>
          <w:rFonts w:ascii="Times New Roman" w:hAnsi="Times New Roman" w:cs="Times New Roman"/>
          <w:bCs/>
          <w:color w:val="000000" w:themeColor="text1"/>
          <w:sz w:val="24"/>
          <w:szCs w:val="24"/>
        </w:rPr>
        <w:t xml:space="preserve">the Olympic Games and </w:t>
      </w:r>
      <w:r w:rsidR="00CC0883">
        <w:rPr>
          <w:rFonts w:ascii="Times New Roman" w:hAnsi="Times New Roman" w:cs="Times New Roman"/>
          <w:bCs/>
          <w:color w:val="000000" w:themeColor="text1"/>
          <w:sz w:val="24"/>
          <w:szCs w:val="24"/>
        </w:rPr>
        <w:t xml:space="preserve">the </w:t>
      </w:r>
      <w:r w:rsidRPr="008F5AA6">
        <w:rPr>
          <w:rFonts w:ascii="Times New Roman" w:hAnsi="Times New Roman" w:cs="Times New Roman"/>
          <w:bCs/>
          <w:color w:val="000000" w:themeColor="text1"/>
          <w:sz w:val="24"/>
          <w:szCs w:val="24"/>
        </w:rPr>
        <w:t xml:space="preserve">World Championships between 1988 and 2016. </w:t>
      </w:r>
      <w:r w:rsidR="003937A3">
        <w:rPr>
          <w:rFonts w:ascii="Times New Roman" w:hAnsi="Times New Roman" w:cs="Times New Roman"/>
          <w:bCs/>
          <w:color w:val="000000" w:themeColor="text1"/>
          <w:sz w:val="24"/>
          <w:szCs w:val="24"/>
        </w:rPr>
        <w:t>Restriction</w:t>
      </w:r>
      <w:r w:rsidR="003937A3" w:rsidRPr="008F5AA6">
        <w:rPr>
          <w:rFonts w:ascii="Times New Roman" w:hAnsi="Times New Roman" w:cs="Times New Roman"/>
          <w:bCs/>
          <w:color w:val="000000" w:themeColor="text1"/>
          <w:sz w:val="24"/>
          <w:szCs w:val="24"/>
        </w:rPr>
        <w:t xml:space="preserve"> on the number of participating athletes </w:t>
      </w:r>
      <w:r w:rsidR="003937A3">
        <w:rPr>
          <w:rFonts w:ascii="Times New Roman" w:hAnsi="Times New Roman" w:cs="Times New Roman"/>
          <w:bCs/>
          <w:color w:val="000000" w:themeColor="text1"/>
          <w:sz w:val="24"/>
          <w:szCs w:val="24"/>
        </w:rPr>
        <w:t xml:space="preserve">in the case of the Olympic Games </w:t>
      </w:r>
      <w:r w:rsidR="003937A3" w:rsidRPr="008F5AA6">
        <w:rPr>
          <w:rFonts w:ascii="Times New Roman" w:hAnsi="Times New Roman" w:cs="Times New Roman"/>
          <w:bCs/>
          <w:color w:val="000000" w:themeColor="text1"/>
          <w:sz w:val="24"/>
          <w:szCs w:val="24"/>
        </w:rPr>
        <w:t xml:space="preserve">means that China’s dominant market share of gold medals and all medals, is not reflected in the distribution of market shares for </w:t>
      </w:r>
      <w:r w:rsidR="003937A3">
        <w:rPr>
          <w:rFonts w:ascii="Times New Roman" w:hAnsi="Times New Roman" w:cs="Times New Roman"/>
          <w:bCs/>
          <w:color w:val="000000" w:themeColor="text1"/>
          <w:sz w:val="24"/>
          <w:szCs w:val="24"/>
        </w:rPr>
        <w:t>top eight</w:t>
      </w:r>
      <w:r w:rsidR="003937A3" w:rsidRPr="008F5AA6">
        <w:rPr>
          <w:rFonts w:ascii="Times New Roman" w:hAnsi="Times New Roman" w:cs="Times New Roman"/>
          <w:bCs/>
          <w:color w:val="000000" w:themeColor="text1"/>
          <w:sz w:val="24"/>
          <w:szCs w:val="24"/>
        </w:rPr>
        <w:t xml:space="preserve"> points. It is within this </w:t>
      </w:r>
      <w:r w:rsidR="003937A3">
        <w:rPr>
          <w:rFonts w:ascii="Times New Roman" w:hAnsi="Times New Roman" w:cs="Times New Roman"/>
          <w:bCs/>
          <w:color w:val="000000" w:themeColor="text1"/>
          <w:sz w:val="24"/>
          <w:szCs w:val="24"/>
        </w:rPr>
        <w:t>top eight</w:t>
      </w:r>
      <w:r w:rsidR="003937A3" w:rsidRPr="008F5AA6">
        <w:rPr>
          <w:rFonts w:ascii="Times New Roman" w:hAnsi="Times New Roman" w:cs="Times New Roman"/>
          <w:bCs/>
          <w:color w:val="000000" w:themeColor="text1"/>
          <w:sz w:val="24"/>
          <w:szCs w:val="24"/>
        </w:rPr>
        <w:t xml:space="preserve"> performance indicator that there is a </w:t>
      </w:r>
      <w:r w:rsidR="003937A3">
        <w:rPr>
          <w:rFonts w:ascii="Times New Roman" w:hAnsi="Times New Roman" w:cs="Times New Roman"/>
          <w:bCs/>
          <w:color w:val="000000" w:themeColor="text1"/>
          <w:sz w:val="24"/>
          <w:szCs w:val="24"/>
        </w:rPr>
        <w:t xml:space="preserve">more </w:t>
      </w:r>
      <w:r w:rsidR="003937A3" w:rsidRPr="008F5AA6">
        <w:rPr>
          <w:rFonts w:ascii="Times New Roman" w:hAnsi="Times New Roman" w:cs="Times New Roman"/>
          <w:bCs/>
          <w:color w:val="000000" w:themeColor="text1"/>
          <w:sz w:val="24"/>
          <w:szCs w:val="24"/>
        </w:rPr>
        <w:t>diverse representati</w:t>
      </w:r>
      <w:r w:rsidR="003937A3">
        <w:rPr>
          <w:rFonts w:ascii="Times New Roman" w:hAnsi="Times New Roman" w:cs="Times New Roman"/>
          <w:bCs/>
          <w:color w:val="000000" w:themeColor="text1"/>
          <w:sz w:val="24"/>
          <w:szCs w:val="24"/>
        </w:rPr>
        <w:t xml:space="preserve">on of participating nations. </w:t>
      </w:r>
      <w:r w:rsidR="005B5D49">
        <w:rPr>
          <w:rFonts w:ascii="Times New Roman" w:hAnsi="Times New Roman" w:cs="Times New Roman"/>
          <w:bCs/>
          <w:color w:val="000000" w:themeColor="text1"/>
          <w:sz w:val="24"/>
          <w:szCs w:val="24"/>
        </w:rPr>
        <w:t>Furthermore</w:t>
      </w:r>
      <w:r w:rsidR="00C23CDA">
        <w:rPr>
          <w:rFonts w:ascii="Times New Roman" w:hAnsi="Times New Roman" w:cs="Times New Roman"/>
          <w:bCs/>
          <w:color w:val="000000" w:themeColor="text1"/>
          <w:sz w:val="24"/>
          <w:szCs w:val="24"/>
        </w:rPr>
        <w:t>,</w:t>
      </w:r>
      <w:r w:rsidR="005B5D49">
        <w:rPr>
          <w:rFonts w:ascii="Times New Roman" w:hAnsi="Times New Roman" w:cs="Times New Roman"/>
          <w:bCs/>
          <w:color w:val="000000" w:themeColor="text1"/>
          <w:sz w:val="24"/>
          <w:szCs w:val="24"/>
        </w:rPr>
        <w:t xml:space="preserve"> </w:t>
      </w:r>
      <w:r w:rsidR="00A048E1">
        <w:rPr>
          <w:rFonts w:ascii="Times New Roman" w:hAnsi="Times New Roman" w:cs="Times New Roman"/>
          <w:bCs/>
          <w:color w:val="000000" w:themeColor="text1"/>
          <w:sz w:val="24"/>
          <w:szCs w:val="24"/>
        </w:rPr>
        <w:t>the trend towards a decreased competitive balance tends to be more significant</w:t>
      </w:r>
      <w:r w:rsidR="005B5D49">
        <w:rPr>
          <w:rFonts w:ascii="Times New Roman" w:hAnsi="Times New Roman" w:cs="Times New Roman"/>
          <w:bCs/>
          <w:color w:val="000000" w:themeColor="text1"/>
          <w:sz w:val="24"/>
          <w:szCs w:val="24"/>
        </w:rPr>
        <w:t xml:space="preserve"> </w:t>
      </w:r>
      <w:r w:rsidR="00DA2ED2">
        <w:rPr>
          <w:rFonts w:ascii="Times New Roman" w:hAnsi="Times New Roman" w:cs="Times New Roman"/>
          <w:bCs/>
          <w:color w:val="000000" w:themeColor="text1"/>
          <w:sz w:val="24"/>
          <w:szCs w:val="24"/>
        </w:rPr>
        <w:t xml:space="preserve">for </w:t>
      </w:r>
      <w:r w:rsidR="003937A3" w:rsidRPr="008F5AA6">
        <w:rPr>
          <w:rFonts w:ascii="Times New Roman" w:hAnsi="Times New Roman" w:cs="Times New Roman"/>
          <w:bCs/>
          <w:color w:val="000000" w:themeColor="text1"/>
          <w:sz w:val="24"/>
          <w:szCs w:val="24"/>
        </w:rPr>
        <w:t xml:space="preserve">male </w:t>
      </w:r>
      <w:r w:rsidR="005B5D49">
        <w:rPr>
          <w:rFonts w:ascii="Times New Roman" w:hAnsi="Times New Roman" w:cs="Times New Roman"/>
          <w:bCs/>
          <w:color w:val="000000" w:themeColor="text1"/>
          <w:sz w:val="24"/>
          <w:szCs w:val="24"/>
        </w:rPr>
        <w:t xml:space="preserve">than for </w:t>
      </w:r>
      <w:r w:rsidR="003937A3" w:rsidRPr="008F5AA6">
        <w:rPr>
          <w:rFonts w:ascii="Times New Roman" w:hAnsi="Times New Roman" w:cs="Times New Roman"/>
          <w:bCs/>
          <w:color w:val="000000" w:themeColor="text1"/>
          <w:sz w:val="24"/>
          <w:szCs w:val="24"/>
        </w:rPr>
        <w:t xml:space="preserve">female competitions. </w:t>
      </w:r>
      <w:r w:rsidR="005B5D49">
        <w:rPr>
          <w:rFonts w:ascii="Times New Roman" w:hAnsi="Times New Roman" w:cs="Times New Roman"/>
          <w:bCs/>
          <w:color w:val="000000" w:themeColor="text1"/>
          <w:sz w:val="24"/>
          <w:szCs w:val="24"/>
        </w:rPr>
        <w:t>In addition, t</w:t>
      </w:r>
      <w:r w:rsidR="003937A3" w:rsidRPr="008F5AA6">
        <w:rPr>
          <w:rFonts w:ascii="Times New Roman" w:hAnsi="Times New Roman" w:cs="Times New Roman"/>
          <w:bCs/>
          <w:color w:val="000000" w:themeColor="text1"/>
          <w:sz w:val="24"/>
          <w:szCs w:val="24"/>
        </w:rPr>
        <w:t>he</w:t>
      </w:r>
      <w:r w:rsidR="003937A3">
        <w:rPr>
          <w:rFonts w:ascii="Times New Roman" w:hAnsi="Times New Roman" w:cs="Times New Roman"/>
          <w:bCs/>
          <w:color w:val="000000" w:themeColor="text1"/>
          <w:sz w:val="24"/>
          <w:szCs w:val="24"/>
        </w:rPr>
        <w:t>re</w:t>
      </w:r>
      <w:r w:rsidR="003937A3" w:rsidRPr="008F5AA6">
        <w:rPr>
          <w:rFonts w:ascii="Times New Roman" w:hAnsi="Times New Roman" w:cs="Times New Roman"/>
          <w:bCs/>
          <w:color w:val="000000" w:themeColor="text1"/>
          <w:sz w:val="24"/>
          <w:szCs w:val="24"/>
        </w:rPr>
        <w:t xml:space="preserve"> are differences between competitive balance </w:t>
      </w:r>
      <w:r w:rsidR="003937A3">
        <w:rPr>
          <w:rFonts w:ascii="Times New Roman" w:hAnsi="Times New Roman" w:cs="Times New Roman"/>
          <w:bCs/>
          <w:color w:val="000000" w:themeColor="text1"/>
          <w:sz w:val="24"/>
          <w:szCs w:val="24"/>
        </w:rPr>
        <w:t>indicators</w:t>
      </w:r>
      <w:r w:rsidR="005B5D49">
        <w:rPr>
          <w:rFonts w:ascii="Times New Roman" w:hAnsi="Times New Roman" w:cs="Times New Roman"/>
          <w:bCs/>
          <w:color w:val="000000" w:themeColor="text1"/>
          <w:sz w:val="24"/>
          <w:szCs w:val="24"/>
        </w:rPr>
        <w:t xml:space="preserve"> (HHIN and CV</w:t>
      </w:r>
      <w:r w:rsidR="00DA2ED2">
        <w:rPr>
          <w:rFonts w:ascii="Times New Roman" w:hAnsi="Times New Roman" w:cs="Times New Roman"/>
          <w:bCs/>
          <w:color w:val="000000" w:themeColor="text1"/>
          <w:sz w:val="24"/>
          <w:szCs w:val="24"/>
        </w:rPr>
        <w:t>)</w:t>
      </w:r>
      <w:r w:rsidR="003937A3" w:rsidRPr="008F5AA6">
        <w:rPr>
          <w:rFonts w:ascii="Times New Roman" w:hAnsi="Times New Roman" w:cs="Times New Roman"/>
          <w:bCs/>
          <w:color w:val="000000" w:themeColor="text1"/>
          <w:sz w:val="24"/>
          <w:szCs w:val="24"/>
        </w:rPr>
        <w:t xml:space="preserve">. </w:t>
      </w:r>
      <w:r w:rsidR="0082193B" w:rsidRPr="008F5AA6">
        <w:rPr>
          <w:rFonts w:ascii="Times New Roman" w:hAnsi="Times New Roman" w:cs="Times New Roman"/>
          <w:bCs/>
          <w:color w:val="000000" w:themeColor="text1"/>
          <w:sz w:val="24"/>
          <w:szCs w:val="24"/>
        </w:rPr>
        <w:t xml:space="preserve">The challenge for the ITTF is </w:t>
      </w:r>
      <w:r w:rsidR="005B5D49">
        <w:rPr>
          <w:rFonts w:ascii="Times New Roman" w:hAnsi="Times New Roman" w:cs="Times New Roman"/>
          <w:bCs/>
          <w:color w:val="000000" w:themeColor="text1"/>
          <w:sz w:val="24"/>
          <w:szCs w:val="24"/>
        </w:rPr>
        <w:t>to find</w:t>
      </w:r>
      <w:r w:rsidR="0082193B" w:rsidRPr="008F5AA6">
        <w:rPr>
          <w:rFonts w:ascii="Times New Roman" w:hAnsi="Times New Roman" w:cs="Times New Roman"/>
          <w:bCs/>
          <w:color w:val="000000" w:themeColor="text1"/>
          <w:sz w:val="24"/>
          <w:szCs w:val="24"/>
        </w:rPr>
        <w:t xml:space="preserve"> a way of restricting China and </w:t>
      </w:r>
      <w:r w:rsidR="0076748E">
        <w:rPr>
          <w:rFonts w:ascii="Times New Roman" w:hAnsi="Times New Roman" w:cs="Times New Roman"/>
          <w:bCs/>
          <w:color w:val="000000" w:themeColor="text1"/>
          <w:sz w:val="24"/>
          <w:szCs w:val="24"/>
        </w:rPr>
        <w:t>develop</w:t>
      </w:r>
      <w:r w:rsidR="001E3A52">
        <w:rPr>
          <w:rFonts w:ascii="Times New Roman" w:hAnsi="Times New Roman" w:cs="Times New Roman"/>
          <w:bCs/>
          <w:color w:val="000000" w:themeColor="text1"/>
          <w:sz w:val="24"/>
          <w:szCs w:val="24"/>
        </w:rPr>
        <w:t>ing</w:t>
      </w:r>
      <w:r w:rsidR="0082193B" w:rsidRPr="008F5AA6">
        <w:rPr>
          <w:rFonts w:ascii="Times New Roman" w:hAnsi="Times New Roman" w:cs="Times New Roman"/>
          <w:bCs/>
          <w:color w:val="000000" w:themeColor="text1"/>
          <w:sz w:val="24"/>
          <w:szCs w:val="24"/>
        </w:rPr>
        <w:t xml:space="preserve"> the </w:t>
      </w:r>
      <w:r w:rsidR="001E3A52">
        <w:rPr>
          <w:rFonts w:ascii="Times New Roman" w:hAnsi="Times New Roman" w:cs="Times New Roman"/>
          <w:bCs/>
          <w:color w:val="000000" w:themeColor="text1"/>
          <w:sz w:val="24"/>
          <w:szCs w:val="24"/>
        </w:rPr>
        <w:t>capacity of the other nations</w:t>
      </w:r>
      <w:r w:rsidR="005B5D49">
        <w:rPr>
          <w:rFonts w:ascii="Times New Roman" w:hAnsi="Times New Roman" w:cs="Times New Roman"/>
          <w:bCs/>
          <w:color w:val="000000" w:themeColor="text1"/>
          <w:sz w:val="24"/>
          <w:szCs w:val="24"/>
        </w:rPr>
        <w:t>’ medal winning capabilities</w:t>
      </w:r>
      <w:r w:rsidR="001E3A52">
        <w:rPr>
          <w:rFonts w:ascii="Times New Roman" w:hAnsi="Times New Roman" w:cs="Times New Roman"/>
          <w:bCs/>
          <w:color w:val="000000" w:themeColor="text1"/>
          <w:sz w:val="24"/>
          <w:szCs w:val="24"/>
        </w:rPr>
        <w:t>.</w:t>
      </w:r>
      <w:r w:rsidR="00855BEF">
        <w:rPr>
          <w:rFonts w:ascii="Times New Roman" w:hAnsi="Times New Roman" w:cs="Times New Roman"/>
          <w:bCs/>
          <w:color w:val="000000" w:themeColor="text1"/>
          <w:sz w:val="24"/>
          <w:szCs w:val="24"/>
        </w:rPr>
        <w:t xml:space="preserve"> </w:t>
      </w:r>
      <w:r w:rsidR="00AB46F2">
        <w:rPr>
          <w:rFonts w:ascii="Times New Roman" w:hAnsi="Times New Roman" w:cs="Times New Roman"/>
          <w:bCs/>
          <w:color w:val="000000" w:themeColor="text1"/>
          <w:sz w:val="24"/>
          <w:szCs w:val="24"/>
        </w:rPr>
        <w:t>Policies</w:t>
      </w:r>
      <w:r w:rsidR="00855BEF" w:rsidRPr="00A720AF">
        <w:rPr>
          <w:rFonts w:ascii="Times New Roman" w:hAnsi="Times New Roman" w:cs="Times New Roman"/>
          <w:bCs/>
          <w:color w:val="000000" w:themeColor="text1"/>
          <w:sz w:val="24"/>
          <w:szCs w:val="24"/>
        </w:rPr>
        <w:t xml:space="preserve"> are available to facilitate a more balanced competition in elite table tennis</w:t>
      </w:r>
      <w:r w:rsidR="00762A85" w:rsidRPr="00A720AF">
        <w:rPr>
          <w:rFonts w:ascii="Times New Roman" w:hAnsi="Times New Roman" w:cs="Times New Roman"/>
          <w:bCs/>
          <w:color w:val="000000" w:themeColor="text1"/>
          <w:sz w:val="24"/>
          <w:szCs w:val="24"/>
        </w:rPr>
        <w:t xml:space="preserve">, and to erode the </w:t>
      </w:r>
      <w:r w:rsidR="002F78BB" w:rsidRPr="00A50F62">
        <w:rPr>
          <w:rFonts w:ascii="Times New Roman" w:hAnsi="Times New Roman" w:cs="Times New Roman"/>
          <w:bCs/>
          <w:color w:val="000000" w:themeColor="text1"/>
          <w:sz w:val="24"/>
          <w:szCs w:val="24"/>
          <w:highlight w:val="yellow"/>
        </w:rPr>
        <w:t>dominance</w:t>
      </w:r>
      <w:r w:rsidR="007C05C3" w:rsidRPr="00A720AF">
        <w:rPr>
          <w:rFonts w:ascii="Times New Roman" w:hAnsi="Times New Roman" w:cs="Times New Roman"/>
          <w:bCs/>
          <w:color w:val="000000" w:themeColor="text1"/>
          <w:sz w:val="24"/>
          <w:szCs w:val="24"/>
        </w:rPr>
        <w:t xml:space="preserve"> </w:t>
      </w:r>
      <w:r w:rsidR="00762A85" w:rsidRPr="00A720AF">
        <w:rPr>
          <w:rFonts w:ascii="Times New Roman" w:hAnsi="Times New Roman" w:cs="Times New Roman"/>
          <w:bCs/>
          <w:color w:val="000000" w:themeColor="text1"/>
          <w:sz w:val="24"/>
          <w:szCs w:val="24"/>
        </w:rPr>
        <w:t xml:space="preserve">of </w:t>
      </w:r>
      <w:r w:rsidR="001E54ED" w:rsidRPr="00A720AF">
        <w:rPr>
          <w:rFonts w:ascii="Times New Roman" w:hAnsi="Times New Roman" w:cs="Times New Roman"/>
          <w:bCs/>
          <w:color w:val="000000" w:themeColor="text1"/>
          <w:sz w:val="24"/>
          <w:szCs w:val="24"/>
        </w:rPr>
        <w:t xml:space="preserve">the </w:t>
      </w:r>
      <w:r w:rsidR="00F23AF1">
        <w:rPr>
          <w:rFonts w:ascii="Times New Roman" w:hAnsi="Times New Roman" w:cs="Times New Roman"/>
          <w:bCs/>
          <w:color w:val="000000" w:themeColor="text1"/>
          <w:sz w:val="24"/>
          <w:szCs w:val="24"/>
        </w:rPr>
        <w:t>“Chinese Empire”</w:t>
      </w:r>
      <w:r w:rsidR="001E54ED" w:rsidRPr="00A720AF">
        <w:rPr>
          <w:rFonts w:ascii="Times New Roman" w:hAnsi="Times New Roman" w:cs="Times New Roman"/>
          <w:bCs/>
          <w:color w:val="000000" w:themeColor="text1"/>
          <w:sz w:val="24"/>
          <w:szCs w:val="24"/>
        </w:rPr>
        <w:t xml:space="preserve"> in international table tennis. </w:t>
      </w:r>
      <w:r w:rsidR="002D69DA" w:rsidRPr="00A720AF">
        <w:rPr>
          <w:rFonts w:ascii="Times New Roman" w:hAnsi="Times New Roman" w:cs="Times New Roman"/>
          <w:bCs/>
          <w:color w:val="000000" w:themeColor="text1"/>
          <w:sz w:val="24"/>
          <w:szCs w:val="24"/>
        </w:rPr>
        <w:t xml:space="preserve">This is a daunting prospect, </w:t>
      </w:r>
      <w:r w:rsidR="002D69DA" w:rsidRPr="001A0835">
        <w:rPr>
          <w:rFonts w:ascii="Times New Roman" w:hAnsi="Times New Roman" w:cs="Times New Roman"/>
          <w:bCs/>
          <w:color w:val="000000" w:themeColor="text1"/>
          <w:sz w:val="24"/>
          <w:szCs w:val="24"/>
          <w:highlight w:val="yellow"/>
        </w:rPr>
        <w:t xml:space="preserve">but </w:t>
      </w:r>
      <w:r w:rsidR="001A0835" w:rsidRPr="001A0835">
        <w:rPr>
          <w:rFonts w:ascii="Times New Roman" w:hAnsi="Times New Roman" w:cs="Times New Roman"/>
          <w:bCs/>
          <w:color w:val="000000" w:themeColor="text1"/>
          <w:sz w:val="24"/>
          <w:szCs w:val="24"/>
          <w:highlight w:val="yellow"/>
        </w:rPr>
        <w:t>not every empire lasts forever</w:t>
      </w:r>
      <w:r w:rsidR="00762A85" w:rsidRPr="00A720AF">
        <w:rPr>
          <w:rFonts w:ascii="Times New Roman" w:hAnsi="Times New Roman" w:cs="Times New Roman"/>
          <w:bCs/>
          <w:color w:val="000000" w:themeColor="text1"/>
          <w:sz w:val="24"/>
          <w:szCs w:val="24"/>
        </w:rPr>
        <w:t>.</w:t>
      </w:r>
      <w:r w:rsidR="001E3A52" w:rsidRPr="00A720AF">
        <w:rPr>
          <w:rFonts w:ascii="Times New Roman" w:hAnsi="Times New Roman" w:cs="Times New Roman"/>
          <w:bCs/>
          <w:color w:val="000000" w:themeColor="text1"/>
          <w:sz w:val="24"/>
          <w:szCs w:val="24"/>
        </w:rPr>
        <w:t xml:space="preserve"> </w:t>
      </w:r>
    </w:p>
    <w:p w14:paraId="40494716" w14:textId="77777777" w:rsidR="005E3E3C" w:rsidRDefault="005E3E3C" w:rsidP="00C201D1">
      <w:pPr>
        <w:spacing w:after="0" w:line="480" w:lineRule="auto"/>
        <w:jc w:val="both"/>
        <w:rPr>
          <w:rFonts w:ascii="Times New Roman" w:hAnsi="Times New Roman" w:cs="Times New Roman"/>
          <w:bCs/>
          <w:color w:val="000000" w:themeColor="text1"/>
          <w:sz w:val="24"/>
          <w:szCs w:val="24"/>
        </w:rPr>
      </w:pPr>
    </w:p>
    <w:p w14:paraId="5638FD1E" w14:textId="77777777" w:rsidR="005E3E3C" w:rsidRDefault="005E3E3C" w:rsidP="00C201D1">
      <w:pPr>
        <w:spacing w:after="0" w:line="480" w:lineRule="auto"/>
        <w:jc w:val="both"/>
        <w:rPr>
          <w:rFonts w:ascii="Times New Roman" w:hAnsi="Times New Roman" w:cs="Times New Roman"/>
          <w:bCs/>
          <w:color w:val="000000" w:themeColor="text1"/>
          <w:sz w:val="24"/>
          <w:szCs w:val="24"/>
        </w:rPr>
      </w:pPr>
    </w:p>
    <w:p w14:paraId="437FA0CF"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1248F680"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1425430D"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748A0630"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6E1C4FAD"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4F29A3F2"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0B835DBF"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49B03244"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0785384B"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1CCD43B4"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09AB1B8C"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044C8475"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068231A2"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4BB6BF03"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3CCAA18B" w14:textId="77777777" w:rsidR="006D4373" w:rsidRDefault="006D4373" w:rsidP="00C201D1">
      <w:pPr>
        <w:spacing w:after="0" w:line="480" w:lineRule="auto"/>
        <w:jc w:val="both"/>
        <w:rPr>
          <w:rFonts w:ascii="Times New Roman" w:hAnsi="Times New Roman" w:cs="Times New Roman"/>
          <w:bCs/>
          <w:color w:val="000000" w:themeColor="text1"/>
          <w:sz w:val="24"/>
          <w:szCs w:val="24"/>
        </w:rPr>
      </w:pPr>
    </w:p>
    <w:p w14:paraId="3EC58903" w14:textId="77777777" w:rsidR="000F63B5" w:rsidRPr="000F63B5" w:rsidRDefault="000F63B5" w:rsidP="000F63B5">
      <w:pPr>
        <w:spacing w:line="480" w:lineRule="auto"/>
        <w:contextualSpacing/>
        <w:rPr>
          <w:rFonts w:ascii="Times New Roman" w:eastAsia="SimSun" w:hAnsi="Times New Roman" w:cs="Times New Roman"/>
          <w:b/>
          <w:sz w:val="24"/>
          <w:szCs w:val="24"/>
        </w:rPr>
      </w:pPr>
      <w:r w:rsidRPr="000F63B5">
        <w:rPr>
          <w:rFonts w:ascii="Times New Roman" w:eastAsia="SimSun" w:hAnsi="Times New Roman" w:cs="Times New Roman"/>
          <w:b/>
          <w:sz w:val="24"/>
          <w:szCs w:val="24"/>
        </w:rPr>
        <w:t>References</w:t>
      </w:r>
      <w:r w:rsidRPr="000F63B5">
        <w:rPr>
          <w:rFonts w:ascii="Times New Roman" w:eastAsia="SimSun" w:hAnsi="Times New Roman" w:cs="Times New Roman"/>
          <w:b/>
          <w:color w:val="000000"/>
          <w:sz w:val="24"/>
          <w:szCs w:val="24"/>
        </w:rPr>
        <w:fldChar w:fldCharType="begin" w:fldLock="1"/>
      </w:r>
      <w:r w:rsidRPr="000F63B5">
        <w:rPr>
          <w:rFonts w:ascii="Times New Roman" w:eastAsia="SimSun" w:hAnsi="Times New Roman" w:cs="Times New Roman"/>
          <w:b/>
          <w:color w:val="000000"/>
          <w:sz w:val="24"/>
          <w:szCs w:val="24"/>
        </w:rPr>
        <w:instrText xml:space="preserve">ADDIN Mendeley Bibliography CSL_BIBLIOGRAPHY </w:instrText>
      </w:r>
      <w:r w:rsidRPr="000F63B5">
        <w:rPr>
          <w:rFonts w:ascii="Times New Roman" w:eastAsia="SimSun" w:hAnsi="Times New Roman" w:cs="Times New Roman"/>
          <w:b/>
          <w:color w:val="000000"/>
          <w:sz w:val="24"/>
          <w:szCs w:val="24"/>
        </w:rPr>
        <w:fldChar w:fldCharType="separate"/>
      </w:r>
    </w:p>
    <w:p w14:paraId="3B2617A0"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Brown, C. E. (1998). </w:t>
      </w:r>
      <w:r w:rsidRPr="000F63B5">
        <w:rPr>
          <w:rFonts w:ascii="Times New Roman" w:eastAsia="SimSun" w:hAnsi="Times New Roman" w:cs="Times New Roman"/>
          <w:i/>
          <w:noProof/>
          <w:color w:val="000000"/>
          <w:sz w:val="24"/>
          <w:szCs w:val="24"/>
        </w:rPr>
        <w:t>Applied multivariate statistics in geohydrology and related sciences</w:t>
      </w:r>
      <w:r w:rsidRPr="000F63B5">
        <w:rPr>
          <w:rFonts w:ascii="Times New Roman" w:eastAsia="SimSun" w:hAnsi="Times New Roman" w:cs="Times New Roman"/>
          <w:noProof/>
          <w:color w:val="000000"/>
          <w:sz w:val="24"/>
          <w:szCs w:val="24"/>
        </w:rPr>
        <w:t>. Berlin: Springer.</w:t>
      </w:r>
    </w:p>
    <w:p w14:paraId="3F651F4E" w14:textId="77777777" w:rsidR="000F63B5" w:rsidRPr="000F63B5" w:rsidRDefault="000F63B5" w:rsidP="000F63B5">
      <w:pPr>
        <w:widowControl w:val="0"/>
        <w:autoSpaceDE w:val="0"/>
        <w:autoSpaceDN w:val="0"/>
        <w:adjustRightInd w:val="0"/>
        <w:spacing w:line="480" w:lineRule="auto"/>
        <w:ind w:left="475" w:hanging="475"/>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Chaplin, D., &amp; Mendoza, S. (2017). The history of competitive balance in Commonwealth Games boxing. </w:t>
      </w:r>
      <w:r w:rsidRPr="000F63B5">
        <w:rPr>
          <w:rFonts w:ascii="Times New Roman" w:eastAsia="SimSun" w:hAnsi="Times New Roman" w:cs="Times New Roman"/>
          <w:i/>
          <w:noProof/>
          <w:color w:val="000000"/>
          <w:sz w:val="24"/>
          <w:szCs w:val="24"/>
        </w:rPr>
        <w:t>Sport in Society, 20</w:t>
      </w:r>
      <w:r w:rsidRPr="000F63B5">
        <w:rPr>
          <w:rFonts w:ascii="Times New Roman" w:eastAsia="SimSun" w:hAnsi="Times New Roman" w:cs="Times New Roman"/>
          <w:noProof/>
          <w:color w:val="000000"/>
          <w:sz w:val="24"/>
          <w:szCs w:val="24"/>
        </w:rPr>
        <w:t>(3), 428-437. doi: 10.1080/17430437.2015.1088718</w:t>
      </w:r>
    </w:p>
    <w:p w14:paraId="256EC66F"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De Bondt, R., Slaets, P., &amp; Cassiman, B. (1992). The degree of spillovers and the number of rivals for maximum effective R &amp; D. </w:t>
      </w:r>
      <w:r w:rsidRPr="000F63B5">
        <w:rPr>
          <w:rFonts w:ascii="Times New Roman" w:eastAsia="SimSun" w:hAnsi="Times New Roman" w:cs="Times New Roman"/>
          <w:i/>
          <w:noProof/>
          <w:color w:val="000000"/>
          <w:sz w:val="24"/>
          <w:szCs w:val="24"/>
        </w:rPr>
        <w:t>International Journal of Industrial Organization, 10</w:t>
      </w:r>
      <w:r w:rsidRPr="000F63B5">
        <w:rPr>
          <w:rFonts w:ascii="Times New Roman" w:eastAsia="SimSun" w:hAnsi="Times New Roman" w:cs="Times New Roman"/>
          <w:noProof/>
          <w:color w:val="000000"/>
          <w:sz w:val="24"/>
          <w:szCs w:val="24"/>
        </w:rPr>
        <w:t xml:space="preserve">(1), 35-54. doi: </w:t>
      </w:r>
      <w:r w:rsidRPr="000F63B5">
        <w:rPr>
          <w:rFonts w:ascii="Times New Roman" w:eastAsia="SimSun" w:hAnsi="Times New Roman" w:cs="Times New Roman"/>
          <w:noProof/>
          <w:color w:val="000000"/>
          <w:sz w:val="24"/>
          <w:szCs w:val="24"/>
          <w:lang w:val="en"/>
        </w:rPr>
        <w:t>10.1016/0167-7187(92)90046-2</w:t>
      </w:r>
    </w:p>
    <w:p w14:paraId="25BF54A9"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De Bosscher, V., Bingham, J., Shibli, S., Van Bottenburg, M., &amp; De Knop, P. (2008). </w:t>
      </w:r>
      <w:r w:rsidRPr="000F63B5">
        <w:rPr>
          <w:rFonts w:ascii="Times New Roman" w:eastAsia="SimSun" w:hAnsi="Times New Roman" w:cs="Times New Roman"/>
          <w:i/>
          <w:iCs/>
          <w:noProof/>
          <w:color w:val="000000"/>
          <w:sz w:val="24"/>
          <w:szCs w:val="24"/>
        </w:rPr>
        <w:t>The global sporting arms race: An international comparative study on sports policy factors leading to international sporting success</w:t>
      </w:r>
      <w:r w:rsidRPr="000F63B5">
        <w:rPr>
          <w:rFonts w:ascii="Times New Roman" w:eastAsia="SimSun" w:hAnsi="Times New Roman" w:cs="Times New Roman"/>
          <w:noProof/>
          <w:color w:val="000000"/>
          <w:sz w:val="24"/>
          <w:szCs w:val="24"/>
        </w:rPr>
        <w:t>. Oxford: Meyer &amp; Meyer.</w:t>
      </w:r>
    </w:p>
    <w:p w14:paraId="381FA40C"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i/>
          <w:noProof/>
          <w:color w:val="000000"/>
          <w:sz w:val="24"/>
          <w:szCs w:val="24"/>
        </w:rPr>
      </w:pPr>
      <w:r w:rsidRPr="000F63B5">
        <w:rPr>
          <w:rFonts w:ascii="Times New Roman" w:eastAsia="SimSun" w:hAnsi="Times New Roman" w:cs="Times New Roman"/>
          <w:noProof/>
          <w:color w:val="000000"/>
          <w:sz w:val="24"/>
          <w:szCs w:val="24"/>
        </w:rPr>
        <w:t xml:space="preserve">De Bosscher, V., Shibli, S., Westerbeek, H., &amp; Van Bottenburg, M. (2015). </w:t>
      </w:r>
      <w:r w:rsidRPr="000F63B5">
        <w:rPr>
          <w:rFonts w:ascii="Times New Roman" w:eastAsia="SimSun" w:hAnsi="Times New Roman" w:cs="Times New Roman"/>
          <w:i/>
          <w:noProof/>
          <w:color w:val="000000"/>
          <w:sz w:val="24"/>
          <w:szCs w:val="24"/>
        </w:rPr>
        <w:t>Successful elite sport policies:</w:t>
      </w:r>
      <w:r w:rsidRPr="000F63B5">
        <w:rPr>
          <w:rFonts w:ascii="Times New Roman" w:eastAsia="SimSun" w:hAnsi="Times New Roman" w:cs="Times New Roman" w:hint="eastAsia"/>
          <w:i/>
          <w:noProof/>
          <w:color w:val="000000"/>
          <w:sz w:val="24"/>
          <w:szCs w:val="24"/>
        </w:rPr>
        <w:t xml:space="preserve"> </w:t>
      </w:r>
      <w:r w:rsidRPr="000F63B5">
        <w:rPr>
          <w:rFonts w:ascii="Times New Roman" w:eastAsia="SimSun" w:hAnsi="Times New Roman" w:cs="Times New Roman"/>
          <w:i/>
          <w:noProof/>
          <w:color w:val="000000"/>
          <w:sz w:val="24"/>
          <w:szCs w:val="24"/>
        </w:rPr>
        <w:t>An international comparison of the Sports Policy factors Leading to International Sporting Success (SPLISS 2.0) in 15 nations</w:t>
      </w:r>
      <w:r w:rsidRPr="000F63B5">
        <w:rPr>
          <w:rFonts w:ascii="Times New Roman" w:eastAsia="SimSun" w:hAnsi="Times New Roman" w:cs="Times New Roman"/>
          <w:noProof/>
          <w:color w:val="000000"/>
          <w:sz w:val="24"/>
          <w:szCs w:val="24"/>
        </w:rPr>
        <w:t>. Maidenhead: Meyer &amp; Meyer Sport.</w:t>
      </w:r>
    </w:p>
    <w:p w14:paraId="30E5333B"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Dickson, G., &amp; Malaia, J. (2017). Globalisation of professional sport. In S. Frawley &amp; N. Schulenkorf (Eds.), </w:t>
      </w:r>
      <w:r w:rsidRPr="000F63B5">
        <w:rPr>
          <w:rFonts w:ascii="Times New Roman" w:eastAsia="SimSun" w:hAnsi="Times New Roman" w:cs="Times New Roman"/>
          <w:i/>
          <w:noProof/>
          <w:color w:val="000000"/>
          <w:sz w:val="24"/>
          <w:szCs w:val="24"/>
        </w:rPr>
        <w:t>Critical issues in global sport management</w:t>
      </w:r>
      <w:r w:rsidRPr="000F63B5">
        <w:rPr>
          <w:rFonts w:ascii="Times New Roman" w:eastAsia="SimSun" w:hAnsi="Times New Roman" w:cs="Times New Roman"/>
          <w:noProof/>
          <w:color w:val="000000"/>
          <w:sz w:val="24"/>
          <w:szCs w:val="24"/>
        </w:rPr>
        <w:t xml:space="preserve"> (pp. 115–127). London: Routledge.</w:t>
      </w:r>
    </w:p>
    <w:p w14:paraId="63EB343A"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Forrest, D., McHale, I. G., Sanz, I., &amp; Tena, J. D. (2016). An analysis of country medal shares in individual sports at the Olympics. </w:t>
      </w:r>
      <w:r w:rsidRPr="000F63B5">
        <w:rPr>
          <w:rFonts w:ascii="Times New Roman" w:eastAsia="SimSun" w:hAnsi="Times New Roman" w:cs="Times New Roman"/>
          <w:i/>
          <w:noProof/>
          <w:color w:val="000000"/>
          <w:sz w:val="24"/>
          <w:szCs w:val="24"/>
        </w:rPr>
        <w:t>European Sport Management Quarterly</w:t>
      </w:r>
      <w:r w:rsidRPr="000F63B5">
        <w:rPr>
          <w:rFonts w:ascii="Times New Roman" w:eastAsia="SimSun" w:hAnsi="Times New Roman" w:cs="Times New Roman"/>
          <w:noProof/>
          <w:color w:val="000000"/>
          <w:sz w:val="24"/>
          <w:szCs w:val="24"/>
        </w:rPr>
        <w:t>. doi: 10.1080/16184742.2016.1248463</w:t>
      </w:r>
    </w:p>
    <w:p w14:paraId="513F6E16"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Fort, R., &amp; Quirk, J. (1995). Cross-subsidization, incentives, and outcomes in professional team sports leagues. </w:t>
      </w:r>
      <w:r w:rsidRPr="000F63B5">
        <w:rPr>
          <w:rFonts w:ascii="Times New Roman" w:eastAsia="SimSun" w:hAnsi="Times New Roman" w:cs="Times New Roman"/>
          <w:i/>
          <w:noProof/>
          <w:color w:val="000000"/>
          <w:sz w:val="24"/>
          <w:szCs w:val="24"/>
        </w:rPr>
        <w:t>Journal of Economic Literature</w:t>
      </w:r>
      <w:r w:rsidRPr="000F63B5">
        <w:rPr>
          <w:rFonts w:ascii="Times New Roman" w:eastAsia="SimSun" w:hAnsi="Times New Roman" w:cs="Times New Roman"/>
          <w:noProof/>
          <w:color w:val="000000"/>
          <w:sz w:val="24"/>
          <w:szCs w:val="24"/>
        </w:rPr>
        <w:t xml:space="preserve">, </w:t>
      </w:r>
      <w:r w:rsidRPr="000F63B5">
        <w:rPr>
          <w:rFonts w:ascii="Times New Roman" w:eastAsia="SimSun" w:hAnsi="Times New Roman" w:cs="Times New Roman"/>
          <w:i/>
          <w:noProof/>
          <w:color w:val="000000"/>
          <w:sz w:val="24"/>
          <w:szCs w:val="24"/>
        </w:rPr>
        <w:t>33</w:t>
      </w:r>
      <w:r w:rsidRPr="000F63B5">
        <w:rPr>
          <w:rFonts w:ascii="Times New Roman" w:eastAsia="SimSun" w:hAnsi="Times New Roman" w:cs="Times New Roman"/>
          <w:noProof/>
          <w:color w:val="000000"/>
          <w:sz w:val="24"/>
          <w:szCs w:val="24"/>
        </w:rPr>
        <w:t>(3), 1265-1299.</w:t>
      </w:r>
    </w:p>
    <w:p w14:paraId="096F13BE"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lang w:val="en-AU"/>
        </w:rPr>
      </w:pPr>
    </w:p>
    <w:p w14:paraId="05551A06"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lang w:val="en-AU"/>
        </w:rPr>
      </w:pPr>
      <w:r w:rsidRPr="000F63B5">
        <w:rPr>
          <w:rFonts w:ascii="Times New Roman" w:eastAsia="SimSun" w:hAnsi="Times New Roman" w:cs="Times New Roman"/>
          <w:noProof/>
          <w:color w:val="000000"/>
          <w:sz w:val="24"/>
          <w:szCs w:val="24"/>
          <w:lang w:val="en-AU"/>
        </w:rPr>
        <w:t xml:space="preserve">Greenlees, I., Bradley, A., Holder, T., &amp; Thelwell, R. (2005). The impact of opponents' non-verbal behaviour on the first impressions and outcome expectations of table-tennis players. </w:t>
      </w:r>
      <w:r w:rsidRPr="000F63B5">
        <w:rPr>
          <w:rFonts w:ascii="Times New Roman" w:eastAsia="SimSun" w:hAnsi="Times New Roman" w:cs="Times New Roman"/>
          <w:i/>
          <w:noProof/>
          <w:color w:val="000000"/>
          <w:sz w:val="24"/>
          <w:szCs w:val="24"/>
          <w:lang w:val="en-AU"/>
        </w:rPr>
        <w:t>Psychology of Sport and Exercise, 6</w:t>
      </w:r>
      <w:r w:rsidRPr="000F63B5">
        <w:rPr>
          <w:rFonts w:ascii="Times New Roman" w:eastAsia="SimSun" w:hAnsi="Times New Roman" w:cs="Times New Roman"/>
          <w:noProof/>
          <w:color w:val="000000"/>
          <w:sz w:val="24"/>
          <w:szCs w:val="24"/>
          <w:lang w:val="en-AU"/>
        </w:rPr>
        <w:t xml:space="preserve">(1), 103-115. doi: </w:t>
      </w:r>
      <w:r w:rsidRPr="000F63B5">
        <w:rPr>
          <w:rFonts w:ascii="Times New Roman" w:eastAsia="SimSun" w:hAnsi="Times New Roman" w:cs="Times New Roman"/>
          <w:noProof/>
          <w:color w:val="000000"/>
          <w:sz w:val="24"/>
          <w:szCs w:val="24"/>
        </w:rPr>
        <w:t>10.1016/j.psychsport.2003.10.002</w:t>
      </w:r>
    </w:p>
    <w:p w14:paraId="2CD3FBEC"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i/>
          <w:noProof/>
          <w:color w:val="000000"/>
          <w:sz w:val="24"/>
          <w:szCs w:val="24"/>
          <w:lang w:val="en-US"/>
        </w:rPr>
      </w:pPr>
      <w:r w:rsidRPr="000F63B5">
        <w:rPr>
          <w:rFonts w:ascii="Times New Roman" w:eastAsia="SimSun" w:hAnsi="Times New Roman" w:cs="Times New Roman"/>
          <w:noProof/>
          <w:color w:val="000000"/>
          <w:sz w:val="24"/>
          <w:szCs w:val="24"/>
          <w:lang w:val="en-US"/>
        </w:rPr>
        <w:t xml:space="preserve">Houlihan, B., &amp; Zheng, J. (2013). The Olympics and elite sport policy: Where will it all end? </w:t>
      </w:r>
      <w:r w:rsidRPr="000F63B5">
        <w:rPr>
          <w:rFonts w:ascii="Times New Roman" w:eastAsia="SimSun" w:hAnsi="Times New Roman" w:cs="Times New Roman"/>
          <w:i/>
          <w:noProof/>
          <w:color w:val="000000"/>
          <w:sz w:val="24"/>
          <w:szCs w:val="24"/>
          <w:lang w:val="en-US"/>
        </w:rPr>
        <w:t>The International Journal of the History of Sport</w:t>
      </w:r>
      <w:r w:rsidRPr="000F63B5">
        <w:rPr>
          <w:rFonts w:ascii="Times New Roman" w:eastAsia="SimSun" w:hAnsi="Times New Roman" w:cs="Times New Roman"/>
          <w:noProof/>
          <w:color w:val="000000"/>
          <w:sz w:val="24"/>
          <w:szCs w:val="24"/>
          <w:lang w:val="en-US"/>
        </w:rPr>
        <w:t xml:space="preserve">, </w:t>
      </w:r>
      <w:r w:rsidRPr="000F63B5">
        <w:rPr>
          <w:rFonts w:ascii="Times New Roman" w:eastAsia="SimSun" w:hAnsi="Times New Roman" w:cs="Times New Roman"/>
          <w:i/>
          <w:noProof/>
          <w:color w:val="000000"/>
          <w:sz w:val="24"/>
          <w:szCs w:val="24"/>
          <w:lang w:val="en-US"/>
        </w:rPr>
        <w:t>30</w:t>
      </w:r>
      <w:r w:rsidRPr="000F63B5">
        <w:rPr>
          <w:rFonts w:ascii="Times New Roman" w:eastAsia="SimSun" w:hAnsi="Times New Roman" w:cs="Times New Roman"/>
          <w:noProof/>
          <w:color w:val="000000"/>
          <w:sz w:val="24"/>
          <w:szCs w:val="24"/>
          <w:lang w:val="en-US"/>
        </w:rPr>
        <w:t>(4), 338-355. doi: 10.1080/09523367.2013.765726</w:t>
      </w:r>
    </w:p>
    <w:p w14:paraId="5B7458DC"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International Olympic Committee (IOC). (2017). </w:t>
      </w:r>
      <w:r w:rsidRPr="000F63B5">
        <w:rPr>
          <w:rFonts w:ascii="Times New Roman" w:eastAsia="SimSun" w:hAnsi="Times New Roman" w:cs="Times New Roman"/>
          <w:i/>
          <w:noProof/>
          <w:color w:val="000000"/>
          <w:sz w:val="24"/>
          <w:szCs w:val="24"/>
        </w:rPr>
        <w:t>Results</w:t>
      </w:r>
      <w:r w:rsidRPr="000F63B5">
        <w:rPr>
          <w:rFonts w:ascii="Times New Roman" w:eastAsia="SimSun" w:hAnsi="Times New Roman" w:cs="Times New Roman"/>
          <w:noProof/>
          <w:color w:val="000000"/>
          <w:sz w:val="24"/>
          <w:szCs w:val="24"/>
        </w:rPr>
        <w:t xml:space="preserve">. Retrieved from https://www.olympic.org/olympic-results </w:t>
      </w:r>
    </w:p>
    <w:p w14:paraId="1981DEBE"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International Table Tennis Federation (ITTF). (2017). </w:t>
      </w:r>
      <w:r w:rsidRPr="000F63B5">
        <w:rPr>
          <w:rFonts w:ascii="Times New Roman" w:eastAsia="SimSun" w:hAnsi="Times New Roman" w:cs="Times New Roman"/>
          <w:i/>
          <w:noProof/>
          <w:color w:val="000000"/>
          <w:sz w:val="24"/>
          <w:szCs w:val="24"/>
        </w:rPr>
        <w:t>ITTF statistics.</w:t>
      </w:r>
      <w:r w:rsidRPr="000F63B5">
        <w:rPr>
          <w:rFonts w:ascii="Times New Roman" w:eastAsia="SimSun" w:hAnsi="Times New Roman" w:cs="Times New Roman"/>
          <w:noProof/>
          <w:color w:val="000000"/>
          <w:sz w:val="24"/>
          <w:szCs w:val="24"/>
        </w:rPr>
        <w:t xml:space="preserve"> Retrieved from http://old.ittf.com/ittf_stats/ </w:t>
      </w:r>
    </w:p>
    <w:p w14:paraId="264AEB4D"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Jane, W.-J. (2014). The relationship between outcome uncertainties and match attendance: New evidence in the National Basketball Association. </w:t>
      </w:r>
      <w:r w:rsidRPr="000F63B5">
        <w:rPr>
          <w:rFonts w:ascii="Times New Roman" w:eastAsia="SimSun" w:hAnsi="Times New Roman" w:cs="Times New Roman"/>
          <w:i/>
          <w:noProof/>
          <w:color w:val="000000"/>
          <w:sz w:val="24"/>
          <w:szCs w:val="24"/>
        </w:rPr>
        <w:t>Review of Industrial Organization, 45</w:t>
      </w:r>
      <w:r w:rsidRPr="000F63B5">
        <w:rPr>
          <w:rFonts w:ascii="Times New Roman" w:eastAsia="SimSun" w:hAnsi="Times New Roman" w:cs="Times New Roman"/>
          <w:noProof/>
          <w:color w:val="000000"/>
          <w:sz w:val="24"/>
          <w:szCs w:val="24"/>
        </w:rPr>
        <w:t xml:space="preserve">(2), 177-200. doi:10.1007/s11151-014-9436-x </w:t>
      </w:r>
    </w:p>
    <w:p w14:paraId="2331BF5E"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Arial Unicode MS" w:hAnsi="Times New Roman" w:cs="Times New Roman"/>
          <w:color w:val="000000"/>
          <w:sz w:val="24"/>
          <w:szCs w:val="24"/>
        </w:rPr>
        <w:t xml:space="preserve">Joo, H. H., &amp; Oh, T. (2015). Foreign players, competitive balance, and fan demand in Korean Basketball League. In Y. H. Lee &amp; R. Fort (Eds.), </w:t>
      </w:r>
      <w:r w:rsidRPr="000F63B5">
        <w:rPr>
          <w:rFonts w:ascii="Times New Roman" w:eastAsia="Arial Unicode MS" w:hAnsi="Times New Roman" w:cs="Times New Roman"/>
          <w:i/>
          <w:color w:val="000000"/>
          <w:sz w:val="24"/>
          <w:szCs w:val="24"/>
        </w:rPr>
        <w:t>The sports business in the Pacific Rim: Economics and policy</w:t>
      </w:r>
      <w:r w:rsidRPr="000F63B5">
        <w:rPr>
          <w:rFonts w:ascii="Times New Roman" w:eastAsia="Arial Unicode MS" w:hAnsi="Times New Roman" w:cs="Times New Roman"/>
          <w:color w:val="000000"/>
          <w:sz w:val="24"/>
          <w:szCs w:val="24"/>
        </w:rPr>
        <w:t xml:space="preserve"> (pp. 43-58). Berlin: Springer.</w:t>
      </w:r>
    </w:p>
    <w:p w14:paraId="46873D2F"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Knowles, G., Sherony, K., &amp; Haupert, M. (1992). The demand for major league baseball: A test of the uncertainty of outcome hypothesis. </w:t>
      </w:r>
      <w:r w:rsidRPr="000F63B5">
        <w:rPr>
          <w:rFonts w:ascii="Times New Roman" w:eastAsia="SimSun" w:hAnsi="Times New Roman" w:cs="Times New Roman"/>
          <w:i/>
          <w:noProof/>
          <w:color w:val="000000"/>
          <w:sz w:val="24"/>
          <w:szCs w:val="24"/>
        </w:rPr>
        <w:t>The American Economist</w:t>
      </w:r>
      <w:r w:rsidRPr="000F63B5">
        <w:rPr>
          <w:rFonts w:ascii="Times New Roman" w:eastAsia="SimSun" w:hAnsi="Times New Roman" w:cs="Times New Roman"/>
          <w:noProof/>
          <w:color w:val="000000"/>
          <w:sz w:val="24"/>
          <w:szCs w:val="24"/>
        </w:rPr>
        <w:t xml:space="preserve">, </w:t>
      </w:r>
      <w:r w:rsidRPr="000F63B5">
        <w:rPr>
          <w:rFonts w:ascii="Times New Roman" w:eastAsia="SimSun" w:hAnsi="Times New Roman" w:cs="Times New Roman"/>
          <w:i/>
          <w:noProof/>
          <w:color w:val="000000"/>
          <w:sz w:val="24"/>
          <w:szCs w:val="24"/>
        </w:rPr>
        <w:t>36</w:t>
      </w:r>
      <w:r w:rsidRPr="000F63B5">
        <w:rPr>
          <w:rFonts w:ascii="Times New Roman" w:eastAsia="SimSun" w:hAnsi="Times New Roman" w:cs="Times New Roman"/>
          <w:noProof/>
          <w:color w:val="000000"/>
          <w:sz w:val="24"/>
          <w:szCs w:val="24"/>
        </w:rPr>
        <w:t>(2), 72-80.</w:t>
      </w:r>
    </w:p>
    <w:p w14:paraId="4D430B37"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Lanzoni, I. M., Di Michele, R., &amp; Merni, F. (2014). A notational analysis of shot characteristics in top-level table tennis players. </w:t>
      </w:r>
      <w:r w:rsidRPr="000F63B5">
        <w:rPr>
          <w:rFonts w:ascii="Times New Roman" w:eastAsia="SimSun" w:hAnsi="Times New Roman" w:cs="Times New Roman"/>
          <w:i/>
          <w:noProof/>
          <w:color w:val="000000"/>
          <w:sz w:val="24"/>
          <w:szCs w:val="24"/>
        </w:rPr>
        <w:t>European Journal of Sport Science, 14</w:t>
      </w:r>
      <w:r w:rsidRPr="000F63B5">
        <w:rPr>
          <w:rFonts w:ascii="Times New Roman" w:eastAsia="SimSun" w:hAnsi="Times New Roman" w:cs="Times New Roman"/>
          <w:noProof/>
          <w:color w:val="000000"/>
          <w:sz w:val="24"/>
          <w:szCs w:val="24"/>
        </w:rPr>
        <w:t>(4), 309-317. doi: 10.1080/17461391.2013.819382</w:t>
      </w:r>
    </w:p>
    <w:p w14:paraId="22A316EF" w14:textId="65B38B70" w:rsidR="00680189" w:rsidRPr="000F63B5" w:rsidRDefault="000F63B5" w:rsidP="00680189">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Mankiw, N. G., &amp; Taylor, M. P. (2010). </w:t>
      </w:r>
      <w:r w:rsidRPr="000F63B5">
        <w:rPr>
          <w:rFonts w:ascii="Times New Roman" w:eastAsia="SimSun" w:hAnsi="Times New Roman" w:cs="Times New Roman"/>
          <w:i/>
          <w:noProof/>
          <w:color w:val="000000"/>
          <w:sz w:val="24"/>
          <w:szCs w:val="24"/>
        </w:rPr>
        <w:t>Economics</w:t>
      </w:r>
      <w:r w:rsidRPr="000F63B5">
        <w:rPr>
          <w:rFonts w:ascii="Times New Roman" w:eastAsia="SimSun" w:hAnsi="Times New Roman" w:cs="Times New Roman"/>
          <w:noProof/>
          <w:color w:val="000000"/>
          <w:sz w:val="24"/>
          <w:szCs w:val="24"/>
        </w:rPr>
        <w:t xml:space="preserve"> (Special ed.). Andover: Cengage Learning EMEA. </w:t>
      </w:r>
    </w:p>
    <w:p w14:paraId="726F5789"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Otamendi, J., &amp; Doncel, L. M. (2014). Medal Shares in Winter Olympic Games by Sport: Socioeconomic Analysis After Vancouver 2010. </w:t>
      </w:r>
      <w:r w:rsidRPr="000F63B5">
        <w:rPr>
          <w:rFonts w:ascii="Times New Roman" w:eastAsia="SimSun" w:hAnsi="Times New Roman" w:cs="Times New Roman"/>
          <w:i/>
          <w:iCs/>
          <w:noProof/>
          <w:color w:val="000000"/>
          <w:sz w:val="24"/>
          <w:szCs w:val="24"/>
        </w:rPr>
        <w:t>Social Science Quarterly</w:t>
      </w:r>
      <w:r w:rsidRPr="000F63B5">
        <w:rPr>
          <w:rFonts w:ascii="Times New Roman" w:eastAsia="SimSun" w:hAnsi="Times New Roman" w:cs="Times New Roman"/>
          <w:noProof/>
          <w:color w:val="000000"/>
          <w:sz w:val="24"/>
          <w:szCs w:val="24"/>
        </w:rPr>
        <w:t xml:space="preserve">, </w:t>
      </w:r>
      <w:r w:rsidRPr="000F63B5">
        <w:rPr>
          <w:rFonts w:ascii="Times New Roman" w:eastAsia="SimSun" w:hAnsi="Times New Roman" w:cs="Times New Roman"/>
          <w:i/>
          <w:iCs/>
          <w:noProof/>
          <w:color w:val="000000"/>
          <w:sz w:val="24"/>
          <w:szCs w:val="24"/>
        </w:rPr>
        <w:t>95</w:t>
      </w:r>
      <w:r w:rsidRPr="000F63B5">
        <w:rPr>
          <w:rFonts w:ascii="Times New Roman" w:eastAsia="SimSun" w:hAnsi="Times New Roman" w:cs="Times New Roman"/>
          <w:noProof/>
          <w:color w:val="000000"/>
          <w:sz w:val="24"/>
          <w:szCs w:val="24"/>
        </w:rPr>
        <w:t>(2), 598–614. https://doi.org/10.1111/ssqu.12055</w:t>
      </w:r>
    </w:p>
    <w:p w14:paraId="347E09DF"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Poizat, G., Bourbousson, J., Saury, J., &amp; Sève, C. (2009). Analysis of contextual information sharing during table tennis matches: An empirical study of coordination in sports. </w:t>
      </w:r>
      <w:r w:rsidRPr="000F63B5">
        <w:rPr>
          <w:rFonts w:ascii="Times New Roman" w:eastAsia="SimSun" w:hAnsi="Times New Roman" w:cs="Times New Roman"/>
          <w:i/>
          <w:noProof/>
          <w:color w:val="000000"/>
          <w:sz w:val="24"/>
          <w:szCs w:val="24"/>
        </w:rPr>
        <w:t>International Journal of Sport and Exercise Psychology, 7</w:t>
      </w:r>
      <w:r w:rsidRPr="000F63B5">
        <w:rPr>
          <w:rFonts w:ascii="Times New Roman" w:eastAsia="SimSun" w:hAnsi="Times New Roman" w:cs="Times New Roman"/>
          <w:noProof/>
          <w:color w:val="000000"/>
          <w:sz w:val="24"/>
          <w:szCs w:val="24"/>
        </w:rPr>
        <w:t>(4), 465-487. doi:  10.1080/1612197X.2009.9671920</w:t>
      </w:r>
    </w:p>
    <w:p w14:paraId="624D8774"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Poolton, J. M., Masters, R. S. W., &amp; Maxwell, J. P. (2006). The influence of analogy learning on decision-making in table tennis: Evidence from behavioural data. </w:t>
      </w:r>
      <w:r w:rsidRPr="000F63B5">
        <w:rPr>
          <w:rFonts w:ascii="Times New Roman" w:eastAsia="SimSun" w:hAnsi="Times New Roman" w:cs="Times New Roman"/>
          <w:i/>
          <w:noProof/>
          <w:color w:val="000000"/>
          <w:sz w:val="24"/>
          <w:szCs w:val="24"/>
        </w:rPr>
        <w:t>Psychology of Sport and Exercise, 7</w:t>
      </w:r>
      <w:r w:rsidRPr="000F63B5">
        <w:rPr>
          <w:rFonts w:ascii="Times New Roman" w:eastAsia="SimSun" w:hAnsi="Times New Roman" w:cs="Times New Roman"/>
          <w:noProof/>
          <w:color w:val="000000"/>
          <w:sz w:val="24"/>
          <w:szCs w:val="24"/>
        </w:rPr>
        <w:t>(6), 677-688. doi: 10.1016/j.psychsport.2006.03.005</w:t>
      </w:r>
    </w:p>
    <w:p w14:paraId="53524601"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Raab, M., Masters, R. S. W., &amp; Maxwell, J. P. (2005). Improving the 'how' and 'what' decisions of elite table tennis players. </w:t>
      </w:r>
      <w:r w:rsidRPr="000F63B5">
        <w:rPr>
          <w:rFonts w:ascii="Times New Roman" w:eastAsia="SimSun" w:hAnsi="Times New Roman" w:cs="Times New Roman"/>
          <w:i/>
          <w:noProof/>
          <w:color w:val="000000"/>
          <w:sz w:val="24"/>
          <w:szCs w:val="24"/>
        </w:rPr>
        <w:t>Human Movement Science, 24</w:t>
      </w:r>
      <w:r w:rsidRPr="000F63B5">
        <w:rPr>
          <w:rFonts w:ascii="Times New Roman" w:eastAsia="SimSun" w:hAnsi="Times New Roman" w:cs="Times New Roman"/>
          <w:noProof/>
          <w:color w:val="000000"/>
          <w:sz w:val="24"/>
          <w:szCs w:val="24"/>
        </w:rPr>
        <w:t>(3), 326-344. doi: 10.1016/j.humov.2005.06.004</w:t>
      </w:r>
    </w:p>
    <w:p w14:paraId="16547E8A"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Rascher, D. (1999). A test of optimal positive production network externality in major league baseball. In J. Fizel, E. Gustafson &amp; L. Hadley (Eds.), </w:t>
      </w:r>
      <w:r w:rsidRPr="000F63B5">
        <w:rPr>
          <w:rFonts w:ascii="Times New Roman" w:eastAsia="SimSun" w:hAnsi="Times New Roman" w:cs="Times New Roman"/>
          <w:i/>
          <w:noProof/>
          <w:color w:val="000000"/>
          <w:sz w:val="24"/>
          <w:szCs w:val="24"/>
        </w:rPr>
        <w:t>Sports economics: Current research</w:t>
      </w:r>
      <w:r w:rsidRPr="000F63B5">
        <w:rPr>
          <w:rFonts w:ascii="Times New Roman" w:eastAsia="SimSun" w:hAnsi="Times New Roman" w:cs="Times New Roman"/>
          <w:noProof/>
          <w:color w:val="000000"/>
          <w:sz w:val="24"/>
          <w:szCs w:val="24"/>
        </w:rPr>
        <w:t xml:space="preserve"> (pp. 27-45). Westport, CT: Greenwood.</w:t>
      </w:r>
    </w:p>
    <w:p w14:paraId="4287365F"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Rhoades, S. A. (1993). The Herfindahl-Hirschman index. </w:t>
      </w:r>
      <w:r w:rsidRPr="000F63B5">
        <w:rPr>
          <w:rFonts w:ascii="Times New Roman" w:eastAsia="SimSun" w:hAnsi="Times New Roman" w:cs="Times New Roman"/>
          <w:i/>
          <w:noProof/>
          <w:color w:val="000000"/>
          <w:sz w:val="24"/>
          <w:szCs w:val="24"/>
        </w:rPr>
        <w:t>Federal Reserve Bulletin, 79</w:t>
      </w:r>
      <w:r w:rsidRPr="000F63B5">
        <w:rPr>
          <w:rFonts w:ascii="Times New Roman" w:eastAsia="SimSun" w:hAnsi="Times New Roman" w:cs="Times New Roman"/>
          <w:noProof/>
          <w:color w:val="000000"/>
          <w:sz w:val="24"/>
          <w:szCs w:val="24"/>
        </w:rPr>
        <w:t>(3), 188-189.</w:t>
      </w:r>
    </w:p>
    <w:p w14:paraId="583DA3DE"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i/>
          <w:iCs/>
          <w:noProof/>
          <w:color w:val="000000"/>
          <w:sz w:val="24"/>
          <w:szCs w:val="24"/>
        </w:rPr>
      </w:pPr>
      <w:r w:rsidRPr="000F63B5">
        <w:rPr>
          <w:rFonts w:ascii="Times New Roman" w:eastAsia="SimSun" w:hAnsi="Times New Roman" w:cs="Times New Roman"/>
          <w:noProof/>
          <w:color w:val="000000"/>
          <w:sz w:val="24"/>
          <w:szCs w:val="24"/>
        </w:rPr>
        <w:t xml:space="preserve">Rottenberg, S. (1956). The baseball players' labor market. </w:t>
      </w:r>
      <w:r w:rsidRPr="000F63B5">
        <w:rPr>
          <w:rFonts w:ascii="Times New Roman" w:eastAsia="SimSun" w:hAnsi="Times New Roman" w:cs="Times New Roman"/>
          <w:i/>
          <w:iCs/>
          <w:noProof/>
          <w:color w:val="000000"/>
          <w:sz w:val="24"/>
          <w:szCs w:val="24"/>
        </w:rPr>
        <w:t>The Journal of Political Economy, 64</w:t>
      </w:r>
      <w:r w:rsidRPr="000F63B5">
        <w:rPr>
          <w:rFonts w:ascii="Times New Roman" w:eastAsia="SimSun" w:hAnsi="Times New Roman" w:cs="Times New Roman"/>
          <w:noProof/>
          <w:color w:val="000000"/>
          <w:sz w:val="24"/>
          <w:szCs w:val="24"/>
        </w:rPr>
        <w:t>(3), 242-25</w:t>
      </w:r>
    </w:p>
    <w:p w14:paraId="4FC44ED1"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Sève, C., Ria, L., Poizat, G., Saury, J., &amp; Durand, M. (2007). Performance-induced emotions experienced during high-stakes table tennis matches. </w:t>
      </w:r>
      <w:r w:rsidRPr="000F63B5">
        <w:rPr>
          <w:rFonts w:ascii="Times New Roman" w:eastAsia="SimSun" w:hAnsi="Times New Roman" w:cs="Times New Roman"/>
          <w:i/>
          <w:noProof/>
          <w:color w:val="000000"/>
          <w:sz w:val="24"/>
          <w:szCs w:val="24"/>
        </w:rPr>
        <w:t>Psychology of Sport and Exercise, 8</w:t>
      </w:r>
      <w:r w:rsidRPr="000F63B5">
        <w:rPr>
          <w:rFonts w:ascii="Times New Roman" w:eastAsia="SimSun" w:hAnsi="Times New Roman" w:cs="Times New Roman"/>
          <w:noProof/>
          <w:color w:val="000000"/>
          <w:sz w:val="24"/>
          <w:szCs w:val="24"/>
        </w:rPr>
        <w:t>(1), 25-46. doi: 10.1016/j.psychsport.2006.01.004</w:t>
      </w:r>
    </w:p>
    <w:p w14:paraId="39109998"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Ramchandani, G., &amp; Wilson, D. (2011). Historical and contemporary trends in competitive balance in the Commonwealth Games. </w:t>
      </w:r>
      <w:r w:rsidRPr="000F63B5">
        <w:rPr>
          <w:rFonts w:ascii="Times New Roman" w:eastAsia="SimSun" w:hAnsi="Times New Roman" w:cs="Times New Roman"/>
          <w:i/>
          <w:iCs/>
          <w:noProof/>
          <w:color w:val="000000"/>
          <w:sz w:val="24"/>
          <w:szCs w:val="24"/>
        </w:rPr>
        <w:t>International Journal of Sport Science</w:t>
      </w:r>
      <w:r w:rsidRPr="000F63B5">
        <w:rPr>
          <w:rFonts w:ascii="Times New Roman" w:eastAsia="SimSun" w:hAnsi="Times New Roman" w:cs="Times New Roman"/>
          <w:noProof/>
          <w:color w:val="000000"/>
          <w:sz w:val="24"/>
          <w:szCs w:val="24"/>
        </w:rPr>
        <w:t xml:space="preserve">, </w:t>
      </w:r>
      <w:r w:rsidRPr="000F63B5">
        <w:rPr>
          <w:rFonts w:ascii="Times New Roman" w:eastAsia="SimSun" w:hAnsi="Times New Roman" w:cs="Times New Roman"/>
          <w:i/>
          <w:iCs/>
          <w:noProof/>
          <w:color w:val="000000"/>
          <w:sz w:val="24"/>
          <w:szCs w:val="24"/>
        </w:rPr>
        <w:t>10</w:t>
      </w:r>
      <w:r w:rsidRPr="000F63B5">
        <w:rPr>
          <w:rFonts w:ascii="Times New Roman" w:eastAsia="SimSun" w:hAnsi="Times New Roman" w:cs="Times New Roman"/>
          <w:noProof/>
          <w:color w:val="000000"/>
          <w:sz w:val="24"/>
          <w:szCs w:val="24"/>
        </w:rPr>
        <w:t>(35), 75–88. https://doi.org/10.5232/ricyde2011.02405</w:t>
      </w:r>
    </w:p>
    <w:p w14:paraId="4CE124C0"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Szymanski, S. (2002). Income inequality, competitive balance and the attractiveness of team sports: Some evidence and a natural experiment from English soccer. </w:t>
      </w:r>
      <w:r w:rsidRPr="000F63B5">
        <w:rPr>
          <w:rFonts w:ascii="Times New Roman" w:eastAsia="SimSun" w:hAnsi="Times New Roman" w:cs="Times New Roman"/>
          <w:i/>
          <w:noProof/>
          <w:color w:val="000000"/>
          <w:sz w:val="24"/>
          <w:szCs w:val="24"/>
        </w:rPr>
        <w:t>The Economic Journal</w:t>
      </w:r>
      <w:r w:rsidRPr="000F63B5">
        <w:rPr>
          <w:rFonts w:ascii="Times New Roman" w:eastAsia="SimSun" w:hAnsi="Times New Roman" w:cs="Times New Roman"/>
          <w:noProof/>
          <w:color w:val="000000"/>
          <w:sz w:val="24"/>
          <w:szCs w:val="24"/>
        </w:rPr>
        <w:t xml:space="preserve">, </w:t>
      </w:r>
      <w:r w:rsidRPr="000F63B5">
        <w:rPr>
          <w:rFonts w:ascii="Times New Roman" w:eastAsia="SimSun" w:hAnsi="Times New Roman" w:cs="Times New Roman"/>
          <w:i/>
          <w:noProof/>
          <w:color w:val="000000"/>
          <w:sz w:val="24"/>
          <w:szCs w:val="24"/>
        </w:rPr>
        <w:t>111</w:t>
      </w:r>
      <w:r w:rsidRPr="000F63B5">
        <w:rPr>
          <w:rFonts w:ascii="Times New Roman" w:eastAsia="SimSun" w:hAnsi="Times New Roman" w:cs="Times New Roman"/>
          <w:noProof/>
          <w:color w:val="000000"/>
          <w:sz w:val="24"/>
          <w:szCs w:val="24"/>
        </w:rPr>
        <w:t xml:space="preserve">(Feb), 69-84. doi: </w:t>
      </w:r>
      <w:r w:rsidRPr="000F63B5">
        <w:rPr>
          <w:rFonts w:ascii="Times New Roman" w:eastAsia="SimSun" w:hAnsi="Times New Roman" w:cs="Times New Roman"/>
          <w:noProof/>
          <w:color w:val="000000"/>
          <w:sz w:val="24"/>
          <w:szCs w:val="24"/>
          <w:lang w:val="en"/>
        </w:rPr>
        <w:t>10.1111/1468-0297.00599</w:t>
      </w:r>
    </w:p>
    <w:p w14:paraId="744BACFE"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Tainsky, S., Xu, J., &amp; Yang, Q. (2017). Competitive balance and the participation–spectatorship gap in Chinese table tennis. </w:t>
      </w:r>
      <w:r w:rsidRPr="000F63B5">
        <w:rPr>
          <w:rFonts w:ascii="Times New Roman" w:eastAsia="SimSun" w:hAnsi="Times New Roman" w:cs="Times New Roman"/>
          <w:i/>
          <w:noProof/>
          <w:color w:val="000000"/>
          <w:sz w:val="24"/>
          <w:szCs w:val="24"/>
        </w:rPr>
        <w:t>Applied Economics, 49</w:t>
      </w:r>
      <w:r w:rsidRPr="000F63B5">
        <w:rPr>
          <w:rFonts w:ascii="Times New Roman" w:eastAsia="SimSun" w:hAnsi="Times New Roman" w:cs="Times New Roman"/>
          <w:noProof/>
          <w:color w:val="000000"/>
          <w:sz w:val="24"/>
          <w:szCs w:val="24"/>
        </w:rPr>
        <w:t>(3), 263-272. doi:10.1080/00036846.2016.1197363</w:t>
      </w:r>
    </w:p>
    <w:p w14:paraId="163884E9"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Truyens, J., De Bosscher, V., &amp; Heyndels, B. (2016). Competitive balance in athletics. </w:t>
      </w:r>
      <w:r w:rsidRPr="000F63B5">
        <w:rPr>
          <w:rFonts w:ascii="Times New Roman" w:eastAsia="SimSun" w:hAnsi="Times New Roman" w:cs="Times New Roman"/>
          <w:i/>
          <w:iCs/>
          <w:noProof/>
          <w:color w:val="000000"/>
          <w:sz w:val="24"/>
          <w:szCs w:val="24"/>
        </w:rPr>
        <w:t>Managing Sport and Leisure</w:t>
      </w:r>
      <w:r w:rsidRPr="000F63B5">
        <w:rPr>
          <w:rFonts w:ascii="Times New Roman" w:eastAsia="SimSun" w:hAnsi="Times New Roman" w:cs="Times New Roman"/>
          <w:noProof/>
          <w:color w:val="000000"/>
          <w:sz w:val="24"/>
          <w:szCs w:val="24"/>
        </w:rPr>
        <w:t xml:space="preserve">, </w:t>
      </w:r>
      <w:r w:rsidRPr="000F63B5">
        <w:rPr>
          <w:rFonts w:ascii="Times New Roman" w:eastAsia="SimSun" w:hAnsi="Times New Roman" w:cs="Times New Roman"/>
          <w:i/>
          <w:iCs/>
          <w:noProof/>
          <w:color w:val="000000"/>
          <w:sz w:val="24"/>
          <w:szCs w:val="24"/>
        </w:rPr>
        <w:t>21</w:t>
      </w:r>
      <w:r w:rsidRPr="000F63B5">
        <w:rPr>
          <w:rFonts w:ascii="Times New Roman" w:eastAsia="SimSun" w:hAnsi="Times New Roman" w:cs="Times New Roman"/>
          <w:noProof/>
          <w:color w:val="000000"/>
          <w:sz w:val="24"/>
          <w:szCs w:val="24"/>
        </w:rPr>
        <w:t>(1), 23–43. https://doi.org/10.1080/23750472.2016.1169213</w:t>
      </w:r>
    </w:p>
    <w:p w14:paraId="114FA335"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Weber, A. C., Kempf, H., Shibli, S., &amp; De Bosscher, V. (2017). Measuring competition in the Olympic Winter Games 1992-2014 using economic indices. </w:t>
      </w:r>
      <w:r w:rsidRPr="000F63B5">
        <w:rPr>
          <w:rFonts w:ascii="Times New Roman" w:eastAsia="SimSun" w:hAnsi="Times New Roman" w:cs="Times New Roman"/>
          <w:i/>
          <w:noProof/>
          <w:color w:val="000000"/>
          <w:sz w:val="24"/>
          <w:szCs w:val="24"/>
        </w:rPr>
        <w:t>Managing Sport and Leisure, 21</w:t>
      </w:r>
      <w:r w:rsidRPr="000F63B5">
        <w:rPr>
          <w:rFonts w:ascii="Times New Roman" w:eastAsia="SimSun" w:hAnsi="Times New Roman" w:cs="Times New Roman"/>
          <w:noProof/>
          <w:color w:val="000000"/>
          <w:sz w:val="24"/>
          <w:szCs w:val="24"/>
        </w:rPr>
        <w:t xml:space="preserve">(6), 399-420. doi: </w:t>
      </w:r>
      <w:r w:rsidRPr="000F63B5">
        <w:rPr>
          <w:rFonts w:ascii="Times New Roman" w:eastAsia="SimSun" w:hAnsi="Times New Roman" w:cs="Times New Roman"/>
          <w:noProof/>
          <w:color w:val="000000"/>
          <w:sz w:val="24"/>
          <w:szCs w:val="24"/>
          <w:lang w:val="en"/>
        </w:rPr>
        <w:t>10.1080/23750472.2017.1304232</w:t>
      </w:r>
    </w:p>
    <w:p w14:paraId="3734E373"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Williams, A. M., Vickers, J., &amp; Rodrigues, S. (2002). The effects of anxiety on visual search, movement kinematics, and performance in table tennis: A test of Eysenck and Calvo's processing efficiency theory. </w:t>
      </w:r>
      <w:r w:rsidRPr="000F63B5">
        <w:rPr>
          <w:rFonts w:ascii="Times New Roman" w:eastAsia="SimSun" w:hAnsi="Times New Roman" w:cs="Times New Roman"/>
          <w:i/>
          <w:noProof/>
          <w:color w:val="000000"/>
          <w:sz w:val="24"/>
          <w:szCs w:val="24"/>
        </w:rPr>
        <w:t>Journal of Sport &amp; Exercise Psychology, 24</w:t>
      </w:r>
      <w:r w:rsidRPr="000F63B5">
        <w:rPr>
          <w:rFonts w:ascii="Times New Roman" w:eastAsia="SimSun" w:hAnsi="Times New Roman" w:cs="Times New Roman"/>
          <w:noProof/>
          <w:color w:val="000000"/>
          <w:sz w:val="24"/>
          <w:szCs w:val="24"/>
        </w:rPr>
        <w:t>(4), 438-455. doi: 10.1123/jsep.24.4.438</w:t>
      </w:r>
    </w:p>
    <w:p w14:paraId="0306794A"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Zhang, H., Liu, W., Hu , J., &amp; Liu, R. (2013). Evaluation of elite table tennis players’ technique effectiveness. </w:t>
      </w:r>
      <w:r w:rsidRPr="000F63B5">
        <w:rPr>
          <w:rFonts w:ascii="Times New Roman" w:eastAsia="SimSun" w:hAnsi="Times New Roman" w:cs="Times New Roman"/>
          <w:i/>
          <w:noProof/>
          <w:color w:val="000000"/>
          <w:sz w:val="24"/>
          <w:szCs w:val="24"/>
        </w:rPr>
        <w:t>Journal of Sports Sciences, 31</w:t>
      </w:r>
      <w:r w:rsidRPr="000F63B5">
        <w:rPr>
          <w:rFonts w:ascii="Times New Roman" w:eastAsia="SimSun" w:hAnsi="Times New Roman" w:cs="Times New Roman"/>
          <w:noProof/>
          <w:color w:val="000000"/>
          <w:sz w:val="24"/>
          <w:szCs w:val="24"/>
        </w:rPr>
        <w:t>(14), 1526-1534. doi: 10.1080/02640414.2013.792948</w:t>
      </w:r>
    </w:p>
    <w:p w14:paraId="2A67BC70"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p>
    <w:p w14:paraId="68B4E323" w14:textId="77777777" w:rsidR="000F63B5" w:rsidRPr="000F63B5" w:rsidRDefault="000F63B5" w:rsidP="000F63B5">
      <w:pPr>
        <w:widowControl w:val="0"/>
        <w:autoSpaceDE w:val="0"/>
        <w:autoSpaceDN w:val="0"/>
        <w:adjustRightInd w:val="0"/>
        <w:spacing w:line="480" w:lineRule="auto"/>
        <w:ind w:left="480" w:hanging="480"/>
        <w:contextualSpacing/>
        <w:rPr>
          <w:rFonts w:ascii="Times New Roman" w:eastAsia="SimSun" w:hAnsi="Times New Roman" w:cs="Times New Roman"/>
          <w:noProof/>
          <w:color w:val="000000"/>
          <w:sz w:val="24"/>
          <w:szCs w:val="24"/>
        </w:rPr>
      </w:pPr>
      <w:r w:rsidRPr="000F63B5">
        <w:rPr>
          <w:rFonts w:ascii="Times New Roman" w:eastAsia="SimSun" w:hAnsi="Times New Roman" w:cs="Times New Roman"/>
          <w:noProof/>
          <w:color w:val="000000"/>
          <w:sz w:val="24"/>
          <w:szCs w:val="24"/>
        </w:rPr>
        <w:t xml:space="preserve">Zagatto, A. M., Milioni, F., Freitas, I. F., Arcangelo, S. A., &amp; Padulo, J. (2016). </w:t>
      </w:r>
      <w:r w:rsidRPr="000F63B5">
        <w:rPr>
          <w:rFonts w:ascii="Times New Roman" w:eastAsia="SimSun" w:hAnsi="Times New Roman" w:cs="Times New Roman"/>
          <w:i/>
          <w:noProof/>
          <w:color w:val="000000"/>
          <w:sz w:val="24"/>
          <w:szCs w:val="24"/>
        </w:rPr>
        <w:t>Sport Sciences for Health, 12</w:t>
      </w:r>
      <w:r w:rsidRPr="000F63B5">
        <w:rPr>
          <w:rFonts w:ascii="Times New Roman" w:eastAsia="SimSun" w:hAnsi="Times New Roman" w:cs="Times New Roman"/>
          <w:noProof/>
          <w:color w:val="000000"/>
          <w:sz w:val="24"/>
          <w:szCs w:val="24"/>
        </w:rPr>
        <w:t>(1), 49-54. doi: 10.1007/s11332-015-0252-y</w:t>
      </w:r>
    </w:p>
    <w:p w14:paraId="7E7AAD5F" w14:textId="77777777" w:rsidR="000F63B5" w:rsidRPr="000F63B5" w:rsidRDefault="000F63B5" w:rsidP="000F63B5">
      <w:pPr>
        <w:rPr>
          <w:rFonts w:ascii="Calibri" w:eastAsia="SimSun" w:hAnsi="Calibri" w:cs="Times New Roman"/>
          <w:color w:val="000000"/>
        </w:rPr>
      </w:pPr>
      <w:r w:rsidRPr="000F63B5">
        <w:rPr>
          <w:rFonts w:ascii="Times New Roman" w:eastAsia="SimSun" w:hAnsi="Times New Roman" w:cs="Times New Roman"/>
          <w:b/>
          <w:color w:val="000000"/>
          <w:sz w:val="24"/>
          <w:szCs w:val="24"/>
        </w:rPr>
        <w:fldChar w:fldCharType="end"/>
      </w:r>
      <w:r w:rsidRPr="000F63B5">
        <w:rPr>
          <w:rFonts w:ascii="Times New Roman" w:eastAsia="SimSun" w:hAnsi="Times New Roman" w:cs="Times New Roman"/>
          <w:color w:val="000000"/>
          <w:sz w:val="24"/>
          <w:szCs w:val="24"/>
        </w:rPr>
        <w:t xml:space="preserve"> </w:t>
      </w:r>
    </w:p>
    <w:p w14:paraId="1E754A8F" w14:textId="77777777" w:rsidR="000F63B5" w:rsidRPr="008F5AA6" w:rsidRDefault="000F63B5" w:rsidP="00C201D1">
      <w:pPr>
        <w:spacing w:after="0" w:line="480" w:lineRule="auto"/>
        <w:jc w:val="both"/>
        <w:rPr>
          <w:rFonts w:ascii="Times New Roman" w:hAnsi="Times New Roman" w:cs="Times New Roman"/>
          <w:bCs/>
          <w:color w:val="000000" w:themeColor="text1"/>
          <w:sz w:val="24"/>
          <w:szCs w:val="24"/>
        </w:rPr>
      </w:pPr>
    </w:p>
    <w:p w14:paraId="56C6DB21" w14:textId="77777777" w:rsidR="0050313E" w:rsidRPr="008F5AA6" w:rsidRDefault="0050313E" w:rsidP="00C201D1">
      <w:pPr>
        <w:jc w:val="both"/>
        <w:rPr>
          <w:rFonts w:ascii="Times New Roman" w:hAnsi="Times New Roman" w:cs="Times New Roman"/>
          <w:color w:val="000000" w:themeColor="text1"/>
          <w:sz w:val="24"/>
          <w:szCs w:val="24"/>
        </w:rPr>
      </w:pPr>
    </w:p>
    <w:sectPr w:rsidR="0050313E" w:rsidRPr="008F5A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F3B8" w14:textId="77777777" w:rsidR="00B661A1" w:rsidRDefault="00B661A1">
      <w:pPr>
        <w:spacing w:after="0" w:line="240" w:lineRule="auto"/>
      </w:pPr>
      <w:r>
        <w:separator/>
      </w:r>
    </w:p>
  </w:endnote>
  <w:endnote w:type="continuationSeparator" w:id="0">
    <w:p w14:paraId="2A941AB6" w14:textId="77777777" w:rsidR="00B661A1" w:rsidRDefault="00B6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8C0F" w14:textId="77777777" w:rsidR="00B661A1" w:rsidRDefault="00B661A1">
      <w:pPr>
        <w:spacing w:after="0" w:line="240" w:lineRule="auto"/>
      </w:pPr>
      <w:r>
        <w:separator/>
      </w:r>
    </w:p>
  </w:footnote>
  <w:footnote w:type="continuationSeparator" w:id="0">
    <w:p w14:paraId="4E35FF48" w14:textId="77777777" w:rsidR="00B661A1" w:rsidRDefault="00B6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71979"/>
      <w:docPartObj>
        <w:docPartGallery w:val="Page Numbers (Top of Page)"/>
        <w:docPartUnique/>
      </w:docPartObj>
    </w:sdtPr>
    <w:sdtEndPr>
      <w:rPr>
        <w:noProof/>
      </w:rPr>
    </w:sdtEndPr>
    <w:sdtContent>
      <w:p w14:paraId="3BBC55AC" w14:textId="416B90BC" w:rsidR="00B90500" w:rsidRDefault="00B90500">
        <w:pPr>
          <w:pStyle w:val="Header"/>
          <w:jc w:val="right"/>
        </w:pPr>
        <w:r w:rsidRPr="00B377FE">
          <w:rPr>
            <w:rFonts w:ascii="Times New Roman" w:hAnsi="Times New Roman" w:cs="Times New Roman"/>
            <w:sz w:val="20"/>
            <w:szCs w:val="20"/>
          </w:rPr>
          <w:fldChar w:fldCharType="begin"/>
        </w:r>
        <w:r w:rsidRPr="00B377FE">
          <w:rPr>
            <w:rFonts w:ascii="Times New Roman" w:hAnsi="Times New Roman" w:cs="Times New Roman"/>
            <w:sz w:val="20"/>
            <w:szCs w:val="20"/>
          </w:rPr>
          <w:instrText xml:space="preserve"> PAGE   \* MERGEFORMAT </w:instrText>
        </w:r>
        <w:r w:rsidRPr="00B377FE">
          <w:rPr>
            <w:rFonts w:ascii="Times New Roman" w:hAnsi="Times New Roman" w:cs="Times New Roman"/>
            <w:sz w:val="20"/>
            <w:szCs w:val="20"/>
          </w:rPr>
          <w:fldChar w:fldCharType="separate"/>
        </w:r>
        <w:r w:rsidR="000307D3">
          <w:rPr>
            <w:rFonts w:ascii="Times New Roman" w:hAnsi="Times New Roman" w:cs="Times New Roman"/>
            <w:noProof/>
            <w:sz w:val="20"/>
            <w:szCs w:val="20"/>
          </w:rPr>
          <w:t>1</w:t>
        </w:r>
        <w:r w:rsidRPr="00B377FE">
          <w:rPr>
            <w:rFonts w:ascii="Times New Roman" w:hAnsi="Times New Roman" w:cs="Times New Roman"/>
            <w:noProof/>
            <w:sz w:val="20"/>
            <w:szCs w:val="20"/>
          </w:rPr>
          <w:fldChar w:fldCharType="end"/>
        </w:r>
      </w:p>
    </w:sdtContent>
  </w:sdt>
  <w:p w14:paraId="432F7ACE" w14:textId="77777777" w:rsidR="00B90500" w:rsidRDefault="00B90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41442"/>
    <w:multiLevelType w:val="hybridMultilevel"/>
    <w:tmpl w:val="9F342EC0"/>
    <w:lvl w:ilvl="0" w:tplc="5C62A48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F9"/>
    <w:rsid w:val="00000787"/>
    <w:rsid w:val="000125A4"/>
    <w:rsid w:val="00012E9E"/>
    <w:rsid w:val="0001343D"/>
    <w:rsid w:val="00017545"/>
    <w:rsid w:val="00017A7B"/>
    <w:rsid w:val="0002023E"/>
    <w:rsid w:val="0002762B"/>
    <w:rsid w:val="000307D3"/>
    <w:rsid w:val="0004365F"/>
    <w:rsid w:val="0004481B"/>
    <w:rsid w:val="00045B31"/>
    <w:rsid w:val="00054F1B"/>
    <w:rsid w:val="000550D5"/>
    <w:rsid w:val="00055B56"/>
    <w:rsid w:val="000569F5"/>
    <w:rsid w:val="00057212"/>
    <w:rsid w:val="00057240"/>
    <w:rsid w:val="000627B4"/>
    <w:rsid w:val="00066901"/>
    <w:rsid w:val="00071A14"/>
    <w:rsid w:val="000728F1"/>
    <w:rsid w:val="0007525D"/>
    <w:rsid w:val="00076DE1"/>
    <w:rsid w:val="00077CCA"/>
    <w:rsid w:val="00084647"/>
    <w:rsid w:val="000860AE"/>
    <w:rsid w:val="00087951"/>
    <w:rsid w:val="0009078F"/>
    <w:rsid w:val="000970EE"/>
    <w:rsid w:val="00097B4C"/>
    <w:rsid w:val="000A49C5"/>
    <w:rsid w:val="000B1045"/>
    <w:rsid w:val="000B57F8"/>
    <w:rsid w:val="000C1211"/>
    <w:rsid w:val="000D08E8"/>
    <w:rsid w:val="000D3415"/>
    <w:rsid w:val="000D3C0D"/>
    <w:rsid w:val="000D6E0A"/>
    <w:rsid w:val="000E597D"/>
    <w:rsid w:val="000F198C"/>
    <w:rsid w:val="000F5B93"/>
    <w:rsid w:val="000F63B5"/>
    <w:rsid w:val="000F697D"/>
    <w:rsid w:val="001008A2"/>
    <w:rsid w:val="001015DF"/>
    <w:rsid w:val="001044C7"/>
    <w:rsid w:val="00106172"/>
    <w:rsid w:val="0011488D"/>
    <w:rsid w:val="00116EC3"/>
    <w:rsid w:val="001239A0"/>
    <w:rsid w:val="00124CD8"/>
    <w:rsid w:val="00127246"/>
    <w:rsid w:val="0014259E"/>
    <w:rsid w:val="001434CF"/>
    <w:rsid w:val="0014403E"/>
    <w:rsid w:val="00146C10"/>
    <w:rsid w:val="00146FC6"/>
    <w:rsid w:val="00147408"/>
    <w:rsid w:val="0015360C"/>
    <w:rsid w:val="00153F86"/>
    <w:rsid w:val="00156E3E"/>
    <w:rsid w:val="00170900"/>
    <w:rsid w:val="0017107D"/>
    <w:rsid w:val="00184A1A"/>
    <w:rsid w:val="00186426"/>
    <w:rsid w:val="00190532"/>
    <w:rsid w:val="00195B6B"/>
    <w:rsid w:val="00196405"/>
    <w:rsid w:val="001A0835"/>
    <w:rsid w:val="001A3430"/>
    <w:rsid w:val="001A6781"/>
    <w:rsid w:val="001A7BBB"/>
    <w:rsid w:val="001B116B"/>
    <w:rsid w:val="001B1D17"/>
    <w:rsid w:val="001B2B49"/>
    <w:rsid w:val="001C4775"/>
    <w:rsid w:val="001D0093"/>
    <w:rsid w:val="001D5559"/>
    <w:rsid w:val="001D6749"/>
    <w:rsid w:val="001E0C59"/>
    <w:rsid w:val="001E2B1F"/>
    <w:rsid w:val="001E373D"/>
    <w:rsid w:val="001E3A52"/>
    <w:rsid w:val="001E54ED"/>
    <w:rsid w:val="001E5CA7"/>
    <w:rsid w:val="001F1654"/>
    <w:rsid w:val="001F51E9"/>
    <w:rsid w:val="001F7085"/>
    <w:rsid w:val="00201F63"/>
    <w:rsid w:val="0020468A"/>
    <w:rsid w:val="00211A06"/>
    <w:rsid w:val="002127D0"/>
    <w:rsid w:val="00214316"/>
    <w:rsid w:val="0021667D"/>
    <w:rsid w:val="00221CFE"/>
    <w:rsid w:val="00221F1B"/>
    <w:rsid w:val="0022219E"/>
    <w:rsid w:val="00233F2F"/>
    <w:rsid w:val="00241BDA"/>
    <w:rsid w:val="00242AE1"/>
    <w:rsid w:val="00246A99"/>
    <w:rsid w:val="00247C21"/>
    <w:rsid w:val="002546BD"/>
    <w:rsid w:val="00256A0E"/>
    <w:rsid w:val="002573FB"/>
    <w:rsid w:val="00266FD9"/>
    <w:rsid w:val="002674FD"/>
    <w:rsid w:val="00270436"/>
    <w:rsid w:val="00271CF9"/>
    <w:rsid w:val="00282D68"/>
    <w:rsid w:val="00282F36"/>
    <w:rsid w:val="00295883"/>
    <w:rsid w:val="002A096F"/>
    <w:rsid w:val="002A21AF"/>
    <w:rsid w:val="002A501B"/>
    <w:rsid w:val="002A5697"/>
    <w:rsid w:val="002B3C7C"/>
    <w:rsid w:val="002B621C"/>
    <w:rsid w:val="002C3546"/>
    <w:rsid w:val="002C4C50"/>
    <w:rsid w:val="002C4F18"/>
    <w:rsid w:val="002C6BD6"/>
    <w:rsid w:val="002D1C09"/>
    <w:rsid w:val="002D254D"/>
    <w:rsid w:val="002D4D75"/>
    <w:rsid w:val="002D69DA"/>
    <w:rsid w:val="002D7CD6"/>
    <w:rsid w:val="002E3191"/>
    <w:rsid w:val="002F14EE"/>
    <w:rsid w:val="002F6975"/>
    <w:rsid w:val="002F78BB"/>
    <w:rsid w:val="00302CB5"/>
    <w:rsid w:val="003063AD"/>
    <w:rsid w:val="00307F68"/>
    <w:rsid w:val="0031416C"/>
    <w:rsid w:val="003142A3"/>
    <w:rsid w:val="0031519F"/>
    <w:rsid w:val="00317407"/>
    <w:rsid w:val="00320114"/>
    <w:rsid w:val="00326753"/>
    <w:rsid w:val="003330DB"/>
    <w:rsid w:val="003343E5"/>
    <w:rsid w:val="00334A3A"/>
    <w:rsid w:val="00334B28"/>
    <w:rsid w:val="00340054"/>
    <w:rsid w:val="00341519"/>
    <w:rsid w:val="00343648"/>
    <w:rsid w:val="0035019B"/>
    <w:rsid w:val="003542E4"/>
    <w:rsid w:val="003571F6"/>
    <w:rsid w:val="00361D9C"/>
    <w:rsid w:val="003641DA"/>
    <w:rsid w:val="00367DC6"/>
    <w:rsid w:val="00370784"/>
    <w:rsid w:val="00373B04"/>
    <w:rsid w:val="0037653B"/>
    <w:rsid w:val="00377D6B"/>
    <w:rsid w:val="0038020E"/>
    <w:rsid w:val="00390D84"/>
    <w:rsid w:val="003937A3"/>
    <w:rsid w:val="00393DCB"/>
    <w:rsid w:val="00396FDB"/>
    <w:rsid w:val="003A1A4B"/>
    <w:rsid w:val="003A4145"/>
    <w:rsid w:val="003A4C7A"/>
    <w:rsid w:val="003A5EAD"/>
    <w:rsid w:val="003B2274"/>
    <w:rsid w:val="003B2EE9"/>
    <w:rsid w:val="003C089D"/>
    <w:rsid w:val="003C16F3"/>
    <w:rsid w:val="003C2BFF"/>
    <w:rsid w:val="003C2E37"/>
    <w:rsid w:val="003C3C9A"/>
    <w:rsid w:val="003C3ECF"/>
    <w:rsid w:val="003C4DD5"/>
    <w:rsid w:val="003C5817"/>
    <w:rsid w:val="003D66E1"/>
    <w:rsid w:val="003D6F6B"/>
    <w:rsid w:val="003E4A81"/>
    <w:rsid w:val="003E7B8A"/>
    <w:rsid w:val="0041262B"/>
    <w:rsid w:val="00424EE5"/>
    <w:rsid w:val="004269D1"/>
    <w:rsid w:val="004304DB"/>
    <w:rsid w:val="00432959"/>
    <w:rsid w:val="00445598"/>
    <w:rsid w:val="00472D55"/>
    <w:rsid w:val="00473B18"/>
    <w:rsid w:val="00474591"/>
    <w:rsid w:val="00474D98"/>
    <w:rsid w:val="00475061"/>
    <w:rsid w:val="00480C89"/>
    <w:rsid w:val="00482A6C"/>
    <w:rsid w:val="004839A5"/>
    <w:rsid w:val="00492CA3"/>
    <w:rsid w:val="00493658"/>
    <w:rsid w:val="00493978"/>
    <w:rsid w:val="00496BB9"/>
    <w:rsid w:val="004A215D"/>
    <w:rsid w:val="004A3F53"/>
    <w:rsid w:val="004A3FD1"/>
    <w:rsid w:val="004A64B9"/>
    <w:rsid w:val="004C17C1"/>
    <w:rsid w:val="004C3B19"/>
    <w:rsid w:val="004E4687"/>
    <w:rsid w:val="004E521F"/>
    <w:rsid w:val="004F029F"/>
    <w:rsid w:val="004F5DBA"/>
    <w:rsid w:val="00500717"/>
    <w:rsid w:val="0050313E"/>
    <w:rsid w:val="00504BA8"/>
    <w:rsid w:val="00515896"/>
    <w:rsid w:val="005227E5"/>
    <w:rsid w:val="00523D98"/>
    <w:rsid w:val="0053273B"/>
    <w:rsid w:val="0053606E"/>
    <w:rsid w:val="00544EA1"/>
    <w:rsid w:val="0054735A"/>
    <w:rsid w:val="005505AA"/>
    <w:rsid w:val="00550854"/>
    <w:rsid w:val="005545CB"/>
    <w:rsid w:val="00554A77"/>
    <w:rsid w:val="00555B19"/>
    <w:rsid w:val="005578A3"/>
    <w:rsid w:val="00563EE0"/>
    <w:rsid w:val="00571CF7"/>
    <w:rsid w:val="00575263"/>
    <w:rsid w:val="00575BAD"/>
    <w:rsid w:val="0058056A"/>
    <w:rsid w:val="005815C9"/>
    <w:rsid w:val="00581C83"/>
    <w:rsid w:val="0058291E"/>
    <w:rsid w:val="00585219"/>
    <w:rsid w:val="00594DAF"/>
    <w:rsid w:val="005A0CEB"/>
    <w:rsid w:val="005A1A27"/>
    <w:rsid w:val="005A6BE8"/>
    <w:rsid w:val="005B229F"/>
    <w:rsid w:val="005B58C8"/>
    <w:rsid w:val="005B5D49"/>
    <w:rsid w:val="005B6C23"/>
    <w:rsid w:val="005B73EC"/>
    <w:rsid w:val="005B7F7F"/>
    <w:rsid w:val="005C168D"/>
    <w:rsid w:val="005D5DBD"/>
    <w:rsid w:val="005E3E3C"/>
    <w:rsid w:val="005E49BD"/>
    <w:rsid w:val="005F45C5"/>
    <w:rsid w:val="00607559"/>
    <w:rsid w:val="00613501"/>
    <w:rsid w:val="00630878"/>
    <w:rsid w:val="0063178A"/>
    <w:rsid w:val="00635F32"/>
    <w:rsid w:val="00637D40"/>
    <w:rsid w:val="00640696"/>
    <w:rsid w:val="0064091B"/>
    <w:rsid w:val="00646470"/>
    <w:rsid w:val="00647491"/>
    <w:rsid w:val="00657D48"/>
    <w:rsid w:val="006624F2"/>
    <w:rsid w:val="006625C6"/>
    <w:rsid w:val="0066480D"/>
    <w:rsid w:val="00666358"/>
    <w:rsid w:val="00666DF0"/>
    <w:rsid w:val="00680189"/>
    <w:rsid w:val="0068519C"/>
    <w:rsid w:val="00694C22"/>
    <w:rsid w:val="006A5614"/>
    <w:rsid w:val="006B680D"/>
    <w:rsid w:val="006B6FE9"/>
    <w:rsid w:val="006C6DBC"/>
    <w:rsid w:val="006D3ABB"/>
    <w:rsid w:val="006D4373"/>
    <w:rsid w:val="006E1E46"/>
    <w:rsid w:val="006E4CE4"/>
    <w:rsid w:val="006E577E"/>
    <w:rsid w:val="006E7160"/>
    <w:rsid w:val="006F6590"/>
    <w:rsid w:val="007020FC"/>
    <w:rsid w:val="0071127B"/>
    <w:rsid w:val="00721814"/>
    <w:rsid w:val="00722F44"/>
    <w:rsid w:val="007331A8"/>
    <w:rsid w:val="00740F9B"/>
    <w:rsid w:val="0075020F"/>
    <w:rsid w:val="007560AE"/>
    <w:rsid w:val="007579F5"/>
    <w:rsid w:val="00762A85"/>
    <w:rsid w:val="00762C57"/>
    <w:rsid w:val="007659BA"/>
    <w:rsid w:val="0076748E"/>
    <w:rsid w:val="00770137"/>
    <w:rsid w:val="0077365E"/>
    <w:rsid w:val="007846BD"/>
    <w:rsid w:val="00785969"/>
    <w:rsid w:val="007871B1"/>
    <w:rsid w:val="00787C25"/>
    <w:rsid w:val="007930A1"/>
    <w:rsid w:val="007B0347"/>
    <w:rsid w:val="007C05C3"/>
    <w:rsid w:val="007C4E86"/>
    <w:rsid w:val="007D283F"/>
    <w:rsid w:val="007E1648"/>
    <w:rsid w:val="007E6204"/>
    <w:rsid w:val="007E7A6A"/>
    <w:rsid w:val="007F370A"/>
    <w:rsid w:val="007F375C"/>
    <w:rsid w:val="00802EB3"/>
    <w:rsid w:val="008051C1"/>
    <w:rsid w:val="00810B88"/>
    <w:rsid w:val="00811FAC"/>
    <w:rsid w:val="00812091"/>
    <w:rsid w:val="008172DF"/>
    <w:rsid w:val="008179AF"/>
    <w:rsid w:val="00820677"/>
    <w:rsid w:val="0082193B"/>
    <w:rsid w:val="00826F53"/>
    <w:rsid w:val="00831C5F"/>
    <w:rsid w:val="008352C8"/>
    <w:rsid w:val="00836D28"/>
    <w:rsid w:val="00842FAF"/>
    <w:rsid w:val="008432AC"/>
    <w:rsid w:val="008459CA"/>
    <w:rsid w:val="00846C7B"/>
    <w:rsid w:val="00850BC7"/>
    <w:rsid w:val="00855BEF"/>
    <w:rsid w:val="00863D11"/>
    <w:rsid w:val="00867634"/>
    <w:rsid w:val="0087661C"/>
    <w:rsid w:val="00880C6E"/>
    <w:rsid w:val="00880CE5"/>
    <w:rsid w:val="0088272D"/>
    <w:rsid w:val="00884CA0"/>
    <w:rsid w:val="0088584A"/>
    <w:rsid w:val="00886680"/>
    <w:rsid w:val="00891084"/>
    <w:rsid w:val="008961B6"/>
    <w:rsid w:val="008968D7"/>
    <w:rsid w:val="008A0F1F"/>
    <w:rsid w:val="008A4086"/>
    <w:rsid w:val="008B3570"/>
    <w:rsid w:val="008C319B"/>
    <w:rsid w:val="008C6559"/>
    <w:rsid w:val="008D13DB"/>
    <w:rsid w:val="008D344B"/>
    <w:rsid w:val="008D56BC"/>
    <w:rsid w:val="008D5F64"/>
    <w:rsid w:val="008D6868"/>
    <w:rsid w:val="008E7BC9"/>
    <w:rsid w:val="008F0026"/>
    <w:rsid w:val="008F06F9"/>
    <w:rsid w:val="008F5AA6"/>
    <w:rsid w:val="008F7EA9"/>
    <w:rsid w:val="009018E9"/>
    <w:rsid w:val="009023F4"/>
    <w:rsid w:val="00903299"/>
    <w:rsid w:val="00907650"/>
    <w:rsid w:val="00914795"/>
    <w:rsid w:val="00914AEE"/>
    <w:rsid w:val="00915CB2"/>
    <w:rsid w:val="00923B2B"/>
    <w:rsid w:val="00926C06"/>
    <w:rsid w:val="00934D84"/>
    <w:rsid w:val="00934E4B"/>
    <w:rsid w:val="00946A02"/>
    <w:rsid w:val="00950BFC"/>
    <w:rsid w:val="00956B18"/>
    <w:rsid w:val="00964098"/>
    <w:rsid w:val="009739B6"/>
    <w:rsid w:val="009739D4"/>
    <w:rsid w:val="00974A5A"/>
    <w:rsid w:val="0098068E"/>
    <w:rsid w:val="009856C1"/>
    <w:rsid w:val="00990DA1"/>
    <w:rsid w:val="00993098"/>
    <w:rsid w:val="0099313B"/>
    <w:rsid w:val="00993C84"/>
    <w:rsid w:val="009A0803"/>
    <w:rsid w:val="009A7738"/>
    <w:rsid w:val="009B3172"/>
    <w:rsid w:val="009B362E"/>
    <w:rsid w:val="009B65D6"/>
    <w:rsid w:val="009B77A7"/>
    <w:rsid w:val="009C63BF"/>
    <w:rsid w:val="009D412B"/>
    <w:rsid w:val="009D570F"/>
    <w:rsid w:val="009D6DA2"/>
    <w:rsid w:val="009E12ED"/>
    <w:rsid w:val="009E1D0A"/>
    <w:rsid w:val="009F3294"/>
    <w:rsid w:val="00A02C6B"/>
    <w:rsid w:val="00A048E1"/>
    <w:rsid w:val="00A04991"/>
    <w:rsid w:val="00A20C9A"/>
    <w:rsid w:val="00A22B81"/>
    <w:rsid w:val="00A25B9A"/>
    <w:rsid w:val="00A2691A"/>
    <w:rsid w:val="00A27AED"/>
    <w:rsid w:val="00A35E07"/>
    <w:rsid w:val="00A37781"/>
    <w:rsid w:val="00A37D31"/>
    <w:rsid w:val="00A40C48"/>
    <w:rsid w:val="00A42A11"/>
    <w:rsid w:val="00A46C60"/>
    <w:rsid w:val="00A50F62"/>
    <w:rsid w:val="00A60AD4"/>
    <w:rsid w:val="00A61735"/>
    <w:rsid w:val="00A637DD"/>
    <w:rsid w:val="00A6410D"/>
    <w:rsid w:val="00A720AF"/>
    <w:rsid w:val="00A72B49"/>
    <w:rsid w:val="00A76082"/>
    <w:rsid w:val="00A87118"/>
    <w:rsid w:val="00A90A4C"/>
    <w:rsid w:val="00A95A67"/>
    <w:rsid w:val="00AA2F1B"/>
    <w:rsid w:val="00AA3D3A"/>
    <w:rsid w:val="00AA3DB5"/>
    <w:rsid w:val="00AB4113"/>
    <w:rsid w:val="00AB46F2"/>
    <w:rsid w:val="00AB4808"/>
    <w:rsid w:val="00AC00FC"/>
    <w:rsid w:val="00AC2366"/>
    <w:rsid w:val="00AC280A"/>
    <w:rsid w:val="00AC2B6C"/>
    <w:rsid w:val="00AC5E25"/>
    <w:rsid w:val="00AD1094"/>
    <w:rsid w:val="00AD1E47"/>
    <w:rsid w:val="00AD2162"/>
    <w:rsid w:val="00AD4EC4"/>
    <w:rsid w:val="00AD718E"/>
    <w:rsid w:val="00AE089A"/>
    <w:rsid w:val="00AE0BFB"/>
    <w:rsid w:val="00AE7BD4"/>
    <w:rsid w:val="00B0190C"/>
    <w:rsid w:val="00B025C4"/>
    <w:rsid w:val="00B059BA"/>
    <w:rsid w:val="00B073DB"/>
    <w:rsid w:val="00B07D29"/>
    <w:rsid w:val="00B119C1"/>
    <w:rsid w:val="00B11EAD"/>
    <w:rsid w:val="00B136C4"/>
    <w:rsid w:val="00B200F0"/>
    <w:rsid w:val="00B263C5"/>
    <w:rsid w:val="00B27E42"/>
    <w:rsid w:val="00B345AE"/>
    <w:rsid w:val="00B36FEF"/>
    <w:rsid w:val="00B43F22"/>
    <w:rsid w:val="00B47BCC"/>
    <w:rsid w:val="00B50D6B"/>
    <w:rsid w:val="00B53278"/>
    <w:rsid w:val="00B5476C"/>
    <w:rsid w:val="00B57363"/>
    <w:rsid w:val="00B661A1"/>
    <w:rsid w:val="00B670D3"/>
    <w:rsid w:val="00B73DD3"/>
    <w:rsid w:val="00B778E0"/>
    <w:rsid w:val="00B8356D"/>
    <w:rsid w:val="00B90500"/>
    <w:rsid w:val="00B92B36"/>
    <w:rsid w:val="00B932C1"/>
    <w:rsid w:val="00B979A6"/>
    <w:rsid w:val="00BA0734"/>
    <w:rsid w:val="00BB7F82"/>
    <w:rsid w:val="00BC438C"/>
    <w:rsid w:val="00BD2402"/>
    <w:rsid w:val="00BD6DDF"/>
    <w:rsid w:val="00BE3276"/>
    <w:rsid w:val="00BE5D18"/>
    <w:rsid w:val="00BE705B"/>
    <w:rsid w:val="00BF0396"/>
    <w:rsid w:val="00BF7A30"/>
    <w:rsid w:val="00C01210"/>
    <w:rsid w:val="00C014F7"/>
    <w:rsid w:val="00C056F1"/>
    <w:rsid w:val="00C11F08"/>
    <w:rsid w:val="00C155BF"/>
    <w:rsid w:val="00C201D1"/>
    <w:rsid w:val="00C2188B"/>
    <w:rsid w:val="00C23284"/>
    <w:rsid w:val="00C23CDA"/>
    <w:rsid w:val="00C33D05"/>
    <w:rsid w:val="00C35252"/>
    <w:rsid w:val="00C374C4"/>
    <w:rsid w:val="00C40D79"/>
    <w:rsid w:val="00C430DB"/>
    <w:rsid w:val="00C44FD6"/>
    <w:rsid w:val="00C52C4B"/>
    <w:rsid w:val="00C55C0B"/>
    <w:rsid w:val="00C612AF"/>
    <w:rsid w:val="00C61ED5"/>
    <w:rsid w:val="00C809F7"/>
    <w:rsid w:val="00C82EF8"/>
    <w:rsid w:val="00C83ECB"/>
    <w:rsid w:val="00C908DB"/>
    <w:rsid w:val="00C937EC"/>
    <w:rsid w:val="00C969AD"/>
    <w:rsid w:val="00CA0D30"/>
    <w:rsid w:val="00CA31D0"/>
    <w:rsid w:val="00CA33CE"/>
    <w:rsid w:val="00CB1715"/>
    <w:rsid w:val="00CB5FCA"/>
    <w:rsid w:val="00CC0883"/>
    <w:rsid w:val="00CD4465"/>
    <w:rsid w:val="00CE0840"/>
    <w:rsid w:val="00CE0E93"/>
    <w:rsid w:val="00CE669C"/>
    <w:rsid w:val="00CF3494"/>
    <w:rsid w:val="00D03840"/>
    <w:rsid w:val="00D05472"/>
    <w:rsid w:val="00D13F13"/>
    <w:rsid w:val="00D1788E"/>
    <w:rsid w:val="00D21061"/>
    <w:rsid w:val="00D32E1D"/>
    <w:rsid w:val="00D35393"/>
    <w:rsid w:val="00D35995"/>
    <w:rsid w:val="00D36169"/>
    <w:rsid w:val="00D41C9A"/>
    <w:rsid w:val="00D51CC6"/>
    <w:rsid w:val="00D52E51"/>
    <w:rsid w:val="00D53783"/>
    <w:rsid w:val="00D5668E"/>
    <w:rsid w:val="00D67758"/>
    <w:rsid w:val="00D67F38"/>
    <w:rsid w:val="00D71D39"/>
    <w:rsid w:val="00D71E2E"/>
    <w:rsid w:val="00D8236F"/>
    <w:rsid w:val="00D91506"/>
    <w:rsid w:val="00D932B5"/>
    <w:rsid w:val="00D93887"/>
    <w:rsid w:val="00D95102"/>
    <w:rsid w:val="00D96FEB"/>
    <w:rsid w:val="00D97373"/>
    <w:rsid w:val="00DA247A"/>
    <w:rsid w:val="00DA2ED2"/>
    <w:rsid w:val="00DB1901"/>
    <w:rsid w:val="00DB3694"/>
    <w:rsid w:val="00DB6D02"/>
    <w:rsid w:val="00DC075A"/>
    <w:rsid w:val="00DC19FB"/>
    <w:rsid w:val="00DC3FB1"/>
    <w:rsid w:val="00DC49D6"/>
    <w:rsid w:val="00DC5897"/>
    <w:rsid w:val="00DC7B8D"/>
    <w:rsid w:val="00DD5120"/>
    <w:rsid w:val="00DE55D1"/>
    <w:rsid w:val="00DE73D4"/>
    <w:rsid w:val="00DF26D4"/>
    <w:rsid w:val="00DF2A09"/>
    <w:rsid w:val="00DF3AED"/>
    <w:rsid w:val="00DF40EA"/>
    <w:rsid w:val="00DF4751"/>
    <w:rsid w:val="00DF5AA3"/>
    <w:rsid w:val="00DF60B3"/>
    <w:rsid w:val="00DF6B86"/>
    <w:rsid w:val="00E01B00"/>
    <w:rsid w:val="00E0616F"/>
    <w:rsid w:val="00E06EC5"/>
    <w:rsid w:val="00E13211"/>
    <w:rsid w:val="00E14AFC"/>
    <w:rsid w:val="00E252E3"/>
    <w:rsid w:val="00E25AA4"/>
    <w:rsid w:val="00E26305"/>
    <w:rsid w:val="00E26EE0"/>
    <w:rsid w:val="00E27F06"/>
    <w:rsid w:val="00E32E65"/>
    <w:rsid w:val="00E352C3"/>
    <w:rsid w:val="00E37EDE"/>
    <w:rsid w:val="00E458AD"/>
    <w:rsid w:val="00E5085F"/>
    <w:rsid w:val="00E5450D"/>
    <w:rsid w:val="00E67761"/>
    <w:rsid w:val="00E70A4F"/>
    <w:rsid w:val="00E73D8B"/>
    <w:rsid w:val="00E82EC5"/>
    <w:rsid w:val="00E837EC"/>
    <w:rsid w:val="00E84674"/>
    <w:rsid w:val="00E90290"/>
    <w:rsid w:val="00E97963"/>
    <w:rsid w:val="00EA0242"/>
    <w:rsid w:val="00EA0B17"/>
    <w:rsid w:val="00EA0B2C"/>
    <w:rsid w:val="00EB3228"/>
    <w:rsid w:val="00EB63AA"/>
    <w:rsid w:val="00EB799A"/>
    <w:rsid w:val="00EC2C68"/>
    <w:rsid w:val="00EC64C6"/>
    <w:rsid w:val="00ED59B9"/>
    <w:rsid w:val="00EE035C"/>
    <w:rsid w:val="00EF21AC"/>
    <w:rsid w:val="00EF37F4"/>
    <w:rsid w:val="00EF4057"/>
    <w:rsid w:val="00F023E7"/>
    <w:rsid w:val="00F23AF1"/>
    <w:rsid w:val="00F279D3"/>
    <w:rsid w:val="00F307E9"/>
    <w:rsid w:val="00F45ED7"/>
    <w:rsid w:val="00F47092"/>
    <w:rsid w:val="00F529AB"/>
    <w:rsid w:val="00F54BF7"/>
    <w:rsid w:val="00F5519A"/>
    <w:rsid w:val="00F56664"/>
    <w:rsid w:val="00F60D2D"/>
    <w:rsid w:val="00F70127"/>
    <w:rsid w:val="00F77969"/>
    <w:rsid w:val="00F800AA"/>
    <w:rsid w:val="00F81452"/>
    <w:rsid w:val="00F93E0E"/>
    <w:rsid w:val="00F944F0"/>
    <w:rsid w:val="00FA333F"/>
    <w:rsid w:val="00FA448E"/>
    <w:rsid w:val="00FA5884"/>
    <w:rsid w:val="00FB11CE"/>
    <w:rsid w:val="00FB25C7"/>
    <w:rsid w:val="00FC00CE"/>
    <w:rsid w:val="00FC1748"/>
    <w:rsid w:val="00FC30DA"/>
    <w:rsid w:val="00FC71B2"/>
    <w:rsid w:val="00FC7EB0"/>
    <w:rsid w:val="00FD3DA3"/>
    <w:rsid w:val="00FD766E"/>
    <w:rsid w:val="00FE44EA"/>
    <w:rsid w:val="00FE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98731A"/>
  <w15:docId w15:val="{B2DF2D31-8AD3-495D-AFB1-81C1C1D6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F9"/>
    <w:pPr>
      <w:spacing w:after="200" w:line="276" w:lineRule="auto"/>
    </w:pPr>
    <w:rPr>
      <w:rFonts w:eastAsiaTheme="minorEastAsia"/>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6F9"/>
    <w:rPr>
      <w:sz w:val="16"/>
      <w:szCs w:val="16"/>
    </w:rPr>
  </w:style>
  <w:style w:type="paragraph" w:styleId="CommentText">
    <w:name w:val="annotation text"/>
    <w:basedOn w:val="Normal"/>
    <w:link w:val="CommentTextChar"/>
    <w:uiPriority w:val="99"/>
    <w:semiHidden/>
    <w:unhideWhenUsed/>
    <w:rsid w:val="008F06F9"/>
    <w:pPr>
      <w:spacing w:line="240" w:lineRule="auto"/>
    </w:pPr>
    <w:rPr>
      <w:sz w:val="20"/>
      <w:szCs w:val="20"/>
    </w:rPr>
  </w:style>
  <w:style w:type="character" w:customStyle="1" w:styleId="CommentTextChar">
    <w:name w:val="Comment Text Char"/>
    <w:basedOn w:val="DefaultParagraphFont"/>
    <w:link w:val="CommentText"/>
    <w:uiPriority w:val="99"/>
    <w:semiHidden/>
    <w:rsid w:val="008F06F9"/>
    <w:rPr>
      <w:rFonts w:eastAsiaTheme="minorEastAsia"/>
      <w:sz w:val="20"/>
      <w:szCs w:val="20"/>
      <w:lang w:val="en-GB" w:eastAsia="zh-CN"/>
    </w:rPr>
  </w:style>
  <w:style w:type="paragraph" w:styleId="Header">
    <w:name w:val="header"/>
    <w:basedOn w:val="Normal"/>
    <w:link w:val="HeaderChar"/>
    <w:uiPriority w:val="99"/>
    <w:unhideWhenUsed/>
    <w:rsid w:val="008F0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F9"/>
    <w:rPr>
      <w:rFonts w:eastAsiaTheme="minorEastAsia"/>
      <w:sz w:val="22"/>
      <w:szCs w:val="22"/>
      <w:lang w:val="en-GB" w:eastAsia="zh-CN"/>
    </w:rPr>
  </w:style>
  <w:style w:type="character" w:styleId="Hyperlink">
    <w:name w:val="Hyperlink"/>
    <w:basedOn w:val="DefaultParagraphFont"/>
    <w:uiPriority w:val="99"/>
    <w:unhideWhenUsed/>
    <w:rsid w:val="008F06F9"/>
    <w:rPr>
      <w:color w:val="0563C1" w:themeColor="hyperlink"/>
      <w:u w:val="single"/>
    </w:rPr>
  </w:style>
  <w:style w:type="paragraph" w:styleId="BalloonText">
    <w:name w:val="Balloon Text"/>
    <w:basedOn w:val="Normal"/>
    <w:link w:val="BalloonTextChar"/>
    <w:uiPriority w:val="99"/>
    <w:semiHidden/>
    <w:unhideWhenUsed/>
    <w:rsid w:val="00A3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07"/>
    <w:rPr>
      <w:rFonts w:ascii="Tahoma" w:eastAsiaTheme="minorEastAsia" w:hAnsi="Tahoma" w:cs="Tahoma"/>
      <w:sz w:val="16"/>
      <w:szCs w:val="16"/>
      <w:lang w:val="en-GB" w:eastAsia="zh-CN"/>
    </w:rPr>
  </w:style>
  <w:style w:type="paragraph" w:styleId="Footer">
    <w:name w:val="footer"/>
    <w:basedOn w:val="Normal"/>
    <w:link w:val="FooterChar"/>
    <w:uiPriority w:val="99"/>
    <w:unhideWhenUsed/>
    <w:rsid w:val="00B1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C4"/>
    <w:rPr>
      <w:rFonts w:eastAsiaTheme="minorEastAsia"/>
      <w:sz w:val="22"/>
      <w:szCs w:val="22"/>
      <w:lang w:val="en-GB" w:eastAsia="zh-CN"/>
    </w:rPr>
  </w:style>
  <w:style w:type="paragraph" w:styleId="CommentSubject">
    <w:name w:val="annotation subject"/>
    <w:basedOn w:val="CommentText"/>
    <w:next w:val="CommentText"/>
    <w:link w:val="CommentSubjectChar"/>
    <w:uiPriority w:val="99"/>
    <w:semiHidden/>
    <w:unhideWhenUsed/>
    <w:rsid w:val="00AC2B6C"/>
    <w:rPr>
      <w:b/>
      <w:bCs/>
    </w:rPr>
  </w:style>
  <w:style w:type="character" w:customStyle="1" w:styleId="CommentSubjectChar">
    <w:name w:val="Comment Subject Char"/>
    <w:basedOn w:val="CommentTextChar"/>
    <w:link w:val="CommentSubject"/>
    <w:uiPriority w:val="99"/>
    <w:semiHidden/>
    <w:rsid w:val="00AC2B6C"/>
    <w:rPr>
      <w:rFonts w:eastAsiaTheme="minorEastAsia"/>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d.ittf.com/ittf_st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7585</Words>
  <Characters>43235</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Dickson</dc:creator>
  <cp:keywords/>
  <dc:description/>
  <cp:lastModifiedBy>Paul Burns</cp:lastModifiedBy>
  <cp:revision>2</cp:revision>
  <cp:lastPrinted>2017-04-16T01:44:00Z</cp:lastPrinted>
  <dcterms:created xsi:type="dcterms:W3CDTF">2018-10-08T10:06:00Z</dcterms:created>
  <dcterms:modified xsi:type="dcterms:W3CDTF">2018-10-08T10:06:00Z</dcterms:modified>
</cp:coreProperties>
</file>