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1F" w:rsidRPr="00315A99" w:rsidRDefault="004D3F1F" w:rsidP="00315A99">
      <w:pPr>
        <w:pStyle w:val="Heading1"/>
        <w:rPr>
          <w:b/>
        </w:rPr>
      </w:pPr>
      <w:r w:rsidRPr="00315A99">
        <w:rPr>
          <w:b/>
        </w:rPr>
        <w:t>A</w:t>
      </w:r>
      <w:r w:rsidR="000B5666">
        <w:rPr>
          <w:b/>
        </w:rPr>
        <w:t>n in-depth analysis of</w:t>
      </w:r>
      <w:r w:rsidRPr="00315A99">
        <w:rPr>
          <w:b/>
        </w:rPr>
        <w:t xml:space="preserve"> </w:t>
      </w:r>
      <w:r w:rsidR="000B5666">
        <w:rPr>
          <w:b/>
        </w:rPr>
        <w:t xml:space="preserve">e-procurement use in </w:t>
      </w:r>
      <w:r w:rsidR="00F35FEE">
        <w:rPr>
          <w:b/>
        </w:rPr>
        <w:t xml:space="preserve">UK </w:t>
      </w:r>
      <w:r w:rsidRPr="00315A99">
        <w:rPr>
          <w:b/>
        </w:rPr>
        <w:t>CONSTRUCTION ORGANISATIONS</w:t>
      </w:r>
    </w:p>
    <w:p w:rsidR="006E2C24" w:rsidRDefault="006E2C24" w:rsidP="008E5F4F">
      <w:pPr>
        <w:pStyle w:val="Address"/>
        <w:spacing w:before="0" w:line="240" w:lineRule="auto"/>
      </w:pPr>
    </w:p>
    <w:p w:rsidR="006E2C24" w:rsidRPr="001863D4" w:rsidRDefault="006E2C24" w:rsidP="008E5F4F">
      <w:pPr>
        <w:pStyle w:val="Address"/>
        <w:spacing w:before="0" w:line="240" w:lineRule="auto"/>
        <w:jc w:val="center"/>
        <w:rPr>
          <w:sz w:val="24"/>
          <w:szCs w:val="24"/>
        </w:rPr>
      </w:pPr>
      <w:bookmarkStart w:id="0" w:name="OLE_LINK1"/>
      <w:bookmarkStart w:id="1" w:name="OLE_LINK2"/>
      <w:r w:rsidRPr="001863D4">
        <w:rPr>
          <w:sz w:val="24"/>
          <w:szCs w:val="24"/>
        </w:rPr>
        <w:t>Robert Eadie,</w:t>
      </w:r>
    </w:p>
    <w:p w:rsidR="006E2C24" w:rsidRPr="001863D4" w:rsidRDefault="006E2C24" w:rsidP="008E5F4F">
      <w:pPr>
        <w:pStyle w:val="Address"/>
        <w:spacing w:before="0" w:line="240" w:lineRule="auto"/>
        <w:jc w:val="center"/>
        <w:rPr>
          <w:b w:val="0"/>
          <w:sz w:val="24"/>
          <w:szCs w:val="24"/>
        </w:rPr>
      </w:pPr>
      <w:r w:rsidRPr="001863D4">
        <w:rPr>
          <w:b w:val="0"/>
          <w:sz w:val="24"/>
          <w:szCs w:val="24"/>
        </w:rPr>
        <w:t>School of the Built Environment, University of Ulster</w:t>
      </w:r>
    </w:p>
    <w:p w:rsidR="006E2C24" w:rsidRPr="001863D4" w:rsidRDefault="006E2C24" w:rsidP="008E5F4F">
      <w:pPr>
        <w:pStyle w:val="Address"/>
        <w:spacing w:before="0" w:line="240" w:lineRule="auto"/>
        <w:jc w:val="center"/>
        <w:rPr>
          <w:b w:val="0"/>
          <w:sz w:val="24"/>
          <w:szCs w:val="24"/>
        </w:rPr>
      </w:pPr>
      <w:r w:rsidRPr="001863D4">
        <w:rPr>
          <w:b w:val="0"/>
          <w:sz w:val="24"/>
          <w:szCs w:val="24"/>
        </w:rPr>
        <w:t>email:</w:t>
      </w:r>
      <w:hyperlink r:id="rId8" w:history="1">
        <w:r w:rsidRPr="001863D4">
          <w:rPr>
            <w:rStyle w:val="Hyperlink"/>
            <w:b w:val="0"/>
            <w:sz w:val="24"/>
            <w:szCs w:val="24"/>
          </w:rPr>
          <w:t>r.eadie-r@ulster.ac.uk</w:t>
        </w:r>
      </w:hyperlink>
    </w:p>
    <w:p w:rsidR="006E2C24" w:rsidRPr="001863D4" w:rsidRDefault="006E2C24" w:rsidP="008E5F4F">
      <w:pPr>
        <w:pStyle w:val="Address"/>
        <w:spacing w:before="0" w:line="240" w:lineRule="auto"/>
        <w:jc w:val="center"/>
        <w:rPr>
          <w:sz w:val="24"/>
          <w:szCs w:val="24"/>
        </w:rPr>
      </w:pPr>
    </w:p>
    <w:p w:rsidR="006E2C24" w:rsidRPr="001863D4" w:rsidRDefault="006E2C24" w:rsidP="008E5F4F">
      <w:pPr>
        <w:pStyle w:val="Address"/>
        <w:spacing w:before="0" w:line="240" w:lineRule="auto"/>
        <w:jc w:val="center"/>
        <w:rPr>
          <w:sz w:val="24"/>
          <w:szCs w:val="24"/>
        </w:rPr>
      </w:pPr>
      <w:r w:rsidRPr="001863D4">
        <w:rPr>
          <w:sz w:val="24"/>
          <w:szCs w:val="24"/>
        </w:rPr>
        <w:t>Srinath Perera,</w:t>
      </w:r>
    </w:p>
    <w:p w:rsidR="006E2C24" w:rsidRPr="001863D4" w:rsidRDefault="006E2C24" w:rsidP="008E5F4F">
      <w:pPr>
        <w:pStyle w:val="Address"/>
        <w:spacing w:before="0" w:line="240" w:lineRule="auto"/>
        <w:jc w:val="center"/>
        <w:rPr>
          <w:b w:val="0"/>
          <w:sz w:val="24"/>
          <w:szCs w:val="24"/>
        </w:rPr>
      </w:pPr>
      <w:r w:rsidRPr="001863D4">
        <w:rPr>
          <w:b w:val="0"/>
          <w:sz w:val="24"/>
          <w:szCs w:val="24"/>
        </w:rPr>
        <w:t xml:space="preserve">School of the Built Environment, </w:t>
      </w:r>
      <w:r w:rsidR="000653E7">
        <w:rPr>
          <w:b w:val="0"/>
          <w:sz w:val="24"/>
          <w:szCs w:val="24"/>
        </w:rPr>
        <w:t xml:space="preserve">Northumbria </w:t>
      </w:r>
      <w:r w:rsidRPr="001863D4">
        <w:rPr>
          <w:b w:val="0"/>
          <w:sz w:val="24"/>
          <w:szCs w:val="24"/>
        </w:rPr>
        <w:t>University</w:t>
      </w:r>
    </w:p>
    <w:p w:rsidR="006E2C24" w:rsidRPr="001863D4" w:rsidRDefault="006E2C24" w:rsidP="008E5F4F">
      <w:pPr>
        <w:pStyle w:val="Address"/>
        <w:spacing w:before="0" w:line="240" w:lineRule="auto"/>
        <w:jc w:val="center"/>
        <w:rPr>
          <w:b w:val="0"/>
          <w:sz w:val="24"/>
          <w:szCs w:val="24"/>
        </w:rPr>
      </w:pPr>
      <w:r w:rsidRPr="001863D4">
        <w:rPr>
          <w:b w:val="0"/>
          <w:sz w:val="24"/>
          <w:szCs w:val="24"/>
        </w:rPr>
        <w:t xml:space="preserve">email: </w:t>
      </w:r>
      <w:hyperlink r:id="rId9" w:history="1">
        <w:r w:rsidR="000653E7" w:rsidRPr="00EB7E4F">
          <w:rPr>
            <w:rStyle w:val="Hyperlink"/>
            <w:b w:val="0"/>
            <w:sz w:val="24"/>
            <w:szCs w:val="24"/>
          </w:rPr>
          <w:t>srinath.perera@northumbria.ac.uk</w:t>
        </w:r>
      </w:hyperlink>
    </w:p>
    <w:p w:rsidR="006E2C24" w:rsidRPr="001863D4" w:rsidRDefault="006E2C24" w:rsidP="008E5F4F">
      <w:pPr>
        <w:pStyle w:val="Address"/>
        <w:spacing w:before="0" w:line="240" w:lineRule="auto"/>
        <w:jc w:val="center"/>
        <w:rPr>
          <w:sz w:val="24"/>
          <w:szCs w:val="24"/>
        </w:rPr>
      </w:pPr>
    </w:p>
    <w:p w:rsidR="006E2C24" w:rsidRPr="001863D4" w:rsidRDefault="006E2C24" w:rsidP="008E5F4F">
      <w:pPr>
        <w:pStyle w:val="Address"/>
        <w:spacing w:before="0" w:line="240" w:lineRule="auto"/>
        <w:jc w:val="center"/>
        <w:rPr>
          <w:sz w:val="24"/>
          <w:szCs w:val="24"/>
        </w:rPr>
      </w:pPr>
      <w:r w:rsidRPr="001863D4">
        <w:rPr>
          <w:sz w:val="24"/>
          <w:szCs w:val="24"/>
        </w:rPr>
        <w:t>George Heaney,</w:t>
      </w:r>
    </w:p>
    <w:p w:rsidR="006E2C24" w:rsidRPr="001863D4" w:rsidRDefault="006E2C24" w:rsidP="008E5F4F">
      <w:pPr>
        <w:pStyle w:val="Address"/>
        <w:spacing w:before="0" w:line="240" w:lineRule="auto"/>
        <w:jc w:val="center"/>
        <w:rPr>
          <w:b w:val="0"/>
          <w:sz w:val="24"/>
          <w:szCs w:val="24"/>
        </w:rPr>
      </w:pPr>
      <w:r w:rsidRPr="001863D4">
        <w:rPr>
          <w:b w:val="0"/>
          <w:sz w:val="24"/>
          <w:szCs w:val="24"/>
        </w:rPr>
        <w:t>School of the Built Environment, University of Ulster</w:t>
      </w:r>
    </w:p>
    <w:p w:rsidR="006E2C24" w:rsidRPr="001863D4" w:rsidRDefault="006E2C24" w:rsidP="008E5F4F">
      <w:pPr>
        <w:pStyle w:val="Address"/>
        <w:spacing w:before="0" w:line="240" w:lineRule="auto"/>
        <w:jc w:val="center"/>
        <w:rPr>
          <w:b w:val="0"/>
          <w:sz w:val="24"/>
          <w:szCs w:val="24"/>
        </w:rPr>
      </w:pPr>
      <w:r w:rsidRPr="001863D4">
        <w:rPr>
          <w:b w:val="0"/>
          <w:sz w:val="24"/>
          <w:szCs w:val="24"/>
        </w:rPr>
        <w:t xml:space="preserve">email: </w:t>
      </w:r>
      <w:hyperlink r:id="rId10" w:history="1">
        <w:r w:rsidRPr="001863D4">
          <w:rPr>
            <w:rStyle w:val="Hyperlink"/>
            <w:b w:val="0"/>
            <w:sz w:val="24"/>
            <w:szCs w:val="24"/>
          </w:rPr>
          <w:t>sg.heaney@ulster.ac.uk</w:t>
        </w:r>
      </w:hyperlink>
    </w:p>
    <w:p w:rsidR="008E5F4F" w:rsidRDefault="008E5F4F" w:rsidP="008E5F4F">
      <w:pPr>
        <w:pStyle w:val="Summary"/>
        <w:spacing w:before="0" w:line="240" w:lineRule="auto"/>
        <w:rPr>
          <w:i w:val="0"/>
          <w:sz w:val="24"/>
          <w:szCs w:val="24"/>
        </w:rPr>
      </w:pPr>
      <w:bookmarkStart w:id="2" w:name="OLE_LINK11"/>
      <w:bookmarkStart w:id="3" w:name="OLE_LINK12"/>
      <w:bookmarkEnd w:id="0"/>
      <w:bookmarkEnd w:id="1"/>
    </w:p>
    <w:p w:rsidR="008E5F4F" w:rsidRDefault="008E5F4F" w:rsidP="008E5F4F">
      <w:pPr>
        <w:pStyle w:val="Summary"/>
        <w:spacing w:before="0" w:line="240" w:lineRule="auto"/>
        <w:rPr>
          <w:i w:val="0"/>
          <w:sz w:val="24"/>
          <w:szCs w:val="24"/>
        </w:rPr>
      </w:pPr>
    </w:p>
    <w:p w:rsidR="000653E7" w:rsidRDefault="008E5F4F" w:rsidP="00990E82">
      <w:pPr>
        <w:pStyle w:val="Summary"/>
        <w:spacing w:before="0" w:line="240" w:lineRule="auto"/>
        <w:rPr>
          <w:i w:val="0"/>
          <w:sz w:val="24"/>
          <w:szCs w:val="24"/>
        </w:rPr>
      </w:pPr>
      <w:r>
        <w:rPr>
          <w:i w:val="0"/>
          <w:sz w:val="24"/>
          <w:szCs w:val="24"/>
        </w:rPr>
        <w:t>Abstract</w:t>
      </w:r>
      <w:r w:rsidR="00EF09D9" w:rsidRPr="00E67A4A">
        <w:rPr>
          <w:i w:val="0"/>
          <w:sz w:val="24"/>
          <w:szCs w:val="24"/>
        </w:rPr>
        <w:t xml:space="preserve"> </w:t>
      </w:r>
    </w:p>
    <w:p w:rsidR="000B5666" w:rsidRDefault="00616F68" w:rsidP="00990E82">
      <w:pPr>
        <w:pStyle w:val="Summary"/>
        <w:spacing w:before="0" w:line="240" w:lineRule="auto"/>
        <w:rPr>
          <w:i w:val="0"/>
          <w:sz w:val="24"/>
          <w:szCs w:val="24"/>
        </w:rPr>
      </w:pPr>
      <w:r w:rsidRPr="00E67A4A">
        <w:rPr>
          <w:i w:val="0"/>
          <w:sz w:val="24"/>
          <w:szCs w:val="24"/>
        </w:rPr>
        <w:t xml:space="preserve">Eadie et.al (2007) show that there are many advantages in the adoption of e-procurement within a construction organisation. However, its uptake within the construction industry has been inadequately researched. </w:t>
      </w:r>
      <w:r w:rsidR="000B5666" w:rsidRPr="00E67A4A">
        <w:rPr>
          <w:i w:val="0"/>
          <w:sz w:val="24"/>
          <w:szCs w:val="24"/>
        </w:rPr>
        <w:t xml:space="preserve">Martin (2003, 2008) investigated e-procurement use across </w:t>
      </w:r>
      <w:r w:rsidR="00F56BB0" w:rsidRPr="00E67A4A">
        <w:rPr>
          <w:i w:val="0"/>
          <w:sz w:val="24"/>
          <w:szCs w:val="24"/>
        </w:rPr>
        <w:t>quantity surveying organisations</w:t>
      </w:r>
      <w:r w:rsidR="00F56BB0">
        <w:rPr>
          <w:i w:val="0"/>
          <w:sz w:val="24"/>
          <w:szCs w:val="24"/>
        </w:rPr>
        <w:t xml:space="preserve"> in</w:t>
      </w:r>
      <w:r w:rsidR="000B5666" w:rsidRPr="00E67A4A">
        <w:rPr>
          <w:i w:val="0"/>
          <w:sz w:val="24"/>
          <w:szCs w:val="24"/>
        </w:rPr>
        <w:t xml:space="preserve"> United Kingdom</w:t>
      </w:r>
      <w:bookmarkEnd w:id="2"/>
      <w:bookmarkEnd w:id="3"/>
      <w:r w:rsidR="00B93506" w:rsidRPr="00E67A4A">
        <w:rPr>
          <w:i w:val="0"/>
          <w:sz w:val="24"/>
          <w:szCs w:val="24"/>
        </w:rPr>
        <w:t xml:space="preserve">. </w:t>
      </w:r>
      <w:r w:rsidR="00F56BB0">
        <w:rPr>
          <w:i w:val="0"/>
          <w:sz w:val="24"/>
          <w:szCs w:val="24"/>
        </w:rPr>
        <w:t xml:space="preserve">However, the picture is not complete as </w:t>
      </w:r>
      <w:r w:rsidR="00B93506" w:rsidRPr="00E67A4A">
        <w:rPr>
          <w:i w:val="0"/>
          <w:sz w:val="24"/>
          <w:szCs w:val="24"/>
        </w:rPr>
        <w:t>other disciplines within construction</w:t>
      </w:r>
      <w:r w:rsidR="00F56BB0">
        <w:rPr>
          <w:i w:val="0"/>
          <w:sz w:val="24"/>
          <w:szCs w:val="24"/>
        </w:rPr>
        <w:t xml:space="preserve"> are not considered</w:t>
      </w:r>
      <w:r w:rsidR="00B93506" w:rsidRPr="00E67A4A">
        <w:rPr>
          <w:i w:val="0"/>
          <w:sz w:val="24"/>
          <w:szCs w:val="24"/>
        </w:rPr>
        <w:t>. This paper seeks to</w:t>
      </w:r>
      <w:r w:rsidR="00057658" w:rsidRPr="00E67A4A">
        <w:rPr>
          <w:i w:val="0"/>
          <w:sz w:val="24"/>
          <w:szCs w:val="24"/>
        </w:rPr>
        <w:t xml:space="preserve"> address this issue. </w:t>
      </w:r>
      <w:r w:rsidR="00F01919">
        <w:rPr>
          <w:i w:val="0"/>
          <w:sz w:val="24"/>
          <w:szCs w:val="24"/>
        </w:rPr>
        <w:t xml:space="preserve"> </w:t>
      </w:r>
      <w:r w:rsidR="00057658" w:rsidRPr="00E67A4A">
        <w:rPr>
          <w:i w:val="0"/>
          <w:sz w:val="24"/>
          <w:szCs w:val="24"/>
        </w:rPr>
        <w:t xml:space="preserve">Martin (2003, 2008) </w:t>
      </w:r>
      <w:r w:rsidR="003926B4" w:rsidRPr="00E67A4A">
        <w:rPr>
          <w:i w:val="0"/>
          <w:sz w:val="24"/>
          <w:szCs w:val="24"/>
        </w:rPr>
        <w:t>does</w:t>
      </w:r>
      <w:r w:rsidR="00057658" w:rsidRPr="00E67A4A">
        <w:rPr>
          <w:i w:val="0"/>
          <w:sz w:val="24"/>
          <w:szCs w:val="24"/>
        </w:rPr>
        <w:t xml:space="preserve"> not seek to identify the sizes or spend on procurement activities by those quantity surveying organisations who have adopted the use of e-procurement. This paper investigates the correlations between size, procurement spend and adoption of e-procurement.   </w:t>
      </w:r>
    </w:p>
    <w:p w:rsidR="00990E82" w:rsidRPr="00E67A4A" w:rsidRDefault="00990E82" w:rsidP="00990E82">
      <w:pPr>
        <w:pStyle w:val="Summary"/>
        <w:spacing w:before="0" w:line="240" w:lineRule="auto"/>
        <w:rPr>
          <w:i w:val="0"/>
          <w:sz w:val="24"/>
          <w:szCs w:val="24"/>
        </w:rPr>
      </w:pPr>
    </w:p>
    <w:p w:rsidR="00EF09D9" w:rsidRPr="00E67A4A" w:rsidRDefault="00AC148F" w:rsidP="00990E82">
      <w:pPr>
        <w:pStyle w:val="Summary"/>
        <w:spacing w:before="0" w:line="240" w:lineRule="auto"/>
        <w:rPr>
          <w:i w:val="0"/>
          <w:sz w:val="24"/>
          <w:szCs w:val="24"/>
        </w:rPr>
      </w:pPr>
      <w:r>
        <w:rPr>
          <w:i w:val="0"/>
          <w:sz w:val="24"/>
          <w:szCs w:val="24"/>
        </w:rPr>
        <w:t>A</w:t>
      </w:r>
      <w:r w:rsidR="00057658" w:rsidRPr="00E67A4A">
        <w:rPr>
          <w:i w:val="0"/>
          <w:sz w:val="24"/>
          <w:szCs w:val="24"/>
        </w:rPr>
        <w:t xml:space="preserve"> survey was conducted in two parts: the initial survey looked at 70 contractors in Northern Ireland which had carried out e-procurement. </w:t>
      </w:r>
      <w:r w:rsidR="00973EE0" w:rsidRPr="00E67A4A">
        <w:rPr>
          <w:i w:val="0"/>
          <w:sz w:val="24"/>
          <w:szCs w:val="24"/>
        </w:rPr>
        <w:t xml:space="preserve">This was followed by the main survey, which contained a telephone survey followed by a web-based survey. The </w:t>
      </w:r>
      <w:r w:rsidR="00EF09D9" w:rsidRPr="00E67A4A">
        <w:rPr>
          <w:i w:val="0"/>
          <w:sz w:val="24"/>
          <w:szCs w:val="24"/>
        </w:rPr>
        <w:t xml:space="preserve">telephone survey of 775 organisations identified the amount of e-procurement in construction within the United Kingdom. This was followed by a web-based questionnaire survey of the identified organisations on e-procurement for construction based activities. </w:t>
      </w:r>
      <w:r w:rsidR="009A7D59" w:rsidRPr="00E67A4A">
        <w:rPr>
          <w:i w:val="0"/>
          <w:sz w:val="24"/>
          <w:szCs w:val="24"/>
        </w:rPr>
        <w:t>These produced a breakdown of e-procurement use and spend</w:t>
      </w:r>
      <w:r w:rsidR="000B5666" w:rsidRPr="00E67A4A">
        <w:rPr>
          <w:i w:val="0"/>
          <w:sz w:val="24"/>
          <w:szCs w:val="24"/>
        </w:rPr>
        <w:t xml:space="preserve"> </w:t>
      </w:r>
      <w:r w:rsidR="009A7D59" w:rsidRPr="00E67A4A">
        <w:rPr>
          <w:i w:val="0"/>
          <w:sz w:val="24"/>
          <w:szCs w:val="24"/>
        </w:rPr>
        <w:t xml:space="preserve">on </w:t>
      </w:r>
      <w:r w:rsidRPr="00E67A4A">
        <w:rPr>
          <w:i w:val="0"/>
          <w:sz w:val="24"/>
          <w:szCs w:val="24"/>
        </w:rPr>
        <w:t>completion</w:t>
      </w:r>
      <w:r>
        <w:rPr>
          <w:i w:val="0"/>
          <w:sz w:val="24"/>
          <w:szCs w:val="24"/>
        </w:rPr>
        <w:t xml:space="preserve"> of</w:t>
      </w:r>
      <w:r w:rsidRPr="00E67A4A">
        <w:rPr>
          <w:i w:val="0"/>
          <w:sz w:val="24"/>
          <w:szCs w:val="24"/>
        </w:rPr>
        <w:t xml:space="preserve"> </w:t>
      </w:r>
      <w:r w:rsidR="009A7D59" w:rsidRPr="00E67A4A">
        <w:rPr>
          <w:i w:val="0"/>
          <w:sz w:val="24"/>
          <w:szCs w:val="24"/>
        </w:rPr>
        <w:t xml:space="preserve">pricing documentation </w:t>
      </w:r>
      <w:r w:rsidR="00A8145C" w:rsidRPr="00E67A4A">
        <w:rPr>
          <w:i w:val="0"/>
          <w:sz w:val="24"/>
          <w:szCs w:val="24"/>
        </w:rPr>
        <w:t>across the construction industry</w:t>
      </w:r>
      <w:r w:rsidR="004E158C" w:rsidRPr="00E67A4A">
        <w:rPr>
          <w:i w:val="0"/>
          <w:sz w:val="24"/>
          <w:szCs w:val="24"/>
        </w:rPr>
        <w:t xml:space="preserve">. </w:t>
      </w:r>
    </w:p>
    <w:p w:rsidR="00AC148F" w:rsidRDefault="00AC148F" w:rsidP="008E5F4F">
      <w:pPr>
        <w:pStyle w:val="Summary"/>
        <w:spacing w:before="0" w:line="240" w:lineRule="auto"/>
        <w:rPr>
          <w:bCs/>
          <w:i w:val="0"/>
          <w:sz w:val="24"/>
          <w:szCs w:val="24"/>
        </w:rPr>
      </w:pPr>
    </w:p>
    <w:p w:rsidR="004D3F1F" w:rsidRDefault="004D3F1F" w:rsidP="008E5F4F">
      <w:pPr>
        <w:pStyle w:val="Summary"/>
        <w:spacing w:before="0" w:line="240" w:lineRule="auto"/>
        <w:rPr>
          <w:i w:val="0"/>
          <w:sz w:val="24"/>
          <w:szCs w:val="24"/>
        </w:rPr>
      </w:pPr>
      <w:r w:rsidRPr="00E67A4A">
        <w:rPr>
          <w:bCs/>
          <w:i w:val="0"/>
          <w:sz w:val="24"/>
          <w:szCs w:val="24"/>
        </w:rPr>
        <w:t>Keywords:</w:t>
      </w:r>
      <w:r w:rsidRPr="00E67A4A">
        <w:rPr>
          <w:b/>
          <w:i w:val="0"/>
          <w:sz w:val="24"/>
          <w:szCs w:val="24"/>
        </w:rPr>
        <w:t xml:space="preserve"> </w:t>
      </w:r>
      <w:r w:rsidRPr="00E67A4A">
        <w:rPr>
          <w:i w:val="0"/>
          <w:sz w:val="24"/>
          <w:szCs w:val="24"/>
        </w:rPr>
        <w:t xml:space="preserve">e-procurement, </w:t>
      </w:r>
      <w:r w:rsidR="000B5666" w:rsidRPr="00E67A4A">
        <w:rPr>
          <w:i w:val="0"/>
          <w:sz w:val="24"/>
          <w:szCs w:val="24"/>
        </w:rPr>
        <w:t>Use of e-procurement</w:t>
      </w:r>
    </w:p>
    <w:p w:rsidR="008E5F4F" w:rsidRDefault="008E5F4F" w:rsidP="008E5F4F">
      <w:pPr>
        <w:pStyle w:val="Summary"/>
        <w:spacing w:before="0" w:line="240" w:lineRule="auto"/>
        <w:rPr>
          <w:i w:val="0"/>
          <w:sz w:val="24"/>
          <w:szCs w:val="24"/>
        </w:rPr>
      </w:pPr>
    </w:p>
    <w:p w:rsidR="008E5F4F" w:rsidRPr="00E67A4A" w:rsidRDefault="008E5F4F" w:rsidP="008E5F4F">
      <w:pPr>
        <w:pStyle w:val="Summary"/>
        <w:spacing w:before="0" w:line="240" w:lineRule="auto"/>
        <w:rPr>
          <w:i w:val="0"/>
          <w:sz w:val="24"/>
          <w:szCs w:val="24"/>
        </w:rPr>
      </w:pPr>
    </w:p>
    <w:p w:rsidR="00E14995" w:rsidRDefault="00F11D19" w:rsidP="008E5F4F">
      <w:pPr>
        <w:pStyle w:val="Heading2"/>
        <w:spacing w:before="0" w:line="240" w:lineRule="auto"/>
        <w:rPr>
          <w:iCs/>
          <w:sz w:val="28"/>
          <w:szCs w:val="28"/>
          <w:lang w:val="en-US"/>
        </w:rPr>
      </w:pPr>
      <w:bookmarkStart w:id="4" w:name="_Toc387470082"/>
      <w:bookmarkStart w:id="5" w:name="OLE_LINK19"/>
      <w:bookmarkStart w:id="6" w:name="OLE_LINK20"/>
      <w:bookmarkEnd w:id="4"/>
      <w:r w:rsidRPr="00E67A4A">
        <w:rPr>
          <w:sz w:val="28"/>
          <w:szCs w:val="28"/>
        </w:rPr>
        <w:t>INTRODUCTION</w:t>
      </w:r>
      <w:r w:rsidR="00E14995" w:rsidRPr="00E67A4A">
        <w:rPr>
          <w:iCs/>
          <w:sz w:val="28"/>
          <w:szCs w:val="28"/>
          <w:lang w:val="en-US"/>
        </w:rPr>
        <w:t xml:space="preserve"> </w:t>
      </w:r>
    </w:p>
    <w:p w:rsidR="001863D4" w:rsidRPr="001863D4" w:rsidRDefault="001863D4" w:rsidP="008E5F4F">
      <w:pPr>
        <w:spacing w:before="0" w:line="240" w:lineRule="auto"/>
        <w:rPr>
          <w:lang w:val="en-US"/>
        </w:rPr>
      </w:pPr>
    </w:p>
    <w:bookmarkEnd w:id="5"/>
    <w:bookmarkEnd w:id="6"/>
    <w:p w:rsidR="001863D4" w:rsidRDefault="00B93506" w:rsidP="008E5F4F">
      <w:pPr>
        <w:spacing w:before="0" w:line="240" w:lineRule="auto"/>
        <w:rPr>
          <w:sz w:val="24"/>
          <w:szCs w:val="24"/>
        </w:rPr>
      </w:pPr>
      <w:r w:rsidRPr="00E67A4A">
        <w:rPr>
          <w:sz w:val="24"/>
          <w:szCs w:val="24"/>
        </w:rPr>
        <w:t xml:space="preserve">In his investigation of construction e-procurement </w:t>
      </w:r>
      <w:r w:rsidR="000B5666" w:rsidRPr="00E67A4A">
        <w:rPr>
          <w:sz w:val="24"/>
          <w:szCs w:val="24"/>
        </w:rPr>
        <w:t xml:space="preserve">Rankin </w:t>
      </w:r>
      <w:r w:rsidR="00890A2A">
        <w:rPr>
          <w:sz w:val="24"/>
          <w:szCs w:val="24"/>
        </w:rPr>
        <w:t>(2006) defines e-procurement as</w:t>
      </w:r>
      <w:r w:rsidRPr="00E67A4A">
        <w:rPr>
          <w:sz w:val="24"/>
          <w:szCs w:val="24"/>
        </w:rPr>
        <w:t xml:space="preserve"> commercial organisation</w:t>
      </w:r>
      <w:r w:rsidR="00890A2A">
        <w:rPr>
          <w:sz w:val="24"/>
          <w:szCs w:val="24"/>
        </w:rPr>
        <w:t>s</w:t>
      </w:r>
      <w:r w:rsidRPr="00E67A4A">
        <w:rPr>
          <w:sz w:val="24"/>
          <w:szCs w:val="24"/>
        </w:rPr>
        <w:t xml:space="preserve"> acquiring</w:t>
      </w:r>
      <w:r w:rsidR="000B5666" w:rsidRPr="00E67A4A">
        <w:rPr>
          <w:sz w:val="24"/>
          <w:szCs w:val="24"/>
        </w:rPr>
        <w:t xml:space="preserve"> and s</w:t>
      </w:r>
      <w:r w:rsidRPr="00E67A4A">
        <w:rPr>
          <w:sz w:val="24"/>
          <w:szCs w:val="24"/>
        </w:rPr>
        <w:t>elling</w:t>
      </w:r>
      <w:r w:rsidR="000B5666" w:rsidRPr="00E67A4A">
        <w:rPr>
          <w:sz w:val="24"/>
          <w:szCs w:val="24"/>
        </w:rPr>
        <w:t xml:space="preserve"> of products and</w:t>
      </w:r>
      <w:r w:rsidRPr="00E67A4A">
        <w:rPr>
          <w:sz w:val="24"/>
          <w:szCs w:val="24"/>
        </w:rPr>
        <w:t xml:space="preserve"> services by electronic means (</w:t>
      </w:r>
      <w:r w:rsidR="000B5666" w:rsidRPr="00E67A4A">
        <w:rPr>
          <w:sz w:val="24"/>
          <w:szCs w:val="24"/>
        </w:rPr>
        <w:t xml:space="preserve">primarily </w:t>
      </w:r>
      <w:r w:rsidRPr="00E67A4A">
        <w:rPr>
          <w:sz w:val="24"/>
          <w:szCs w:val="24"/>
        </w:rPr>
        <w:t>through</w:t>
      </w:r>
      <w:r w:rsidR="000B5666" w:rsidRPr="00E67A4A">
        <w:rPr>
          <w:sz w:val="24"/>
          <w:szCs w:val="24"/>
        </w:rPr>
        <w:t xml:space="preserve"> the internet). Hore et al (1997) </w:t>
      </w:r>
      <w:r w:rsidRPr="00E67A4A">
        <w:rPr>
          <w:sz w:val="24"/>
          <w:szCs w:val="24"/>
        </w:rPr>
        <w:t xml:space="preserve">classified </w:t>
      </w:r>
      <w:r w:rsidR="000B5666" w:rsidRPr="00E67A4A">
        <w:rPr>
          <w:sz w:val="24"/>
          <w:szCs w:val="24"/>
        </w:rPr>
        <w:t xml:space="preserve">tendering </w:t>
      </w:r>
      <w:r w:rsidRPr="00E67A4A">
        <w:rPr>
          <w:sz w:val="24"/>
          <w:szCs w:val="24"/>
        </w:rPr>
        <w:t>a</w:t>
      </w:r>
      <w:r w:rsidR="000B5666" w:rsidRPr="00E67A4A">
        <w:rPr>
          <w:sz w:val="24"/>
          <w:szCs w:val="24"/>
        </w:rPr>
        <w:t>s “</w:t>
      </w:r>
      <w:r w:rsidR="000B5666" w:rsidRPr="00E67A4A">
        <w:rPr>
          <w:i/>
          <w:sz w:val="24"/>
          <w:szCs w:val="24"/>
        </w:rPr>
        <w:t>a procedure to select a suitable contractor, at a time appropriate to the circumstances, and obtain from him at the proper time, an acceptable offer upon which a contract can be let</w:t>
      </w:r>
      <w:r w:rsidR="000B5666" w:rsidRPr="00E67A4A">
        <w:rPr>
          <w:sz w:val="24"/>
          <w:szCs w:val="24"/>
        </w:rPr>
        <w:t xml:space="preserve">.” IDEA (2008) defines </w:t>
      </w:r>
      <w:r w:rsidRPr="00E67A4A">
        <w:rPr>
          <w:sz w:val="24"/>
          <w:szCs w:val="24"/>
        </w:rPr>
        <w:t xml:space="preserve">the scope of the electronic </w:t>
      </w:r>
      <w:r w:rsidR="000B5666" w:rsidRPr="00E67A4A">
        <w:rPr>
          <w:sz w:val="24"/>
          <w:szCs w:val="24"/>
        </w:rPr>
        <w:t>tendering process (e-procurement) as “</w:t>
      </w:r>
      <w:r w:rsidR="000B5666" w:rsidRPr="00E67A4A">
        <w:rPr>
          <w:i/>
          <w:sz w:val="24"/>
          <w:szCs w:val="24"/>
        </w:rPr>
        <w:t xml:space="preserve">an electronic tendering solution that facilitates the complete tendering process from the advertising of the requirement </w:t>
      </w:r>
      <w:r w:rsidR="000B5666" w:rsidRPr="00E67A4A">
        <w:rPr>
          <w:i/>
          <w:sz w:val="24"/>
          <w:szCs w:val="24"/>
        </w:rPr>
        <w:lastRenderedPageBreak/>
        <w:t>through to the placing of the contract</w:t>
      </w:r>
      <w:r w:rsidR="000B5666" w:rsidRPr="00E67A4A">
        <w:rPr>
          <w:sz w:val="24"/>
          <w:szCs w:val="24"/>
        </w:rPr>
        <w:t>”.</w:t>
      </w:r>
      <w:r w:rsidRPr="00E67A4A">
        <w:rPr>
          <w:sz w:val="24"/>
          <w:szCs w:val="24"/>
        </w:rPr>
        <w:t xml:space="preserve"> </w:t>
      </w:r>
      <w:r w:rsidR="000F1620" w:rsidRPr="00E67A4A">
        <w:rPr>
          <w:sz w:val="24"/>
          <w:szCs w:val="24"/>
        </w:rPr>
        <w:t xml:space="preserve">Procurement in construction was determined as being different than that in the goods and services industries by the </w:t>
      </w:r>
      <w:r w:rsidR="00890A2A">
        <w:rPr>
          <w:sz w:val="24"/>
          <w:szCs w:val="24"/>
        </w:rPr>
        <w:t xml:space="preserve">English </w:t>
      </w:r>
      <w:r w:rsidR="000F1620" w:rsidRPr="00E67A4A">
        <w:rPr>
          <w:sz w:val="24"/>
          <w:szCs w:val="24"/>
        </w:rPr>
        <w:t>courts (</w:t>
      </w:r>
      <w:r w:rsidR="000F1620" w:rsidRPr="00E67A4A">
        <w:rPr>
          <w:iCs/>
          <w:sz w:val="24"/>
          <w:szCs w:val="24"/>
          <w:lang w:val="en-US"/>
        </w:rPr>
        <w:t xml:space="preserve">Eastern </w:t>
      </w:r>
      <w:r w:rsidR="000F1620" w:rsidRPr="00E67A4A">
        <w:rPr>
          <w:sz w:val="24"/>
          <w:szCs w:val="24"/>
          <w:lang w:val="en-US"/>
        </w:rPr>
        <w:t xml:space="preserve">v. </w:t>
      </w:r>
      <w:r w:rsidR="000F1620" w:rsidRPr="00E67A4A">
        <w:rPr>
          <w:iCs/>
          <w:sz w:val="24"/>
          <w:szCs w:val="24"/>
          <w:lang w:val="en-US"/>
        </w:rPr>
        <w:t>EME Developments</w:t>
      </w:r>
      <w:r w:rsidR="000F1620" w:rsidRPr="00E67A4A">
        <w:rPr>
          <w:i/>
          <w:iCs/>
          <w:sz w:val="24"/>
          <w:szCs w:val="24"/>
          <w:lang w:val="en-US"/>
        </w:rPr>
        <w:t xml:space="preserve"> </w:t>
      </w:r>
      <w:r w:rsidR="000F1620" w:rsidRPr="00E67A4A">
        <w:rPr>
          <w:sz w:val="24"/>
          <w:szCs w:val="24"/>
          <w:lang w:val="en-US"/>
        </w:rPr>
        <w:t xml:space="preserve">1991 55 BLR 114). This is further emphasized when </w:t>
      </w:r>
      <w:r w:rsidRPr="00E67A4A">
        <w:rPr>
          <w:sz w:val="24"/>
          <w:szCs w:val="24"/>
        </w:rPr>
        <w:t xml:space="preserve">Eadie (2009) shows that the drivers and barriers to e-procurement in construction act differently than those in the goods and services industries. </w:t>
      </w:r>
    </w:p>
    <w:p w:rsidR="000B5666" w:rsidRPr="00E67A4A" w:rsidRDefault="00B93506" w:rsidP="001863D4">
      <w:pPr>
        <w:spacing w:before="0" w:line="240" w:lineRule="auto"/>
        <w:rPr>
          <w:sz w:val="24"/>
          <w:szCs w:val="24"/>
        </w:rPr>
      </w:pPr>
      <w:r w:rsidRPr="00E67A4A">
        <w:rPr>
          <w:sz w:val="24"/>
          <w:szCs w:val="24"/>
        </w:rPr>
        <w:t xml:space="preserve"> </w:t>
      </w:r>
    </w:p>
    <w:p w:rsidR="008E5F4F" w:rsidRDefault="00B93506" w:rsidP="008E5F4F">
      <w:pPr>
        <w:spacing w:before="0" w:line="240" w:lineRule="auto"/>
        <w:rPr>
          <w:sz w:val="24"/>
          <w:szCs w:val="24"/>
        </w:rPr>
      </w:pPr>
      <w:r w:rsidRPr="00E67A4A">
        <w:rPr>
          <w:sz w:val="24"/>
          <w:szCs w:val="24"/>
        </w:rPr>
        <w:t>Martin (2003, 2008) investigated e-procurement use in construction across the United Kingdom</w:t>
      </w:r>
      <w:bookmarkStart w:id="7" w:name="OLE_LINK13"/>
      <w:bookmarkStart w:id="8" w:name="OLE_LINK14"/>
      <w:r w:rsidRPr="00E67A4A">
        <w:rPr>
          <w:sz w:val="24"/>
          <w:szCs w:val="24"/>
        </w:rPr>
        <w:t xml:space="preserve"> from the standpoint of quantity surveying organisations. This left a knowledge gap in the published literature regarding the use of e-procurement </w:t>
      </w:r>
      <w:r w:rsidR="00890A2A">
        <w:rPr>
          <w:sz w:val="24"/>
          <w:szCs w:val="24"/>
        </w:rPr>
        <w:t>by</w:t>
      </w:r>
      <w:r w:rsidRPr="00E67A4A">
        <w:rPr>
          <w:sz w:val="24"/>
          <w:szCs w:val="24"/>
        </w:rPr>
        <w:t xml:space="preserve"> other disciplines within construction. This paper seeks to </w:t>
      </w:r>
      <w:bookmarkStart w:id="9" w:name="OLE_LINK17"/>
      <w:bookmarkStart w:id="10" w:name="OLE_LINK18"/>
      <w:r w:rsidR="000F1620" w:rsidRPr="00E67A4A">
        <w:rPr>
          <w:sz w:val="24"/>
          <w:szCs w:val="24"/>
        </w:rPr>
        <w:t>address this issue</w:t>
      </w:r>
      <w:r w:rsidR="00890A2A">
        <w:rPr>
          <w:sz w:val="24"/>
          <w:szCs w:val="24"/>
        </w:rPr>
        <w:t xml:space="preserve"> by investigating cross disciplinary views on e-procurement</w:t>
      </w:r>
      <w:r w:rsidR="000F1620" w:rsidRPr="00E67A4A">
        <w:rPr>
          <w:sz w:val="24"/>
          <w:szCs w:val="24"/>
        </w:rPr>
        <w:t xml:space="preserve">. Martin (2003, 2008) </w:t>
      </w:r>
      <w:r w:rsidR="003926B4" w:rsidRPr="00E67A4A">
        <w:rPr>
          <w:sz w:val="24"/>
          <w:szCs w:val="24"/>
        </w:rPr>
        <w:t>does</w:t>
      </w:r>
      <w:r w:rsidR="000F1620" w:rsidRPr="00E67A4A">
        <w:rPr>
          <w:sz w:val="24"/>
          <w:szCs w:val="24"/>
        </w:rPr>
        <w:t xml:space="preserve"> not seek to identify the sizes or spend on procurement activities by those quantity surveying organisations who have adopted the use of e-procurement. This paper investigates the correlations between size, procurement spend and </w:t>
      </w:r>
      <w:r w:rsidR="00EF6379" w:rsidRPr="00E67A4A">
        <w:rPr>
          <w:sz w:val="24"/>
          <w:szCs w:val="24"/>
        </w:rPr>
        <w:t>adoption of e-procurement.</w:t>
      </w:r>
      <w:r w:rsidR="000F1620" w:rsidRPr="00E67A4A">
        <w:rPr>
          <w:sz w:val="24"/>
          <w:szCs w:val="24"/>
        </w:rPr>
        <w:t xml:space="preserve">  </w:t>
      </w:r>
    </w:p>
    <w:p w:rsidR="000F1620" w:rsidRDefault="000F1620" w:rsidP="008E5F4F">
      <w:pPr>
        <w:spacing w:before="0" w:line="240" w:lineRule="auto"/>
        <w:rPr>
          <w:sz w:val="24"/>
          <w:szCs w:val="24"/>
        </w:rPr>
      </w:pPr>
      <w:r w:rsidRPr="00E67A4A">
        <w:rPr>
          <w:sz w:val="24"/>
          <w:szCs w:val="24"/>
        </w:rPr>
        <w:t xml:space="preserve"> </w:t>
      </w:r>
    </w:p>
    <w:p w:rsidR="008E5F4F" w:rsidRPr="00E67A4A" w:rsidRDefault="008E5F4F" w:rsidP="008E5F4F">
      <w:pPr>
        <w:spacing w:before="0" w:line="240" w:lineRule="auto"/>
        <w:rPr>
          <w:sz w:val="24"/>
          <w:szCs w:val="24"/>
        </w:rPr>
      </w:pPr>
    </w:p>
    <w:p w:rsidR="00973EE0" w:rsidRDefault="00973EE0" w:rsidP="008E5F4F">
      <w:pPr>
        <w:pStyle w:val="Heading2"/>
        <w:spacing w:before="0" w:line="240" w:lineRule="auto"/>
        <w:rPr>
          <w:iCs/>
          <w:sz w:val="28"/>
          <w:szCs w:val="28"/>
          <w:lang w:val="en-US"/>
        </w:rPr>
      </w:pPr>
      <w:r w:rsidRPr="00E67A4A">
        <w:rPr>
          <w:sz w:val="28"/>
          <w:szCs w:val="28"/>
        </w:rPr>
        <w:t>methodology</w:t>
      </w:r>
      <w:r w:rsidRPr="00E67A4A">
        <w:rPr>
          <w:iCs/>
          <w:sz w:val="28"/>
          <w:szCs w:val="28"/>
          <w:lang w:val="en-US"/>
        </w:rPr>
        <w:t xml:space="preserve"> </w:t>
      </w:r>
    </w:p>
    <w:p w:rsidR="008E5F4F" w:rsidRPr="008E5F4F" w:rsidRDefault="008E5F4F" w:rsidP="008E5F4F">
      <w:pPr>
        <w:rPr>
          <w:lang w:val="en-US"/>
        </w:rPr>
      </w:pPr>
    </w:p>
    <w:p w:rsidR="00627575" w:rsidRPr="00E67A4A" w:rsidRDefault="00627575" w:rsidP="008E5F4F">
      <w:pPr>
        <w:overflowPunct/>
        <w:spacing w:before="0" w:line="240" w:lineRule="auto"/>
        <w:jc w:val="left"/>
        <w:textAlignment w:val="auto"/>
        <w:rPr>
          <w:sz w:val="24"/>
          <w:szCs w:val="24"/>
          <w:lang w:val="en-US" w:eastAsia="en-US"/>
        </w:rPr>
      </w:pPr>
      <w:r w:rsidRPr="00E67A4A">
        <w:rPr>
          <w:sz w:val="24"/>
          <w:szCs w:val="24"/>
          <w:lang w:val="en-US" w:eastAsia="en-US"/>
        </w:rPr>
        <w:t>The research methodolo</w:t>
      </w:r>
      <w:r w:rsidR="002D518B">
        <w:rPr>
          <w:sz w:val="24"/>
          <w:szCs w:val="24"/>
          <w:lang w:val="en-US" w:eastAsia="en-US"/>
        </w:rPr>
        <w:t>gy followed can be summarized to</w:t>
      </w:r>
      <w:r w:rsidRPr="00E67A4A">
        <w:rPr>
          <w:sz w:val="24"/>
          <w:szCs w:val="24"/>
          <w:lang w:val="en-US" w:eastAsia="en-US"/>
        </w:rPr>
        <w:t xml:space="preserve"> the following s</w:t>
      </w:r>
      <w:r w:rsidR="003F3745">
        <w:rPr>
          <w:sz w:val="24"/>
          <w:szCs w:val="24"/>
          <w:lang w:val="en-US" w:eastAsia="en-US"/>
        </w:rPr>
        <w:t>ix</w:t>
      </w:r>
      <w:r w:rsidRPr="00E67A4A">
        <w:rPr>
          <w:sz w:val="24"/>
          <w:szCs w:val="24"/>
          <w:lang w:val="en-US" w:eastAsia="en-US"/>
        </w:rPr>
        <w:t xml:space="preserve"> stages:</w:t>
      </w:r>
    </w:p>
    <w:p w:rsidR="00627575" w:rsidRPr="00E67A4A" w:rsidRDefault="00627575" w:rsidP="00627575">
      <w:pPr>
        <w:overflowPunct/>
        <w:spacing w:before="0" w:line="240" w:lineRule="auto"/>
        <w:jc w:val="left"/>
        <w:textAlignment w:val="auto"/>
        <w:rPr>
          <w:sz w:val="24"/>
          <w:szCs w:val="24"/>
          <w:lang w:val="en-US" w:eastAsia="en-US"/>
        </w:rPr>
      </w:pPr>
    </w:p>
    <w:p w:rsidR="00627575" w:rsidRPr="00E67A4A" w:rsidRDefault="00627575" w:rsidP="00627575">
      <w:pPr>
        <w:overflowPunct/>
        <w:spacing w:before="0" w:line="240" w:lineRule="auto"/>
        <w:ind w:left="720"/>
        <w:jc w:val="left"/>
        <w:textAlignment w:val="auto"/>
        <w:rPr>
          <w:sz w:val="24"/>
          <w:szCs w:val="24"/>
          <w:lang w:val="en-US" w:eastAsia="en-US"/>
        </w:rPr>
      </w:pPr>
      <w:r w:rsidRPr="00E67A4A">
        <w:rPr>
          <w:sz w:val="24"/>
          <w:szCs w:val="24"/>
          <w:lang w:val="en-US" w:eastAsia="en-US"/>
        </w:rPr>
        <w:t xml:space="preserve">1. </w:t>
      </w:r>
      <w:r w:rsidR="00D253FF" w:rsidRPr="00E67A4A">
        <w:rPr>
          <w:sz w:val="24"/>
          <w:szCs w:val="24"/>
          <w:lang w:val="en-US" w:eastAsia="en-US"/>
        </w:rPr>
        <w:t>Pilot Survey</w:t>
      </w:r>
    </w:p>
    <w:p w:rsidR="00627575" w:rsidRPr="00E67A4A" w:rsidRDefault="00627575" w:rsidP="00627575">
      <w:pPr>
        <w:overflowPunct/>
        <w:spacing w:before="0" w:line="240" w:lineRule="auto"/>
        <w:ind w:left="720"/>
        <w:jc w:val="left"/>
        <w:textAlignment w:val="auto"/>
        <w:rPr>
          <w:sz w:val="24"/>
          <w:szCs w:val="24"/>
          <w:lang w:val="en-US" w:eastAsia="en-US"/>
        </w:rPr>
      </w:pPr>
      <w:r w:rsidRPr="00E67A4A">
        <w:rPr>
          <w:sz w:val="24"/>
          <w:szCs w:val="24"/>
          <w:lang w:val="en-US" w:eastAsia="en-US"/>
        </w:rPr>
        <w:t xml:space="preserve">2. </w:t>
      </w:r>
      <w:bookmarkStart w:id="11" w:name="OLE_LINK34"/>
      <w:bookmarkStart w:id="12" w:name="OLE_LINK35"/>
      <w:r w:rsidRPr="00E67A4A">
        <w:rPr>
          <w:sz w:val="24"/>
          <w:szCs w:val="24"/>
          <w:lang w:val="en-US" w:eastAsia="en-US"/>
        </w:rPr>
        <w:t>Sample identification</w:t>
      </w:r>
      <w:r w:rsidR="00D253FF" w:rsidRPr="00E67A4A">
        <w:rPr>
          <w:sz w:val="24"/>
          <w:szCs w:val="24"/>
          <w:lang w:val="en-US" w:eastAsia="en-US"/>
        </w:rPr>
        <w:t xml:space="preserve"> within </w:t>
      </w:r>
      <w:r w:rsidR="00F65C61" w:rsidRPr="00E67A4A">
        <w:rPr>
          <w:sz w:val="24"/>
          <w:szCs w:val="24"/>
          <w:lang w:val="en-US" w:eastAsia="en-US"/>
        </w:rPr>
        <w:t xml:space="preserve">the </w:t>
      </w:r>
      <w:r w:rsidR="00D253FF" w:rsidRPr="00E67A4A">
        <w:rPr>
          <w:sz w:val="24"/>
          <w:szCs w:val="24"/>
          <w:lang w:val="en-US" w:eastAsia="en-US"/>
        </w:rPr>
        <w:t>pilot survey</w:t>
      </w:r>
      <w:bookmarkEnd w:id="11"/>
      <w:bookmarkEnd w:id="12"/>
    </w:p>
    <w:p w:rsidR="00627575" w:rsidRPr="00E67A4A" w:rsidRDefault="00627575" w:rsidP="00627575">
      <w:pPr>
        <w:overflowPunct/>
        <w:spacing w:before="0" w:line="240" w:lineRule="auto"/>
        <w:ind w:left="720"/>
        <w:jc w:val="left"/>
        <w:textAlignment w:val="auto"/>
        <w:rPr>
          <w:sz w:val="24"/>
          <w:szCs w:val="24"/>
          <w:lang w:val="en-US" w:eastAsia="en-US"/>
        </w:rPr>
      </w:pPr>
      <w:r w:rsidRPr="00E67A4A">
        <w:rPr>
          <w:sz w:val="24"/>
          <w:szCs w:val="24"/>
          <w:lang w:val="en-US" w:eastAsia="en-US"/>
        </w:rPr>
        <w:t xml:space="preserve">3. </w:t>
      </w:r>
      <w:r w:rsidR="00D253FF" w:rsidRPr="00E67A4A">
        <w:rPr>
          <w:sz w:val="24"/>
          <w:szCs w:val="24"/>
          <w:lang w:val="en-US" w:eastAsia="en-US"/>
        </w:rPr>
        <w:t>Main Survey</w:t>
      </w:r>
    </w:p>
    <w:p w:rsidR="00D253FF" w:rsidRPr="00E67A4A" w:rsidRDefault="00D253FF" w:rsidP="00627575">
      <w:pPr>
        <w:overflowPunct/>
        <w:spacing w:before="0" w:line="240" w:lineRule="auto"/>
        <w:ind w:left="720"/>
        <w:jc w:val="left"/>
        <w:textAlignment w:val="auto"/>
        <w:rPr>
          <w:sz w:val="24"/>
          <w:szCs w:val="24"/>
          <w:lang w:val="en-US" w:eastAsia="en-US"/>
        </w:rPr>
      </w:pPr>
      <w:r w:rsidRPr="00E67A4A">
        <w:rPr>
          <w:sz w:val="24"/>
          <w:szCs w:val="24"/>
          <w:lang w:val="en-US" w:eastAsia="en-US"/>
        </w:rPr>
        <w:t xml:space="preserve">4. Sample identification within </w:t>
      </w:r>
      <w:r w:rsidR="00F65C61" w:rsidRPr="00E67A4A">
        <w:rPr>
          <w:sz w:val="24"/>
          <w:szCs w:val="24"/>
          <w:lang w:val="en-US" w:eastAsia="en-US"/>
        </w:rPr>
        <w:t xml:space="preserve">the </w:t>
      </w:r>
      <w:r w:rsidRPr="00E67A4A">
        <w:rPr>
          <w:sz w:val="24"/>
          <w:szCs w:val="24"/>
          <w:lang w:val="en-US" w:eastAsia="en-US"/>
        </w:rPr>
        <w:t>main survey</w:t>
      </w:r>
    </w:p>
    <w:p w:rsidR="00627575" w:rsidRPr="00E67A4A" w:rsidRDefault="00D253FF" w:rsidP="003F3745">
      <w:pPr>
        <w:overflowPunct/>
        <w:spacing w:before="0" w:line="240" w:lineRule="auto"/>
        <w:ind w:left="720"/>
        <w:jc w:val="left"/>
        <w:textAlignment w:val="auto"/>
        <w:rPr>
          <w:sz w:val="24"/>
          <w:szCs w:val="24"/>
          <w:lang w:val="en-US" w:eastAsia="en-US"/>
        </w:rPr>
      </w:pPr>
      <w:r w:rsidRPr="00E67A4A">
        <w:rPr>
          <w:sz w:val="24"/>
          <w:szCs w:val="24"/>
          <w:lang w:val="en-US" w:eastAsia="en-US"/>
        </w:rPr>
        <w:t>5</w:t>
      </w:r>
      <w:r w:rsidR="00627575" w:rsidRPr="00E67A4A">
        <w:rPr>
          <w:sz w:val="24"/>
          <w:szCs w:val="24"/>
          <w:lang w:val="en-US" w:eastAsia="en-US"/>
        </w:rPr>
        <w:t xml:space="preserve">. Telephone </w:t>
      </w:r>
      <w:r w:rsidR="003F3745">
        <w:rPr>
          <w:sz w:val="24"/>
          <w:szCs w:val="24"/>
          <w:lang w:val="en-US" w:eastAsia="en-US"/>
        </w:rPr>
        <w:t xml:space="preserve">and web-based </w:t>
      </w:r>
      <w:r w:rsidRPr="00E67A4A">
        <w:rPr>
          <w:sz w:val="24"/>
          <w:szCs w:val="24"/>
          <w:lang w:val="en-US" w:eastAsia="en-US"/>
        </w:rPr>
        <w:t>survey</w:t>
      </w:r>
      <w:r w:rsidR="003F3745">
        <w:rPr>
          <w:sz w:val="24"/>
          <w:szCs w:val="24"/>
          <w:lang w:val="en-US" w:eastAsia="en-US"/>
        </w:rPr>
        <w:t>s</w:t>
      </w:r>
    </w:p>
    <w:p w:rsidR="00453ADA" w:rsidRDefault="003F3745" w:rsidP="00990E82">
      <w:pPr>
        <w:overflowPunct/>
        <w:spacing w:before="0" w:line="240" w:lineRule="auto"/>
        <w:ind w:left="720"/>
        <w:jc w:val="left"/>
        <w:textAlignment w:val="auto"/>
        <w:rPr>
          <w:sz w:val="24"/>
          <w:szCs w:val="24"/>
          <w:lang w:val="en-US" w:eastAsia="en-US"/>
        </w:rPr>
      </w:pPr>
      <w:r>
        <w:rPr>
          <w:sz w:val="24"/>
          <w:szCs w:val="24"/>
          <w:lang w:val="en-US" w:eastAsia="en-US"/>
        </w:rPr>
        <w:t>6</w:t>
      </w:r>
      <w:r w:rsidR="00627575" w:rsidRPr="00E67A4A">
        <w:rPr>
          <w:sz w:val="24"/>
          <w:szCs w:val="24"/>
          <w:lang w:val="en-US" w:eastAsia="en-US"/>
        </w:rPr>
        <w:t xml:space="preserve">. </w:t>
      </w:r>
      <w:r w:rsidR="00D253FF" w:rsidRPr="00E67A4A">
        <w:rPr>
          <w:sz w:val="24"/>
          <w:szCs w:val="24"/>
          <w:lang w:val="en-US" w:eastAsia="en-US"/>
        </w:rPr>
        <w:t>Analysis of results</w:t>
      </w:r>
    </w:p>
    <w:p w:rsidR="008E5F4F" w:rsidRDefault="008E5F4F" w:rsidP="008E5F4F">
      <w:pPr>
        <w:overflowPunct/>
        <w:spacing w:before="0" w:line="240" w:lineRule="auto"/>
        <w:jc w:val="left"/>
        <w:textAlignment w:val="auto"/>
        <w:rPr>
          <w:sz w:val="24"/>
          <w:szCs w:val="24"/>
          <w:lang w:val="en-US" w:eastAsia="en-US"/>
        </w:rPr>
      </w:pPr>
    </w:p>
    <w:p w:rsidR="002D518B" w:rsidRDefault="002D518B" w:rsidP="008E5F4F">
      <w:pPr>
        <w:overflowPunct/>
        <w:spacing w:before="0" w:line="240" w:lineRule="auto"/>
        <w:jc w:val="left"/>
        <w:textAlignment w:val="auto"/>
        <w:rPr>
          <w:sz w:val="24"/>
          <w:szCs w:val="24"/>
          <w:lang w:val="en-US" w:eastAsia="en-US"/>
        </w:rPr>
      </w:pPr>
      <w:r>
        <w:rPr>
          <w:sz w:val="24"/>
          <w:szCs w:val="24"/>
          <w:lang w:val="en-US" w:eastAsia="en-US"/>
        </w:rPr>
        <w:t>These are explained in detail in the forthcoming subsections.</w:t>
      </w:r>
    </w:p>
    <w:p w:rsidR="002D518B" w:rsidRPr="00E67A4A" w:rsidRDefault="002D518B" w:rsidP="008E5F4F">
      <w:pPr>
        <w:overflowPunct/>
        <w:spacing w:before="0" w:line="240" w:lineRule="auto"/>
        <w:jc w:val="left"/>
        <w:textAlignment w:val="auto"/>
        <w:rPr>
          <w:sz w:val="24"/>
          <w:szCs w:val="24"/>
          <w:lang w:val="en-US" w:eastAsia="en-US"/>
        </w:rPr>
      </w:pPr>
    </w:p>
    <w:p w:rsidR="00453ADA" w:rsidRDefault="009B3142" w:rsidP="008E5F4F">
      <w:pPr>
        <w:pStyle w:val="Heading3"/>
        <w:numPr>
          <w:ilvl w:val="2"/>
          <w:numId w:val="4"/>
        </w:numPr>
        <w:spacing w:before="0" w:line="240" w:lineRule="auto"/>
        <w:textAlignment w:val="auto"/>
      </w:pPr>
      <w:bookmarkStart w:id="13" w:name="OLE_LINK38"/>
      <w:bookmarkStart w:id="14" w:name="OLE_LINK39"/>
      <w:bookmarkStart w:id="15" w:name="OLE_LINK40"/>
      <w:bookmarkStart w:id="16" w:name="OLE_LINK41"/>
      <w:r>
        <w:t>Pilot Survey</w:t>
      </w:r>
    </w:p>
    <w:bookmarkEnd w:id="13"/>
    <w:bookmarkEnd w:id="14"/>
    <w:p w:rsidR="00F65C61" w:rsidRDefault="00F65C61" w:rsidP="008E5F4F">
      <w:pPr>
        <w:overflowPunct/>
        <w:spacing w:before="0" w:line="240" w:lineRule="auto"/>
        <w:jc w:val="left"/>
        <w:textAlignment w:val="auto"/>
        <w:rPr>
          <w:lang w:val="en-US" w:eastAsia="en-US"/>
        </w:rPr>
      </w:pPr>
    </w:p>
    <w:p w:rsidR="00F65C61" w:rsidRDefault="00887E1A" w:rsidP="008E5F4F">
      <w:pPr>
        <w:overflowPunct/>
        <w:spacing w:before="0" w:line="240" w:lineRule="auto"/>
        <w:jc w:val="left"/>
        <w:textAlignment w:val="auto"/>
        <w:rPr>
          <w:sz w:val="24"/>
          <w:szCs w:val="24"/>
          <w:lang w:val="en-US" w:eastAsia="en-US"/>
        </w:rPr>
      </w:pPr>
      <w:r w:rsidRPr="00E67A4A">
        <w:rPr>
          <w:sz w:val="24"/>
          <w:szCs w:val="24"/>
          <w:lang w:val="en-US" w:eastAsia="en-US"/>
        </w:rPr>
        <w:t>The pilot study focused on construction contractors. A list representing Contractors who had registered interest in or tendered for Roads Service contracts</w:t>
      </w:r>
      <w:r w:rsidR="000C1451" w:rsidRPr="00E67A4A">
        <w:rPr>
          <w:sz w:val="24"/>
          <w:szCs w:val="24"/>
          <w:lang w:val="en-US" w:eastAsia="en-US"/>
        </w:rPr>
        <w:t xml:space="preserve"> in Northern Ireland</w:t>
      </w:r>
      <w:r w:rsidRPr="00E67A4A">
        <w:rPr>
          <w:sz w:val="24"/>
          <w:szCs w:val="24"/>
          <w:lang w:val="en-US" w:eastAsia="en-US"/>
        </w:rPr>
        <w:t xml:space="preserve"> over the previous four years was obtained.</w:t>
      </w:r>
      <w:r w:rsidR="00D6749C" w:rsidRPr="00E67A4A">
        <w:rPr>
          <w:sz w:val="24"/>
          <w:szCs w:val="24"/>
          <w:lang w:val="en-US" w:eastAsia="en-US"/>
        </w:rPr>
        <w:t xml:space="preserve"> As Roads Service had adopted an e-procurement system in late 2001 this ensure</w:t>
      </w:r>
      <w:r w:rsidR="00990E82">
        <w:rPr>
          <w:sz w:val="24"/>
          <w:szCs w:val="24"/>
          <w:lang w:val="en-US" w:eastAsia="en-US"/>
        </w:rPr>
        <w:t>d</w:t>
      </w:r>
      <w:r w:rsidR="00D6749C" w:rsidRPr="00E67A4A">
        <w:rPr>
          <w:sz w:val="24"/>
          <w:szCs w:val="24"/>
          <w:lang w:val="en-US" w:eastAsia="en-US"/>
        </w:rPr>
        <w:t xml:space="preserve"> that the information gained would be from those familiar with e-procurement in construction.</w:t>
      </w:r>
      <w:r w:rsidR="00D23077">
        <w:rPr>
          <w:sz w:val="24"/>
          <w:szCs w:val="24"/>
          <w:lang w:val="en-US" w:eastAsia="en-US"/>
        </w:rPr>
        <w:t xml:space="preserve"> The pilot survey served the purpose of testing the methodology adopted and the nature of questions posed.</w:t>
      </w:r>
    </w:p>
    <w:p w:rsidR="008E5F4F" w:rsidRPr="00E67A4A" w:rsidRDefault="008E5F4F" w:rsidP="008E5F4F">
      <w:pPr>
        <w:overflowPunct/>
        <w:spacing w:before="0" w:line="240" w:lineRule="auto"/>
        <w:jc w:val="left"/>
        <w:textAlignment w:val="auto"/>
        <w:rPr>
          <w:sz w:val="24"/>
          <w:szCs w:val="24"/>
          <w:lang w:val="en-US" w:eastAsia="en-US"/>
        </w:rPr>
      </w:pPr>
    </w:p>
    <w:p w:rsidR="00F65C61" w:rsidRDefault="00F65C61" w:rsidP="008E5F4F">
      <w:pPr>
        <w:pStyle w:val="Heading3"/>
        <w:numPr>
          <w:ilvl w:val="2"/>
          <w:numId w:val="4"/>
        </w:numPr>
        <w:spacing w:before="0" w:line="240" w:lineRule="auto"/>
        <w:textAlignment w:val="auto"/>
      </w:pPr>
      <w:r>
        <w:t>Sample identification within the Pilot Survey</w:t>
      </w:r>
    </w:p>
    <w:bookmarkEnd w:id="15"/>
    <w:bookmarkEnd w:id="16"/>
    <w:p w:rsidR="00F65C61" w:rsidRDefault="00F65C61" w:rsidP="008E5F4F">
      <w:pPr>
        <w:overflowPunct/>
        <w:spacing w:before="0" w:line="240" w:lineRule="auto"/>
        <w:jc w:val="left"/>
        <w:textAlignment w:val="auto"/>
        <w:rPr>
          <w:lang w:val="en-US" w:eastAsia="en-US"/>
        </w:rPr>
      </w:pPr>
    </w:p>
    <w:p w:rsidR="00F65C61" w:rsidRDefault="00F65C61" w:rsidP="00EA5549">
      <w:pPr>
        <w:overflowPunct/>
        <w:spacing w:before="0" w:line="240" w:lineRule="auto"/>
        <w:jc w:val="left"/>
        <w:textAlignment w:val="auto"/>
        <w:rPr>
          <w:sz w:val="24"/>
          <w:szCs w:val="24"/>
          <w:lang w:val="en-US" w:eastAsia="en-US"/>
        </w:rPr>
      </w:pPr>
      <w:r w:rsidRPr="00E67A4A">
        <w:rPr>
          <w:sz w:val="24"/>
          <w:szCs w:val="24"/>
          <w:lang w:val="en-US" w:eastAsia="en-US"/>
        </w:rPr>
        <w:t>The Roads Service sample contained 70 contractors, out of a total of 114 civil engineering contractors registered with the Construction Industry Training Board (CITB) in Northern Ireland. This was regarded as being more representative of the Northern Ireland Construction Industry contractors than a random sample. This ensured this sample was homogeneous with all members having shared convictions and beliefs, thus reducing ambiguity (Naoum, 1995).</w:t>
      </w:r>
    </w:p>
    <w:p w:rsidR="00EA5549" w:rsidRPr="00E67A4A" w:rsidRDefault="00EA5549" w:rsidP="00EA5549">
      <w:pPr>
        <w:overflowPunct/>
        <w:spacing w:before="0" w:line="240" w:lineRule="auto"/>
        <w:jc w:val="left"/>
        <w:textAlignment w:val="auto"/>
        <w:rPr>
          <w:sz w:val="24"/>
          <w:szCs w:val="24"/>
          <w:lang w:val="en-US" w:eastAsia="en-US"/>
        </w:rPr>
      </w:pPr>
    </w:p>
    <w:p w:rsidR="00F65C61" w:rsidRDefault="00F65C61" w:rsidP="00EA5549">
      <w:pPr>
        <w:pStyle w:val="Heading3"/>
        <w:numPr>
          <w:ilvl w:val="2"/>
          <w:numId w:val="4"/>
        </w:numPr>
        <w:spacing w:before="0" w:line="240" w:lineRule="auto"/>
        <w:textAlignment w:val="auto"/>
      </w:pPr>
      <w:r>
        <w:t>Main Survey</w:t>
      </w:r>
    </w:p>
    <w:p w:rsidR="00F65C61" w:rsidRDefault="00F65C61" w:rsidP="00EA5549">
      <w:pPr>
        <w:overflowPunct/>
        <w:spacing w:before="0" w:line="240" w:lineRule="auto"/>
        <w:jc w:val="left"/>
        <w:rPr>
          <w:lang w:val="en-US" w:eastAsia="en-US"/>
        </w:rPr>
      </w:pPr>
    </w:p>
    <w:p w:rsidR="00F65C61" w:rsidRDefault="00AC556D" w:rsidP="00EA5549">
      <w:pPr>
        <w:overflowPunct/>
        <w:spacing w:before="0" w:line="240" w:lineRule="auto"/>
        <w:jc w:val="left"/>
        <w:rPr>
          <w:sz w:val="24"/>
          <w:szCs w:val="24"/>
        </w:rPr>
      </w:pPr>
      <w:r w:rsidRPr="00E67A4A">
        <w:rPr>
          <w:sz w:val="24"/>
          <w:szCs w:val="24"/>
          <w:lang w:val="en-US" w:eastAsia="en-US"/>
        </w:rPr>
        <w:lastRenderedPageBreak/>
        <w:t xml:space="preserve">The main survey was used to investigate e-procurement use across all parts of the United Kingdom, namely England, Scotland, Wales and Northern Ireland. </w:t>
      </w:r>
      <w:r w:rsidR="0022239F" w:rsidRPr="00E67A4A">
        <w:rPr>
          <w:sz w:val="24"/>
          <w:szCs w:val="24"/>
          <w:lang w:val="en-US" w:eastAsia="en-US"/>
        </w:rPr>
        <w:t>To ensure that the knowledge gap identified in the introduction was addressed a variety of disciplines within construction were surveyed. These included quantity</w:t>
      </w:r>
      <w:r w:rsidRPr="00E67A4A">
        <w:rPr>
          <w:sz w:val="24"/>
          <w:szCs w:val="24"/>
          <w:lang w:val="en-US" w:eastAsia="en-US"/>
        </w:rPr>
        <w:t xml:space="preserve"> </w:t>
      </w:r>
      <w:r w:rsidR="0022239F" w:rsidRPr="00E67A4A">
        <w:rPr>
          <w:sz w:val="24"/>
          <w:szCs w:val="24"/>
        </w:rPr>
        <w:t>surveyors, public sector clients, architects, private sector clients and consulting engineers</w:t>
      </w:r>
      <w:r w:rsidR="00E67A4A">
        <w:rPr>
          <w:sz w:val="24"/>
          <w:szCs w:val="24"/>
        </w:rPr>
        <w:t>.</w:t>
      </w:r>
    </w:p>
    <w:p w:rsidR="00EA5549" w:rsidRPr="00E67A4A" w:rsidRDefault="00EA5549" w:rsidP="00EA5549">
      <w:pPr>
        <w:overflowPunct/>
        <w:spacing w:before="0" w:line="240" w:lineRule="auto"/>
        <w:jc w:val="left"/>
        <w:rPr>
          <w:sz w:val="24"/>
          <w:szCs w:val="24"/>
          <w:lang w:val="en-US" w:eastAsia="en-US"/>
        </w:rPr>
      </w:pPr>
    </w:p>
    <w:p w:rsidR="00F65C61" w:rsidRDefault="00F65C61" w:rsidP="00EA5549">
      <w:pPr>
        <w:pStyle w:val="Heading3"/>
        <w:numPr>
          <w:ilvl w:val="2"/>
          <w:numId w:val="4"/>
        </w:numPr>
        <w:spacing w:before="0" w:line="240" w:lineRule="auto"/>
        <w:textAlignment w:val="auto"/>
      </w:pPr>
      <w:bookmarkStart w:id="17" w:name="OLE_LINK42"/>
      <w:bookmarkStart w:id="18" w:name="OLE_LINK43"/>
      <w:r>
        <w:t xml:space="preserve">Sample identification within the </w:t>
      </w:r>
      <w:r w:rsidR="004C5B60">
        <w:t>Main</w:t>
      </w:r>
      <w:r>
        <w:t xml:space="preserve"> Survey</w:t>
      </w:r>
      <w:r w:rsidR="003F3745">
        <w:t xml:space="preserve"> </w:t>
      </w:r>
    </w:p>
    <w:p w:rsidR="00EA5549" w:rsidRPr="00EA5549" w:rsidRDefault="00EA5549" w:rsidP="00EA5549"/>
    <w:bookmarkEnd w:id="17"/>
    <w:bookmarkEnd w:id="18"/>
    <w:p w:rsidR="004C5B60" w:rsidRDefault="007B600B" w:rsidP="00EA5549">
      <w:pPr>
        <w:spacing w:before="0" w:line="240" w:lineRule="auto"/>
        <w:rPr>
          <w:sz w:val="24"/>
          <w:szCs w:val="24"/>
        </w:rPr>
      </w:pPr>
      <w:r w:rsidRPr="00E67A4A">
        <w:rPr>
          <w:sz w:val="24"/>
          <w:szCs w:val="24"/>
        </w:rPr>
        <w:t xml:space="preserve">A total of 775 construction organisations were </w:t>
      </w:r>
      <w:r w:rsidR="00F65C61" w:rsidRPr="00E67A4A">
        <w:rPr>
          <w:sz w:val="24"/>
          <w:szCs w:val="24"/>
        </w:rPr>
        <w:t xml:space="preserve">identified and </w:t>
      </w:r>
      <w:r w:rsidRPr="00E67A4A">
        <w:rPr>
          <w:sz w:val="24"/>
          <w:szCs w:val="24"/>
        </w:rPr>
        <w:t>surveyed from January to March 2008</w:t>
      </w:r>
      <w:r w:rsidR="006F5BAA" w:rsidRPr="00E67A4A">
        <w:rPr>
          <w:sz w:val="24"/>
          <w:szCs w:val="24"/>
        </w:rPr>
        <w:t xml:space="preserve">: namely, 483 </w:t>
      </w:r>
      <w:bookmarkStart w:id="19" w:name="OLE_LINK44"/>
      <w:bookmarkStart w:id="20" w:name="OLE_LINK45"/>
      <w:r w:rsidR="006F5BAA" w:rsidRPr="00E67A4A">
        <w:rPr>
          <w:sz w:val="24"/>
          <w:szCs w:val="24"/>
        </w:rPr>
        <w:t>surveyors, 42 Public Sector clients, 172 Architects, 35 Private sector clients and 43 Consulting Engineers</w:t>
      </w:r>
      <w:bookmarkEnd w:id="19"/>
      <w:bookmarkEnd w:id="20"/>
      <w:r w:rsidRPr="00E67A4A">
        <w:rPr>
          <w:sz w:val="24"/>
          <w:szCs w:val="24"/>
        </w:rPr>
        <w:t>. A total of 42 Public Sector Clients were identified from published sources such as the “Local gov” website and the yellow pages for Central Government departments. A further 35 private sector clients were identified from a list of clients who had carried out housing scheme work. The study included all 172 architects listed on the Royal Institute of British Architects, Northern Ireland. All 43 consulting engineers who were members of the Association of Consulting Engineers, Northern Ireland were also included in the study.</w:t>
      </w:r>
    </w:p>
    <w:p w:rsidR="00EA5549" w:rsidRPr="00E67A4A" w:rsidRDefault="00EA5549" w:rsidP="00EA5549">
      <w:pPr>
        <w:spacing w:before="0" w:line="240" w:lineRule="auto"/>
        <w:rPr>
          <w:sz w:val="24"/>
          <w:szCs w:val="24"/>
        </w:rPr>
      </w:pPr>
    </w:p>
    <w:p w:rsidR="004C5B60" w:rsidRDefault="004C5B60" w:rsidP="00EA5549">
      <w:pPr>
        <w:pStyle w:val="Heading3"/>
        <w:numPr>
          <w:ilvl w:val="2"/>
          <w:numId w:val="4"/>
        </w:numPr>
        <w:spacing w:before="0" w:line="240" w:lineRule="auto"/>
        <w:textAlignment w:val="auto"/>
      </w:pPr>
      <w:bookmarkStart w:id="21" w:name="OLE_LINK3"/>
      <w:bookmarkStart w:id="22" w:name="OLE_LINK4"/>
      <w:r>
        <w:t xml:space="preserve">Telephone </w:t>
      </w:r>
      <w:r w:rsidR="003F3745">
        <w:t xml:space="preserve"> and web-based </w:t>
      </w:r>
      <w:r>
        <w:t>Survey</w:t>
      </w:r>
      <w:r w:rsidR="003F3745">
        <w:t>s</w:t>
      </w:r>
    </w:p>
    <w:p w:rsidR="00EA5549" w:rsidRPr="00EA5549" w:rsidRDefault="00EA5549" w:rsidP="00EA5549"/>
    <w:p w:rsidR="00640E36" w:rsidRDefault="007B600B" w:rsidP="00EA5549">
      <w:pPr>
        <w:spacing w:before="0" w:line="240" w:lineRule="auto"/>
        <w:rPr>
          <w:sz w:val="24"/>
          <w:szCs w:val="24"/>
        </w:rPr>
      </w:pPr>
      <w:r w:rsidRPr="00E67A4A">
        <w:rPr>
          <w:sz w:val="24"/>
          <w:szCs w:val="24"/>
        </w:rPr>
        <w:t xml:space="preserve">All the organisations </w:t>
      </w:r>
      <w:r w:rsidR="006F5BAA" w:rsidRPr="00E67A4A">
        <w:rPr>
          <w:sz w:val="24"/>
          <w:szCs w:val="24"/>
        </w:rPr>
        <w:t xml:space="preserve">mentioned in section 2.4 </w:t>
      </w:r>
      <w:r w:rsidRPr="00E67A4A">
        <w:rPr>
          <w:sz w:val="24"/>
          <w:szCs w:val="24"/>
        </w:rPr>
        <w:t>were contacted by telephone to confirm they had e-procurement experience and were willing to partake in the survey. Once these conditions were met they were then asked to complete the web-based survey. The study provided statistics for use of e-procurement within the United Kingdom across the dis</w:t>
      </w:r>
      <w:bookmarkStart w:id="23" w:name="_Ref214036191"/>
      <w:r w:rsidR="00640E36" w:rsidRPr="00E67A4A">
        <w:rPr>
          <w:sz w:val="24"/>
          <w:szCs w:val="24"/>
        </w:rPr>
        <w:t xml:space="preserve">ciplines. A breakdown of the response rates for the telephone survey is included in </w:t>
      </w:r>
      <w:fldSimple w:instr=" REF _Ref238965617 \h  \* MERGEFORMAT ">
        <w:r w:rsidR="00640E36" w:rsidRPr="00E67A4A">
          <w:rPr>
            <w:sz w:val="24"/>
            <w:szCs w:val="24"/>
          </w:rPr>
          <w:t xml:space="preserve">Table </w:t>
        </w:r>
        <w:r w:rsidR="00640E36" w:rsidRPr="00E67A4A">
          <w:rPr>
            <w:noProof/>
            <w:sz w:val="24"/>
            <w:szCs w:val="24"/>
          </w:rPr>
          <w:t>1</w:t>
        </w:r>
      </w:fldSimple>
      <w:r w:rsidR="00640E36" w:rsidRPr="00E67A4A">
        <w:rPr>
          <w:sz w:val="24"/>
          <w:szCs w:val="24"/>
        </w:rPr>
        <w:t>.</w:t>
      </w:r>
      <w:r w:rsidR="008865B9" w:rsidRPr="00E67A4A">
        <w:rPr>
          <w:sz w:val="24"/>
          <w:szCs w:val="24"/>
        </w:rPr>
        <w:t xml:space="preserve"> </w:t>
      </w:r>
      <w:bookmarkStart w:id="24" w:name="OLE_LINK15"/>
      <w:bookmarkStart w:id="25" w:name="OLE_LINK16"/>
      <w:r w:rsidR="008865B9" w:rsidRPr="00E67A4A">
        <w:rPr>
          <w:sz w:val="24"/>
          <w:szCs w:val="24"/>
        </w:rPr>
        <w:t xml:space="preserve">Martin (2008) shows that less than 20% of the Quantity Surveying organisations said that they carried out e-procurement in construction. The current research produced a similar result showing a slight increase with 25% of Quantity Surveying organisations </w:t>
      </w:r>
      <w:r w:rsidR="00FD57CB" w:rsidRPr="00E67A4A">
        <w:rPr>
          <w:sz w:val="24"/>
          <w:szCs w:val="24"/>
        </w:rPr>
        <w:t xml:space="preserve">surveyed </w:t>
      </w:r>
      <w:r w:rsidR="008865B9" w:rsidRPr="00E67A4A">
        <w:rPr>
          <w:sz w:val="24"/>
          <w:szCs w:val="24"/>
        </w:rPr>
        <w:t>using e-procurement.</w:t>
      </w:r>
      <w:bookmarkEnd w:id="24"/>
      <w:bookmarkEnd w:id="25"/>
      <w:r w:rsidR="00C81BC8" w:rsidRPr="00E67A4A">
        <w:rPr>
          <w:sz w:val="24"/>
          <w:szCs w:val="24"/>
        </w:rPr>
        <w:t xml:space="preserve"> It further shows that public sector clients are the leaders in relation to e-procurement adoption with 47% adopting e-procurement. The industry average value from </w:t>
      </w:r>
      <w:fldSimple w:instr=" REF _Ref238965617 \h  \* MERGEFORMAT ">
        <w:r w:rsidR="00C81BC8" w:rsidRPr="00E67A4A">
          <w:rPr>
            <w:sz w:val="24"/>
            <w:szCs w:val="24"/>
          </w:rPr>
          <w:t xml:space="preserve">Table </w:t>
        </w:r>
        <w:r w:rsidR="00C81BC8" w:rsidRPr="00E67A4A">
          <w:rPr>
            <w:noProof/>
            <w:sz w:val="24"/>
            <w:szCs w:val="24"/>
          </w:rPr>
          <w:t>1</w:t>
        </w:r>
      </w:fldSimple>
      <w:r w:rsidR="00C81BC8" w:rsidRPr="00E67A4A">
        <w:rPr>
          <w:sz w:val="24"/>
          <w:szCs w:val="24"/>
        </w:rPr>
        <w:t xml:space="preserve"> is 27%.</w:t>
      </w:r>
    </w:p>
    <w:p w:rsidR="00EA5549" w:rsidRPr="00E67A4A" w:rsidRDefault="00EA5549" w:rsidP="00EA5549">
      <w:pPr>
        <w:spacing w:before="0" w:line="240" w:lineRule="auto"/>
        <w:rPr>
          <w:sz w:val="24"/>
          <w:szCs w:val="24"/>
        </w:rPr>
      </w:pPr>
    </w:p>
    <w:p w:rsidR="00640E36" w:rsidRDefault="00640E36" w:rsidP="00640E36">
      <w:pPr>
        <w:pStyle w:val="Caption"/>
      </w:pPr>
      <w:bookmarkStart w:id="26" w:name="_Ref238965617"/>
      <w:r>
        <w:t xml:space="preserve">Table </w:t>
      </w:r>
      <w:fldSimple w:instr=" SEQ Table \* ARABIC ">
        <w:r>
          <w:rPr>
            <w:noProof/>
          </w:rPr>
          <w:t>1</w:t>
        </w:r>
      </w:fldSimple>
      <w:bookmarkEnd w:id="23"/>
      <w:bookmarkEnd w:id="26"/>
      <w:r>
        <w:t xml:space="preserve"> Sample Valid Response Breakdown by Discipline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993"/>
        <w:gridCol w:w="1559"/>
        <w:gridCol w:w="1417"/>
        <w:gridCol w:w="1560"/>
      </w:tblGrid>
      <w:tr w:rsidR="006F1B7C" w:rsidRPr="00672C47" w:rsidTr="006F1B7C">
        <w:trPr>
          <w:trHeight w:val="1320"/>
        </w:trPr>
        <w:tc>
          <w:tcPr>
            <w:tcW w:w="1526" w:type="dxa"/>
            <w:shd w:val="clear" w:color="auto" w:fill="4F81BD" w:themeFill="accent1"/>
            <w:noWrap/>
            <w:hideMark/>
          </w:tcPr>
          <w:p w:rsidR="006F1B7C" w:rsidRPr="00F90D9A" w:rsidRDefault="006F1B7C" w:rsidP="00F01919">
            <w:pPr>
              <w:pStyle w:val="Normal-Table"/>
              <w:jc w:val="left"/>
              <w:rPr>
                <w:b/>
                <w:bCs/>
                <w:color w:val="000000"/>
              </w:rPr>
            </w:pPr>
            <w:r w:rsidRPr="00F90D9A">
              <w:rPr>
                <w:b/>
                <w:bCs/>
                <w:color w:val="000000"/>
              </w:rPr>
              <w:t>Discipline </w:t>
            </w:r>
          </w:p>
        </w:tc>
        <w:tc>
          <w:tcPr>
            <w:tcW w:w="1417" w:type="dxa"/>
            <w:shd w:val="clear" w:color="auto" w:fill="4F81BD" w:themeFill="accent1"/>
            <w:hideMark/>
          </w:tcPr>
          <w:p w:rsidR="006F1B7C" w:rsidRPr="00F90D9A" w:rsidRDefault="006F1B7C" w:rsidP="00F01919">
            <w:pPr>
              <w:pStyle w:val="Normal-Table"/>
              <w:jc w:val="left"/>
              <w:rPr>
                <w:b/>
                <w:bCs/>
                <w:color w:val="000000"/>
              </w:rPr>
            </w:pPr>
            <w:r w:rsidRPr="00F90D9A">
              <w:rPr>
                <w:b/>
                <w:bCs/>
                <w:color w:val="000000"/>
              </w:rPr>
              <w:t>Total N</w:t>
            </w:r>
            <w:r>
              <w:rPr>
                <w:b/>
                <w:bCs/>
                <w:color w:val="000000"/>
              </w:rPr>
              <w:t>umber</w:t>
            </w:r>
            <w:r w:rsidRPr="00F90D9A">
              <w:rPr>
                <w:b/>
                <w:bCs/>
                <w:color w:val="000000"/>
              </w:rPr>
              <w:t xml:space="preserve"> of Organisations</w:t>
            </w:r>
          </w:p>
        </w:tc>
        <w:tc>
          <w:tcPr>
            <w:tcW w:w="993" w:type="dxa"/>
            <w:shd w:val="clear" w:color="auto" w:fill="4F81BD" w:themeFill="accent1"/>
          </w:tcPr>
          <w:p w:rsidR="006F1B7C" w:rsidRPr="00F90D9A" w:rsidRDefault="006F1B7C" w:rsidP="00F01919">
            <w:pPr>
              <w:pStyle w:val="Normal-Table"/>
              <w:jc w:val="left"/>
              <w:rPr>
                <w:b/>
                <w:bCs/>
                <w:color w:val="000000"/>
              </w:rPr>
            </w:pPr>
            <w:r w:rsidRPr="00F90D9A">
              <w:rPr>
                <w:b/>
                <w:bCs/>
                <w:color w:val="000000"/>
              </w:rPr>
              <w:t>% valid response</w:t>
            </w:r>
          </w:p>
        </w:tc>
        <w:tc>
          <w:tcPr>
            <w:tcW w:w="1559" w:type="dxa"/>
            <w:shd w:val="clear" w:color="auto" w:fill="4F81BD" w:themeFill="accent1"/>
            <w:hideMark/>
          </w:tcPr>
          <w:p w:rsidR="006F1B7C" w:rsidRDefault="006F1B7C" w:rsidP="00F01919">
            <w:pPr>
              <w:pStyle w:val="Normal-Table"/>
              <w:jc w:val="left"/>
              <w:rPr>
                <w:b/>
                <w:bCs/>
                <w:color w:val="000000"/>
              </w:rPr>
            </w:pPr>
            <w:r w:rsidRPr="00F90D9A">
              <w:rPr>
                <w:b/>
                <w:bCs/>
                <w:color w:val="000000"/>
              </w:rPr>
              <w:t xml:space="preserve">Number  using </w:t>
            </w:r>
          </w:p>
          <w:p w:rsidR="006F1B7C" w:rsidRDefault="006F1B7C" w:rsidP="00F01919">
            <w:pPr>
              <w:pStyle w:val="Normal-Table"/>
              <w:jc w:val="left"/>
              <w:rPr>
                <w:b/>
                <w:bCs/>
                <w:color w:val="000000"/>
              </w:rPr>
            </w:pPr>
            <w:bookmarkStart w:id="27" w:name="OLE_LINK21"/>
            <w:bookmarkStart w:id="28" w:name="OLE_LINK22"/>
            <w:r>
              <w:rPr>
                <w:b/>
                <w:bCs/>
                <w:color w:val="000000"/>
              </w:rPr>
              <w:t>E-</w:t>
            </w:r>
            <w:r w:rsidRPr="00F90D9A">
              <w:rPr>
                <w:b/>
                <w:bCs/>
                <w:color w:val="000000"/>
              </w:rPr>
              <w:t>Procurement</w:t>
            </w:r>
            <w:r>
              <w:rPr>
                <w:b/>
                <w:bCs/>
                <w:color w:val="000000"/>
              </w:rPr>
              <w:t xml:space="preserve"> </w:t>
            </w:r>
            <w:bookmarkEnd w:id="27"/>
            <w:bookmarkEnd w:id="28"/>
            <w:r>
              <w:rPr>
                <w:b/>
                <w:bCs/>
                <w:color w:val="000000"/>
              </w:rPr>
              <w:t xml:space="preserve">/ percentage using </w:t>
            </w:r>
          </w:p>
          <w:p w:rsidR="006F1B7C" w:rsidRPr="00F90D9A" w:rsidRDefault="006F1B7C" w:rsidP="00F01919">
            <w:pPr>
              <w:pStyle w:val="Normal-Table"/>
              <w:jc w:val="left"/>
              <w:rPr>
                <w:b/>
                <w:bCs/>
                <w:color w:val="000000"/>
              </w:rPr>
            </w:pPr>
            <w:r>
              <w:rPr>
                <w:b/>
                <w:bCs/>
                <w:color w:val="000000"/>
              </w:rPr>
              <w:t>E-Procurement</w:t>
            </w:r>
          </w:p>
        </w:tc>
        <w:tc>
          <w:tcPr>
            <w:tcW w:w="1417" w:type="dxa"/>
            <w:shd w:val="clear" w:color="auto" w:fill="4F81BD" w:themeFill="accent1"/>
            <w:hideMark/>
          </w:tcPr>
          <w:p w:rsidR="006F1B7C" w:rsidRPr="00F90D9A" w:rsidRDefault="006F1B7C" w:rsidP="00F01919">
            <w:pPr>
              <w:pStyle w:val="Normal-Table"/>
              <w:jc w:val="left"/>
              <w:rPr>
                <w:b/>
                <w:bCs/>
                <w:color w:val="000000"/>
              </w:rPr>
            </w:pPr>
            <w:r w:rsidRPr="00F90D9A">
              <w:rPr>
                <w:b/>
                <w:bCs/>
                <w:color w:val="000000"/>
              </w:rPr>
              <w:t>Number of not using E-Procurement</w:t>
            </w:r>
          </w:p>
        </w:tc>
        <w:tc>
          <w:tcPr>
            <w:tcW w:w="1560" w:type="dxa"/>
            <w:shd w:val="clear" w:color="auto" w:fill="4F81BD" w:themeFill="accent1"/>
            <w:hideMark/>
          </w:tcPr>
          <w:p w:rsidR="006F1B7C" w:rsidRPr="00F90D9A" w:rsidRDefault="006F1B7C" w:rsidP="00F01919">
            <w:pPr>
              <w:pStyle w:val="Normal-Table"/>
              <w:jc w:val="left"/>
              <w:rPr>
                <w:b/>
                <w:bCs/>
                <w:color w:val="000000"/>
              </w:rPr>
            </w:pPr>
            <w:r w:rsidRPr="00F90D9A">
              <w:rPr>
                <w:b/>
                <w:bCs/>
                <w:color w:val="000000"/>
              </w:rPr>
              <w:t>Number not contactable, n</w:t>
            </w:r>
            <w:r>
              <w:rPr>
                <w:b/>
                <w:bCs/>
                <w:color w:val="000000"/>
              </w:rPr>
              <w:t>o longer trading or un</w:t>
            </w:r>
            <w:r w:rsidRPr="00F90D9A">
              <w:rPr>
                <w:b/>
                <w:bCs/>
                <w:color w:val="000000"/>
              </w:rPr>
              <w:t>available for comment</w:t>
            </w:r>
          </w:p>
        </w:tc>
      </w:tr>
      <w:tr w:rsidR="006F1B7C" w:rsidRPr="00672C47" w:rsidTr="006F1B7C">
        <w:trPr>
          <w:trHeight w:val="270"/>
        </w:trPr>
        <w:tc>
          <w:tcPr>
            <w:tcW w:w="1526" w:type="dxa"/>
            <w:shd w:val="clear" w:color="auto" w:fill="C0C0C0" w:themeFill="text1" w:themeFillTint="3F"/>
            <w:noWrap/>
            <w:hideMark/>
          </w:tcPr>
          <w:p w:rsidR="006F1B7C" w:rsidRPr="00F90D9A" w:rsidRDefault="006F1B7C" w:rsidP="007A7295">
            <w:pPr>
              <w:pStyle w:val="Normal-Table"/>
              <w:jc w:val="left"/>
              <w:rPr>
                <w:b/>
                <w:bCs/>
                <w:color w:val="000000"/>
              </w:rPr>
            </w:pPr>
            <w:r w:rsidRPr="00F90D9A">
              <w:rPr>
                <w:b/>
                <w:bCs/>
                <w:color w:val="000000"/>
              </w:rPr>
              <w:t xml:space="preserve">Quantity </w:t>
            </w:r>
          </w:p>
          <w:p w:rsidR="006F1B7C" w:rsidRPr="00F90D9A" w:rsidRDefault="006F1B7C" w:rsidP="007A7295">
            <w:pPr>
              <w:pStyle w:val="Normal-Table"/>
              <w:jc w:val="left"/>
              <w:rPr>
                <w:b/>
                <w:bCs/>
                <w:color w:val="000000"/>
              </w:rPr>
            </w:pPr>
            <w:r w:rsidRPr="00F90D9A">
              <w:rPr>
                <w:b/>
                <w:bCs/>
                <w:color w:val="000000"/>
              </w:rPr>
              <w:t xml:space="preserve">Surveyors </w:t>
            </w:r>
          </w:p>
        </w:tc>
        <w:tc>
          <w:tcPr>
            <w:tcW w:w="1417"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483</w:t>
            </w:r>
          </w:p>
        </w:tc>
        <w:tc>
          <w:tcPr>
            <w:tcW w:w="993" w:type="dxa"/>
            <w:shd w:val="clear" w:color="auto" w:fill="C0C0C0" w:themeFill="text1" w:themeFillTint="3F"/>
          </w:tcPr>
          <w:p w:rsidR="006F1B7C" w:rsidRPr="00F90D9A" w:rsidRDefault="006F1B7C" w:rsidP="007A7295">
            <w:pPr>
              <w:pStyle w:val="Normal-Table"/>
              <w:rPr>
                <w:color w:val="000000"/>
              </w:rPr>
            </w:pPr>
            <w:r w:rsidRPr="00F90D9A">
              <w:rPr>
                <w:color w:val="000000"/>
              </w:rPr>
              <w:t>68%</w:t>
            </w:r>
          </w:p>
        </w:tc>
        <w:tc>
          <w:tcPr>
            <w:tcW w:w="1559"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83</w:t>
            </w:r>
            <w:r>
              <w:rPr>
                <w:color w:val="000000"/>
              </w:rPr>
              <w:t xml:space="preserve"> / 25%</w:t>
            </w:r>
          </w:p>
        </w:tc>
        <w:tc>
          <w:tcPr>
            <w:tcW w:w="1417"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247</w:t>
            </w:r>
          </w:p>
        </w:tc>
        <w:tc>
          <w:tcPr>
            <w:tcW w:w="1560"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153</w:t>
            </w:r>
          </w:p>
        </w:tc>
      </w:tr>
      <w:tr w:rsidR="006F1B7C" w:rsidRPr="00672C47" w:rsidTr="006F1B7C">
        <w:trPr>
          <w:trHeight w:val="270"/>
        </w:trPr>
        <w:tc>
          <w:tcPr>
            <w:tcW w:w="1526" w:type="dxa"/>
            <w:noWrap/>
            <w:hideMark/>
          </w:tcPr>
          <w:p w:rsidR="006F1B7C" w:rsidRPr="00F90D9A" w:rsidRDefault="006F1B7C" w:rsidP="007A7295">
            <w:pPr>
              <w:pStyle w:val="Normal-Table"/>
              <w:jc w:val="left"/>
              <w:rPr>
                <w:b/>
                <w:bCs/>
                <w:color w:val="000000"/>
              </w:rPr>
            </w:pPr>
            <w:r w:rsidRPr="00F90D9A">
              <w:rPr>
                <w:b/>
                <w:bCs/>
                <w:color w:val="000000"/>
              </w:rPr>
              <w:t>Public Sector</w:t>
            </w:r>
          </w:p>
          <w:p w:rsidR="006F1B7C" w:rsidRPr="00F90D9A" w:rsidRDefault="006F1B7C" w:rsidP="007A7295">
            <w:pPr>
              <w:pStyle w:val="Normal-Table"/>
              <w:jc w:val="left"/>
              <w:rPr>
                <w:b/>
                <w:bCs/>
                <w:color w:val="000000"/>
              </w:rPr>
            </w:pPr>
            <w:r w:rsidRPr="00F90D9A">
              <w:rPr>
                <w:b/>
                <w:bCs/>
                <w:color w:val="000000"/>
              </w:rPr>
              <w:t>Clients</w:t>
            </w:r>
          </w:p>
        </w:tc>
        <w:tc>
          <w:tcPr>
            <w:tcW w:w="1417" w:type="dxa"/>
            <w:noWrap/>
            <w:hideMark/>
          </w:tcPr>
          <w:p w:rsidR="006F1B7C" w:rsidRPr="00F90D9A" w:rsidRDefault="006F1B7C" w:rsidP="007A7295">
            <w:pPr>
              <w:pStyle w:val="Normal-Table"/>
              <w:rPr>
                <w:color w:val="000000"/>
              </w:rPr>
            </w:pPr>
            <w:r w:rsidRPr="00F90D9A">
              <w:rPr>
                <w:color w:val="000000"/>
              </w:rPr>
              <w:t>42</w:t>
            </w:r>
          </w:p>
        </w:tc>
        <w:tc>
          <w:tcPr>
            <w:tcW w:w="993" w:type="dxa"/>
          </w:tcPr>
          <w:p w:rsidR="006F1B7C" w:rsidRPr="00F90D9A" w:rsidRDefault="006F1B7C" w:rsidP="007A7295">
            <w:pPr>
              <w:pStyle w:val="Normal-Table"/>
              <w:rPr>
                <w:color w:val="000000"/>
              </w:rPr>
            </w:pPr>
            <w:r w:rsidRPr="00F90D9A">
              <w:rPr>
                <w:color w:val="000000"/>
              </w:rPr>
              <w:t>93%</w:t>
            </w:r>
          </w:p>
        </w:tc>
        <w:tc>
          <w:tcPr>
            <w:tcW w:w="1559" w:type="dxa"/>
            <w:noWrap/>
            <w:hideMark/>
          </w:tcPr>
          <w:p w:rsidR="006F1B7C" w:rsidRPr="00F90D9A" w:rsidRDefault="006F1B7C" w:rsidP="007A7295">
            <w:pPr>
              <w:pStyle w:val="Normal-Table"/>
              <w:rPr>
                <w:color w:val="000000"/>
              </w:rPr>
            </w:pPr>
            <w:r w:rsidRPr="00F90D9A">
              <w:rPr>
                <w:color w:val="000000"/>
              </w:rPr>
              <w:t>29</w:t>
            </w:r>
            <w:r>
              <w:rPr>
                <w:color w:val="000000"/>
              </w:rPr>
              <w:t xml:space="preserve"> / 47%</w:t>
            </w:r>
          </w:p>
        </w:tc>
        <w:tc>
          <w:tcPr>
            <w:tcW w:w="1417" w:type="dxa"/>
            <w:noWrap/>
            <w:hideMark/>
          </w:tcPr>
          <w:p w:rsidR="006F1B7C" w:rsidRPr="00F90D9A" w:rsidRDefault="006F1B7C" w:rsidP="007A7295">
            <w:pPr>
              <w:pStyle w:val="Normal-Table"/>
              <w:rPr>
                <w:color w:val="000000"/>
              </w:rPr>
            </w:pPr>
            <w:r w:rsidRPr="00F90D9A">
              <w:rPr>
                <w:color w:val="000000"/>
              </w:rPr>
              <w:t>10</w:t>
            </w:r>
          </w:p>
        </w:tc>
        <w:tc>
          <w:tcPr>
            <w:tcW w:w="1560" w:type="dxa"/>
            <w:noWrap/>
            <w:hideMark/>
          </w:tcPr>
          <w:p w:rsidR="006F1B7C" w:rsidRPr="00F90D9A" w:rsidRDefault="006F1B7C" w:rsidP="007A7295">
            <w:pPr>
              <w:pStyle w:val="Normal-Table"/>
              <w:rPr>
                <w:color w:val="000000"/>
              </w:rPr>
            </w:pPr>
            <w:r w:rsidRPr="00F90D9A">
              <w:rPr>
                <w:color w:val="000000"/>
              </w:rPr>
              <w:t>3</w:t>
            </w:r>
          </w:p>
        </w:tc>
      </w:tr>
      <w:tr w:rsidR="006F1B7C" w:rsidRPr="00672C47" w:rsidTr="006F1B7C">
        <w:trPr>
          <w:trHeight w:val="270"/>
        </w:trPr>
        <w:tc>
          <w:tcPr>
            <w:tcW w:w="1526" w:type="dxa"/>
            <w:shd w:val="clear" w:color="auto" w:fill="C0C0C0" w:themeFill="text1" w:themeFillTint="3F"/>
            <w:noWrap/>
            <w:hideMark/>
          </w:tcPr>
          <w:p w:rsidR="006F1B7C" w:rsidRPr="00F90D9A" w:rsidRDefault="006F1B7C" w:rsidP="007A7295">
            <w:pPr>
              <w:pStyle w:val="Normal-Table"/>
              <w:jc w:val="left"/>
              <w:rPr>
                <w:b/>
                <w:bCs/>
                <w:color w:val="000000"/>
              </w:rPr>
            </w:pPr>
            <w:r w:rsidRPr="00F90D9A">
              <w:rPr>
                <w:b/>
                <w:bCs/>
                <w:color w:val="000000"/>
              </w:rPr>
              <w:t>Architects</w:t>
            </w:r>
          </w:p>
        </w:tc>
        <w:tc>
          <w:tcPr>
            <w:tcW w:w="1417"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172</w:t>
            </w:r>
          </w:p>
        </w:tc>
        <w:tc>
          <w:tcPr>
            <w:tcW w:w="993" w:type="dxa"/>
            <w:shd w:val="clear" w:color="auto" w:fill="C0C0C0" w:themeFill="text1" w:themeFillTint="3F"/>
          </w:tcPr>
          <w:p w:rsidR="006F1B7C" w:rsidRPr="00F90D9A" w:rsidRDefault="006F1B7C" w:rsidP="007A7295">
            <w:pPr>
              <w:pStyle w:val="Normal-Table"/>
              <w:rPr>
                <w:color w:val="000000"/>
              </w:rPr>
            </w:pPr>
            <w:r w:rsidRPr="00F90D9A">
              <w:rPr>
                <w:color w:val="000000"/>
              </w:rPr>
              <w:t>98%</w:t>
            </w:r>
          </w:p>
        </w:tc>
        <w:tc>
          <w:tcPr>
            <w:tcW w:w="1559"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12</w:t>
            </w:r>
            <w:r>
              <w:rPr>
                <w:color w:val="000000"/>
              </w:rPr>
              <w:t xml:space="preserve"> / 19%</w:t>
            </w:r>
          </w:p>
        </w:tc>
        <w:tc>
          <w:tcPr>
            <w:tcW w:w="1417"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156</w:t>
            </w:r>
          </w:p>
        </w:tc>
        <w:tc>
          <w:tcPr>
            <w:tcW w:w="1560"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4</w:t>
            </w:r>
          </w:p>
        </w:tc>
      </w:tr>
      <w:tr w:rsidR="006F1B7C" w:rsidRPr="00672C47" w:rsidTr="006F1B7C">
        <w:trPr>
          <w:trHeight w:val="270"/>
        </w:trPr>
        <w:tc>
          <w:tcPr>
            <w:tcW w:w="1526" w:type="dxa"/>
            <w:noWrap/>
            <w:hideMark/>
          </w:tcPr>
          <w:p w:rsidR="006F1B7C" w:rsidRPr="00F90D9A" w:rsidRDefault="006F1B7C" w:rsidP="007A7295">
            <w:pPr>
              <w:pStyle w:val="Normal-Table"/>
              <w:jc w:val="left"/>
              <w:rPr>
                <w:b/>
                <w:bCs/>
                <w:color w:val="000000"/>
              </w:rPr>
            </w:pPr>
            <w:r w:rsidRPr="00F90D9A">
              <w:rPr>
                <w:b/>
                <w:bCs/>
                <w:color w:val="000000"/>
              </w:rPr>
              <w:t>Private Sector</w:t>
            </w:r>
          </w:p>
          <w:p w:rsidR="006F1B7C" w:rsidRPr="00F90D9A" w:rsidRDefault="006F1B7C" w:rsidP="007A7295">
            <w:pPr>
              <w:pStyle w:val="Normal-Table"/>
              <w:jc w:val="left"/>
              <w:rPr>
                <w:b/>
                <w:bCs/>
                <w:color w:val="000000"/>
              </w:rPr>
            </w:pPr>
            <w:r w:rsidRPr="00F90D9A">
              <w:rPr>
                <w:b/>
                <w:bCs/>
                <w:color w:val="000000"/>
              </w:rPr>
              <w:t>Clients</w:t>
            </w:r>
          </w:p>
        </w:tc>
        <w:tc>
          <w:tcPr>
            <w:tcW w:w="1417" w:type="dxa"/>
            <w:noWrap/>
            <w:hideMark/>
          </w:tcPr>
          <w:p w:rsidR="006F1B7C" w:rsidRPr="00F90D9A" w:rsidRDefault="006F1B7C" w:rsidP="007A7295">
            <w:pPr>
              <w:pStyle w:val="Normal-Table"/>
              <w:rPr>
                <w:color w:val="000000"/>
              </w:rPr>
            </w:pPr>
            <w:r w:rsidRPr="00F90D9A">
              <w:rPr>
                <w:color w:val="000000"/>
              </w:rPr>
              <w:t>35 in sample</w:t>
            </w:r>
          </w:p>
        </w:tc>
        <w:tc>
          <w:tcPr>
            <w:tcW w:w="993" w:type="dxa"/>
          </w:tcPr>
          <w:p w:rsidR="006F1B7C" w:rsidRPr="00F90D9A" w:rsidRDefault="006F1B7C" w:rsidP="007A7295">
            <w:pPr>
              <w:pStyle w:val="Normal-Table"/>
              <w:rPr>
                <w:color w:val="000000"/>
              </w:rPr>
            </w:pPr>
          </w:p>
        </w:tc>
        <w:tc>
          <w:tcPr>
            <w:tcW w:w="1559" w:type="dxa"/>
            <w:noWrap/>
            <w:hideMark/>
          </w:tcPr>
          <w:p w:rsidR="006F1B7C" w:rsidRPr="00F90D9A" w:rsidRDefault="006F1B7C" w:rsidP="007A7295">
            <w:pPr>
              <w:pStyle w:val="Normal-Table"/>
              <w:rPr>
                <w:color w:val="000000"/>
              </w:rPr>
            </w:pPr>
            <w:r w:rsidRPr="00F90D9A">
              <w:rPr>
                <w:color w:val="000000"/>
              </w:rPr>
              <w:t>0</w:t>
            </w:r>
            <w:r>
              <w:rPr>
                <w:color w:val="000000"/>
              </w:rPr>
              <w:t xml:space="preserve"> / N/A</w:t>
            </w:r>
          </w:p>
        </w:tc>
        <w:tc>
          <w:tcPr>
            <w:tcW w:w="1417" w:type="dxa"/>
            <w:noWrap/>
            <w:hideMark/>
          </w:tcPr>
          <w:p w:rsidR="006F1B7C" w:rsidRPr="00F90D9A" w:rsidRDefault="006F1B7C" w:rsidP="007A7295">
            <w:pPr>
              <w:pStyle w:val="Normal-Table"/>
              <w:rPr>
                <w:color w:val="000000"/>
              </w:rPr>
            </w:pPr>
            <w:r w:rsidRPr="00F90D9A">
              <w:rPr>
                <w:color w:val="000000"/>
              </w:rPr>
              <w:t>35</w:t>
            </w:r>
          </w:p>
        </w:tc>
        <w:tc>
          <w:tcPr>
            <w:tcW w:w="1560" w:type="dxa"/>
            <w:noWrap/>
            <w:hideMark/>
          </w:tcPr>
          <w:p w:rsidR="006F1B7C" w:rsidRPr="00F90D9A" w:rsidRDefault="006F1B7C" w:rsidP="007A7295">
            <w:pPr>
              <w:pStyle w:val="Normal-Table"/>
              <w:rPr>
                <w:color w:val="000000"/>
              </w:rPr>
            </w:pPr>
            <w:r>
              <w:rPr>
                <w:color w:val="000000"/>
              </w:rPr>
              <w:t>Not applicable</w:t>
            </w:r>
          </w:p>
        </w:tc>
      </w:tr>
      <w:tr w:rsidR="006F1B7C" w:rsidRPr="00672C47" w:rsidTr="006F1B7C">
        <w:trPr>
          <w:trHeight w:val="270"/>
        </w:trPr>
        <w:tc>
          <w:tcPr>
            <w:tcW w:w="1526" w:type="dxa"/>
            <w:shd w:val="clear" w:color="auto" w:fill="C0C0C0" w:themeFill="text1" w:themeFillTint="3F"/>
            <w:noWrap/>
            <w:hideMark/>
          </w:tcPr>
          <w:p w:rsidR="006F1B7C" w:rsidRPr="00F90D9A" w:rsidRDefault="006F1B7C" w:rsidP="007A7295">
            <w:pPr>
              <w:pStyle w:val="Normal-Table"/>
              <w:jc w:val="left"/>
              <w:rPr>
                <w:b/>
                <w:bCs/>
                <w:color w:val="000000"/>
              </w:rPr>
            </w:pPr>
            <w:r w:rsidRPr="00F90D9A">
              <w:rPr>
                <w:b/>
                <w:bCs/>
                <w:color w:val="000000"/>
              </w:rPr>
              <w:t>Engineers</w:t>
            </w:r>
          </w:p>
        </w:tc>
        <w:tc>
          <w:tcPr>
            <w:tcW w:w="1417"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43</w:t>
            </w:r>
          </w:p>
        </w:tc>
        <w:tc>
          <w:tcPr>
            <w:tcW w:w="993" w:type="dxa"/>
            <w:shd w:val="clear" w:color="auto" w:fill="C0C0C0" w:themeFill="text1" w:themeFillTint="3F"/>
          </w:tcPr>
          <w:p w:rsidR="006F1B7C" w:rsidRPr="00F90D9A" w:rsidRDefault="006F1B7C" w:rsidP="007A7295">
            <w:pPr>
              <w:pStyle w:val="Normal-Table"/>
              <w:rPr>
                <w:color w:val="000000"/>
              </w:rPr>
            </w:pPr>
            <w:r w:rsidRPr="00F90D9A">
              <w:rPr>
                <w:color w:val="000000"/>
              </w:rPr>
              <w:t>67%</w:t>
            </w:r>
          </w:p>
        </w:tc>
        <w:tc>
          <w:tcPr>
            <w:tcW w:w="1559"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4</w:t>
            </w:r>
            <w:r>
              <w:rPr>
                <w:color w:val="000000"/>
              </w:rPr>
              <w:t xml:space="preserve"> / 15%</w:t>
            </w:r>
          </w:p>
        </w:tc>
        <w:tc>
          <w:tcPr>
            <w:tcW w:w="1417"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25</w:t>
            </w:r>
          </w:p>
        </w:tc>
        <w:tc>
          <w:tcPr>
            <w:tcW w:w="1560" w:type="dxa"/>
            <w:shd w:val="clear" w:color="auto" w:fill="C0C0C0" w:themeFill="text1" w:themeFillTint="3F"/>
            <w:noWrap/>
            <w:hideMark/>
          </w:tcPr>
          <w:p w:rsidR="006F1B7C" w:rsidRPr="00F90D9A" w:rsidRDefault="006F1B7C" w:rsidP="007A7295">
            <w:pPr>
              <w:pStyle w:val="Normal-Table"/>
              <w:rPr>
                <w:color w:val="000000"/>
              </w:rPr>
            </w:pPr>
            <w:r w:rsidRPr="00F90D9A">
              <w:rPr>
                <w:color w:val="000000"/>
              </w:rPr>
              <w:t>14</w:t>
            </w:r>
          </w:p>
        </w:tc>
      </w:tr>
      <w:tr w:rsidR="006F1B7C" w:rsidRPr="00672C47" w:rsidTr="006F1B7C">
        <w:trPr>
          <w:trHeight w:val="270"/>
        </w:trPr>
        <w:tc>
          <w:tcPr>
            <w:tcW w:w="1526" w:type="dxa"/>
            <w:noWrap/>
            <w:hideMark/>
          </w:tcPr>
          <w:p w:rsidR="006F1B7C" w:rsidRPr="00F90D9A" w:rsidRDefault="006F1B7C" w:rsidP="007A7295">
            <w:pPr>
              <w:pStyle w:val="Normal-Table"/>
              <w:rPr>
                <w:b/>
                <w:bCs/>
                <w:color w:val="000000"/>
              </w:rPr>
            </w:pPr>
          </w:p>
        </w:tc>
        <w:tc>
          <w:tcPr>
            <w:tcW w:w="1417" w:type="dxa"/>
            <w:noWrap/>
            <w:hideMark/>
          </w:tcPr>
          <w:p w:rsidR="006F1B7C" w:rsidRPr="00F90D9A" w:rsidRDefault="006F1B7C" w:rsidP="007A7295">
            <w:pPr>
              <w:pStyle w:val="Normal-Table"/>
              <w:rPr>
                <w:color w:val="000000"/>
              </w:rPr>
            </w:pPr>
            <w:r w:rsidRPr="00F90D9A">
              <w:rPr>
                <w:color w:val="000000"/>
              </w:rPr>
              <w:t>775</w:t>
            </w:r>
          </w:p>
        </w:tc>
        <w:tc>
          <w:tcPr>
            <w:tcW w:w="993" w:type="dxa"/>
          </w:tcPr>
          <w:p w:rsidR="006F1B7C" w:rsidRPr="00F90D9A" w:rsidRDefault="006F1B7C" w:rsidP="007A7295">
            <w:pPr>
              <w:pStyle w:val="Normal-Table"/>
              <w:rPr>
                <w:color w:val="000000"/>
              </w:rPr>
            </w:pPr>
            <w:r w:rsidRPr="00F90D9A">
              <w:rPr>
                <w:color w:val="000000"/>
              </w:rPr>
              <w:t>77%</w:t>
            </w:r>
          </w:p>
        </w:tc>
        <w:tc>
          <w:tcPr>
            <w:tcW w:w="1559" w:type="dxa"/>
            <w:noWrap/>
            <w:hideMark/>
          </w:tcPr>
          <w:p w:rsidR="006F1B7C" w:rsidRPr="00F90D9A" w:rsidRDefault="006F1B7C" w:rsidP="007A7295">
            <w:pPr>
              <w:pStyle w:val="Normal-Table"/>
              <w:rPr>
                <w:color w:val="000000"/>
              </w:rPr>
            </w:pPr>
            <w:r w:rsidRPr="00F90D9A">
              <w:rPr>
                <w:color w:val="000000"/>
              </w:rPr>
              <w:t>128</w:t>
            </w:r>
            <w:r>
              <w:rPr>
                <w:color w:val="000000"/>
              </w:rPr>
              <w:t xml:space="preserve"> / 27%</w:t>
            </w:r>
          </w:p>
        </w:tc>
        <w:tc>
          <w:tcPr>
            <w:tcW w:w="1417" w:type="dxa"/>
            <w:noWrap/>
            <w:hideMark/>
          </w:tcPr>
          <w:p w:rsidR="006F1B7C" w:rsidRPr="00F90D9A" w:rsidRDefault="006F1B7C" w:rsidP="007A7295">
            <w:pPr>
              <w:pStyle w:val="Normal-Table"/>
              <w:rPr>
                <w:color w:val="000000"/>
              </w:rPr>
            </w:pPr>
            <w:r w:rsidRPr="00F90D9A">
              <w:rPr>
                <w:color w:val="000000"/>
              </w:rPr>
              <w:t>473</w:t>
            </w:r>
          </w:p>
        </w:tc>
        <w:tc>
          <w:tcPr>
            <w:tcW w:w="1560" w:type="dxa"/>
            <w:noWrap/>
            <w:hideMark/>
          </w:tcPr>
          <w:p w:rsidR="006F1B7C" w:rsidRPr="00F90D9A" w:rsidRDefault="006F1B7C" w:rsidP="007A7295">
            <w:pPr>
              <w:pStyle w:val="Normal-Table"/>
              <w:rPr>
                <w:color w:val="000000"/>
              </w:rPr>
            </w:pPr>
            <w:r w:rsidRPr="00F90D9A">
              <w:rPr>
                <w:color w:val="000000"/>
              </w:rPr>
              <w:t>174</w:t>
            </w:r>
          </w:p>
        </w:tc>
      </w:tr>
    </w:tbl>
    <w:p w:rsidR="00EA5549" w:rsidRDefault="00EA5549" w:rsidP="00640E36">
      <w:pPr>
        <w:rPr>
          <w:sz w:val="24"/>
          <w:szCs w:val="24"/>
        </w:rPr>
      </w:pPr>
    </w:p>
    <w:p w:rsidR="00EA5549" w:rsidRPr="003F3745" w:rsidRDefault="00F470CC" w:rsidP="003F3745">
      <w:pPr>
        <w:spacing w:before="0" w:line="240" w:lineRule="auto"/>
        <w:rPr>
          <w:sz w:val="24"/>
          <w:szCs w:val="24"/>
        </w:rPr>
      </w:pPr>
      <w:fldSimple w:instr=" REF _Ref214036191 \h  \* MERGEFORMAT ">
        <w:r w:rsidR="00640E36" w:rsidRPr="00E67A4A">
          <w:rPr>
            <w:sz w:val="24"/>
            <w:szCs w:val="24"/>
          </w:rPr>
          <w:t xml:space="preserve">Table </w:t>
        </w:r>
        <w:r w:rsidR="00640E36" w:rsidRPr="00E67A4A">
          <w:rPr>
            <w:noProof/>
            <w:sz w:val="24"/>
            <w:szCs w:val="24"/>
          </w:rPr>
          <w:t>1</w:t>
        </w:r>
      </w:fldSimple>
      <w:r w:rsidR="00640E36" w:rsidRPr="00E67A4A">
        <w:rPr>
          <w:sz w:val="24"/>
          <w:szCs w:val="24"/>
        </w:rPr>
        <w:t xml:space="preserve"> shows the number of organisations contacted during the telephone survey and the percentage valid response from the total sample. These results show that a good </w:t>
      </w:r>
      <w:r w:rsidR="00640E36" w:rsidRPr="00E67A4A">
        <w:rPr>
          <w:sz w:val="24"/>
          <w:szCs w:val="24"/>
        </w:rPr>
        <w:lastRenderedPageBreak/>
        <w:t>level of response was achieved; it is above the 50% threshold suggested for external validity (OIG, 1997). They further indicate the extent of the survey and show that the results can be generalised across the industry.</w:t>
      </w:r>
      <w:bookmarkStart w:id="29" w:name="OLE_LINK9"/>
      <w:bookmarkStart w:id="30" w:name="OLE_LINK10"/>
      <w:bookmarkEnd w:id="21"/>
      <w:bookmarkEnd w:id="22"/>
    </w:p>
    <w:bookmarkEnd w:id="29"/>
    <w:bookmarkEnd w:id="30"/>
    <w:p w:rsidR="006F5BAA" w:rsidRDefault="00640E36" w:rsidP="00EA5549">
      <w:pPr>
        <w:spacing w:before="0" w:line="240" w:lineRule="auto"/>
        <w:rPr>
          <w:sz w:val="24"/>
          <w:szCs w:val="24"/>
        </w:rPr>
      </w:pPr>
      <w:r w:rsidRPr="00E67A4A">
        <w:rPr>
          <w:sz w:val="24"/>
          <w:szCs w:val="24"/>
        </w:rPr>
        <w:t>The organisations identified through the telephone survey as being involved in e-procurement were asked if they were willing to partake in the we</w:t>
      </w:r>
      <w:r w:rsidR="004F0B75">
        <w:rPr>
          <w:sz w:val="24"/>
          <w:szCs w:val="24"/>
        </w:rPr>
        <w:t xml:space="preserve">b-based survey. Limesurvey™ </w:t>
      </w:r>
      <w:r w:rsidRPr="00E67A4A">
        <w:rPr>
          <w:sz w:val="24"/>
          <w:szCs w:val="24"/>
        </w:rPr>
        <w:t xml:space="preserve"> was used to conduct the survey</w:t>
      </w:r>
      <w:r w:rsidR="00990E82" w:rsidRPr="00990E82">
        <w:rPr>
          <w:sz w:val="24"/>
          <w:szCs w:val="24"/>
        </w:rPr>
        <w:t xml:space="preserve"> </w:t>
      </w:r>
      <w:r w:rsidR="00990E82">
        <w:rPr>
          <w:sz w:val="24"/>
          <w:szCs w:val="24"/>
        </w:rPr>
        <w:t>via</w:t>
      </w:r>
      <w:r w:rsidR="00990E82" w:rsidRPr="00E67A4A">
        <w:rPr>
          <w:sz w:val="24"/>
          <w:szCs w:val="24"/>
        </w:rPr>
        <w:t xml:space="preserve"> the Internet</w:t>
      </w:r>
      <w:r w:rsidRPr="00E67A4A">
        <w:rPr>
          <w:sz w:val="24"/>
          <w:szCs w:val="24"/>
        </w:rPr>
        <w:t xml:space="preserve">. This software package gathered responses from the organisations through a web-based interface and stored these in an on-line MySQL™ database. </w:t>
      </w:r>
    </w:p>
    <w:p w:rsidR="00EA5549" w:rsidRPr="00E67A4A" w:rsidRDefault="00EA5549" w:rsidP="00EA5549">
      <w:pPr>
        <w:spacing w:before="0" w:line="240" w:lineRule="auto"/>
        <w:rPr>
          <w:sz w:val="24"/>
          <w:szCs w:val="24"/>
        </w:rPr>
      </w:pPr>
    </w:p>
    <w:p w:rsidR="00640E36" w:rsidRDefault="00640E36" w:rsidP="00EA5549">
      <w:pPr>
        <w:pStyle w:val="Heading3"/>
        <w:numPr>
          <w:ilvl w:val="2"/>
          <w:numId w:val="4"/>
        </w:numPr>
        <w:spacing w:before="0" w:line="240" w:lineRule="auto"/>
        <w:textAlignment w:val="auto"/>
      </w:pPr>
      <w:r>
        <w:t>Analysis of results</w:t>
      </w:r>
    </w:p>
    <w:p w:rsidR="00EA5549" w:rsidRPr="00EA5549" w:rsidRDefault="00EA5549" w:rsidP="00EA5549"/>
    <w:p w:rsidR="004C5B60" w:rsidRDefault="00990E82" w:rsidP="00EA5549">
      <w:pPr>
        <w:spacing w:before="0" w:line="240" w:lineRule="auto"/>
        <w:rPr>
          <w:sz w:val="24"/>
          <w:szCs w:val="24"/>
        </w:rPr>
      </w:pPr>
      <w:r w:rsidRPr="00E67A4A">
        <w:rPr>
          <w:sz w:val="24"/>
          <w:szCs w:val="24"/>
        </w:rPr>
        <w:t xml:space="preserve">The web-based survey investigated </w:t>
      </w:r>
      <w:r>
        <w:rPr>
          <w:sz w:val="24"/>
          <w:szCs w:val="24"/>
        </w:rPr>
        <w:t xml:space="preserve">and allowed analysis </w:t>
      </w:r>
      <w:r w:rsidR="000B251B">
        <w:rPr>
          <w:sz w:val="24"/>
          <w:szCs w:val="24"/>
        </w:rPr>
        <w:t xml:space="preserve">on </w:t>
      </w:r>
      <w:r w:rsidRPr="00E67A4A">
        <w:rPr>
          <w:sz w:val="24"/>
          <w:szCs w:val="24"/>
        </w:rPr>
        <w:t xml:space="preserve">expenditure on pricing documents and the sizes and staffing involved in the organisations involved. </w:t>
      </w:r>
      <w:r w:rsidR="00640E36" w:rsidRPr="00E67A4A">
        <w:rPr>
          <w:sz w:val="24"/>
          <w:szCs w:val="24"/>
        </w:rPr>
        <w:t xml:space="preserve">The Data collected for both web-based surveys was exported directly into SPSS™ for analysis. This ensured that </w:t>
      </w:r>
      <w:r w:rsidR="00CE6AED" w:rsidRPr="00E67A4A">
        <w:rPr>
          <w:sz w:val="24"/>
          <w:szCs w:val="24"/>
        </w:rPr>
        <w:t xml:space="preserve">there were </w:t>
      </w:r>
      <w:r w:rsidR="00B56329" w:rsidRPr="00E67A4A">
        <w:rPr>
          <w:sz w:val="24"/>
          <w:szCs w:val="24"/>
        </w:rPr>
        <w:t>no transcription errors</w:t>
      </w:r>
      <w:r w:rsidR="00CE6AED" w:rsidRPr="00E67A4A">
        <w:rPr>
          <w:sz w:val="24"/>
          <w:szCs w:val="24"/>
        </w:rPr>
        <w:t>.</w:t>
      </w:r>
    </w:p>
    <w:p w:rsidR="00EA5549" w:rsidRPr="00E67A4A" w:rsidRDefault="00EA5549" w:rsidP="00EA5549">
      <w:pPr>
        <w:spacing w:before="0" w:line="240" w:lineRule="auto"/>
        <w:rPr>
          <w:sz w:val="24"/>
          <w:szCs w:val="24"/>
        </w:rPr>
      </w:pPr>
    </w:p>
    <w:p w:rsidR="004D3F1F" w:rsidRDefault="004D3F1F" w:rsidP="00EA5549">
      <w:pPr>
        <w:pStyle w:val="Heading2"/>
        <w:spacing w:before="0" w:line="240" w:lineRule="auto"/>
        <w:rPr>
          <w:sz w:val="28"/>
          <w:szCs w:val="28"/>
        </w:rPr>
      </w:pPr>
      <w:bookmarkStart w:id="31" w:name="OLE_LINK36"/>
      <w:bookmarkStart w:id="32" w:name="OLE_LINK37"/>
      <w:bookmarkEnd w:id="7"/>
      <w:bookmarkEnd w:id="8"/>
      <w:bookmarkEnd w:id="9"/>
      <w:bookmarkEnd w:id="10"/>
      <w:r w:rsidRPr="00E67A4A">
        <w:rPr>
          <w:sz w:val="28"/>
          <w:szCs w:val="28"/>
        </w:rPr>
        <w:t>E-Procurement in Construction</w:t>
      </w:r>
    </w:p>
    <w:p w:rsidR="00EA5549" w:rsidRPr="00EA5549" w:rsidRDefault="00EA5549" w:rsidP="00EA5549"/>
    <w:bookmarkEnd w:id="31"/>
    <w:bookmarkEnd w:id="32"/>
    <w:p w:rsidR="000B5666" w:rsidRPr="00E67A4A" w:rsidRDefault="000B5666" w:rsidP="00EA5549">
      <w:pPr>
        <w:spacing w:before="0" w:line="240" w:lineRule="auto"/>
        <w:rPr>
          <w:rFonts w:cs="Arial"/>
          <w:b/>
          <w:bCs/>
          <w:sz w:val="24"/>
          <w:szCs w:val="24"/>
        </w:rPr>
      </w:pPr>
      <w:r w:rsidRPr="00E67A4A">
        <w:rPr>
          <w:rFonts w:cs="Arial"/>
          <w:sz w:val="24"/>
          <w:szCs w:val="24"/>
        </w:rPr>
        <w:t xml:space="preserve">The pilot study of Northern Ireland Contractors was first used to determine the size of contractors who were adopting e-procurement. This was followed by the UK-wide survey which detailed electronic contract use for other disciplines.  </w:t>
      </w:r>
    </w:p>
    <w:p w:rsidR="000B5666" w:rsidRPr="00E67A4A" w:rsidRDefault="000B5666" w:rsidP="000B5666">
      <w:pPr>
        <w:rPr>
          <w:sz w:val="24"/>
          <w:szCs w:val="24"/>
        </w:rPr>
      </w:pPr>
      <w:r w:rsidRPr="00E67A4A">
        <w:rPr>
          <w:sz w:val="24"/>
          <w:szCs w:val="24"/>
        </w:rPr>
        <w:t xml:space="preserve">The sample by its </w:t>
      </w:r>
      <w:r w:rsidR="00910061">
        <w:rPr>
          <w:sz w:val="24"/>
          <w:szCs w:val="24"/>
        </w:rPr>
        <w:t>composition</w:t>
      </w:r>
      <w:r w:rsidRPr="00E67A4A">
        <w:rPr>
          <w:sz w:val="24"/>
          <w:szCs w:val="24"/>
        </w:rPr>
        <w:t xml:space="preserve"> </w:t>
      </w:r>
      <w:r w:rsidR="006F1D16" w:rsidRPr="00E67A4A">
        <w:rPr>
          <w:sz w:val="24"/>
          <w:szCs w:val="24"/>
        </w:rPr>
        <w:t>incorporated</w:t>
      </w:r>
      <w:r w:rsidRPr="00E67A4A">
        <w:rPr>
          <w:sz w:val="24"/>
          <w:szCs w:val="24"/>
        </w:rPr>
        <w:t xml:space="preserve"> all sizes of companies. </w:t>
      </w:r>
      <w:fldSimple w:instr=" REF _Ref224894312 \h  \* MERGEFORMAT ">
        <w:r w:rsidR="00616F68" w:rsidRPr="00E67A4A">
          <w:rPr>
            <w:sz w:val="24"/>
            <w:szCs w:val="24"/>
          </w:rPr>
          <w:t xml:space="preserve">Figure </w:t>
        </w:r>
        <w:r w:rsidR="00616F68" w:rsidRPr="00E67A4A">
          <w:rPr>
            <w:noProof/>
            <w:sz w:val="24"/>
            <w:szCs w:val="24"/>
          </w:rPr>
          <w:t>1</w:t>
        </w:r>
      </w:fldSimple>
      <w:r w:rsidRPr="00E67A4A">
        <w:rPr>
          <w:sz w:val="24"/>
          <w:szCs w:val="24"/>
        </w:rPr>
        <w:t xml:space="preserve"> shows a breakdown of respondents by organisation size based on the number of employees within the organisation. It can be seen that the category containing 35% of the sample consisted of companies who employed 21-50 people. An even percentage of organisations were represented for those employing over 100, employing between</w:t>
      </w:r>
      <w:r w:rsidR="006F1D16" w:rsidRPr="00E67A4A">
        <w:rPr>
          <w:sz w:val="24"/>
          <w:szCs w:val="24"/>
        </w:rPr>
        <w:t xml:space="preserve"> </w:t>
      </w:r>
      <w:r w:rsidRPr="00E67A4A">
        <w:rPr>
          <w:sz w:val="24"/>
          <w:szCs w:val="24"/>
        </w:rPr>
        <w:t xml:space="preserve">51-100 and employing between 11-20 categories containing 20%, 21% and 20% of the sample respectively. The last category employed between 1-10 people. These very small organisations were specialist in nature and are unusual with regard to winning public sector work. This accounted for the sample representation to equate to only 4%. </w:t>
      </w:r>
    </w:p>
    <w:p w:rsidR="000B5666" w:rsidRPr="00F33BF2" w:rsidRDefault="000B5666" w:rsidP="000B5666"/>
    <w:p w:rsidR="000B5666" w:rsidRPr="00F33BF2" w:rsidRDefault="000B5666" w:rsidP="000B5666">
      <w:pPr>
        <w:pStyle w:val="BodyText"/>
        <w:rPr>
          <w:b w:val="0"/>
          <w:sz w:val="20"/>
          <w:szCs w:val="20"/>
        </w:rPr>
      </w:pPr>
      <w:r>
        <w:rPr>
          <w:b w:val="0"/>
          <w:noProof/>
          <w:sz w:val="20"/>
          <w:szCs w:val="20"/>
          <w:lang w:val="en-US"/>
        </w:rPr>
        <w:drawing>
          <wp:inline distT="0" distB="0" distL="0" distR="0">
            <wp:extent cx="3447076" cy="2182585"/>
            <wp:effectExtent l="57150" t="38100" r="39074" b="2721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cstate="print"/>
                    <a:srcRect/>
                    <a:stretch>
                      <a:fillRect/>
                    </a:stretch>
                  </pic:blipFill>
                  <pic:spPr bwMode="auto">
                    <a:xfrm>
                      <a:off x="0" y="0"/>
                      <a:ext cx="3447904" cy="2183109"/>
                    </a:xfrm>
                    <a:prstGeom prst="rect">
                      <a:avLst/>
                    </a:prstGeom>
                    <a:noFill/>
                    <a:ln w="38100" cmpd="sng">
                      <a:solidFill>
                        <a:srgbClr val="000000"/>
                      </a:solidFill>
                      <a:miter lim="800000"/>
                      <a:headEnd/>
                      <a:tailEnd/>
                    </a:ln>
                    <a:effectLst/>
                  </pic:spPr>
                </pic:pic>
              </a:graphicData>
            </a:graphic>
          </wp:inline>
        </w:drawing>
      </w:r>
    </w:p>
    <w:p w:rsidR="000B5666" w:rsidRPr="00F33BF2" w:rsidRDefault="000B5666" w:rsidP="000B5666">
      <w:pPr>
        <w:pStyle w:val="Caption"/>
      </w:pPr>
      <w:bookmarkStart w:id="33" w:name="_Ref224894312"/>
      <w:bookmarkStart w:id="34" w:name="_Ref206864915"/>
      <w:bookmarkStart w:id="35" w:name="_Toc233279467"/>
      <w:bookmarkStart w:id="36" w:name="_Toc116882413"/>
      <w:r w:rsidRPr="00F33BF2">
        <w:t>Figure</w:t>
      </w:r>
      <w:r w:rsidR="006F1D16">
        <w:t xml:space="preserve"> </w:t>
      </w:r>
      <w:fldSimple w:instr=" SEQ Figure \* ARABIC \s 1 ">
        <w:r w:rsidR="00616F68">
          <w:rPr>
            <w:noProof/>
          </w:rPr>
          <w:t>1</w:t>
        </w:r>
      </w:fldSimple>
      <w:bookmarkEnd w:id="33"/>
      <w:r w:rsidR="00910061">
        <w:t xml:space="preserve"> Breakdown by</w:t>
      </w:r>
      <w:r w:rsidRPr="00F33BF2">
        <w:t xml:space="preserve"> </w:t>
      </w:r>
      <w:r>
        <w:t>organisation</w:t>
      </w:r>
      <w:r w:rsidRPr="00F33BF2">
        <w:t xml:space="preserve"> size in the pilot study</w:t>
      </w:r>
      <w:bookmarkEnd w:id="34"/>
      <w:bookmarkEnd w:id="35"/>
    </w:p>
    <w:p w:rsidR="000B5666" w:rsidRDefault="00704C7A" w:rsidP="00EA5549">
      <w:pPr>
        <w:spacing w:before="0" w:line="240" w:lineRule="auto"/>
        <w:rPr>
          <w:sz w:val="24"/>
          <w:szCs w:val="24"/>
        </w:rPr>
      </w:pPr>
      <w:r>
        <w:rPr>
          <w:sz w:val="24"/>
          <w:szCs w:val="24"/>
        </w:rPr>
        <w:br/>
      </w:r>
      <w:r w:rsidR="000B5666" w:rsidRPr="00E67A4A">
        <w:rPr>
          <w:sz w:val="24"/>
          <w:szCs w:val="24"/>
        </w:rPr>
        <w:t xml:space="preserve">The organisations represented in </w:t>
      </w:r>
      <w:fldSimple w:instr=" REF _Ref224894312 \h  \* MERGEFORMAT ">
        <w:r w:rsidR="00616F68" w:rsidRPr="00E67A4A">
          <w:rPr>
            <w:sz w:val="24"/>
            <w:szCs w:val="24"/>
          </w:rPr>
          <w:t xml:space="preserve">Figure </w:t>
        </w:r>
        <w:r w:rsidR="00616F68" w:rsidRPr="00E67A4A">
          <w:rPr>
            <w:noProof/>
            <w:sz w:val="24"/>
            <w:szCs w:val="24"/>
          </w:rPr>
          <w:t>1</w:t>
        </w:r>
      </w:fldSimple>
      <w:r w:rsidR="000B5666" w:rsidRPr="00E67A4A">
        <w:rPr>
          <w:sz w:val="24"/>
          <w:szCs w:val="24"/>
        </w:rPr>
        <w:t xml:space="preserve"> were then asked to supply data on the amount of electronic contract documentation received in comparison with paper based tenders.</w:t>
      </w:r>
    </w:p>
    <w:p w:rsidR="00EA5549" w:rsidRDefault="00EA5549" w:rsidP="00EA5549">
      <w:pPr>
        <w:spacing w:before="0" w:line="240" w:lineRule="auto"/>
        <w:rPr>
          <w:sz w:val="24"/>
          <w:szCs w:val="24"/>
        </w:rPr>
      </w:pPr>
    </w:p>
    <w:p w:rsidR="000B5666" w:rsidRPr="00E67A4A" w:rsidRDefault="000B5666" w:rsidP="00EA5549">
      <w:pPr>
        <w:pStyle w:val="Heading2"/>
        <w:spacing w:before="0" w:line="240" w:lineRule="auto"/>
        <w:rPr>
          <w:sz w:val="28"/>
          <w:szCs w:val="28"/>
        </w:rPr>
      </w:pPr>
      <w:bookmarkStart w:id="37" w:name="_Toc233281049"/>
      <w:bookmarkEnd w:id="36"/>
      <w:r>
        <w:t xml:space="preserve"> </w:t>
      </w:r>
      <w:r w:rsidRPr="00E67A4A">
        <w:rPr>
          <w:sz w:val="28"/>
          <w:szCs w:val="28"/>
        </w:rPr>
        <w:t>USE OF ELECTRONIC CONTRACT DOCUMENTATION IN NORTHERN IRELAND FROM PILOT STUDY</w:t>
      </w:r>
      <w:bookmarkEnd w:id="37"/>
      <w:r w:rsidRPr="00E67A4A">
        <w:rPr>
          <w:sz w:val="28"/>
          <w:szCs w:val="28"/>
        </w:rPr>
        <w:t xml:space="preserve"> </w:t>
      </w:r>
    </w:p>
    <w:p w:rsidR="00EA5549" w:rsidRDefault="00EA5549" w:rsidP="00EA5549">
      <w:pPr>
        <w:spacing w:before="0" w:line="240" w:lineRule="auto"/>
        <w:rPr>
          <w:sz w:val="24"/>
          <w:szCs w:val="24"/>
        </w:rPr>
      </w:pPr>
    </w:p>
    <w:p w:rsidR="000B5666" w:rsidRPr="00E67A4A" w:rsidRDefault="00F470CC" w:rsidP="00EA5549">
      <w:pPr>
        <w:spacing w:before="0" w:line="240" w:lineRule="auto"/>
        <w:rPr>
          <w:sz w:val="24"/>
          <w:szCs w:val="24"/>
        </w:rPr>
      </w:pPr>
      <w:fldSimple w:instr=" REF _Ref224894935 \h  \* MERGEFORMAT ">
        <w:r w:rsidR="00616F68" w:rsidRPr="00E67A4A">
          <w:rPr>
            <w:sz w:val="24"/>
            <w:szCs w:val="24"/>
          </w:rPr>
          <w:t xml:space="preserve">Figure </w:t>
        </w:r>
        <w:r w:rsidR="00616F68" w:rsidRPr="00E67A4A">
          <w:rPr>
            <w:noProof/>
            <w:sz w:val="24"/>
            <w:szCs w:val="24"/>
          </w:rPr>
          <w:t>2</w:t>
        </w:r>
      </w:fldSimple>
      <w:r w:rsidR="000B5666" w:rsidRPr="00E67A4A">
        <w:rPr>
          <w:sz w:val="24"/>
          <w:szCs w:val="24"/>
        </w:rPr>
        <w:t xml:space="preserve"> demonstrates that 47% of contractors within the sample</w:t>
      </w:r>
      <w:r w:rsidR="00910061">
        <w:rPr>
          <w:sz w:val="24"/>
          <w:szCs w:val="24"/>
        </w:rPr>
        <w:t xml:space="preserve"> </w:t>
      </w:r>
      <w:r w:rsidR="000B5666" w:rsidRPr="00E67A4A">
        <w:rPr>
          <w:sz w:val="24"/>
          <w:szCs w:val="24"/>
        </w:rPr>
        <w:t xml:space="preserve">received </w:t>
      </w:r>
      <w:r w:rsidR="000B251B">
        <w:rPr>
          <w:sz w:val="24"/>
          <w:szCs w:val="24"/>
        </w:rPr>
        <w:t xml:space="preserve">only </w:t>
      </w:r>
      <w:r w:rsidR="000B5666" w:rsidRPr="00E67A4A">
        <w:rPr>
          <w:sz w:val="24"/>
          <w:szCs w:val="24"/>
        </w:rPr>
        <w:t xml:space="preserve">1-10% of their Schedules of Rates/Bill of Quantities in electronic form. </w:t>
      </w:r>
      <w:r w:rsidR="00752510">
        <w:rPr>
          <w:sz w:val="24"/>
          <w:szCs w:val="24"/>
        </w:rPr>
        <w:t>Out of t</w:t>
      </w:r>
      <w:r w:rsidR="000B5666" w:rsidRPr="00E67A4A">
        <w:rPr>
          <w:sz w:val="24"/>
          <w:szCs w:val="24"/>
        </w:rPr>
        <w:t xml:space="preserve">he remaining 53% of the sample, 26% received between 11% and 30% of documentation in electronic form. The </w:t>
      </w:r>
      <w:r w:rsidR="00752510">
        <w:rPr>
          <w:sz w:val="24"/>
          <w:szCs w:val="24"/>
        </w:rPr>
        <w:t>6%</w:t>
      </w:r>
      <w:r w:rsidR="000B5666" w:rsidRPr="00E67A4A">
        <w:rPr>
          <w:sz w:val="24"/>
          <w:szCs w:val="24"/>
        </w:rPr>
        <w:t xml:space="preserve"> who </w:t>
      </w:r>
      <w:r w:rsidR="00752510">
        <w:rPr>
          <w:sz w:val="24"/>
          <w:szCs w:val="24"/>
        </w:rPr>
        <w:t>received</w:t>
      </w:r>
      <w:r w:rsidR="000B5666" w:rsidRPr="00E67A4A">
        <w:rPr>
          <w:sz w:val="24"/>
          <w:szCs w:val="24"/>
        </w:rPr>
        <w:t xml:space="preserve"> 91-100% of documentation in electronic form worked solely for </w:t>
      </w:r>
      <w:r w:rsidR="00752510">
        <w:rPr>
          <w:sz w:val="24"/>
          <w:szCs w:val="24"/>
        </w:rPr>
        <w:t xml:space="preserve">the </w:t>
      </w:r>
      <w:r w:rsidR="000B5666" w:rsidRPr="00E67A4A">
        <w:rPr>
          <w:sz w:val="24"/>
          <w:szCs w:val="24"/>
        </w:rPr>
        <w:t>Roads Service</w:t>
      </w:r>
      <w:r w:rsidR="000B251B">
        <w:rPr>
          <w:sz w:val="24"/>
          <w:szCs w:val="24"/>
        </w:rPr>
        <w:t>.</w:t>
      </w:r>
      <w:r w:rsidR="00752510">
        <w:rPr>
          <w:sz w:val="24"/>
          <w:szCs w:val="24"/>
        </w:rPr>
        <w:t xml:space="preserve"> This was due to the fact that</w:t>
      </w:r>
      <w:r w:rsidR="000B5666" w:rsidRPr="00E67A4A">
        <w:rPr>
          <w:sz w:val="24"/>
          <w:szCs w:val="24"/>
        </w:rPr>
        <w:t xml:space="preserve"> Roads Service </w:t>
      </w:r>
      <w:r w:rsidR="00752510" w:rsidRPr="00E67A4A">
        <w:rPr>
          <w:sz w:val="24"/>
          <w:szCs w:val="24"/>
        </w:rPr>
        <w:t>carries</w:t>
      </w:r>
      <w:r w:rsidR="000B5666" w:rsidRPr="00E67A4A">
        <w:rPr>
          <w:sz w:val="24"/>
          <w:szCs w:val="24"/>
        </w:rPr>
        <w:t xml:space="preserve"> out the majority of their procurement </w:t>
      </w:r>
      <w:r w:rsidR="00752510">
        <w:rPr>
          <w:sz w:val="24"/>
          <w:szCs w:val="24"/>
        </w:rPr>
        <w:t>electronically on write-once CDs.</w:t>
      </w:r>
    </w:p>
    <w:p w:rsidR="000B5666" w:rsidRPr="00F33BF2" w:rsidRDefault="000B5666" w:rsidP="000B5666">
      <w:pPr>
        <w:pStyle w:val="BodyText2"/>
      </w:pPr>
    </w:p>
    <w:p w:rsidR="000B5666" w:rsidRPr="00F33BF2" w:rsidRDefault="000B5666" w:rsidP="000B5666">
      <w:pPr>
        <w:pStyle w:val="BodyText"/>
        <w:ind w:right="180"/>
        <w:rPr>
          <w:b w:val="0"/>
          <w:bCs w:val="0"/>
          <w:szCs w:val="24"/>
        </w:rPr>
      </w:pPr>
      <w:r>
        <w:rPr>
          <w:b w:val="0"/>
          <w:noProof/>
          <w:szCs w:val="24"/>
          <w:lang w:val="en-US"/>
        </w:rPr>
        <w:drawing>
          <wp:inline distT="0" distB="0" distL="0" distR="0">
            <wp:extent cx="5171862" cy="3080657"/>
            <wp:effectExtent l="57150" t="38100" r="28788" b="24493"/>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cstate="print"/>
                    <a:srcRect/>
                    <a:stretch>
                      <a:fillRect/>
                    </a:stretch>
                  </pic:blipFill>
                  <pic:spPr bwMode="auto">
                    <a:xfrm>
                      <a:off x="0" y="0"/>
                      <a:ext cx="5191968" cy="3092633"/>
                    </a:xfrm>
                    <a:prstGeom prst="rect">
                      <a:avLst/>
                    </a:prstGeom>
                    <a:noFill/>
                    <a:ln w="38100" cmpd="sng">
                      <a:solidFill>
                        <a:srgbClr val="000000"/>
                      </a:solidFill>
                      <a:miter lim="800000"/>
                      <a:headEnd/>
                      <a:tailEnd/>
                    </a:ln>
                    <a:effectLst/>
                  </pic:spPr>
                </pic:pic>
              </a:graphicData>
            </a:graphic>
          </wp:inline>
        </w:drawing>
      </w:r>
    </w:p>
    <w:p w:rsidR="000B5666" w:rsidRPr="00F33BF2" w:rsidRDefault="000B5666" w:rsidP="000B5666">
      <w:pPr>
        <w:pStyle w:val="Caption"/>
        <w:rPr>
          <w:szCs w:val="24"/>
        </w:rPr>
      </w:pPr>
      <w:bookmarkStart w:id="38" w:name="_Ref224894935"/>
      <w:bookmarkStart w:id="39" w:name="_Ref206746225"/>
      <w:bookmarkStart w:id="40" w:name="_Toc233279468"/>
      <w:r w:rsidRPr="00F33BF2">
        <w:t>Figure</w:t>
      </w:r>
      <w:r w:rsidR="006F1D16">
        <w:t xml:space="preserve"> </w:t>
      </w:r>
      <w:fldSimple w:instr=" SEQ Figure \* ARABIC \s 1 ">
        <w:r w:rsidR="00616F68">
          <w:rPr>
            <w:noProof/>
          </w:rPr>
          <w:t>2</w:t>
        </w:r>
      </w:fldSimple>
      <w:bookmarkEnd w:id="38"/>
      <w:r w:rsidRPr="00F33BF2">
        <w:t xml:space="preserve"> Percentage of BOQ received in Electronic Form by Contractors in Northern Ireland</w:t>
      </w:r>
      <w:bookmarkEnd w:id="39"/>
      <w:bookmarkEnd w:id="40"/>
    </w:p>
    <w:p w:rsidR="00EA5549" w:rsidRDefault="00EA5549" w:rsidP="00EF6379">
      <w:pPr>
        <w:rPr>
          <w:sz w:val="24"/>
          <w:szCs w:val="24"/>
        </w:rPr>
      </w:pPr>
    </w:p>
    <w:p w:rsidR="000B5666" w:rsidRDefault="000B5666" w:rsidP="00EF6379">
      <w:pPr>
        <w:rPr>
          <w:sz w:val="24"/>
          <w:szCs w:val="24"/>
        </w:rPr>
      </w:pPr>
      <w:r w:rsidRPr="00E67A4A">
        <w:rPr>
          <w:sz w:val="24"/>
          <w:szCs w:val="24"/>
        </w:rPr>
        <w:t xml:space="preserve">In order to fill the knowledge gap regarding usage versus organisation size, during analysis of the pilot study, the percentage of contracts received in electronic format was compared to the size of the companies. The </w:t>
      </w:r>
      <w:bookmarkStart w:id="41" w:name="OLE_LINK5"/>
      <w:bookmarkStart w:id="42" w:name="OLE_LINK6"/>
      <w:r w:rsidRPr="00E67A4A">
        <w:rPr>
          <w:sz w:val="24"/>
          <w:szCs w:val="24"/>
        </w:rPr>
        <w:t xml:space="preserve">organisation sizes </w:t>
      </w:r>
      <w:bookmarkEnd w:id="41"/>
      <w:bookmarkEnd w:id="42"/>
      <w:r w:rsidRPr="00E67A4A">
        <w:rPr>
          <w:sz w:val="24"/>
          <w:szCs w:val="24"/>
        </w:rPr>
        <w:t xml:space="preserve">analysed are 11-20, 21-50, 51-100 and over 100. </w:t>
      </w:r>
      <w:r w:rsidR="005C6A48">
        <w:rPr>
          <w:color w:val="FF0000"/>
          <w:sz w:val="24"/>
          <w:szCs w:val="24"/>
        </w:rPr>
        <w:t xml:space="preserve">These </w:t>
      </w:r>
      <w:r w:rsidR="005C6A48" w:rsidRPr="005C6A48">
        <w:rPr>
          <w:color w:val="FF0000"/>
          <w:sz w:val="24"/>
          <w:szCs w:val="24"/>
        </w:rPr>
        <w:t>organisation sizes</w:t>
      </w:r>
      <w:r w:rsidR="005C6A48">
        <w:rPr>
          <w:color w:val="FF0000"/>
          <w:sz w:val="24"/>
          <w:szCs w:val="24"/>
        </w:rPr>
        <w:t xml:space="preserve"> were asked to assess the percentage of electronic contract documentation received by their organisation relative to the total amount. Organisations within the four previous bandings were then assessed separately and the median value used as an indicator of the amount of contract documentation for organisations of that size.  </w:t>
      </w:r>
      <w:r w:rsidRPr="00E67A4A">
        <w:rPr>
          <w:sz w:val="24"/>
          <w:szCs w:val="24"/>
        </w:rPr>
        <w:t xml:space="preserve">The organisation size </w:t>
      </w:r>
      <w:r w:rsidR="004C00A1">
        <w:rPr>
          <w:sz w:val="24"/>
          <w:szCs w:val="24"/>
        </w:rPr>
        <w:t xml:space="preserve">of </w:t>
      </w:r>
      <w:r w:rsidRPr="00E67A4A">
        <w:rPr>
          <w:sz w:val="24"/>
          <w:szCs w:val="24"/>
        </w:rPr>
        <w:t xml:space="preserve">01-10 was not analysed as only two responses from contractors were received from this group and a median value would have produced a false </w:t>
      </w:r>
      <w:r w:rsidR="004C00A1">
        <w:rPr>
          <w:sz w:val="24"/>
          <w:szCs w:val="24"/>
        </w:rPr>
        <w:t xml:space="preserve">non representative </w:t>
      </w:r>
      <w:r w:rsidRPr="00E67A4A">
        <w:rPr>
          <w:sz w:val="24"/>
          <w:szCs w:val="24"/>
        </w:rPr>
        <w:t xml:space="preserve">value.  </w:t>
      </w:r>
      <w:fldSimple w:instr=" REF _Ref207101886 \h  \* MERGEFORMAT ">
        <w:r w:rsidR="00616F68" w:rsidRPr="00E67A4A">
          <w:rPr>
            <w:sz w:val="24"/>
            <w:szCs w:val="24"/>
          </w:rPr>
          <w:t xml:space="preserve">Figure </w:t>
        </w:r>
        <w:r w:rsidR="00616F68" w:rsidRPr="00E67A4A">
          <w:rPr>
            <w:noProof/>
            <w:sz w:val="24"/>
            <w:szCs w:val="24"/>
          </w:rPr>
          <w:t>3</w:t>
        </w:r>
      </w:fldSimple>
      <w:r w:rsidRPr="00E67A4A">
        <w:rPr>
          <w:sz w:val="24"/>
          <w:szCs w:val="24"/>
        </w:rPr>
        <w:t xml:space="preserve"> </w:t>
      </w:r>
      <w:r w:rsidR="005C6A48">
        <w:rPr>
          <w:sz w:val="24"/>
          <w:szCs w:val="24"/>
        </w:rPr>
        <w:t>identifies</w:t>
      </w:r>
      <w:r w:rsidRPr="00E67A4A">
        <w:rPr>
          <w:sz w:val="24"/>
          <w:szCs w:val="24"/>
        </w:rPr>
        <w:t xml:space="preserve"> that contractor size was not a factor in receiving electronic contract documentation.</w:t>
      </w:r>
      <w:r w:rsidR="006F1D16" w:rsidRPr="00E67A4A">
        <w:rPr>
          <w:sz w:val="24"/>
          <w:szCs w:val="24"/>
        </w:rPr>
        <w:t xml:space="preserve"> This would be expected as the tender documentation is more likely to be produced from the clients d</w:t>
      </w:r>
      <w:r w:rsidR="004C00A1">
        <w:rPr>
          <w:sz w:val="24"/>
          <w:szCs w:val="24"/>
        </w:rPr>
        <w:t>esign team in</w:t>
      </w:r>
      <w:r w:rsidR="006F1D16" w:rsidRPr="00E67A4A">
        <w:rPr>
          <w:sz w:val="24"/>
          <w:szCs w:val="24"/>
        </w:rPr>
        <w:t xml:space="preserve"> traditional </w:t>
      </w:r>
      <w:r w:rsidR="004C00A1">
        <w:rPr>
          <w:sz w:val="24"/>
          <w:szCs w:val="24"/>
        </w:rPr>
        <w:t xml:space="preserve">forms of </w:t>
      </w:r>
      <w:r w:rsidR="006F1D16" w:rsidRPr="00E67A4A">
        <w:rPr>
          <w:sz w:val="24"/>
          <w:szCs w:val="24"/>
        </w:rPr>
        <w:t xml:space="preserve">contract. </w:t>
      </w:r>
      <w:r w:rsidR="00A35EC2" w:rsidRPr="00E67A4A">
        <w:rPr>
          <w:sz w:val="24"/>
          <w:szCs w:val="24"/>
        </w:rPr>
        <w:t>The median percentage of contract documentation received electronically was around 25% for all sizes of contractor</w:t>
      </w:r>
      <w:r w:rsidR="008B6672">
        <w:rPr>
          <w:sz w:val="24"/>
          <w:szCs w:val="24"/>
        </w:rPr>
        <w:t xml:space="preserve"> (Figure 3)</w:t>
      </w:r>
      <w:r w:rsidR="00A35EC2" w:rsidRPr="00E67A4A">
        <w:rPr>
          <w:sz w:val="24"/>
          <w:szCs w:val="24"/>
        </w:rPr>
        <w:t xml:space="preserve">. Further data was gathered in the main study to see if this level was carried across the </w:t>
      </w:r>
      <w:r w:rsidR="00EA5549">
        <w:rPr>
          <w:sz w:val="24"/>
          <w:szCs w:val="24"/>
        </w:rPr>
        <w:t>complete</w:t>
      </w:r>
      <w:r w:rsidR="00A35EC2" w:rsidRPr="00E67A4A">
        <w:rPr>
          <w:sz w:val="24"/>
          <w:szCs w:val="24"/>
        </w:rPr>
        <w:t xml:space="preserve"> industry</w:t>
      </w:r>
      <w:r w:rsidR="00EA5549">
        <w:rPr>
          <w:sz w:val="24"/>
          <w:szCs w:val="24"/>
        </w:rPr>
        <w:t>.</w:t>
      </w:r>
    </w:p>
    <w:p w:rsidR="00315175" w:rsidRPr="00E67A4A" w:rsidRDefault="00315175" w:rsidP="00EF6379">
      <w:pPr>
        <w:rPr>
          <w:sz w:val="24"/>
          <w:szCs w:val="24"/>
        </w:rPr>
      </w:pPr>
    </w:p>
    <w:p w:rsidR="00A35EC2" w:rsidRPr="00F33BF2" w:rsidRDefault="00315175" w:rsidP="00EF6379">
      <w:r>
        <w:rPr>
          <w:sz w:val="24"/>
          <w:szCs w:val="24"/>
        </w:rPr>
        <w:t xml:space="preserve">The </w:t>
      </w:r>
      <w:r w:rsidRPr="00E67A4A">
        <w:rPr>
          <w:sz w:val="24"/>
          <w:szCs w:val="24"/>
        </w:rPr>
        <w:t xml:space="preserve">median percentage of </w:t>
      </w:r>
      <w:r w:rsidR="008B6672">
        <w:rPr>
          <w:sz w:val="24"/>
          <w:szCs w:val="24"/>
        </w:rPr>
        <w:t>contract</w:t>
      </w:r>
      <w:r w:rsidRPr="00E67A4A">
        <w:rPr>
          <w:sz w:val="24"/>
          <w:szCs w:val="24"/>
        </w:rPr>
        <w:t xml:space="preserve"> documents</w:t>
      </w:r>
      <w:r w:rsidR="008B6672">
        <w:rPr>
          <w:sz w:val="24"/>
          <w:szCs w:val="24"/>
        </w:rPr>
        <w:t xml:space="preserve"> received in electronic format</w:t>
      </w:r>
      <w:r w:rsidRPr="00E67A4A">
        <w:rPr>
          <w:sz w:val="24"/>
          <w:szCs w:val="24"/>
        </w:rPr>
        <w:t xml:space="preserve"> was also examined against organisation procurement spend. It can be seen from </w:t>
      </w:r>
      <w:fldSimple w:instr=" REF _Ref224897449 \h  \* MERGEFORMAT ">
        <w:r w:rsidRPr="00E67A4A">
          <w:rPr>
            <w:sz w:val="24"/>
            <w:szCs w:val="24"/>
          </w:rPr>
          <w:t xml:space="preserve">Figure </w:t>
        </w:r>
        <w:r w:rsidRPr="00E67A4A">
          <w:rPr>
            <w:noProof/>
            <w:sz w:val="24"/>
            <w:szCs w:val="24"/>
          </w:rPr>
          <w:t>4</w:t>
        </w:r>
      </w:fldSimple>
      <w:r w:rsidRPr="00E67A4A">
        <w:rPr>
          <w:sz w:val="24"/>
          <w:szCs w:val="24"/>
        </w:rPr>
        <w:t xml:space="preserve"> that </w:t>
      </w:r>
      <w:r w:rsidRPr="00E67A4A">
        <w:rPr>
          <w:sz w:val="24"/>
          <w:szCs w:val="24"/>
        </w:rPr>
        <w:lastRenderedPageBreak/>
        <w:t>the contractors that spend least and most on procurement</w:t>
      </w:r>
      <w:r w:rsidR="002D4CA2">
        <w:rPr>
          <w:sz w:val="24"/>
          <w:szCs w:val="24"/>
        </w:rPr>
        <w:t>,</w:t>
      </w:r>
      <w:r w:rsidRPr="00E67A4A">
        <w:rPr>
          <w:sz w:val="24"/>
          <w:szCs w:val="24"/>
        </w:rPr>
        <w:t xml:space="preserve"> use more e-procurement than those who spend between £1000 and £50,000 on procurement per annum. These findings were substantiated through comparison with the main study findings.</w:t>
      </w:r>
    </w:p>
    <w:p w:rsidR="000B5666" w:rsidRPr="00F33BF2" w:rsidRDefault="000B5666" w:rsidP="000B5666">
      <w:pPr>
        <w:pStyle w:val="BodyText2"/>
        <w:rPr>
          <w:noProof/>
          <w:snapToGrid/>
          <w:lang w:eastAsia="en-GB"/>
        </w:rPr>
      </w:pPr>
      <w:r>
        <w:rPr>
          <w:noProof/>
          <w:snapToGrid/>
          <w:lang w:val="en-US"/>
        </w:rPr>
        <w:drawing>
          <wp:inline distT="0" distB="0" distL="0" distR="0">
            <wp:extent cx="5335808" cy="3352522"/>
            <wp:effectExtent l="57150" t="38100" r="36292" b="19328"/>
            <wp:docPr id="5" name="Char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13" cstate="print"/>
                    <a:srcRect/>
                    <a:stretch>
                      <a:fillRect/>
                    </a:stretch>
                  </pic:blipFill>
                  <pic:spPr bwMode="auto">
                    <a:xfrm>
                      <a:off x="0" y="0"/>
                      <a:ext cx="5341093" cy="3355842"/>
                    </a:xfrm>
                    <a:prstGeom prst="rect">
                      <a:avLst/>
                    </a:prstGeom>
                    <a:noFill/>
                    <a:ln w="38100" cmpd="sng">
                      <a:solidFill>
                        <a:srgbClr val="000000"/>
                      </a:solidFill>
                      <a:miter lim="800000"/>
                      <a:headEnd/>
                      <a:tailEnd/>
                    </a:ln>
                    <a:effectLst/>
                  </pic:spPr>
                </pic:pic>
              </a:graphicData>
            </a:graphic>
          </wp:inline>
        </w:drawing>
      </w:r>
    </w:p>
    <w:p w:rsidR="000B5666" w:rsidRPr="00315175" w:rsidRDefault="003F3745" w:rsidP="00315175">
      <w:pPr>
        <w:pStyle w:val="Caption"/>
      </w:pPr>
      <w:bookmarkStart w:id="43" w:name="_Ref207101886"/>
      <w:bookmarkStart w:id="44" w:name="_Toc233279469"/>
      <w:r>
        <w:rPr>
          <w:noProof/>
          <w:lang w:val="en-US" w:eastAsia="en-US"/>
        </w:rPr>
        <w:drawing>
          <wp:anchor distT="0" distB="0" distL="114300" distR="114300" simplePos="0" relativeHeight="251658240" behindDoc="0" locked="0" layoutInCell="1" allowOverlap="1">
            <wp:simplePos x="0" y="0"/>
            <wp:positionH relativeFrom="column">
              <wp:posOffset>10795</wp:posOffset>
            </wp:positionH>
            <wp:positionV relativeFrom="paragraph">
              <wp:posOffset>326390</wp:posOffset>
            </wp:positionV>
            <wp:extent cx="5497195" cy="3423285"/>
            <wp:effectExtent l="57150" t="38100" r="46355" b="24765"/>
            <wp:wrapTopAndBottom/>
            <wp:docPr id="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4" cstate="print"/>
                    <a:srcRect/>
                    <a:stretch>
                      <a:fillRect/>
                    </a:stretch>
                  </pic:blipFill>
                  <pic:spPr bwMode="auto">
                    <a:xfrm>
                      <a:off x="0" y="0"/>
                      <a:ext cx="5497195" cy="3423285"/>
                    </a:xfrm>
                    <a:prstGeom prst="rect">
                      <a:avLst/>
                    </a:prstGeom>
                    <a:noFill/>
                    <a:ln w="38100" cmpd="sng">
                      <a:solidFill>
                        <a:srgbClr val="000000"/>
                      </a:solidFill>
                      <a:miter lim="800000"/>
                      <a:headEnd/>
                      <a:tailEnd/>
                    </a:ln>
                    <a:effectLst/>
                  </pic:spPr>
                </pic:pic>
              </a:graphicData>
            </a:graphic>
          </wp:anchor>
        </w:drawing>
      </w:r>
      <w:r w:rsidR="000B5666" w:rsidRPr="00F33BF2">
        <w:t>Figure</w:t>
      </w:r>
      <w:r w:rsidR="006F1D16">
        <w:t xml:space="preserve"> </w:t>
      </w:r>
      <w:fldSimple w:instr=" SEQ Figure \* ARABIC \s 1 ">
        <w:r w:rsidR="00616F68">
          <w:rPr>
            <w:noProof/>
          </w:rPr>
          <w:t>3</w:t>
        </w:r>
      </w:fldSimple>
      <w:bookmarkEnd w:id="43"/>
      <w:r w:rsidR="000B5666" w:rsidRPr="00F33BF2">
        <w:t xml:space="preserve"> Median Percentage of Electronic Contract documentatio</w:t>
      </w:r>
      <w:r w:rsidR="000B5666">
        <w:t>n by Northern Ireland c</w:t>
      </w:r>
      <w:r w:rsidR="000B5666" w:rsidRPr="00F33BF2">
        <w:t>ontractor size</w:t>
      </w:r>
      <w:bookmarkEnd w:id="44"/>
    </w:p>
    <w:p w:rsidR="000B5666" w:rsidRPr="00F33BF2" w:rsidRDefault="000B5666" w:rsidP="000B5666">
      <w:pPr>
        <w:pStyle w:val="Caption"/>
      </w:pPr>
      <w:bookmarkStart w:id="45" w:name="_Ref224897449"/>
      <w:bookmarkStart w:id="46" w:name="_Ref207165174"/>
      <w:bookmarkStart w:id="47" w:name="_Toc233279470"/>
      <w:r w:rsidRPr="00F33BF2">
        <w:t>Figure</w:t>
      </w:r>
      <w:r w:rsidR="00A35EC2">
        <w:t xml:space="preserve"> </w:t>
      </w:r>
      <w:fldSimple w:instr=" SEQ Figure \* ARABIC \s 1 ">
        <w:r w:rsidR="00616F68">
          <w:rPr>
            <w:noProof/>
          </w:rPr>
          <w:t>4</w:t>
        </w:r>
      </w:fldSimple>
      <w:bookmarkEnd w:id="45"/>
      <w:r w:rsidRPr="00F33BF2">
        <w:t xml:space="preserve"> Median Percentage of Electronic Documents for Organisation Procurement Spend (Pilot Study)</w:t>
      </w:r>
      <w:bookmarkEnd w:id="46"/>
      <w:bookmarkEnd w:id="47"/>
    </w:p>
    <w:p w:rsidR="000B5666" w:rsidRDefault="000B5666" w:rsidP="00EA5549">
      <w:pPr>
        <w:spacing w:before="0" w:line="240" w:lineRule="auto"/>
        <w:rPr>
          <w:sz w:val="24"/>
          <w:szCs w:val="24"/>
        </w:rPr>
      </w:pPr>
      <w:r w:rsidRPr="00E67A4A">
        <w:rPr>
          <w:sz w:val="24"/>
          <w:szCs w:val="24"/>
        </w:rPr>
        <w:t xml:space="preserve">The conclusions that can be drawn from </w:t>
      </w:r>
      <w:fldSimple w:instr=" REF _Ref224897449 \h  \* MERGEFORMAT ">
        <w:r w:rsidR="00616F68" w:rsidRPr="00E67A4A">
          <w:rPr>
            <w:sz w:val="24"/>
            <w:szCs w:val="24"/>
          </w:rPr>
          <w:t xml:space="preserve">Figure </w:t>
        </w:r>
        <w:r w:rsidR="00616F68" w:rsidRPr="00E67A4A">
          <w:rPr>
            <w:noProof/>
            <w:sz w:val="24"/>
            <w:szCs w:val="24"/>
          </w:rPr>
          <w:t>4</w:t>
        </w:r>
      </w:fldSimple>
      <w:r w:rsidRPr="00E67A4A">
        <w:rPr>
          <w:sz w:val="24"/>
          <w:szCs w:val="24"/>
        </w:rPr>
        <w:t xml:space="preserve"> are that smaller firms that rely on efficiency for survival and larger firms that have identified the cost savings that e-procurement in construction brings</w:t>
      </w:r>
      <w:r w:rsidR="000B251B">
        <w:rPr>
          <w:sz w:val="24"/>
          <w:szCs w:val="24"/>
        </w:rPr>
        <w:t>,</w:t>
      </w:r>
      <w:r w:rsidRPr="00E67A4A">
        <w:rPr>
          <w:sz w:val="24"/>
          <w:szCs w:val="24"/>
        </w:rPr>
        <w:t xml:space="preserve"> have led the way in implementation </w:t>
      </w:r>
      <w:r w:rsidR="000B251B">
        <w:rPr>
          <w:sz w:val="24"/>
          <w:szCs w:val="24"/>
        </w:rPr>
        <w:t>o</w:t>
      </w:r>
      <w:r w:rsidRPr="00E67A4A">
        <w:rPr>
          <w:sz w:val="24"/>
          <w:szCs w:val="24"/>
        </w:rPr>
        <w:t xml:space="preserve">f e-procurement. Smaller firms may only be tendering for work which is being provided </w:t>
      </w:r>
      <w:r w:rsidRPr="00E67A4A">
        <w:rPr>
          <w:sz w:val="24"/>
          <w:szCs w:val="24"/>
        </w:rPr>
        <w:lastRenderedPageBreak/>
        <w:t xml:space="preserve">electronically by government departments which may be reflected in the results shown in </w:t>
      </w:r>
      <w:fldSimple w:instr=" REF _Ref224897449 \h  \* MERGEFORMAT ">
        <w:r w:rsidR="00616F68" w:rsidRPr="00E67A4A">
          <w:rPr>
            <w:sz w:val="24"/>
            <w:szCs w:val="24"/>
          </w:rPr>
          <w:t xml:space="preserve">Figure </w:t>
        </w:r>
        <w:r w:rsidR="00616F68" w:rsidRPr="00E67A4A">
          <w:rPr>
            <w:noProof/>
            <w:sz w:val="24"/>
            <w:szCs w:val="24"/>
          </w:rPr>
          <w:t>4</w:t>
        </w:r>
      </w:fldSimple>
      <w:r w:rsidRPr="00E67A4A">
        <w:rPr>
          <w:sz w:val="24"/>
          <w:szCs w:val="24"/>
        </w:rPr>
        <w:t xml:space="preserve">. </w:t>
      </w:r>
    </w:p>
    <w:p w:rsidR="00EA5549" w:rsidRDefault="00EA5549" w:rsidP="00EA5549">
      <w:pPr>
        <w:spacing w:before="0" w:line="240" w:lineRule="auto"/>
        <w:rPr>
          <w:sz w:val="24"/>
          <w:szCs w:val="24"/>
        </w:rPr>
      </w:pPr>
    </w:p>
    <w:p w:rsidR="000B5666" w:rsidRPr="00EA5549" w:rsidRDefault="000B5666" w:rsidP="00EA5549">
      <w:pPr>
        <w:pStyle w:val="Heading2"/>
        <w:spacing w:before="0" w:line="240" w:lineRule="auto"/>
        <w:rPr>
          <w:sz w:val="28"/>
          <w:szCs w:val="28"/>
        </w:rPr>
      </w:pPr>
      <w:bookmarkStart w:id="48" w:name="_Toc233281050"/>
      <w:r w:rsidRPr="00EA5549">
        <w:rPr>
          <w:sz w:val="28"/>
          <w:szCs w:val="28"/>
        </w:rPr>
        <w:t>USE OF ELECTRONIC CONTRACT DOCUMENTATION (UK WIDE) FROM MAIN STUDY</w:t>
      </w:r>
      <w:bookmarkEnd w:id="48"/>
    </w:p>
    <w:p w:rsidR="00EA5549" w:rsidRPr="00EA5549" w:rsidRDefault="00EA5549" w:rsidP="00EA5549"/>
    <w:p w:rsidR="000B5666" w:rsidRDefault="000B5666" w:rsidP="000B251B">
      <w:pPr>
        <w:spacing w:before="0" w:line="240" w:lineRule="auto"/>
        <w:rPr>
          <w:sz w:val="24"/>
          <w:szCs w:val="24"/>
        </w:rPr>
      </w:pPr>
      <w:r w:rsidRPr="00E67A4A">
        <w:rPr>
          <w:sz w:val="24"/>
          <w:szCs w:val="24"/>
        </w:rPr>
        <w:t xml:space="preserve">This section </w:t>
      </w:r>
      <w:r w:rsidR="00A71919">
        <w:rPr>
          <w:sz w:val="24"/>
          <w:szCs w:val="24"/>
        </w:rPr>
        <w:t>presents</w:t>
      </w:r>
      <w:r w:rsidRPr="00E67A4A">
        <w:rPr>
          <w:sz w:val="24"/>
          <w:szCs w:val="24"/>
        </w:rPr>
        <w:t xml:space="preserve"> the main study results and investigates e-procurement usage among professionals from the following disciplines, quantity surveyors, public sector clients, architects, private sector clients and consulting engineers. Following the phone survey, it was found that 135 organisations out of the 795 carried out e-procurement equating to 17% use UK-wide. This is similar to </w:t>
      </w:r>
      <w:r w:rsidR="00A35EC2" w:rsidRPr="00E67A4A">
        <w:rPr>
          <w:sz w:val="24"/>
          <w:szCs w:val="24"/>
        </w:rPr>
        <w:t xml:space="preserve">and corroborates </w:t>
      </w:r>
      <w:r w:rsidRPr="00E67A4A">
        <w:rPr>
          <w:sz w:val="24"/>
          <w:szCs w:val="24"/>
        </w:rPr>
        <w:t>the findings of Martin (2008) who showed that 20% of Quantity Surveyors used e-procurement.</w:t>
      </w:r>
    </w:p>
    <w:p w:rsidR="000B251B" w:rsidRPr="00E67A4A" w:rsidRDefault="000B251B" w:rsidP="000B251B">
      <w:pPr>
        <w:spacing w:before="0" w:line="240" w:lineRule="auto"/>
        <w:rPr>
          <w:sz w:val="24"/>
          <w:szCs w:val="24"/>
        </w:rPr>
      </w:pPr>
    </w:p>
    <w:p w:rsidR="000B251B" w:rsidRDefault="000B251B" w:rsidP="000B251B">
      <w:pPr>
        <w:spacing w:before="0" w:line="240" w:lineRule="auto"/>
        <w:rPr>
          <w:sz w:val="24"/>
          <w:szCs w:val="24"/>
        </w:rPr>
      </w:pPr>
      <w:r>
        <w:rPr>
          <w:sz w:val="24"/>
          <w:szCs w:val="24"/>
        </w:rPr>
        <w:t xml:space="preserve">The </w:t>
      </w:r>
      <w:r w:rsidR="00A71919" w:rsidRPr="00E67A4A">
        <w:rPr>
          <w:sz w:val="24"/>
          <w:szCs w:val="24"/>
        </w:rPr>
        <w:t xml:space="preserve">overall </w:t>
      </w:r>
      <w:r w:rsidR="000B5666" w:rsidRPr="00E67A4A">
        <w:rPr>
          <w:sz w:val="24"/>
          <w:szCs w:val="24"/>
        </w:rPr>
        <w:t xml:space="preserve">percentage response to the survey is 68%. Looking at external validity, Rubin and Babbie (2004) suggested </w:t>
      </w:r>
      <w:r w:rsidR="00A71919">
        <w:rPr>
          <w:sz w:val="24"/>
          <w:szCs w:val="24"/>
        </w:rPr>
        <w:t>a</w:t>
      </w:r>
      <w:r w:rsidR="000B5666" w:rsidRPr="00E67A4A">
        <w:rPr>
          <w:sz w:val="24"/>
          <w:szCs w:val="24"/>
        </w:rPr>
        <w:t xml:space="preserve"> 60% response rate for electronic surveys as good</w:t>
      </w:r>
      <w:r>
        <w:rPr>
          <w:sz w:val="24"/>
          <w:szCs w:val="24"/>
        </w:rPr>
        <w:t xml:space="preserve"> for generalisation</w:t>
      </w:r>
      <w:r w:rsidR="000B5666" w:rsidRPr="00E67A4A">
        <w:rPr>
          <w:sz w:val="24"/>
          <w:szCs w:val="24"/>
        </w:rPr>
        <w:t xml:space="preserve">, 70% as very good and 75% and above as excellent. It can be seen that the survey is </w:t>
      </w:r>
      <w:r>
        <w:rPr>
          <w:sz w:val="24"/>
          <w:szCs w:val="24"/>
        </w:rPr>
        <w:t xml:space="preserve">between the good and very good categories and </w:t>
      </w:r>
      <w:r w:rsidR="000B5666" w:rsidRPr="00E67A4A">
        <w:rPr>
          <w:sz w:val="24"/>
          <w:szCs w:val="24"/>
        </w:rPr>
        <w:t xml:space="preserve">therefore the results can be generalised across the </w:t>
      </w:r>
      <w:r>
        <w:rPr>
          <w:sz w:val="24"/>
          <w:szCs w:val="24"/>
        </w:rPr>
        <w:t>UK.</w:t>
      </w:r>
    </w:p>
    <w:p w:rsidR="000B5666" w:rsidRPr="00E67A4A" w:rsidRDefault="000B5666" w:rsidP="000B251B">
      <w:pPr>
        <w:spacing w:before="0" w:line="240" w:lineRule="auto"/>
        <w:rPr>
          <w:sz w:val="24"/>
          <w:szCs w:val="24"/>
        </w:rPr>
      </w:pPr>
      <w:r w:rsidRPr="00E67A4A">
        <w:rPr>
          <w:sz w:val="24"/>
          <w:szCs w:val="24"/>
        </w:rPr>
        <w:t xml:space="preserve"> </w:t>
      </w:r>
    </w:p>
    <w:p w:rsidR="00F3591F" w:rsidRPr="00E67A4A" w:rsidRDefault="00F3591F" w:rsidP="000B251B">
      <w:pPr>
        <w:spacing w:before="0" w:line="240" w:lineRule="auto"/>
        <w:rPr>
          <w:sz w:val="24"/>
          <w:szCs w:val="24"/>
        </w:rPr>
      </w:pPr>
      <w:bookmarkStart w:id="49" w:name="OLE_LINK26"/>
      <w:bookmarkStart w:id="50" w:name="OLE_LINK25"/>
      <w:bookmarkStart w:id="51" w:name="_Ref217670355"/>
      <w:r w:rsidRPr="00E67A4A">
        <w:rPr>
          <w:sz w:val="24"/>
          <w:szCs w:val="24"/>
        </w:rPr>
        <w:t xml:space="preserve">Organisations using e-procurement were asked to give their size by number of employees. This was compared with the percentage of Bills of Quantities produced in electronic form by organisation size. A similar breakdown of organisation size was used in the main study to that </w:t>
      </w:r>
      <w:r w:rsidR="008F3DE2">
        <w:rPr>
          <w:sz w:val="24"/>
          <w:szCs w:val="24"/>
        </w:rPr>
        <w:t>of</w:t>
      </w:r>
      <w:r w:rsidRPr="00E67A4A">
        <w:rPr>
          <w:sz w:val="24"/>
          <w:szCs w:val="24"/>
        </w:rPr>
        <w:t xml:space="preserve"> the pilot study. This allowed comparison of the two studies </w:t>
      </w:r>
      <w:r w:rsidR="008F3DE2">
        <w:rPr>
          <w:sz w:val="24"/>
          <w:szCs w:val="24"/>
        </w:rPr>
        <w:t>with</w:t>
      </w:r>
      <w:r w:rsidRPr="00E67A4A">
        <w:rPr>
          <w:sz w:val="24"/>
          <w:szCs w:val="24"/>
        </w:rPr>
        <w:t xml:space="preserve"> regards to the amount of e-procurement use by organisation size.    </w:t>
      </w:r>
    </w:p>
    <w:p w:rsidR="00F3591F" w:rsidRDefault="00701975" w:rsidP="00F3591F">
      <w:r>
        <w:rPr>
          <w:noProof/>
          <w:lang w:val="en-US" w:eastAsia="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335280</wp:posOffset>
            </wp:positionV>
            <wp:extent cx="5208905" cy="2451735"/>
            <wp:effectExtent l="57150" t="38100" r="29845" b="24765"/>
            <wp:wrapTopAndBottom/>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5" cstate="print"/>
                    <a:srcRect/>
                    <a:stretch>
                      <a:fillRect/>
                    </a:stretch>
                  </pic:blipFill>
                  <pic:spPr bwMode="auto">
                    <a:xfrm>
                      <a:off x="0" y="0"/>
                      <a:ext cx="5208905" cy="2451735"/>
                    </a:xfrm>
                    <a:prstGeom prst="rect">
                      <a:avLst/>
                    </a:prstGeom>
                    <a:noFill/>
                    <a:ln w="38100" cmpd="sng">
                      <a:solidFill>
                        <a:srgbClr val="000000"/>
                      </a:solidFill>
                      <a:miter lim="800000"/>
                      <a:headEnd/>
                      <a:tailEnd/>
                    </a:ln>
                    <a:effectLst/>
                  </pic:spPr>
                </pic:pic>
              </a:graphicData>
            </a:graphic>
          </wp:anchor>
        </w:drawing>
      </w:r>
    </w:p>
    <w:p w:rsidR="00F3591F" w:rsidRDefault="00F3591F" w:rsidP="00F3591F">
      <w:pPr>
        <w:pStyle w:val="Caption"/>
        <w:rPr>
          <w:noProof/>
          <w:lang w:eastAsia="en-US"/>
        </w:rPr>
      </w:pPr>
      <w:bookmarkStart w:id="52" w:name="_Ref207180369"/>
      <w:bookmarkStart w:id="53" w:name="_Toc233279472"/>
      <w:bookmarkStart w:id="54" w:name="_Ref207180042"/>
      <w:r>
        <w:t>Figure</w:t>
      </w:r>
      <w:r w:rsidR="00701975">
        <w:t xml:space="preserve"> </w:t>
      </w:r>
      <w:fldSimple w:instr=" SEQ Figure \* ARABIC \s 1 ">
        <w:r w:rsidR="00616F68">
          <w:rPr>
            <w:noProof/>
          </w:rPr>
          <w:t>5</w:t>
        </w:r>
      </w:fldSimple>
      <w:bookmarkEnd w:id="52"/>
      <w:r>
        <w:t xml:space="preserve"> Breakdow</w:t>
      </w:r>
      <w:r w:rsidR="008F3DE2">
        <w:t>n by</w:t>
      </w:r>
      <w:r>
        <w:t xml:space="preserve"> organisation size in the Main Study sample returns</w:t>
      </w:r>
      <w:bookmarkEnd w:id="53"/>
      <w:bookmarkEnd w:id="54"/>
    </w:p>
    <w:p w:rsidR="00F3591F" w:rsidRDefault="00F3591F" w:rsidP="00F3591F">
      <w:pPr>
        <w:rPr>
          <w:sz w:val="24"/>
          <w:szCs w:val="24"/>
        </w:rPr>
      </w:pPr>
      <w:r w:rsidRPr="00E67A4A">
        <w:rPr>
          <w:sz w:val="24"/>
          <w:szCs w:val="24"/>
        </w:rPr>
        <w:t xml:space="preserve">It can be seen that the organisation size in the main study contained 30% more large organisations with over 100 employees. This is to be expected as </w:t>
      </w:r>
      <w:r w:rsidR="000B251B">
        <w:rPr>
          <w:sz w:val="24"/>
          <w:szCs w:val="24"/>
        </w:rPr>
        <w:t xml:space="preserve">it contained many government departments which have a large </w:t>
      </w:r>
      <w:r w:rsidRPr="00E67A4A">
        <w:rPr>
          <w:sz w:val="24"/>
          <w:szCs w:val="24"/>
        </w:rPr>
        <w:t>number of employees</w:t>
      </w:r>
      <w:r w:rsidR="000B251B">
        <w:rPr>
          <w:sz w:val="24"/>
          <w:szCs w:val="24"/>
        </w:rPr>
        <w:t>.</w:t>
      </w:r>
    </w:p>
    <w:p w:rsidR="00315175" w:rsidRPr="00E67A4A" w:rsidRDefault="00315175" w:rsidP="00F3591F">
      <w:pPr>
        <w:rPr>
          <w:sz w:val="24"/>
          <w:szCs w:val="24"/>
        </w:rPr>
      </w:pPr>
    </w:p>
    <w:p w:rsidR="00F3591F" w:rsidRPr="00E67A4A" w:rsidRDefault="00EA5549" w:rsidP="00F3591F">
      <w:pPr>
        <w:pStyle w:val="Heading2"/>
        <w:rPr>
          <w:sz w:val="28"/>
          <w:szCs w:val="28"/>
        </w:rPr>
      </w:pPr>
      <w:bookmarkStart w:id="55" w:name="_Toc233281059"/>
      <w:r>
        <w:rPr>
          <w:sz w:val="28"/>
          <w:szCs w:val="28"/>
        </w:rPr>
        <w:lastRenderedPageBreak/>
        <w:t>percentage</w:t>
      </w:r>
      <w:r w:rsidR="00F3591F" w:rsidRPr="00E67A4A">
        <w:rPr>
          <w:sz w:val="28"/>
          <w:szCs w:val="28"/>
        </w:rPr>
        <w:t xml:space="preserve"> OF ELECTRONIC CONTRACT DOCUMENTATION IN MAIN SURVEY</w:t>
      </w:r>
      <w:bookmarkEnd w:id="55"/>
    </w:p>
    <w:p w:rsidR="00CE6AED" w:rsidRDefault="00F3591F" w:rsidP="00701975">
      <w:pPr>
        <w:rPr>
          <w:sz w:val="24"/>
          <w:szCs w:val="24"/>
        </w:rPr>
      </w:pPr>
      <w:r w:rsidRPr="00E67A4A">
        <w:rPr>
          <w:sz w:val="24"/>
          <w:szCs w:val="24"/>
        </w:rPr>
        <w:t>The complete ma</w:t>
      </w:r>
      <w:r w:rsidR="00137EC1">
        <w:rPr>
          <w:sz w:val="24"/>
          <w:szCs w:val="24"/>
        </w:rPr>
        <w:t>in survey sample was analysed with</w:t>
      </w:r>
      <w:r w:rsidRPr="00E67A4A">
        <w:rPr>
          <w:sz w:val="24"/>
          <w:szCs w:val="24"/>
        </w:rPr>
        <w:t xml:space="preserve"> regards to organisation size, amount of documentation received in electronic form and procurement spend.</w:t>
      </w:r>
      <w:r w:rsidR="000B251B">
        <w:rPr>
          <w:sz w:val="24"/>
          <w:szCs w:val="24"/>
        </w:rPr>
        <w:t xml:space="preserve"> </w:t>
      </w:r>
      <w:fldSimple w:instr=" REF _Ref207084703 \h  \* MERGEFORMAT ">
        <w:r w:rsidR="00616F68" w:rsidRPr="00E67A4A">
          <w:rPr>
            <w:sz w:val="24"/>
            <w:szCs w:val="24"/>
          </w:rPr>
          <w:t xml:space="preserve">Figure </w:t>
        </w:r>
        <w:r w:rsidR="00616F68" w:rsidRPr="00E67A4A">
          <w:rPr>
            <w:noProof/>
            <w:sz w:val="24"/>
            <w:szCs w:val="24"/>
          </w:rPr>
          <w:t>6</w:t>
        </w:r>
      </w:fldSimple>
      <w:r w:rsidRPr="00E67A4A">
        <w:rPr>
          <w:sz w:val="24"/>
          <w:szCs w:val="24"/>
        </w:rPr>
        <w:t xml:space="preserve"> demonstrates that within the main UK sample, a similar </w:t>
      </w:r>
      <w:r w:rsidR="00977B25">
        <w:rPr>
          <w:sz w:val="24"/>
          <w:szCs w:val="24"/>
        </w:rPr>
        <w:t xml:space="preserve">pattern emerges </w:t>
      </w:r>
      <w:r w:rsidRPr="00E67A4A">
        <w:rPr>
          <w:sz w:val="24"/>
          <w:szCs w:val="24"/>
        </w:rPr>
        <w:t xml:space="preserve">to the contractors </w:t>
      </w:r>
      <w:r w:rsidR="00977B25">
        <w:rPr>
          <w:sz w:val="24"/>
          <w:szCs w:val="24"/>
        </w:rPr>
        <w:t xml:space="preserve">in the pilot study with </w:t>
      </w:r>
      <w:r w:rsidRPr="00E67A4A">
        <w:rPr>
          <w:sz w:val="24"/>
          <w:szCs w:val="24"/>
        </w:rPr>
        <w:t>the majority of organisations across the disciplines in the UK, principally only receiv</w:t>
      </w:r>
      <w:r w:rsidR="00977B25">
        <w:rPr>
          <w:sz w:val="24"/>
          <w:szCs w:val="24"/>
        </w:rPr>
        <w:t>ing</w:t>
      </w:r>
      <w:r w:rsidRPr="00E67A4A">
        <w:rPr>
          <w:sz w:val="24"/>
          <w:szCs w:val="24"/>
        </w:rPr>
        <w:t xml:space="preserve"> 1-10% of their Schedules of Rates/Bill of Quantities in electronic form</w:t>
      </w:r>
      <w:r w:rsidR="00977B25">
        <w:rPr>
          <w:sz w:val="24"/>
          <w:szCs w:val="24"/>
        </w:rPr>
        <w:t>. Forty-one percent (</w:t>
      </w:r>
      <w:r w:rsidRPr="00E67A4A">
        <w:rPr>
          <w:sz w:val="24"/>
          <w:szCs w:val="24"/>
        </w:rPr>
        <w:t>41%</w:t>
      </w:r>
      <w:r w:rsidR="00977B25">
        <w:rPr>
          <w:sz w:val="24"/>
          <w:szCs w:val="24"/>
        </w:rPr>
        <w:t>)</w:t>
      </w:r>
      <w:r w:rsidRPr="00E67A4A">
        <w:rPr>
          <w:sz w:val="24"/>
          <w:szCs w:val="24"/>
        </w:rPr>
        <w:t xml:space="preserve"> of the 76 organisations </w:t>
      </w:r>
      <w:r w:rsidR="00977B25">
        <w:rPr>
          <w:sz w:val="24"/>
          <w:szCs w:val="24"/>
        </w:rPr>
        <w:t xml:space="preserve">are </w:t>
      </w:r>
      <w:r w:rsidRPr="00E67A4A">
        <w:rPr>
          <w:sz w:val="24"/>
          <w:szCs w:val="24"/>
        </w:rPr>
        <w:t>in this category. Similar</w:t>
      </w:r>
      <w:r w:rsidR="00977B25">
        <w:rPr>
          <w:sz w:val="24"/>
          <w:szCs w:val="24"/>
        </w:rPr>
        <w:t>ities exist again in the following category where</w:t>
      </w:r>
      <w:r w:rsidRPr="00E67A4A">
        <w:rPr>
          <w:sz w:val="24"/>
          <w:szCs w:val="24"/>
        </w:rPr>
        <w:t xml:space="preserve"> the next 22% </w:t>
      </w:r>
      <w:r w:rsidR="00977B25">
        <w:rPr>
          <w:sz w:val="24"/>
          <w:szCs w:val="24"/>
        </w:rPr>
        <w:t xml:space="preserve">are </w:t>
      </w:r>
      <w:r w:rsidRPr="00E67A4A">
        <w:rPr>
          <w:sz w:val="24"/>
          <w:szCs w:val="24"/>
        </w:rPr>
        <w:t>between 11-30%</w:t>
      </w:r>
      <w:r w:rsidR="00137EC1">
        <w:rPr>
          <w:sz w:val="24"/>
          <w:szCs w:val="24"/>
        </w:rPr>
        <w:t xml:space="preserve"> employee numbers</w:t>
      </w:r>
      <w:r w:rsidRPr="00E67A4A">
        <w:rPr>
          <w:sz w:val="24"/>
          <w:szCs w:val="24"/>
        </w:rPr>
        <w:t xml:space="preserve">.  </w:t>
      </w:r>
    </w:p>
    <w:p w:rsidR="00F3591F" w:rsidRPr="00977B25" w:rsidRDefault="00977B25" w:rsidP="00977B25">
      <w:pPr>
        <w:pStyle w:val="Caption"/>
        <w:rPr>
          <w:sz w:val="24"/>
          <w:szCs w:val="24"/>
        </w:rPr>
      </w:pPr>
      <w:r>
        <w:rPr>
          <w:noProof/>
          <w:sz w:val="24"/>
          <w:szCs w:val="24"/>
          <w:lang w:val="en-US" w:eastAsia="en-US"/>
        </w:rPr>
        <w:drawing>
          <wp:anchor distT="0" distB="0" distL="114300" distR="114300" simplePos="0" relativeHeight="251660288" behindDoc="0" locked="0" layoutInCell="1" allowOverlap="1">
            <wp:simplePos x="0" y="0"/>
            <wp:positionH relativeFrom="column">
              <wp:posOffset>-5080</wp:posOffset>
            </wp:positionH>
            <wp:positionV relativeFrom="paragraph">
              <wp:posOffset>231140</wp:posOffset>
            </wp:positionV>
            <wp:extent cx="5168265" cy="1997075"/>
            <wp:effectExtent l="57150" t="38100" r="32385" b="22225"/>
            <wp:wrapTopAndBottom/>
            <wp:docPr id="14"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16" cstate="print"/>
                    <a:srcRect b="-37"/>
                    <a:stretch>
                      <a:fillRect/>
                    </a:stretch>
                  </pic:blipFill>
                  <pic:spPr bwMode="auto">
                    <a:xfrm>
                      <a:off x="0" y="0"/>
                      <a:ext cx="5168265" cy="1997075"/>
                    </a:xfrm>
                    <a:prstGeom prst="rect">
                      <a:avLst/>
                    </a:prstGeom>
                    <a:noFill/>
                    <a:ln w="38100" cmpd="sng">
                      <a:solidFill>
                        <a:srgbClr val="000000"/>
                      </a:solidFill>
                      <a:miter lim="800000"/>
                      <a:headEnd/>
                      <a:tailEnd/>
                    </a:ln>
                    <a:effectLst/>
                  </pic:spPr>
                </pic:pic>
              </a:graphicData>
            </a:graphic>
          </wp:anchor>
        </w:drawing>
      </w:r>
      <w:bookmarkStart w:id="56" w:name="_Ref207084703"/>
      <w:bookmarkStart w:id="57" w:name="_Toc233279473"/>
      <w:r w:rsidR="00F3591F">
        <w:t>Figure</w:t>
      </w:r>
      <w:r w:rsidR="00701975">
        <w:t xml:space="preserve"> </w:t>
      </w:r>
      <w:fldSimple w:instr=" SEQ Figure \* ARABIC \s 1 ">
        <w:r w:rsidR="00616F68">
          <w:rPr>
            <w:noProof/>
          </w:rPr>
          <w:t>6</w:t>
        </w:r>
      </w:fldSimple>
      <w:bookmarkEnd w:id="56"/>
      <w:r w:rsidR="00F3591F">
        <w:t xml:space="preserve"> Percentage of BOQ received in Electronic Fo</w:t>
      </w:r>
      <w:r w:rsidR="00137EC1">
        <w:t>rm by Construction Organisation size</w:t>
      </w:r>
      <w:r w:rsidR="00F3591F">
        <w:t xml:space="preserve"> </w:t>
      </w:r>
      <w:r w:rsidR="00137EC1">
        <w:t>(</w:t>
      </w:r>
      <w:r w:rsidR="00F3591F">
        <w:t>UK</w:t>
      </w:r>
      <w:bookmarkEnd w:id="57"/>
      <w:r w:rsidR="00137EC1">
        <w:t>)</w:t>
      </w:r>
    </w:p>
    <w:p w:rsidR="00F3591F" w:rsidRDefault="00F3591F" w:rsidP="00F3591F"/>
    <w:p w:rsidR="00F3591F" w:rsidRDefault="00F470CC" w:rsidP="00EA5549">
      <w:pPr>
        <w:spacing w:before="0" w:line="240" w:lineRule="auto"/>
        <w:rPr>
          <w:sz w:val="24"/>
          <w:szCs w:val="24"/>
        </w:rPr>
      </w:pPr>
      <w:fldSimple w:instr=" REF _Ref224914653 \h  \* MERGEFORMAT ">
        <w:r w:rsidR="00616F68" w:rsidRPr="00E67A4A">
          <w:rPr>
            <w:sz w:val="24"/>
            <w:szCs w:val="24"/>
          </w:rPr>
          <w:t xml:space="preserve">Figure </w:t>
        </w:r>
        <w:r w:rsidR="00616F68" w:rsidRPr="00E67A4A">
          <w:rPr>
            <w:noProof/>
            <w:sz w:val="24"/>
            <w:szCs w:val="24"/>
          </w:rPr>
          <w:t>7</w:t>
        </w:r>
      </w:fldSimple>
      <w:r w:rsidR="00F3591F" w:rsidRPr="00E67A4A">
        <w:rPr>
          <w:sz w:val="24"/>
          <w:szCs w:val="24"/>
        </w:rPr>
        <w:t xml:space="preserve"> </w:t>
      </w:r>
      <w:r w:rsidR="00137EC1" w:rsidRPr="00E67A4A">
        <w:rPr>
          <w:sz w:val="24"/>
          <w:szCs w:val="24"/>
        </w:rPr>
        <w:t>show</w:t>
      </w:r>
      <w:r w:rsidR="00F3591F" w:rsidRPr="00E67A4A">
        <w:rPr>
          <w:sz w:val="24"/>
          <w:szCs w:val="24"/>
        </w:rPr>
        <w:t xml:space="preserve"> that the median percentage of electronic documentation </w:t>
      </w:r>
      <w:r w:rsidR="005C6A48" w:rsidRPr="005C6A48">
        <w:rPr>
          <w:color w:val="FF0000"/>
          <w:sz w:val="24"/>
          <w:szCs w:val="24"/>
        </w:rPr>
        <w:t>as previously described in section 4.0</w:t>
      </w:r>
      <w:r w:rsidR="005C6A48">
        <w:rPr>
          <w:sz w:val="24"/>
          <w:szCs w:val="24"/>
        </w:rPr>
        <w:t xml:space="preserve"> </w:t>
      </w:r>
      <w:r w:rsidR="00F3591F" w:rsidRPr="00E67A4A">
        <w:rPr>
          <w:sz w:val="24"/>
          <w:szCs w:val="24"/>
        </w:rPr>
        <w:t xml:space="preserve">when the results are combined shows a very different picture to that of the contractors. </w:t>
      </w:r>
      <w:fldSimple w:instr=" REF _Ref207101886 \h  \* MERGEFORMAT ">
        <w:r w:rsidR="00616F68" w:rsidRPr="00E67A4A">
          <w:rPr>
            <w:sz w:val="24"/>
            <w:szCs w:val="24"/>
          </w:rPr>
          <w:t xml:space="preserve">Figure </w:t>
        </w:r>
        <w:r w:rsidR="00616F68" w:rsidRPr="00E67A4A">
          <w:rPr>
            <w:noProof/>
            <w:sz w:val="24"/>
            <w:szCs w:val="24"/>
          </w:rPr>
          <w:t>3</w:t>
        </w:r>
      </w:fldSimple>
      <w:r w:rsidR="004F0B75">
        <w:rPr>
          <w:sz w:val="24"/>
          <w:szCs w:val="24"/>
        </w:rPr>
        <w:t xml:space="preserve"> showed the median value remaining constant</w:t>
      </w:r>
      <w:r w:rsidR="00F3591F" w:rsidRPr="00E67A4A">
        <w:rPr>
          <w:sz w:val="24"/>
          <w:szCs w:val="24"/>
        </w:rPr>
        <w:t xml:space="preserve">, the combined </w:t>
      </w:r>
      <w:r w:rsidR="004F0B75">
        <w:rPr>
          <w:sz w:val="24"/>
          <w:szCs w:val="24"/>
        </w:rPr>
        <w:t>disciplines</w:t>
      </w:r>
      <w:r w:rsidR="00F3591F" w:rsidRPr="00E67A4A">
        <w:rPr>
          <w:sz w:val="24"/>
          <w:szCs w:val="24"/>
        </w:rPr>
        <w:t xml:space="preserve"> show that organisations with between 21-50 employees are the most likely to use </w:t>
      </w:r>
      <w:r w:rsidR="004F0B75">
        <w:rPr>
          <w:sz w:val="24"/>
          <w:szCs w:val="24"/>
        </w:rPr>
        <w:t xml:space="preserve">e-procurement. </w:t>
      </w:r>
    </w:p>
    <w:p w:rsidR="004F0B75" w:rsidRDefault="004F0B75" w:rsidP="00EA5549">
      <w:pPr>
        <w:spacing w:before="0" w:line="240" w:lineRule="auto"/>
        <w:rPr>
          <w:sz w:val="24"/>
          <w:szCs w:val="24"/>
        </w:rPr>
      </w:pPr>
      <w:r>
        <w:rPr>
          <w:noProof/>
          <w:sz w:val="24"/>
          <w:szCs w:val="24"/>
          <w:lang w:val="en-US" w:eastAsia="en-US"/>
        </w:rPr>
        <w:drawing>
          <wp:anchor distT="0" distB="0" distL="114300" distR="114300" simplePos="0" relativeHeight="251661312" behindDoc="0" locked="0" layoutInCell="1" allowOverlap="1">
            <wp:simplePos x="0" y="0"/>
            <wp:positionH relativeFrom="column">
              <wp:posOffset>-5080</wp:posOffset>
            </wp:positionH>
            <wp:positionV relativeFrom="paragraph">
              <wp:posOffset>135890</wp:posOffset>
            </wp:positionV>
            <wp:extent cx="5373370" cy="3044825"/>
            <wp:effectExtent l="57150" t="38100" r="36830" b="22225"/>
            <wp:wrapTopAndBottom/>
            <wp:docPr id="15"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7" cstate="print"/>
                    <a:srcRect/>
                    <a:stretch>
                      <a:fillRect/>
                    </a:stretch>
                  </pic:blipFill>
                  <pic:spPr bwMode="auto">
                    <a:xfrm>
                      <a:off x="0" y="0"/>
                      <a:ext cx="5373370" cy="3044825"/>
                    </a:xfrm>
                    <a:prstGeom prst="rect">
                      <a:avLst/>
                    </a:prstGeom>
                    <a:noFill/>
                    <a:ln w="38100" cmpd="sng">
                      <a:solidFill>
                        <a:srgbClr val="000000"/>
                      </a:solidFill>
                      <a:miter lim="800000"/>
                      <a:headEnd/>
                      <a:tailEnd/>
                    </a:ln>
                    <a:effectLst/>
                  </pic:spPr>
                </pic:pic>
              </a:graphicData>
            </a:graphic>
          </wp:anchor>
        </w:drawing>
      </w:r>
    </w:p>
    <w:p w:rsidR="00977B25" w:rsidRDefault="00977B25" w:rsidP="00977B25">
      <w:pPr>
        <w:pStyle w:val="Caption"/>
        <w:rPr>
          <w:noProof/>
        </w:rPr>
      </w:pPr>
      <w:bookmarkStart w:id="58" w:name="_Ref224914653"/>
      <w:bookmarkStart w:id="59" w:name="_Toc233279474"/>
      <w:bookmarkStart w:id="60" w:name="_Ref207166282"/>
      <w:r>
        <w:t xml:space="preserve">Figure </w:t>
      </w:r>
      <w:fldSimple w:instr=" SEQ Figure \* ARABIC \s 1 ">
        <w:r>
          <w:rPr>
            <w:noProof/>
          </w:rPr>
          <w:t>7</w:t>
        </w:r>
      </w:fldSimple>
      <w:bookmarkEnd w:id="58"/>
      <w:r>
        <w:t xml:space="preserve"> Median Percentage of Electronic Contract documentation by organisation size</w:t>
      </w:r>
      <w:bookmarkEnd w:id="59"/>
      <w:bookmarkEnd w:id="60"/>
    </w:p>
    <w:p w:rsidR="00F3591F" w:rsidRDefault="00F3591F" w:rsidP="003F3745">
      <w:pPr>
        <w:rPr>
          <w:sz w:val="24"/>
          <w:szCs w:val="24"/>
        </w:rPr>
      </w:pPr>
      <w:r w:rsidRPr="00E67A4A">
        <w:rPr>
          <w:sz w:val="24"/>
          <w:szCs w:val="24"/>
        </w:rPr>
        <w:lastRenderedPageBreak/>
        <w:t xml:space="preserve">A similar examination was carried out to the pilot study in regard to the median percentage of electronic documents against procurement spend. </w:t>
      </w:r>
      <w:r w:rsidR="004F0B75">
        <w:rPr>
          <w:sz w:val="24"/>
          <w:szCs w:val="24"/>
        </w:rPr>
        <w:t>I</w:t>
      </w:r>
      <w:r w:rsidRPr="00E67A4A">
        <w:rPr>
          <w:sz w:val="24"/>
          <w:szCs w:val="24"/>
        </w:rPr>
        <w:t xml:space="preserve">t showed organisations that spend most and least on procurement have the greatest median percentage of e-procurement. </w:t>
      </w:r>
      <w:fldSimple w:instr=" REF _Ref224916594 \h  \* MERGEFORMAT ">
        <w:r w:rsidR="00616F68" w:rsidRPr="00E67A4A">
          <w:rPr>
            <w:sz w:val="24"/>
            <w:szCs w:val="24"/>
          </w:rPr>
          <w:t xml:space="preserve">Figure </w:t>
        </w:r>
        <w:r w:rsidR="00616F68" w:rsidRPr="00E67A4A">
          <w:rPr>
            <w:noProof/>
            <w:sz w:val="24"/>
            <w:szCs w:val="24"/>
          </w:rPr>
          <w:t>8</w:t>
        </w:r>
      </w:fldSimple>
      <w:r w:rsidRPr="00E67A4A">
        <w:rPr>
          <w:sz w:val="24"/>
          <w:szCs w:val="24"/>
        </w:rPr>
        <w:t xml:space="preserve"> shows a very large median percentage (76%) for those organisations with procurement spend greater than £50,000. It can be seen from </w:t>
      </w:r>
      <w:fldSimple w:instr=" REF _Ref207180369 \h  \* MERGEFORMAT ">
        <w:r w:rsidR="00616F68" w:rsidRPr="00E67A4A">
          <w:rPr>
            <w:sz w:val="24"/>
            <w:szCs w:val="24"/>
          </w:rPr>
          <w:t xml:space="preserve">Figure </w:t>
        </w:r>
        <w:r w:rsidR="00616F68" w:rsidRPr="00E67A4A">
          <w:rPr>
            <w:noProof/>
            <w:sz w:val="24"/>
            <w:szCs w:val="24"/>
          </w:rPr>
          <w:t>5</w:t>
        </w:r>
      </w:fldSimple>
      <w:r w:rsidRPr="00E67A4A">
        <w:rPr>
          <w:sz w:val="24"/>
          <w:szCs w:val="24"/>
        </w:rPr>
        <w:t xml:space="preserve"> that 50% of the sample are companies with over 100 employees. These are more likely to have spent large amounts on</w:t>
      </w:r>
      <w:r>
        <w:t xml:space="preserve"> </w:t>
      </w:r>
      <w:r w:rsidRPr="00E67A4A">
        <w:rPr>
          <w:sz w:val="24"/>
          <w:szCs w:val="24"/>
        </w:rPr>
        <w:t>procurement.</w:t>
      </w:r>
      <w:r>
        <w:t xml:space="preserve"> </w:t>
      </w:r>
    </w:p>
    <w:p w:rsidR="003F3745" w:rsidRPr="003F3745" w:rsidRDefault="003F3745" w:rsidP="003F3745"/>
    <w:p w:rsidR="00F01919" w:rsidRDefault="00F01919" w:rsidP="00990E82">
      <w:pPr>
        <w:spacing w:before="0" w:line="240" w:lineRule="auto"/>
        <w:rPr>
          <w:sz w:val="24"/>
          <w:szCs w:val="24"/>
        </w:rPr>
      </w:pPr>
      <w:r w:rsidRPr="00F01919">
        <w:rPr>
          <w:noProof/>
          <w:sz w:val="24"/>
          <w:szCs w:val="24"/>
          <w:lang w:val="en-US" w:eastAsia="en-US"/>
        </w:rPr>
        <w:drawing>
          <wp:inline distT="0" distB="0" distL="0" distR="0">
            <wp:extent cx="4862376" cy="3023235"/>
            <wp:effectExtent l="57150" t="38100" r="33474" b="24765"/>
            <wp:docPr id="8"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8" cstate="print"/>
                    <a:srcRect/>
                    <a:stretch>
                      <a:fillRect/>
                    </a:stretch>
                  </pic:blipFill>
                  <pic:spPr bwMode="auto">
                    <a:xfrm>
                      <a:off x="0" y="0"/>
                      <a:ext cx="4859655" cy="3023235"/>
                    </a:xfrm>
                    <a:prstGeom prst="rect">
                      <a:avLst/>
                    </a:prstGeom>
                    <a:noFill/>
                    <a:ln w="38100" cmpd="sng">
                      <a:solidFill>
                        <a:srgbClr val="000000"/>
                      </a:solidFill>
                      <a:miter lim="800000"/>
                      <a:headEnd/>
                      <a:tailEnd/>
                    </a:ln>
                    <a:effectLst/>
                  </pic:spPr>
                </pic:pic>
              </a:graphicData>
            </a:graphic>
          </wp:inline>
        </w:drawing>
      </w:r>
    </w:p>
    <w:p w:rsidR="00F01919" w:rsidRDefault="00F01919" w:rsidP="00F01919">
      <w:pPr>
        <w:pStyle w:val="Caption"/>
        <w:rPr>
          <w:noProof/>
          <w:lang w:eastAsia="en-US"/>
        </w:rPr>
      </w:pPr>
      <w:bookmarkStart w:id="61" w:name="_Ref224916594"/>
      <w:bookmarkStart w:id="62" w:name="_Toc233279475"/>
      <w:bookmarkStart w:id="63" w:name="_Ref207179240"/>
      <w:r>
        <w:t xml:space="preserve">Figure </w:t>
      </w:r>
      <w:fldSimple w:instr=" SEQ Figure \* ARABIC \s 1 ">
        <w:r>
          <w:rPr>
            <w:noProof/>
          </w:rPr>
          <w:t>8</w:t>
        </w:r>
      </w:fldSimple>
      <w:bookmarkEnd w:id="61"/>
      <w:r>
        <w:t xml:space="preserve"> Median Percentage of Electronic Documents for Organisation Procurement Spend (Main Study)</w:t>
      </w:r>
      <w:bookmarkEnd w:id="62"/>
      <w:bookmarkEnd w:id="63"/>
    </w:p>
    <w:p w:rsidR="00990E82" w:rsidRDefault="00990E82" w:rsidP="00990E82">
      <w:pPr>
        <w:spacing w:before="0" w:line="240" w:lineRule="auto"/>
        <w:rPr>
          <w:sz w:val="24"/>
          <w:szCs w:val="24"/>
        </w:rPr>
      </w:pPr>
    </w:p>
    <w:p w:rsidR="003F3745" w:rsidRPr="00E67A4A" w:rsidRDefault="003F3745" w:rsidP="003F3745">
      <w:pPr>
        <w:spacing w:before="0" w:line="240" w:lineRule="auto"/>
        <w:rPr>
          <w:sz w:val="24"/>
          <w:szCs w:val="24"/>
          <w:lang w:eastAsia="en-US"/>
        </w:rPr>
      </w:pPr>
      <w:r w:rsidRPr="00E67A4A">
        <w:rPr>
          <w:sz w:val="24"/>
          <w:szCs w:val="24"/>
        </w:rPr>
        <w:t>The testing by breaking the main study sample down into the different disciplines did not fully reflect a similar correlation between the sizes of companies. It did give an overall suggested median percentage for the amount of e-procurement for each of the disciplines. While the sample size is small for many of the disciplines it gives a guide to the e-procurement usage within each part of the industry.</w:t>
      </w:r>
    </w:p>
    <w:p w:rsidR="003F3745" w:rsidRDefault="003F3745" w:rsidP="003F3745">
      <w:pPr>
        <w:pStyle w:val="Caption"/>
      </w:pPr>
      <w:bookmarkStart w:id="64" w:name="_Ref224916533"/>
      <w:bookmarkStart w:id="65" w:name="_Ref207177648"/>
      <w:bookmarkStart w:id="66" w:name="_Toc233279520"/>
      <w:r>
        <w:t xml:space="preserve">Table </w:t>
      </w:r>
      <w:fldSimple w:instr=" SEQ Table \* ARABIC \s 1 ">
        <w:r>
          <w:rPr>
            <w:noProof/>
          </w:rPr>
          <w:t>2</w:t>
        </w:r>
      </w:fldSimple>
      <w:bookmarkEnd w:id="64"/>
      <w:r>
        <w:t xml:space="preserve"> Median Percentage of Electronic Documentation for each organisation type</w:t>
      </w:r>
      <w:bookmarkEnd w:id="65"/>
      <w:bookmarkEnd w:id="6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38"/>
        <w:gridCol w:w="4478"/>
        <w:gridCol w:w="1034"/>
      </w:tblGrid>
      <w:tr w:rsidR="003F3745" w:rsidTr="00E138FD">
        <w:trPr>
          <w:trHeight w:val="606"/>
        </w:trPr>
        <w:tc>
          <w:tcPr>
            <w:tcW w:w="0" w:type="auto"/>
            <w:tcBorders>
              <w:top w:val="single" w:sz="6" w:space="0" w:color="auto"/>
              <w:left w:val="single" w:sz="6" w:space="0" w:color="auto"/>
              <w:bottom w:val="single" w:sz="6" w:space="0" w:color="auto"/>
              <w:right w:val="single" w:sz="6" w:space="0" w:color="auto"/>
            </w:tcBorders>
            <w:shd w:val="clear" w:color="auto" w:fill="4F81BD" w:themeFill="accent1"/>
            <w:noWrap/>
            <w:hideMark/>
          </w:tcPr>
          <w:p w:rsidR="003F3745" w:rsidRDefault="003F3745" w:rsidP="00E138FD">
            <w:pPr>
              <w:spacing w:before="0" w:line="240" w:lineRule="auto"/>
              <w:jc w:val="center"/>
              <w:rPr>
                <w:rFonts w:ascii="Arial" w:hAnsi="Arial" w:cs="Arial"/>
                <w:b/>
                <w:bCs/>
                <w:i/>
                <w:iCs/>
                <w:color w:val="000000" w:themeColor="text1"/>
              </w:rPr>
            </w:pPr>
            <w:r>
              <w:rPr>
                <w:rFonts w:cs="Arial"/>
                <w:b/>
                <w:bCs/>
                <w:i/>
                <w:iCs/>
                <w:color w:val="000000" w:themeColor="text1"/>
              </w:rPr>
              <w:t>Organisation Type</w:t>
            </w:r>
          </w:p>
        </w:tc>
        <w:tc>
          <w:tcPr>
            <w:tcW w:w="0" w:type="auto"/>
            <w:tcBorders>
              <w:top w:val="single" w:sz="6" w:space="0" w:color="auto"/>
              <w:left w:val="single" w:sz="6" w:space="0" w:color="auto"/>
              <w:bottom w:val="single" w:sz="6" w:space="0" w:color="auto"/>
              <w:right w:val="single" w:sz="6" w:space="0" w:color="auto"/>
            </w:tcBorders>
            <w:shd w:val="clear" w:color="auto" w:fill="4F81BD" w:themeFill="accent1"/>
            <w:hideMark/>
          </w:tcPr>
          <w:p w:rsidR="003F3745" w:rsidRDefault="003F3745" w:rsidP="00E138FD">
            <w:pPr>
              <w:spacing w:before="0" w:line="240" w:lineRule="auto"/>
              <w:jc w:val="center"/>
              <w:rPr>
                <w:rFonts w:ascii="Arial" w:hAnsi="Arial" w:cs="Arial"/>
                <w:b/>
                <w:bCs/>
                <w:i/>
                <w:iCs/>
                <w:color w:val="000000" w:themeColor="text1"/>
              </w:rPr>
            </w:pPr>
            <w:r>
              <w:rPr>
                <w:rFonts w:cs="Arial"/>
                <w:b/>
                <w:bCs/>
                <w:i/>
                <w:iCs/>
                <w:color w:val="000000" w:themeColor="text1"/>
              </w:rPr>
              <w:t>Median Percentage of Electronic Documentation for those who use e-procurement</w:t>
            </w:r>
          </w:p>
        </w:tc>
        <w:tc>
          <w:tcPr>
            <w:tcW w:w="0" w:type="auto"/>
            <w:tcBorders>
              <w:top w:val="single" w:sz="6" w:space="0" w:color="auto"/>
              <w:left w:val="single" w:sz="6" w:space="0" w:color="auto"/>
              <w:bottom w:val="single" w:sz="6" w:space="0" w:color="auto"/>
              <w:right w:val="single" w:sz="6" w:space="0" w:color="auto"/>
            </w:tcBorders>
            <w:shd w:val="clear" w:color="auto" w:fill="4F81BD" w:themeFill="accent1"/>
            <w:hideMark/>
          </w:tcPr>
          <w:p w:rsidR="003F3745" w:rsidRDefault="003F3745" w:rsidP="00E138FD">
            <w:pPr>
              <w:spacing w:before="0" w:line="240" w:lineRule="auto"/>
              <w:jc w:val="center"/>
              <w:rPr>
                <w:rFonts w:ascii="Arial" w:hAnsi="Arial" w:cs="Arial"/>
                <w:b/>
                <w:bCs/>
                <w:i/>
                <w:iCs/>
                <w:color w:val="000000" w:themeColor="text1"/>
              </w:rPr>
            </w:pPr>
            <w:r>
              <w:rPr>
                <w:rFonts w:cs="Arial"/>
                <w:b/>
                <w:bCs/>
                <w:i/>
                <w:iCs/>
                <w:color w:val="000000" w:themeColor="text1"/>
              </w:rPr>
              <w:t>Sample Size</w:t>
            </w:r>
          </w:p>
        </w:tc>
      </w:tr>
      <w:tr w:rsidR="003F3745" w:rsidTr="00E138FD">
        <w:trPr>
          <w:trHeight w:val="193"/>
        </w:trPr>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Government Procurement Officials</w:t>
            </w:r>
          </w:p>
        </w:tc>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47%</w:t>
            </w:r>
          </w:p>
        </w:tc>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12</w:t>
            </w:r>
          </w:p>
        </w:tc>
      </w:tr>
      <w:tr w:rsidR="003F3745" w:rsidTr="00E138FD">
        <w:trPr>
          <w:trHeight w:val="285"/>
        </w:trPr>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Project Managers</w:t>
            </w:r>
          </w:p>
        </w:tc>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45%</w:t>
            </w:r>
          </w:p>
        </w:tc>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5</w:t>
            </w:r>
          </w:p>
        </w:tc>
      </w:tr>
      <w:tr w:rsidR="003F3745" w:rsidTr="00E138FD">
        <w:trPr>
          <w:trHeight w:val="285"/>
        </w:trPr>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Contractors</w:t>
            </w:r>
          </w:p>
        </w:tc>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34%</w:t>
            </w:r>
          </w:p>
        </w:tc>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14</w:t>
            </w:r>
          </w:p>
        </w:tc>
      </w:tr>
      <w:tr w:rsidR="003F3745" w:rsidTr="00E138FD">
        <w:trPr>
          <w:trHeight w:val="285"/>
        </w:trPr>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Quantity Surveyors</w:t>
            </w:r>
          </w:p>
        </w:tc>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26%</w:t>
            </w:r>
          </w:p>
        </w:tc>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25</w:t>
            </w:r>
          </w:p>
        </w:tc>
      </w:tr>
      <w:tr w:rsidR="003F3745" w:rsidTr="00E138FD">
        <w:trPr>
          <w:trHeight w:val="285"/>
        </w:trPr>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Consultant (Other)</w:t>
            </w:r>
          </w:p>
        </w:tc>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25%</w:t>
            </w:r>
          </w:p>
        </w:tc>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5</w:t>
            </w:r>
          </w:p>
        </w:tc>
      </w:tr>
      <w:tr w:rsidR="003F3745" w:rsidTr="00E138FD">
        <w:trPr>
          <w:trHeight w:val="285"/>
        </w:trPr>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Architect</w:t>
            </w:r>
          </w:p>
        </w:tc>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19%</w:t>
            </w:r>
          </w:p>
        </w:tc>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5</w:t>
            </w:r>
          </w:p>
        </w:tc>
      </w:tr>
      <w:tr w:rsidR="003F3745" w:rsidTr="00E138FD">
        <w:trPr>
          <w:trHeight w:val="285"/>
        </w:trPr>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Clients</w:t>
            </w:r>
          </w:p>
        </w:tc>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18%</w:t>
            </w:r>
          </w:p>
        </w:tc>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9</w:t>
            </w:r>
          </w:p>
        </w:tc>
      </w:tr>
      <w:tr w:rsidR="003F3745" w:rsidTr="00E138FD">
        <w:trPr>
          <w:trHeight w:val="285"/>
        </w:trPr>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Structural Engineer</w:t>
            </w:r>
          </w:p>
        </w:tc>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15%</w:t>
            </w:r>
          </w:p>
        </w:tc>
        <w:tc>
          <w:tcPr>
            <w:tcW w:w="0" w:type="auto"/>
            <w:tcBorders>
              <w:top w:val="single" w:sz="6" w:space="0" w:color="auto"/>
              <w:left w:val="single" w:sz="6" w:space="0" w:color="auto"/>
              <w:bottom w:val="single" w:sz="6" w:space="0" w:color="auto"/>
              <w:right w:val="single" w:sz="6" w:space="0" w:color="auto"/>
            </w:tcBorders>
            <w:noWrap/>
            <w:hideMark/>
          </w:tcPr>
          <w:p w:rsidR="003F3745" w:rsidRDefault="003F3745" w:rsidP="00E138FD">
            <w:pPr>
              <w:spacing w:before="0" w:line="240" w:lineRule="auto"/>
              <w:jc w:val="center"/>
              <w:rPr>
                <w:rFonts w:ascii="Arial" w:hAnsi="Arial" w:cs="Arial"/>
              </w:rPr>
            </w:pPr>
            <w:r>
              <w:rPr>
                <w:rFonts w:cs="Arial"/>
              </w:rPr>
              <w:t>1</w:t>
            </w:r>
          </w:p>
        </w:tc>
      </w:tr>
      <w:tr w:rsidR="003F3745" w:rsidTr="00E138FD">
        <w:trPr>
          <w:trHeight w:val="270"/>
        </w:trPr>
        <w:tc>
          <w:tcPr>
            <w:tcW w:w="0" w:type="auto"/>
            <w:tcBorders>
              <w:top w:val="single" w:sz="6" w:space="0" w:color="auto"/>
              <w:left w:val="single" w:sz="6" w:space="0" w:color="auto"/>
              <w:bottom w:val="single" w:sz="6" w:space="0" w:color="auto"/>
              <w:right w:val="single" w:sz="6" w:space="0" w:color="auto"/>
            </w:tcBorders>
            <w:shd w:val="solid" w:color="C0C0C0" w:fill="FFFFFF"/>
            <w:noWrap/>
          </w:tcPr>
          <w:p w:rsidR="003F3745" w:rsidRDefault="003F3745" w:rsidP="00E138FD">
            <w:pPr>
              <w:spacing w:before="0" w:line="240" w:lineRule="auto"/>
              <w:jc w:val="left"/>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Total Sample</w:t>
            </w:r>
          </w:p>
        </w:tc>
        <w:tc>
          <w:tcPr>
            <w:tcW w:w="0" w:type="auto"/>
            <w:tcBorders>
              <w:top w:val="single" w:sz="6" w:space="0" w:color="auto"/>
              <w:left w:val="single" w:sz="6" w:space="0" w:color="auto"/>
              <w:bottom w:val="single" w:sz="6" w:space="0" w:color="auto"/>
              <w:right w:val="single" w:sz="6" w:space="0" w:color="auto"/>
            </w:tcBorders>
            <w:shd w:val="solid" w:color="C0C0C0" w:fill="FFFFFF"/>
            <w:noWrap/>
            <w:hideMark/>
          </w:tcPr>
          <w:p w:rsidR="003F3745" w:rsidRDefault="003F3745" w:rsidP="00E138FD">
            <w:pPr>
              <w:spacing w:before="0" w:line="240" w:lineRule="auto"/>
              <w:jc w:val="center"/>
              <w:rPr>
                <w:rFonts w:ascii="Arial" w:hAnsi="Arial" w:cs="Arial"/>
              </w:rPr>
            </w:pPr>
            <w:r>
              <w:rPr>
                <w:rFonts w:cs="Arial"/>
              </w:rPr>
              <w:t>76</w:t>
            </w:r>
          </w:p>
        </w:tc>
      </w:tr>
    </w:tbl>
    <w:p w:rsidR="003F3745" w:rsidRDefault="003F3745" w:rsidP="003F3745">
      <w:pPr>
        <w:rPr>
          <w:sz w:val="24"/>
          <w:szCs w:val="24"/>
        </w:rPr>
      </w:pPr>
      <w:r w:rsidRPr="00E67A4A">
        <w:rPr>
          <w:sz w:val="24"/>
          <w:szCs w:val="24"/>
        </w:rPr>
        <w:t>Table 2 shows the sample size a</w:t>
      </w:r>
      <w:r>
        <w:rPr>
          <w:sz w:val="24"/>
          <w:szCs w:val="24"/>
        </w:rPr>
        <w:t xml:space="preserve">nd </w:t>
      </w:r>
      <w:r w:rsidRPr="00E67A4A">
        <w:rPr>
          <w:sz w:val="24"/>
          <w:szCs w:val="24"/>
        </w:rPr>
        <w:t>median percentage</w:t>
      </w:r>
      <w:r>
        <w:rPr>
          <w:sz w:val="24"/>
          <w:szCs w:val="24"/>
        </w:rPr>
        <w:t xml:space="preserve"> of electronic documentation</w:t>
      </w:r>
      <w:r w:rsidRPr="00E67A4A">
        <w:rPr>
          <w:sz w:val="24"/>
          <w:szCs w:val="24"/>
        </w:rPr>
        <w:t xml:space="preserve">. </w:t>
      </w:r>
      <w:r>
        <w:rPr>
          <w:sz w:val="24"/>
          <w:szCs w:val="24"/>
        </w:rPr>
        <w:t>It</w:t>
      </w:r>
      <w:r w:rsidRPr="00E67A4A">
        <w:rPr>
          <w:sz w:val="24"/>
          <w:szCs w:val="24"/>
        </w:rPr>
        <w:t xml:space="preserve"> shows that the public sector is leading the way as far as the amount of e-procurement is concerned. The sample of five project managers are split into three who work for the public sector (who were under the public sector clients’ section but choose project </w:t>
      </w:r>
      <w:r w:rsidRPr="00E67A4A">
        <w:rPr>
          <w:sz w:val="24"/>
          <w:szCs w:val="24"/>
        </w:rPr>
        <w:lastRenderedPageBreak/>
        <w:t xml:space="preserve">manager as their personal role) and two who are in private sector practices (both were multi-disciplinary organisations with quantity surveying/cost consultancy as their main forte). Within the project management grouping, it is the public sector project managers who use e-procurement to a greater degree thus moving the median percentage towards the figure shown for the Government Procurement Officials. The private sector lags behind the public sector by 10% in its use of e-procurement according to the survey findings. </w:t>
      </w:r>
    </w:p>
    <w:p w:rsidR="003F3745" w:rsidRDefault="003F3745" w:rsidP="00990E82">
      <w:pPr>
        <w:spacing w:before="0" w:line="240" w:lineRule="auto"/>
        <w:rPr>
          <w:sz w:val="24"/>
          <w:szCs w:val="24"/>
        </w:rPr>
      </w:pPr>
    </w:p>
    <w:bookmarkEnd w:id="49"/>
    <w:bookmarkEnd w:id="50"/>
    <w:bookmarkEnd w:id="51"/>
    <w:p w:rsidR="004E0723" w:rsidRPr="00E67A4A" w:rsidRDefault="004E0723" w:rsidP="00990E82">
      <w:pPr>
        <w:pStyle w:val="Heading2"/>
        <w:spacing w:before="0" w:line="240" w:lineRule="auto"/>
        <w:rPr>
          <w:sz w:val="28"/>
          <w:szCs w:val="28"/>
        </w:rPr>
      </w:pPr>
      <w:r w:rsidRPr="00E67A4A">
        <w:rPr>
          <w:sz w:val="28"/>
          <w:szCs w:val="28"/>
        </w:rPr>
        <w:t>Conclusions</w:t>
      </w:r>
    </w:p>
    <w:p w:rsidR="00990E82" w:rsidRDefault="00990E82" w:rsidP="00990E82">
      <w:pPr>
        <w:spacing w:before="0" w:line="240" w:lineRule="auto"/>
        <w:rPr>
          <w:sz w:val="24"/>
          <w:szCs w:val="24"/>
        </w:rPr>
      </w:pPr>
    </w:p>
    <w:p w:rsidR="00FD57CB" w:rsidRDefault="00FD57CB" w:rsidP="003F3745">
      <w:pPr>
        <w:spacing w:before="0" w:line="240" w:lineRule="auto"/>
        <w:rPr>
          <w:sz w:val="24"/>
          <w:szCs w:val="24"/>
        </w:rPr>
      </w:pPr>
      <w:r w:rsidRPr="00E67A4A">
        <w:rPr>
          <w:sz w:val="24"/>
          <w:szCs w:val="24"/>
        </w:rPr>
        <w:t>This study corroborated the Martin (2008) findings which showed that less than 20% of the Quantity Surveying organisations said that they carried out e-procurement in construction. The current research show</w:t>
      </w:r>
      <w:r w:rsidR="003F3745">
        <w:rPr>
          <w:sz w:val="24"/>
          <w:szCs w:val="24"/>
        </w:rPr>
        <w:t>ed</w:t>
      </w:r>
      <w:r w:rsidRPr="00E67A4A">
        <w:rPr>
          <w:sz w:val="24"/>
          <w:szCs w:val="24"/>
        </w:rPr>
        <w:t xml:space="preserve"> only a slight increase to 25% of Quantity Surveying organisations surveyed.</w:t>
      </w:r>
      <w:r w:rsidR="00BF529F" w:rsidRPr="00E67A4A">
        <w:rPr>
          <w:sz w:val="24"/>
          <w:szCs w:val="24"/>
        </w:rPr>
        <w:t xml:space="preserve"> The average adoption rate across the industry is 27%, with government clients most likely to adopt e-procurement.</w:t>
      </w:r>
    </w:p>
    <w:p w:rsidR="003F3745" w:rsidRPr="00E67A4A" w:rsidRDefault="003F3745" w:rsidP="003F3745">
      <w:pPr>
        <w:spacing w:before="0" w:line="240" w:lineRule="auto"/>
        <w:rPr>
          <w:sz w:val="24"/>
          <w:szCs w:val="24"/>
        </w:rPr>
      </w:pPr>
    </w:p>
    <w:p w:rsidR="003F76DD" w:rsidRDefault="003F3745" w:rsidP="003F3745">
      <w:pPr>
        <w:spacing w:before="0" w:line="240" w:lineRule="auto"/>
        <w:rPr>
          <w:sz w:val="24"/>
          <w:szCs w:val="24"/>
        </w:rPr>
      </w:pPr>
      <w:r>
        <w:rPr>
          <w:sz w:val="24"/>
          <w:szCs w:val="24"/>
        </w:rPr>
        <w:t>T</w:t>
      </w:r>
      <w:r w:rsidR="00787745" w:rsidRPr="00E67A4A">
        <w:rPr>
          <w:sz w:val="24"/>
          <w:szCs w:val="24"/>
        </w:rPr>
        <w:t>he size of organisations which have implemented e-procurement</w:t>
      </w:r>
      <w:r>
        <w:rPr>
          <w:sz w:val="24"/>
          <w:szCs w:val="24"/>
        </w:rPr>
        <w:t xml:space="preserve"> was identified</w:t>
      </w:r>
      <w:r w:rsidR="00787745" w:rsidRPr="00E67A4A">
        <w:rPr>
          <w:sz w:val="24"/>
          <w:szCs w:val="24"/>
        </w:rPr>
        <w:t xml:space="preserve">. </w:t>
      </w:r>
      <w:r>
        <w:rPr>
          <w:sz w:val="24"/>
          <w:szCs w:val="24"/>
        </w:rPr>
        <w:t>The results show</w:t>
      </w:r>
      <w:r w:rsidR="0059566D" w:rsidRPr="00E67A4A">
        <w:rPr>
          <w:sz w:val="24"/>
          <w:szCs w:val="24"/>
        </w:rPr>
        <w:t xml:space="preserve"> that </w:t>
      </w:r>
      <w:r>
        <w:rPr>
          <w:sz w:val="24"/>
          <w:szCs w:val="24"/>
        </w:rPr>
        <w:t xml:space="preserve">contractor </w:t>
      </w:r>
      <w:r w:rsidR="004716E8" w:rsidRPr="00E67A4A">
        <w:rPr>
          <w:sz w:val="24"/>
          <w:szCs w:val="24"/>
        </w:rPr>
        <w:t xml:space="preserve">size </w:t>
      </w:r>
      <w:r>
        <w:rPr>
          <w:sz w:val="24"/>
          <w:szCs w:val="24"/>
        </w:rPr>
        <w:t xml:space="preserve">was </w:t>
      </w:r>
      <w:r w:rsidR="004716E8" w:rsidRPr="00E67A4A">
        <w:rPr>
          <w:sz w:val="24"/>
          <w:szCs w:val="24"/>
        </w:rPr>
        <w:t xml:space="preserve">not </w:t>
      </w:r>
      <w:r>
        <w:rPr>
          <w:sz w:val="24"/>
          <w:szCs w:val="24"/>
        </w:rPr>
        <w:t>a factor f</w:t>
      </w:r>
      <w:r w:rsidR="0059566D" w:rsidRPr="00E67A4A">
        <w:rPr>
          <w:sz w:val="24"/>
          <w:szCs w:val="24"/>
        </w:rPr>
        <w:t>or implement</w:t>
      </w:r>
      <w:r>
        <w:rPr>
          <w:sz w:val="24"/>
          <w:szCs w:val="24"/>
        </w:rPr>
        <w:t>ing</w:t>
      </w:r>
      <w:r w:rsidR="0059566D" w:rsidRPr="00E67A4A">
        <w:rPr>
          <w:sz w:val="24"/>
          <w:szCs w:val="24"/>
        </w:rPr>
        <w:t xml:space="preserve"> e-procurement</w:t>
      </w:r>
      <w:r>
        <w:rPr>
          <w:sz w:val="24"/>
          <w:szCs w:val="24"/>
        </w:rPr>
        <w:t>.</w:t>
      </w:r>
      <w:r w:rsidR="0059566D" w:rsidRPr="00E67A4A">
        <w:rPr>
          <w:sz w:val="24"/>
          <w:szCs w:val="24"/>
        </w:rPr>
        <w:t xml:space="preserve"> </w:t>
      </w:r>
      <w:r w:rsidR="008865B9" w:rsidRPr="00E67A4A">
        <w:rPr>
          <w:sz w:val="24"/>
          <w:szCs w:val="24"/>
        </w:rPr>
        <w:t xml:space="preserve"> However, on the client side in traditional contracts company sizes </w:t>
      </w:r>
      <w:r w:rsidRPr="00E67A4A">
        <w:rPr>
          <w:sz w:val="24"/>
          <w:szCs w:val="24"/>
        </w:rPr>
        <w:t xml:space="preserve">of </w:t>
      </w:r>
      <w:r>
        <w:rPr>
          <w:sz w:val="24"/>
          <w:szCs w:val="24"/>
        </w:rPr>
        <w:t>21</w:t>
      </w:r>
      <w:r w:rsidR="008865B9" w:rsidRPr="00E67A4A">
        <w:rPr>
          <w:sz w:val="24"/>
          <w:szCs w:val="24"/>
        </w:rPr>
        <w:t>-50 employees mak</w:t>
      </w:r>
      <w:r>
        <w:rPr>
          <w:sz w:val="24"/>
          <w:szCs w:val="24"/>
        </w:rPr>
        <w:t>ing</w:t>
      </w:r>
      <w:r w:rsidR="008865B9" w:rsidRPr="00E67A4A">
        <w:rPr>
          <w:sz w:val="24"/>
          <w:szCs w:val="24"/>
        </w:rPr>
        <w:t xml:space="preserve"> most use of e-procurement, followed by large companies (Over 100) then smaller companies (1-10). </w:t>
      </w:r>
      <w:r>
        <w:rPr>
          <w:sz w:val="24"/>
          <w:szCs w:val="24"/>
        </w:rPr>
        <w:t>C</w:t>
      </w:r>
      <w:r w:rsidR="008865B9" w:rsidRPr="00E67A4A">
        <w:rPr>
          <w:sz w:val="24"/>
          <w:szCs w:val="24"/>
        </w:rPr>
        <w:t>ompanies between these sizes (11-20,</w:t>
      </w:r>
      <w:r>
        <w:rPr>
          <w:sz w:val="24"/>
          <w:szCs w:val="24"/>
        </w:rPr>
        <w:t xml:space="preserve"> </w:t>
      </w:r>
      <w:r w:rsidR="008865B9" w:rsidRPr="00E67A4A">
        <w:rPr>
          <w:sz w:val="24"/>
          <w:szCs w:val="24"/>
        </w:rPr>
        <w:t>51-100) make less use of e-procurement in construction.</w:t>
      </w:r>
      <w:r w:rsidR="00B031AA">
        <w:rPr>
          <w:sz w:val="24"/>
          <w:szCs w:val="24"/>
        </w:rPr>
        <w:t xml:space="preserve"> The study also revealed that the public sector is leading in the use of e-procurement and that the private sector is lagging behind by 10%.  This can be attributed to the efforts of the public sector promoting e-procurement as an efficiency boosting greener technology with various initiatives such </w:t>
      </w:r>
      <w:r w:rsidR="005E763F">
        <w:rPr>
          <w:sz w:val="24"/>
          <w:szCs w:val="24"/>
        </w:rPr>
        <w:t xml:space="preserve"> </w:t>
      </w:r>
      <w:r w:rsidR="00B031AA">
        <w:rPr>
          <w:sz w:val="24"/>
          <w:szCs w:val="24"/>
        </w:rPr>
        <w:t>as</w:t>
      </w:r>
      <w:r w:rsidR="005E763F">
        <w:rPr>
          <w:sz w:val="24"/>
          <w:szCs w:val="24"/>
        </w:rPr>
        <w:t xml:space="preserve"> the </w:t>
      </w:r>
      <w:r w:rsidR="005E763F" w:rsidRPr="005E763F">
        <w:rPr>
          <w:color w:val="FF0000"/>
          <w:sz w:val="24"/>
          <w:szCs w:val="24"/>
        </w:rPr>
        <w:t>Modernising Government White paper (1999) with Best Value Indicator 157 (BV157), The Glover Report (2009) with its sustainability agenda promoting full electronic contract use within government by 2010 and EU legislation.</w:t>
      </w:r>
      <w:r w:rsidR="005E763F">
        <w:rPr>
          <w:sz w:val="24"/>
          <w:szCs w:val="24"/>
        </w:rPr>
        <w:t xml:space="preserve"> </w:t>
      </w:r>
      <w:r w:rsidR="00B031AA">
        <w:rPr>
          <w:sz w:val="24"/>
          <w:szCs w:val="24"/>
        </w:rPr>
        <w:t>Often private sector is cautious in adopting new technology due to inherent risks, unfamiliarity and cost to adopt.  This study therefore, clearly indicates the need for actively promoting e-procurement within the UK private sector construction organisation.</w:t>
      </w:r>
    </w:p>
    <w:p w:rsidR="003F3745" w:rsidRPr="00E67A4A" w:rsidRDefault="003F3745" w:rsidP="003F3745">
      <w:pPr>
        <w:spacing w:before="0" w:line="240" w:lineRule="auto"/>
        <w:rPr>
          <w:sz w:val="24"/>
          <w:szCs w:val="24"/>
        </w:rPr>
      </w:pPr>
    </w:p>
    <w:p w:rsidR="00990E82" w:rsidRPr="005E763F" w:rsidRDefault="00BF529F" w:rsidP="00990E82">
      <w:pPr>
        <w:spacing w:before="0" w:line="240" w:lineRule="auto"/>
        <w:rPr>
          <w:color w:val="FF0000"/>
          <w:sz w:val="24"/>
          <w:szCs w:val="24"/>
        </w:rPr>
      </w:pPr>
      <w:r w:rsidRPr="00E67A4A">
        <w:rPr>
          <w:sz w:val="24"/>
          <w:szCs w:val="24"/>
        </w:rPr>
        <w:t xml:space="preserve">A further section of the study examined the amount spent on document preparation against the percentage of electronic documentation. It found that those who spent most and least on pricing documentation were the </w:t>
      </w:r>
      <w:r w:rsidR="00550075" w:rsidRPr="00E67A4A">
        <w:rPr>
          <w:sz w:val="24"/>
          <w:szCs w:val="24"/>
        </w:rPr>
        <w:t>most likely to have adopted e-procurement</w:t>
      </w:r>
      <w:r w:rsidR="005E763F">
        <w:rPr>
          <w:sz w:val="24"/>
          <w:szCs w:val="24"/>
        </w:rPr>
        <w:t xml:space="preserve">. </w:t>
      </w:r>
      <w:r w:rsidR="005E763F">
        <w:rPr>
          <w:color w:val="FF0000"/>
          <w:sz w:val="24"/>
          <w:szCs w:val="24"/>
        </w:rPr>
        <w:t xml:space="preserve">This suggests that the smaller organisations that tend to spend less concentrate on e-procurement to increase efficiency by allowing fewer staff to complete a similar amount of work. The organisations that spent most on e-procurement </w:t>
      </w:r>
      <w:r w:rsidR="00037C59">
        <w:rPr>
          <w:color w:val="FF0000"/>
          <w:sz w:val="24"/>
          <w:szCs w:val="24"/>
        </w:rPr>
        <w:t xml:space="preserve">tend to use e-procurement to bring efficiency to the process. </w:t>
      </w:r>
    </w:p>
    <w:p w:rsidR="00990E82" w:rsidRPr="00E67A4A" w:rsidRDefault="00990E82" w:rsidP="00990E82">
      <w:pPr>
        <w:spacing w:before="0" w:line="240" w:lineRule="auto"/>
        <w:rPr>
          <w:color w:val="000000"/>
          <w:sz w:val="24"/>
          <w:szCs w:val="24"/>
        </w:rPr>
      </w:pPr>
    </w:p>
    <w:p w:rsidR="003B0C9A" w:rsidRPr="00E67A4A" w:rsidRDefault="003B0C9A" w:rsidP="00990E82">
      <w:pPr>
        <w:pStyle w:val="Heading2"/>
        <w:spacing w:before="0" w:line="240" w:lineRule="auto"/>
        <w:rPr>
          <w:sz w:val="28"/>
          <w:szCs w:val="28"/>
        </w:rPr>
      </w:pPr>
      <w:r w:rsidRPr="00E67A4A">
        <w:rPr>
          <w:sz w:val="28"/>
          <w:szCs w:val="28"/>
        </w:rPr>
        <w:t>References</w:t>
      </w:r>
    </w:p>
    <w:p w:rsidR="003B0C9A" w:rsidRDefault="003B0C9A" w:rsidP="00315175">
      <w:pPr>
        <w:pStyle w:val="Reference"/>
        <w:ind w:left="284" w:hanging="284"/>
      </w:pPr>
      <w:r w:rsidRPr="00475D3E">
        <w:t xml:space="preserve">Eadie, R., Perera, S., Heaney, G., Carlisle, J. (2007) Drivers and Barriers to Public Sector e-procurement within Northern Ireland’s Construction Industry, </w:t>
      </w:r>
      <w:r w:rsidRPr="00B87C9C">
        <w:rPr>
          <w:i/>
        </w:rPr>
        <w:t>ITcon Journal</w:t>
      </w:r>
      <w:r w:rsidRPr="00475D3E">
        <w:t xml:space="preserve">, Vol. 12, 103-120, </w:t>
      </w:r>
      <w:hyperlink r:id="rId19" w:history="1">
        <w:r w:rsidR="00B87C9C" w:rsidRPr="007F7225">
          <w:rPr>
            <w:rStyle w:val="Hyperlink"/>
          </w:rPr>
          <w:t>http://www.itcon.org/2007/6</w:t>
        </w:r>
      </w:hyperlink>
      <w:r w:rsidR="00B87C9C">
        <w:t xml:space="preserve"> </w:t>
      </w:r>
      <w:r w:rsidRPr="001D5C23">
        <w:t xml:space="preserve"> </w:t>
      </w:r>
    </w:p>
    <w:p w:rsidR="00B87C9C" w:rsidRDefault="00B87C9C" w:rsidP="00315175">
      <w:pPr>
        <w:pStyle w:val="Reference"/>
        <w:ind w:left="284" w:hanging="284"/>
        <w:rPr>
          <w:bCs/>
        </w:rPr>
      </w:pPr>
      <w:r>
        <w:rPr>
          <w:bCs/>
        </w:rPr>
        <w:t xml:space="preserve">Egbu C. Vines M. and Tookey J. (2004). The Role of Knowledge Management in E-Procurement Initiatives for Construction Organisations, </w:t>
      </w:r>
      <w:r w:rsidRPr="00D17D69">
        <w:rPr>
          <w:bCs/>
          <w:i/>
        </w:rPr>
        <w:t>Proceedings  of ARCOM Twentieth Annual Conference 2004</w:t>
      </w:r>
      <w:r>
        <w:rPr>
          <w:bCs/>
        </w:rPr>
        <w:t>, September 1-3, Heriot Watt University, (Khosrowshami,F Editor), Vol. 1, Arcom, University of Reading, Reading, 661 – 671.</w:t>
      </w:r>
    </w:p>
    <w:p w:rsidR="00325AD0" w:rsidRDefault="00325AD0" w:rsidP="00315175">
      <w:pPr>
        <w:pStyle w:val="Reference"/>
        <w:ind w:left="284" w:hanging="284"/>
        <w:rPr>
          <w:bCs/>
        </w:rPr>
      </w:pPr>
      <w:r>
        <w:rPr>
          <w:bCs/>
        </w:rPr>
        <w:t xml:space="preserve">Hore A. O’Connell L. and West R. (2006). Efficiency Gains to be Won through the Introduction of Electronic Tendering in the Construction Industry, available on-line at  </w:t>
      </w:r>
      <w:hyperlink r:id="rId20" w:history="1">
        <w:r>
          <w:rPr>
            <w:rStyle w:val="Hyperlink"/>
            <w:bCs/>
          </w:rPr>
          <w:t>http://www.irbdirekt.de/daten/iconda/CIB7413.pdf</w:t>
        </w:r>
      </w:hyperlink>
      <w:r>
        <w:rPr>
          <w:bCs/>
        </w:rPr>
        <w:t xml:space="preserve">  [assessed December 2008]</w:t>
      </w:r>
    </w:p>
    <w:p w:rsidR="00325AD0" w:rsidRDefault="00325AD0" w:rsidP="00315175">
      <w:pPr>
        <w:pStyle w:val="Reference"/>
        <w:ind w:left="284" w:hanging="284"/>
      </w:pPr>
      <w:r>
        <w:lastRenderedPageBreak/>
        <w:t xml:space="preserve">Improvement and Development Agency (IDEA)(2004). The Benefits of e-Procurement, </w:t>
      </w:r>
      <w:r w:rsidRPr="00A8771F">
        <w:rPr>
          <w:i/>
        </w:rPr>
        <w:t>Office of the Deputy Prime Minister</w:t>
      </w:r>
      <w:r>
        <w:t xml:space="preserve">, HMSO, UK, available on-line at </w:t>
      </w:r>
      <w:hyperlink r:id="rId21" w:history="1">
        <w:r>
          <w:rPr>
            <w:rStyle w:val="Hyperlink"/>
          </w:rPr>
          <w:t>http://www.idea.gov.uk/idk/aio/70780</w:t>
        </w:r>
      </w:hyperlink>
      <w:r>
        <w:t xml:space="preserve"> [assessed December 2008]</w:t>
      </w:r>
    </w:p>
    <w:p w:rsidR="00B87C9C" w:rsidRDefault="00B87C9C" w:rsidP="00315175">
      <w:pPr>
        <w:pStyle w:val="Reference"/>
        <w:ind w:left="284" w:hanging="284"/>
      </w:pPr>
      <w:r>
        <w:t xml:space="preserve">Martin J. (2008). </w:t>
      </w:r>
      <w:r>
        <w:rPr>
          <w:iCs/>
        </w:rPr>
        <w:t>E-Tendering about time too,</w:t>
      </w:r>
      <w:r>
        <w:t xml:space="preserve"> </w:t>
      </w:r>
      <w:r w:rsidRPr="00986EDA">
        <w:rPr>
          <w:i/>
        </w:rPr>
        <w:t>RICS paper</w:t>
      </w:r>
      <w:r>
        <w:t xml:space="preserve"> (Available online </w:t>
      </w:r>
      <w:hyperlink r:id="rId22" w:history="1">
        <w:r>
          <w:rPr>
            <w:rStyle w:val="Hyperlink"/>
          </w:rPr>
          <w:t>http://www.rics.org/NR/rdonlyres/5B41E38D-2433-4AEE-A3DC-5B3C3BB84FB5/0/EtenderingabouttimetooJoeMartin.pdf</w:t>
        </w:r>
      </w:hyperlink>
      <w:r>
        <w:t xml:space="preserve"> [accessed December 2008].</w:t>
      </w:r>
    </w:p>
    <w:p w:rsidR="00B87C9C" w:rsidRDefault="00B87C9C" w:rsidP="00315175">
      <w:pPr>
        <w:pStyle w:val="Reference"/>
        <w:ind w:left="284" w:hanging="284"/>
      </w:pPr>
      <w:r>
        <w:t xml:space="preserve">Martin J. (2003). </w:t>
      </w:r>
      <w:r>
        <w:rPr>
          <w:iCs/>
        </w:rPr>
        <w:t>E-Procurement and extranets in the UK Construction industry,</w:t>
      </w:r>
      <w:r>
        <w:t xml:space="preserve"> </w:t>
      </w:r>
      <w:r w:rsidRPr="00986EDA">
        <w:rPr>
          <w:i/>
        </w:rPr>
        <w:t>Conference paper given at FIG Working Week</w:t>
      </w:r>
      <w:r>
        <w:t>, April 13</w:t>
      </w:r>
      <w:r>
        <w:rPr>
          <w:vertAlign w:val="superscript"/>
        </w:rPr>
        <w:t>th</w:t>
      </w:r>
      <w:r>
        <w:t>-17</w:t>
      </w:r>
      <w:r>
        <w:rPr>
          <w:vertAlign w:val="superscript"/>
        </w:rPr>
        <w:t xml:space="preserve">th </w:t>
      </w:r>
      <w:r>
        <w:t xml:space="preserve">2003, Paris, France. (Available online   </w:t>
      </w:r>
      <w:hyperlink r:id="rId23" w:history="1">
        <w:r>
          <w:rPr>
            <w:rStyle w:val="Hyperlink"/>
          </w:rPr>
          <w:t>http://www.fig.net/figtree/pub/fig_2003/TS_6/TS6_4_Martin.pdf</w:t>
        </w:r>
      </w:hyperlink>
      <w:r>
        <w:t xml:space="preserve"> [accessed December 2008].</w:t>
      </w:r>
    </w:p>
    <w:p w:rsidR="00252A36" w:rsidRDefault="00252A36" w:rsidP="00315175">
      <w:pPr>
        <w:pStyle w:val="Reference"/>
        <w:ind w:left="284" w:hanging="284"/>
      </w:pPr>
      <w:r>
        <w:t xml:space="preserve">Office of the Inspector General(OIG) (1997). Audit of the Office of Program and Integrity Reviews` Special Studies, available on-line at </w:t>
      </w:r>
      <w:hyperlink r:id="rId24" w:history="1">
        <w:r>
          <w:rPr>
            <w:rStyle w:val="Hyperlink"/>
          </w:rPr>
          <w:t>http://www.ssa.gov/oig/ADOBEPDF/audit_htms/96-51142.htm</w:t>
        </w:r>
      </w:hyperlink>
      <w:r>
        <w:t xml:space="preserve"> [assessed December 2008]</w:t>
      </w:r>
    </w:p>
    <w:p w:rsidR="003E6A14" w:rsidRPr="00475D3E" w:rsidRDefault="00127735" w:rsidP="00315175">
      <w:pPr>
        <w:pStyle w:val="Reference"/>
        <w:ind w:left="284" w:hanging="284"/>
        <w:rPr>
          <w:bCs/>
        </w:rPr>
      </w:pPr>
      <w:r w:rsidRPr="00127735">
        <w:t xml:space="preserve">Rubin A, Babbie E (2004), Research Methods of Social Work, </w:t>
      </w:r>
      <w:r w:rsidRPr="00127735">
        <w:rPr>
          <w:i/>
        </w:rPr>
        <w:t>Thomson Wadsworth</w:t>
      </w:r>
      <w:r w:rsidRPr="00127735">
        <w:t>, UK, 288-289</w:t>
      </w:r>
      <w:r w:rsidR="004F0B75">
        <w:t>.</w:t>
      </w:r>
    </w:p>
    <w:sectPr w:rsidR="003E6A14" w:rsidRPr="00475D3E" w:rsidSect="00E67A4A">
      <w:pgSz w:w="11907" w:h="16840" w:code="9"/>
      <w:pgMar w:top="1418" w:right="1418" w:bottom="1418" w:left="2155" w:header="680"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CEB" w:rsidRDefault="003B2CEB">
      <w:pPr>
        <w:spacing w:before="0" w:line="240" w:lineRule="auto"/>
      </w:pPr>
      <w:r>
        <w:separator/>
      </w:r>
    </w:p>
  </w:endnote>
  <w:endnote w:type="continuationSeparator" w:id="1">
    <w:p w:rsidR="003B2CEB" w:rsidRDefault="003B2CE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CEB" w:rsidRDefault="003B2CEB">
      <w:pPr>
        <w:spacing w:before="0" w:line="240" w:lineRule="auto"/>
      </w:pPr>
      <w:r>
        <w:separator/>
      </w:r>
    </w:p>
  </w:footnote>
  <w:footnote w:type="continuationSeparator" w:id="1">
    <w:p w:rsidR="003B2CEB" w:rsidRDefault="003B2CEB">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6007DD4"/>
    <w:lvl w:ilvl="0">
      <w:start w:val="1"/>
      <w:numFmt w:val="none"/>
      <w:pStyle w:val="Heading1"/>
      <w:suff w:val="nothing"/>
      <w:lvlText w:val=""/>
      <w:lvlJc w:val="left"/>
    </w:lvl>
    <w:lvl w:ilvl="1">
      <w:start w:val="1"/>
      <w:numFmt w:val="decimal"/>
      <w:pStyle w:val="Heading2"/>
      <w:lvlText w:val="%2."/>
      <w:legacy w:legacy="1" w:legacySpace="144" w:legacyIndent="0"/>
      <w:lvlJc w:val="left"/>
    </w:lvl>
    <w:lvl w:ilvl="2">
      <w:start w:val="1"/>
      <w:numFmt w:val="decimal"/>
      <w:pStyle w:val="Heading3"/>
      <w:lvlText w:val="%2.%3"/>
      <w:legacy w:legacy="1" w:legacySpace="144" w:legacyIndent="0"/>
      <w:lvlJc w:val="left"/>
    </w:lvl>
    <w:lvl w:ilvl="3">
      <w:start w:val="1"/>
      <w:numFmt w:val="decimal"/>
      <w:pStyle w:val="Heading4"/>
      <w:lvlText w:val="%2.%3.%4"/>
      <w:legacy w:legacy="1" w:legacySpace="144" w:legacyIndent="0"/>
      <w:lvlJc w:val="left"/>
    </w:lvl>
    <w:lvl w:ilvl="4">
      <w:start w:val="1"/>
      <w:numFmt w:val="decimal"/>
      <w:pStyle w:val="Heading5"/>
      <w:lvlText w:val="%2.%3.%4.%5"/>
      <w:legacy w:legacy="1" w:legacySpace="144" w:legacyIndent="0"/>
      <w:lvlJc w:val="left"/>
    </w:lvl>
    <w:lvl w:ilvl="5">
      <w:start w:val="1"/>
      <w:numFmt w:val="decimal"/>
      <w:pStyle w:val="Heading6"/>
      <w:lvlText w:val="%2.%3.%4.%5.%6"/>
      <w:legacy w:legacy="1" w:legacySpace="144" w:legacyIndent="0"/>
      <w:lvlJc w:val="left"/>
    </w:lvl>
    <w:lvl w:ilvl="6">
      <w:start w:val="1"/>
      <w:numFmt w:val="decimal"/>
      <w:pStyle w:val="Heading7"/>
      <w:lvlText w:val="%2.%3.%4.%5.%6.%7"/>
      <w:legacy w:legacy="1" w:legacySpace="144" w:legacyIndent="0"/>
      <w:lvlJc w:val="left"/>
    </w:lvl>
    <w:lvl w:ilvl="7">
      <w:start w:val="1"/>
      <w:numFmt w:val="decimal"/>
      <w:pStyle w:val="Heading8"/>
      <w:lvlText w:val="%2.%3.%4.%5.%6.%7.%8"/>
      <w:legacy w:legacy="1" w:legacySpace="144" w:legacyIndent="0"/>
      <w:lvlJc w:val="left"/>
    </w:lvl>
    <w:lvl w:ilvl="8">
      <w:start w:val="1"/>
      <w:numFmt w:val="decimal"/>
      <w:pStyle w:val="Heading9"/>
      <w:lvlText w:val="%2.%3.%4.%5.%6.%7.%8.%9"/>
      <w:legacy w:legacy="1" w:legacySpace="144" w:legacyIndent="0"/>
      <w:lvlJc w:val="left"/>
    </w:lvl>
  </w:abstractNum>
  <w:abstractNum w:abstractNumId="1">
    <w:nsid w:val="FFFFFFFE"/>
    <w:multiLevelType w:val="singleLevel"/>
    <w:tmpl w:val="9A7CF0B2"/>
    <w:lvl w:ilvl="0">
      <w:numFmt w:val="bullet"/>
      <w:lvlText w:val="*"/>
      <w:lvlJc w:val="left"/>
    </w:lvl>
  </w:abstractNum>
  <w:abstractNum w:abstractNumId="2">
    <w:nsid w:val="5CBC5D8E"/>
    <w:multiLevelType w:val="hybridMultilevel"/>
    <w:tmpl w:val="C07E53E2"/>
    <w:lvl w:ilvl="0" w:tplc="A1C81918">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312D65"/>
    <w:rsid w:val="0000152D"/>
    <w:rsid w:val="00001B59"/>
    <w:rsid w:val="00002E84"/>
    <w:rsid w:val="00015889"/>
    <w:rsid w:val="00020F5A"/>
    <w:rsid w:val="0002750B"/>
    <w:rsid w:val="000311F4"/>
    <w:rsid w:val="00036012"/>
    <w:rsid w:val="0003701C"/>
    <w:rsid w:val="00037C59"/>
    <w:rsid w:val="00042440"/>
    <w:rsid w:val="00047066"/>
    <w:rsid w:val="00051EDB"/>
    <w:rsid w:val="00057658"/>
    <w:rsid w:val="00060629"/>
    <w:rsid w:val="000653E7"/>
    <w:rsid w:val="00072B14"/>
    <w:rsid w:val="00080C4B"/>
    <w:rsid w:val="00080D87"/>
    <w:rsid w:val="00093BEB"/>
    <w:rsid w:val="000A1453"/>
    <w:rsid w:val="000A3A53"/>
    <w:rsid w:val="000B251B"/>
    <w:rsid w:val="000B5666"/>
    <w:rsid w:val="000C1451"/>
    <w:rsid w:val="000D4EB1"/>
    <w:rsid w:val="000E05D4"/>
    <w:rsid w:val="000E5BA1"/>
    <w:rsid w:val="000F1620"/>
    <w:rsid w:val="000F3AD5"/>
    <w:rsid w:val="000F5228"/>
    <w:rsid w:val="001076C9"/>
    <w:rsid w:val="00127735"/>
    <w:rsid w:val="001331B0"/>
    <w:rsid w:val="00137EC1"/>
    <w:rsid w:val="001424B8"/>
    <w:rsid w:val="00145272"/>
    <w:rsid w:val="00153040"/>
    <w:rsid w:val="00160880"/>
    <w:rsid w:val="0017043D"/>
    <w:rsid w:val="001754F1"/>
    <w:rsid w:val="00175E09"/>
    <w:rsid w:val="001863D4"/>
    <w:rsid w:val="00193478"/>
    <w:rsid w:val="0019503E"/>
    <w:rsid w:val="00195065"/>
    <w:rsid w:val="0019632B"/>
    <w:rsid w:val="001B6958"/>
    <w:rsid w:val="001C6643"/>
    <w:rsid w:val="001D5C23"/>
    <w:rsid w:val="001E0800"/>
    <w:rsid w:val="001F16CE"/>
    <w:rsid w:val="001F31A0"/>
    <w:rsid w:val="001F34F8"/>
    <w:rsid w:val="001F5949"/>
    <w:rsid w:val="002007BC"/>
    <w:rsid w:val="002012C3"/>
    <w:rsid w:val="00204DA9"/>
    <w:rsid w:val="002140AB"/>
    <w:rsid w:val="0022239F"/>
    <w:rsid w:val="00225D8E"/>
    <w:rsid w:val="00232AA1"/>
    <w:rsid w:val="0024552A"/>
    <w:rsid w:val="002456E4"/>
    <w:rsid w:val="00246B8B"/>
    <w:rsid w:val="00252A36"/>
    <w:rsid w:val="002539C4"/>
    <w:rsid w:val="002929D7"/>
    <w:rsid w:val="00292FD9"/>
    <w:rsid w:val="00296613"/>
    <w:rsid w:val="002B0F05"/>
    <w:rsid w:val="002C5504"/>
    <w:rsid w:val="002D4CA2"/>
    <w:rsid w:val="002D518B"/>
    <w:rsid w:val="002E0084"/>
    <w:rsid w:val="002E29C6"/>
    <w:rsid w:val="003006A1"/>
    <w:rsid w:val="003120EF"/>
    <w:rsid w:val="00312D65"/>
    <w:rsid w:val="00315175"/>
    <w:rsid w:val="00315A99"/>
    <w:rsid w:val="00325AD0"/>
    <w:rsid w:val="003332A5"/>
    <w:rsid w:val="00334B9F"/>
    <w:rsid w:val="0037347E"/>
    <w:rsid w:val="00381B20"/>
    <w:rsid w:val="003926B4"/>
    <w:rsid w:val="0039557A"/>
    <w:rsid w:val="003A2C38"/>
    <w:rsid w:val="003A72CD"/>
    <w:rsid w:val="003B0C9A"/>
    <w:rsid w:val="003B2CEB"/>
    <w:rsid w:val="003B45EA"/>
    <w:rsid w:val="003C0B24"/>
    <w:rsid w:val="003C29A9"/>
    <w:rsid w:val="003C5F5C"/>
    <w:rsid w:val="003D2CC5"/>
    <w:rsid w:val="003E0619"/>
    <w:rsid w:val="003E0841"/>
    <w:rsid w:val="003E1512"/>
    <w:rsid w:val="003E6A14"/>
    <w:rsid w:val="003F0DFC"/>
    <w:rsid w:val="003F3745"/>
    <w:rsid w:val="003F38B3"/>
    <w:rsid w:val="003F76DD"/>
    <w:rsid w:val="004323E3"/>
    <w:rsid w:val="00444068"/>
    <w:rsid w:val="004503A1"/>
    <w:rsid w:val="00453ADA"/>
    <w:rsid w:val="00457814"/>
    <w:rsid w:val="00461F83"/>
    <w:rsid w:val="004716E8"/>
    <w:rsid w:val="00473F62"/>
    <w:rsid w:val="004821B1"/>
    <w:rsid w:val="004875C6"/>
    <w:rsid w:val="00487687"/>
    <w:rsid w:val="00493221"/>
    <w:rsid w:val="004A41A3"/>
    <w:rsid w:val="004B3524"/>
    <w:rsid w:val="004B39F0"/>
    <w:rsid w:val="004B6676"/>
    <w:rsid w:val="004C00A1"/>
    <w:rsid w:val="004C5B60"/>
    <w:rsid w:val="004D3EB7"/>
    <w:rsid w:val="004D3F1F"/>
    <w:rsid w:val="004D74AC"/>
    <w:rsid w:val="004D7F30"/>
    <w:rsid w:val="004E0241"/>
    <w:rsid w:val="004E0723"/>
    <w:rsid w:val="004E158C"/>
    <w:rsid w:val="004F0B75"/>
    <w:rsid w:val="004F142C"/>
    <w:rsid w:val="004F5E54"/>
    <w:rsid w:val="004F7D5D"/>
    <w:rsid w:val="005258C2"/>
    <w:rsid w:val="00526895"/>
    <w:rsid w:val="00527239"/>
    <w:rsid w:val="0054323D"/>
    <w:rsid w:val="00550075"/>
    <w:rsid w:val="0057354A"/>
    <w:rsid w:val="00583C92"/>
    <w:rsid w:val="00584FE9"/>
    <w:rsid w:val="0059566D"/>
    <w:rsid w:val="005A59C5"/>
    <w:rsid w:val="005B4219"/>
    <w:rsid w:val="005C2C31"/>
    <w:rsid w:val="005C2E23"/>
    <w:rsid w:val="005C6A48"/>
    <w:rsid w:val="005C7082"/>
    <w:rsid w:val="005E2B2A"/>
    <w:rsid w:val="005E3FF9"/>
    <w:rsid w:val="005E763F"/>
    <w:rsid w:val="005F06D7"/>
    <w:rsid w:val="00611E20"/>
    <w:rsid w:val="00615E92"/>
    <w:rsid w:val="00616F68"/>
    <w:rsid w:val="00626596"/>
    <w:rsid w:val="00627575"/>
    <w:rsid w:val="00627B0B"/>
    <w:rsid w:val="00627EA6"/>
    <w:rsid w:val="00635469"/>
    <w:rsid w:val="00640E36"/>
    <w:rsid w:val="006543D5"/>
    <w:rsid w:val="00663AE1"/>
    <w:rsid w:val="00690AB5"/>
    <w:rsid w:val="00696BED"/>
    <w:rsid w:val="006A4863"/>
    <w:rsid w:val="006A61FF"/>
    <w:rsid w:val="006B38FB"/>
    <w:rsid w:val="006D6C19"/>
    <w:rsid w:val="006E1A7A"/>
    <w:rsid w:val="006E2C24"/>
    <w:rsid w:val="006E67AB"/>
    <w:rsid w:val="006F1B7C"/>
    <w:rsid w:val="006F1D16"/>
    <w:rsid w:val="006F5BAA"/>
    <w:rsid w:val="00701975"/>
    <w:rsid w:val="007028AE"/>
    <w:rsid w:val="00704C7A"/>
    <w:rsid w:val="0070664B"/>
    <w:rsid w:val="00717F70"/>
    <w:rsid w:val="00752510"/>
    <w:rsid w:val="0075329D"/>
    <w:rsid w:val="0075669E"/>
    <w:rsid w:val="007645AD"/>
    <w:rsid w:val="007665C6"/>
    <w:rsid w:val="00786BF8"/>
    <w:rsid w:val="00787745"/>
    <w:rsid w:val="007925B7"/>
    <w:rsid w:val="007926EB"/>
    <w:rsid w:val="007A15B3"/>
    <w:rsid w:val="007A34A1"/>
    <w:rsid w:val="007A5C1B"/>
    <w:rsid w:val="007A69F3"/>
    <w:rsid w:val="007B600B"/>
    <w:rsid w:val="007B6624"/>
    <w:rsid w:val="007D6CFF"/>
    <w:rsid w:val="007E2EB7"/>
    <w:rsid w:val="0080263A"/>
    <w:rsid w:val="00812003"/>
    <w:rsid w:val="0086352C"/>
    <w:rsid w:val="00863BAE"/>
    <w:rsid w:val="008709CC"/>
    <w:rsid w:val="008754FE"/>
    <w:rsid w:val="0087614B"/>
    <w:rsid w:val="008852C5"/>
    <w:rsid w:val="008865B9"/>
    <w:rsid w:val="00887E1A"/>
    <w:rsid w:val="00890A2A"/>
    <w:rsid w:val="008A581B"/>
    <w:rsid w:val="008B6672"/>
    <w:rsid w:val="008B7FA2"/>
    <w:rsid w:val="008C176F"/>
    <w:rsid w:val="008C2FA1"/>
    <w:rsid w:val="008C50E3"/>
    <w:rsid w:val="008E5F4F"/>
    <w:rsid w:val="008F3DE2"/>
    <w:rsid w:val="008F43D0"/>
    <w:rsid w:val="00900638"/>
    <w:rsid w:val="00910061"/>
    <w:rsid w:val="00913945"/>
    <w:rsid w:val="00913B0A"/>
    <w:rsid w:val="00954BC7"/>
    <w:rsid w:val="00955061"/>
    <w:rsid w:val="0095613A"/>
    <w:rsid w:val="00970AA1"/>
    <w:rsid w:val="00973EE0"/>
    <w:rsid w:val="009777FE"/>
    <w:rsid w:val="00977B25"/>
    <w:rsid w:val="00980435"/>
    <w:rsid w:val="00980D2B"/>
    <w:rsid w:val="009861CD"/>
    <w:rsid w:val="00990E82"/>
    <w:rsid w:val="009A37B3"/>
    <w:rsid w:val="009A55FF"/>
    <w:rsid w:val="009A7D59"/>
    <w:rsid w:val="009B3142"/>
    <w:rsid w:val="009C1FAD"/>
    <w:rsid w:val="009D1A33"/>
    <w:rsid w:val="009E605A"/>
    <w:rsid w:val="009F311B"/>
    <w:rsid w:val="009F3694"/>
    <w:rsid w:val="00A03A29"/>
    <w:rsid w:val="00A06267"/>
    <w:rsid w:val="00A35EC2"/>
    <w:rsid w:val="00A6245D"/>
    <w:rsid w:val="00A71919"/>
    <w:rsid w:val="00A766A3"/>
    <w:rsid w:val="00A8145C"/>
    <w:rsid w:val="00A8536C"/>
    <w:rsid w:val="00A866AE"/>
    <w:rsid w:val="00A875E5"/>
    <w:rsid w:val="00A94D85"/>
    <w:rsid w:val="00AA4272"/>
    <w:rsid w:val="00AA5151"/>
    <w:rsid w:val="00AB0FA1"/>
    <w:rsid w:val="00AB429E"/>
    <w:rsid w:val="00AC148F"/>
    <w:rsid w:val="00AC2757"/>
    <w:rsid w:val="00AC556D"/>
    <w:rsid w:val="00AD3162"/>
    <w:rsid w:val="00AF0BA9"/>
    <w:rsid w:val="00AF759F"/>
    <w:rsid w:val="00B02AA6"/>
    <w:rsid w:val="00B031AA"/>
    <w:rsid w:val="00B1231A"/>
    <w:rsid w:val="00B133E6"/>
    <w:rsid w:val="00B13FE9"/>
    <w:rsid w:val="00B27750"/>
    <w:rsid w:val="00B4129E"/>
    <w:rsid w:val="00B41F98"/>
    <w:rsid w:val="00B56329"/>
    <w:rsid w:val="00B87C9C"/>
    <w:rsid w:val="00B93506"/>
    <w:rsid w:val="00B969C6"/>
    <w:rsid w:val="00BA0D7E"/>
    <w:rsid w:val="00BB7209"/>
    <w:rsid w:val="00BC1238"/>
    <w:rsid w:val="00BE248E"/>
    <w:rsid w:val="00BE3956"/>
    <w:rsid w:val="00BE7578"/>
    <w:rsid w:val="00BF046B"/>
    <w:rsid w:val="00BF529F"/>
    <w:rsid w:val="00BF5422"/>
    <w:rsid w:val="00C00855"/>
    <w:rsid w:val="00C061CC"/>
    <w:rsid w:val="00C20FEB"/>
    <w:rsid w:val="00C23629"/>
    <w:rsid w:val="00C41C59"/>
    <w:rsid w:val="00C457FF"/>
    <w:rsid w:val="00C57929"/>
    <w:rsid w:val="00C6213C"/>
    <w:rsid w:val="00C718E6"/>
    <w:rsid w:val="00C81BC8"/>
    <w:rsid w:val="00C81E47"/>
    <w:rsid w:val="00C84CF7"/>
    <w:rsid w:val="00C9149A"/>
    <w:rsid w:val="00C9387C"/>
    <w:rsid w:val="00C95FC9"/>
    <w:rsid w:val="00CA2567"/>
    <w:rsid w:val="00CB0D6F"/>
    <w:rsid w:val="00CB4A04"/>
    <w:rsid w:val="00CC1F05"/>
    <w:rsid w:val="00CE01B2"/>
    <w:rsid w:val="00CE3C22"/>
    <w:rsid w:val="00CE53EB"/>
    <w:rsid w:val="00CE6AED"/>
    <w:rsid w:val="00D05506"/>
    <w:rsid w:val="00D21463"/>
    <w:rsid w:val="00D23077"/>
    <w:rsid w:val="00D253FF"/>
    <w:rsid w:val="00D3535B"/>
    <w:rsid w:val="00D37C7D"/>
    <w:rsid w:val="00D53EAB"/>
    <w:rsid w:val="00D5533D"/>
    <w:rsid w:val="00D6749C"/>
    <w:rsid w:val="00D713B1"/>
    <w:rsid w:val="00D7736F"/>
    <w:rsid w:val="00D812D6"/>
    <w:rsid w:val="00DA0EB9"/>
    <w:rsid w:val="00DA2471"/>
    <w:rsid w:val="00DA2A39"/>
    <w:rsid w:val="00DB5E6D"/>
    <w:rsid w:val="00DC7EAC"/>
    <w:rsid w:val="00DD7B8E"/>
    <w:rsid w:val="00DE7663"/>
    <w:rsid w:val="00E0177D"/>
    <w:rsid w:val="00E145B3"/>
    <w:rsid w:val="00E14995"/>
    <w:rsid w:val="00E22E92"/>
    <w:rsid w:val="00E44D1C"/>
    <w:rsid w:val="00E64D7E"/>
    <w:rsid w:val="00E67A4A"/>
    <w:rsid w:val="00E766FA"/>
    <w:rsid w:val="00E821D0"/>
    <w:rsid w:val="00E82F96"/>
    <w:rsid w:val="00E95E0A"/>
    <w:rsid w:val="00EA1B04"/>
    <w:rsid w:val="00EA5549"/>
    <w:rsid w:val="00EB11A8"/>
    <w:rsid w:val="00EB4217"/>
    <w:rsid w:val="00EB7D04"/>
    <w:rsid w:val="00EC00A3"/>
    <w:rsid w:val="00EC5C4E"/>
    <w:rsid w:val="00EC5CFE"/>
    <w:rsid w:val="00EC6109"/>
    <w:rsid w:val="00EF09D9"/>
    <w:rsid w:val="00EF50AE"/>
    <w:rsid w:val="00EF6379"/>
    <w:rsid w:val="00F00DBF"/>
    <w:rsid w:val="00F01919"/>
    <w:rsid w:val="00F04687"/>
    <w:rsid w:val="00F062C2"/>
    <w:rsid w:val="00F11D19"/>
    <w:rsid w:val="00F22462"/>
    <w:rsid w:val="00F25576"/>
    <w:rsid w:val="00F3591F"/>
    <w:rsid w:val="00F35FEE"/>
    <w:rsid w:val="00F37007"/>
    <w:rsid w:val="00F470CC"/>
    <w:rsid w:val="00F51A28"/>
    <w:rsid w:val="00F56BB0"/>
    <w:rsid w:val="00F6167D"/>
    <w:rsid w:val="00F61DB7"/>
    <w:rsid w:val="00F62E81"/>
    <w:rsid w:val="00F65C61"/>
    <w:rsid w:val="00F67EBD"/>
    <w:rsid w:val="00F77ED8"/>
    <w:rsid w:val="00F90D9A"/>
    <w:rsid w:val="00F93A49"/>
    <w:rsid w:val="00FA5C9E"/>
    <w:rsid w:val="00FA7C19"/>
    <w:rsid w:val="00FB5C83"/>
    <w:rsid w:val="00FD57CB"/>
    <w:rsid w:val="00FE3B34"/>
    <w:rsid w:val="00FF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1F"/>
    <w:pPr>
      <w:overflowPunct w:val="0"/>
      <w:autoSpaceDE w:val="0"/>
      <w:autoSpaceDN w:val="0"/>
      <w:adjustRightInd w:val="0"/>
      <w:spacing w:before="120" w:line="-240" w:lineRule="auto"/>
      <w:jc w:val="both"/>
      <w:textAlignment w:val="baseline"/>
    </w:pPr>
    <w:rPr>
      <w:lang w:val="en-GB" w:eastAsia="en-GB"/>
    </w:rPr>
  </w:style>
  <w:style w:type="paragraph" w:styleId="Heading1">
    <w:name w:val="heading 1"/>
    <w:basedOn w:val="Normal"/>
    <w:next w:val="Normal"/>
    <w:link w:val="Heading1Char"/>
    <w:uiPriority w:val="99"/>
    <w:qFormat/>
    <w:rsid w:val="006E2C24"/>
    <w:pPr>
      <w:keepNext/>
      <w:numPr>
        <w:numId w:val="1"/>
      </w:numPr>
      <w:spacing w:line="240" w:lineRule="exact"/>
      <w:outlineLvl w:val="0"/>
    </w:pPr>
    <w:rPr>
      <w:caps/>
      <w:kern w:val="28"/>
      <w:sz w:val="28"/>
    </w:rPr>
  </w:style>
  <w:style w:type="paragraph" w:styleId="Heading2">
    <w:name w:val="heading 2"/>
    <w:basedOn w:val="Normal"/>
    <w:next w:val="Normal"/>
    <w:link w:val="Heading2Char"/>
    <w:uiPriority w:val="99"/>
    <w:qFormat/>
    <w:rsid w:val="00583C92"/>
    <w:pPr>
      <w:keepNext/>
      <w:numPr>
        <w:ilvl w:val="1"/>
        <w:numId w:val="1"/>
      </w:numPr>
      <w:spacing w:before="240"/>
      <w:outlineLvl w:val="1"/>
    </w:pPr>
    <w:rPr>
      <w:b/>
      <w:caps/>
      <w:sz w:val="24"/>
    </w:rPr>
  </w:style>
  <w:style w:type="paragraph" w:styleId="Heading3">
    <w:name w:val="heading 3"/>
    <w:basedOn w:val="Normal"/>
    <w:next w:val="Normal"/>
    <w:link w:val="Heading3Char"/>
    <w:uiPriority w:val="99"/>
    <w:qFormat/>
    <w:rsid w:val="00583C92"/>
    <w:pPr>
      <w:keepNext/>
      <w:numPr>
        <w:ilvl w:val="2"/>
        <w:numId w:val="1"/>
      </w:numPr>
      <w:spacing w:before="240"/>
      <w:outlineLvl w:val="2"/>
    </w:pPr>
    <w:rPr>
      <w:b/>
      <w:sz w:val="24"/>
    </w:rPr>
  </w:style>
  <w:style w:type="paragraph" w:styleId="Heading4">
    <w:name w:val="heading 4"/>
    <w:basedOn w:val="Normal"/>
    <w:next w:val="Normal"/>
    <w:uiPriority w:val="99"/>
    <w:qFormat/>
    <w:rsid w:val="00583C92"/>
    <w:pPr>
      <w:keepNext/>
      <w:numPr>
        <w:ilvl w:val="3"/>
        <w:numId w:val="1"/>
      </w:numPr>
      <w:outlineLvl w:val="3"/>
    </w:pPr>
    <w:rPr>
      <w:b/>
    </w:rPr>
  </w:style>
  <w:style w:type="paragraph" w:styleId="Heading5">
    <w:name w:val="heading 5"/>
    <w:basedOn w:val="Normal"/>
    <w:next w:val="Normal"/>
    <w:uiPriority w:val="99"/>
    <w:qFormat/>
    <w:rsid w:val="00583C92"/>
    <w:pPr>
      <w:numPr>
        <w:ilvl w:val="4"/>
        <w:numId w:val="1"/>
      </w:numPr>
      <w:spacing w:before="240" w:after="60"/>
      <w:outlineLvl w:val="4"/>
    </w:pPr>
    <w:rPr>
      <w:rFonts w:ascii="Arial" w:hAnsi="Arial"/>
      <w:sz w:val="22"/>
    </w:rPr>
  </w:style>
  <w:style w:type="paragraph" w:styleId="Heading6">
    <w:name w:val="heading 6"/>
    <w:basedOn w:val="Normal"/>
    <w:next w:val="Normal"/>
    <w:uiPriority w:val="99"/>
    <w:qFormat/>
    <w:rsid w:val="00583C92"/>
    <w:pPr>
      <w:numPr>
        <w:ilvl w:val="5"/>
        <w:numId w:val="1"/>
      </w:numPr>
      <w:spacing w:before="240" w:after="60"/>
      <w:outlineLvl w:val="5"/>
    </w:pPr>
    <w:rPr>
      <w:rFonts w:ascii="Arial" w:hAnsi="Arial"/>
      <w:i/>
      <w:sz w:val="22"/>
    </w:rPr>
  </w:style>
  <w:style w:type="paragraph" w:styleId="Heading7">
    <w:name w:val="heading 7"/>
    <w:basedOn w:val="Normal"/>
    <w:next w:val="Normal"/>
    <w:uiPriority w:val="99"/>
    <w:qFormat/>
    <w:rsid w:val="00583C92"/>
    <w:pPr>
      <w:numPr>
        <w:ilvl w:val="6"/>
        <w:numId w:val="1"/>
      </w:numPr>
      <w:spacing w:before="240" w:after="60"/>
      <w:outlineLvl w:val="6"/>
    </w:pPr>
    <w:rPr>
      <w:rFonts w:ascii="Arial" w:hAnsi="Arial"/>
    </w:rPr>
  </w:style>
  <w:style w:type="paragraph" w:styleId="Heading8">
    <w:name w:val="heading 8"/>
    <w:basedOn w:val="Normal"/>
    <w:next w:val="Normal"/>
    <w:uiPriority w:val="99"/>
    <w:qFormat/>
    <w:rsid w:val="00583C92"/>
    <w:pPr>
      <w:numPr>
        <w:ilvl w:val="7"/>
        <w:numId w:val="1"/>
      </w:numPr>
      <w:spacing w:before="240" w:after="60"/>
      <w:outlineLvl w:val="7"/>
    </w:pPr>
    <w:rPr>
      <w:rFonts w:ascii="Arial" w:hAnsi="Arial"/>
      <w:i/>
    </w:rPr>
  </w:style>
  <w:style w:type="paragraph" w:styleId="Heading9">
    <w:name w:val="heading 9"/>
    <w:basedOn w:val="Normal"/>
    <w:next w:val="Normal"/>
    <w:uiPriority w:val="99"/>
    <w:qFormat/>
    <w:rsid w:val="00583C9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583C92"/>
    <w:pPr>
      <w:spacing w:line="240" w:lineRule="auto"/>
      <w:jc w:val="left"/>
    </w:pPr>
    <w:rPr>
      <w:i/>
    </w:rPr>
  </w:style>
  <w:style w:type="paragraph" w:styleId="Footer">
    <w:name w:val="footer"/>
    <w:basedOn w:val="Normal"/>
    <w:semiHidden/>
    <w:rsid w:val="00583C92"/>
    <w:pPr>
      <w:tabs>
        <w:tab w:val="center" w:pos="4320"/>
        <w:tab w:val="right" w:pos="8640"/>
      </w:tabs>
    </w:pPr>
  </w:style>
  <w:style w:type="paragraph" w:customStyle="1" w:styleId="Reference">
    <w:name w:val="Reference"/>
    <w:basedOn w:val="Normal"/>
    <w:rsid w:val="00583C92"/>
    <w:pPr>
      <w:ind w:left="567" w:hanging="567"/>
      <w:jc w:val="left"/>
    </w:pPr>
  </w:style>
  <w:style w:type="paragraph" w:customStyle="1" w:styleId="Address">
    <w:name w:val="Address"/>
    <w:basedOn w:val="Normal"/>
    <w:rsid w:val="006E2C24"/>
    <w:pPr>
      <w:spacing w:line="240" w:lineRule="exact"/>
      <w:jc w:val="left"/>
    </w:pPr>
    <w:rPr>
      <w:b/>
      <w:i/>
    </w:rPr>
  </w:style>
  <w:style w:type="paragraph" w:customStyle="1" w:styleId="Summary">
    <w:name w:val="Summary"/>
    <w:basedOn w:val="Normal"/>
    <w:rsid w:val="00583C92"/>
    <w:pPr>
      <w:spacing w:before="240"/>
    </w:pPr>
    <w:rPr>
      <w:i/>
    </w:rPr>
  </w:style>
  <w:style w:type="paragraph" w:customStyle="1" w:styleId="UL">
    <w:name w:val="UL"/>
    <w:basedOn w:val="Normal"/>
    <w:rsid w:val="00583C92"/>
    <w:pPr>
      <w:spacing w:before="60" w:after="60"/>
      <w:ind w:left="1134" w:hanging="567"/>
      <w:jc w:val="left"/>
    </w:pPr>
  </w:style>
  <w:style w:type="paragraph" w:customStyle="1" w:styleId="OL">
    <w:name w:val="OL"/>
    <w:basedOn w:val="UL"/>
    <w:rsid w:val="00583C92"/>
  </w:style>
  <w:style w:type="paragraph" w:styleId="Header">
    <w:name w:val="header"/>
    <w:basedOn w:val="Normal"/>
    <w:semiHidden/>
    <w:rsid w:val="00583C92"/>
    <w:pPr>
      <w:tabs>
        <w:tab w:val="center" w:pos="4320"/>
        <w:tab w:val="right" w:pos="8640"/>
      </w:tabs>
    </w:pPr>
  </w:style>
  <w:style w:type="character" w:styleId="PageNumber">
    <w:name w:val="page number"/>
    <w:basedOn w:val="DefaultParagraphFont"/>
    <w:semiHidden/>
    <w:rsid w:val="00583C92"/>
  </w:style>
  <w:style w:type="paragraph" w:customStyle="1" w:styleId="Last">
    <w:name w:val="Last"/>
    <w:basedOn w:val="Reference"/>
    <w:rsid w:val="00583C92"/>
    <w:pPr>
      <w:jc w:val="right"/>
    </w:pPr>
    <w:rPr>
      <w:i/>
      <w:sz w:val="16"/>
    </w:rPr>
  </w:style>
  <w:style w:type="paragraph" w:customStyle="1" w:styleId="References">
    <w:name w:val="References"/>
    <w:basedOn w:val="Heading1"/>
    <w:next w:val="Referencetext"/>
    <w:rsid w:val="004D3F1F"/>
    <w:pPr>
      <w:numPr>
        <w:numId w:val="0"/>
      </w:numPr>
      <w:spacing w:before="0"/>
      <w:outlineLvl w:val="9"/>
    </w:pPr>
  </w:style>
  <w:style w:type="paragraph" w:customStyle="1" w:styleId="Referencetext">
    <w:name w:val="Reference text"/>
    <w:basedOn w:val="Normal"/>
    <w:rsid w:val="004D3F1F"/>
  </w:style>
  <w:style w:type="character" w:styleId="Hyperlink">
    <w:name w:val="Hyperlink"/>
    <w:basedOn w:val="DefaultParagraphFont"/>
    <w:uiPriority w:val="99"/>
    <w:rsid w:val="004D3F1F"/>
    <w:rPr>
      <w:color w:val="0000FF"/>
      <w:u w:val="single"/>
    </w:rPr>
  </w:style>
  <w:style w:type="character" w:customStyle="1" w:styleId="Heading1Char">
    <w:name w:val="Heading 1 Char"/>
    <w:basedOn w:val="DefaultParagraphFont"/>
    <w:link w:val="Heading1"/>
    <w:rsid w:val="006E2C24"/>
    <w:rPr>
      <w:caps/>
      <w:kern w:val="28"/>
      <w:sz w:val="28"/>
    </w:rPr>
  </w:style>
  <w:style w:type="character" w:customStyle="1" w:styleId="CaptionChar">
    <w:name w:val="Caption Char"/>
    <w:basedOn w:val="DefaultParagraphFont"/>
    <w:link w:val="Caption"/>
    <w:uiPriority w:val="99"/>
    <w:rsid w:val="004D3F1F"/>
    <w:rPr>
      <w:i/>
    </w:rPr>
  </w:style>
  <w:style w:type="character" w:customStyle="1" w:styleId="Heading2Char">
    <w:name w:val="Heading 2 Char"/>
    <w:basedOn w:val="DefaultParagraphFont"/>
    <w:link w:val="Heading2"/>
    <w:rsid w:val="004D3F1F"/>
    <w:rPr>
      <w:b/>
      <w:caps/>
      <w:sz w:val="24"/>
    </w:rPr>
  </w:style>
  <w:style w:type="character" w:customStyle="1" w:styleId="Heading3Char">
    <w:name w:val="Heading 3 Char"/>
    <w:basedOn w:val="DefaultParagraphFont"/>
    <w:link w:val="Heading3"/>
    <w:rsid w:val="004D3F1F"/>
    <w:rPr>
      <w:b/>
      <w:sz w:val="24"/>
    </w:rPr>
  </w:style>
  <w:style w:type="paragraph" w:customStyle="1" w:styleId="Normal-Table">
    <w:name w:val="Normal-Table"/>
    <w:basedOn w:val="Normal"/>
    <w:qFormat/>
    <w:rsid w:val="004D3F1F"/>
    <w:pPr>
      <w:spacing w:before="0" w:line="240" w:lineRule="auto"/>
    </w:pPr>
  </w:style>
  <w:style w:type="character" w:styleId="FollowedHyperlink">
    <w:name w:val="FollowedHyperlink"/>
    <w:basedOn w:val="DefaultParagraphFont"/>
    <w:uiPriority w:val="99"/>
    <w:semiHidden/>
    <w:unhideWhenUsed/>
    <w:rsid w:val="00A875E5"/>
    <w:rPr>
      <w:color w:val="800080"/>
      <w:u w:val="single"/>
    </w:rPr>
  </w:style>
  <w:style w:type="character" w:customStyle="1" w:styleId="citation-abbreviation3">
    <w:name w:val="citation-abbreviation3"/>
    <w:basedOn w:val="DefaultParagraphFont"/>
    <w:uiPriority w:val="99"/>
    <w:rsid w:val="003E6A14"/>
  </w:style>
  <w:style w:type="character" w:customStyle="1" w:styleId="citation-publication-date">
    <w:name w:val="citation-publication-date"/>
    <w:basedOn w:val="DefaultParagraphFont"/>
    <w:uiPriority w:val="99"/>
    <w:rsid w:val="003E6A14"/>
  </w:style>
  <w:style w:type="character" w:customStyle="1" w:styleId="citation-volume">
    <w:name w:val="citation-volume"/>
    <w:basedOn w:val="DefaultParagraphFont"/>
    <w:uiPriority w:val="99"/>
    <w:rsid w:val="003E6A14"/>
  </w:style>
  <w:style w:type="character" w:customStyle="1" w:styleId="citation-issue">
    <w:name w:val="citation-issue"/>
    <w:basedOn w:val="DefaultParagraphFont"/>
    <w:uiPriority w:val="99"/>
    <w:rsid w:val="003E6A14"/>
  </w:style>
  <w:style w:type="character" w:customStyle="1" w:styleId="citation-flpages">
    <w:name w:val="citation-flpages"/>
    <w:basedOn w:val="DefaultParagraphFont"/>
    <w:uiPriority w:val="99"/>
    <w:rsid w:val="003E6A14"/>
  </w:style>
  <w:style w:type="paragraph" w:customStyle="1" w:styleId="Normal-table0">
    <w:name w:val="Normal-table"/>
    <w:basedOn w:val="Normal"/>
    <w:qFormat/>
    <w:rsid w:val="003F38B3"/>
    <w:pPr>
      <w:spacing w:before="0" w:line="240" w:lineRule="auto"/>
    </w:pPr>
    <w:rPr>
      <w:lang w:eastAsia="en-US"/>
    </w:rPr>
  </w:style>
  <w:style w:type="table" w:styleId="LightShading-Accent4">
    <w:name w:val="Light Shading Accent 4"/>
    <w:basedOn w:val="TableNormal"/>
    <w:uiPriority w:val="60"/>
    <w:rsid w:val="00E64D7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E64D7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626596"/>
    <w:rPr>
      <w:sz w:val="16"/>
      <w:szCs w:val="16"/>
    </w:rPr>
  </w:style>
  <w:style w:type="paragraph" w:styleId="CommentText">
    <w:name w:val="annotation text"/>
    <w:basedOn w:val="Normal"/>
    <w:link w:val="CommentTextChar"/>
    <w:uiPriority w:val="99"/>
    <w:semiHidden/>
    <w:unhideWhenUsed/>
    <w:rsid w:val="00626596"/>
    <w:pPr>
      <w:spacing w:line="240" w:lineRule="auto"/>
    </w:pPr>
  </w:style>
  <w:style w:type="character" w:customStyle="1" w:styleId="CommentTextChar">
    <w:name w:val="Comment Text Char"/>
    <w:basedOn w:val="DefaultParagraphFont"/>
    <w:link w:val="CommentText"/>
    <w:uiPriority w:val="99"/>
    <w:semiHidden/>
    <w:rsid w:val="00626596"/>
    <w:rPr>
      <w:lang w:val="en-GB" w:eastAsia="en-GB"/>
    </w:rPr>
  </w:style>
  <w:style w:type="paragraph" w:styleId="CommentSubject">
    <w:name w:val="annotation subject"/>
    <w:basedOn w:val="CommentText"/>
    <w:next w:val="CommentText"/>
    <w:link w:val="CommentSubjectChar"/>
    <w:uiPriority w:val="99"/>
    <w:semiHidden/>
    <w:unhideWhenUsed/>
    <w:rsid w:val="00626596"/>
    <w:rPr>
      <w:b/>
      <w:bCs/>
    </w:rPr>
  </w:style>
  <w:style w:type="character" w:customStyle="1" w:styleId="CommentSubjectChar">
    <w:name w:val="Comment Subject Char"/>
    <w:basedOn w:val="CommentTextChar"/>
    <w:link w:val="CommentSubject"/>
    <w:uiPriority w:val="99"/>
    <w:semiHidden/>
    <w:rsid w:val="00626596"/>
    <w:rPr>
      <w:b/>
      <w:bCs/>
    </w:rPr>
  </w:style>
  <w:style w:type="paragraph" w:styleId="BalloonText">
    <w:name w:val="Balloon Text"/>
    <w:basedOn w:val="Normal"/>
    <w:link w:val="BalloonTextChar"/>
    <w:uiPriority w:val="99"/>
    <w:semiHidden/>
    <w:unhideWhenUsed/>
    <w:rsid w:val="0062659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96"/>
    <w:rPr>
      <w:rFonts w:ascii="Tahoma" w:hAnsi="Tahoma" w:cs="Tahoma"/>
      <w:sz w:val="16"/>
      <w:szCs w:val="16"/>
      <w:lang w:val="en-GB" w:eastAsia="en-GB"/>
    </w:rPr>
  </w:style>
  <w:style w:type="paragraph" w:styleId="BodyText">
    <w:name w:val="Body Text"/>
    <w:basedOn w:val="Normal"/>
    <w:link w:val="BodyTextChar1"/>
    <w:rsid w:val="000B5666"/>
    <w:pPr>
      <w:overflowPunct/>
      <w:autoSpaceDE/>
      <w:autoSpaceDN/>
      <w:adjustRightInd/>
      <w:spacing w:before="0" w:line="360" w:lineRule="auto"/>
      <w:textAlignment w:val="auto"/>
    </w:pPr>
    <w:rPr>
      <w:rFonts w:ascii="Arial" w:hAnsi="Arial"/>
      <w:b/>
      <w:bCs/>
      <w:sz w:val="24"/>
      <w:szCs w:val="18"/>
      <w:lang w:eastAsia="en-US"/>
    </w:rPr>
  </w:style>
  <w:style w:type="character" w:customStyle="1" w:styleId="BodyTextChar">
    <w:name w:val="Body Text Char"/>
    <w:basedOn w:val="DefaultParagraphFont"/>
    <w:link w:val="BodyText"/>
    <w:uiPriority w:val="99"/>
    <w:semiHidden/>
    <w:rsid w:val="000B5666"/>
    <w:rPr>
      <w:lang w:val="en-GB" w:eastAsia="en-GB"/>
    </w:rPr>
  </w:style>
  <w:style w:type="character" w:customStyle="1" w:styleId="BodyTextChar1">
    <w:name w:val="Body Text Char1"/>
    <w:basedOn w:val="DefaultParagraphFont"/>
    <w:link w:val="BodyText"/>
    <w:rsid w:val="000B5666"/>
    <w:rPr>
      <w:rFonts w:ascii="Arial" w:hAnsi="Arial"/>
      <w:b/>
      <w:bCs/>
      <w:sz w:val="24"/>
      <w:szCs w:val="18"/>
      <w:lang w:val="en-GB"/>
    </w:rPr>
  </w:style>
  <w:style w:type="paragraph" w:styleId="BodyText2">
    <w:name w:val="Body Text 2"/>
    <w:basedOn w:val="Normal"/>
    <w:link w:val="BodyText2Char"/>
    <w:rsid w:val="000B5666"/>
    <w:pPr>
      <w:overflowPunct/>
      <w:autoSpaceDE/>
      <w:autoSpaceDN/>
      <w:adjustRightInd/>
      <w:spacing w:before="0" w:line="360" w:lineRule="auto"/>
      <w:textAlignment w:val="auto"/>
    </w:pPr>
    <w:rPr>
      <w:rFonts w:ascii="Arial" w:hAnsi="Arial"/>
      <w:snapToGrid w:val="0"/>
      <w:color w:val="000000"/>
      <w:sz w:val="24"/>
      <w:szCs w:val="24"/>
      <w:lang w:eastAsia="en-US"/>
    </w:rPr>
  </w:style>
  <w:style w:type="character" w:customStyle="1" w:styleId="BodyText2Char">
    <w:name w:val="Body Text 2 Char"/>
    <w:basedOn w:val="DefaultParagraphFont"/>
    <w:link w:val="BodyText2"/>
    <w:rsid w:val="000B5666"/>
    <w:rPr>
      <w:rFonts w:ascii="Arial" w:hAnsi="Arial"/>
      <w:snapToGrid w:val="0"/>
      <w:color w:val="000000"/>
      <w:sz w:val="24"/>
      <w:szCs w:val="24"/>
      <w:lang w:val="en-GB"/>
    </w:rPr>
  </w:style>
  <w:style w:type="paragraph" w:styleId="Title">
    <w:name w:val="Title"/>
    <w:basedOn w:val="Normal"/>
    <w:link w:val="TitleChar"/>
    <w:qFormat/>
    <w:rsid w:val="00F3591F"/>
    <w:pPr>
      <w:overflowPunct/>
      <w:autoSpaceDE/>
      <w:autoSpaceDN/>
      <w:adjustRightInd/>
      <w:spacing w:before="0" w:line="360" w:lineRule="auto"/>
      <w:jc w:val="center"/>
      <w:textAlignment w:val="auto"/>
    </w:pPr>
    <w:rPr>
      <w:rFonts w:ascii="Arial" w:hAnsi="Arial"/>
      <w:b/>
      <w:bCs/>
      <w:sz w:val="24"/>
      <w:szCs w:val="24"/>
      <w:u w:val="single"/>
      <w:lang w:eastAsia="en-US"/>
    </w:rPr>
  </w:style>
  <w:style w:type="character" w:customStyle="1" w:styleId="TitleChar">
    <w:name w:val="Title Char"/>
    <w:basedOn w:val="DefaultParagraphFont"/>
    <w:link w:val="Title"/>
    <w:rsid w:val="00F3591F"/>
    <w:rPr>
      <w:rFonts w:ascii="Arial" w:hAnsi="Arial"/>
      <w:b/>
      <w:bCs/>
      <w:sz w:val="24"/>
      <w:szCs w:val="24"/>
      <w:u w:val="single"/>
      <w:lang w:val="en-GB"/>
    </w:rPr>
  </w:style>
</w:styles>
</file>

<file path=word/webSettings.xml><?xml version="1.0" encoding="utf-8"?>
<w:webSettings xmlns:r="http://schemas.openxmlformats.org/officeDocument/2006/relationships" xmlns:w="http://schemas.openxmlformats.org/wordprocessingml/2006/main">
  <w:divs>
    <w:div w:id="156383280">
      <w:bodyDiv w:val="1"/>
      <w:marLeft w:val="0"/>
      <w:marRight w:val="0"/>
      <w:marTop w:val="0"/>
      <w:marBottom w:val="0"/>
      <w:divBdr>
        <w:top w:val="none" w:sz="0" w:space="0" w:color="auto"/>
        <w:left w:val="none" w:sz="0" w:space="0" w:color="auto"/>
        <w:bottom w:val="none" w:sz="0" w:space="0" w:color="auto"/>
        <w:right w:val="none" w:sz="0" w:space="0" w:color="auto"/>
      </w:divBdr>
    </w:div>
    <w:div w:id="165216575">
      <w:bodyDiv w:val="1"/>
      <w:marLeft w:val="0"/>
      <w:marRight w:val="0"/>
      <w:marTop w:val="0"/>
      <w:marBottom w:val="0"/>
      <w:divBdr>
        <w:top w:val="none" w:sz="0" w:space="0" w:color="auto"/>
        <w:left w:val="none" w:sz="0" w:space="0" w:color="auto"/>
        <w:bottom w:val="none" w:sz="0" w:space="0" w:color="auto"/>
        <w:right w:val="none" w:sz="0" w:space="0" w:color="auto"/>
      </w:divBdr>
    </w:div>
    <w:div w:id="222523357">
      <w:bodyDiv w:val="1"/>
      <w:marLeft w:val="0"/>
      <w:marRight w:val="0"/>
      <w:marTop w:val="0"/>
      <w:marBottom w:val="0"/>
      <w:divBdr>
        <w:top w:val="none" w:sz="0" w:space="0" w:color="auto"/>
        <w:left w:val="none" w:sz="0" w:space="0" w:color="auto"/>
        <w:bottom w:val="none" w:sz="0" w:space="0" w:color="auto"/>
        <w:right w:val="none" w:sz="0" w:space="0" w:color="auto"/>
      </w:divBdr>
    </w:div>
    <w:div w:id="312027238">
      <w:bodyDiv w:val="1"/>
      <w:marLeft w:val="0"/>
      <w:marRight w:val="0"/>
      <w:marTop w:val="0"/>
      <w:marBottom w:val="0"/>
      <w:divBdr>
        <w:top w:val="none" w:sz="0" w:space="0" w:color="auto"/>
        <w:left w:val="none" w:sz="0" w:space="0" w:color="auto"/>
        <w:bottom w:val="none" w:sz="0" w:space="0" w:color="auto"/>
        <w:right w:val="none" w:sz="0" w:space="0" w:color="auto"/>
      </w:divBdr>
    </w:div>
    <w:div w:id="5589076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3">
          <w:marLeft w:val="120"/>
          <w:marRight w:val="75"/>
          <w:marTop w:val="0"/>
          <w:marBottom w:val="0"/>
          <w:divBdr>
            <w:top w:val="none" w:sz="0" w:space="0" w:color="auto"/>
            <w:left w:val="none" w:sz="0" w:space="0" w:color="auto"/>
            <w:bottom w:val="none" w:sz="0" w:space="0" w:color="auto"/>
            <w:right w:val="none" w:sz="0" w:space="0" w:color="auto"/>
          </w:divBdr>
          <w:divsChild>
            <w:div w:id="2072728674">
              <w:marLeft w:val="0"/>
              <w:marRight w:val="0"/>
              <w:marTop w:val="0"/>
              <w:marBottom w:val="0"/>
              <w:divBdr>
                <w:top w:val="none" w:sz="0" w:space="0" w:color="auto"/>
                <w:left w:val="none" w:sz="0" w:space="0" w:color="auto"/>
                <w:bottom w:val="none" w:sz="0" w:space="0" w:color="auto"/>
                <w:right w:val="none" w:sz="0" w:space="0" w:color="auto"/>
              </w:divBdr>
              <w:divsChild>
                <w:div w:id="1029141739">
                  <w:marLeft w:val="0"/>
                  <w:marRight w:val="0"/>
                  <w:marTop w:val="0"/>
                  <w:marBottom w:val="0"/>
                  <w:divBdr>
                    <w:top w:val="none" w:sz="0" w:space="0" w:color="auto"/>
                    <w:left w:val="none" w:sz="0" w:space="0" w:color="auto"/>
                    <w:bottom w:val="none" w:sz="0" w:space="0" w:color="auto"/>
                    <w:right w:val="none" w:sz="0" w:space="0" w:color="auto"/>
                  </w:divBdr>
                  <w:divsChild>
                    <w:div w:id="4565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6376">
      <w:bodyDiv w:val="1"/>
      <w:marLeft w:val="0"/>
      <w:marRight w:val="0"/>
      <w:marTop w:val="0"/>
      <w:marBottom w:val="0"/>
      <w:divBdr>
        <w:top w:val="none" w:sz="0" w:space="0" w:color="auto"/>
        <w:left w:val="none" w:sz="0" w:space="0" w:color="auto"/>
        <w:bottom w:val="none" w:sz="0" w:space="0" w:color="auto"/>
        <w:right w:val="none" w:sz="0" w:space="0" w:color="auto"/>
      </w:divBdr>
    </w:div>
    <w:div w:id="1012533188">
      <w:bodyDiv w:val="1"/>
      <w:marLeft w:val="0"/>
      <w:marRight w:val="0"/>
      <w:marTop w:val="0"/>
      <w:marBottom w:val="0"/>
      <w:divBdr>
        <w:top w:val="none" w:sz="0" w:space="0" w:color="auto"/>
        <w:left w:val="none" w:sz="0" w:space="0" w:color="auto"/>
        <w:bottom w:val="none" w:sz="0" w:space="0" w:color="auto"/>
        <w:right w:val="none" w:sz="0" w:space="0" w:color="auto"/>
      </w:divBdr>
    </w:div>
    <w:div w:id="1291286334">
      <w:bodyDiv w:val="1"/>
      <w:marLeft w:val="0"/>
      <w:marRight w:val="0"/>
      <w:marTop w:val="0"/>
      <w:marBottom w:val="0"/>
      <w:divBdr>
        <w:top w:val="none" w:sz="0" w:space="0" w:color="auto"/>
        <w:left w:val="none" w:sz="0" w:space="0" w:color="auto"/>
        <w:bottom w:val="none" w:sz="0" w:space="0" w:color="auto"/>
        <w:right w:val="none" w:sz="0" w:space="0" w:color="auto"/>
      </w:divBdr>
    </w:div>
    <w:div w:id="1399328189">
      <w:bodyDiv w:val="1"/>
      <w:marLeft w:val="0"/>
      <w:marRight w:val="0"/>
      <w:marTop w:val="0"/>
      <w:marBottom w:val="0"/>
      <w:divBdr>
        <w:top w:val="none" w:sz="0" w:space="0" w:color="auto"/>
        <w:left w:val="none" w:sz="0" w:space="0" w:color="auto"/>
        <w:bottom w:val="none" w:sz="0" w:space="0" w:color="auto"/>
        <w:right w:val="none" w:sz="0" w:space="0" w:color="auto"/>
      </w:divBdr>
    </w:div>
    <w:div w:id="1487819007">
      <w:bodyDiv w:val="1"/>
      <w:marLeft w:val="0"/>
      <w:marRight w:val="0"/>
      <w:marTop w:val="0"/>
      <w:marBottom w:val="0"/>
      <w:divBdr>
        <w:top w:val="none" w:sz="0" w:space="0" w:color="auto"/>
        <w:left w:val="none" w:sz="0" w:space="0" w:color="auto"/>
        <w:bottom w:val="none" w:sz="0" w:space="0" w:color="auto"/>
        <w:right w:val="none" w:sz="0" w:space="0" w:color="auto"/>
      </w:divBdr>
    </w:div>
    <w:div w:id="1714303735">
      <w:bodyDiv w:val="1"/>
      <w:marLeft w:val="0"/>
      <w:marRight w:val="0"/>
      <w:marTop w:val="0"/>
      <w:marBottom w:val="0"/>
      <w:divBdr>
        <w:top w:val="none" w:sz="0" w:space="0" w:color="auto"/>
        <w:left w:val="none" w:sz="0" w:space="0" w:color="auto"/>
        <w:bottom w:val="none" w:sz="0" w:space="0" w:color="auto"/>
        <w:right w:val="none" w:sz="0" w:space="0" w:color="auto"/>
      </w:divBdr>
    </w:div>
    <w:div w:id="1731079939">
      <w:bodyDiv w:val="1"/>
      <w:marLeft w:val="0"/>
      <w:marRight w:val="0"/>
      <w:marTop w:val="0"/>
      <w:marBottom w:val="0"/>
      <w:divBdr>
        <w:top w:val="none" w:sz="0" w:space="0" w:color="auto"/>
        <w:left w:val="none" w:sz="0" w:space="0" w:color="auto"/>
        <w:bottom w:val="none" w:sz="0" w:space="0" w:color="auto"/>
        <w:right w:val="none" w:sz="0" w:space="0" w:color="auto"/>
      </w:divBdr>
    </w:div>
    <w:div w:id="1783915448">
      <w:bodyDiv w:val="1"/>
      <w:marLeft w:val="0"/>
      <w:marRight w:val="0"/>
      <w:marTop w:val="0"/>
      <w:marBottom w:val="0"/>
      <w:divBdr>
        <w:top w:val="none" w:sz="0" w:space="0" w:color="auto"/>
        <w:left w:val="none" w:sz="0" w:space="0" w:color="auto"/>
        <w:bottom w:val="none" w:sz="0" w:space="0" w:color="auto"/>
        <w:right w:val="none" w:sz="0" w:space="0" w:color="auto"/>
      </w:divBdr>
      <w:divsChild>
        <w:div w:id="878081298">
          <w:marLeft w:val="120"/>
          <w:marRight w:val="75"/>
          <w:marTop w:val="0"/>
          <w:marBottom w:val="0"/>
          <w:divBdr>
            <w:top w:val="none" w:sz="0" w:space="0" w:color="auto"/>
            <w:left w:val="none" w:sz="0" w:space="0" w:color="auto"/>
            <w:bottom w:val="none" w:sz="0" w:space="0" w:color="auto"/>
            <w:right w:val="none" w:sz="0" w:space="0" w:color="auto"/>
          </w:divBdr>
          <w:divsChild>
            <w:div w:id="1508599266">
              <w:marLeft w:val="0"/>
              <w:marRight w:val="0"/>
              <w:marTop w:val="0"/>
              <w:marBottom w:val="0"/>
              <w:divBdr>
                <w:top w:val="none" w:sz="0" w:space="0" w:color="auto"/>
                <w:left w:val="none" w:sz="0" w:space="0" w:color="auto"/>
                <w:bottom w:val="none" w:sz="0" w:space="0" w:color="auto"/>
                <w:right w:val="none" w:sz="0" w:space="0" w:color="auto"/>
              </w:divBdr>
              <w:divsChild>
                <w:div w:id="1527937658">
                  <w:marLeft w:val="0"/>
                  <w:marRight w:val="0"/>
                  <w:marTop w:val="0"/>
                  <w:marBottom w:val="0"/>
                  <w:divBdr>
                    <w:top w:val="none" w:sz="0" w:space="0" w:color="auto"/>
                    <w:left w:val="none" w:sz="0" w:space="0" w:color="auto"/>
                    <w:bottom w:val="none" w:sz="0" w:space="0" w:color="auto"/>
                    <w:right w:val="none" w:sz="0" w:space="0" w:color="auto"/>
                  </w:divBdr>
                  <w:divsChild>
                    <w:div w:id="5560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adie-r@ulster.ac.uk"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dea.gov.uk/idk/aio/7078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irbdirekt.de/daten/iconda/CIB74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ssa.gov/oig/ADOBEPDF/audit_htms/96-51142.ht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fig.net/figtree/pub/fig_2003/TS_6/TS6_4_Martin.pdf" TargetMode="External"/><Relationship Id="rId10" Type="http://schemas.openxmlformats.org/officeDocument/2006/relationships/hyperlink" Target="mailto:sg.heaney@ulster.ac.uk" TargetMode="External"/><Relationship Id="rId19" Type="http://schemas.openxmlformats.org/officeDocument/2006/relationships/hyperlink" Target="http://www.itcon.org/2007/6" TargetMode="External"/><Relationship Id="rId4" Type="http://schemas.openxmlformats.org/officeDocument/2006/relationships/settings" Target="settings.xml"/><Relationship Id="rId9" Type="http://schemas.openxmlformats.org/officeDocument/2006/relationships/hyperlink" Target="mailto:srinath.perera@northumbria.ac.uk" TargetMode="External"/><Relationship Id="rId14" Type="http://schemas.openxmlformats.org/officeDocument/2006/relationships/image" Target="media/image4.png"/><Relationship Id="rId22" Type="http://schemas.openxmlformats.org/officeDocument/2006/relationships/hyperlink" Target="http://www.rics.org/NR/rdonlyres/5B41E38D-2433-4AEE-A3DC-5B3C3BB84FB5/0/EtenderingabouttimetooJoeMar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FF7F11-F918-47D3-A226-EA73BB02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Prototype of a Construction Project Documentation Management System for Windows</vt:lpstr>
    </vt:vector>
  </TitlesOfParts>
  <Company>isaq computers ltd</Company>
  <LinksUpToDate>false</LinksUpToDate>
  <CharactersWithSpaces>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of a Construction Project Documentation Management System for Windows</dc:title>
  <dc:creator>dr. @iga Turk</dc:creator>
  <cp:lastModifiedBy> </cp:lastModifiedBy>
  <cp:revision>5</cp:revision>
  <cp:lastPrinted>2009-08-24T19:38:00Z</cp:lastPrinted>
  <dcterms:created xsi:type="dcterms:W3CDTF">2009-12-10T16:32:00Z</dcterms:created>
  <dcterms:modified xsi:type="dcterms:W3CDTF">2009-12-10T16:54:00Z</dcterms:modified>
</cp:coreProperties>
</file>