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FA5" w:rsidRDefault="003D3711" w:rsidP="0062665A">
      <w:pPr>
        <w:autoSpaceDE w:val="0"/>
        <w:autoSpaceDN w:val="0"/>
        <w:adjustRightInd w:val="0"/>
        <w:spacing w:after="120" w:line="240" w:lineRule="auto"/>
        <w:jc w:val="center"/>
        <w:rPr>
          <w:rFonts w:cstheme="minorHAnsi"/>
          <w:b/>
          <w:bCs/>
          <w:sz w:val="36"/>
          <w:szCs w:val="36"/>
        </w:rPr>
      </w:pPr>
      <w:r w:rsidRPr="003D3711">
        <w:rPr>
          <w:rFonts w:cstheme="minorHAnsi"/>
          <w:b/>
          <w:bCs/>
          <w:sz w:val="36"/>
          <w:szCs w:val="36"/>
        </w:rPr>
        <w:t>Forensic Identification</w:t>
      </w:r>
      <w:r w:rsidRPr="003D3711">
        <w:rPr>
          <w:rFonts w:cstheme="minorHAnsi"/>
          <w:b/>
          <w:bCs/>
          <w:sz w:val="36"/>
          <w:szCs w:val="36"/>
        </w:rPr>
        <w:t xml:space="preserve"> </w:t>
      </w:r>
      <w:r w:rsidRPr="003D3711">
        <w:rPr>
          <w:rFonts w:cstheme="minorHAnsi"/>
          <w:b/>
          <w:bCs/>
          <w:sz w:val="36"/>
          <w:szCs w:val="36"/>
        </w:rPr>
        <w:t xml:space="preserve">and </w:t>
      </w:r>
      <w:proofErr w:type="gramStart"/>
      <w:r w:rsidRPr="003D3711">
        <w:rPr>
          <w:rFonts w:cstheme="minorHAnsi"/>
          <w:b/>
          <w:bCs/>
          <w:sz w:val="36"/>
          <w:szCs w:val="36"/>
        </w:rPr>
        <w:t>Miscarriages of</w:t>
      </w:r>
      <w:r w:rsidRPr="003D3711">
        <w:rPr>
          <w:rFonts w:cstheme="minorHAnsi"/>
          <w:b/>
          <w:bCs/>
          <w:sz w:val="36"/>
          <w:szCs w:val="36"/>
        </w:rPr>
        <w:t xml:space="preserve"> </w:t>
      </w:r>
      <w:r w:rsidRPr="003D3711">
        <w:rPr>
          <w:rFonts w:cstheme="minorHAnsi"/>
          <w:b/>
          <w:bCs/>
          <w:sz w:val="36"/>
          <w:szCs w:val="36"/>
        </w:rPr>
        <w:t>Justice</w:t>
      </w:r>
      <w:proofErr w:type="gramEnd"/>
      <w:r w:rsidRPr="003D3711">
        <w:rPr>
          <w:rFonts w:cstheme="minorHAnsi"/>
          <w:b/>
          <w:bCs/>
          <w:sz w:val="36"/>
          <w:szCs w:val="36"/>
        </w:rPr>
        <w:t xml:space="preserve"> in England</w:t>
      </w:r>
      <w:r w:rsidRPr="003D3711">
        <w:rPr>
          <w:rFonts w:cstheme="minorHAnsi"/>
          <w:b/>
          <w:bCs/>
          <w:sz w:val="36"/>
          <w:szCs w:val="36"/>
        </w:rPr>
        <w:t xml:space="preserve"> </w:t>
      </w:r>
      <w:r w:rsidRPr="003D3711">
        <w:rPr>
          <w:rFonts w:cstheme="minorHAnsi"/>
          <w:b/>
          <w:bCs/>
          <w:sz w:val="36"/>
          <w:szCs w:val="36"/>
        </w:rPr>
        <w:t>and Wales</w:t>
      </w:r>
    </w:p>
    <w:p w:rsidR="003D3711" w:rsidRDefault="003D3711" w:rsidP="0062665A">
      <w:pPr>
        <w:autoSpaceDE w:val="0"/>
        <w:autoSpaceDN w:val="0"/>
        <w:adjustRightInd w:val="0"/>
        <w:spacing w:after="120" w:line="240" w:lineRule="auto"/>
        <w:jc w:val="center"/>
        <w:rPr>
          <w:rFonts w:cstheme="minorHAnsi"/>
          <w:b/>
          <w:bCs/>
          <w:sz w:val="36"/>
          <w:szCs w:val="36"/>
        </w:rPr>
      </w:pPr>
    </w:p>
    <w:p w:rsidR="003D3711" w:rsidRPr="003D3711" w:rsidRDefault="003D3711" w:rsidP="0062665A">
      <w:pPr>
        <w:autoSpaceDE w:val="0"/>
        <w:autoSpaceDN w:val="0"/>
        <w:adjustRightInd w:val="0"/>
        <w:spacing w:after="120" w:line="240" w:lineRule="auto"/>
        <w:jc w:val="center"/>
        <w:rPr>
          <w:rFonts w:cstheme="minorHAnsi"/>
          <w:sz w:val="28"/>
          <w:szCs w:val="28"/>
          <w:lang w:val="en-US"/>
        </w:rPr>
      </w:pPr>
      <w:r w:rsidRPr="003D3711">
        <w:rPr>
          <w:rFonts w:cstheme="minorHAnsi"/>
          <w:b/>
          <w:bCs/>
          <w:sz w:val="28"/>
          <w:szCs w:val="28"/>
        </w:rPr>
        <w:t>Carole McCartney and Clive Walker</w:t>
      </w:r>
    </w:p>
    <w:p w:rsidR="00535FA5" w:rsidRPr="00535FA5" w:rsidRDefault="00535FA5" w:rsidP="0062665A">
      <w:pPr>
        <w:widowControl w:val="0"/>
        <w:autoSpaceDE w:val="0"/>
        <w:autoSpaceDN w:val="0"/>
        <w:adjustRightInd w:val="0"/>
        <w:spacing w:after="120" w:line="240" w:lineRule="auto"/>
        <w:rPr>
          <w:rFonts w:cstheme="minorHAnsi"/>
          <w:lang w:val="en-US"/>
        </w:rPr>
      </w:pPr>
    </w:p>
    <w:p w:rsidR="00535FA5" w:rsidRPr="003D3711" w:rsidRDefault="00535FA5" w:rsidP="0062665A">
      <w:pPr>
        <w:widowControl w:val="0"/>
        <w:autoSpaceDE w:val="0"/>
        <w:autoSpaceDN w:val="0"/>
        <w:adjustRightInd w:val="0"/>
        <w:spacing w:after="120" w:line="240" w:lineRule="auto"/>
        <w:rPr>
          <w:rFonts w:cstheme="minorHAnsi"/>
          <w:b/>
          <w:sz w:val="28"/>
          <w:szCs w:val="28"/>
          <w:lang w:val="en-US"/>
        </w:rPr>
      </w:pPr>
      <w:r w:rsidRPr="003D3711">
        <w:rPr>
          <w:rFonts w:cstheme="minorHAnsi"/>
          <w:b/>
          <w:sz w:val="28"/>
          <w:szCs w:val="28"/>
          <w:lang w:val="en-US"/>
        </w:rPr>
        <w:t>Introduction</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Any fair and effective criminal justice system must ensure that evidence of guilt will be decisively more convincing than the defendant’</w:t>
      </w:r>
      <w:r>
        <w:rPr>
          <w:rFonts w:cstheme="minorHAnsi"/>
          <w:lang w:val="en-US"/>
        </w:rPr>
        <w:t>s claim to inno</w:t>
      </w:r>
      <w:r w:rsidRPr="00535FA5">
        <w:rPr>
          <w:rFonts w:cstheme="minorHAnsi"/>
          <w:lang w:val="en-US"/>
        </w:rPr>
        <w:t xml:space="preserve">cence. This burden on the prosecution, to satisfy the judge or jury of proof beyond a reasonable doubt, promotes an acceptance in law (if not in the popular press) that “It is better that ten guilty persons escape than that one innocent suffer” (Blackstone, 1769: Vol. </w:t>
      </w:r>
      <w:proofErr w:type="gramStart"/>
      <w:r w:rsidRPr="00535FA5">
        <w:rPr>
          <w:rFonts w:cstheme="minorHAnsi"/>
          <w:lang w:val="en-US"/>
        </w:rPr>
        <w:t>iv</w:t>
      </w:r>
      <w:proofErr w:type="gramEnd"/>
      <w:r w:rsidR="007A5F16">
        <w:rPr>
          <w:rFonts w:cstheme="minorHAnsi"/>
          <w:lang w:val="en-US"/>
        </w:rPr>
        <w:t xml:space="preserve"> </w:t>
      </w:r>
      <w:r>
        <w:rPr>
          <w:rFonts w:cstheme="minorHAnsi"/>
          <w:lang w:val="en-US"/>
        </w:rPr>
        <w:t xml:space="preserve">p.27). Despite such fundamental </w:t>
      </w:r>
      <w:r w:rsidRPr="00535FA5">
        <w:rPr>
          <w:rFonts w:cstheme="minorHAnsi"/>
          <w:lang w:val="en-US"/>
        </w:rPr>
        <w:t>tenets, and despite even the sophistication of contemporary forensic science, the criminal process does still convict the innocent.</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While forensic science </w:t>
      </w:r>
      <w:proofErr w:type="gramStart"/>
      <w:r w:rsidRPr="00535FA5">
        <w:rPr>
          <w:rFonts w:cstheme="minorHAnsi"/>
          <w:lang w:val="en-US"/>
        </w:rPr>
        <w:t>is acclaimed</w:t>
      </w:r>
      <w:proofErr w:type="gramEnd"/>
      <w:r w:rsidRPr="00535FA5">
        <w:rPr>
          <w:rFonts w:cstheme="minorHAnsi"/>
          <w:lang w:val="en-US"/>
        </w:rPr>
        <w:t xml:space="preserve"> in th</w:t>
      </w:r>
      <w:r w:rsidR="007A5F16">
        <w:rPr>
          <w:rFonts w:cstheme="minorHAnsi"/>
          <w:lang w:val="en-US"/>
        </w:rPr>
        <w:t>e media, it has a blemished his</w:t>
      </w:r>
      <w:r w:rsidRPr="00535FA5">
        <w:rPr>
          <w:rFonts w:cstheme="minorHAnsi"/>
          <w:lang w:val="en-US"/>
        </w:rPr>
        <w:t xml:space="preserve">tory in reality. Many infamous </w:t>
      </w:r>
      <w:proofErr w:type="gramStart"/>
      <w:r w:rsidRPr="00535FA5">
        <w:rPr>
          <w:rFonts w:cstheme="minorHAnsi"/>
          <w:lang w:val="en-US"/>
        </w:rPr>
        <w:t>miscarriages</w:t>
      </w:r>
      <w:r w:rsidR="007A5F16">
        <w:rPr>
          <w:rFonts w:cstheme="minorHAnsi"/>
          <w:lang w:val="en-US"/>
        </w:rPr>
        <w:t xml:space="preserve"> of justice</w:t>
      </w:r>
      <w:proofErr w:type="gramEnd"/>
      <w:r w:rsidR="007A5F16">
        <w:rPr>
          <w:rFonts w:cstheme="minorHAnsi"/>
          <w:lang w:val="en-US"/>
        </w:rPr>
        <w:t xml:space="preserve"> suffered from scien</w:t>
      </w:r>
      <w:r w:rsidRPr="00535FA5">
        <w:rPr>
          <w:rFonts w:cstheme="minorHAnsi"/>
          <w:lang w:val="en-US"/>
        </w:rPr>
        <w:t xml:space="preserve">tific evidence that was flawed, misrepresented, or suppressed (Walker and </w:t>
      </w:r>
      <w:proofErr w:type="spellStart"/>
      <w:r w:rsidRPr="00535FA5">
        <w:rPr>
          <w:rFonts w:cstheme="minorHAnsi"/>
          <w:lang w:val="en-US"/>
        </w:rPr>
        <w:t>Starmer</w:t>
      </w:r>
      <w:proofErr w:type="spellEnd"/>
      <w:r w:rsidRPr="00535FA5">
        <w:rPr>
          <w:rFonts w:cstheme="minorHAnsi"/>
          <w:lang w:val="en-US"/>
        </w:rPr>
        <w:t xml:space="preserve">, 1999). “Scientific” methods of identifying criminal perpetrators have certainly advanced dramatically but are </w:t>
      </w:r>
      <w:proofErr w:type="gramStart"/>
      <w:r w:rsidRPr="00535FA5">
        <w:rPr>
          <w:rFonts w:cstheme="minorHAnsi"/>
          <w:lang w:val="en-US"/>
        </w:rPr>
        <w:t>not infallible</w:t>
      </w:r>
      <w:proofErr w:type="gramEnd"/>
      <w:r w:rsidRPr="00535FA5">
        <w:rPr>
          <w:rFonts w:cstheme="minorHAnsi"/>
          <w:lang w:val="en-US"/>
        </w:rPr>
        <w:t>.</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In this chapter, we shall outline the mea</w:t>
      </w:r>
      <w:r w:rsidR="007A5F16">
        <w:rPr>
          <w:rFonts w:cstheme="minorHAnsi"/>
          <w:lang w:val="en-US"/>
        </w:rPr>
        <w:t>nings and prime causes of “mis</w:t>
      </w:r>
      <w:r w:rsidRPr="00535FA5">
        <w:rPr>
          <w:rFonts w:cstheme="minorHAnsi"/>
          <w:lang w:val="en-US"/>
        </w:rPr>
        <w:t xml:space="preserve">carriage of justice,” providing examples of cases where forensic identification methods have been at the heart of </w:t>
      </w:r>
      <w:proofErr w:type="gramStart"/>
      <w:r w:rsidRPr="00535FA5">
        <w:rPr>
          <w:rFonts w:cstheme="minorHAnsi"/>
          <w:lang w:val="en-US"/>
        </w:rPr>
        <w:t>miscarriages of justice</w:t>
      </w:r>
      <w:proofErr w:type="gramEnd"/>
      <w:r w:rsidRPr="00535FA5">
        <w:rPr>
          <w:rFonts w:cstheme="minorHAnsi"/>
          <w:lang w:val="en-US"/>
        </w:rPr>
        <w:t xml:space="preserve">. We then examine the mechanisms in England and Wales for remedying </w:t>
      </w:r>
      <w:proofErr w:type="gramStart"/>
      <w:r w:rsidRPr="00535FA5">
        <w:rPr>
          <w:rFonts w:cstheme="minorHAnsi"/>
          <w:lang w:val="en-US"/>
        </w:rPr>
        <w:t>miscarriages of justice</w:t>
      </w:r>
      <w:proofErr w:type="gramEnd"/>
      <w:r w:rsidRPr="00535FA5">
        <w:rPr>
          <w:rFonts w:cstheme="minorHAnsi"/>
          <w:lang w:val="en-US"/>
        </w:rPr>
        <w:t xml:space="preserve"> and assess their success.</w:t>
      </w:r>
    </w:p>
    <w:p w:rsidR="00535FA5" w:rsidRPr="00535FA5" w:rsidRDefault="00535FA5" w:rsidP="0062665A">
      <w:pPr>
        <w:widowControl w:val="0"/>
        <w:autoSpaceDE w:val="0"/>
        <w:autoSpaceDN w:val="0"/>
        <w:adjustRightInd w:val="0"/>
        <w:spacing w:after="120" w:line="240" w:lineRule="auto"/>
        <w:rPr>
          <w:rFonts w:cstheme="minorHAnsi"/>
          <w:lang w:val="en-US"/>
        </w:rPr>
      </w:pPr>
    </w:p>
    <w:p w:rsidR="00535FA5" w:rsidRPr="003D3711" w:rsidRDefault="00535FA5" w:rsidP="0062665A">
      <w:pPr>
        <w:widowControl w:val="0"/>
        <w:autoSpaceDE w:val="0"/>
        <w:autoSpaceDN w:val="0"/>
        <w:adjustRightInd w:val="0"/>
        <w:spacing w:after="120" w:line="240" w:lineRule="auto"/>
        <w:rPr>
          <w:rFonts w:cstheme="minorHAnsi"/>
          <w:b/>
          <w:sz w:val="28"/>
          <w:szCs w:val="28"/>
          <w:lang w:val="en-US"/>
        </w:rPr>
      </w:pPr>
      <w:r w:rsidRPr="003D3711">
        <w:rPr>
          <w:rFonts w:cstheme="minorHAnsi"/>
          <w:b/>
          <w:sz w:val="28"/>
          <w:szCs w:val="28"/>
          <w:lang w:val="en-US"/>
        </w:rPr>
        <w:t>Faulty Criminal Process in England and Wales</w:t>
      </w:r>
    </w:p>
    <w:p w:rsidR="00535FA5" w:rsidRPr="00535FA5" w:rsidRDefault="00535FA5" w:rsidP="0062665A">
      <w:pPr>
        <w:widowControl w:val="0"/>
        <w:autoSpaceDE w:val="0"/>
        <w:autoSpaceDN w:val="0"/>
        <w:adjustRightInd w:val="0"/>
        <w:spacing w:after="120" w:line="240" w:lineRule="auto"/>
        <w:rPr>
          <w:rFonts w:cstheme="minorHAnsi"/>
          <w:lang w:val="en-US"/>
        </w:rPr>
      </w:pPr>
    </w:p>
    <w:p w:rsidR="00535FA5" w:rsidRPr="00535FA5" w:rsidRDefault="00535FA5" w:rsidP="0062665A">
      <w:pPr>
        <w:widowControl w:val="0"/>
        <w:autoSpaceDE w:val="0"/>
        <w:autoSpaceDN w:val="0"/>
        <w:adjustRightInd w:val="0"/>
        <w:spacing w:after="120" w:line="240" w:lineRule="auto"/>
        <w:rPr>
          <w:rFonts w:cstheme="minorHAnsi"/>
          <w:b/>
          <w:lang w:val="en-US"/>
        </w:rPr>
      </w:pPr>
      <w:proofErr w:type="gramStart"/>
      <w:r w:rsidRPr="00535FA5">
        <w:rPr>
          <w:rFonts w:cstheme="minorHAnsi"/>
          <w:b/>
          <w:lang w:val="en-US"/>
        </w:rPr>
        <w:t>Miscarriages of Justice</w:t>
      </w:r>
      <w:proofErr w:type="gramEnd"/>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A “miscarriage” means literally a failure to reach an intended destination or goal. </w:t>
      </w:r>
      <w:proofErr w:type="gramStart"/>
      <w:r w:rsidRPr="00535FA5">
        <w:rPr>
          <w:rFonts w:cstheme="minorHAnsi"/>
          <w:lang w:val="en-US"/>
        </w:rPr>
        <w:t>A miscarriage of justice</w:t>
      </w:r>
      <w:proofErr w:type="gramEnd"/>
      <w:r w:rsidRPr="00535FA5">
        <w:rPr>
          <w:rFonts w:cstheme="minorHAnsi"/>
          <w:lang w:val="en-US"/>
        </w:rPr>
        <w:t xml:space="preserve"> is therefore a failure to attain the desired end result of “justice.” Justice is about distributions—according persons their fair shares and treatment. The primacy of individ</w:t>
      </w:r>
      <w:r w:rsidR="007A5F16">
        <w:rPr>
          <w:rFonts w:cstheme="minorHAnsi"/>
          <w:lang w:val="en-US"/>
        </w:rPr>
        <w:t>ual autonomy and rights is cen</w:t>
      </w:r>
      <w:r w:rsidRPr="00535FA5">
        <w:rPr>
          <w:rFonts w:cstheme="minorHAnsi"/>
          <w:lang w:val="en-US"/>
        </w:rPr>
        <w:t>tral to the “due process model” of criminal jus</w:t>
      </w:r>
      <w:r w:rsidR="007A5F16">
        <w:rPr>
          <w:rFonts w:cstheme="minorHAnsi"/>
          <w:lang w:val="en-US"/>
        </w:rPr>
        <w:t>tice (Packer, 1969), which rec</w:t>
      </w:r>
      <w:r w:rsidRPr="00535FA5">
        <w:rPr>
          <w:rFonts w:cstheme="minorHAnsi"/>
          <w:lang w:val="en-US"/>
        </w:rPr>
        <w:t xml:space="preserve">ognizes that the possibility of human fallibility and error can thereby yield grave injustice, as when the system convicts the innocent or even convicts without respecting procedural rights. </w:t>
      </w:r>
      <w:proofErr w:type="gramStart"/>
      <w:r w:rsidRPr="00535FA5">
        <w:rPr>
          <w:rFonts w:cstheme="minorHAnsi"/>
          <w:lang w:val="en-US"/>
        </w:rPr>
        <w:t>Thus,</w:t>
      </w:r>
      <w:r>
        <w:rPr>
          <w:rFonts w:cstheme="minorHAnsi"/>
          <w:lang w:val="en-US"/>
        </w:rPr>
        <w:t xml:space="preserve"> a possible definition of “mis</w:t>
      </w:r>
      <w:r w:rsidRPr="00535FA5">
        <w:rPr>
          <w:rFonts w:cstheme="minorHAnsi"/>
          <w:lang w:val="en-US"/>
        </w:rPr>
        <w:t>carriage” is that it occurs whenever suspects or defendants or convicts are treated by the state in breach of their rights</w:t>
      </w:r>
      <w:r w:rsidR="007A5F16">
        <w:rPr>
          <w:rFonts w:cstheme="minorHAnsi"/>
          <w:lang w:val="en-US"/>
        </w:rPr>
        <w:t>, whether because of the follow</w:t>
      </w:r>
      <w:r w:rsidRPr="00535FA5">
        <w:rPr>
          <w:rFonts w:cstheme="minorHAnsi"/>
          <w:lang w:val="en-US"/>
        </w:rPr>
        <w:t>ing: first, the deficient processes; second, the laws that are applied to them; third, because there is no factual justification for the applied treatment or punishment; fourth, whenever suspects or defendants or convicts are treated adversely by the state to a disproportionate extent in comparison with the need to protect the rights of others; fifth, whenever the rights of others are not effectively or proportionately protected or vindicated by State action against wrongdoers; or sixth, by state law itself.</w:t>
      </w:r>
      <w:proofErr w:type="gramEnd"/>
    </w:p>
    <w:p w:rsid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The third category of miscarriage—where there is no factual justification</w:t>
      </w:r>
      <w:r>
        <w:rPr>
          <w:rFonts w:cstheme="minorHAnsi"/>
          <w:lang w:val="en-US"/>
        </w:rPr>
        <w:t xml:space="preserve"> </w:t>
      </w:r>
      <w:r w:rsidRPr="00535FA5">
        <w:rPr>
          <w:rFonts w:cstheme="minorHAnsi"/>
          <w:lang w:val="en-US"/>
        </w:rPr>
        <w:t>for the treatment or punishment—can result in a conviction even when the defendant in reality has committed the offense. This broader definition has caused some debate over the proper focus o</w:t>
      </w:r>
      <w:r w:rsidR="007A5F16">
        <w:rPr>
          <w:rFonts w:cstheme="minorHAnsi"/>
          <w:lang w:val="en-US"/>
        </w:rPr>
        <w:t>f researchers, with some claimi</w:t>
      </w:r>
      <w:r w:rsidRPr="00535FA5">
        <w:rPr>
          <w:rFonts w:cstheme="minorHAnsi"/>
          <w:lang w:val="en-US"/>
        </w:rPr>
        <w:t>ng that an exclusive focus on the “innocent” is vital. They prefer the term “wrongful conviction” (although this too can have wider meaning, to include the factually and legally innocent as well as those convicted through unjust procedures [</w:t>
      </w:r>
      <w:proofErr w:type="spellStart"/>
      <w:r w:rsidRPr="00535FA5">
        <w:rPr>
          <w:rFonts w:cstheme="minorHAnsi"/>
          <w:lang w:val="en-US"/>
        </w:rPr>
        <w:t>Risinger</w:t>
      </w:r>
      <w:proofErr w:type="spellEnd"/>
      <w:r w:rsidRPr="00535FA5">
        <w:rPr>
          <w:rFonts w:cstheme="minorHAnsi"/>
          <w:lang w:val="en-US"/>
        </w:rPr>
        <w:t>, 2007]), to distinguis</w:t>
      </w:r>
      <w:r>
        <w:rPr>
          <w:rFonts w:cstheme="minorHAnsi"/>
          <w:lang w:val="en-US"/>
        </w:rPr>
        <w:t xml:space="preserve">h those convicted but innocent, </w:t>
      </w:r>
      <w:r w:rsidRPr="00535FA5">
        <w:rPr>
          <w:rFonts w:cstheme="minorHAnsi"/>
          <w:lang w:val="en-US"/>
        </w:rPr>
        <w:t>from those unjustly convicted. The House of Lords (now called the Supreme Court) considered such nomenclature in the case of R v. Secretary of State for the Home Department, ex parte Mullen:</w:t>
      </w:r>
    </w:p>
    <w:p w:rsidR="00535FA5" w:rsidRPr="00535FA5" w:rsidRDefault="00535FA5" w:rsidP="0062665A">
      <w:pPr>
        <w:widowControl w:val="0"/>
        <w:autoSpaceDE w:val="0"/>
        <w:autoSpaceDN w:val="0"/>
        <w:adjustRightInd w:val="0"/>
        <w:spacing w:after="120" w:line="240" w:lineRule="auto"/>
        <w:rPr>
          <w:rFonts w:cstheme="minorHAnsi"/>
          <w:lang w:val="en-US"/>
        </w:rPr>
      </w:pPr>
    </w:p>
    <w:p w:rsidR="00535FA5" w:rsidRPr="00535FA5" w:rsidRDefault="00535FA5" w:rsidP="0062665A">
      <w:pPr>
        <w:widowControl w:val="0"/>
        <w:autoSpaceDE w:val="0"/>
        <w:autoSpaceDN w:val="0"/>
        <w:adjustRightInd w:val="0"/>
        <w:spacing w:after="120" w:line="240" w:lineRule="auto"/>
        <w:ind w:left="720"/>
        <w:rPr>
          <w:rFonts w:cstheme="minorHAnsi"/>
          <w:lang w:val="en-US"/>
        </w:rPr>
      </w:pPr>
      <w:r w:rsidRPr="00535FA5">
        <w:rPr>
          <w:rFonts w:cstheme="minorHAnsi"/>
          <w:lang w:val="en-US"/>
        </w:rPr>
        <w:t xml:space="preserve">‘Miscarriage of justice’ is an expression, which, although very familiar, is not a legal term of art and has no settled meaning. Like ‘wrongful </w:t>
      </w:r>
      <w:proofErr w:type="gramStart"/>
      <w:r w:rsidRPr="00535FA5">
        <w:rPr>
          <w:rFonts w:cstheme="minorHAnsi"/>
          <w:lang w:val="en-US"/>
        </w:rPr>
        <w:t>conviction’</w:t>
      </w:r>
      <w:proofErr w:type="gramEnd"/>
      <w:r w:rsidRPr="00535FA5">
        <w:rPr>
          <w:rFonts w:cstheme="minorHAnsi"/>
          <w:lang w:val="en-US"/>
        </w:rPr>
        <w:t xml:space="preserve"> it can be used to describe the conviction of the demonstrably innocent… </w:t>
      </w:r>
      <w:proofErr w:type="gramStart"/>
      <w:r w:rsidRPr="00535FA5">
        <w:rPr>
          <w:rFonts w:cstheme="minorHAnsi"/>
          <w:lang w:val="en-US"/>
        </w:rPr>
        <w:t>But</w:t>
      </w:r>
      <w:proofErr w:type="gramEnd"/>
      <w:r w:rsidRPr="00535FA5">
        <w:rPr>
          <w:rFonts w:cstheme="minorHAnsi"/>
          <w:lang w:val="en-US"/>
        </w:rPr>
        <w:t>, again, like ‘wrongful conviction’, it can be and has been used to describe cases in which defendants, guilty or not, certainly should not have been convicted. (R v. Secretary of State for the Home Department ex parte Mullen [2004] UKHL 18: paragraph 9)</w:t>
      </w:r>
    </w:p>
    <w:p w:rsidR="00535FA5" w:rsidRPr="00535FA5" w:rsidRDefault="00535FA5" w:rsidP="0062665A">
      <w:pPr>
        <w:widowControl w:val="0"/>
        <w:autoSpaceDE w:val="0"/>
        <w:autoSpaceDN w:val="0"/>
        <w:adjustRightInd w:val="0"/>
        <w:spacing w:after="120" w:line="240" w:lineRule="auto"/>
        <w:rPr>
          <w:rFonts w:cstheme="minorHAnsi"/>
          <w:lang w:val="en-US"/>
        </w:rPr>
      </w:pP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The debate over taxonomy continues (</w:t>
      </w:r>
      <w:proofErr w:type="spellStart"/>
      <w:r w:rsidRPr="00535FA5">
        <w:rPr>
          <w:rFonts w:cstheme="minorHAnsi"/>
          <w:lang w:val="en-US"/>
        </w:rPr>
        <w:t>Naughton</w:t>
      </w:r>
      <w:proofErr w:type="spellEnd"/>
      <w:r w:rsidRPr="00535FA5">
        <w:rPr>
          <w:rFonts w:cstheme="minorHAnsi"/>
          <w:lang w:val="en-US"/>
        </w:rPr>
        <w:t xml:space="preserve">, 2010), but we use the term “miscarriage of justice” throughout the chapter </w:t>
      </w:r>
      <w:r>
        <w:rPr>
          <w:rFonts w:cstheme="minorHAnsi"/>
          <w:lang w:val="en-US"/>
        </w:rPr>
        <w:t>to refer to those unjustly con</w:t>
      </w:r>
      <w:r w:rsidRPr="00535FA5">
        <w:rPr>
          <w:rFonts w:cstheme="minorHAnsi"/>
          <w:lang w:val="en-US"/>
        </w:rPr>
        <w:t>victed rather than seeking to assert “innocence,” a status that is not officially bestowed, even if it is knowable.</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The most important catalogue of contemporary miscarriages in England and Wales concerned Irish “terrorist” cases of the 1970s. Most of these and other miscarriages arise from a multiplicity of causes. </w:t>
      </w:r>
      <w:proofErr w:type="gramStart"/>
      <w:r w:rsidRPr="00535FA5">
        <w:rPr>
          <w:rFonts w:cstheme="minorHAnsi"/>
          <w:lang w:val="en-US"/>
        </w:rPr>
        <w:t>For instance, the Criminal Cases Review Commission (CCRC</w:t>
      </w:r>
      <w:r w:rsidR="00821768">
        <w:rPr>
          <w:rFonts w:cstheme="minorHAnsi"/>
          <w:lang w:val="en-US"/>
        </w:rPr>
        <w:t>) (2000) specified the follow</w:t>
      </w:r>
      <w:r w:rsidRPr="00535FA5">
        <w:rPr>
          <w:rFonts w:cstheme="minorHAnsi"/>
          <w:lang w:val="en-US"/>
        </w:rPr>
        <w:t>ing causes in the 80 cases it had by then referred to the Court of Appeal (some with multiple causes per case): police/pr</w:t>
      </w:r>
      <w:r w:rsidR="00821768">
        <w:rPr>
          <w:rFonts w:cstheme="minorHAnsi"/>
          <w:lang w:val="en-US"/>
        </w:rPr>
        <w:t>osecution failings = 27; scien</w:t>
      </w:r>
      <w:r w:rsidRPr="00535FA5">
        <w:rPr>
          <w:rFonts w:cstheme="minorHAnsi"/>
          <w:lang w:val="en-US"/>
        </w:rPr>
        <w:t>tific evidence = 26; nondisclosure = 23; new evidence = 23; defective summing up = 11; defective legal arguments = 10; false co</w:t>
      </w:r>
      <w:r w:rsidR="00821768">
        <w:rPr>
          <w:rFonts w:cstheme="minorHAnsi"/>
          <w:lang w:val="en-US"/>
        </w:rPr>
        <w:t>nfessions = 6; and defense law</w:t>
      </w:r>
      <w:r w:rsidRPr="00535FA5">
        <w:rPr>
          <w:rFonts w:cstheme="minorHAnsi"/>
          <w:lang w:val="en-US"/>
        </w:rPr>
        <w:t>yer failings = 6.</w:t>
      </w:r>
      <w:proofErr w:type="gramEnd"/>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The most grievous danger is the falsification of evidence. For example, informers who are co-accused may have se</w:t>
      </w:r>
      <w:r w:rsidR="00821768">
        <w:rPr>
          <w:rFonts w:cstheme="minorHAnsi"/>
          <w:lang w:val="en-US"/>
        </w:rPr>
        <w:t>lf-serving reasons for exagger</w:t>
      </w:r>
      <w:r w:rsidRPr="00535FA5">
        <w:rPr>
          <w:rFonts w:cstheme="minorHAnsi"/>
          <w:lang w:val="en-US"/>
        </w:rPr>
        <w:t>ating the role of the defendant. The police ar</w:t>
      </w:r>
      <w:r w:rsidR="007A5F16">
        <w:rPr>
          <w:rFonts w:cstheme="minorHAnsi"/>
          <w:lang w:val="en-US"/>
        </w:rPr>
        <w:t xml:space="preserve">e also in a powerful position </w:t>
      </w:r>
      <w:r w:rsidRPr="00535FA5">
        <w:rPr>
          <w:rFonts w:cstheme="minorHAnsi"/>
          <w:lang w:val="en-US"/>
        </w:rPr>
        <w:t>to manipulate evidence, for example, by pressuring an accused or falsely recording statements. Both the police and lay witnesses may be unreliable when attempting to identify a suspect, especi</w:t>
      </w:r>
      <w:r w:rsidR="00821768">
        <w:rPr>
          <w:rFonts w:cstheme="minorHAnsi"/>
          <w:lang w:val="en-US"/>
        </w:rPr>
        <w:t>ally if the sighting was momen</w:t>
      </w:r>
      <w:r w:rsidRPr="00535FA5">
        <w:rPr>
          <w:rFonts w:cstheme="minorHAnsi"/>
          <w:lang w:val="en-US"/>
        </w:rPr>
        <w:t xml:space="preserve">tary and in a situation of stress (R v. Turnbull [1977] QB 224 (CA)). The evidential value of expert testimony has also been overestimated because the tests </w:t>
      </w:r>
      <w:proofErr w:type="gramStart"/>
      <w:r w:rsidRPr="00535FA5">
        <w:rPr>
          <w:rFonts w:cstheme="minorHAnsi"/>
          <w:lang w:val="en-US"/>
        </w:rPr>
        <w:t>being used</w:t>
      </w:r>
      <w:proofErr w:type="gramEnd"/>
      <w:r w:rsidRPr="00535FA5">
        <w:rPr>
          <w:rFonts w:cstheme="minorHAnsi"/>
          <w:lang w:val="en-US"/>
        </w:rPr>
        <w:t xml:space="preserve"> were inherently unreliable, because the scientists con- ducting them were incompetent, or both. A further issue may be the non-disclosure to the defense of relevant evidence by the police, prosecution, or their experts.</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The conduct of the trial may also produce miscarriages. For example, judges are sometimes prone to favor the prosecution evidence rather than acting as impartial umpires. Equally, defense lawyers may not always be as competent or assertive as they should be. </w:t>
      </w:r>
      <w:r w:rsidR="00821768">
        <w:rPr>
          <w:rFonts w:cstheme="minorHAnsi"/>
          <w:lang w:val="en-US"/>
        </w:rPr>
        <w:t>There can also be problems con</w:t>
      </w:r>
      <w:r w:rsidRPr="00535FA5">
        <w:rPr>
          <w:rFonts w:cstheme="minorHAnsi"/>
          <w:lang w:val="en-US"/>
        </w:rPr>
        <w:t>cerning the presentation of defendants in a prejudicial manner. An insidious way of achieving this effect is the pejorativ</w:t>
      </w:r>
      <w:r w:rsidR="00821768">
        <w:rPr>
          <w:rFonts w:cstheme="minorHAnsi"/>
          <w:lang w:val="en-US"/>
        </w:rPr>
        <w:t xml:space="preserve">e labeling of them by the media </w:t>
      </w:r>
      <w:r w:rsidRPr="00535FA5">
        <w:rPr>
          <w:rFonts w:cstheme="minorHAnsi"/>
          <w:lang w:val="en-US"/>
        </w:rPr>
        <w:t>as “terrorists” or “bad mothers.” Similarly,</w:t>
      </w:r>
      <w:r w:rsidR="00821768">
        <w:rPr>
          <w:rFonts w:cstheme="minorHAnsi"/>
          <w:lang w:val="en-US"/>
        </w:rPr>
        <w:t xml:space="preserve"> heavy-handed security arrange</w:t>
      </w:r>
      <w:r w:rsidRPr="00535FA5">
        <w:rPr>
          <w:rFonts w:cstheme="minorHAnsi"/>
          <w:lang w:val="en-US"/>
        </w:rPr>
        <w:t xml:space="preserve">ments accompanying trips to court and a </w:t>
      </w:r>
      <w:r w:rsidR="00821768">
        <w:rPr>
          <w:rFonts w:cstheme="minorHAnsi"/>
          <w:lang w:val="en-US"/>
        </w:rPr>
        <w:t>defendant’s quarantined appear</w:t>
      </w:r>
      <w:r w:rsidRPr="00535FA5">
        <w:rPr>
          <w:rFonts w:cstheme="minorHAnsi"/>
          <w:lang w:val="en-US"/>
        </w:rPr>
        <w:t>ance in the dock inevitably convey an impression of guilt and menace.</w:t>
      </w:r>
    </w:p>
    <w:p w:rsidR="00535FA5" w:rsidRPr="00535FA5" w:rsidRDefault="00535FA5" w:rsidP="0062665A">
      <w:pPr>
        <w:widowControl w:val="0"/>
        <w:autoSpaceDE w:val="0"/>
        <w:autoSpaceDN w:val="0"/>
        <w:adjustRightInd w:val="0"/>
        <w:spacing w:after="120" w:line="240" w:lineRule="auto"/>
        <w:rPr>
          <w:rFonts w:cstheme="minorHAnsi"/>
          <w:lang w:val="en-US"/>
        </w:rPr>
      </w:pPr>
    </w:p>
    <w:p w:rsidR="00535FA5" w:rsidRPr="003D3711" w:rsidRDefault="00535FA5" w:rsidP="0062665A">
      <w:pPr>
        <w:widowControl w:val="0"/>
        <w:autoSpaceDE w:val="0"/>
        <w:autoSpaceDN w:val="0"/>
        <w:adjustRightInd w:val="0"/>
        <w:spacing w:after="120" w:line="240" w:lineRule="auto"/>
        <w:rPr>
          <w:rFonts w:cstheme="minorHAnsi"/>
          <w:b/>
          <w:sz w:val="28"/>
          <w:szCs w:val="28"/>
          <w:lang w:val="en-US"/>
        </w:rPr>
      </w:pPr>
      <w:r w:rsidRPr="003D3711">
        <w:rPr>
          <w:rFonts w:cstheme="minorHAnsi"/>
          <w:b/>
          <w:sz w:val="28"/>
          <w:szCs w:val="28"/>
          <w:lang w:val="en-US"/>
        </w:rPr>
        <w:t>Forensic Identification and Criminal Investigations</w:t>
      </w:r>
    </w:p>
    <w:p w:rsidR="00535FA5" w:rsidRPr="00535FA5" w:rsidRDefault="00535FA5" w:rsidP="0062665A">
      <w:pPr>
        <w:widowControl w:val="0"/>
        <w:autoSpaceDE w:val="0"/>
        <w:autoSpaceDN w:val="0"/>
        <w:adjustRightInd w:val="0"/>
        <w:spacing w:after="120" w:line="240" w:lineRule="auto"/>
        <w:rPr>
          <w:rFonts w:cstheme="minorHAnsi"/>
          <w:lang w:val="en-US"/>
        </w:rPr>
      </w:pP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The identification of perpetrators is central to any criminal investigation, though most crimes are easily resolved since the perpetrators are identified red-handed at the scene or swiftly traced, usually by the agency of the public rather than of the police or forensic experts. Where public assistance is not enough, forensic identification techniques, such as fingerprints and DNA profiles, can discern the true perpetrators, even years after the crime. However, the perception (perhaps propagated by television series such as “CSI”) that reliance upon expert witnesses and forensic </w:t>
      </w:r>
      <w:r w:rsidR="00821768">
        <w:rPr>
          <w:rFonts w:cstheme="minorHAnsi"/>
          <w:lang w:val="en-US"/>
        </w:rPr>
        <w:t>evidence predominates in inves</w:t>
      </w:r>
      <w:r w:rsidRPr="00535FA5">
        <w:rPr>
          <w:rFonts w:cstheme="minorHAnsi"/>
          <w:lang w:val="en-US"/>
        </w:rPr>
        <w:t>tigations and trials is misguided. While it has grown over 3</w:t>
      </w:r>
      <w:r w:rsidR="00821768">
        <w:rPr>
          <w:rFonts w:cstheme="minorHAnsi"/>
          <w:lang w:val="en-US"/>
        </w:rPr>
        <w:t>0 years, it prob</w:t>
      </w:r>
      <w:r w:rsidRPr="00535FA5">
        <w:rPr>
          <w:rFonts w:cstheme="minorHAnsi"/>
          <w:lang w:val="en-US"/>
        </w:rPr>
        <w:t>ably still features in a minority of criminal cases (U.K. Government, 2005). Furthermore, the increased availability and affordability of a plethora of forensic techniques incurs the risk of undue trust in this type of evidence.   A few examples of flawed forensic identifications will serve to illustrate these misgivings.</w:t>
      </w:r>
    </w:p>
    <w:p w:rsidR="00535FA5" w:rsidRPr="00535FA5" w:rsidRDefault="00535FA5" w:rsidP="0062665A">
      <w:pPr>
        <w:widowControl w:val="0"/>
        <w:autoSpaceDE w:val="0"/>
        <w:autoSpaceDN w:val="0"/>
        <w:adjustRightInd w:val="0"/>
        <w:spacing w:after="120" w:line="240" w:lineRule="auto"/>
        <w:rPr>
          <w:rFonts w:cstheme="minorHAnsi"/>
          <w:lang w:val="en-US"/>
        </w:rPr>
      </w:pPr>
    </w:p>
    <w:p w:rsidR="00535FA5" w:rsidRPr="00821768" w:rsidRDefault="00535FA5" w:rsidP="0062665A">
      <w:pPr>
        <w:widowControl w:val="0"/>
        <w:autoSpaceDE w:val="0"/>
        <w:autoSpaceDN w:val="0"/>
        <w:adjustRightInd w:val="0"/>
        <w:spacing w:after="120" w:line="240" w:lineRule="auto"/>
        <w:rPr>
          <w:rFonts w:cstheme="minorHAnsi"/>
          <w:b/>
          <w:lang w:val="en-US"/>
        </w:rPr>
      </w:pPr>
      <w:r w:rsidRPr="00821768">
        <w:rPr>
          <w:rFonts w:cstheme="minorHAnsi"/>
          <w:b/>
          <w:lang w:val="en-US"/>
        </w:rPr>
        <w:t xml:space="preserve">Fingerprints and the Case of Shirley </w:t>
      </w:r>
      <w:proofErr w:type="spellStart"/>
      <w:r w:rsidRPr="00821768">
        <w:rPr>
          <w:rFonts w:cstheme="minorHAnsi"/>
          <w:b/>
          <w:lang w:val="en-US"/>
        </w:rPr>
        <w:t>McKie</w:t>
      </w:r>
      <w:proofErr w:type="spellEnd"/>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For over a century, investigators have been col</w:t>
      </w:r>
      <w:r w:rsidR="00821768">
        <w:rPr>
          <w:rFonts w:cstheme="minorHAnsi"/>
          <w:lang w:val="en-US"/>
        </w:rPr>
        <w:t>lating the fingerprints of sus</w:t>
      </w:r>
      <w:r w:rsidRPr="00535FA5">
        <w:rPr>
          <w:rFonts w:cstheme="minorHAnsi"/>
          <w:lang w:val="en-US"/>
        </w:rPr>
        <w:t xml:space="preserve">pects and criminals. Indeed, fingerprints, with their notion of “uniqueness,” have become perhaps the most trusted identification method and continue to </w:t>
      </w:r>
      <w:proofErr w:type="gramStart"/>
      <w:r w:rsidRPr="00535FA5">
        <w:rPr>
          <w:rFonts w:cstheme="minorHAnsi"/>
          <w:lang w:val="en-US"/>
        </w:rPr>
        <w:t>be used</w:t>
      </w:r>
      <w:proofErr w:type="gramEnd"/>
      <w:r w:rsidRPr="00535FA5">
        <w:rPr>
          <w:rFonts w:cstheme="minorHAnsi"/>
          <w:lang w:val="en-US"/>
        </w:rPr>
        <w:t xml:space="preserve"> daily in identifications across the world, with the support of large databases and, latterly, Automatic Fingerprint Identification System (AFIS) technology. However, problematic identifications and questions over the expertise and techniques of fingerprint examiners have arisen.</w:t>
      </w:r>
    </w:p>
    <w:p w:rsid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In 1997, Marion Ross </w:t>
      </w:r>
      <w:proofErr w:type="gramStart"/>
      <w:r w:rsidRPr="00535FA5">
        <w:rPr>
          <w:rFonts w:cstheme="minorHAnsi"/>
          <w:lang w:val="en-US"/>
        </w:rPr>
        <w:t>was murdered</w:t>
      </w:r>
      <w:proofErr w:type="gramEnd"/>
      <w:r w:rsidRPr="00535FA5">
        <w:rPr>
          <w:rFonts w:cstheme="minorHAnsi"/>
          <w:lang w:val="en-US"/>
        </w:rPr>
        <w:t xml:space="preserve"> in her home in Kilmarnock, Scotland. The investigation led to David Asbury, who became suspect when a fingerprint found on biscuit tin containin</w:t>
      </w:r>
      <w:r w:rsidR="00821768">
        <w:rPr>
          <w:rFonts w:cstheme="minorHAnsi"/>
          <w:lang w:val="en-US"/>
        </w:rPr>
        <w:t xml:space="preserve">g money at his home </w:t>
      </w:r>
      <w:proofErr w:type="gramStart"/>
      <w:r w:rsidR="00821768">
        <w:rPr>
          <w:rFonts w:cstheme="minorHAnsi"/>
          <w:lang w:val="en-US"/>
        </w:rPr>
        <w:t>was identi</w:t>
      </w:r>
      <w:r w:rsidRPr="00535FA5">
        <w:rPr>
          <w:rFonts w:cstheme="minorHAnsi"/>
          <w:lang w:val="en-US"/>
        </w:rPr>
        <w:t>fied</w:t>
      </w:r>
      <w:proofErr w:type="gramEnd"/>
      <w:r w:rsidRPr="00535FA5">
        <w:rPr>
          <w:rFonts w:cstheme="minorHAnsi"/>
          <w:lang w:val="en-US"/>
        </w:rPr>
        <w:t xml:space="preserve"> as belonging to the victim (Scottish Parliament, 2011). Shirley </w:t>
      </w:r>
      <w:proofErr w:type="spellStart"/>
      <w:r w:rsidRPr="00535FA5">
        <w:rPr>
          <w:rFonts w:cstheme="minorHAnsi"/>
          <w:lang w:val="en-US"/>
        </w:rPr>
        <w:t>McKie</w:t>
      </w:r>
      <w:proofErr w:type="spellEnd"/>
      <w:r w:rsidRPr="00535FA5">
        <w:rPr>
          <w:rFonts w:cstheme="minorHAnsi"/>
          <w:lang w:val="en-US"/>
        </w:rPr>
        <w:t xml:space="preserve">, a uniformed police officer, </w:t>
      </w:r>
      <w:proofErr w:type="gramStart"/>
      <w:r w:rsidRPr="00535FA5">
        <w:rPr>
          <w:rFonts w:cstheme="minorHAnsi"/>
          <w:lang w:val="en-US"/>
        </w:rPr>
        <w:t>was called</w:t>
      </w:r>
      <w:proofErr w:type="gramEnd"/>
      <w:r w:rsidRPr="00535FA5">
        <w:rPr>
          <w:rFonts w:cstheme="minorHAnsi"/>
          <w:lang w:val="en-US"/>
        </w:rPr>
        <w:t xml:space="preserve"> to gua</w:t>
      </w:r>
      <w:r w:rsidR="00821768">
        <w:rPr>
          <w:rFonts w:cstheme="minorHAnsi"/>
          <w:lang w:val="en-US"/>
        </w:rPr>
        <w:t>rd the crime scene while inves</w:t>
      </w:r>
      <w:r w:rsidRPr="00535FA5">
        <w:rPr>
          <w:rFonts w:cstheme="minorHAnsi"/>
          <w:lang w:val="en-US"/>
        </w:rPr>
        <w:t xml:space="preserve">tigators worked inside. They claimed to find </w:t>
      </w:r>
      <w:proofErr w:type="spellStart"/>
      <w:r w:rsidRPr="00535FA5">
        <w:rPr>
          <w:rFonts w:cstheme="minorHAnsi"/>
          <w:lang w:val="en-US"/>
        </w:rPr>
        <w:t>McKie’s</w:t>
      </w:r>
      <w:proofErr w:type="spellEnd"/>
      <w:r w:rsidRPr="00535FA5">
        <w:rPr>
          <w:rFonts w:cstheme="minorHAnsi"/>
          <w:lang w:val="en-US"/>
        </w:rPr>
        <w:t xml:space="preserve"> fingerprint inside the Ross house, but </w:t>
      </w:r>
      <w:proofErr w:type="spellStart"/>
      <w:r w:rsidRPr="00535FA5">
        <w:rPr>
          <w:rFonts w:cstheme="minorHAnsi"/>
          <w:lang w:val="en-US"/>
        </w:rPr>
        <w:t>McKie</w:t>
      </w:r>
      <w:proofErr w:type="spellEnd"/>
      <w:r w:rsidRPr="00535FA5">
        <w:rPr>
          <w:rFonts w:cstheme="minorHAnsi"/>
          <w:lang w:val="en-US"/>
        </w:rPr>
        <w:t xml:space="preserve"> denied ever having v</w:t>
      </w:r>
      <w:r w:rsidR="00821768">
        <w:rPr>
          <w:rFonts w:cstheme="minorHAnsi"/>
          <w:lang w:val="en-US"/>
        </w:rPr>
        <w:t>entured inside the house, call</w:t>
      </w:r>
      <w:r w:rsidRPr="00535FA5">
        <w:rPr>
          <w:rFonts w:cstheme="minorHAnsi"/>
          <w:lang w:val="en-US"/>
        </w:rPr>
        <w:t xml:space="preserve">ing into question the accuracy of the fingerprint “match.” During testimony at the trial of David Asbury, she confirmed that she had not been into the house, leading to a charge of perjury for lying about her movements. She </w:t>
      </w:r>
      <w:proofErr w:type="gramStart"/>
      <w:r w:rsidRPr="00535FA5">
        <w:rPr>
          <w:rFonts w:cstheme="minorHAnsi"/>
          <w:lang w:val="en-US"/>
        </w:rPr>
        <w:t>was acquitted</w:t>
      </w:r>
      <w:proofErr w:type="gramEnd"/>
      <w:r w:rsidRPr="00535FA5">
        <w:rPr>
          <w:rFonts w:cstheme="minorHAnsi"/>
          <w:lang w:val="en-US"/>
        </w:rPr>
        <w:t xml:space="preserve"> in 1999 after the court heard the testimony of two American fingerprint experts that the Scottish Cri</w:t>
      </w:r>
      <w:r w:rsidR="00821768">
        <w:rPr>
          <w:rFonts w:cstheme="minorHAnsi"/>
          <w:lang w:val="en-US"/>
        </w:rPr>
        <w:t xml:space="preserve">minal Records Office (SCRO) had </w:t>
      </w:r>
      <w:r w:rsidRPr="00535FA5">
        <w:rPr>
          <w:rFonts w:cstheme="minorHAnsi"/>
          <w:lang w:val="en-US"/>
        </w:rPr>
        <w:t xml:space="preserve">wrongly found a match. David Asbury </w:t>
      </w:r>
      <w:proofErr w:type="gramStart"/>
      <w:r w:rsidRPr="00535FA5">
        <w:rPr>
          <w:rFonts w:cstheme="minorHAnsi"/>
          <w:lang w:val="en-US"/>
        </w:rPr>
        <w:t>was freed</w:t>
      </w:r>
      <w:proofErr w:type="gramEnd"/>
      <w:r w:rsidRPr="00535FA5">
        <w:rPr>
          <w:rFonts w:cstheme="minorHAnsi"/>
          <w:lang w:val="en-US"/>
        </w:rPr>
        <w:t xml:space="preserve"> in 2002 after the conclusion was reached that other crucial fingerprints were also erroneous. Eventually, the Scottish government set up a comprehensive inquiry under Sir Anthony Campbell (a retired senior judge). His Fingerprint Inquiry Report (Scottish Parliament, 2011) reaches many conclusions concerning not only errors in </w:t>
      </w:r>
      <w:proofErr w:type="spellStart"/>
      <w:r w:rsidRPr="00535FA5">
        <w:rPr>
          <w:rFonts w:cstheme="minorHAnsi"/>
          <w:lang w:val="en-US"/>
        </w:rPr>
        <w:t>McKie’s</w:t>
      </w:r>
      <w:proofErr w:type="spellEnd"/>
      <w:r w:rsidRPr="00535FA5">
        <w:rPr>
          <w:rFonts w:cstheme="minorHAnsi"/>
          <w:lang w:val="en-US"/>
        </w:rPr>
        <w:t xml:space="preserve"> case but also about fingerprint com</w:t>
      </w:r>
      <w:r w:rsidR="00821768">
        <w:rPr>
          <w:rFonts w:cstheme="minorHAnsi"/>
          <w:lang w:val="en-US"/>
        </w:rPr>
        <w:t>parison as a “science.” It con</w:t>
      </w:r>
      <w:r w:rsidRPr="00535FA5">
        <w:rPr>
          <w:rFonts w:cstheme="minorHAnsi"/>
          <w:lang w:val="en-US"/>
        </w:rPr>
        <w:t>cluded that:</w:t>
      </w:r>
    </w:p>
    <w:p w:rsidR="00821768" w:rsidRPr="00535FA5" w:rsidRDefault="00821768" w:rsidP="0062665A">
      <w:pPr>
        <w:widowControl w:val="0"/>
        <w:autoSpaceDE w:val="0"/>
        <w:autoSpaceDN w:val="0"/>
        <w:adjustRightInd w:val="0"/>
        <w:spacing w:after="120" w:line="240" w:lineRule="auto"/>
        <w:rPr>
          <w:rFonts w:cstheme="minorHAnsi"/>
          <w:lang w:val="en-US"/>
        </w:rPr>
      </w:pPr>
    </w:p>
    <w:p w:rsidR="00535FA5" w:rsidRPr="00535FA5" w:rsidRDefault="00535FA5" w:rsidP="0062665A">
      <w:pPr>
        <w:widowControl w:val="0"/>
        <w:autoSpaceDE w:val="0"/>
        <w:autoSpaceDN w:val="0"/>
        <w:adjustRightInd w:val="0"/>
        <w:spacing w:after="120" w:line="240" w:lineRule="auto"/>
        <w:ind w:left="720"/>
        <w:rPr>
          <w:rFonts w:cstheme="minorHAnsi"/>
          <w:lang w:val="en-US"/>
        </w:rPr>
      </w:pPr>
      <w:r w:rsidRPr="00535FA5">
        <w:rPr>
          <w:rFonts w:cstheme="minorHAnsi"/>
          <w:lang w:val="en-US"/>
        </w:rPr>
        <w:t xml:space="preserve">Fingerprint examiners are presently </w:t>
      </w:r>
      <w:proofErr w:type="gramStart"/>
      <w:r w:rsidRPr="00535FA5">
        <w:rPr>
          <w:rFonts w:cstheme="minorHAnsi"/>
          <w:lang w:val="en-US"/>
        </w:rPr>
        <w:t>ill-equipped</w:t>
      </w:r>
      <w:proofErr w:type="gramEnd"/>
      <w:r w:rsidRPr="00535FA5">
        <w:rPr>
          <w:rFonts w:cstheme="minorHAnsi"/>
          <w:lang w:val="en-US"/>
        </w:rPr>
        <w:t xml:space="preserve"> to reason their conclusions as they are accustomed to regarding their conclusions as a matter of certainty and seldom challenged… There is no reason t</w:t>
      </w:r>
      <w:r w:rsidR="007A5F16">
        <w:rPr>
          <w:rFonts w:cstheme="minorHAnsi"/>
          <w:lang w:val="en-US"/>
        </w:rPr>
        <w:t>o suggest that fingerprint com</w:t>
      </w:r>
      <w:r w:rsidRPr="00535FA5">
        <w:rPr>
          <w:rFonts w:cstheme="minorHAnsi"/>
          <w:lang w:val="en-US"/>
        </w:rPr>
        <w:t>parison in general is an inherently unreliable form of evidence but practit</w:t>
      </w:r>
      <w:r w:rsidR="007A5F16">
        <w:rPr>
          <w:rFonts w:cstheme="minorHAnsi"/>
          <w:lang w:val="en-US"/>
        </w:rPr>
        <w:t>io</w:t>
      </w:r>
      <w:r w:rsidRPr="00535FA5">
        <w:rPr>
          <w:rFonts w:cstheme="minorHAnsi"/>
          <w:lang w:val="en-US"/>
        </w:rPr>
        <w:t>ners and fact-</w:t>
      </w:r>
      <w:proofErr w:type="spellStart"/>
      <w:r w:rsidRPr="00535FA5">
        <w:rPr>
          <w:rFonts w:cstheme="minorHAnsi"/>
          <w:lang w:val="en-US"/>
        </w:rPr>
        <w:t>finders</w:t>
      </w:r>
      <w:proofErr w:type="spellEnd"/>
      <w:r w:rsidRPr="00535FA5">
        <w:rPr>
          <w:rFonts w:cstheme="minorHAnsi"/>
          <w:lang w:val="en-US"/>
        </w:rPr>
        <w:t xml:space="preserve"> alike require to give due consideration to the limits of the discipline. (Scottish Parliament, 2011: pp. 739)</w:t>
      </w:r>
    </w:p>
    <w:p w:rsidR="00535FA5" w:rsidRPr="00535FA5" w:rsidRDefault="00535FA5" w:rsidP="0062665A">
      <w:pPr>
        <w:widowControl w:val="0"/>
        <w:autoSpaceDE w:val="0"/>
        <w:autoSpaceDN w:val="0"/>
        <w:adjustRightInd w:val="0"/>
        <w:spacing w:after="120" w:line="240" w:lineRule="auto"/>
        <w:rPr>
          <w:rFonts w:cstheme="minorHAnsi"/>
          <w:lang w:val="en-US"/>
        </w:rPr>
      </w:pP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The report then recommends that “Finger</w:t>
      </w:r>
      <w:r w:rsidR="00821768">
        <w:rPr>
          <w:rFonts w:cstheme="minorHAnsi"/>
          <w:lang w:val="en-US"/>
        </w:rPr>
        <w:t xml:space="preserve">print evidence should be </w:t>
      </w:r>
      <w:proofErr w:type="spellStart"/>
      <w:r w:rsidR="00821768">
        <w:rPr>
          <w:rFonts w:cstheme="minorHAnsi"/>
          <w:lang w:val="en-US"/>
        </w:rPr>
        <w:t>recog</w:t>
      </w:r>
      <w:r w:rsidRPr="00535FA5">
        <w:rPr>
          <w:rFonts w:cstheme="minorHAnsi"/>
          <w:lang w:val="en-US"/>
        </w:rPr>
        <w:t>nised</w:t>
      </w:r>
      <w:proofErr w:type="spellEnd"/>
      <w:r w:rsidRPr="00535FA5">
        <w:rPr>
          <w:rFonts w:cstheme="minorHAnsi"/>
          <w:lang w:val="en-US"/>
        </w:rPr>
        <w:t xml:space="preserve"> as opinion evidence, not fact…” and that “</w:t>
      </w:r>
      <w:r w:rsidR="00821768">
        <w:rPr>
          <w:rFonts w:cstheme="minorHAnsi"/>
          <w:lang w:val="en-US"/>
        </w:rPr>
        <w:t>Examiners should discon</w:t>
      </w:r>
      <w:r w:rsidRPr="00535FA5">
        <w:rPr>
          <w:rFonts w:cstheme="minorHAnsi"/>
          <w:lang w:val="en-US"/>
        </w:rPr>
        <w:t>tinue reporting conclusions on identification or exclusion with a claim to 100% certainty or on any other basis suggesting that fingerprint evidence is infallible” (Scottish Parliament, 2011: pp. 740).</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Fingerprints are facing a challenging time. Their “scientific” basis </w:t>
      </w:r>
      <w:proofErr w:type="gramStart"/>
      <w:r w:rsidRPr="00535FA5">
        <w:rPr>
          <w:rFonts w:cstheme="minorHAnsi"/>
          <w:lang w:val="en-US"/>
        </w:rPr>
        <w:t>has now been called</w:t>
      </w:r>
      <w:proofErr w:type="gramEnd"/>
      <w:r w:rsidRPr="00535FA5">
        <w:rPr>
          <w:rFonts w:cstheme="minorHAnsi"/>
          <w:lang w:val="en-US"/>
        </w:rPr>
        <w:t xml:space="preserve"> into question, and there are growing numbers of inquiries and cases in England too (such as R v. Smith [2011] EWCA CRIM. 1296) where fingerprint evidence has been challenged, something unheard of in previous decades. Issues around the “science” of fingerprinting, and the “expertise” of examiners, now require concerted effort on the behalf of the fingerprint expert community, if fingerprints are to retain their validity as a reliable identification technique.</w:t>
      </w:r>
    </w:p>
    <w:p w:rsidR="00535FA5" w:rsidRPr="00535FA5" w:rsidRDefault="00535FA5" w:rsidP="0062665A">
      <w:pPr>
        <w:widowControl w:val="0"/>
        <w:autoSpaceDE w:val="0"/>
        <w:autoSpaceDN w:val="0"/>
        <w:adjustRightInd w:val="0"/>
        <w:spacing w:after="120" w:line="240" w:lineRule="auto"/>
        <w:rPr>
          <w:rFonts w:cstheme="minorHAnsi"/>
          <w:lang w:val="en-US"/>
        </w:rPr>
      </w:pPr>
    </w:p>
    <w:p w:rsidR="00535FA5" w:rsidRPr="00821768" w:rsidRDefault="00535FA5" w:rsidP="0062665A">
      <w:pPr>
        <w:widowControl w:val="0"/>
        <w:autoSpaceDE w:val="0"/>
        <w:autoSpaceDN w:val="0"/>
        <w:adjustRightInd w:val="0"/>
        <w:spacing w:after="120" w:line="240" w:lineRule="auto"/>
        <w:rPr>
          <w:rFonts w:cstheme="minorHAnsi"/>
          <w:b/>
          <w:lang w:val="en-US"/>
        </w:rPr>
      </w:pPr>
      <w:r w:rsidRPr="00821768">
        <w:rPr>
          <w:rFonts w:cstheme="minorHAnsi"/>
          <w:b/>
          <w:lang w:val="en-US"/>
        </w:rPr>
        <w:t xml:space="preserve">“Old” v. “New” Forensic Technology: The Case of Stefan </w:t>
      </w:r>
      <w:proofErr w:type="spellStart"/>
      <w:r w:rsidRPr="00821768">
        <w:rPr>
          <w:rFonts w:cstheme="minorHAnsi"/>
          <w:b/>
          <w:lang w:val="en-US"/>
        </w:rPr>
        <w:t>Kiszko</w:t>
      </w:r>
      <w:proofErr w:type="spellEnd"/>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Stefan </w:t>
      </w:r>
      <w:proofErr w:type="spellStart"/>
      <w:r w:rsidRPr="00535FA5">
        <w:rPr>
          <w:rFonts w:cstheme="minorHAnsi"/>
          <w:lang w:val="en-US"/>
        </w:rPr>
        <w:t>Kiszko</w:t>
      </w:r>
      <w:proofErr w:type="spellEnd"/>
      <w:r w:rsidRPr="00535FA5">
        <w:rPr>
          <w:rFonts w:cstheme="minorHAnsi"/>
          <w:lang w:val="en-US"/>
        </w:rPr>
        <w:t xml:space="preserve"> </w:t>
      </w:r>
      <w:proofErr w:type="gramStart"/>
      <w:r w:rsidRPr="00535FA5">
        <w:rPr>
          <w:rFonts w:cstheme="minorHAnsi"/>
          <w:lang w:val="en-US"/>
        </w:rPr>
        <w:t>was convict</w:t>
      </w:r>
      <w:r w:rsidR="00821768">
        <w:rPr>
          <w:rFonts w:cstheme="minorHAnsi"/>
          <w:lang w:val="en-US"/>
        </w:rPr>
        <w:t>ed</w:t>
      </w:r>
      <w:proofErr w:type="gramEnd"/>
      <w:r w:rsidR="00821768">
        <w:rPr>
          <w:rFonts w:cstheme="minorHAnsi"/>
          <w:lang w:val="en-US"/>
        </w:rPr>
        <w:t xml:space="preserve"> of the murder of 11-year-old Lesley </w:t>
      </w:r>
      <w:proofErr w:type="spellStart"/>
      <w:r w:rsidR="00821768">
        <w:rPr>
          <w:rFonts w:cstheme="minorHAnsi"/>
          <w:lang w:val="en-US"/>
        </w:rPr>
        <w:t>Molseed</w:t>
      </w:r>
      <w:proofErr w:type="spellEnd"/>
      <w:r w:rsidRPr="00535FA5">
        <w:rPr>
          <w:rFonts w:cstheme="minorHAnsi"/>
          <w:lang w:val="en-US"/>
        </w:rPr>
        <w:t xml:space="preserve"> in 1975 (R v. </w:t>
      </w:r>
      <w:proofErr w:type="spellStart"/>
      <w:r w:rsidRPr="00535FA5">
        <w:rPr>
          <w:rFonts w:cstheme="minorHAnsi"/>
          <w:lang w:val="en-US"/>
        </w:rPr>
        <w:t>Kiszko</w:t>
      </w:r>
      <w:proofErr w:type="spellEnd"/>
      <w:r w:rsidRPr="00535FA5">
        <w:rPr>
          <w:rFonts w:cstheme="minorHAnsi"/>
          <w:lang w:val="en-US"/>
        </w:rPr>
        <w:t xml:space="preserve"> [1979] 68 CR.APP.  R 62).  Lesley’</w:t>
      </w:r>
      <w:r w:rsidR="00821768">
        <w:rPr>
          <w:rFonts w:cstheme="minorHAnsi"/>
          <w:lang w:val="en-US"/>
        </w:rPr>
        <w:t>s killer had ejacu</w:t>
      </w:r>
      <w:r w:rsidRPr="00535FA5">
        <w:rPr>
          <w:rFonts w:cstheme="minorHAnsi"/>
          <w:lang w:val="en-US"/>
        </w:rPr>
        <w:t xml:space="preserve">lated on her underclothes. In the 1970s, a semen sample taken from </w:t>
      </w:r>
      <w:proofErr w:type="spellStart"/>
      <w:r w:rsidRPr="00535FA5">
        <w:rPr>
          <w:rFonts w:cstheme="minorHAnsi"/>
          <w:lang w:val="en-US"/>
        </w:rPr>
        <w:t>Kiszko</w:t>
      </w:r>
      <w:proofErr w:type="spellEnd"/>
      <w:r w:rsidRPr="00535FA5">
        <w:rPr>
          <w:rFonts w:cstheme="minorHAnsi"/>
          <w:lang w:val="en-US"/>
        </w:rPr>
        <w:t xml:space="preserve"> during the investigation did not contain sperm because</w:t>
      </w:r>
      <w:r w:rsidR="00821768">
        <w:rPr>
          <w:rFonts w:cstheme="minorHAnsi"/>
          <w:lang w:val="en-US"/>
        </w:rPr>
        <w:t xml:space="preserve"> he suffered from hypogonadism.</w:t>
      </w:r>
      <w:r w:rsidR="00821768">
        <w:rPr>
          <w:rStyle w:val="FootnoteReference"/>
          <w:rFonts w:cstheme="minorHAnsi"/>
          <w:lang w:val="en-US"/>
        </w:rPr>
        <w:footnoteReference w:id="1"/>
      </w:r>
      <w:r w:rsidRPr="00535FA5">
        <w:rPr>
          <w:rFonts w:cstheme="minorHAnsi"/>
          <w:lang w:val="en-US"/>
        </w:rPr>
        <w:t xml:space="preserve"> The killer’s ejaculate did contain sperm. These results </w:t>
      </w:r>
      <w:proofErr w:type="gramStart"/>
      <w:r w:rsidRPr="00535FA5">
        <w:rPr>
          <w:rFonts w:cstheme="minorHAnsi"/>
          <w:lang w:val="en-US"/>
        </w:rPr>
        <w:t>were kept</w:t>
      </w:r>
      <w:proofErr w:type="gramEnd"/>
      <w:r w:rsidRPr="00535FA5">
        <w:rPr>
          <w:rFonts w:cstheme="minorHAnsi"/>
          <w:lang w:val="en-US"/>
        </w:rPr>
        <w:t xml:space="preserve"> from the defense. It was not until 1992, after 16 years in prison, that the Court of Appeal was to hear the convincing scientific evidence that </w:t>
      </w:r>
      <w:r w:rsidRPr="00535FA5">
        <w:rPr>
          <w:rFonts w:cstheme="minorHAnsi"/>
          <w:lang w:val="en-US"/>
        </w:rPr>
        <w:lastRenderedPageBreak/>
        <w:t xml:space="preserve">Stefan </w:t>
      </w:r>
      <w:proofErr w:type="spellStart"/>
      <w:r w:rsidRPr="00535FA5">
        <w:rPr>
          <w:rFonts w:cstheme="minorHAnsi"/>
          <w:lang w:val="en-US"/>
        </w:rPr>
        <w:t>Kiszko</w:t>
      </w:r>
      <w:proofErr w:type="spellEnd"/>
      <w:r w:rsidRPr="00535FA5">
        <w:rPr>
          <w:rFonts w:cstheme="minorHAnsi"/>
          <w:lang w:val="en-US"/>
        </w:rPr>
        <w:t xml:space="preserve"> could not have been Lesley’s killer. The killer of Lesley </w:t>
      </w:r>
      <w:proofErr w:type="spellStart"/>
      <w:r w:rsidRPr="00535FA5">
        <w:rPr>
          <w:rFonts w:cstheme="minorHAnsi"/>
          <w:lang w:val="en-US"/>
        </w:rPr>
        <w:t>Molseed</w:t>
      </w:r>
      <w:proofErr w:type="spellEnd"/>
      <w:r w:rsidRPr="00535FA5">
        <w:rPr>
          <w:rFonts w:cstheme="minorHAnsi"/>
          <w:lang w:val="en-US"/>
        </w:rPr>
        <w:t xml:space="preserve"> had apparently evaded justice, until evidence from her murder featured in a “cold case” review. This time, DNA techniques wer</w:t>
      </w:r>
      <w:r w:rsidR="00821768">
        <w:rPr>
          <w:rFonts w:cstheme="minorHAnsi"/>
          <w:lang w:val="en-US"/>
        </w:rPr>
        <w:t xml:space="preserve">e able to obtain a profile from </w:t>
      </w:r>
      <w:r w:rsidRPr="00535FA5">
        <w:rPr>
          <w:rFonts w:cstheme="minorHAnsi"/>
          <w:lang w:val="en-US"/>
        </w:rPr>
        <w:t xml:space="preserve">the semen sample. Ronald </w:t>
      </w:r>
      <w:proofErr w:type="spellStart"/>
      <w:r w:rsidRPr="00535FA5">
        <w:rPr>
          <w:rFonts w:cstheme="minorHAnsi"/>
          <w:lang w:val="en-US"/>
        </w:rPr>
        <w:t>Castree</w:t>
      </w:r>
      <w:proofErr w:type="spellEnd"/>
      <w:r w:rsidRPr="00535FA5">
        <w:rPr>
          <w:rFonts w:cstheme="minorHAnsi"/>
          <w:lang w:val="en-US"/>
        </w:rPr>
        <w:t xml:space="preserve"> </w:t>
      </w:r>
      <w:proofErr w:type="gramStart"/>
      <w:r w:rsidRPr="00535FA5">
        <w:rPr>
          <w:rFonts w:cstheme="minorHAnsi"/>
          <w:lang w:val="en-US"/>
        </w:rPr>
        <w:t>had earlie</w:t>
      </w:r>
      <w:r w:rsidR="00821768">
        <w:rPr>
          <w:rFonts w:cstheme="minorHAnsi"/>
          <w:lang w:val="en-US"/>
        </w:rPr>
        <w:t>r been arrested</w:t>
      </w:r>
      <w:proofErr w:type="gramEnd"/>
      <w:r w:rsidR="00821768">
        <w:rPr>
          <w:rFonts w:cstheme="minorHAnsi"/>
          <w:lang w:val="en-US"/>
        </w:rPr>
        <w:t xml:space="preserve"> in 2005 in con</w:t>
      </w:r>
      <w:r w:rsidRPr="00535FA5">
        <w:rPr>
          <w:rFonts w:cstheme="minorHAnsi"/>
          <w:lang w:val="en-US"/>
        </w:rPr>
        <w:t xml:space="preserve">nection with another sex attack but was not then charged. However, his DNA </w:t>
      </w:r>
      <w:proofErr w:type="gramStart"/>
      <w:r w:rsidRPr="00535FA5">
        <w:rPr>
          <w:rFonts w:cstheme="minorHAnsi"/>
          <w:lang w:val="en-US"/>
        </w:rPr>
        <w:t>had been taken and placed on the National DNA Database (NDNAD)</w:t>
      </w:r>
      <w:proofErr w:type="gramEnd"/>
      <w:r w:rsidRPr="00535FA5">
        <w:rPr>
          <w:rFonts w:cstheme="minorHAnsi"/>
          <w:lang w:val="en-US"/>
        </w:rPr>
        <w:t xml:space="preserve">. The profile from the NDNAD then matched the new profile obtained from Lesley </w:t>
      </w:r>
      <w:proofErr w:type="spellStart"/>
      <w:r w:rsidRPr="00535FA5">
        <w:rPr>
          <w:rFonts w:cstheme="minorHAnsi"/>
          <w:lang w:val="en-US"/>
        </w:rPr>
        <w:t>Molseed’s</w:t>
      </w:r>
      <w:proofErr w:type="spellEnd"/>
      <w:r w:rsidRPr="00535FA5">
        <w:rPr>
          <w:rFonts w:cstheme="minorHAnsi"/>
          <w:lang w:val="en-US"/>
        </w:rPr>
        <w:t xml:space="preserve"> underclothes. It took over 30 years to convict the true killer of Lesley </w:t>
      </w:r>
      <w:proofErr w:type="spellStart"/>
      <w:r w:rsidRPr="00535FA5">
        <w:rPr>
          <w:rFonts w:cstheme="minorHAnsi"/>
          <w:lang w:val="en-US"/>
        </w:rPr>
        <w:t>Molseed</w:t>
      </w:r>
      <w:proofErr w:type="spellEnd"/>
      <w:r w:rsidRPr="00535FA5">
        <w:rPr>
          <w:rFonts w:cstheme="minorHAnsi"/>
          <w:lang w:val="en-US"/>
        </w:rPr>
        <w:t>, using DNA techniques u</w:t>
      </w:r>
      <w:r w:rsidR="007A5F16">
        <w:rPr>
          <w:rFonts w:cstheme="minorHAnsi"/>
          <w:lang w:val="en-US"/>
        </w:rPr>
        <w:t xml:space="preserve">navailable when </w:t>
      </w:r>
      <w:proofErr w:type="spellStart"/>
      <w:r w:rsidR="007A5F16">
        <w:rPr>
          <w:rFonts w:cstheme="minorHAnsi"/>
          <w:lang w:val="en-US"/>
        </w:rPr>
        <w:t>Kiszko</w:t>
      </w:r>
      <w:proofErr w:type="spellEnd"/>
      <w:r w:rsidR="007A5F16">
        <w:rPr>
          <w:rFonts w:cstheme="minorHAnsi"/>
          <w:lang w:val="en-US"/>
        </w:rPr>
        <w:t xml:space="preserve"> was con</w:t>
      </w:r>
      <w:r w:rsidRPr="00535FA5">
        <w:rPr>
          <w:rFonts w:cstheme="minorHAnsi"/>
          <w:lang w:val="en-US"/>
        </w:rPr>
        <w:t xml:space="preserve">victed, but Ronald </w:t>
      </w:r>
      <w:proofErr w:type="spellStart"/>
      <w:r w:rsidRPr="00535FA5">
        <w:rPr>
          <w:rFonts w:cstheme="minorHAnsi"/>
          <w:lang w:val="en-US"/>
        </w:rPr>
        <w:t>Castree</w:t>
      </w:r>
      <w:proofErr w:type="spellEnd"/>
      <w:r w:rsidRPr="00535FA5">
        <w:rPr>
          <w:rFonts w:cstheme="minorHAnsi"/>
          <w:lang w:val="en-US"/>
        </w:rPr>
        <w:t xml:space="preserve"> was found guilty (R v. </w:t>
      </w:r>
      <w:proofErr w:type="spellStart"/>
      <w:r w:rsidRPr="00535FA5">
        <w:rPr>
          <w:rFonts w:cstheme="minorHAnsi"/>
          <w:lang w:val="en-US"/>
        </w:rPr>
        <w:t>Castree</w:t>
      </w:r>
      <w:proofErr w:type="spellEnd"/>
      <w:r w:rsidRPr="00535FA5">
        <w:rPr>
          <w:rFonts w:cstheme="minorHAnsi"/>
          <w:lang w:val="en-US"/>
        </w:rPr>
        <w:t xml:space="preserve"> [2008] </w:t>
      </w:r>
      <w:proofErr w:type="gramStart"/>
      <w:r w:rsidRPr="00535FA5">
        <w:rPr>
          <w:rFonts w:cstheme="minorHAnsi"/>
          <w:lang w:val="en-US"/>
        </w:rPr>
        <w:t>EWCA  Crim</w:t>
      </w:r>
      <w:proofErr w:type="gramEnd"/>
      <w:r w:rsidRPr="00535FA5">
        <w:rPr>
          <w:rFonts w:cstheme="minorHAnsi"/>
          <w:lang w:val="en-US"/>
        </w:rPr>
        <w:t xml:space="preserve">. 1866). </w:t>
      </w:r>
      <w:proofErr w:type="spellStart"/>
      <w:r w:rsidRPr="00535FA5">
        <w:rPr>
          <w:rFonts w:cstheme="minorHAnsi"/>
          <w:lang w:val="en-US"/>
        </w:rPr>
        <w:t>Kiszko</w:t>
      </w:r>
      <w:proofErr w:type="spellEnd"/>
      <w:r w:rsidRPr="00535FA5">
        <w:rPr>
          <w:rFonts w:cstheme="minorHAnsi"/>
          <w:lang w:val="en-US"/>
        </w:rPr>
        <w:t xml:space="preserve"> had died shortly after his release and never saw the real perpetrator of the crime imprisoned.</w:t>
      </w:r>
    </w:p>
    <w:p w:rsidR="00535FA5" w:rsidRPr="00535FA5" w:rsidRDefault="00535FA5" w:rsidP="0062665A">
      <w:pPr>
        <w:widowControl w:val="0"/>
        <w:autoSpaceDE w:val="0"/>
        <w:autoSpaceDN w:val="0"/>
        <w:adjustRightInd w:val="0"/>
        <w:spacing w:after="120" w:line="240" w:lineRule="auto"/>
        <w:rPr>
          <w:rFonts w:cstheme="minorHAnsi"/>
          <w:lang w:val="en-US"/>
        </w:rPr>
      </w:pPr>
    </w:p>
    <w:p w:rsidR="00535FA5" w:rsidRPr="00821768" w:rsidRDefault="00535FA5" w:rsidP="0062665A">
      <w:pPr>
        <w:widowControl w:val="0"/>
        <w:autoSpaceDE w:val="0"/>
        <w:autoSpaceDN w:val="0"/>
        <w:adjustRightInd w:val="0"/>
        <w:spacing w:after="120" w:line="240" w:lineRule="auto"/>
        <w:rPr>
          <w:rFonts w:cstheme="minorHAnsi"/>
          <w:b/>
          <w:lang w:val="en-US"/>
        </w:rPr>
      </w:pPr>
      <w:r w:rsidRPr="00821768">
        <w:rPr>
          <w:rFonts w:cstheme="minorHAnsi"/>
          <w:b/>
          <w:lang w:val="en-US"/>
        </w:rPr>
        <w:t xml:space="preserve">“Ear Prints” and the Case of Mark </w:t>
      </w:r>
      <w:proofErr w:type="spellStart"/>
      <w:r w:rsidRPr="00821768">
        <w:rPr>
          <w:rFonts w:cstheme="minorHAnsi"/>
          <w:b/>
          <w:lang w:val="en-US"/>
        </w:rPr>
        <w:t>Dallagher</w:t>
      </w:r>
      <w:proofErr w:type="spellEnd"/>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In 1998, Mark </w:t>
      </w:r>
      <w:proofErr w:type="spellStart"/>
      <w:r w:rsidRPr="00535FA5">
        <w:rPr>
          <w:rFonts w:cstheme="minorHAnsi"/>
          <w:lang w:val="en-US"/>
        </w:rPr>
        <w:t>Dallagher</w:t>
      </w:r>
      <w:proofErr w:type="spellEnd"/>
      <w:r w:rsidRPr="00535FA5">
        <w:rPr>
          <w:rFonts w:cstheme="minorHAnsi"/>
          <w:lang w:val="en-US"/>
        </w:rPr>
        <w:t xml:space="preserve"> </w:t>
      </w:r>
      <w:proofErr w:type="gramStart"/>
      <w:r w:rsidRPr="00535FA5">
        <w:rPr>
          <w:rFonts w:cstheme="minorHAnsi"/>
          <w:lang w:val="en-US"/>
        </w:rPr>
        <w:t>was found</w:t>
      </w:r>
      <w:proofErr w:type="gramEnd"/>
      <w:r w:rsidRPr="00535FA5">
        <w:rPr>
          <w:rFonts w:cstheme="minorHAnsi"/>
          <w:lang w:val="en-US"/>
        </w:rPr>
        <w:t xml:space="preserve"> guilty of the murder of 94-year-old Dorothy Woods. He </w:t>
      </w:r>
      <w:proofErr w:type="gramStart"/>
      <w:r w:rsidRPr="00535FA5">
        <w:rPr>
          <w:rFonts w:cstheme="minorHAnsi"/>
          <w:lang w:val="en-US"/>
        </w:rPr>
        <w:t>was identified</w:t>
      </w:r>
      <w:proofErr w:type="gramEnd"/>
      <w:r w:rsidRPr="00535FA5">
        <w:rPr>
          <w:rFonts w:cstheme="minorHAnsi"/>
          <w:lang w:val="en-US"/>
        </w:rPr>
        <w:t xml:space="preserve"> by a new “ear-printing” technique developed in the Netherlands. The technique </w:t>
      </w:r>
      <w:proofErr w:type="gramStart"/>
      <w:r w:rsidRPr="00535FA5">
        <w:rPr>
          <w:rFonts w:cstheme="minorHAnsi"/>
          <w:lang w:val="en-US"/>
        </w:rPr>
        <w:t>was primarily used</w:t>
      </w:r>
      <w:proofErr w:type="gramEnd"/>
      <w:r w:rsidRPr="00535FA5">
        <w:rPr>
          <w:rFonts w:cstheme="minorHAnsi"/>
          <w:lang w:val="en-US"/>
        </w:rPr>
        <w:t xml:space="preserve"> to identify burglars who habitually “listen” at walls or windows to detect occupiers before entering an abode. While listening, burglars would press their ears against a surface, and based upon the same principles of fingerprinting, an “ear print” </w:t>
      </w:r>
      <w:proofErr w:type="gramStart"/>
      <w:r w:rsidRPr="00535FA5">
        <w:rPr>
          <w:rFonts w:cstheme="minorHAnsi"/>
          <w:lang w:val="en-US"/>
        </w:rPr>
        <w:t>would be left</w:t>
      </w:r>
      <w:proofErr w:type="gramEnd"/>
      <w:r w:rsidRPr="00535FA5">
        <w:rPr>
          <w:rFonts w:cstheme="minorHAnsi"/>
          <w:lang w:val="en-US"/>
        </w:rPr>
        <w:t xml:space="preserve">. This “print” </w:t>
      </w:r>
      <w:proofErr w:type="gramStart"/>
      <w:r w:rsidRPr="00535FA5">
        <w:rPr>
          <w:rFonts w:cstheme="minorHAnsi"/>
          <w:lang w:val="en-US"/>
        </w:rPr>
        <w:t>could then be compared</w:t>
      </w:r>
      <w:proofErr w:type="gramEnd"/>
      <w:r w:rsidRPr="00535FA5">
        <w:rPr>
          <w:rFonts w:cstheme="minorHAnsi"/>
          <w:lang w:val="en-US"/>
        </w:rPr>
        <w:t xml:space="preserve"> to that of a suspect using computer technology. Two experts, Van Der </w:t>
      </w:r>
      <w:proofErr w:type="spellStart"/>
      <w:r w:rsidRPr="00535FA5">
        <w:rPr>
          <w:rFonts w:cstheme="minorHAnsi"/>
          <w:lang w:val="en-US"/>
        </w:rPr>
        <w:t>Lugt</w:t>
      </w:r>
      <w:proofErr w:type="spellEnd"/>
      <w:r w:rsidRPr="00535FA5">
        <w:rPr>
          <w:rFonts w:cstheme="minorHAnsi"/>
          <w:lang w:val="en-US"/>
        </w:rPr>
        <w:t xml:space="preserve">, a Dutch police officer, and </w:t>
      </w:r>
      <w:proofErr w:type="spellStart"/>
      <w:r w:rsidRPr="00535FA5">
        <w:rPr>
          <w:rFonts w:cstheme="minorHAnsi"/>
          <w:lang w:val="en-US"/>
        </w:rPr>
        <w:t>Regius</w:t>
      </w:r>
      <w:proofErr w:type="spellEnd"/>
      <w:r w:rsidRPr="00535FA5">
        <w:rPr>
          <w:rFonts w:cstheme="minorHAnsi"/>
          <w:lang w:val="en-US"/>
        </w:rPr>
        <w:t xml:space="preserve"> Professor of Forensic Medicine and Science Peter </w:t>
      </w:r>
      <w:proofErr w:type="spellStart"/>
      <w:r w:rsidRPr="00535FA5">
        <w:rPr>
          <w:rFonts w:cstheme="minorHAnsi"/>
          <w:lang w:val="en-US"/>
        </w:rPr>
        <w:t>Vanezis</w:t>
      </w:r>
      <w:proofErr w:type="spellEnd"/>
      <w:r w:rsidRPr="00535FA5">
        <w:rPr>
          <w:rFonts w:cstheme="minorHAnsi"/>
          <w:lang w:val="en-US"/>
        </w:rPr>
        <w:t xml:space="preserve"> of Glasgow University, testified in court that they had “matched” </w:t>
      </w:r>
      <w:proofErr w:type="spellStart"/>
      <w:r w:rsidRPr="00535FA5">
        <w:rPr>
          <w:rFonts w:cstheme="minorHAnsi"/>
          <w:lang w:val="en-US"/>
        </w:rPr>
        <w:t>Dallagher’s</w:t>
      </w:r>
      <w:proofErr w:type="spellEnd"/>
      <w:r w:rsidRPr="00535FA5">
        <w:rPr>
          <w:rFonts w:cstheme="minorHAnsi"/>
          <w:lang w:val="en-US"/>
        </w:rPr>
        <w:t xml:space="preserve"> ear prints to those on Dorothy Wood’s window. </w:t>
      </w:r>
      <w:proofErr w:type="spellStart"/>
      <w:r w:rsidRPr="00535FA5">
        <w:rPr>
          <w:rFonts w:cstheme="minorHAnsi"/>
          <w:lang w:val="en-US"/>
        </w:rPr>
        <w:t>Dallag</w:t>
      </w:r>
      <w:r w:rsidR="00821768">
        <w:rPr>
          <w:rFonts w:cstheme="minorHAnsi"/>
          <w:lang w:val="en-US"/>
        </w:rPr>
        <w:t>her</w:t>
      </w:r>
      <w:proofErr w:type="spellEnd"/>
      <w:r w:rsidR="00821768">
        <w:rPr>
          <w:rFonts w:cstheme="minorHAnsi"/>
          <w:lang w:val="en-US"/>
        </w:rPr>
        <w:t xml:space="preserve"> con</w:t>
      </w:r>
      <w:r w:rsidRPr="00535FA5">
        <w:rPr>
          <w:rFonts w:cstheme="minorHAnsi"/>
          <w:lang w:val="en-US"/>
        </w:rPr>
        <w:t xml:space="preserve">tinued to maintain his innocence throughout his six-year imprisonment, before DNA testing on exhibits at the crime scene pointed to a different perpetrator. At his appeal, the Crown claimed to have “anxieties” about the case and offered no contest, leaving </w:t>
      </w:r>
      <w:proofErr w:type="spellStart"/>
      <w:r w:rsidRPr="00535FA5">
        <w:rPr>
          <w:rFonts w:cstheme="minorHAnsi"/>
          <w:lang w:val="en-US"/>
        </w:rPr>
        <w:t>Dallagher</w:t>
      </w:r>
      <w:proofErr w:type="spellEnd"/>
      <w:r w:rsidRPr="00535FA5">
        <w:rPr>
          <w:rFonts w:cstheme="minorHAnsi"/>
          <w:lang w:val="en-US"/>
        </w:rPr>
        <w:t xml:space="preserve"> to walk free (R v. </w:t>
      </w:r>
      <w:proofErr w:type="spellStart"/>
      <w:r w:rsidRPr="00535FA5">
        <w:rPr>
          <w:rFonts w:cstheme="minorHAnsi"/>
          <w:lang w:val="en-US"/>
        </w:rPr>
        <w:t>Dallagher</w:t>
      </w:r>
      <w:proofErr w:type="spellEnd"/>
      <w:r w:rsidRPr="00535FA5">
        <w:rPr>
          <w:rFonts w:cstheme="minorHAnsi"/>
          <w:lang w:val="en-US"/>
        </w:rPr>
        <w:t xml:space="preserve"> [2002] EWCA CRIM. 1903).</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The </w:t>
      </w:r>
      <w:proofErr w:type="spellStart"/>
      <w:r w:rsidRPr="00535FA5">
        <w:rPr>
          <w:rFonts w:cstheme="minorHAnsi"/>
          <w:lang w:val="en-US"/>
        </w:rPr>
        <w:t>Dallagher</w:t>
      </w:r>
      <w:proofErr w:type="spellEnd"/>
      <w:r w:rsidRPr="00535FA5">
        <w:rPr>
          <w:rFonts w:cstheme="minorHAnsi"/>
          <w:lang w:val="en-US"/>
        </w:rPr>
        <w:t xml:space="preserve"> case highlights the danger</w:t>
      </w:r>
      <w:r w:rsidR="00821768">
        <w:rPr>
          <w:rFonts w:cstheme="minorHAnsi"/>
          <w:lang w:val="en-US"/>
        </w:rPr>
        <w:t>s of reliance upon new identifi</w:t>
      </w:r>
      <w:r w:rsidRPr="00535FA5">
        <w:rPr>
          <w:rFonts w:cstheme="minorHAnsi"/>
          <w:lang w:val="en-US"/>
        </w:rPr>
        <w:t xml:space="preserve">cation techniques. Expertise in the courtroom can be highly persuasive, but its scientific base </w:t>
      </w:r>
      <w:proofErr w:type="gramStart"/>
      <w:r w:rsidRPr="00535FA5">
        <w:rPr>
          <w:rFonts w:cstheme="minorHAnsi"/>
          <w:lang w:val="en-US"/>
        </w:rPr>
        <w:t>should be rigorously tested</w:t>
      </w:r>
      <w:proofErr w:type="gramEnd"/>
      <w:r w:rsidRPr="00535FA5">
        <w:rPr>
          <w:rFonts w:cstheme="minorHAnsi"/>
          <w:lang w:val="en-US"/>
        </w:rPr>
        <w:t xml:space="preserve"> before being applied in criminal cases. In this instance, DNA testing demonstrated the fallacy of the ear-print “science,” whereas neither the scientific community nor the courts had been effective at testing the “science.”</w:t>
      </w:r>
    </w:p>
    <w:p w:rsidR="00535FA5" w:rsidRPr="00535FA5" w:rsidRDefault="00535FA5" w:rsidP="0062665A">
      <w:pPr>
        <w:widowControl w:val="0"/>
        <w:autoSpaceDE w:val="0"/>
        <w:autoSpaceDN w:val="0"/>
        <w:adjustRightInd w:val="0"/>
        <w:spacing w:after="120" w:line="240" w:lineRule="auto"/>
        <w:rPr>
          <w:rFonts w:cstheme="minorHAnsi"/>
          <w:lang w:val="en-US"/>
        </w:rPr>
      </w:pPr>
    </w:p>
    <w:p w:rsidR="00535FA5" w:rsidRPr="00821768" w:rsidRDefault="00535FA5" w:rsidP="0062665A">
      <w:pPr>
        <w:widowControl w:val="0"/>
        <w:autoSpaceDE w:val="0"/>
        <w:autoSpaceDN w:val="0"/>
        <w:adjustRightInd w:val="0"/>
        <w:spacing w:after="120" w:line="240" w:lineRule="auto"/>
        <w:rPr>
          <w:rFonts w:cstheme="minorHAnsi"/>
          <w:b/>
          <w:lang w:val="en-US"/>
        </w:rPr>
      </w:pPr>
      <w:r w:rsidRPr="00821768">
        <w:rPr>
          <w:rFonts w:cstheme="minorHAnsi"/>
          <w:b/>
          <w:lang w:val="en-US"/>
        </w:rPr>
        <w:t>DNA “Gold Standard”?</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The advent of forensic DNA testing has been revolutionary, leading to the accurate detection and conviction of many criminals and the exoneration of hundreds of wrongly convicted. However, while DNA </w:t>
      </w:r>
      <w:proofErr w:type="gramStart"/>
      <w:r w:rsidRPr="00535FA5">
        <w:rPr>
          <w:rFonts w:cstheme="minorHAnsi"/>
          <w:lang w:val="en-US"/>
        </w:rPr>
        <w:t>is lauded</w:t>
      </w:r>
      <w:proofErr w:type="gramEnd"/>
      <w:r w:rsidRPr="00535FA5">
        <w:rPr>
          <w:rFonts w:cstheme="minorHAnsi"/>
          <w:lang w:val="en-US"/>
        </w:rPr>
        <w:t xml:space="preserve"> as the “gold standard” of forensic identification technology, there is sometimes confusion as to the extent of its proof, including a need to distinguish identity match from matters such as when or why a person came to be identified.</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A recent illustration of the disputes concerns the investigation into the murder of two British soldiers at </w:t>
      </w:r>
      <w:proofErr w:type="spellStart"/>
      <w:r w:rsidRPr="00535FA5">
        <w:rPr>
          <w:rFonts w:cstheme="minorHAnsi"/>
          <w:lang w:val="en-US"/>
        </w:rPr>
        <w:t>Masseree</w:t>
      </w:r>
      <w:r w:rsidR="00BE6290">
        <w:rPr>
          <w:rFonts w:cstheme="minorHAnsi"/>
          <w:lang w:val="en-US"/>
        </w:rPr>
        <w:t>ne</w:t>
      </w:r>
      <w:proofErr w:type="spellEnd"/>
      <w:r w:rsidR="00BE6290">
        <w:rPr>
          <w:rFonts w:cstheme="minorHAnsi"/>
          <w:lang w:val="en-US"/>
        </w:rPr>
        <w:t xml:space="preserve"> Barracks, Northern Ireland, </w:t>
      </w:r>
      <w:r w:rsidRPr="00535FA5">
        <w:rPr>
          <w:rFonts w:cstheme="minorHAnsi"/>
          <w:lang w:val="en-US"/>
        </w:rPr>
        <w:t xml:space="preserve">in 2009 (R v. Duffy and Shivers [2011] NICC 37). Much of the evidence </w:t>
      </w:r>
      <w:proofErr w:type="gramStart"/>
      <w:r w:rsidRPr="00535FA5">
        <w:rPr>
          <w:rFonts w:cstheme="minorHAnsi"/>
          <w:lang w:val="en-US"/>
        </w:rPr>
        <w:t>was based</w:t>
      </w:r>
      <w:proofErr w:type="gramEnd"/>
      <w:r w:rsidRPr="00535FA5">
        <w:rPr>
          <w:rFonts w:cstheme="minorHAnsi"/>
          <w:lang w:val="en-US"/>
        </w:rPr>
        <w:t xml:space="preserve"> on identifications at the scene, testimo</w:t>
      </w:r>
      <w:r w:rsidR="00821768">
        <w:rPr>
          <w:rFonts w:cstheme="minorHAnsi"/>
          <w:lang w:val="en-US"/>
        </w:rPr>
        <w:t>ny of the defendants, and mate</w:t>
      </w:r>
      <w:r w:rsidRPr="00535FA5">
        <w:rPr>
          <w:rFonts w:cstheme="minorHAnsi"/>
          <w:lang w:val="en-US"/>
        </w:rPr>
        <w:t xml:space="preserve">rials found in the burned-out getaway car. </w:t>
      </w:r>
      <w:r w:rsidR="00821768">
        <w:rPr>
          <w:rFonts w:cstheme="minorHAnsi"/>
          <w:lang w:val="en-US"/>
        </w:rPr>
        <w:t>DNA tests had linked one defen</w:t>
      </w:r>
      <w:r w:rsidRPr="00535FA5">
        <w:rPr>
          <w:rFonts w:cstheme="minorHAnsi"/>
          <w:lang w:val="en-US"/>
        </w:rPr>
        <w:t xml:space="preserve">dant, Duffy, to the tip of a latex glove and seat-belt buckle in the abandoned car. The DNA of Shivers </w:t>
      </w:r>
      <w:proofErr w:type="gramStart"/>
      <w:r w:rsidRPr="00535FA5">
        <w:rPr>
          <w:rFonts w:cstheme="minorHAnsi"/>
          <w:lang w:val="en-US"/>
        </w:rPr>
        <w:t>was linked</w:t>
      </w:r>
      <w:proofErr w:type="gramEnd"/>
      <w:r w:rsidRPr="00535FA5">
        <w:rPr>
          <w:rFonts w:cstheme="minorHAnsi"/>
          <w:lang w:val="en-US"/>
        </w:rPr>
        <w:t xml:space="preserve"> to matches and a mobile phone. The judge, sitting without a jury, decided that while he was satisfied that the DNA link to the car was soundly established, the p</w:t>
      </w:r>
      <w:r w:rsidR="00821768">
        <w:rPr>
          <w:rFonts w:cstheme="minorHAnsi"/>
          <w:lang w:val="en-US"/>
        </w:rPr>
        <w:t>rosecution had failed to demon</w:t>
      </w:r>
      <w:r w:rsidRPr="00535FA5">
        <w:rPr>
          <w:rFonts w:cstheme="minorHAnsi"/>
          <w:lang w:val="en-US"/>
        </w:rPr>
        <w:t xml:space="preserve">strate that the DNA alone linked Duffy to the murder plot, whereas stronger evidence was adduced against Shivers, including lies about his whereabouts. A further crucial issue in the case was </w:t>
      </w:r>
      <w:proofErr w:type="gramStart"/>
      <w:r w:rsidRPr="00535FA5">
        <w:rPr>
          <w:rFonts w:cstheme="minorHAnsi"/>
          <w:lang w:val="en-US"/>
        </w:rPr>
        <w:t>also</w:t>
      </w:r>
      <w:proofErr w:type="gramEnd"/>
      <w:r w:rsidRPr="00535FA5">
        <w:rPr>
          <w:rFonts w:cstheme="minorHAnsi"/>
          <w:lang w:val="en-US"/>
        </w:rPr>
        <w:t xml:space="preserve"> whe</w:t>
      </w:r>
      <w:r w:rsidR="00821768">
        <w:rPr>
          <w:rFonts w:cstheme="minorHAnsi"/>
          <w:lang w:val="en-US"/>
        </w:rPr>
        <w:t>ther the novel statistical pro</w:t>
      </w:r>
      <w:r w:rsidRPr="00535FA5">
        <w:rPr>
          <w:rFonts w:cstheme="minorHAnsi"/>
          <w:lang w:val="en-US"/>
        </w:rPr>
        <w:t>cess used could be regarded as having achieved sufficient recognition as valid and reliable.</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This controversy had earlier received publicity in another Northern</w:t>
      </w:r>
      <w:r w:rsidR="00821768">
        <w:rPr>
          <w:rFonts w:cstheme="minorHAnsi"/>
          <w:lang w:val="en-US"/>
        </w:rPr>
        <w:t xml:space="preserve"> </w:t>
      </w:r>
      <w:r w:rsidRPr="00535FA5">
        <w:rPr>
          <w:rFonts w:cstheme="minorHAnsi"/>
          <w:lang w:val="en-US"/>
        </w:rPr>
        <w:t>Ireland cas</w:t>
      </w:r>
      <w:r w:rsidR="00821768">
        <w:rPr>
          <w:rFonts w:cstheme="minorHAnsi"/>
          <w:lang w:val="en-US"/>
        </w:rPr>
        <w:t>e, in the prosecution of Sean Hoe for the</w:t>
      </w:r>
      <w:r w:rsidRPr="00535FA5">
        <w:rPr>
          <w:rFonts w:cstheme="minorHAnsi"/>
          <w:lang w:val="en-US"/>
        </w:rPr>
        <w:t xml:space="preserve"> </w:t>
      </w:r>
      <w:proofErr w:type="spellStart"/>
      <w:r w:rsidRPr="00535FA5">
        <w:rPr>
          <w:rFonts w:cstheme="minorHAnsi"/>
          <w:lang w:val="en-US"/>
        </w:rPr>
        <w:t>Omagh</w:t>
      </w:r>
      <w:proofErr w:type="spellEnd"/>
      <w:r w:rsidRPr="00535FA5">
        <w:rPr>
          <w:rFonts w:cstheme="minorHAnsi"/>
          <w:lang w:val="en-US"/>
        </w:rPr>
        <w:t xml:space="preserve"> bombing (R v. </w:t>
      </w:r>
      <w:proofErr w:type="spellStart"/>
      <w:r w:rsidRPr="00535FA5">
        <w:rPr>
          <w:rFonts w:cstheme="minorHAnsi"/>
          <w:lang w:val="en-US"/>
        </w:rPr>
        <w:t>Hoey</w:t>
      </w:r>
      <w:proofErr w:type="spellEnd"/>
      <w:r w:rsidRPr="00535FA5">
        <w:rPr>
          <w:rFonts w:cstheme="minorHAnsi"/>
          <w:lang w:val="en-US"/>
        </w:rPr>
        <w:t xml:space="preserve"> [2007] NICC 49). In that case, the judge ruled that the “novel” technique of testing ever-smaller samples for DNA known as “low template number DNA” </w:t>
      </w:r>
      <w:r w:rsidRPr="00535FA5">
        <w:rPr>
          <w:rFonts w:cstheme="minorHAnsi"/>
          <w:lang w:val="en-US"/>
        </w:rPr>
        <w:lastRenderedPageBreak/>
        <w:t xml:space="preserve">(LTDNA) had not yet reached the level of “general acceptance” within the scientific community. For that, among other reasons, the judge ordered an acquittal. In 2010, LTDNA was further considered in R v. Reed and Reed (R v. Reed and Reed [2010] </w:t>
      </w:r>
      <w:proofErr w:type="gramStart"/>
      <w:r w:rsidRPr="00535FA5">
        <w:rPr>
          <w:rFonts w:cstheme="minorHAnsi"/>
          <w:lang w:val="en-US"/>
        </w:rPr>
        <w:t>1</w:t>
      </w:r>
      <w:proofErr w:type="gramEnd"/>
      <w:r w:rsidRPr="00535FA5">
        <w:rPr>
          <w:rFonts w:cstheme="minorHAnsi"/>
          <w:lang w:val="en-US"/>
        </w:rPr>
        <w:t xml:space="preserve"> CR. A</w:t>
      </w:r>
      <w:r w:rsidR="00821768">
        <w:rPr>
          <w:rFonts w:cstheme="minorHAnsi"/>
          <w:lang w:val="en-US"/>
        </w:rPr>
        <w:t>PP. R. 23) and this time admit</w:t>
      </w:r>
      <w:r w:rsidRPr="00535FA5">
        <w:rPr>
          <w:rFonts w:cstheme="minorHAnsi"/>
          <w:lang w:val="en-US"/>
        </w:rPr>
        <w:t>ted as evidence by the English Court of Appeal.</w:t>
      </w:r>
    </w:p>
    <w:p w:rsidR="00535FA5" w:rsidRPr="00535FA5" w:rsidRDefault="00535FA5" w:rsidP="0062665A">
      <w:pPr>
        <w:widowControl w:val="0"/>
        <w:autoSpaceDE w:val="0"/>
        <w:autoSpaceDN w:val="0"/>
        <w:adjustRightInd w:val="0"/>
        <w:spacing w:after="120" w:line="240" w:lineRule="auto"/>
        <w:rPr>
          <w:rFonts w:cstheme="minorHAnsi"/>
          <w:lang w:val="en-US"/>
        </w:rPr>
      </w:pPr>
    </w:p>
    <w:p w:rsidR="00535FA5" w:rsidRPr="003D3711" w:rsidRDefault="00535FA5" w:rsidP="0062665A">
      <w:pPr>
        <w:widowControl w:val="0"/>
        <w:autoSpaceDE w:val="0"/>
        <w:autoSpaceDN w:val="0"/>
        <w:adjustRightInd w:val="0"/>
        <w:spacing w:after="120" w:line="240" w:lineRule="auto"/>
        <w:rPr>
          <w:rFonts w:cstheme="minorHAnsi"/>
          <w:b/>
          <w:sz w:val="28"/>
          <w:szCs w:val="28"/>
          <w:lang w:val="en-US"/>
        </w:rPr>
      </w:pPr>
      <w:r w:rsidRPr="003D3711">
        <w:rPr>
          <w:rFonts w:cstheme="minorHAnsi"/>
          <w:b/>
          <w:sz w:val="28"/>
          <w:szCs w:val="28"/>
          <w:lang w:val="en-US"/>
        </w:rPr>
        <w:t>Features of Flawed Forensic Science Cases</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There are common features to many of the cases involving flawed forensic evidence.</w:t>
      </w:r>
    </w:p>
    <w:p w:rsidR="00535FA5" w:rsidRPr="00535FA5" w:rsidRDefault="00535FA5" w:rsidP="0062665A">
      <w:pPr>
        <w:widowControl w:val="0"/>
        <w:autoSpaceDE w:val="0"/>
        <w:autoSpaceDN w:val="0"/>
        <w:adjustRightInd w:val="0"/>
        <w:spacing w:after="120" w:line="240" w:lineRule="auto"/>
        <w:rPr>
          <w:rFonts w:cstheme="minorHAnsi"/>
          <w:lang w:val="en-US"/>
        </w:rPr>
      </w:pPr>
    </w:p>
    <w:p w:rsidR="00535FA5" w:rsidRPr="00821768" w:rsidRDefault="00535FA5" w:rsidP="0062665A">
      <w:pPr>
        <w:widowControl w:val="0"/>
        <w:autoSpaceDE w:val="0"/>
        <w:autoSpaceDN w:val="0"/>
        <w:adjustRightInd w:val="0"/>
        <w:spacing w:after="120" w:line="240" w:lineRule="auto"/>
        <w:rPr>
          <w:rFonts w:cstheme="minorHAnsi"/>
          <w:b/>
          <w:lang w:val="en-US"/>
        </w:rPr>
      </w:pPr>
      <w:r w:rsidRPr="00821768">
        <w:rPr>
          <w:rFonts w:cstheme="minorHAnsi"/>
          <w:b/>
          <w:lang w:val="en-US"/>
        </w:rPr>
        <w:t>Contamination and Errors</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The collection of materials, which </w:t>
      </w:r>
      <w:proofErr w:type="gramStart"/>
      <w:r w:rsidRPr="00535FA5">
        <w:rPr>
          <w:rFonts w:cstheme="minorHAnsi"/>
          <w:lang w:val="en-US"/>
        </w:rPr>
        <w:t>will eventuall</w:t>
      </w:r>
      <w:r w:rsidR="00821768">
        <w:rPr>
          <w:rFonts w:cstheme="minorHAnsi"/>
          <w:lang w:val="en-US"/>
        </w:rPr>
        <w:t>y be tested</w:t>
      </w:r>
      <w:proofErr w:type="gramEnd"/>
      <w:r w:rsidR="00821768">
        <w:rPr>
          <w:rFonts w:cstheme="minorHAnsi"/>
          <w:lang w:val="en-US"/>
        </w:rPr>
        <w:t xml:space="preserve"> in forensic labora</w:t>
      </w:r>
      <w:r w:rsidRPr="00535FA5">
        <w:rPr>
          <w:rFonts w:cstheme="minorHAnsi"/>
          <w:lang w:val="en-US"/>
        </w:rPr>
        <w:t>tories, is primarily at the discretion of the police. Thus, the obvious dangers arise that nonscientists will accidentally contaminate evidence or that they will fail to appreciate the value of available evidence and will fail to forward it to the laboratory (perhaps because of budg</w:t>
      </w:r>
      <w:r w:rsidR="00821768">
        <w:rPr>
          <w:rFonts w:cstheme="minorHAnsi"/>
          <w:lang w:val="en-US"/>
        </w:rPr>
        <w:t>etary constraints). The deploy</w:t>
      </w:r>
      <w:r w:rsidRPr="00535FA5">
        <w:rPr>
          <w:rFonts w:cstheme="minorHAnsi"/>
          <w:lang w:val="en-US"/>
        </w:rPr>
        <w:t>ment of professional Scenes of Crime Officers (SOCOs) or Scenes of Crime Examiners (SCEs) by no means solves all the problems, since they attend only a minority of crimes scenes, often only after other police officers have visited. The Disclosure Manual (CPS, 2005), issued under the Criminal Procedure and Investigations Act 1996, requires police investigators to “ensure that all reasonable steps are taken for the purpos</w:t>
      </w:r>
      <w:r w:rsidR="00821768">
        <w:rPr>
          <w:rFonts w:cstheme="minorHAnsi"/>
          <w:lang w:val="en-US"/>
        </w:rPr>
        <w:t xml:space="preserve">es of the investigation and, in </w:t>
      </w:r>
      <w:r w:rsidRPr="00535FA5">
        <w:rPr>
          <w:rFonts w:cstheme="minorHAnsi"/>
          <w:lang w:val="en-US"/>
        </w:rPr>
        <w:t>particular, that all reasonable lines of enquir</w:t>
      </w:r>
      <w:r w:rsidR="007A5F16">
        <w:rPr>
          <w:rFonts w:cstheme="minorHAnsi"/>
          <w:lang w:val="en-US"/>
        </w:rPr>
        <w:t>y are pursued” (CPS, 2005: para</w:t>
      </w:r>
      <w:r w:rsidRPr="00535FA5">
        <w:rPr>
          <w:rFonts w:cstheme="minorHAnsi"/>
          <w:lang w:val="en-US"/>
        </w:rPr>
        <w:t xml:space="preserve">graph 3.5). However, there are no specified means of enforcement, and defense teams </w:t>
      </w:r>
      <w:proofErr w:type="gramStart"/>
      <w:r w:rsidRPr="00535FA5">
        <w:rPr>
          <w:rFonts w:cstheme="minorHAnsi"/>
          <w:lang w:val="en-US"/>
        </w:rPr>
        <w:t>are not given</w:t>
      </w:r>
      <w:proofErr w:type="gramEnd"/>
      <w:r w:rsidRPr="00535FA5">
        <w:rPr>
          <w:rFonts w:cstheme="minorHAnsi"/>
          <w:lang w:val="en-US"/>
        </w:rPr>
        <w:t xml:space="preserve"> resources to check for them</w:t>
      </w:r>
      <w:r w:rsidR="00821768">
        <w:rPr>
          <w:rFonts w:cstheme="minorHAnsi"/>
          <w:lang w:val="en-US"/>
        </w:rPr>
        <w:t>selves. As well as the contami</w:t>
      </w:r>
      <w:r w:rsidRPr="00535FA5">
        <w:rPr>
          <w:rFonts w:cstheme="minorHAnsi"/>
          <w:lang w:val="en-US"/>
        </w:rPr>
        <w:t xml:space="preserve">nation of exhibits and samples at the scene of the crime, the samples placed in the hands of police and scientists </w:t>
      </w:r>
      <w:proofErr w:type="gramStart"/>
      <w:r w:rsidRPr="00535FA5">
        <w:rPr>
          <w:rFonts w:cstheme="minorHAnsi"/>
          <w:lang w:val="en-US"/>
        </w:rPr>
        <w:t>are also</w:t>
      </w:r>
      <w:proofErr w:type="gramEnd"/>
      <w:r w:rsidRPr="00535FA5">
        <w:rPr>
          <w:rFonts w:cstheme="minorHAnsi"/>
          <w:lang w:val="en-US"/>
        </w:rPr>
        <w:t xml:space="preserve"> at risk if not handled properly. For example, in Germany, police forces expended thousands of hours in chasing the “Phantom of Heilbronn” (CPS, 2005:</w:t>
      </w:r>
      <w:r w:rsidR="007A5F16">
        <w:rPr>
          <w:rFonts w:cstheme="minorHAnsi"/>
          <w:lang w:val="en-US"/>
        </w:rPr>
        <w:t xml:space="preserve"> </w:t>
      </w:r>
      <w:r w:rsidRPr="00535FA5">
        <w:rPr>
          <w:rFonts w:cstheme="minorHAnsi"/>
          <w:lang w:val="en-US"/>
        </w:rPr>
        <w:t xml:space="preserve">paragraph 3.5). The basis of this was the DNA profile of an unknown woman that was turning up at crime scenes for several years. The “Phantom” </w:t>
      </w:r>
      <w:proofErr w:type="gramStart"/>
      <w:r w:rsidRPr="00535FA5">
        <w:rPr>
          <w:rFonts w:cstheme="minorHAnsi"/>
          <w:lang w:val="en-US"/>
        </w:rPr>
        <w:t>was considered</w:t>
      </w:r>
      <w:proofErr w:type="gramEnd"/>
      <w:r w:rsidRPr="00535FA5">
        <w:rPr>
          <w:rFonts w:cstheme="minorHAnsi"/>
          <w:lang w:val="en-US"/>
        </w:rPr>
        <w:t xml:space="preserve"> a criminal mastermind, evading capture despite large rewards for her </w:t>
      </w:r>
      <w:r w:rsidR="00821768">
        <w:rPr>
          <w:rFonts w:cstheme="minorHAnsi"/>
          <w:lang w:val="en-US"/>
        </w:rPr>
        <w:t>identification. However, inves</w:t>
      </w:r>
      <w:r w:rsidRPr="00535FA5">
        <w:rPr>
          <w:rFonts w:cstheme="minorHAnsi"/>
          <w:lang w:val="en-US"/>
        </w:rPr>
        <w:t xml:space="preserve">tigators finally realized that contamination was the more likely answer, and cotton swabs used in the DNA process </w:t>
      </w:r>
      <w:proofErr w:type="gramStart"/>
      <w:r w:rsidRPr="00535FA5">
        <w:rPr>
          <w:rFonts w:cstheme="minorHAnsi"/>
          <w:lang w:val="en-US"/>
        </w:rPr>
        <w:t>were eventually shown</w:t>
      </w:r>
      <w:proofErr w:type="gramEnd"/>
      <w:r w:rsidRPr="00535FA5">
        <w:rPr>
          <w:rFonts w:cstheme="minorHAnsi"/>
          <w:lang w:val="en-US"/>
        </w:rPr>
        <w:t xml:space="preserve"> to be the cause.</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R</w:t>
      </w:r>
      <w:r w:rsidR="00821768">
        <w:rPr>
          <w:rFonts w:cstheme="minorHAnsi"/>
          <w:lang w:val="en-US"/>
        </w:rPr>
        <w:t xml:space="preserve">ecent high-profile errors have also arisen in </w:t>
      </w:r>
      <w:r w:rsidRPr="00535FA5">
        <w:rPr>
          <w:rFonts w:cstheme="minorHAnsi"/>
          <w:lang w:val="en-US"/>
        </w:rPr>
        <w:t>the</w:t>
      </w:r>
      <w:r w:rsidR="00821768">
        <w:rPr>
          <w:rFonts w:cstheme="minorHAnsi"/>
          <w:lang w:val="en-US"/>
        </w:rPr>
        <w:t xml:space="preserve"> United</w:t>
      </w:r>
      <w:r w:rsidRPr="00535FA5">
        <w:rPr>
          <w:rFonts w:cstheme="minorHAnsi"/>
          <w:lang w:val="en-US"/>
        </w:rPr>
        <w:t xml:space="preserve"> Kingdom in 2012. A young man in Exeter, Adam Scott, was charged with a rape in Manchester, </w:t>
      </w:r>
      <w:proofErr w:type="gramStart"/>
      <w:r w:rsidRPr="00535FA5">
        <w:rPr>
          <w:rFonts w:cstheme="minorHAnsi"/>
          <w:lang w:val="en-US"/>
        </w:rPr>
        <w:t>on the basis of</w:t>
      </w:r>
      <w:proofErr w:type="gramEnd"/>
      <w:r w:rsidRPr="00535FA5">
        <w:rPr>
          <w:rFonts w:cstheme="minorHAnsi"/>
          <w:lang w:val="en-US"/>
        </w:rPr>
        <w:t xml:space="preserve"> a DNA “match.” He denied ever having travelled to Manchester, and his lawyer pressed for furt</w:t>
      </w:r>
      <w:r w:rsidR="00821768">
        <w:rPr>
          <w:rFonts w:cstheme="minorHAnsi"/>
          <w:lang w:val="en-US"/>
        </w:rPr>
        <w:t xml:space="preserve">her testing of the results. It </w:t>
      </w:r>
      <w:r w:rsidRPr="00535FA5">
        <w:rPr>
          <w:rFonts w:cstheme="minorHAnsi"/>
          <w:lang w:val="en-US"/>
        </w:rPr>
        <w:t xml:space="preserve">transpired that the DNA from the rape case </w:t>
      </w:r>
      <w:proofErr w:type="gramStart"/>
      <w:r w:rsidRPr="00535FA5">
        <w:rPr>
          <w:rFonts w:cstheme="minorHAnsi"/>
          <w:lang w:val="en-US"/>
        </w:rPr>
        <w:t>had been contaminated</w:t>
      </w:r>
      <w:proofErr w:type="gramEnd"/>
      <w:r w:rsidRPr="00535FA5">
        <w:rPr>
          <w:rFonts w:cstheme="minorHAnsi"/>
          <w:lang w:val="en-US"/>
        </w:rPr>
        <w:t xml:space="preserve"> with the laboratories of LGC Forensics by a sample taken from Scott when arrested for a minor affray offense (BBC, 2009).</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During the lengthy and perplexing police investigation into the death of MI6 employee, Gareth Williams, LGC Forensics provided police with a DNA profile from the scene. The police spent a yea</w:t>
      </w:r>
      <w:r w:rsidR="00821768">
        <w:rPr>
          <w:rFonts w:cstheme="minorHAnsi"/>
          <w:lang w:val="en-US"/>
        </w:rPr>
        <w:t>r attempting to trace the indi</w:t>
      </w:r>
      <w:r w:rsidRPr="00535FA5">
        <w:rPr>
          <w:rFonts w:cstheme="minorHAnsi"/>
          <w:lang w:val="en-US"/>
        </w:rPr>
        <w:t xml:space="preserve">vidual responsible for leaving the DNA, to no avail. It </w:t>
      </w:r>
      <w:proofErr w:type="gramStart"/>
      <w:r w:rsidRPr="00535FA5">
        <w:rPr>
          <w:rFonts w:cstheme="minorHAnsi"/>
          <w:lang w:val="en-US"/>
        </w:rPr>
        <w:t>was later discovered</w:t>
      </w:r>
      <w:proofErr w:type="gramEnd"/>
      <w:r w:rsidRPr="00535FA5">
        <w:rPr>
          <w:rFonts w:cstheme="minorHAnsi"/>
          <w:lang w:val="en-US"/>
        </w:rPr>
        <w:t xml:space="preserve"> that an LGC employee, manually entering the DNA profile into a computer, had transposed the numbers “3” and “5,” r</w:t>
      </w:r>
      <w:r w:rsidR="00821768">
        <w:rPr>
          <w:rFonts w:cstheme="minorHAnsi"/>
          <w:lang w:val="en-US"/>
        </w:rPr>
        <w:t>endering the DNA profile incor</w:t>
      </w:r>
      <w:r w:rsidRPr="00535FA5">
        <w:rPr>
          <w:rFonts w:cstheme="minorHAnsi"/>
          <w:lang w:val="en-US"/>
        </w:rPr>
        <w:t>rect. This typographical error led to a costly pursuit of a nonexistent ind</w:t>
      </w:r>
      <w:r w:rsidR="00821768">
        <w:rPr>
          <w:rFonts w:cstheme="minorHAnsi"/>
          <w:lang w:val="en-US"/>
        </w:rPr>
        <w:t>i</w:t>
      </w:r>
      <w:r w:rsidRPr="00535FA5">
        <w:rPr>
          <w:rFonts w:cstheme="minorHAnsi"/>
          <w:lang w:val="en-US"/>
        </w:rPr>
        <w:t>vidual (Dodd and Malik, 2012).</w:t>
      </w:r>
    </w:p>
    <w:p w:rsidR="00535FA5" w:rsidRPr="00535FA5" w:rsidRDefault="00535FA5" w:rsidP="0062665A">
      <w:pPr>
        <w:widowControl w:val="0"/>
        <w:autoSpaceDE w:val="0"/>
        <w:autoSpaceDN w:val="0"/>
        <w:adjustRightInd w:val="0"/>
        <w:spacing w:after="120" w:line="240" w:lineRule="auto"/>
        <w:rPr>
          <w:rFonts w:cstheme="minorHAnsi"/>
          <w:lang w:val="en-US"/>
        </w:rPr>
      </w:pPr>
    </w:p>
    <w:p w:rsidR="00535FA5" w:rsidRPr="00821768" w:rsidRDefault="00535FA5" w:rsidP="0062665A">
      <w:pPr>
        <w:widowControl w:val="0"/>
        <w:autoSpaceDE w:val="0"/>
        <w:autoSpaceDN w:val="0"/>
        <w:adjustRightInd w:val="0"/>
        <w:spacing w:after="120" w:line="240" w:lineRule="auto"/>
        <w:rPr>
          <w:rFonts w:cstheme="minorHAnsi"/>
          <w:b/>
          <w:lang w:val="en-US"/>
        </w:rPr>
      </w:pPr>
      <w:r w:rsidRPr="00821768">
        <w:rPr>
          <w:rFonts w:cstheme="minorHAnsi"/>
          <w:b/>
          <w:lang w:val="en-US"/>
        </w:rPr>
        <w:t>Quality and Competency</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Concerns arise about all the professions tha</w:t>
      </w:r>
      <w:r w:rsidR="00821768">
        <w:rPr>
          <w:rFonts w:cstheme="minorHAnsi"/>
          <w:lang w:val="en-US"/>
        </w:rPr>
        <w:t xml:space="preserve">t </w:t>
      </w:r>
      <w:proofErr w:type="gramStart"/>
      <w:r w:rsidR="00821768">
        <w:rPr>
          <w:rFonts w:cstheme="minorHAnsi"/>
          <w:lang w:val="en-US"/>
        </w:rPr>
        <w:t>come into contact with</w:t>
      </w:r>
      <w:proofErr w:type="gramEnd"/>
      <w:r w:rsidR="00821768">
        <w:rPr>
          <w:rFonts w:cstheme="minorHAnsi"/>
          <w:lang w:val="en-US"/>
        </w:rPr>
        <w:t xml:space="preserve"> poten</w:t>
      </w:r>
      <w:r w:rsidRPr="00535FA5">
        <w:rPr>
          <w:rFonts w:cstheme="minorHAnsi"/>
          <w:lang w:val="en-US"/>
        </w:rPr>
        <w:t>tial evidence and an investigation, but the particular focus here is about the quality and competency of forensic science personnel. The attempt to foster quality and efficiency in forensic science by market competition has yet to prove that it is immune to the other “problems” of markets including the creation of “bargain basement” forensic science. An ambitious forensic regulation scheme rose and fell with the demis</w:t>
      </w:r>
      <w:r w:rsidR="007A5F16">
        <w:rPr>
          <w:rFonts w:cstheme="minorHAnsi"/>
          <w:lang w:val="en-US"/>
        </w:rPr>
        <w:t xml:space="preserve">e (in 2009) of the Council for </w:t>
      </w:r>
      <w:r w:rsidRPr="00535FA5">
        <w:rPr>
          <w:rFonts w:cstheme="minorHAnsi"/>
          <w:lang w:val="en-US"/>
        </w:rPr>
        <w:t xml:space="preserve">the Registration of Forensic Practitioners, which had registered “competent” forensic experts and </w:t>
      </w:r>
      <w:proofErr w:type="gramStart"/>
      <w:r w:rsidRPr="00535FA5">
        <w:rPr>
          <w:rFonts w:cstheme="minorHAnsi"/>
          <w:lang w:val="en-US"/>
        </w:rPr>
        <w:t>was praised</w:t>
      </w:r>
      <w:proofErr w:type="gramEnd"/>
      <w:r w:rsidRPr="00535FA5">
        <w:rPr>
          <w:rFonts w:cstheme="minorHAnsi"/>
          <w:lang w:val="en-US"/>
        </w:rPr>
        <w:t xml:space="preserve"> by the courts (Schlesinger and Hamilton, 2012). The Home Office’s </w:t>
      </w:r>
      <w:r w:rsidRPr="00535FA5">
        <w:rPr>
          <w:rFonts w:cstheme="minorHAnsi"/>
          <w:lang w:val="en-US"/>
        </w:rPr>
        <w:lastRenderedPageBreak/>
        <w:t xml:space="preserve">Forensic Science Regulator has authority to accredit for government contracting purposes but only scrutinizes laboratories and companies, the assumption being that their employees </w:t>
      </w:r>
      <w:proofErr w:type="gramStart"/>
      <w:r w:rsidRPr="00535FA5">
        <w:rPr>
          <w:rFonts w:cstheme="minorHAnsi"/>
          <w:lang w:val="en-US"/>
        </w:rPr>
        <w:t>will be monitored</w:t>
      </w:r>
      <w:proofErr w:type="gramEnd"/>
      <w:r w:rsidRPr="00535FA5">
        <w:rPr>
          <w:rFonts w:cstheme="minorHAnsi"/>
          <w:lang w:val="en-US"/>
        </w:rPr>
        <w:t xml:space="preserve"> and checked as part of their quality assurance measures.</w:t>
      </w:r>
    </w:p>
    <w:p w:rsidR="00821768" w:rsidRDefault="00821768" w:rsidP="0062665A">
      <w:pPr>
        <w:widowControl w:val="0"/>
        <w:autoSpaceDE w:val="0"/>
        <w:autoSpaceDN w:val="0"/>
        <w:adjustRightInd w:val="0"/>
        <w:spacing w:after="120" w:line="240" w:lineRule="auto"/>
        <w:rPr>
          <w:rFonts w:cstheme="minorHAnsi"/>
          <w:lang w:val="en-US"/>
        </w:rPr>
      </w:pPr>
    </w:p>
    <w:p w:rsidR="00535FA5" w:rsidRPr="00821768" w:rsidRDefault="00535FA5" w:rsidP="0062665A">
      <w:pPr>
        <w:widowControl w:val="0"/>
        <w:autoSpaceDE w:val="0"/>
        <w:autoSpaceDN w:val="0"/>
        <w:adjustRightInd w:val="0"/>
        <w:spacing w:after="120" w:line="240" w:lineRule="auto"/>
        <w:rPr>
          <w:rFonts w:cstheme="minorHAnsi"/>
          <w:b/>
          <w:lang w:val="en-US"/>
        </w:rPr>
      </w:pPr>
      <w:r w:rsidRPr="00821768">
        <w:rPr>
          <w:rFonts w:cstheme="minorHAnsi"/>
          <w:b/>
          <w:lang w:val="en-US"/>
        </w:rPr>
        <w:t>Translation into Proof</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The competency of lawyers to spot and explore problematic scientific issues is by no means unblemished, and their deficiencies will in turn hamper the comprehension levels of juries (General Medical Council v. Meadow [2006] EWCA </w:t>
      </w:r>
      <w:proofErr w:type="spellStart"/>
      <w:r w:rsidRPr="00535FA5">
        <w:rPr>
          <w:rFonts w:cstheme="minorHAnsi"/>
          <w:lang w:val="en-US"/>
        </w:rPr>
        <w:t>Civ</w:t>
      </w:r>
      <w:proofErr w:type="spellEnd"/>
      <w:r w:rsidRPr="00535FA5">
        <w:rPr>
          <w:rFonts w:cstheme="minorHAnsi"/>
          <w:lang w:val="en-US"/>
        </w:rPr>
        <w:t xml:space="preserve"> 1390: paragraph 226).</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In many international jurisdictions, judges </w:t>
      </w:r>
      <w:proofErr w:type="gramStart"/>
      <w:r w:rsidRPr="00535FA5">
        <w:rPr>
          <w:rFonts w:cstheme="minorHAnsi"/>
          <w:lang w:val="en-US"/>
        </w:rPr>
        <w:t>have been given</w:t>
      </w:r>
      <w:proofErr w:type="gramEnd"/>
      <w:r w:rsidRPr="00535FA5">
        <w:rPr>
          <w:rFonts w:cstheme="minorHAnsi"/>
          <w:lang w:val="en-US"/>
        </w:rPr>
        <w:t xml:space="preserve"> the role of “gatekeeper” to ensure that “junk science” remains inadmissible at trial. However, they have also been criticized (</w:t>
      </w:r>
      <w:proofErr w:type="spellStart"/>
      <w:r w:rsidRPr="00535FA5">
        <w:rPr>
          <w:rFonts w:cstheme="minorHAnsi"/>
          <w:lang w:val="en-US"/>
        </w:rPr>
        <w:t>Cassella</w:t>
      </w:r>
      <w:proofErr w:type="spellEnd"/>
      <w:r w:rsidRPr="00535FA5">
        <w:rPr>
          <w:rFonts w:cstheme="minorHAnsi"/>
          <w:lang w:val="en-US"/>
        </w:rPr>
        <w:t xml:space="preserve"> and McCartney, 2011; Garrett and Neufeld, 2009). It has been </w:t>
      </w:r>
      <w:proofErr w:type="gramStart"/>
      <w:r w:rsidRPr="00535FA5">
        <w:rPr>
          <w:rFonts w:cstheme="minorHAnsi"/>
          <w:lang w:val="en-US"/>
        </w:rPr>
        <w:t>concluded that</w:t>
      </w:r>
      <w:proofErr w:type="gramEnd"/>
      <w:r w:rsidRPr="00535FA5">
        <w:rPr>
          <w:rFonts w:cstheme="minorHAnsi"/>
          <w:lang w:val="en-US"/>
        </w:rPr>
        <w:t xml:space="preserve"> “Scientific illiteracy on the part of the legal profession, when coupled with the flaws in fore</w:t>
      </w:r>
      <w:r w:rsidR="00821768">
        <w:rPr>
          <w:rFonts w:cstheme="minorHAnsi"/>
          <w:lang w:val="en-US"/>
        </w:rPr>
        <w:t>n</w:t>
      </w:r>
      <w:r w:rsidRPr="00535FA5">
        <w:rPr>
          <w:rFonts w:cstheme="minorHAnsi"/>
          <w:lang w:val="en-US"/>
        </w:rPr>
        <w:t>sic science, forms a ‘toxic combination’” (</w:t>
      </w:r>
      <w:proofErr w:type="spellStart"/>
      <w:r w:rsidRPr="00535FA5">
        <w:rPr>
          <w:rFonts w:cstheme="minorHAnsi"/>
          <w:lang w:val="en-US"/>
        </w:rPr>
        <w:t>Cassella</w:t>
      </w:r>
      <w:proofErr w:type="spellEnd"/>
      <w:r w:rsidRPr="00535FA5">
        <w:rPr>
          <w:rFonts w:cstheme="minorHAnsi"/>
          <w:lang w:val="en-US"/>
        </w:rPr>
        <w:t xml:space="preserve"> and McCartney, 2011: pp. 82). Proposals to alleviate the situation in a lengthy and complex Law Commission Report (Edmond, 2011) await implementation.</w:t>
      </w:r>
    </w:p>
    <w:p w:rsidR="00535FA5" w:rsidRPr="00535FA5" w:rsidRDefault="00535FA5" w:rsidP="0062665A">
      <w:pPr>
        <w:widowControl w:val="0"/>
        <w:autoSpaceDE w:val="0"/>
        <w:autoSpaceDN w:val="0"/>
        <w:adjustRightInd w:val="0"/>
        <w:spacing w:after="120" w:line="240" w:lineRule="auto"/>
        <w:rPr>
          <w:rFonts w:cstheme="minorHAnsi"/>
          <w:lang w:val="en-US"/>
        </w:rPr>
      </w:pPr>
    </w:p>
    <w:p w:rsidR="00535FA5" w:rsidRPr="00821768" w:rsidRDefault="00535FA5" w:rsidP="0062665A">
      <w:pPr>
        <w:widowControl w:val="0"/>
        <w:autoSpaceDE w:val="0"/>
        <w:autoSpaceDN w:val="0"/>
        <w:adjustRightInd w:val="0"/>
        <w:spacing w:after="120" w:line="240" w:lineRule="auto"/>
        <w:rPr>
          <w:rFonts w:cstheme="minorHAnsi"/>
          <w:b/>
          <w:lang w:val="en-US"/>
        </w:rPr>
      </w:pPr>
      <w:r w:rsidRPr="00821768">
        <w:rPr>
          <w:rFonts w:cstheme="minorHAnsi"/>
          <w:b/>
          <w:lang w:val="en-US"/>
        </w:rPr>
        <w:t>Funding for Forensic Work</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Budgetary constraints are restricting the exten</w:t>
      </w:r>
      <w:r w:rsidR="00821768">
        <w:rPr>
          <w:rFonts w:cstheme="minorHAnsi"/>
          <w:lang w:val="en-US"/>
        </w:rPr>
        <w:t>t to which police employ foren</w:t>
      </w:r>
      <w:r w:rsidRPr="00535FA5">
        <w:rPr>
          <w:rFonts w:cstheme="minorHAnsi"/>
          <w:lang w:val="en-US"/>
        </w:rPr>
        <w:t xml:space="preserve">sic scientists. In this way, an ability to pay impacts strongly on the ways on which criminal justice </w:t>
      </w:r>
      <w:proofErr w:type="gramStart"/>
      <w:r w:rsidRPr="00535FA5">
        <w:rPr>
          <w:rFonts w:cstheme="minorHAnsi"/>
          <w:lang w:val="en-US"/>
        </w:rPr>
        <w:t>is delivered</w:t>
      </w:r>
      <w:proofErr w:type="gramEnd"/>
      <w:r w:rsidRPr="00535FA5">
        <w:rPr>
          <w:rFonts w:cstheme="minorHAnsi"/>
          <w:lang w:val="en-US"/>
        </w:rPr>
        <w:t xml:space="preserve">. A further consequence is a trend toward in-house police scientists or less qualified or less experienced independent forensic scientists. Disquiet arises about the quality and independence of small or isolated scientific units. Access by the defense to properly qualified, experienced, forensic scientists </w:t>
      </w:r>
      <w:proofErr w:type="gramStart"/>
      <w:r w:rsidRPr="00535FA5">
        <w:rPr>
          <w:rFonts w:cstheme="minorHAnsi"/>
          <w:lang w:val="en-US"/>
        </w:rPr>
        <w:t>is even more hampered</w:t>
      </w:r>
      <w:proofErr w:type="gramEnd"/>
      <w:r w:rsidRPr="00535FA5">
        <w:rPr>
          <w:rFonts w:cstheme="minorHAnsi"/>
          <w:lang w:val="en-US"/>
        </w:rPr>
        <w:t xml:space="preserve"> by inade</w:t>
      </w:r>
      <w:r w:rsidR="00821768">
        <w:rPr>
          <w:rFonts w:cstheme="minorHAnsi"/>
          <w:lang w:val="en-US"/>
        </w:rPr>
        <w:t>quate fund</w:t>
      </w:r>
      <w:r w:rsidRPr="00535FA5">
        <w:rPr>
          <w:rFonts w:cstheme="minorHAnsi"/>
          <w:lang w:val="en-US"/>
        </w:rPr>
        <w:t xml:space="preserve">ing. In the worst cases, legal aid authorities may withhold funds altogether </w:t>
      </w:r>
      <w:proofErr w:type="gramStart"/>
      <w:r w:rsidRPr="00535FA5">
        <w:rPr>
          <w:rFonts w:cstheme="minorHAnsi"/>
          <w:lang w:val="en-US"/>
        </w:rPr>
        <w:t>on the grounds that</w:t>
      </w:r>
      <w:proofErr w:type="gramEnd"/>
      <w:r w:rsidRPr="00535FA5">
        <w:rPr>
          <w:rFonts w:cstheme="minorHAnsi"/>
          <w:lang w:val="en-US"/>
        </w:rPr>
        <w:t xml:space="preserve">, for example, the scientific evidence is, in their (lay) view, unassailable. Even when funds are forthcoming, the defense may be required to instruct a “local expert” who </w:t>
      </w:r>
      <w:proofErr w:type="gramStart"/>
      <w:r w:rsidRPr="00535FA5">
        <w:rPr>
          <w:rFonts w:cstheme="minorHAnsi"/>
          <w:lang w:val="en-US"/>
        </w:rPr>
        <w:t>is not viewed</w:t>
      </w:r>
      <w:proofErr w:type="gramEnd"/>
      <w:r w:rsidRPr="00535FA5">
        <w:rPr>
          <w:rFonts w:cstheme="minorHAnsi"/>
          <w:lang w:val="en-US"/>
        </w:rPr>
        <w:t xml:space="preserve"> as suitable.</w:t>
      </w:r>
    </w:p>
    <w:p w:rsidR="00535FA5" w:rsidRPr="00535FA5" w:rsidRDefault="00535FA5" w:rsidP="0062665A">
      <w:pPr>
        <w:widowControl w:val="0"/>
        <w:autoSpaceDE w:val="0"/>
        <w:autoSpaceDN w:val="0"/>
        <w:adjustRightInd w:val="0"/>
        <w:spacing w:after="120" w:line="240" w:lineRule="auto"/>
        <w:rPr>
          <w:rFonts w:cstheme="minorHAnsi"/>
          <w:lang w:val="en-US"/>
        </w:rPr>
      </w:pPr>
    </w:p>
    <w:p w:rsidR="00535FA5" w:rsidRPr="00821768" w:rsidRDefault="00535FA5" w:rsidP="0062665A">
      <w:pPr>
        <w:widowControl w:val="0"/>
        <w:autoSpaceDE w:val="0"/>
        <w:autoSpaceDN w:val="0"/>
        <w:adjustRightInd w:val="0"/>
        <w:spacing w:after="120" w:line="240" w:lineRule="auto"/>
        <w:rPr>
          <w:rFonts w:cstheme="minorHAnsi"/>
          <w:b/>
          <w:lang w:val="en-US"/>
        </w:rPr>
      </w:pPr>
      <w:r w:rsidRPr="00821768">
        <w:rPr>
          <w:rFonts w:cstheme="minorHAnsi"/>
          <w:b/>
          <w:lang w:val="en-US"/>
        </w:rPr>
        <w:t>Biases</w:t>
      </w:r>
    </w:p>
    <w:p w:rsid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During the appeal of Judith Ward (2011), w</w:t>
      </w:r>
      <w:r w:rsidR="00821768">
        <w:rPr>
          <w:rFonts w:cstheme="minorHAnsi"/>
          <w:lang w:val="en-US"/>
        </w:rPr>
        <w:t xml:space="preserve">ho </w:t>
      </w:r>
      <w:proofErr w:type="gramStart"/>
      <w:r w:rsidR="00821768">
        <w:rPr>
          <w:rFonts w:cstheme="minorHAnsi"/>
          <w:lang w:val="en-US"/>
        </w:rPr>
        <w:t>was exonerated</w:t>
      </w:r>
      <w:proofErr w:type="gramEnd"/>
      <w:r w:rsidR="00821768">
        <w:rPr>
          <w:rFonts w:cstheme="minorHAnsi"/>
          <w:lang w:val="en-US"/>
        </w:rPr>
        <w:t xml:space="preserve"> from involve</w:t>
      </w:r>
      <w:r w:rsidRPr="00535FA5">
        <w:rPr>
          <w:rFonts w:cstheme="minorHAnsi"/>
          <w:lang w:val="en-US"/>
        </w:rPr>
        <w:t xml:space="preserve">ment in an IRA coach bombing, Lord Justice </w:t>
      </w:r>
      <w:proofErr w:type="spellStart"/>
      <w:r w:rsidRPr="00535FA5">
        <w:rPr>
          <w:rFonts w:cstheme="minorHAnsi"/>
          <w:lang w:val="en-US"/>
        </w:rPr>
        <w:t>Glidewell</w:t>
      </w:r>
      <w:proofErr w:type="spellEnd"/>
      <w:r w:rsidRPr="00535FA5">
        <w:rPr>
          <w:rFonts w:cstheme="minorHAnsi"/>
          <w:lang w:val="en-US"/>
        </w:rPr>
        <w:t xml:space="preserve"> explained (R v. Ward [1992] 96 CR.APP. R. 1):</w:t>
      </w:r>
    </w:p>
    <w:p w:rsidR="00821768" w:rsidRPr="00535FA5" w:rsidRDefault="00821768" w:rsidP="0062665A">
      <w:pPr>
        <w:widowControl w:val="0"/>
        <w:autoSpaceDE w:val="0"/>
        <w:autoSpaceDN w:val="0"/>
        <w:adjustRightInd w:val="0"/>
        <w:spacing w:after="120" w:line="240" w:lineRule="auto"/>
        <w:rPr>
          <w:rFonts w:cstheme="minorHAnsi"/>
          <w:lang w:val="en-US"/>
        </w:rPr>
      </w:pPr>
    </w:p>
    <w:p w:rsidR="00535FA5" w:rsidRPr="00535FA5" w:rsidRDefault="00535FA5" w:rsidP="0062665A">
      <w:pPr>
        <w:widowControl w:val="0"/>
        <w:autoSpaceDE w:val="0"/>
        <w:autoSpaceDN w:val="0"/>
        <w:adjustRightInd w:val="0"/>
        <w:spacing w:after="120" w:line="240" w:lineRule="auto"/>
        <w:ind w:left="720"/>
        <w:rPr>
          <w:rFonts w:cstheme="minorHAnsi"/>
          <w:lang w:val="en-US"/>
        </w:rPr>
      </w:pPr>
      <w:r w:rsidRPr="00535FA5">
        <w:rPr>
          <w:rFonts w:cstheme="minorHAnsi"/>
          <w:lang w:val="en-US"/>
        </w:rPr>
        <w:t xml:space="preserve">For lawyers and judges a forensic scientist conjures up the image of a man in a white coat working in a laboratory, approaching his task with cold neutrality, dedicated only to the pursuit of scientific truth. It is a </w:t>
      </w:r>
      <w:proofErr w:type="spellStart"/>
      <w:r w:rsidRPr="00535FA5">
        <w:rPr>
          <w:rFonts w:cstheme="minorHAnsi"/>
          <w:lang w:val="en-US"/>
        </w:rPr>
        <w:t>sombre</w:t>
      </w:r>
      <w:proofErr w:type="spellEnd"/>
      <w:r w:rsidRPr="00535FA5">
        <w:rPr>
          <w:rFonts w:cstheme="minorHAnsi"/>
          <w:lang w:val="en-US"/>
        </w:rPr>
        <w:t xml:space="preserve"> thought that the reality is sometimes different… Forensic sci</w:t>
      </w:r>
      <w:r w:rsidR="007A5F16">
        <w:rPr>
          <w:rFonts w:cstheme="minorHAnsi"/>
          <w:lang w:val="en-US"/>
        </w:rPr>
        <w:t>entists employed by the govern</w:t>
      </w:r>
      <w:r w:rsidRPr="00535FA5">
        <w:rPr>
          <w:rFonts w:cstheme="minorHAnsi"/>
          <w:lang w:val="en-US"/>
        </w:rPr>
        <w:t>ment may come to see their function as helping the police. They may lose their objectivity.</w:t>
      </w:r>
    </w:p>
    <w:p w:rsidR="00535FA5" w:rsidRPr="00535FA5" w:rsidRDefault="00535FA5" w:rsidP="0062665A">
      <w:pPr>
        <w:widowControl w:val="0"/>
        <w:autoSpaceDE w:val="0"/>
        <w:autoSpaceDN w:val="0"/>
        <w:adjustRightInd w:val="0"/>
        <w:spacing w:after="120" w:line="240" w:lineRule="auto"/>
        <w:rPr>
          <w:rFonts w:cstheme="minorHAnsi"/>
          <w:lang w:val="en-US"/>
        </w:rPr>
      </w:pP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Recent scholarly examination of the processes involved in forensic evidence “generation” has focused on the possible biases o</w:t>
      </w:r>
      <w:r w:rsidR="00821768">
        <w:rPr>
          <w:rFonts w:cstheme="minorHAnsi"/>
          <w:lang w:val="en-US"/>
        </w:rPr>
        <w:t xml:space="preserve">f scientists, in particular </w:t>
      </w:r>
      <w:r w:rsidRPr="00535FA5">
        <w:rPr>
          <w:rFonts w:cstheme="minorHAnsi"/>
          <w:lang w:val="en-US"/>
        </w:rPr>
        <w:t>the impact of cognitive bias. The National Research Council of the National Academy of Science’s Report on forensic science in the United States (</w:t>
      </w:r>
      <w:proofErr w:type="gramStart"/>
      <w:r w:rsidRPr="00535FA5">
        <w:rPr>
          <w:rFonts w:cstheme="minorHAnsi"/>
          <w:lang w:val="en-US"/>
        </w:rPr>
        <w:t>ibid.:pp.51</w:t>
      </w:r>
      <w:proofErr w:type="gramEnd"/>
      <w:r w:rsidRPr="00535FA5">
        <w:rPr>
          <w:rFonts w:cstheme="minorHAnsi"/>
          <w:lang w:val="en-US"/>
        </w:rPr>
        <w:t>) condemned the infiltration of prosecution biases into the work of laboratories that operated within and overseen by police agencies. In England and Wales, such concerns led to the absorption i</w:t>
      </w:r>
      <w:r w:rsidR="00821768">
        <w:rPr>
          <w:rFonts w:cstheme="minorHAnsi"/>
          <w:lang w:val="en-US"/>
        </w:rPr>
        <w:t>nto the indepen</w:t>
      </w:r>
      <w:r w:rsidRPr="00535FA5">
        <w:rPr>
          <w:rFonts w:cstheme="minorHAnsi"/>
          <w:lang w:val="en-US"/>
        </w:rPr>
        <w:t>dent Forensic Science Service (FSS) of police laboratories such as, in 1996, the Metropolitan Police Laboratory. Yet, the FSS closed on cost grounds in 2012 (2009), and forensic science in England and Wales is now provided by private companies and in-house police facilities.</w:t>
      </w:r>
    </w:p>
    <w:p w:rsidR="00535FA5" w:rsidRPr="00535FA5" w:rsidRDefault="00535FA5" w:rsidP="0062665A">
      <w:pPr>
        <w:widowControl w:val="0"/>
        <w:autoSpaceDE w:val="0"/>
        <w:autoSpaceDN w:val="0"/>
        <w:adjustRightInd w:val="0"/>
        <w:spacing w:after="120" w:line="240" w:lineRule="auto"/>
        <w:rPr>
          <w:rFonts w:cstheme="minorHAnsi"/>
          <w:lang w:val="en-US"/>
        </w:rPr>
      </w:pPr>
    </w:p>
    <w:p w:rsidR="00535FA5" w:rsidRPr="00821768" w:rsidRDefault="00535FA5" w:rsidP="0062665A">
      <w:pPr>
        <w:widowControl w:val="0"/>
        <w:autoSpaceDE w:val="0"/>
        <w:autoSpaceDN w:val="0"/>
        <w:adjustRightInd w:val="0"/>
        <w:spacing w:after="120" w:line="240" w:lineRule="auto"/>
        <w:rPr>
          <w:rFonts w:cstheme="minorHAnsi"/>
          <w:b/>
          <w:lang w:val="en-US"/>
        </w:rPr>
      </w:pPr>
      <w:r w:rsidRPr="00821768">
        <w:rPr>
          <w:rFonts w:cstheme="minorHAnsi"/>
          <w:b/>
          <w:lang w:val="en-US"/>
        </w:rPr>
        <w:t>Developments/Improvements in Science</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Several forensic techniques relied upon in the past have been shown through later scientific developments to be flawed or i</w:t>
      </w:r>
      <w:r w:rsidR="00821768">
        <w:rPr>
          <w:rFonts w:cstheme="minorHAnsi"/>
          <w:lang w:val="en-US"/>
        </w:rPr>
        <w:t>mprecise. One example is serol</w:t>
      </w:r>
      <w:r w:rsidRPr="00535FA5">
        <w:rPr>
          <w:rFonts w:cstheme="minorHAnsi"/>
          <w:lang w:val="en-US"/>
        </w:rPr>
        <w:t xml:space="preserve">ogy, while polygraphs </w:t>
      </w:r>
      <w:proofErr w:type="gramStart"/>
      <w:r w:rsidRPr="00535FA5">
        <w:rPr>
          <w:rFonts w:cstheme="minorHAnsi"/>
          <w:lang w:val="en-US"/>
        </w:rPr>
        <w:t>are also considered</w:t>
      </w:r>
      <w:proofErr w:type="gramEnd"/>
      <w:r w:rsidRPr="00535FA5">
        <w:rPr>
          <w:rFonts w:cstheme="minorHAnsi"/>
          <w:lang w:val="en-US"/>
        </w:rPr>
        <w:t xml:space="preserve"> </w:t>
      </w:r>
      <w:r w:rsidRPr="00535FA5">
        <w:rPr>
          <w:rFonts w:cstheme="minorHAnsi"/>
          <w:lang w:val="en-US"/>
        </w:rPr>
        <w:lastRenderedPageBreak/>
        <w:t xml:space="preserve">unacceptable in English trials (U.K. Government, 2011). Arson investigation has had to be radically over- hauled in the United States since common </w:t>
      </w:r>
      <w:r w:rsidR="00821768">
        <w:rPr>
          <w:rFonts w:cstheme="minorHAnsi"/>
          <w:lang w:val="en-US"/>
        </w:rPr>
        <w:t>assumptions were based on expe</w:t>
      </w:r>
      <w:r w:rsidRPr="00535FA5">
        <w:rPr>
          <w:rFonts w:cstheme="minorHAnsi"/>
          <w:lang w:val="en-US"/>
        </w:rPr>
        <w:t>rience that, when tested under experimental conditions, were proven wrong (R v. Chapman [2006] EWCA CRIM. 2545).</w:t>
      </w:r>
    </w:p>
    <w:p w:rsidR="00535FA5" w:rsidRPr="00535FA5" w:rsidRDefault="00535FA5" w:rsidP="0062665A">
      <w:pPr>
        <w:widowControl w:val="0"/>
        <w:autoSpaceDE w:val="0"/>
        <w:autoSpaceDN w:val="0"/>
        <w:adjustRightInd w:val="0"/>
        <w:spacing w:after="120" w:line="240" w:lineRule="auto"/>
        <w:rPr>
          <w:rFonts w:cstheme="minorHAnsi"/>
          <w:lang w:val="en-US"/>
        </w:rPr>
      </w:pPr>
    </w:p>
    <w:p w:rsidR="00535FA5" w:rsidRPr="003D3711" w:rsidRDefault="00535FA5" w:rsidP="0062665A">
      <w:pPr>
        <w:widowControl w:val="0"/>
        <w:autoSpaceDE w:val="0"/>
        <w:autoSpaceDN w:val="0"/>
        <w:adjustRightInd w:val="0"/>
        <w:spacing w:after="120" w:line="240" w:lineRule="auto"/>
        <w:rPr>
          <w:rFonts w:cstheme="minorHAnsi"/>
          <w:b/>
          <w:sz w:val="28"/>
          <w:szCs w:val="28"/>
          <w:lang w:val="en-US"/>
        </w:rPr>
      </w:pPr>
      <w:r w:rsidRPr="003D3711">
        <w:rPr>
          <w:rFonts w:cstheme="minorHAnsi"/>
          <w:b/>
          <w:sz w:val="28"/>
          <w:szCs w:val="28"/>
          <w:lang w:val="en-US"/>
        </w:rPr>
        <w:t>Mechanisms to Redress Residual Error</w:t>
      </w:r>
    </w:p>
    <w:p w:rsidR="003D3711" w:rsidRDefault="003D3711" w:rsidP="0062665A">
      <w:pPr>
        <w:widowControl w:val="0"/>
        <w:autoSpaceDE w:val="0"/>
        <w:autoSpaceDN w:val="0"/>
        <w:adjustRightInd w:val="0"/>
        <w:spacing w:after="120" w:line="240" w:lineRule="auto"/>
        <w:rPr>
          <w:rFonts w:cstheme="minorHAnsi"/>
          <w:lang w:val="en-US"/>
        </w:rPr>
      </w:pP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Many of the safeguards against wrongful convictions must reside within fair and rational legal rules and the professional working cultures fostered by appropriate training and management and assured by accreditation, quality assurance, and validation processes, within the police, prosecution, forensic science, judiciary, and advocates. Nevertheless, whatever care </w:t>
      </w:r>
      <w:proofErr w:type="gramStart"/>
      <w:r w:rsidRPr="00535FA5">
        <w:rPr>
          <w:rFonts w:cstheme="minorHAnsi"/>
          <w:lang w:val="en-US"/>
        </w:rPr>
        <w:t>is expended</w:t>
      </w:r>
      <w:proofErr w:type="gramEnd"/>
      <w:r w:rsidRPr="00535FA5">
        <w:rPr>
          <w:rFonts w:cstheme="minorHAnsi"/>
          <w:lang w:val="en-US"/>
        </w:rPr>
        <w:t>, mistakes are inevitable, and so effective processes for remedying error remain essential even after conviction.</w:t>
      </w:r>
    </w:p>
    <w:p w:rsid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The Court of Appeal, originally establis</w:t>
      </w:r>
      <w:r w:rsidR="007A5F16">
        <w:rPr>
          <w:rFonts w:cstheme="minorHAnsi"/>
          <w:lang w:val="en-US"/>
        </w:rPr>
        <w:t>hed in 1907 after several high-</w:t>
      </w:r>
      <w:r w:rsidRPr="00535FA5">
        <w:rPr>
          <w:rFonts w:cstheme="minorHAnsi"/>
          <w:lang w:val="en-US"/>
        </w:rPr>
        <w:t>profile wrongful convictions, can overturn convictions if it considers the conviction to be “unsafe” under section 2(1) of the Criminal Appeal Act 1995 (National Fire Protection Association, 1992</w:t>
      </w:r>
      <w:r w:rsidR="00DC6ED3">
        <w:rPr>
          <w:rFonts w:cstheme="minorHAnsi"/>
          <w:lang w:val="en-US"/>
        </w:rPr>
        <w:t>). There may be two interpreta</w:t>
      </w:r>
      <w:r w:rsidRPr="00535FA5">
        <w:rPr>
          <w:rFonts w:cstheme="minorHAnsi"/>
          <w:lang w:val="en-US"/>
        </w:rPr>
        <w:t xml:space="preserve">tions of unsafe: that a factually innocent person </w:t>
      </w:r>
      <w:proofErr w:type="gramStart"/>
      <w:r w:rsidRPr="00535FA5">
        <w:rPr>
          <w:rFonts w:cstheme="minorHAnsi"/>
          <w:lang w:val="en-US"/>
        </w:rPr>
        <w:t>has been wrongly convicted</w:t>
      </w:r>
      <w:proofErr w:type="gramEnd"/>
      <w:r w:rsidRPr="00535FA5">
        <w:rPr>
          <w:rFonts w:cstheme="minorHAnsi"/>
          <w:lang w:val="en-US"/>
        </w:rPr>
        <w:t xml:space="preserve"> or a factually guilty person has been convicted but there has been a serious procedural or legal error or illegality (U.K. Government, 1995). The Court’s own approach </w:t>
      </w:r>
      <w:proofErr w:type="gramStart"/>
      <w:r w:rsidRPr="00535FA5">
        <w:rPr>
          <w:rFonts w:cstheme="minorHAnsi"/>
          <w:lang w:val="en-US"/>
        </w:rPr>
        <w:t>is summed up</w:t>
      </w:r>
      <w:proofErr w:type="gramEnd"/>
      <w:r w:rsidRPr="00535FA5">
        <w:rPr>
          <w:rFonts w:cstheme="minorHAnsi"/>
          <w:lang w:val="en-US"/>
        </w:rPr>
        <w:t xml:space="preserve"> in R v. Hickey (Roberts, 2003):</w:t>
      </w:r>
    </w:p>
    <w:p w:rsidR="00207708" w:rsidRPr="00535FA5" w:rsidRDefault="00207708" w:rsidP="0062665A">
      <w:pPr>
        <w:widowControl w:val="0"/>
        <w:autoSpaceDE w:val="0"/>
        <w:autoSpaceDN w:val="0"/>
        <w:adjustRightInd w:val="0"/>
        <w:spacing w:after="120" w:line="240" w:lineRule="auto"/>
        <w:rPr>
          <w:rFonts w:cstheme="minorHAnsi"/>
          <w:lang w:val="en-US"/>
        </w:rPr>
      </w:pPr>
    </w:p>
    <w:p w:rsidR="00535FA5" w:rsidRPr="00535FA5" w:rsidRDefault="00535FA5" w:rsidP="0062665A">
      <w:pPr>
        <w:widowControl w:val="0"/>
        <w:autoSpaceDE w:val="0"/>
        <w:autoSpaceDN w:val="0"/>
        <w:adjustRightInd w:val="0"/>
        <w:spacing w:after="120" w:line="240" w:lineRule="auto"/>
        <w:ind w:left="720"/>
        <w:rPr>
          <w:rFonts w:cstheme="minorHAnsi"/>
          <w:lang w:val="en-US"/>
        </w:rPr>
      </w:pPr>
      <w:r w:rsidRPr="00535FA5">
        <w:rPr>
          <w:rFonts w:cstheme="minorHAnsi"/>
          <w:lang w:val="en-US"/>
        </w:rPr>
        <w:t xml:space="preserve">This court is not concerned with the guilt or innocence of the appellants; but only with the safety of their </w:t>
      </w:r>
      <w:proofErr w:type="gramStart"/>
      <w:r w:rsidRPr="00535FA5">
        <w:rPr>
          <w:rFonts w:cstheme="minorHAnsi"/>
          <w:lang w:val="en-US"/>
        </w:rPr>
        <w:t>convictions</w:t>
      </w:r>
      <w:proofErr w:type="gramEnd"/>
      <w:r w:rsidRPr="00535FA5">
        <w:rPr>
          <w:rFonts w:cstheme="minorHAnsi"/>
          <w:lang w:val="en-US"/>
        </w:rPr>
        <w:t>… the integrity of the c</w:t>
      </w:r>
      <w:r w:rsidR="00DC6ED3">
        <w:rPr>
          <w:rFonts w:cstheme="minorHAnsi"/>
          <w:lang w:val="en-US"/>
        </w:rPr>
        <w:t>riminal pro</w:t>
      </w:r>
      <w:r w:rsidRPr="00535FA5">
        <w:rPr>
          <w:rFonts w:cstheme="minorHAnsi"/>
          <w:lang w:val="en-US"/>
        </w:rPr>
        <w:t>cess is the most important consideration for courts which have to hear appeals against conviction. Both the innocent and the guilty are entitled to fair trials.</w:t>
      </w:r>
    </w:p>
    <w:p w:rsidR="00207708" w:rsidRDefault="00207708" w:rsidP="0062665A">
      <w:pPr>
        <w:widowControl w:val="0"/>
        <w:autoSpaceDE w:val="0"/>
        <w:autoSpaceDN w:val="0"/>
        <w:adjustRightInd w:val="0"/>
        <w:spacing w:after="120" w:line="240" w:lineRule="auto"/>
        <w:rPr>
          <w:rFonts w:cstheme="minorHAnsi"/>
          <w:lang w:val="en-US"/>
        </w:rPr>
      </w:pP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Difficulties have especially stemmed when appeals arise on factual error grounds, necessarily forcing the </w:t>
      </w:r>
      <w:r w:rsidR="00DC6ED3">
        <w:rPr>
          <w:rFonts w:cstheme="minorHAnsi"/>
          <w:lang w:val="en-US"/>
        </w:rPr>
        <w:t xml:space="preserve">Court of Appeal to trespass on the role </w:t>
      </w:r>
      <w:r w:rsidRPr="00535FA5">
        <w:rPr>
          <w:rFonts w:cstheme="minorHAnsi"/>
          <w:lang w:val="en-US"/>
        </w:rPr>
        <w:t>of the jury but confined to a “review” and not rehearing the case. The Court of Appeal only hears fresh evidence when “necessary or expedient in the interests of justice” under section 23(1) of the Criminal Appeal Act 1968 (Rv. Hickey [1997]. Unreported) and must have regard under section 23(2) to the following: (1) whether the evidence appears to be “capable of belief,” (2) whether the evidence may afford any ground for allowing the appeal, (3) whether the evidence would have been admissible at trial, and</w:t>
      </w:r>
      <w:r w:rsidR="00DC6ED3">
        <w:rPr>
          <w:rFonts w:cstheme="minorHAnsi"/>
          <w:lang w:val="en-US"/>
        </w:rPr>
        <w:t xml:space="preserve"> </w:t>
      </w:r>
      <w:r w:rsidRPr="00535FA5">
        <w:rPr>
          <w:rFonts w:cstheme="minorHAnsi"/>
          <w:lang w:val="en-US"/>
        </w:rPr>
        <w:t>whether there is a reasonable explanation for the failure to adduce the evidence at trial.</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Three main complaints </w:t>
      </w:r>
      <w:proofErr w:type="gramStart"/>
      <w:r w:rsidRPr="00535FA5">
        <w:rPr>
          <w:rFonts w:cstheme="minorHAnsi"/>
          <w:lang w:val="en-US"/>
        </w:rPr>
        <w:t>are leveled</w:t>
      </w:r>
      <w:proofErr w:type="gramEnd"/>
      <w:r w:rsidRPr="00535FA5">
        <w:rPr>
          <w:rFonts w:cstheme="minorHAnsi"/>
          <w:lang w:val="en-US"/>
        </w:rPr>
        <w:t xml:space="preserve"> at the Court: that too much deference is shown to the jury verdict, that there is undue reverence to the principle of finality, and that the court is motivated by the fear of “opening the floodgates” to a deluge of appellants beyond its resources (U.K. Government, 1968).</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Major high-profile </w:t>
      </w:r>
      <w:proofErr w:type="gramStart"/>
      <w:r w:rsidRPr="00535FA5">
        <w:rPr>
          <w:rFonts w:cstheme="minorHAnsi"/>
          <w:lang w:val="en-US"/>
        </w:rPr>
        <w:t>miscarriages of justice</w:t>
      </w:r>
      <w:proofErr w:type="gramEnd"/>
      <w:r w:rsidRPr="00535FA5">
        <w:rPr>
          <w:rFonts w:cstheme="minorHAnsi"/>
          <w:lang w:val="en-US"/>
        </w:rPr>
        <w:t xml:space="preserve"> in England and Wales have been seminal in prompting changes to the appellate system. The ultimate, successful appeal of the Birmingham </w:t>
      </w:r>
      <w:proofErr w:type="gramStart"/>
      <w:r w:rsidRPr="00535FA5">
        <w:rPr>
          <w:rFonts w:cstheme="minorHAnsi"/>
          <w:lang w:val="en-US"/>
        </w:rPr>
        <w:t>Six</w:t>
      </w:r>
      <w:proofErr w:type="gramEnd"/>
      <w:r w:rsidRPr="00535FA5">
        <w:rPr>
          <w:rFonts w:cstheme="minorHAnsi"/>
          <w:lang w:val="en-US"/>
        </w:rPr>
        <w:t xml:space="preserve"> (Spencer, 2006; U.K. Government, 1993) wrongly convicted of mass murders in IRA pub bombings was swiftly followed by the announcement of a Royal Commission into Criminal Justice. Its subsequent report (R v. </w:t>
      </w:r>
      <w:proofErr w:type="spellStart"/>
      <w:r w:rsidRPr="00535FA5">
        <w:rPr>
          <w:rFonts w:cstheme="minorHAnsi"/>
          <w:lang w:val="en-US"/>
        </w:rPr>
        <w:t>McIlkenny</w:t>
      </w:r>
      <w:proofErr w:type="spellEnd"/>
      <w:r w:rsidRPr="00535FA5">
        <w:rPr>
          <w:rFonts w:cstheme="minorHAnsi"/>
          <w:lang w:val="en-US"/>
        </w:rPr>
        <w:t xml:space="preserve"> and others [1992] 2 ALL E.R. 417) called for the establishment of a new independent body</w:t>
      </w:r>
      <w:r w:rsidR="00DC6ED3">
        <w:rPr>
          <w:rFonts w:cstheme="minorHAnsi"/>
          <w:lang w:val="en-US"/>
        </w:rPr>
        <w:t xml:space="preserve"> to investigate alleged </w:t>
      </w:r>
      <w:proofErr w:type="gramStart"/>
      <w:r w:rsidR="00DC6ED3">
        <w:rPr>
          <w:rFonts w:cstheme="minorHAnsi"/>
          <w:lang w:val="en-US"/>
        </w:rPr>
        <w:t>miscar</w:t>
      </w:r>
      <w:r w:rsidRPr="00535FA5">
        <w:rPr>
          <w:rFonts w:cstheme="minorHAnsi"/>
          <w:lang w:val="en-US"/>
        </w:rPr>
        <w:t>riages of justice</w:t>
      </w:r>
      <w:proofErr w:type="gramEnd"/>
      <w:r w:rsidRPr="00535FA5">
        <w:rPr>
          <w:rFonts w:cstheme="minorHAnsi"/>
          <w:lang w:val="en-US"/>
        </w:rPr>
        <w:t xml:space="preserve">, replacing the politically tainted and </w:t>
      </w:r>
      <w:proofErr w:type="spellStart"/>
      <w:r w:rsidRPr="00535FA5">
        <w:rPr>
          <w:rFonts w:cstheme="minorHAnsi"/>
          <w:lang w:val="en-US"/>
        </w:rPr>
        <w:t>underresourced</w:t>
      </w:r>
      <w:proofErr w:type="spellEnd"/>
      <w:r w:rsidRPr="00535FA5">
        <w:rPr>
          <w:rFonts w:cstheme="minorHAnsi"/>
          <w:lang w:val="en-US"/>
        </w:rPr>
        <w:t xml:space="preserve"> process of petitioning the Home Office. </w:t>
      </w:r>
      <w:proofErr w:type="gramStart"/>
      <w:r w:rsidRPr="00535FA5">
        <w:rPr>
          <w:rFonts w:cstheme="minorHAnsi"/>
          <w:lang w:val="en-US"/>
        </w:rPr>
        <w:t>The idea was implemented in the shape of the CCRC by Part II of the Criminal Appeal Act 1995</w:t>
      </w:r>
      <w:proofErr w:type="gramEnd"/>
      <w:r w:rsidRPr="00535FA5">
        <w:rPr>
          <w:rFonts w:cstheme="minorHAnsi"/>
          <w:lang w:val="en-US"/>
        </w:rPr>
        <w:t xml:space="preserve"> (U.K. Government, 1993).</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The role of the CCRC resembles its Home Office forerunner in that it cannot determine the outcome of cases but, if certain criteria are established, it can refer a case back to the Court of Appeal. H</w:t>
      </w:r>
      <w:r w:rsidR="00DC6ED3">
        <w:rPr>
          <w:rFonts w:cstheme="minorHAnsi"/>
          <w:lang w:val="en-US"/>
        </w:rPr>
        <w:t>owever, there are critical dif</w:t>
      </w:r>
      <w:r w:rsidRPr="00535FA5">
        <w:rPr>
          <w:rFonts w:cstheme="minorHAnsi"/>
          <w:lang w:val="en-US"/>
        </w:rPr>
        <w:t>ferences between the old and new systems:</w:t>
      </w:r>
    </w:p>
    <w:p w:rsidR="00535FA5" w:rsidRPr="00207708" w:rsidRDefault="00535FA5" w:rsidP="0062665A">
      <w:pPr>
        <w:pStyle w:val="ListParagraph"/>
        <w:widowControl w:val="0"/>
        <w:numPr>
          <w:ilvl w:val="0"/>
          <w:numId w:val="1"/>
        </w:numPr>
        <w:autoSpaceDE w:val="0"/>
        <w:autoSpaceDN w:val="0"/>
        <w:adjustRightInd w:val="0"/>
        <w:spacing w:after="120" w:line="240" w:lineRule="auto"/>
        <w:contextualSpacing w:val="0"/>
        <w:rPr>
          <w:rFonts w:cstheme="minorHAnsi"/>
          <w:lang w:val="en-US"/>
        </w:rPr>
      </w:pPr>
      <w:r w:rsidRPr="00207708">
        <w:rPr>
          <w:rFonts w:cstheme="minorHAnsi"/>
          <w:lang w:val="en-US"/>
        </w:rPr>
        <w:t xml:space="preserve">Preparation of the application: The establishment of the CCRC has removed some initial practical obstacles from the petitioner. Though the CCRC is not proactive, the application </w:t>
      </w:r>
      <w:r w:rsidRPr="00207708">
        <w:rPr>
          <w:rFonts w:cstheme="minorHAnsi"/>
          <w:lang w:val="en-US"/>
        </w:rPr>
        <w:lastRenderedPageBreak/>
        <w:t>process is user friendly, though the availability of legal advice remains a distinct advantage (Smith, 1995; U.K. Government, 1995).</w:t>
      </w:r>
    </w:p>
    <w:p w:rsidR="00535FA5" w:rsidRPr="00207708" w:rsidRDefault="00535FA5" w:rsidP="0062665A">
      <w:pPr>
        <w:pStyle w:val="ListParagraph"/>
        <w:widowControl w:val="0"/>
        <w:numPr>
          <w:ilvl w:val="0"/>
          <w:numId w:val="1"/>
        </w:numPr>
        <w:autoSpaceDE w:val="0"/>
        <w:autoSpaceDN w:val="0"/>
        <w:adjustRightInd w:val="0"/>
        <w:spacing w:after="120" w:line="240" w:lineRule="auto"/>
        <w:contextualSpacing w:val="0"/>
        <w:rPr>
          <w:rFonts w:cstheme="minorHAnsi"/>
          <w:lang w:val="en-US"/>
        </w:rPr>
      </w:pPr>
      <w:r w:rsidRPr="00207708">
        <w:rPr>
          <w:rFonts w:cstheme="minorHAnsi"/>
          <w:lang w:val="en-US"/>
        </w:rPr>
        <w:t>Structures: In addition to the 11 commissioners, the CCRC employs dozens of caseworkers. Its annual budget of around £6 m</w:t>
      </w:r>
      <w:r w:rsidR="007A5F16">
        <w:rPr>
          <w:rFonts w:cstheme="minorHAnsi"/>
          <w:lang w:val="en-US"/>
        </w:rPr>
        <w:t>illion rep</w:t>
      </w:r>
      <w:r w:rsidRPr="00207708">
        <w:rPr>
          <w:rFonts w:cstheme="minorHAnsi"/>
          <w:lang w:val="en-US"/>
        </w:rPr>
        <w:t>resents a substantial increase in resources compared to the Home Office. However, the CCRC has faced financial and staffing cutbacks, beginning in 2004 with a reduction of 30 percent in case working staff since then (Hodgson and Horne, 2009).</w:t>
      </w:r>
    </w:p>
    <w:p w:rsidR="00535FA5" w:rsidRPr="00207708" w:rsidRDefault="00535FA5" w:rsidP="0062665A">
      <w:pPr>
        <w:pStyle w:val="ListParagraph"/>
        <w:widowControl w:val="0"/>
        <w:numPr>
          <w:ilvl w:val="0"/>
          <w:numId w:val="1"/>
        </w:numPr>
        <w:autoSpaceDE w:val="0"/>
        <w:autoSpaceDN w:val="0"/>
        <w:adjustRightInd w:val="0"/>
        <w:spacing w:after="120" w:line="240" w:lineRule="auto"/>
        <w:contextualSpacing w:val="0"/>
        <w:rPr>
          <w:rFonts w:cstheme="minorHAnsi"/>
          <w:lang w:val="en-US"/>
        </w:rPr>
      </w:pPr>
      <w:r w:rsidRPr="00207708">
        <w:rPr>
          <w:rFonts w:cstheme="minorHAnsi"/>
          <w:lang w:val="en-US"/>
        </w:rPr>
        <w:t xml:space="preserve">Consideration of the application: </w:t>
      </w:r>
      <w:proofErr w:type="gramStart"/>
      <w:r w:rsidRPr="00207708">
        <w:rPr>
          <w:rFonts w:cstheme="minorHAnsi"/>
          <w:lang w:val="en-US"/>
        </w:rPr>
        <w:t>The reluctance of the Home Office to refer cases because of “politic</w:t>
      </w:r>
      <w:r w:rsidR="00DC6ED3" w:rsidRPr="00207708">
        <w:rPr>
          <w:rFonts w:cstheme="minorHAnsi"/>
          <w:lang w:val="en-US"/>
        </w:rPr>
        <w:t xml:space="preserve">al embarrassment” could only be </w:t>
      </w:r>
      <w:r w:rsidRPr="00207708">
        <w:rPr>
          <w:rFonts w:cstheme="minorHAnsi"/>
          <w:lang w:val="en-US"/>
        </w:rPr>
        <w:t>overcome by a body independent of the executive</w:t>
      </w:r>
      <w:proofErr w:type="gramEnd"/>
      <w:r w:rsidRPr="00207708">
        <w:rPr>
          <w:rFonts w:cstheme="minorHAnsi"/>
          <w:lang w:val="en-US"/>
        </w:rPr>
        <w:t xml:space="preserve">. The independence of the CCRC is provided for in section 8(2), whereby it “shall not be regarded as the servant or agent of the </w:t>
      </w:r>
      <w:proofErr w:type="gramStart"/>
      <w:r w:rsidRPr="00207708">
        <w:rPr>
          <w:rFonts w:cstheme="minorHAnsi"/>
          <w:lang w:val="en-US"/>
        </w:rPr>
        <w:t>Crown.…</w:t>
      </w:r>
      <w:proofErr w:type="gramEnd"/>
      <w:r w:rsidRPr="00207708">
        <w:rPr>
          <w:rFonts w:cstheme="minorHAnsi"/>
          <w:lang w:val="en-US"/>
        </w:rPr>
        <w:t xml:space="preserve">” At least one-third of the CCRC’s membership must be legally qualified, and under section </w:t>
      </w:r>
      <w:proofErr w:type="gramStart"/>
      <w:r w:rsidRPr="00207708">
        <w:rPr>
          <w:rFonts w:cstheme="minorHAnsi"/>
          <w:lang w:val="en-US"/>
        </w:rPr>
        <w:t>8(6)</w:t>
      </w:r>
      <w:proofErr w:type="gramEnd"/>
      <w:r w:rsidRPr="00207708">
        <w:rPr>
          <w:rFonts w:cstheme="minorHAnsi"/>
          <w:lang w:val="en-US"/>
        </w:rPr>
        <w:t xml:space="preserve"> at least two-thirds “shall be persons who appear to the Prime Minister to have knowledge or experience of any aspect of the criminal justice system.…” Howeve</w:t>
      </w:r>
      <w:r w:rsidR="00DC6ED3" w:rsidRPr="00207708">
        <w:rPr>
          <w:rFonts w:cstheme="minorHAnsi"/>
          <w:lang w:val="en-US"/>
        </w:rPr>
        <w:t>r, the selection of commission</w:t>
      </w:r>
      <w:r w:rsidRPr="00207708">
        <w:rPr>
          <w:rFonts w:cstheme="minorHAnsi"/>
          <w:lang w:val="en-US"/>
        </w:rPr>
        <w:t xml:space="preserve">ers over the years could be criticized as deriving too heavily from prosecution interests </w:t>
      </w:r>
      <w:proofErr w:type="gramStart"/>
      <w:r w:rsidRPr="00207708">
        <w:rPr>
          <w:rFonts w:cstheme="minorHAnsi"/>
          <w:lang w:val="en-US"/>
        </w:rPr>
        <w:t>and also</w:t>
      </w:r>
      <w:proofErr w:type="gramEnd"/>
      <w:r w:rsidRPr="00207708">
        <w:rPr>
          <w:rFonts w:cstheme="minorHAnsi"/>
          <w:lang w:val="en-US"/>
        </w:rPr>
        <w:t xml:space="preserve"> reflecting too much the white, male, middle class background so redolent of British judicial institutions.</w:t>
      </w:r>
    </w:p>
    <w:p w:rsidR="00535FA5" w:rsidRPr="00207708" w:rsidRDefault="00535FA5" w:rsidP="0062665A">
      <w:pPr>
        <w:pStyle w:val="ListParagraph"/>
        <w:widowControl w:val="0"/>
        <w:numPr>
          <w:ilvl w:val="0"/>
          <w:numId w:val="1"/>
        </w:numPr>
        <w:autoSpaceDE w:val="0"/>
        <w:autoSpaceDN w:val="0"/>
        <w:adjustRightInd w:val="0"/>
        <w:spacing w:after="120" w:line="240" w:lineRule="auto"/>
        <w:contextualSpacing w:val="0"/>
        <w:rPr>
          <w:rFonts w:cstheme="minorHAnsi"/>
          <w:lang w:val="en-US"/>
        </w:rPr>
      </w:pPr>
      <w:r w:rsidRPr="00207708">
        <w:rPr>
          <w:rFonts w:cstheme="minorHAnsi"/>
          <w:lang w:val="en-US"/>
        </w:rPr>
        <w:t xml:space="preserve">Reinvestigations: It is vital to the success of the CCRC that it </w:t>
      </w:r>
      <w:proofErr w:type="gramStart"/>
      <w:r w:rsidRPr="00207708">
        <w:rPr>
          <w:rFonts w:cstheme="minorHAnsi"/>
          <w:lang w:val="en-US"/>
        </w:rPr>
        <w:t>is seen</w:t>
      </w:r>
      <w:proofErr w:type="gramEnd"/>
      <w:r w:rsidR="00DC6ED3" w:rsidRPr="00207708">
        <w:rPr>
          <w:rFonts w:cstheme="minorHAnsi"/>
          <w:lang w:val="en-US"/>
        </w:rPr>
        <w:t xml:space="preserve"> </w:t>
      </w:r>
      <w:r w:rsidRPr="00207708">
        <w:rPr>
          <w:rFonts w:cstheme="minorHAnsi"/>
          <w:lang w:val="en-US"/>
        </w:rPr>
        <w:t xml:space="preserve">to have thorough and transparent investigative processes. However, the government has stood fast against resourcing CCRC in-house investigative staff. Instead, </w:t>
      </w:r>
      <w:proofErr w:type="gramStart"/>
      <w:r w:rsidRPr="00207708">
        <w:rPr>
          <w:rFonts w:cstheme="minorHAnsi"/>
          <w:lang w:val="en-US"/>
        </w:rPr>
        <w:t>investigations are mainly carried out by the police under CCRC supervision, a relationship that demands a more</w:t>
      </w:r>
      <w:proofErr w:type="gramEnd"/>
      <w:r w:rsidRPr="00207708">
        <w:rPr>
          <w:rFonts w:cstheme="minorHAnsi"/>
          <w:lang w:val="en-US"/>
        </w:rPr>
        <w:t xml:space="preserve"> “trusting attitude to the police” than perhaps is warranted (Criminal Cases Review Commission, 2009: paragraph 7).</w:t>
      </w:r>
    </w:p>
    <w:p w:rsidR="00535FA5" w:rsidRPr="00207708" w:rsidRDefault="00535FA5" w:rsidP="0062665A">
      <w:pPr>
        <w:pStyle w:val="ListParagraph"/>
        <w:widowControl w:val="0"/>
        <w:numPr>
          <w:ilvl w:val="0"/>
          <w:numId w:val="1"/>
        </w:numPr>
        <w:autoSpaceDE w:val="0"/>
        <w:autoSpaceDN w:val="0"/>
        <w:adjustRightInd w:val="0"/>
        <w:spacing w:after="120" w:line="240" w:lineRule="auto"/>
        <w:contextualSpacing w:val="0"/>
        <w:rPr>
          <w:rFonts w:cstheme="minorHAnsi"/>
          <w:lang w:val="en-US"/>
        </w:rPr>
      </w:pPr>
      <w:r w:rsidRPr="00207708">
        <w:rPr>
          <w:rFonts w:cstheme="minorHAnsi"/>
          <w:lang w:val="en-US"/>
        </w:rPr>
        <w:t>Disclosure of evidence: The CCRC h</w:t>
      </w:r>
      <w:r w:rsidR="00DC6ED3" w:rsidRPr="00207708">
        <w:rPr>
          <w:rFonts w:cstheme="minorHAnsi"/>
          <w:lang w:val="en-US"/>
        </w:rPr>
        <w:t>as a wide power to obtain docu</w:t>
      </w:r>
      <w:r w:rsidRPr="00207708">
        <w:rPr>
          <w:rFonts w:cstheme="minorHAnsi"/>
          <w:lang w:val="en-US"/>
        </w:rPr>
        <w:t xml:space="preserve">ments from public bodies under section 17 of the 1995 Act, but these powers do not extend to private bodies (which may include forensic laboratories). </w:t>
      </w:r>
      <w:proofErr w:type="gramStart"/>
      <w:r w:rsidRPr="00207708">
        <w:rPr>
          <w:rFonts w:cstheme="minorHAnsi"/>
          <w:lang w:val="en-US"/>
        </w:rPr>
        <w:t>As regards disclosure of information to the applicant, the Court in R v. Secretary of State for the Home Department (</w:t>
      </w:r>
      <w:proofErr w:type="spellStart"/>
      <w:r w:rsidRPr="00207708">
        <w:rPr>
          <w:rFonts w:cstheme="minorHAnsi"/>
          <w:lang w:val="en-US"/>
        </w:rPr>
        <w:t>Malet</w:t>
      </w:r>
      <w:proofErr w:type="spellEnd"/>
      <w:r w:rsidRPr="00207708">
        <w:rPr>
          <w:rFonts w:cstheme="minorHAnsi"/>
          <w:lang w:val="en-US"/>
        </w:rPr>
        <w:t>, 1995) insisted that when the Home Secretary was minded to reject an applicant’s petition on the basis o</w:t>
      </w:r>
      <w:r w:rsidR="00DC6ED3" w:rsidRPr="00207708">
        <w:rPr>
          <w:rFonts w:cstheme="minorHAnsi"/>
          <w:lang w:val="en-US"/>
        </w:rPr>
        <w:t>f evidence gathered in any fur</w:t>
      </w:r>
      <w:r w:rsidRPr="00207708">
        <w:rPr>
          <w:rFonts w:cstheme="minorHAnsi"/>
          <w:lang w:val="en-US"/>
        </w:rPr>
        <w:t>ther inquiries, the applicant should be given an opportunity to make representations upon such material before a final decision is made.</w:t>
      </w:r>
      <w:proofErr w:type="gramEnd"/>
      <w:r w:rsidRPr="00207708">
        <w:rPr>
          <w:rFonts w:cstheme="minorHAnsi"/>
          <w:lang w:val="en-US"/>
        </w:rPr>
        <w:t xml:space="preserve"> However, there is no general duty to disclose all the information gathered during any investigation or reinvestigation (Rv. Secretary of State for the Home Department ex parte Hickey (no. 2) [1995] 1ALL ER 490).</w:t>
      </w:r>
    </w:p>
    <w:p w:rsidR="00535FA5" w:rsidRPr="00207708" w:rsidRDefault="00535FA5" w:rsidP="0062665A">
      <w:pPr>
        <w:pStyle w:val="ListParagraph"/>
        <w:widowControl w:val="0"/>
        <w:numPr>
          <w:ilvl w:val="0"/>
          <w:numId w:val="1"/>
        </w:numPr>
        <w:autoSpaceDE w:val="0"/>
        <w:autoSpaceDN w:val="0"/>
        <w:adjustRightInd w:val="0"/>
        <w:spacing w:after="120" w:line="240" w:lineRule="auto"/>
        <w:contextualSpacing w:val="0"/>
        <w:rPr>
          <w:rFonts w:cstheme="minorHAnsi"/>
          <w:lang w:val="en-US"/>
        </w:rPr>
      </w:pPr>
      <w:r w:rsidRPr="00207708">
        <w:rPr>
          <w:rFonts w:cstheme="minorHAnsi"/>
          <w:lang w:val="en-US"/>
        </w:rPr>
        <w:t>Referral to the Court of Appeal: To trigger a referral to the Court of</w:t>
      </w:r>
      <w:r w:rsidR="00DC6ED3" w:rsidRPr="00207708">
        <w:rPr>
          <w:rFonts w:cstheme="minorHAnsi"/>
          <w:lang w:val="en-US"/>
        </w:rPr>
        <w:t xml:space="preserve"> </w:t>
      </w:r>
      <w:r w:rsidRPr="00207708">
        <w:rPr>
          <w:rFonts w:cstheme="minorHAnsi"/>
          <w:lang w:val="en-US"/>
        </w:rPr>
        <w:t xml:space="preserve">Appeal, the CCRC under section 13(1) must “consider that there is a real possibility that the conviction… </w:t>
      </w:r>
      <w:r w:rsidR="007A5F16">
        <w:rPr>
          <w:rFonts w:cstheme="minorHAnsi"/>
          <w:lang w:val="en-US"/>
        </w:rPr>
        <w:t>would not be upheld were a ref</w:t>
      </w:r>
      <w:r w:rsidRPr="00207708">
        <w:rPr>
          <w:rFonts w:cstheme="minorHAnsi"/>
          <w:lang w:val="en-US"/>
        </w:rPr>
        <w:t xml:space="preserve">erence to be made.…” This “real possibility” </w:t>
      </w:r>
      <w:proofErr w:type="gramStart"/>
      <w:r w:rsidRPr="00207708">
        <w:rPr>
          <w:rFonts w:cstheme="minorHAnsi"/>
          <w:lang w:val="en-US"/>
        </w:rPr>
        <w:t>can be realized</w:t>
      </w:r>
      <w:proofErr w:type="gramEnd"/>
      <w:r w:rsidRPr="00207708">
        <w:rPr>
          <w:rFonts w:cstheme="minorHAnsi"/>
          <w:lang w:val="en-US"/>
        </w:rPr>
        <w:t xml:space="preserve"> through “an argument, or evidence, not raised in the proceedings.…” Yet, the Act left much to be determined through the interpretations of the CCRC </w:t>
      </w:r>
      <w:proofErr w:type="gramStart"/>
      <w:r w:rsidRPr="00207708">
        <w:rPr>
          <w:rFonts w:cstheme="minorHAnsi"/>
          <w:lang w:val="en-US"/>
        </w:rPr>
        <w:t>and also</w:t>
      </w:r>
      <w:proofErr w:type="gramEnd"/>
      <w:r w:rsidRPr="00207708">
        <w:rPr>
          <w:rFonts w:cstheme="minorHAnsi"/>
          <w:lang w:val="en-US"/>
        </w:rPr>
        <w:t xml:space="preserve"> the receptivity of the Court of Appeal, which has to be second-guessed by the CCRC. </w:t>
      </w:r>
      <w:proofErr w:type="gramStart"/>
      <w:r w:rsidRPr="00207708">
        <w:rPr>
          <w:rFonts w:cstheme="minorHAnsi"/>
          <w:lang w:val="en-US"/>
        </w:rPr>
        <w:t>More radical solutions</w:t>
      </w:r>
      <w:proofErr w:type="gramEnd"/>
      <w:r w:rsidRPr="00207708">
        <w:rPr>
          <w:rFonts w:cstheme="minorHAnsi"/>
          <w:lang w:val="en-US"/>
        </w:rPr>
        <w:t xml:space="preserve"> would have been to give the commission the power to determine applications or at least to make recommendations to the Court of Appeal either to acquit or to order a retrial, placing the onus on the judges to find rea- sons to disagree. However, such ideas would arguably have interfered too much with judicial independence and the finality of verdicts.</w:t>
      </w:r>
    </w:p>
    <w:p w:rsidR="00DC6ED3" w:rsidRDefault="00DC6ED3" w:rsidP="0062665A">
      <w:pPr>
        <w:widowControl w:val="0"/>
        <w:autoSpaceDE w:val="0"/>
        <w:autoSpaceDN w:val="0"/>
        <w:adjustRightInd w:val="0"/>
        <w:spacing w:after="120" w:line="240" w:lineRule="auto"/>
        <w:rPr>
          <w:rFonts w:cstheme="minorHAnsi"/>
          <w:lang w:val="en-US"/>
        </w:rPr>
      </w:pPr>
    </w:p>
    <w:p w:rsidR="00535FA5" w:rsidRPr="00DC6ED3" w:rsidRDefault="00535FA5" w:rsidP="0062665A">
      <w:pPr>
        <w:widowControl w:val="0"/>
        <w:autoSpaceDE w:val="0"/>
        <w:autoSpaceDN w:val="0"/>
        <w:adjustRightInd w:val="0"/>
        <w:spacing w:after="120" w:line="240" w:lineRule="auto"/>
        <w:rPr>
          <w:rFonts w:cstheme="minorHAnsi"/>
          <w:b/>
          <w:lang w:val="en-US"/>
        </w:rPr>
      </w:pPr>
      <w:r w:rsidRPr="00DC6ED3">
        <w:rPr>
          <w:rFonts w:cstheme="minorHAnsi"/>
          <w:b/>
          <w:lang w:val="en-US"/>
        </w:rPr>
        <w:t>Performance of the CCRC</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In terms of design, the CCRC is an important and innovative reform, which recognizes the possibility of residual errors and</w:t>
      </w:r>
      <w:r w:rsidR="00DC6ED3">
        <w:rPr>
          <w:rFonts w:cstheme="minorHAnsi"/>
          <w:lang w:val="en-US"/>
        </w:rPr>
        <w:t xml:space="preserve"> works to facilitate their cor</w:t>
      </w:r>
      <w:r w:rsidRPr="00535FA5">
        <w:rPr>
          <w:rFonts w:cstheme="minorHAnsi"/>
          <w:lang w:val="en-US"/>
        </w:rPr>
        <w:t>rection. The CCRC has been widely accepted, in theory and in practice, to be a great improvement in terms of independence, resources, expertise, and performance on the predecessor C3 Dep</w:t>
      </w:r>
      <w:r w:rsidR="00DC6ED3">
        <w:rPr>
          <w:rFonts w:cstheme="minorHAnsi"/>
          <w:lang w:val="en-US"/>
        </w:rPr>
        <w:t xml:space="preserve">artment of the Home Office and </w:t>
      </w:r>
      <w:r w:rsidRPr="00535FA5">
        <w:rPr>
          <w:rFonts w:cstheme="minorHAnsi"/>
          <w:lang w:val="en-US"/>
        </w:rPr>
        <w:t xml:space="preserve">the equivalent unit in the Northern Ireland Office (including four times the rate of referrals). However, increasing criticisms </w:t>
      </w:r>
      <w:proofErr w:type="gramStart"/>
      <w:r w:rsidRPr="00535FA5">
        <w:rPr>
          <w:rFonts w:cstheme="minorHAnsi"/>
          <w:lang w:val="en-US"/>
        </w:rPr>
        <w:t>are levelled</w:t>
      </w:r>
      <w:proofErr w:type="gramEnd"/>
      <w:r w:rsidRPr="00535FA5">
        <w:rPr>
          <w:rFonts w:cstheme="minorHAnsi"/>
          <w:lang w:val="en-US"/>
        </w:rPr>
        <w:t xml:space="preserve"> at the decision- making processes, the resources, and ultimately the remit.</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The CCRC began work on April 1, 1997, with 279 cases transferred to it from the Home Office and 12 </w:t>
      </w:r>
      <w:r w:rsidRPr="00535FA5">
        <w:rPr>
          <w:rFonts w:cstheme="minorHAnsi"/>
          <w:lang w:val="en-US"/>
        </w:rPr>
        <w:lastRenderedPageBreak/>
        <w:t xml:space="preserve">from the Northern Ireland Office. By March 31, 2012, the commission had received 14,506 applications, of which 13,969 </w:t>
      </w:r>
      <w:proofErr w:type="gramStart"/>
      <w:r w:rsidRPr="00535FA5">
        <w:rPr>
          <w:rFonts w:cstheme="minorHAnsi"/>
          <w:lang w:val="en-US"/>
        </w:rPr>
        <w:t>have been completed</w:t>
      </w:r>
      <w:proofErr w:type="gramEnd"/>
      <w:r w:rsidRPr="00535FA5">
        <w:rPr>
          <w:rFonts w:cstheme="minorHAnsi"/>
          <w:lang w:val="en-US"/>
        </w:rPr>
        <w:t xml:space="preserve">. Of these applications, 498 referrals </w:t>
      </w:r>
      <w:proofErr w:type="gramStart"/>
      <w:r w:rsidRPr="00535FA5">
        <w:rPr>
          <w:rFonts w:cstheme="minorHAnsi"/>
          <w:lang w:val="en-US"/>
        </w:rPr>
        <w:t>have been made</w:t>
      </w:r>
      <w:proofErr w:type="gramEnd"/>
      <w:r w:rsidRPr="00535FA5">
        <w:rPr>
          <w:rFonts w:cstheme="minorHAnsi"/>
          <w:lang w:val="en-US"/>
        </w:rPr>
        <w:t xml:space="preserve"> to the Court of Appeal, of which 460 have been heard, resulting in 321 quashed convictions or sentence variations.</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Evidenced by the foregoing low rate of referrals, the CCRC adopts an inherently cautious approach, reflected by it</w:t>
      </w:r>
      <w:r w:rsidR="00DC6ED3">
        <w:rPr>
          <w:rFonts w:cstheme="minorHAnsi"/>
          <w:lang w:val="en-US"/>
        </w:rPr>
        <w:t>s internal decision-making pro</w:t>
      </w:r>
      <w:r w:rsidRPr="00535FA5">
        <w:rPr>
          <w:rFonts w:cstheme="minorHAnsi"/>
          <w:lang w:val="en-US"/>
        </w:rPr>
        <w:t>tocols. While just a single commissioner can refuse referral, it requires three to refer (Nunn V. Chief Constable of the Suffolk Constabulary [2012] EWHC 1186 (Admin)). In practice, Case Review Managers (CRMs), who have the main responsibility for investigating cases, have internalized this “one CM to refuse, three CMs to refer” system with the result that they have transformed the working practice of the “real possibility test” into “a real possibility of a real possibility test” when deciding whether or not to recommend a referral. In this way, the single CRM must decide whether there is a “real possibility” that three commission members will refer</w:t>
      </w:r>
      <w:r w:rsidR="00DC6ED3">
        <w:rPr>
          <w:rFonts w:cstheme="minorHAnsi"/>
          <w:lang w:val="en-US"/>
        </w:rPr>
        <w:t xml:space="preserve"> before making their own recom</w:t>
      </w:r>
      <w:r w:rsidRPr="00535FA5">
        <w:rPr>
          <w:rFonts w:cstheme="minorHAnsi"/>
          <w:lang w:val="en-US"/>
        </w:rPr>
        <w:t>mendation (Criminal Cases Review Commission, 2004).</w:t>
      </w:r>
    </w:p>
    <w:p w:rsidR="00535FA5" w:rsidRPr="00535FA5" w:rsidRDefault="00535FA5" w:rsidP="0062665A">
      <w:pPr>
        <w:widowControl w:val="0"/>
        <w:autoSpaceDE w:val="0"/>
        <w:autoSpaceDN w:val="0"/>
        <w:adjustRightInd w:val="0"/>
        <w:spacing w:after="120" w:line="240" w:lineRule="auto"/>
        <w:rPr>
          <w:rFonts w:cstheme="minorHAnsi"/>
          <w:lang w:val="en-US"/>
        </w:rPr>
      </w:pPr>
      <w:proofErr w:type="gramStart"/>
      <w:r w:rsidRPr="00535FA5">
        <w:rPr>
          <w:rFonts w:cstheme="minorHAnsi"/>
          <w:lang w:val="en-US"/>
        </w:rPr>
        <w:t>It could be contended that in looking for a</w:t>
      </w:r>
      <w:r w:rsidR="00DC6ED3">
        <w:rPr>
          <w:rFonts w:cstheme="minorHAnsi"/>
          <w:lang w:val="en-US"/>
        </w:rPr>
        <w:t xml:space="preserve"> “real possibility” that a con</w:t>
      </w:r>
      <w:r w:rsidRPr="00535FA5">
        <w:rPr>
          <w:rFonts w:cstheme="minorHAnsi"/>
          <w:lang w:val="en-US"/>
        </w:rPr>
        <w:t xml:space="preserve">viction would be reversed by the Court </w:t>
      </w:r>
      <w:r w:rsidR="00BE6290">
        <w:rPr>
          <w:rFonts w:cstheme="minorHAnsi"/>
          <w:lang w:val="en-US"/>
        </w:rPr>
        <w:t>of Appeal, the CCRC is second-</w:t>
      </w:r>
      <w:r w:rsidRPr="00535FA5">
        <w:rPr>
          <w:rFonts w:cstheme="minorHAnsi"/>
          <w:lang w:val="en-US"/>
        </w:rPr>
        <w:t>guessing the Court of Appeal and only refers those cases that are sure to be overturned—the high success rate in the Court of Appeal combined with the low rate of referrals is indicative of this tendency.</w:t>
      </w:r>
      <w:proofErr w:type="gramEnd"/>
      <w:r w:rsidRPr="00535FA5">
        <w:rPr>
          <w:rFonts w:cstheme="minorHAnsi"/>
          <w:lang w:val="en-US"/>
        </w:rPr>
        <w:t xml:space="preserve"> However, a greater p</w:t>
      </w:r>
      <w:r w:rsidR="00DC6ED3">
        <w:rPr>
          <w:rFonts w:cstheme="minorHAnsi"/>
          <w:lang w:val="en-US"/>
        </w:rPr>
        <w:t>ro</w:t>
      </w:r>
      <w:r w:rsidRPr="00535FA5">
        <w:rPr>
          <w:rFonts w:cstheme="minorHAnsi"/>
          <w:lang w:val="en-US"/>
        </w:rPr>
        <w:t>pensity to refer might reduce the engagement in investigative work, thereby weakening the chances in court. The Court of Appeal can in turn direct  the CCRC to carry out investigations under the Criminal Appeal Act 1995 (Elks, 2008), sections 5 and 15, but rarely exe</w:t>
      </w:r>
      <w:r w:rsidR="00DC6ED3">
        <w:rPr>
          <w:rFonts w:cstheme="minorHAnsi"/>
          <w:lang w:val="en-US"/>
        </w:rPr>
        <w:t>rcises the power. If the quali</w:t>
      </w:r>
      <w:r w:rsidRPr="00535FA5">
        <w:rPr>
          <w:rFonts w:cstheme="minorHAnsi"/>
          <w:lang w:val="en-US"/>
        </w:rPr>
        <w:t xml:space="preserve">ty of preliminary investigation </w:t>
      </w:r>
      <w:proofErr w:type="gramStart"/>
      <w:r w:rsidRPr="00535FA5">
        <w:rPr>
          <w:rFonts w:cstheme="minorHAnsi"/>
          <w:lang w:val="en-US"/>
        </w:rPr>
        <w:t>is reduced</w:t>
      </w:r>
      <w:proofErr w:type="gramEnd"/>
      <w:r w:rsidRPr="00535FA5">
        <w:rPr>
          <w:rFonts w:cstheme="minorHAnsi"/>
          <w:lang w:val="en-US"/>
        </w:rPr>
        <w:t>, the CCRC will quickly become discredited. In the view of the CCRC itself (U.K. Government, 1995), it might “perpetuate the very miscarriages of justice that the Comm</w:t>
      </w:r>
      <w:r w:rsidR="00207708">
        <w:rPr>
          <w:rFonts w:cstheme="minorHAnsi"/>
          <w:lang w:val="en-US"/>
        </w:rPr>
        <w:t xml:space="preserve">ission </w:t>
      </w:r>
      <w:r w:rsidRPr="00535FA5">
        <w:rPr>
          <w:rFonts w:cstheme="minorHAnsi"/>
          <w:lang w:val="en-US"/>
        </w:rPr>
        <w:t xml:space="preserve">was set up to review.…” There is also the danger of hampering the ability of the Court of Appeal to scrutinize effectively if a sizeable </w:t>
      </w:r>
      <w:bookmarkStart w:id="0" w:name="_GoBack"/>
      <w:bookmarkEnd w:id="0"/>
      <w:r w:rsidRPr="00535FA5">
        <w:rPr>
          <w:rFonts w:cstheme="minorHAnsi"/>
          <w:lang w:val="en-US"/>
        </w:rPr>
        <w:t>proportion of weak referrals fails.</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Moving from its handling of individual cases, a wider performance defect of the CCRC is that it has concentrated too much on individual cases and has failed to undertake a broader analysis and audit of systemic failures and necessary reforms. This aspect of inquiry would be “value-added” work that the CCRC </w:t>
      </w:r>
      <w:proofErr w:type="gramStart"/>
      <w:r w:rsidRPr="00535FA5">
        <w:rPr>
          <w:rFonts w:cstheme="minorHAnsi"/>
          <w:lang w:val="en-US"/>
        </w:rPr>
        <w:t>is well placed</w:t>
      </w:r>
      <w:proofErr w:type="gramEnd"/>
      <w:r w:rsidRPr="00535FA5">
        <w:rPr>
          <w:rFonts w:cstheme="minorHAnsi"/>
          <w:lang w:val="en-US"/>
        </w:rPr>
        <w:t xml:space="preserve"> to carry out or facilitate (Criminal Cases Review Commission, 2001: pp. 26) but that is currently neglected by the criminal justice system.</w:t>
      </w:r>
    </w:p>
    <w:p w:rsidR="00535FA5" w:rsidRPr="00535FA5" w:rsidRDefault="00535FA5" w:rsidP="0062665A">
      <w:pPr>
        <w:widowControl w:val="0"/>
        <w:autoSpaceDE w:val="0"/>
        <w:autoSpaceDN w:val="0"/>
        <w:adjustRightInd w:val="0"/>
        <w:spacing w:after="120" w:line="240" w:lineRule="auto"/>
        <w:rPr>
          <w:rFonts w:cstheme="minorHAnsi"/>
          <w:lang w:val="en-US"/>
        </w:rPr>
      </w:pPr>
    </w:p>
    <w:p w:rsidR="00535FA5" w:rsidRPr="00DC6ED3" w:rsidRDefault="00535FA5" w:rsidP="0062665A">
      <w:pPr>
        <w:widowControl w:val="0"/>
        <w:autoSpaceDE w:val="0"/>
        <w:autoSpaceDN w:val="0"/>
        <w:adjustRightInd w:val="0"/>
        <w:spacing w:after="120" w:line="240" w:lineRule="auto"/>
        <w:rPr>
          <w:rFonts w:cstheme="minorHAnsi"/>
          <w:b/>
          <w:lang w:val="en-US"/>
        </w:rPr>
      </w:pPr>
      <w:r w:rsidRPr="00DC6ED3">
        <w:rPr>
          <w:rFonts w:cstheme="minorHAnsi"/>
          <w:b/>
          <w:lang w:val="en-US"/>
        </w:rPr>
        <w:t>Performance of the Court of Appeal</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Crucial to the success of the scheme must be the receptivity to CCRC referrals on the part of the Court of Appeal. The Court has generally shown respect for the CCRC, but one key problem remains the meaning of the statutory test for referral.</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As stated, the 1995 Act provides that there must be a “real possibility” that the original conviction, finding, or sentence </w:t>
      </w:r>
      <w:proofErr w:type="gramStart"/>
      <w:r w:rsidRPr="00535FA5">
        <w:rPr>
          <w:rFonts w:cstheme="minorHAnsi"/>
          <w:lang w:val="en-US"/>
        </w:rPr>
        <w:t>would not be upheld</w:t>
      </w:r>
      <w:proofErr w:type="gramEnd"/>
      <w:r w:rsidRPr="00535FA5">
        <w:rPr>
          <w:rFonts w:cstheme="minorHAnsi"/>
          <w:lang w:val="en-US"/>
        </w:rPr>
        <w:t xml:space="preserve"> as “safe” were the conviction to be referred back to the Court of Appeal. In the case of a conviction, the “real possibility” must be </w:t>
      </w:r>
      <w:proofErr w:type="gramStart"/>
      <w:r w:rsidRPr="00535FA5">
        <w:rPr>
          <w:rFonts w:cstheme="minorHAnsi"/>
          <w:lang w:val="en-US"/>
        </w:rPr>
        <w:t>as a result</w:t>
      </w:r>
      <w:proofErr w:type="gramEnd"/>
      <w:r w:rsidRPr="00535FA5">
        <w:rPr>
          <w:rFonts w:cstheme="minorHAnsi"/>
          <w:lang w:val="en-US"/>
        </w:rPr>
        <w:t xml:space="preserve"> of an argument or evidence not raised in the original proc</w:t>
      </w:r>
      <w:r w:rsidR="00DC6ED3">
        <w:rPr>
          <w:rFonts w:cstheme="minorHAnsi"/>
          <w:lang w:val="en-US"/>
        </w:rPr>
        <w:t>eedings or of “exceptional cir</w:t>
      </w:r>
      <w:r w:rsidRPr="00535FA5">
        <w:rPr>
          <w:rFonts w:cstheme="minorHAnsi"/>
          <w:lang w:val="en-US"/>
        </w:rPr>
        <w:t xml:space="preserve">cumstances” such as wholly inadequate defense representation. The leading case on the interpretation of section 13 has been R v. Criminal Cases Review Commission (Elks, 2008: pp. 348). It </w:t>
      </w:r>
      <w:proofErr w:type="gramStart"/>
      <w:r w:rsidRPr="00535FA5">
        <w:rPr>
          <w:rFonts w:cstheme="minorHAnsi"/>
          <w:lang w:val="en-US"/>
        </w:rPr>
        <w:t>was held</w:t>
      </w:r>
      <w:proofErr w:type="gramEnd"/>
      <w:r w:rsidR="00DC6ED3">
        <w:rPr>
          <w:rFonts w:cstheme="minorHAnsi"/>
          <w:lang w:val="en-US"/>
        </w:rPr>
        <w:t xml:space="preserve"> that the meaning of “real pos</w:t>
      </w:r>
      <w:r w:rsidRPr="00535FA5">
        <w:rPr>
          <w:rFonts w:cstheme="minorHAnsi"/>
          <w:lang w:val="en-US"/>
        </w:rPr>
        <w:t xml:space="preserve">sibility” “plainly denotes a contingency which in the Commission’s judgment is more than an outside chance or a bare possibility but which may be less than a probability or likelihood or a racing certainty.” Those standards were applied both to the admission of fresh evidence (if relevant) </w:t>
      </w:r>
      <w:proofErr w:type="gramStart"/>
      <w:r w:rsidRPr="00535FA5">
        <w:rPr>
          <w:rFonts w:cstheme="minorHAnsi"/>
          <w:lang w:val="en-US"/>
        </w:rPr>
        <w:t>and also</w:t>
      </w:r>
      <w:proofErr w:type="gramEnd"/>
      <w:r w:rsidRPr="00535FA5">
        <w:rPr>
          <w:rFonts w:cstheme="minorHAnsi"/>
          <w:lang w:val="en-US"/>
        </w:rPr>
        <w:t xml:space="preserve"> to the assessment of the evidence by the court. Whether this provides a sufficiently clear signal of </w:t>
      </w:r>
      <w:proofErr w:type="gramStart"/>
      <w:r w:rsidRPr="00535FA5">
        <w:rPr>
          <w:rFonts w:cstheme="minorHAnsi"/>
          <w:lang w:val="en-US"/>
        </w:rPr>
        <w:t>society’s</w:t>
      </w:r>
      <w:proofErr w:type="gramEnd"/>
      <w:r w:rsidRPr="00535FA5">
        <w:rPr>
          <w:rFonts w:cstheme="minorHAnsi"/>
          <w:lang w:val="en-US"/>
        </w:rPr>
        <w:t xml:space="preserve"> determination to avoid miscarriages is questionable. It still leaves much discretion—some defendants might be lucky to </w:t>
      </w:r>
      <w:proofErr w:type="gramStart"/>
      <w:r w:rsidRPr="00535FA5">
        <w:rPr>
          <w:rFonts w:cstheme="minorHAnsi"/>
          <w:lang w:val="en-US"/>
        </w:rPr>
        <w:t>be heard</w:t>
      </w:r>
      <w:proofErr w:type="gramEnd"/>
      <w:r w:rsidRPr="00535FA5">
        <w:rPr>
          <w:rFonts w:cstheme="minorHAnsi"/>
          <w:lang w:val="en-US"/>
        </w:rPr>
        <w:t xml:space="preserve"> by receptive judges, others might not.</w:t>
      </w:r>
    </w:p>
    <w:p w:rsidR="00535FA5" w:rsidRPr="00535FA5" w:rsidRDefault="00535FA5" w:rsidP="0062665A">
      <w:pPr>
        <w:widowControl w:val="0"/>
        <w:autoSpaceDE w:val="0"/>
        <w:autoSpaceDN w:val="0"/>
        <w:adjustRightInd w:val="0"/>
        <w:spacing w:after="120" w:line="240" w:lineRule="auto"/>
        <w:rPr>
          <w:rFonts w:cstheme="minorHAnsi"/>
          <w:lang w:val="en-US"/>
        </w:rPr>
      </w:pPr>
    </w:p>
    <w:p w:rsidR="00535FA5" w:rsidRPr="003D3711" w:rsidRDefault="00535FA5" w:rsidP="0062665A">
      <w:pPr>
        <w:widowControl w:val="0"/>
        <w:autoSpaceDE w:val="0"/>
        <w:autoSpaceDN w:val="0"/>
        <w:adjustRightInd w:val="0"/>
        <w:spacing w:after="120" w:line="240" w:lineRule="auto"/>
        <w:rPr>
          <w:rFonts w:cstheme="minorHAnsi"/>
          <w:b/>
          <w:sz w:val="28"/>
          <w:szCs w:val="28"/>
          <w:lang w:val="en-US"/>
        </w:rPr>
      </w:pPr>
      <w:r w:rsidRPr="003D3711">
        <w:rPr>
          <w:rFonts w:cstheme="minorHAnsi"/>
          <w:b/>
          <w:sz w:val="28"/>
          <w:szCs w:val="28"/>
          <w:lang w:val="en-US"/>
        </w:rPr>
        <w:t>Conclusions</w:t>
      </w:r>
    </w:p>
    <w:p w:rsidR="003D3711" w:rsidRDefault="003D3711" w:rsidP="0062665A">
      <w:pPr>
        <w:widowControl w:val="0"/>
        <w:autoSpaceDE w:val="0"/>
        <w:autoSpaceDN w:val="0"/>
        <w:adjustRightInd w:val="0"/>
        <w:spacing w:after="120" w:line="240" w:lineRule="auto"/>
        <w:rPr>
          <w:rFonts w:cstheme="minorHAnsi"/>
          <w:lang w:val="en-US"/>
        </w:rPr>
      </w:pPr>
    </w:p>
    <w:p w:rsidR="00535FA5" w:rsidRPr="00535FA5" w:rsidRDefault="00535FA5" w:rsidP="0062665A">
      <w:pPr>
        <w:widowControl w:val="0"/>
        <w:autoSpaceDE w:val="0"/>
        <w:autoSpaceDN w:val="0"/>
        <w:adjustRightInd w:val="0"/>
        <w:spacing w:after="120" w:line="240" w:lineRule="auto"/>
        <w:rPr>
          <w:rFonts w:cstheme="minorHAnsi"/>
          <w:lang w:val="en-US"/>
        </w:rPr>
      </w:pPr>
      <w:proofErr w:type="gramStart"/>
      <w:r w:rsidRPr="00535FA5">
        <w:rPr>
          <w:rFonts w:cstheme="minorHAnsi"/>
          <w:lang w:val="en-US"/>
        </w:rPr>
        <w:t>Miscarriages of justice</w:t>
      </w:r>
      <w:proofErr w:type="gramEnd"/>
      <w:r w:rsidRPr="00535FA5">
        <w:rPr>
          <w:rFonts w:cstheme="minorHAnsi"/>
          <w:lang w:val="en-US"/>
        </w:rPr>
        <w:t xml:space="preserve"> involving forensic evidence have provided plentiful opportunity for the legal and scientific co</w:t>
      </w:r>
      <w:r w:rsidR="00DC6ED3">
        <w:rPr>
          <w:rFonts w:cstheme="minorHAnsi"/>
          <w:lang w:val="en-US"/>
        </w:rPr>
        <w:t>mmunities to reflect upon fail</w:t>
      </w:r>
      <w:r w:rsidRPr="00535FA5">
        <w:rPr>
          <w:rFonts w:cstheme="minorHAnsi"/>
          <w:lang w:val="en-US"/>
        </w:rPr>
        <w:t>ings of both science and law. While a recent U.S. National Research Council of the National Academy of Sciences Report (R v. Criminal Cases Review Commission ex parte Pearson [2000] 1Cr.App.R141: pp.</w:t>
      </w:r>
      <w:r w:rsidR="00DC6ED3">
        <w:rPr>
          <w:rFonts w:cstheme="minorHAnsi"/>
          <w:lang w:val="en-US"/>
        </w:rPr>
        <w:t xml:space="preserve">  </w:t>
      </w:r>
      <w:proofErr w:type="gramStart"/>
      <w:r w:rsidR="00DC6ED3">
        <w:rPr>
          <w:rFonts w:cstheme="minorHAnsi"/>
          <w:lang w:val="en-US"/>
        </w:rPr>
        <w:t>149)  was  scath</w:t>
      </w:r>
      <w:r w:rsidRPr="00535FA5">
        <w:rPr>
          <w:rFonts w:cstheme="minorHAnsi"/>
          <w:lang w:val="en-US"/>
        </w:rPr>
        <w:t>ing about the lack of “science” underlyin</w:t>
      </w:r>
      <w:r w:rsidR="00DC6ED3">
        <w:rPr>
          <w:rFonts w:cstheme="minorHAnsi"/>
          <w:lang w:val="en-US"/>
        </w:rPr>
        <w:t>g some prominent forensic tech</w:t>
      </w:r>
      <w:r w:rsidRPr="00535FA5">
        <w:rPr>
          <w:rFonts w:cstheme="minorHAnsi"/>
          <w:lang w:val="en-US"/>
        </w:rPr>
        <w:t xml:space="preserve">niques, the report also contained “the somewhat hushed admonition that lawyers and judges often have insufficient </w:t>
      </w:r>
      <w:r w:rsidR="00DC6ED3">
        <w:rPr>
          <w:rFonts w:cstheme="minorHAnsi"/>
          <w:lang w:val="en-US"/>
        </w:rPr>
        <w:t>training and background in sci</w:t>
      </w:r>
      <w:r w:rsidRPr="00535FA5">
        <w:rPr>
          <w:rFonts w:cstheme="minorHAnsi"/>
          <w:lang w:val="en-US"/>
        </w:rPr>
        <w:t xml:space="preserve">entific methodology and they often fail to </w:t>
      </w:r>
      <w:r w:rsidR="00DC6ED3">
        <w:rPr>
          <w:rFonts w:cstheme="minorHAnsi"/>
          <w:lang w:val="en-US"/>
        </w:rPr>
        <w:t xml:space="preserve">fully comprehend the approaches </w:t>
      </w:r>
      <w:r w:rsidRPr="00535FA5">
        <w:rPr>
          <w:rFonts w:cstheme="minorHAnsi"/>
          <w:lang w:val="en-US"/>
        </w:rPr>
        <w:t>employed by different forensic science disciplines and the reliability of the forensic science evidence that is offered at trial” (National Research Council, 2009).</w:t>
      </w:r>
      <w:proofErr w:type="gramEnd"/>
      <w:r w:rsidRPr="00535FA5">
        <w:rPr>
          <w:rFonts w:cstheme="minorHAnsi"/>
          <w:lang w:val="en-US"/>
        </w:rPr>
        <w:t xml:space="preserve"> Not only must the forensic disciplines attend to the scientific bases for their processes and conclusions, </w:t>
      </w:r>
      <w:proofErr w:type="gramStart"/>
      <w:r w:rsidRPr="00535FA5">
        <w:rPr>
          <w:rFonts w:cstheme="minorHAnsi"/>
          <w:lang w:val="en-US"/>
        </w:rPr>
        <w:t>but</w:t>
      </w:r>
      <w:proofErr w:type="gramEnd"/>
      <w:r w:rsidRPr="00535FA5">
        <w:rPr>
          <w:rFonts w:cstheme="minorHAnsi"/>
          <w:lang w:val="en-US"/>
        </w:rPr>
        <w:t xml:space="preserve"> equally legal professions and agencies must more soundly incorporate forensic evidence within investigation and trial processes. Decision-making by all scientists and legal professional alike </w:t>
      </w:r>
      <w:proofErr w:type="gramStart"/>
      <w:r w:rsidRPr="00535FA5">
        <w:rPr>
          <w:rFonts w:cstheme="minorHAnsi"/>
          <w:lang w:val="en-US"/>
        </w:rPr>
        <w:t>must also be informed</w:t>
      </w:r>
      <w:proofErr w:type="gramEnd"/>
      <w:r w:rsidRPr="00535FA5">
        <w:rPr>
          <w:rFonts w:cstheme="minorHAnsi"/>
          <w:lang w:val="en-US"/>
        </w:rPr>
        <w:t xml:space="preserve"> by the apprehension that forensic science has never been, and will never be, infallible.</w:t>
      </w:r>
    </w:p>
    <w:p w:rsidR="00535FA5" w:rsidRPr="00535FA5" w:rsidRDefault="00535FA5" w:rsidP="0062665A">
      <w:pPr>
        <w:widowControl w:val="0"/>
        <w:autoSpaceDE w:val="0"/>
        <w:autoSpaceDN w:val="0"/>
        <w:adjustRightInd w:val="0"/>
        <w:spacing w:after="120" w:line="240" w:lineRule="auto"/>
        <w:rPr>
          <w:rFonts w:cstheme="minorHAnsi"/>
          <w:lang w:val="en-US"/>
        </w:rPr>
      </w:pPr>
    </w:p>
    <w:p w:rsidR="00535FA5" w:rsidRPr="003D3711" w:rsidRDefault="00535FA5" w:rsidP="0062665A">
      <w:pPr>
        <w:widowControl w:val="0"/>
        <w:autoSpaceDE w:val="0"/>
        <w:autoSpaceDN w:val="0"/>
        <w:adjustRightInd w:val="0"/>
        <w:spacing w:after="120" w:line="240" w:lineRule="auto"/>
        <w:rPr>
          <w:rFonts w:cstheme="minorHAnsi"/>
          <w:b/>
          <w:sz w:val="28"/>
          <w:szCs w:val="28"/>
          <w:lang w:val="en-US"/>
        </w:rPr>
      </w:pPr>
      <w:r w:rsidRPr="003D3711">
        <w:rPr>
          <w:rFonts w:cstheme="minorHAnsi"/>
          <w:b/>
          <w:sz w:val="28"/>
          <w:szCs w:val="28"/>
          <w:lang w:val="en-US"/>
        </w:rPr>
        <w:t>References</w:t>
      </w:r>
    </w:p>
    <w:p w:rsidR="003D3711" w:rsidRDefault="003D3711" w:rsidP="0062665A">
      <w:pPr>
        <w:widowControl w:val="0"/>
        <w:autoSpaceDE w:val="0"/>
        <w:autoSpaceDN w:val="0"/>
        <w:adjustRightInd w:val="0"/>
        <w:spacing w:after="120" w:line="240" w:lineRule="auto"/>
        <w:rPr>
          <w:rFonts w:cstheme="minorHAnsi"/>
          <w:lang w:val="en-US"/>
        </w:rPr>
      </w:pP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BBC. 2009. “DNA Bungle” haunts German police. Available from: </w:t>
      </w:r>
      <w:hyperlink r:id="rId8" w:history="1">
        <w:r w:rsidRPr="00535FA5">
          <w:rPr>
            <w:rFonts w:cstheme="minorHAnsi"/>
            <w:color w:val="0000FF"/>
            <w:u w:val="single"/>
            <w:lang w:val="en-US"/>
          </w:rPr>
          <w:t>http://news.bbc.</w:t>
        </w:r>
      </w:hyperlink>
      <w:r w:rsidRPr="00535FA5">
        <w:rPr>
          <w:rFonts w:cstheme="minorHAnsi"/>
          <w:lang w:val="en-US"/>
        </w:rPr>
        <w:t>co.uk/1/hi/world/europe/7966641.stm, accessed March 03, 2013.</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Blackstone, W. 1769. Commentaries on the Law of England, 1765-9. Available from:</w:t>
      </w:r>
      <w:hyperlink r:id="rId9" w:history="1">
        <w:r w:rsidRPr="00535FA5">
          <w:rPr>
            <w:rFonts w:cstheme="minorHAnsi"/>
            <w:color w:val="0000FF"/>
            <w:u w:val="single"/>
            <w:lang w:val="en-US"/>
          </w:rPr>
          <w:t xml:space="preserve"> http://www.lonang.com/exlibris/blackstone/,</w:t>
        </w:r>
      </w:hyperlink>
      <w:r w:rsidRPr="00535FA5">
        <w:rPr>
          <w:rFonts w:cstheme="minorHAnsi"/>
          <w:lang w:val="en-US"/>
        </w:rPr>
        <w:t xml:space="preserve"> accessed March 05, 2013.</w:t>
      </w:r>
    </w:p>
    <w:p w:rsidR="00535FA5" w:rsidRPr="00535FA5" w:rsidRDefault="00535FA5" w:rsidP="0062665A">
      <w:pPr>
        <w:widowControl w:val="0"/>
        <w:autoSpaceDE w:val="0"/>
        <w:autoSpaceDN w:val="0"/>
        <w:adjustRightInd w:val="0"/>
        <w:spacing w:after="120" w:line="240" w:lineRule="auto"/>
        <w:rPr>
          <w:rFonts w:cstheme="minorHAnsi"/>
          <w:lang w:val="en-US"/>
        </w:rPr>
      </w:pPr>
      <w:proofErr w:type="spellStart"/>
      <w:r w:rsidRPr="00535FA5">
        <w:rPr>
          <w:rFonts w:cstheme="minorHAnsi"/>
          <w:lang w:val="en-US"/>
        </w:rPr>
        <w:t>Cassella</w:t>
      </w:r>
      <w:proofErr w:type="spellEnd"/>
      <w:r w:rsidRPr="00535FA5">
        <w:rPr>
          <w:rFonts w:cstheme="minorHAnsi"/>
          <w:lang w:val="en-US"/>
        </w:rPr>
        <w:t xml:space="preserve">, J. and </w:t>
      </w:r>
      <w:proofErr w:type="spellStart"/>
      <w:r w:rsidRPr="00535FA5">
        <w:rPr>
          <w:rFonts w:cstheme="minorHAnsi"/>
          <w:lang w:val="en-US"/>
        </w:rPr>
        <w:t>Mccartney</w:t>
      </w:r>
      <w:proofErr w:type="spellEnd"/>
      <w:r w:rsidRPr="00535FA5">
        <w:rPr>
          <w:rFonts w:cstheme="minorHAnsi"/>
          <w:lang w:val="en-US"/>
        </w:rPr>
        <w:t>, C. 2011. Lowering the drawbridges: Legal and forensic science education for the 21st Century. Forensic Science Policy &amp; Management, 2, 81–93.</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CPS. 2005. Disclosure Manual. Crown prosecution </w:t>
      </w:r>
      <w:r w:rsidR="00DC6ED3">
        <w:rPr>
          <w:rFonts w:cstheme="minorHAnsi"/>
          <w:lang w:val="en-US"/>
        </w:rPr>
        <w:t>service. Available from: http:/</w:t>
      </w:r>
      <w:hyperlink r:id="rId10" w:history="1">
        <w:r w:rsidR="00DC6ED3" w:rsidRPr="00E219BE">
          <w:rPr>
            <w:rStyle w:val="Hyperlink"/>
            <w:rFonts w:cstheme="minorHAnsi"/>
            <w:lang w:val="en-US"/>
          </w:rPr>
          <w:t>www.cps.gov.uk/legal/d_to_g/disclosure_manual/,</w:t>
        </w:r>
      </w:hyperlink>
      <w:r w:rsidRPr="00535FA5">
        <w:rPr>
          <w:rFonts w:cstheme="minorHAnsi"/>
          <w:lang w:val="en-US"/>
        </w:rPr>
        <w:t xml:space="preserve"> accessed March 03, 2013.</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Criminal Cases Review Commission. 2000. Third Annual Report 1999-00. Criminal Cases Review Commission. 2001. Fourth Annual Report 2000-01.</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Criminal Cases Review Commission. 2004. Seventh Annual Report 2003-04 (2003-04 HC 9).</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Criminal Cases Review Commission. 2009. Memorandum submitted to the </w:t>
      </w:r>
      <w:proofErr w:type="gramStart"/>
      <w:r w:rsidRPr="00535FA5">
        <w:rPr>
          <w:rFonts w:cstheme="minorHAnsi"/>
          <w:lang w:val="en-US"/>
        </w:rPr>
        <w:t>house of commons</w:t>
      </w:r>
      <w:proofErr w:type="gramEnd"/>
      <w:r w:rsidRPr="00535FA5">
        <w:rPr>
          <w:rFonts w:cstheme="minorHAnsi"/>
          <w:lang w:val="en-US"/>
        </w:rPr>
        <w:t xml:space="preserve"> justice select committee, The work of the criminal cases review com- mission (HC 343-i).</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Dodd, V. and Malik, S. 2012. Forensics blunder “May Endanger Convictions”. The Guardian. Available from: </w:t>
      </w:r>
      <w:hyperlink r:id="rId11" w:history="1">
        <w:r w:rsidRPr="00535FA5">
          <w:rPr>
            <w:rFonts w:cstheme="minorHAnsi"/>
            <w:lang w:val="en-US"/>
          </w:rPr>
          <w:t>http://www.guardian.co.uk/law/2012/mar/08/forensics</w:t>
        </w:r>
      </w:hyperlink>
      <w:r w:rsidRPr="00535FA5">
        <w:rPr>
          <w:rFonts w:cstheme="minorHAnsi"/>
          <w:lang w:val="en-US"/>
        </w:rPr>
        <w:t>- blunder-convictions, accessed March 05, 2013.</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Edmond, G. 2011. Actual innocents? Legal limitations and their implications for forensic science and medicine. Australian Journal of Forensic Sciences, 43, 177–212.</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Elks, L. 2008. Righting </w:t>
      </w:r>
      <w:proofErr w:type="gramStart"/>
      <w:r w:rsidRPr="00535FA5">
        <w:rPr>
          <w:rFonts w:cstheme="minorHAnsi"/>
          <w:lang w:val="en-US"/>
        </w:rPr>
        <w:t>Miscarriages of Justice</w:t>
      </w:r>
      <w:proofErr w:type="gramEnd"/>
      <w:r w:rsidRPr="00535FA5">
        <w:rPr>
          <w:rFonts w:cstheme="minorHAnsi"/>
          <w:lang w:val="en-US"/>
        </w:rPr>
        <w:t>, London, U.K., Justice.</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Garrett, B. L. and Neufeld, P. J. 2009. Invalid forens</w:t>
      </w:r>
      <w:r w:rsidR="007A5F16">
        <w:rPr>
          <w:rFonts w:cstheme="minorHAnsi"/>
          <w:lang w:val="en-US"/>
        </w:rPr>
        <w:t>ic science testimony and wrong</w:t>
      </w:r>
      <w:r w:rsidRPr="00535FA5">
        <w:rPr>
          <w:rFonts w:cstheme="minorHAnsi"/>
          <w:lang w:val="en-US"/>
        </w:rPr>
        <w:t xml:space="preserve">ful convictions. University of Virginia law school: Public law and legal </w:t>
      </w:r>
      <w:proofErr w:type="gramStart"/>
      <w:r w:rsidRPr="00535FA5">
        <w:rPr>
          <w:rFonts w:cstheme="minorHAnsi"/>
          <w:lang w:val="en-US"/>
        </w:rPr>
        <w:t>theory working paper series</w:t>
      </w:r>
      <w:proofErr w:type="gramEnd"/>
      <w:r w:rsidRPr="00535FA5">
        <w:rPr>
          <w:rFonts w:cstheme="minorHAnsi"/>
          <w:lang w:val="en-US"/>
        </w:rPr>
        <w:t>, 1–95.</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General Medical Council v. Meadow [2006] EWCA CIV 1390.</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Hodgson, J. and Horne, J. 2009. The Extent and Impact of Legal Representation on Applications to the Criminal Cases Review Commission, London, U.K.: Legal Services Commission.</w:t>
      </w:r>
    </w:p>
    <w:p w:rsidR="00535FA5" w:rsidRPr="00535FA5" w:rsidRDefault="00535FA5" w:rsidP="0062665A">
      <w:pPr>
        <w:widowControl w:val="0"/>
        <w:autoSpaceDE w:val="0"/>
        <w:autoSpaceDN w:val="0"/>
        <w:adjustRightInd w:val="0"/>
        <w:spacing w:after="120" w:line="240" w:lineRule="auto"/>
        <w:rPr>
          <w:rFonts w:cstheme="minorHAnsi"/>
          <w:lang w:val="en-US"/>
        </w:rPr>
      </w:pPr>
      <w:proofErr w:type="spellStart"/>
      <w:r w:rsidRPr="00535FA5">
        <w:rPr>
          <w:rFonts w:cstheme="minorHAnsi"/>
          <w:lang w:val="en-US"/>
        </w:rPr>
        <w:t>Malet</w:t>
      </w:r>
      <w:proofErr w:type="spellEnd"/>
      <w:r w:rsidRPr="00535FA5">
        <w:rPr>
          <w:rFonts w:cstheme="minorHAnsi"/>
          <w:lang w:val="en-US"/>
        </w:rPr>
        <w:t xml:space="preserve">, D. 1995. The new regime for the correction of </w:t>
      </w:r>
      <w:proofErr w:type="gramStart"/>
      <w:r w:rsidRPr="00535FA5">
        <w:rPr>
          <w:rFonts w:cstheme="minorHAnsi"/>
          <w:lang w:val="en-US"/>
        </w:rPr>
        <w:t>miscarriages of Justice</w:t>
      </w:r>
      <w:proofErr w:type="gramEnd"/>
      <w:r w:rsidRPr="00535FA5">
        <w:rPr>
          <w:rFonts w:cstheme="minorHAnsi"/>
          <w:lang w:val="en-US"/>
        </w:rPr>
        <w:t>. Justice of the Peace, 159, 716–735.</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National Fire Protection Association, 1992. NFPA 921: Guide for fire and explosion investigations. Available from: </w:t>
      </w:r>
      <w:hyperlink r:id="rId12" w:history="1">
        <w:r w:rsidRPr="00535FA5">
          <w:rPr>
            <w:rFonts w:cstheme="minorHAnsi"/>
            <w:lang w:val="en-US"/>
          </w:rPr>
          <w:t>http://www.nfpa.org/aboutthecodes/AboutThe</w:t>
        </w:r>
      </w:hyperlink>
      <w:r w:rsidRPr="00535FA5">
        <w:rPr>
          <w:rFonts w:cstheme="minorHAnsi"/>
          <w:lang w:val="en-US"/>
        </w:rPr>
        <w:t>Codes.asp</w:t>
      </w:r>
      <w:proofErr w:type="gramStart"/>
      <w:r w:rsidRPr="00535FA5">
        <w:rPr>
          <w:rFonts w:cstheme="minorHAnsi"/>
          <w:lang w:val="en-US"/>
        </w:rPr>
        <w:t>?DocNum</w:t>
      </w:r>
      <w:proofErr w:type="gramEnd"/>
      <w:r w:rsidRPr="00535FA5">
        <w:rPr>
          <w:rFonts w:cstheme="minorHAnsi"/>
          <w:lang w:val="en-US"/>
        </w:rPr>
        <w:t>=921&amp;EditionID=3006, accessed March 05, 2013.</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National Research Council. 2009. Strengthening Forensic Science in the United States: A path forward, </w:t>
      </w:r>
      <w:r w:rsidRPr="00535FA5">
        <w:rPr>
          <w:rFonts w:cstheme="minorHAnsi"/>
          <w:lang w:val="en-US"/>
        </w:rPr>
        <w:lastRenderedPageBreak/>
        <w:t>Washington, DC, National Academies Press.</w:t>
      </w:r>
    </w:p>
    <w:p w:rsidR="00535FA5" w:rsidRPr="00535FA5" w:rsidRDefault="00535FA5" w:rsidP="0062665A">
      <w:pPr>
        <w:widowControl w:val="0"/>
        <w:autoSpaceDE w:val="0"/>
        <w:autoSpaceDN w:val="0"/>
        <w:adjustRightInd w:val="0"/>
        <w:spacing w:after="120" w:line="240" w:lineRule="auto"/>
        <w:rPr>
          <w:rFonts w:cstheme="minorHAnsi"/>
          <w:lang w:val="en-US"/>
        </w:rPr>
      </w:pPr>
      <w:proofErr w:type="spellStart"/>
      <w:r w:rsidRPr="00535FA5">
        <w:rPr>
          <w:rFonts w:cstheme="minorHAnsi"/>
          <w:lang w:val="en-US"/>
        </w:rPr>
        <w:t>Naughton</w:t>
      </w:r>
      <w:proofErr w:type="spellEnd"/>
      <w:r w:rsidRPr="00535FA5">
        <w:rPr>
          <w:rFonts w:cstheme="minorHAnsi"/>
          <w:lang w:val="en-US"/>
        </w:rPr>
        <w:t>, M. 2010. The Criminal Cases Review Commission: Hope for the innocent</w:t>
      </w:r>
      <w:proofErr w:type="gramStart"/>
      <w:r w:rsidRPr="00535FA5">
        <w:rPr>
          <w:rFonts w:cstheme="minorHAnsi"/>
          <w:lang w:val="en-US"/>
        </w:rPr>
        <w:t>?,</w:t>
      </w:r>
      <w:proofErr w:type="gramEnd"/>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London, U.K., Palgrave Macmillan.</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Nunn V. Chief Constable of the Suffolk Constabulary [2012] EWHC 1186 (ADMIN). Packer, H. L. 1969. Limits of the Criminal Sanction, Stanford, CA, Stanford University</w:t>
      </w:r>
      <w:r w:rsidR="007A5F16">
        <w:rPr>
          <w:rFonts w:cstheme="minorHAnsi"/>
          <w:lang w:val="en-US"/>
        </w:rPr>
        <w:t xml:space="preserve"> </w:t>
      </w:r>
      <w:r w:rsidRPr="00535FA5">
        <w:rPr>
          <w:rFonts w:cstheme="minorHAnsi"/>
          <w:lang w:val="en-US"/>
        </w:rPr>
        <w:t>Press.</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R v. </w:t>
      </w:r>
      <w:proofErr w:type="spellStart"/>
      <w:r w:rsidRPr="00535FA5">
        <w:rPr>
          <w:rFonts w:cstheme="minorHAnsi"/>
          <w:lang w:val="en-US"/>
        </w:rPr>
        <w:t>Castree</w:t>
      </w:r>
      <w:proofErr w:type="spellEnd"/>
      <w:r w:rsidRPr="00535FA5">
        <w:rPr>
          <w:rFonts w:cstheme="minorHAnsi"/>
          <w:lang w:val="en-US"/>
        </w:rPr>
        <w:t xml:space="preserve"> [2008] EWCA CRIM. 1866.</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R v. Chapman [2006] EWCA CRIM. 2545.</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R v. Criminal Cases Review Commission EX Parte Pearson [2000] </w:t>
      </w:r>
      <w:proofErr w:type="gramStart"/>
      <w:r w:rsidRPr="00535FA5">
        <w:rPr>
          <w:rFonts w:cstheme="minorHAnsi"/>
          <w:lang w:val="en-US"/>
        </w:rPr>
        <w:t>1</w:t>
      </w:r>
      <w:proofErr w:type="gramEnd"/>
      <w:r w:rsidRPr="00535FA5">
        <w:rPr>
          <w:rFonts w:cstheme="minorHAnsi"/>
          <w:lang w:val="en-US"/>
        </w:rPr>
        <w:t xml:space="preserve"> CR. APP. R 141. R v. </w:t>
      </w:r>
      <w:proofErr w:type="spellStart"/>
      <w:r w:rsidRPr="00535FA5">
        <w:rPr>
          <w:rFonts w:cstheme="minorHAnsi"/>
          <w:lang w:val="en-US"/>
        </w:rPr>
        <w:t>Dallagher</w:t>
      </w:r>
      <w:proofErr w:type="spellEnd"/>
      <w:r w:rsidRPr="00535FA5">
        <w:rPr>
          <w:rFonts w:cstheme="minorHAnsi"/>
          <w:lang w:val="en-US"/>
        </w:rPr>
        <w:t xml:space="preserve"> [2002] EWCA CRIM. 1903.</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R v. Duffy and Shivers [2011] NICC 37. R v. Hickey [1997]. Unreported.</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R v. </w:t>
      </w:r>
      <w:proofErr w:type="spellStart"/>
      <w:r w:rsidRPr="00535FA5">
        <w:rPr>
          <w:rFonts w:cstheme="minorHAnsi"/>
          <w:lang w:val="en-US"/>
        </w:rPr>
        <w:t>Hoey</w:t>
      </w:r>
      <w:proofErr w:type="spellEnd"/>
      <w:r w:rsidRPr="00535FA5">
        <w:rPr>
          <w:rFonts w:cstheme="minorHAnsi"/>
          <w:lang w:val="en-US"/>
        </w:rPr>
        <w:t xml:space="preserve"> [2007] NICC 49.</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R v. </w:t>
      </w:r>
      <w:proofErr w:type="spellStart"/>
      <w:r w:rsidRPr="00535FA5">
        <w:rPr>
          <w:rFonts w:cstheme="minorHAnsi"/>
          <w:lang w:val="en-US"/>
        </w:rPr>
        <w:t>Kiszko</w:t>
      </w:r>
      <w:proofErr w:type="spellEnd"/>
      <w:r w:rsidRPr="00535FA5">
        <w:rPr>
          <w:rFonts w:cstheme="minorHAnsi"/>
          <w:lang w:val="en-US"/>
        </w:rPr>
        <w:t xml:space="preserve"> [1979] 68 CR. APP. R 62.</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R v. </w:t>
      </w:r>
      <w:proofErr w:type="spellStart"/>
      <w:r w:rsidRPr="00535FA5">
        <w:rPr>
          <w:rFonts w:cstheme="minorHAnsi"/>
          <w:lang w:val="en-US"/>
        </w:rPr>
        <w:t>Mcilkenny</w:t>
      </w:r>
      <w:proofErr w:type="spellEnd"/>
      <w:r w:rsidRPr="00535FA5">
        <w:rPr>
          <w:rFonts w:cstheme="minorHAnsi"/>
          <w:lang w:val="en-US"/>
        </w:rPr>
        <w:t xml:space="preserve"> and Others [1992] </w:t>
      </w:r>
      <w:proofErr w:type="gramStart"/>
      <w:r w:rsidRPr="00535FA5">
        <w:rPr>
          <w:rFonts w:cstheme="minorHAnsi"/>
          <w:lang w:val="en-US"/>
        </w:rPr>
        <w:t>2</w:t>
      </w:r>
      <w:proofErr w:type="gramEnd"/>
      <w:r w:rsidRPr="00535FA5">
        <w:rPr>
          <w:rFonts w:cstheme="minorHAnsi"/>
          <w:lang w:val="en-US"/>
        </w:rPr>
        <w:t xml:space="preserve"> ALL E.R. 417. R v. Reed and Reed [2010] </w:t>
      </w:r>
      <w:proofErr w:type="gramStart"/>
      <w:r w:rsidRPr="00535FA5">
        <w:rPr>
          <w:rFonts w:cstheme="minorHAnsi"/>
          <w:lang w:val="en-US"/>
        </w:rPr>
        <w:t>1</w:t>
      </w:r>
      <w:proofErr w:type="gramEnd"/>
      <w:r w:rsidRPr="00535FA5">
        <w:rPr>
          <w:rFonts w:cstheme="minorHAnsi"/>
          <w:lang w:val="en-US"/>
        </w:rPr>
        <w:t xml:space="preserve"> CR. APP. R 23.</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R v. Secretary of State for the Home Department EX Parte Hickey (NO. 2) [1995] 1ALL ER 490.</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R v. Secretary of State for the Home Department EX Parte Mullen [2004] UKHL 18. R v. Smith [2011] EWCA CRIM. 1296.</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R v. Turnbull [1977] QB 224 (CA). R v. Ward [1992] 96 CR. APP. R. 1.</w:t>
      </w:r>
    </w:p>
    <w:p w:rsidR="00535FA5" w:rsidRPr="00535FA5" w:rsidRDefault="00535FA5" w:rsidP="0062665A">
      <w:pPr>
        <w:widowControl w:val="0"/>
        <w:autoSpaceDE w:val="0"/>
        <w:autoSpaceDN w:val="0"/>
        <w:adjustRightInd w:val="0"/>
        <w:spacing w:after="120" w:line="240" w:lineRule="auto"/>
        <w:rPr>
          <w:rFonts w:cstheme="minorHAnsi"/>
          <w:lang w:val="en-US"/>
        </w:rPr>
      </w:pPr>
      <w:proofErr w:type="spellStart"/>
      <w:r w:rsidRPr="00535FA5">
        <w:rPr>
          <w:rFonts w:cstheme="minorHAnsi"/>
          <w:lang w:val="en-US"/>
        </w:rPr>
        <w:t>Risinger</w:t>
      </w:r>
      <w:proofErr w:type="spellEnd"/>
      <w:r w:rsidRPr="00535FA5">
        <w:rPr>
          <w:rFonts w:cstheme="minorHAnsi"/>
          <w:lang w:val="en-US"/>
        </w:rPr>
        <w:t>, D. M. 2007. Innocents convicted. Journal of Criminal Law &amp; Criminology, 97, 761–806.</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Roberts, S. 2003. Unsafe convictions: Defining and compensating </w:t>
      </w:r>
      <w:proofErr w:type="gramStart"/>
      <w:r w:rsidRPr="00535FA5">
        <w:rPr>
          <w:rFonts w:cstheme="minorHAnsi"/>
          <w:lang w:val="en-US"/>
        </w:rPr>
        <w:t>miscarriages of justice</w:t>
      </w:r>
      <w:proofErr w:type="gramEnd"/>
      <w:r w:rsidRPr="00535FA5">
        <w:rPr>
          <w:rFonts w:cstheme="minorHAnsi"/>
          <w:lang w:val="en-US"/>
        </w:rPr>
        <w:t xml:space="preserve"> Modern Law Review, 66, 441–451.</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Schlesinger, F. and Hamilton, F. 2012. Someone knows how spy ended up dead in that bag, coroner declares. The Times. Available from: </w:t>
      </w:r>
      <w:hyperlink r:id="rId13" w:history="1">
        <w:r w:rsidRPr="00535FA5">
          <w:rPr>
            <w:rFonts w:cstheme="minorHAnsi"/>
            <w:lang w:val="en-US"/>
          </w:rPr>
          <w:t>http://www.thetimes.co.uk/</w:t>
        </w:r>
      </w:hyperlink>
      <w:r w:rsidRPr="00535FA5">
        <w:rPr>
          <w:rFonts w:cstheme="minorHAnsi"/>
          <w:lang w:val="en-US"/>
        </w:rPr>
        <w:t>tto/news/uk/crime/article3402508.ece, accessed March 05, 2013.</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Scottish Parliament. 2011. The Fingerprint Inquiry: Scotland. Edinburgh, U.K., APS Group Scotland. Available from: </w:t>
      </w:r>
      <w:hyperlink r:id="rId14" w:history="1">
        <w:r w:rsidRPr="00535FA5">
          <w:rPr>
            <w:rFonts w:cstheme="minorHAnsi"/>
            <w:lang w:val="en-US"/>
          </w:rPr>
          <w:t>http://www.thefingerprintinquiryscotland</w:t>
        </w:r>
      </w:hyperlink>
      <w:r w:rsidR="007A5F16">
        <w:rPr>
          <w:rFonts w:cstheme="minorHAnsi"/>
          <w:lang w:val="en-US"/>
        </w:rPr>
        <w:t>.</w:t>
      </w:r>
      <w:r w:rsidRPr="00535FA5">
        <w:rPr>
          <w:rFonts w:cstheme="minorHAnsi"/>
          <w:lang w:val="en-US"/>
        </w:rPr>
        <w:t>org.uk/inquiry/files/TheFingerprintInquiryReport_Low_res.pdf, accessed July 22, 2012.</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Smith, J. C. 1995. The Criminal Appeal Act 1995: Appeals against conviction. Criminal Law Review, 920.</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Spencer, J. R. 2006. Does our Present Criminal Appeal System Make </w:t>
      </w:r>
      <w:proofErr w:type="gramStart"/>
      <w:r w:rsidRPr="00535FA5">
        <w:rPr>
          <w:rFonts w:cstheme="minorHAnsi"/>
          <w:lang w:val="en-US"/>
        </w:rPr>
        <w:t>Sense.</w:t>
      </w:r>
      <w:proofErr w:type="gramEnd"/>
      <w:r w:rsidRPr="00535FA5">
        <w:rPr>
          <w:rFonts w:cstheme="minorHAnsi"/>
          <w:lang w:val="en-US"/>
        </w:rPr>
        <w:t xml:space="preserve"> Criminal Law Review, 677–694.</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The Law Commission. 2011. Expert evidence in criminal proceedings in England and Wales. Law Commission Report No 325. Available from: </w:t>
      </w:r>
      <w:hyperlink r:id="rId15" w:history="1">
        <w:r w:rsidRPr="00535FA5">
          <w:rPr>
            <w:rFonts w:cstheme="minorHAnsi"/>
            <w:lang w:val="en-US"/>
          </w:rPr>
          <w:t>http://www.official</w:t>
        </w:r>
      </w:hyperlink>
      <w:r w:rsidR="007A5F16">
        <w:rPr>
          <w:rFonts w:cstheme="minorHAnsi"/>
          <w:lang w:val="en-US"/>
        </w:rPr>
        <w:t>-</w:t>
      </w:r>
      <w:r w:rsidRPr="00535FA5">
        <w:rPr>
          <w:rFonts w:cstheme="minorHAnsi"/>
          <w:lang w:val="en-US"/>
        </w:rPr>
        <w:t>documents.gov.uk/document/hc1011/hc08/0829/0829.pdf, accessed July 22, 2012.</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U.K. Government. 1968. Criminal appeal act [1968]. Available from: </w:t>
      </w:r>
      <w:hyperlink r:id="rId16" w:history="1">
        <w:r w:rsidRPr="00535FA5">
          <w:rPr>
            <w:rFonts w:cstheme="minorHAnsi"/>
            <w:color w:val="0000FF"/>
            <w:u w:val="single"/>
            <w:lang w:val="en-US"/>
          </w:rPr>
          <w:t>http://www.</w:t>
        </w:r>
      </w:hyperlink>
      <w:r w:rsidRPr="00535FA5">
        <w:rPr>
          <w:rFonts w:cstheme="minorHAnsi"/>
          <w:lang w:val="en-US"/>
        </w:rPr>
        <w:t>legislation.gov.uk/ukpga/1968/19/contents, accessed March 05, 2013.</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U.K. Government. 1993. The royal commission on criminal justice: Report. Available from: </w:t>
      </w:r>
      <w:hyperlink r:id="rId17" w:history="1">
        <w:r w:rsidRPr="00535FA5">
          <w:rPr>
            <w:rFonts w:cstheme="minorHAnsi"/>
            <w:color w:val="0000FF"/>
            <w:u w:val="single"/>
            <w:lang w:val="en-US"/>
          </w:rPr>
          <w:t>http://www.official-documents.gov.uk/document/cm22/2263/2263.pdf,</w:t>
        </w:r>
      </w:hyperlink>
      <w:r w:rsidRPr="00535FA5">
        <w:rPr>
          <w:rFonts w:cstheme="minorHAnsi"/>
          <w:lang w:val="en-US"/>
        </w:rPr>
        <w:t xml:space="preserve"> accessed March 05, 2013.</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U.K. Government. 1995. Criminal appeal act [1995]. Available from: </w:t>
      </w:r>
      <w:hyperlink r:id="rId18" w:history="1">
        <w:r w:rsidRPr="00535FA5">
          <w:rPr>
            <w:rFonts w:cstheme="minorHAnsi"/>
            <w:color w:val="0000FF"/>
            <w:u w:val="single"/>
            <w:lang w:val="en-US"/>
          </w:rPr>
          <w:t>http://www.</w:t>
        </w:r>
      </w:hyperlink>
      <w:r w:rsidRPr="00535FA5">
        <w:rPr>
          <w:rFonts w:cstheme="minorHAnsi"/>
          <w:lang w:val="en-US"/>
        </w:rPr>
        <w:t>legislation.gov.uk/ukpga/1995/35/contents, accessed March 05, 2013.</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U.K. Government. 2005. Home office. Forensic science on tri</w:t>
      </w:r>
      <w:r w:rsidR="007A5F16">
        <w:rPr>
          <w:rFonts w:cstheme="minorHAnsi"/>
          <w:lang w:val="en-US"/>
        </w:rPr>
        <w:t xml:space="preserve">al. House of </w:t>
      </w:r>
      <w:proofErr w:type="gramStart"/>
      <w:r w:rsidR="007A5F16">
        <w:rPr>
          <w:rFonts w:cstheme="minorHAnsi"/>
          <w:lang w:val="en-US"/>
        </w:rPr>
        <w:t>com</w:t>
      </w:r>
      <w:r w:rsidRPr="00535FA5">
        <w:rPr>
          <w:rFonts w:cstheme="minorHAnsi"/>
          <w:lang w:val="en-US"/>
        </w:rPr>
        <w:t>mons</w:t>
      </w:r>
      <w:proofErr w:type="gramEnd"/>
      <w:r w:rsidRPr="00535FA5">
        <w:rPr>
          <w:rFonts w:cstheme="minorHAnsi"/>
          <w:lang w:val="en-US"/>
        </w:rPr>
        <w:t xml:space="preserve"> science and technology committee seventh report of session 2004-5.  The Stationary Office Limited, London, U.K. Available from: </w:t>
      </w:r>
      <w:hyperlink r:id="rId19" w:history="1">
        <w:r w:rsidRPr="00535FA5">
          <w:rPr>
            <w:rFonts w:cstheme="minorHAnsi"/>
            <w:color w:val="0000FF"/>
            <w:u w:val="single"/>
            <w:lang w:val="en-US"/>
          </w:rPr>
          <w:t>http://www.</w:t>
        </w:r>
      </w:hyperlink>
      <w:r w:rsidRPr="00535FA5">
        <w:rPr>
          <w:rFonts w:cstheme="minorHAnsi"/>
          <w:lang w:val="en-US"/>
        </w:rPr>
        <w:t>publications.parliament.uk/pa/cm200405/cmselect/cmsctech/96/96i.pdf, accessed January 20, 2012.</w:t>
      </w:r>
    </w:p>
    <w:p w:rsidR="007A5F16"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U.K. Government. 2011. House of commons science and technology committee: The forensic science service. Available from: </w:t>
      </w:r>
      <w:hyperlink r:id="rId20" w:history="1">
        <w:r w:rsidRPr="00535FA5">
          <w:rPr>
            <w:rFonts w:cstheme="minorHAnsi"/>
            <w:color w:val="0000FF"/>
            <w:u w:val="single"/>
            <w:lang w:val="en-US"/>
          </w:rPr>
          <w:t>http://www.publications.parliament.</w:t>
        </w:r>
      </w:hyperlink>
      <w:r w:rsidRPr="00535FA5">
        <w:rPr>
          <w:rFonts w:cstheme="minorHAnsi"/>
          <w:lang w:val="en-US"/>
        </w:rPr>
        <w:t xml:space="preserve"> </w:t>
      </w:r>
      <w:proofErr w:type="spellStart"/>
      <w:r w:rsidRPr="00535FA5">
        <w:rPr>
          <w:rFonts w:cstheme="minorHAnsi"/>
          <w:lang w:val="en-US"/>
        </w:rPr>
        <w:t>uk</w:t>
      </w:r>
      <w:proofErr w:type="spellEnd"/>
      <w:r w:rsidRPr="00535FA5">
        <w:rPr>
          <w:rFonts w:cstheme="minorHAnsi"/>
          <w:lang w:val="en-US"/>
        </w:rPr>
        <w:t>/pa/cm201012/</w:t>
      </w:r>
      <w:proofErr w:type="spellStart"/>
      <w:r w:rsidRPr="00535FA5">
        <w:rPr>
          <w:rFonts w:cstheme="minorHAnsi"/>
          <w:lang w:val="en-US"/>
        </w:rPr>
        <w:t>cmselect</w:t>
      </w:r>
      <w:proofErr w:type="spellEnd"/>
      <w:r w:rsidRPr="00535FA5">
        <w:rPr>
          <w:rFonts w:cstheme="minorHAnsi"/>
          <w:lang w:val="en-US"/>
        </w:rPr>
        <w:t>/</w:t>
      </w:r>
      <w:proofErr w:type="spellStart"/>
      <w:r w:rsidRPr="00535FA5">
        <w:rPr>
          <w:rFonts w:cstheme="minorHAnsi"/>
          <w:lang w:val="en-US"/>
        </w:rPr>
        <w:t>cmsctech</w:t>
      </w:r>
      <w:proofErr w:type="spellEnd"/>
      <w:r w:rsidRPr="00535FA5">
        <w:rPr>
          <w:rFonts w:cstheme="minorHAnsi"/>
          <w:lang w:val="en-US"/>
        </w:rPr>
        <w:t>/855/8550</w:t>
      </w:r>
      <w:r w:rsidR="007A5F16">
        <w:rPr>
          <w:rFonts w:cstheme="minorHAnsi"/>
          <w:lang w:val="en-US"/>
        </w:rPr>
        <w:t>2.htm, accessed March 05, 2013.</w:t>
      </w:r>
    </w:p>
    <w:p w:rsidR="00535FA5" w:rsidRPr="00535FA5" w:rsidRDefault="00535FA5" w:rsidP="0062665A">
      <w:pPr>
        <w:widowControl w:val="0"/>
        <w:autoSpaceDE w:val="0"/>
        <w:autoSpaceDN w:val="0"/>
        <w:adjustRightInd w:val="0"/>
        <w:spacing w:after="120" w:line="240" w:lineRule="auto"/>
        <w:rPr>
          <w:rFonts w:cstheme="minorHAnsi"/>
          <w:lang w:val="en-US"/>
        </w:rPr>
      </w:pPr>
      <w:r w:rsidRPr="00535FA5">
        <w:rPr>
          <w:rFonts w:cstheme="minorHAnsi"/>
          <w:lang w:val="en-US"/>
        </w:rPr>
        <w:t xml:space="preserve">Walker, C. P. and </w:t>
      </w:r>
      <w:proofErr w:type="spellStart"/>
      <w:r w:rsidRPr="00535FA5">
        <w:rPr>
          <w:rFonts w:cstheme="minorHAnsi"/>
          <w:lang w:val="en-US"/>
        </w:rPr>
        <w:t>Starmer</w:t>
      </w:r>
      <w:proofErr w:type="spellEnd"/>
      <w:r w:rsidRPr="00535FA5">
        <w:rPr>
          <w:rFonts w:cstheme="minorHAnsi"/>
          <w:lang w:val="en-US"/>
        </w:rPr>
        <w:t xml:space="preserve">, K. (eds.) 1999. </w:t>
      </w:r>
      <w:proofErr w:type="gramStart"/>
      <w:r w:rsidRPr="00535FA5">
        <w:rPr>
          <w:rFonts w:cstheme="minorHAnsi"/>
          <w:lang w:val="en-US"/>
        </w:rPr>
        <w:t>Miscarriages of Justice</w:t>
      </w:r>
      <w:proofErr w:type="gramEnd"/>
      <w:r w:rsidRPr="00535FA5">
        <w:rPr>
          <w:rFonts w:cstheme="minorHAnsi"/>
          <w:lang w:val="en-US"/>
        </w:rPr>
        <w:t>, London, U.K.,</w:t>
      </w:r>
      <w:r w:rsidR="007A5F16">
        <w:rPr>
          <w:rFonts w:cstheme="minorHAnsi"/>
          <w:lang w:val="en-US"/>
        </w:rPr>
        <w:t xml:space="preserve"> </w:t>
      </w:r>
      <w:r w:rsidRPr="00535FA5">
        <w:rPr>
          <w:rFonts w:cstheme="minorHAnsi"/>
          <w:lang w:val="en-US"/>
        </w:rPr>
        <w:t>Blackstone Press.</w:t>
      </w:r>
    </w:p>
    <w:sectPr w:rsidR="00535FA5" w:rsidRPr="00535FA5" w:rsidSect="003D6D2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768" w:rsidRDefault="00821768" w:rsidP="00821768">
      <w:pPr>
        <w:spacing w:after="0" w:line="240" w:lineRule="auto"/>
      </w:pPr>
      <w:r>
        <w:separator/>
      </w:r>
    </w:p>
  </w:endnote>
  <w:endnote w:type="continuationSeparator" w:id="0">
    <w:p w:rsidR="00821768" w:rsidRDefault="00821768" w:rsidP="00821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768" w:rsidRDefault="00821768" w:rsidP="00821768">
      <w:pPr>
        <w:spacing w:after="0" w:line="240" w:lineRule="auto"/>
      </w:pPr>
      <w:r>
        <w:separator/>
      </w:r>
    </w:p>
  </w:footnote>
  <w:footnote w:type="continuationSeparator" w:id="0">
    <w:p w:rsidR="00821768" w:rsidRDefault="00821768" w:rsidP="00821768">
      <w:pPr>
        <w:spacing w:after="0" w:line="240" w:lineRule="auto"/>
      </w:pPr>
      <w:r>
        <w:continuationSeparator/>
      </w:r>
    </w:p>
  </w:footnote>
  <w:footnote w:id="1">
    <w:p w:rsidR="00821768" w:rsidRDefault="00821768">
      <w:pPr>
        <w:pStyle w:val="FootnoteText"/>
      </w:pPr>
      <w:r>
        <w:rPr>
          <w:rStyle w:val="FootnoteReference"/>
        </w:rPr>
        <w:footnoteRef/>
      </w:r>
      <w:r>
        <w:t xml:space="preserve"> </w:t>
      </w:r>
      <w:r w:rsidRPr="00535FA5">
        <w:rPr>
          <w:rFonts w:cstheme="minorHAnsi"/>
          <w:lang w:val="en-US"/>
        </w:rPr>
        <w:t>in men, failure of the testes to produce sperm, androgen, or in some cases both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0208D"/>
    <w:multiLevelType w:val="hybridMultilevel"/>
    <w:tmpl w:val="0BE82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A5"/>
    <w:rsid w:val="00207708"/>
    <w:rsid w:val="003D3711"/>
    <w:rsid w:val="004E393B"/>
    <w:rsid w:val="00535FA5"/>
    <w:rsid w:val="0062665A"/>
    <w:rsid w:val="007A5F16"/>
    <w:rsid w:val="00821768"/>
    <w:rsid w:val="00A265B4"/>
    <w:rsid w:val="00BE6290"/>
    <w:rsid w:val="00DC6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9BDB"/>
  <w15:chartTrackingRefBased/>
  <w15:docId w15:val="{80DD1530-6DCA-4B7F-9531-EF5CDA18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217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1768"/>
    <w:rPr>
      <w:sz w:val="20"/>
      <w:szCs w:val="20"/>
    </w:rPr>
  </w:style>
  <w:style w:type="character" w:styleId="FootnoteReference">
    <w:name w:val="footnote reference"/>
    <w:basedOn w:val="DefaultParagraphFont"/>
    <w:uiPriority w:val="99"/>
    <w:semiHidden/>
    <w:unhideWhenUsed/>
    <w:rsid w:val="00821768"/>
    <w:rPr>
      <w:vertAlign w:val="superscript"/>
    </w:rPr>
  </w:style>
  <w:style w:type="character" w:styleId="Hyperlink">
    <w:name w:val="Hyperlink"/>
    <w:basedOn w:val="DefaultParagraphFont"/>
    <w:uiPriority w:val="99"/>
    <w:unhideWhenUsed/>
    <w:rsid w:val="00DC6ED3"/>
    <w:rPr>
      <w:color w:val="0563C1" w:themeColor="hyperlink"/>
      <w:u w:val="single"/>
    </w:rPr>
  </w:style>
  <w:style w:type="paragraph" w:styleId="ListParagraph">
    <w:name w:val="List Paragraph"/>
    <w:basedOn w:val="Normal"/>
    <w:uiPriority w:val="34"/>
    <w:qFormat/>
    <w:rsid w:val="00207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bbc/" TargetMode="External"/><Relationship Id="rId13" Type="http://schemas.openxmlformats.org/officeDocument/2006/relationships/hyperlink" Target="http://www.thetimes.co.uk/" TargetMode="External"/><Relationship Id="rId18" Type="http://schemas.openxmlformats.org/officeDocument/2006/relationships/hyperlink" Target="http://ww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fpa.org/aboutthecodes/AboutThe" TargetMode="External"/><Relationship Id="rId17" Type="http://schemas.openxmlformats.org/officeDocument/2006/relationships/hyperlink" Target="http://www.official-documents.gov.uk/document/cm22/2263/2263.pdf" TargetMode="External"/><Relationship Id="rId2" Type="http://schemas.openxmlformats.org/officeDocument/2006/relationships/numbering" Target="numbering.xml"/><Relationship Id="rId16" Type="http://schemas.openxmlformats.org/officeDocument/2006/relationships/hyperlink" Target="http://www/" TargetMode="External"/><Relationship Id="rId20" Type="http://schemas.openxmlformats.org/officeDocument/2006/relationships/hyperlink" Target="http://www.publications.parlia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ardian.co.uk/law/2012/mar/08/forensics" TargetMode="External"/><Relationship Id="rId5" Type="http://schemas.openxmlformats.org/officeDocument/2006/relationships/webSettings" Target="webSettings.xml"/><Relationship Id="rId15" Type="http://schemas.openxmlformats.org/officeDocument/2006/relationships/hyperlink" Target="http://www.official" TargetMode="External"/><Relationship Id="rId10" Type="http://schemas.openxmlformats.org/officeDocument/2006/relationships/hyperlink" Target="http://www.cps.gov.uk/legal/d_to_g/disclosure_manual/," TargetMode="External"/><Relationship Id="rId19"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www.lonang.com/exlibris/blackstone/" TargetMode="External"/><Relationship Id="rId14" Type="http://schemas.openxmlformats.org/officeDocument/2006/relationships/hyperlink" Target="http://www.thefingerprintinquiryscotlan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45F1D-5EB3-45B9-8430-E728C0E8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6393</Words>
  <Characters>36446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6</cp:revision>
  <dcterms:created xsi:type="dcterms:W3CDTF">2019-01-31T10:31:00Z</dcterms:created>
  <dcterms:modified xsi:type="dcterms:W3CDTF">2019-01-31T12:27:00Z</dcterms:modified>
</cp:coreProperties>
</file>