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6A" w:rsidRPr="00440C15" w:rsidRDefault="00680A6A" w:rsidP="00433E2F">
      <w:pPr>
        <w:spacing w:after="0" w:line="240" w:lineRule="auto"/>
        <w:rPr>
          <w:rFonts w:ascii="Times New Roman" w:hAnsi="Times New Roman"/>
          <w:b/>
          <w:color w:val="000000" w:themeColor="text1"/>
          <w:sz w:val="28"/>
          <w:szCs w:val="28"/>
        </w:rPr>
      </w:pPr>
      <w:bookmarkStart w:id="0" w:name="_Toc314667669"/>
      <w:bookmarkStart w:id="1" w:name="_Toc329241630"/>
      <w:bookmarkStart w:id="2" w:name="_GoBack"/>
      <w:bookmarkEnd w:id="2"/>
      <w:r w:rsidRPr="00440C15">
        <w:rPr>
          <w:rFonts w:ascii="Times New Roman" w:hAnsi="Times New Roman"/>
          <w:b/>
          <w:color w:val="000000" w:themeColor="text1"/>
          <w:sz w:val="28"/>
          <w:szCs w:val="28"/>
        </w:rPr>
        <w:t>Introduction</w:t>
      </w:r>
    </w:p>
    <w:p w:rsidR="003401BD" w:rsidRPr="00440C15" w:rsidRDefault="003401BD" w:rsidP="00433E2F">
      <w:pPr>
        <w:spacing w:after="0" w:line="240" w:lineRule="auto"/>
        <w:rPr>
          <w:rFonts w:ascii="Times New Roman" w:hAnsi="Times New Roman"/>
          <w:b/>
          <w:color w:val="000000" w:themeColor="text1"/>
          <w:sz w:val="24"/>
          <w:szCs w:val="24"/>
        </w:rPr>
      </w:pPr>
    </w:p>
    <w:p w:rsidR="00433E2F" w:rsidRPr="00440C15" w:rsidRDefault="00D86116" w:rsidP="00D86116">
      <w:pPr>
        <w:spacing w:after="0"/>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rPr>
        <w:tab/>
      </w:r>
      <w:r w:rsidR="003401BD" w:rsidRPr="00440C15">
        <w:rPr>
          <w:rFonts w:ascii="Times New Roman" w:hAnsi="Times New Roman"/>
          <w:color w:val="000000" w:themeColor="text1"/>
          <w:sz w:val="24"/>
          <w:szCs w:val="24"/>
        </w:rPr>
        <w:t>Investment fraud is pervasive in Canada.</w:t>
      </w:r>
      <w:r w:rsidR="003401BD" w:rsidRPr="00440C15">
        <w:rPr>
          <w:rFonts w:ascii="Times New Roman" w:hAnsi="Times New Roman"/>
          <w:b/>
          <w:color w:val="000000" w:themeColor="text1"/>
          <w:sz w:val="24"/>
          <w:szCs w:val="24"/>
        </w:rPr>
        <w:t xml:space="preserve"> </w:t>
      </w:r>
      <w:r w:rsidR="00433E2F" w:rsidRPr="00440C15">
        <w:rPr>
          <w:rFonts w:ascii="Times New Roman" w:hAnsi="Times New Roman"/>
          <w:color w:val="000000" w:themeColor="text1"/>
          <w:sz w:val="24"/>
          <w:szCs w:val="24"/>
        </w:rPr>
        <w:t xml:space="preserve">In 2007, a study conducted by the </w:t>
      </w:r>
      <w:r w:rsidR="00433E2F" w:rsidRPr="00440C15">
        <w:rPr>
          <w:rFonts w:ascii="Times New Roman" w:hAnsi="Times New Roman"/>
          <w:bCs/>
          <w:color w:val="000000" w:themeColor="text1"/>
          <w:sz w:val="24"/>
          <w:szCs w:val="24"/>
        </w:rPr>
        <w:t>Canadian Securities Administrators (CSA) noted</w:t>
      </w:r>
      <w:r w:rsidR="00433E2F" w:rsidRPr="00440C15">
        <w:rPr>
          <w:rFonts w:ascii="Times New Roman" w:hAnsi="Times New Roman"/>
          <w:color w:val="000000" w:themeColor="text1"/>
          <w:sz w:val="24"/>
          <w:szCs w:val="24"/>
        </w:rPr>
        <w:t xml:space="preserve"> that roughly</w:t>
      </w:r>
      <w:r w:rsidR="00433E2F" w:rsidRPr="00440C15">
        <w:rPr>
          <w:rFonts w:ascii="Times New Roman" w:hAnsi="Times New Roman"/>
          <w:bCs/>
          <w:color w:val="000000" w:themeColor="text1"/>
          <w:sz w:val="24"/>
          <w:szCs w:val="24"/>
        </w:rPr>
        <w:t xml:space="preserve"> “one-in-twenty Canadians (4.51%) have been victims o</w:t>
      </w:r>
      <w:r w:rsidR="00142048" w:rsidRPr="00440C15">
        <w:rPr>
          <w:rFonts w:ascii="Times New Roman" w:hAnsi="Times New Roman"/>
          <w:bCs/>
          <w:color w:val="000000" w:themeColor="text1"/>
          <w:sz w:val="24"/>
          <w:szCs w:val="24"/>
        </w:rPr>
        <w:t>f investment fraud” (CSA, 2007</w:t>
      </w:r>
      <w:r w:rsidR="00433E2F" w:rsidRPr="00440C15">
        <w:rPr>
          <w:rFonts w:ascii="Times New Roman" w:hAnsi="Times New Roman"/>
          <w:bCs/>
          <w:color w:val="000000" w:themeColor="text1"/>
          <w:sz w:val="24"/>
          <w:szCs w:val="24"/>
        </w:rPr>
        <w:t>:4).  “</w:t>
      </w:r>
      <w:r w:rsidR="00433E2F" w:rsidRPr="00440C15">
        <w:rPr>
          <w:rFonts w:ascii="Times New Roman" w:hAnsi="Times New Roman"/>
          <w:color w:val="000000" w:themeColor="text1"/>
          <w:sz w:val="24"/>
          <w:szCs w:val="24"/>
        </w:rPr>
        <w:t>When extrapolated to the Canadian adult population (approximately 22.5 million adult Canadians); an estimated 1,014,750 Canadians have fallen victim to investment fraud at some point in their lives” (p.4). In a more recent study commissioned by the British Columbia Securities Commission (</w:t>
      </w:r>
      <w:proofErr w:type="spellStart"/>
      <w:r w:rsidR="00433E2F" w:rsidRPr="00440C15">
        <w:rPr>
          <w:rFonts w:ascii="Times New Roman" w:hAnsi="Times New Roman"/>
          <w:color w:val="000000" w:themeColor="text1"/>
          <w:sz w:val="24"/>
          <w:szCs w:val="24"/>
        </w:rPr>
        <w:t>BCSCn</w:t>
      </w:r>
      <w:proofErr w:type="spellEnd"/>
      <w:r w:rsidR="00433E2F" w:rsidRPr="00440C15">
        <w:rPr>
          <w:rFonts w:ascii="Times New Roman" w:hAnsi="Times New Roman"/>
          <w:color w:val="000000" w:themeColor="text1"/>
          <w:sz w:val="24"/>
          <w:szCs w:val="24"/>
        </w:rPr>
        <w:t>) of Canadians aged 50 and older, it was noted that “[n]</w:t>
      </w:r>
      <w:r w:rsidR="00433E2F" w:rsidRPr="00440C15">
        <w:rPr>
          <w:rFonts w:ascii="Times New Roman" w:hAnsi="Times New Roman"/>
          <w:color w:val="000000" w:themeColor="text1"/>
          <w:sz w:val="24"/>
          <w:szCs w:val="24"/>
          <w:lang w:bidi="ar-SA"/>
        </w:rPr>
        <w:t>early 1-in-5 (17%) of respondents believe they have been a victim of investment fraud at some point in their lives</w:t>
      </w:r>
      <w:r w:rsidR="00433E2F" w:rsidRPr="00440C15">
        <w:rPr>
          <w:rFonts w:ascii="Times New Roman" w:hAnsi="Times New Roman"/>
          <w:color w:val="000000" w:themeColor="text1"/>
          <w:sz w:val="24"/>
          <w:szCs w:val="24"/>
        </w:rPr>
        <w:t>” (</w:t>
      </w:r>
      <w:proofErr w:type="spellStart"/>
      <w:r w:rsidR="00433E2F" w:rsidRPr="00440C15">
        <w:rPr>
          <w:rFonts w:ascii="Times New Roman" w:hAnsi="Times New Roman"/>
          <w:color w:val="000000" w:themeColor="text1"/>
          <w:sz w:val="24"/>
          <w:szCs w:val="24"/>
        </w:rPr>
        <w:t>BCSCn</w:t>
      </w:r>
      <w:proofErr w:type="spellEnd"/>
      <w:r w:rsidR="00433E2F" w:rsidRPr="00440C15">
        <w:rPr>
          <w:rFonts w:ascii="Times New Roman" w:hAnsi="Times New Roman"/>
          <w:color w:val="000000" w:themeColor="text1"/>
          <w:sz w:val="24"/>
          <w:szCs w:val="24"/>
        </w:rPr>
        <w:t xml:space="preserve">, </w:t>
      </w:r>
      <w:r w:rsidR="00142048" w:rsidRPr="00440C15">
        <w:rPr>
          <w:rFonts w:ascii="Times New Roman" w:hAnsi="Times New Roman"/>
          <w:color w:val="000000" w:themeColor="text1"/>
          <w:sz w:val="24"/>
          <w:szCs w:val="24"/>
        </w:rPr>
        <w:t>2012a</w:t>
      </w:r>
      <w:r w:rsidR="00433E2F" w:rsidRPr="00440C15">
        <w:rPr>
          <w:rFonts w:ascii="Times New Roman" w:hAnsi="Times New Roman"/>
          <w:color w:val="000000" w:themeColor="text1"/>
          <w:sz w:val="24"/>
          <w:szCs w:val="24"/>
        </w:rPr>
        <w:t xml:space="preserve">: 7). </w:t>
      </w:r>
      <w:r w:rsidR="00433E2F" w:rsidRPr="00440C15">
        <w:rPr>
          <w:rFonts w:ascii="Times New Roman" w:hAnsi="Times New Roman"/>
          <w:color w:val="000000" w:themeColor="text1"/>
          <w:sz w:val="24"/>
          <w:szCs w:val="24"/>
          <w:lang w:bidi="ar-SA"/>
        </w:rPr>
        <w:t xml:space="preserve">When the data is looked at regionally, </w:t>
      </w:r>
    </w:p>
    <w:p w:rsidR="00433E2F" w:rsidRPr="00440C15" w:rsidRDefault="00433E2F" w:rsidP="00433E2F">
      <w:pPr>
        <w:spacing w:after="0" w:line="240" w:lineRule="auto"/>
        <w:ind w:firstLine="720"/>
        <w:rPr>
          <w:rFonts w:ascii="Times New Roman" w:hAnsi="Times New Roman"/>
          <w:color w:val="000000" w:themeColor="text1"/>
          <w:sz w:val="24"/>
          <w:szCs w:val="24"/>
        </w:rPr>
      </w:pPr>
    </w:p>
    <w:p w:rsidR="00433E2F" w:rsidRPr="00440C15" w:rsidRDefault="00433E2F" w:rsidP="00433E2F">
      <w:pPr>
        <w:pStyle w:val="3BodyQuoteSingleOrLast"/>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[o]ne-in-seven (14%) British Columbians say that they have been victims of fraud one time, while almost one-in-ten (8%) say they have been victims of fraud multiple times. On average, BC residents are more likely to have been victims of fraud once (14% vs. 10%) and are about as likely as Canadians in other provinces to have been victims of fraud multiple times (8% vs. 6%) (p. 7). </w:t>
      </w:r>
    </w:p>
    <w:p w:rsidR="003401BD" w:rsidRPr="00440C15" w:rsidRDefault="003401BD" w:rsidP="00433E2F">
      <w:pPr>
        <w:pStyle w:val="3BodyFlushLeft"/>
        <w:spacing w:after="0" w:line="240" w:lineRule="auto"/>
        <w:rPr>
          <w:rFonts w:ascii="Times New Roman" w:hAnsi="Times New Roman"/>
          <w:color w:val="000000" w:themeColor="text1"/>
          <w:sz w:val="24"/>
          <w:szCs w:val="24"/>
        </w:rPr>
      </w:pPr>
    </w:p>
    <w:p w:rsidR="002A1926" w:rsidRPr="00440C15" w:rsidRDefault="002A1926" w:rsidP="00433E2F">
      <w:pPr>
        <w:pStyle w:val="3BodyFlushLeft"/>
        <w:spacing w:after="0" w:line="240" w:lineRule="auto"/>
        <w:rPr>
          <w:rFonts w:ascii="Times New Roman" w:hAnsi="Times New Roman"/>
          <w:color w:val="000000" w:themeColor="text1"/>
          <w:sz w:val="24"/>
          <w:szCs w:val="24"/>
        </w:rPr>
      </w:pPr>
    </w:p>
    <w:p w:rsidR="00433E2F" w:rsidRPr="00440C15" w:rsidRDefault="004F12E3" w:rsidP="004F12E3">
      <w:pPr>
        <w:spacing w:after="0"/>
        <w:rPr>
          <w:rFonts w:ascii="Times New Roman" w:eastAsiaTheme="minorHAnsi" w:hAnsi="Times New Roman"/>
          <w:color w:val="000000" w:themeColor="text1"/>
          <w:sz w:val="24"/>
          <w:szCs w:val="24"/>
          <w:lang w:bidi="ar-SA"/>
        </w:rPr>
      </w:pPr>
      <w:r w:rsidRPr="00440C15">
        <w:rPr>
          <w:rFonts w:ascii="Times New Roman" w:hAnsi="Times New Roman"/>
          <w:color w:val="000000" w:themeColor="text1"/>
          <w:sz w:val="24"/>
          <w:szCs w:val="24"/>
        </w:rPr>
        <w:tab/>
        <w:t>I</w:t>
      </w:r>
      <w:r w:rsidR="00D86116" w:rsidRPr="00440C15">
        <w:rPr>
          <w:rFonts w:ascii="Times New Roman" w:hAnsi="Times New Roman"/>
          <w:color w:val="000000" w:themeColor="text1"/>
          <w:sz w:val="24"/>
          <w:szCs w:val="24"/>
        </w:rPr>
        <w:t>nvestment fraud is</w:t>
      </w:r>
      <w:r w:rsidR="00BB0F57" w:rsidRPr="00440C15">
        <w:rPr>
          <w:rFonts w:ascii="Times New Roman" w:hAnsi="Times New Roman"/>
          <w:color w:val="000000" w:themeColor="text1"/>
          <w:sz w:val="24"/>
          <w:szCs w:val="24"/>
        </w:rPr>
        <w:t xml:space="preserve"> not only</w:t>
      </w:r>
      <w:r w:rsidR="00D86116" w:rsidRPr="00440C15">
        <w:rPr>
          <w:rFonts w:ascii="Times New Roman" w:hAnsi="Times New Roman"/>
          <w:color w:val="000000" w:themeColor="text1"/>
          <w:sz w:val="24"/>
          <w:szCs w:val="24"/>
        </w:rPr>
        <w:t xml:space="preserve"> pervasive</w:t>
      </w:r>
      <w:r w:rsidR="00BB0F57" w:rsidRPr="00440C15">
        <w:rPr>
          <w:rFonts w:ascii="Times New Roman" w:hAnsi="Times New Roman"/>
          <w:color w:val="000000" w:themeColor="text1"/>
          <w:sz w:val="24"/>
          <w:szCs w:val="24"/>
        </w:rPr>
        <w:t>, but</w:t>
      </w:r>
      <w:r w:rsidR="00D86116" w:rsidRPr="00440C15">
        <w:rPr>
          <w:rFonts w:ascii="Times New Roman" w:hAnsi="Times New Roman"/>
          <w:color w:val="000000" w:themeColor="text1"/>
          <w:sz w:val="24"/>
          <w:szCs w:val="24"/>
        </w:rPr>
        <w:t xml:space="preserve"> the victims come from all walks of </w:t>
      </w:r>
      <w:r w:rsidR="00517D62" w:rsidRPr="00440C15">
        <w:rPr>
          <w:rFonts w:ascii="Times New Roman" w:hAnsi="Times New Roman"/>
          <w:color w:val="000000" w:themeColor="text1"/>
          <w:sz w:val="24"/>
          <w:szCs w:val="24"/>
        </w:rPr>
        <w:t>life</w:t>
      </w:r>
      <w:r w:rsidR="00517D62">
        <w:rPr>
          <w:rFonts w:ascii="Times New Roman" w:hAnsi="Times New Roman"/>
          <w:color w:val="000000" w:themeColor="text1"/>
          <w:sz w:val="24"/>
          <w:szCs w:val="24"/>
        </w:rPr>
        <w:t xml:space="preserve">. </w:t>
      </w:r>
      <w:r w:rsidR="00D86116" w:rsidRPr="00440C15">
        <w:rPr>
          <w:rFonts w:ascii="Times New Roman" w:hAnsi="Times New Roman"/>
          <w:color w:val="000000" w:themeColor="text1"/>
          <w:sz w:val="24"/>
          <w:szCs w:val="24"/>
        </w:rPr>
        <w:t>It does not matter if the victims are rich or poor, financially literate or not, young or old - they are all vulnerable t</w:t>
      </w:r>
      <w:r w:rsidR="00142048" w:rsidRPr="00440C15">
        <w:rPr>
          <w:rFonts w:ascii="Times New Roman" w:hAnsi="Times New Roman"/>
          <w:color w:val="000000" w:themeColor="text1"/>
          <w:sz w:val="24"/>
          <w:szCs w:val="24"/>
        </w:rPr>
        <w:t>o investment fraud (</w:t>
      </w:r>
      <w:proofErr w:type="spellStart"/>
      <w:r w:rsidR="00142048" w:rsidRPr="00440C15">
        <w:rPr>
          <w:rFonts w:ascii="Times New Roman" w:hAnsi="Times New Roman"/>
          <w:color w:val="000000" w:themeColor="text1"/>
          <w:sz w:val="24"/>
          <w:szCs w:val="24"/>
        </w:rPr>
        <w:t>BCSCn</w:t>
      </w:r>
      <w:proofErr w:type="spellEnd"/>
      <w:r w:rsidR="00142048" w:rsidRPr="00440C15">
        <w:rPr>
          <w:rFonts w:ascii="Times New Roman" w:hAnsi="Times New Roman"/>
          <w:color w:val="000000" w:themeColor="text1"/>
          <w:sz w:val="24"/>
          <w:szCs w:val="24"/>
        </w:rPr>
        <w:t>, 2012a</w:t>
      </w:r>
      <w:r w:rsidR="00D86116" w:rsidRPr="00440C15">
        <w:rPr>
          <w:rFonts w:ascii="Times New Roman" w:hAnsi="Times New Roman"/>
          <w:color w:val="000000" w:themeColor="text1"/>
          <w:sz w:val="24"/>
          <w:szCs w:val="24"/>
        </w:rPr>
        <w:t xml:space="preserve">: 3). </w:t>
      </w:r>
      <w:r w:rsidR="00293DB8" w:rsidRPr="00440C15">
        <w:rPr>
          <w:rFonts w:ascii="Times New Roman" w:hAnsi="Times New Roman"/>
          <w:color w:val="000000" w:themeColor="text1"/>
          <w:sz w:val="24"/>
          <w:szCs w:val="24"/>
        </w:rPr>
        <w:t xml:space="preserve">From the limited </w:t>
      </w:r>
      <w:r w:rsidR="00293DB8" w:rsidRPr="00440C15">
        <w:rPr>
          <w:rFonts w:ascii="GarthGraphic" w:eastAsiaTheme="minorHAnsi" w:hAnsi="GarthGraphic" w:cs="GarthGraphic"/>
          <w:color w:val="000000" w:themeColor="text1"/>
          <w:sz w:val="24"/>
          <w:szCs w:val="24"/>
          <w:lang w:bidi="ar-SA"/>
        </w:rPr>
        <w:t xml:space="preserve">systematic research </w:t>
      </w:r>
      <w:proofErr w:type="gramStart"/>
      <w:r w:rsidR="00293DB8" w:rsidRPr="00440C15">
        <w:rPr>
          <w:rFonts w:ascii="GarthGraphic" w:eastAsiaTheme="minorHAnsi" w:hAnsi="GarthGraphic" w:cs="GarthGraphic"/>
          <w:color w:val="000000" w:themeColor="text1"/>
          <w:sz w:val="24"/>
          <w:szCs w:val="24"/>
          <w:lang w:bidi="ar-SA"/>
        </w:rPr>
        <w:t>available</w:t>
      </w:r>
      <w:proofErr w:type="gramEnd"/>
      <w:r w:rsidR="00293DB8" w:rsidRPr="00440C15">
        <w:rPr>
          <w:rFonts w:ascii="GarthGraphic" w:eastAsiaTheme="minorHAnsi" w:hAnsi="GarthGraphic" w:cs="GarthGraphic"/>
          <w:color w:val="000000" w:themeColor="text1"/>
          <w:sz w:val="24"/>
          <w:szCs w:val="24"/>
          <w:lang w:bidi="ar-SA"/>
        </w:rPr>
        <w:t>,</w:t>
      </w:r>
      <w:r w:rsidR="00293DB8" w:rsidRPr="00440C15">
        <w:rPr>
          <w:rFonts w:ascii="GarthGraphic" w:eastAsiaTheme="minorHAnsi" w:hAnsi="GarthGraphic" w:cs="GarthGraphic"/>
          <w:color w:val="000000" w:themeColor="text1"/>
          <w:sz w:val="20"/>
          <w:szCs w:val="20"/>
          <w:lang w:bidi="ar-SA"/>
        </w:rPr>
        <w:t xml:space="preserve"> t</w:t>
      </w:r>
      <w:r w:rsidR="00C7010E" w:rsidRPr="00440C15">
        <w:rPr>
          <w:rFonts w:ascii="Times New Roman" w:hAnsi="Times New Roman"/>
          <w:color w:val="000000" w:themeColor="text1"/>
          <w:sz w:val="24"/>
          <w:szCs w:val="24"/>
        </w:rPr>
        <w:t xml:space="preserve">he </w:t>
      </w:r>
      <w:r w:rsidR="003F6C55" w:rsidRPr="00440C15">
        <w:rPr>
          <w:rFonts w:ascii="Times New Roman" w:hAnsi="Times New Roman"/>
          <w:color w:val="000000" w:themeColor="text1"/>
          <w:sz w:val="24"/>
          <w:szCs w:val="24"/>
        </w:rPr>
        <w:t xml:space="preserve">risk factors that are associated with investment fraud victimization are not confined to a </w:t>
      </w:r>
      <w:r w:rsidR="00472670" w:rsidRPr="00440C15">
        <w:rPr>
          <w:rFonts w:ascii="Times New Roman" w:hAnsi="Times New Roman"/>
          <w:color w:val="000000" w:themeColor="text1"/>
          <w:sz w:val="24"/>
          <w:szCs w:val="24"/>
        </w:rPr>
        <w:t>particular subset</w:t>
      </w:r>
      <w:r w:rsidR="003F6C55" w:rsidRPr="00440C15">
        <w:rPr>
          <w:rFonts w:ascii="Times New Roman" w:hAnsi="Times New Roman"/>
          <w:color w:val="000000" w:themeColor="text1"/>
          <w:sz w:val="24"/>
          <w:szCs w:val="24"/>
        </w:rPr>
        <w:t xml:space="preserve"> of investors. </w:t>
      </w:r>
      <w:bookmarkStart w:id="3" w:name="_Toc314667599"/>
      <w:bookmarkStart w:id="4" w:name="_Toc329241562"/>
      <w:r w:rsidR="007364E3" w:rsidRPr="00440C15">
        <w:rPr>
          <w:rFonts w:ascii="Times New Roman" w:hAnsi="Times New Roman"/>
          <w:color w:val="000000" w:themeColor="text1"/>
          <w:sz w:val="24"/>
          <w:szCs w:val="24"/>
        </w:rPr>
        <w:t>Blum (1972) studied 24 individuals who were deceived through investment fraud</w:t>
      </w:r>
      <w:r w:rsidR="00704CF7" w:rsidRPr="00440C15">
        <w:rPr>
          <w:rFonts w:ascii="Times New Roman" w:hAnsi="Times New Roman"/>
          <w:color w:val="000000" w:themeColor="text1"/>
          <w:sz w:val="24"/>
          <w:szCs w:val="24"/>
        </w:rPr>
        <w:t xml:space="preserve"> </w:t>
      </w:r>
      <w:r w:rsidR="00472670" w:rsidRPr="00440C15">
        <w:rPr>
          <w:rFonts w:ascii="Times New Roman" w:hAnsi="Times New Roman"/>
          <w:color w:val="000000" w:themeColor="text1"/>
          <w:sz w:val="24"/>
          <w:szCs w:val="24"/>
        </w:rPr>
        <w:t>and found</w:t>
      </w:r>
      <w:r w:rsidR="007364E3" w:rsidRPr="00440C15">
        <w:rPr>
          <w:rFonts w:ascii="Times New Roman" w:hAnsi="Times New Roman"/>
          <w:color w:val="000000" w:themeColor="text1"/>
          <w:sz w:val="24"/>
          <w:szCs w:val="24"/>
        </w:rPr>
        <w:t xml:space="preserve"> that the median age of the victims was </w:t>
      </w:r>
      <w:proofErr w:type="gramStart"/>
      <w:r w:rsidR="007364E3" w:rsidRPr="00440C15">
        <w:rPr>
          <w:rFonts w:ascii="Times New Roman" w:hAnsi="Times New Roman"/>
          <w:color w:val="000000" w:themeColor="text1"/>
          <w:sz w:val="24"/>
          <w:szCs w:val="24"/>
        </w:rPr>
        <w:t>between "60 to 69 ...</w:t>
      </w:r>
      <w:r w:rsidR="007364E3" w:rsidRPr="00440C15">
        <w:rPr>
          <w:rFonts w:ascii="Times New Roman" w:eastAsiaTheme="minorHAnsi" w:hAnsi="Times New Roman"/>
          <w:color w:val="000000" w:themeColor="text1"/>
          <w:sz w:val="24"/>
          <w:szCs w:val="24"/>
          <w:lang w:bidi="ar-SA"/>
        </w:rPr>
        <w:t>disproportionately female, predominantly widowed, and deeply religious" (</w:t>
      </w:r>
      <w:r w:rsidR="004D0606" w:rsidRPr="00440C15">
        <w:rPr>
          <w:rFonts w:ascii="Times New Roman" w:eastAsiaTheme="minorHAnsi" w:hAnsi="Times New Roman"/>
          <w:color w:val="000000" w:themeColor="text1"/>
          <w:sz w:val="24"/>
          <w:szCs w:val="24"/>
          <w:lang w:bidi="ar-SA"/>
        </w:rPr>
        <w:t xml:space="preserve">as Cited in </w:t>
      </w:r>
      <w:proofErr w:type="spellStart"/>
      <w:r w:rsidR="004D0606" w:rsidRPr="00440C15">
        <w:rPr>
          <w:rFonts w:ascii="Times New Roman" w:eastAsiaTheme="minorHAnsi" w:hAnsi="Times New Roman"/>
          <w:color w:val="000000" w:themeColor="text1"/>
          <w:sz w:val="24"/>
          <w:szCs w:val="24"/>
          <w:lang w:bidi="ar-SA"/>
        </w:rPr>
        <w:t>Ganzini</w:t>
      </w:r>
      <w:proofErr w:type="spellEnd"/>
      <w:r w:rsidR="004D0606" w:rsidRPr="00440C15">
        <w:rPr>
          <w:rFonts w:ascii="Times New Roman" w:eastAsiaTheme="minorHAnsi" w:hAnsi="Times New Roman"/>
          <w:color w:val="000000" w:themeColor="text1"/>
          <w:sz w:val="24"/>
          <w:szCs w:val="24"/>
          <w:lang w:bidi="ar-SA"/>
        </w:rPr>
        <w:t>, McFarland and Bloom, 1990: 57)</w:t>
      </w:r>
      <w:proofErr w:type="gramEnd"/>
      <w:r w:rsidR="004D0606" w:rsidRPr="00440C15">
        <w:rPr>
          <w:rFonts w:ascii="Times New Roman" w:eastAsiaTheme="minorHAnsi" w:hAnsi="Times New Roman"/>
          <w:color w:val="000000" w:themeColor="text1"/>
          <w:sz w:val="24"/>
          <w:szCs w:val="24"/>
          <w:lang w:bidi="ar-SA"/>
        </w:rPr>
        <w:t xml:space="preserve">. </w:t>
      </w:r>
      <w:r w:rsidR="007364E3" w:rsidRPr="00440C15">
        <w:rPr>
          <w:rFonts w:ascii="Times New Roman" w:eastAsiaTheme="minorHAnsi" w:hAnsi="Times New Roman"/>
          <w:color w:val="000000" w:themeColor="text1"/>
          <w:sz w:val="24"/>
          <w:szCs w:val="24"/>
          <w:lang w:bidi="ar-SA"/>
        </w:rPr>
        <w:t xml:space="preserve">They were also "predominately lower middle class and somewhat less educated than the city </w:t>
      </w:r>
      <w:r w:rsidR="004D0606" w:rsidRPr="00440C15">
        <w:rPr>
          <w:rFonts w:ascii="Times New Roman" w:eastAsiaTheme="minorHAnsi" w:hAnsi="Times New Roman"/>
          <w:color w:val="000000" w:themeColor="text1"/>
          <w:sz w:val="24"/>
          <w:szCs w:val="24"/>
          <w:lang w:bidi="ar-SA"/>
        </w:rPr>
        <w:t>average" (p. 57</w:t>
      </w:r>
      <w:r w:rsidR="007364E3" w:rsidRPr="00440C15">
        <w:rPr>
          <w:rFonts w:ascii="Times New Roman" w:eastAsiaTheme="minorHAnsi" w:hAnsi="Times New Roman"/>
          <w:color w:val="000000" w:themeColor="text1"/>
          <w:sz w:val="24"/>
          <w:szCs w:val="24"/>
          <w:lang w:bidi="ar-SA"/>
        </w:rPr>
        <w:t xml:space="preserve">). </w:t>
      </w:r>
      <w:proofErr w:type="spellStart"/>
      <w:r w:rsidR="003F6C55" w:rsidRPr="00440C15">
        <w:rPr>
          <w:rFonts w:ascii="Times New Roman" w:eastAsiaTheme="minorHAnsi" w:hAnsi="Times New Roman"/>
          <w:color w:val="000000" w:themeColor="text1"/>
          <w:sz w:val="24"/>
          <w:szCs w:val="24"/>
          <w:lang w:bidi="ar-SA"/>
        </w:rPr>
        <w:t>Ganzini</w:t>
      </w:r>
      <w:proofErr w:type="spellEnd"/>
      <w:r w:rsidR="003F6C55" w:rsidRPr="00440C15">
        <w:rPr>
          <w:rFonts w:ascii="Times New Roman" w:eastAsiaTheme="minorHAnsi" w:hAnsi="Times New Roman"/>
          <w:color w:val="000000" w:themeColor="text1"/>
          <w:sz w:val="24"/>
          <w:szCs w:val="24"/>
          <w:lang w:bidi="ar-SA"/>
        </w:rPr>
        <w:t>, McFarland and Bloom (1990)</w:t>
      </w:r>
      <w:r w:rsidR="008C3C72" w:rsidRPr="00440C15">
        <w:rPr>
          <w:rFonts w:ascii="Times New Roman" w:eastAsiaTheme="minorHAnsi" w:hAnsi="Times New Roman"/>
          <w:color w:val="000000" w:themeColor="text1"/>
          <w:sz w:val="24"/>
          <w:szCs w:val="24"/>
          <w:lang w:bidi="ar-SA"/>
        </w:rPr>
        <w:t>,</w:t>
      </w:r>
      <w:r w:rsidR="003F6C55" w:rsidRPr="00440C15">
        <w:rPr>
          <w:rFonts w:ascii="Times New Roman" w:eastAsiaTheme="minorHAnsi" w:hAnsi="Times New Roman"/>
          <w:color w:val="000000" w:themeColor="text1"/>
          <w:sz w:val="24"/>
          <w:szCs w:val="24"/>
          <w:lang w:bidi="ar-SA"/>
        </w:rPr>
        <w:t xml:space="preserve"> </w:t>
      </w:r>
      <w:r w:rsidR="00C24686" w:rsidRPr="00440C15">
        <w:rPr>
          <w:rFonts w:ascii="Times New Roman" w:eastAsiaTheme="minorHAnsi" w:hAnsi="Times New Roman"/>
          <w:color w:val="000000" w:themeColor="text1"/>
          <w:sz w:val="24"/>
          <w:szCs w:val="24"/>
          <w:lang w:bidi="ar-SA"/>
        </w:rPr>
        <w:t xml:space="preserve">in </w:t>
      </w:r>
      <w:r w:rsidR="00C24686" w:rsidRPr="00440C15">
        <w:rPr>
          <w:rFonts w:ascii="Times New Roman" w:eastAsiaTheme="minorHAnsi" w:hAnsi="Times New Roman"/>
          <w:color w:val="000000" w:themeColor="text1"/>
          <w:sz w:val="24"/>
          <w:szCs w:val="24"/>
          <w:lang w:bidi="ar-SA"/>
        </w:rPr>
        <w:lastRenderedPageBreak/>
        <w:t xml:space="preserve">their study of 77 victims </w:t>
      </w:r>
      <w:r w:rsidR="0078435D" w:rsidRPr="00440C15">
        <w:rPr>
          <w:rFonts w:ascii="Times New Roman" w:eastAsiaTheme="minorHAnsi" w:hAnsi="Times New Roman"/>
          <w:color w:val="000000" w:themeColor="text1"/>
          <w:sz w:val="24"/>
          <w:szCs w:val="24"/>
          <w:lang w:bidi="ar-SA"/>
        </w:rPr>
        <w:t xml:space="preserve">of a </w:t>
      </w:r>
      <w:r w:rsidR="00C24686" w:rsidRPr="00440C15">
        <w:rPr>
          <w:rFonts w:ascii="Times New Roman" w:eastAsiaTheme="minorHAnsi" w:hAnsi="Times New Roman"/>
          <w:color w:val="000000" w:themeColor="text1"/>
          <w:sz w:val="24"/>
          <w:szCs w:val="24"/>
          <w:lang w:bidi="ar-SA"/>
        </w:rPr>
        <w:t xml:space="preserve">Ponzi fraud scheme in </w:t>
      </w:r>
      <w:proofErr w:type="spellStart"/>
      <w:r w:rsidR="00C24686" w:rsidRPr="00440C15">
        <w:rPr>
          <w:rFonts w:ascii="Times New Roman" w:eastAsiaTheme="minorHAnsi" w:hAnsi="Times New Roman"/>
          <w:color w:val="000000" w:themeColor="text1"/>
          <w:sz w:val="24"/>
          <w:szCs w:val="24"/>
          <w:lang w:bidi="ar-SA"/>
        </w:rPr>
        <w:t>Oregan</w:t>
      </w:r>
      <w:proofErr w:type="spellEnd"/>
      <w:r w:rsidR="00C24686" w:rsidRPr="00440C15">
        <w:rPr>
          <w:rFonts w:ascii="Times New Roman" w:eastAsiaTheme="minorHAnsi" w:hAnsi="Times New Roman"/>
          <w:color w:val="000000" w:themeColor="text1"/>
          <w:sz w:val="24"/>
          <w:szCs w:val="24"/>
          <w:lang w:bidi="ar-SA"/>
        </w:rPr>
        <w:t xml:space="preserve"> found that </w:t>
      </w:r>
    </w:p>
    <w:p w:rsidR="00C24686" w:rsidRPr="00440C15" w:rsidRDefault="00C24686" w:rsidP="00C24686">
      <w:pPr>
        <w:widowControl/>
        <w:autoSpaceDE w:val="0"/>
        <w:autoSpaceDN w:val="0"/>
        <w:adjustRightInd w:val="0"/>
        <w:spacing w:after="0" w:line="240" w:lineRule="auto"/>
        <w:rPr>
          <w:rFonts w:ascii="Times New Roman" w:eastAsiaTheme="minorHAnsi" w:hAnsi="Times New Roman"/>
          <w:color w:val="000000" w:themeColor="text1"/>
          <w:sz w:val="24"/>
          <w:szCs w:val="24"/>
          <w:lang w:bidi="ar-SA"/>
        </w:rPr>
      </w:pPr>
    </w:p>
    <w:p w:rsidR="00C24686" w:rsidRPr="00440C15" w:rsidRDefault="00C24686" w:rsidP="00704CF7">
      <w:pPr>
        <w:widowControl/>
        <w:autoSpaceDE w:val="0"/>
        <w:autoSpaceDN w:val="0"/>
        <w:adjustRightInd w:val="0"/>
        <w:spacing w:after="0" w:line="240" w:lineRule="auto"/>
        <w:ind w:left="720" w:right="720"/>
        <w:rPr>
          <w:rFonts w:ascii="Times New Roman" w:eastAsiaTheme="minorHAnsi" w:hAnsi="Times New Roman"/>
          <w:color w:val="000000" w:themeColor="text1"/>
          <w:sz w:val="24"/>
          <w:szCs w:val="24"/>
          <w:lang w:bidi="ar-SA"/>
        </w:rPr>
      </w:pPr>
      <w:r w:rsidRPr="00440C15">
        <w:rPr>
          <w:rFonts w:ascii="Times New Roman" w:eastAsiaTheme="minorHAnsi" w:hAnsi="Times New Roman"/>
          <w:color w:val="000000" w:themeColor="text1"/>
          <w:sz w:val="24"/>
          <w:szCs w:val="24"/>
          <w:lang w:bidi="ar-SA"/>
        </w:rPr>
        <w:t xml:space="preserve">83 percent earned more than </w:t>
      </w:r>
      <w:r w:rsidR="00704CF7" w:rsidRPr="00440C15">
        <w:rPr>
          <w:rFonts w:ascii="Times New Roman" w:eastAsiaTheme="minorHAnsi" w:hAnsi="Times New Roman"/>
          <w:color w:val="000000" w:themeColor="text1"/>
          <w:sz w:val="24"/>
          <w:szCs w:val="24"/>
          <w:lang w:bidi="ar-SA"/>
        </w:rPr>
        <w:t>$20,000...</w:t>
      </w:r>
      <w:r w:rsidRPr="00440C15">
        <w:rPr>
          <w:rFonts w:ascii="Times New Roman" w:eastAsiaTheme="minorHAnsi" w:hAnsi="Times New Roman"/>
          <w:color w:val="000000" w:themeColor="text1"/>
          <w:sz w:val="24"/>
          <w:szCs w:val="24"/>
          <w:lang w:bidi="ar-SA"/>
        </w:rPr>
        <w:t xml:space="preserve"> Eighty-seven percent were married at the time of the interview. The average age was 53, and 88 percent were between 40 and 65 years of age. Forty-eight percent were female. Sixty percent had some college </w:t>
      </w:r>
      <w:r w:rsidR="0078435D" w:rsidRPr="00440C15">
        <w:rPr>
          <w:rFonts w:ascii="Times New Roman" w:eastAsiaTheme="minorHAnsi" w:hAnsi="Times New Roman"/>
          <w:color w:val="000000" w:themeColor="text1"/>
          <w:sz w:val="24"/>
          <w:szCs w:val="24"/>
          <w:lang w:bidi="ar-SA"/>
        </w:rPr>
        <w:t>education, and</w:t>
      </w:r>
      <w:r w:rsidRPr="00440C15">
        <w:rPr>
          <w:rFonts w:ascii="Times New Roman" w:eastAsiaTheme="minorHAnsi" w:hAnsi="Times New Roman"/>
          <w:color w:val="000000" w:themeColor="text1"/>
          <w:sz w:val="24"/>
          <w:szCs w:val="24"/>
          <w:lang w:bidi="ar-SA"/>
        </w:rPr>
        <w:t xml:space="preserve"> 33 percent were somewhat or</w:t>
      </w:r>
      <w:r w:rsidR="00704CF7" w:rsidRPr="00440C15">
        <w:rPr>
          <w:rFonts w:ascii="Times New Roman" w:eastAsiaTheme="minorHAnsi" w:hAnsi="Times New Roman"/>
          <w:color w:val="000000" w:themeColor="text1"/>
          <w:sz w:val="24"/>
          <w:szCs w:val="24"/>
          <w:lang w:bidi="ar-SA"/>
        </w:rPr>
        <w:t xml:space="preserve"> </w:t>
      </w:r>
      <w:r w:rsidRPr="00440C15">
        <w:rPr>
          <w:rFonts w:ascii="Times New Roman" w:eastAsiaTheme="minorHAnsi" w:hAnsi="Times New Roman"/>
          <w:color w:val="000000" w:themeColor="text1"/>
          <w:sz w:val="24"/>
          <w:szCs w:val="24"/>
          <w:lang w:bidi="ar-SA"/>
        </w:rPr>
        <w:t xml:space="preserve">very religious (p. 57). </w:t>
      </w:r>
    </w:p>
    <w:p w:rsidR="004F12E3" w:rsidRPr="00440C15" w:rsidRDefault="004F12E3" w:rsidP="00C24686">
      <w:pPr>
        <w:spacing w:after="0"/>
        <w:rPr>
          <w:rFonts w:ascii="Times New Roman" w:eastAsiaTheme="minorHAnsi" w:hAnsi="Times New Roman"/>
          <w:color w:val="000000" w:themeColor="text1"/>
          <w:sz w:val="24"/>
          <w:szCs w:val="24"/>
          <w:lang w:bidi="ar-SA"/>
        </w:rPr>
      </w:pPr>
    </w:p>
    <w:p w:rsidR="00BD2CF2" w:rsidRPr="00440C15" w:rsidRDefault="00192D4C" w:rsidP="00DF1156">
      <w:pPr>
        <w:spacing w:after="0"/>
        <w:rPr>
          <w:rFonts w:ascii="Times New Roman" w:eastAsiaTheme="minorHAnsi" w:hAnsi="Times New Roman"/>
          <w:color w:val="000000" w:themeColor="text1"/>
          <w:sz w:val="24"/>
          <w:szCs w:val="24"/>
          <w:lang w:bidi="ar-SA"/>
        </w:rPr>
      </w:pPr>
      <w:r w:rsidRPr="00440C15">
        <w:rPr>
          <w:rFonts w:ascii="Times New Roman" w:eastAsiaTheme="minorHAnsi" w:hAnsi="Times New Roman"/>
          <w:color w:val="000000" w:themeColor="text1"/>
          <w:sz w:val="24"/>
          <w:szCs w:val="24"/>
          <w:lang w:bidi="ar-SA"/>
        </w:rPr>
        <w:t>What is clear from the</w:t>
      </w:r>
      <w:r w:rsidR="00DF1156" w:rsidRPr="00440C15">
        <w:rPr>
          <w:rFonts w:ascii="Times New Roman" w:eastAsiaTheme="minorHAnsi" w:hAnsi="Times New Roman"/>
          <w:color w:val="000000" w:themeColor="text1"/>
          <w:sz w:val="24"/>
          <w:szCs w:val="24"/>
          <w:lang w:bidi="ar-SA"/>
        </w:rPr>
        <w:t xml:space="preserve"> extant </w:t>
      </w:r>
      <w:r w:rsidR="003A03B2" w:rsidRPr="00440C15">
        <w:rPr>
          <w:rFonts w:ascii="Times New Roman" w:eastAsiaTheme="minorHAnsi" w:hAnsi="Times New Roman"/>
          <w:color w:val="000000" w:themeColor="text1"/>
          <w:sz w:val="24"/>
          <w:szCs w:val="24"/>
          <w:lang w:bidi="ar-SA"/>
        </w:rPr>
        <w:t>literature</w:t>
      </w:r>
      <w:r w:rsidRPr="00440C15">
        <w:rPr>
          <w:rFonts w:ascii="Times New Roman" w:eastAsiaTheme="minorHAnsi" w:hAnsi="Times New Roman"/>
          <w:color w:val="000000" w:themeColor="text1"/>
          <w:sz w:val="24"/>
          <w:szCs w:val="24"/>
          <w:lang w:bidi="ar-SA"/>
        </w:rPr>
        <w:t xml:space="preserve"> is that </w:t>
      </w:r>
      <w:r w:rsidR="00DF1156" w:rsidRPr="00440C15">
        <w:rPr>
          <w:rFonts w:ascii="Times New Roman" w:eastAsiaTheme="minorHAnsi" w:hAnsi="Times New Roman"/>
          <w:color w:val="000000" w:themeColor="text1"/>
          <w:sz w:val="24"/>
          <w:szCs w:val="24"/>
          <w:lang w:bidi="ar-SA"/>
        </w:rPr>
        <w:t>there is no clear</w:t>
      </w:r>
      <w:r w:rsidR="00BD2CF2" w:rsidRPr="00440C15">
        <w:rPr>
          <w:rFonts w:ascii="Times New Roman" w:eastAsiaTheme="minorHAnsi" w:hAnsi="Times New Roman"/>
          <w:color w:val="000000" w:themeColor="text1"/>
          <w:sz w:val="24"/>
          <w:szCs w:val="24"/>
          <w:lang w:bidi="ar-SA"/>
        </w:rPr>
        <w:t xml:space="preserve"> and</w:t>
      </w:r>
      <w:r w:rsidR="00DF1156" w:rsidRPr="00440C15">
        <w:rPr>
          <w:rFonts w:ascii="Times New Roman" w:eastAsiaTheme="minorHAnsi" w:hAnsi="Times New Roman"/>
          <w:color w:val="000000" w:themeColor="text1"/>
          <w:sz w:val="24"/>
          <w:szCs w:val="24"/>
          <w:lang w:bidi="ar-SA"/>
        </w:rPr>
        <w:t xml:space="preserve"> consistent pattern on what risk factors are associated with the vulnerable investor.</w:t>
      </w:r>
      <w:r w:rsidR="00BD2CF2" w:rsidRPr="00440C15">
        <w:rPr>
          <w:rFonts w:ascii="Times New Roman" w:eastAsiaTheme="minorHAnsi" w:hAnsi="Times New Roman"/>
          <w:color w:val="000000" w:themeColor="text1"/>
          <w:sz w:val="24"/>
          <w:szCs w:val="24"/>
          <w:lang w:bidi="ar-SA"/>
        </w:rPr>
        <w:t xml:space="preserve"> The purpose of this study is to examine the demographi</w:t>
      </w:r>
      <w:r w:rsidR="001D09B4" w:rsidRPr="00440C15">
        <w:rPr>
          <w:rFonts w:ascii="Times New Roman" w:eastAsiaTheme="minorHAnsi" w:hAnsi="Times New Roman"/>
          <w:color w:val="000000" w:themeColor="text1"/>
          <w:sz w:val="24"/>
          <w:szCs w:val="24"/>
          <w:lang w:bidi="ar-SA"/>
        </w:rPr>
        <w:t xml:space="preserve">c characteristics </w:t>
      </w:r>
      <w:r w:rsidR="00ED1CBE" w:rsidRPr="00440C15">
        <w:rPr>
          <w:rFonts w:ascii="Times New Roman" w:eastAsiaTheme="minorHAnsi" w:hAnsi="Times New Roman"/>
          <w:color w:val="000000" w:themeColor="text1"/>
          <w:sz w:val="24"/>
          <w:szCs w:val="24"/>
          <w:lang w:bidi="ar-SA"/>
        </w:rPr>
        <w:t>of Canadian</w:t>
      </w:r>
      <w:r w:rsidR="00BD2CF2" w:rsidRPr="00440C15">
        <w:rPr>
          <w:rFonts w:ascii="Times New Roman" w:eastAsiaTheme="minorHAnsi" w:hAnsi="Times New Roman"/>
          <w:color w:val="000000" w:themeColor="text1"/>
          <w:sz w:val="24"/>
          <w:szCs w:val="24"/>
          <w:lang w:bidi="ar-SA"/>
        </w:rPr>
        <w:t xml:space="preserve"> investors who have been victims of fraud</w:t>
      </w:r>
      <w:r w:rsidR="008C3C72" w:rsidRPr="00440C15">
        <w:rPr>
          <w:rFonts w:ascii="Times New Roman" w:eastAsiaTheme="minorHAnsi" w:hAnsi="Times New Roman"/>
          <w:color w:val="000000" w:themeColor="text1"/>
          <w:sz w:val="24"/>
          <w:szCs w:val="24"/>
          <w:lang w:bidi="ar-SA"/>
        </w:rPr>
        <w:t xml:space="preserve"> from 1984 to 2008</w:t>
      </w:r>
      <w:r w:rsidR="00BD2CF2" w:rsidRPr="00440C15">
        <w:rPr>
          <w:rFonts w:ascii="Times New Roman" w:eastAsiaTheme="minorHAnsi" w:hAnsi="Times New Roman"/>
          <w:color w:val="000000" w:themeColor="text1"/>
          <w:sz w:val="24"/>
          <w:szCs w:val="24"/>
          <w:lang w:bidi="ar-SA"/>
        </w:rPr>
        <w:t>. To do this, I will f</w:t>
      </w:r>
      <w:r w:rsidR="001D09B4" w:rsidRPr="00440C15">
        <w:rPr>
          <w:rFonts w:ascii="Times New Roman" w:eastAsiaTheme="minorHAnsi" w:hAnsi="Times New Roman"/>
          <w:color w:val="000000" w:themeColor="text1"/>
          <w:sz w:val="24"/>
          <w:szCs w:val="24"/>
          <w:lang w:bidi="ar-SA"/>
        </w:rPr>
        <w:t xml:space="preserve">irst describe the methodology used to collect and code the data. </w:t>
      </w:r>
      <w:r w:rsidR="00C94BE5" w:rsidRPr="00440C15">
        <w:rPr>
          <w:rFonts w:ascii="Times New Roman" w:eastAsiaTheme="minorHAnsi" w:hAnsi="Times New Roman"/>
          <w:color w:val="000000" w:themeColor="text1"/>
          <w:sz w:val="24"/>
          <w:szCs w:val="24"/>
          <w:lang w:bidi="ar-SA"/>
        </w:rPr>
        <w:t xml:space="preserve">I </w:t>
      </w:r>
      <w:r w:rsidR="008C3C72" w:rsidRPr="00440C15">
        <w:rPr>
          <w:rFonts w:ascii="Times New Roman" w:eastAsiaTheme="minorHAnsi" w:hAnsi="Times New Roman"/>
          <w:color w:val="000000" w:themeColor="text1"/>
          <w:sz w:val="24"/>
          <w:szCs w:val="24"/>
          <w:lang w:bidi="ar-SA"/>
        </w:rPr>
        <w:t xml:space="preserve">will </w:t>
      </w:r>
      <w:r w:rsidR="00C94BE5" w:rsidRPr="00440C15">
        <w:rPr>
          <w:rFonts w:ascii="Times New Roman" w:eastAsiaTheme="minorHAnsi" w:hAnsi="Times New Roman"/>
          <w:color w:val="000000" w:themeColor="text1"/>
          <w:sz w:val="24"/>
          <w:szCs w:val="24"/>
          <w:lang w:bidi="ar-SA"/>
        </w:rPr>
        <w:t xml:space="preserve">then expand and </w:t>
      </w:r>
      <w:r w:rsidR="008C3C72" w:rsidRPr="00440C15">
        <w:rPr>
          <w:rFonts w:ascii="Times New Roman" w:eastAsiaTheme="minorHAnsi" w:hAnsi="Times New Roman"/>
          <w:color w:val="000000" w:themeColor="text1"/>
          <w:sz w:val="24"/>
          <w:szCs w:val="24"/>
          <w:lang w:bidi="ar-SA"/>
        </w:rPr>
        <w:t>give a detailed analysis</w:t>
      </w:r>
      <w:r w:rsidR="00C94BE5" w:rsidRPr="00440C15">
        <w:rPr>
          <w:rFonts w:ascii="Times New Roman" w:eastAsiaTheme="minorHAnsi" w:hAnsi="Times New Roman"/>
          <w:color w:val="000000" w:themeColor="text1"/>
          <w:sz w:val="24"/>
          <w:szCs w:val="24"/>
          <w:lang w:bidi="ar-SA"/>
        </w:rPr>
        <w:t xml:space="preserve"> o</w:t>
      </w:r>
      <w:r w:rsidR="008C3C72" w:rsidRPr="00440C15">
        <w:rPr>
          <w:rFonts w:ascii="Times New Roman" w:eastAsiaTheme="minorHAnsi" w:hAnsi="Times New Roman"/>
          <w:color w:val="000000" w:themeColor="text1"/>
          <w:sz w:val="24"/>
          <w:szCs w:val="24"/>
          <w:lang w:bidi="ar-SA"/>
        </w:rPr>
        <w:t>f</w:t>
      </w:r>
      <w:r w:rsidR="00C94BE5" w:rsidRPr="00440C15">
        <w:rPr>
          <w:rFonts w:ascii="Times New Roman" w:eastAsiaTheme="minorHAnsi" w:hAnsi="Times New Roman"/>
          <w:color w:val="000000" w:themeColor="text1"/>
          <w:sz w:val="24"/>
          <w:szCs w:val="24"/>
          <w:lang w:bidi="ar-SA"/>
        </w:rPr>
        <w:t xml:space="preserve"> the findings. </w:t>
      </w:r>
      <w:r w:rsidR="000D4F01" w:rsidRPr="00440C15">
        <w:rPr>
          <w:rFonts w:ascii="Times New Roman" w:eastAsiaTheme="minorHAnsi" w:hAnsi="Times New Roman"/>
          <w:color w:val="000000" w:themeColor="text1"/>
          <w:sz w:val="24"/>
          <w:szCs w:val="24"/>
          <w:lang w:bidi="ar-SA"/>
        </w:rPr>
        <w:t xml:space="preserve">In the conclusion, the demographic portrait of the typical Canadian investors </w:t>
      </w:r>
      <w:r w:rsidR="008C3C72" w:rsidRPr="00440C15">
        <w:rPr>
          <w:rFonts w:ascii="Times New Roman" w:eastAsiaTheme="minorHAnsi" w:hAnsi="Times New Roman"/>
          <w:color w:val="000000" w:themeColor="text1"/>
          <w:sz w:val="24"/>
          <w:szCs w:val="24"/>
          <w:lang w:bidi="ar-SA"/>
        </w:rPr>
        <w:t>will be</w:t>
      </w:r>
      <w:r w:rsidR="000D4F01" w:rsidRPr="00440C15">
        <w:rPr>
          <w:rFonts w:ascii="Times New Roman" w:eastAsiaTheme="minorHAnsi" w:hAnsi="Times New Roman"/>
          <w:color w:val="000000" w:themeColor="text1"/>
          <w:sz w:val="24"/>
          <w:szCs w:val="24"/>
          <w:lang w:bidi="ar-SA"/>
        </w:rPr>
        <w:t xml:space="preserve"> discuss</w:t>
      </w:r>
      <w:r w:rsidR="00F24C58" w:rsidRPr="00440C15">
        <w:rPr>
          <w:rFonts w:ascii="Times New Roman" w:eastAsiaTheme="minorHAnsi" w:hAnsi="Times New Roman"/>
          <w:color w:val="000000" w:themeColor="text1"/>
          <w:sz w:val="24"/>
          <w:szCs w:val="24"/>
          <w:lang w:bidi="ar-SA"/>
        </w:rPr>
        <w:t>ed</w:t>
      </w:r>
      <w:r w:rsidR="000D4F01" w:rsidRPr="00440C15">
        <w:rPr>
          <w:rFonts w:ascii="Times New Roman" w:eastAsiaTheme="minorHAnsi" w:hAnsi="Times New Roman"/>
          <w:color w:val="000000" w:themeColor="text1"/>
          <w:sz w:val="24"/>
          <w:szCs w:val="24"/>
          <w:lang w:bidi="ar-SA"/>
        </w:rPr>
        <w:t xml:space="preserve">, along with policy implications for the future. </w:t>
      </w:r>
    </w:p>
    <w:bookmarkEnd w:id="0"/>
    <w:bookmarkEnd w:id="1"/>
    <w:bookmarkEnd w:id="3"/>
    <w:bookmarkEnd w:id="4"/>
    <w:p w:rsidR="00453408" w:rsidRPr="00440C15" w:rsidRDefault="001D09B4" w:rsidP="00453408">
      <w:pPr>
        <w:spacing w:after="0"/>
        <w:rPr>
          <w:rFonts w:ascii="Times New Roman" w:hAnsi="Times New Roman"/>
          <w:b/>
          <w:color w:val="000000" w:themeColor="text1"/>
          <w:sz w:val="28"/>
          <w:szCs w:val="28"/>
        </w:rPr>
      </w:pPr>
      <w:r w:rsidRPr="00440C15">
        <w:rPr>
          <w:rFonts w:ascii="Times New Roman" w:hAnsi="Times New Roman"/>
          <w:b/>
          <w:color w:val="000000" w:themeColor="text1"/>
          <w:sz w:val="28"/>
          <w:szCs w:val="28"/>
        </w:rPr>
        <w:t>Methodology</w:t>
      </w:r>
    </w:p>
    <w:p w:rsidR="00581B80" w:rsidRPr="00447055" w:rsidRDefault="00447055" w:rsidP="00581B80">
      <w:pPr>
        <w:spacing w:after="0"/>
        <w:rPr>
          <w:rFonts w:ascii="Times New Roman" w:hAnsi="Times New Roman"/>
          <w:b/>
          <w:color w:val="000000" w:themeColor="text1"/>
          <w:sz w:val="24"/>
          <w:szCs w:val="24"/>
        </w:rPr>
      </w:pPr>
      <w:r w:rsidRPr="00447055">
        <w:rPr>
          <w:rFonts w:ascii="Times New Roman" w:hAnsi="Times New Roman"/>
          <w:b/>
          <w:color w:val="000000" w:themeColor="text1"/>
          <w:sz w:val="24"/>
          <w:szCs w:val="24"/>
        </w:rPr>
        <w:t>Data Collection</w:t>
      </w:r>
    </w:p>
    <w:p w:rsidR="00581B80" w:rsidRPr="00E86EA1" w:rsidRDefault="00BD2CF2" w:rsidP="001B46F2">
      <w:pPr>
        <w:spacing w:after="0"/>
        <w:ind w:firstLine="720"/>
        <w:rPr>
          <w:rFonts w:ascii="Times New Roman" w:hAnsi="Times New Roman"/>
          <w:iCs/>
          <w:color w:val="000000" w:themeColor="text1"/>
          <w:sz w:val="24"/>
          <w:szCs w:val="24"/>
        </w:rPr>
      </w:pPr>
      <w:r w:rsidRPr="00E86EA1">
        <w:rPr>
          <w:rFonts w:ascii="Times New Roman" w:hAnsi="Times New Roman"/>
          <w:color w:val="000000" w:themeColor="text1"/>
          <w:sz w:val="24"/>
          <w:szCs w:val="24"/>
        </w:rPr>
        <w:t>Data for this study came from the Investment Dealers Association's (</w:t>
      </w:r>
      <w:r w:rsidR="001B46F2" w:rsidRPr="00E86EA1">
        <w:rPr>
          <w:rFonts w:ascii="Times New Roman" w:hAnsi="Times New Roman"/>
          <w:color w:val="000000" w:themeColor="text1"/>
          <w:sz w:val="24"/>
          <w:szCs w:val="24"/>
        </w:rPr>
        <w:t>IDA)</w:t>
      </w:r>
      <w:r w:rsidR="001B46F2" w:rsidRPr="00E86EA1">
        <w:rPr>
          <w:rStyle w:val="FootnoteReference"/>
          <w:rFonts w:ascii="Times New Roman" w:hAnsi="Times New Roman"/>
          <w:color w:val="000000" w:themeColor="text1"/>
          <w:sz w:val="24"/>
          <w:szCs w:val="24"/>
        </w:rPr>
        <w:footnoteReference w:id="1"/>
      </w:r>
      <w:r w:rsidR="001B46F2" w:rsidRPr="00E86EA1">
        <w:rPr>
          <w:rFonts w:ascii="Times New Roman" w:hAnsi="Times New Roman"/>
          <w:color w:val="000000" w:themeColor="text1"/>
          <w:sz w:val="24"/>
          <w:szCs w:val="24"/>
        </w:rPr>
        <w:t xml:space="preserve"> </w:t>
      </w:r>
      <w:r w:rsidRPr="00E86EA1">
        <w:rPr>
          <w:rStyle w:val="Emphasis"/>
          <w:rFonts w:ascii="Times New Roman" w:hAnsi="Times New Roman"/>
          <w:i w:val="0"/>
          <w:color w:val="000000" w:themeColor="text1"/>
          <w:sz w:val="24"/>
          <w:szCs w:val="24"/>
        </w:rPr>
        <w:t xml:space="preserve">tribunal cases that </w:t>
      </w:r>
      <w:r w:rsidR="001B46F2" w:rsidRPr="00E86EA1">
        <w:rPr>
          <w:rStyle w:val="Emphasis"/>
          <w:rFonts w:ascii="Times New Roman" w:hAnsi="Times New Roman"/>
          <w:i w:val="0"/>
          <w:color w:val="000000" w:themeColor="text1"/>
          <w:sz w:val="24"/>
          <w:szCs w:val="24"/>
        </w:rPr>
        <w:t xml:space="preserve">were </w:t>
      </w:r>
      <w:r w:rsidR="00CA58FF" w:rsidRPr="00E86EA1">
        <w:rPr>
          <w:rStyle w:val="Emphasis"/>
          <w:rFonts w:ascii="Times New Roman" w:hAnsi="Times New Roman"/>
          <w:i w:val="0"/>
          <w:color w:val="000000" w:themeColor="text1"/>
          <w:sz w:val="24"/>
          <w:szCs w:val="24"/>
        </w:rPr>
        <w:t>decided between</w:t>
      </w:r>
      <w:r w:rsidR="001B46F2" w:rsidRPr="00E86EA1">
        <w:rPr>
          <w:rStyle w:val="Emphasis"/>
          <w:rFonts w:ascii="Times New Roman" w:hAnsi="Times New Roman"/>
          <w:i w:val="0"/>
          <w:color w:val="000000" w:themeColor="text1"/>
          <w:sz w:val="24"/>
          <w:szCs w:val="24"/>
        </w:rPr>
        <w:t xml:space="preserve"> 1984 and June of 2008</w:t>
      </w:r>
      <w:r w:rsidR="00244C57" w:rsidRPr="00E86EA1">
        <w:rPr>
          <w:rStyle w:val="Emphasis"/>
          <w:rFonts w:ascii="Times New Roman" w:hAnsi="Times New Roman"/>
          <w:i w:val="0"/>
          <w:color w:val="000000" w:themeColor="text1"/>
          <w:sz w:val="24"/>
          <w:szCs w:val="24"/>
        </w:rPr>
        <w:t xml:space="preserve"> (</w:t>
      </w:r>
      <w:r w:rsidR="00F24C58" w:rsidRPr="00E86EA1">
        <w:rPr>
          <w:rStyle w:val="Emphasis"/>
          <w:rFonts w:ascii="Times New Roman" w:hAnsi="Times New Roman"/>
          <w:i w:val="0"/>
          <w:color w:val="000000" w:themeColor="text1"/>
          <w:sz w:val="24"/>
          <w:szCs w:val="24"/>
        </w:rPr>
        <w:t>"</w:t>
      </w:r>
      <w:r w:rsidR="00244C57" w:rsidRPr="00E86EA1">
        <w:rPr>
          <w:rStyle w:val="Emphasis"/>
          <w:rFonts w:ascii="Times New Roman" w:hAnsi="Times New Roman"/>
          <w:i w:val="0"/>
          <w:color w:val="000000" w:themeColor="text1"/>
          <w:sz w:val="24"/>
          <w:szCs w:val="24"/>
        </w:rPr>
        <w:t>IDA Study</w:t>
      </w:r>
      <w:r w:rsidR="00F24C58" w:rsidRPr="00E86EA1">
        <w:rPr>
          <w:rStyle w:val="Emphasis"/>
          <w:rFonts w:ascii="Times New Roman" w:hAnsi="Times New Roman"/>
          <w:i w:val="0"/>
          <w:color w:val="000000" w:themeColor="text1"/>
          <w:sz w:val="24"/>
          <w:szCs w:val="24"/>
        </w:rPr>
        <w:t>"</w:t>
      </w:r>
      <w:r w:rsidR="00244C57" w:rsidRPr="00E86EA1">
        <w:rPr>
          <w:rStyle w:val="Emphasis"/>
          <w:rFonts w:ascii="Times New Roman" w:hAnsi="Times New Roman"/>
          <w:i w:val="0"/>
          <w:color w:val="000000" w:themeColor="text1"/>
          <w:sz w:val="24"/>
          <w:szCs w:val="24"/>
        </w:rPr>
        <w:t>)</w:t>
      </w:r>
      <w:r w:rsidR="001B46F2" w:rsidRPr="00E86EA1">
        <w:rPr>
          <w:rStyle w:val="Emphasis"/>
          <w:rFonts w:ascii="Times New Roman" w:hAnsi="Times New Roman"/>
          <w:i w:val="0"/>
          <w:color w:val="000000" w:themeColor="text1"/>
          <w:sz w:val="24"/>
          <w:szCs w:val="24"/>
        </w:rPr>
        <w:t xml:space="preserve">. </w:t>
      </w:r>
      <w:r w:rsidR="00581B80" w:rsidRPr="00E86EA1">
        <w:rPr>
          <w:rFonts w:ascii="Times New Roman" w:hAnsi="Times New Roman"/>
          <w:iCs/>
          <w:color w:val="000000" w:themeColor="text1"/>
          <w:sz w:val="24"/>
          <w:szCs w:val="24"/>
        </w:rPr>
        <w:t xml:space="preserve">Cases decided by the IDA across Canada were identified by typing in the search term; “Investment Dealers Association” into the Securities Regulation Tribunal Decisions database in Quicklaw.  The search term “Investment Dealers Association” was sorted by its relevance and retrieved 1,934 cases. I then carefully perused each case to identify the ones that were heard by an IDA hearing panel. Out of the 1,934 cases retrieved from the database, I found 708 that were heard by an IDA hearing panel between 1984 to June of 2008. Once these cases were identified, I then sorted them by the year they were decided (oldest first) and individually downloaded and converted each case to a </w:t>
      </w:r>
      <w:r w:rsidR="00581B80" w:rsidRPr="00E86EA1">
        <w:rPr>
          <w:rFonts w:ascii="Times New Roman" w:hAnsi="Times New Roman"/>
          <w:iCs/>
          <w:color w:val="000000" w:themeColor="text1"/>
          <w:sz w:val="24"/>
          <w:szCs w:val="24"/>
        </w:rPr>
        <w:lastRenderedPageBreak/>
        <w:t xml:space="preserve">Microsoft Word file. Each case was then given a number with the first case starting from 1984 being </w:t>
      </w:r>
      <w:r w:rsidR="00517D62" w:rsidRPr="00E86EA1">
        <w:rPr>
          <w:rFonts w:ascii="Times New Roman" w:hAnsi="Times New Roman"/>
          <w:iCs/>
          <w:color w:val="000000" w:themeColor="text1"/>
          <w:sz w:val="24"/>
          <w:szCs w:val="24"/>
        </w:rPr>
        <w:t>labeled</w:t>
      </w:r>
      <w:r w:rsidR="00581B80" w:rsidRPr="00E86EA1">
        <w:rPr>
          <w:rFonts w:ascii="Times New Roman" w:hAnsi="Times New Roman"/>
          <w:iCs/>
          <w:color w:val="000000" w:themeColor="text1"/>
          <w:sz w:val="24"/>
          <w:szCs w:val="24"/>
        </w:rPr>
        <w:t xml:space="preserve"> “1”, and the last case ending in June of 2008 being </w:t>
      </w:r>
      <w:r w:rsidR="00517D62" w:rsidRPr="00E86EA1">
        <w:rPr>
          <w:rFonts w:ascii="Times New Roman" w:hAnsi="Times New Roman"/>
          <w:iCs/>
          <w:color w:val="000000" w:themeColor="text1"/>
          <w:sz w:val="24"/>
          <w:szCs w:val="24"/>
        </w:rPr>
        <w:t>labeled</w:t>
      </w:r>
      <w:r w:rsidR="00581B80" w:rsidRPr="00E86EA1">
        <w:rPr>
          <w:rFonts w:ascii="Times New Roman" w:hAnsi="Times New Roman"/>
          <w:iCs/>
          <w:color w:val="000000" w:themeColor="text1"/>
          <w:sz w:val="24"/>
          <w:szCs w:val="24"/>
        </w:rPr>
        <w:t xml:space="preserve"> “708”.  The other 1,226 cases were cases from regulatory agencies, namely - the Market Regulation Services, the Toronto Stock Exchange, and the ASC, the </w:t>
      </w:r>
      <w:proofErr w:type="spellStart"/>
      <w:r w:rsidR="00581B80" w:rsidRPr="00E86EA1">
        <w:rPr>
          <w:rFonts w:ascii="Times New Roman" w:hAnsi="Times New Roman"/>
          <w:iCs/>
          <w:color w:val="000000" w:themeColor="text1"/>
          <w:sz w:val="24"/>
          <w:szCs w:val="24"/>
        </w:rPr>
        <w:t>BCSCn</w:t>
      </w:r>
      <w:proofErr w:type="spellEnd"/>
      <w:r w:rsidR="00581B80" w:rsidRPr="00E86EA1">
        <w:rPr>
          <w:rFonts w:ascii="Times New Roman" w:hAnsi="Times New Roman"/>
          <w:iCs/>
          <w:color w:val="000000" w:themeColor="text1"/>
          <w:sz w:val="24"/>
          <w:szCs w:val="24"/>
        </w:rPr>
        <w:t xml:space="preserve">, and the OSC, in which the respective hearing panel made references to the IDA or a case </w:t>
      </w:r>
      <w:proofErr w:type="gramStart"/>
      <w:r w:rsidR="00581B80" w:rsidRPr="00E86EA1">
        <w:rPr>
          <w:rFonts w:ascii="Times New Roman" w:hAnsi="Times New Roman"/>
          <w:iCs/>
          <w:color w:val="000000" w:themeColor="text1"/>
          <w:sz w:val="24"/>
          <w:szCs w:val="24"/>
        </w:rPr>
        <w:t>that</w:t>
      </w:r>
      <w:proofErr w:type="gramEnd"/>
      <w:r w:rsidR="00581B80" w:rsidRPr="00E86EA1">
        <w:rPr>
          <w:rFonts w:ascii="Times New Roman" w:hAnsi="Times New Roman"/>
          <w:iCs/>
          <w:color w:val="000000" w:themeColor="text1"/>
          <w:sz w:val="24"/>
          <w:szCs w:val="24"/>
        </w:rPr>
        <w:t xml:space="preserve"> was decided by the IDA in their decisions.</w:t>
      </w:r>
    </w:p>
    <w:p w:rsidR="00CA58FF" w:rsidRPr="00CA58FF" w:rsidRDefault="00CA58FF" w:rsidP="00CA58FF">
      <w:pPr>
        <w:spacing w:after="0"/>
        <w:rPr>
          <w:rFonts w:ascii="Times New Roman" w:hAnsi="Times New Roman"/>
          <w:b/>
          <w:color w:val="000000" w:themeColor="text1"/>
          <w:sz w:val="24"/>
          <w:szCs w:val="24"/>
        </w:rPr>
      </w:pPr>
      <w:r w:rsidRPr="00CA58FF">
        <w:rPr>
          <w:rFonts w:ascii="Times New Roman" w:hAnsi="Times New Roman"/>
          <w:b/>
          <w:color w:val="000000" w:themeColor="text1"/>
          <w:sz w:val="24"/>
          <w:szCs w:val="24"/>
        </w:rPr>
        <w:t>Data on the Victim</w:t>
      </w:r>
    </w:p>
    <w:p w:rsidR="00581B80" w:rsidRDefault="00581B80" w:rsidP="00581B80">
      <w:pPr>
        <w:spacing w:after="0"/>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708 cases contain demographic information on 1,167 investors. </w:t>
      </w:r>
      <w:r w:rsidR="001B46F2" w:rsidRPr="00440C15">
        <w:rPr>
          <w:rFonts w:ascii="Times New Roman" w:hAnsi="Times New Roman"/>
          <w:color w:val="000000" w:themeColor="text1"/>
          <w:sz w:val="24"/>
          <w:szCs w:val="24"/>
        </w:rPr>
        <w:t xml:space="preserve"> Where available</w:t>
      </w:r>
      <w:r w:rsidR="003A03B2" w:rsidRPr="00440C15">
        <w:rPr>
          <w:rFonts w:ascii="Times New Roman" w:hAnsi="Times New Roman"/>
          <w:color w:val="000000" w:themeColor="text1"/>
          <w:sz w:val="24"/>
          <w:szCs w:val="24"/>
        </w:rPr>
        <w:t>, data</w:t>
      </w:r>
      <w:r w:rsidR="001B46F2" w:rsidRPr="00440C15">
        <w:rPr>
          <w:rFonts w:ascii="Times New Roman" w:hAnsi="Times New Roman"/>
          <w:color w:val="000000" w:themeColor="text1"/>
          <w:sz w:val="24"/>
          <w:szCs w:val="24"/>
        </w:rPr>
        <w:t xml:space="preserve"> on the victim’s gender, age, occupation, relationship to the offender, and investment knowledge were collected in order to obtain a demographic portrait of </w:t>
      </w:r>
      <w:r w:rsidR="003A03B2">
        <w:rPr>
          <w:rFonts w:ascii="Times New Roman" w:hAnsi="Times New Roman"/>
          <w:color w:val="000000" w:themeColor="text1"/>
          <w:sz w:val="24"/>
          <w:szCs w:val="24"/>
        </w:rPr>
        <w:t xml:space="preserve">the </w:t>
      </w:r>
      <w:r w:rsidR="001B46F2" w:rsidRPr="00440C15">
        <w:rPr>
          <w:rFonts w:ascii="Times New Roman" w:hAnsi="Times New Roman"/>
          <w:color w:val="000000" w:themeColor="text1"/>
          <w:sz w:val="24"/>
          <w:szCs w:val="24"/>
        </w:rPr>
        <w:t>victims of securities violations. To understand the financial profile of the investors, data on their annual income, liquid net worth, and the amount of losses incurred, were collected. The victim’s investment objective(s), source</w:t>
      </w:r>
      <w:r w:rsidR="008C3C72" w:rsidRPr="00440C15">
        <w:rPr>
          <w:rFonts w:ascii="Times New Roman" w:hAnsi="Times New Roman"/>
          <w:color w:val="000000" w:themeColor="text1"/>
          <w:sz w:val="24"/>
          <w:szCs w:val="24"/>
        </w:rPr>
        <w:t>(</w:t>
      </w:r>
      <w:r w:rsidR="001B46F2" w:rsidRPr="00440C15">
        <w:rPr>
          <w:rFonts w:ascii="Times New Roman" w:hAnsi="Times New Roman"/>
          <w:color w:val="000000" w:themeColor="text1"/>
          <w:sz w:val="24"/>
          <w:szCs w:val="24"/>
        </w:rPr>
        <w:t>s</w:t>
      </w:r>
      <w:r w:rsidR="008C3C72" w:rsidRPr="00440C15">
        <w:rPr>
          <w:rFonts w:ascii="Times New Roman" w:hAnsi="Times New Roman"/>
          <w:color w:val="000000" w:themeColor="text1"/>
          <w:sz w:val="24"/>
          <w:szCs w:val="24"/>
        </w:rPr>
        <w:t>)</w:t>
      </w:r>
      <w:r w:rsidR="001B46F2" w:rsidRPr="00440C15">
        <w:rPr>
          <w:rFonts w:ascii="Times New Roman" w:hAnsi="Times New Roman"/>
          <w:color w:val="000000" w:themeColor="text1"/>
          <w:sz w:val="24"/>
          <w:szCs w:val="24"/>
        </w:rPr>
        <w:t xml:space="preserve"> and purpose(s) of investment and the type of account(s) that they opened with the Member firm (margin, cash, Registered Retirement Savings Plan (RRSP) etc.) were also recorded.</w:t>
      </w:r>
    </w:p>
    <w:p w:rsidR="00581B80" w:rsidRPr="00581B80" w:rsidRDefault="00581B80" w:rsidP="00581B80">
      <w:pPr>
        <w:spacing w:after="0"/>
        <w:rPr>
          <w:rFonts w:ascii="Times New Roman" w:hAnsi="Times New Roman"/>
          <w:b/>
          <w:color w:val="000000" w:themeColor="text1"/>
          <w:sz w:val="24"/>
          <w:szCs w:val="24"/>
        </w:rPr>
      </w:pPr>
      <w:r w:rsidRPr="00581B80">
        <w:rPr>
          <w:rFonts w:ascii="Times New Roman" w:hAnsi="Times New Roman"/>
          <w:b/>
          <w:color w:val="000000" w:themeColor="text1"/>
          <w:sz w:val="24"/>
          <w:szCs w:val="24"/>
        </w:rPr>
        <w:t>Data Limitations</w:t>
      </w:r>
    </w:p>
    <w:p w:rsidR="00BE28BE" w:rsidRDefault="00581B80" w:rsidP="00581B80">
      <w:pPr>
        <w:spacing w:after="0"/>
        <w:ind w:firstLine="720"/>
        <w:rPr>
          <w:rFonts w:ascii="Times New Roman" w:hAnsi="Times New Roman"/>
          <w:color w:val="000000" w:themeColor="text1"/>
          <w:sz w:val="24"/>
          <w:szCs w:val="24"/>
        </w:rPr>
      </w:pPr>
      <w:r>
        <w:rPr>
          <w:rFonts w:ascii="Times New Roman" w:hAnsi="Times New Roman"/>
          <w:color w:val="000000" w:themeColor="text1"/>
          <w:sz w:val="24"/>
          <w:szCs w:val="24"/>
        </w:rPr>
        <w:t>One</w:t>
      </w:r>
      <w:r w:rsidRPr="00581B80">
        <w:rPr>
          <w:rFonts w:ascii="Times New Roman" w:hAnsi="Times New Roman"/>
          <w:color w:val="000000" w:themeColor="text1"/>
          <w:sz w:val="24"/>
          <w:szCs w:val="24"/>
        </w:rPr>
        <w:t xml:space="preserve"> concern relates to missing data for variables describing the demographic profile of the victims. As will soon be made transparent, for some of the variables (investors’ annual income, household net worth, and relationship to the offender), I was only able to obtain data that represents between 15% and 17% of the identified victims. For all of the other victims’ related variables, I was able to obtain data that ranged between 20% and 40%. With the exception of the three variables mentioned above, the data available for the other variables on victims were no different from the response rate of mail-out surveys that is typically around the </w:t>
      </w:r>
      <w:r w:rsidRPr="00D03D50">
        <w:rPr>
          <w:rFonts w:ascii="Times New Roman" w:hAnsi="Times New Roman"/>
          <w:color w:val="000000" w:themeColor="text1"/>
          <w:sz w:val="24"/>
          <w:szCs w:val="24"/>
        </w:rPr>
        <w:lastRenderedPageBreak/>
        <w:t>20% to 30% range (see Henderson, 1990; Denison and Mishra, 1995).  However, some may be hastened to argue that with only 15% to 17% of the data available for investors’ annual income, household net worth, and relationship to the offender, it will limit the generalizability of the results. As such, the key question to ask is whether an increase in the data for these three variables would have made any significant impact on the results?  As you will soon see, no information power was lost, because the results from the data available provided sufficient information for a representative analysis on these variables.   It is highly unlikely that there would have been any significant changes in the results with additional data on the three aforementioned variables.</w:t>
      </w:r>
    </w:p>
    <w:p w:rsidR="00581B80" w:rsidRPr="00581B80" w:rsidRDefault="00581B80" w:rsidP="00581B80">
      <w:pPr>
        <w:spacing w:after="0"/>
        <w:rPr>
          <w:rFonts w:ascii="Times New Roman" w:hAnsi="Times New Roman"/>
          <w:b/>
          <w:color w:val="000000" w:themeColor="text1"/>
          <w:sz w:val="24"/>
          <w:szCs w:val="24"/>
        </w:rPr>
      </w:pPr>
      <w:r w:rsidRPr="00581B80">
        <w:rPr>
          <w:rFonts w:ascii="Times New Roman" w:hAnsi="Times New Roman"/>
          <w:b/>
          <w:color w:val="000000" w:themeColor="text1"/>
          <w:sz w:val="24"/>
          <w:szCs w:val="24"/>
        </w:rPr>
        <w:t>Data comparisons</w:t>
      </w:r>
    </w:p>
    <w:p w:rsidR="00BD2CF2" w:rsidRPr="00440C15" w:rsidRDefault="001B46F2" w:rsidP="00BD2CF2">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ab/>
      </w:r>
      <w:r w:rsidR="00E86EA1">
        <w:rPr>
          <w:rFonts w:ascii="Times New Roman" w:hAnsi="Times New Roman"/>
          <w:color w:val="000000" w:themeColor="text1"/>
          <w:sz w:val="24"/>
          <w:szCs w:val="24"/>
        </w:rPr>
        <w:t xml:space="preserve">Where available, the victims’ data </w:t>
      </w:r>
      <w:r w:rsidRPr="00440C15">
        <w:rPr>
          <w:rFonts w:ascii="Times New Roman" w:hAnsi="Times New Roman"/>
          <w:color w:val="000000" w:themeColor="text1"/>
          <w:sz w:val="24"/>
          <w:szCs w:val="24"/>
        </w:rPr>
        <w:t>from the IDA's cases were</w:t>
      </w:r>
      <w:r w:rsidR="00BD2CF2" w:rsidRPr="00440C15">
        <w:rPr>
          <w:rFonts w:ascii="Times New Roman" w:hAnsi="Times New Roman"/>
          <w:color w:val="000000" w:themeColor="text1"/>
          <w:sz w:val="24"/>
          <w:szCs w:val="24"/>
        </w:rPr>
        <w:t xml:space="preserve"> compare</w:t>
      </w:r>
      <w:r w:rsidRPr="00440C15">
        <w:rPr>
          <w:rFonts w:ascii="Times New Roman" w:hAnsi="Times New Roman"/>
          <w:color w:val="000000" w:themeColor="text1"/>
          <w:sz w:val="24"/>
          <w:szCs w:val="24"/>
        </w:rPr>
        <w:t>d with</w:t>
      </w:r>
      <w:r w:rsidR="00BD2CF2" w:rsidRPr="00440C15">
        <w:rPr>
          <w:rFonts w:ascii="Times New Roman" w:hAnsi="Times New Roman"/>
          <w:color w:val="000000" w:themeColor="text1"/>
          <w:sz w:val="24"/>
          <w:szCs w:val="24"/>
        </w:rPr>
        <w:t xml:space="preserve"> the results of the 1999 Angus Reid Survey on the typical Canadian investor, and Boyd’s (2005) study on the </w:t>
      </w:r>
      <w:proofErr w:type="spellStart"/>
      <w:r w:rsidR="00BD2CF2" w:rsidRPr="00440C15">
        <w:rPr>
          <w:rFonts w:ascii="Times New Roman" w:hAnsi="Times New Roman"/>
          <w:color w:val="000000" w:themeColor="text1"/>
          <w:sz w:val="24"/>
          <w:szCs w:val="24"/>
        </w:rPr>
        <w:t>Eron</w:t>
      </w:r>
      <w:proofErr w:type="spellEnd"/>
      <w:r w:rsidR="00BD2CF2" w:rsidRPr="00440C15">
        <w:rPr>
          <w:rFonts w:ascii="Times New Roman" w:hAnsi="Times New Roman"/>
          <w:color w:val="000000" w:themeColor="text1"/>
          <w:sz w:val="24"/>
          <w:szCs w:val="24"/>
        </w:rPr>
        <w:t xml:space="preserve"> mortgage fraud.</w:t>
      </w:r>
      <w:r w:rsidR="00BD2CF2" w:rsidRPr="00440C15">
        <w:rPr>
          <w:rStyle w:val="FootnoteReference"/>
          <w:rFonts w:ascii="Times New Roman" w:hAnsi="Times New Roman"/>
          <w:color w:val="000000" w:themeColor="text1"/>
          <w:sz w:val="24"/>
          <w:szCs w:val="24"/>
        </w:rPr>
        <w:footnoteReference w:id="2"/>
      </w:r>
      <w:r w:rsidR="00BD2CF2" w:rsidRPr="00440C15">
        <w:rPr>
          <w:rFonts w:ascii="Times New Roman" w:hAnsi="Times New Roman"/>
          <w:color w:val="000000" w:themeColor="text1"/>
          <w:sz w:val="24"/>
          <w:szCs w:val="24"/>
        </w:rPr>
        <w:t xml:space="preserve"> The 1999 Angus Reid survey was based on 1,500 Canadian investors (See Boyd, 2005: 12, footnote number six). Boyd’s (2005: 11) study was based on a “random sample of 559 respondents taken from a population of 2,800 investors </w:t>
      </w:r>
      <w:r w:rsidR="00BD2CF2" w:rsidRPr="00440C15">
        <w:rPr>
          <w:rFonts w:ascii="Times New Roman" w:hAnsi="Times New Roman"/>
          <w:color w:val="000000" w:themeColor="text1"/>
          <w:sz w:val="24"/>
          <w:szCs w:val="24"/>
          <w:lang w:val="en-CA" w:eastAsia="en-CA" w:bidi="ar-SA"/>
        </w:rPr>
        <w:t xml:space="preserve">in the </w:t>
      </w:r>
      <w:proofErr w:type="spellStart"/>
      <w:r w:rsidR="00BD2CF2" w:rsidRPr="00440C15">
        <w:rPr>
          <w:rFonts w:ascii="Times New Roman" w:hAnsi="Times New Roman"/>
          <w:color w:val="000000" w:themeColor="text1"/>
          <w:sz w:val="24"/>
          <w:szCs w:val="24"/>
          <w:lang w:val="en-CA" w:eastAsia="en-CA" w:bidi="ar-SA"/>
        </w:rPr>
        <w:t>Eron</w:t>
      </w:r>
      <w:proofErr w:type="spellEnd"/>
      <w:r w:rsidR="00BD2CF2" w:rsidRPr="00440C15">
        <w:rPr>
          <w:rFonts w:ascii="Times New Roman" w:hAnsi="Times New Roman"/>
          <w:color w:val="000000" w:themeColor="text1"/>
          <w:sz w:val="24"/>
          <w:szCs w:val="24"/>
          <w:lang w:val="en-CA" w:eastAsia="en-CA" w:bidi="ar-SA"/>
        </w:rPr>
        <w:t xml:space="preserve"> Mortgage fraud.</w:t>
      </w:r>
      <w:r w:rsidR="00BD2CF2" w:rsidRPr="00440C15">
        <w:rPr>
          <w:rFonts w:ascii="Times New Roman" w:hAnsi="Times New Roman"/>
          <w:color w:val="000000" w:themeColor="text1"/>
          <w:sz w:val="24"/>
          <w:szCs w:val="24"/>
        </w:rPr>
        <w:t>”</w:t>
      </w:r>
    </w:p>
    <w:p w:rsidR="00581B80" w:rsidRDefault="00581B80" w:rsidP="00BD2CF2">
      <w:pPr>
        <w:spacing w:after="0"/>
        <w:rPr>
          <w:rFonts w:ascii="Times New Roman" w:hAnsi="Times New Roman"/>
          <w:b/>
          <w:color w:val="000000" w:themeColor="text1"/>
          <w:sz w:val="28"/>
          <w:szCs w:val="28"/>
        </w:rPr>
      </w:pPr>
    </w:p>
    <w:p w:rsidR="00581B80" w:rsidRDefault="00581B80" w:rsidP="00BD2CF2">
      <w:pPr>
        <w:spacing w:after="0"/>
        <w:rPr>
          <w:rFonts w:ascii="Times New Roman" w:hAnsi="Times New Roman"/>
          <w:b/>
          <w:color w:val="000000" w:themeColor="text1"/>
          <w:sz w:val="28"/>
          <w:szCs w:val="28"/>
        </w:rPr>
      </w:pPr>
    </w:p>
    <w:p w:rsidR="00581B80" w:rsidRDefault="00581B80" w:rsidP="00BD2CF2">
      <w:pPr>
        <w:spacing w:after="0"/>
        <w:rPr>
          <w:rFonts w:ascii="Times New Roman" w:hAnsi="Times New Roman"/>
          <w:b/>
          <w:color w:val="000000" w:themeColor="text1"/>
          <w:sz w:val="28"/>
          <w:szCs w:val="28"/>
        </w:rPr>
      </w:pPr>
    </w:p>
    <w:p w:rsidR="00581B80" w:rsidRDefault="00581B80" w:rsidP="00BD2CF2">
      <w:pPr>
        <w:spacing w:after="0"/>
        <w:rPr>
          <w:rFonts w:ascii="Times New Roman" w:hAnsi="Times New Roman"/>
          <w:b/>
          <w:color w:val="000000" w:themeColor="text1"/>
          <w:sz w:val="28"/>
          <w:szCs w:val="28"/>
        </w:rPr>
      </w:pPr>
    </w:p>
    <w:p w:rsidR="00581B80" w:rsidRDefault="00581B80" w:rsidP="00BD2CF2">
      <w:pPr>
        <w:spacing w:after="0"/>
        <w:rPr>
          <w:rFonts w:ascii="Times New Roman" w:hAnsi="Times New Roman"/>
          <w:b/>
          <w:color w:val="000000" w:themeColor="text1"/>
          <w:sz w:val="28"/>
          <w:szCs w:val="28"/>
        </w:rPr>
      </w:pPr>
    </w:p>
    <w:p w:rsidR="00581B80" w:rsidRDefault="00581B80" w:rsidP="00BD2CF2">
      <w:pPr>
        <w:spacing w:after="0"/>
        <w:rPr>
          <w:rFonts w:ascii="Times New Roman" w:hAnsi="Times New Roman"/>
          <w:b/>
          <w:color w:val="000000" w:themeColor="text1"/>
          <w:sz w:val="28"/>
          <w:szCs w:val="28"/>
        </w:rPr>
      </w:pPr>
    </w:p>
    <w:p w:rsidR="00581B80" w:rsidRDefault="00581B80" w:rsidP="00BD2CF2">
      <w:pPr>
        <w:spacing w:after="0"/>
        <w:rPr>
          <w:rFonts w:ascii="Times New Roman" w:hAnsi="Times New Roman"/>
          <w:b/>
          <w:color w:val="000000" w:themeColor="text1"/>
          <w:sz w:val="28"/>
          <w:szCs w:val="28"/>
        </w:rPr>
      </w:pPr>
    </w:p>
    <w:p w:rsidR="00E86EA1" w:rsidRDefault="00E86EA1" w:rsidP="00BD2CF2">
      <w:pPr>
        <w:spacing w:after="0"/>
        <w:rPr>
          <w:rFonts w:ascii="Times New Roman" w:hAnsi="Times New Roman"/>
          <w:b/>
          <w:color w:val="000000" w:themeColor="text1"/>
          <w:sz w:val="28"/>
          <w:szCs w:val="28"/>
        </w:rPr>
      </w:pPr>
    </w:p>
    <w:p w:rsidR="001D09B4" w:rsidRDefault="001D09B4" w:rsidP="00DD39FA">
      <w:pPr>
        <w:tabs>
          <w:tab w:val="left" w:pos="1426"/>
        </w:tabs>
        <w:spacing w:after="0"/>
        <w:rPr>
          <w:rFonts w:ascii="Times New Roman" w:hAnsi="Times New Roman"/>
          <w:b/>
          <w:color w:val="000000" w:themeColor="text1"/>
          <w:sz w:val="28"/>
          <w:szCs w:val="28"/>
        </w:rPr>
      </w:pPr>
      <w:r w:rsidRPr="00440C15">
        <w:rPr>
          <w:rFonts w:ascii="Times New Roman" w:hAnsi="Times New Roman"/>
          <w:b/>
          <w:color w:val="000000" w:themeColor="text1"/>
          <w:sz w:val="28"/>
          <w:szCs w:val="28"/>
        </w:rPr>
        <w:t>Findings</w:t>
      </w:r>
      <w:r w:rsidR="00DD39FA">
        <w:rPr>
          <w:rFonts w:ascii="Times New Roman" w:hAnsi="Times New Roman"/>
          <w:b/>
          <w:color w:val="000000" w:themeColor="text1"/>
          <w:sz w:val="28"/>
          <w:szCs w:val="28"/>
        </w:rPr>
        <w:tab/>
      </w:r>
    </w:p>
    <w:p w:rsidR="00DD39FA" w:rsidRPr="00DD39FA" w:rsidRDefault="00DD39FA" w:rsidP="00BD2CF2">
      <w:pPr>
        <w:spacing w:after="0"/>
        <w:rPr>
          <w:rFonts w:ascii="Times New Roman" w:hAnsi="Times New Roman"/>
          <w:b/>
          <w:color w:val="000000" w:themeColor="text1"/>
          <w:sz w:val="24"/>
          <w:szCs w:val="24"/>
        </w:rPr>
      </w:pPr>
      <w:r w:rsidRPr="00DD39FA">
        <w:rPr>
          <w:rFonts w:ascii="Times New Roman" w:hAnsi="Times New Roman"/>
          <w:b/>
          <w:color w:val="000000" w:themeColor="text1"/>
          <w:sz w:val="24"/>
          <w:szCs w:val="24"/>
        </w:rPr>
        <w:t>Descriptive Results</w:t>
      </w:r>
    </w:p>
    <w:p w:rsidR="00457EE3" w:rsidRPr="00440C15" w:rsidRDefault="00457EE3" w:rsidP="00457EE3">
      <w:pPr>
        <w:pStyle w:val="Heading3"/>
        <w:rPr>
          <w:rFonts w:ascii="Times New Roman" w:hAnsi="Times New Roman"/>
          <w:color w:val="000000" w:themeColor="text1"/>
          <w:sz w:val="24"/>
        </w:rPr>
      </w:pPr>
      <w:bookmarkStart w:id="5" w:name="_Toc314667670"/>
      <w:bookmarkStart w:id="6" w:name="_Toc329241631"/>
      <w:r w:rsidRPr="00440C15">
        <w:rPr>
          <w:rFonts w:ascii="Times New Roman" w:hAnsi="Times New Roman"/>
          <w:color w:val="000000" w:themeColor="text1"/>
          <w:sz w:val="24"/>
        </w:rPr>
        <w:t>Number of Investors per Case</w:t>
      </w:r>
      <w:bookmarkEnd w:id="5"/>
      <w:r w:rsidRPr="00440C15">
        <w:rPr>
          <w:rFonts w:ascii="Times New Roman" w:hAnsi="Times New Roman"/>
          <w:color w:val="000000" w:themeColor="text1"/>
          <w:sz w:val="24"/>
        </w:rPr>
        <w:t xml:space="preserve"> in the IDA Study</w:t>
      </w:r>
      <w:bookmarkEnd w:id="6"/>
    </w:p>
    <w:p w:rsidR="00457EE3" w:rsidRPr="00440C15" w:rsidRDefault="00457EE3" w:rsidP="00457EE3">
      <w:pPr>
        <w:pStyle w:val="7FigureImagewithNoteOrCaptionAfter"/>
        <w:rPr>
          <w:rFonts w:ascii="Times New Roman" w:hAnsi="Times New Roman"/>
          <w:color w:val="000000" w:themeColor="text1"/>
          <w:sz w:val="24"/>
          <w:szCs w:val="24"/>
          <w:lang w:val="en-AU"/>
        </w:rPr>
      </w:pPr>
      <w:r w:rsidRPr="00440C15">
        <w:rPr>
          <w:rFonts w:ascii="Times New Roman" w:hAnsi="Times New Roman"/>
          <w:noProof/>
          <w:color w:val="000000" w:themeColor="text1"/>
          <w:sz w:val="24"/>
          <w:szCs w:val="24"/>
          <w:lang w:val="en-GB" w:eastAsia="en-GB" w:bidi="ar-SA"/>
        </w:rPr>
        <w:drawing>
          <wp:inline distT="0" distB="0" distL="0" distR="0">
            <wp:extent cx="4228356" cy="2460865"/>
            <wp:effectExtent l="12181" t="6110" r="7613"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7EE3" w:rsidRPr="00440C15" w:rsidRDefault="00457EE3" w:rsidP="00457EE3">
      <w:pPr>
        <w:pStyle w:val="Caption"/>
        <w:rPr>
          <w:rFonts w:ascii="Times New Roman" w:hAnsi="Times New Roman"/>
          <w:color w:val="000000" w:themeColor="text1"/>
          <w:sz w:val="24"/>
        </w:rPr>
      </w:pPr>
    </w:p>
    <w:p w:rsidR="00457EE3" w:rsidRPr="00440C15" w:rsidRDefault="00457EE3" w:rsidP="00457EE3">
      <w:pPr>
        <w:pStyle w:val="Caption"/>
        <w:rPr>
          <w:rFonts w:ascii="Times New Roman" w:hAnsi="Times New Roman"/>
          <w:color w:val="000000" w:themeColor="text1"/>
          <w:sz w:val="24"/>
          <w:lang w:val="en-AU"/>
        </w:rPr>
      </w:pPr>
      <w:bookmarkStart w:id="7" w:name="_Toc329241734"/>
      <w:r w:rsidRPr="00440C15">
        <w:rPr>
          <w:rFonts w:ascii="Times New Roman" w:hAnsi="Times New Roman"/>
          <w:color w:val="000000" w:themeColor="text1"/>
          <w:sz w:val="24"/>
        </w:rPr>
        <w:t xml:space="preserve">Figure </w:t>
      </w:r>
      <w:r w:rsidR="00244C57"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Figure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1</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r>
      <w:r w:rsidRPr="00440C15">
        <w:rPr>
          <w:rFonts w:ascii="Times New Roman" w:hAnsi="Times New Roman"/>
          <w:color w:val="000000" w:themeColor="text1"/>
          <w:sz w:val="24"/>
          <w:lang w:val="en-AU"/>
        </w:rPr>
        <w:t>Victims per Case</w:t>
      </w:r>
      <w:bookmarkEnd w:id="7"/>
    </w:p>
    <w:p w:rsidR="00457EE3" w:rsidRPr="00440C15" w:rsidRDefault="00244C57" w:rsidP="00457EE3">
      <w:pPr>
        <w:pStyle w:val="NormalInden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lang w:val="en-AU"/>
        </w:rPr>
        <w:t>Figure 1</w:t>
      </w:r>
      <w:r w:rsidR="00457EE3" w:rsidRPr="00440C15">
        <w:rPr>
          <w:rFonts w:ascii="Times New Roman" w:hAnsi="Times New Roman"/>
          <w:color w:val="000000" w:themeColor="text1"/>
          <w:sz w:val="24"/>
          <w:szCs w:val="24"/>
          <w:lang w:val="en-AU"/>
        </w:rPr>
        <w:t xml:space="preserve">-1 shows the number of investors per case found through </w:t>
      </w:r>
      <w:r w:rsidR="00457EE3" w:rsidRPr="00440C15">
        <w:rPr>
          <w:rFonts w:ascii="Times New Roman" w:hAnsi="Times New Roman"/>
          <w:i/>
          <w:color w:val="000000" w:themeColor="text1"/>
          <w:sz w:val="24"/>
          <w:szCs w:val="24"/>
          <w:lang w:val="en-AU"/>
        </w:rPr>
        <w:t>Quicklaw</w:t>
      </w:r>
      <w:r w:rsidR="00457EE3" w:rsidRPr="00440C15">
        <w:rPr>
          <w:rFonts w:ascii="Times New Roman" w:hAnsi="Times New Roman"/>
          <w:color w:val="000000" w:themeColor="text1"/>
          <w:sz w:val="24"/>
          <w:szCs w:val="24"/>
          <w:lang w:val="en-AU"/>
        </w:rPr>
        <w:t xml:space="preserve"> in the IDA study.  Close to 88% of the cases contained anywhere between 0 to 5 victims. Of the remaining cases, 9.3% contained anywhere between 6-10 victims, while only 2.1% contained 11 to 15 victims. Less than 1% of cases contained between 16 to 20 and 21 to 25 victims. As</w:t>
      </w:r>
      <w:r w:rsidRPr="00440C15">
        <w:rPr>
          <w:rFonts w:ascii="Times New Roman" w:hAnsi="Times New Roman"/>
          <w:color w:val="000000" w:themeColor="text1"/>
          <w:sz w:val="24"/>
          <w:szCs w:val="24"/>
          <w:lang w:val="en-AU"/>
        </w:rPr>
        <w:t xml:space="preserve"> can be seen below in Table 1</w:t>
      </w:r>
      <w:r w:rsidR="00457EE3" w:rsidRPr="00440C15">
        <w:rPr>
          <w:rFonts w:ascii="Times New Roman" w:hAnsi="Times New Roman"/>
          <w:color w:val="000000" w:themeColor="text1"/>
          <w:sz w:val="24"/>
          <w:szCs w:val="24"/>
          <w:lang w:val="en-AU"/>
        </w:rPr>
        <w:t xml:space="preserve">-1, on average, there are 3 victims per case, with most cases dealing with only 1 victim. Given that the 1% of the cases with between 16 to 20 and 21 to 25 victims is pulling the average in the higher direction, the median number of 2 victims per case seems like a much more accurate summary.  </w:t>
      </w:r>
    </w:p>
    <w:p w:rsidR="00457EE3" w:rsidRPr="00440C15" w:rsidRDefault="00457EE3" w:rsidP="00457EE3">
      <w:pPr>
        <w:pStyle w:val="Caption"/>
        <w:keepNext/>
        <w:rPr>
          <w:rFonts w:ascii="Times New Roman" w:hAnsi="Times New Roman"/>
          <w:color w:val="000000" w:themeColor="text1"/>
          <w:sz w:val="24"/>
        </w:rPr>
      </w:pPr>
      <w:bookmarkStart w:id="8" w:name="_Toc329241713"/>
      <w:r w:rsidRPr="00440C15">
        <w:rPr>
          <w:rFonts w:ascii="Times New Roman" w:hAnsi="Times New Roman"/>
          <w:color w:val="000000" w:themeColor="text1"/>
          <w:sz w:val="24"/>
        </w:rPr>
        <w:lastRenderedPageBreak/>
        <w:t xml:space="preserve">Table </w:t>
      </w:r>
      <w:r w:rsidR="00244C57"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Table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1</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t>Investors per Case in the IDA Study</w:t>
      </w:r>
      <w:bookmarkEnd w:id="8"/>
    </w:p>
    <w:tbl>
      <w:tblPr>
        <w:tblW w:w="8640" w:type="dxa"/>
        <w:tblInd w:w="96" w:type="dxa"/>
        <w:tblLook w:val="04A0" w:firstRow="1" w:lastRow="0" w:firstColumn="1" w:lastColumn="0" w:noHBand="0" w:noVBand="1"/>
      </w:tblPr>
      <w:tblGrid>
        <w:gridCol w:w="1007"/>
        <w:gridCol w:w="3439"/>
        <w:gridCol w:w="4194"/>
      </w:tblGrid>
      <w:tr w:rsidR="00457EE3" w:rsidRPr="00440C15" w:rsidTr="002A1926">
        <w:trPr>
          <w:trHeight w:val="300"/>
        </w:trPr>
        <w:tc>
          <w:tcPr>
            <w:tcW w:w="960" w:type="dxa"/>
            <w:vMerge w:val="restart"/>
            <w:tcBorders>
              <w:top w:val="single" w:sz="8" w:space="0" w:color="000000"/>
              <w:left w:val="single" w:sz="8" w:space="0" w:color="000000"/>
              <w:bottom w:val="nil"/>
              <w:right w:val="nil"/>
            </w:tcBorders>
            <w:shd w:val="clear" w:color="auto" w:fill="auto"/>
            <w:hideMark/>
          </w:tcPr>
          <w:p w:rsidR="00457EE3" w:rsidRPr="00440C15" w:rsidRDefault="00457EE3" w:rsidP="002A1926">
            <w:pPr>
              <w:keepNext/>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N</w:t>
            </w:r>
          </w:p>
        </w:tc>
        <w:tc>
          <w:tcPr>
            <w:tcW w:w="3280" w:type="dxa"/>
            <w:tcBorders>
              <w:top w:val="single" w:sz="8" w:space="0" w:color="000000"/>
              <w:left w:val="nil"/>
              <w:bottom w:val="nil"/>
              <w:right w:val="single" w:sz="8" w:space="0" w:color="000000"/>
            </w:tcBorders>
            <w:shd w:val="clear" w:color="auto" w:fill="auto"/>
            <w:hideMark/>
          </w:tcPr>
          <w:p w:rsidR="00457EE3" w:rsidRPr="00440C15" w:rsidRDefault="00457EE3" w:rsidP="002A1926">
            <w:pPr>
              <w:keepNext/>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Valid Cases</w:t>
            </w:r>
          </w:p>
        </w:tc>
        <w:tc>
          <w:tcPr>
            <w:tcW w:w="4000" w:type="dxa"/>
            <w:tcBorders>
              <w:top w:val="single" w:sz="8" w:space="0" w:color="000000"/>
              <w:left w:val="nil"/>
              <w:bottom w:val="nil"/>
              <w:right w:val="single" w:sz="8" w:space="0" w:color="000000"/>
            </w:tcBorders>
            <w:shd w:val="clear" w:color="auto" w:fill="auto"/>
            <w:noWrap/>
            <w:hideMark/>
          </w:tcPr>
          <w:p w:rsidR="00457EE3" w:rsidRPr="00440C15" w:rsidRDefault="00457EE3" w:rsidP="002A1926">
            <w:pPr>
              <w:keepNext/>
              <w:spacing w:after="0" w:line="240" w:lineRule="auto"/>
              <w:jc w:val="right"/>
              <w:rPr>
                <w:rFonts w:ascii="Times New Roman" w:hAnsi="Times New Roman"/>
                <w:color w:val="000000" w:themeColor="text1"/>
                <w:sz w:val="24"/>
                <w:szCs w:val="24"/>
              </w:rPr>
            </w:pPr>
            <w:r w:rsidRPr="00440C15">
              <w:rPr>
                <w:rFonts w:ascii="Times New Roman" w:hAnsi="Times New Roman"/>
                <w:color w:val="000000" w:themeColor="text1"/>
                <w:sz w:val="24"/>
                <w:szCs w:val="24"/>
              </w:rPr>
              <w:t>429</w:t>
            </w:r>
          </w:p>
        </w:tc>
      </w:tr>
      <w:tr w:rsidR="00457EE3" w:rsidRPr="00440C15" w:rsidTr="002A1926">
        <w:trPr>
          <w:trHeight w:val="300"/>
        </w:trPr>
        <w:tc>
          <w:tcPr>
            <w:tcW w:w="960" w:type="dxa"/>
            <w:vMerge/>
            <w:tcBorders>
              <w:top w:val="single" w:sz="8" w:space="0" w:color="000000"/>
              <w:left w:val="single" w:sz="8" w:space="0" w:color="000000"/>
              <w:bottom w:val="nil"/>
              <w:right w:val="nil"/>
            </w:tcBorders>
            <w:vAlign w:val="center"/>
            <w:hideMark/>
          </w:tcPr>
          <w:p w:rsidR="00457EE3" w:rsidRPr="00440C15" w:rsidRDefault="00457EE3" w:rsidP="002A1926">
            <w:pPr>
              <w:keepNext/>
              <w:spacing w:after="0" w:line="240" w:lineRule="auto"/>
              <w:rPr>
                <w:rFonts w:ascii="Times New Roman" w:hAnsi="Times New Roman"/>
                <w:color w:val="000000" w:themeColor="text1"/>
                <w:sz w:val="24"/>
                <w:szCs w:val="24"/>
              </w:rPr>
            </w:pPr>
          </w:p>
        </w:tc>
        <w:tc>
          <w:tcPr>
            <w:tcW w:w="3280" w:type="dxa"/>
            <w:tcBorders>
              <w:top w:val="nil"/>
              <w:left w:val="nil"/>
              <w:bottom w:val="nil"/>
              <w:right w:val="single" w:sz="8" w:space="0" w:color="000000"/>
            </w:tcBorders>
            <w:shd w:val="clear" w:color="auto" w:fill="auto"/>
            <w:hideMark/>
          </w:tcPr>
          <w:p w:rsidR="00457EE3" w:rsidRPr="00440C15" w:rsidRDefault="00457EE3" w:rsidP="002A1926">
            <w:pPr>
              <w:keepNext/>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Missing Cases</w:t>
            </w:r>
          </w:p>
        </w:tc>
        <w:tc>
          <w:tcPr>
            <w:tcW w:w="4000" w:type="dxa"/>
            <w:tcBorders>
              <w:top w:val="nil"/>
              <w:left w:val="nil"/>
              <w:bottom w:val="nil"/>
              <w:right w:val="single" w:sz="8" w:space="0" w:color="000000"/>
            </w:tcBorders>
            <w:shd w:val="clear" w:color="auto" w:fill="auto"/>
            <w:noWrap/>
            <w:hideMark/>
          </w:tcPr>
          <w:p w:rsidR="00457EE3" w:rsidRPr="00440C15" w:rsidRDefault="00457EE3" w:rsidP="002A1926">
            <w:pPr>
              <w:keepNext/>
              <w:spacing w:after="0" w:line="240" w:lineRule="auto"/>
              <w:jc w:val="right"/>
              <w:rPr>
                <w:rFonts w:ascii="Times New Roman" w:hAnsi="Times New Roman"/>
                <w:color w:val="000000" w:themeColor="text1"/>
                <w:sz w:val="24"/>
                <w:szCs w:val="24"/>
              </w:rPr>
            </w:pPr>
            <w:r w:rsidRPr="00440C15">
              <w:rPr>
                <w:rFonts w:ascii="Times New Roman" w:hAnsi="Times New Roman"/>
                <w:color w:val="000000" w:themeColor="text1"/>
                <w:sz w:val="24"/>
                <w:szCs w:val="24"/>
              </w:rPr>
              <w:t>0</w:t>
            </w:r>
          </w:p>
        </w:tc>
      </w:tr>
      <w:tr w:rsidR="00457EE3" w:rsidRPr="00440C15" w:rsidTr="002A1926">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57EE3" w:rsidRPr="00440C15" w:rsidRDefault="00457EE3" w:rsidP="002A1926">
            <w:pPr>
              <w:keepNext/>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Mean</w:t>
            </w:r>
          </w:p>
        </w:tc>
        <w:tc>
          <w:tcPr>
            <w:tcW w:w="4000" w:type="dxa"/>
            <w:tcBorders>
              <w:top w:val="single" w:sz="4" w:space="0" w:color="auto"/>
              <w:left w:val="nil"/>
              <w:bottom w:val="single" w:sz="4" w:space="0" w:color="auto"/>
              <w:right w:val="single" w:sz="4" w:space="0" w:color="auto"/>
            </w:tcBorders>
            <w:shd w:val="clear" w:color="auto" w:fill="auto"/>
            <w:noWrap/>
            <w:hideMark/>
          </w:tcPr>
          <w:p w:rsidR="00457EE3" w:rsidRPr="00440C15" w:rsidRDefault="00457EE3" w:rsidP="002A1926">
            <w:pPr>
              <w:keepNext/>
              <w:spacing w:after="0" w:line="240" w:lineRule="auto"/>
              <w:jc w:val="right"/>
              <w:rPr>
                <w:rFonts w:ascii="Times New Roman" w:hAnsi="Times New Roman"/>
                <w:color w:val="000000" w:themeColor="text1"/>
                <w:sz w:val="24"/>
                <w:szCs w:val="24"/>
              </w:rPr>
            </w:pPr>
            <w:r w:rsidRPr="00440C15">
              <w:rPr>
                <w:rFonts w:ascii="Times New Roman" w:hAnsi="Times New Roman"/>
                <w:color w:val="000000" w:themeColor="text1"/>
                <w:sz w:val="24"/>
                <w:szCs w:val="24"/>
              </w:rPr>
              <w:t>3</w:t>
            </w:r>
          </w:p>
        </w:tc>
      </w:tr>
      <w:tr w:rsidR="00457EE3" w:rsidRPr="00440C15" w:rsidTr="002A1926">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57EE3" w:rsidRPr="00440C15" w:rsidRDefault="00457EE3" w:rsidP="002A1926">
            <w:pPr>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Median</w:t>
            </w:r>
          </w:p>
        </w:tc>
        <w:tc>
          <w:tcPr>
            <w:tcW w:w="4000" w:type="dxa"/>
            <w:tcBorders>
              <w:top w:val="nil"/>
              <w:left w:val="nil"/>
              <w:bottom w:val="single" w:sz="4" w:space="0" w:color="auto"/>
              <w:right w:val="single" w:sz="4" w:space="0" w:color="auto"/>
            </w:tcBorders>
            <w:shd w:val="clear" w:color="auto" w:fill="auto"/>
            <w:noWrap/>
            <w:hideMark/>
          </w:tcPr>
          <w:p w:rsidR="00457EE3" w:rsidRPr="00440C15" w:rsidRDefault="00457EE3" w:rsidP="002A1926">
            <w:pPr>
              <w:spacing w:after="0" w:line="240" w:lineRule="auto"/>
              <w:jc w:val="right"/>
              <w:rPr>
                <w:rFonts w:ascii="Times New Roman" w:hAnsi="Times New Roman"/>
                <w:color w:val="000000" w:themeColor="text1"/>
                <w:sz w:val="24"/>
                <w:szCs w:val="24"/>
              </w:rPr>
            </w:pPr>
            <w:r w:rsidRPr="00440C15">
              <w:rPr>
                <w:rFonts w:ascii="Times New Roman" w:hAnsi="Times New Roman"/>
                <w:color w:val="000000" w:themeColor="text1"/>
                <w:sz w:val="24"/>
                <w:szCs w:val="24"/>
              </w:rPr>
              <w:t>2</w:t>
            </w:r>
          </w:p>
        </w:tc>
      </w:tr>
      <w:tr w:rsidR="00457EE3" w:rsidRPr="00440C15" w:rsidTr="002A1926">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57EE3" w:rsidRPr="00440C15" w:rsidRDefault="00457EE3" w:rsidP="002A1926">
            <w:pPr>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Mode</w:t>
            </w:r>
          </w:p>
        </w:tc>
        <w:tc>
          <w:tcPr>
            <w:tcW w:w="4000" w:type="dxa"/>
            <w:tcBorders>
              <w:top w:val="nil"/>
              <w:left w:val="nil"/>
              <w:bottom w:val="single" w:sz="4" w:space="0" w:color="auto"/>
              <w:right w:val="single" w:sz="4" w:space="0" w:color="auto"/>
            </w:tcBorders>
            <w:shd w:val="clear" w:color="auto" w:fill="auto"/>
            <w:noWrap/>
            <w:hideMark/>
          </w:tcPr>
          <w:p w:rsidR="00457EE3" w:rsidRPr="00440C15" w:rsidRDefault="00457EE3" w:rsidP="002A1926">
            <w:pPr>
              <w:spacing w:after="0" w:line="240" w:lineRule="auto"/>
              <w:jc w:val="right"/>
              <w:rPr>
                <w:rFonts w:ascii="Times New Roman" w:hAnsi="Times New Roman"/>
                <w:color w:val="000000" w:themeColor="text1"/>
                <w:sz w:val="24"/>
                <w:szCs w:val="24"/>
              </w:rPr>
            </w:pPr>
            <w:r w:rsidRPr="00440C15">
              <w:rPr>
                <w:rFonts w:ascii="Times New Roman" w:hAnsi="Times New Roman"/>
                <w:color w:val="000000" w:themeColor="text1"/>
                <w:sz w:val="24"/>
                <w:szCs w:val="24"/>
              </w:rPr>
              <w:t>1</w:t>
            </w:r>
          </w:p>
        </w:tc>
      </w:tr>
      <w:tr w:rsidR="00457EE3" w:rsidRPr="00440C15" w:rsidTr="002A1926">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57EE3" w:rsidRPr="00440C15" w:rsidRDefault="00457EE3" w:rsidP="002A1926">
            <w:pPr>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Minimum</w:t>
            </w:r>
          </w:p>
        </w:tc>
        <w:tc>
          <w:tcPr>
            <w:tcW w:w="4000" w:type="dxa"/>
            <w:tcBorders>
              <w:top w:val="nil"/>
              <w:left w:val="nil"/>
              <w:bottom w:val="single" w:sz="4" w:space="0" w:color="auto"/>
              <w:right w:val="single" w:sz="4" w:space="0" w:color="auto"/>
            </w:tcBorders>
            <w:shd w:val="clear" w:color="auto" w:fill="auto"/>
            <w:noWrap/>
            <w:hideMark/>
          </w:tcPr>
          <w:p w:rsidR="00457EE3" w:rsidRPr="00440C15" w:rsidRDefault="00457EE3" w:rsidP="002A1926">
            <w:pPr>
              <w:spacing w:after="0" w:line="240" w:lineRule="auto"/>
              <w:jc w:val="right"/>
              <w:rPr>
                <w:rFonts w:ascii="Times New Roman" w:hAnsi="Times New Roman"/>
                <w:color w:val="000000" w:themeColor="text1"/>
                <w:sz w:val="24"/>
                <w:szCs w:val="24"/>
              </w:rPr>
            </w:pPr>
            <w:r w:rsidRPr="00440C15">
              <w:rPr>
                <w:rFonts w:ascii="Times New Roman" w:hAnsi="Times New Roman"/>
                <w:color w:val="000000" w:themeColor="text1"/>
                <w:sz w:val="24"/>
                <w:szCs w:val="24"/>
              </w:rPr>
              <w:t>1</w:t>
            </w:r>
          </w:p>
        </w:tc>
      </w:tr>
      <w:tr w:rsidR="00457EE3" w:rsidRPr="00440C15" w:rsidTr="002A1926">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57EE3" w:rsidRPr="00440C15" w:rsidRDefault="00457EE3" w:rsidP="002A1926">
            <w:pPr>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Maximum</w:t>
            </w:r>
          </w:p>
        </w:tc>
        <w:tc>
          <w:tcPr>
            <w:tcW w:w="4000" w:type="dxa"/>
            <w:tcBorders>
              <w:top w:val="nil"/>
              <w:left w:val="nil"/>
              <w:bottom w:val="single" w:sz="4" w:space="0" w:color="auto"/>
              <w:right w:val="single" w:sz="4" w:space="0" w:color="auto"/>
            </w:tcBorders>
            <w:shd w:val="clear" w:color="auto" w:fill="auto"/>
            <w:noWrap/>
            <w:hideMark/>
          </w:tcPr>
          <w:p w:rsidR="00457EE3" w:rsidRPr="00440C15" w:rsidRDefault="00457EE3" w:rsidP="002A1926">
            <w:pPr>
              <w:spacing w:after="0" w:line="240" w:lineRule="auto"/>
              <w:jc w:val="right"/>
              <w:rPr>
                <w:rFonts w:ascii="Times New Roman" w:hAnsi="Times New Roman"/>
                <w:color w:val="000000" w:themeColor="text1"/>
                <w:sz w:val="24"/>
                <w:szCs w:val="24"/>
              </w:rPr>
            </w:pPr>
            <w:r w:rsidRPr="00440C15">
              <w:rPr>
                <w:rFonts w:ascii="Times New Roman" w:hAnsi="Times New Roman"/>
                <w:color w:val="000000" w:themeColor="text1"/>
                <w:sz w:val="24"/>
                <w:szCs w:val="24"/>
              </w:rPr>
              <w:t>24</w:t>
            </w:r>
          </w:p>
        </w:tc>
      </w:tr>
      <w:tr w:rsidR="00457EE3" w:rsidRPr="00440C15" w:rsidTr="002A1926">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57EE3" w:rsidRPr="00440C15" w:rsidRDefault="00457EE3" w:rsidP="002A1926">
            <w:pPr>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Number of identified victims</w:t>
            </w:r>
          </w:p>
        </w:tc>
        <w:tc>
          <w:tcPr>
            <w:tcW w:w="4000" w:type="dxa"/>
            <w:tcBorders>
              <w:top w:val="nil"/>
              <w:left w:val="nil"/>
              <w:bottom w:val="single" w:sz="4" w:space="0" w:color="auto"/>
              <w:right w:val="single" w:sz="4" w:space="0" w:color="auto"/>
            </w:tcBorders>
            <w:shd w:val="clear" w:color="auto" w:fill="auto"/>
            <w:noWrap/>
            <w:hideMark/>
          </w:tcPr>
          <w:p w:rsidR="00457EE3" w:rsidRPr="00440C15" w:rsidRDefault="00457EE3" w:rsidP="002A1926">
            <w:pPr>
              <w:spacing w:after="0" w:line="240" w:lineRule="auto"/>
              <w:jc w:val="right"/>
              <w:rPr>
                <w:rFonts w:ascii="Times New Roman" w:hAnsi="Times New Roman"/>
                <w:color w:val="000000" w:themeColor="text1"/>
                <w:sz w:val="24"/>
                <w:szCs w:val="24"/>
              </w:rPr>
            </w:pPr>
            <w:r w:rsidRPr="00440C15">
              <w:rPr>
                <w:rFonts w:ascii="Times New Roman" w:hAnsi="Times New Roman"/>
                <w:color w:val="000000" w:themeColor="text1"/>
                <w:sz w:val="24"/>
                <w:szCs w:val="24"/>
              </w:rPr>
              <w:t>1167</w:t>
            </w:r>
          </w:p>
        </w:tc>
      </w:tr>
    </w:tbl>
    <w:p w:rsidR="00457EE3" w:rsidRPr="00440C15" w:rsidRDefault="00457EE3" w:rsidP="00457EE3">
      <w:pPr>
        <w:pStyle w:val="Heading3"/>
        <w:rPr>
          <w:rFonts w:ascii="Times New Roman" w:hAnsi="Times New Roman"/>
          <w:color w:val="000000" w:themeColor="text1"/>
          <w:sz w:val="24"/>
        </w:rPr>
      </w:pPr>
      <w:bookmarkStart w:id="9" w:name="_Toc314667671"/>
      <w:bookmarkStart w:id="10" w:name="_Toc329241632"/>
      <w:r w:rsidRPr="00440C15">
        <w:rPr>
          <w:rFonts w:ascii="Times New Roman" w:hAnsi="Times New Roman"/>
          <w:color w:val="000000" w:themeColor="text1"/>
          <w:sz w:val="24"/>
        </w:rPr>
        <w:t>Gender</w:t>
      </w:r>
      <w:bookmarkEnd w:id="9"/>
      <w:bookmarkEnd w:id="10"/>
    </w:p>
    <w:p w:rsidR="00457EE3" w:rsidRPr="00440C15" w:rsidRDefault="00457EE3" w:rsidP="00457EE3">
      <w:pPr>
        <w:pStyle w:val="NormalInden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lang w:val="en-AU"/>
        </w:rPr>
        <w:t xml:space="preserve">Of the 1,167 investors, data on gender was available for 1,026 (87.92%) of them. The gender of the other 141(12.8%) investors could not be identified, because in some cases the IDA referred to the victims by their initials rather than their names. Out of the data in which the gender of the investors was identified, 581 (57%) were male, while 445 (43%) were female. The proportion of female victims in the IDA study is slighter higher than the proportion of females in the </w:t>
      </w:r>
      <w:proofErr w:type="spellStart"/>
      <w:r w:rsidRPr="00440C15">
        <w:rPr>
          <w:rFonts w:ascii="Times New Roman" w:hAnsi="Times New Roman"/>
          <w:color w:val="000000" w:themeColor="text1"/>
          <w:sz w:val="24"/>
          <w:szCs w:val="24"/>
          <w:lang w:val="en-AU"/>
        </w:rPr>
        <w:t>Eron</w:t>
      </w:r>
      <w:proofErr w:type="spellEnd"/>
      <w:r w:rsidRPr="00440C15">
        <w:rPr>
          <w:rFonts w:ascii="Times New Roman" w:hAnsi="Times New Roman"/>
          <w:color w:val="000000" w:themeColor="text1"/>
          <w:sz w:val="24"/>
          <w:szCs w:val="24"/>
          <w:lang w:val="en-AU"/>
        </w:rPr>
        <w:t xml:space="preserve"> study, where 39% were female (see Boyd, 2005: 12). The </w:t>
      </w:r>
      <w:proofErr w:type="spellStart"/>
      <w:r w:rsidRPr="00440C15">
        <w:rPr>
          <w:rFonts w:ascii="Times New Roman" w:hAnsi="Times New Roman"/>
          <w:color w:val="000000" w:themeColor="text1"/>
          <w:sz w:val="24"/>
          <w:szCs w:val="24"/>
          <w:lang w:val="en-AU"/>
        </w:rPr>
        <w:t>Eron</w:t>
      </w:r>
      <w:proofErr w:type="spellEnd"/>
      <w:r w:rsidRPr="00440C15">
        <w:rPr>
          <w:rFonts w:ascii="Times New Roman" w:hAnsi="Times New Roman"/>
          <w:color w:val="000000" w:themeColor="text1"/>
          <w:sz w:val="24"/>
          <w:szCs w:val="24"/>
          <w:lang w:val="en-AU"/>
        </w:rPr>
        <w:t xml:space="preserve"> study covered a period of four years, from 1993 (time of investment) to 1997 (time of collapse) (p. 12). Thus, the proportion of male and female victims reported in the </w:t>
      </w:r>
      <w:proofErr w:type="spellStart"/>
      <w:r w:rsidRPr="00440C15">
        <w:rPr>
          <w:rFonts w:ascii="Times New Roman" w:hAnsi="Times New Roman"/>
          <w:color w:val="000000" w:themeColor="text1"/>
          <w:sz w:val="24"/>
          <w:szCs w:val="24"/>
          <w:lang w:val="en-AU"/>
        </w:rPr>
        <w:t>Eron</w:t>
      </w:r>
      <w:proofErr w:type="spellEnd"/>
      <w:r w:rsidRPr="00440C15">
        <w:rPr>
          <w:rFonts w:ascii="Times New Roman" w:hAnsi="Times New Roman"/>
          <w:color w:val="000000" w:themeColor="text1"/>
          <w:sz w:val="24"/>
          <w:szCs w:val="24"/>
          <w:lang w:val="en-AU"/>
        </w:rPr>
        <w:t xml:space="preserve"> study was for the four year period in which they invested. For a more accurate comparison that will reflect the </w:t>
      </w:r>
      <w:proofErr w:type="spellStart"/>
      <w:r w:rsidRPr="00440C15">
        <w:rPr>
          <w:rFonts w:ascii="Times New Roman" w:hAnsi="Times New Roman"/>
          <w:color w:val="000000" w:themeColor="text1"/>
          <w:sz w:val="24"/>
          <w:szCs w:val="24"/>
          <w:lang w:val="en-AU"/>
        </w:rPr>
        <w:t>Eron</w:t>
      </w:r>
      <w:proofErr w:type="spellEnd"/>
      <w:r w:rsidRPr="00440C15">
        <w:rPr>
          <w:rFonts w:ascii="Times New Roman" w:hAnsi="Times New Roman"/>
          <w:color w:val="000000" w:themeColor="text1"/>
          <w:sz w:val="24"/>
          <w:szCs w:val="24"/>
          <w:lang w:val="en-AU"/>
        </w:rPr>
        <w:t xml:space="preserve"> study timeline, I split the IDA study into two time intervals: from 1986 to 1997, and from 1998 to June of 2008.</w:t>
      </w:r>
      <w:r w:rsidRPr="00440C15">
        <w:rPr>
          <w:rStyle w:val="FootnoteReference"/>
          <w:rFonts w:ascii="Times New Roman" w:hAnsi="Times New Roman"/>
          <w:color w:val="000000" w:themeColor="text1"/>
          <w:sz w:val="24"/>
          <w:szCs w:val="24"/>
          <w:lang w:val="en-AU"/>
        </w:rPr>
        <w:footnoteReference w:id="3"/>
      </w:r>
      <w:r w:rsidRPr="00440C15">
        <w:rPr>
          <w:rFonts w:ascii="Times New Roman" w:hAnsi="Times New Roman"/>
          <w:color w:val="000000" w:themeColor="text1"/>
          <w:sz w:val="24"/>
          <w:szCs w:val="24"/>
          <w:lang w:val="en-AU"/>
        </w:rPr>
        <w:t xml:space="preserve"> When I split the data, I found that the proportion of women affected in the IDA study increased by 7 percentage points from the first to the second time interval. More specifically, there were 224 (61%) male and 142 (39%) female victims between 1986 and 1997, while there were 357 (54%) male and 303 (46%) female victims between 1998 and June of 2008. Notice also that the </w:t>
      </w:r>
      <w:r w:rsidRPr="00440C15">
        <w:rPr>
          <w:rFonts w:ascii="Times New Roman" w:hAnsi="Times New Roman"/>
          <w:color w:val="000000" w:themeColor="text1"/>
          <w:sz w:val="24"/>
          <w:szCs w:val="24"/>
          <w:lang w:val="en-AU"/>
        </w:rPr>
        <w:lastRenderedPageBreak/>
        <w:t xml:space="preserve">proportion of male and female victims affected from 1986 to 1997 in the IDA study is the same as the proportion of male and female victims affected in the </w:t>
      </w:r>
      <w:proofErr w:type="spellStart"/>
      <w:r w:rsidRPr="00440C15">
        <w:rPr>
          <w:rFonts w:ascii="Times New Roman" w:hAnsi="Times New Roman"/>
          <w:color w:val="000000" w:themeColor="text1"/>
          <w:sz w:val="24"/>
          <w:szCs w:val="24"/>
          <w:lang w:val="en-AU"/>
        </w:rPr>
        <w:t>Eron</w:t>
      </w:r>
      <w:proofErr w:type="spellEnd"/>
      <w:r w:rsidRPr="00440C15">
        <w:rPr>
          <w:rFonts w:ascii="Times New Roman" w:hAnsi="Times New Roman"/>
          <w:color w:val="000000" w:themeColor="text1"/>
          <w:sz w:val="24"/>
          <w:szCs w:val="24"/>
          <w:lang w:val="en-AU"/>
        </w:rPr>
        <w:t xml:space="preserve"> study. </w:t>
      </w:r>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lang w:val="en-AU"/>
        </w:rPr>
        <w:t xml:space="preserve">A few reasons have been presented to explain this outcome.  Women are increasingly taking an active part in managing family finances and have the “disproportionate responsibility”  of having to plan “for child and elderly care” within the family (see TD Waterhouse: 2006: para 5; </w:t>
      </w:r>
      <w:proofErr w:type="spellStart"/>
      <w:r w:rsidRPr="00440C15">
        <w:rPr>
          <w:rFonts w:ascii="Times New Roman" w:hAnsi="Times New Roman"/>
          <w:color w:val="000000" w:themeColor="text1"/>
          <w:sz w:val="24"/>
          <w:szCs w:val="24"/>
          <w:lang w:val="en-AU"/>
        </w:rPr>
        <w:t>Heminway</w:t>
      </w:r>
      <w:proofErr w:type="spellEnd"/>
      <w:r w:rsidRPr="00440C15">
        <w:rPr>
          <w:rFonts w:ascii="Times New Roman" w:hAnsi="Times New Roman"/>
          <w:color w:val="000000" w:themeColor="text1"/>
          <w:sz w:val="24"/>
          <w:szCs w:val="24"/>
          <w:lang w:val="en-AU"/>
        </w:rPr>
        <w:t xml:space="preserve">, 2009: 310).  Most women also live longer than men and more often than not, are married to men who are older than them (Nice, 2010: para. 5-7).  These factors, along with the fact that the female labour force participation has been on the increase in Canada since the 1980’s, combines to explain the increasing number of women setting up financial plans to secure their financial </w:t>
      </w:r>
      <w:bookmarkStart w:id="11" w:name="_Toc314667672"/>
      <w:r w:rsidRPr="00440C15">
        <w:rPr>
          <w:rFonts w:ascii="Times New Roman" w:hAnsi="Times New Roman"/>
          <w:color w:val="000000" w:themeColor="text1"/>
          <w:sz w:val="24"/>
          <w:szCs w:val="24"/>
          <w:lang w:val="en-AU"/>
        </w:rPr>
        <w:t xml:space="preserve">independence (see Canadian Labour Congress, 2008: 3-4; TD Waterhouse, 2006: para. 6). </w:t>
      </w:r>
    </w:p>
    <w:p w:rsidR="00457EE3" w:rsidRPr="00440C15" w:rsidRDefault="00457EE3" w:rsidP="00457EE3">
      <w:pPr>
        <w:pStyle w:val="Heading3"/>
        <w:rPr>
          <w:rFonts w:ascii="Times New Roman" w:hAnsi="Times New Roman"/>
          <w:color w:val="000000" w:themeColor="text1"/>
          <w:sz w:val="24"/>
        </w:rPr>
      </w:pPr>
      <w:bookmarkStart w:id="12" w:name="_Toc329241633"/>
      <w:r w:rsidRPr="00440C15">
        <w:rPr>
          <w:rFonts w:ascii="Times New Roman" w:hAnsi="Times New Roman"/>
          <w:color w:val="000000" w:themeColor="text1"/>
          <w:sz w:val="24"/>
        </w:rPr>
        <w:t>Age</w:t>
      </w:r>
      <w:bookmarkEnd w:id="11"/>
      <w:bookmarkEnd w:id="12"/>
    </w:p>
    <w:p w:rsidR="00457EE3" w:rsidRPr="00440C15" w:rsidRDefault="003E27EC" w:rsidP="00457EE3">
      <w:pPr>
        <w:pStyle w:val="NormalInden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lang w:val="en-AU"/>
        </w:rPr>
        <w:t>As can be seen in Table 1</w:t>
      </w:r>
      <w:r w:rsidR="00457EE3" w:rsidRPr="00440C15">
        <w:rPr>
          <w:rFonts w:ascii="Times New Roman" w:hAnsi="Times New Roman"/>
          <w:color w:val="000000" w:themeColor="text1"/>
          <w:sz w:val="24"/>
          <w:szCs w:val="24"/>
          <w:lang w:val="en-AU"/>
        </w:rPr>
        <w:t xml:space="preserve">-2, the age of the investors at the time of their investment in the IDA study, was remarkably different from the age of the investors in the </w:t>
      </w:r>
      <w:proofErr w:type="spellStart"/>
      <w:r w:rsidR="00457EE3" w:rsidRPr="00440C15">
        <w:rPr>
          <w:rFonts w:ascii="Times New Roman" w:hAnsi="Times New Roman"/>
          <w:color w:val="000000" w:themeColor="text1"/>
          <w:sz w:val="24"/>
          <w:szCs w:val="24"/>
          <w:lang w:val="en-AU"/>
        </w:rPr>
        <w:t>Eron</w:t>
      </w:r>
      <w:proofErr w:type="spellEnd"/>
      <w:r w:rsidR="00457EE3" w:rsidRPr="00440C15">
        <w:rPr>
          <w:rFonts w:ascii="Times New Roman" w:hAnsi="Times New Roman"/>
          <w:color w:val="000000" w:themeColor="text1"/>
          <w:sz w:val="24"/>
          <w:szCs w:val="24"/>
          <w:lang w:val="en-AU"/>
        </w:rPr>
        <w:t xml:space="preserve"> and the Typical Canadian Investor’s studies. The majority (60%) of the investors in the IDA</w:t>
      </w:r>
      <w:r w:rsidR="00457EE3" w:rsidRPr="00440C15">
        <w:rPr>
          <w:rFonts w:ascii="Times New Roman" w:hAnsi="Times New Roman"/>
          <w:b/>
          <w:color w:val="000000" w:themeColor="text1"/>
          <w:sz w:val="24"/>
          <w:szCs w:val="24"/>
          <w:lang w:val="en-AU"/>
        </w:rPr>
        <w:t xml:space="preserve"> </w:t>
      </w:r>
      <w:r w:rsidR="00457EE3" w:rsidRPr="00440C15">
        <w:rPr>
          <w:rFonts w:ascii="Times New Roman" w:hAnsi="Times New Roman"/>
          <w:color w:val="000000" w:themeColor="text1"/>
          <w:sz w:val="24"/>
          <w:szCs w:val="24"/>
          <w:lang w:val="en-AU"/>
        </w:rPr>
        <w:t xml:space="preserve">study were over the age of 55, while 39% and 30% of investors in the </w:t>
      </w:r>
      <w:proofErr w:type="spellStart"/>
      <w:r w:rsidR="00457EE3" w:rsidRPr="00440C15">
        <w:rPr>
          <w:rFonts w:ascii="Times New Roman" w:hAnsi="Times New Roman"/>
          <w:color w:val="000000" w:themeColor="text1"/>
          <w:sz w:val="24"/>
          <w:szCs w:val="24"/>
          <w:lang w:val="en-AU"/>
        </w:rPr>
        <w:t>Eron</w:t>
      </w:r>
      <w:proofErr w:type="spellEnd"/>
      <w:r w:rsidR="00457EE3" w:rsidRPr="00440C15">
        <w:rPr>
          <w:rFonts w:ascii="Times New Roman" w:hAnsi="Times New Roman"/>
          <w:color w:val="000000" w:themeColor="text1"/>
          <w:sz w:val="24"/>
          <w:szCs w:val="24"/>
          <w:lang w:val="en-AU"/>
        </w:rPr>
        <w:t xml:space="preserve"> and the Typical Canadian Investor’s studies were over the age of 55. More than one-third or 36% of the investors in the IDA study were over 65 years of age, compared to 14% of </w:t>
      </w:r>
      <w:proofErr w:type="spellStart"/>
      <w:r w:rsidR="00457EE3" w:rsidRPr="00440C15">
        <w:rPr>
          <w:rFonts w:ascii="Times New Roman" w:hAnsi="Times New Roman"/>
          <w:color w:val="000000" w:themeColor="text1"/>
          <w:sz w:val="24"/>
          <w:szCs w:val="24"/>
          <w:lang w:val="en-AU"/>
        </w:rPr>
        <w:t>Eron</w:t>
      </w:r>
      <w:proofErr w:type="spellEnd"/>
      <w:r w:rsidR="00457EE3" w:rsidRPr="00440C15">
        <w:rPr>
          <w:rFonts w:ascii="Times New Roman" w:hAnsi="Times New Roman"/>
          <w:color w:val="000000" w:themeColor="text1"/>
          <w:sz w:val="24"/>
          <w:szCs w:val="24"/>
          <w:lang w:val="en-AU"/>
        </w:rPr>
        <w:t xml:space="preserve"> and 15% of the Typical Canadian Investors in the same age category.  The findings of the IDA study compared to the </w:t>
      </w:r>
      <w:proofErr w:type="spellStart"/>
      <w:r w:rsidR="00457EE3" w:rsidRPr="00440C15">
        <w:rPr>
          <w:rFonts w:ascii="Times New Roman" w:hAnsi="Times New Roman"/>
          <w:color w:val="000000" w:themeColor="text1"/>
          <w:sz w:val="24"/>
          <w:szCs w:val="24"/>
          <w:lang w:val="en-AU"/>
        </w:rPr>
        <w:t>Eron</w:t>
      </w:r>
      <w:proofErr w:type="spellEnd"/>
      <w:r w:rsidR="00457EE3" w:rsidRPr="00440C15">
        <w:rPr>
          <w:rFonts w:ascii="Times New Roman" w:hAnsi="Times New Roman"/>
          <w:color w:val="000000" w:themeColor="text1"/>
          <w:sz w:val="24"/>
          <w:szCs w:val="24"/>
          <w:lang w:val="en-AU"/>
        </w:rPr>
        <w:t xml:space="preserve"> and Typical Canadian Investor’s studies suggest that older individuals are much more likely to be the victims of securities infractions than their younger counterparts.  Consequently, with only a few or no </w:t>
      </w:r>
      <w:r w:rsidR="00457EE3" w:rsidRPr="00440C15">
        <w:rPr>
          <w:rFonts w:ascii="Times New Roman" w:hAnsi="Times New Roman"/>
          <w:color w:val="000000" w:themeColor="text1"/>
          <w:sz w:val="24"/>
          <w:szCs w:val="24"/>
          <w:lang w:val="en-AU"/>
        </w:rPr>
        <w:lastRenderedPageBreak/>
        <w:t xml:space="preserve">working years remaining, the infractions would have a greater impact on the lives of the IDA investors. </w:t>
      </w:r>
    </w:p>
    <w:p w:rsidR="00457EE3" w:rsidRPr="00440C15" w:rsidRDefault="00457EE3" w:rsidP="00457EE3">
      <w:pPr>
        <w:pStyle w:val="Caption"/>
        <w:rPr>
          <w:rFonts w:ascii="Times New Roman" w:hAnsi="Times New Roman"/>
          <w:color w:val="000000" w:themeColor="text1"/>
          <w:sz w:val="24"/>
        </w:rPr>
      </w:pPr>
      <w:bookmarkStart w:id="13" w:name="_Toc329241714"/>
      <w:r w:rsidRPr="00440C15">
        <w:rPr>
          <w:rFonts w:ascii="Times New Roman" w:hAnsi="Times New Roman"/>
          <w:color w:val="000000" w:themeColor="text1"/>
          <w:sz w:val="24"/>
        </w:rPr>
        <w:t xml:space="preserve">Table </w:t>
      </w:r>
      <w:r w:rsidR="003E27EC"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Table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2</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r>
      <w:r w:rsidRPr="00440C15">
        <w:rPr>
          <w:rFonts w:ascii="Times New Roman" w:hAnsi="Times New Roman"/>
          <w:color w:val="000000" w:themeColor="text1"/>
          <w:sz w:val="24"/>
          <w:lang w:val="en-AU"/>
        </w:rPr>
        <w:t>Age of Investors in the Three Studies</w:t>
      </w:r>
      <w:bookmarkEnd w:id="13"/>
    </w:p>
    <w:tbl>
      <w:tblPr>
        <w:tblW w:w="8472" w:type="dxa"/>
        <w:tblInd w:w="96" w:type="dxa"/>
        <w:tblLook w:val="04A0" w:firstRow="1" w:lastRow="0" w:firstColumn="1" w:lastColumn="0" w:noHBand="0" w:noVBand="1"/>
      </w:tblPr>
      <w:tblGrid>
        <w:gridCol w:w="1940"/>
        <w:gridCol w:w="1780"/>
        <w:gridCol w:w="2260"/>
        <w:gridCol w:w="2492"/>
      </w:tblGrid>
      <w:tr w:rsidR="00457EE3" w:rsidRPr="00440C15" w:rsidTr="002A1926">
        <w:trPr>
          <w:trHeight w:val="300"/>
        </w:trPr>
        <w:tc>
          <w:tcPr>
            <w:tcW w:w="1940" w:type="dxa"/>
            <w:tcBorders>
              <w:top w:val="single" w:sz="4" w:space="0" w:color="auto"/>
              <w:left w:val="single" w:sz="4" w:space="0" w:color="auto"/>
              <w:bottom w:val="single" w:sz="4" w:space="0" w:color="auto"/>
              <w:right w:val="nil"/>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w:t>
            </w:r>
          </w:p>
        </w:tc>
        <w:tc>
          <w:tcPr>
            <w:tcW w:w="1780" w:type="dxa"/>
            <w:tcBorders>
              <w:top w:val="single" w:sz="4" w:space="0" w:color="auto"/>
              <w:left w:val="nil"/>
              <w:bottom w:val="single" w:sz="4" w:space="0" w:color="auto"/>
              <w:right w:val="nil"/>
            </w:tcBorders>
            <w:shd w:val="clear" w:color="auto" w:fill="auto"/>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w:t>
            </w:r>
          </w:p>
        </w:tc>
        <w:tc>
          <w:tcPr>
            <w:tcW w:w="2260" w:type="dxa"/>
            <w:tcBorders>
              <w:top w:val="single" w:sz="4" w:space="0" w:color="auto"/>
              <w:left w:val="nil"/>
              <w:bottom w:val="single" w:sz="4" w:space="0" w:color="auto"/>
              <w:right w:val="nil"/>
            </w:tcBorders>
            <w:shd w:val="clear" w:color="auto" w:fill="auto"/>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Age of Investors</w:t>
            </w:r>
          </w:p>
        </w:tc>
        <w:tc>
          <w:tcPr>
            <w:tcW w:w="2492" w:type="dxa"/>
            <w:tcBorders>
              <w:top w:val="single" w:sz="4" w:space="0" w:color="auto"/>
              <w:left w:val="nil"/>
              <w:bottom w:val="single" w:sz="4" w:space="0" w:color="auto"/>
              <w:right w:val="single" w:sz="4" w:space="0" w:color="auto"/>
            </w:tcBorders>
            <w:shd w:val="clear" w:color="auto" w:fill="auto"/>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w:t>
            </w:r>
          </w:p>
        </w:tc>
      </w:tr>
      <w:tr w:rsidR="00457EE3" w:rsidRPr="00440C15" w:rsidTr="002A1926">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center"/>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Age</w:t>
            </w:r>
          </w:p>
        </w:tc>
        <w:tc>
          <w:tcPr>
            <w:tcW w:w="178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center"/>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IDA Study N=255</w:t>
            </w:r>
          </w:p>
        </w:tc>
        <w:tc>
          <w:tcPr>
            <w:tcW w:w="2260" w:type="dxa"/>
            <w:tcBorders>
              <w:top w:val="nil"/>
              <w:left w:val="nil"/>
              <w:bottom w:val="single" w:sz="4" w:space="0" w:color="auto"/>
              <w:right w:val="single" w:sz="4" w:space="0" w:color="auto"/>
            </w:tcBorders>
            <w:shd w:val="clear" w:color="auto" w:fill="auto"/>
            <w:vAlign w:val="bottom"/>
            <w:hideMark/>
          </w:tcPr>
          <w:p w:rsidR="00457EE3" w:rsidRPr="00440C15" w:rsidRDefault="00457EE3" w:rsidP="002A1926">
            <w:pPr>
              <w:spacing w:after="0" w:line="240" w:lineRule="auto"/>
              <w:jc w:val="center"/>
              <w:rPr>
                <w:rFonts w:ascii="Times New Roman" w:hAnsi="Times New Roman"/>
                <w:b/>
                <w:bCs/>
                <w:color w:val="000000" w:themeColor="text1"/>
                <w:sz w:val="24"/>
                <w:szCs w:val="24"/>
                <w:lang w:bidi="ar-SA"/>
              </w:rPr>
            </w:pPr>
            <w:proofErr w:type="spellStart"/>
            <w:r w:rsidRPr="00440C15">
              <w:rPr>
                <w:rFonts w:ascii="Times New Roman" w:hAnsi="Times New Roman"/>
                <w:b/>
                <w:bCs/>
                <w:color w:val="000000" w:themeColor="text1"/>
                <w:sz w:val="24"/>
                <w:szCs w:val="24"/>
                <w:lang w:bidi="ar-SA"/>
              </w:rPr>
              <w:t>Eron’s</w:t>
            </w:r>
            <w:proofErr w:type="spellEnd"/>
            <w:r w:rsidRPr="00440C15">
              <w:rPr>
                <w:rFonts w:ascii="Times New Roman" w:hAnsi="Times New Roman"/>
                <w:b/>
                <w:bCs/>
                <w:color w:val="000000" w:themeColor="text1"/>
                <w:sz w:val="24"/>
                <w:szCs w:val="24"/>
                <w:lang w:bidi="ar-SA"/>
              </w:rPr>
              <w:t xml:space="preserve"> Investor at the Time of investment</w:t>
            </w:r>
            <w:r w:rsidRPr="00440C15">
              <w:rPr>
                <w:rFonts w:ascii="Times New Roman" w:hAnsi="Times New Roman"/>
                <w:bCs/>
                <w:color w:val="000000" w:themeColor="text1"/>
                <w:sz w:val="24"/>
                <w:szCs w:val="24"/>
                <w:lang w:bidi="ar-SA"/>
              </w:rPr>
              <w:t xml:space="preserve"> </w:t>
            </w:r>
          </w:p>
        </w:tc>
        <w:tc>
          <w:tcPr>
            <w:tcW w:w="24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center"/>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Typical Canadian Investor</w:t>
            </w:r>
            <w:r w:rsidRPr="00440C15">
              <w:rPr>
                <w:rStyle w:val="FootnoteReference"/>
                <w:rFonts w:ascii="Times New Roman" w:hAnsi="Times New Roman"/>
                <w:bCs/>
                <w:color w:val="000000" w:themeColor="text1"/>
                <w:sz w:val="24"/>
                <w:szCs w:val="24"/>
                <w:lang w:bidi="ar-SA"/>
              </w:rPr>
              <w:footnoteReference w:id="4"/>
            </w:r>
          </w:p>
        </w:tc>
      </w:tr>
      <w:tr w:rsidR="00457EE3" w:rsidRPr="00440C15" w:rsidTr="002A192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Cs/>
                <w:color w:val="000000" w:themeColor="text1"/>
                <w:sz w:val="24"/>
                <w:szCs w:val="24"/>
                <w:lang w:bidi="ar-SA"/>
              </w:rPr>
            </w:pPr>
            <w:r w:rsidRPr="00440C15">
              <w:rPr>
                <w:rFonts w:ascii="Times New Roman" w:hAnsi="Times New Roman"/>
                <w:bCs/>
                <w:color w:val="000000" w:themeColor="text1"/>
                <w:sz w:val="24"/>
                <w:szCs w:val="24"/>
                <w:lang w:bidi="ar-SA"/>
              </w:rPr>
              <w:t>Under 45</w:t>
            </w:r>
          </w:p>
        </w:tc>
        <w:tc>
          <w:tcPr>
            <w:tcW w:w="178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22</w:t>
            </w:r>
          </w:p>
        </w:tc>
        <w:tc>
          <w:tcPr>
            <w:tcW w:w="226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25</w:t>
            </w:r>
          </w:p>
        </w:tc>
        <w:tc>
          <w:tcPr>
            <w:tcW w:w="24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52</w:t>
            </w:r>
          </w:p>
        </w:tc>
      </w:tr>
      <w:tr w:rsidR="00457EE3" w:rsidRPr="00440C15" w:rsidTr="002A192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Cs/>
                <w:color w:val="000000" w:themeColor="text1"/>
                <w:sz w:val="24"/>
                <w:szCs w:val="24"/>
                <w:lang w:bidi="ar-SA"/>
              </w:rPr>
            </w:pPr>
            <w:r w:rsidRPr="00440C15">
              <w:rPr>
                <w:rFonts w:ascii="Times New Roman" w:hAnsi="Times New Roman"/>
                <w:bCs/>
                <w:color w:val="000000" w:themeColor="text1"/>
                <w:sz w:val="24"/>
                <w:szCs w:val="24"/>
                <w:lang w:bidi="ar-SA"/>
              </w:rPr>
              <w:t>45-54</w:t>
            </w:r>
          </w:p>
        </w:tc>
        <w:tc>
          <w:tcPr>
            <w:tcW w:w="178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18</w:t>
            </w:r>
          </w:p>
        </w:tc>
        <w:tc>
          <w:tcPr>
            <w:tcW w:w="226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25</w:t>
            </w:r>
          </w:p>
        </w:tc>
        <w:tc>
          <w:tcPr>
            <w:tcW w:w="24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17</w:t>
            </w:r>
          </w:p>
        </w:tc>
      </w:tr>
      <w:tr w:rsidR="00457EE3" w:rsidRPr="00440C15" w:rsidTr="002A192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Cs/>
                <w:color w:val="000000" w:themeColor="text1"/>
                <w:sz w:val="24"/>
                <w:szCs w:val="24"/>
                <w:lang w:bidi="ar-SA"/>
              </w:rPr>
            </w:pPr>
            <w:r w:rsidRPr="00440C15">
              <w:rPr>
                <w:rFonts w:ascii="Times New Roman" w:hAnsi="Times New Roman"/>
                <w:bCs/>
                <w:color w:val="000000" w:themeColor="text1"/>
                <w:sz w:val="24"/>
                <w:szCs w:val="24"/>
                <w:lang w:bidi="ar-SA"/>
              </w:rPr>
              <w:t>55-64</w:t>
            </w:r>
          </w:p>
        </w:tc>
        <w:tc>
          <w:tcPr>
            <w:tcW w:w="178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24</w:t>
            </w:r>
          </w:p>
        </w:tc>
        <w:tc>
          <w:tcPr>
            <w:tcW w:w="226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25</w:t>
            </w:r>
          </w:p>
        </w:tc>
        <w:tc>
          <w:tcPr>
            <w:tcW w:w="24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15</w:t>
            </w:r>
          </w:p>
        </w:tc>
      </w:tr>
      <w:tr w:rsidR="00457EE3" w:rsidRPr="00440C15" w:rsidTr="002A192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Cs/>
                <w:color w:val="000000" w:themeColor="text1"/>
                <w:sz w:val="24"/>
                <w:szCs w:val="24"/>
                <w:lang w:bidi="ar-SA"/>
              </w:rPr>
            </w:pPr>
            <w:r w:rsidRPr="00440C15">
              <w:rPr>
                <w:rFonts w:ascii="Times New Roman" w:hAnsi="Times New Roman"/>
                <w:bCs/>
                <w:color w:val="000000" w:themeColor="text1"/>
                <w:sz w:val="24"/>
                <w:szCs w:val="24"/>
                <w:lang w:bidi="ar-SA"/>
              </w:rPr>
              <w:t>65+</w:t>
            </w:r>
          </w:p>
        </w:tc>
        <w:tc>
          <w:tcPr>
            <w:tcW w:w="178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36</w:t>
            </w:r>
          </w:p>
        </w:tc>
        <w:tc>
          <w:tcPr>
            <w:tcW w:w="226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14</w:t>
            </w:r>
          </w:p>
        </w:tc>
        <w:tc>
          <w:tcPr>
            <w:tcW w:w="24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15</w:t>
            </w:r>
          </w:p>
        </w:tc>
      </w:tr>
      <w:tr w:rsidR="00457EE3" w:rsidRPr="00440C15" w:rsidTr="002A192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Cs/>
                <w:color w:val="000000" w:themeColor="text1"/>
                <w:sz w:val="24"/>
                <w:szCs w:val="24"/>
                <w:lang w:bidi="ar-SA"/>
              </w:rPr>
            </w:pPr>
            <w:r w:rsidRPr="00440C15">
              <w:rPr>
                <w:rFonts w:ascii="Times New Roman" w:hAnsi="Times New Roman"/>
                <w:bCs/>
                <w:color w:val="000000" w:themeColor="text1"/>
                <w:sz w:val="24"/>
                <w:szCs w:val="24"/>
                <w:lang w:bidi="ar-SA"/>
              </w:rPr>
              <w:t>N/A</w:t>
            </w:r>
          </w:p>
        </w:tc>
        <w:tc>
          <w:tcPr>
            <w:tcW w:w="178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0</w:t>
            </w:r>
          </w:p>
        </w:tc>
        <w:tc>
          <w:tcPr>
            <w:tcW w:w="226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11</w:t>
            </w:r>
          </w:p>
        </w:tc>
        <w:tc>
          <w:tcPr>
            <w:tcW w:w="24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w:t>
            </w:r>
          </w:p>
        </w:tc>
      </w:tr>
      <w:tr w:rsidR="00457EE3" w:rsidRPr="00440C15" w:rsidTr="002A192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Cs/>
                <w:color w:val="000000" w:themeColor="text1"/>
                <w:sz w:val="24"/>
                <w:szCs w:val="24"/>
                <w:lang w:bidi="ar-SA"/>
              </w:rPr>
            </w:pPr>
            <w:r w:rsidRPr="00440C15">
              <w:rPr>
                <w:rFonts w:ascii="Times New Roman" w:hAnsi="Times New Roman"/>
                <w:bCs/>
                <w:color w:val="000000" w:themeColor="text1"/>
                <w:sz w:val="24"/>
                <w:szCs w:val="24"/>
                <w:lang w:bidi="ar-SA"/>
              </w:rPr>
              <w:t>Total percent</w:t>
            </w:r>
          </w:p>
        </w:tc>
        <w:tc>
          <w:tcPr>
            <w:tcW w:w="178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c>
          <w:tcPr>
            <w:tcW w:w="226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c>
          <w:tcPr>
            <w:tcW w:w="24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r>
    </w:tbl>
    <w:p w:rsidR="00457EE3" w:rsidRPr="00440C15" w:rsidRDefault="00457EE3" w:rsidP="00457EE3">
      <w:pPr>
        <w:pStyle w:val="Heading3"/>
        <w:rPr>
          <w:rFonts w:ascii="Times New Roman" w:hAnsi="Times New Roman"/>
          <w:color w:val="000000" w:themeColor="text1"/>
          <w:sz w:val="24"/>
        </w:rPr>
      </w:pPr>
      <w:bookmarkStart w:id="14" w:name="_Toc314667673"/>
      <w:bookmarkStart w:id="15" w:name="_Toc329241634"/>
      <w:r w:rsidRPr="00440C15">
        <w:rPr>
          <w:rFonts w:ascii="Times New Roman" w:hAnsi="Times New Roman"/>
          <w:color w:val="000000" w:themeColor="text1"/>
          <w:sz w:val="24"/>
        </w:rPr>
        <w:t>Investors’ Occupation and Knowledge</w:t>
      </w:r>
      <w:bookmarkEnd w:id="14"/>
      <w:bookmarkEnd w:id="15"/>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Using Statistics Canada’s “National Occupational Classification for Statistics 2006 (NOC-S 2006),” investors’ job type will be classified into the following occupations:  Management Occupations; Business, Finance and Administrative Occupations; Natural and Applied Sciences and Related Occupations; Health Occupations; Occupations in Social Science, Education, Government Service and Religion; Occupations in Art, Culture, Recreation and Sport; Sales and Service Occupations; Trades, Transport and Equipment Operators and Related Occupations; Occupations Unique to Primary Industry; and Occupations Unique to Processing, Manufacturing and Utilities (Statistic Canada, 2010).</w:t>
      </w:r>
      <w:r w:rsidRPr="00440C15">
        <w:rPr>
          <w:rStyle w:val="FootnoteReference"/>
          <w:rFonts w:ascii="Times New Roman" w:hAnsi="Times New Roman"/>
          <w:color w:val="000000" w:themeColor="text1"/>
          <w:sz w:val="24"/>
          <w:szCs w:val="24"/>
        </w:rPr>
        <w:footnoteReference w:id="5"/>
      </w:r>
      <w:r w:rsidRPr="00440C15">
        <w:rPr>
          <w:rFonts w:ascii="Times New Roman" w:hAnsi="Times New Roman"/>
          <w:color w:val="000000" w:themeColor="text1"/>
          <w:sz w:val="24"/>
          <w:szCs w:val="24"/>
        </w:rPr>
        <w:t xml:space="preserve"> </w:t>
      </w:r>
    </w:p>
    <w:p w:rsidR="00457EE3" w:rsidRPr="00440C15" w:rsidRDefault="00457EE3" w:rsidP="00457EE3">
      <w:pPr>
        <w:pStyle w:val="7FigureImagewithNoteOrCaptionAfter"/>
        <w:rPr>
          <w:rFonts w:ascii="Times New Roman" w:hAnsi="Times New Roman"/>
          <w:color w:val="000000" w:themeColor="text1"/>
          <w:sz w:val="24"/>
          <w:szCs w:val="24"/>
        </w:rPr>
      </w:pPr>
      <w:r w:rsidRPr="00440C15">
        <w:rPr>
          <w:rFonts w:ascii="Times New Roman" w:hAnsi="Times New Roman"/>
          <w:noProof/>
          <w:color w:val="000000" w:themeColor="text1"/>
          <w:sz w:val="24"/>
          <w:szCs w:val="24"/>
          <w:lang w:val="en-GB" w:eastAsia="en-GB" w:bidi="ar-SA"/>
        </w:rPr>
        <w:lastRenderedPageBreak/>
        <w:drawing>
          <wp:inline distT="0" distB="0" distL="0" distR="0">
            <wp:extent cx="5467350" cy="4013460"/>
            <wp:effectExtent l="12192" t="6090" r="6858"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EE3" w:rsidRPr="00440C15" w:rsidRDefault="00457EE3" w:rsidP="00457EE3">
      <w:pPr>
        <w:pStyle w:val="Caption"/>
        <w:rPr>
          <w:rFonts w:ascii="Times New Roman" w:hAnsi="Times New Roman"/>
          <w:color w:val="000000" w:themeColor="text1"/>
          <w:sz w:val="24"/>
        </w:rPr>
      </w:pPr>
      <w:bookmarkStart w:id="16" w:name="_Toc329241735"/>
      <w:r w:rsidRPr="00440C15">
        <w:rPr>
          <w:rFonts w:ascii="Times New Roman" w:hAnsi="Times New Roman"/>
          <w:color w:val="000000" w:themeColor="text1"/>
          <w:sz w:val="24"/>
        </w:rPr>
        <w:t xml:space="preserve">Figure </w:t>
      </w:r>
      <w:r w:rsidR="003E27EC"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Figure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2</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t>Investors’ Occupational Classification</w:t>
      </w:r>
      <w:bookmarkEnd w:id="16"/>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For the first time in Canada, data is available to show the occupational classification of investors who were victims of securities infractions.</w:t>
      </w:r>
      <w:r w:rsidRPr="00440C15">
        <w:rPr>
          <w:rStyle w:val="FootnoteReference"/>
          <w:rFonts w:ascii="Times New Roman" w:hAnsi="Times New Roman"/>
          <w:color w:val="000000" w:themeColor="text1"/>
          <w:sz w:val="24"/>
          <w:szCs w:val="24"/>
        </w:rPr>
        <w:footnoteReference w:id="6"/>
      </w:r>
      <w:r w:rsidR="003E27EC" w:rsidRPr="00440C15">
        <w:rPr>
          <w:rFonts w:ascii="Times New Roman" w:hAnsi="Times New Roman"/>
          <w:color w:val="000000" w:themeColor="text1"/>
          <w:sz w:val="24"/>
          <w:szCs w:val="24"/>
        </w:rPr>
        <w:t xml:space="preserve">  As Figure 1</w:t>
      </w:r>
      <w:r w:rsidRPr="00440C15">
        <w:rPr>
          <w:rFonts w:ascii="Times New Roman" w:hAnsi="Times New Roman"/>
          <w:color w:val="000000" w:themeColor="text1"/>
          <w:sz w:val="24"/>
          <w:szCs w:val="24"/>
        </w:rPr>
        <w:t xml:space="preserve">-2 shows, 30% of investors were retired at the time of investment, while 18% worked in Management. Investors who worked in Business, Finance and Administration and Health services comprised 9% respectively. Other noteworthy occupational classifications were Sales and Services (8%), and Social Services, Education, Government, and Religion (6%). Investors who were self-employed comprised 7% of the victims. Of the remaining occupation classifications, none of them surpasses 5%. </w:t>
      </w:r>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Not only were a significant proportion of the investors retired, but most of them were classified as unsophisticated.  The IDA hearing panels referred to an unsophisticated investor as </w:t>
      </w:r>
      <w:r w:rsidRPr="00440C15">
        <w:rPr>
          <w:rFonts w:ascii="Times New Roman" w:hAnsi="Times New Roman"/>
          <w:color w:val="000000" w:themeColor="text1"/>
          <w:sz w:val="24"/>
          <w:szCs w:val="24"/>
        </w:rPr>
        <w:lastRenderedPageBreak/>
        <w:t xml:space="preserve">someone with “limited investment knowledge” and “no </w:t>
      </w:r>
      <w:r w:rsidRPr="00440C15">
        <w:rPr>
          <w:rStyle w:val="verdana"/>
          <w:rFonts w:ascii="Times New Roman" w:hAnsi="Times New Roman"/>
          <w:color w:val="000000" w:themeColor="text1"/>
          <w:sz w:val="24"/>
          <w:szCs w:val="24"/>
        </w:rPr>
        <w:t>previous investment experience” in the securities industry</w:t>
      </w:r>
      <w:r w:rsidRPr="00440C15">
        <w:rPr>
          <w:rFonts w:ascii="Times New Roman" w:hAnsi="Times New Roman"/>
          <w:color w:val="000000" w:themeColor="text1"/>
          <w:sz w:val="24"/>
          <w:szCs w:val="24"/>
        </w:rPr>
        <w:t xml:space="preserve"> (e.g., see </w:t>
      </w:r>
      <w:r w:rsidRPr="00440C15">
        <w:rPr>
          <w:rFonts w:ascii="Times New Roman" w:hAnsi="Times New Roman"/>
          <w:i/>
          <w:color w:val="000000" w:themeColor="text1"/>
          <w:sz w:val="24"/>
          <w:szCs w:val="24"/>
        </w:rPr>
        <w:t xml:space="preserve">IDA v. </w:t>
      </w:r>
      <w:proofErr w:type="spellStart"/>
      <w:r w:rsidRPr="00440C15">
        <w:rPr>
          <w:rStyle w:val="bold"/>
          <w:rFonts w:ascii="Times New Roman" w:hAnsi="Times New Roman"/>
          <w:i/>
          <w:color w:val="000000" w:themeColor="text1"/>
          <w:sz w:val="24"/>
          <w:szCs w:val="24"/>
        </w:rPr>
        <w:t>Schillaci</w:t>
      </w:r>
      <w:proofErr w:type="spellEnd"/>
      <w:r w:rsidRPr="00440C15">
        <w:rPr>
          <w:rStyle w:val="bold"/>
          <w:rFonts w:ascii="Times New Roman" w:hAnsi="Times New Roman"/>
          <w:color w:val="000000" w:themeColor="text1"/>
          <w:sz w:val="24"/>
          <w:szCs w:val="24"/>
        </w:rPr>
        <w:t xml:space="preserve">, 2004: para. </w:t>
      </w:r>
      <w:r w:rsidRPr="001647CE">
        <w:rPr>
          <w:rStyle w:val="bold"/>
          <w:rFonts w:ascii="Times New Roman" w:hAnsi="Times New Roman"/>
          <w:color w:val="000000" w:themeColor="text1"/>
          <w:sz w:val="24"/>
          <w:szCs w:val="24"/>
          <w:lang w:val="es-ES_tradnl"/>
        </w:rPr>
        <w:t xml:space="preserve">31; </w:t>
      </w:r>
      <w:r w:rsidRPr="001647CE">
        <w:rPr>
          <w:rFonts w:ascii="Times New Roman" w:hAnsi="Times New Roman"/>
          <w:i/>
          <w:color w:val="000000" w:themeColor="text1"/>
          <w:sz w:val="24"/>
          <w:szCs w:val="24"/>
          <w:lang w:val="es-ES_tradnl"/>
        </w:rPr>
        <w:t>IDA v. Tebbutt</w:t>
      </w:r>
      <w:r w:rsidRPr="001647CE">
        <w:rPr>
          <w:rFonts w:ascii="Times New Roman" w:hAnsi="Times New Roman"/>
          <w:color w:val="000000" w:themeColor="text1"/>
          <w:sz w:val="24"/>
          <w:szCs w:val="24"/>
          <w:lang w:val="es-ES_tradnl"/>
        </w:rPr>
        <w:t>, 1990: para. 9; also see</w:t>
      </w:r>
      <w:r w:rsidRPr="001647CE">
        <w:rPr>
          <w:rFonts w:ascii="Times New Roman" w:hAnsi="Times New Roman"/>
          <w:b/>
          <w:bCs/>
          <w:color w:val="000000" w:themeColor="text1"/>
          <w:sz w:val="24"/>
          <w:szCs w:val="24"/>
          <w:lang w:val="es-ES_tradnl"/>
        </w:rPr>
        <w:t xml:space="preserve"> </w:t>
      </w:r>
      <w:r w:rsidRPr="001647CE">
        <w:rPr>
          <w:rFonts w:ascii="Times New Roman" w:hAnsi="Times New Roman"/>
          <w:bCs/>
          <w:i/>
          <w:color w:val="000000" w:themeColor="text1"/>
          <w:sz w:val="24"/>
          <w:szCs w:val="24"/>
          <w:lang w:val="es-ES_tradnl"/>
        </w:rPr>
        <w:t>IDA v.</w:t>
      </w:r>
      <w:r w:rsidRPr="001647CE">
        <w:rPr>
          <w:rFonts w:ascii="Times New Roman" w:hAnsi="Times New Roman"/>
          <w:b/>
          <w:bCs/>
          <w:i/>
          <w:color w:val="000000" w:themeColor="text1"/>
          <w:sz w:val="24"/>
          <w:szCs w:val="24"/>
          <w:lang w:val="es-ES_tradnl"/>
        </w:rPr>
        <w:t xml:space="preserve"> </w:t>
      </w:r>
      <w:r w:rsidRPr="001647CE">
        <w:rPr>
          <w:rFonts w:ascii="Times New Roman" w:hAnsi="Times New Roman"/>
          <w:bCs/>
          <w:i/>
          <w:color w:val="000000" w:themeColor="text1"/>
          <w:sz w:val="24"/>
          <w:szCs w:val="24"/>
          <w:lang w:val="es-ES_tradnl"/>
        </w:rPr>
        <w:t>Balanko</w:t>
      </w:r>
      <w:r w:rsidRPr="001647CE">
        <w:rPr>
          <w:rFonts w:ascii="Times New Roman" w:hAnsi="Times New Roman"/>
          <w:bCs/>
          <w:color w:val="000000" w:themeColor="text1"/>
          <w:sz w:val="24"/>
          <w:szCs w:val="24"/>
          <w:lang w:val="es-ES_tradnl"/>
        </w:rPr>
        <w:t xml:space="preserve">, 2007: para. </w:t>
      </w:r>
      <w:r w:rsidRPr="00440C15">
        <w:rPr>
          <w:rFonts w:ascii="Times New Roman" w:hAnsi="Times New Roman"/>
          <w:bCs/>
          <w:color w:val="000000" w:themeColor="text1"/>
          <w:sz w:val="24"/>
          <w:szCs w:val="24"/>
        </w:rPr>
        <w:t>88</w:t>
      </w:r>
      <w:r w:rsidR="003E27EC" w:rsidRPr="00440C15">
        <w:rPr>
          <w:rFonts w:ascii="Times New Roman" w:hAnsi="Times New Roman"/>
          <w:color w:val="000000" w:themeColor="text1"/>
          <w:sz w:val="24"/>
          <w:szCs w:val="24"/>
        </w:rPr>
        <w:t>). As shown in Figure 1</w:t>
      </w:r>
      <w:r w:rsidRPr="00440C15">
        <w:rPr>
          <w:rFonts w:ascii="Times New Roman" w:hAnsi="Times New Roman"/>
          <w:color w:val="000000" w:themeColor="text1"/>
          <w:sz w:val="24"/>
          <w:szCs w:val="24"/>
        </w:rPr>
        <w:t>-3, 62% of the IDA’s investors were classified as unsophisticated and had limited investment knowledge. Of the others, 22% had average investment knowledge, while only 16% described themselves in the New Account Application Form (NAAF) as sophisticated investors.</w:t>
      </w:r>
      <w:r w:rsidRPr="00440C15">
        <w:rPr>
          <w:rStyle w:val="FootnoteReference"/>
          <w:rFonts w:ascii="Times New Roman" w:hAnsi="Times New Roman"/>
          <w:color w:val="000000" w:themeColor="text1"/>
          <w:sz w:val="24"/>
          <w:szCs w:val="24"/>
        </w:rPr>
        <w:footnoteReference w:id="7"/>
      </w:r>
      <w:r w:rsidRPr="00440C15">
        <w:rPr>
          <w:rFonts w:ascii="Times New Roman" w:hAnsi="Times New Roman"/>
          <w:color w:val="000000" w:themeColor="text1"/>
          <w:sz w:val="24"/>
          <w:szCs w:val="24"/>
        </w:rPr>
        <w:t xml:space="preserve"> When determining a sophisticated investor, </w:t>
      </w:r>
    </w:p>
    <w:p w:rsidR="00457EE3" w:rsidRPr="00440C15" w:rsidRDefault="00457EE3" w:rsidP="00457EE3">
      <w:pPr>
        <w:pStyle w:val="3BodyQuoteSingleOrLast"/>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consideration</w:t>
      </w:r>
      <w:proofErr w:type="gramEnd"/>
      <w:r w:rsidRPr="00440C15">
        <w:rPr>
          <w:rFonts w:ascii="Times New Roman" w:hAnsi="Times New Roman"/>
          <w:color w:val="000000" w:themeColor="text1"/>
          <w:sz w:val="24"/>
          <w:szCs w:val="24"/>
        </w:rPr>
        <w:t xml:space="preserve"> is usually given to an investor’s education, occupation, business experience, income, previous investment exposure, investment knowledge, understanding of securities and the dynamics of the security industry, and experience in securities trading. The main test is whether the investor possesses the intelligence and experience to independently evaluate a broker's suggestions (</w:t>
      </w:r>
      <w:proofErr w:type="spellStart"/>
      <w:r w:rsidRPr="00440C15">
        <w:rPr>
          <w:rFonts w:ascii="Times New Roman" w:hAnsi="Times New Roman"/>
          <w:color w:val="000000" w:themeColor="text1"/>
          <w:sz w:val="24"/>
          <w:szCs w:val="24"/>
        </w:rPr>
        <w:t>Goldin</w:t>
      </w:r>
      <w:proofErr w:type="spellEnd"/>
      <w:r w:rsidRPr="00440C15">
        <w:rPr>
          <w:rFonts w:ascii="Times New Roman" w:hAnsi="Times New Roman"/>
          <w:color w:val="000000" w:themeColor="text1"/>
          <w:sz w:val="24"/>
          <w:szCs w:val="24"/>
        </w:rPr>
        <w:t xml:space="preserve">, 2010: 298). </w:t>
      </w:r>
    </w:p>
    <w:p w:rsidR="00457EE3" w:rsidRPr="00440C15" w:rsidRDefault="00457EE3" w:rsidP="00457EE3">
      <w:pPr>
        <w:pStyle w:val="3BodyFlushLef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From the information provided so far, the investors who are more often taken advantage of therefore, are the elderly with “limited financial literacy” (e.g., see </w:t>
      </w:r>
      <w:proofErr w:type="spellStart"/>
      <w:r w:rsidRPr="00440C15">
        <w:rPr>
          <w:rFonts w:ascii="Times New Roman" w:hAnsi="Times New Roman"/>
          <w:color w:val="000000" w:themeColor="text1"/>
          <w:sz w:val="24"/>
          <w:szCs w:val="24"/>
        </w:rPr>
        <w:t>Heminway</w:t>
      </w:r>
      <w:proofErr w:type="spellEnd"/>
      <w:r w:rsidRPr="00440C15">
        <w:rPr>
          <w:rFonts w:ascii="Times New Roman" w:hAnsi="Times New Roman"/>
          <w:color w:val="000000" w:themeColor="text1"/>
          <w:sz w:val="24"/>
          <w:szCs w:val="24"/>
        </w:rPr>
        <w:t>, 2009: 307).</w:t>
      </w:r>
    </w:p>
    <w:p w:rsidR="00457EE3" w:rsidRPr="00440C15" w:rsidRDefault="00457EE3" w:rsidP="00457EE3">
      <w:pPr>
        <w:pStyle w:val="7FigureImagewithNoteOrCaptionAfter"/>
        <w:rPr>
          <w:rFonts w:ascii="Times New Roman" w:hAnsi="Times New Roman"/>
          <w:color w:val="000000" w:themeColor="text1"/>
          <w:sz w:val="24"/>
          <w:szCs w:val="24"/>
          <w:lang w:val="en-AU"/>
        </w:rPr>
      </w:pPr>
      <w:r w:rsidRPr="00440C15">
        <w:rPr>
          <w:rFonts w:ascii="Times New Roman" w:hAnsi="Times New Roman"/>
          <w:noProof/>
          <w:color w:val="000000" w:themeColor="text1"/>
          <w:sz w:val="24"/>
          <w:szCs w:val="24"/>
          <w:lang w:val="en-GB" w:eastAsia="en-GB" w:bidi="ar-SA"/>
        </w:rPr>
        <w:drawing>
          <wp:inline distT="0" distB="0" distL="0" distR="0">
            <wp:extent cx="4267361" cy="2224194"/>
            <wp:effectExtent l="10990" t="4656" r="7899" b="0"/>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7EE3" w:rsidRPr="00440C15" w:rsidRDefault="00457EE3" w:rsidP="00457EE3">
      <w:pPr>
        <w:pStyle w:val="Caption"/>
        <w:rPr>
          <w:rFonts w:ascii="Times New Roman" w:hAnsi="Times New Roman"/>
          <w:color w:val="000000" w:themeColor="text1"/>
          <w:sz w:val="24"/>
        </w:rPr>
      </w:pPr>
      <w:bookmarkStart w:id="17" w:name="_Toc329241736"/>
      <w:bookmarkStart w:id="18" w:name="_Toc314667674"/>
      <w:r w:rsidRPr="00440C15">
        <w:rPr>
          <w:rFonts w:ascii="Times New Roman" w:hAnsi="Times New Roman"/>
          <w:color w:val="000000" w:themeColor="text1"/>
          <w:sz w:val="24"/>
        </w:rPr>
        <w:t xml:space="preserve">Figure </w:t>
      </w:r>
      <w:r w:rsidR="003E27EC"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Figure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3</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r>
      <w:r w:rsidRPr="00440C15">
        <w:rPr>
          <w:rFonts w:ascii="Times New Roman" w:hAnsi="Times New Roman"/>
          <w:color w:val="000000" w:themeColor="text1"/>
          <w:sz w:val="24"/>
          <w:lang w:val="en-AU"/>
        </w:rPr>
        <w:t>Investors’ Investment Knowledge</w:t>
      </w:r>
      <w:bookmarkEnd w:id="17"/>
    </w:p>
    <w:p w:rsidR="00457EE3" w:rsidRPr="00440C15" w:rsidRDefault="00457EE3" w:rsidP="00457EE3">
      <w:pPr>
        <w:pStyle w:val="Heading3"/>
        <w:rPr>
          <w:rFonts w:ascii="Times New Roman" w:hAnsi="Times New Roman"/>
          <w:color w:val="000000" w:themeColor="text1"/>
          <w:sz w:val="24"/>
        </w:rPr>
      </w:pPr>
      <w:bookmarkStart w:id="19" w:name="_Toc329241635"/>
      <w:r w:rsidRPr="00440C15">
        <w:rPr>
          <w:rFonts w:ascii="Times New Roman" w:hAnsi="Times New Roman"/>
          <w:color w:val="000000" w:themeColor="text1"/>
          <w:sz w:val="24"/>
        </w:rPr>
        <w:lastRenderedPageBreak/>
        <w:t>Purpose of Investment</w:t>
      </w:r>
      <w:bookmarkEnd w:id="18"/>
      <w:bookmarkEnd w:id="19"/>
    </w:p>
    <w:p w:rsidR="00457EE3" w:rsidRPr="00440C15" w:rsidRDefault="003E27EC" w:rsidP="00457EE3">
      <w:pPr>
        <w:pStyle w:val="NormalInden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lang w:val="en-AU"/>
        </w:rPr>
        <w:t>Table 1</w:t>
      </w:r>
      <w:r w:rsidR="00457EE3" w:rsidRPr="00440C15">
        <w:rPr>
          <w:rFonts w:ascii="Times New Roman" w:hAnsi="Times New Roman"/>
          <w:color w:val="000000" w:themeColor="text1"/>
          <w:sz w:val="24"/>
          <w:szCs w:val="24"/>
          <w:lang w:val="en-AU"/>
        </w:rPr>
        <w:t xml:space="preserve">-3 compares the purpose of investment from the IDA’s study to that of </w:t>
      </w:r>
      <w:proofErr w:type="spellStart"/>
      <w:r w:rsidR="00457EE3" w:rsidRPr="00440C15">
        <w:rPr>
          <w:rFonts w:ascii="Times New Roman" w:hAnsi="Times New Roman"/>
          <w:color w:val="000000" w:themeColor="text1"/>
          <w:sz w:val="24"/>
          <w:szCs w:val="24"/>
          <w:lang w:val="en-AU"/>
        </w:rPr>
        <w:t>Eron</w:t>
      </w:r>
      <w:proofErr w:type="spellEnd"/>
      <w:r w:rsidR="00457EE3" w:rsidRPr="00440C15">
        <w:rPr>
          <w:rFonts w:ascii="Times New Roman" w:hAnsi="Times New Roman"/>
          <w:color w:val="000000" w:themeColor="text1"/>
          <w:sz w:val="24"/>
          <w:szCs w:val="24"/>
          <w:lang w:val="en-AU"/>
        </w:rPr>
        <w:t xml:space="preserve">. Given that 30% of the investors in the IDA study were already retired, and that 4% were unemployed at the time of investment, it is not surprising that 31% invested because they wanted money for their basic needs, compared to the 12% of </w:t>
      </w:r>
      <w:proofErr w:type="spellStart"/>
      <w:r w:rsidR="00457EE3" w:rsidRPr="00440C15">
        <w:rPr>
          <w:rFonts w:ascii="Times New Roman" w:hAnsi="Times New Roman"/>
          <w:color w:val="000000" w:themeColor="text1"/>
          <w:sz w:val="24"/>
          <w:szCs w:val="24"/>
          <w:lang w:val="en-AU"/>
        </w:rPr>
        <w:t>Eron’s</w:t>
      </w:r>
      <w:proofErr w:type="spellEnd"/>
      <w:r w:rsidR="00457EE3" w:rsidRPr="00440C15">
        <w:rPr>
          <w:rFonts w:ascii="Times New Roman" w:hAnsi="Times New Roman"/>
          <w:color w:val="000000" w:themeColor="text1"/>
          <w:sz w:val="24"/>
          <w:szCs w:val="24"/>
          <w:lang w:val="en-AU"/>
        </w:rPr>
        <w:t xml:space="preserve"> investors who invested for the same purpose. What is noticeable, however, is that 58% of </w:t>
      </w:r>
      <w:proofErr w:type="spellStart"/>
      <w:r w:rsidR="00457EE3" w:rsidRPr="00440C15">
        <w:rPr>
          <w:rFonts w:ascii="Times New Roman" w:hAnsi="Times New Roman"/>
          <w:color w:val="000000" w:themeColor="text1"/>
          <w:sz w:val="24"/>
          <w:szCs w:val="24"/>
          <w:lang w:val="en-AU"/>
        </w:rPr>
        <w:t>Eron’s</w:t>
      </w:r>
      <w:proofErr w:type="spellEnd"/>
      <w:r w:rsidR="00457EE3" w:rsidRPr="00440C15">
        <w:rPr>
          <w:rFonts w:ascii="Times New Roman" w:hAnsi="Times New Roman"/>
          <w:color w:val="000000" w:themeColor="text1"/>
          <w:sz w:val="24"/>
          <w:szCs w:val="24"/>
          <w:lang w:val="en-AU"/>
        </w:rPr>
        <w:t xml:space="preserve"> investors invested to fund their future retirement in comparison to 15% of IDA’s investors. The fact that most of the </w:t>
      </w:r>
      <w:proofErr w:type="spellStart"/>
      <w:r w:rsidR="00457EE3" w:rsidRPr="00440C15">
        <w:rPr>
          <w:rFonts w:ascii="Times New Roman" w:hAnsi="Times New Roman"/>
          <w:color w:val="000000" w:themeColor="text1"/>
          <w:sz w:val="24"/>
          <w:szCs w:val="24"/>
          <w:lang w:val="en-AU"/>
        </w:rPr>
        <w:t>Eron</w:t>
      </w:r>
      <w:proofErr w:type="spellEnd"/>
      <w:r w:rsidR="00457EE3" w:rsidRPr="00440C15">
        <w:rPr>
          <w:rFonts w:ascii="Times New Roman" w:hAnsi="Times New Roman"/>
          <w:color w:val="000000" w:themeColor="text1"/>
          <w:sz w:val="24"/>
          <w:szCs w:val="24"/>
          <w:lang w:val="en-AU"/>
        </w:rPr>
        <w:t xml:space="preserve"> investors were working at the time of investment, explains their desire to set up financial plans to fund their retirement needs (Boyd, 2005: 12). Note also, that 20% of the investors in the IDA study wanted a higher rate of return on their investments compared to only 1% of the </w:t>
      </w:r>
      <w:proofErr w:type="spellStart"/>
      <w:r w:rsidR="00457EE3" w:rsidRPr="00440C15">
        <w:rPr>
          <w:rFonts w:ascii="Times New Roman" w:hAnsi="Times New Roman"/>
          <w:color w:val="000000" w:themeColor="text1"/>
          <w:sz w:val="24"/>
          <w:szCs w:val="24"/>
          <w:lang w:val="en-AU"/>
        </w:rPr>
        <w:t>Eron</w:t>
      </w:r>
      <w:proofErr w:type="spellEnd"/>
      <w:r w:rsidR="00457EE3" w:rsidRPr="00440C15">
        <w:rPr>
          <w:rFonts w:ascii="Times New Roman" w:hAnsi="Times New Roman"/>
          <w:color w:val="000000" w:themeColor="text1"/>
          <w:sz w:val="24"/>
          <w:szCs w:val="24"/>
          <w:lang w:val="en-AU"/>
        </w:rPr>
        <w:t xml:space="preserve"> investors.  This finding points to the possibility that vulnerable investors were lured by promises of higher returns, only to be swindled of their investments by their financial advisors. </w:t>
      </w:r>
    </w:p>
    <w:p w:rsidR="00457EE3" w:rsidRPr="00440C15" w:rsidRDefault="00457EE3" w:rsidP="00457EE3">
      <w:pPr>
        <w:pStyle w:val="NormalInden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lang w:val="en-AU"/>
        </w:rPr>
        <w:t xml:space="preserve">The “Other” category of 6% in the IDA’s study consisted of investors who opened accounts for various purposes. Some opened accounts to facilitate private placement of securities and to reduce their income taxes; others opened accounts to provide security and cover the operating expenses of companies they owned; while some invested to transfer-in funds from other accounts, and to deposit securities received from inheritances.   </w:t>
      </w:r>
    </w:p>
    <w:p w:rsidR="00457EE3" w:rsidRPr="00440C15" w:rsidRDefault="00457EE3" w:rsidP="00457EE3">
      <w:pPr>
        <w:pStyle w:val="Caption"/>
        <w:rPr>
          <w:rFonts w:ascii="Times New Roman" w:hAnsi="Times New Roman"/>
          <w:b w:val="0"/>
          <w:color w:val="000000" w:themeColor="text1"/>
          <w:sz w:val="24"/>
          <w:lang w:val="en-AU"/>
        </w:rPr>
      </w:pPr>
      <w:bookmarkStart w:id="20" w:name="_Toc329241715"/>
      <w:r w:rsidRPr="00440C15">
        <w:rPr>
          <w:rFonts w:ascii="Times New Roman" w:hAnsi="Times New Roman"/>
          <w:color w:val="000000" w:themeColor="text1"/>
          <w:sz w:val="24"/>
        </w:rPr>
        <w:t xml:space="preserve">Table </w:t>
      </w:r>
      <w:r w:rsidR="0091503E"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Table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3</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r>
      <w:r w:rsidRPr="00440C15">
        <w:rPr>
          <w:rFonts w:ascii="Times New Roman" w:hAnsi="Times New Roman"/>
          <w:color w:val="000000" w:themeColor="text1"/>
          <w:sz w:val="24"/>
          <w:lang w:val="en-AU"/>
        </w:rPr>
        <w:t xml:space="preserve">Purpose of Investment in the IDA and </w:t>
      </w:r>
      <w:proofErr w:type="spellStart"/>
      <w:r w:rsidRPr="00440C15">
        <w:rPr>
          <w:rFonts w:ascii="Times New Roman" w:hAnsi="Times New Roman"/>
          <w:color w:val="000000" w:themeColor="text1"/>
          <w:sz w:val="24"/>
          <w:lang w:val="en-AU"/>
        </w:rPr>
        <w:t>Eron</w:t>
      </w:r>
      <w:proofErr w:type="spellEnd"/>
      <w:r w:rsidRPr="00440C15">
        <w:rPr>
          <w:rFonts w:ascii="Times New Roman" w:hAnsi="Times New Roman"/>
          <w:color w:val="000000" w:themeColor="text1"/>
          <w:sz w:val="24"/>
          <w:lang w:val="en-AU"/>
        </w:rPr>
        <w:t xml:space="preserve"> Studies</w:t>
      </w:r>
      <w:bookmarkEnd w:id="20"/>
    </w:p>
    <w:tbl>
      <w:tblPr>
        <w:tblW w:w="8640" w:type="dxa"/>
        <w:tblInd w:w="96" w:type="dxa"/>
        <w:tblLook w:val="04A0" w:firstRow="1" w:lastRow="0" w:firstColumn="1" w:lastColumn="0" w:noHBand="0" w:noVBand="1"/>
      </w:tblPr>
      <w:tblGrid>
        <w:gridCol w:w="4577"/>
        <w:gridCol w:w="2334"/>
        <w:gridCol w:w="1729"/>
      </w:tblGrid>
      <w:tr w:rsidR="00457EE3" w:rsidRPr="00440C15" w:rsidTr="002A1926">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 xml:space="preserve">Purpose of Investment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IDA Study (N=228)</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proofErr w:type="spellStart"/>
            <w:r w:rsidRPr="00440C15">
              <w:rPr>
                <w:rFonts w:ascii="Times New Roman" w:hAnsi="Times New Roman"/>
                <w:b/>
                <w:bCs/>
                <w:color w:val="000000" w:themeColor="text1"/>
                <w:sz w:val="24"/>
                <w:szCs w:val="24"/>
                <w:lang w:bidi="ar-SA"/>
              </w:rPr>
              <w:t>Eron</w:t>
            </w:r>
            <w:proofErr w:type="spellEnd"/>
            <w:r w:rsidRPr="00440C15">
              <w:rPr>
                <w:rFonts w:ascii="Times New Roman" w:hAnsi="Times New Roman"/>
                <w:b/>
                <w:bCs/>
                <w:color w:val="000000" w:themeColor="text1"/>
                <w:sz w:val="24"/>
                <w:szCs w:val="24"/>
                <w:lang w:bidi="ar-SA"/>
              </w:rPr>
              <w:t xml:space="preserve"> Study</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Fund future retirement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15</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58</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Enhance current lifestyle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19</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Income for basic needs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31</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12</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For children/grandchildren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4</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Extra income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Diversify investment portfolio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lastRenderedPageBreak/>
              <w:t xml:space="preserve">Higher rate of return than other investment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20</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Trust Funds</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Purchase Property</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9</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Other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6</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DK/NA </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w:t>
            </w:r>
          </w:p>
        </w:tc>
      </w:tr>
      <w:tr w:rsidR="00457EE3" w:rsidRPr="00440C15" w:rsidTr="002A1926">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Total Percent</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c>
          <w:tcPr>
            <w:tcW w:w="160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r>
    </w:tbl>
    <w:p w:rsidR="00457EE3" w:rsidRPr="00440C15" w:rsidRDefault="00457EE3" w:rsidP="00457EE3">
      <w:pPr>
        <w:spacing w:after="0" w:line="240" w:lineRule="auto"/>
        <w:rPr>
          <w:rFonts w:ascii="Times New Roman" w:hAnsi="Times New Roman"/>
          <w:color w:val="000000" w:themeColor="text1"/>
          <w:sz w:val="24"/>
          <w:szCs w:val="24"/>
          <w:lang w:val="en-AU"/>
        </w:rPr>
      </w:pPr>
      <w:r w:rsidRPr="00440C15">
        <w:rPr>
          <w:rFonts w:ascii="Times New Roman" w:hAnsi="Times New Roman"/>
          <w:b/>
          <w:color w:val="000000" w:themeColor="text1"/>
          <w:sz w:val="24"/>
          <w:szCs w:val="24"/>
          <w:lang w:val="en-AU"/>
        </w:rPr>
        <w:t>*</w:t>
      </w:r>
      <w:r w:rsidRPr="00440C15">
        <w:rPr>
          <w:rFonts w:ascii="Times New Roman" w:hAnsi="Times New Roman"/>
          <w:color w:val="000000" w:themeColor="text1"/>
          <w:sz w:val="24"/>
          <w:szCs w:val="24"/>
          <w:lang w:val="en-AU"/>
        </w:rPr>
        <w:t>Not available</w:t>
      </w:r>
    </w:p>
    <w:p w:rsidR="00457EE3" w:rsidRPr="00440C15" w:rsidRDefault="00457EE3" w:rsidP="00457EE3">
      <w:pPr>
        <w:spacing w:after="0" w:line="240" w:lineRule="auto"/>
        <w:rPr>
          <w:rFonts w:ascii="Times New Roman" w:hAnsi="Times New Roman"/>
          <w:b/>
          <w:color w:val="000000" w:themeColor="text1"/>
          <w:sz w:val="24"/>
          <w:szCs w:val="24"/>
          <w:lang w:val="en-AU"/>
        </w:rPr>
      </w:pPr>
    </w:p>
    <w:p w:rsidR="00457EE3" w:rsidRPr="00440C15" w:rsidRDefault="00457EE3" w:rsidP="00457EE3">
      <w:pPr>
        <w:pStyle w:val="Heading3"/>
        <w:rPr>
          <w:rFonts w:ascii="Times New Roman" w:hAnsi="Times New Roman"/>
          <w:color w:val="000000" w:themeColor="text1"/>
          <w:sz w:val="24"/>
        </w:rPr>
      </w:pPr>
      <w:bookmarkStart w:id="21" w:name="_Toc314667675"/>
      <w:bookmarkStart w:id="22" w:name="_Toc329241636"/>
      <w:r w:rsidRPr="00440C15">
        <w:rPr>
          <w:rFonts w:ascii="Times New Roman" w:hAnsi="Times New Roman"/>
          <w:color w:val="000000" w:themeColor="text1"/>
          <w:sz w:val="24"/>
        </w:rPr>
        <w:t>Sources of Investment</w:t>
      </w:r>
      <w:bookmarkEnd w:id="21"/>
      <w:bookmarkEnd w:id="22"/>
    </w:p>
    <w:p w:rsidR="00457EE3" w:rsidRPr="00440C15" w:rsidRDefault="00457EE3" w:rsidP="00457EE3">
      <w:pPr>
        <w:pStyle w:val="NormalInden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lang w:val="en-AU"/>
        </w:rPr>
        <w:t>The IDA investors dipped into various sources to fun</w:t>
      </w:r>
      <w:r w:rsidR="0091503E" w:rsidRPr="00440C15">
        <w:rPr>
          <w:rFonts w:ascii="Times New Roman" w:hAnsi="Times New Roman"/>
          <w:color w:val="000000" w:themeColor="text1"/>
          <w:sz w:val="24"/>
          <w:szCs w:val="24"/>
          <w:lang w:val="en-AU"/>
        </w:rPr>
        <w:t>d their investments.  As Table 1</w:t>
      </w:r>
      <w:r w:rsidRPr="00440C15">
        <w:rPr>
          <w:rFonts w:ascii="Times New Roman" w:hAnsi="Times New Roman"/>
          <w:color w:val="000000" w:themeColor="text1"/>
          <w:sz w:val="24"/>
          <w:szCs w:val="24"/>
          <w:lang w:val="en-AU"/>
        </w:rPr>
        <w:t xml:space="preserve">-4 shows, an alarming 57% of the investors in the IDA study borrowed money to invest, in comparison to only 6 % of </w:t>
      </w:r>
      <w:proofErr w:type="spellStart"/>
      <w:r w:rsidRPr="00440C15">
        <w:rPr>
          <w:rFonts w:ascii="Times New Roman" w:hAnsi="Times New Roman"/>
          <w:color w:val="000000" w:themeColor="text1"/>
          <w:sz w:val="24"/>
          <w:szCs w:val="24"/>
          <w:lang w:val="en-AU"/>
        </w:rPr>
        <w:t>Eron’s</w:t>
      </w:r>
      <w:proofErr w:type="spellEnd"/>
      <w:r w:rsidRPr="00440C15">
        <w:rPr>
          <w:rFonts w:ascii="Times New Roman" w:hAnsi="Times New Roman"/>
          <w:color w:val="000000" w:themeColor="text1"/>
          <w:sz w:val="24"/>
          <w:szCs w:val="24"/>
          <w:lang w:val="en-AU"/>
        </w:rPr>
        <w:t xml:space="preserve"> investors who invested with borrowed money. Whereas 68% of </w:t>
      </w:r>
      <w:proofErr w:type="spellStart"/>
      <w:r w:rsidRPr="00440C15">
        <w:rPr>
          <w:rFonts w:ascii="Times New Roman" w:hAnsi="Times New Roman"/>
          <w:color w:val="000000" w:themeColor="text1"/>
          <w:sz w:val="24"/>
          <w:szCs w:val="24"/>
          <w:lang w:val="en-AU"/>
        </w:rPr>
        <w:t>Eron’s</w:t>
      </w:r>
      <w:proofErr w:type="spellEnd"/>
      <w:r w:rsidRPr="00440C15">
        <w:rPr>
          <w:rFonts w:ascii="Times New Roman" w:hAnsi="Times New Roman"/>
          <w:color w:val="000000" w:themeColor="text1"/>
          <w:sz w:val="24"/>
          <w:szCs w:val="24"/>
          <w:lang w:val="en-AU"/>
        </w:rPr>
        <w:t xml:space="preserve"> investors took out money from their savings and retirement savings to invest, only 11% of the IDA investors were able to withdraw funds from their saving accounts to fund their investments.  These differences can be attributed to the perception and nature of the investments.  The </w:t>
      </w:r>
      <w:proofErr w:type="spellStart"/>
      <w:r w:rsidRPr="00440C15">
        <w:rPr>
          <w:rFonts w:ascii="Times New Roman" w:hAnsi="Times New Roman"/>
          <w:color w:val="000000" w:themeColor="text1"/>
          <w:sz w:val="24"/>
          <w:szCs w:val="24"/>
          <w:lang w:val="en-AU"/>
        </w:rPr>
        <w:t>Eron</w:t>
      </w:r>
      <w:proofErr w:type="spellEnd"/>
      <w:r w:rsidRPr="00440C15">
        <w:rPr>
          <w:rFonts w:ascii="Times New Roman" w:hAnsi="Times New Roman"/>
          <w:color w:val="000000" w:themeColor="text1"/>
          <w:sz w:val="24"/>
          <w:szCs w:val="24"/>
          <w:lang w:val="en-AU"/>
        </w:rPr>
        <w:t xml:space="preserve"> investors were led to believe that  </w:t>
      </w:r>
    </w:p>
    <w:p w:rsidR="00457EE3" w:rsidRPr="00440C15" w:rsidRDefault="00457EE3" w:rsidP="00457EE3">
      <w:pPr>
        <w:pStyle w:val="3BodyQuoteSingleOrLas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 xml:space="preserve">there was security in real estate, [and that] </w:t>
      </w:r>
      <w:proofErr w:type="spellStart"/>
      <w:r w:rsidRPr="00440C15">
        <w:rPr>
          <w:rFonts w:ascii="Times New Roman" w:hAnsi="Times New Roman"/>
          <w:color w:val="000000" w:themeColor="text1"/>
          <w:sz w:val="24"/>
          <w:szCs w:val="24"/>
          <w:lang w:bidi="ar-SA"/>
        </w:rPr>
        <w:t>Eron’s</w:t>
      </w:r>
      <w:proofErr w:type="spellEnd"/>
      <w:r w:rsidRPr="00440C15">
        <w:rPr>
          <w:rFonts w:ascii="Times New Roman" w:hAnsi="Times New Roman"/>
          <w:color w:val="000000" w:themeColor="text1"/>
          <w:sz w:val="24"/>
          <w:szCs w:val="24"/>
          <w:lang w:bidi="ar-SA"/>
        </w:rPr>
        <w:t xml:space="preserve"> business appeared legitimate, based on, among other things, the fact that </w:t>
      </w:r>
      <w:proofErr w:type="spellStart"/>
      <w:r w:rsidRPr="00440C15">
        <w:rPr>
          <w:rFonts w:ascii="Times New Roman" w:hAnsi="Times New Roman"/>
          <w:color w:val="000000" w:themeColor="text1"/>
          <w:sz w:val="24"/>
          <w:szCs w:val="24"/>
          <w:lang w:bidi="ar-SA"/>
        </w:rPr>
        <w:t>Eron</w:t>
      </w:r>
      <w:proofErr w:type="spellEnd"/>
      <w:r w:rsidRPr="00440C15">
        <w:rPr>
          <w:rFonts w:ascii="Times New Roman" w:hAnsi="Times New Roman"/>
          <w:color w:val="000000" w:themeColor="text1"/>
          <w:sz w:val="24"/>
          <w:szCs w:val="24"/>
          <w:lang w:bidi="ar-SA"/>
        </w:rPr>
        <w:t xml:space="preserve"> had been in operation for three years with apparently stellar earnings for its clients. Many </w:t>
      </w:r>
      <w:proofErr w:type="spellStart"/>
      <w:r w:rsidRPr="00440C15">
        <w:rPr>
          <w:rFonts w:ascii="Times New Roman" w:hAnsi="Times New Roman"/>
          <w:color w:val="000000" w:themeColor="text1"/>
          <w:sz w:val="24"/>
          <w:szCs w:val="24"/>
          <w:lang w:bidi="ar-SA"/>
        </w:rPr>
        <w:t>Eron</w:t>
      </w:r>
      <w:proofErr w:type="spellEnd"/>
      <w:r w:rsidRPr="00440C15">
        <w:rPr>
          <w:rFonts w:ascii="Times New Roman" w:hAnsi="Times New Roman"/>
          <w:color w:val="000000" w:themeColor="text1"/>
          <w:sz w:val="24"/>
          <w:szCs w:val="24"/>
          <w:lang w:bidi="ar-SA"/>
        </w:rPr>
        <w:t xml:space="preserve"> investors did not see themselves as investors: 34 per cent thought that they were not investing, but lending money – providing a loan with a guaranteed rate of return (Boyd, 2005: 17). </w:t>
      </w:r>
    </w:p>
    <w:p w:rsidR="00457EE3" w:rsidRPr="00440C15" w:rsidRDefault="00457EE3" w:rsidP="00457EE3">
      <w:pPr>
        <w:pStyle w:val="3BodyFlushLeft"/>
        <w:rPr>
          <w:rFonts w:ascii="Times New Roman" w:hAnsi="Times New Roman"/>
          <w:color w:val="000000" w:themeColor="text1"/>
          <w:sz w:val="24"/>
          <w:szCs w:val="24"/>
        </w:rPr>
      </w:pPr>
      <w:r w:rsidRPr="00440C15">
        <w:rPr>
          <w:rFonts w:ascii="Times New Roman" w:hAnsi="Times New Roman"/>
          <w:color w:val="000000" w:themeColor="text1"/>
          <w:sz w:val="24"/>
          <w:szCs w:val="24"/>
          <w:lang w:bidi="ar-SA"/>
        </w:rPr>
        <w:t xml:space="preserve">Being given the assurance that there was less risk in investing with </w:t>
      </w:r>
      <w:proofErr w:type="spellStart"/>
      <w:r w:rsidRPr="00440C15">
        <w:rPr>
          <w:rFonts w:ascii="Times New Roman" w:hAnsi="Times New Roman"/>
          <w:color w:val="000000" w:themeColor="text1"/>
          <w:sz w:val="24"/>
          <w:szCs w:val="24"/>
          <w:lang w:bidi="ar-SA"/>
        </w:rPr>
        <w:t>Eron</w:t>
      </w:r>
      <w:proofErr w:type="spellEnd"/>
      <w:r w:rsidRPr="00440C15">
        <w:rPr>
          <w:rFonts w:ascii="Times New Roman" w:hAnsi="Times New Roman"/>
          <w:color w:val="000000" w:themeColor="text1"/>
          <w:sz w:val="24"/>
          <w:szCs w:val="24"/>
          <w:lang w:bidi="ar-SA"/>
        </w:rPr>
        <w:t xml:space="preserve">, it does not come as a surprise that 68 percent of the investors would use their </w:t>
      </w:r>
      <w:r w:rsidRPr="00440C15">
        <w:rPr>
          <w:rFonts w:ascii="Times New Roman" w:hAnsi="Times New Roman"/>
          <w:color w:val="000000" w:themeColor="text1"/>
          <w:sz w:val="24"/>
          <w:szCs w:val="24"/>
          <w:lang w:val="en-AU"/>
        </w:rPr>
        <w:t xml:space="preserve">savings and retirement savings to fund their investments. After all, it makes good financial sense for investors to use their own money to fund their investments, rather than with loans that they would have to repay with interest. The fact that the majority of the IDA investors borrowed money to invest can be partly attributed to their financial advisors who encouraged their clients to invest with borrowed funds, with </w:t>
      </w:r>
      <w:r w:rsidRPr="00440C15">
        <w:rPr>
          <w:rFonts w:ascii="Times New Roman" w:hAnsi="Times New Roman"/>
          <w:color w:val="000000" w:themeColor="text1"/>
          <w:sz w:val="24"/>
          <w:szCs w:val="24"/>
          <w:lang w:val="en-AU"/>
        </w:rPr>
        <w:lastRenderedPageBreak/>
        <w:t xml:space="preserve">promises of higher returns. Given that only 10% of the investors in the IDA study, and 4% in the </w:t>
      </w:r>
      <w:proofErr w:type="spellStart"/>
      <w:r w:rsidRPr="00440C15">
        <w:rPr>
          <w:rFonts w:ascii="Times New Roman" w:hAnsi="Times New Roman"/>
          <w:color w:val="000000" w:themeColor="text1"/>
          <w:sz w:val="24"/>
          <w:szCs w:val="24"/>
          <w:lang w:val="en-AU"/>
        </w:rPr>
        <w:t>Eron</w:t>
      </w:r>
      <w:proofErr w:type="spellEnd"/>
      <w:r w:rsidRPr="00440C15">
        <w:rPr>
          <w:rFonts w:ascii="Times New Roman" w:hAnsi="Times New Roman"/>
          <w:color w:val="000000" w:themeColor="text1"/>
          <w:sz w:val="24"/>
          <w:szCs w:val="24"/>
          <w:lang w:val="en-AU"/>
        </w:rPr>
        <w:t xml:space="preserve"> study, received money from a recent windfall or inheritance to fund their investments, it is clear that investors were willing to “jeopardize their </w:t>
      </w:r>
      <w:r w:rsidRPr="00440C15">
        <w:rPr>
          <w:rFonts w:ascii="Times New Roman" w:hAnsi="Times New Roman"/>
          <w:color w:val="000000" w:themeColor="text1"/>
          <w:sz w:val="24"/>
          <w:szCs w:val="24"/>
        </w:rPr>
        <w:t xml:space="preserve">financial security,” by either dipping into their savings or borrowing funds to invest “because of their apparent concerns for their financial futures” (Boyd, 2005: 13).  </w:t>
      </w:r>
    </w:p>
    <w:p w:rsidR="00457EE3" w:rsidRPr="00440C15" w:rsidRDefault="00457EE3" w:rsidP="00457EE3">
      <w:pPr>
        <w:spacing w:after="0"/>
        <w:ind w:firstLine="72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With the exception of investors who mortgaged their primary residence to obtain funds to invest, there was no significant difference in the other categories. The funds from the 7% of investors belonging to the “Other” category in the IDA study could not be easily categorized for coding purposes.   The “Other” category in the IDA study included funds that came from excess cash or “play money,” liquidated belongings, total net worth, and total assets. Some investors deposited securities and transferred their “holdings” from other firms into their new accounts. </w:t>
      </w:r>
    </w:p>
    <w:p w:rsidR="00457EE3" w:rsidRPr="00440C15" w:rsidRDefault="00457EE3" w:rsidP="00457EE3">
      <w:pPr>
        <w:pStyle w:val="Caption"/>
        <w:keepNext/>
        <w:rPr>
          <w:rFonts w:ascii="Times New Roman" w:hAnsi="Times New Roman"/>
          <w:color w:val="000000" w:themeColor="text1"/>
          <w:sz w:val="24"/>
        </w:rPr>
      </w:pPr>
      <w:bookmarkStart w:id="23" w:name="_Toc329241716"/>
      <w:r w:rsidRPr="00440C15">
        <w:rPr>
          <w:rFonts w:ascii="Times New Roman" w:hAnsi="Times New Roman"/>
          <w:color w:val="000000" w:themeColor="text1"/>
          <w:sz w:val="24"/>
        </w:rPr>
        <w:t xml:space="preserve">Table </w:t>
      </w:r>
      <w:r w:rsidR="0091503E"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Table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4</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r>
      <w:r w:rsidRPr="00440C15">
        <w:rPr>
          <w:rFonts w:ascii="Times New Roman" w:hAnsi="Times New Roman"/>
          <w:color w:val="000000" w:themeColor="text1"/>
          <w:sz w:val="24"/>
          <w:lang w:val="en-AU"/>
        </w:rPr>
        <w:t xml:space="preserve">Sources of Investment in the IDA and </w:t>
      </w:r>
      <w:proofErr w:type="spellStart"/>
      <w:r w:rsidRPr="00440C15">
        <w:rPr>
          <w:rFonts w:ascii="Times New Roman" w:hAnsi="Times New Roman"/>
          <w:color w:val="000000" w:themeColor="text1"/>
          <w:sz w:val="24"/>
          <w:lang w:val="en-AU"/>
        </w:rPr>
        <w:t>Eron</w:t>
      </w:r>
      <w:proofErr w:type="spellEnd"/>
      <w:r w:rsidRPr="00440C15">
        <w:rPr>
          <w:rFonts w:ascii="Times New Roman" w:hAnsi="Times New Roman"/>
          <w:color w:val="000000" w:themeColor="text1"/>
          <w:sz w:val="24"/>
          <w:lang w:val="en-AU"/>
        </w:rPr>
        <w:t xml:space="preserve"> Studies</w:t>
      </w:r>
      <w:bookmarkEnd w:id="23"/>
    </w:p>
    <w:tbl>
      <w:tblPr>
        <w:tblW w:w="8022" w:type="dxa"/>
        <w:tblInd w:w="96" w:type="dxa"/>
        <w:tblLook w:val="04A0" w:firstRow="1" w:lastRow="0" w:firstColumn="1" w:lastColumn="0" w:noHBand="0" w:noVBand="1"/>
      </w:tblPr>
      <w:tblGrid>
        <w:gridCol w:w="4240"/>
        <w:gridCol w:w="2162"/>
        <w:gridCol w:w="1620"/>
      </w:tblGrid>
      <w:tr w:rsidR="00457EE3" w:rsidRPr="00440C15" w:rsidTr="002A1926">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 xml:space="preserve">Sources of Investment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IDA Study (N=435)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rPr>
                <w:rFonts w:ascii="Times New Roman" w:hAnsi="Times New Roman"/>
                <w:b/>
                <w:bCs/>
                <w:color w:val="000000" w:themeColor="text1"/>
                <w:sz w:val="24"/>
                <w:szCs w:val="24"/>
                <w:lang w:bidi="ar-SA"/>
              </w:rPr>
            </w:pPr>
            <w:proofErr w:type="spellStart"/>
            <w:r w:rsidRPr="00440C15">
              <w:rPr>
                <w:rFonts w:ascii="Times New Roman" w:hAnsi="Times New Roman"/>
                <w:b/>
                <w:bCs/>
                <w:color w:val="000000" w:themeColor="text1"/>
                <w:sz w:val="24"/>
                <w:szCs w:val="24"/>
                <w:lang w:bidi="ar-SA"/>
              </w:rPr>
              <w:t>Eron</w:t>
            </w:r>
            <w:proofErr w:type="spellEnd"/>
            <w:r w:rsidRPr="00440C15">
              <w:rPr>
                <w:rFonts w:ascii="Times New Roman" w:hAnsi="Times New Roman"/>
                <w:b/>
                <w:bCs/>
                <w:color w:val="000000" w:themeColor="text1"/>
                <w:sz w:val="24"/>
                <w:szCs w:val="24"/>
                <w:lang w:bidi="ar-SA"/>
              </w:rPr>
              <w:t xml:space="preserve"> Study</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Savings</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36</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Retirement savings</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6</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32</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Cash in other investment</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9</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8</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Borrowed funds</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57</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6</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Mortgage primary residence</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Recent windfall or Inheritance</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4</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Sold Property</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4</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Mortgage other property</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0</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Other</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7</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DK/NK</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w:t>
            </w:r>
          </w:p>
        </w:tc>
      </w:tr>
      <w:tr w:rsidR="00457EE3" w:rsidRPr="00440C15" w:rsidTr="002A1926">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Total Percent</w:t>
            </w:r>
          </w:p>
        </w:tc>
        <w:tc>
          <w:tcPr>
            <w:tcW w:w="216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r>
    </w:tbl>
    <w:p w:rsidR="00457EE3" w:rsidRPr="00440C15" w:rsidRDefault="00457EE3" w:rsidP="00457EE3">
      <w:pPr>
        <w:spacing w:after="0" w:line="240" w:lineRule="auto"/>
        <w:rPr>
          <w:rFonts w:ascii="Times New Roman" w:hAnsi="Times New Roman"/>
          <w:color w:val="000000" w:themeColor="text1"/>
          <w:sz w:val="24"/>
          <w:szCs w:val="24"/>
          <w:lang w:val="en-AU"/>
        </w:rPr>
      </w:pPr>
      <w:r w:rsidRPr="00440C15">
        <w:rPr>
          <w:rFonts w:ascii="Times New Roman" w:hAnsi="Times New Roman"/>
          <w:b/>
          <w:color w:val="000000" w:themeColor="text1"/>
          <w:sz w:val="24"/>
          <w:szCs w:val="24"/>
          <w:lang w:val="en-AU"/>
        </w:rPr>
        <w:t>*</w:t>
      </w:r>
      <w:r w:rsidRPr="00440C15">
        <w:rPr>
          <w:rFonts w:ascii="Times New Roman" w:hAnsi="Times New Roman"/>
          <w:color w:val="000000" w:themeColor="text1"/>
          <w:sz w:val="24"/>
          <w:szCs w:val="24"/>
          <w:lang w:val="en-AU"/>
        </w:rPr>
        <w:t>Not available</w:t>
      </w:r>
    </w:p>
    <w:p w:rsidR="00457EE3" w:rsidRPr="00440C15" w:rsidRDefault="00457EE3" w:rsidP="00457EE3">
      <w:pPr>
        <w:pStyle w:val="Heading3"/>
        <w:rPr>
          <w:rFonts w:ascii="Times New Roman" w:hAnsi="Times New Roman"/>
          <w:color w:val="000000" w:themeColor="text1"/>
          <w:sz w:val="24"/>
        </w:rPr>
      </w:pPr>
      <w:bookmarkStart w:id="24" w:name="_Toc314667676"/>
      <w:bookmarkStart w:id="25" w:name="_Toc329241637"/>
      <w:r w:rsidRPr="00440C15">
        <w:rPr>
          <w:rFonts w:ascii="Times New Roman" w:hAnsi="Times New Roman"/>
          <w:color w:val="000000" w:themeColor="text1"/>
          <w:sz w:val="24"/>
        </w:rPr>
        <w:t>Type of Accounts</w:t>
      </w:r>
      <w:bookmarkEnd w:id="24"/>
      <w:bookmarkEnd w:id="25"/>
    </w:p>
    <w:p w:rsidR="00457EE3" w:rsidRPr="00440C15" w:rsidRDefault="00457EE3" w:rsidP="00457EE3">
      <w:pPr>
        <w:spacing w:after="0"/>
        <w:ind w:firstLine="720"/>
        <w:rPr>
          <w:rFonts w:ascii="Times New Roman" w:hAnsi="Times New Roman"/>
          <w:color w:val="000000" w:themeColor="text1"/>
          <w:sz w:val="24"/>
          <w:szCs w:val="24"/>
          <w:lang w:val="en-AU"/>
        </w:rPr>
      </w:pPr>
      <w:r w:rsidRPr="00440C15">
        <w:rPr>
          <w:rFonts w:ascii="Times New Roman" w:hAnsi="Times New Roman"/>
          <w:color w:val="000000" w:themeColor="text1"/>
          <w:sz w:val="24"/>
          <w:szCs w:val="24"/>
          <w:lang w:val="en-AU"/>
        </w:rPr>
        <w:t>Margin and cash accounts were the most frequent type of accounts opened by i</w:t>
      </w:r>
      <w:r w:rsidR="00DD4F01" w:rsidRPr="00440C15">
        <w:rPr>
          <w:rFonts w:ascii="Times New Roman" w:hAnsi="Times New Roman"/>
          <w:color w:val="000000" w:themeColor="text1"/>
          <w:sz w:val="24"/>
          <w:szCs w:val="24"/>
          <w:lang w:val="en-AU"/>
        </w:rPr>
        <w:t>nvestors.   As shown in Figure 1</w:t>
      </w:r>
      <w:r w:rsidRPr="00440C15">
        <w:rPr>
          <w:rFonts w:ascii="Times New Roman" w:hAnsi="Times New Roman"/>
          <w:color w:val="000000" w:themeColor="text1"/>
          <w:sz w:val="24"/>
          <w:szCs w:val="24"/>
          <w:lang w:val="en-AU"/>
        </w:rPr>
        <w:t xml:space="preserve">-4, margin accounts made up 41% of all accounts opened by investors. This </w:t>
      </w:r>
      <w:r w:rsidRPr="00440C15">
        <w:rPr>
          <w:rFonts w:ascii="Times New Roman" w:hAnsi="Times New Roman"/>
          <w:color w:val="000000" w:themeColor="text1"/>
          <w:sz w:val="24"/>
          <w:szCs w:val="24"/>
          <w:lang w:val="en-AU"/>
        </w:rPr>
        <w:lastRenderedPageBreak/>
        <w:t xml:space="preserve">is partly due to </w:t>
      </w:r>
    </w:p>
    <w:p w:rsidR="00457EE3" w:rsidRPr="00440C15" w:rsidRDefault="00457EE3" w:rsidP="00457EE3">
      <w:pPr>
        <w:pStyle w:val="3BodyQuoteSingleOrLast"/>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the</w:t>
      </w:r>
      <w:proofErr w:type="gramEnd"/>
      <w:r w:rsidRPr="00440C15">
        <w:rPr>
          <w:rFonts w:ascii="Times New Roman" w:hAnsi="Times New Roman"/>
          <w:color w:val="000000" w:themeColor="text1"/>
          <w:sz w:val="24"/>
          <w:szCs w:val="24"/>
        </w:rPr>
        <w:t xml:space="preserve"> raging bull market of the past several years, [which led] many brokers [to]… seized the opportunity of loading up their clients with as many investments as possible. When clients don’t have the money available to fund such investments, brokers aggressively promote the leveraging principle (i.e., borrow money and use that money to invest with) (</w:t>
      </w:r>
      <w:proofErr w:type="spellStart"/>
      <w:r w:rsidRPr="00440C15">
        <w:rPr>
          <w:rFonts w:ascii="Times New Roman" w:hAnsi="Times New Roman"/>
          <w:color w:val="000000" w:themeColor="text1"/>
          <w:sz w:val="24"/>
          <w:szCs w:val="24"/>
        </w:rPr>
        <w:t>Goldin</w:t>
      </w:r>
      <w:proofErr w:type="spellEnd"/>
      <w:r w:rsidRPr="00440C15">
        <w:rPr>
          <w:rFonts w:ascii="Times New Roman" w:hAnsi="Times New Roman"/>
          <w:color w:val="000000" w:themeColor="text1"/>
          <w:sz w:val="24"/>
          <w:szCs w:val="24"/>
        </w:rPr>
        <w:t xml:space="preserve">, 2010: 46). </w:t>
      </w:r>
    </w:p>
    <w:p w:rsidR="00457EE3" w:rsidRPr="00440C15" w:rsidRDefault="00457EE3" w:rsidP="00457EE3">
      <w:pPr>
        <w:pStyle w:val="3BodyFlushLef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rPr>
        <w:t xml:space="preserve">Moreover, margin accounts give the clients “extra buying power, which generates more commissions for their financial advisor” (p. 201). The “brokerage house [also] charges [the clients] interest on [the] margin loan, which generates more income for [the] brokerage house (p. 201). </w:t>
      </w:r>
      <w:r w:rsidRPr="00440C15">
        <w:rPr>
          <w:rFonts w:ascii="Times New Roman" w:hAnsi="Times New Roman"/>
          <w:color w:val="000000" w:themeColor="text1"/>
          <w:sz w:val="24"/>
          <w:szCs w:val="24"/>
          <w:lang w:val="en-AU"/>
        </w:rPr>
        <w:t xml:space="preserve">Trading in margin accounts is a very risky proposition. </w:t>
      </w:r>
    </w:p>
    <w:p w:rsidR="00457EE3" w:rsidRPr="00440C15" w:rsidRDefault="00457EE3" w:rsidP="00457EE3">
      <w:pPr>
        <w:pStyle w:val="3BodyQuoteSingleOrLas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Using a margin account means borrowing money from the Brokerage House to finance purchases, and use the securities in their account as collateral for the loan. Carrying a debit balance means using leverage and investing with </w:t>
      </w:r>
      <w:r w:rsidRPr="00440C15">
        <w:rPr>
          <w:rFonts w:ascii="Times New Roman" w:hAnsi="Times New Roman"/>
          <w:i/>
          <w:color w:val="000000" w:themeColor="text1"/>
          <w:sz w:val="24"/>
          <w:szCs w:val="24"/>
        </w:rPr>
        <w:t>borrowed</w:t>
      </w:r>
      <w:r w:rsidRPr="00440C15">
        <w:rPr>
          <w:rFonts w:ascii="Times New Roman" w:hAnsi="Times New Roman"/>
          <w:color w:val="000000" w:themeColor="text1"/>
          <w:sz w:val="24"/>
          <w:szCs w:val="24"/>
        </w:rPr>
        <w:t xml:space="preserve"> money. A margin investor profits only if the investment increases in value more than the cost of borrowing. If the market moves in the opposite direction, the investor will be responsible for the full amount of the loss (</w:t>
      </w:r>
      <w:r w:rsidRPr="00440C15">
        <w:rPr>
          <w:rFonts w:ascii="Times New Roman" w:hAnsi="Times New Roman"/>
          <w:i/>
          <w:color w:val="000000" w:themeColor="text1"/>
          <w:sz w:val="24"/>
          <w:szCs w:val="24"/>
        </w:rPr>
        <w:t>IDA. V. Babb</w:t>
      </w:r>
      <w:r w:rsidRPr="00440C15">
        <w:rPr>
          <w:rFonts w:ascii="Times New Roman" w:hAnsi="Times New Roman"/>
          <w:color w:val="000000" w:themeColor="text1"/>
          <w:sz w:val="24"/>
          <w:szCs w:val="24"/>
        </w:rPr>
        <w:t xml:space="preserve">, 2000: para: 51 </w:t>
      </w:r>
      <w:proofErr w:type="gramStart"/>
      <w:r w:rsidRPr="00440C15">
        <w:rPr>
          <w:rFonts w:ascii="Times New Roman" w:hAnsi="Times New Roman"/>
          <w:color w:val="000000" w:themeColor="text1"/>
          <w:sz w:val="24"/>
          <w:szCs w:val="24"/>
        </w:rPr>
        <w:t>emphasis</w:t>
      </w:r>
      <w:proofErr w:type="gramEnd"/>
      <w:r w:rsidRPr="00440C15">
        <w:rPr>
          <w:rFonts w:ascii="Times New Roman" w:hAnsi="Times New Roman"/>
          <w:color w:val="000000" w:themeColor="text1"/>
          <w:sz w:val="24"/>
          <w:szCs w:val="24"/>
        </w:rPr>
        <w:t xml:space="preserve"> added). </w:t>
      </w:r>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Margin accounts were opened for investors even though many did not know what a margin account was and how it operated. In one instance, a client noted that she</w:t>
      </w:r>
    </w:p>
    <w:p w:rsidR="00457EE3" w:rsidRPr="00440C15" w:rsidRDefault="00457EE3" w:rsidP="00457EE3">
      <w:pPr>
        <w:pStyle w:val="3BodyQuoteSingleOrLast"/>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did</w:t>
      </w:r>
      <w:proofErr w:type="gramEnd"/>
      <w:r w:rsidRPr="00440C15">
        <w:rPr>
          <w:rFonts w:ascii="Times New Roman" w:hAnsi="Times New Roman"/>
          <w:color w:val="000000" w:themeColor="text1"/>
          <w:sz w:val="24"/>
          <w:szCs w:val="24"/>
        </w:rPr>
        <w:t xml:space="preserve"> not fully understand what a margin account involved, at the time the margin account was opened. Furthermore, over time she became concerned about [the] account statements as [she] did not understand the meaning of the negative signs on the account statements (</w:t>
      </w:r>
      <w:r w:rsidRPr="00440C15">
        <w:rPr>
          <w:rFonts w:ascii="Times New Roman" w:hAnsi="Times New Roman"/>
          <w:i/>
          <w:color w:val="000000" w:themeColor="text1"/>
          <w:sz w:val="24"/>
          <w:szCs w:val="24"/>
        </w:rPr>
        <w:t xml:space="preserve">IDA v. </w:t>
      </w:r>
      <w:proofErr w:type="spellStart"/>
      <w:r w:rsidRPr="00440C15">
        <w:rPr>
          <w:rFonts w:ascii="Times New Roman" w:hAnsi="Times New Roman"/>
          <w:i/>
          <w:color w:val="000000" w:themeColor="text1"/>
          <w:sz w:val="24"/>
          <w:szCs w:val="24"/>
        </w:rPr>
        <w:t>Latta</w:t>
      </w:r>
      <w:proofErr w:type="spellEnd"/>
      <w:r w:rsidRPr="00440C15">
        <w:rPr>
          <w:rFonts w:ascii="Times New Roman" w:hAnsi="Times New Roman"/>
          <w:color w:val="000000" w:themeColor="text1"/>
          <w:sz w:val="24"/>
          <w:szCs w:val="24"/>
        </w:rPr>
        <w:t>, 2004: para. 6).</w:t>
      </w:r>
    </w:p>
    <w:p w:rsidR="00457EE3" w:rsidRPr="00440C15" w:rsidRDefault="00457EE3" w:rsidP="00457EE3">
      <w:pPr>
        <w:pStyle w:val="3BodyFlushLef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rPr>
        <w:t xml:space="preserve">Similarly, in another case, the client “signed a Margin Agreement, but did not know what [a] margin </w:t>
      </w:r>
      <w:proofErr w:type="gramStart"/>
      <w:r w:rsidRPr="00440C15">
        <w:rPr>
          <w:rFonts w:ascii="Times New Roman" w:hAnsi="Times New Roman"/>
          <w:color w:val="000000" w:themeColor="text1"/>
          <w:sz w:val="24"/>
          <w:szCs w:val="24"/>
        </w:rPr>
        <w:t>was[</w:t>
      </w:r>
      <w:proofErr w:type="gramEnd"/>
      <w:r w:rsidRPr="00440C15">
        <w:rPr>
          <w:rFonts w:ascii="Times New Roman" w:hAnsi="Times New Roman"/>
          <w:color w:val="000000" w:themeColor="text1"/>
          <w:sz w:val="24"/>
          <w:szCs w:val="24"/>
        </w:rPr>
        <w:t>,] as the Respondent had not explained the meaning of margin nor any of its associated risks to her” (</w:t>
      </w:r>
      <w:r w:rsidRPr="00440C15">
        <w:rPr>
          <w:rFonts w:ascii="Times New Roman" w:hAnsi="Times New Roman"/>
          <w:i/>
          <w:color w:val="000000" w:themeColor="text1"/>
          <w:sz w:val="24"/>
          <w:szCs w:val="24"/>
        </w:rPr>
        <w:t>IDA v. Xiao</w:t>
      </w:r>
      <w:r w:rsidRPr="00440C15">
        <w:rPr>
          <w:rFonts w:ascii="Times New Roman" w:hAnsi="Times New Roman"/>
          <w:color w:val="000000" w:themeColor="text1"/>
          <w:sz w:val="24"/>
          <w:szCs w:val="24"/>
        </w:rPr>
        <w:t xml:space="preserve">, 2004: para. 21). </w:t>
      </w:r>
      <w:r w:rsidRPr="00440C15">
        <w:rPr>
          <w:rFonts w:ascii="Times New Roman" w:hAnsi="Times New Roman"/>
          <w:color w:val="000000" w:themeColor="text1"/>
          <w:sz w:val="24"/>
          <w:szCs w:val="24"/>
          <w:lang w:val="en-AU"/>
        </w:rPr>
        <w:t xml:space="preserve">When one considers that both the investment advisor and Member firm benefits from the opening of margin accounts, it does not come as a surprise that they would encourage investors to open and operate margins accounts to </w:t>
      </w:r>
      <w:r w:rsidRPr="00440C15">
        <w:rPr>
          <w:rFonts w:ascii="Times New Roman" w:hAnsi="Times New Roman"/>
          <w:color w:val="000000" w:themeColor="text1"/>
          <w:sz w:val="24"/>
          <w:szCs w:val="24"/>
          <w:lang w:val="en-AU"/>
        </w:rPr>
        <w:lastRenderedPageBreak/>
        <w:t xml:space="preserve">fund their investments.  The use of leverage also shows the level of risk that investors are willing to take in order to secure their financial futures. </w:t>
      </w:r>
    </w:p>
    <w:p w:rsidR="00457EE3" w:rsidRPr="00440C15" w:rsidRDefault="00457EE3" w:rsidP="00457EE3">
      <w:pPr>
        <w:pStyle w:val="NormalIndent"/>
        <w:rPr>
          <w:rFonts w:ascii="Times New Roman" w:hAnsi="Times New Roman"/>
          <w:color w:val="000000" w:themeColor="text1"/>
          <w:sz w:val="24"/>
          <w:szCs w:val="24"/>
          <w:lang w:val="en-AU"/>
        </w:rPr>
      </w:pPr>
      <w:r w:rsidRPr="00440C15">
        <w:rPr>
          <w:rFonts w:ascii="Times New Roman" w:hAnsi="Times New Roman"/>
          <w:color w:val="000000" w:themeColor="text1"/>
          <w:sz w:val="24"/>
          <w:szCs w:val="24"/>
          <w:lang w:val="en-AU"/>
        </w:rPr>
        <w:t xml:space="preserve">Cash accounts comprised 30% of all of the accounts opened by investors to fund their investments. The implication of this finding is that while investors overwhelmingly borrowed money to invest, a significant proportion of them used cash to settle trades in their accounts. There is also the possibility that cash accounts were opened to be used as collateral for the funds borrowed from the Member firm, to settle trades in margin accounts. </w:t>
      </w:r>
    </w:p>
    <w:p w:rsidR="00457EE3" w:rsidRPr="00440C15" w:rsidRDefault="00457EE3" w:rsidP="00457EE3">
      <w:pPr>
        <w:pStyle w:val="7FigureImagewithNoteOrCaptionAfter"/>
        <w:rPr>
          <w:rFonts w:ascii="Times New Roman" w:hAnsi="Times New Roman"/>
          <w:color w:val="000000" w:themeColor="text1"/>
          <w:sz w:val="24"/>
          <w:szCs w:val="24"/>
          <w:lang w:val="en-AU"/>
        </w:rPr>
      </w:pPr>
      <w:r w:rsidRPr="00440C15">
        <w:rPr>
          <w:rFonts w:ascii="Times New Roman" w:hAnsi="Times New Roman"/>
          <w:noProof/>
          <w:color w:val="000000" w:themeColor="text1"/>
          <w:sz w:val="24"/>
          <w:szCs w:val="24"/>
          <w:lang w:val="en-GB" w:eastAsia="en-GB" w:bidi="ar-SA"/>
        </w:rPr>
        <w:drawing>
          <wp:inline distT="0" distB="0" distL="0" distR="0">
            <wp:extent cx="4572747" cy="2746625"/>
            <wp:effectExtent l="12202" t="6100" r="6101"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7EE3" w:rsidRPr="00440C15" w:rsidRDefault="00457EE3" w:rsidP="00457EE3">
      <w:pPr>
        <w:pStyle w:val="Caption"/>
        <w:rPr>
          <w:rFonts w:ascii="Times New Roman" w:hAnsi="Times New Roman"/>
          <w:color w:val="000000" w:themeColor="text1"/>
          <w:sz w:val="24"/>
        </w:rPr>
      </w:pPr>
      <w:bookmarkStart w:id="26" w:name="_Toc329241737"/>
      <w:bookmarkStart w:id="27" w:name="_Toc314667677"/>
      <w:r w:rsidRPr="00440C15">
        <w:rPr>
          <w:rFonts w:ascii="Times New Roman" w:hAnsi="Times New Roman"/>
          <w:color w:val="000000" w:themeColor="text1"/>
          <w:sz w:val="24"/>
        </w:rPr>
        <w:t xml:space="preserve">Figure </w:t>
      </w:r>
      <w:r w:rsidR="00DD4F01"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Figure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4</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r>
      <w:r w:rsidRPr="00440C15">
        <w:rPr>
          <w:rFonts w:ascii="Times New Roman" w:hAnsi="Times New Roman"/>
          <w:color w:val="000000" w:themeColor="text1"/>
          <w:sz w:val="24"/>
          <w:lang w:val="en-AU"/>
        </w:rPr>
        <w:t>Type of Accounts</w:t>
      </w:r>
      <w:bookmarkEnd w:id="26"/>
    </w:p>
    <w:p w:rsidR="00457EE3" w:rsidRPr="00440C15" w:rsidRDefault="00457EE3" w:rsidP="00457EE3">
      <w:pPr>
        <w:pStyle w:val="Heading3"/>
        <w:rPr>
          <w:rFonts w:ascii="Times New Roman" w:hAnsi="Times New Roman"/>
          <w:color w:val="000000" w:themeColor="text1"/>
          <w:sz w:val="24"/>
        </w:rPr>
      </w:pPr>
      <w:bookmarkStart w:id="28" w:name="_Toc329241638"/>
      <w:r w:rsidRPr="00440C15">
        <w:rPr>
          <w:rFonts w:ascii="Times New Roman" w:hAnsi="Times New Roman"/>
          <w:color w:val="000000" w:themeColor="text1"/>
          <w:sz w:val="24"/>
        </w:rPr>
        <w:t>Investment Objectives</w:t>
      </w:r>
      <w:bookmarkEnd w:id="27"/>
      <w:bookmarkEnd w:id="28"/>
      <w:r w:rsidRPr="00440C15">
        <w:rPr>
          <w:rFonts w:ascii="Times New Roman" w:hAnsi="Times New Roman"/>
          <w:color w:val="000000" w:themeColor="text1"/>
          <w:sz w:val="24"/>
        </w:rPr>
        <w:t xml:space="preserve"> </w:t>
      </w:r>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Income and long-term growth made up the majority of the investors’ investment o</w:t>
      </w:r>
      <w:r w:rsidR="00DD4F01" w:rsidRPr="00440C15">
        <w:rPr>
          <w:rFonts w:ascii="Times New Roman" w:hAnsi="Times New Roman"/>
          <w:color w:val="000000" w:themeColor="text1"/>
          <w:sz w:val="24"/>
          <w:szCs w:val="24"/>
        </w:rPr>
        <w:t>bjectives.  As shown in Figure 1</w:t>
      </w:r>
      <w:r w:rsidRPr="00440C15">
        <w:rPr>
          <w:rFonts w:ascii="Times New Roman" w:hAnsi="Times New Roman"/>
          <w:color w:val="000000" w:themeColor="text1"/>
          <w:sz w:val="24"/>
          <w:szCs w:val="24"/>
        </w:rPr>
        <w:t xml:space="preserve">-5, income represented 41% of investors’ investment objectives, while long-term capital growth represented 30%. The implications of these findings are that investors prefer a return on their investment for immediate use, rather than waiting for long-term capital gains (see Brigham, </w:t>
      </w:r>
      <w:proofErr w:type="spellStart"/>
      <w:r w:rsidRPr="00440C15">
        <w:rPr>
          <w:rFonts w:ascii="Times New Roman" w:hAnsi="Times New Roman"/>
          <w:color w:val="000000" w:themeColor="text1"/>
          <w:sz w:val="24"/>
          <w:szCs w:val="24"/>
        </w:rPr>
        <w:t>Ehrhardt</w:t>
      </w:r>
      <w:proofErr w:type="spellEnd"/>
      <w:r w:rsidRPr="00440C15">
        <w:rPr>
          <w:rFonts w:ascii="Times New Roman" w:hAnsi="Times New Roman"/>
          <w:color w:val="000000" w:themeColor="text1"/>
          <w:sz w:val="24"/>
          <w:szCs w:val="24"/>
        </w:rPr>
        <w:t xml:space="preserve">, </w:t>
      </w:r>
      <w:proofErr w:type="spellStart"/>
      <w:r w:rsidRPr="00440C15">
        <w:rPr>
          <w:rFonts w:ascii="Times New Roman" w:hAnsi="Times New Roman"/>
          <w:color w:val="000000" w:themeColor="text1"/>
          <w:sz w:val="24"/>
          <w:szCs w:val="24"/>
        </w:rPr>
        <w:t>Gessaroli</w:t>
      </w:r>
      <w:proofErr w:type="spellEnd"/>
      <w:r w:rsidRPr="00440C15">
        <w:rPr>
          <w:rFonts w:ascii="Times New Roman" w:hAnsi="Times New Roman"/>
          <w:color w:val="000000" w:themeColor="text1"/>
          <w:sz w:val="24"/>
          <w:szCs w:val="24"/>
        </w:rPr>
        <w:t xml:space="preserve">, </w:t>
      </w:r>
      <w:proofErr w:type="spellStart"/>
      <w:r w:rsidRPr="00440C15">
        <w:rPr>
          <w:rFonts w:ascii="Times New Roman" w:hAnsi="Times New Roman"/>
          <w:color w:val="000000" w:themeColor="text1"/>
          <w:sz w:val="24"/>
          <w:szCs w:val="24"/>
        </w:rPr>
        <w:t>Nason</w:t>
      </w:r>
      <w:proofErr w:type="spellEnd"/>
      <w:r w:rsidRPr="00440C15">
        <w:rPr>
          <w:rFonts w:ascii="Times New Roman" w:hAnsi="Times New Roman"/>
          <w:color w:val="000000" w:themeColor="text1"/>
          <w:sz w:val="24"/>
          <w:szCs w:val="24"/>
        </w:rPr>
        <w:t xml:space="preserve">, 2011: 478).  However, this </w:t>
      </w:r>
      <w:r w:rsidRPr="00440C15">
        <w:rPr>
          <w:rFonts w:ascii="Times New Roman" w:hAnsi="Times New Roman"/>
          <w:color w:val="000000" w:themeColor="text1"/>
          <w:sz w:val="24"/>
          <w:szCs w:val="24"/>
        </w:rPr>
        <w:lastRenderedPageBreak/>
        <w:t xml:space="preserve">should not detract from the fact that long-term capital gains still represent 30% of investors’ investment objectives. Two possible explanations for a long-term investment strategy are that with capital gains, taxes are deferred until the investor sells the stocks (p. 479).  Second, investors who can afford it may want to time the capital gains and wait until they retire and are in a lower income tax bracket before they cash in their stocks (see p. 479). Hence, in the long-term, these investors will effectively pay lower taxes on their capital gains. </w:t>
      </w:r>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Notice also that high risk speculative trading only represented 11% of investors’ investment objectives. This is further evidence that the majority of investors were conservative in their investment approach. That said, as investors lean towards income as their investment objective, they must at the same time be willing to take some risk and reduce the emphasis on safety of their principal amount (see Investopedia, 2011: para. 5). This inverse relationship between income and safety of capital is one possible explanation as to why the latter represented only 6% of investors’ investment objectives in the present study (see para. 5). </w:t>
      </w:r>
    </w:p>
    <w:p w:rsidR="00457EE3" w:rsidRPr="00440C15" w:rsidRDefault="00457EE3" w:rsidP="00457EE3">
      <w:pPr>
        <w:pStyle w:val="7FigureImagewithNoteOrCaptionAfter"/>
        <w:rPr>
          <w:rFonts w:ascii="Times New Roman" w:hAnsi="Times New Roman"/>
          <w:color w:val="000000" w:themeColor="text1"/>
          <w:sz w:val="24"/>
          <w:szCs w:val="24"/>
        </w:rPr>
      </w:pPr>
      <w:r w:rsidRPr="00440C15">
        <w:rPr>
          <w:rFonts w:ascii="Times New Roman" w:hAnsi="Times New Roman"/>
          <w:noProof/>
          <w:color w:val="000000" w:themeColor="text1"/>
          <w:sz w:val="24"/>
          <w:szCs w:val="24"/>
          <w:lang w:val="en-GB" w:eastAsia="en-GB" w:bidi="ar-SA"/>
        </w:rPr>
        <w:drawing>
          <wp:inline distT="0" distB="0" distL="0" distR="0">
            <wp:extent cx="4658875" cy="2670425"/>
            <wp:effectExtent l="12187" t="6100" r="5713"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7EE3" w:rsidRPr="00440C15" w:rsidRDefault="00457EE3" w:rsidP="00457EE3">
      <w:pPr>
        <w:pStyle w:val="Caption"/>
        <w:rPr>
          <w:rFonts w:ascii="Times New Roman" w:hAnsi="Times New Roman"/>
          <w:color w:val="000000" w:themeColor="text1"/>
          <w:sz w:val="24"/>
        </w:rPr>
      </w:pPr>
      <w:bookmarkStart w:id="29" w:name="_Toc329241738"/>
      <w:bookmarkStart w:id="30" w:name="_Toc314667678"/>
      <w:r w:rsidRPr="00440C15">
        <w:rPr>
          <w:rFonts w:ascii="Times New Roman" w:hAnsi="Times New Roman"/>
          <w:color w:val="000000" w:themeColor="text1"/>
          <w:sz w:val="24"/>
        </w:rPr>
        <w:t xml:space="preserve">Figure </w:t>
      </w:r>
      <w:r w:rsidR="00DD4F01"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Figure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5</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t>Investors’ Investment Objectives</w:t>
      </w:r>
      <w:bookmarkEnd w:id="29"/>
    </w:p>
    <w:p w:rsidR="00457EE3" w:rsidRPr="00440C15" w:rsidRDefault="00457EE3" w:rsidP="00457EE3">
      <w:pPr>
        <w:pStyle w:val="Heading3"/>
        <w:rPr>
          <w:rFonts w:ascii="Times New Roman" w:hAnsi="Times New Roman"/>
          <w:color w:val="000000" w:themeColor="text1"/>
          <w:sz w:val="24"/>
        </w:rPr>
      </w:pPr>
      <w:bookmarkStart w:id="31" w:name="_Toc329241639"/>
      <w:r w:rsidRPr="00440C15">
        <w:rPr>
          <w:rFonts w:ascii="Times New Roman" w:hAnsi="Times New Roman"/>
          <w:color w:val="000000" w:themeColor="text1"/>
          <w:sz w:val="24"/>
        </w:rPr>
        <w:lastRenderedPageBreak/>
        <w:t>Household Income and Net Worth</w:t>
      </w:r>
      <w:bookmarkEnd w:id="30"/>
      <w:bookmarkEnd w:id="31"/>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Like the </w:t>
      </w:r>
      <w:proofErr w:type="spellStart"/>
      <w:r w:rsidRPr="00440C15">
        <w:rPr>
          <w:rFonts w:ascii="Times New Roman" w:hAnsi="Times New Roman"/>
          <w:color w:val="000000" w:themeColor="text1"/>
          <w:sz w:val="24"/>
          <w:szCs w:val="24"/>
        </w:rPr>
        <w:t>Eron</w:t>
      </w:r>
      <w:proofErr w:type="spellEnd"/>
      <w:r w:rsidRPr="00440C15">
        <w:rPr>
          <w:rFonts w:ascii="Times New Roman" w:hAnsi="Times New Roman"/>
          <w:color w:val="000000" w:themeColor="text1"/>
          <w:sz w:val="24"/>
          <w:szCs w:val="24"/>
        </w:rPr>
        <w:t xml:space="preserve"> and Typical Canadian Investors studies, the majority of the investors in the IDA st</w:t>
      </w:r>
      <w:r w:rsidR="00DD4F01" w:rsidRPr="00440C15">
        <w:rPr>
          <w:rFonts w:ascii="Times New Roman" w:hAnsi="Times New Roman"/>
          <w:color w:val="000000" w:themeColor="text1"/>
          <w:sz w:val="24"/>
          <w:szCs w:val="24"/>
        </w:rPr>
        <w:t>udy were not wealthy. As Table 1</w:t>
      </w:r>
      <w:r w:rsidRPr="00440C15">
        <w:rPr>
          <w:rFonts w:ascii="Times New Roman" w:hAnsi="Times New Roman"/>
          <w:color w:val="000000" w:themeColor="text1"/>
          <w:sz w:val="24"/>
          <w:szCs w:val="24"/>
        </w:rPr>
        <w:t xml:space="preserve">-5 shows, 66% of the investors in the IDA study made less than $50,000 per year, compared to 37% and 40% of investors who were in the same income bracket in the </w:t>
      </w:r>
      <w:proofErr w:type="spellStart"/>
      <w:r w:rsidRPr="00440C15">
        <w:rPr>
          <w:rFonts w:ascii="Times New Roman" w:hAnsi="Times New Roman"/>
          <w:color w:val="000000" w:themeColor="text1"/>
          <w:sz w:val="24"/>
          <w:szCs w:val="24"/>
        </w:rPr>
        <w:t>Eron</w:t>
      </w:r>
      <w:proofErr w:type="spellEnd"/>
      <w:r w:rsidRPr="00440C15">
        <w:rPr>
          <w:rFonts w:ascii="Times New Roman" w:hAnsi="Times New Roman"/>
          <w:color w:val="000000" w:themeColor="text1"/>
          <w:sz w:val="24"/>
          <w:szCs w:val="24"/>
        </w:rPr>
        <w:t xml:space="preserve"> and Typical Canadian Investors studies. One possible reason as to why there are more investors in the IDA study that earned less than $50,000 per year, is because the study also took into account the average salaries of Canadians in the 1980’s and early 1990’s, which was much lower than the average salaries in the past decade. Note also, that in the IDA study, only 2% of investors made over $200,000 per year, a finding that is no different from the </w:t>
      </w:r>
      <w:proofErr w:type="spellStart"/>
      <w:r w:rsidRPr="00440C15">
        <w:rPr>
          <w:rFonts w:ascii="Times New Roman" w:hAnsi="Times New Roman"/>
          <w:color w:val="000000" w:themeColor="text1"/>
          <w:sz w:val="24"/>
          <w:szCs w:val="24"/>
        </w:rPr>
        <w:t>Eron</w:t>
      </w:r>
      <w:proofErr w:type="spellEnd"/>
      <w:r w:rsidRPr="00440C15">
        <w:rPr>
          <w:rFonts w:ascii="Times New Roman" w:hAnsi="Times New Roman"/>
          <w:color w:val="000000" w:themeColor="text1"/>
          <w:sz w:val="24"/>
          <w:szCs w:val="24"/>
        </w:rPr>
        <w:t xml:space="preserve"> and Typical Canadian studies. </w:t>
      </w:r>
    </w:p>
    <w:p w:rsidR="00457EE3" w:rsidRPr="00440C15" w:rsidRDefault="00457EE3" w:rsidP="00457EE3">
      <w:pPr>
        <w:pStyle w:val="Caption"/>
        <w:rPr>
          <w:rFonts w:ascii="Times New Roman" w:hAnsi="Times New Roman"/>
          <w:color w:val="000000" w:themeColor="text1"/>
          <w:sz w:val="24"/>
        </w:rPr>
      </w:pPr>
      <w:bookmarkStart w:id="32" w:name="_Toc329241717"/>
      <w:r w:rsidRPr="00440C15">
        <w:rPr>
          <w:rFonts w:ascii="Times New Roman" w:hAnsi="Times New Roman"/>
          <w:color w:val="000000" w:themeColor="text1"/>
          <w:sz w:val="24"/>
        </w:rPr>
        <w:t xml:space="preserve">Table </w:t>
      </w:r>
      <w:r w:rsidR="00DD4F01"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Table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5</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t>Annual Household Income of Investors in the Three Studies</w:t>
      </w:r>
      <w:bookmarkEnd w:id="32"/>
    </w:p>
    <w:tbl>
      <w:tblPr>
        <w:tblW w:w="8640" w:type="dxa"/>
        <w:tblInd w:w="96" w:type="dxa"/>
        <w:tblLook w:val="04A0" w:firstRow="1" w:lastRow="0" w:firstColumn="1" w:lastColumn="0" w:noHBand="0" w:noVBand="1"/>
      </w:tblPr>
      <w:tblGrid>
        <w:gridCol w:w="3299"/>
        <w:gridCol w:w="1930"/>
        <w:gridCol w:w="1605"/>
        <w:gridCol w:w="1806"/>
      </w:tblGrid>
      <w:tr w:rsidR="00457EE3" w:rsidRPr="00440C15" w:rsidTr="002A1926">
        <w:trPr>
          <w:trHeight w:val="585"/>
        </w:trPr>
        <w:tc>
          <w:tcPr>
            <w:tcW w:w="2960" w:type="dxa"/>
            <w:tcBorders>
              <w:top w:val="single" w:sz="4" w:space="0" w:color="auto"/>
              <w:left w:val="single" w:sz="4" w:space="0" w:color="auto"/>
              <w:bottom w:val="nil"/>
              <w:right w:val="nil"/>
            </w:tcBorders>
            <w:shd w:val="clear" w:color="auto" w:fill="auto"/>
            <w:hideMark/>
          </w:tcPr>
          <w:p w:rsidR="00457EE3" w:rsidRPr="00440C15" w:rsidRDefault="00457EE3" w:rsidP="002A1926">
            <w:pPr>
              <w:spacing w:after="0" w:line="240" w:lineRule="auto"/>
              <w:jc w:val="center"/>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 </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IDA Study (N=172)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proofErr w:type="spellStart"/>
            <w:r w:rsidRPr="00440C15">
              <w:rPr>
                <w:rFonts w:ascii="Times New Roman" w:hAnsi="Times New Roman"/>
                <w:b/>
                <w:bCs/>
                <w:color w:val="000000" w:themeColor="text1"/>
                <w:sz w:val="24"/>
                <w:szCs w:val="24"/>
                <w:lang w:bidi="ar-SA"/>
              </w:rPr>
              <w:t>Eron</w:t>
            </w:r>
            <w:proofErr w:type="spellEnd"/>
            <w:r w:rsidRPr="00440C15">
              <w:rPr>
                <w:rFonts w:ascii="Times New Roman" w:hAnsi="Times New Roman"/>
                <w:b/>
                <w:bCs/>
                <w:color w:val="000000" w:themeColor="text1"/>
                <w:sz w:val="24"/>
                <w:szCs w:val="24"/>
                <w:lang w:bidi="ar-SA"/>
              </w:rPr>
              <w:t xml:space="preserve"> Study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7EE3" w:rsidRPr="00440C15" w:rsidRDefault="00457EE3" w:rsidP="002A1926">
            <w:pPr>
              <w:spacing w:after="0" w:line="240" w:lineRule="auto"/>
              <w:jc w:val="center"/>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Typical Canadian Investors</w:t>
            </w:r>
          </w:p>
        </w:tc>
      </w:tr>
      <w:tr w:rsidR="00457EE3" w:rsidRPr="00440C15" w:rsidTr="002A1926">
        <w:trPr>
          <w:trHeight w:val="300"/>
        </w:trPr>
        <w:tc>
          <w:tcPr>
            <w:tcW w:w="2960" w:type="dxa"/>
            <w:tcBorders>
              <w:top w:val="nil"/>
              <w:left w:val="single" w:sz="4" w:space="0" w:color="auto"/>
              <w:bottom w:val="single" w:sz="4" w:space="0" w:color="auto"/>
              <w:right w:val="nil"/>
            </w:tcBorders>
            <w:shd w:val="clear" w:color="auto" w:fill="auto"/>
            <w:hideMark/>
          </w:tcPr>
          <w:p w:rsidR="00457EE3" w:rsidRPr="00440C15" w:rsidRDefault="00457EE3" w:rsidP="002A1926">
            <w:pPr>
              <w:spacing w:after="0" w:line="240" w:lineRule="auto"/>
              <w:jc w:val="center"/>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Annual Income</w:t>
            </w: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p>
        </w:tc>
      </w:tr>
      <w:tr w:rsidR="00457EE3" w:rsidRPr="00440C15" w:rsidTr="002A1926">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Under $25,000</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31</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$25,000 to under $50,000</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35</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27</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30</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$50,000 to under $75,000</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19</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27</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25</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$75,000 to under $100,000</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4</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16</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13</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$100,000 to under $150,000</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6</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8</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9</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$150,000 to under $200,000</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$200,000 and over</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DK/NA</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7</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9</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Total Percent</w:t>
            </w:r>
          </w:p>
        </w:tc>
        <w:tc>
          <w:tcPr>
            <w:tcW w:w="173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c>
          <w:tcPr>
            <w:tcW w:w="14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c>
          <w:tcPr>
            <w:tcW w:w="162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r>
    </w:tbl>
    <w:p w:rsidR="00457EE3" w:rsidRPr="00440C15" w:rsidRDefault="00457EE3" w:rsidP="00457EE3">
      <w:pPr>
        <w:spacing w:after="0" w:line="240" w:lineRule="auto"/>
        <w:rPr>
          <w:rFonts w:ascii="Times New Roman" w:hAnsi="Times New Roman"/>
          <w:color w:val="000000" w:themeColor="text1"/>
          <w:sz w:val="24"/>
          <w:szCs w:val="24"/>
        </w:rPr>
      </w:pPr>
      <w:r w:rsidRPr="00440C15">
        <w:rPr>
          <w:rFonts w:ascii="Times New Roman" w:hAnsi="Times New Roman"/>
          <w:b/>
          <w:color w:val="000000" w:themeColor="text1"/>
          <w:sz w:val="24"/>
          <w:szCs w:val="24"/>
        </w:rPr>
        <w:t>*</w:t>
      </w:r>
      <w:r w:rsidRPr="00440C15">
        <w:rPr>
          <w:rFonts w:ascii="Times New Roman" w:hAnsi="Times New Roman"/>
          <w:color w:val="000000" w:themeColor="text1"/>
          <w:sz w:val="24"/>
          <w:szCs w:val="24"/>
        </w:rPr>
        <w:t>Not available</w:t>
      </w:r>
    </w:p>
    <w:p w:rsidR="00457EE3" w:rsidRPr="00440C15" w:rsidRDefault="00457EE3" w:rsidP="00457EE3">
      <w:pPr>
        <w:spacing w:after="0" w:line="240" w:lineRule="auto"/>
        <w:rPr>
          <w:rFonts w:ascii="Times New Roman" w:hAnsi="Times New Roman"/>
          <w:color w:val="000000" w:themeColor="text1"/>
          <w:sz w:val="24"/>
          <w:szCs w:val="24"/>
        </w:rPr>
      </w:pPr>
    </w:p>
    <w:p w:rsidR="00457EE3" w:rsidRPr="00440C15" w:rsidRDefault="00DD4F01"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As shown in Table 1</w:t>
      </w:r>
      <w:r w:rsidR="00457EE3" w:rsidRPr="00440C15">
        <w:rPr>
          <w:rFonts w:ascii="Times New Roman" w:hAnsi="Times New Roman"/>
          <w:color w:val="000000" w:themeColor="text1"/>
          <w:sz w:val="24"/>
          <w:szCs w:val="24"/>
        </w:rPr>
        <w:t xml:space="preserve">-6, close to 60% of investors in the IDA study had a household net worth of under $250,000. These findings in the IDA study are no different from the findings in the </w:t>
      </w:r>
      <w:proofErr w:type="spellStart"/>
      <w:r w:rsidR="00457EE3" w:rsidRPr="00440C15">
        <w:rPr>
          <w:rFonts w:ascii="Times New Roman" w:hAnsi="Times New Roman"/>
          <w:color w:val="000000" w:themeColor="text1"/>
          <w:sz w:val="24"/>
          <w:szCs w:val="24"/>
        </w:rPr>
        <w:t>Eron</w:t>
      </w:r>
      <w:proofErr w:type="spellEnd"/>
      <w:r w:rsidR="00457EE3" w:rsidRPr="00440C15">
        <w:rPr>
          <w:rFonts w:ascii="Times New Roman" w:hAnsi="Times New Roman"/>
          <w:color w:val="000000" w:themeColor="text1"/>
          <w:sz w:val="24"/>
          <w:szCs w:val="24"/>
        </w:rPr>
        <w:t xml:space="preserve"> study, which reported that approximately 60% of investors had a household net worth of under $250,000 (Boyd, 20</w:t>
      </w:r>
      <w:r w:rsidRPr="00440C15">
        <w:rPr>
          <w:rFonts w:ascii="Times New Roman" w:hAnsi="Times New Roman"/>
          <w:color w:val="000000" w:themeColor="text1"/>
          <w:sz w:val="24"/>
          <w:szCs w:val="24"/>
        </w:rPr>
        <w:t>05:14). A closer look at Table 1</w:t>
      </w:r>
      <w:r w:rsidR="00457EE3" w:rsidRPr="00440C15">
        <w:rPr>
          <w:rFonts w:ascii="Times New Roman" w:hAnsi="Times New Roman"/>
          <w:color w:val="000000" w:themeColor="text1"/>
          <w:sz w:val="24"/>
          <w:szCs w:val="24"/>
        </w:rPr>
        <w:t xml:space="preserve">-6, also shows that 45% of the </w:t>
      </w:r>
      <w:r w:rsidR="00457EE3" w:rsidRPr="00440C15">
        <w:rPr>
          <w:rFonts w:ascii="Times New Roman" w:hAnsi="Times New Roman"/>
          <w:color w:val="000000" w:themeColor="text1"/>
          <w:sz w:val="24"/>
          <w:szCs w:val="24"/>
        </w:rPr>
        <w:lastRenderedPageBreak/>
        <w:t xml:space="preserve">investors in the IDA study had a household net worth that was over $250,000, compared to 32% and 10% of </w:t>
      </w:r>
      <w:proofErr w:type="spellStart"/>
      <w:r w:rsidR="00457EE3" w:rsidRPr="00440C15">
        <w:rPr>
          <w:rFonts w:ascii="Times New Roman" w:hAnsi="Times New Roman"/>
          <w:color w:val="000000" w:themeColor="text1"/>
          <w:sz w:val="24"/>
          <w:szCs w:val="24"/>
        </w:rPr>
        <w:t>Eron</w:t>
      </w:r>
      <w:proofErr w:type="spellEnd"/>
      <w:r w:rsidR="00457EE3" w:rsidRPr="00440C15">
        <w:rPr>
          <w:rFonts w:ascii="Times New Roman" w:hAnsi="Times New Roman"/>
          <w:color w:val="000000" w:themeColor="text1"/>
          <w:sz w:val="24"/>
          <w:szCs w:val="24"/>
        </w:rPr>
        <w:t xml:space="preserve"> and the Typical Canadian Investors in the same category.  In interpreting these findings, it is important to keep in mind the proportion of investors in each age group in the three studies. As mentioned earlier, approximately 60% of the investors in the IDA study were over 55 years of age, compared to 39% and 30% of the investors who were in the same age group in the </w:t>
      </w:r>
      <w:proofErr w:type="spellStart"/>
      <w:r w:rsidR="00457EE3" w:rsidRPr="00440C15">
        <w:rPr>
          <w:rFonts w:ascii="Times New Roman" w:hAnsi="Times New Roman"/>
          <w:color w:val="000000" w:themeColor="text1"/>
          <w:sz w:val="24"/>
          <w:szCs w:val="24"/>
        </w:rPr>
        <w:t>Eron</w:t>
      </w:r>
      <w:proofErr w:type="spellEnd"/>
      <w:r w:rsidR="00457EE3" w:rsidRPr="00440C15">
        <w:rPr>
          <w:rFonts w:ascii="Times New Roman" w:hAnsi="Times New Roman"/>
          <w:color w:val="000000" w:themeColor="text1"/>
          <w:sz w:val="24"/>
          <w:szCs w:val="24"/>
        </w:rPr>
        <w:t xml:space="preserve"> and the Typical Canadian Investors’ studies.  As such, the investors in the IDA study had more working years to accumulate wealth, than investors in the </w:t>
      </w:r>
      <w:proofErr w:type="spellStart"/>
      <w:r w:rsidR="00457EE3" w:rsidRPr="00440C15">
        <w:rPr>
          <w:rFonts w:ascii="Times New Roman" w:hAnsi="Times New Roman"/>
          <w:color w:val="000000" w:themeColor="text1"/>
          <w:sz w:val="24"/>
          <w:szCs w:val="24"/>
        </w:rPr>
        <w:t>Eron</w:t>
      </w:r>
      <w:proofErr w:type="spellEnd"/>
      <w:r w:rsidR="00457EE3" w:rsidRPr="00440C15">
        <w:rPr>
          <w:rFonts w:ascii="Times New Roman" w:hAnsi="Times New Roman"/>
          <w:color w:val="000000" w:themeColor="text1"/>
          <w:sz w:val="24"/>
          <w:szCs w:val="24"/>
        </w:rPr>
        <w:t xml:space="preserve"> and Typical Canadian Investors’ studies. It seems natural then that investors in the IDA study would have had more time to pay off their debts and have a higher household net worth than the investors in the </w:t>
      </w:r>
      <w:proofErr w:type="spellStart"/>
      <w:r w:rsidR="00457EE3" w:rsidRPr="00440C15">
        <w:rPr>
          <w:rFonts w:ascii="Times New Roman" w:hAnsi="Times New Roman"/>
          <w:color w:val="000000" w:themeColor="text1"/>
          <w:sz w:val="24"/>
          <w:szCs w:val="24"/>
        </w:rPr>
        <w:t>Eron</w:t>
      </w:r>
      <w:proofErr w:type="spellEnd"/>
      <w:r w:rsidR="00457EE3" w:rsidRPr="00440C15">
        <w:rPr>
          <w:rFonts w:ascii="Times New Roman" w:hAnsi="Times New Roman"/>
          <w:color w:val="000000" w:themeColor="text1"/>
          <w:sz w:val="24"/>
          <w:szCs w:val="24"/>
        </w:rPr>
        <w:t xml:space="preserve"> and Typical Canadian Investors’ studies (see, </w:t>
      </w:r>
      <w:r w:rsidR="00457EE3" w:rsidRPr="00440C15">
        <w:rPr>
          <w:rFonts w:ascii="Times New Roman" w:hAnsi="Times New Roman"/>
          <w:bCs/>
          <w:color w:val="000000" w:themeColor="text1"/>
          <w:sz w:val="24"/>
          <w:szCs w:val="24"/>
        </w:rPr>
        <w:t xml:space="preserve">Sauvé, 2002: 21-22; Boyd, 2005: 14). </w:t>
      </w:r>
    </w:p>
    <w:p w:rsidR="00457EE3" w:rsidRPr="00440C15" w:rsidRDefault="00457EE3" w:rsidP="00457EE3">
      <w:pPr>
        <w:pStyle w:val="Caption"/>
        <w:rPr>
          <w:rFonts w:ascii="Times New Roman" w:hAnsi="Times New Roman"/>
          <w:color w:val="000000" w:themeColor="text1"/>
          <w:sz w:val="24"/>
        </w:rPr>
      </w:pPr>
      <w:bookmarkStart w:id="33" w:name="_Toc329241718"/>
      <w:r w:rsidRPr="00440C15">
        <w:rPr>
          <w:rFonts w:ascii="Times New Roman" w:hAnsi="Times New Roman"/>
          <w:color w:val="000000" w:themeColor="text1"/>
          <w:sz w:val="24"/>
        </w:rPr>
        <w:t xml:space="preserve">Table </w:t>
      </w:r>
      <w:r w:rsidR="00DD4F01"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Table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6</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t xml:space="preserve">Household Net </w:t>
      </w:r>
      <w:proofErr w:type="gramStart"/>
      <w:r w:rsidRPr="00440C15">
        <w:rPr>
          <w:rFonts w:ascii="Times New Roman" w:hAnsi="Times New Roman"/>
          <w:color w:val="000000" w:themeColor="text1"/>
          <w:sz w:val="24"/>
        </w:rPr>
        <w:t>Worth</w:t>
      </w:r>
      <w:proofErr w:type="gramEnd"/>
      <w:r w:rsidRPr="00440C15">
        <w:rPr>
          <w:rFonts w:ascii="Times New Roman" w:hAnsi="Times New Roman"/>
          <w:color w:val="000000" w:themeColor="text1"/>
          <w:sz w:val="24"/>
        </w:rPr>
        <w:t xml:space="preserve"> (Excluding principal residence) of Investors of the Three Studies</w:t>
      </w:r>
      <w:bookmarkEnd w:id="33"/>
    </w:p>
    <w:tbl>
      <w:tblPr>
        <w:tblW w:w="8640" w:type="dxa"/>
        <w:tblInd w:w="96" w:type="dxa"/>
        <w:tblLook w:val="04A0" w:firstRow="1" w:lastRow="0" w:firstColumn="1" w:lastColumn="0" w:noHBand="0" w:noVBand="1"/>
      </w:tblPr>
      <w:tblGrid>
        <w:gridCol w:w="3118"/>
        <w:gridCol w:w="2044"/>
        <w:gridCol w:w="1677"/>
        <w:gridCol w:w="1801"/>
      </w:tblGrid>
      <w:tr w:rsidR="00457EE3" w:rsidRPr="00440C15" w:rsidTr="002A1926">
        <w:trPr>
          <w:trHeight w:val="600"/>
          <w:tblHead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Household Net worth</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IDA Study (N=191)</w:t>
            </w:r>
          </w:p>
        </w:tc>
        <w:tc>
          <w:tcPr>
            <w:tcW w:w="1592" w:type="dxa"/>
            <w:tcBorders>
              <w:top w:val="single" w:sz="4" w:space="0" w:color="auto"/>
              <w:left w:val="nil"/>
              <w:bottom w:val="single" w:sz="4" w:space="0" w:color="auto"/>
              <w:right w:val="single" w:sz="4" w:space="0" w:color="auto"/>
            </w:tcBorders>
            <w:shd w:val="clear" w:color="auto" w:fill="auto"/>
            <w:vAlign w:val="bottom"/>
            <w:hideMark/>
          </w:tcPr>
          <w:p w:rsidR="00457EE3" w:rsidRPr="00440C15" w:rsidRDefault="00457EE3" w:rsidP="002A1926">
            <w:pPr>
              <w:spacing w:after="0" w:line="240" w:lineRule="auto"/>
              <w:rPr>
                <w:rFonts w:ascii="Times New Roman" w:hAnsi="Times New Roman"/>
                <w:b/>
                <w:bCs/>
                <w:color w:val="000000" w:themeColor="text1"/>
                <w:sz w:val="24"/>
                <w:szCs w:val="24"/>
                <w:lang w:bidi="ar-SA"/>
              </w:rPr>
            </w:pPr>
            <w:proofErr w:type="spellStart"/>
            <w:r w:rsidRPr="00440C15">
              <w:rPr>
                <w:rFonts w:ascii="Times New Roman" w:hAnsi="Times New Roman"/>
                <w:b/>
                <w:bCs/>
                <w:color w:val="000000" w:themeColor="text1"/>
                <w:sz w:val="24"/>
                <w:szCs w:val="24"/>
                <w:lang w:bidi="ar-SA"/>
              </w:rPr>
              <w:t>Eron</w:t>
            </w:r>
            <w:proofErr w:type="spellEnd"/>
            <w:r w:rsidRPr="00440C15">
              <w:rPr>
                <w:rFonts w:ascii="Times New Roman" w:hAnsi="Times New Roman"/>
                <w:b/>
                <w:bCs/>
                <w:color w:val="000000" w:themeColor="text1"/>
                <w:sz w:val="24"/>
                <w:szCs w:val="24"/>
                <w:lang w:bidi="ar-SA"/>
              </w:rPr>
              <w:t xml:space="preserve"> Study</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57EE3" w:rsidRPr="00440C15" w:rsidRDefault="00457EE3" w:rsidP="002A1926">
            <w:pPr>
              <w:spacing w:after="0" w:line="240" w:lineRule="auto"/>
              <w:jc w:val="center"/>
              <w:rPr>
                <w:rFonts w:ascii="Times New Roman" w:hAnsi="Times New Roman"/>
                <w:b/>
                <w:bCs/>
                <w:color w:val="000000" w:themeColor="text1"/>
                <w:sz w:val="24"/>
                <w:szCs w:val="24"/>
                <w:lang w:bidi="ar-SA"/>
              </w:rPr>
            </w:pPr>
            <w:r w:rsidRPr="00440C15">
              <w:rPr>
                <w:rFonts w:ascii="Times New Roman" w:hAnsi="Times New Roman"/>
                <w:b/>
                <w:bCs/>
                <w:color w:val="000000" w:themeColor="text1"/>
                <w:sz w:val="24"/>
                <w:szCs w:val="24"/>
                <w:lang w:bidi="ar-SA"/>
              </w:rPr>
              <w:t>Typical Canadian Investors</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Under $25,000</w:t>
            </w:r>
          </w:p>
        </w:tc>
        <w:tc>
          <w:tcPr>
            <w:tcW w:w="19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w:t>
            </w:r>
          </w:p>
        </w:tc>
        <w:tc>
          <w:tcPr>
            <w:tcW w:w="15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6</w:t>
            </w:r>
          </w:p>
        </w:tc>
        <w:tc>
          <w:tcPr>
            <w:tcW w:w="171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28</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$25,000 to under $50,000</w:t>
            </w:r>
          </w:p>
        </w:tc>
        <w:tc>
          <w:tcPr>
            <w:tcW w:w="19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w:t>
            </w:r>
          </w:p>
        </w:tc>
        <w:tc>
          <w:tcPr>
            <w:tcW w:w="15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w:t>
            </w:r>
          </w:p>
        </w:tc>
        <w:tc>
          <w:tcPr>
            <w:tcW w:w="171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18</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$50,000 to under $100,000</w:t>
            </w:r>
          </w:p>
        </w:tc>
        <w:tc>
          <w:tcPr>
            <w:tcW w:w="19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14</w:t>
            </w:r>
          </w:p>
        </w:tc>
        <w:tc>
          <w:tcPr>
            <w:tcW w:w="15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19</w:t>
            </w:r>
          </w:p>
        </w:tc>
        <w:tc>
          <w:tcPr>
            <w:tcW w:w="171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15</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$100,000 to under $150,000</w:t>
            </w:r>
          </w:p>
        </w:tc>
        <w:tc>
          <w:tcPr>
            <w:tcW w:w="19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15</w:t>
            </w:r>
          </w:p>
        </w:tc>
        <w:tc>
          <w:tcPr>
            <w:tcW w:w="15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8</w:t>
            </w:r>
          </w:p>
        </w:tc>
        <w:tc>
          <w:tcPr>
            <w:tcW w:w="171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9</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$150000 to under $250,000</w:t>
            </w:r>
          </w:p>
        </w:tc>
        <w:tc>
          <w:tcPr>
            <w:tcW w:w="19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19</w:t>
            </w:r>
          </w:p>
        </w:tc>
        <w:tc>
          <w:tcPr>
            <w:tcW w:w="15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17</w:t>
            </w:r>
          </w:p>
        </w:tc>
        <w:tc>
          <w:tcPr>
            <w:tcW w:w="171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8</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$250,000 and over</w:t>
            </w:r>
          </w:p>
        </w:tc>
        <w:tc>
          <w:tcPr>
            <w:tcW w:w="19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45</w:t>
            </w:r>
          </w:p>
        </w:tc>
        <w:tc>
          <w:tcPr>
            <w:tcW w:w="15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32</w:t>
            </w:r>
          </w:p>
        </w:tc>
        <w:tc>
          <w:tcPr>
            <w:tcW w:w="171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DK/NA</w:t>
            </w:r>
          </w:p>
        </w:tc>
        <w:tc>
          <w:tcPr>
            <w:tcW w:w="19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w:t>
            </w:r>
          </w:p>
        </w:tc>
        <w:tc>
          <w:tcPr>
            <w:tcW w:w="15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8</w:t>
            </w:r>
          </w:p>
        </w:tc>
        <w:tc>
          <w:tcPr>
            <w:tcW w:w="171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12</w:t>
            </w:r>
          </w:p>
        </w:tc>
      </w:tr>
      <w:tr w:rsidR="00457EE3" w:rsidRPr="00440C15" w:rsidTr="002A1926">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Total Percent</w:t>
            </w:r>
          </w:p>
        </w:tc>
        <w:tc>
          <w:tcPr>
            <w:tcW w:w="194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c>
          <w:tcPr>
            <w:tcW w:w="1592"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c>
          <w:tcPr>
            <w:tcW w:w="1710" w:type="dxa"/>
            <w:tcBorders>
              <w:top w:val="nil"/>
              <w:left w:val="nil"/>
              <w:bottom w:val="single" w:sz="4" w:space="0" w:color="auto"/>
              <w:right w:val="single" w:sz="4" w:space="0" w:color="auto"/>
            </w:tcBorders>
            <w:shd w:val="clear" w:color="auto" w:fill="auto"/>
            <w:noWrap/>
            <w:vAlign w:val="bottom"/>
            <w:hideMark/>
          </w:tcPr>
          <w:p w:rsidR="00457EE3" w:rsidRPr="00440C15" w:rsidRDefault="00457EE3" w:rsidP="002A1926">
            <w:pPr>
              <w:keepNext/>
              <w:spacing w:after="0" w:line="240" w:lineRule="auto"/>
              <w:jc w:val="righ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lang w:bidi="ar-SA"/>
              </w:rPr>
              <w:t>100</w:t>
            </w:r>
          </w:p>
        </w:tc>
      </w:tr>
    </w:tbl>
    <w:p w:rsidR="00457EE3" w:rsidRPr="00440C15" w:rsidRDefault="00457EE3" w:rsidP="00457EE3">
      <w:pPr>
        <w:keepNext/>
        <w:tabs>
          <w:tab w:val="left" w:pos="6816"/>
        </w:tabs>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*Not available</w:t>
      </w:r>
      <w:r w:rsidRPr="00440C15">
        <w:rPr>
          <w:rFonts w:ascii="Times New Roman" w:hAnsi="Times New Roman"/>
          <w:color w:val="000000" w:themeColor="text1"/>
          <w:sz w:val="24"/>
          <w:szCs w:val="24"/>
        </w:rPr>
        <w:tab/>
      </w:r>
      <w:bookmarkStart w:id="34" w:name="_Toc314667679"/>
    </w:p>
    <w:p w:rsidR="00457EE3" w:rsidRPr="00440C15" w:rsidRDefault="00457EE3" w:rsidP="00457EE3">
      <w:pPr>
        <w:pStyle w:val="Heading3"/>
        <w:rPr>
          <w:rFonts w:ascii="Times New Roman" w:hAnsi="Times New Roman"/>
          <w:color w:val="000000" w:themeColor="text1"/>
          <w:sz w:val="24"/>
        </w:rPr>
      </w:pPr>
      <w:bookmarkStart w:id="35" w:name="_Toc329241640"/>
      <w:r w:rsidRPr="00440C15">
        <w:rPr>
          <w:rFonts w:ascii="Times New Roman" w:hAnsi="Times New Roman"/>
          <w:color w:val="000000" w:themeColor="text1"/>
          <w:sz w:val="24"/>
        </w:rPr>
        <w:t>Financial Losses</w:t>
      </w:r>
      <w:bookmarkEnd w:id="34"/>
      <w:bookmarkEnd w:id="35"/>
    </w:p>
    <w:p w:rsidR="00457EE3" w:rsidRPr="00440C15" w:rsidRDefault="00DD4F01"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Figure 1</w:t>
      </w:r>
      <w:r w:rsidR="00457EE3" w:rsidRPr="00440C15">
        <w:rPr>
          <w:rFonts w:ascii="Times New Roman" w:hAnsi="Times New Roman"/>
          <w:color w:val="000000" w:themeColor="text1"/>
          <w:sz w:val="24"/>
          <w:szCs w:val="24"/>
        </w:rPr>
        <w:t xml:space="preserve">-6 presents the losses incurred by identified investors in the IDA study. For those investors where financial losses were identified, 41% lost under $25,000. This finding point to the possibility that for the majority of investors, once they realized that they were losing money, </w:t>
      </w:r>
      <w:r w:rsidR="00457EE3" w:rsidRPr="00440C15">
        <w:rPr>
          <w:rFonts w:ascii="Times New Roman" w:hAnsi="Times New Roman"/>
          <w:color w:val="000000" w:themeColor="text1"/>
          <w:sz w:val="24"/>
          <w:szCs w:val="24"/>
        </w:rPr>
        <w:lastRenderedPageBreak/>
        <w:t xml:space="preserve">decided to cut their losses and get out at the earliest opportunity (e.g., see </w:t>
      </w:r>
      <w:proofErr w:type="spellStart"/>
      <w:r w:rsidR="00457EE3" w:rsidRPr="00440C15">
        <w:rPr>
          <w:rFonts w:ascii="Times New Roman" w:hAnsi="Times New Roman"/>
          <w:color w:val="000000" w:themeColor="text1"/>
          <w:sz w:val="24"/>
          <w:szCs w:val="24"/>
        </w:rPr>
        <w:t>Goldin</w:t>
      </w:r>
      <w:proofErr w:type="spellEnd"/>
      <w:r w:rsidR="00457EE3" w:rsidRPr="00440C15">
        <w:rPr>
          <w:rFonts w:ascii="Times New Roman" w:hAnsi="Times New Roman"/>
          <w:color w:val="000000" w:themeColor="text1"/>
          <w:sz w:val="24"/>
          <w:szCs w:val="24"/>
        </w:rPr>
        <w:t xml:space="preserve">, 2010: 129). Another 19% of investors lost anywhere between $25,000 to under $50,000, 13% lost between $50,000 to under $75, 000, and 5% lost between $75,000 to under $100,000. Also notable, is that 22% of investors lost over $100,000 from their investments.  It is highly unlikely that investors will tolerate such huge losses in their accounts, without inquiring about the losses. </w:t>
      </w:r>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Financial advisors utilized a number of techniques from their toolkits to hide these losses. In some cases, </w:t>
      </w:r>
      <w:r w:rsidRPr="00440C15">
        <w:rPr>
          <w:rStyle w:val="bold"/>
          <w:rFonts w:ascii="Times New Roman" w:hAnsi="Times New Roman"/>
          <w:color w:val="000000" w:themeColor="text1"/>
          <w:sz w:val="24"/>
          <w:szCs w:val="24"/>
        </w:rPr>
        <w:t xml:space="preserve">the financial advisor took advantage of the investors’ limited financial knowledge and swindled their investments. For example in </w:t>
      </w:r>
      <w:proofErr w:type="spellStart"/>
      <w:r w:rsidRPr="00440C15">
        <w:rPr>
          <w:rStyle w:val="bold"/>
          <w:rFonts w:ascii="Times New Roman" w:hAnsi="Times New Roman"/>
          <w:i/>
          <w:color w:val="000000" w:themeColor="text1"/>
          <w:sz w:val="24"/>
          <w:szCs w:val="24"/>
        </w:rPr>
        <w:t>Silcoff</w:t>
      </w:r>
      <w:proofErr w:type="spellEnd"/>
      <w:r w:rsidRPr="00440C15">
        <w:rPr>
          <w:rStyle w:val="bold"/>
          <w:rFonts w:ascii="Times New Roman" w:hAnsi="Times New Roman"/>
          <w:color w:val="000000" w:themeColor="text1"/>
          <w:sz w:val="24"/>
          <w:szCs w:val="24"/>
        </w:rPr>
        <w:t xml:space="preserve">, the Panel noted that </w:t>
      </w:r>
    </w:p>
    <w:p w:rsidR="00457EE3" w:rsidRPr="00440C15" w:rsidRDefault="00457EE3" w:rsidP="00457EE3">
      <w:pPr>
        <w:pStyle w:val="3BodyQuoteSingleOrLast"/>
        <w:rPr>
          <w:rStyle w:val="verdana"/>
          <w:rFonts w:ascii="Times New Roman" w:hAnsi="Times New Roman"/>
          <w:color w:val="000000" w:themeColor="text1"/>
          <w:sz w:val="24"/>
          <w:szCs w:val="24"/>
        </w:rPr>
      </w:pPr>
      <w:r w:rsidRPr="00440C15">
        <w:rPr>
          <w:rStyle w:val="verdana"/>
          <w:rFonts w:ascii="Times New Roman" w:hAnsi="Times New Roman"/>
          <w:color w:val="000000" w:themeColor="text1"/>
          <w:sz w:val="24"/>
          <w:szCs w:val="24"/>
        </w:rPr>
        <w:t xml:space="preserve"> [f]rom the time the E Account was opened on May 5, 2000 through February 28, 2001 Mr. S effected 75 discretionary transactions in the E Account. When NE and EE became aware of the discretionary transactions in [their] Account, NE called Mr. S to express concern over the trading in [their] account. Mr. S told NE not to be concerned because her bottom line account balance was not affected. When NE expressed concerns to Mr. S regarding the declining balance in [their] Account, he assured her that the …Account was not losing money and that she was simply misreading the account statements. In fact, the discretionary transactions in the …Account resulted in a </w:t>
      </w:r>
      <w:bookmarkStart w:id="36" w:name="ORIGHIT_8"/>
      <w:bookmarkStart w:id="37" w:name="HIT_8"/>
      <w:bookmarkEnd w:id="36"/>
      <w:bookmarkEnd w:id="37"/>
      <w:r w:rsidRPr="00440C15">
        <w:rPr>
          <w:rStyle w:val="hit"/>
          <w:rFonts w:ascii="Times New Roman" w:hAnsi="Times New Roman"/>
          <w:color w:val="000000" w:themeColor="text1"/>
          <w:sz w:val="24"/>
          <w:szCs w:val="24"/>
        </w:rPr>
        <w:t>loss</w:t>
      </w:r>
      <w:r w:rsidRPr="00440C15">
        <w:rPr>
          <w:rStyle w:val="verdana"/>
          <w:rFonts w:ascii="Times New Roman" w:hAnsi="Times New Roman"/>
          <w:color w:val="000000" w:themeColor="text1"/>
          <w:sz w:val="24"/>
          <w:szCs w:val="24"/>
        </w:rPr>
        <w:t xml:space="preserve"> of $18,531.94 (</w:t>
      </w:r>
      <w:r w:rsidRPr="00440C15">
        <w:rPr>
          <w:rStyle w:val="verdana"/>
          <w:rFonts w:ascii="Times New Roman" w:hAnsi="Times New Roman"/>
          <w:i/>
          <w:color w:val="000000" w:themeColor="text1"/>
          <w:sz w:val="24"/>
          <w:szCs w:val="24"/>
        </w:rPr>
        <w:t xml:space="preserve">IDA v. </w:t>
      </w:r>
      <w:proofErr w:type="spellStart"/>
      <w:r w:rsidRPr="00440C15">
        <w:rPr>
          <w:rStyle w:val="verdana"/>
          <w:rFonts w:ascii="Times New Roman" w:hAnsi="Times New Roman"/>
          <w:i/>
          <w:color w:val="000000" w:themeColor="text1"/>
          <w:sz w:val="24"/>
          <w:szCs w:val="24"/>
        </w:rPr>
        <w:t>Silcoff</w:t>
      </w:r>
      <w:proofErr w:type="spellEnd"/>
      <w:r w:rsidRPr="00440C15">
        <w:rPr>
          <w:rStyle w:val="verdana"/>
          <w:rFonts w:ascii="Times New Roman" w:hAnsi="Times New Roman"/>
          <w:color w:val="000000" w:themeColor="text1"/>
          <w:sz w:val="24"/>
          <w:szCs w:val="24"/>
        </w:rPr>
        <w:t>, 2004: para. 21).</w:t>
      </w:r>
    </w:p>
    <w:p w:rsidR="00457EE3" w:rsidRPr="00440C15" w:rsidRDefault="00457EE3" w:rsidP="00457EE3">
      <w:pPr>
        <w:pStyle w:val="3BodyFlushLeft"/>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rPr>
        <w:t>In other cases, investors were told by their financial advisors to keep their accounts active, and that their investment losses would recover over time.</w:t>
      </w:r>
      <w:r w:rsidRPr="00440C15">
        <w:rPr>
          <w:rFonts w:ascii="Times New Roman" w:hAnsi="Times New Roman"/>
          <w:color w:val="000000" w:themeColor="text1"/>
          <w:sz w:val="24"/>
          <w:szCs w:val="24"/>
          <w:lang w:bidi="ar-SA"/>
        </w:rPr>
        <w:t xml:space="preserve"> For example, in </w:t>
      </w:r>
      <w:proofErr w:type="spellStart"/>
      <w:r w:rsidRPr="00440C15">
        <w:rPr>
          <w:rFonts w:ascii="Times New Roman" w:hAnsi="Times New Roman"/>
          <w:i/>
          <w:color w:val="000000" w:themeColor="text1"/>
          <w:sz w:val="24"/>
          <w:szCs w:val="24"/>
          <w:lang w:bidi="ar-SA"/>
        </w:rPr>
        <w:t>Youden</w:t>
      </w:r>
      <w:proofErr w:type="spellEnd"/>
      <w:r w:rsidRPr="00440C15">
        <w:rPr>
          <w:rFonts w:ascii="Times New Roman" w:hAnsi="Times New Roman"/>
          <w:color w:val="000000" w:themeColor="text1"/>
          <w:sz w:val="24"/>
          <w:szCs w:val="24"/>
          <w:lang w:bidi="ar-SA"/>
        </w:rPr>
        <w:t>, the Panel noted that the client</w:t>
      </w:r>
    </w:p>
    <w:p w:rsidR="00457EE3" w:rsidRPr="00440C15" w:rsidRDefault="00457EE3" w:rsidP="00457EE3">
      <w:pPr>
        <w:pStyle w:val="3BodyQuoteSingleOrLast"/>
        <w:rPr>
          <w:rStyle w:val="verdana"/>
          <w:rFonts w:ascii="Times New Roman" w:hAnsi="Times New Roman"/>
          <w:color w:val="000000" w:themeColor="text1"/>
          <w:sz w:val="24"/>
          <w:szCs w:val="24"/>
        </w:rPr>
      </w:pPr>
      <w:r w:rsidRPr="00440C15">
        <w:rPr>
          <w:rStyle w:val="verdana"/>
          <w:rFonts w:ascii="Times New Roman" w:hAnsi="Times New Roman"/>
          <w:color w:val="000000" w:themeColor="text1"/>
          <w:sz w:val="24"/>
          <w:szCs w:val="24"/>
        </w:rPr>
        <w:t>Mr. M</w:t>
      </w:r>
      <w:proofErr w:type="gramStart"/>
      <w:r w:rsidRPr="00440C15">
        <w:rPr>
          <w:rStyle w:val="verdana"/>
          <w:rFonts w:ascii="Times New Roman" w:hAnsi="Times New Roman"/>
          <w:color w:val="000000" w:themeColor="text1"/>
          <w:sz w:val="24"/>
          <w:szCs w:val="24"/>
        </w:rPr>
        <w:t>…[</w:t>
      </w:r>
      <w:proofErr w:type="gramEnd"/>
      <w:r w:rsidRPr="00440C15">
        <w:rPr>
          <w:rStyle w:val="verdana"/>
          <w:rFonts w:ascii="Times New Roman" w:hAnsi="Times New Roman"/>
          <w:color w:val="000000" w:themeColor="text1"/>
          <w:sz w:val="24"/>
          <w:szCs w:val="24"/>
        </w:rPr>
        <w:t xml:space="preserve">gave] evidence that he first complained to Mr. B [his financial advisor] when his portfolio started to drop off in the spring of 2000. He stated that he made several phone calls to Mr. B enquiring about this and what Mr. B intended to do to either </w:t>
      </w:r>
      <w:r w:rsidRPr="00440C15">
        <w:rPr>
          <w:rStyle w:val="hit"/>
          <w:rFonts w:ascii="Times New Roman" w:hAnsi="Times New Roman"/>
          <w:color w:val="000000" w:themeColor="text1"/>
          <w:sz w:val="24"/>
          <w:szCs w:val="24"/>
        </w:rPr>
        <w:t>recover</w:t>
      </w:r>
      <w:r w:rsidRPr="00440C15">
        <w:rPr>
          <w:rStyle w:val="verdana"/>
          <w:rFonts w:ascii="Times New Roman" w:hAnsi="Times New Roman"/>
          <w:color w:val="000000" w:themeColor="text1"/>
          <w:sz w:val="24"/>
          <w:szCs w:val="24"/>
        </w:rPr>
        <w:t xml:space="preserve"> what he lost or prevent further </w:t>
      </w:r>
      <w:r w:rsidRPr="00440C15">
        <w:rPr>
          <w:rStyle w:val="hit"/>
          <w:rFonts w:ascii="Times New Roman" w:hAnsi="Times New Roman"/>
          <w:color w:val="000000" w:themeColor="text1"/>
          <w:sz w:val="24"/>
          <w:szCs w:val="24"/>
        </w:rPr>
        <w:t>losses.</w:t>
      </w:r>
      <w:r w:rsidRPr="00440C15">
        <w:rPr>
          <w:rStyle w:val="verdana"/>
          <w:rFonts w:ascii="Times New Roman" w:hAnsi="Times New Roman"/>
          <w:color w:val="000000" w:themeColor="text1"/>
          <w:sz w:val="24"/>
          <w:szCs w:val="24"/>
        </w:rPr>
        <w:t xml:space="preserve"> In response [the client] testified that Mr. B advised him that the market </w:t>
      </w:r>
      <w:r w:rsidRPr="00440C15">
        <w:rPr>
          <w:rStyle w:val="hit"/>
          <w:rFonts w:ascii="Times New Roman" w:hAnsi="Times New Roman"/>
          <w:color w:val="000000" w:themeColor="text1"/>
          <w:sz w:val="24"/>
          <w:szCs w:val="24"/>
        </w:rPr>
        <w:t>losses</w:t>
      </w:r>
      <w:r w:rsidRPr="00440C15">
        <w:rPr>
          <w:rStyle w:val="verdana"/>
          <w:rFonts w:ascii="Times New Roman" w:hAnsi="Times New Roman"/>
          <w:color w:val="000000" w:themeColor="text1"/>
          <w:sz w:val="24"/>
          <w:szCs w:val="24"/>
        </w:rPr>
        <w:t xml:space="preserve"> were temporary as it was just a dip in the market and things would </w:t>
      </w:r>
      <w:r w:rsidRPr="00440C15">
        <w:rPr>
          <w:rStyle w:val="hit"/>
          <w:rFonts w:ascii="Times New Roman" w:hAnsi="Times New Roman"/>
          <w:color w:val="000000" w:themeColor="text1"/>
          <w:sz w:val="24"/>
          <w:szCs w:val="24"/>
        </w:rPr>
        <w:t>recover</w:t>
      </w:r>
      <w:r w:rsidRPr="00440C15">
        <w:rPr>
          <w:rStyle w:val="verdana"/>
          <w:rFonts w:ascii="Times New Roman" w:hAnsi="Times New Roman"/>
          <w:color w:val="000000" w:themeColor="text1"/>
          <w:sz w:val="24"/>
          <w:szCs w:val="24"/>
        </w:rPr>
        <w:t xml:space="preserve"> and there was no need for concern</w:t>
      </w:r>
      <w:proofErr w:type="gramStart"/>
      <w:r w:rsidRPr="00440C15">
        <w:rPr>
          <w:rStyle w:val="verdana"/>
          <w:rFonts w:ascii="Times New Roman" w:hAnsi="Times New Roman"/>
          <w:color w:val="000000" w:themeColor="text1"/>
          <w:sz w:val="24"/>
          <w:szCs w:val="24"/>
        </w:rPr>
        <w:t>…[</w:t>
      </w:r>
      <w:proofErr w:type="gramEnd"/>
      <w:r w:rsidRPr="00440C15">
        <w:rPr>
          <w:rStyle w:val="verdana"/>
          <w:rFonts w:ascii="Times New Roman" w:hAnsi="Times New Roman"/>
          <w:color w:val="000000" w:themeColor="text1"/>
          <w:sz w:val="24"/>
          <w:szCs w:val="24"/>
        </w:rPr>
        <w:t>Mr. M’s] main investment account went from a high of $351,000 in March of 2000 to a low of $45,000 when all the accounts were transferred out of RBCDS in May of 2003 (</w:t>
      </w:r>
      <w:r w:rsidRPr="00440C15">
        <w:rPr>
          <w:rStyle w:val="verdana"/>
          <w:rFonts w:ascii="Times New Roman" w:hAnsi="Times New Roman"/>
          <w:i/>
          <w:color w:val="000000" w:themeColor="text1"/>
          <w:sz w:val="24"/>
          <w:szCs w:val="24"/>
        </w:rPr>
        <w:t xml:space="preserve">IDA v. </w:t>
      </w:r>
      <w:proofErr w:type="spellStart"/>
      <w:r w:rsidRPr="00440C15">
        <w:rPr>
          <w:rStyle w:val="verdana"/>
          <w:rFonts w:ascii="Times New Roman" w:hAnsi="Times New Roman"/>
          <w:i/>
          <w:color w:val="000000" w:themeColor="text1"/>
          <w:sz w:val="24"/>
          <w:szCs w:val="24"/>
        </w:rPr>
        <w:t>Youden</w:t>
      </w:r>
      <w:proofErr w:type="spellEnd"/>
      <w:r w:rsidRPr="00440C15">
        <w:rPr>
          <w:rStyle w:val="verdana"/>
          <w:rFonts w:ascii="Times New Roman" w:hAnsi="Times New Roman"/>
          <w:color w:val="000000" w:themeColor="text1"/>
          <w:sz w:val="24"/>
          <w:szCs w:val="24"/>
        </w:rPr>
        <w:t xml:space="preserve">, 2003: para. 30 and 94). </w:t>
      </w:r>
    </w:p>
    <w:p w:rsidR="00457EE3" w:rsidRPr="00440C15" w:rsidRDefault="00457EE3" w:rsidP="00457EE3">
      <w:pPr>
        <w:pStyle w:val="3BodyFlushLeft"/>
        <w:rPr>
          <w:rFonts w:ascii="Times New Roman" w:hAnsi="Times New Roman"/>
          <w:color w:val="000000" w:themeColor="text1"/>
          <w:sz w:val="24"/>
          <w:szCs w:val="24"/>
        </w:rPr>
      </w:pPr>
      <w:r w:rsidRPr="00440C15">
        <w:rPr>
          <w:rFonts w:ascii="Times New Roman" w:hAnsi="Times New Roman"/>
          <w:color w:val="000000" w:themeColor="text1"/>
          <w:sz w:val="24"/>
          <w:szCs w:val="24"/>
        </w:rPr>
        <w:lastRenderedPageBreak/>
        <w:t xml:space="preserve">There were also cases where the financial advisors kept the account active in an attempt to recover the losses incurred. In </w:t>
      </w:r>
      <w:proofErr w:type="spellStart"/>
      <w:r w:rsidRPr="00440C15">
        <w:rPr>
          <w:rStyle w:val="verdana"/>
          <w:rFonts w:ascii="Times New Roman" w:hAnsi="Times New Roman"/>
          <w:i/>
          <w:color w:val="000000" w:themeColor="text1"/>
          <w:sz w:val="24"/>
          <w:szCs w:val="24"/>
        </w:rPr>
        <w:t>Migirdic</w:t>
      </w:r>
      <w:proofErr w:type="spellEnd"/>
      <w:r w:rsidRPr="00440C15">
        <w:rPr>
          <w:rStyle w:val="verdana"/>
          <w:rFonts w:ascii="Times New Roman" w:hAnsi="Times New Roman"/>
          <w:color w:val="000000" w:themeColor="text1"/>
          <w:sz w:val="24"/>
          <w:szCs w:val="24"/>
        </w:rPr>
        <w:t xml:space="preserve"> for example, the client </w:t>
      </w:r>
    </w:p>
    <w:p w:rsidR="00457EE3" w:rsidRPr="00440C15" w:rsidRDefault="00457EE3" w:rsidP="00457EE3">
      <w:pPr>
        <w:pStyle w:val="3BodyQuoteSingleOrLast"/>
        <w:rPr>
          <w:rFonts w:ascii="Times New Roman" w:hAnsi="Times New Roman"/>
          <w:color w:val="000000" w:themeColor="text1"/>
          <w:sz w:val="24"/>
          <w:szCs w:val="24"/>
        </w:rPr>
      </w:pPr>
      <w:r w:rsidRPr="00440C15">
        <w:rPr>
          <w:rStyle w:val="verdana"/>
          <w:rFonts w:ascii="Times New Roman" w:hAnsi="Times New Roman"/>
          <w:color w:val="000000" w:themeColor="text1"/>
          <w:sz w:val="24"/>
          <w:szCs w:val="24"/>
        </w:rPr>
        <w:t xml:space="preserve">P.A. complained to [Mr. M, his financial advisor] about his </w:t>
      </w:r>
      <w:bookmarkStart w:id="38" w:name="ORIGHIT_7"/>
      <w:bookmarkStart w:id="39" w:name="HIT_7"/>
      <w:bookmarkEnd w:id="38"/>
      <w:bookmarkEnd w:id="39"/>
      <w:r w:rsidRPr="00440C15">
        <w:rPr>
          <w:rStyle w:val="hit"/>
          <w:rFonts w:ascii="Times New Roman" w:hAnsi="Times New Roman"/>
          <w:color w:val="000000" w:themeColor="text1"/>
          <w:sz w:val="24"/>
          <w:szCs w:val="24"/>
        </w:rPr>
        <w:t>losses.</w:t>
      </w:r>
      <w:r w:rsidRPr="00440C15">
        <w:rPr>
          <w:rStyle w:val="verdana"/>
          <w:rFonts w:ascii="Times New Roman" w:hAnsi="Times New Roman"/>
          <w:color w:val="000000" w:themeColor="text1"/>
          <w:sz w:val="24"/>
          <w:szCs w:val="24"/>
        </w:rPr>
        <w:t xml:space="preserve"> In reply, [Mr. M] gave his client a letter on May 14, 2000, in which he stated that he was taking responsibility for the decline of the portfolio and promised to restore the portfolio’s value to its January 20, 2000 level, namely $1,059,954, by the close of the third Friday in January 2001. [Mr. M] also wrote that, if he was unable to restore the value of the portfolio to its January 2000 level, he would reimburse the account holder the difference between the value as at January 2000 and the value as at January 2001</w:t>
      </w:r>
      <w:proofErr w:type="gramStart"/>
      <w:r w:rsidRPr="00440C15">
        <w:rPr>
          <w:rStyle w:val="verdana"/>
          <w:rFonts w:ascii="Times New Roman" w:hAnsi="Times New Roman"/>
          <w:color w:val="000000" w:themeColor="text1"/>
          <w:sz w:val="24"/>
          <w:szCs w:val="24"/>
        </w:rPr>
        <w:t>…[</w:t>
      </w:r>
      <w:proofErr w:type="gramEnd"/>
      <w:r w:rsidRPr="00440C15">
        <w:rPr>
          <w:rStyle w:val="verdana"/>
          <w:rFonts w:ascii="Times New Roman" w:hAnsi="Times New Roman"/>
          <w:color w:val="000000" w:themeColor="text1"/>
          <w:sz w:val="24"/>
          <w:szCs w:val="24"/>
        </w:rPr>
        <w:t>Mr. M]…</w:t>
      </w:r>
      <w:r w:rsidRPr="00440C15">
        <w:rPr>
          <w:rFonts w:ascii="Times New Roman" w:hAnsi="Times New Roman"/>
          <w:color w:val="000000" w:themeColor="text1"/>
          <w:sz w:val="24"/>
          <w:szCs w:val="24"/>
        </w:rPr>
        <w:t xml:space="preserve">was hoping that the markets would </w:t>
      </w:r>
      <w:r w:rsidRPr="00440C15">
        <w:rPr>
          <w:rFonts w:ascii="Times New Roman" w:hAnsi="Times New Roman"/>
          <w:bCs/>
          <w:color w:val="000000" w:themeColor="text1"/>
          <w:sz w:val="24"/>
          <w:szCs w:val="24"/>
        </w:rPr>
        <w:t>recover</w:t>
      </w:r>
      <w:r w:rsidRPr="00440C15">
        <w:rPr>
          <w:rFonts w:ascii="Times New Roman" w:hAnsi="Times New Roman"/>
          <w:color w:val="000000" w:themeColor="text1"/>
          <w:sz w:val="24"/>
          <w:szCs w:val="24"/>
        </w:rPr>
        <w:t xml:space="preserve"> and that he would not have to reimburse P.A (</w:t>
      </w:r>
      <w:r w:rsidRPr="00440C15">
        <w:rPr>
          <w:rFonts w:ascii="Times New Roman" w:hAnsi="Times New Roman"/>
          <w:i/>
          <w:color w:val="000000" w:themeColor="text1"/>
          <w:sz w:val="24"/>
          <w:szCs w:val="24"/>
        </w:rPr>
        <w:t xml:space="preserve">IDA v. </w:t>
      </w:r>
      <w:proofErr w:type="spellStart"/>
      <w:r w:rsidRPr="00440C15">
        <w:rPr>
          <w:rFonts w:ascii="Times New Roman" w:hAnsi="Times New Roman"/>
          <w:i/>
          <w:color w:val="000000" w:themeColor="text1"/>
          <w:sz w:val="24"/>
          <w:szCs w:val="24"/>
        </w:rPr>
        <w:t>Mirgirdic</w:t>
      </w:r>
      <w:proofErr w:type="spellEnd"/>
      <w:r w:rsidRPr="00440C15">
        <w:rPr>
          <w:rFonts w:ascii="Times New Roman" w:hAnsi="Times New Roman"/>
          <w:color w:val="000000" w:themeColor="text1"/>
          <w:sz w:val="24"/>
          <w:szCs w:val="24"/>
        </w:rPr>
        <w:t xml:space="preserve">, 2004: para. 13 and 16). </w:t>
      </w:r>
    </w:p>
    <w:p w:rsidR="00457EE3" w:rsidRPr="00440C15" w:rsidRDefault="00457EE3" w:rsidP="00457EE3">
      <w:pPr>
        <w:pStyle w:val="7FigureImagewithNoteOrCaptionAfter"/>
        <w:rPr>
          <w:rFonts w:ascii="Times New Roman" w:hAnsi="Times New Roman"/>
          <w:color w:val="000000" w:themeColor="text1"/>
          <w:sz w:val="24"/>
          <w:szCs w:val="24"/>
        </w:rPr>
      </w:pPr>
      <w:r w:rsidRPr="00440C15">
        <w:rPr>
          <w:rFonts w:ascii="Times New Roman" w:hAnsi="Times New Roman"/>
          <w:noProof/>
          <w:color w:val="000000" w:themeColor="text1"/>
          <w:sz w:val="24"/>
          <w:szCs w:val="24"/>
          <w:lang w:val="en-GB" w:eastAsia="en-GB" w:bidi="ar-SA"/>
        </w:rPr>
        <w:drawing>
          <wp:inline distT="0" distB="0" distL="0" distR="0">
            <wp:extent cx="4360926" cy="2925698"/>
            <wp:effectExtent l="12192" t="6096" r="8382" b="1906"/>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EE3" w:rsidRPr="00440C15" w:rsidRDefault="00457EE3" w:rsidP="00457EE3">
      <w:pPr>
        <w:pStyle w:val="7CaptionAutoNumberbelowFiguresImagesnoNoteAfter"/>
        <w:rPr>
          <w:rFonts w:ascii="Times New Roman" w:hAnsi="Times New Roman"/>
          <w:color w:val="000000" w:themeColor="text1"/>
          <w:sz w:val="24"/>
        </w:rPr>
      </w:pPr>
      <w:bookmarkStart w:id="40" w:name="_Toc329241739"/>
      <w:bookmarkStart w:id="41" w:name="_Toc314667680"/>
      <w:r w:rsidRPr="00440C15">
        <w:rPr>
          <w:rFonts w:ascii="Times New Roman" w:hAnsi="Times New Roman"/>
          <w:color w:val="000000" w:themeColor="text1"/>
          <w:sz w:val="24"/>
        </w:rPr>
        <w:t xml:space="preserve">Figure </w:t>
      </w:r>
      <w:r w:rsidR="00DD4F01"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Figure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6</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t>Investors’ financial losses</w:t>
      </w:r>
      <w:bookmarkEnd w:id="40"/>
    </w:p>
    <w:p w:rsidR="00457EE3" w:rsidRPr="00440C15" w:rsidRDefault="00457EE3" w:rsidP="00457EE3">
      <w:pPr>
        <w:pStyle w:val="Heading3"/>
        <w:rPr>
          <w:rFonts w:ascii="Times New Roman" w:hAnsi="Times New Roman"/>
          <w:color w:val="000000" w:themeColor="text1"/>
          <w:sz w:val="24"/>
        </w:rPr>
      </w:pPr>
      <w:bookmarkStart w:id="42" w:name="_Toc329241641"/>
      <w:r w:rsidRPr="00440C15">
        <w:rPr>
          <w:rFonts w:ascii="Times New Roman" w:hAnsi="Times New Roman"/>
          <w:color w:val="000000" w:themeColor="text1"/>
          <w:sz w:val="24"/>
        </w:rPr>
        <w:t>Relationship to the Offender</w:t>
      </w:r>
      <w:bookmarkEnd w:id="41"/>
      <w:bookmarkEnd w:id="42"/>
    </w:p>
    <w:p w:rsidR="00457EE3" w:rsidRPr="00440C15" w:rsidRDefault="00457EE3" w:rsidP="00457EE3">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As indicated in the literature, “a relationship of trust” is a major factor when it comes to handing over your </w:t>
      </w:r>
      <w:r w:rsidR="00142048" w:rsidRPr="00440C15">
        <w:rPr>
          <w:rFonts w:ascii="Times New Roman" w:hAnsi="Times New Roman"/>
          <w:color w:val="000000" w:themeColor="text1"/>
          <w:sz w:val="24"/>
          <w:szCs w:val="24"/>
        </w:rPr>
        <w:t>money for investment (CSA, 2007</w:t>
      </w:r>
      <w:r w:rsidRPr="00440C15">
        <w:rPr>
          <w:rFonts w:ascii="Times New Roman" w:hAnsi="Times New Roman"/>
          <w:color w:val="000000" w:themeColor="text1"/>
          <w:sz w:val="24"/>
          <w:szCs w:val="24"/>
        </w:rPr>
        <w:t>:1; also see Boyd, 2005: 34-35). The first casualties of investment scams are investors who trusted their financial a</w:t>
      </w:r>
      <w:r w:rsidR="00142048" w:rsidRPr="00440C15">
        <w:rPr>
          <w:rFonts w:ascii="Times New Roman" w:hAnsi="Times New Roman"/>
          <w:color w:val="000000" w:themeColor="text1"/>
          <w:sz w:val="24"/>
          <w:szCs w:val="24"/>
        </w:rPr>
        <w:t>dvisors the most (see CSA, 2007</w:t>
      </w:r>
      <w:r w:rsidRPr="00440C15">
        <w:rPr>
          <w:rFonts w:ascii="Times New Roman" w:hAnsi="Times New Roman"/>
          <w:color w:val="000000" w:themeColor="text1"/>
          <w:sz w:val="24"/>
          <w:szCs w:val="24"/>
        </w:rPr>
        <w:t xml:space="preserve">:2). As can be seen in Figure 7-7, 40% of the investors were a family member, 37% </w:t>
      </w:r>
      <w:r w:rsidRPr="00440C15">
        <w:rPr>
          <w:rFonts w:ascii="Times New Roman" w:hAnsi="Times New Roman"/>
          <w:color w:val="000000" w:themeColor="text1"/>
          <w:sz w:val="24"/>
          <w:szCs w:val="24"/>
        </w:rPr>
        <w:lastRenderedPageBreak/>
        <w:t xml:space="preserve">were an acquaintance, and 23% were a friend of the offender.  Like the mortgage brokers in the </w:t>
      </w:r>
      <w:proofErr w:type="spellStart"/>
      <w:r w:rsidRPr="00440C15">
        <w:rPr>
          <w:rFonts w:ascii="Times New Roman" w:hAnsi="Times New Roman"/>
          <w:color w:val="000000" w:themeColor="text1"/>
          <w:sz w:val="24"/>
          <w:szCs w:val="24"/>
        </w:rPr>
        <w:t>Eron</w:t>
      </w:r>
      <w:proofErr w:type="spellEnd"/>
      <w:r w:rsidRPr="00440C15">
        <w:rPr>
          <w:rFonts w:ascii="Times New Roman" w:hAnsi="Times New Roman"/>
          <w:color w:val="000000" w:themeColor="text1"/>
          <w:sz w:val="24"/>
          <w:szCs w:val="24"/>
        </w:rPr>
        <w:t xml:space="preserve"> fraud, investment advisors in the IDA study “operated on the basis of the exploitation of existing trust” (Boyd, 2005: 34). The available data, although limited, indicates that individual registrants were able to earn the trust of the people they were closest to and then betray that trust by swindling them of their retirement funds. It seems prudent to think that investors who are familiar with their financial advisors might have been secure with their investments. However, it may be that being familiar with and blindly trusting an investment advisor may “actually work...against” investors’ interests (see Boyd, 2005: 34).  Far from giving investors peace of mind, trust without conducting due diligence on the background of the investment advisors, seems to be the cardinal sin investors are committing when selecting a financial expert to manage their money. </w:t>
      </w:r>
    </w:p>
    <w:p w:rsidR="00457EE3" w:rsidRPr="00440C15" w:rsidRDefault="00457EE3" w:rsidP="00457EE3">
      <w:pPr>
        <w:pStyle w:val="7FigureImagewithNoteOrCaptionAfter"/>
        <w:rPr>
          <w:rFonts w:ascii="Times New Roman" w:hAnsi="Times New Roman"/>
          <w:noProof/>
          <w:color w:val="000000" w:themeColor="text1"/>
          <w:sz w:val="24"/>
          <w:szCs w:val="24"/>
        </w:rPr>
      </w:pPr>
      <w:r w:rsidRPr="00440C15">
        <w:rPr>
          <w:rFonts w:ascii="Times New Roman" w:hAnsi="Times New Roman"/>
          <w:noProof/>
          <w:color w:val="000000" w:themeColor="text1"/>
          <w:sz w:val="24"/>
          <w:szCs w:val="24"/>
          <w:lang w:val="en-GB" w:eastAsia="en-GB" w:bidi="ar-SA"/>
        </w:rPr>
        <w:drawing>
          <wp:inline distT="0" distB="0" distL="0" distR="0">
            <wp:extent cx="3672547" cy="2267781"/>
            <wp:effectExtent l="19050" t="0" r="23153" b="0"/>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EE3" w:rsidRPr="00440C15" w:rsidRDefault="00457EE3" w:rsidP="00457EE3">
      <w:pPr>
        <w:pStyle w:val="7CaptionAutoNumberbelowFiguresImagesnoNoteAfter"/>
        <w:keepNext/>
        <w:rPr>
          <w:rFonts w:ascii="Times New Roman" w:hAnsi="Times New Roman"/>
          <w:color w:val="000000" w:themeColor="text1"/>
          <w:sz w:val="24"/>
        </w:rPr>
      </w:pPr>
      <w:bookmarkStart w:id="43" w:name="_Toc329241740"/>
      <w:r w:rsidRPr="00440C15">
        <w:rPr>
          <w:rFonts w:ascii="Times New Roman" w:hAnsi="Times New Roman"/>
          <w:color w:val="000000" w:themeColor="text1"/>
          <w:sz w:val="24"/>
        </w:rPr>
        <w:t xml:space="preserve">Figure </w:t>
      </w:r>
      <w:r w:rsidR="00DD4F01" w:rsidRPr="00440C15">
        <w:rPr>
          <w:rFonts w:ascii="Times New Roman" w:hAnsi="Times New Roman"/>
          <w:color w:val="000000" w:themeColor="text1"/>
          <w:sz w:val="24"/>
        </w:rPr>
        <w:t>1</w:t>
      </w:r>
      <w:r w:rsidRPr="00440C15">
        <w:rPr>
          <w:rFonts w:ascii="Times New Roman" w:hAnsi="Times New Roman"/>
          <w:color w:val="000000" w:themeColor="text1"/>
          <w:sz w:val="24"/>
        </w:rPr>
        <w:noBreakHyphen/>
      </w:r>
      <w:r w:rsidR="00726AF0" w:rsidRPr="00440C15">
        <w:rPr>
          <w:rFonts w:ascii="Times New Roman" w:hAnsi="Times New Roman"/>
          <w:color w:val="000000" w:themeColor="text1"/>
          <w:sz w:val="24"/>
        </w:rPr>
        <w:fldChar w:fldCharType="begin"/>
      </w:r>
      <w:r w:rsidR="006F679C" w:rsidRPr="00440C15">
        <w:rPr>
          <w:rFonts w:ascii="Times New Roman" w:hAnsi="Times New Roman"/>
          <w:color w:val="000000" w:themeColor="text1"/>
          <w:sz w:val="24"/>
        </w:rPr>
        <w:instrText xml:space="preserve"> SEQ Figure \* ARABIC \s 1 </w:instrText>
      </w:r>
      <w:r w:rsidR="00726AF0" w:rsidRPr="00440C15">
        <w:rPr>
          <w:rFonts w:ascii="Times New Roman" w:hAnsi="Times New Roman"/>
          <w:color w:val="000000" w:themeColor="text1"/>
          <w:sz w:val="24"/>
        </w:rPr>
        <w:fldChar w:fldCharType="separate"/>
      </w:r>
      <w:r w:rsidR="001647CE">
        <w:rPr>
          <w:rFonts w:ascii="Times New Roman" w:hAnsi="Times New Roman"/>
          <w:noProof/>
          <w:color w:val="000000" w:themeColor="text1"/>
          <w:sz w:val="24"/>
        </w:rPr>
        <w:t>7</w:t>
      </w:r>
      <w:r w:rsidR="00726AF0" w:rsidRPr="00440C15">
        <w:rPr>
          <w:rFonts w:ascii="Times New Roman" w:hAnsi="Times New Roman"/>
          <w:color w:val="000000" w:themeColor="text1"/>
          <w:sz w:val="24"/>
        </w:rPr>
        <w:fldChar w:fldCharType="end"/>
      </w:r>
      <w:r w:rsidRPr="00440C15">
        <w:rPr>
          <w:rFonts w:ascii="Times New Roman" w:hAnsi="Times New Roman"/>
          <w:color w:val="000000" w:themeColor="text1"/>
          <w:sz w:val="24"/>
        </w:rPr>
        <w:tab/>
        <w:t>Investors’ Relationship to the Offender</w:t>
      </w:r>
      <w:bookmarkEnd w:id="43"/>
    </w:p>
    <w:p w:rsidR="00346464" w:rsidRDefault="00346464" w:rsidP="005A264C">
      <w:pPr>
        <w:spacing w:after="0" w:line="240" w:lineRule="auto"/>
        <w:rPr>
          <w:rFonts w:ascii="Times New Roman" w:hAnsi="Times New Roman"/>
          <w:b/>
          <w:color w:val="000000" w:themeColor="text1"/>
          <w:sz w:val="28"/>
          <w:szCs w:val="28"/>
        </w:rPr>
      </w:pPr>
    </w:p>
    <w:p w:rsidR="00346464" w:rsidRDefault="00346464" w:rsidP="005A264C">
      <w:pPr>
        <w:spacing w:after="0" w:line="240" w:lineRule="auto"/>
        <w:rPr>
          <w:rFonts w:ascii="Times New Roman" w:hAnsi="Times New Roman"/>
          <w:b/>
          <w:color w:val="000000" w:themeColor="text1"/>
          <w:sz w:val="28"/>
          <w:szCs w:val="28"/>
        </w:rPr>
      </w:pPr>
    </w:p>
    <w:p w:rsidR="00346464" w:rsidRDefault="00346464" w:rsidP="005A264C">
      <w:pPr>
        <w:spacing w:after="0" w:line="240" w:lineRule="auto"/>
        <w:rPr>
          <w:rFonts w:ascii="Times New Roman" w:hAnsi="Times New Roman"/>
          <w:b/>
          <w:color w:val="000000" w:themeColor="text1"/>
          <w:sz w:val="28"/>
          <w:szCs w:val="28"/>
        </w:rPr>
      </w:pPr>
    </w:p>
    <w:p w:rsidR="00346464" w:rsidRDefault="00346464" w:rsidP="005A264C">
      <w:pPr>
        <w:spacing w:after="0" w:line="240" w:lineRule="auto"/>
        <w:rPr>
          <w:rFonts w:ascii="Times New Roman" w:hAnsi="Times New Roman"/>
          <w:b/>
          <w:color w:val="000000" w:themeColor="text1"/>
          <w:sz w:val="28"/>
          <w:szCs w:val="28"/>
        </w:rPr>
      </w:pPr>
    </w:p>
    <w:p w:rsidR="00346464" w:rsidRDefault="00346464" w:rsidP="005A264C">
      <w:pPr>
        <w:spacing w:after="0" w:line="240" w:lineRule="auto"/>
        <w:rPr>
          <w:rFonts w:ascii="Times New Roman" w:hAnsi="Times New Roman"/>
          <w:b/>
          <w:color w:val="000000" w:themeColor="text1"/>
          <w:sz w:val="28"/>
          <w:szCs w:val="28"/>
        </w:rPr>
      </w:pPr>
    </w:p>
    <w:p w:rsidR="00346464" w:rsidRDefault="00346464" w:rsidP="005A264C">
      <w:pPr>
        <w:spacing w:after="0" w:line="240" w:lineRule="auto"/>
        <w:rPr>
          <w:rFonts w:ascii="Times New Roman" w:hAnsi="Times New Roman"/>
          <w:b/>
          <w:color w:val="000000" w:themeColor="text1"/>
          <w:sz w:val="28"/>
          <w:szCs w:val="28"/>
        </w:rPr>
      </w:pPr>
    </w:p>
    <w:p w:rsidR="00346464" w:rsidRDefault="00346464" w:rsidP="005A264C">
      <w:pPr>
        <w:spacing w:after="0" w:line="240" w:lineRule="auto"/>
        <w:rPr>
          <w:rFonts w:ascii="Times New Roman" w:hAnsi="Times New Roman"/>
          <w:b/>
          <w:color w:val="000000" w:themeColor="text1"/>
          <w:sz w:val="28"/>
          <w:szCs w:val="28"/>
        </w:rPr>
      </w:pPr>
    </w:p>
    <w:p w:rsidR="00E4332A" w:rsidRPr="00440C15" w:rsidRDefault="005E14AA" w:rsidP="005A264C">
      <w:pPr>
        <w:spacing w:after="0" w:line="240" w:lineRule="auto"/>
        <w:rPr>
          <w:rFonts w:ascii="Times New Roman" w:hAnsi="Times New Roman"/>
          <w:b/>
          <w:color w:val="000000" w:themeColor="text1"/>
          <w:sz w:val="28"/>
          <w:szCs w:val="28"/>
        </w:rPr>
      </w:pPr>
      <w:r w:rsidRPr="00440C15">
        <w:rPr>
          <w:rFonts w:ascii="Times New Roman" w:hAnsi="Times New Roman"/>
          <w:b/>
          <w:color w:val="000000" w:themeColor="text1"/>
          <w:sz w:val="28"/>
          <w:szCs w:val="28"/>
        </w:rPr>
        <w:lastRenderedPageBreak/>
        <w:t>Conclusion and Discussion</w:t>
      </w:r>
    </w:p>
    <w:p w:rsidR="005A264C" w:rsidRPr="00440C15" w:rsidRDefault="005A264C" w:rsidP="005A264C">
      <w:pPr>
        <w:spacing w:after="0" w:line="240" w:lineRule="auto"/>
        <w:rPr>
          <w:rFonts w:ascii="Times New Roman" w:hAnsi="Times New Roman"/>
          <w:b/>
          <w:color w:val="000000" w:themeColor="text1"/>
          <w:sz w:val="24"/>
          <w:szCs w:val="24"/>
        </w:rPr>
      </w:pPr>
    </w:p>
    <w:p w:rsidR="005A264C" w:rsidRPr="00440C15" w:rsidRDefault="005A264C" w:rsidP="00EE2F32">
      <w:pPr>
        <w:spacing w:after="0" w:line="240" w:lineRule="auto"/>
        <w:rPr>
          <w:rFonts w:ascii="Times New Roman" w:hAnsi="Times New Roman"/>
          <w:b/>
          <w:color w:val="000000" w:themeColor="text1"/>
          <w:sz w:val="24"/>
          <w:szCs w:val="24"/>
        </w:rPr>
      </w:pPr>
      <w:r w:rsidRPr="00440C15">
        <w:rPr>
          <w:rFonts w:ascii="Times New Roman" w:hAnsi="Times New Roman"/>
          <w:b/>
          <w:color w:val="000000" w:themeColor="text1"/>
          <w:sz w:val="24"/>
          <w:szCs w:val="24"/>
        </w:rPr>
        <w:t>Portrait of the Vulnerable Investor</w:t>
      </w:r>
    </w:p>
    <w:p w:rsidR="00EE2F32" w:rsidRPr="00440C15" w:rsidRDefault="00EE2F32" w:rsidP="00EE2F32">
      <w:pPr>
        <w:pStyle w:val="NormalIndent"/>
        <w:spacing w:after="0"/>
        <w:rPr>
          <w:rFonts w:ascii="Times New Roman" w:hAnsi="Times New Roman"/>
          <w:color w:val="000000" w:themeColor="text1"/>
          <w:sz w:val="24"/>
          <w:szCs w:val="24"/>
        </w:rPr>
      </w:pPr>
    </w:p>
    <w:p w:rsidR="005E14AA" w:rsidRPr="00440C15" w:rsidRDefault="005E14AA" w:rsidP="00EE2F32">
      <w:pPr>
        <w:pStyle w:val="NormalIndent"/>
        <w:spacing w:after="0"/>
        <w:rPr>
          <w:rFonts w:ascii="Times New Roman" w:hAnsi="Times New Roman"/>
          <w:color w:val="000000" w:themeColor="text1"/>
          <w:sz w:val="24"/>
          <w:szCs w:val="24"/>
          <w:lang w:bidi="ar-SA"/>
        </w:rPr>
      </w:pPr>
      <w:r w:rsidRPr="00440C15">
        <w:rPr>
          <w:rFonts w:ascii="Times New Roman" w:hAnsi="Times New Roman"/>
          <w:color w:val="000000" w:themeColor="text1"/>
          <w:sz w:val="24"/>
          <w:szCs w:val="24"/>
        </w:rPr>
        <w:t xml:space="preserve">Even though victims of investment scams can be from all walks of life, the IDA study shows that scam </w:t>
      </w:r>
      <w:proofErr w:type="gramStart"/>
      <w:r w:rsidRPr="00440C15">
        <w:rPr>
          <w:rFonts w:ascii="Times New Roman" w:hAnsi="Times New Roman"/>
          <w:color w:val="000000" w:themeColor="text1"/>
          <w:sz w:val="24"/>
          <w:szCs w:val="24"/>
        </w:rPr>
        <w:t>artists</w:t>
      </w:r>
      <w:proofErr w:type="gramEnd"/>
      <w:r w:rsidRPr="00440C15">
        <w:rPr>
          <w:rFonts w:ascii="Times New Roman" w:hAnsi="Times New Roman"/>
          <w:color w:val="000000" w:themeColor="text1"/>
          <w:sz w:val="24"/>
          <w:szCs w:val="24"/>
        </w:rPr>
        <w:t xml:space="preserve"> target some of the most vulnerable people in society (also see FAIR </w:t>
      </w:r>
      <w:r w:rsidR="00142048" w:rsidRPr="00440C15">
        <w:rPr>
          <w:rFonts w:ascii="Times New Roman" w:hAnsi="Times New Roman"/>
          <w:color w:val="000000" w:themeColor="text1"/>
          <w:sz w:val="24"/>
          <w:szCs w:val="24"/>
        </w:rPr>
        <w:t>Canada, 2011</w:t>
      </w:r>
      <w:r w:rsidRPr="00440C15">
        <w:rPr>
          <w:rFonts w:ascii="Times New Roman" w:hAnsi="Times New Roman"/>
          <w:color w:val="000000" w:themeColor="text1"/>
          <w:sz w:val="24"/>
          <w:szCs w:val="24"/>
        </w:rPr>
        <w:t>: 21). The vulnerable investor in the IDA study can be described as someone who is interested in securing his or her financial future. Those most vulnerable are investors who are retired and have limited investment knowledge. Older Canadians (50+) are all too often the ones commonly victimized by securities</w:t>
      </w:r>
      <w:r w:rsidR="00142048" w:rsidRPr="00440C15">
        <w:rPr>
          <w:rFonts w:ascii="Times New Roman" w:hAnsi="Times New Roman"/>
          <w:color w:val="000000" w:themeColor="text1"/>
          <w:sz w:val="24"/>
          <w:szCs w:val="24"/>
        </w:rPr>
        <w:t xml:space="preserve"> breaches (also see </w:t>
      </w:r>
      <w:proofErr w:type="spellStart"/>
      <w:r w:rsidR="00142048" w:rsidRPr="00440C15">
        <w:rPr>
          <w:rFonts w:ascii="Times New Roman" w:hAnsi="Times New Roman"/>
          <w:color w:val="000000" w:themeColor="text1"/>
          <w:sz w:val="24"/>
          <w:szCs w:val="24"/>
        </w:rPr>
        <w:t>BCSCn</w:t>
      </w:r>
      <w:proofErr w:type="spellEnd"/>
      <w:r w:rsidR="00142048" w:rsidRPr="00440C15">
        <w:rPr>
          <w:rFonts w:ascii="Times New Roman" w:hAnsi="Times New Roman"/>
          <w:color w:val="000000" w:themeColor="text1"/>
          <w:sz w:val="24"/>
          <w:szCs w:val="24"/>
        </w:rPr>
        <w:t>, 2012a</w:t>
      </w:r>
      <w:r w:rsidRPr="00440C15">
        <w:rPr>
          <w:rFonts w:ascii="Times New Roman" w:hAnsi="Times New Roman"/>
          <w:color w:val="000000" w:themeColor="text1"/>
          <w:sz w:val="24"/>
          <w:szCs w:val="24"/>
        </w:rPr>
        <w:t xml:space="preserve">). Their vulnerability is fueled by promises of high returns and low risks in investment schemes that lure them to invest in products they hardly know anything about.  </w:t>
      </w:r>
      <w:r w:rsidRPr="00440C15">
        <w:rPr>
          <w:rFonts w:ascii="Times New Roman" w:hAnsi="Times New Roman"/>
          <w:color w:val="000000" w:themeColor="text1"/>
          <w:sz w:val="24"/>
          <w:szCs w:val="24"/>
          <w:lang w:bidi="ar-SA"/>
        </w:rPr>
        <w:t xml:space="preserve">Brenda Leong, the Chair of the </w:t>
      </w:r>
      <w:proofErr w:type="spellStart"/>
      <w:r w:rsidRPr="00440C15">
        <w:rPr>
          <w:rFonts w:ascii="Times New Roman" w:hAnsi="Times New Roman"/>
          <w:color w:val="000000" w:themeColor="text1"/>
          <w:sz w:val="24"/>
          <w:szCs w:val="24"/>
          <w:lang w:bidi="ar-SA"/>
        </w:rPr>
        <w:t>BCSCn</w:t>
      </w:r>
      <w:proofErr w:type="spellEnd"/>
      <w:r w:rsidRPr="00440C15">
        <w:rPr>
          <w:rFonts w:ascii="Times New Roman" w:hAnsi="Times New Roman"/>
          <w:color w:val="000000" w:themeColor="text1"/>
          <w:sz w:val="24"/>
          <w:szCs w:val="24"/>
          <w:lang w:bidi="ar-SA"/>
        </w:rPr>
        <w:t xml:space="preserve"> noted that</w:t>
      </w:r>
    </w:p>
    <w:p w:rsidR="005E14AA" w:rsidRPr="00440C15" w:rsidRDefault="005E14AA" w:rsidP="005E14AA">
      <w:pPr>
        <w:pStyle w:val="3BodyQuoteSingleOrLast"/>
        <w:rPr>
          <w:rFonts w:ascii="Times New Roman" w:hAnsi="Times New Roman"/>
          <w:color w:val="000000" w:themeColor="text1"/>
          <w:sz w:val="24"/>
          <w:szCs w:val="24"/>
        </w:rPr>
      </w:pPr>
      <w:r w:rsidRPr="00440C15">
        <w:rPr>
          <w:rFonts w:ascii="Times New Roman" w:hAnsi="Times New Roman"/>
          <w:color w:val="000000" w:themeColor="text1"/>
          <w:sz w:val="24"/>
          <w:szCs w:val="24"/>
        </w:rPr>
        <w:t>[w]hen you combine the fact that many older Canadians do [not] have a good grasp of what a realistic level of return is in the market with their lack of understanding about the relationship between risk and return, you have the perfect storm for con artists. This group is more vulnerable to promises of unrealistic returns, especially when the offer comes with the additional promise of no risk (</w:t>
      </w:r>
      <w:proofErr w:type="spellStart"/>
      <w:r w:rsidRPr="00440C15">
        <w:rPr>
          <w:rFonts w:ascii="Times New Roman" w:hAnsi="Times New Roman"/>
          <w:color w:val="000000" w:themeColor="text1"/>
          <w:sz w:val="24"/>
          <w:szCs w:val="24"/>
        </w:rPr>
        <w:t>BCSCn</w:t>
      </w:r>
      <w:proofErr w:type="spellEnd"/>
      <w:r w:rsidRPr="00440C15">
        <w:rPr>
          <w:rFonts w:ascii="Times New Roman" w:hAnsi="Times New Roman"/>
          <w:color w:val="000000" w:themeColor="text1"/>
          <w:sz w:val="24"/>
          <w:szCs w:val="24"/>
        </w:rPr>
        <w:t xml:space="preserve">, 2012b: para. 3). </w:t>
      </w:r>
    </w:p>
    <w:p w:rsidR="005E14AA" w:rsidRPr="00440C15" w:rsidRDefault="005E14AA" w:rsidP="005E14AA">
      <w:pPr>
        <w:pStyle w:val="3BodyFlushLeft"/>
        <w:rPr>
          <w:rFonts w:ascii="Times New Roman" w:hAnsi="Times New Roman"/>
          <w:color w:val="000000" w:themeColor="text1"/>
          <w:sz w:val="24"/>
          <w:szCs w:val="24"/>
        </w:rPr>
      </w:pPr>
      <w:r w:rsidRPr="00440C15">
        <w:rPr>
          <w:rFonts w:ascii="Times New Roman" w:hAnsi="Times New Roman"/>
          <w:color w:val="000000" w:themeColor="text1"/>
          <w:sz w:val="24"/>
          <w:szCs w:val="24"/>
        </w:rPr>
        <w:t>A considerable number of individuals who invested were those who experienced recent windfalls, dipped into their life savings and borrowed money in order to invest (also see FAIR Canada, 2011: 21; Boyd, 2005: 36). The fear of not having enough money in their retirement years increases this vuln</w:t>
      </w:r>
      <w:r w:rsidR="00EE2F32" w:rsidRPr="00440C15">
        <w:rPr>
          <w:rFonts w:ascii="Times New Roman" w:hAnsi="Times New Roman"/>
          <w:color w:val="000000" w:themeColor="text1"/>
          <w:sz w:val="24"/>
          <w:szCs w:val="24"/>
        </w:rPr>
        <w:t xml:space="preserve">erability.  The victims in the IDA </w:t>
      </w:r>
      <w:r w:rsidR="00DD39FA" w:rsidRPr="00440C15">
        <w:rPr>
          <w:rFonts w:ascii="Times New Roman" w:hAnsi="Times New Roman"/>
          <w:color w:val="000000" w:themeColor="text1"/>
          <w:sz w:val="24"/>
          <w:szCs w:val="24"/>
        </w:rPr>
        <w:t>study were</w:t>
      </w:r>
      <w:r w:rsidRPr="00440C15">
        <w:rPr>
          <w:rFonts w:ascii="Times New Roman" w:hAnsi="Times New Roman"/>
          <w:color w:val="000000" w:themeColor="text1"/>
          <w:sz w:val="24"/>
          <w:szCs w:val="24"/>
        </w:rPr>
        <w:t xml:space="preserve"> not particularly wealthy, and approximately 66% of them earned less than $50,000 per year at the time of the investment.  Roughly 22% of the victims incurred losses of $100,000 or more. Some of these victims include those who lost their entire life savings and in the process, ruined their retirement plans. </w:t>
      </w:r>
    </w:p>
    <w:p w:rsidR="005E14AA" w:rsidRPr="00440C15" w:rsidRDefault="005E14AA" w:rsidP="005E14AA">
      <w:pPr>
        <w:spacing w:after="0"/>
        <w:ind w:firstLine="72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One commonality that a number of these investors shared </w:t>
      </w:r>
      <w:proofErr w:type="gramStart"/>
      <w:r w:rsidRPr="00440C15">
        <w:rPr>
          <w:rFonts w:ascii="Times New Roman" w:hAnsi="Times New Roman"/>
          <w:color w:val="000000" w:themeColor="text1"/>
          <w:sz w:val="24"/>
          <w:szCs w:val="24"/>
        </w:rPr>
        <w:t>is</w:t>
      </w:r>
      <w:proofErr w:type="gramEnd"/>
      <w:r w:rsidRPr="00440C15">
        <w:rPr>
          <w:rFonts w:ascii="Times New Roman" w:hAnsi="Times New Roman"/>
          <w:color w:val="000000" w:themeColor="text1"/>
          <w:sz w:val="24"/>
          <w:szCs w:val="24"/>
        </w:rPr>
        <w:t xml:space="preserve"> that they relied on the advice of people they trusted the most to secure their financial well being: family and friends.  It does </w:t>
      </w:r>
      <w:r w:rsidRPr="00440C15">
        <w:rPr>
          <w:rFonts w:ascii="Times New Roman" w:hAnsi="Times New Roman"/>
          <w:color w:val="000000" w:themeColor="text1"/>
          <w:sz w:val="24"/>
          <w:szCs w:val="24"/>
        </w:rPr>
        <w:lastRenderedPageBreak/>
        <w:t xml:space="preserve">not seem to matter whether the individual is </w:t>
      </w:r>
      <w:r w:rsidRPr="00440C15">
        <w:rPr>
          <w:rFonts w:ascii="Times New Roman" w:hAnsi="Times New Roman"/>
          <w:color w:val="000000" w:themeColor="text1"/>
          <w:sz w:val="24"/>
          <w:szCs w:val="24"/>
          <w:lang w:bidi="ar-SA"/>
        </w:rPr>
        <w:t>“[y]</w:t>
      </w:r>
      <w:proofErr w:type="spellStart"/>
      <w:r w:rsidRPr="00440C15">
        <w:rPr>
          <w:rFonts w:ascii="Times New Roman" w:hAnsi="Times New Roman"/>
          <w:color w:val="000000" w:themeColor="text1"/>
          <w:sz w:val="24"/>
          <w:szCs w:val="24"/>
          <w:lang w:bidi="ar-SA"/>
        </w:rPr>
        <w:t>oung</w:t>
      </w:r>
      <w:proofErr w:type="spellEnd"/>
      <w:r w:rsidRPr="00440C15">
        <w:rPr>
          <w:rFonts w:ascii="Times New Roman" w:hAnsi="Times New Roman"/>
          <w:color w:val="000000" w:themeColor="text1"/>
          <w:sz w:val="24"/>
          <w:szCs w:val="24"/>
          <w:lang w:bidi="ar-SA"/>
        </w:rPr>
        <w:t xml:space="preserve"> or old, rich or poor, financially literate or not, the power of trust transcends all barriers when it comes to the likelihood of falling victim to investment fraud” (</w:t>
      </w:r>
      <w:proofErr w:type="spellStart"/>
      <w:r w:rsidRPr="00440C15">
        <w:rPr>
          <w:rFonts w:ascii="Times New Roman" w:hAnsi="Times New Roman"/>
          <w:color w:val="000000" w:themeColor="text1"/>
          <w:sz w:val="24"/>
          <w:szCs w:val="24"/>
          <w:lang w:bidi="ar-SA"/>
        </w:rPr>
        <w:t>BCSCn</w:t>
      </w:r>
      <w:proofErr w:type="spellEnd"/>
      <w:r w:rsidRPr="00440C15">
        <w:rPr>
          <w:rFonts w:ascii="Times New Roman" w:hAnsi="Times New Roman"/>
          <w:color w:val="000000" w:themeColor="text1"/>
          <w:sz w:val="24"/>
          <w:szCs w:val="24"/>
          <w:lang w:bidi="ar-SA"/>
        </w:rPr>
        <w:t xml:space="preserve">, 2012a: 3). </w:t>
      </w:r>
      <w:r w:rsidRPr="00440C15">
        <w:rPr>
          <w:rFonts w:ascii="Times New Roman" w:hAnsi="Times New Roman"/>
          <w:color w:val="000000" w:themeColor="text1"/>
          <w:sz w:val="24"/>
          <w:szCs w:val="24"/>
        </w:rPr>
        <w:t xml:space="preserve">Far from giving investors peace of mind, trusting these individuals without conducting due diligence on their backgrounds as investment advisors, seems to be the cardinal sin investors were committing when selecting a financial expert to manage their money. It should also be noted that in some cases, conducting due diligence may not be sufficient to ferret out the deviant advisor who preys on vulnerable investors. </w:t>
      </w:r>
    </w:p>
    <w:p w:rsidR="000B204F" w:rsidRPr="00440C15" w:rsidRDefault="00C94BE5" w:rsidP="000B204F">
      <w:pPr>
        <w:rPr>
          <w:rFonts w:ascii="Times New Roman" w:hAnsi="Times New Roman"/>
          <w:b/>
          <w:color w:val="000000" w:themeColor="text1"/>
          <w:sz w:val="28"/>
          <w:szCs w:val="28"/>
        </w:rPr>
      </w:pPr>
      <w:r w:rsidRPr="00440C15">
        <w:rPr>
          <w:rFonts w:ascii="Times New Roman" w:hAnsi="Times New Roman"/>
          <w:b/>
          <w:color w:val="000000" w:themeColor="text1"/>
          <w:sz w:val="28"/>
          <w:szCs w:val="28"/>
        </w:rPr>
        <w:t>Policy Implications</w:t>
      </w:r>
      <w:bookmarkStart w:id="44" w:name="_Toc329241693"/>
    </w:p>
    <w:bookmarkEnd w:id="44"/>
    <w:p w:rsidR="000B204F" w:rsidRPr="00440C15" w:rsidRDefault="00E85D13" w:rsidP="0069136D">
      <w:pPr>
        <w:pStyle w:val="NormalIndent"/>
        <w:rPr>
          <w:rFonts w:ascii="Times New Roman" w:hAnsi="Times New Roman"/>
          <w:bCs/>
          <w:color w:val="000000" w:themeColor="text1"/>
          <w:sz w:val="24"/>
          <w:szCs w:val="24"/>
        </w:rPr>
      </w:pPr>
      <w:r w:rsidRPr="00440C15">
        <w:rPr>
          <w:rFonts w:ascii="Times New Roman" w:hAnsi="Times New Roman"/>
          <w:color w:val="000000" w:themeColor="text1"/>
          <w:sz w:val="24"/>
          <w:szCs w:val="24"/>
        </w:rPr>
        <w:t xml:space="preserve">While the findings from this study are from the </w:t>
      </w:r>
      <w:r w:rsidR="00C55A2F" w:rsidRPr="00440C15">
        <w:rPr>
          <w:rFonts w:ascii="Times New Roman" w:hAnsi="Times New Roman"/>
          <w:color w:val="000000" w:themeColor="text1"/>
          <w:sz w:val="24"/>
          <w:szCs w:val="24"/>
        </w:rPr>
        <w:t xml:space="preserve">victims data gathered from the </w:t>
      </w:r>
      <w:r w:rsidR="0061144D" w:rsidRPr="00440C15">
        <w:rPr>
          <w:rFonts w:ascii="Times New Roman" w:hAnsi="Times New Roman"/>
          <w:color w:val="000000" w:themeColor="text1"/>
          <w:sz w:val="24"/>
          <w:szCs w:val="24"/>
        </w:rPr>
        <w:t>e</w:t>
      </w:r>
      <w:r w:rsidRPr="00440C15">
        <w:rPr>
          <w:rFonts w:ascii="Times New Roman" w:hAnsi="Times New Roman"/>
          <w:color w:val="000000" w:themeColor="text1"/>
          <w:sz w:val="24"/>
          <w:szCs w:val="24"/>
        </w:rPr>
        <w:t>nforcement of complaints by the IDA, they also have implications for its replacement, IIROC</w:t>
      </w:r>
      <w:r w:rsidR="00DD39FA">
        <w:rPr>
          <w:rFonts w:ascii="Times New Roman" w:hAnsi="Times New Roman"/>
          <w:color w:val="000000" w:themeColor="text1"/>
          <w:sz w:val="24"/>
          <w:szCs w:val="24"/>
        </w:rPr>
        <w:t xml:space="preserve"> (see </w:t>
      </w:r>
      <w:proofErr w:type="spellStart"/>
      <w:r w:rsidR="00DD39FA">
        <w:rPr>
          <w:rFonts w:ascii="Times New Roman" w:hAnsi="Times New Roman"/>
          <w:color w:val="000000" w:themeColor="text1"/>
          <w:sz w:val="24"/>
          <w:szCs w:val="24"/>
        </w:rPr>
        <w:t>Kempa</w:t>
      </w:r>
      <w:proofErr w:type="spellEnd"/>
      <w:r w:rsidR="00DD39FA">
        <w:rPr>
          <w:rFonts w:ascii="Times New Roman" w:hAnsi="Times New Roman"/>
          <w:color w:val="000000" w:themeColor="text1"/>
          <w:sz w:val="24"/>
          <w:szCs w:val="24"/>
        </w:rPr>
        <w:t>, 2009)</w:t>
      </w:r>
      <w:r w:rsidRPr="00440C15">
        <w:rPr>
          <w:rFonts w:ascii="Times New Roman" w:hAnsi="Times New Roman"/>
          <w:color w:val="000000" w:themeColor="text1"/>
          <w:sz w:val="24"/>
          <w:szCs w:val="24"/>
        </w:rPr>
        <w:t>.</w:t>
      </w:r>
      <w:r w:rsidRPr="00440C15">
        <w:rPr>
          <w:color w:val="000000" w:themeColor="text1"/>
        </w:rPr>
        <w:t xml:space="preserve"> </w:t>
      </w:r>
      <w:r w:rsidR="000B204F" w:rsidRPr="00440C15">
        <w:rPr>
          <w:rFonts w:ascii="Times New Roman" w:hAnsi="Times New Roman"/>
          <w:color w:val="000000" w:themeColor="text1"/>
          <w:sz w:val="24"/>
          <w:szCs w:val="24"/>
        </w:rPr>
        <w:t xml:space="preserve">One of the more significant findings of this study is that the majority (62%) of investors had limited investment knowledge. To address this problem, IIROC must focus on investors’ education as part of its gatekeeper’s mandate.  Not just random seminars on fraud prevention, but, seminars that target vulnerable groups (also see Boyd, 2005: 35-37). </w:t>
      </w:r>
      <w:proofErr w:type="gramStart"/>
      <w:r w:rsidR="000B204F" w:rsidRPr="00440C15">
        <w:rPr>
          <w:rFonts w:ascii="Times New Roman" w:hAnsi="Times New Roman"/>
          <w:color w:val="000000" w:themeColor="text1"/>
          <w:sz w:val="24"/>
          <w:szCs w:val="24"/>
        </w:rPr>
        <w:t>A one size fits all approach will not “account for the significant difference between victim types” (</w:t>
      </w:r>
      <w:proofErr w:type="spellStart"/>
      <w:r w:rsidR="000B204F" w:rsidRPr="00440C15">
        <w:rPr>
          <w:rFonts w:ascii="Times New Roman" w:hAnsi="Times New Roman"/>
          <w:iCs/>
          <w:color w:val="000000" w:themeColor="text1"/>
          <w:sz w:val="24"/>
          <w:szCs w:val="24"/>
        </w:rPr>
        <w:t>Shadel</w:t>
      </w:r>
      <w:proofErr w:type="spellEnd"/>
      <w:r w:rsidR="000B204F" w:rsidRPr="00440C15">
        <w:rPr>
          <w:rFonts w:ascii="Times New Roman" w:hAnsi="Times New Roman"/>
          <w:iCs/>
          <w:color w:val="000000" w:themeColor="text1"/>
          <w:sz w:val="24"/>
          <w:szCs w:val="24"/>
        </w:rPr>
        <w:t>, 2009: 4)</w:t>
      </w:r>
      <w:r w:rsidR="000B204F" w:rsidRPr="00440C15">
        <w:rPr>
          <w:rFonts w:ascii="Times New Roman" w:hAnsi="Times New Roman"/>
          <w:color w:val="000000" w:themeColor="text1"/>
          <w:sz w:val="24"/>
          <w:szCs w:val="24"/>
        </w:rPr>
        <w:t>.</w:t>
      </w:r>
      <w:proofErr w:type="gramEnd"/>
      <w:r w:rsidR="000B204F" w:rsidRPr="00440C15">
        <w:rPr>
          <w:rFonts w:ascii="Times New Roman" w:hAnsi="Times New Roman"/>
          <w:color w:val="000000" w:themeColor="text1"/>
          <w:sz w:val="24"/>
          <w:szCs w:val="24"/>
        </w:rPr>
        <w:t xml:space="preserve"> For example, elderly men and women in their late 70s may need seminars on fraud </w:t>
      </w:r>
      <w:proofErr w:type="gramStart"/>
      <w:r w:rsidR="000B204F" w:rsidRPr="00440C15">
        <w:rPr>
          <w:rFonts w:ascii="Times New Roman" w:hAnsi="Times New Roman"/>
          <w:color w:val="000000" w:themeColor="text1"/>
          <w:sz w:val="24"/>
          <w:szCs w:val="24"/>
        </w:rPr>
        <w:t>awareness,</w:t>
      </w:r>
      <w:proofErr w:type="gramEnd"/>
      <w:r w:rsidR="000B204F" w:rsidRPr="00440C15">
        <w:rPr>
          <w:rFonts w:ascii="Times New Roman" w:hAnsi="Times New Roman"/>
          <w:color w:val="000000" w:themeColor="text1"/>
          <w:sz w:val="24"/>
          <w:szCs w:val="24"/>
        </w:rPr>
        <w:t xml:space="preserve"> while men and women in their 40s may need seminars that warn them about the lure of higher returns (also see </w:t>
      </w:r>
      <w:proofErr w:type="spellStart"/>
      <w:r w:rsidR="000B204F" w:rsidRPr="00440C15">
        <w:rPr>
          <w:rFonts w:ascii="Times New Roman" w:hAnsi="Times New Roman"/>
          <w:color w:val="000000" w:themeColor="text1"/>
          <w:sz w:val="24"/>
          <w:szCs w:val="24"/>
        </w:rPr>
        <w:t>Shadel</w:t>
      </w:r>
      <w:proofErr w:type="spellEnd"/>
      <w:r w:rsidR="000B204F" w:rsidRPr="00440C15">
        <w:rPr>
          <w:rFonts w:ascii="Times New Roman" w:hAnsi="Times New Roman"/>
          <w:color w:val="000000" w:themeColor="text1"/>
          <w:sz w:val="24"/>
          <w:szCs w:val="24"/>
        </w:rPr>
        <w:t xml:space="preserve">, 2009: 4). As such, the focus should be on seminars that are specifically tailored for different subset of people.  A special effort should be made to target retired seniors, individuals with funds to invest, and those with “limited financial literacy” (see </w:t>
      </w:r>
      <w:proofErr w:type="spellStart"/>
      <w:r w:rsidR="000B204F" w:rsidRPr="00440C15">
        <w:rPr>
          <w:rFonts w:ascii="Times New Roman" w:hAnsi="Times New Roman"/>
          <w:color w:val="000000" w:themeColor="text1"/>
          <w:sz w:val="24"/>
          <w:szCs w:val="24"/>
        </w:rPr>
        <w:t>Heminway</w:t>
      </w:r>
      <w:proofErr w:type="spellEnd"/>
      <w:r w:rsidR="000B204F" w:rsidRPr="00440C15">
        <w:rPr>
          <w:rFonts w:ascii="Times New Roman" w:hAnsi="Times New Roman"/>
          <w:color w:val="000000" w:themeColor="text1"/>
          <w:sz w:val="24"/>
          <w:szCs w:val="24"/>
        </w:rPr>
        <w:t xml:space="preserve">, 2009: 307). </w:t>
      </w:r>
    </w:p>
    <w:p w:rsidR="000B204F" w:rsidRPr="00440C15" w:rsidRDefault="000B204F" w:rsidP="000B204F">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lastRenderedPageBreak/>
        <w:t>Investors’ education should be in the form of a major public campaign designed to reach out to and educate these vulnerabl</w:t>
      </w:r>
      <w:r w:rsidR="00D1593F" w:rsidRPr="00440C15">
        <w:rPr>
          <w:rFonts w:ascii="Times New Roman" w:hAnsi="Times New Roman"/>
          <w:color w:val="000000" w:themeColor="text1"/>
          <w:sz w:val="24"/>
          <w:szCs w:val="24"/>
        </w:rPr>
        <w:t>e groups (see FAIR Canada, 2011</w:t>
      </w:r>
      <w:r w:rsidRPr="00440C15">
        <w:rPr>
          <w:rFonts w:ascii="Times New Roman" w:hAnsi="Times New Roman"/>
          <w:color w:val="000000" w:themeColor="text1"/>
          <w:sz w:val="24"/>
          <w:szCs w:val="24"/>
        </w:rPr>
        <w:t>: 34</w:t>
      </w:r>
      <w:r w:rsidR="00472670">
        <w:rPr>
          <w:rFonts w:ascii="Times New Roman" w:hAnsi="Times New Roman"/>
          <w:color w:val="000000" w:themeColor="text1"/>
          <w:sz w:val="24"/>
          <w:szCs w:val="24"/>
        </w:rPr>
        <w:t xml:space="preserve">; </w:t>
      </w:r>
      <w:proofErr w:type="spellStart"/>
      <w:r w:rsidR="00472670">
        <w:rPr>
          <w:rFonts w:ascii="Times New Roman" w:hAnsi="Times New Roman"/>
          <w:color w:val="000000" w:themeColor="text1"/>
          <w:sz w:val="24"/>
          <w:szCs w:val="24"/>
        </w:rPr>
        <w:t>Tomasic</w:t>
      </w:r>
      <w:proofErr w:type="spellEnd"/>
      <w:r w:rsidR="00472670">
        <w:rPr>
          <w:rFonts w:ascii="Times New Roman" w:hAnsi="Times New Roman"/>
          <w:color w:val="000000" w:themeColor="text1"/>
          <w:sz w:val="24"/>
          <w:szCs w:val="24"/>
        </w:rPr>
        <w:t>, 2011: 12-17</w:t>
      </w:r>
      <w:r w:rsidRPr="00440C15">
        <w:rPr>
          <w:rFonts w:ascii="Times New Roman" w:hAnsi="Times New Roman"/>
          <w:color w:val="000000" w:themeColor="text1"/>
          <w:sz w:val="24"/>
          <w:szCs w:val="24"/>
        </w:rPr>
        <w:t>). The goal of the campaign should be to equip vulnerable groups</w:t>
      </w:r>
    </w:p>
    <w:p w:rsidR="000B204F" w:rsidRPr="00440C15" w:rsidRDefault="000B204F" w:rsidP="000B204F">
      <w:pPr>
        <w:pStyle w:val="3BodyQuoteSingleOrLast"/>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with</w:t>
      </w:r>
      <w:proofErr w:type="gramEnd"/>
      <w:r w:rsidRPr="00440C15">
        <w:rPr>
          <w:rFonts w:ascii="Times New Roman" w:hAnsi="Times New Roman"/>
          <w:color w:val="000000" w:themeColor="text1"/>
          <w:sz w:val="24"/>
          <w:szCs w:val="24"/>
        </w:rPr>
        <w:t xml:space="preserve"> the necessary tools to detect and avoid financial fraud. The campaign should include advertisements or notices in publications targeting the elderly, ethnic groups (in various languages), religious groups, [and] reaching out to organizations representing [other] vulnerable groups (p. 34). </w:t>
      </w:r>
    </w:p>
    <w:p w:rsidR="000B204F" w:rsidRPr="00440C15" w:rsidRDefault="000B204F" w:rsidP="000B204F">
      <w:pPr>
        <w:pStyle w:val="3BodyFlushLef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To gain access to these vulnerable groups, IIROC can join forces with various ethnic communities, religious organizations, seniors’ groups (such as the </w:t>
      </w:r>
      <w:r w:rsidRPr="00440C15">
        <w:rPr>
          <w:rFonts w:ascii="Times New Roman" w:hAnsi="Times New Roman"/>
          <w:bCs/>
          <w:color w:val="000000" w:themeColor="text1"/>
          <w:sz w:val="24"/>
          <w:szCs w:val="24"/>
        </w:rPr>
        <w:t>Canadian Association of Retired Persons (</w:t>
      </w:r>
      <w:r w:rsidRPr="00440C15">
        <w:rPr>
          <w:rFonts w:ascii="Times New Roman" w:hAnsi="Times New Roman"/>
          <w:color w:val="000000" w:themeColor="text1"/>
          <w:sz w:val="24"/>
          <w:szCs w:val="24"/>
        </w:rPr>
        <w:t xml:space="preserve">CARP), clubs, local governments of small towns, where retirees may be sitting on large amount of cash, and other governing bodies that represent vulnerable individuals.  Innovative strategies can be developed such as the “God’s Fraud Squad” initiative taken by the </w:t>
      </w:r>
      <w:proofErr w:type="spellStart"/>
      <w:r w:rsidRPr="00440C15">
        <w:rPr>
          <w:rFonts w:ascii="Times New Roman" w:hAnsi="Times New Roman"/>
          <w:color w:val="000000" w:themeColor="text1"/>
          <w:sz w:val="24"/>
          <w:szCs w:val="24"/>
        </w:rPr>
        <w:t>BCSCn</w:t>
      </w:r>
      <w:proofErr w:type="spellEnd"/>
      <w:r w:rsidRPr="00440C15">
        <w:rPr>
          <w:rFonts w:ascii="Times New Roman" w:hAnsi="Times New Roman"/>
          <w:color w:val="000000" w:themeColor="text1"/>
          <w:sz w:val="24"/>
          <w:szCs w:val="24"/>
        </w:rPr>
        <w:t>, who teamed up with “two Fraser Valley pastors, to prevent and disrupt cases of investor fraud in faith-based comm</w:t>
      </w:r>
      <w:r w:rsidR="00D1593F" w:rsidRPr="00440C15">
        <w:rPr>
          <w:rFonts w:ascii="Times New Roman" w:hAnsi="Times New Roman"/>
          <w:color w:val="000000" w:themeColor="text1"/>
          <w:sz w:val="24"/>
          <w:szCs w:val="24"/>
        </w:rPr>
        <w:t>unities” (see FAIR Canada, 2011</w:t>
      </w:r>
      <w:r w:rsidRPr="00440C15">
        <w:rPr>
          <w:rFonts w:ascii="Times New Roman" w:hAnsi="Times New Roman"/>
          <w:color w:val="000000" w:themeColor="text1"/>
          <w:sz w:val="24"/>
          <w:szCs w:val="24"/>
        </w:rPr>
        <w:t xml:space="preserve">: 34). Similar approaches to gain access to other vulnerable groups can be developed with priests from other faiths, community leaders, and club presidents. </w:t>
      </w:r>
    </w:p>
    <w:p w:rsidR="000B204F" w:rsidRPr="00440C15" w:rsidRDefault="000B204F" w:rsidP="000B204F">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Another key component of IIROC’s education mandate is to inform investors to keep an eye out for people they trust the most and who work in the investment industry. These trusted individuals can be a family member or a friend. As mentioned earlier, 40% of investors were swindled by a family member and 23% by a friend. Part of IIROC’s mandate should aim to educate prospective investors to be wary of individuals who can exploit this existing trust and convince them to invest in one of their schemes.  This is particularly important, because in some cultures, reporting a family member to regulatory authorities is frowned upon. It is not uncommon for victims from tight knit ethnic communities to accept their losses, because they are </w:t>
      </w:r>
      <w:r w:rsidRPr="00440C15">
        <w:rPr>
          <w:rFonts w:ascii="Times New Roman" w:hAnsi="Times New Roman"/>
          <w:color w:val="000000" w:themeColor="text1"/>
          <w:sz w:val="24"/>
          <w:szCs w:val="24"/>
        </w:rPr>
        <w:lastRenderedPageBreak/>
        <w:t xml:space="preserve">afraid of the repercussions from family members if they report the perpetrator to the authorities. The same can also be said for individuals from religious organizations and clubs, who may feel ashamed to make public their loss. </w:t>
      </w:r>
    </w:p>
    <w:p w:rsidR="000B204F" w:rsidRPr="00440C15" w:rsidRDefault="000B204F" w:rsidP="000B204F">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The content of investors’ education should focus on the specific issues that investors should ask their financial advisors and brokerage firms before investing. Special consideration should be given to the advisor’s disciplinary record, qualifications, industry experience, personality and attitude towards prospective investors. As a starting point, see </w:t>
      </w:r>
      <w:proofErr w:type="spellStart"/>
      <w:r w:rsidRPr="00440C15">
        <w:rPr>
          <w:rFonts w:ascii="Times New Roman" w:hAnsi="Times New Roman"/>
          <w:color w:val="000000" w:themeColor="text1"/>
          <w:sz w:val="24"/>
          <w:szCs w:val="24"/>
        </w:rPr>
        <w:t>Goldin</w:t>
      </w:r>
      <w:proofErr w:type="spellEnd"/>
      <w:r w:rsidRPr="00440C15">
        <w:rPr>
          <w:rFonts w:ascii="Times New Roman" w:hAnsi="Times New Roman"/>
          <w:color w:val="000000" w:themeColor="text1"/>
          <w:sz w:val="24"/>
          <w:szCs w:val="24"/>
        </w:rPr>
        <w:t xml:space="preserve"> for the “</w:t>
      </w:r>
      <w:r w:rsidRPr="00440C15">
        <w:rPr>
          <w:rFonts w:ascii="Times New Roman" w:hAnsi="Times New Roman"/>
          <w:bCs/>
          <w:color w:val="000000" w:themeColor="text1"/>
          <w:sz w:val="24"/>
          <w:szCs w:val="24"/>
        </w:rPr>
        <w:t xml:space="preserve">Eleven Key Questions to Ask When Choosing </w:t>
      </w:r>
      <w:proofErr w:type="gramStart"/>
      <w:r w:rsidRPr="00440C15">
        <w:rPr>
          <w:rFonts w:ascii="Times New Roman" w:hAnsi="Times New Roman"/>
          <w:bCs/>
          <w:color w:val="000000" w:themeColor="text1"/>
          <w:sz w:val="24"/>
          <w:szCs w:val="24"/>
        </w:rPr>
        <w:t>A</w:t>
      </w:r>
      <w:proofErr w:type="gramEnd"/>
      <w:r w:rsidRPr="00440C15">
        <w:rPr>
          <w:rFonts w:ascii="Times New Roman" w:hAnsi="Times New Roman"/>
          <w:bCs/>
          <w:color w:val="000000" w:themeColor="text1"/>
          <w:sz w:val="24"/>
          <w:szCs w:val="24"/>
        </w:rPr>
        <w:t xml:space="preserve"> Broker” (2010: 27-34). IIROC </w:t>
      </w:r>
      <w:r w:rsidRPr="00440C15">
        <w:rPr>
          <w:rFonts w:ascii="Times New Roman" w:hAnsi="Times New Roman"/>
          <w:color w:val="000000" w:themeColor="text1"/>
          <w:sz w:val="24"/>
          <w:szCs w:val="24"/>
        </w:rPr>
        <w:t xml:space="preserve">should also “make reference to the dangers of promises of unrealistic returns and guaranteed consistent </w:t>
      </w:r>
      <w:proofErr w:type="gramStart"/>
      <w:r w:rsidRPr="00440C15">
        <w:rPr>
          <w:rFonts w:ascii="Times New Roman" w:hAnsi="Times New Roman"/>
          <w:color w:val="000000" w:themeColor="text1"/>
          <w:sz w:val="24"/>
          <w:szCs w:val="24"/>
        </w:rPr>
        <w:t>returns[</w:t>
      </w:r>
      <w:proofErr w:type="gramEnd"/>
      <w:r w:rsidRPr="00440C15">
        <w:rPr>
          <w:rFonts w:ascii="Times New Roman" w:hAnsi="Times New Roman"/>
          <w:color w:val="000000" w:themeColor="text1"/>
          <w:sz w:val="24"/>
          <w:szCs w:val="24"/>
        </w:rPr>
        <w:t>,] and how they are often a red fla</w:t>
      </w:r>
      <w:r w:rsidR="00986A7D" w:rsidRPr="00440C15">
        <w:rPr>
          <w:rFonts w:ascii="Times New Roman" w:hAnsi="Times New Roman"/>
          <w:color w:val="000000" w:themeColor="text1"/>
          <w:sz w:val="24"/>
          <w:szCs w:val="24"/>
        </w:rPr>
        <w:t>g for fraud” (FAIR Canada, 2011</w:t>
      </w:r>
      <w:r w:rsidRPr="00440C15">
        <w:rPr>
          <w:rFonts w:ascii="Times New Roman" w:hAnsi="Times New Roman"/>
          <w:color w:val="000000" w:themeColor="text1"/>
          <w:sz w:val="24"/>
          <w:szCs w:val="24"/>
        </w:rPr>
        <w:t>: 34). Increased emphasis should be placed on</w:t>
      </w:r>
      <w:r w:rsidRPr="00440C15">
        <w:rPr>
          <w:rFonts w:ascii="Times New Roman" w:hAnsi="Times New Roman"/>
          <w:bCs/>
          <w:color w:val="000000" w:themeColor="text1"/>
          <w:sz w:val="24"/>
          <w:szCs w:val="24"/>
        </w:rPr>
        <w:t xml:space="preserve"> “</w:t>
      </w:r>
      <w:proofErr w:type="spellStart"/>
      <w:r w:rsidRPr="00440C15">
        <w:rPr>
          <w:rFonts w:ascii="Times New Roman" w:hAnsi="Times New Roman"/>
          <w:color w:val="000000" w:themeColor="text1"/>
          <w:sz w:val="24"/>
          <w:szCs w:val="24"/>
        </w:rPr>
        <w:t>educat</w:t>
      </w:r>
      <w:proofErr w:type="spellEnd"/>
      <w:r w:rsidRPr="00440C15">
        <w:rPr>
          <w:rFonts w:ascii="Times New Roman" w:hAnsi="Times New Roman"/>
          <w:color w:val="000000" w:themeColor="text1"/>
          <w:sz w:val="24"/>
          <w:szCs w:val="24"/>
        </w:rPr>
        <w:t>[</w:t>
      </w:r>
      <w:proofErr w:type="spellStart"/>
      <w:r w:rsidRPr="00440C15">
        <w:rPr>
          <w:rFonts w:ascii="Times New Roman" w:hAnsi="Times New Roman"/>
          <w:color w:val="000000" w:themeColor="text1"/>
          <w:sz w:val="24"/>
          <w:szCs w:val="24"/>
        </w:rPr>
        <w:t>ing</w:t>
      </w:r>
      <w:proofErr w:type="spellEnd"/>
      <w:r w:rsidRPr="00440C15">
        <w:rPr>
          <w:rFonts w:ascii="Times New Roman" w:hAnsi="Times New Roman"/>
          <w:color w:val="000000" w:themeColor="text1"/>
          <w:sz w:val="24"/>
          <w:szCs w:val="24"/>
        </w:rPr>
        <w:t xml:space="preserve">] investors about market risks and losses and the appropriate bearing of responsibility when an investment has negative returns” (Condon and </w:t>
      </w:r>
      <w:proofErr w:type="spellStart"/>
      <w:r w:rsidRPr="00440C15">
        <w:rPr>
          <w:rFonts w:ascii="Times New Roman" w:hAnsi="Times New Roman"/>
          <w:color w:val="000000" w:themeColor="text1"/>
          <w:sz w:val="24"/>
          <w:szCs w:val="24"/>
        </w:rPr>
        <w:t>Puri</w:t>
      </w:r>
      <w:proofErr w:type="spellEnd"/>
      <w:r w:rsidRPr="00440C15">
        <w:rPr>
          <w:rFonts w:ascii="Times New Roman" w:hAnsi="Times New Roman"/>
          <w:color w:val="000000" w:themeColor="text1"/>
          <w:sz w:val="24"/>
          <w:szCs w:val="24"/>
        </w:rPr>
        <w:t>, 2006: 25). More importantly,</w:t>
      </w:r>
    </w:p>
    <w:p w:rsidR="000B204F" w:rsidRPr="00440C15" w:rsidRDefault="000B204F" w:rsidP="000B204F">
      <w:pPr>
        <w:pStyle w:val="3BodyQuoteSingleOrLast"/>
        <w:rPr>
          <w:rFonts w:ascii="Times New Roman" w:hAnsi="Times New Roman"/>
          <w:color w:val="000000" w:themeColor="text1"/>
          <w:sz w:val="24"/>
          <w:szCs w:val="24"/>
        </w:rPr>
      </w:pPr>
      <w:r w:rsidRPr="00440C15">
        <w:rPr>
          <w:rFonts w:ascii="Times New Roman" w:hAnsi="Times New Roman"/>
          <w:color w:val="000000" w:themeColor="text1"/>
          <w:sz w:val="24"/>
          <w:szCs w:val="24"/>
        </w:rPr>
        <w:t>[c]</w:t>
      </w:r>
      <w:proofErr w:type="spellStart"/>
      <w:r w:rsidRPr="00440C15">
        <w:rPr>
          <w:rFonts w:ascii="Times New Roman" w:hAnsi="Times New Roman"/>
          <w:color w:val="000000" w:themeColor="text1"/>
          <w:sz w:val="24"/>
          <w:szCs w:val="24"/>
        </w:rPr>
        <w:t>onsideration</w:t>
      </w:r>
      <w:proofErr w:type="spellEnd"/>
      <w:r w:rsidRPr="00440C15">
        <w:rPr>
          <w:rFonts w:ascii="Times New Roman" w:hAnsi="Times New Roman"/>
          <w:color w:val="000000" w:themeColor="text1"/>
          <w:sz w:val="24"/>
          <w:szCs w:val="24"/>
        </w:rPr>
        <w:t xml:space="preserve"> should … be given [that requires] financial advisors to specifically disclose the risk[s] associated with entering into a particular transaction before the transaction is entered into, and its effect on the client’s overall portfolio in terms of risk, return and diversification (p. 25). </w:t>
      </w:r>
    </w:p>
    <w:p w:rsidR="000B204F" w:rsidRPr="00440C15" w:rsidRDefault="000B204F" w:rsidP="000B204F">
      <w:pPr>
        <w:pStyle w:val="3BodyFlushLef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At the very least, investors should be advised to be extra cautious of investment advisors who try to persuade them to invest in financial products that their business acquaintances are associated with (e.g., see Stromberg, 2002: para.18). The goal should be to educate the individual to become an informed and skeptical investor. </w:t>
      </w:r>
    </w:p>
    <w:p w:rsidR="000B204F" w:rsidRPr="00440C15" w:rsidRDefault="000B204F" w:rsidP="000B204F">
      <w:pPr>
        <w:pStyle w:val="NormalIndent"/>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IIROC should start with the assumption that prospective investors have limited financial literacy.  Similar to the manner in which English and Mathematics are taught in elementary </w:t>
      </w:r>
      <w:r w:rsidRPr="00440C15">
        <w:rPr>
          <w:rFonts w:ascii="Times New Roman" w:hAnsi="Times New Roman"/>
          <w:color w:val="000000" w:themeColor="text1"/>
          <w:sz w:val="24"/>
          <w:szCs w:val="24"/>
        </w:rPr>
        <w:lastRenderedPageBreak/>
        <w:t>school, IIROC’s public campaign should start by teaching basic investment and financial literacy skills to investors.  Part of IIROC’s investment education mandate should be to encourage investors to invest with financial advisors and Member firms that are registered with IIROC (FAIR Canada, 2011b: 34). Resources should be dedicated to teach investors how to find out the registration status of their financial advisors and Member firms, and more importantly, the process to follow in order to register a c</w:t>
      </w:r>
      <w:r w:rsidR="00986A7D" w:rsidRPr="00440C15">
        <w:rPr>
          <w:rFonts w:ascii="Times New Roman" w:hAnsi="Times New Roman"/>
          <w:color w:val="000000" w:themeColor="text1"/>
          <w:sz w:val="24"/>
          <w:szCs w:val="24"/>
        </w:rPr>
        <w:t>omplaint (see FAIR Canada, 2011</w:t>
      </w:r>
      <w:r w:rsidRPr="00440C15">
        <w:rPr>
          <w:rFonts w:ascii="Times New Roman" w:hAnsi="Times New Roman"/>
          <w:color w:val="000000" w:themeColor="text1"/>
          <w:sz w:val="24"/>
          <w:szCs w:val="24"/>
        </w:rPr>
        <w:t xml:space="preserve">: 13-14).   Anecdotal evidence indicates that there are investors who do not even know that IIROC exists, much less the process of registering a complaint. Some may have heard about the Association in name only, and are oblivious of its purpose.  Finally, investors should be encouraged to invest with IIROC’s regulated firms that are backed by a compensation fund (p. 34). </w:t>
      </w:r>
    </w:p>
    <w:p w:rsidR="00DF1156" w:rsidRPr="00440C15" w:rsidRDefault="00DF1156" w:rsidP="00DF1156">
      <w:pPr>
        <w:jc w:val="center"/>
        <w:rPr>
          <w:rFonts w:ascii="Times New Roman" w:hAnsi="Times New Roman"/>
          <w:b/>
          <w:color w:val="000000" w:themeColor="text1"/>
          <w:sz w:val="24"/>
          <w:szCs w:val="24"/>
        </w:rPr>
      </w:pPr>
    </w:p>
    <w:p w:rsidR="00E023AA" w:rsidRPr="00440C15" w:rsidRDefault="00E023AA" w:rsidP="00DF1156">
      <w:pPr>
        <w:jc w:val="center"/>
        <w:rPr>
          <w:rFonts w:ascii="Times New Roman" w:hAnsi="Times New Roman"/>
          <w:b/>
          <w:color w:val="000000" w:themeColor="text1"/>
          <w:sz w:val="24"/>
          <w:szCs w:val="24"/>
        </w:rPr>
      </w:pPr>
    </w:p>
    <w:p w:rsidR="00E023AA" w:rsidRPr="00440C15" w:rsidRDefault="00E023AA" w:rsidP="00DF1156">
      <w:pPr>
        <w:jc w:val="center"/>
        <w:rPr>
          <w:rFonts w:ascii="Times New Roman" w:hAnsi="Times New Roman"/>
          <w:b/>
          <w:color w:val="000000" w:themeColor="text1"/>
          <w:sz w:val="24"/>
          <w:szCs w:val="24"/>
        </w:rPr>
      </w:pPr>
    </w:p>
    <w:p w:rsidR="00576A79" w:rsidRDefault="00576A79" w:rsidP="006219AE">
      <w:pPr>
        <w:jc w:val="center"/>
        <w:rPr>
          <w:rFonts w:ascii="Times New Roman" w:hAnsi="Times New Roman"/>
          <w:b/>
          <w:color w:val="000000" w:themeColor="text1"/>
          <w:sz w:val="24"/>
          <w:szCs w:val="24"/>
        </w:rPr>
      </w:pPr>
    </w:p>
    <w:p w:rsidR="00576A79" w:rsidRDefault="00576A79" w:rsidP="006219AE">
      <w:pPr>
        <w:jc w:val="center"/>
        <w:rPr>
          <w:rFonts w:ascii="Times New Roman" w:hAnsi="Times New Roman"/>
          <w:b/>
          <w:color w:val="000000" w:themeColor="text1"/>
          <w:sz w:val="24"/>
          <w:szCs w:val="24"/>
        </w:rPr>
      </w:pPr>
    </w:p>
    <w:p w:rsidR="00576A79" w:rsidRDefault="00576A79" w:rsidP="006219AE">
      <w:pPr>
        <w:jc w:val="center"/>
        <w:rPr>
          <w:rFonts w:ascii="Times New Roman" w:hAnsi="Times New Roman"/>
          <w:b/>
          <w:color w:val="000000" w:themeColor="text1"/>
          <w:sz w:val="24"/>
          <w:szCs w:val="24"/>
        </w:rPr>
      </w:pPr>
    </w:p>
    <w:p w:rsidR="00576A79" w:rsidRDefault="00576A79" w:rsidP="006219AE">
      <w:pPr>
        <w:jc w:val="center"/>
        <w:rPr>
          <w:rFonts w:ascii="Times New Roman" w:hAnsi="Times New Roman"/>
          <w:b/>
          <w:color w:val="000000" w:themeColor="text1"/>
          <w:sz w:val="24"/>
          <w:szCs w:val="24"/>
        </w:rPr>
      </w:pPr>
    </w:p>
    <w:p w:rsidR="00576A79" w:rsidRDefault="00576A79" w:rsidP="006219AE">
      <w:pPr>
        <w:jc w:val="center"/>
        <w:rPr>
          <w:rFonts w:ascii="Times New Roman" w:hAnsi="Times New Roman"/>
          <w:b/>
          <w:color w:val="000000" w:themeColor="text1"/>
          <w:sz w:val="24"/>
          <w:szCs w:val="24"/>
        </w:rPr>
      </w:pPr>
    </w:p>
    <w:p w:rsidR="00576A79" w:rsidRDefault="00576A79" w:rsidP="006219AE">
      <w:pPr>
        <w:jc w:val="center"/>
        <w:rPr>
          <w:rFonts w:ascii="Times New Roman" w:hAnsi="Times New Roman"/>
          <w:b/>
          <w:color w:val="000000" w:themeColor="text1"/>
          <w:sz w:val="24"/>
          <w:szCs w:val="24"/>
        </w:rPr>
      </w:pPr>
    </w:p>
    <w:p w:rsidR="002F7B83" w:rsidRDefault="002F7B83" w:rsidP="00DC67E2">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F03F5E" w:rsidRPr="00F03F5E" w:rsidRDefault="00F03F5E" w:rsidP="00F03F5E">
      <w:pPr>
        <w:widowControl/>
        <w:autoSpaceDE w:val="0"/>
        <w:autoSpaceDN w:val="0"/>
        <w:adjustRightInd w:val="0"/>
        <w:spacing w:after="0" w:line="240" w:lineRule="auto"/>
        <w:ind w:left="720" w:hanging="720"/>
        <w:jc w:val="center"/>
        <w:rPr>
          <w:rFonts w:ascii="Times New Roman" w:hAnsi="Times New Roman"/>
          <w:b/>
          <w:color w:val="000000" w:themeColor="text1"/>
          <w:sz w:val="24"/>
          <w:szCs w:val="24"/>
        </w:rPr>
      </w:pPr>
      <w:r w:rsidRPr="00F03F5E">
        <w:rPr>
          <w:rFonts w:ascii="Times New Roman" w:hAnsi="Times New Roman"/>
          <w:b/>
          <w:color w:val="000000" w:themeColor="text1"/>
          <w:sz w:val="24"/>
          <w:szCs w:val="24"/>
        </w:rPr>
        <w:t>References</w:t>
      </w:r>
    </w:p>
    <w:p w:rsidR="00F03F5E" w:rsidRDefault="00F03F5E" w:rsidP="00DC67E2">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DC67E2" w:rsidRPr="00440C15" w:rsidRDefault="00805FDC" w:rsidP="00DC67E2">
      <w:pPr>
        <w:widowControl/>
        <w:autoSpaceDE w:val="0"/>
        <w:autoSpaceDN w:val="0"/>
        <w:adjustRightInd w:val="0"/>
        <w:spacing w:after="0" w:line="240" w:lineRule="auto"/>
        <w:ind w:left="720" w:hanging="720"/>
        <w:rPr>
          <w:rFonts w:ascii="Times New Roman" w:hAnsi="Times New Roman"/>
          <w:color w:val="000000" w:themeColor="text1"/>
          <w:sz w:val="24"/>
          <w:szCs w:val="24"/>
        </w:rPr>
      </w:pPr>
      <w:r w:rsidRPr="00440C15">
        <w:rPr>
          <w:rFonts w:ascii="Times New Roman" w:hAnsi="Times New Roman"/>
          <w:color w:val="000000" w:themeColor="text1"/>
          <w:sz w:val="24"/>
          <w:szCs w:val="24"/>
        </w:rPr>
        <w:t>Boyd, N. (2005)</w:t>
      </w:r>
      <w:proofErr w:type="gramStart"/>
      <w:r w:rsidRPr="00440C15">
        <w:rPr>
          <w:rFonts w:ascii="Times New Roman" w:hAnsi="Times New Roman"/>
          <w:color w:val="000000" w:themeColor="text1"/>
          <w:sz w:val="24"/>
          <w:szCs w:val="24"/>
        </w:rPr>
        <w:t xml:space="preserve">, </w:t>
      </w:r>
      <w:r w:rsidR="006219AE" w:rsidRPr="00440C15">
        <w:rPr>
          <w:rFonts w:ascii="Times New Roman" w:hAnsi="Times New Roman"/>
          <w:color w:val="000000" w:themeColor="text1"/>
          <w:sz w:val="24"/>
          <w:szCs w:val="24"/>
        </w:rPr>
        <w:t xml:space="preserve"> </w:t>
      </w:r>
      <w:r w:rsidR="00DC67E2" w:rsidRPr="00440C15">
        <w:rPr>
          <w:rFonts w:ascii="Times New Roman" w:hAnsi="Times New Roman"/>
          <w:color w:val="000000" w:themeColor="text1"/>
          <w:sz w:val="24"/>
          <w:szCs w:val="24"/>
        </w:rPr>
        <w:t>"</w:t>
      </w:r>
      <w:proofErr w:type="spellStart"/>
      <w:proofErr w:type="gramEnd"/>
      <w:r w:rsidR="006219AE" w:rsidRPr="00440C15">
        <w:rPr>
          <w:rFonts w:ascii="Times New Roman" w:hAnsi="Times New Roman"/>
          <w:iCs/>
          <w:color w:val="000000" w:themeColor="text1"/>
          <w:sz w:val="24"/>
          <w:szCs w:val="24"/>
        </w:rPr>
        <w:t>Eron</w:t>
      </w:r>
      <w:proofErr w:type="spellEnd"/>
      <w:r w:rsidR="006219AE" w:rsidRPr="00440C15">
        <w:rPr>
          <w:rFonts w:ascii="Times New Roman" w:hAnsi="Times New Roman"/>
          <w:iCs/>
          <w:color w:val="000000" w:themeColor="text1"/>
          <w:sz w:val="24"/>
          <w:szCs w:val="24"/>
        </w:rPr>
        <w:t xml:space="preserve"> Mortgage Study</w:t>
      </w:r>
      <w:r w:rsidR="00DC67E2" w:rsidRPr="00440C15">
        <w:rPr>
          <w:rFonts w:ascii="Times New Roman" w:hAnsi="Times New Roman"/>
          <w:color w:val="000000" w:themeColor="text1"/>
          <w:sz w:val="24"/>
          <w:szCs w:val="24"/>
        </w:rPr>
        <w:t>", available from the British Columbia Securities Commission Web site at: http://www.bcsc.bc.ca/uploadedFiles/Eron_Research_Study.pdf (accessed 10 June 2006).</w:t>
      </w:r>
    </w:p>
    <w:p w:rsidR="006219AE" w:rsidRPr="00440C15" w:rsidRDefault="006219AE"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 </w:t>
      </w:r>
    </w:p>
    <w:p w:rsidR="006219AE" w:rsidRPr="00440C15" w:rsidRDefault="006219AE"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Brigham, E., M. </w:t>
      </w:r>
      <w:proofErr w:type="spellStart"/>
      <w:r w:rsidRPr="00440C15">
        <w:rPr>
          <w:rFonts w:ascii="Times New Roman" w:hAnsi="Times New Roman"/>
          <w:color w:val="000000" w:themeColor="text1"/>
          <w:sz w:val="24"/>
          <w:szCs w:val="24"/>
        </w:rPr>
        <w:t>Ehrhardt</w:t>
      </w:r>
      <w:proofErr w:type="spellEnd"/>
      <w:r w:rsidRPr="00440C15">
        <w:rPr>
          <w:rFonts w:ascii="Times New Roman" w:hAnsi="Times New Roman"/>
          <w:color w:val="000000" w:themeColor="text1"/>
          <w:sz w:val="24"/>
          <w:szCs w:val="24"/>
        </w:rPr>
        <w:t>,</w:t>
      </w:r>
      <w:r w:rsidR="000E73FF" w:rsidRPr="00440C15">
        <w:rPr>
          <w:rFonts w:ascii="Times New Roman" w:hAnsi="Times New Roman"/>
          <w:color w:val="000000" w:themeColor="text1"/>
          <w:sz w:val="24"/>
          <w:szCs w:val="24"/>
        </w:rPr>
        <w:t xml:space="preserve"> J. </w:t>
      </w:r>
      <w:proofErr w:type="spellStart"/>
      <w:r w:rsidR="000E73FF" w:rsidRPr="00440C15">
        <w:rPr>
          <w:rFonts w:ascii="Times New Roman" w:hAnsi="Times New Roman"/>
          <w:color w:val="000000" w:themeColor="text1"/>
          <w:sz w:val="24"/>
          <w:szCs w:val="24"/>
        </w:rPr>
        <w:t>Gessaroli</w:t>
      </w:r>
      <w:proofErr w:type="spellEnd"/>
      <w:r w:rsidR="000E73FF" w:rsidRPr="00440C15">
        <w:rPr>
          <w:rFonts w:ascii="Times New Roman" w:hAnsi="Times New Roman"/>
          <w:color w:val="000000" w:themeColor="text1"/>
          <w:sz w:val="24"/>
          <w:szCs w:val="24"/>
        </w:rPr>
        <w:t xml:space="preserve">, R. </w:t>
      </w:r>
      <w:proofErr w:type="spellStart"/>
      <w:r w:rsidR="000E73FF" w:rsidRPr="00440C15">
        <w:rPr>
          <w:rFonts w:ascii="Times New Roman" w:hAnsi="Times New Roman"/>
          <w:color w:val="000000" w:themeColor="text1"/>
          <w:sz w:val="24"/>
          <w:szCs w:val="24"/>
        </w:rPr>
        <w:t>Nason</w:t>
      </w:r>
      <w:proofErr w:type="spellEnd"/>
      <w:r w:rsidR="000E73FF" w:rsidRPr="00440C15">
        <w:rPr>
          <w:rFonts w:ascii="Times New Roman" w:hAnsi="Times New Roman"/>
          <w:color w:val="000000" w:themeColor="text1"/>
          <w:sz w:val="24"/>
          <w:szCs w:val="24"/>
        </w:rPr>
        <w:t>. (2011),</w:t>
      </w:r>
      <w:r w:rsidRPr="00440C15">
        <w:rPr>
          <w:rFonts w:ascii="Times New Roman" w:hAnsi="Times New Roman"/>
          <w:color w:val="000000" w:themeColor="text1"/>
          <w:sz w:val="24"/>
          <w:szCs w:val="24"/>
        </w:rPr>
        <w:t xml:space="preserve"> </w:t>
      </w:r>
      <w:r w:rsidRPr="00440C15">
        <w:rPr>
          <w:rFonts w:ascii="Times New Roman" w:hAnsi="Times New Roman"/>
          <w:i/>
          <w:color w:val="000000" w:themeColor="text1"/>
          <w:sz w:val="24"/>
          <w:szCs w:val="24"/>
        </w:rPr>
        <w:t>Financial Management: Theory and Practice</w:t>
      </w:r>
      <w:r w:rsidRPr="00440C15">
        <w:rPr>
          <w:rFonts w:ascii="Times New Roman" w:hAnsi="Times New Roman"/>
          <w:color w:val="000000" w:themeColor="text1"/>
          <w:sz w:val="24"/>
          <w:szCs w:val="24"/>
        </w:rPr>
        <w:t xml:space="preserve"> (1st </w:t>
      </w:r>
      <w:r w:rsidR="000E73FF" w:rsidRPr="00440C15">
        <w:rPr>
          <w:rFonts w:ascii="Times New Roman" w:hAnsi="Times New Roman"/>
          <w:color w:val="000000" w:themeColor="text1"/>
          <w:sz w:val="24"/>
          <w:szCs w:val="24"/>
        </w:rPr>
        <w:t>Canadian Edition),</w:t>
      </w:r>
      <w:r w:rsidR="00D44EAD" w:rsidRPr="00440C15">
        <w:rPr>
          <w:rFonts w:ascii="Times New Roman" w:hAnsi="Times New Roman"/>
          <w:color w:val="000000" w:themeColor="text1"/>
          <w:sz w:val="24"/>
          <w:szCs w:val="24"/>
        </w:rPr>
        <w:t xml:space="preserve"> Nelson</w:t>
      </w:r>
      <w:r w:rsidR="000E73FF" w:rsidRPr="00440C15">
        <w:rPr>
          <w:rFonts w:ascii="Times New Roman" w:hAnsi="Times New Roman"/>
          <w:color w:val="000000" w:themeColor="text1"/>
          <w:sz w:val="24"/>
          <w:szCs w:val="24"/>
        </w:rPr>
        <w:t>,</w:t>
      </w:r>
      <w:r w:rsidR="00D44EAD" w:rsidRPr="00440C15">
        <w:rPr>
          <w:rFonts w:ascii="Times New Roman" w:hAnsi="Times New Roman"/>
          <w:color w:val="000000" w:themeColor="text1"/>
          <w:sz w:val="24"/>
          <w:szCs w:val="24"/>
        </w:rPr>
        <w:t xml:space="preserve"> Toronto.</w:t>
      </w:r>
    </w:p>
    <w:p w:rsidR="006219AE" w:rsidRPr="00440C15" w:rsidRDefault="006219AE"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805FDC" w:rsidRPr="00440C15" w:rsidRDefault="006219AE" w:rsidP="006219AE">
      <w:pPr>
        <w:widowControl/>
        <w:autoSpaceDE w:val="0"/>
        <w:autoSpaceDN w:val="0"/>
        <w:adjustRightInd w:val="0"/>
        <w:spacing w:after="0" w:line="240" w:lineRule="auto"/>
        <w:ind w:left="720" w:hanging="720"/>
        <w:rPr>
          <w:rFonts w:ascii="Times New Roman" w:hAnsi="Times New Roman"/>
          <w:iCs/>
          <w:color w:val="000000" w:themeColor="text1"/>
          <w:sz w:val="24"/>
          <w:szCs w:val="24"/>
        </w:rPr>
      </w:pPr>
      <w:proofErr w:type="gramStart"/>
      <w:r w:rsidRPr="00440C15">
        <w:rPr>
          <w:rFonts w:ascii="Times New Roman" w:hAnsi="Times New Roman"/>
          <w:color w:val="000000" w:themeColor="text1"/>
          <w:sz w:val="24"/>
          <w:szCs w:val="24"/>
        </w:rPr>
        <w:t>British Columbia Securities Commission.</w:t>
      </w:r>
      <w:proofErr w:type="gramEnd"/>
      <w:r w:rsidRPr="00440C15">
        <w:rPr>
          <w:rFonts w:ascii="Times New Roman" w:hAnsi="Times New Roman"/>
          <w:color w:val="000000" w:themeColor="text1"/>
          <w:sz w:val="24"/>
          <w:szCs w:val="24"/>
        </w:rPr>
        <w:t xml:space="preserve"> (2012a</w:t>
      </w:r>
      <w:r w:rsidR="00805FDC" w:rsidRPr="00440C15">
        <w:rPr>
          <w:rFonts w:ascii="Times New Roman" w:hAnsi="Times New Roman"/>
          <w:color w:val="000000" w:themeColor="text1"/>
          <w:sz w:val="24"/>
          <w:szCs w:val="24"/>
        </w:rPr>
        <w:t>)</w:t>
      </w:r>
      <w:proofErr w:type="gramStart"/>
      <w:r w:rsidR="00805FDC"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 xml:space="preserve"> </w:t>
      </w:r>
      <w:r w:rsidR="00805FDC" w:rsidRPr="00440C15">
        <w:rPr>
          <w:rFonts w:ascii="Times New Roman" w:hAnsi="Times New Roman"/>
          <w:color w:val="000000" w:themeColor="text1"/>
          <w:sz w:val="24"/>
          <w:szCs w:val="24"/>
        </w:rPr>
        <w:t>"</w:t>
      </w:r>
      <w:proofErr w:type="gramEnd"/>
      <w:r w:rsidRPr="00440C15">
        <w:rPr>
          <w:rFonts w:ascii="Times New Roman" w:hAnsi="Times New Roman"/>
          <w:iCs/>
          <w:color w:val="000000" w:themeColor="text1"/>
          <w:sz w:val="24"/>
          <w:szCs w:val="24"/>
        </w:rPr>
        <w:t>National Investment Fraud Vulnerability Report</w:t>
      </w:r>
      <w:r w:rsidR="00805FDC" w:rsidRPr="00440C15">
        <w:rPr>
          <w:rFonts w:ascii="Times New Roman" w:hAnsi="Times New Roman"/>
          <w:iCs/>
          <w:color w:val="000000" w:themeColor="text1"/>
          <w:sz w:val="24"/>
          <w:szCs w:val="24"/>
        </w:rPr>
        <w:t xml:space="preserve">", available from the </w:t>
      </w:r>
      <w:r w:rsidR="00805FDC" w:rsidRPr="00440C15">
        <w:rPr>
          <w:rFonts w:ascii="Times New Roman" w:hAnsi="Times New Roman"/>
          <w:color w:val="000000" w:themeColor="text1"/>
          <w:sz w:val="24"/>
          <w:szCs w:val="24"/>
        </w:rPr>
        <w:t xml:space="preserve">British Columbia Securities Commission Web site at: http://www.bcsc.bc.ca/2012NationalInvestmentFraudVulnerabilityReport.pdf (accessed 07 March 2012). </w:t>
      </w:r>
    </w:p>
    <w:p w:rsidR="00805FDC" w:rsidRPr="00440C15" w:rsidRDefault="00805FDC" w:rsidP="006219AE">
      <w:pPr>
        <w:widowControl/>
        <w:autoSpaceDE w:val="0"/>
        <w:autoSpaceDN w:val="0"/>
        <w:adjustRightInd w:val="0"/>
        <w:spacing w:after="0" w:line="240" w:lineRule="auto"/>
        <w:ind w:left="720" w:hanging="720"/>
        <w:rPr>
          <w:rFonts w:ascii="Times New Roman" w:hAnsi="Times New Roman"/>
          <w:iCs/>
          <w:color w:val="000000" w:themeColor="text1"/>
          <w:sz w:val="24"/>
          <w:szCs w:val="24"/>
        </w:rPr>
      </w:pPr>
    </w:p>
    <w:p w:rsidR="00543360" w:rsidRPr="00440C15" w:rsidRDefault="006219AE" w:rsidP="00543360">
      <w:pPr>
        <w:widowControl/>
        <w:autoSpaceDE w:val="0"/>
        <w:autoSpaceDN w:val="0"/>
        <w:adjustRightInd w:val="0"/>
        <w:spacing w:after="0" w:line="240" w:lineRule="auto"/>
        <w:ind w:left="720" w:hanging="720"/>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British Columbia Securities Commission.</w:t>
      </w:r>
      <w:proofErr w:type="gramEnd"/>
      <w:r w:rsidRPr="00440C15">
        <w:rPr>
          <w:rFonts w:ascii="Times New Roman" w:hAnsi="Times New Roman"/>
          <w:color w:val="000000" w:themeColor="text1"/>
          <w:sz w:val="24"/>
          <w:szCs w:val="24"/>
        </w:rPr>
        <w:t xml:space="preserve"> (2012</w:t>
      </w:r>
      <w:r w:rsidR="00543360" w:rsidRPr="00440C15">
        <w:rPr>
          <w:rFonts w:ascii="Times New Roman" w:hAnsi="Times New Roman"/>
          <w:color w:val="000000" w:themeColor="text1"/>
          <w:sz w:val="24"/>
          <w:szCs w:val="24"/>
        </w:rPr>
        <w:t xml:space="preserve">b), </w:t>
      </w:r>
      <w:proofErr w:type="gramStart"/>
      <w:r w:rsidR="00543360" w:rsidRPr="00440C15">
        <w:rPr>
          <w:rFonts w:ascii="Times New Roman" w:hAnsi="Times New Roman"/>
          <w:color w:val="000000" w:themeColor="text1"/>
          <w:sz w:val="24"/>
          <w:szCs w:val="24"/>
        </w:rPr>
        <w:t>"</w:t>
      </w:r>
      <w:r w:rsidRPr="00440C15">
        <w:rPr>
          <w:rFonts w:ascii="Times New Roman" w:hAnsi="Times New Roman"/>
          <w:color w:val="000000" w:themeColor="text1"/>
          <w:sz w:val="24"/>
          <w:szCs w:val="24"/>
        </w:rPr>
        <w:t xml:space="preserve"> </w:t>
      </w:r>
      <w:r w:rsidRPr="00440C15">
        <w:rPr>
          <w:rFonts w:ascii="Times New Roman" w:hAnsi="Times New Roman"/>
          <w:iCs/>
          <w:color w:val="000000" w:themeColor="text1"/>
          <w:sz w:val="24"/>
          <w:szCs w:val="24"/>
        </w:rPr>
        <w:t>BC</w:t>
      </w:r>
      <w:proofErr w:type="gramEnd"/>
      <w:r w:rsidRPr="00440C15">
        <w:rPr>
          <w:rFonts w:ascii="Times New Roman" w:hAnsi="Times New Roman"/>
          <w:iCs/>
          <w:color w:val="000000" w:themeColor="text1"/>
          <w:sz w:val="24"/>
          <w:szCs w:val="24"/>
        </w:rPr>
        <w:t xml:space="preserve"> Securities Commission releases its National Investment Fraud Vulnerability Report (ENG. and FR.</w:t>
      </w:r>
      <w:r w:rsidRPr="00440C15">
        <w:rPr>
          <w:rFonts w:ascii="Times New Roman" w:hAnsi="Times New Roman"/>
          <w:i/>
          <w:iCs/>
          <w:color w:val="000000" w:themeColor="text1"/>
          <w:sz w:val="24"/>
          <w:szCs w:val="24"/>
        </w:rPr>
        <w:t>)</w:t>
      </w:r>
      <w:r w:rsidR="00543360" w:rsidRPr="00440C15">
        <w:rPr>
          <w:rFonts w:ascii="Times New Roman" w:hAnsi="Times New Roman"/>
          <w:color w:val="000000" w:themeColor="text1"/>
          <w:sz w:val="24"/>
          <w:szCs w:val="24"/>
        </w:rPr>
        <w:t xml:space="preserve">", </w:t>
      </w:r>
      <w:r w:rsidR="00543360" w:rsidRPr="00440C15">
        <w:rPr>
          <w:rFonts w:ascii="Times New Roman" w:hAnsi="Times New Roman"/>
          <w:iCs/>
          <w:color w:val="000000" w:themeColor="text1"/>
          <w:sz w:val="24"/>
          <w:szCs w:val="24"/>
        </w:rPr>
        <w:t xml:space="preserve">available from the </w:t>
      </w:r>
      <w:r w:rsidR="00543360" w:rsidRPr="00440C15">
        <w:rPr>
          <w:rFonts w:ascii="Times New Roman" w:hAnsi="Times New Roman"/>
          <w:color w:val="000000" w:themeColor="text1"/>
          <w:sz w:val="24"/>
          <w:szCs w:val="24"/>
        </w:rPr>
        <w:t xml:space="preserve">British Columbia Securities Commission Web site at: http://www.bcsc.bc.ca/release.aspx?id=14376  (accessed 07 March 2012). </w:t>
      </w:r>
    </w:p>
    <w:p w:rsidR="00543360" w:rsidRPr="00440C15" w:rsidRDefault="00543360"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6219AE" w:rsidRPr="00440C15" w:rsidRDefault="006219AE"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r w:rsidRPr="00440C15">
        <w:rPr>
          <w:rStyle w:val="Emphasis"/>
          <w:rFonts w:ascii="Times New Roman" w:hAnsi="Times New Roman"/>
          <w:i w:val="0"/>
          <w:color w:val="000000" w:themeColor="text1"/>
          <w:sz w:val="24"/>
          <w:szCs w:val="24"/>
        </w:rPr>
        <w:t>Blum</w:t>
      </w:r>
      <w:r w:rsidRPr="00440C15">
        <w:rPr>
          <w:rStyle w:val="st"/>
          <w:rFonts w:ascii="Times New Roman" w:hAnsi="Times New Roman"/>
          <w:i/>
          <w:color w:val="000000" w:themeColor="text1"/>
          <w:sz w:val="24"/>
          <w:szCs w:val="24"/>
        </w:rPr>
        <w:t xml:space="preserve">, </w:t>
      </w:r>
      <w:r w:rsidRPr="00440C15">
        <w:rPr>
          <w:rStyle w:val="Emphasis"/>
          <w:rFonts w:ascii="Times New Roman" w:hAnsi="Times New Roman"/>
          <w:i w:val="0"/>
          <w:color w:val="000000" w:themeColor="text1"/>
          <w:sz w:val="24"/>
          <w:szCs w:val="24"/>
        </w:rPr>
        <w:t>R</w:t>
      </w:r>
      <w:r w:rsidR="00543360" w:rsidRPr="00440C15">
        <w:rPr>
          <w:rStyle w:val="Emphasis"/>
          <w:rFonts w:ascii="Times New Roman" w:hAnsi="Times New Roman"/>
          <w:i w:val="0"/>
          <w:color w:val="000000" w:themeColor="text1"/>
          <w:sz w:val="24"/>
          <w:szCs w:val="24"/>
        </w:rPr>
        <w:t>.</w:t>
      </w:r>
      <w:r w:rsidRPr="00440C15">
        <w:rPr>
          <w:rStyle w:val="Emphasis"/>
          <w:rFonts w:ascii="Times New Roman" w:hAnsi="Times New Roman"/>
          <w:i w:val="0"/>
          <w:color w:val="000000" w:themeColor="text1"/>
          <w:sz w:val="24"/>
          <w:szCs w:val="24"/>
        </w:rPr>
        <w:t>H</w:t>
      </w:r>
      <w:r w:rsidR="00543360" w:rsidRPr="00440C15">
        <w:rPr>
          <w:rStyle w:val="Emphasis"/>
          <w:rFonts w:ascii="Times New Roman" w:hAnsi="Times New Roman"/>
          <w:i w:val="0"/>
          <w:color w:val="000000" w:themeColor="text1"/>
          <w:sz w:val="24"/>
          <w:szCs w:val="24"/>
        </w:rPr>
        <w:t>.</w:t>
      </w:r>
      <w:r w:rsidRPr="00440C15">
        <w:rPr>
          <w:rStyle w:val="Emphasis"/>
          <w:rFonts w:ascii="Times New Roman" w:hAnsi="Times New Roman"/>
          <w:i w:val="0"/>
          <w:color w:val="000000" w:themeColor="text1"/>
          <w:sz w:val="24"/>
          <w:szCs w:val="24"/>
        </w:rPr>
        <w:t xml:space="preserve"> (1972)</w:t>
      </w:r>
      <w:proofErr w:type="gramStart"/>
      <w:r w:rsidR="00543360" w:rsidRPr="00440C15">
        <w:rPr>
          <w:rStyle w:val="Emphasis"/>
          <w:rFonts w:ascii="Times New Roman" w:hAnsi="Times New Roman"/>
          <w:i w:val="0"/>
          <w:color w:val="000000" w:themeColor="text1"/>
          <w:sz w:val="24"/>
          <w:szCs w:val="24"/>
        </w:rPr>
        <w:t>,</w:t>
      </w:r>
      <w:r w:rsidRPr="00440C15">
        <w:rPr>
          <w:rStyle w:val="Emphasis"/>
          <w:rFonts w:ascii="Times New Roman" w:hAnsi="Times New Roman"/>
          <w:i w:val="0"/>
          <w:color w:val="000000" w:themeColor="text1"/>
          <w:sz w:val="24"/>
          <w:szCs w:val="24"/>
        </w:rPr>
        <w:t xml:space="preserve"> </w:t>
      </w:r>
      <w:r w:rsidRPr="00440C15">
        <w:rPr>
          <w:rStyle w:val="st"/>
          <w:rFonts w:ascii="Times New Roman" w:hAnsi="Times New Roman"/>
          <w:color w:val="000000" w:themeColor="text1"/>
          <w:sz w:val="24"/>
          <w:szCs w:val="24"/>
        </w:rPr>
        <w:t xml:space="preserve"> </w:t>
      </w:r>
      <w:r w:rsidRPr="00440C15">
        <w:rPr>
          <w:rStyle w:val="Emphasis"/>
          <w:rFonts w:ascii="Times New Roman" w:hAnsi="Times New Roman"/>
          <w:color w:val="000000" w:themeColor="text1"/>
          <w:sz w:val="24"/>
          <w:szCs w:val="24"/>
        </w:rPr>
        <w:t>Deceivers</w:t>
      </w:r>
      <w:proofErr w:type="gramEnd"/>
      <w:r w:rsidRPr="00440C15">
        <w:rPr>
          <w:rStyle w:val="Emphasis"/>
          <w:rFonts w:ascii="Times New Roman" w:hAnsi="Times New Roman"/>
          <w:color w:val="000000" w:themeColor="text1"/>
          <w:sz w:val="24"/>
          <w:szCs w:val="24"/>
        </w:rPr>
        <w:t xml:space="preserve"> and Deceived</w:t>
      </w:r>
      <w:r w:rsidRPr="00440C15">
        <w:rPr>
          <w:rStyle w:val="st"/>
          <w:rFonts w:ascii="Times New Roman" w:hAnsi="Times New Roman"/>
          <w:color w:val="000000" w:themeColor="text1"/>
          <w:sz w:val="24"/>
          <w:szCs w:val="24"/>
        </w:rPr>
        <w:t xml:space="preserve">: </w:t>
      </w:r>
      <w:r w:rsidRPr="00440C15">
        <w:rPr>
          <w:rStyle w:val="st"/>
          <w:rFonts w:ascii="Times New Roman" w:hAnsi="Times New Roman"/>
          <w:i/>
          <w:color w:val="000000" w:themeColor="text1"/>
          <w:sz w:val="24"/>
          <w:szCs w:val="24"/>
        </w:rPr>
        <w:t>Observations on Confidence men and their Victims</w:t>
      </w:r>
      <w:r w:rsidRPr="00440C15">
        <w:rPr>
          <w:rStyle w:val="st"/>
          <w:rFonts w:ascii="Times New Roman" w:hAnsi="Times New Roman"/>
          <w:color w:val="000000" w:themeColor="text1"/>
          <w:sz w:val="24"/>
          <w:szCs w:val="24"/>
        </w:rPr>
        <w:t>, Charles C Thomas, Spring</w:t>
      </w:r>
      <w:r w:rsidR="00543360" w:rsidRPr="00440C15">
        <w:rPr>
          <w:rStyle w:val="st"/>
          <w:rFonts w:ascii="Times New Roman" w:hAnsi="Times New Roman"/>
          <w:color w:val="000000" w:themeColor="text1"/>
          <w:sz w:val="24"/>
          <w:szCs w:val="24"/>
        </w:rPr>
        <w:t>field.</w:t>
      </w:r>
    </w:p>
    <w:p w:rsidR="006219AE" w:rsidRPr="00440C15" w:rsidRDefault="006219AE"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C04E5B" w:rsidRPr="00440C15" w:rsidRDefault="006219AE" w:rsidP="00C04E5B">
      <w:pPr>
        <w:widowControl/>
        <w:autoSpaceDE w:val="0"/>
        <w:autoSpaceDN w:val="0"/>
        <w:adjustRightInd w:val="0"/>
        <w:spacing w:after="0" w:line="240" w:lineRule="auto"/>
        <w:ind w:left="720" w:hanging="720"/>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Canadian Foundation for Advancement of Investor Rights.</w:t>
      </w:r>
      <w:proofErr w:type="gramEnd"/>
      <w:r w:rsidRPr="00440C15">
        <w:rPr>
          <w:rFonts w:ascii="Times New Roman" w:hAnsi="Times New Roman"/>
          <w:color w:val="000000" w:themeColor="text1"/>
          <w:sz w:val="24"/>
          <w:szCs w:val="24"/>
        </w:rPr>
        <w:t xml:space="preserve"> (2011</w:t>
      </w:r>
      <w:r w:rsidR="00C04E5B" w:rsidRPr="00440C15">
        <w:rPr>
          <w:rFonts w:ascii="Times New Roman" w:hAnsi="Times New Roman"/>
          <w:color w:val="000000" w:themeColor="text1"/>
          <w:sz w:val="24"/>
          <w:szCs w:val="24"/>
        </w:rPr>
        <w:t>)</w:t>
      </w:r>
      <w:proofErr w:type="gramStart"/>
      <w:r w:rsidR="00C04E5B"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 xml:space="preserve"> </w:t>
      </w:r>
      <w:r w:rsidR="00C04E5B" w:rsidRPr="00440C15">
        <w:rPr>
          <w:rFonts w:ascii="Times New Roman" w:hAnsi="Times New Roman"/>
          <w:color w:val="000000" w:themeColor="text1"/>
          <w:sz w:val="24"/>
          <w:szCs w:val="24"/>
        </w:rPr>
        <w:t>"</w:t>
      </w:r>
      <w:proofErr w:type="gramEnd"/>
      <w:r w:rsidRPr="00440C15">
        <w:rPr>
          <w:rFonts w:ascii="Times New Roman" w:hAnsi="Times New Roman"/>
          <w:color w:val="000000" w:themeColor="text1"/>
          <w:sz w:val="24"/>
          <w:szCs w:val="24"/>
        </w:rPr>
        <w:t>A Report on a Decade of Financial Scanda</w:t>
      </w:r>
      <w:r w:rsidR="00C04E5B" w:rsidRPr="00440C15">
        <w:rPr>
          <w:rFonts w:ascii="Times New Roman" w:hAnsi="Times New Roman"/>
          <w:color w:val="000000" w:themeColor="text1"/>
          <w:sz w:val="24"/>
          <w:szCs w:val="24"/>
        </w:rPr>
        <w:t xml:space="preserve">ls", available from FAIR Canada’s Web site at : http://faircanada.ca/wp-content/uploads/2011/01/Financial-scandals-paper-SW-711-pm_Final-0222.pdf  (accessed 08 February 2012). </w:t>
      </w:r>
    </w:p>
    <w:p w:rsidR="00C04E5B" w:rsidRPr="00440C15" w:rsidRDefault="00C04E5B"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7235E0" w:rsidRPr="00440C15" w:rsidRDefault="006219AE"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C</w:t>
      </w:r>
      <w:r w:rsidR="007235E0" w:rsidRPr="00440C15">
        <w:rPr>
          <w:rFonts w:ascii="Times New Roman" w:hAnsi="Times New Roman"/>
          <w:color w:val="000000" w:themeColor="text1"/>
          <w:sz w:val="24"/>
          <w:szCs w:val="24"/>
        </w:rPr>
        <w:t>anadian Labour Congress.</w:t>
      </w:r>
      <w:proofErr w:type="gramEnd"/>
      <w:r w:rsidR="007235E0" w:rsidRPr="00440C15">
        <w:rPr>
          <w:rFonts w:ascii="Times New Roman" w:hAnsi="Times New Roman"/>
          <w:color w:val="000000" w:themeColor="text1"/>
          <w:sz w:val="24"/>
          <w:szCs w:val="24"/>
        </w:rPr>
        <w:t xml:space="preserve"> (2008),</w:t>
      </w:r>
      <w:r w:rsidRPr="00440C15">
        <w:rPr>
          <w:rFonts w:ascii="Times New Roman" w:hAnsi="Times New Roman"/>
          <w:color w:val="000000" w:themeColor="text1"/>
          <w:sz w:val="24"/>
          <w:szCs w:val="24"/>
        </w:rPr>
        <w:t xml:space="preserve"> </w:t>
      </w:r>
      <w:r w:rsidR="007235E0" w:rsidRPr="00440C15">
        <w:rPr>
          <w:rFonts w:ascii="Times New Roman" w:hAnsi="Times New Roman"/>
          <w:color w:val="000000" w:themeColor="text1"/>
          <w:sz w:val="24"/>
          <w:szCs w:val="24"/>
        </w:rPr>
        <w:t>"</w:t>
      </w:r>
      <w:r w:rsidRPr="00440C15">
        <w:rPr>
          <w:rFonts w:ascii="Times New Roman" w:hAnsi="Times New Roman"/>
          <w:color w:val="000000" w:themeColor="text1"/>
          <w:sz w:val="24"/>
          <w:szCs w:val="24"/>
        </w:rPr>
        <w:t xml:space="preserve">Women in the Workforce: </w:t>
      </w:r>
      <w:r w:rsidR="007235E0" w:rsidRPr="00440C15">
        <w:rPr>
          <w:rFonts w:ascii="Times New Roman" w:hAnsi="Times New Roman"/>
          <w:color w:val="000000" w:themeColor="text1"/>
          <w:sz w:val="24"/>
          <w:szCs w:val="24"/>
        </w:rPr>
        <w:t xml:space="preserve">Still </w:t>
      </w:r>
      <w:proofErr w:type="gramStart"/>
      <w:r w:rsidR="007235E0" w:rsidRPr="00440C15">
        <w:rPr>
          <w:rFonts w:ascii="Times New Roman" w:hAnsi="Times New Roman"/>
          <w:color w:val="000000" w:themeColor="text1"/>
          <w:sz w:val="24"/>
          <w:szCs w:val="24"/>
        </w:rPr>
        <w:t>A</w:t>
      </w:r>
      <w:proofErr w:type="gramEnd"/>
      <w:r w:rsidR="007235E0" w:rsidRPr="00440C15">
        <w:rPr>
          <w:rFonts w:ascii="Times New Roman" w:hAnsi="Times New Roman"/>
          <w:color w:val="000000" w:themeColor="text1"/>
          <w:sz w:val="24"/>
          <w:szCs w:val="24"/>
        </w:rPr>
        <w:t xml:space="preserve"> Long Way from Equality", available from the Canadian Labour Congress Web site: http://www.canadianlabour.ca/sites/default/files/pdfs/womensequalityreportEn.pdf (accessed 15 December 2011).</w:t>
      </w:r>
    </w:p>
    <w:p w:rsidR="006219AE" w:rsidRPr="00440C15" w:rsidRDefault="006219AE"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9B7C32" w:rsidRPr="00440C15" w:rsidRDefault="006219AE" w:rsidP="009B7C32">
      <w:pPr>
        <w:widowControl/>
        <w:autoSpaceDE w:val="0"/>
        <w:autoSpaceDN w:val="0"/>
        <w:adjustRightInd w:val="0"/>
        <w:spacing w:after="0" w:line="240" w:lineRule="auto"/>
        <w:ind w:left="720" w:hanging="720"/>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Canadian Securities Administrators (CSA).</w:t>
      </w:r>
      <w:proofErr w:type="gramEnd"/>
      <w:r w:rsidRPr="00440C15">
        <w:rPr>
          <w:rFonts w:ascii="Times New Roman" w:hAnsi="Times New Roman"/>
          <w:color w:val="000000" w:themeColor="text1"/>
          <w:sz w:val="24"/>
          <w:szCs w:val="24"/>
        </w:rPr>
        <w:t xml:space="preserve"> (2007</w:t>
      </w:r>
      <w:r w:rsidR="009B7C32" w:rsidRPr="00440C15">
        <w:rPr>
          <w:rFonts w:ascii="Times New Roman" w:hAnsi="Times New Roman"/>
          <w:color w:val="000000" w:themeColor="text1"/>
          <w:sz w:val="24"/>
          <w:szCs w:val="24"/>
        </w:rPr>
        <w:t>)</w:t>
      </w:r>
      <w:proofErr w:type="gramStart"/>
      <w:r w:rsidR="009B7C32"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 xml:space="preserve"> </w:t>
      </w:r>
      <w:r w:rsidR="009B7C32" w:rsidRPr="00440C15">
        <w:rPr>
          <w:rFonts w:ascii="Times New Roman" w:hAnsi="Times New Roman"/>
          <w:color w:val="000000" w:themeColor="text1"/>
          <w:sz w:val="24"/>
          <w:szCs w:val="24"/>
        </w:rPr>
        <w:t>"</w:t>
      </w:r>
      <w:proofErr w:type="gramEnd"/>
      <w:r w:rsidRPr="00440C15">
        <w:rPr>
          <w:rFonts w:ascii="Times New Roman" w:hAnsi="Times New Roman"/>
          <w:color w:val="000000" w:themeColor="text1"/>
          <w:sz w:val="24"/>
          <w:szCs w:val="24"/>
        </w:rPr>
        <w:t>Understanding the So</w:t>
      </w:r>
      <w:r w:rsidR="009B7C32" w:rsidRPr="00440C15">
        <w:rPr>
          <w:rFonts w:ascii="Times New Roman" w:hAnsi="Times New Roman"/>
          <w:color w:val="000000" w:themeColor="text1"/>
          <w:sz w:val="24"/>
          <w:szCs w:val="24"/>
        </w:rPr>
        <w:t xml:space="preserve">cial Impact of Investment Fraud", available from the Ontario Securities Commission’s Web site: https://www.osc.gov.on.ca/documents/en/About/csa_20071002_csa-investor-study-es.pdf (accessed 21 November 2011). </w:t>
      </w:r>
    </w:p>
    <w:p w:rsidR="009B7C32" w:rsidRPr="00440C15" w:rsidRDefault="009B7C32"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5D43DE" w:rsidRPr="00440C15" w:rsidRDefault="005D43DE" w:rsidP="005D43DE">
      <w:pPr>
        <w:widowControl/>
        <w:autoSpaceDE w:val="0"/>
        <w:autoSpaceDN w:val="0"/>
        <w:adjustRightInd w:val="0"/>
        <w:spacing w:after="0" w:line="240" w:lineRule="auto"/>
        <w:ind w:left="720" w:hanging="720"/>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 xml:space="preserve">Condon, M., and P. </w:t>
      </w:r>
      <w:proofErr w:type="spellStart"/>
      <w:r w:rsidRPr="00440C15">
        <w:rPr>
          <w:rFonts w:ascii="Times New Roman" w:hAnsi="Times New Roman"/>
          <w:color w:val="000000" w:themeColor="text1"/>
          <w:sz w:val="24"/>
          <w:szCs w:val="24"/>
        </w:rPr>
        <w:t>Puri</w:t>
      </w:r>
      <w:proofErr w:type="spellEnd"/>
      <w:r w:rsidRPr="00440C15">
        <w:rPr>
          <w:rFonts w:ascii="Times New Roman" w:hAnsi="Times New Roman"/>
          <w:color w:val="000000" w:themeColor="text1"/>
          <w:sz w:val="24"/>
          <w:szCs w:val="24"/>
        </w:rPr>
        <w:t>.</w:t>
      </w:r>
      <w:proofErr w:type="gramEnd"/>
      <w:r w:rsidRPr="00440C15">
        <w:rPr>
          <w:rFonts w:ascii="Times New Roman" w:hAnsi="Times New Roman"/>
          <w:color w:val="000000" w:themeColor="text1"/>
          <w:sz w:val="24"/>
          <w:szCs w:val="24"/>
        </w:rPr>
        <w:t xml:space="preserve"> (2006)</w:t>
      </w:r>
      <w:proofErr w:type="gramStart"/>
      <w:r w:rsidRPr="00440C15">
        <w:rPr>
          <w:rFonts w:ascii="Times New Roman" w:hAnsi="Times New Roman"/>
          <w:color w:val="000000" w:themeColor="text1"/>
          <w:sz w:val="24"/>
          <w:szCs w:val="24"/>
        </w:rPr>
        <w:t xml:space="preserve">, </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w:t>
      </w:r>
      <w:proofErr w:type="gramEnd"/>
      <w:r w:rsidR="006219AE" w:rsidRPr="00440C15">
        <w:rPr>
          <w:rFonts w:ascii="Times New Roman" w:hAnsi="Times New Roman"/>
          <w:color w:val="000000" w:themeColor="text1"/>
          <w:sz w:val="24"/>
          <w:szCs w:val="24"/>
        </w:rPr>
        <w:t>The Role of Compliance in Securities Regulatory Enforcement. Paper Commissioned by the Task Force to Modernize Securities</w:t>
      </w:r>
      <w:r w:rsidRPr="00440C15">
        <w:rPr>
          <w:rFonts w:ascii="Times New Roman" w:hAnsi="Times New Roman"/>
          <w:color w:val="000000" w:themeColor="text1"/>
          <w:sz w:val="24"/>
          <w:szCs w:val="24"/>
        </w:rPr>
        <w:t xml:space="preserve"> Legislation (TFMSL) in Canada", available at: http://www.tfmsl.ca/docs/v6%281%29%20condonpuri.pdf (accessed 11 December 2011). </w:t>
      </w:r>
    </w:p>
    <w:p w:rsidR="005D43DE" w:rsidRPr="00440C15" w:rsidRDefault="005D43DE" w:rsidP="006219AE">
      <w:pPr>
        <w:widowControl/>
        <w:autoSpaceDE w:val="0"/>
        <w:autoSpaceDN w:val="0"/>
        <w:adjustRightInd w:val="0"/>
        <w:spacing w:after="0" w:line="240" w:lineRule="auto"/>
        <w:ind w:left="720" w:hanging="720"/>
        <w:rPr>
          <w:rFonts w:ascii="Times New Roman" w:hAnsi="Times New Roman"/>
          <w:color w:val="000000" w:themeColor="text1"/>
          <w:sz w:val="24"/>
          <w:szCs w:val="24"/>
        </w:rPr>
      </w:pPr>
    </w:p>
    <w:p w:rsidR="00AC4571" w:rsidRDefault="00AC4571" w:rsidP="006219AE">
      <w:pPr>
        <w:widowControl/>
        <w:autoSpaceDE w:val="0"/>
        <w:autoSpaceDN w:val="0"/>
        <w:adjustRightInd w:val="0"/>
        <w:spacing w:after="0" w:line="240" w:lineRule="auto"/>
        <w:ind w:left="720" w:hanging="720"/>
        <w:rPr>
          <w:rFonts w:ascii="Times New Roman" w:eastAsiaTheme="minorHAnsi" w:hAnsi="Times New Roman"/>
          <w:color w:val="000000" w:themeColor="text1"/>
          <w:sz w:val="24"/>
          <w:szCs w:val="24"/>
          <w:lang w:bidi="ar-SA"/>
        </w:rPr>
      </w:pPr>
      <w:proofErr w:type="gramStart"/>
      <w:r w:rsidRPr="00AC4571">
        <w:rPr>
          <w:rFonts w:ascii="Times New Roman" w:eastAsiaTheme="minorHAnsi" w:hAnsi="Times New Roman"/>
          <w:color w:val="000000" w:themeColor="text1"/>
          <w:sz w:val="24"/>
          <w:szCs w:val="24"/>
          <w:lang w:bidi="ar-SA"/>
        </w:rPr>
        <w:t>Denison, D. and A. Mishra.</w:t>
      </w:r>
      <w:proofErr w:type="gramEnd"/>
      <w:r w:rsidRPr="00AC4571">
        <w:rPr>
          <w:rFonts w:ascii="Times New Roman" w:eastAsiaTheme="minorHAnsi" w:hAnsi="Times New Roman"/>
          <w:color w:val="000000" w:themeColor="text1"/>
          <w:sz w:val="24"/>
          <w:szCs w:val="24"/>
          <w:lang w:bidi="ar-SA"/>
        </w:rPr>
        <w:t xml:space="preserve"> </w:t>
      </w:r>
      <w:proofErr w:type="gramStart"/>
      <w:r w:rsidRPr="00AC4571">
        <w:rPr>
          <w:rFonts w:ascii="Times New Roman" w:eastAsiaTheme="minorHAnsi" w:hAnsi="Times New Roman"/>
          <w:color w:val="000000" w:themeColor="text1"/>
          <w:sz w:val="24"/>
          <w:szCs w:val="24"/>
          <w:lang w:bidi="ar-SA"/>
        </w:rPr>
        <w:t xml:space="preserve">(1995). </w:t>
      </w:r>
      <w:r w:rsidR="0038444F">
        <w:rPr>
          <w:rFonts w:ascii="Times New Roman" w:eastAsiaTheme="minorHAnsi" w:hAnsi="Times New Roman"/>
          <w:color w:val="000000" w:themeColor="text1"/>
          <w:sz w:val="24"/>
          <w:szCs w:val="24"/>
          <w:lang w:bidi="ar-SA"/>
        </w:rPr>
        <w:t>“</w:t>
      </w:r>
      <w:r w:rsidRPr="00AC4571">
        <w:rPr>
          <w:rFonts w:ascii="Times New Roman" w:eastAsiaTheme="minorHAnsi" w:hAnsi="Times New Roman"/>
          <w:color w:val="000000" w:themeColor="text1"/>
          <w:sz w:val="24"/>
          <w:szCs w:val="24"/>
          <w:lang w:bidi="ar-SA"/>
        </w:rPr>
        <w:t>Toward a theory of organizational culture and effectiveness.</w:t>
      </w:r>
      <w:r w:rsidR="0038444F">
        <w:rPr>
          <w:rFonts w:ascii="Times New Roman" w:eastAsiaTheme="minorHAnsi" w:hAnsi="Times New Roman"/>
          <w:color w:val="000000" w:themeColor="text1"/>
          <w:sz w:val="24"/>
          <w:szCs w:val="24"/>
          <w:lang w:bidi="ar-SA"/>
        </w:rPr>
        <w:t>”</w:t>
      </w:r>
      <w:proofErr w:type="gramEnd"/>
      <w:r w:rsidRPr="00AC4571">
        <w:rPr>
          <w:rFonts w:ascii="Times New Roman" w:eastAsiaTheme="minorHAnsi" w:hAnsi="Times New Roman"/>
          <w:color w:val="000000" w:themeColor="text1"/>
          <w:sz w:val="24"/>
          <w:szCs w:val="24"/>
          <w:lang w:bidi="ar-SA"/>
        </w:rPr>
        <w:t xml:space="preserve"> </w:t>
      </w:r>
      <w:r w:rsidRPr="00346464">
        <w:rPr>
          <w:rFonts w:ascii="Times New Roman" w:eastAsiaTheme="minorHAnsi" w:hAnsi="Times New Roman"/>
          <w:i/>
          <w:color w:val="000000" w:themeColor="text1"/>
          <w:sz w:val="24"/>
          <w:szCs w:val="24"/>
          <w:lang w:bidi="ar-SA"/>
        </w:rPr>
        <w:t>Organization Science</w:t>
      </w:r>
      <w:r w:rsidRPr="00AC4571">
        <w:rPr>
          <w:rFonts w:ascii="Times New Roman" w:eastAsiaTheme="minorHAnsi" w:hAnsi="Times New Roman"/>
          <w:color w:val="000000" w:themeColor="text1"/>
          <w:sz w:val="24"/>
          <w:szCs w:val="24"/>
          <w:lang w:bidi="ar-SA"/>
        </w:rPr>
        <w:t xml:space="preserve">, </w:t>
      </w:r>
      <w:r>
        <w:rPr>
          <w:rFonts w:ascii="Times New Roman" w:eastAsiaTheme="minorHAnsi" w:hAnsi="Times New Roman"/>
          <w:color w:val="000000" w:themeColor="text1"/>
          <w:sz w:val="24"/>
          <w:szCs w:val="24"/>
          <w:lang w:bidi="ar-SA"/>
        </w:rPr>
        <w:t xml:space="preserve">Vol. </w:t>
      </w:r>
      <w:r w:rsidRPr="00AC4571">
        <w:rPr>
          <w:rFonts w:ascii="Times New Roman" w:eastAsiaTheme="minorHAnsi" w:hAnsi="Times New Roman"/>
          <w:color w:val="000000" w:themeColor="text1"/>
          <w:sz w:val="24"/>
          <w:szCs w:val="24"/>
          <w:lang w:bidi="ar-SA"/>
        </w:rPr>
        <w:t>6</w:t>
      </w:r>
      <w:r>
        <w:rPr>
          <w:rFonts w:ascii="Times New Roman" w:eastAsiaTheme="minorHAnsi" w:hAnsi="Times New Roman"/>
          <w:color w:val="000000" w:themeColor="text1"/>
          <w:sz w:val="24"/>
          <w:szCs w:val="24"/>
          <w:lang w:bidi="ar-SA"/>
        </w:rPr>
        <w:t xml:space="preserve"> No 2</w:t>
      </w:r>
      <w:r w:rsidRPr="00AC4571">
        <w:rPr>
          <w:rFonts w:ascii="Times New Roman" w:eastAsiaTheme="minorHAnsi" w:hAnsi="Times New Roman"/>
          <w:color w:val="000000" w:themeColor="text1"/>
          <w:sz w:val="24"/>
          <w:szCs w:val="24"/>
          <w:lang w:bidi="ar-SA"/>
        </w:rPr>
        <w:t>,</w:t>
      </w:r>
      <w:r>
        <w:rPr>
          <w:rFonts w:ascii="Times New Roman" w:eastAsiaTheme="minorHAnsi" w:hAnsi="Times New Roman"/>
          <w:color w:val="000000" w:themeColor="text1"/>
          <w:sz w:val="24"/>
          <w:szCs w:val="24"/>
          <w:lang w:bidi="ar-SA"/>
        </w:rPr>
        <w:t xml:space="preserve"> pp.</w:t>
      </w:r>
      <w:r w:rsidRPr="00AC4571">
        <w:rPr>
          <w:rFonts w:ascii="Times New Roman" w:eastAsiaTheme="minorHAnsi" w:hAnsi="Times New Roman"/>
          <w:color w:val="000000" w:themeColor="text1"/>
          <w:sz w:val="24"/>
          <w:szCs w:val="24"/>
          <w:lang w:bidi="ar-SA"/>
        </w:rPr>
        <w:t xml:space="preserve"> 204-223.</w:t>
      </w:r>
    </w:p>
    <w:p w:rsidR="00DD39FA" w:rsidRDefault="00DD39FA" w:rsidP="006219AE">
      <w:pPr>
        <w:widowControl/>
        <w:autoSpaceDE w:val="0"/>
        <w:autoSpaceDN w:val="0"/>
        <w:adjustRightInd w:val="0"/>
        <w:spacing w:after="0" w:line="240" w:lineRule="auto"/>
        <w:ind w:left="720" w:hanging="720"/>
        <w:rPr>
          <w:rFonts w:ascii="Times New Roman" w:eastAsiaTheme="minorHAnsi" w:hAnsi="Times New Roman"/>
          <w:color w:val="000000" w:themeColor="text1"/>
          <w:sz w:val="24"/>
          <w:szCs w:val="24"/>
          <w:lang w:bidi="ar-SA"/>
        </w:rPr>
      </w:pPr>
    </w:p>
    <w:p w:rsidR="00DD39FA" w:rsidRDefault="00DD39FA" w:rsidP="006219AE">
      <w:pPr>
        <w:widowControl/>
        <w:autoSpaceDE w:val="0"/>
        <w:autoSpaceDN w:val="0"/>
        <w:adjustRightInd w:val="0"/>
        <w:spacing w:after="0" w:line="240" w:lineRule="auto"/>
        <w:ind w:left="720" w:hanging="720"/>
        <w:rPr>
          <w:rFonts w:ascii="Times New Roman" w:eastAsiaTheme="minorHAnsi" w:hAnsi="Times New Roman"/>
          <w:color w:val="000000" w:themeColor="text1"/>
          <w:sz w:val="24"/>
          <w:szCs w:val="24"/>
          <w:lang w:bidi="ar-SA"/>
        </w:rPr>
      </w:pPr>
      <w:proofErr w:type="spellStart"/>
      <w:proofErr w:type="gramStart"/>
      <w:r>
        <w:rPr>
          <w:rFonts w:ascii="Times New Roman" w:eastAsiaTheme="minorHAnsi" w:hAnsi="Times New Roman"/>
          <w:color w:val="000000" w:themeColor="text1"/>
          <w:sz w:val="24"/>
          <w:szCs w:val="24"/>
          <w:lang w:bidi="ar-SA"/>
        </w:rPr>
        <w:t>Kempa</w:t>
      </w:r>
      <w:proofErr w:type="spellEnd"/>
      <w:r>
        <w:rPr>
          <w:rFonts w:ascii="Times New Roman" w:eastAsiaTheme="minorHAnsi" w:hAnsi="Times New Roman"/>
          <w:color w:val="000000" w:themeColor="text1"/>
          <w:sz w:val="24"/>
          <w:szCs w:val="24"/>
          <w:lang w:bidi="ar-SA"/>
        </w:rPr>
        <w:t>, M. (2010).</w:t>
      </w:r>
      <w:proofErr w:type="gramEnd"/>
      <w:r>
        <w:rPr>
          <w:rFonts w:ascii="Times New Roman" w:eastAsiaTheme="minorHAnsi" w:hAnsi="Times New Roman"/>
          <w:color w:val="000000" w:themeColor="text1"/>
          <w:sz w:val="24"/>
          <w:szCs w:val="24"/>
          <w:lang w:bidi="ar-SA"/>
        </w:rPr>
        <w:t xml:space="preserve"> </w:t>
      </w:r>
      <w:r w:rsidR="0038444F">
        <w:rPr>
          <w:rFonts w:ascii="Times New Roman" w:eastAsiaTheme="minorHAnsi" w:hAnsi="Times New Roman"/>
          <w:color w:val="000000" w:themeColor="text1"/>
          <w:sz w:val="24"/>
          <w:szCs w:val="24"/>
          <w:lang w:bidi="ar-SA"/>
        </w:rPr>
        <w:t>“</w:t>
      </w:r>
      <w:r w:rsidRPr="00DD39FA">
        <w:rPr>
          <w:rFonts w:ascii="Times New Roman" w:eastAsiaTheme="minorHAnsi" w:hAnsi="Times New Roman"/>
          <w:color w:val="000000" w:themeColor="text1"/>
          <w:sz w:val="24"/>
          <w:szCs w:val="24"/>
          <w:lang w:bidi="ar-SA"/>
        </w:rPr>
        <w:t>Combating white-collar crime in Canada: serving victim needs and market integrity</w:t>
      </w:r>
      <w:r>
        <w:rPr>
          <w:rFonts w:ascii="Times New Roman" w:eastAsiaTheme="minorHAnsi" w:hAnsi="Times New Roman"/>
          <w:color w:val="000000" w:themeColor="text1"/>
          <w:sz w:val="24"/>
          <w:szCs w:val="24"/>
          <w:lang w:bidi="ar-SA"/>
        </w:rPr>
        <w:t>.</w:t>
      </w:r>
      <w:r w:rsidR="0038444F">
        <w:rPr>
          <w:rFonts w:ascii="Times New Roman" w:eastAsiaTheme="minorHAnsi" w:hAnsi="Times New Roman"/>
          <w:color w:val="000000" w:themeColor="text1"/>
          <w:sz w:val="24"/>
          <w:szCs w:val="24"/>
          <w:lang w:bidi="ar-SA"/>
        </w:rPr>
        <w:t>”</w:t>
      </w:r>
      <w:r>
        <w:rPr>
          <w:rFonts w:ascii="Times New Roman" w:eastAsiaTheme="minorHAnsi" w:hAnsi="Times New Roman"/>
          <w:color w:val="000000" w:themeColor="text1"/>
          <w:sz w:val="24"/>
          <w:szCs w:val="24"/>
          <w:lang w:bidi="ar-SA"/>
        </w:rPr>
        <w:t xml:space="preserve"> </w:t>
      </w:r>
      <w:r w:rsidRPr="00DD39FA">
        <w:rPr>
          <w:rFonts w:ascii="Times New Roman" w:eastAsiaTheme="minorHAnsi" w:hAnsi="Times New Roman"/>
          <w:i/>
          <w:color w:val="000000" w:themeColor="text1"/>
          <w:sz w:val="24"/>
          <w:szCs w:val="24"/>
          <w:lang w:bidi="ar-SA"/>
        </w:rPr>
        <w:t>Journal of Financial Crime</w:t>
      </w:r>
      <w:r>
        <w:rPr>
          <w:rFonts w:ascii="Times New Roman" w:eastAsiaTheme="minorHAnsi" w:hAnsi="Times New Roman"/>
          <w:color w:val="000000" w:themeColor="text1"/>
          <w:sz w:val="24"/>
          <w:szCs w:val="24"/>
          <w:lang w:bidi="ar-SA"/>
        </w:rPr>
        <w:t>, Vol. 7, No 2, pp. 251-264.</w:t>
      </w:r>
    </w:p>
    <w:p w:rsidR="00AC4571" w:rsidRDefault="00AC4571" w:rsidP="006219AE">
      <w:pPr>
        <w:widowControl/>
        <w:autoSpaceDE w:val="0"/>
        <w:autoSpaceDN w:val="0"/>
        <w:adjustRightInd w:val="0"/>
        <w:spacing w:after="0" w:line="240" w:lineRule="auto"/>
        <w:ind w:left="720" w:hanging="720"/>
        <w:rPr>
          <w:rFonts w:ascii="Times New Roman" w:eastAsiaTheme="minorHAnsi" w:hAnsi="Times New Roman"/>
          <w:color w:val="000000" w:themeColor="text1"/>
          <w:sz w:val="24"/>
          <w:szCs w:val="24"/>
          <w:lang w:bidi="ar-SA"/>
        </w:rPr>
      </w:pPr>
    </w:p>
    <w:p w:rsidR="006219AE" w:rsidRPr="00440C15" w:rsidRDefault="006219AE" w:rsidP="006219AE">
      <w:pPr>
        <w:widowControl/>
        <w:autoSpaceDE w:val="0"/>
        <w:autoSpaceDN w:val="0"/>
        <w:adjustRightInd w:val="0"/>
        <w:spacing w:after="0" w:line="240" w:lineRule="auto"/>
        <w:ind w:left="720" w:hanging="720"/>
        <w:rPr>
          <w:rFonts w:ascii="Times New Roman" w:eastAsiaTheme="minorHAnsi" w:hAnsi="Times New Roman"/>
          <w:i/>
          <w:color w:val="000000" w:themeColor="text1"/>
          <w:sz w:val="24"/>
          <w:szCs w:val="24"/>
          <w:lang w:bidi="ar-SA"/>
        </w:rPr>
      </w:pPr>
      <w:proofErr w:type="spellStart"/>
      <w:proofErr w:type="gramStart"/>
      <w:r w:rsidRPr="00440C15">
        <w:rPr>
          <w:rFonts w:ascii="Times New Roman" w:eastAsiaTheme="minorHAnsi" w:hAnsi="Times New Roman"/>
          <w:color w:val="000000" w:themeColor="text1"/>
          <w:sz w:val="24"/>
          <w:szCs w:val="24"/>
          <w:lang w:bidi="ar-SA"/>
        </w:rPr>
        <w:t>Ganzini</w:t>
      </w:r>
      <w:proofErr w:type="spellEnd"/>
      <w:r w:rsidRPr="00440C15">
        <w:rPr>
          <w:rFonts w:ascii="Times New Roman" w:eastAsiaTheme="minorHAnsi" w:hAnsi="Times New Roman"/>
          <w:color w:val="000000" w:themeColor="text1"/>
          <w:sz w:val="24"/>
          <w:szCs w:val="24"/>
          <w:lang w:bidi="ar-SA"/>
        </w:rPr>
        <w:t>, L., B</w:t>
      </w:r>
      <w:r w:rsidR="00DB335D" w:rsidRPr="00440C15">
        <w:rPr>
          <w:rFonts w:ascii="Times New Roman" w:eastAsiaTheme="minorHAnsi" w:hAnsi="Times New Roman"/>
          <w:color w:val="000000" w:themeColor="text1"/>
          <w:sz w:val="24"/>
          <w:szCs w:val="24"/>
          <w:lang w:bidi="ar-SA"/>
        </w:rPr>
        <w:t>. McFarland, and J. Bloom.</w:t>
      </w:r>
      <w:proofErr w:type="gramEnd"/>
      <w:r w:rsidR="00DB335D" w:rsidRPr="00440C15">
        <w:rPr>
          <w:rFonts w:ascii="Times New Roman" w:eastAsiaTheme="minorHAnsi" w:hAnsi="Times New Roman"/>
          <w:color w:val="000000" w:themeColor="text1"/>
          <w:sz w:val="24"/>
          <w:szCs w:val="24"/>
          <w:lang w:bidi="ar-SA"/>
        </w:rPr>
        <w:t xml:space="preserve"> (</w:t>
      </w:r>
      <w:r w:rsidRPr="00440C15">
        <w:rPr>
          <w:rFonts w:ascii="Times New Roman" w:eastAsiaTheme="minorHAnsi" w:hAnsi="Times New Roman"/>
          <w:color w:val="000000" w:themeColor="text1"/>
          <w:sz w:val="24"/>
          <w:szCs w:val="24"/>
          <w:lang w:bidi="ar-SA"/>
        </w:rPr>
        <w:t>1990</w:t>
      </w:r>
      <w:r w:rsidR="00DB335D" w:rsidRPr="00440C15">
        <w:rPr>
          <w:rFonts w:ascii="Times New Roman" w:eastAsiaTheme="minorHAnsi" w:hAnsi="Times New Roman"/>
          <w:color w:val="000000" w:themeColor="text1"/>
          <w:sz w:val="24"/>
          <w:szCs w:val="24"/>
          <w:lang w:bidi="ar-SA"/>
        </w:rPr>
        <w:t>). "</w:t>
      </w:r>
      <w:r w:rsidRPr="00440C15">
        <w:rPr>
          <w:rFonts w:ascii="Times New Roman" w:eastAsiaTheme="minorHAnsi" w:hAnsi="Times New Roman"/>
          <w:color w:val="000000" w:themeColor="text1"/>
          <w:sz w:val="24"/>
          <w:szCs w:val="24"/>
          <w:lang w:bidi="ar-SA"/>
        </w:rPr>
        <w:t>Victims of fraud: Comparing victims of white</w:t>
      </w:r>
      <w:r w:rsidR="00DB335D" w:rsidRPr="00440C15">
        <w:rPr>
          <w:rFonts w:ascii="Times New Roman" w:eastAsiaTheme="minorHAnsi" w:hAnsi="Times New Roman"/>
          <w:color w:val="000000" w:themeColor="text1"/>
          <w:sz w:val="24"/>
          <w:szCs w:val="24"/>
          <w:lang w:bidi="ar-SA"/>
        </w:rPr>
        <w:t>-collar and violent crime"</w:t>
      </w:r>
      <w:proofErr w:type="gramStart"/>
      <w:r w:rsidR="00DB335D" w:rsidRPr="00440C15">
        <w:rPr>
          <w:rFonts w:ascii="Times New Roman" w:eastAsiaTheme="minorHAnsi" w:hAnsi="Times New Roman"/>
          <w:color w:val="000000" w:themeColor="text1"/>
          <w:sz w:val="24"/>
          <w:szCs w:val="24"/>
          <w:lang w:bidi="ar-SA"/>
        </w:rPr>
        <w:t xml:space="preserve">, </w:t>
      </w:r>
      <w:r w:rsidRPr="00440C15">
        <w:rPr>
          <w:rFonts w:ascii="Times New Roman" w:eastAsiaTheme="minorHAnsi" w:hAnsi="Times New Roman"/>
          <w:color w:val="000000" w:themeColor="text1"/>
          <w:sz w:val="24"/>
          <w:szCs w:val="24"/>
          <w:lang w:bidi="ar-SA"/>
        </w:rPr>
        <w:t xml:space="preserve"> </w:t>
      </w:r>
      <w:r w:rsidRPr="00440C15">
        <w:rPr>
          <w:rFonts w:ascii="Times New Roman" w:eastAsiaTheme="minorHAnsi" w:hAnsi="Times New Roman"/>
          <w:i/>
          <w:color w:val="000000" w:themeColor="text1"/>
          <w:sz w:val="24"/>
          <w:szCs w:val="24"/>
          <w:lang w:bidi="ar-SA"/>
        </w:rPr>
        <w:t>Bulletin</w:t>
      </w:r>
      <w:proofErr w:type="gramEnd"/>
      <w:r w:rsidRPr="00440C15">
        <w:rPr>
          <w:rFonts w:ascii="Times New Roman" w:eastAsiaTheme="minorHAnsi" w:hAnsi="Times New Roman"/>
          <w:i/>
          <w:color w:val="000000" w:themeColor="text1"/>
          <w:sz w:val="24"/>
          <w:szCs w:val="24"/>
          <w:lang w:bidi="ar-SA"/>
        </w:rPr>
        <w:t xml:space="preserve"> of the American Academy of Psychiatry and the Law</w:t>
      </w:r>
      <w:r w:rsidR="00DB335D" w:rsidRPr="00440C15">
        <w:rPr>
          <w:rFonts w:ascii="Times New Roman" w:eastAsiaTheme="minorHAnsi" w:hAnsi="Times New Roman"/>
          <w:color w:val="000000" w:themeColor="text1"/>
          <w:sz w:val="24"/>
          <w:szCs w:val="24"/>
          <w:lang w:bidi="ar-SA"/>
        </w:rPr>
        <w:t>, Vol. 18 No1, pp. 55-63.</w:t>
      </w:r>
      <w:r w:rsidR="00DB335D" w:rsidRPr="00440C15">
        <w:rPr>
          <w:rFonts w:ascii="Times New Roman" w:eastAsiaTheme="minorHAnsi" w:hAnsi="Times New Roman"/>
          <w:i/>
          <w:color w:val="000000" w:themeColor="text1"/>
          <w:sz w:val="24"/>
          <w:szCs w:val="24"/>
          <w:lang w:bidi="ar-SA"/>
        </w:rPr>
        <w:t xml:space="preserve"> </w:t>
      </w:r>
    </w:p>
    <w:p w:rsidR="00DB335D" w:rsidRPr="00440C15" w:rsidRDefault="00DB335D" w:rsidP="006219AE">
      <w:pPr>
        <w:widowControl/>
        <w:autoSpaceDE w:val="0"/>
        <w:autoSpaceDN w:val="0"/>
        <w:adjustRightInd w:val="0"/>
        <w:spacing w:after="0" w:line="240" w:lineRule="auto"/>
        <w:ind w:left="720" w:hanging="720"/>
        <w:rPr>
          <w:rFonts w:ascii="Times New Roman" w:eastAsiaTheme="minorHAnsi" w:hAnsi="Times New Roman"/>
          <w:color w:val="000000" w:themeColor="text1"/>
          <w:sz w:val="24"/>
          <w:szCs w:val="24"/>
          <w:lang w:bidi="ar-SA"/>
        </w:rPr>
      </w:pPr>
    </w:p>
    <w:p w:rsidR="00B87672" w:rsidRPr="00440C15" w:rsidRDefault="00B87672" w:rsidP="006219AE">
      <w:pPr>
        <w:spacing w:after="0" w:line="240" w:lineRule="auto"/>
        <w:ind w:left="720" w:hanging="720"/>
        <w:rPr>
          <w:rFonts w:ascii="Times New Roman" w:hAnsi="Times New Roman"/>
          <w:color w:val="000000" w:themeColor="text1"/>
          <w:sz w:val="24"/>
          <w:szCs w:val="24"/>
        </w:rPr>
      </w:pPr>
      <w:proofErr w:type="spellStart"/>
      <w:r w:rsidRPr="00440C15">
        <w:rPr>
          <w:rFonts w:ascii="Times New Roman" w:hAnsi="Times New Roman"/>
          <w:color w:val="000000" w:themeColor="text1"/>
          <w:sz w:val="24"/>
          <w:szCs w:val="24"/>
        </w:rPr>
        <w:t>Goldin</w:t>
      </w:r>
      <w:proofErr w:type="spellEnd"/>
      <w:r w:rsidRPr="00440C15">
        <w:rPr>
          <w:rFonts w:ascii="Times New Roman" w:hAnsi="Times New Roman"/>
          <w:color w:val="000000" w:themeColor="text1"/>
          <w:sz w:val="24"/>
          <w:szCs w:val="24"/>
        </w:rPr>
        <w:t>, R. (2010)</w:t>
      </w:r>
      <w:proofErr w:type="gramStart"/>
      <w:r w:rsidRPr="00440C15">
        <w:rPr>
          <w:rFonts w:ascii="Times New Roman" w:hAnsi="Times New Roman"/>
          <w:color w:val="000000" w:themeColor="text1"/>
          <w:sz w:val="24"/>
          <w:szCs w:val="24"/>
        </w:rPr>
        <w:t xml:space="preserve">, </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w:t>
      </w:r>
      <w:proofErr w:type="gramEnd"/>
      <w:r w:rsidR="006219AE" w:rsidRPr="00440C15">
        <w:rPr>
          <w:rFonts w:ascii="Times New Roman" w:hAnsi="Times New Roman"/>
          <w:iCs/>
          <w:color w:val="000000" w:themeColor="text1"/>
          <w:sz w:val="24"/>
          <w:szCs w:val="24"/>
        </w:rPr>
        <w:t>Investor Beware! - Protect Your Investment from Broker Misconduct</w:t>
      </w:r>
      <w:r w:rsidRPr="00440C15">
        <w:rPr>
          <w:rFonts w:ascii="Times New Roman" w:hAnsi="Times New Roman"/>
          <w:color w:val="000000" w:themeColor="text1"/>
          <w:sz w:val="24"/>
          <w:szCs w:val="24"/>
        </w:rPr>
        <w:t xml:space="preserve">", available at: http://www.macgold.ca/investorbeware (accessed 20 December 2011). </w:t>
      </w:r>
    </w:p>
    <w:p w:rsidR="00B87672" w:rsidRPr="00440C15" w:rsidRDefault="00B87672" w:rsidP="006219AE">
      <w:pPr>
        <w:spacing w:after="0" w:line="240" w:lineRule="auto"/>
        <w:ind w:left="720" w:hanging="720"/>
        <w:rPr>
          <w:rFonts w:ascii="Times New Roman" w:hAnsi="Times New Roman"/>
          <w:color w:val="000000" w:themeColor="text1"/>
          <w:sz w:val="24"/>
          <w:szCs w:val="24"/>
        </w:rPr>
      </w:pPr>
    </w:p>
    <w:p w:rsidR="006219AE" w:rsidRPr="00440C15" w:rsidRDefault="00B87672" w:rsidP="006219AE">
      <w:pPr>
        <w:spacing w:after="0" w:line="240" w:lineRule="auto"/>
        <w:ind w:left="720" w:hanging="720"/>
        <w:rPr>
          <w:rFonts w:ascii="Times New Roman" w:hAnsi="Times New Roman"/>
          <w:color w:val="000000" w:themeColor="text1"/>
          <w:sz w:val="24"/>
          <w:szCs w:val="24"/>
        </w:rPr>
      </w:pPr>
      <w:proofErr w:type="spellStart"/>
      <w:r w:rsidRPr="00440C15">
        <w:rPr>
          <w:rFonts w:ascii="Times New Roman" w:hAnsi="Times New Roman"/>
          <w:color w:val="000000" w:themeColor="text1"/>
          <w:sz w:val="24"/>
          <w:szCs w:val="24"/>
        </w:rPr>
        <w:t>Heminway</w:t>
      </w:r>
      <w:proofErr w:type="spellEnd"/>
      <w:r w:rsidRPr="00440C15">
        <w:rPr>
          <w:rFonts w:ascii="Times New Roman" w:hAnsi="Times New Roman"/>
          <w:color w:val="000000" w:themeColor="text1"/>
          <w:sz w:val="24"/>
          <w:szCs w:val="24"/>
        </w:rPr>
        <w:t>, J. (2009), "</w:t>
      </w:r>
      <w:r w:rsidR="006219AE" w:rsidRPr="00440C15">
        <w:rPr>
          <w:rFonts w:ascii="Times New Roman" w:hAnsi="Times New Roman"/>
          <w:color w:val="000000" w:themeColor="text1"/>
          <w:sz w:val="24"/>
          <w:szCs w:val="24"/>
        </w:rPr>
        <w:t>Female Investors and Securities Fraud: Is the Reasonable Investor a Woman</w:t>
      </w:r>
      <w:r w:rsidRPr="00440C15">
        <w:rPr>
          <w:rFonts w:ascii="Times New Roman" w:hAnsi="Times New Roman"/>
          <w:color w:val="000000" w:themeColor="text1"/>
          <w:sz w:val="24"/>
          <w:szCs w:val="24"/>
        </w:rPr>
        <w:t>"</w:t>
      </w:r>
      <w:r w:rsidR="006219AE" w:rsidRPr="00440C15">
        <w:rPr>
          <w:rFonts w:ascii="Times New Roman" w:hAnsi="Times New Roman"/>
          <w:color w:val="000000" w:themeColor="text1"/>
          <w:sz w:val="24"/>
          <w:szCs w:val="24"/>
        </w:rPr>
        <w:t xml:space="preserve">? </w:t>
      </w:r>
      <w:r w:rsidR="006219AE" w:rsidRPr="00440C15">
        <w:rPr>
          <w:rFonts w:ascii="Times New Roman" w:hAnsi="Times New Roman"/>
          <w:i/>
          <w:iCs/>
          <w:color w:val="000000" w:themeColor="text1"/>
          <w:sz w:val="24"/>
          <w:szCs w:val="24"/>
        </w:rPr>
        <w:t>William &amp; Mary Journal of Women and the Law</w:t>
      </w:r>
      <w:r w:rsidRPr="00440C15">
        <w:rPr>
          <w:rFonts w:ascii="Times New Roman" w:hAnsi="Times New Roman"/>
          <w:color w:val="000000" w:themeColor="text1"/>
          <w:sz w:val="24"/>
          <w:szCs w:val="24"/>
        </w:rPr>
        <w:t xml:space="preserve">, Vol. 15 No </w:t>
      </w:r>
      <w:r w:rsidR="006219AE" w:rsidRPr="00440C15">
        <w:rPr>
          <w:rFonts w:ascii="Times New Roman" w:hAnsi="Times New Roman"/>
          <w:color w:val="000000" w:themeColor="text1"/>
          <w:sz w:val="24"/>
          <w:szCs w:val="24"/>
        </w:rPr>
        <w:t>2, pp. 291-336.</w:t>
      </w:r>
    </w:p>
    <w:p w:rsidR="006219AE" w:rsidRPr="00440C15" w:rsidRDefault="006219AE" w:rsidP="006219AE">
      <w:pPr>
        <w:spacing w:after="0" w:line="240" w:lineRule="auto"/>
        <w:ind w:left="720" w:hanging="720"/>
        <w:rPr>
          <w:rFonts w:ascii="Times New Roman" w:hAnsi="Times New Roman"/>
          <w:color w:val="000000" w:themeColor="text1"/>
          <w:sz w:val="24"/>
          <w:szCs w:val="24"/>
        </w:rPr>
      </w:pPr>
    </w:p>
    <w:p w:rsidR="003A03B2" w:rsidRDefault="003A03B2" w:rsidP="000A6F5A">
      <w:pPr>
        <w:spacing w:after="0" w:line="240" w:lineRule="auto"/>
        <w:ind w:left="720" w:hanging="720"/>
        <w:rPr>
          <w:rFonts w:ascii="Times New Roman" w:hAnsi="Times New Roman"/>
          <w:color w:val="000000" w:themeColor="text1"/>
          <w:sz w:val="24"/>
          <w:szCs w:val="24"/>
        </w:rPr>
      </w:pPr>
      <w:r w:rsidRPr="003A03B2">
        <w:rPr>
          <w:rFonts w:ascii="Times New Roman" w:hAnsi="Times New Roman"/>
          <w:color w:val="000000" w:themeColor="text1"/>
          <w:sz w:val="24"/>
          <w:szCs w:val="24"/>
        </w:rPr>
        <w:t xml:space="preserve">Henderson, D. (1990). </w:t>
      </w:r>
      <w:proofErr w:type="gramStart"/>
      <w:r w:rsidRPr="003A03B2">
        <w:rPr>
          <w:rFonts w:ascii="Times New Roman" w:hAnsi="Times New Roman"/>
          <w:color w:val="000000" w:themeColor="text1"/>
          <w:sz w:val="24"/>
          <w:szCs w:val="24"/>
        </w:rPr>
        <w:t>The Influence of Corporate Strategy, Structure and Technology on Location of Procurement and Sales.</w:t>
      </w:r>
      <w:proofErr w:type="gramEnd"/>
      <w:r w:rsidRPr="003A03B2">
        <w:rPr>
          <w:rFonts w:ascii="Times New Roman" w:hAnsi="Times New Roman"/>
          <w:color w:val="000000" w:themeColor="text1"/>
          <w:sz w:val="24"/>
          <w:szCs w:val="24"/>
        </w:rPr>
        <w:t xml:space="preserve"> </w:t>
      </w:r>
      <w:proofErr w:type="gramStart"/>
      <w:r w:rsidRPr="003A03B2">
        <w:rPr>
          <w:rFonts w:ascii="Times New Roman" w:hAnsi="Times New Roman"/>
          <w:color w:val="000000" w:themeColor="text1"/>
          <w:sz w:val="24"/>
          <w:szCs w:val="24"/>
        </w:rPr>
        <w:t>Unpublished doctoral dissertation, University of Michigan.</w:t>
      </w:r>
      <w:proofErr w:type="gramEnd"/>
    </w:p>
    <w:p w:rsidR="003A03B2" w:rsidRDefault="003A03B2" w:rsidP="000A6F5A">
      <w:pPr>
        <w:spacing w:after="0" w:line="240" w:lineRule="auto"/>
        <w:ind w:left="720" w:hanging="720"/>
        <w:rPr>
          <w:rFonts w:ascii="Times New Roman" w:hAnsi="Times New Roman"/>
          <w:color w:val="000000" w:themeColor="text1"/>
          <w:sz w:val="24"/>
          <w:szCs w:val="24"/>
        </w:rPr>
      </w:pPr>
    </w:p>
    <w:p w:rsidR="000A6F5A" w:rsidRPr="00440C15" w:rsidRDefault="000A6F5A" w:rsidP="000A6F5A">
      <w:pPr>
        <w:spacing w:after="0" w:line="240" w:lineRule="auto"/>
        <w:ind w:left="720" w:hanging="720"/>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Investopedia.</w:t>
      </w:r>
      <w:proofErr w:type="gramEnd"/>
      <w:r w:rsidRPr="00440C15">
        <w:rPr>
          <w:rFonts w:ascii="Times New Roman" w:hAnsi="Times New Roman"/>
          <w:color w:val="000000" w:themeColor="text1"/>
          <w:sz w:val="24"/>
          <w:szCs w:val="24"/>
        </w:rPr>
        <w:t xml:space="preserve"> (2011)</w:t>
      </w:r>
      <w:proofErr w:type="gramStart"/>
      <w:r w:rsidRPr="00440C15">
        <w:rPr>
          <w:rFonts w:ascii="Times New Roman" w:hAnsi="Times New Roman"/>
          <w:color w:val="000000" w:themeColor="text1"/>
          <w:sz w:val="24"/>
          <w:szCs w:val="24"/>
        </w:rPr>
        <w:t xml:space="preserve">, </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w:t>
      </w:r>
      <w:proofErr w:type="gramEnd"/>
      <w:r w:rsidR="006219AE" w:rsidRPr="00440C15">
        <w:rPr>
          <w:rFonts w:ascii="Times New Roman" w:hAnsi="Times New Roman"/>
          <w:iCs/>
          <w:color w:val="000000" w:themeColor="text1"/>
          <w:sz w:val="24"/>
          <w:szCs w:val="24"/>
        </w:rPr>
        <w:t>Basic Investment Objectives</w:t>
      </w:r>
      <w:r w:rsidRPr="00440C15">
        <w:rPr>
          <w:rFonts w:ascii="Times New Roman" w:hAnsi="Times New Roman"/>
          <w:color w:val="000000" w:themeColor="text1"/>
          <w:sz w:val="24"/>
          <w:szCs w:val="24"/>
        </w:rPr>
        <w:t>", available at: http://www.investopedia.com/articles/basics/04/032604.asp#axzz1gwcwtz9J (accessed 19 December 2011).</w:t>
      </w:r>
    </w:p>
    <w:p w:rsidR="000A6F5A" w:rsidRPr="00440C15" w:rsidRDefault="000A6F5A" w:rsidP="006219AE">
      <w:pPr>
        <w:spacing w:after="0" w:line="240" w:lineRule="auto"/>
        <w:ind w:left="720" w:hanging="720"/>
        <w:rPr>
          <w:rFonts w:ascii="Times New Roman" w:hAnsi="Times New Roman"/>
          <w:color w:val="000000" w:themeColor="text1"/>
          <w:sz w:val="24"/>
          <w:szCs w:val="24"/>
        </w:rPr>
      </w:pPr>
    </w:p>
    <w:p w:rsidR="000A6F5A" w:rsidRPr="00440C15" w:rsidRDefault="000A6F5A" w:rsidP="000A6F5A">
      <w:pPr>
        <w:spacing w:after="0" w:line="240" w:lineRule="auto"/>
        <w:ind w:left="720" w:hanging="720"/>
        <w:rPr>
          <w:rFonts w:ascii="Times New Roman" w:hAnsi="Times New Roman"/>
          <w:color w:val="000000" w:themeColor="text1"/>
          <w:sz w:val="24"/>
          <w:szCs w:val="24"/>
        </w:rPr>
      </w:pPr>
      <w:r w:rsidRPr="00440C15">
        <w:rPr>
          <w:rFonts w:ascii="Times New Roman" w:hAnsi="Times New Roman"/>
          <w:color w:val="000000" w:themeColor="text1"/>
          <w:sz w:val="24"/>
          <w:szCs w:val="24"/>
        </w:rPr>
        <w:t>Nice, D. (2010),</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w:t>
      </w:r>
      <w:r w:rsidR="006219AE" w:rsidRPr="00440C15">
        <w:rPr>
          <w:rFonts w:ascii="Times New Roman" w:hAnsi="Times New Roman"/>
          <w:color w:val="000000" w:themeColor="text1"/>
          <w:sz w:val="24"/>
          <w:szCs w:val="24"/>
        </w:rPr>
        <w:t>Why women need to sa</w:t>
      </w:r>
      <w:r w:rsidRPr="00440C15">
        <w:rPr>
          <w:rFonts w:ascii="Times New Roman" w:hAnsi="Times New Roman"/>
          <w:color w:val="000000" w:themeColor="text1"/>
          <w:sz w:val="24"/>
          <w:szCs w:val="24"/>
        </w:rPr>
        <w:t xml:space="preserve">ve more than men for retirement", available </w:t>
      </w:r>
      <w:proofErr w:type="gramStart"/>
      <w:r w:rsidRPr="00440C15">
        <w:rPr>
          <w:rFonts w:ascii="Times New Roman" w:hAnsi="Times New Roman"/>
          <w:color w:val="000000" w:themeColor="text1"/>
          <w:sz w:val="24"/>
          <w:szCs w:val="24"/>
        </w:rPr>
        <w:t xml:space="preserve">from </w:t>
      </w:r>
      <w:r w:rsidR="006219AE" w:rsidRPr="00440C15">
        <w:rPr>
          <w:rFonts w:ascii="Times New Roman" w:hAnsi="Times New Roman"/>
          <w:color w:val="000000" w:themeColor="text1"/>
          <w:sz w:val="24"/>
          <w:szCs w:val="24"/>
        </w:rPr>
        <w:t xml:space="preserve"> </w:t>
      </w:r>
      <w:r w:rsidR="006219AE" w:rsidRPr="00440C15">
        <w:rPr>
          <w:rFonts w:ascii="Times New Roman" w:hAnsi="Times New Roman"/>
          <w:i/>
          <w:iCs/>
          <w:color w:val="000000" w:themeColor="text1"/>
          <w:sz w:val="24"/>
          <w:szCs w:val="24"/>
        </w:rPr>
        <w:t>The</w:t>
      </w:r>
      <w:proofErr w:type="gramEnd"/>
      <w:r w:rsidR="006219AE" w:rsidRPr="00440C15">
        <w:rPr>
          <w:rFonts w:ascii="Times New Roman" w:hAnsi="Times New Roman"/>
          <w:i/>
          <w:iCs/>
          <w:color w:val="000000" w:themeColor="text1"/>
          <w:sz w:val="24"/>
          <w:szCs w:val="24"/>
        </w:rPr>
        <w:t xml:space="preserve"> Globe and Mail</w:t>
      </w:r>
      <w:r w:rsidRPr="00440C15">
        <w:rPr>
          <w:rFonts w:ascii="Times New Roman" w:hAnsi="Times New Roman"/>
          <w:color w:val="000000" w:themeColor="text1"/>
          <w:sz w:val="24"/>
          <w:szCs w:val="24"/>
        </w:rPr>
        <w:t xml:space="preserve"> Web site at: http://www.theglobeandmail.com/globe-investor/personal-finance/retirement-rrsps/women-and-retirement/why-women-need-to-save-more-than-men-for-retirement/article1797078/ (accessed 06 January 2012). </w:t>
      </w:r>
    </w:p>
    <w:p w:rsidR="000A6F5A" w:rsidRPr="00440C15" w:rsidRDefault="000A6F5A" w:rsidP="006219AE">
      <w:pPr>
        <w:spacing w:after="0" w:line="240" w:lineRule="auto"/>
        <w:ind w:left="720" w:hanging="720"/>
        <w:rPr>
          <w:rFonts w:ascii="Times New Roman" w:hAnsi="Times New Roman"/>
          <w:color w:val="000000" w:themeColor="text1"/>
          <w:sz w:val="24"/>
          <w:szCs w:val="24"/>
        </w:rPr>
      </w:pPr>
    </w:p>
    <w:p w:rsidR="000A6F5A" w:rsidRPr="00440C15" w:rsidRDefault="000A6F5A" w:rsidP="000A6F5A">
      <w:pPr>
        <w:spacing w:after="0" w:line="240" w:lineRule="auto"/>
        <w:ind w:left="720" w:hanging="720"/>
        <w:rPr>
          <w:rFonts w:ascii="Times New Roman" w:hAnsi="Times New Roman"/>
          <w:color w:val="000000" w:themeColor="text1"/>
          <w:sz w:val="24"/>
          <w:szCs w:val="24"/>
        </w:rPr>
      </w:pPr>
      <w:r w:rsidRPr="00440C15">
        <w:rPr>
          <w:rFonts w:ascii="Times New Roman" w:hAnsi="Times New Roman"/>
          <w:color w:val="000000" w:themeColor="text1"/>
          <w:sz w:val="24"/>
          <w:szCs w:val="24"/>
        </w:rPr>
        <w:t>Sauvé, R. (2002),</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w:t>
      </w:r>
      <w:r w:rsidR="006219AE" w:rsidRPr="00440C15">
        <w:rPr>
          <w:rFonts w:ascii="Times New Roman" w:hAnsi="Times New Roman"/>
          <w:color w:val="000000" w:themeColor="text1"/>
          <w:sz w:val="24"/>
          <w:szCs w:val="24"/>
        </w:rPr>
        <w:t xml:space="preserve">The Dreams and the Reality: Assets, Debts </w:t>
      </w:r>
      <w:proofErr w:type="gramStart"/>
      <w:r w:rsidR="006219AE" w:rsidRPr="00440C15">
        <w:rPr>
          <w:rFonts w:ascii="Times New Roman" w:hAnsi="Times New Roman"/>
          <w:color w:val="000000" w:themeColor="text1"/>
          <w:sz w:val="24"/>
          <w:szCs w:val="24"/>
        </w:rPr>
        <w:t>And Net Worth Of</w:t>
      </w:r>
      <w:proofErr w:type="gramEnd"/>
      <w:r w:rsidR="006219AE" w:rsidRPr="00440C15">
        <w:rPr>
          <w:rFonts w:ascii="Times New Roman" w:hAnsi="Times New Roman"/>
          <w:color w:val="000000" w:themeColor="text1"/>
          <w:sz w:val="24"/>
          <w:szCs w:val="24"/>
        </w:rPr>
        <w:t xml:space="preserve"> Canadian Househol</w:t>
      </w:r>
      <w:r w:rsidRPr="00440C15">
        <w:rPr>
          <w:rFonts w:ascii="Times New Roman" w:hAnsi="Times New Roman"/>
          <w:color w:val="000000" w:themeColor="text1"/>
          <w:sz w:val="24"/>
          <w:szCs w:val="24"/>
        </w:rPr>
        <w:t>ds", available from</w:t>
      </w:r>
      <w:r w:rsidR="006219AE" w:rsidRPr="00440C15">
        <w:rPr>
          <w:rFonts w:ascii="Times New Roman" w:hAnsi="Times New Roman"/>
          <w:color w:val="000000" w:themeColor="text1"/>
          <w:sz w:val="24"/>
          <w:szCs w:val="24"/>
        </w:rPr>
        <w:t xml:space="preserve"> </w:t>
      </w:r>
      <w:r w:rsidR="006219AE" w:rsidRPr="00440C15">
        <w:rPr>
          <w:rFonts w:ascii="Times New Roman" w:hAnsi="Times New Roman"/>
          <w:i/>
          <w:iCs/>
          <w:color w:val="000000" w:themeColor="text1"/>
          <w:sz w:val="24"/>
          <w:szCs w:val="24"/>
        </w:rPr>
        <w:t>The Vanier Institute of the Family</w:t>
      </w:r>
      <w:r w:rsidRPr="00440C15">
        <w:rPr>
          <w:rFonts w:ascii="Times New Roman" w:hAnsi="Times New Roman"/>
          <w:color w:val="000000" w:themeColor="text1"/>
          <w:sz w:val="24"/>
          <w:szCs w:val="24"/>
        </w:rPr>
        <w:t xml:space="preserve"> Web site at: http://www.vifamily.ca/media/node/435/attachments/Dreams_and_the_reality.pdf (accessed 20 December 2011).</w:t>
      </w:r>
    </w:p>
    <w:p w:rsidR="00B73064" w:rsidRPr="00440C15" w:rsidRDefault="00B73064" w:rsidP="000A6F5A">
      <w:pPr>
        <w:spacing w:after="0" w:line="240" w:lineRule="auto"/>
        <w:ind w:left="720" w:hanging="720"/>
        <w:rPr>
          <w:rFonts w:ascii="Times New Roman" w:hAnsi="Times New Roman"/>
          <w:color w:val="000000" w:themeColor="text1"/>
          <w:sz w:val="24"/>
          <w:szCs w:val="24"/>
        </w:rPr>
      </w:pPr>
    </w:p>
    <w:p w:rsidR="00B423B7" w:rsidRPr="00440C15" w:rsidRDefault="00B423B7" w:rsidP="00B423B7">
      <w:pPr>
        <w:spacing w:after="0" w:line="240" w:lineRule="auto"/>
        <w:ind w:left="720" w:hanging="720"/>
        <w:rPr>
          <w:rFonts w:ascii="Times New Roman" w:hAnsi="Times New Roman"/>
          <w:color w:val="000000" w:themeColor="text1"/>
          <w:sz w:val="24"/>
          <w:szCs w:val="24"/>
        </w:rPr>
      </w:pPr>
      <w:proofErr w:type="spellStart"/>
      <w:r w:rsidRPr="00440C15">
        <w:rPr>
          <w:rFonts w:ascii="Times New Roman" w:hAnsi="Times New Roman"/>
          <w:color w:val="000000" w:themeColor="text1"/>
          <w:sz w:val="24"/>
          <w:szCs w:val="24"/>
        </w:rPr>
        <w:t>Shadel</w:t>
      </w:r>
      <w:proofErr w:type="spellEnd"/>
      <w:r w:rsidRPr="00440C15">
        <w:rPr>
          <w:rFonts w:ascii="Times New Roman" w:hAnsi="Times New Roman"/>
          <w:color w:val="000000" w:themeColor="text1"/>
          <w:sz w:val="24"/>
          <w:szCs w:val="24"/>
        </w:rPr>
        <w:t>, D. (2009)</w:t>
      </w:r>
      <w:proofErr w:type="gramStart"/>
      <w:r w:rsidRPr="00440C15">
        <w:rPr>
          <w:rFonts w:ascii="Times New Roman" w:hAnsi="Times New Roman"/>
          <w:color w:val="000000" w:themeColor="text1"/>
          <w:sz w:val="24"/>
          <w:szCs w:val="24"/>
        </w:rPr>
        <w:t xml:space="preserve">, </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w:t>
      </w:r>
      <w:proofErr w:type="gramEnd"/>
      <w:r w:rsidR="006219AE" w:rsidRPr="00440C15">
        <w:rPr>
          <w:rFonts w:ascii="Times New Roman" w:hAnsi="Times New Roman"/>
          <w:color w:val="000000" w:themeColor="text1"/>
          <w:sz w:val="24"/>
          <w:szCs w:val="24"/>
        </w:rPr>
        <w:t>Introduction to Researc</w:t>
      </w:r>
      <w:r w:rsidRPr="00440C15">
        <w:rPr>
          <w:rFonts w:ascii="Times New Roman" w:hAnsi="Times New Roman"/>
          <w:color w:val="000000" w:themeColor="text1"/>
          <w:sz w:val="24"/>
          <w:szCs w:val="24"/>
        </w:rPr>
        <w:t xml:space="preserve">h. Stanford Center on Longevity", </w:t>
      </w:r>
      <w:r w:rsidR="000047E5" w:rsidRPr="00440C15">
        <w:rPr>
          <w:rFonts w:ascii="Times New Roman" w:hAnsi="Times New Roman"/>
          <w:color w:val="000000" w:themeColor="text1"/>
          <w:sz w:val="24"/>
          <w:szCs w:val="24"/>
        </w:rPr>
        <w:t xml:space="preserve">paper presented at </w:t>
      </w:r>
      <w:proofErr w:type="gramStart"/>
      <w:r w:rsidR="000047E5" w:rsidRPr="00440C15">
        <w:rPr>
          <w:rFonts w:ascii="Times New Roman" w:hAnsi="Times New Roman"/>
          <w:color w:val="000000" w:themeColor="text1"/>
          <w:sz w:val="24"/>
          <w:szCs w:val="24"/>
        </w:rPr>
        <w:t xml:space="preserve">the </w:t>
      </w:r>
      <w:r w:rsidR="006219AE" w:rsidRPr="00440C15">
        <w:rPr>
          <w:rFonts w:ascii="Times New Roman" w:hAnsi="Times New Roman"/>
          <w:color w:val="000000" w:themeColor="text1"/>
          <w:sz w:val="24"/>
          <w:szCs w:val="24"/>
        </w:rPr>
        <w:t xml:space="preserve"> </w:t>
      </w:r>
      <w:r w:rsidR="006219AE" w:rsidRPr="00440C15">
        <w:rPr>
          <w:rFonts w:ascii="Times New Roman" w:hAnsi="Times New Roman"/>
          <w:i/>
          <w:iCs/>
          <w:color w:val="000000" w:themeColor="text1"/>
          <w:sz w:val="24"/>
          <w:szCs w:val="24"/>
        </w:rPr>
        <w:t>Stanf</w:t>
      </w:r>
      <w:r w:rsidRPr="00440C15">
        <w:rPr>
          <w:rFonts w:ascii="Times New Roman" w:hAnsi="Times New Roman"/>
          <w:i/>
          <w:iCs/>
          <w:color w:val="000000" w:themeColor="text1"/>
          <w:sz w:val="24"/>
          <w:szCs w:val="24"/>
        </w:rPr>
        <w:t>ord</w:t>
      </w:r>
      <w:proofErr w:type="gramEnd"/>
      <w:r w:rsidRPr="00440C15">
        <w:rPr>
          <w:rFonts w:ascii="Times New Roman" w:hAnsi="Times New Roman"/>
          <w:i/>
          <w:iCs/>
          <w:color w:val="000000" w:themeColor="text1"/>
          <w:sz w:val="24"/>
          <w:szCs w:val="24"/>
        </w:rPr>
        <w:t xml:space="preserve"> Financial Fraud Conference</w:t>
      </w:r>
      <w:r w:rsidRPr="00440C15">
        <w:rPr>
          <w:rFonts w:ascii="Times New Roman" w:hAnsi="Times New Roman"/>
          <w:iCs/>
          <w:color w:val="000000" w:themeColor="text1"/>
          <w:sz w:val="24"/>
          <w:szCs w:val="24"/>
        </w:rPr>
        <w:t xml:space="preserve">, available at: </w:t>
      </w:r>
      <w:r w:rsidRPr="00440C15">
        <w:rPr>
          <w:rFonts w:ascii="Times New Roman" w:hAnsi="Times New Roman"/>
          <w:color w:val="000000" w:themeColor="text1"/>
          <w:sz w:val="24"/>
          <w:szCs w:val="24"/>
        </w:rPr>
        <w:t>http://www.fraudresearchcenter.org/wp-content/uploads/2011/02/Introduction-to-Research.pdf (accessed 16 February 2012).</w:t>
      </w:r>
    </w:p>
    <w:p w:rsidR="00B423B7" w:rsidRPr="00440C15" w:rsidRDefault="00B423B7" w:rsidP="006219AE">
      <w:pPr>
        <w:spacing w:after="0" w:line="240" w:lineRule="auto"/>
        <w:ind w:left="720" w:hanging="720"/>
        <w:rPr>
          <w:rFonts w:ascii="Times New Roman" w:hAnsi="Times New Roman"/>
          <w:color w:val="000000" w:themeColor="text1"/>
          <w:sz w:val="24"/>
          <w:szCs w:val="24"/>
        </w:rPr>
      </w:pPr>
    </w:p>
    <w:p w:rsidR="006C4232" w:rsidRPr="00440C15" w:rsidRDefault="006C4232" w:rsidP="006C4232">
      <w:pPr>
        <w:spacing w:after="0" w:line="240" w:lineRule="auto"/>
        <w:ind w:left="720" w:hanging="720"/>
        <w:rPr>
          <w:rFonts w:ascii="Times New Roman" w:hAnsi="Times New Roman"/>
          <w:color w:val="000000" w:themeColor="text1"/>
          <w:sz w:val="24"/>
          <w:szCs w:val="24"/>
        </w:rPr>
      </w:pPr>
      <w:proofErr w:type="gramStart"/>
      <w:r w:rsidRPr="00440C15">
        <w:rPr>
          <w:rFonts w:ascii="Times New Roman" w:hAnsi="Times New Roman"/>
          <w:color w:val="000000" w:themeColor="text1"/>
          <w:sz w:val="24"/>
          <w:szCs w:val="24"/>
        </w:rPr>
        <w:t>Statistics Canada.</w:t>
      </w:r>
      <w:proofErr w:type="gramEnd"/>
      <w:r w:rsidRPr="00440C15">
        <w:rPr>
          <w:rFonts w:ascii="Times New Roman" w:hAnsi="Times New Roman"/>
          <w:color w:val="000000" w:themeColor="text1"/>
          <w:sz w:val="24"/>
          <w:szCs w:val="24"/>
        </w:rPr>
        <w:t xml:space="preserve"> (2010)</w:t>
      </w:r>
      <w:proofErr w:type="gramStart"/>
      <w:r w:rsidRPr="00440C15">
        <w:rPr>
          <w:rFonts w:ascii="Times New Roman" w:hAnsi="Times New Roman"/>
          <w:color w:val="000000" w:themeColor="text1"/>
          <w:sz w:val="24"/>
          <w:szCs w:val="24"/>
        </w:rPr>
        <w:t xml:space="preserve">, </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w:t>
      </w:r>
      <w:proofErr w:type="gramEnd"/>
      <w:r w:rsidR="006219AE" w:rsidRPr="00440C15">
        <w:rPr>
          <w:rFonts w:ascii="Times New Roman" w:hAnsi="Times New Roman"/>
          <w:iCs/>
          <w:color w:val="000000" w:themeColor="text1"/>
          <w:sz w:val="24"/>
          <w:szCs w:val="24"/>
        </w:rPr>
        <w:t>National Occupational Classification - Statistics (NOC-S) 2006</w:t>
      </w:r>
      <w:r w:rsidRPr="00440C15">
        <w:rPr>
          <w:rFonts w:ascii="Times New Roman" w:hAnsi="Times New Roman"/>
          <w:color w:val="000000" w:themeColor="text1"/>
          <w:sz w:val="24"/>
          <w:szCs w:val="24"/>
        </w:rPr>
        <w:t>", available from Statistics Canada’s Web Site at: http://www.statcan.gc.ca/ (accessed 10 August 2010).</w:t>
      </w:r>
    </w:p>
    <w:p w:rsidR="006C4232" w:rsidRPr="00440C15" w:rsidRDefault="006C4232" w:rsidP="006C4232">
      <w:pPr>
        <w:spacing w:after="0" w:line="240" w:lineRule="auto"/>
        <w:ind w:left="720" w:hanging="720"/>
        <w:rPr>
          <w:rFonts w:ascii="Times New Roman" w:hAnsi="Times New Roman"/>
          <w:color w:val="000000" w:themeColor="text1"/>
          <w:sz w:val="24"/>
          <w:szCs w:val="24"/>
        </w:rPr>
      </w:pPr>
    </w:p>
    <w:p w:rsidR="00364483" w:rsidRPr="00440C15" w:rsidRDefault="00364483" w:rsidP="00364483">
      <w:pPr>
        <w:spacing w:after="0" w:line="240" w:lineRule="auto"/>
        <w:ind w:left="720" w:hanging="720"/>
        <w:rPr>
          <w:rFonts w:ascii="Times New Roman" w:hAnsi="Times New Roman"/>
          <w:color w:val="000000" w:themeColor="text1"/>
          <w:sz w:val="24"/>
          <w:szCs w:val="24"/>
        </w:rPr>
      </w:pPr>
      <w:r w:rsidRPr="00440C15">
        <w:rPr>
          <w:rFonts w:ascii="Times New Roman" w:hAnsi="Times New Roman"/>
          <w:color w:val="000000" w:themeColor="text1"/>
          <w:sz w:val="24"/>
          <w:szCs w:val="24"/>
        </w:rPr>
        <w:t>Stromberg, G. (2002),</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"Listen up, Bay Street"</w:t>
      </w:r>
      <w:proofErr w:type="gramStart"/>
      <w:r w:rsidRPr="00440C15">
        <w:rPr>
          <w:rFonts w:ascii="Times New Roman" w:hAnsi="Times New Roman"/>
          <w:color w:val="000000" w:themeColor="text1"/>
          <w:sz w:val="24"/>
          <w:szCs w:val="24"/>
        </w:rPr>
        <w:t xml:space="preserve">, </w:t>
      </w:r>
      <w:r w:rsidR="006219AE" w:rsidRPr="00440C15">
        <w:rPr>
          <w:rFonts w:ascii="Times New Roman" w:hAnsi="Times New Roman"/>
          <w:color w:val="000000" w:themeColor="text1"/>
          <w:sz w:val="24"/>
          <w:szCs w:val="24"/>
        </w:rPr>
        <w:t xml:space="preserve"> </w:t>
      </w:r>
      <w:r w:rsidRPr="00440C15">
        <w:rPr>
          <w:rFonts w:ascii="Times New Roman" w:hAnsi="Times New Roman"/>
          <w:color w:val="000000" w:themeColor="text1"/>
          <w:sz w:val="24"/>
          <w:szCs w:val="24"/>
        </w:rPr>
        <w:t>available</w:t>
      </w:r>
      <w:proofErr w:type="gramEnd"/>
      <w:r w:rsidRPr="00440C15">
        <w:rPr>
          <w:rFonts w:ascii="Times New Roman" w:hAnsi="Times New Roman"/>
          <w:color w:val="000000" w:themeColor="text1"/>
          <w:sz w:val="24"/>
          <w:szCs w:val="24"/>
        </w:rPr>
        <w:t xml:space="preserve"> at: http://www.investorvoice.ca/PI/190.html (accessed 12 January 2012). </w:t>
      </w:r>
    </w:p>
    <w:p w:rsidR="00364483" w:rsidRPr="00440C15" w:rsidRDefault="00364483" w:rsidP="006219AE">
      <w:pPr>
        <w:spacing w:after="0" w:line="240" w:lineRule="auto"/>
        <w:ind w:left="720" w:hanging="720"/>
        <w:rPr>
          <w:rFonts w:ascii="Times New Roman" w:hAnsi="Times New Roman"/>
          <w:color w:val="000000" w:themeColor="text1"/>
          <w:sz w:val="24"/>
          <w:szCs w:val="24"/>
        </w:rPr>
      </w:pPr>
    </w:p>
    <w:p w:rsidR="00586CB5" w:rsidRDefault="00586CB5" w:rsidP="00586CB5">
      <w:pPr>
        <w:spacing w:after="0" w:line="240" w:lineRule="auto"/>
        <w:ind w:left="720" w:hanging="720"/>
        <w:rPr>
          <w:rFonts w:ascii="Times New Roman" w:hAnsi="Times New Roman"/>
          <w:color w:val="000000" w:themeColor="text1"/>
          <w:sz w:val="24"/>
          <w:szCs w:val="24"/>
        </w:rPr>
      </w:pPr>
      <w:r w:rsidRPr="00440C15">
        <w:rPr>
          <w:rFonts w:ascii="Times New Roman" w:hAnsi="Times New Roman"/>
          <w:color w:val="000000" w:themeColor="text1"/>
          <w:sz w:val="24"/>
          <w:szCs w:val="24"/>
        </w:rPr>
        <w:t>TD Waterhouse. (2006),</w:t>
      </w:r>
      <w:r w:rsidR="006219AE" w:rsidRPr="00440C15">
        <w:rPr>
          <w:rFonts w:ascii="Times New Roman" w:hAnsi="Times New Roman"/>
          <w:color w:val="000000" w:themeColor="text1"/>
          <w:sz w:val="24"/>
          <w:szCs w:val="24"/>
        </w:rPr>
        <w:t xml:space="preserve"> “Women investo</w:t>
      </w:r>
      <w:r w:rsidRPr="00440C15">
        <w:rPr>
          <w:rFonts w:ascii="Times New Roman" w:hAnsi="Times New Roman"/>
          <w:color w:val="000000" w:themeColor="text1"/>
          <w:sz w:val="24"/>
          <w:szCs w:val="24"/>
        </w:rPr>
        <w:t>rs: more active, more confident</w:t>
      </w:r>
      <w:r w:rsidR="006219AE" w:rsidRPr="00440C15">
        <w:rPr>
          <w:rFonts w:ascii="Times New Roman" w:hAnsi="Times New Roman"/>
          <w:color w:val="000000" w:themeColor="text1"/>
          <w:sz w:val="24"/>
          <w:szCs w:val="24"/>
        </w:rPr>
        <w:t>”</w:t>
      </w:r>
      <w:proofErr w:type="gramStart"/>
      <w:r w:rsidRPr="00440C15">
        <w:rPr>
          <w:rFonts w:ascii="Times New Roman" w:hAnsi="Times New Roman"/>
          <w:color w:val="000000" w:themeColor="text1"/>
          <w:sz w:val="24"/>
          <w:szCs w:val="24"/>
        </w:rPr>
        <w:t xml:space="preserve">, </w:t>
      </w:r>
      <w:r w:rsidR="006219AE" w:rsidRPr="00440C15">
        <w:rPr>
          <w:rFonts w:ascii="Times New Roman" w:hAnsi="Times New Roman"/>
          <w:color w:val="000000" w:themeColor="text1"/>
          <w:sz w:val="24"/>
          <w:szCs w:val="24"/>
        </w:rPr>
        <w:t xml:space="preserve"> </w:t>
      </w:r>
      <w:r w:rsidR="006219AE" w:rsidRPr="00440C15">
        <w:rPr>
          <w:rFonts w:ascii="Times New Roman" w:hAnsi="Times New Roman"/>
          <w:i/>
          <w:iCs/>
          <w:color w:val="000000" w:themeColor="text1"/>
          <w:sz w:val="24"/>
          <w:szCs w:val="24"/>
        </w:rPr>
        <w:t>Investor</w:t>
      </w:r>
      <w:proofErr w:type="gramEnd"/>
      <w:r w:rsidR="006219AE" w:rsidRPr="00440C15">
        <w:rPr>
          <w:rFonts w:ascii="Times New Roman" w:hAnsi="Times New Roman"/>
          <w:i/>
          <w:iCs/>
          <w:color w:val="000000" w:themeColor="text1"/>
          <w:sz w:val="24"/>
          <w:szCs w:val="24"/>
        </w:rPr>
        <w:t xml:space="preserve"> Insights</w:t>
      </w:r>
      <w:r w:rsidRPr="00440C15">
        <w:rPr>
          <w:rFonts w:ascii="Times New Roman" w:hAnsi="Times New Roman"/>
          <w:color w:val="000000" w:themeColor="text1"/>
          <w:sz w:val="24"/>
          <w:szCs w:val="24"/>
        </w:rPr>
        <w:t xml:space="preserve">, available at: http://www.tdwaterhouse.ca/insights/jan07/article5.jsp (accessed 15 </w:t>
      </w:r>
      <w:r w:rsidRPr="00440C15">
        <w:rPr>
          <w:rFonts w:ascii="Times New Roman" w:hAnsi="Times New Roman"/>
          <w:color w:val="000000" w:themeColor="text1"/>
          <w:sz w:val="24"/>
          <w:szCs w:val="24"/>
        </w:rPr>
        <w:lastRenderedPageBreak/>
        <w:t>December 2011).</w:t>
      </w:r>
    </w:p>
    <w:p w:rsidR="0038444F" w:rsidRDefault="0038444F" w:rsidP="00586CB5">
      <w:pPr>
        <w:spacing w:after="0" w:line="240" w:lineRule="auto"/>
        <w:ind w:left="720" w:hanging="720"/>
        <w:rPr>
          <w:rFonts w:ascii="Times New Roman" w:hAnsi="Times New Roman"/>
          <w:color w:val="000000" w:themeColor="text1"/>
          <w:sz w:val="24"/>
          <w:szCs w:val="24"/>
        </w:rPr>
      </w:pPr>
    </w:p>
    <w:p w:rsidR="0038444F" w:rsidRPr="00440C15" w:rsidRDefault="0038444F" w:rsidP="00586CB5">
      <w:pPr>
        <w:spacing w:after="0" w:line="240" w:lineRule="auto"/>
        <w:ind w:left="720" w:hanging="72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Tomasic</w:t>
      </w:r>
      <w:proofErr w:type="spellEnd"/>
      <w:r>
        <w:rPr>
          <w:rFonts w:ascii="Times New Roman" w:hAnsi="Times New Roman"/>
          <w:color w:val="000000" w:themeColor="text1"/>
          <w:sz w:val="24"/>
          <w:szCs w:val="24"/>
        </w:rPr>
        <w:t xml:space="preserve">, R. (2011). </w:t>
      </w:r>
      <w:proofErr w:type="gramStart"/>
      <w:r>
        <w:rPr>
          <w:rFonts w:ascii="Times New Roman" w:hAnsi="Times New Roman"/>
          <w:color w:val="000000" w:themeColor="text1"/>
          <w:sz w:val="24"/>
          <w:szCs w:val="24"/>
        </w:rPr>
        <w:t>“</w:t>
      </w:r>
      <w:r w:rsidRPr="0038444F">
        <w:rPr>
          <w:rFonts w:ascii="Times New Roman" w:hAnsi="Times New Roman"/>
          <w:color w:val="000000" w:themeColor="text1"/>
          <w:sz w:val="24"/>
          <w:szCs w:val="24"/>
        </w:rPr>
        <w:t>The financial crisis and the haphazard pursuit of financial crime</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sidRPr="0038444F">
        <w:rPr>
          <w:rFonts w:ascii="Times New Roman" w:hAnsi="Times New Roman"/>
          <w:i/>
          <w:color w:val="000000" w:themeColor="text1"/>
          <w:sz w:val="24"/>
          <w:szCs w:val="24"/>
        </w:rPr>
        <w:t>Journal of Financial Crime</w:t>
      </w:r>
      <w:r>
        <w:rPr>
          <w:rFonts w:ascii="Times New Roman" w:hAnsi="Times New Roman"/>
          <w:color w:val="000000" w:themeColor="text1"/>
          <w:sz w:val="24"/>
          <w:szCs w:val="24"/>
        </w:rPr>
        <w:t>, Vol. 18 No 1, pp. 7-31.</w:t>
      </w:r>
    </w:p>
    <w:p w:rsidR="00586CB5" w:rsidRPr="00440C15" w:rsidRDefault="00586CB5" w:rsidP="006219AE">
      <w:pPr>
        <w:spacing w:after="0" w:line="240" w:lineRule="auto"/>
        <w:ind w:left="720" w:hanging="720"/>
        <w:rPr>
          <w:rFonts w:ascii="Times New Roman" w:hAnsi="Times New Roman"/>
          <w:color w:val="000000" w:themeColor="text1"/>
          <w:sz w:val="24"/>
          <w:szCs w:val="24"/>
        </w:rPr>
      </w:pPr>
    </w:p>
    <w:p w:rsidR="00586CB5" w:rsidRPr="00440C15" w:rsidRDefault="00586CB5" w:rsidP="006219AE">
      <w:pPr>
        <w:spacing w:after="0" w:line="240" w:lineRule="auto"/>
        <w:ind w:left="720" w:hanging="720"/>
        <w:rPr>
          <w:rFonts w:ascii="Times New Roman" w:hAnsi="Times New Roman"/>
          <w:color w:val="000000" w:themeColor="text1"/>
          <w:sz w:val="24"/>
          <w:szCs w:val="24"/>
        </w:rPr>
      </w:pPr>
    </w:p>
    <w:p w:rsidR="00586CB5" w:rsidRDefault="00586CB5"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Default="0038444F" w:rsidP="006219AE">
      <w:pPr>
        <w:spacing w:after="0" w:line="240" w:lineRule="auto"/>
        <w:rPr>
          <w:rFonts w:ascii="Times New Roman" w:hAnsi="Times New Roman"/>
          <w:color w:val="000000" w:themeColor="text1"/>
          <w:sz w:val="24"/>
          <w:szCs w:val="24"/>
        </w:rPr>
      </w:pPr>
    </w:p>
    <w:p w:rsidR="0038444F" w:rsidRPr="00440C15" w:rsidRDefault="0038444F" w:rsidP="006219AE">
      <w:pPr>
        <w:spacing w:after="0" w:line="240" w:lineRule="auto"/>
        <w:rPr>
          <w:rFonts w:ascii="Times New Roman" w:hAnsi="Times New Roman"/>
          <w:color w:val="000000" w:themeColor="text1"/>
          <w:sz w:val="24"/>
          <w:szCs w:val="24"/>
        </w:rPr>
      </w:pPr>
    </w:p>
    <w:p w:rsidR="00586CB5" w:rsidRPr="00440C15" w:rsidRDefault="00586CB5" w:rsidP="006219AE">
      <w:pPr>
        <w:spacing w:after="0"/>
        <w:jc w:val="center"/>
        <w:rPr>
          <w:rFonts w:ascii="Times New Roman" w:hAnsi="Times New Roman"/>
          <w:b/>
          <w:color w:val="000000" w:themeColor="text1"/>
          <w:sz w:val="24"/>
          <w:szCs w:val="24"/>
        </w:rPr>
      </w:pPr>
    </w:p>
    <w:p w:rsidR="00F03F5E" w:rsidRDefault="00F03F5E" w:rsidP="006219AE">
      <w:pPr>
        <w:spacing w:after="0"/>
        <w:jc w:val="center"/>
        <w:rPr>
          <w:rFonts w:ascii="Times New Roman" w:hAnsi="Times New Roman"/>
          <w:b/>
          <w:color w:val="000000" w:themeColor="text1"/>
          <w:sz w:val="24"/>
          <w:szCs w:val="24"/>
        </w:rPr>
      </w:pPr>
    </w:p>
    <w:p w:rsidR="00F03F5E" w:rsidRDefault="00F03F5E" w:rsidP="006219AE">
      <w:pPr>
        <w:spacing w:after="0"/>
        <w:jc w:val="center"/>
        <w:rPr>
          <w:rFonts w:ascii="Times New Roman" w:hAnsi="Times New Roman"/>
          <w:b/>
          <w:color w:val="000000" w:themeColor="text1"/>
          <w:sz w:val="24"/>
          <w:szCs w:val="24"/>
        </w:rPr>
      </w:pPr>
    </w:p>
    <w:p w:rsidR="00F03F5E" w:rsidRDefault="00F03F5E" w:rsidP="006219AE">
      <w:pPr>
        <w:spacing w:after="0"/>
        <w:jc w:val="center"/>
        <w:rPr>
          <w:rFonts w:ascii="Times New Roman" w:hAnsi="Times New Roman"/>
          <w:b/>
          <w:color w:val="000000" w:themeColor="text1"/>
          <w:sz w:val="24"/>
          <w:szCs w:val="24"/>
        </w:rPr>
      </w:pPr>
    </w:p>
    <w:p w:rsidR="00F03F5E" w:rsidRDefault="00F03F5E" w:rsidP="006219AE">
      <w:pPr>
        <w:spacing w:after="0"/>
        <w:jc w:val="center"/>
        <w:rPr>
          <w:rFonts w:ascii="Times New Roman" w:hAnsi="Times New Roman"/>
          <w:b/>
          <w:color w:val="000000" w:themeColor="text1"/>
          <w:sz w:val="24"/>
          <w:szCs w:val="24"/>
        </w:rPr>
      </w:pPr>
    </w:p>
    <w:p w:rsidR="00F03F5E" w:rsidRDefault="00F03F5E" w:rsidP="006219AE">
      <w:pPr>
        <w:spacing w:after="0"/>
        <w:jc w:val="center"/>
        <w:rPr>
          <w:rFonts w:ascii="Times New Roman" w:hAnsi="Times New Roman"/>
          <w:b/>
          <w:color w:val="000000" w:themeColor="text1"/>
          <w:sz w:val="24"/>
          <w:szCs w:val="24"/>
        </w:rPr>
      </w:pPr>
    </w:p>
    <w:p w:rsidR="00F03F5E" w:rsidRDefault="00F03F5E" w:rsidP="006219AE">
      <w:pPr>
        <w:spacing w:after="0"/>
        <w:jc w:val="center"/>
        <w:rPr>
          <w:rFonts w:ascii="Times New Roman" w:hAnsi="Times New Roman"/>
          <w:b/>
          <w:color w:val="000000" w:themeColor="text1"/>
          <w:sz w:val="24"/>
          <w:szCs w:val="24"/>
        </w:rPr>
      </w:pPr>
    </w:p>
    <w:p w:rsidR="00F03F5E" w:rsidRDefault="00F03F5E" w:rsidP="006219AE">
      <w:pPr>
        <w:spacing w:after="0"/>
        <w:jc w:val="center"/>
        <w:rPr>
          <w:rFonts w:ascii="Times New Roman" w:hAnsi="Times New Roman"/>
          <w:b/>
          <w:color w:val="000000" w:themeColor="text1"/>
          <w:sz w:val="24"/>
          <w:szCs w:val="24"/>
        </w:rPr>
      </w:pPr>
    </w:p>
    <w:p w:rsidR="006219AE" w:rsidRPr="00440C15" w:rsidRDefault="006219AE" w:rsidP="006219AE">
      <w:pPr>
        <w:spacing w:after="0"/>
        <w:jc w:val="center"/>
        <w:rPr>
          <w:rFonts w:ascii="Times New Roman" w:hAnsi="Times New Roman"/>
          <w:b/>
          <w:color w:val="000000" w:themeColor="text1"/>
          <w:sz w:val="24"/>
          <w:szCs w:val="24"/>
        </w:rPr>
      </w:pPr>
      <w:r w:rsidRPr="00440C15">
        <w:rPr>
          <w:rFonts w:ascii="Times New Roman" w:hAnsi="Times New Roman"/>
          <w:b/>
          <w:color w:val="000000" w:themeColor="text1"/>
          <w:sz w:val="24"/>
          <w:szCs w:val="24"/>
        </w:rPr>
        <w:lastRenderedPageBreak/>
        <w:t>Cases Cited</w:t>
      </w:r>
    </w:p>
    <w:p w:rsidR="006219AE" w:rsidRPr="00440C15" w:rsidRDefault="006219AE" w:rsidP="006219AE">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Investment Dealers Association of Canada v. Babb, [2000] I.D.A.C.D. No. 39</w:t>
      </w:r>
    </w:p>
    <w:p w:rsidR="006219AE" w:rsidRPr="00440C15" w:rsidRDefault="006219AE" w:rsidP="006219AE">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Investment Dealers Association of Canada v. </w:t>
      </w:r>
      <w:proofErr w:type="spellStart"/>
      <w:r w:rsidRPr="00440C15">
        <w:rPr>
          <w:rFonts w:ascii="Times New Roman" w:hAnsi="Times New Roman"/>
          <w:color w:val="000000" w:themeColor="text1"/>
          <w:sz w:val="24"/>
          <w:szCs w:val="24"/>
        </w:rPr>
        <w:t>Balanko</w:t>
      </w:r>
      <w:proofErr w:type="spellEnd"/>
      <w:r w:rsidRPr="00440C15">
        <w:rPr>
          <w:rFonts w:ascii="Times New Roman" w:hAnsi="Times New Roman"/>
          <w:color w:val="000000" w:themeColor="text1"/>
          <w:sz w:val="24"/>
          <w:szCs w:val="24"/>
        </w:rPr>
        <w:t>, [2007] I.D.A.C.D. No. 10</w:t>
      </w:r>
    </w:p>
    <w:p w:rsidR="006219AE" w:rsidRPr="00440C15" w:rsidRDefault="006219AE" w:rsidP="006219AE">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Investment Dealers Association of Canada v. </w:t>
      </w:r>
      <w:proofErr w:type="spellStart"/>
      <w:r w:rsidRPr="00440C15">
        <w:rPr>
          <w:rFonts w:ascii="Times New Roman" w:hAnsi="Times New Roman"/>
          <w:color w:val="000000" w:themeColor="text1"/>
          <w:sz w:val="24"/>
          <w:szCs w:val="24"/>
        </w:rPr>
        <w:t>Latta</w:t>
      </w:r>
      <w:proofErr w:type="spellEnd"/>
      <w:r w:rsidRPr="00440C15">
        <w:rPr>
          <w:rFonts w:ascii="Times New Roman" w:hAnsi="Times New Roman"/>
          <w:color w:val="000000" w:themeColor="text1"/>
          <w:sz w:val="24"/>
          <w:szCs w:val="24"/>
        </w:rPr>
        <w:t>, [2004] I.D.A.C.D. No. 31</w:t>
      </w:r>
    </w:p>
    <w:p w:rsidR="006219AE" w:rsidRPr="00440C15" w:rsidRDefault="006219AE" w:rsidP="006219AE">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Investment Dealers Association of Canada v. </w:t>
      </w:r>
      <w:proofErr w:type="spellStart"/>
      <w:r w:rsidRPr="00440C15">
        <w:rPr>
          <w:rFonts w:ascii="Times New Roman" w:hAnsi="Times New Roman"/>
          <w:color w:val="000000" w:themeColor="text1"/>
          <w:sz w:val="24"/>
          <w:szCs w:val="24"/>
        </w:rPr>
        <w:t>Migirdic</w:t>
      </w:r>
      <w:proofErr w:type="spellEnd"/>
      <w:r w:rsidRPr="00440C15">
        <w:rPr>
          <w:rFonts w:ascii="Times New Roman" w:hAnsi="Times New Roman"/>
          <w:color w:val="000000" w:themeColor="text1"/>
          <w:sz w:val="24"/>
          <w:szCs w:val="24"/>
        </w:rPr>
        <w:t>, [2004] I.D.A.C.D. No. 34</w:t>
      </w:r>
    </w:p>
    <w:p w:rsidR="006219AE" w:rsidRPr="00440C15" w:rsidRDefault="006219AE" w:rsidP="006219AE">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Investment Dealers Association of Canada v. </w:t>
      </w:r>
      <w:proofErr w:type="spellStart"/>
      <w:r w:rsidRPr="00440C15">
        <w:rPr>
          <w:rFonts w:ascii="Times New Roman" w:hAnsi="Times New Roman"/>
          <w:color w:val="000000" w:themeColor="text1"/>
          <w:sz w:val="24"/>
          <w:szCs w:val="24"/>
        </w:rPr>
        <w:t>Schillaci</w:t>
      </w:r>
      <w:proofErr w:type="spellEnd"/>
      <w:r w:rsidRPr="00440C15">
        <w:rPr>
          <w:rFonts w:ascii="Times New Roman" w:hAnsi="Times New Roman"/>
          <w:color w:val="000000" w:themeColor="text1"/>
          <w:sz w:val="24"/>
          <w:szCs w:val="24"/>
        </w:rPr>
        <w:t>, [2007] I.D.A.C.D. No. 6</w:t>
      </w:r>
    </w:p>
    <w:p w:rsidR="006219AE" w:rsidRPr="00440C15" w:rsidRDefault="006219AE" w:rsidP="006219AE">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Investment Dealers Association of Canada v. </w:t>
      </w:r>
      <w:proofErr w:type="spellStart"/>
      <w:r w:rsidRPr="00440C15">
        <w:rPr>
          <w:rFonts w:ascii="Times New Roman" w:hAnsi="Times New Roman"/>
          <w:color w:val="000000" w:themeColor="text1"/>
          <w:sz w:val="24"/>
          <w:szCs w:val="24"/>
        </w:rPr>
        <w:t>Silcoff</w:t>
      </w:r>
      <w:proofErr w:type="spellEnd"/>
      <w:r w:rsidRPr="00440C15">
        <w:rPr>
          <w:rFonts w:ascii="Times New Roman" w:hAnsi="Times New Roman"/>
          <w:color w:val="000000" w:themeColor="text1"/>
          <w:sz w:val="24"/>
          <w:szCs w:val="24"/>
        </w:rPr>
        <w:t>, [2004] I.D.A.C.D. No. 24</w:t>
      </w:r>
    </w:p>
    <w:p w:rsidR="006219AE" w:rsidRPr="00440C15" w:rsidRDefault="006219AE" w:rsidP="006219AE">
      <w:pPr>
        <w:spacing w:after="0" w:line="240" w:lineRule="auto"/>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Investment Dealers Association of Canada v. </w:t>
      </w:r>
      <w:proofErr w:type="spellStart"/>
      <w:r w:rsidRPr="00440C15">
        <w:rPr>
          <w:rFonts w:ascii="Times New Roman" w:hAnsi="Times New Roman"/>
          <w:color w:val="000000" w:themeColor="text1"/>
          <w:sz w:val="24"/>
          <w:szCs w:val="24"/>
        </w:rPr>
        <w:t>Tebbut</w:t>
      </w:r>
      <w:proofErr w:type="spellEnd"/>
      <w:r w:rsidRPr="00440C15">
        <w:rPr>
          <w:rFonts w:ascii="Times New Roman" w:hAnsi="Times New Roman"/>
          <w:color w:val="000000" w:themeColor="text1"/>
          <w:sz w:val="24"/>
          <w:szCs w:val="24"/>
        </w:rPr>
        <w:t>, [1990] I.D.A.C.D. No. 9</w:t>
      </w:r>
    </w:p>
    <w:p w:rsidR="006219AE" w:rsidRPr="00440C15" w:rsidRDefault="006219AE" w:rsidP="006219AE">
      <w:pPr>
        <w:spacing w:after="0" w:line="240" w:lineRule="auto"/>
        <w:rPr>
          <w:rFonts w:ascii="Times New Roman" w:hAnsi="Times New Roman"/>
          <w:color w:val="000000" w:themeColor="text1"/>
          <w:sz w:val="24"/>
          <w:szCs w:val="24"/>
          <w:lang w:bidi="ar-SA"/>
        </w:rPr>
      </w:pPr>
    </w:p>
    <w:p w:rsidR="006219AE" w:rsidRPr="00440C15" w:rsidRDefault="006219AE" w:rsidP="006219AE">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Investment Dealers Association of Canada v. Xiao, [2004] I.D.A.C.D. No. 38</w:t>
      </w:r>
    </w:p>
    <w:p w:rsidR="006219AE" w:rsidRPr="00440C15" w:rsidRDefault="006219AE" w:rsidP="006219AE">
      <w:pPr>
        <w:spacing w:after="0"/>
        <w:rPr>
          <w:rFonts w:ascii="Times New Roman" w:hAnsi="Times New Roman"/>
          <w:color w:val="000000" w:themeColor="text1"/>
          <w:sz w:val="24"/>
          <w:szCs w:val="24"/>
        </w:rPr>
      </w:pPr>
      <w:r w:rsidRPr="00440C15">
        <w:rPr>
          <w:rFonts w:ascii="Times New Roman" w:hAnsi="Times New Roman"/>
          <w:color w:val="000000" w:themeColor="text1"/>
          <w:sz w:val="24"/>
          <w:szCs w:val="24"/>
        </w:rPr>
        <w:t xml:space="preserve">Investment Dealers Association of Canada v. </w:t>
      </w:r>
      <w:proofErr w:type="spellStart"/>
      <w:r w:rsidRPr="00440C15">
        <w:rPr>
          <w:rFonts w:ascii="Times New Roman" w:hAnsi="Times New Roman"/>
          <w:color w:val="000000" w:themeColor="text1"/>
          <w:sz w:val="24"/>
          <w:szCs w:val="24"/>
        </w:rPr>
        <w:t>Youden</w:t>
      </w:r>
      <w:proofErr w:type="spellEnd"/>
      <w:r w:rsidRPr="00440C15">
        <w:rPr>
          <w:rFonts w:ascii="Times New Roman" w:hAnsi="Times New Roman"/>
          <w:color w:val="000000" w:themeColor="text1"/>
          <w:sz w:val="24"/>
          <w:szCs w:val="24"/>
        </w:rPr>
        <w:t>, [2005] I.D.A.C.D. No. 52</w:t>
      </w:r>
    </w:p>
    <w:p w:rsidR="006219AE" w:rsidRPr="00440C15" w:rsidRDefault="006219AE" w:rsidP="006219AE">
      <w:pPr>
        <w:spacing w:after="0" w:line="240" w:lineRule="auto"/>
        <w:rPr>
          <w:rFonts w:ascii="Times New Roman" w:hAnsi="Times New Roman"/>
          <w:color w:val="000000" w:themeColor="text1"/>
          <w:sz w:val="24"/>
          <w:szCs w:val="24"/>
          <w:lang w:bidi="ar-SA"/>
        </w:rPr>
      </w:pPr>
    </w:p>
    <w:p w:rsidR="006219AE" w:rsidRPr="00440C15" w:rsidRDefault="006219AE" w:rsidP="006219AE">
      <w:pPr>
        <w:rPr>
          <w:rFonts w:ascii="Times New Roman" w:hAnsi="Times New Roman"/>
          <w:color w:val="000000" w:themeColor="text1"/>
          <w:sz w:val="24"/>
          <w:szCs w:val="24"/>
        </w:rPr>
      </w:pPr>
    </w:p>
    <w:p w:rsidR="006219AE" w:rsidRPr="00440C15" w:rsidRDefault="006219AE" w:rsidP="006219AE">
      <w:pPr>
        <w:rPr>
          <w:color w:val="000000" w:themeColor="text1"/>
        </w:rPr>
      </w:pPr>
    </w:p>
    <w:p w:rsidR="006219AE" w:rsidRPr="00440C15" w:rsidRDefault="006219AE" w:rsidP="006219AE">
      <w:pPr>
        <w:rPr>
          <w:rFonts w:ascii="Times New Roman" w:hAnsi="Times New Roman"/>
          <w:b/>
          <w:color w:val="000000" w:themeColor="text1"/>
          <w:sz w:val="24"/>
          <w:szCs w:val="24"/>
        </w:rPr>
      </w:pPr>
    </w:p>
    <w:p w:rsidR="00E023AA" w:rsidRPr="00440C15" w:rsidRDefault="00E023AA" w:rsidP="00DF1156">
      <w:pPr>
        <w:jc w:val="center"/>
        <w:rPr>
          <w:rFonts w:ascii="Times New Roman" w:hAnsi="Times New Roman"/>
          <w:b/>
          <w:color w:val="000000" w:themeColor="text1"/>
          <w:sz w:val="24"/>
          <w:szCs w:val="24"/>
        </w:rPr>
      </w:pPr>
    </w:p>
    <w:p w:rsidR="00E023AA" w:rsidRPr="00440C15" w:rsidRDefault="00E023AA" w:rsidP="00DF1156">
      <w:pPr>
        <w:jc w:val="center"/>
        <w:rPr>
          <w:rFonts w:ascii="Times New Roman" w:hAnsi="Times New Roman"/>
          <w:b/>
          <w:color w:val="000000" w:themeColor="text1"/>
          <w:sz w:val="24"/>
          <w:szCs w:val="24"/>
        </w:rPr>
      </w:pPr>
    </w:p>
    <w:p w:rsidR="00DF1156" w:rsidRPr="00440C15" w:rsidRDefault="00DF1156" w:rsidP="00DF1156">
      <w:pPr>
        <w:jc w:val="center"/>
        <w:rPr>
          <w:rFonts w:ascii="Times New Roman" w:hAnsi="Times New Roman"/>
          <w:b/>
          <w:color w:val="000000" w:themeColor="text1"/>
          <w:sz w:val="24"/>
          <w:szCs w:val="24"/>
        </w:rPr>
      </w:pPr>
    </w:p>
    <w:sectPr w:rsidR="00DF1156" w:rsidRPr="00440C15" w:rsidSect="00E4332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7C" w:rsidRDefault="00CC587C" w:rsidP="00457EE3">
      <w:pPr>
        <w:spacing w:after="0" w:line="240" w:lineRule="auto"/>
      </w:pPr>
      <w:r>
        <w:separator/>
      </w:r>
    </w:p>
  </w:endnote>
  <w:endnote w:type="continuationSeparator" w:id="0">
    <w:p w:rsidR="00CC587C" w:rsidRDefault="00CC587C" w:rsidP="0045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thGrap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75763"/>
      <w:docPartObj>
        <w:docPartGallery w:val="Page Numbers (Bottom of Page)"/>
        <w:docPartUnique/>
      </w:docPartObj>
    </w:sdtPr>
    <w:sdtEndPr/>
    <w:sdtContent>
      <w:p w:rsidR="002F7B83" w:rsidRDefault="002F7B83">
        <w:pPr>
          <w:pStyle w:val="Footer"/>
          <w:jc w:val="center"/>
        </w:pPr>
        <w:r>
          <w:fldChar w:fldCharType="begin"/>
        </w:r>
        <w:r>
          <w:instrText xml:space="preserve"> PAGE   \* MERGEFORMAT </w:instrText>
        </w:r>
        <w:r>
          <w:fldChar w:fldCharType="separate"/>
        </w:r>
        <w:r w:rsidR="00E249A9">
          <w:rPr>
            <w:noProof/>
          </w:rPr>
          <w:t>29</w:t>
        </w:r>
        <w:r>
          <w:rPr>
            <w:noProof/>
          </w:rPr>
          <w:fldChar w:fldCharType="end"/>
        </w:r>
      </w:p>
    </w:sdtContent>
  </w:sdt>
  <w:p w:rsidR="002F7B83" w:rsidRDefault="002F7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7C" w:rsidRDefault="00CC587C" w:rsidP="00457EE3">
      <w:pPr>
        <w:spacing w:after="0" w:line="240" w:lineRule="auto"/>
      </w:pPr>
      <w:r>
        <w:separator/>
      </w:r>
    </w:p>
  </w:footnote>
  <w:footnote w:type="continuationSeparator" w:id="0">
    <w:p w:rsidR="00CC587C" w:rsidRDefault="00CC587C" w:rsidP="00457EE3">
      <w:pPr>
        <w:spacing w:after="0" w:line="240" w:lineRule="auto"/>
      </w:pPr>
      <w:r>
        <w:continuationSeparator/>
      </w:r>
    </w:p>
  </w:footnote>
  <w:footnote w:id="1">
    <w:p w:rsidR="002F7B83" w:rsidRPr="00576A79" w:rsidRDefault="002F7B83">
      <w:pPr>
        <w:pStyle w:val="FootnoteText"/>
        <w:rPr>
          <w:rFonts w:ascii="Times New Roman" w:hAnsi="Times New Roman"/>
          <w:color w:val="000000" w:themeColor="text1"/>
        </w:rPr>
      </w:pPr>
      <w:r w:rsidRPr="00576A79">
        <w:rPr>
          <w:rStyle w:val="FootnoteReference"/>
          <w:rFonts w:ascii="Times New Roman" w:hAnsi="Times New Roman"/>
          <w:color w:val="000000" w:themeColor="text1"/>
        </w:rPr>
        <w:footnoteRef/>
      </w:r>
      <w:r w:rsidRPr="00576A79">
        <w:rPr>
          <w:rFonts w:ascii="Times New Roman" w:hAnsi="Times New Roman"/>
          <w:color w:val="000000" w:themeColor="text1"/>
        </w:rPr>
        <w:t xml:space="preserve"> In June of 2008, the IDA became the I</w:t>
      </w:r>
      <w:r w:rsidRPr="00576A79">
        <w:rPr>
          <w:rStyle w:val="Emphasis"/>
          <w:rFonts w:ascii="Times New Roman" w:hAnsi="Times New Roman"/>
          <w:i w:val="0"/>
          <w:color w:val="000000" w:themeColor="text1"/>
        </w:rPr>
        <w:t>nvestment Industry Regulatory Organization of Canada (IIROC).</w:t>
      </w:r>
    </w:p>
  </w:footnote>
  <w:footnote w:id="2">
    <w:p w:rsidR="002F7B83" w:rsidRPr="009779D5" w:rsidRDefault="002F7B83" w:rsidP="00BD2CF2">
      <w:pPr>
        <w:pStyle w:val="FootnoteText"/>
        <w:rPr>
          <w:rFonts w:ascii="Times New Roman" w:hAnsi="Times New Roman"/>
        </w:rPr>
      </w:pPr>
      <w:r w:rsidRPr="009779D5">
        <w:rPr>
          <w:rStyle w:val="FootnoteReference"/>
          <w:rFonts w:ascii="Times New Roman" w:hAnsi="Times New Roman"/>
        </w:rPr>
        <w:footnoteRef/>
      </w:r>
      <w:r w:rsidRPr="009779D5">
        <w:rPr>
          <w:rFonts w:ascii="Times New Roman" w:hAnsi="Times New Roman"/>
        </w:rPr>
        <w:t xml:space="preserve"> The values in the tables and figures for this section are shown in percentages.  </w:t>
      </w:r>
    </w:p>
  </w:footnote>
  <w:footnote w:id="3">
    <w:p w:rsidR="002F7B83" w:rsidRPr="00423445" w:rsidRDefault="002F7B83" w:rsidP="00457EE3">
      <w:pPr>
        <w:pStyle w:val="FootnoteText"/>
        <w:rPr>
          <w:rFonts w:ascii="Times New Roman" w:hAnsi="Times New Roman"/>
        </w:rPr>
      </w:pPr>
      <w:r w:rsidRPr="00423445">
        <w:rPr>
          <w:rStyle w:val="FootnoteReference"/>
          <w:rFonts w:ascii="Times New Roman" w:hAnsi="Times New Roman"/>
        </w:rPr>
        <w:footnoteRef/>
      </w:r>
      <w:r w:rsidRPr="00423445">
        <w:rPr>
          <w:rFonts w:ascii="Times New Roman" w:hAnsi="Times New Roman"/>
        </w:rPr>
        <w:t xml:space="preserve"> I split the time-interval starting from 1986, because the first case dealing with victims was in 1986. </w:t>
      </w:r>
    </w:p>
  </w:footnote>
  <w:footnote w:id="4">
    <w:p w:rsidR="002F7B83" w:rsidRPr="00423445" w:rsidRDefault="002F7B83" w:rsidP="00457EE3">
      <w:pPr>
        <w:pStyle w:val="FootnoteText"/>
        <w:rPr>
          <w:rFonts w:ascii="Times New Roman" w:hAnsi="Times New Roman"/>
        </w:rPr>
      </w:pPr>
      <w:r w:rsidRPr="00423445">
        <w:rPr>
          <w:rStyle w:val="FootnoteReference"/>
          <w:rFonts w:ascii="Times New Roman" w:hAnsi="Times New Roman"/>
        </w:rPr>
        <w:footnoteRef/>
      </w:r>
      <w:r w:rsidRPr="00423445">
        <w:rPr>
          <w:rFonts w:ascii="Times New Roman" w:hAnsi="Times New Roman"/>
        </w:rPr>
        <w:t xml:space="preserve"> These figures “r</w:t>
      </w:r>
      <w:r w:rsidRPr="00423445">
        <w:rPr>
          <w:rFonts w:ascii="Times New Roman" w:hAnsi="Times New Roman"/>
          <w:lang w:bidi="ar-SA"/>
        </w:rPr>
        <w:t xml:space="preserve">efer to the typical Canadian investor at the time of the </w:t>
      </w:r>
      <w:proofErr w:type="spellStart"/>
      <w:r w:rsidRPr="00423445">
        <w:rPr>
          <w:rFonts w:ascii="Times New Roman" w:hAnsi="Times New Roman"/>
          <w:lang w:bidi="ar-SA"/>
        </w:rPr>
        <w:t>Eron</w:t>
      </w:r>
      <w:proofErr w:type="spellEnd"/>
      <w:r w:rsidRPr="00423445">
        <w:rPr>
          <w:rFonts w:ascii="Times New Roman" w:hAnsi="Times New Roman"/>
          <w:lang w:bidi="ar-SA"/>
        </w:rPr>
        <w:t xml:space="preserve"> collapse” in 1997 (see Boyd, 2005: 12).</w:t>
      </w:r>
      <w:r w:rsidRPr="00423445">
        <w:rPr>
          <w:rFonts w:ascii="Times New Roman" w:hAnsi="Times New Roman"/>
          <w:sz w:val="15"/>
          <w:szCs w:val="15"/>
          <w:lang w:bidi="ar-SA"/>
        </w:rPr>
        <w:t xml:space="preserve"> </w:t>
      </w:r>
    </w:p>
  </w:footnote>
  <w:footnote w:id="5">
    <w:p w:rsidR="002F7B83" w:rsidRPr="00423445" w:rsidRDefault="002F7B83" w:rsidP="00457EE3">
      <w:pPr>
        <w:pStyle w:val="FootnoteText"/>
        <w:rPr>
          <w:rFonts w:ascii="Times New Roman" w:hAnsi="Times New Roman"/>
        </w:rPr>
      </w:pPr>
      <w:r w:rsidRPr="00423445">
        <w:rPr>
          <w:rStyle w:val="FootnoteReference"/>
          <w:rFonts w:ascii="Times New Roman" w:hAnsi="Times New Roman"/>
        </w:rPr>
        <w:footnoteRef/>
      </w:r>
      <w:r w:rsidRPr="00423445">
        <w:rPr>
          <w:rFonts w:ascii="Times New Roman" w:hAnsi="Times New Roman"/>
        </w:rPr>
        <w:t xml:space="preserve"> Statistics Canada does not include employees who are self-employed, unemployed or retired in their classification. Given that these attributes show up in the cases, I have included them in my analysis. </w:t>
      </w:r>
    </w:p>
  </w:footnote>
  <w:footnote w:id="6">
    <w:p w:rsidR="002F7B83" w:rsidRPr="00423445" w:rsidRDefault="002F7B83" w:rsidP="00457EE3">
      <w:pPr>
        <w:pStyle w:val="FootnoteText"/>
        <w:rPr>
          <w:rFonts w:ascii="Times New Roman" w:hAnsi="Times New Roman"/>
        </w:rPr>
      </w:pPr>
      <w:r w:rsidRPr="00423445">
        <w:rPr>
          <w:rStyle w:val="FootnoteReference"/>
          <w:rFonts w:ascii="Times New Roman" w:hAnsi="Times New Roman"/>
        </w:rPr>
        <w:footnoteRef/>
      </w:r>
      <w:r w:rsidRPr="00423445">
        <w:rPr>
          <w:rFonts w:ascii="Times New Roman" w:hAnsi="Times New Roman"/>
        </w:rPr>
        <w:t xml:space="preserve"> The data is limited by missing data and the fact that m</w:t>
      </w:r>
      <w:r w:rsidRPr="00423445">
        <w:rPr>
          <w:rFonts w:ascii="Times New Roman" w:hAnsi="Times New Roman"/>
          <w:lang w:val="en-CA"/>
        </w:rPr>
        <w:t>any</w:t>
      </w:r>
      <w:r w:rsidRPr="00423445">
        <w:rPr>
          <w:rFonts w:ascii="Times New Roman" w:hAnsi="Times New Roman"/>
        </w:rPr>
        <w:t xml:space="preserve"> security infractions are probably never discovered and </w:t>
      </w:r>
      <w:r w:rsidRPr="00423445">
        <w:rPr>
          <w:rFonts w:ascii="Times New Roman" w:hAnsi="Times New Roman"/>
          <w:lang w:val="en-CA"/>
        </w:rPr>
        <w:t>if they are</w:t>
      </w:r>
      <w:r w:rsidRPr="00423445">
        <w:rPr>
          <w:rFonts w:ascii="Times New Roman" w:hAnsi="Times New Roman"/>
        </w:rPr>
        <w:t xml:space="preserve"> discovered</w:t>
      </w:r>
      <w:r w:rsidRPr="00423445">
        <w:rPr>
          <w:rFonts w:ascii="Times New Roman" w:hAnsi="Times New Roman"/>
          <w:lang w:val="en-CA"/>
        </w:rPr>
        <w:t>, many are</w:t>
      </w:r>
      <w:r w:rsidRPr="00423445">
        <w:rPr>
          <w:rFonts w:ascii="Times New Roman" w:hAnsi="Times New Roman"/>
        </w:rPr>
        <w:t xml:space="preserve"> not complained about or processed through the IDA’s enforcement system.</w:t>
      </w:r>
    </w:p>
  </w:footnote>
  <w:footnote w:id="7">
    <w:p w:rsidR="002F7B83" w:rsidRPr="00423445" w:rsidRDefault="002F7B83" w:rsidP="00457EE3">
      <w:pPr>
        <w:pStyle w:val="FootnoteText"/>
        <w:rPr>
          <w:rFonts w:ascii="Times New Roman" w:hAnsi="Times New Roman"/>
        </w:rPr>
      </w:pPr>
      <w:r w:rsidRPr="00423445">
        <w:rPr>
          <w:rStyle w:val="FootnoteReference"/>
          <w:rFonts w:ascii="Times New Roman" w:hAnsi="Times New Roman"/>
        </w:rPr>
        <w:footnoteRef/>
      </w:r>
      <w:r w:rsidRPr="00423445">
        <w:rPr>
          <w:rFonts w:ascii="Times New Roman" w:hAnsi="Times New Roman"/>
        </w:rPr>
        <w:t xml:space="preserve"> Similarly, 17 percent of </w:t>
      </w:r>
      <w:proofErr w:type="spellStart"/>
      <w:r w:rsidRPr="00423445">
        <w:rPr>
          <w:rFonts w:ascii="Times New Roman" w:hAnsi="Times New Roman"/>
        </w:rPr>
        <w:t>Eron</w:t>
      </w:r>
      <w:proofErr w:type="spellEnd"/>
      <w:r w:rsidRPr="00423445">
        <w:rPr>
          <w:rFonts w:ascii="Times New Roman" w:hAnsi="Times New Roman"/>
        </w:rPr>
        <w:t xml:space="preserve"> investors classified themselves as being “sophisticated” investors (see Boyd, 2005: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33D7"/>
    <w:multiLevelType w:val="hybridMultilevel"/>
    <w:tmpl w:val="073AB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E3"/>
    <w:rsid w:val="00003AA1"/>
    <w:rsid w:val="000047E5"/>
    <w:rsid w:val="000144AD"/>
    <w:rsid w:val="000A6F5A"/>
    <w:rsid w:val="000B204F"/>
    <w:rsid w:val="000D4F01"/>
    <w:rsid w:val="000E73FF"/>
    <w:rsid w:val="00103571"/>
    <w:rsid w:val="00122CFF"/>
    <w:rsid w:val="00142048"/>
    <w:rsid w:val="001647CE"/>
    <w:rsid w:val="00167514"/>
    <w:rsid w:val="00183FE7"/>
    <w:rsid w:val="00192D4C"/>
    <w:rsid w:val="001A480A"/>
    <w:rsid w:val="001B46F2"/>
    <w:rsid w:val="001D09B4"/>
    <w:rsid w:val="00244C57"/>
    <w:rsid w:val="00293DB8"/>
    <w:rsid w:val="002A1926"/>
    <w:rsid w:val="002B6E49"/>
    <w:rsid w:val="002D5588"/>
    <w:rsid w:val="002E629D"/>
    <w:rsid w:val="002E72F6"/>
    <w:rsid w:val="002F7B83"/>
    <w:rsid w:val="0030443E"/>
    <w:rsid w:val="003401BD"/>
    <w:rsid w:val="003456CE"/>
    <w:rsid w:val="00346464"/>
    <w:rsid w:val="00364483"/>
    <w:rsid w:val="0038444F"/>
    <w:rsid w:val="003A03B2"/>
    <w:rsid w:val="003A22ED"/>
    <w:rsid w:val="003E27EC"/>
    <w:rsid w:val="003F6C55"/>
    <w:rsid w:val="00423445"/>
    <w:rsid w:val="00433E2F"/>
    <w:rsid w:val="00440C15"/>
    <w:rsid w:val="00447055"/>
    <w:rsid w:val="004505ED"/>
    <w:rsid w:val="00453408"/>
    <w:rsid w:val="00457EE3"/>
    <w:rsid w:val="00472670"/>
    <w:rsid w:val="00480E6B"/>
    <w:rsid w:val="004D0606"/>
    <w:rsid w:val="004F12E3"/>
    <w:rsid w:val="00517D62"/>
    <w:rsid w:val="00543360"/>
    <w:rsid w:val="0057270E"/>
    <w:rsid w:val="00576A79"/>
    <w:rsid w:val="00581B80"/>
    <w:rsid w:val="005821A8"/>
    <w:rsid w:val="00586CB5"/>
    <w:rsid w:val="005A264C"/>
    <w:rsid w:val="005D43DE"/>
    <w:rsid w:val="005E14AA"/>
    <w:rsid w:val="005F3ED3"/>
    <w:rsid w:val="00604E93"/>
    <w:rsid w:val="0061144D"/>
    <w:rsid w:val="006219AE"/>
    <w:rsid w:val="00680A6A"/>
    <w:rsid w:val="0068386D"/>
    <w:rsid w:val="0069136D"/>
    <w:rsid w:val="00694134"/>
    <w:rsid w:val="006C4232"/>
    <w:rsid w:val="006D6498"/>
    <w:rsid w:val="006F679C"/>
    <w:rsid w:val="00704CF7"/>
    <w:rsid w:val="007235E0"/>
    <w:rsid w:val="00726AF0"/>
    <w:rsid w:val="007364E3"/>
    <w:rsid w:val="00770976"/>
    <w:rsid w:val="0078435D"/>
    <w:rsid w:val="00805FDC"/>
    <w:rsid w:val="0088487F"/>
    <w:rsid w:val="008C3C72"/>
    <w:rsid w:val="0091503E"/>
    <w:rsid w:val="00944961"/>
    <w:rsid w:val="009779D5"/>
    <w:rsid w:val="00986A7D"/>
    <w:rsid w:val="00990565"/>
    <w:rsid w:val="009961A0"/>
    <w:rsid w:val="009A22C4"/>
    <w:rsid w:val="009B1B54"/>
    <w:rsid w:val="009B7C32"/>
    <w:rsid w:val="00A0173C"/>
    <w:rsid w:val="00AB7337"/>
    <w:rsid w:val="00AC4571"/>
    <w:rsid w:val="00B03401"/>
    <w:rsid w:val="00B423B7"/>
    <w:rsid w:val="00B73064"/>
    <w:rsid w:val="00B760AA"/>
    <w:rsid w:val="00B87672"/>
    <w:rsid w:val="00BB0F57"/>
    <w:rsid w:val="00BD2CF2"/>
    <w:rsid w:val="00BE28BE"/>
    <w:rsid w:val="00C04E5B"/>
    <w:rsid w:val="00C24686"/>
    <w:rsid w:val="00C55A2F"/>
    <w:rsid w:val="00C7010E"/>
    <w:rsid w:val="00C94BE5"/>
    <w:rsid w:val="00CA58FF"/>
    <w:rsid w:val="00CC587C"/>
    <w:rsid w:val="00CD5CA4"/>
    <w:rsid w:val="00D03D50"/>
    <w:rsid w:val="00D1593F"/>
    <w:rsid w:val="00D44EAD"/>
    <w:rsid w:val="00D80E6C"/>
    <w:rsid w:val="00D86116"/>
    <w:rsid w:val="00DB335D"/>
    <w:rsid w:val="00DC67E2"/>
    <w:rsid w:val="00DD39FA"/>
    <w:rsid w:val="00DD4F01"/>
    <w:rsid w:val="00DF1156"/>
    <w:rsid w:val="00E023AA"/>
    <w:rsid w:val="00E04C6B"/>
    <w:rsid w:val="00E2350A"/>
    <w:rsid w:val="00E249A9"/>
    <w:rsid w:val="00E4332A"/>
    <w:rsid w:val="00E85D13"/>
    <w:rsid w:val="00E86EA1"/>
    <w:rsid w:val="00ED1CBE"/>
    <w:rsid w:val="00EE2F32"/>
    <w:rsid w:val="00F03F5E"/>
    <w:rsid w:val="00F24C58"/>
    <w:rsid w:val="00F44594"/>
    <w:rsid w:val="00F57AFD"/>
    <w:rsid w:val="00F62772"/>
    <w:rsid w:val="00FB3944"/>
    <w:rsid w:val="00FC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E3"/>
    <w:pPr>
      <w:widowControl w:val="0"/>
      <w:spacing w:after="240"/>
    </w:pPr>
    <w:rPr>
      <w:rFonts w:ascii="Arial" w:eastAsia="Times New Roman" w:hAnsi="Arial" w:cs="Times New Roman"/>
      <w:lang w:bidi="en-US"/>
    </w:rPr>
  </w:style>
  <w:style w:type="paragraph" w:styleId="Heading2">
    <w:name w:val="heading 2"/>
    <w:basedOn w:val="Normal"/>
    <w:next w:val="Normal"/>
    <w:link w:val="Heading2Char"/>
    <w:unhideWhenUsed/>
    <w:qFormat/>
    <w:rsid w:val="00457EE3"/>
    <w:pPr>
      <w:keepNext/>
      <w:keepLines/>
      <w:spacing w:before="200" w:after="360" w:line="240" w:lineRule="auto"/>
      <w:outlineLvl w:val="1"/>
    </w:pPr>
    <w:rPr>
      <w:b/>
      <w:bCs/>
      <w:sz w:val="28"/>
      <w:szCs w:val="24"/>
    </w:rPr>
  </w:style>
  <w:style w:type="paragraph" w:styleId="Heading3">
    <w:name w:val="heading 3"/>
    <w:basedOn w:val="Normal"/>
    <w:next w:val="Normal"/>
    <w:link w:val="Heading3Char"/>
    <w:unhideWhenUsed/>
    <w:qFormat/>
    <w:rsid w:val="00457EE3"/>
    <w:pPr>
      <w:keepNext/>
      <w:keepLines/>
      <w:spacing w:before="200"/>
      <w:outlineLvl w:val="2"/>
    </w:pPr>
    <w:rPr>
      <w:b/>
      <w:bCs/>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EE3"/>
    <w:rPr>
      <w:rFonts w:ascii="Arial" w:eastAsia="Times New Roman" w:hAnsi="Arial" w:cs="Times New Roman"/>
      <w:b/>
      <w:bCs/>
      <w:sz w:val="28"/>
      <w:szCs w:val="24"/>
      <w:lang w:bidi="en-US"/>
    </w:rPr>
  </w:style>
  <w:style w:type="character" w:customStyle="1" w:styleId="Heading3Char">
    <w:name w:val="Heading 3 Char"/>
    <w:basedOn w:val="DefaultParagraphFont"/>
    <w:link w:val="Heading3"/>
    <w:rsid w:val="00457EE3"/>
    <w:rPr>
      <w:rFonts w:ascii="Arial" w:eastAsia="Times New Roman" w:hAnsi="Arial" w:cs="Times New Roman"/>
      <w:b/>
      <w:bCs/>
      <w:i/>
      <w:sz w:val="26"/>
      <w:szCs w:val="24"/>
      <w:lang w:bidi="en-US"/>
    </w:rPr>
  </w:style>
  <w:style w:type="paragraph" w:customStyle="1" w:styleId="3BodyQuoteSingleOrLast">
    <w:name w:val="3_Body_Quote_SingleOrLast"/>
    <w:basedOn w:val="Normal"/>
    <w:uiPriority w:val="99"/>
    <w:rsid w:val="00457EE3"/>
    <w:pPr>
      <w:widowControl/>
      <w:tabs>
        <w:tab w:val="left" w:pos="1080"/>
        <w:tab w:val="right" w:pos="7920"/>
      </w:tabs>
      <w:spacing w:after="480" w:line="240" w:lineRule="auto"/>
      <w:ind w:left="720" w:right="720"/>
    </w:pPr>
  </w:style>
  <w:style w:type="paragraph" w:customStyle="1" w:styleId="7FigureImagewithNoteOrCaptionAfter">
    <w:name w:val="7_FigureImage_withNoteOrCaptionAfter"/>
    <w:basedOn w:val="Normal"/>
    <w:uiPriority w:val="99"/>
    <w:rsid w:val="00457EE3"/>
    <w:pPr>
      <w:keepNext/>
      <w:keepLines/>
      <w:spacing w:after="120" w:line="240" w:lineRule="auto"/>
      <w:jc w:val="center"/>
    </w:pPr>
  </w:style>
  <w:style w:type="paragraph" w:customStyle="1" w:styleId="3BodyFlushLeft">
    <w:name w:val="3_Body_FlushLeft"/>
    <w:basedOn w:val="Normal"/>
    <w:next w:val="Normal"/>
    <w:uiPriority w:val="99"/>
    <w:rsid w:val="00457EE3"/>
    <w:pPr>
      <w:widowControl/>
    </w:pPr>
  </w:style>
  <w:style w:type="paragraph" w:styleId="FootnoteText">
    <w:name w:val="footnote text"/>
    <w:basedOn w:val="Normal"/>
    <w:link w:val="FootnoteTextChar"/>
    <w:uiPriority w:val="99"/>
    <w:semiHidden/>
    <w:rsid w:val="00457EE3"/>
    <w:pPr>
      <w:autoSpaceDE w:val="0"/>
      <w:autoSpaceDN w:val="0"/>
      <w:adjustRightInd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EE3"/>
    <w:rPr>
      <w:rFonts w:ascii="Arial" w:eastAsia="Times New Roman" w:hAnsi="Arial" w:cs="Times New Roman"/>
      <w:sz w:val="20"/>
      <w:szCs w:val="20"/>
      <w:lang w:bidi="en-US"/>
    </w:rPr>
  </w:style>
  <w:style w:type="character" w:styleId="FootnoteReference">
    <w:name w:val="footnote reference"/>
    <w:uiPriority w:val="99"/>
    <w:semiHidden/>
    <w:rsid w:val="00457EE3"/>
    <w:rPr>
      <w:vertAlign w:val="superscript"/>
    </w:rPr>
  </w:style>
  <w:style w:type="paragraph" w:styleId="Caption">
    <w:name w:val="caption"/>
    <w:basedOn w:val="Normal"/>
    <w:next w:val="Normal"/>
    <w:uiPriority w:val="35"/>
    <w:unhideWhenUsed/>
    <w:qFormat/>
    <w:rsid w:val="00457EE3"/>
    <w:pPr>
      <w:tabs>
        <w:tab w:val="left" w:pos="720"/>
      </w:tabs>
      <w:autoSpaceDE w:val="0"/>
      <w:autoSpaceDN w:val="0"/>
      <w:adjustRightInd w:val="0"/>
      <w:spacing w:line="240" w:lineRule="auto"/>
    </w:pPr>
    <w:rPr>
      <w:b/>
      <w:szCs w:val="24"/>
    </w:rPr>
  </w:style>
  <w:style w:type="paragraph" w:styleId="NormalIndent">
    <w:name w:val="Normal Indent"/>
    <w:basedOn w:val="Normal"/>
    <w:uiPriority w:val="99"/>
    <w:unhideWhenUsed/>
    <w:rsid w:val="00457EE3"/>
    <w:pPr>
      <w:widowControl/>
      <w:ind w:firstLine="720"/>
    </w:pPr>
  </w:style>
  <w:style w:type="paragraph" w:customStyle="1" w:styleId="7CaptionAutoNumberbelowFiguresImagesnoNoteAfter">
    <w:name w:val="7_CaptionAutoNumber_belowFiguresImages_noNoteAfter"/>
    <w:basedOn w:val="Normal"/>
    <w:rsid w:val="00457EE3"/>
    <w:pPr>
      <w:tabs>
        <w:tab w:val="left" w:pos="720"/>
      </w:tabs>
      <w:autoSpaceDE w:val="0"/>
      <w:autoSpaceDN w:val="0"/>
      <w:adjustRightInd w:val="0"/>
      <w:spacing w:after="360" w:line="240" w:lineRule="auto"/>
    </w:pPr>
    <w:rPr>
      <w:b/>
      <w:szCs w:val="24"/>
    </w:rPr>
  </w:style>
  <w:style w:type="character" w:customStyle="1" w:styleId="bold">
    <w:name w:val="bold"/>
    <w:basedOn w:val="DefaultParagraphFont"/>
    <w:rsid w:val="00457EE3"/>
  </w:style>
  <w:style w:type="character" w:customStyle="1" w:styleId="verdana">
    <w:name w:val="verdana"/>
    <w:basedOn w:val="DefaultParagraphFont"/>
    <w:rsid w:val="00457EE3"/>
  </w:style>
  <w:style w:type="character" w:customStyle="1" w:styleId="hit">
    <w:name w:val="hit"/>
    <w:basedOn w:val="DefaultParagraphFont"/>
    <w:rsid w:val="00457EE3"/>
  </w:style>
  <w:style w:type="paragraph" w:styleId="BalloonText">
    <w:name w:val="Balloon Text"/>
    <w:basedOn w:val="Normal"/>
    <w:link w:val="BalloonTextChar"/>
    <w:uiPriority w:val="99"/>
    <w:semiHidden/>
    <w:unhideWhenUsed/>
    <w:rsid w:val="0045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E3"/>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B034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401"/>
    <w:rPr>
      <w:rFonts w:ascii="Arial" w:eastAsia="Times New Roman" w:hAnsi="Arial" w:cs="Times New Roman"/>
      <w:lang w:bidi="en-US"/>
    </w:rPr>
  </w:style>
  <w:style w:type="paragraph" w:styleId="Footer">
    <w:name w:val="footer"/>
    <w:basedOn w:val="Normal"/>
    <w:link w:val="FooterChar"/>
    <w:uiPriority w:val="99"/>
    <w:unhideWhenUsed/>
    <w:rsid w:val="00B0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01"/>
    <w:rPr>
      <w:rFonts w:ascii="Arial" w:eastAsia="Times New Roman" w:hAnsi="Arial" w:cs="Times New Roman"/>
      <w:lang w:bidi="en-US"/>
    </w:rPr>
  </w:style>
  <w:style w:type="paragraph" w:styleId="ListParagraph">
    <w:name w:val="List Paragraph"/>
    <w:basedOn w:val="Normal"/>
    <w:uiPriority w:val="34"/>
    <w:qFormat/>
    <w:rsid w:val="00C24686"/>
    <w:pPr>
      <w:ind w:left="720"/>
      <w:contextualSpacing/>
    </w:pPr>
  </w:style>
  <w:style w:type="character" w:styleId="Emphasis">
    <w:name w:val="Emphasis"/>
    <w:basedOn w:val="DefaultParagraphFont"/>
    <w:uiPriority w:val="20"/>
    <w:qFormat/>
    <w:rsid w:val="00BD2CF2"/>
    <w:rPr>
      <w:i/>
      <w:iCs/>
    </w:rPr>
  </w:style>
  <w:style w:type="character" w:styleId="Strong">
    <w:name w:val="Strong"/>
    <w:uiPriority w:val="22"/>
    <w:qFormat/>
    <w:rsid w:val="000B204F"/>
    <w:rPr>
      <w:b/>
      <w:bCs/>
    </w:rPr>
  </w:style>
  <w:style w:type="character" w:customStyle="1" w:styleId="st">
    <w:name w:val="st"/>
    <w:basedOn w:val="DefaultParagraphFont"/>
    <w:rsid w:val="006219AE"/>
  </w:style>
  <w:style w:type="character" w:styleId="Hyperlink">
    <w:name w:val="Hyperlink"/>
    <w:basedOn w:val="DefaultParagraphFont"/>
    <w:uiPriority w:val="99"/>
    <w:semiHidden/>
    <w:unhideWhenUsed/>
    <w:rsid w:val="00DC67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E3"/>
    <w:pPr>
      <w:widowControl w:val="0"/>
      <w:spacing w:after="240"/>
    </w:pPr>
    <w:rPr>
      <w:rFonts w:ascii="Arial" w:eastAsia="Times New Roman" w:hAnsi="Arial" w:cs="Times New Roman"/>
      <w:lang w:bidi="en-US"/>
    </w:rPr>
  </w:style>
  <w:style w:type="paragraph" w:styleId="Heading2">
    <w:name w:val="heading 2"/>
    <w:basedOn w:val="Normal"/>
    <w:next w:val="Normal"/>
    <w:link w:val="Heading2Char"/>
    <w:unhideWhenUsed/>
    <w:qFormat/>
    <w:rsid w:val="00457EE3"/>
    <w:pPr>
      <w:keepNext/>
      <w:keepLines/>
      <w:spacing w:before="200" w:after="360" w:line="240" w:lineRule="auto"/>
      <w:outlineLvl w:val="1"/>
    </w:pPr>
    <w:rPr>
      <w:b/>
      <w:bCs/>
      <w:sz w:val="28"/>
      <w:szCs w:val="24"/>
    </w:rPr>
  </w:style>
  <w:style w:type="paragraph" w:styleId="Heading3">
    <w:name w:val="heading 3"/>
    <w:basedOn w:val="Normal"/>
    <w:next w:val="Normal"/>
    <w:link w:val="Heading3Char"/>
    <w:unhideWhenUsed/>
    <w:qFormat/>
    <w:rsid w:val="00457EE3"/>
    <w:pPr>
      <w:keepNext/>
      <w:keepLines/>
      <w:spacing w:before="200"/>
      <w:outlineLvl w:val="2"/>
    </w:pPr>
    <w:rPr>
      <w:b/>
      <w:bCs/>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EE3"/>
    <w:rPr>
      <w:rFonts w:ascii="Arial" w:eastAsia="Times New Roman" w:hAnsi="Arial" w:cs="Times New Roman"/>
      <w:b/>
      <w:bCs/>
      <w:sz w:val="28"/>
      <w:szCs w:val="24"/>
      <w:lang w:bidi="en-US"/>
    </w:rPr>
  </w:style>
  <w:style w:type="character" w:customStyle="1" w:styleId="Heading3Char">
    <w:name w:val="Heading 3 Char"/>
    <w:basedOn w:val="DefaultParagraphFont"/>
    <w:link w:val="Heading3"/>
    <w:rsid w:val="00457EE3"/>
    <w:rPr>
      <w:rFonts w:ascii="Arial" w:eastAsia="Times New Roman" w:hAnsi="Arial" w:cs="Times New Roman"/>
      <w:b/>
      <w:bCs/>
      <w:i/>
      <w:sz w:val="26"/>
      <w:szCs w:val="24"/>
      <w:lang w:bidi="en-US"/>
    </w:rPr>
  </w:style>
  <w:style w:type="paragraph" w:customStyle="1" w:styleId="3BodyQuoteSingleOrLast">
    <w:name w:val="3_Body_Quote_SingleOrLast"/>
    <w:basedOn w:val="Normal"/>
    <w:uiPriority w:val="99"/>
    <w:rsid w:val="00457EE3"/>
    <w:pPr>
      <w:widowControl/>
      <w:tabs>
        <w:tab w:val="left" w:pos="1080"/>
        <w:tab w:val="right" w:pos="7920"/>
      </w:tabs>
      <w:spacing w:after="480" w:line="240" w:lineRule="auto"/>
      <w:ind w:left="720" w:right="720"/>
    </w:pPr>
  </w:style>
  <w:style w:type="paragraph" w:customStyle="1" w:styleId="7FigureImagewithNoteOrCaptionAfter">
    <w:name w:val="7_FigureImage_withNoteOrCaptionAfter"/>
    <w:basedOn w:val="Normal"/>
    <w:uiPriority w:val="99"/>
    <w:rsid w:val="00457EE3"/>
    <w:pPr>
      <w:keepNext/>
      <w:keepLines/>
      <w:spacing w:after="120" w:line="240" w:lineRule="auto"/>
      <w:jc w:val="center"/>
    </w:pPr>
  </w:style>
  <w:style w:type="paragraph" w:customStyle="1" w:styleId="3BodyFlushLeft">
    <w:name w:val="3_Body_FlushLeft"/>
    <w:basedOn w:val="Normal"/>
    <w:next w:val="Normal"/>
    <w:uiPriority w:val="99"/>
    <w:rsid w:val="00457EE3"/>
    <w:pPr>
      <w:widowControl/>
    </w:pPr>
  </w:style>
  <w:style w:type="paragraph" w:styleId="FootnoteText">
    <w:name w:val="footnote text"/>
    <w:basedOn w:val="Normal"/>
    <w:link w:val="FootnoteTextChar"/>
    <w:uiPriority w:val="99"/>
    <w:semiHidden/>
    <w:rsid w:val="00457EE3"/>
    <w:pPr>
      <w:autoSpaceDE w:val="0"/>
      <w:autoSpaceDN w:val="0"/>
      <w:adjustRightInd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EE3"/>
    <w:rPr>
      <w:rFonts w:ascii="Arial" w:eastAsia="Times New Roman" w:hAnsi="Arial" w:cs="Times New Roman"/>
      <w:sz w:val="20"/>
      <w:szCs w:val="20"/>
      <w:lang w:bidi="en-US"/>
    </w:rPr>
  </w:style>
  <w:style w:type="character" w:styleId="FootnoteReference">
    <w:name w:val="footnote reference"/>
    <w:uiPriority w:val="99"/>
    <w:semiHidden/>
    <w:rsid w:val="00457EE3"/>
    <w:rPr>
      <w:vertAlign w:val="superscript"/>
    </w:rPr>
  </w:style>
  <w:style w:type="paragraph" w:styleId="Caption">
    <w:name w:val="caption"/>
    <w:basedOn w:val="Normal"/>
    <w:next w:val="Normal"/>
    <w:uiPriority w:val="35"/>
    <w:unhideWhenUsed/>
    <w:qFormat/>
    <w:rsid w:val="00457EE3"/>
    <w:pPr>
      <w:tabs>
        <w:tab w:val="left" w:pos="720"/>
      </w:tabs>
      <w:autoSpaceDE w:val="0"/>
      <w:autoSpaceDN w:val="0"/>
      <w:adjustRightInd w:val="0"/>
      <w:spacing w:line="240" w:lineRule="auto"/>
    </w:pPr>
    <w:rPr>
      <w:b/>
      <w:szCs w:val="24"/>
    </w:rPr>
  </w:style>
  <w:style w:type="paragraph" w:styleId="NormalIndent">
    <w:name w:val="Normal Indent"/>
    <w:basedOn w:val="Normal"/>
    <w:uiPriority w:val="99"/>
    <w:unhideWhenUsed/>
    <w:rsid w:val="00457EE3"/>
    <w:pPr>
      <w:widowControl/>
      <w:ind w:firstLine="720"/>
    </w:pPr>
  </w:style>
  <w:style w:type="paragraph" w:customStyle="1" w:styleId="7CaptionAutoNumberbelowFiguresImagesnoNoteAfter">
    <w:name w:val="7_CaptionAutoNumber_belowFiguresImages_noNoteAfter"/>
    <w:basedOn w:val="Normal"/>
    <w:rsid w:val="00457EE3"/>
    <w:pPr>
      <w:tabs>
        <w:tab w:val="left" w:pos="720"/>
      </w:tabs>
      <w:autoSpaceDE w:val="0"/>
      <w:autoSpaceDN w:val="0"/>
      <w:adjustRightInd w:val="0"/>
      <w:spacing w:after="360" w:line="240" w:lineRule="auto"/>
    </w:pPr>
    <w:rPr>
      <w:b/>
      <w:szCs w:val="24"/>
    </w:rPr>
  </w:style>
  <w:style w:type="character" w:customStyle="1" w:styleId="bold">
    <w:name w:val="bold"/>
    <w:basedOn w:val="DefaultParagraphFont"/>
    <w:rsid w:val="00457EE3"/>
  </w:style>
  <w:style w:type="character" w:customStyle="1" w:styleId="verdana">
    <w:name w:val="verdana"/>
    <w:basedOn w:val="DefaultParagraphFont"/>
    <w:rsid w:val="00457EE3"/>
  </w:style>
  <w:style w:type="character" w:customStyle="1" w:styleId="hit">
    <w:name w:val="hit"/>
    <w:basedOn w:val="DefaultParagraphFont"/>
    <w:rsid w:val="00457EE3"/>
  </w:style>
  <w:style w:type="paragraph" w:styleId="BalloonText">
    <w:name w:val="Balloon Text"/>
    <w:basedOn w:val="Normal"/>
    <w:link w:val="BalloonTextChar"/>
    <w:uiPriority w:val="99"/>
    <w:semiHidden/>
    <w:unhideWhenUsed/>
    <w:rsid w:val="0045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E3"/>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B034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401"/>
    <w:rPr>
      <w:rFonts w:ascii="Arial" w:eastAsia="Times New Roman" w:hAnsi="Arial" w:cs="Times New Roman"/>
      <w:lang w:bidi="en-US"/>
    </w:rPr>
  </w:style>
  <w:style w:type="paragraph" w:styleId="Footer">
    <w:name w:val="footer"/>
    <w:basedOn w:val="Normal"/>
    <w:link w:val="FooterChar"/>
    <w:uiPriority w:val="99"/>
    <w:unhideWhenUsed/>
    <w:rsid w:val="00B0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01"/>
    <w:rPr>
      <w:rFonts w:ascii="Arial" w:eastAsia="Times New Roman" w:hAnsi="Arial" w:cs="Times New Roman"/>
      <w:lang w:bidi="en-US"/>
    </w:rPr>
  </w:style>
  <w:style w:type="paragraph" w:styleId="ListParagraph">
    <w:name w:val="List Paragraph"/>
    <w:basedOn w:val="Normal"/>
    <w:uiPriority w:val="34"/>
    <w:qFormat/>
    <w:rsid w:val="00C24686"/>
    <w:pPr>
      <w:ind w:left="720"/>
      <w:contextualSpacing/>
    </w:pPr>
  </w:style>
  <w:style w:type="character" w:styleId="Emphasis">
    <w:name w:val="Emphasis"/>
    <w:basedOn w:val="DefaultParagraphFont"/>
    <w:uiPriority w:val="20"/>
    <w:qFormat/>
    <w:rsid w:val="00BD2CF2"/>
    <w:rPr>
      <w:i/>
      <w:iCs/>
    </w:rPr>
  </w:style>
  <w:style w:type="character" w:styleId="Strong">
    <w:name w:val="Strong"/>
    <w:uiPriority w:val="22"/>
    <w:qFormat/>
    <w:rsid w:val="000B204F"/>
    <w:rPr>
      <w:b/>
      <w:bCs/>
    </w:rPr>
  </w:style>
  <w:style w:type="character" w:customStyle="1" w:styleId="st">
    <w:name w:val="st"/>
    <w:basedOn w:val="DefaultParagraphFont"/>
    <w:rsid w:val="006219AE"/>
  </w:style>
  <w:style w:type="character" w:styleId="Hyperlink">
    <w:name w:val="Hyperlink"/>
    <w:basedOn w:val="DefaultParagraphFont"/>
    <w:uiPriority w:val="99"/>
    <w:semiHidden/>
    <w:unhideWhenUsed/>
    <w:rsid w:val="00DC6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dy\Desktop\Indy%20Old\IDA%20Cases\Victi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esktop\Victi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esktop\Victim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esktop\Victim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ndy\Desktop\Indy%20Old\IDA%20Cases\Victim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wner\Desktop\Victim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wner\Desktop\Victi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latin typeface="Times New Roman" pitchFamily="18" charset="0"/>
                <a:cs typeface="Times New Roman" pitchFamily="18" charset="0"/>
              </a:defRPr>
            </a:pPr>
            <a:r>
              <a:rPr lang="en-CA" sz="900" b="0">
                <a:latin typeface="Times New Roman" pitchFamily="18" charset="0"/>
                <a:cs typeface="Times New Roman" pitchFamily="18" charset="0"/>
              </a:rPr>
              <a:t>N=1167</a:t>
            </a:r>
          </a:p>
        </c:rich>
      </c:tx>
      <c:layout>
        <c:manualLayout>
          <c:xMode val="edge"/>
          <c:yMode val="edge"/>
          <c:x val="0.87362489063867388"/>
          <c:y val="0.87037037037037179"/>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Vicpercase!$G$5:$G$9</c:f>
              <c:strCache>
                <c:ptCount val="5"/>
                <c:pt idx="0">
                  <c:v>0-5 victims</c:v>
                </c:pt>
                <c:pt idx="1">
                  <c:v>6-10 victims</c:v>
                </c:pt>
                <c:pt idx="2">
                  <c:v>11-15 victims</c:v>
                </c:pt>
                <c:pt idx="3">
                  <c:v>16-20 victims</c:v>
                </c:pt>
                <c:pt idx="4">
                  <c:v>21-25 victims</c:v>
                </c:pt>
              </c:strCache>
            </c:strRef>
          </c:cat>
          <c:val>
            <c:numRef>
              <c:f>Vicpercase!$H$5:$H$9</c:f>
              <c:numCache>
                <c:formatCode>0.0%</c:formatCode>
                <c:ptCount val="5"/>
                <c:pt idx="0">
                  <c:v>0.876000000000001</c:v>
                </c:pt>
                <c:pt idx="1">
                  <c:v>9.300000000000018E-2</c:v>
                </c:pt>
                <c:pt idx="2">
                  <c:v>2.1000000000000012E-2</c:v>
                </c:pt>
                <c:pt idx="3">
                  <c:v>5.000000000000007E-3</c:v>
                </c:pt>
                <c:pt idx="4">
                  <c:v>5.000000000000007E-3</c:v>
                </c:pt>
              </c:numCache>
            </c:numRef>
          </c:val>
        </c:ser>
        <c:dLbls>
          <c:showLegendKey val="0"/>
          <c:showVal val="1"/>
          <c:showCatName val="0"/>
          <c:showSerName val="0"/>
          <c:showPercent val="0"/>
          <c:showBubbleSize val="0"/>
        </c:dLbls>
        <c:gapWidth val="150"/>
        <c:shape val="box"/>
        <c:axId val="125107584"/>
        <c:axId val="166990976"/>
        <c:axId val="0"/>
      </c:bar3DChart>
      <c:catAx>
        <c:axId val="125107584"/>
        <c:scaling>
          <c:orientation val="minMax"/>
        </c:scaling>
        <c:delete val="0"/>
        <c:axPos val="b"/>
        <c:majorTickMark val="none"/>
        <c:minorTickMark val="none"/>
        <c:tickLblPos val="nextTo"/>
        <c:crossAx val="166990976"/>
        <c:crosses val="autoZero"/>
        <c:auto val="1"/>
        <c:lblAlgn val="ctr"/>
        <c:lblOffset val="100"/>
        <c:noMultiLvlLbl val="0"/>
      </c:catAx>
      <c:valAx>
        <c:axId val="166990976"/>
        <c:scaling>
          <c:orientation val="minMax"/>
        </c:scaling>
        <c:delete val="1"/>
        <c:axPos val="l"/>
        <c:numFmt formatCode="0.0%" sourceLinked="1"/>
        <c:majorTickMark val="out"/>
        <c:minorTickMark val="none"/>
        <c:tickLblPos val="none"/>
        <c:crossAx val="125107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en-US" sz="1000" b="0"/>
              <a:t>N=304</a:t>
            </a:r>
          </a:p>
        </c:rich>
      </c:tx>
      <c:layout>
        <c:manualLayout>
          <c:xMode val="edge"/>
          <c:yMode val="edge"/>
          <c:x val="0.85743744531933508"/>
          <c:y val="0.81018518518518523"/>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'Occ&amp;Know'!$A$1:$A$13</c:f>
              <c:strCache>
                <c:ptCount val="13"/>
                <c:pt idx="0">
                  <c:v>Management</c:v>
                </c:pt>
                <c:pt idx="1">
                  <c:v>Business and Finance</c:v>
                </c:pt>
                <c:pt idx="2">
                  <c:v>Sciences</c:v>
                </c:pt>
                <c:pt idx="3">
                  <c:v>Health </c:v>
                </c:pt>
                <c:pt idx="4">
                  <c:v>Social Science, Edu, Govn't and Religion</c:v>
                </c:pt>
                <c:pt idx="5">
                  <c:v>Art, Culture, Recreation and Sport</c:v>
                </c:pt>
                <c:pt idx="6">
                  <c:v>Sales and Service </c:v>
                </c:pt>
                <c:pt idx="7">
                  <c:v>Trades, Transport and Equipment Operators </c:v>
                </c:pt>
                <c:pt idx="8">
                  <c:v>Primary Industry</c:v>
                </c:pt>
                <c:pt idx="9">
                  <c:v> Processing, Manufacturing and Utilities</c:v>
                </c:pt>
                <c:pt idx="10">
                  <c:v>Self-employed</c:v>
                </c:pt>
                <c:pt idx="11">
                  <c:v>Unemployed</c:v>
                </c:pt>
                <c:pt idx="12">
                  <c:v>Retired</c:v>
                </c:pt>
              </c:strCache>
            </c:strRef>
          </c:cat>
          <c:val>
            <c:numRef>
              <c:f>'Occ&amp;Know'!$B$1:$B$13</c:f>
              <c:numCache>
                <c:formatCode>0%</c:formatCode>
                <c:ptCount val="13"/>
                <c:pt idx="0">
                  <c:v>0.18000000000000022</c:v>
                </c:pt>
                <c:pt idx="1">
                  <c:v>9.0000000000000024E-2</c:v>
                </c:pt>
                <c:pt idx="2">
                  <c:v>3.0000000000000002E-2</c:v>
                </c:pt>
                <c:pt idx="3">
                  <c:v>9.0000000000000024E-2</c:v>
                </c:pt>
                <c:pt idx="4">
                  <c:v>6.0000000000000032E-2</c:v>
                </c:pt>
                <c:pt idx="5">
                  <c:v>1.0000000000000005E-2</c:v>
                </c:pt>
                <c:pt idx="6">
                  <c:v>8.0000000000000043E-2</c:v>
                </c:pt>
                <c:pt idx="7">
                  <c:v>3.0000000000000002E-2</c:v>
                </c:pt>
                <c:pt idx="8">
                  <c:v>2.0000000000000011E-2</c:v>
                </c:pt>
                <c:pt idx="9">
                  <c:v>0</c:v>
                </c:pt>
                <c:pt idx="10">
                  <c:v>7.0000000000000021E-2</c:v>
                </c:pt>
                <c:pt idx="11">
                  <c:v>4.0000000000000022E-2</c:v>
                </c:pt>
                <c:pt idx="12">
                  <c:v>0.30000000000000032</c:v>
                </c:pt>
              </c:numCache>
            </c:numRef>
          </c:val>
        </c:ser>
        <c:dLbls>
          <c:showLegendKey val="0"/>
          <c:showVal val="1"/>
          <c:showCatName val="0"/>
          <c:showSerName val="0"/>
          <c:showPercent val="0"/>
          <c:showBubbleSize val="0"/>
        </c:dLbls>
        <c:gapWidth val="150"/>
        <c:shape val="box"/>
        <c:axId val="167008128"/>
        <c:axId val="167009664"/>
        <c:axId val="0"/>
      </c:bar3DChart>
      <c:catAx>
        <c:axId val="167008128"/>
        <c:scaling>
          <c:orientation val="minMax"/>
        </c:scaling>
        <c:delete val="0"/>
        <c:axPos val="b"/>
        <c:majorTickMark val="none"/>
        <c:minorTickMark val="none"/>
        <c:tickLblPos val="nextTo"/>
        <c:crossAx val="167009664"/>
        <c:crosses val="autoZero"/>
        <c:auto val="1"/>
        <c:lblAlgn val="ctr"/>
        <c:lblOffset val="100"/>
        <c:noMultiLvlLbl val="0"/>
      </c:catAx>
      <c:valAx>
        <c:axId val="167009664"/>
        <c:scaling>
          <c:orientation val="minMax"/>
        </c:scaling>
        <c:delete val="1"/>
        <c:axPos val="l"/>
        <c:numFmt formatCode="0%" sourceLinked="1"/>
        <c:majorTickMark val="none"/>
        <c:minorTickMark val="none"/>
        <c:tickLblPos val="none"/>
        <c:crossAx val="1670081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00" b="0"/>
            </a:pPr>
            <a:r>
              <a:rPr lang="en-US" sz="1000" b="0"/>
              <a:t>N=264</a:t>
            </a:r>
          </a:p>
        </c:rich>
      </c:tx>
      <c:layout>
        <c:manualLayout>
          <c:xMode val="edge"/>
          <c:yMode val="edge"/>
          <c:x val="0.84632633420822401"/>
          <c:y val="0.8333333333333337"/>
        </c:manualLayout>
      </c:layout>
      <c:overlay val="0"/>
    </c:title>
    <c:autoTitleDeleted val="0"/>
    <c:plotArea>
      <c:layout/>
      <c:pieChart>
        <c:varyColors val="1"/>
        <c:ser>
          <c:idx val="0"/>
          <c:order val="0"/>
          <c:explosion val="4"/>
          <c:dLbls>
            <c:showLegendKey val="0"/>
            <c:showVal val="0"/>
            <c:showCatName val="1"/>
            <c:showSerName val="0"/>
            <c:showPercent val="1"/>
            <c:showBubbleSize val="0"/>
            <c:showLeaderLines val="1"/>
          </c:dLbls>
          <c:cat>
            <c:strRef>
              <c:f>'Occ&amp;Know'!$C$31:$C$33</c:f>
              <c:strCache>
                <c:ptCount val="3"/>
                <c:pt idx="0">
                  <c:v>Limited</c:v>
                </c:pt>
                <c:pt idx="1">
                  <c:v>Average</c:v>
                </c:pt>
                <c:pt idx="2">
                  <c:v>Sophisticated</c:v>
                </c:pt>
              </c:strCache>
            </c:strRef>
          </c:cat>
          <c:val>
            <c:numRef>
              <c:f>'Occ&amp;Know'!$D$31:$D$33</c:f>
              <c:numCache>
                <c:formatCode>General</c:formatCode>
                <c:ptCount val="3"/>
                <c:pt idx="0">
                  <c:v>63</c:v>
                </c:pt>
                <c:pt idx="1">
                  <c:v>22</c:v>
                </c:pt>
                <c:pt idx="2">
                  <c:v>16</c:v>
                </c:pt>
              </c:numCache>
            </c:numRef>
          </c:val>
        </c:ser>
        <c:ser>
          <c:idx val="1"/>
          <c:order val="1"/>
          <c:explosion val="25"/>
          <c:dLbls>
            <c:showLegendKey val="0"/>
            <c:showVal val="0"/>
            <c:showCatName val="1"/>
            <c:showSerName val="0"/>
            <c:showPercent val="1"/>
            <c:showBubbleSize val="0"/>
            <c:showLeaderLines val="1"/>
          </c:dLbls>
          <c:cat>
            <c:strRef>
              <c:f>'Occ&amp;Know'!$C$31:$C$33</c:f>
              <c:strCache>
                <c:ptCount val="3"/>
                <c:pt idx="0">
                  <c:v>Limited</c:v>
                </c:pt>
                <c:pt idx="1">
                  <c:v>Average</c:v>
                </c:pt>
                <c:pt idx="2">
                  <c:v>Sophisticated</c:v>
                </c:pt>
              </c:strCache>
            </c:strRef>
          </c:cat>
          <c:val>
            <c:numRef>
              <c:f>'Occ&amp;Know'!$E$31:$E$33</c:f>
              <c:numCache>
                <c:formatCode>General</c:formatCode>
                <c:ptCount val="3"/>
                <c:pt idx="0">
                  <c:v>63</c:v>
                </c:pt>
                <c:pt idx="1">
                  <c:v>22</c:v>
                </c:pt>
                <c:pt idx="2">
                  <c:v>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en-US" sz="1000" b="0"/>
              <a:t>N=641</a:t>
            </a:r>
          </a:p>
        </c:rich>
      </c:tx>
      <c:layout>
        <c:manualLayout>
          <c:xMode val="edge"/>
          <c:yMode val="edge"/>
          <c:x val="0.83521522309711282"/>
          <c:y val="0.8611111111111116"/>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Taccount!$A$2:$A$5</c:f>
              <c:strCache>
                <c:ptCount val="4"/>
                <c:pt idx="0">
                  <c:v>RRIF</c:v>
                </c:pt>
                <c:pt idx="1">
                  <c:v>RRSP</c:v>
                </c:pt>
                <c:pt idx="2">
                  <c:v>Cash</c:v>
                </c:pt>
                <c:pt idx="3">
                  <c:v>Margin</c:v>
                </c:pt>
              </c:strCache>
            </c:strRef>
          </c:cat>
          <c:val>
            <c:numRef>
              <c:f>Taccount!$B$2:$B$5</c:f>
              <c:numCache>
                <c:formatCode>0%</c:formatCode>
                <c:ptCount val="4"/>
                <c:pt idx="0">
                  <c:v>3.0000000000000002E-2</c:v>
                </c:pt>
                <c:pt idx="1">
                  <c:v>0.27</c:v>
                </c:pt>
                <c:pt idx="2">
                  <c:v>0.30000000000000032</c:v>
                </c:pt>
                <c:pt idx="3">
                  <c:v>0.41000000000000031</c:v>
                </c:pt>
              </c:numCache>
            </c:numRef>
          </c:val>
        </c:ser>
        <c:dLbls>
          <c:showLegendKey val="0"/>
          <c:showVal val="1"/>
          <c:showCatName val="0"/>
          <c:showSerName val="0"/>
          <c:showPercent val="0"/>
          <c:showBubbleSize val="0"/>
        </c:dLbls>
        <c:gapWidth val="150"/>
        <c:shape val="box"/>
        <c:axId val="93932928"/>
        <c:axId val="174023808"/>
        <c:axId val="0"/>
      </c:bar3DChart>
      <c:catAx>
        <c:axId val="93932928"/>
        <c:scaling>
          <c:orientation val="minMax"/>
        </c:scaling>
        <c:delete val="0"/>
        <c:axPos val="l"/>
        <c:majorTickMark val="none"/>
        <c:minorTickMark val="none"/>
        <c:tickLblPos val="nextTo"/>
        <c:crossAx val="174023808"/>
        <c:crosses val="autoZero"/>
        <c:auto val="1"/>
        <c:lblAlgn val="ctr"/>
        <c:lblOffset val="100"/>
        <c:noMultiLvlLbl val="0"/>
      </c:catAx>
      <c:valAx>
        <c:axId val="174023808"/>
        <c:scaling>
          <c:orientation val="minMax"/>
        </c:scaling>
        <c:delete val="1"/>
        <c:axPos val="b"/>
        <c:numFmt formatCode="0%" sourceLinked="1"/>
        <c:majorTickMark val="none"/>
        <c:minorTickMark val="none"/>
        <c:tickLblPos val="none"/>
        <c:crossAx val="939329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en-US" sz="1000" b="0"/>
              <a:t>N=560</a:t>
            </a:r>
          </a:p>
        </c:rich>
      </c:tx>
      <c:layout>
        <c:manualLayout>
          <c:xMode val="edge"/>
          <c:yMode val="edge"/>
          <c:x val="0.88407152230971164"/>
          <c:y val="0.8731574627007662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objectives!$I$9:$I$13</c:f>
              <c:strCache>
                <c:ptCount val="5"/>
                <c:pt idx="0">
                  <c:v>Income</c:v>
                </c:pt>
                <c:pt idx="1">
                  <c:v>Long-term growth</c:v>
                </c:pt>
                <c:pt idx="2">
                  <c:v>Short-term growth</c:v>
                </c:pt>
                <c:pt idx="3">
                  <c:v>Speculative</c:v>
                </c:pt>
                <c:pt idx="4">
                  <c:v>Safety</c:v>
                </c:pt>
              </c:strCache>
            </c:strRef>
          </c:cat>
          <c:val>
            <c:numRef>
              <c:f>objectives!$J$9:$J$13</c:f>
              <c:numCache>
                <c:formatCode>0%</c:formatCode>
                <c:ptCount val="5"/>
                <c:pt idx="0">
                  <c:v>0.41000000000000031</c:v>
                </c:pt>
                <c:pt idx="1">
                  <c:v>0.30000000000000032</c:v>
                </c:pt>
                <c:pt idx="2">
                  <c:v>0.12000000000000002</c:v>
                </c:pt>
                <c:pt idx="3">
                  <c:v>0.11</c:v>
                </c:pt>
                <c:pt idx="4">
                  <c:v>6.0000000000000032E-2</c:v>
                </c:pt>
              </c:numCache>
            </c:numRef>
          </c:val>
        </c:ser>
        <c:dLbls>
          <c:showLegendKey val="0"/>
          <c:showVal val="1"/>
          <c:showCatName val="0"/>
          <c:showSerName val="0"/>
          <c:showPercent val="0"/>
          <c:showBubbleSize val="0"/>
        </c:dLbls>
        <c:gapWidth val="150"/>
        <c:shape val="box"/>
        <c:axId val="174040960"/>
        <c:axId val="174042496"/>
        <c:axId val="0"/>
      </c:bar3DChart>
      <c:catAx>
        <c:axId val="174040960"/>
        <c:scaling>
          <c:orientation val="minMax"/>
        </c:scaling>
        <c:delete val="0"/>
        <c:axPos val="b"/>
        <c:majorTickMark val="none"/>
        <c:minorTickMark val="none"/>
        <c:tickLblPos val="nextTo"/>
        <c:crossAx val="174042496"/>
        <c:crosses val="autoZero"/>
        <c:auto val="1"/>
        <c:lblAlgn val="ctr"/>
        <c:lblOffset val="100"/>
        <c:noMultiLvlLbl val="0"/>
      </c:catAx>
      <c:valAx>
        <c:axId val="174042496"/>
        <c:scaling>
          <c:orientation val="minMax"/>
        </c:scaling>
        <c:delete val="1"/>
        <c:axPos val="l"/>
        <c:numFmt formatCode="0%" sourceLinked="1"/>
        <c:majorTickMark val="out"/>
        <c:minorTickMark val="none"/>
        <c:tickLblPos val="none"/>
        <c:crossAx val="1740409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en-US" sz="1000" b="0"/>
              <a:t>N=497</a:t>
            </a:r>
          </a:p>
        </c:rich>
      </c:tx>
      <c:layout>
        <c:manualLayout>
          <c:xMode val="edge"/>
          <c:yMode val="edge"/>
          <c:x val="0.90501806839362453"/>
          <c:y val="0.89483065953654184"/>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monetary!$A$26:$A$32</c:f>
              <c:strCache>
                <c:ptCount val="7"/>
                <c:pt idx="0">
                  <c:v>Under $25,000</c:v>
                </c:pt>
                <c:pt idx="1">
                  <c:v>$25,000 to under $50,000</c:v>
                </c:pt>
                <c:pt idx="2">
                  <c:v>$50,000 to under $75,000</c:v>
                </c:pt>
                <c:pt idx="3">
                  <c:v>$75,000 to under $100,000</c:v>
                </c:pt>
                <c:pt idx="4">
                  <c:v>$100,000 to under $150,000</c:v>
                </c:pt>
                <c:pt idx="5">
                  <c:v>$150,000 to under $200,000</c:v>
                </c:pt>
                <c:pt idx="6">
                  <c:v>$200,000 and over</c:v>
                </c:pt>
              </c:strCache>
            </c:strRef>
          </c:cat>
          <c:val>
            <c:numRef>
              <c:f>monetary!$B$26:$B$32</c:f>
              <c:numCache>
                <c:formatCode>0%</c:formatCode>
                <c:ptCount val="7"/>
                <c:pt idx="0">
                  <c:v>0.41000000000000031</c:v>
                </c:pt>
                <c:pt idx="1">
                  <c:v>0.19</c:v>
                </c:pt>
                <c:pt idx="2">
                  <c:v>0.13</c:v>
                </c:pt>
                <c:pt idx="3">
                  <c:v>0.05</c:v>
                </c:pt>
                <c:pt idx="4">
                  <c:v>8.0000000000000043E-2</c:v>
                </c:pt>
                <c:pt idx="5">
                  <c:v>0.05</c:v>
                </c:pt>
                <c:pt idx="6">
                  <c:v>9.0000000000000024E-2</c:v>
                </c:pt>
              </c:numCache>
            </c:numRef>
          </c:val>
        </c:ser>
        <c:dLbls>
          <c:showLegendKey val="0"/>
          <c:showVal val="1"/>
          <c:showCatName val="0"/>
          <c:showSerName val="0"/>
          <c:showPercent val="0"/>
          <c:showBubbleSize val="0"/>
        </c:dLbls>
        <c:gapWidth val="150"/>
        <c:shape val="box"/>
        <c:axId val="174068096"/>
        <c:axId val="174069632"/>
        <c:axId val="0"/>
      </c:bar3DChart>
      <c:catAx>
        <c:axId val="174068096"/>
        <c:scaling>
          <c:orientation val="minMax"/>
        </c:scaling>
        <c:delete val="0"/>
        <c:axPos val="b"/>
        <c:majorTickMark val="none"/>
        <c:minorTickMark val="none"/>
        <c:tickLblPos val="nextTo"/>
        <c:crossAx val="174069632"/>
        <c:crosses val="autoZero"/>
        <c:auto val="1"/>
        <c:lblAlgn val="ctr"/>
        <c:lblOffset val="100"/>
        <c:noMultiLvlLbl val="0"/>
      </c:catAx>
      <c:valAx>
        <c:axId val="174069632"/>
        <c:scaling>
          <c:orientation val="minMax"/>
        </c:scaling>
        <c:delete val="1"/>
        <c:axPos val="l"/>
        <c:numFmt formatCode="0%" sourceLinked="1"/>
        <c:majorTickMark val="out"/>
        <c:minorTickMark val="none"/>
        <c:tickLblPos val="none"/>
        <c:crossAx val="1740680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00" b="0"/>
            </a:pPr>
            <a:r>
              <a:rPr lang="en-US" sz="1000" b="0"/>
              <a:t>N</a:t>
            </a:r>
            <a:r>
              <a:rPr lang="en-US" sz="1000" b="0" baseline="0"/>
              <a:t> = 182</a:t>
            </a:r>
            <a:endParaRPr lang="en-US" sz="1000" b="0"/>
          </a:p>
        </c:rich>
      </c:tx>
      <c:layout>
        <c:manualLayout>
          <c:xMode val="edge"/>
          <c:yMode val="edge"/>
          <c:x val="0.86148063250127915"/>
          <c:y val="0.83086053412462912"/>
        </c:manualLayout>
      </c:layout>
      <c:overlay val="0"/>
    </c:title>
    <c:autoTitleDeleted val="0"/>
    <c:plotArea>
      <c:layout/>
      <c:pieChart>
        <c:varyColors val="1"/>
        <c:ser>
          <c:idx val="0"/>
          <c:order val="0"/>
          <c:dPt>
            <c:idx val="0"/>
            <c:bubble3D val="0"/>
            <c:explosion val="6"/>
          </c:dPt>
          <c:dPt>
            <c:idx val="1"/>
            <c:bubble3D val="0"/>
            <c:explosion val="6"/>
          </c:dPt>
          <c:dLbls>
            <c:showLegendKey val="0"/>
            <c:showVal val="0"/>
            <c:showCatName val="1"/>
            <c:showSerName val="0"/>
            <c:showPercent val="1"/>
            <c:showBubbleSize val="0"/>
            <c:showLeaderLines val="1"/>
          </c:dLbls>
          <c:cat>
            <c:strRef>
              <c:f>Relatshi!$A$2:$A$4</c:f>
              <c:strCache>
                <c:ptCount val="3"/>
                <c:pt idx="0">
                  <c:v>Family</c:v>
                </c:pt>
                <c:pt idx="1">
                  <c:v>Friends</c:v>
                </c:pt>
                <c:pt idx="2">
                  <c:v>Acquaintance</c:v>
                </c:pt>
              </c:strCache>
            </c:strRef>
          </c:cat>
          <c:val>
            <c:numRef>
              <c:f>Relatshi!$B$2:$B$4</c:f>
              <c:numCache>
                <c:formatCode>General</c:formatCode>
                <c:ptCount val="3"/>
                <c:pt idx="0">
                  <c:v>40</c:v>
                </c:pt>
                <c:pt idx="1">
                  <c:v>23</c:v>
                </c:pt>
                <c:pt idx="2">
                  <c:v>37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8345D-D7F0-459F-97DA-88C3EA4D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6933</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46365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2014-03-18T19:02:00Z</cp:lastPrinted>
  <dcterms:created xsi:type="dcterms:W3CDTF">2015-02-02T15:54:00Z</dcterms:created>
  <dcterms:modified xsi:type="dcterms:W3CDTF">2015-02-02T15:54:00Z</dcterms:modified>
</cp:coreProperties>
</file>