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F3" w:rsidRDefault="00A031F0" w:rsidP="00A031F0">
      <w:pPr>
        <w:spacing w:after="0" w:line="480" w:lineRule="auto"/>
        <w:rPr>
          <w:rFonts w:ascii="Arial" w:hAnsi="Arial" w:cs="Arial"/>
          <w:b/>
        </w:rPr>
      </w:pPr>
      <w:r w:rsidRPr="005C79D5">
        <w:rPr>
          <w:rFonts w:ascii="Arial" w:hAnsi="Arial" w:cs="Arial"/>
          <w:b/>
        </w:rPr>
        <w:t>Engendering confidence in the financial system – challenges and observations</w:t>
      </w:r>
    </w:p>
    <w:p w:rsidR="004C4299" w:rsidRDefault="004C4299" w:rsidP="00A031F0">
      <w:pPr>
        <w:spacing w:after="0" w:line="480" w:lineRule="auto"/>
        <w:rPr>
          <w:rFonts w:ascii="Arial" w:hAnsi="Arial" w:cs="Arial"/>
          <w:b/>
        </w:rPr>
      </w:pPr>
      <w:r>
        <w:rPr>
          <w:rFonts w:ascii="Arial" w:hAnsi="Arial" w:cs="Arial"/>
          <w:b/>
        </w:rPr>
        <w:t>Professor Jackie Harvey</w:t>
      </w:r>
    </w:p>
    <w:p w:rsidR="004C4299" w:rsidRDefault="004C4299" w:rsidP="00A031F0">
      <w:pPr>
        <w:spacing w:after="0" w:line="480" w:lineRule="auto"/>
        <w:rPr>
          <w:rFonts w:ascii="Arial" w:hAnsi="Arial" w:cs="Arial"/>
          <w:b/>
        </w:rPr>
      </w:pPr>
      <w:r>
        <w:rPr>
          <w:rFonts w:ascii="Arial" w:hAnsi="Arial" w:cs="Arial"/>
          <w:b/>
        </w:rPr>
        <w:t>Newcastle Business School</w:t>
      </w:r>
    </w:p>
    <w:p w:rsidR="004C4299" w:rsidRPr="005C79D5" w:rsidRDefault="004C4299" w:rsidP="00A031F0">
      <w:pPr>
        <w:spacing w:after="0" w:line="480" w:lineRule="auto"/>
        <w:rPr>
          <w:rFonts w:ascii="Arial" w:hAnsi="Arial" w:cs="Arial"/>
          <w:b/>
        </w:rPr>
      </w:pPr>
      <w:r>
        <w:rPr>
          <w:rFonts w:ascii="Arial" w:hAnsi="Arial" w:cs="Arial"/>
          <w:b/>
        </w:rPr>
        <w:t>Northumbria University</w:t>
      </w:r>
    </w:p>
    <w:p w:rsidR="00B37A41" w:rsidRPr="005C79D5" w:rsidRDefault="00B37A41" w:rsidP="00A031F0">
      <w:pPr>
        <w:spacing w:after="0" w:line="480" w:lineRule="auto"/>
        <w:rPr>
          <w:rFonts w:ascii="Arial" w:hAnsi="Arial" w:cs="Arial"/>
          <w:b/>
        </w:rPr>
      </w:pPr>
    </w:p>
    <w:p w:rsidR="00B37A41" w:rsidRDefault="00B37A41" w:rsidP="00A031F0">
      <w:pPr>
        <w:spacing w:after="0" w:line="480" w:lineRule="auto"/>
        <w:rPr>
          <w:rFonts w:ascii="Arial" w:hAnsi="Arial" w:cs="Arial"/>
          <w:b/>
        </w:rPr>
      </w:pPr>
      <w:r w:rsidRPr="005C79D5">
        <w:rPr>
          <w:rFonts w:ascii="Arial" w:hAnsi="Arial" w:cs="Arial"/>
          <w:b/>
        </w:rPr>
        <w:t>Introduction and overview</w:t>
      </w:r>
    </w:p>
    <w:p w:rsidR="0028150B" w:rsidRPr="005C79D5" w:rsidRDefault="0028150B" w:rsidP="00A031F0">
      <w:pPr>
        <w:spacing w:after="0" w:line="480" w:lineRule="auto"/>
        <w:rPr>
          <w:rFonts w:ascii="Arial" w:hAnsi="Arial" w:cs="Arial"/>
          <w:b/>
        </w:rPr>
      </w:pPr>
    </w:p>
    <w:p w:rsidR="00D93715" w:rsidRDefault="00581924" w:rsidP="00D93715">
      <w:pPr>
        <w:spacing w:after="0" w:line="480" w:lineRule="auto"/>
        <w:rPr>
          <w:rFonts w:ascii="Arial" w:hAnsi="Arial" w:cs="Arial"/>
        </w:rPr>
      </w:pPr>
      <w:r w:rsidRPr="005C79D5">
        <w:rPr>
          <w:rFonts w:ascii="Arial" w:hAnsi="Arial" w:cs="Arial"/>
        </w:rPr>
        <w:t xml:space="preserve">Two </w:t>
      </w:r>
      <w:r w:rsidR="003F0E3A">
        <w:rPr>
          <w:rFonts w:ascii="Arial" w:hAnsi="Arial" w:cs="Arial"/>
        </w:rPr>
        <w:t>words -</w:t>
      </w:r>
      <w:r w:rsidRPr="005C79D5">
        <w:rPr>
          <w:rFonts w:ascii="Arial" w:hAnsi="Arial" w:cs="Arial"/>
        </w:rPr>
        <w:t xml:space="preserve"> </w:t>
      </w:r>
      <w:r w:rsidR="004C4299" w:rsidRPr="004C4299">
        <w:rPr>
          <w:rFonts w:ascii="Arial" w:hAnsi="Arial" w:cs="Arial"/>
          <w:i/>
        </w:rPr>
        <w:t>trust</w:t>
      </w:r>
      <w:r w:rsidR="004C4299">
        <w:rPr>
          <w:rFonts w:ascii="Arial" w:hAnsi="Arial" w:cs="Arial"/>
        </w:rPr>
        <w:t xml:space="preserve"> and </w:t>
      </w:r>
      <w:r w:rsidR="004C4299" w:rsidRPr="004C4299">
        <w:rPr>
          <w:rFonts w:ascii="Arial" w:hAnsi="Arial" w:cs="Arial"/>
          <w:i/>
        </w:rPr>
        <w:t>integrity</w:t>
      </w:r>
      <w:r w:rsidR="004C4299">
        <w:rPr>
          <w:rFonts w:ascii="Arial" w:hAnsi="Arial" w:cs="Arial"/>
        </w:rPr>
        <w:t xml:space="preserve"> </w:t>
      </w:r>
      <w:r w:rsidR="003F0E3A">
        <w:rPr>
          <w:rFonts w:ascii="Arial" w:hAnsi="Arial" w:cs="Arial"/>
        </w:rPr>
        <w:t xml:space="preserve">- </w:t>
      </w:r>
      <w:r w:rsidRPr="005C79D5">
        <w:rPr>
          <w:rFonts w:ascii="Arial" w:hAnsi="Arial" w:cs="Arial"/>
        </w:rPr>
        <w:t xml:space="preserve">more than any other underpin the operations of the London financial markets </w:t>
      </w:r>
      <w:r w:rsidR="00D93715">
        <w:rPr>
          <w:rFonts w:ascii="Arial" w:hAnsi="Arial" w:cs="Arial"/>
        </w:rPr>
        <w:t>as an essential</w:t>
      </w:r>
      <w:r w:rsidRPr="005C79D5">
        <w:rPr>
          <w:rFonts w:ascii="Arial" w:hAnsi="Arial" w:cs="Arial"/>
        </w:rPr>
        <w:t xml:space="preserve"> precondition to the creation of a climate of </w:t>
      </w:r>
      <w:r w:rsidR="004C4299">
        <w:rPr>
          <w:rFonts w:ascii="Arial" w:hAnsi="Arial" w:cs="Arial"/>
        </w:rPr>
        <w:t>confidence</w:t>
      </w:r>
      <w:r w:rsidRPr="005C79D5">
        <w:rPr>
          <w:rFonts w:ascii="Arial" w:hAnsi="Arial" w:cs="Arial"/>
        </w:rPr>
        <w:t xml:space="preserve">.  </w:t>
      </w:r>
      <w:r w:rsidR="00D93715">
        <w:rPr>
          <w:rFonts w:ascii="Arial" w:hAnsi="Arial" w:cs="Arial"/>
        </w:rPr>
        <w:t>It is this confidence that helps the financial markets ride out the turbulence associated with periodic financial crises.  One only has to think back to the</w:t>
      </w:r>
      <w:r w:rsidR="00C80C1F">
        <w:rPr>
          <w:rFonts w:ascii="Arial" w:hAnsi="Arial" w:cs="Arial"/>
        </w:rPr>
        <w:t xml:space="preserve"> </w:t>
      </w:r>
      <w:r w:rsidR="00D93715" w:rsidRPr="00D93715">
        <w:rPr>
          <w:rFonts w:ascii="Arial" w:hAnsi="Arial" w:cs="Arial"/>
        </w:rPr>
        <w:t xml:space="preserve">1994-95 </w:t>
      </w:r>
      <w:r w:rsidR="00D93715">
        <w:rPr>
          <w:rFonts w:ascii="Arial" w:hAnsi="Arial" w:cs="Arial"/>
        </w:rPr>
        <w:t xml:space="preserve">Mexican peso crisis estimated to have cost </w:t>
      </w:r>
      <w:r w:rsidR="00D93715" w:rsidRPr="00D93715">
        <w:rPr>
          <w:rFonts w:ascii="Arial" w:hAnsi="Arial" w:cs="Arial"/>
        </w:rPr>
        <w:t>$50 billion</w:t>
      </w:r>
      <w:r w:rsidR="00D93715">
        <w:rPr>
          <w:rFonts w:ascii="Arial" w:hAnsi="Arial" w:cs="Arial"/>
        </w:rPr>
        <w:t xml:space="preserve">; to the </w:t>
      </w:r>
      <w:r w:rsidR="00D93715" w:rsidRPr="00D93715">
        <w:rPr>
          <w:rFonts w:ascii="Arial" w:hAnsi="Arial" w:cs="Arial"/>
        </w:rPr>
        <w:t>1997 Asian crisis</w:t>
      </w:r>
      <w:r w:rsidR="00D93715">
        <w:rPr>
          <w:rFonts w:ascii="Arial" w:hAnsi="Arial" w:cs="Arial"/>
        </w:rPr>
        <w:t xml:space="preserve"> with a price tag of </w:t>
      </w:r>
      <w:r w:rsidR="00D93715" w:rsidRPr="00D93715">
        <w:rPr>
          <w:rFonts w:ascii="Arial" w:hAnsi="Arial" w:cs="Arial"/>
        </w:rPr>
        <w:t>$117 billion</w:t>
      </w:r>
      <w:r w:rsidR="00D93715">
        <w:rPr>
          <w:rFonts w:ascii="Arial" w:hAnsi="Arial" w:cs="Arial"/>
        </w:rPr>
        <w:t xml:space="preserve"> and to the </w:t>
      </w:r>
      <w:r w:rsidR="00D93715" w:rsidRPr="00D93715">
        <w:rPr>
          <w:rFonts w:ascii="Arial" w:hAnsi="Arial" w:cs="Arial"/>
        </w:rPr>
        <w:t>1998 Russian bond crisis</w:t>
      </w:r>
      <w:r w:rsidR="00D93715">
        <w:rPr>
          <w:rFonts w:ascii="Arial" w:hAnsi="Arial" w:cs="Arial"/>
        </w:rPr>
        <w:t xml:space="preserve"> which was put at </w:t>
      </w:r>
      <w:r w:rsidR="00D93715" w:rsidRPr="00D93715">
        <w:rPr>
          <w:rFonts w:ascii="Arial" w:hAnsi="Arial" w:cs="Arial"/>
        </w:rPr>
        <w:t>$22 billion</w:t>
      </w:r>
      <w:r w:rsidR="00D5682F">
        <w:rPr>
          <w:rFonts w:ascii="Arial" w:hAnsi="Arial" w:cs="Arial"/>
        </w:rPr>
        <w:t xml:space="preserve"> a</w:t>
      </w:r>
      <w:r w:rsidR="00BF15C1">
        <w:rPr>
          <w:rFonts w:ascii="Arial" w:hAnsi="Arial" w:cs="Arial"/>
        </w:rPr>
        <w:t>s</w:t>
      </w:r>
      <w:r w:rsidR="00D5682F">
        <w:rPr>
          <w:rFonts w:ascii="Arial" w:hAnsi="Arial" w:cs="Arial"/>
        </w:rPr>
        <w:t xml:space="preserve"> some recent examples.  The shock associated with the 2008 western financial crisis </w:t>
      </w:r>
      <w:r w:rsidR="00536F12">
        <w:rPr>
          <w:rFonts w:ascii="Arial" w:hAnsi="Arial" w:cs="Arial"/>
        </w:rPr>
        <w:t xml:space="preserve">which, it is suggested, resulted in losses of $1.4 trillion </w:t>
      </w:r>
      <w:r w:rsidR="00C80C1F">
        <w:rPr>
          <w:rFonts w:ascii="Arial" w:hAnsi="Arial" w:cs="Arial"/>
        </w:rPr>
        <w:t>appears associated with</w:t>
      </w:r>
      <w:r w:rsidR="00536F12">
        <w:rPr>
          <w:rFonts w:ascii="Arial" w:hAnsi="Arial" w:cs="Arial"/>
        </w:rPr>
        <w:t xml:space="preserve"> the </w:t>
      </w:r>
      <w:r w:rsidR="00C80C1F">
        <w:rPr>
          <w:rFonts w:ascii="Arial" w:hAnsi="Arial" w:cs="Arial"/>
        </w:rPr>
        <w:t>widely embraced</w:t>
      </w:r>
      <w:r w:rsidR="00536F12">
        <w:rPr>
          <w:rFonts w:ascii="Arial" w:hAnsi="Arial" w:cs="Arial"/>
        </w:rPr>
        <w:t xml:space="preserve"> belief that market volatility ha</w:t>
      </w:r>
      <w:r w:rsidR="00BF15C1">
        <w:rPr>
          <w:rFonts w:ascii="Arial" w:hAnsi="Arial" w:cs="Arial"/>
        </w:rPr>
        <w:t>d</w:t>
      </w:r>
      <w:r w:rsidR="00536F12">
        <w:rPr>
          <w:rFonts w:ascii="Arial" w:hAnsi="Arial" w:cs="Arial"/>
        </w:rPr>
        <w:t xml:space="preserve"> been tamed</w:t>
      </w:r>
      <w:r w:rsidR="00C80C1F">
        <w:rPr>
          <w:rFonts w:ascii="Arial" w:hAnsi="Arial" w:cs="Arial"/>
        </w:rPr>
        <w:t xml:space="preserve"> and that the long standing positive correlation between reward and risk had </w:t>
      </w:r>
      <w:r w:rsidR="009178BE">
        <w:rPr>
          <w:rFonts w:ascii="Arial" w:hAnsi="Arial" w:cs="Arial"/>
        </w:rPr>
        <w:t>in someway</w:t>
      </w:r>
      <w:r w:rsidR="00C80C1F">
        <w:rPr>
          <w:rFonts w:ascii="Arial" w:hAnsi="Arial" w:cs="Arial"/>
        </w:rPr>
        <w:t xml:space="preserve"> altered</w:t>
      </w:r>
      <w:r w:rsidR="00536F12">
        <w:rPr>
          <w:rFonts w:ascii="Arial" w:hAnsi="Arial" w:cs="Arial"/>
        </w:rPr>
        <w:t xml:space="preserve"> i</w:t>
      </w:r>
      <w:r w:rsidR="00BF15C1">
        <w:rPr>
          <w:rFonts w:ascii="Arial" w:hAnsi="Arial" w:cs="Arial"/>
        </w:rPr>
        <w:t>n</w:t>
      </w:r>
      <w:r w:rsidR="00536F12">
        <w:rPr>
          <w:rFonts w:ascii="Arial" w:hAnsi="Arial" w:cs="Arial"/>
        </w:rPr>
        <w:t xml:space="preserve"> what was referred to as ‘the great moderation’:</w:t>
      </w:r>
    </w:p>
    <w:p w:rsidR="00536F12" w:rsidRPr="00536F12" w:rsidRDefault="00536F12" w:rsidP="00536F12">
      <w:pPr>
        <w:spacing w:after="0" w:line="480" w:lineRule="auto"/>
        <w:ind w:left="720"/>
        <w:rPr>
          <w:rFonts w:ascii="Arial" w:hAnsi="Arial" w:cs="Arial"/>
          <w:i/>
        </w:rPr>
      </w:pPr>
      <w:r w:rsidRPr="00536F12">
        <w:rPr>
          <w:rFonts w:ascii="Arial" w:hAnsi="Arial" w:cs="Arial"/>
          <w:i/>
        </w:rPr>
        <w:t xml:space="preserve">“One of the most striking features of the economic landscape over the past twenty years or so has been a substantial decline in macroeconomic volatility” </w:t>
      </w:r>
    </w:p>
    <w:p w:rsidR="00536F12" w:rsidRPr="00D93715" w:rsidRDefault="00536F12" w:rsidP="00536F12">
      <w:pPr>
        <w:spacing w:after="0" w:line="480" w:lineRule="auto"/>
        <w:ind w:left="720"/>
        <w:rPr>
          <w:rFonts w:ascii="Arial" w:hAnsi="Arial" w:cs="Arial"/>
        </w:rPr>
      </w:pPr>
      <w:r>
        <w:rPr>
          <w:rFonts w:ascii="Arial" w:hAnsi="Arial" w:cs="Arial"/>
        </w:rPr>
        <w:t xml:space="preserve">Ben </w:t>
      </w:r>
      <w:r w:rsidRPr="00536F12">
        <w:rPr>
          <w:rFonts w:ascii="Arial" w:hAnsi="Arial" w:cs="Arial"/>
        </w:rPr>
        <w:t>Bernanke, February 20th 2004</w:t>
      </w:r>
      <w:r>
        <w:rPr>
          <w:rStyle w:val="FootnoteReference"/>
          <w:rFonts w:ascii="Arial" w:hAnsi="Arial" w:cs="Arial"/>
        </w:rPr>
        <w:footnoteReference w:id="1"/>
      </w:r>
    </w:p>
    <w:p w:rsidR="00E37732" w:rsidRDefault="00124F8C" w:rsidP="00A031F0">
      <w:pPr>
        <w:spacing w:after="0" w:line="480" w:lineRule="auto"/>
        <w:rPr>
          <w:rFonts w:ascii="Arial" w:hAnsi="Arial" w:cs="Arial"/>
        </w:rPr>
      </w:pPr>
      <w:r>
        <w:rPr>
          <w:rFonts w:ascii="Arial" w:hAnsi="Arial" w:cs="Arial"/>
        </w:rPr>
        <w:t xml:space="preserve">It was possibly the </w:t>
      </w:r>
      <w:r w:rsidR="00A604E6">
        <w:rPr>
          <w:rFonts w:ascii="Arial" w:hAnsi="Arial" w:cs="Arial"/>
        </w:rPr>
        <w:t xml:space="preserve">apparent unexpectedness </w:t>
      </w:r>
      <w:r>
        <w:rPr>
          <w:rFonts w:ascii="Arial" w:hAnsi="Arial" w:cs="Arial"/>
        </w:rPr>
        <w:t>of the</w:t>
      </w:r>
      <w:r w:rsidR="00A604E6">
        <w:rPr>
          <w:rFonts w:ascii="Arial" w:hAnsi="Arial" w:cs="Arial"/>
        </w:rPr>
        <w:t xml:space="preserve"> 2008</w:t>
      </w:r>
      <w:r w:rsidR="00581924" w:rsidRPr="005C79D5">
        <w:rPr>
          <w:rFonts w:ascii="Arial" w:hAnsi="Arial" w:cs="Arial"/>
        </w:rPr>
        <w:t xml:space="preserve"> </w:t>
      </w:r>
      <w:r w:rsidR="00A604E6">
        <w:rPr>
          <w:rFonts w:ascii="Arial" w:hAnsi="Arial" w:cs="Arial"/>
        </w:rPr>
        <w:t>crisis and the resultant market panic during which trust all but evaporated that paved the way for</w:t>
      </w:r>
      <w:r w:rsidR="003F0E3A">
        <w:rPr>
          <w:rFonts w:ascii="Arial" w:hAnsi="Arial" w:cs="Arial"/>
        </w:rPr>
        <w:t xml:space="preserve"> the emergence of </w:t>
      </w:r>
      <w:r w:rsidR="00581924" w:rsidRPr="005C79D5">
        <w:rPr>
          <w:rFonts w:ascii="Arial" w:hAnsi="Arial" w:cs="Arial"/>
        </w:rPr>
        <w:t>an almost perfect storm of scandal</w:t>
      </w:r>
      <w:r w:rsidR="003F0E3A">
        <w:rPr>
          <w:rFonts w:ascii="Arial" w:hAnsi="Arial" w:cs="Arial"/>
        </w:rPr>
        <w:t xml:space="preserve"> and subsequent accusation</w:t>
      </w:r>
      <w:r w:rsidR="00581924" w:rsidRPr="005C79D5">
        <w:rPr>
          <w:rFonts w:ascii="Arial" w:hAnsi="Arial" w:cs="Arial"/>
        </w:rPr>
        <w:t xml:space="preserve"> that has seen changes in both the structure of regulation and </w:t>
      </w:r>
      <w:r w:rsidR="004C4299">
        <w:rPr>
          <w:rFonts w:ascii="Arial" w:hAnsi="Arial" w:cs="Arial"/>
        </w:rPr>
        <w:t>the emergence of</w:t>
      </w:r>
      <w:r w:rsidR="00581924" w:rsidRPr="005C79D5">
        <w:rPr>
          <w:rFonts w:ascii="Arial" w:hAnsi="Arial" w:cs="Arial"/>
        </w:rPr>
        <w:t xml:space="preserve"> a heightened </w:t>
      </w:r>
      <w:r w:rsidR="00581924" w:rsidRPr="005C79D5">
        <w:rPr>
          <w:rFonts w:ascii="Arial" w:hAnsi="Arial" w:cs="Arial"/>
        </w:rPr>
        <w:lastRenderedPageBreak/>
        <w:t xml:space="preserve">public </w:t>
      </w:r>
      <w:r w:rsidR="00942BC5">
        <w:rPr>
          <w:rFonts w:ascii="Arial" w:hAnsi="Arial" w:cs="Arial"/>
        </w:rPr>
        <w:t xml:space="preserve">and media </w:t>
      </w:r>
      <w:r w:rsidR="00581924" w:rsidRPr="005C79D5">
        <w:rPr>
          <w:rFonts w:ascii="Arial" w:hAnsi="Arial" w:cs="Arial"/>
        </w:rPr>
        <w:t>interest in ‘bank bashing’.</w:t>
      </w:r>
      <w:r w:rsidR="005C79D5" w:rsidRPr="005C79D5">
        <w:rPr>
          <w:rFonts w:ascii="Arial" w:hAnsi="Arial" w:cs="Arial"/>
        </w:rPr>
        <w:t xml:space="preserve">  </w:t>
      </w:r>
      <w:r w:rsidR="00EC76D9">
        <w:rPr>
          <w:rFonts w:ascii="Arial" w:hAnsi="Arial" w:cs="Arial"/>
        </w:rPr>
        <w:t>Indeed</w:t>
      </w:r>
      <w:r w:rsidR="00E224F1">
        <w:rPr>
          <w:rFonts w:ascii="Arial" w:hAnsi="Arial" w:cs="Arial"/>
        </w:rPr>
        <w:t xml:space="preserve"> having been adopted by the press, </w:t>
      </w:r>
      <w:r w:rsidR="00EC76D9">
        <w:rPr>
          <w:rFonts w:ascii="Arial" w:hAnsi="Arial" w:cs="Arial"/>
        </w:rPr>
        <w:t>this pejorative term has entered the lexicon as a recognised phrase</w:t>
      </w:r>
      <w:r w:rsidR="00E224F1">
        <w:rPr>
          <w:rFonts w:ascii="Arial" w:hAnsi="Arial" w:cs="Arial"/>
        </w:rPr>
        <w:t>:</w:t>
      </w:r>
      <w:r w:rsidR="00EC76D9">
        <w:rPr>
          <w:rFonts w:ascii="Arial" w:hAnsi="Arial" w:cs="Arial"/>
        </w:rPr>
        <w:t xml:space="preserve"> </w:t>
      </w:r>
    </w:p>
    <w:p w:rsidR="00E37732" w:rsidRPr="00B142DF" w:rsidRDefault="00E37732" w:rsidP="00B142DF">
      <w:pPr>
        <w:spacing w:after="0" w:line="240" w:lineRule="auto"/>
        <w:ind w:left="720"/>
        <w:rPr>
          <w:rFonts w:ascii="Arial" w:hAnsi="Arial" w:cs="Arial"/>
        </w:rPr>
      </w:pPr>
      <w:r w:rsidRPr="00E37732">
        <w:rPr>
          <w:rFonts w:ascii="Arial" w:hAnsi="Arial" w:cs="Arial"/>
          <w:i/>
        </w:rPr>
        <w:t>‘Overreaction, but more bank-bashing ahead’</w:t>
      </w:r>
      <w:r>
        <w:rPr>
          <w:rFonts w:ascii="Arial" w:hAnsi="Arial" w:cs="Arial"/>
          <w:i/>
        </w:rPr>
        <w:t xml:space="preserve">   </w:t>
      </w:r>
      <w:r w:rsidRPr="00B142DF">
        <w:rPr>
          <w:rFonts w:ascii="Arial" w:hAnsi="Arial" w:cs="Arial"/>
        </w:rPr>
        <w:t>Ian King</w:t>
      </w:r>
      <w:r w:rsidR="00B142DF">
        <w:rPr>
          <w:rFonts w:ascii="Arial" w:hAnsi="Arial" w:cs="Arial"/>
        </w:rPr>
        <w:t xml:space="preserve">, </w:t>
      </w:r>
      <w:r w:rsidR="00B142DF" w:rsidRPr="00E26A4D">
        <w:rPr>
          <w:rFonts w:ascii="Arial" w:hAnsi="Arial" w:cs="Arial"/>
          <w:i/>
        </w:rPr>
        <w:t>The Times</w:t>
      </w:r>
      <w:r w:rsidR="00B142DF">
        <w:rPr>
          <w:rFonts w:ascii="Arial" w:hAnsi="Arial" w:cs="Arial"/>
        </w:rPr>
        <w:t xml:space="preserve"> </w:t>
      </w:r>
      <w:r w:rsidRPr="00B142DF">
        <w:rPr>
          <w:rFonts w:ascii="Arial" w:hAnsi="Arial" w:cs="Arial"/>
        </w:rPr>
        <w:t>April 17</w:t>
      </w:r>
      <w:r w:rsidR="00B142DF">
        <w:rPr>
          <w:rFonts w:ascii="Arial" w:hAnsi="Arial" w:cs="Arial"/>
        </w:rPr>
        <w:t>th</w:t>
      </w:r>
      <w:r w:rsidRPr="00B142DF">
        <w:rPr>
          <w:rFonts w:ascii="Arial" w:hAnsi="Arial" w:cs="Arial"/>
        </w:rPr>
        <w:t xml:space="preserve">, 2010 </w:t>
      </w:r>
    </w:p>
    <w:p w:rsidR="00B142DF" w:rsidRDefault="00B142DF" w:rsidP="00B142DF">
      <w:pPr>
        <w:spacing w:after="0" w:line="240" w:lineRule="auto"/>
        <w:ind w:left="720"/>
        <w:rPr>
          <w:rFonts w:ascii="Arial" w:hAnsi="Arial" w:cs="Arial"/>
          <w:i/>
        </w:rPr>
      </w:pPr>
    </w:p>
    <w:p w:rsidR="00E37732" w:rsidRPr="00B142DF" w:rsidRDefault="00B142DF" w:rsidP="00B142DF">
      <w:pPr>
        <w:spacing w:after="0" w:line="240" w:lineRule="auto"/>
        <w:ind w:left="720"/>
        <w:rPr>
          <w:rFonts w:ascii="Arial" w:hAnsi="Arial" w:cs="Arial"/>
        </w:rPr>
      </w:pPr>
      <w:r>
        <w:rPr>
          <w:rFonts w:ascii="Arial" w:hAnsi="Arial" w:cs="Arial"/>
          <w:i/>
        </w:rPr>
        <w:t>‘</w:t>
      </w:r>
      <w:r w:rsidR="00E37732" w:rsidRPr="00E37732">
        <w:rPr>
          <w:rFonts w:ascii="Arial" w:hAnsi="Arial" w:cs="Arial"/>
          <w:i/>
        </w:rPr>
        <w:t xml:space="preserve">Time for some bank </w:t>
      </w:r>
      <w:r w:rsidR="00855AEB" w:rsidRPr="00E37732">
        <w:rPr>
          <w:rFonts w:ascii="Arial" w:hAnsi="Arial" w:cs="Arial"/>
          <w:i/>
        </w:rPr>
        <w:t>bashing</w:t>
      </w:r>
      <w:r w:rsidR="00855AEB">
        <w:rPr>
          <w:rFonts w:ascii="Arial" w:hAnsi="Arial" w:cs="Arial"/>
          <w:i/>
        </w:rPr>
        <w:t>’ Emma</w:t>
      </w:r>
      <w:r w:rsidRPr="00B142DF">
        <w:rPr>
          <w:rFonts w:ascii="Arial" w:hAnsi="Arial" w:cs="Arial"/>
        </w:rPr>
        <w:t xml:space="preserve"> </w:t>
      </w:r>
      <w:r w:rsidR="00EC3940" w:rsidRPr="00B142DF">
        <w:rPr>
          <w:rFonts w:ascii="Arial" w:hAnsi="Arial" w:cs="Arial"/>
        </w:rPr>
        <w:t>McKinney</w:t>
      </w:r>
      <w:r w:rsidRPr="00B142DF">
        <w:rPr>
          <w:rFonts w:ascii="Arial" w:hAnsi="Arial" w:cs="Arial"/>
        </w:rPr>
        <w:t xml:space="preserve">, </w:t>
      </w:r>
      <w:r w:rsidR="00E37732" w:rsidRPr="00E26A4D">
        <w:rPr>
          <w:rFonts w:ascii="Arial" w:hAnsi="Arial" w:cs="Arial"/>
          <w:i/>
        </w:rPr>
        <w:t>Birmingham Evening Mail</w:t>
      </w:r>
      <w:r w:rsidRPr="00E26A4D">
        <w:rPr>
          <w:rFonts w:ascii="Arial" w:hAnsi="Arial" w:cs="Arial"/>
          <w:i/>
        </w:rPr>
        <w:t xml:space="preserve">, </w:t>
      </w:r>
      <w:r w:rsidR="00E37732" w:rsidRPr="00B142DF">
        <w:rPr>
          <w:rFonts w:ascii="Arial" w:hAnsi="Arial" w:cs="Arial"/>
        </w:rPr>
        <w:t>April 1</w:t>
      </w:r>
      <w:r>
        <w:rPr>
          <w:rFonts w:ascii="Arial" w:hAnsi="Arial" w:cs="Arial"/>
        </w:rPr>
        <w:t>st</w:t>
      </w:r>
      <w:r w:rsidR="00E37732" w:rsidRPr="00B142DF">
        <w:rPr>
          <w:rFonts w:ascii="Arial" w:hAnsi="Arial" w:cs="Arial"/>
        </w:rPr>
        <w:t xml:space="preserve">, 2013 </w:t>
      </w:r>
    </w:p>
    <w:p w:rsidR="00B142DF" w:rsidRDefault="00B142DF" w:rsidP="00B142DF">
      <w:pPr>
        <w:spacing w:after="0" w:line="240" w:lineRule="auto"/>
        <w:ind w:left="720"/>
        <w:rPr>
          <w:rFonts w:ascii="Arial" w:hAnsi="Arial" w:cs="Arial"/>
          <w:i/>
        </w:rPr>
      </w:pPr>
    </w:p>
    <w:p w:rsidR="00E37732" w:rsidRDefault="00B142DF" w:rsidP="00B142DF">
      <w:pPr>
        <w:spacing w:after="0" w:line="240" w:lineRule="auto"/>
        <w:ind w:left="720"/>
        <w:rPr>
          <w:rFonts w:ascii="Arial" w:hAnsi="Arial" w:cs="Arial"/>
        </w:rPr>
      </w:pPr>
      <w:r>
        <w:rPr>
          <w:rFonts w:ascii="Arial" w:hAnsi="Arial" w:cs="Arial"/>
          <w:i/>
        </w:rPr>
        <w:t>‘</w:t>
      </w:r>
      <w:r w:rsidR="00E37732" w:rsidRPr="00B142DF">
        <w:rPr>
          <w:rFonts w:ascii="Arial" w:hAnsi="Arial" w:cs="Arial"/>
          <w:i/>
        </w:rPr>
        <w:t>There's a danger that all this bank bashing will just help our competitors</w:t>
      </w:r>
      <w:r>
        <w:rPr>
          <w:rFonts w:ascii="Arial" w:hAnsi="Arial" w:cs="Arial"/>
        </w:rPr>
        <w:t>’</w:t>
      </w:r>
      <w:r w:rsidR="00E37732">
        <w:rPr>
          <w:rFonts w:ascii="Arial" w:hAnsi="Arial" w:cs="Arial"/>
        </w:rPr>
        <w:t xml:space="preserve"> Business</w:t>
      </w:r>
      <w:r>
        <w:rPr>
          <w:rFonts w:ascii="Arial" w:hAnsi="Arial" w:cs="Arial"/>
        </w:rPr>
        <w:t xml:space="preserve"> Section</w:t>
      </w:r>
      <w:r w:rsidR="00E37732">
        <w:rPr>
          <w:rFonts w:ascii="Arial" w:hAnsi="Arial" w:cs="Arial"/>
        </w:rPr>
        <w:t xml:space="preserve">, </w:t>
      </w:r>
      <w:r w:rsidR="00E37732" w:rsidRPr="00E26A4D">
        <w:rPr>
          <w:rFonts w:ascii="Arial" w:hAnsi="Arial" w:cs="Arial"/>
          <w:i/>
        </w:rPr>
        <w:t>The Daily Telegraph</w:t>
      </w:r>
      <w:r w:rsidR="00E37732" w:rsidRPr="00E37732">
        <w:rPr>
          <w:rFonts w:ascii="Arial" w:hAnsi="Arial" w:cs="Arial"/>
        </w:rPr>
        <w:t xml:space="preserve"> June 18</w:t>
      </w:r>
      <w:r>
        <w:rPr>
          <w:rFonts w:ascii="Arial" w:hAnsi="Arial" w:cs="Arial"/>
        </w:rPr>
        <w:t>th</w:t>
      </w:r>
      <w:r w:rsidR="00E37732" w:rsidRPr="00E37732">
        <w:rPr>
          <w:rFonts w:ascii="Arial" w:hAnsi="Arial" w:cs="Arial"/>
        </w:rPr>
        <w:t xml:space="preserve">, 2013 </w:t>
      </w:r>
    </w:p>
    <w:p w:rsidR="00E37732" w:rsidRDefault="00E37732" w:rsidP="00A031F0">
      <w:pPr>
        <w:spacing w:after="0" w:line="480" w:lineRule="auto"/>
        <w:rPr>
          <w:rFonts w:ascii="Arial" w:hAnsi="Arial" w:cs="Arial"/>
        </w:rPr>
      </w:pPr>
    </w:p>
    <w:p w:rsidR="00B37A41" w:rsidRDefault="00CD1300" w:rsidP="00A031F0">
      <w:pPr>
        <w:spacing w:after="0" w:line="480" w:lineRule="auto"/>
        <w:rPr>
          <w:rFonts w:ascii="Arial" w:hAnsi="Arial" w:cs="Arial"/>
        </w:rPr>
      </w:pPr>
      <w:r>
        <w:rPr>
          <w:rFonts w:ascii="Arial" w:hAnsi="Arial" w:cs="Arial"/>
        </w:rPr>
        <w:t xml:space="preserve">Greater press attention </w:t>
      </w:r>
      <w:r w:rsidR="002A44CB">
        <w:rPr>
          <w:rFonts w:ascii="Arial" w:hAnsi="Arial" w:cs="Arial"/>
        </w:rPr>
        <w:t>on financial markets post-</w:t>
      </w:r>
      <w:proofErr w:type="gramStart"/>
      <w:r w:rsidR="002A44CB">
        <w:rPr>
          <w:rFonts w:ascii="Arial" w:hAnsi="Arial" w:cs="Arial"/>
        </w:rPr>
        <w:t>crisis,</w:t>
      </w:r>
      <w:proofErr w:type="gramEnd"/>
      <w:r w:rsidR="002A44CB">
        <w:rPr>
          <w:rFonts w:ascii="Arial" w:hAnsi="Arial" w:cs="Arial"/>
        </w:rPr>
        <w:t xml:space="preserve"> </w:t>
      </w:r>
      <w:r>
        <w:rPr>
          <w:rFonts w:ascii="Arial" w:hAnsi="Arial" w:cs="Arial"/>
        </w:rPr>
        <w:t>has inevi</w:t>
      </w:r>
      <w:r w:rsidR="0078409D">
        <w:rPr>
          <w:rFonts w:ascii="Arial" w:hAnsi="Arial" w:cs="Arial"/>
        </w:rPr>
        <w:t xml:space="preserve">tably raised public awareness and </w:t>
      </w:r>
      <w:r w:rsidR="009625E2">
        <w:rPr>
          <w:rFonts w:ascii="Arial" w:hAnsi="Arial" w:cs="Arial"/>
        </w:rPr>
        <w:t xml:space="preserve">their opprobrium. </w:t>
      </w:r>
      <w:r w:rsidR="004A4B07">
        <w:rPr>
          <w:rFonts w:ascii="Arial" w:hAnsi="Arial" w:cs="Arial"/>
        </w:rPr>
        <w:t>W</w:t>
      </w:r>
      <w:r w:rsidR="005C79D5" w:rsidRPr="005C79D5">
        <w:rPr>
          <w:rFonts w:ascii="Arial" w:hAnsi="Arial" w:cs="Arial"/>
        </w:rPr>
        <w:t xml:space="preserve">itness </w:t>
      </w:r>
      <w:r w:rsidR="00D93F66">
        <w:rPr>
          <w:rFonts w:ascii="Arial" w:hAnsi="Arial" w:cs="Arial"/>
        </w:rPr>
        <w:t>the various scandals that have emerged from the financial sector and found their way into the public arena</w:t>
      </w:r>
      <w:r w:rsidR="00E948BE">
        <w:rPr>
          <w:rFonts w:ascii="Arial" w:hAnsi="Arial" w:cs="Arial"/>
        </w:rPr>
        <w:t>:  Most recently,</w:t>
      </w:r>
      <w:r w:rsidR="00D93F66">
        <w:rPr>
          <w:rFonts w:ascii="Arial" w:hAnsi="Arial" w:cs="Arial"/>
        </w:rPr>
        <w:t xml:space="preserve"> t</w:t>
      </w:r>
      <w:r w:rsidR="005C79D5" w:rsidRPr="005C79D5">
        <w:rPr>
          <w:rFonts w:ascii="Arial" w:hAnsi="Arial" w:cs="Arial"/>
        </w:rPr>
        <w:t>he</w:t>
      </w:r>
      <w:r w:rsidR="00CF1AE8">
        <w:rPr>
          <w:rFonts w:ascii="Arial" w:hAnsi="Arial" w:cs="Arial"/>
        </w:rPr>
        <w:t xml:space="preserve"> failings in</w:t>
      </w:r>
      <w:r w:rsidR="005C79D5" w:rsidRPr="005C79D5">
        <w:rPr>
          <w:rFonts w:ascii="Arial" w:hAnsi="Arial" w:cs="Arial"/>
        </w:rPr>
        <w:t xml:space="preserve"> </w:t>
      </w:r>
      <w:r w:rsidR="00E948BE">
        <w:rPr>
          <w:rFonts w:ascii="Arial" w:hAnsi="Arial" w:cs="Arial"/>
        </w:rPr>
        <w:t xml:space="preserve">respect of LIBOR </w:t>
      </w:r>
      <w:r w:rsidR="008A67E0">
        <w:rPr>
          <w:rFonts w:ascii="Arial" w:hAnsi="Arial" w:cs="Arial"/>
        </w:rPr>
        <w:t>setting</w:t>
      </w:r>
      <w:r w:rsidR="00E948BE">
        <w:rPr>
          <w:rFonts w:ascii="Arial" w:hAnsi="Arial" w:cs="Arial"/>
        </w:rPr>
        <w:t xml:space="preserve"> </w:t>
      </w:r>
      <w:r w:rsidR="00CF1AE8">
        <w:rPr>
          <w:rFonts w:ascii="Arial" w:hAnsi="Arial" w:cs="Arial"/>
        </w:rPr>
        <w:t>colloquially referred to as ‘</w:t>
      </w:r>
      <w:r w:rsidR="005C79D5" w:rsidRPr="005C79D5">
        <w:rPr>
          <w:rFonts w:ascii="Arial" w:hAnsi="Arial" w:cs="Arial"/>
        </w:rPr>
        <w:t>Libor fixing</w:t>
      </w:r>
      <w:r w:rsidR="00CF1AE8">
        <w:rPr>
          <w:rFonts w:ascii="Arial" w:hAnsi="Arial" w:cs="Arial"/>
        </w:rPr>
        <w:t>’</w:t>
      </w:r>
      <w:r w:rsidR="005C79D5" w:rsidRPr="005C79D5">
        <w:rPr>
          <w:rFonts w:ascii="Arial" w:hAnsi="Arial" w:cs="Arial"/>
        </w:rPr>
        <w:t xml:space="preserve"> </w:t>
      </w:r>
      <w:r w:rsidR="00DF7A1D">
        <w:rPr>
          <w:rFonts w:ascii="Arial" w:hAnsi="Arial" w:cs="Arial"/>
        </w:rPr>
        <w:t>that</w:t>
      </w:r>
      <w:r w:rsidR="00E948BE">
        <w:rPr>
          <w:rFonts w:ascii="Arial" w:hAnsi="Arial" w:cs="Arial"/>
        </w:rPr>
        <w:t xml:space="preserve"> in 2012,</w:t>
      </w:r>
      <w:r w:rsidR="006D4C15">
        <w:rPr>
          <w:rFonts w:ascii="Arial" w:hAnsi="Arial" w:cs="Arial"/>
        </w:rPr>
        <w:t xml:space="preserve"> </w:t>
      </w:r>
      <w:r w:rsidR="00D93F66">
        <w:rPr>
          <w:rFonts w:ascii="Arial" w:hAnsi="Arial" w:cs="Arial"/>
        </w:rPr>
        <w:t xml:space="preserve">saw </w:t>
      </w:r>
      <w:r w:rsidR="006D4C15">
        <w:rPr>
          <w:rFonts w:ascii="Arial" w:hAnsi="Arial" w:cs="Arial"/>
        </w:rPr>
        <w:t>UBS</w:t>
      </w:r>
      <w:r w:rsidR="00E26A4D">
        <w:rPr>
          <w:rStyle w:val="FootnoteReference"/>
          <w:rFonts w:ascii="Arial" w:hAnsi="Arial" w:cs="Arial"/>
        </w:rPr>
        <w:footnoteReference w:id="2"/>
      </w:r>
      <w:r w:rsidR="00E26A4D">
        <w:rPr>
          <w:rFonts w:ascii="Arial" w:hAnsi="Arial" w:cs="Arial"/>
        </w:rPr>
        <w:t xml:space="preserve"> </w:t>
      </w:r>
      <w:r w:rsidR="006D4C15">
        <w:rPr>
          <w:rFonts w:ascii="Arial" w:hAnsi="Arial" w:cs="Arial"/>
        </w:rPr>
        <w:t>fined £160m</w:t>
      </w:r>
      <w:r w:rsidR="001C38B4">
        <w:rPr>
          <w:rFonts w:ascii="Arial" w:hAnsi="Arial" w:cs="Arial"/>
        </w:rPr>
        <w:t xml:space="preserve"> in connection with the event</w:t>
      </w:r>
      <w:r w:rsidR="00E26A4D">
        <w:rPr>
          <w:rFonts w:ascii="Arial" w:hAnsi="Arial" w:cs="Arial"/>
        </w:rPr>
        <w:t>.</w:t>
      </w:r>
      <w:r w:rsidR="000F340F">
        <w:rPr>
          <w:rFonts w:ascii="Arial" w:hAnsi="Arial" w:cs="Arial"/>
        </w:rPr>
        <w:t xml:space="preserve">   In addition to </w:t>
      </w:r>
      <w:r w:rsidR="00E26A4D">
        <w:rPr>
          <w:rFonts w:ascii="Arial" w:hAnsi="Arial" w:cs="Arial"/>
        </w:rPr>
        <w:t>U</w:t>
      </w:r>
      <w:r w:rsidR="000F340F">
        <w:rPr>
          <w:rFonts w:ascii="Arial" w:hAnsi="Arial" w:cs="Arial"/>
        </w:rPr>
        <w:t>BS, other banks publically reprimanded and subject to FSA sanction</w:t>
      </w:r>
      <w:r w:rsidR="008A67E0">
        <w:rPr>
          <w:rFonts w:ascii="Arial" w:hAnsi="Arial" w:cs="Arial"/>
        </w:rPr>
        <w:t>, included both</w:t>
      </w:r>
      <w:r w:rsidR="006D4C15">
        <w:rPr>
          <w:rFonts w:ascii="Arial" w:hAnsi="Arial" w:cs="Arial"/>
        </w:rPr>
        <w:t xml:space="preserve"> Barclays</w:t>
      </w:r>
      <w:r w:rsidR="00CF1AE8">
        <w:rPr>
          <w:rStyle w:val="FootnoteReference"/>
          <w:rFonts w:ascii="Arial" w:hAnsi="Arial" w:cs="Arial"/>
        </w:rPr>
        <w:footnoteReference w:id="3"/>
      </w:r>
      <w:r w:rsidR="00CF1AE8">
        <w:rPr>
          <w:rFonts w:ascii="Arial" w:hAnsi="Arial" w:cs="Arial"/>
        </w:rPr>
        <w:t xml:space="preserve"> </w:t>
      </w:r>
      <w:r w:rsidR="006D4C15">
        <w:rPr>
          <w:rFonts w:ascii="Arial" w:hAnsi="Arial" w:cs="Arial"/>
        </w:rPr>
        <w:t xml:space="preserve"> </w:t>
      </w:r>
      <w:r w:rsidR="00CF1AE8">
        <w:rPr>
          <w:rFonts w:ascii="Arial" w:hAnsi="Arial" w:cs="Arial"/>
        </w:rPr>
        <w:t>and RBS</w:t>
      </w:r>
      <w:r w:rsidR="00CF1AE8">
        <w:rPr>
          <w:rStyle w:val="FootnoteReference"/>
          <w:rFonts w:ascii="Arial" w:hAnsi="Arial" w:cs="Arial"/>
        </w:rPr>
        <w:footnoteReference w:id="4"/>
      </w:r>
      <w:r w:rsidR="00CF1AE8">
        <w:rPr>
          <w:rFonts w:ascii="Arial" w:hAnsi="Arial" w:cs="Arial"/>
        </w:rPr>
        <w:t xml:space="preserve"> </w:t>
      </w:r>
      <w:r w:rsidR="006D4C15">
        <w:rPr>
          <w:rFonts w:ascii="Arial" w:hAnsi="Arial" w:cs="Arial"/>
        </w:rPr>
        <w:t xml:space="preserve">who were </w:t>
      </w:r>
      <w:r w:rsidR="00CF1AE8">
        <w:rPr>
          <w:rFonts w:ascii="Arial" w:hAnsi="Arial" w:cs="Arial"/>
        </w:rPr>
        <w:t xml:space="preserve">respectively </w:t>
      </w:r>
      <w:r w:rsidR="006D4C15">
        <w:rPr>
          <w:rFonts w:ascii="Arial" w:hAnsi="Arial" w:cs="Arial"/>
        </w:rPr>
        <w:t xml:space="preserve">fined £59.5 million </w:t>
      </w:r>
      <w:r w:rsidR="00CF1AE8">
        <w:rPr>
          <w:rFonts w:ascii="Arial" w:hAnsi="Arial" w:cs="Arial"/>
        </w:rPr>
        <w:t xml:space="preserve">and £87.5 million </w:t>
      </w:r>
      <w:r w:rsidR="006D4C15">
        <w:rPr>
          <w:rFonts w:ascii="Arial" w:hAnsi="Arial" w:cs="Arial"/>
        </w:rPr>
        <w:t xml:space="preserve">for the same </w:t>
      </w:r>
      <w:r w:rsidR="00CF1AE8">
        <w:rPr>
          <w:rFonts w:ascii="Arial" w:hAnsi="Arial" w:cs="Arial"/>
        </w:rPr>
        <w:t>market misconduct</w:t>
      </w:r>
      <w:r w:rsidR="00DF7A1D">
        <w:rPr>
          <w:rFonts w:ascii="Arial" w:hAnsi="Arial" w:cs="Arial"/>
        </w:rPr>
        <w:t>.  Most recently</w:t>
      </w:r>
      <w:r w:rsidR="005C79D5" w:rsidRPr="005C79D5">
        <w:rPr>
          <w:rFonts w:ascii="Arial" w:hAnsi="Arial" w:cs="Arial"/>
        </w:rPr>
        <w:t xml:space="preserve"> </w:t>
      </w:r>
      <w:r w:rsidR="00F0109C">
        <w:rPr>
          <w:rFonts w:ascii="Arial" w:hAnsi="Arial" w:cs="Arial"/>
        </w:rPr>
        <w:t>the press has reported on what has been referred to as the</w:t>
      </w:r>
      <w:r w:rsidR="005C79D5" w:rsidRPr="005C79D5">
        <w:rPr>
          <w:rFonts w:ascii="Arial" w:hAnsi="Arial" w:cs="Arial"/>
        </w:rPr>
        <w:t xml:space="preserve"> </w:t>
      </w:r>
      <w:r w:rsidR="00F0109C">
        <w:rPr>
          <w:rFonts w:ascii="Arial" w:hAnsi="Arial" w:cs="Arial"/>
        </w:rPr>
        <w:t>‘</w:t>
      </w:r>
      <w:r w:rsidR="005C79D5" w:rsidRPr="005C79D5">
        <w:rPr>
          <w:rFonts w:ascii="Arial" w:hAnsi="Arial" w:cs="Arial"/>
        </w:rPr>
        <w:t>foreign exchange rate fixing scandal</w:t>
      </w:r>
      <w:r w:rsidR="00F0109C">
        <w:rPr>
          <w:rFonts w:ascii="Arial" w:hAnsi="Arial" w:cs="Arial"/>
        </w:rPr>
        <w:t>’</w:t>
      </w:r>
      <w:r w:rsidR="00C373FA">
        <w:rPr>
          <w:rFonts w:ascii="Arial" w:hAnsi="Arial" w:cs="Arial"/>
        </w:rPr>
        <w:t>,</w:t>
      </w:r>
      <w:r w:rsidR="005C79D5" w:rsidRPr="005C79D5">
        <w:rPr>
          <w:rStyle w:val="FootnoteReference"/>
          <w:rFonts w:ascii="Arial" w:hAnsi="Arial" w:cs="Arial"/>
        </w:rPr>
        <w:footnoteReference w:id="5"/>
      </w:r>
      <w:r w:rsidR="00776D25">
        <w:rPr>
          <w:rFonts w:ascii="Arial" w:hAnsi="Arial" w:cs="Arial"/>
        </w:rPr>
        <w:t xml:space="preserve"> </w:t>
      </w:r>
      <w:r w:rsidR="00ED65E4">
        <w:rPr>
          <w:rFonts w:ascii="Arial" w:hAnsi="Arial" w:cs="Arial"/>
        </w:rPr>
        <w:t xml:space="preserve"> </w:t>
      </w:r>
      <w:r w:rsidR="00C373FA">
        <w:rPr>
          <w:rFonts w:ascii="Arial" w:hAnsi="Arial" w:cs="Arial"/>
        </w:rPr>
        <w:t>with re</w:t>
      </w:r>
      <w:r w:rsidR="00ED65E4">
        <w:rPr>
          <w:rFonts w:ascii="Arial" w:hAnsi="Arial" w:cs="Arial"/>
        </w:rPr>
        <w:t>ports draw</w:t>
      </w:r>
      <w:r w:rsidR="00C373FA">
        <w:rPr>
          <w:rFonts w:ascii="Arial" w:hAnsi="Arial" w:cs="Arial"/>
        </w:rPr>
        <w:t>ing</w:t>
      </w:r>
      <w:r w:rsidR="00F0109C">
        <w:rPr>
          <w:rFonts w:ascii="Arial" w:hAnsi="Arial" w:cs="Arial"/>
        </w:rPr>
        <w:t xml:space="preserve"> </w:t>
      </w:r>
      <w:r w:rsidR="00ED65E4">
        <w:rPr>
          <w:rFonts w:ascii="Arial" w:hAnsi="Arial" w:cs="Arial"/>
        </w:rPr>
        <w:t xml:space="preserve">attention to the fact </w:t>
      </w:r>
      <w:r w:rsidR="00F0109C">
        <w:rPr>
          <w:rFonts w:ascii="Arial" w:hAnsi="Arial" w:cs="Arial"/>
        </w:rPr>
        <w:t xml:space="preserve">that the regulators have been investigating allegations of long term collusion </w:t>
      </w:r>
      <w:r w:rsidR="00ED65E4">
        <w:rPr>
          <w:rFonts w:ascii="Arial" w:hAnsi="Arial" w:cs="Arial"/>
        </w:rPr>
        <w:t xml:space="preserve">between banks </w:t>
      </w:r>
      <w:r w:rsidR="00F0109C">
        <w:rPr>
          <w:rFonts w:ascii="Arial" w:hAnsi="Arial" w:cs="Arial"/>
        </w:rPr>
        <w:t xml:space="preserve">in relation to </w:t>
      </w:r>
      <w:r w:rsidR="00AA09E8">
        <w:rPr>
          <w:rFonts w:ascii="Arial" w:hAnsi="Arial" w:cs="Arial"/>
        </w:rPr>
        <w:t xml:space="preserve">apparent </w:t>
      </w:r>
      <w:r w:rsidR="00ED65E4">
        <w:rPr>
          <w:rFonts w:ascii="Arial" w:hAnsi="Arial" w:cs="Arial"/>
        </w:rPr>
        <w:t xml:space="preserve">fixing </w:t>
      </w:r>
      <w:r w:rsidR="00AA09E8">
        <w:rPr>
          <w:rFonts w:ascii="Arial" w:hAnsi="Arial" w:cs="Arial"/>
        </w:rPr>
        <w:t xml:space="preserve">of </w:t>
      </w:r>
      <w:r w:rsidR="00ED65E4">
        <w:rPr>
          <w:rFonts w:ascii="Arial" w:hAnsi="Arial" w:cs="Arial"/>
        </w:rPr>
        <w:t>foreign exchange rates</w:t>
      </w:r>
      <w:r w:rsidR="00E501AC">
        <w:rPr>
          <w:rFonts w:ascii="Arial" w:hAnsi="Arial" w:cs="Arial"/>
        </w:rPr>
        <w:t>.</w:t>
      </w:r>
      <w:r w:rsidR="009625E2" w:rsidRPr="009625E2">
        <w:rPr>
          <w:rFonts w:ascii="Arial" w:hAnsi="Arial" w:cs="Arial"/>
        </w:rPr>
        <w:t xml:space="preserve"> </w:t>
      </w:r>
      <w:r w:rsidR="009625E2">
        <w:rPr>
          <w:rFonts w:ascii="Arial" w:hAnsi="Arial" w:cs="Arial"/>
        </w:rPr>
        <w:t xml:space="preserve">In light of this, it hardly comes as a surprise that </w:t>
      </w:r>
      <w:r w:rsidR="009625E2">
        <w:rPr>
          <w:rFonts w:ascii="Arial" w:hAnsi="Arial" w:cs="Arial"/>
          <w:i/>
        </w:rPr>
        <w:t>“</w:t>
      </w:r>
      <w:r w:rsidR="009625E2" w:rsidRPr="00E51484">
        <w:rPr>
          <w:rFonts w:ascii="Arial" w:hAnsi="Arial" w:cs="Arial"/>
          <w:i/>
        </w:rPr>
        <w:t>highly respected individuals and institutions (bankers, regulators) suddenly became widely detested</w:t>
      </w:r>
      <w:r w:rsidR="009625E2">
        <w:rPr>
          <w:rFonts w:ascii="Arial" w:hAnsi="Arial" w:cs="Arial"/>
          <w:i/>
        </w:rPr>
        <w:t>”</w:t>
      </w:r>
      <w:r w:rsidR="009625E2">
        <w:rPr>
          <w:rFonts w:ascii="Arial" w:hAnsi="Arial" w:cs="Arial"/>
        </w:rPr>
        <w:t xml:space="preserve"> (Whittle and Mueller, 2012).</w:t>
      </w:r>
      <w:r w:rsidR="009625E2">
        <w:rPr>
          <w:rStyle w:val="FootnoteReference"/>
          <w:rFonts w:ascii="Arial" w:hAnsi="Arial" w:cs="Arial"/>
        </w:rPr>
        <w:footnoteReference w:id="6"/>
      </w:r>
      <w:r w:rsidR="009625E2">
        <w:rPr>
          <w:rFonts w:ascii="Arial" w:hAnsi="Arial" w:cs="Arial"/>
        </w:rPr>
        <w:t xml:space="preserve">  </w:t>
      </w:r>
    </w:p>
    <w:p w:rsidR="00C373FA" w:rsidRDefault="00C373FA" w:rsidP="00A031F0">
      <w:pPr>
        <w:spacing w:after="0" w:line="480" w:lineRule="auto"/>
        <w:rPr>
          <w:rFonts w:ascii="Arial" w:hAnsi="Arial" w:cs="Arial"/>
        </w:rPr>
      </w:pPr>
    </w:p>
    <w:p w:rsidR="00C373FA" w:rsidRDefault="005C493D" w:rsidP="00A031F0">
      <w:pPr>
        <w:spacing w:after="0" w:line="480" w:lineRule="auto"/>
        <w:rPr>
          <w:rFonts w:ascii="Arial" w:hAnsi="Arial" w:cs="Arial"/>
        </w:rPr>
      </w:pPr>
      <w:r w:rsidRPr="00E52E56">
        <w:rPr>
          <w:rFonts w:ascii="Arial" w:hAnsi="Arial" w:cs="Arial"/>
        </w:rPr>
        <w:lastRenderedPageBreak/>
        <w:t>Set against this background</w:t>
      </w:r>
      <w:r w:rsidR="00E52E56">
        <w:rPr>
          <w:rFonts w:ascii="Arial" w:hAnsi="Arial" w:cs="Arial"/>
        </w:rPr>
        <w:t>,</w:t>
      </w:r>
      <w:r w:rsidRPr="00E52E56">
        <w:rPr>
          <w:rFonts w:ascii="Arial" w:hAnsi="Arial" w:cs="Arial"/>
        </w:rPr>
        <w:t xml:space="preserve"> this chapter considers the </w:t>
      </w:r>
      <w:r w:rsidR="00C373FA" w:rsidRPr="00E52E56">
        <w:rPr>
          <w:rFonts w:ascii="Arial" w:hAnsi="Arial" w:cs="Arial"/>
        </w:rPr>
        <w:t>general principles and objectives of financial market regulation</w:t>
      </w:r>
      <w:r w:rsidRPr="00E52E56">
        <w:rPr>
          <w:rFonts w:ascii="Arial" w:hAnsi="Arial" w:cs="Arial"/>
        </w:rPr>
        <w:t>.  It</w:t>
      </w:r>
      <w:r w:rsidR="00C373FA" w:rsidRPr="00E52E56">
        <w:rPr>
          <w:rFonts w:ascii="Arial" w:hAnsi="Arial" w:cs="Arial"/>
        </w:rPr>
        <w:t xml:space="preserve"> goes on to discuss the changes in the financial markets in light of some high profile losses but notes that the nature of capitalist markets is inherently unstable.  The chapter concludes with the argument that the answer to maintaining confidence does not lie in a constant tightening of rules but rather in </w:t>
      </w:r>
      <w:r w:rsidRPr="00E52E56">
        <w:rPr>
          <w:rFonts w:ascii="Arial" w:hAnsi="Arial" w:cs="Arial"/>
        </w:rPr>
        <w:t xml:space="preserve">the maintenance of a constant and open dialogue between the </w:t>
      </w:r>
      <w:r w:rsidR="00E52E56" w:rsidRPr="00E52E56">
        <w:rPr>
          <w:rFonts w:ascii="Arial" w:hAnsi="Arial" w:cs="Arial"/>
        </w:rPr>
        <w:t>regulators and the institutions and it is this that creates trust.</w:t>
      </w:r>
    </w:p>
    <w:p w:rsidR="00F0109C" w:rsidRDefault="00F0109C" w:rsidP="00A031F0">
      <w:pPr>
        <w:spacing w:after="0" w:line="480" w:lineRule="auto"/>
        <w:rPr>
          <w:rFonts w:ascii="Arial" w:hAnsi="Arial" w:cs="Arial"/>
          <w:b/>
        </w:rPr>
      </w:pPr>
    </w:p>
    <w:p w:rsidR="00B37A41" w:rsidRDefault="00C73B14" w:rsidP="00A031F0">
      <w:pPr>
        <w:spacing w:after="0" w:line="480" w:lineRule="auto"/>
        <w:rPr>
          <w:rFonts w:ascii="Arial" w:hAnsi="Arial" w:cs="Arial"/>
          <w:b/>
        </w:rPr>
      </w:pPr>
      <w:r>
        <w:rPr>
          <w:rFonts w:ascii="Arial" w:hAnsi="Arial" w:cs="Arial"/>
          <w:b/>
        </w:rPr>
        <w:t>Financial market regulation – the long view</w:t>
      </w:r>
    </w:p>
    <w:p w:rsidR="0028150B" w:rsidRPr="005C79D5" w:rsidRDefault="0028150B" w:rsidP="00A031F0">
      <w:pPr>
        <w:spacing w:after="0" w:line="480" w:lineRule="auto"/>
        <w:rPr>
          <w:rFonts w:ascii="Arial" w:hAnsi="Arial" w:cs="Arial"/>
          <w:b/>
        </w:rPr>
      </w:pPr>
    </w:p>
    <w:p w:rsidR="00C73B14" w:rsidRDefault="002756A4" w:rsidP="00C73B14">
      <w:pPr>
        <w:spacing w:after="0" w:line="480" w:lineRule="auto"/>
        <w:rPr>
          <w:rFonts w:ascii="Arial" w:hAnsi="Arial" w:cs="Arial"/>
        </w:rPr>
      </w:pPr>
      <w:r>
        <w:rPr>
          <w:rFonts w:ascii="Arial" w:hAnsi="Arial" w:cs="Arial"/>
        </w:rPr>
        <w:t xml:space="preserve">Regulation has long been viewed as being </w:t>
      </w:r>
      <w:r w:rsidR="00C73B14">
        <w:rPr>
          <w:rFonts w:ascii="Arial" w:hAnsi="Arial" w:cs="Arial"/>
          <w:i/>
        </w:rPr>
        <w:t>“</w:t>
      </w:r>
      <w:r w:rsidRPr="002756A4">
        <w:rPr>
          <w:rFonts w:ascii="Arial" w:hAnsi="Arial" w:cs="Arial"/>
          <w:i/>
        </w:rPr>
        <w:t>critical to the successful development of financial systems</w:t>
      </w:r>
      <w:r w:rsidR="00C73B14">
        <w:rPr>
          <w:rFonts w:ascii="Arial" w:hAnsi="Arial" w:cs="Arial"/>
          <w:i/>
        </w:rPr>
        <w:t>”</w:t>
      </w:r>
      <w:r>
        <w:rPr>
          <w:rStyle w:val="FootnoteReference"/>
          <w:rFonts w:ascii="Arial" w:hAnsi="Arial" w:cs="Arial"/>
        </w:rPr>
        <w:footnoteReference w:id="7"/>
      </w:r>
      <w:r w:rsidRPr="002756A4">
        <w:rPr>
          <w:rFonts w:ascii="Arial" w:hAnsi="Arial" w:cs="Arial"/>
        </w:rPr>
        <w:t xml:space="preserve"> (Mayer, 2008)</w:t>
      </w:r>
      <w:r w:rsidR="000D5DAE">
        <w:rPr>
          <w:rFonts w:ascii="Arial" w:hAnsi="Arial" w:cs="Arial"/>
        </w:rPr>
        <w:t xml:space="preserve"> and,</w:t>
      </w:r>
      <w:r w:rsidR="004E1513">
        <w:rPr>
          <w:rFonts w:ascii="Arial" w:hAnsi="Arial" w:cs="Arial"/>
        </w:rPr>
        <w:t xml:space="preserve"> largely in recognition of the interdependence between </w:t>
      </w:r>
      <w:r w:rsidR="00B61BEB">
        <w:rPr>
          <w:rFonts w:ascii="Arial" w:hAnsi="Arial" w:cs="Arial"/>
        </w:rPr>
        <w:t xml:space="preserve">global </w:t>
      </w:r>
      <w:r w:rsidR="004E1513">
        <w:rPr>
          <w:rFonts w:ascii="Arial" w:hAnsi="Arial" w:cs="Arial"/>
        </w:rPr>
        <w:t>financial markets and the</w:t>
      </w:r>
      <w:r w:rsidR="00EF3232">
        <w:rPr>
          <w:rFonts w:ascii="Arial" w:hAnsi="Arial" w:cs="Arial"/>
        </w:rPr>
        <w:t>ir</w:t>
      </w:r>
      <w:r w:rsidR="004E1513">
        <w:rPr>
          <w:rFonts w:ascii="Arial" w:hAnsi="Arial" w:cs="Arial"/>
        </w:rPr>
        <w:t xml:space="preserve"> </w:t>
      </w:r>
      <w:r w:rsidR="00EF3232">
        <w:rPr>
          <w:rFonts w:ascii="Arial" w:hAnsi="Arial" w:cs="Arial"/>
        </w:rPr>
        <w:t xml:space="preserve">congruence with </w:t>
      </w:r>
      <w:r w:rsidR="004E1513">
        <w:rPr>
          <w:rFonts w:ascii="Arial" w:hAnsi="Arial" w:cs="Arial"/>
        </w:rPr>
        <w:t>the wider economy</w:t>
      </w:r>
      <w:r w:rsidR="004E1513">
        <w:rPr>
          <w:rStyle w:val="FootnoteReference"/>
          <w:rFonts w:ascii="Arial" w:hAnsi="Arial" w:cs="Arial"/>
        </w:rPr>
        <w:footnoteReference w:id="8"/>
      </w:r>
      <w:r w:rsidR="000D5DAE">
        <w:rPr>
          <w:rFonts w:ascii="Arial" w:hAnsi="Arial" w:cs="Arial"/>
        </w:rPr>
        <w:t>,</w:t>
      </w:r>
      <w:r w:rsidR="00F01100">
        <w:rPr>
          <w:rFonts w:ascii="Arial" w:hAnsi="Arial" w:cs="Arial"/>
        </w:rPr>
        <w:t xml:space="preserve"> </w:t>
      </w:r>
      <w:r w:rsidR="00C73B14">
        <w:rPr>
          <w:rFonts w:ascii="Arial" w:hAnsi="Arial" w:cs="Arial"/>
        </w:rPr>
        <w:t>“</w:t>
      </w:r>
      <w:r w:rsidR="00422A4F" w:rsidRPr="000D5DAE">
        <w:rPr>
          <w:rFonts w:ascii="Arial" w:hAnsi="Arial" w:cs="Arial"/>
          <w:i/>
        </w:rPr>
        <w:t>There can be few issues of greater public importance than the regulation of global financial markets</w:t>
      </w:r>
      <w:proofErr w:type="gramStart"/>
      <w:r w:rsidR="00C73B14">
        <w:rPr>
          <w:rFonts w:ascii="Arial" w:hAnsi="Arial" w:cs="Arial"/>
          <w:i/>
        </w:rPr>
        <w:t>”</w:t>
      </w:r>
      <w:r w:rsidR="002F0C20">
        <w:rPr>
          <w:rFonts w:ascii="Arial" w:hAnsi="Arial" w:cs="Arial"/>
          <w:i/>
        </w:rPr>
        <w:t xml:space="preserve"> </w:t>
      </w:r>
      <w:r w:rsidR="00422A4F" w:rsidRPr="00422A4F">
        <w:rPr>
          <w:rFonts w:ascii="Arial" w:hAnsi="Arial" w:cs="Arial"/>
        </w:rPr>
        <w:t xml:space="preserve"> </w:t>
      </w:r>
      <w:proofErr w:type="spellStart"/>
      <w:r w:rsidR="00422A4F" w:rsidRPr="00422A4F">
        <w:rPr>
          <w:rFonts w:ascii="Arial" w:hAnsi="Arial" w:cs="Arial"/>
        </w:rPr>
        <w:t>Picciotto</w:t>
      </w:r>
      <w:proofErr w:type="spellEnd"/>
      <w:proofErr w:type="gramEnd"/>
      <w:r w:rsidR="00422A4F" w:rsidRPr="00422A4F">
        <w:rPr>
          <w:rFonts w:ascii="Arial" w:hAnsi="Arial" w:cs="Arial"/>
        </w:rPr>
        <w:t xml:space="preserve"> and Haines</w:t>
      </w:r>
      <w:r w:rsidR="00422A4F">
        <w:rPr>
          <w:rStyle w:val="FootnoteReference"/>
          <w:rFonts w:ascii="Arial" w:hAnsi="Arial" w:cs="Arial"/>
        </w:rPr>
        <w:footnoteReference w:id="9"/>
      </w:r>
      <w:r w:rsidR="00422A4F" w:rsidRPr="00422A4F">
        <w:rPr>
          <w:rFonts w:ascii="Arial" w:hAnsi="Arial" w:cs="Arial"/>
        </w:rPr>
        <w:t xml:space="preserve"> (1999)</w:t>
      </w:r>
      <w:r w:rsidR="00DA7B18">
        <w:rPr>
          <w:rFonts w:ascii="Arial" w:hAnsi="Arial" w:cs="Arial"/>
        </w:rPr>
        <w:t>.</w:t>
      </w:r>
      <w:r w:rsidR="00C170B5">
        <w:rPr>
          <w:rFonts w:ascii="Arial" w:hAnsi="Arial" w:cs="Arial"/>
        </w:rPr>
        <w:t xml:space="preserve"> </w:t>
      </w:r>
      <w:r w:rsidR="00422A4F">
        <w:rPr>
          <w:rFonts w:ascii="Arial" w:hAnsi="Arial" w:cs="Arial"/>
        </w:rPr>
        <w:t xml:space="preserve"> </w:t>
      </w:r>
      <w:r w:rsidR="00C170B5">
        <w:rPr>
          <w:rFonts w:ascii="Arial" w:hAnsi="Arial" w:cs="Arial"/>
        </w:rPr>
        <w:t>Justification for market intervention can be found within</w:t>
      </w:r>
      <w:r w:rsidR="00F01100">
        <w:rPr>
          <w:rFonts w:ascii="Arial" w:hAnsi="Arial" w:cs="Arial"/>
        </w:rPr>
        <w:t xml:space="preserve"> </w:t>
      </w:r>
      <w:r w:rsidR="00B61BEB">
        <w:rPr>
          <w:rFonts w:ascii="Arial" w:hAnsi="Arial" w:cs="Arial"/>
        </w:rPr>
        <w:t>welfare</w:t>
      </w:r>
      <w:r w:rsidR="00F01100">
        <w:rPr>
          <w:rFonts w:ascii="Arial" w:hAnsi="Arial" w:cs="Arial"/>
        </w:rPr>
        <w:t xml:space="preserve"> economics, where </w:t>
      </w:r>
      <w:r w:rsidR="003B1F38">
        <w:rPr>
          <w:rFonts w:ascii="Arial" w:hAnsi="Arial" w:cs="Arial"/>
        </w:rPr>
        <w:t xml:space="preserve">it </w:t>
      </w:r>
      <w:r w:rsidR="00F01100">
        <w:rPr>
          <w:rFonts w:ascii="Arial" w:hAnsi="Arial" w:cs="Arial"/>
        </w:rPr>
        <w:t xml:space="preserve">takes place to correct a perceived failure in what are otherwise regarded as competitive markets.  </w:t>
      </w:r>
      <w:r w:rsidR="00C73B14">
        <w:rPr>
          <w:rFonts w:ascii="Arial" w:hAnsi="Arial" w:cs="Arial"/>
        </w:rPr>
        <w:t>One of the main market failures that regulation is called upon to counter is that of informational asymmetry</w:t>
      </w:r>
      <w:r w:rsidR="00C73B14">
        <w:rPr>
          <w:rStyle w:val="FootnoteReference"/>
          <w:rFonts w:ascii="Arial" w:hAnsi="Arial" w:cs="Arial"/>
        </w:rPr>
        <w:footnoteReference w:id="10"/>
      </w:r>
      <w:r w:rsidR="00C73B14">
        <w:rPr>
          <w:rFonts w:ascii="Arial" w:hAnsi="Arial" w:cs="Arial"/>
        </w:rPr>
        <w:t xml:space="preserve"> seen to exist between the professional practitioners within financial markets and the individual users (customers and investors) of the financial services that they provide.  </w:t>
      </w:r>
    </w:p>
    <w:p w:rsidR="00746626" w:rsidRDefault="000A2005" w:rsidP="00A031F0">
      <w:pPr>
        <w:spacing w:after="0" w:line="480" w:lineRule="auto"/>
      </w:pPr>
      <w:r>
        <w:rPr>
          <w:rFonts w:ascii="Arial" w:hAnsi="Arial" w:cs="Arial"/>
        </w:rPr>
        <w:t xml:space="preserve">Thus regulators are very much viewed as </w:t>
      </w:r>
      <w:r w:rsidR="00B64F5C">
        <w:rPr>
          <w:rFonts w:ascii="Arial" w:hAnsi="Arial" w:cs="Arial"/>
          <w:i/>
        </w:rPr>
        <w:t xml:space="preserve">‘technicians acting in the public interest’ </w:t>
      </w:r>
      <w:r w:rsidR="00B64F5C">
        <w:rPr>
          <w:rFonts w:ascii="Arial" w:hAnsi="Arial" w:cs="Arial"/>
        </w:rPr>
        <w:t>(Ricketts, 2006)</w:t>
      </w:r>
      <w:r w:rsidR="00B64F5C">
        <w:rPr>
          <w:rStyle w:val="FootnoteReference"/>
          <w:rFonts w:ascii="Arial" w:hAnsi="Arial" w:cs="Arial"/>
        </w:rPr>
        <w:footnoteReference w:id="11"/>
      </w:r>
      <w:r w:rsidR="00B64F5C">
        <w:rPr>
          <w:rFonts w:ascii="Arial" w:hAnsi="Arial" w:cs="Arial"/>
        </w:rPr>
        <w:t xml:space="preserve"> </w:t>
      </w:r>
      <w:r w:rsidR="00587B14">
        <w:rPr>
          <w:rFonts w:ascii="Arial" w:hAnsi="Arial" w:cs="Arial"/>
        </w:rPr>
        <w:t xml:space="preserve">and that </w:t>
      </w:r>
      <w:r w:rsidR="00587B14" w:rsidRPr="00436089">
        <w:rPr>
          <w:rFonts w:ascii="Arial" w:hAnsi="Arial" w:cs="Arial"/>
          <w:i/>
        </w:rPr>
        <w:t>‘the development of codification as institutionalisation’</w:t>
      </w:r>
      <w:r w:rsidR="00587B14">
        <w:rPr>
          <w:rFonts w:ascii="Arial" w:hAnsi="Arial" w:cs="Arial"/>
        </w:rPr>
        <w:t xml:space="preserve"> (Vass, </w:t>
      </w:r>
      <w:r w:rsidR="00587B14">
        <w:rPr>
          <w:rFonts w:ascii="Arial" w:hAnsi="Arial" w:cs="Arial"/>
        </w:rPr>
        <w:lastRenderedPageBreak/>
        <w:t>2006)</w:t>
      </w:r>
      <w:r w:rsidR="00587B14">
        <w:rPr>
          <w:rStyle w:val="FootnoteReference"/>
          <w:rFonts w:ascii="Arial" w:hAnsi="Arial" w:cs="Arial"/>
        </w:rPr>
        <w:footnoteReference w:id="12"/>
      </w:r>
      <w:r w:rsidR="00587B14">
        <w:rPr>
          <w:rFonts w:ascii="Arial" w:hAnsi="Arial" w:cs="Arial"/>
        </w:rPr>
        <w:t xml:space="preserve"> </w:t>
      </w:r>
      <w:r w:rsidR="00587B14" w:rsidRPr="00587B14">
        <w:rPr>
          <w:rFonts w:ascii="Arial" w:hAnsi="Arial" w:cs="Arial"/>
        </w:rPr>
        <w:t xml:space="preserve"> is embedded</w:t>
      </w:r>
      <w:r w:rsidR="00436089">
        <w:rPr>
          <w:rFonts w:ascii="Arial" w:hAnsi="Arial" w:cs="Arial"/>
        </w:rPr>
        <w:t xml:space="preserve"> within the framework such that regulation becomes subject to judgement as to its fairness, proportionality, targeting and consistency</w:t>
      </w:r>
      <w:r w:rsidR="003764A2">
        <w:rPr>
          <w:rFonts w:ascii="Arial" w:hAnsi="Arial" w:cs="Arial"/>
        </w:rPr>
        <w:t xml:space="preserve"> (</w:t>
      </w:r>
      <w:r w:rsidR="003764A2" w:rsidRPr="003764A2">
        <w:rPr>
          <w:rFonts w:ascii="Arial" w:hAnsi="Arial" w:cs="Arial"/>
        </w:rPr>
        <w:t>Baldwin and Cave,</w:t>
      </w:r>
      <w:r w:rsidR="00B40C5B">
        <w:rPr>
          <w:rFonts w:ascii="Arial" w:hAnsi="Arial" w:cs="Arial"/>
        </w:rPr>
        <w:t xml:space="preserve"> </w:t>
      </w:r>
      <w:r w:rsidR="003764A2" w:rsidRPr="003764A2">
        <w:rPr>
          <w:rFonts w:ascii="Arial" w:hAnsi="Arial" w:cs="Arial"/>
        </w:rPr>
        <w:t>1999; Kirkpatrick 2006</w:t>
      </w:r>
      <w:r w:rsidR="003764A2">
        <w:rPr>
          <w:rFonts w:ascii="Arial" w:hAnsi="Arial" w:cs="Arial"/>
        </w:rPr>
        <w:t>)</w:t>
      </w:r>
      <w:r w:rsidR="003764A2">
        <w:rPr>
          <w:rStyle w:val="FootnoteReference"/>
          <w:rFonts w:ascii="Arial" w:hAnsi="Arial" w:cs="Arial"/>
        </w:rPr>
        <w:footnoteReference w:id="13"/>
      </w:r>
      <w:r w:rsidR="003764A2">
        <w:rPr>
          <w:rFonts w:ascii="Arial" w:hAnsi="Arial" w:cs="Arial"/>
        </w:rPr>
        <w:t xml:space="preserve">.  It also requires that regulators themselves are open to independent scrutiny </w:t>
      </w:r>
      <w:r w:rsidR="00B40C5B">
        <w:rPr>
          <w:rFonts w:ascii="Arial" w:hAnsi="Arial" w:cs="Arial"/>
        </w:rPr>
        <w:t>– as</w:t>
      </w:r>
      <w:r w:rsidR="00C170B5">
        <w:rPr>
          <w:rFonts w:ascii="Arial" w:hAnsi="Arial" w:cs="Arial"/>
        </w:rPr>
        <w:t>,</w:t>
      </w:r>
      <w:r w:rsidR="00B40C5B">
        <w:rPr>
          <w:rFonts w:ascii="Arial" w:hAnsi="Arial" w:cs="Arial"/>
        </w:rPr>
        <w:t xml:space="preserve"> </w:t>
      </w:r>
      <w:r w:rsidR="003764A2">
        <w:rPr>
          <w:rFonts w:ascii="Arial" w:hAnsi="Arial" w:cs="Arial"/>
        </w:rPr>
        <w:t>if the dominant paradigm is public interest</w:t>
      </w:r>
      <w:r w:rsidR="00C170B5">
        <w:rPr>
          <w:rFonts w:ascii="Arial" w:hAnsi="Arial" w:cs="Arial"/>
        </w:rPr>
        <w:t>,</w:t>
      </w:r>
      <w:r w:rsidR="003764A2">
        <w:rPr>
          <w:rFonts w:ascii="Arial" w:hAnsi="Arial" w:cs="Arial"/>
        </w:rPr>
        <w:t xml:space="preserve"> it is </w:t>
      </w:r>
      <w:r w:rsidR="00B40C5B">
        <w:rPr>
          <w:rFonts w:ascii="Arial" w:hAnsi="Arial" w:cs="Arial"/>
        </w:rPr>
        <w:t xml:space="preserve">then </w:t>
      </w:r>
      <w:r w:rsidR="003764A2">
        <w:rPr>
          <w:rFonts w:ascii="Arial" w:hAnsi="Arial" w:cs="Arial"/>
        </w:rPr>
        <w:t xml:space="preserve">imperative that regulators do not fall prey to </w:t>
      </w:r>
      <w:r w:rsidR="00B40C5B">
        <w:rPr>
          <w:rFonts w:ascii="Arial" w:hAnsi="Arial" w:cs="Arial"/>
        </w:rPr>
        <w:t xml:space="preserve">actual or indeed, perceived, </w:t>
      </w:r>
      <w:r w:rsidR="003764A2">
        <w:rPr>
          <w:rFonts w:ascii="Arial" w:hAnsi="Arial" w:cs="Arial"/>
        </w:rPr>
        <w:t>regulatory capture</w:t>
      </w:r>
      <w:r w:rsidR="00746626">
        <w:rPr>
          <w:rFonts w:ascii="Arial" w:hAnsi="Arial" w:cs="Arial"/>
        </w:rPr>
        <w:t xml:space="preserve">. </w:t>
      </w:r>
      <w:r w:rsidR="00746626" w:rsidRPr="00746626">
        <w:t xml:space="preserve"> </w:t>
      </w:r>
      <w:r w:rsidR="00DF7984" w:rsidRPr="00B40C5B">
        <w:rPr>
          <w:rFonts w:ascii="Arial" w:hAnsi="Arial" w:cs="Arial"/>
        </w:rPr>
        <w:t>Any suggestion of the latter</w:t>
      </w:r>
      <w:r w:rsidR="00DF7984">
        <w:rPr>
          <w:rFonts w:ascii="Arial" w:hAnsi="Arial" w:cs="Arial"/>
        </w:rPr>
        <w:t xml:space="preserve"> would undermine the function that regulation plays in reinforcing confidence in financial markets.  C</w:t>
      </w:r>
      <w:r w:rsidR="00DF7984" w:rsidRPr="00DF7984">
        <w:rPr>
          <w:rFonts w:ascii="Arial" w:hAnsi="Arial" w:cs="Arial"/>
        </w:rPr>
        <w:t xml:space="preserve">apture </w:t>
      </w:r>
      <w:r w:rsidR="00DF7984">
        <w:rPr>
          <w:rFonts w:ascii="Arial" w:hAnsi="Arial" w:cs="Arial"/>
        </w:rPr>
        <w:t>occurs</w:t>
      </w:r>
      <w:r w:rsidR="00DF7984" w:rsidRPr="00DF7984">
        <w:rPr>
          <w:rFonts w:ascii="Arial" w:hAnsi="Arial" w:cs="Arial"/>
        </w:rPr>
        <w:t xml:space="preserve"> where the regulator and </w:t>
      </w:r>
      <w:r w:rsidR="00DF7984">
        <w:rPr>
          <w:rFonts w:ascii="Arial" w:hAnsi="Arial" w:cs="Arial"/>
        </w:rPr>
        <w:t xml:space="preserve">those subject to regulation identify with each other </w:t>
      </w:r>
      <w:r w:rsidR="00471DD9">
        <w:rPr>
          <w:rFonts w:ascii="Arial" w:hAnsi="Arial" w:cs="Arial"/>
        </w:rPr>
        <w:t xml:space="preserve">to </w:t>
      </w:r>
      <w:r w:rsidR="00DF7984">
        <w:rPr>
          <w:rFonts w:ascii="Arial" w:hAnsi="Arial" w:cs="Arial"/>
        </w:rPr>
        <w:t>such</w:t>
      </w:r>
      <w:r w:rsidR="00471DD9">
        <w:rPr>
          <w:rFonts w:ascii="Arial" w:hAnsi="Arial" w:cs="Arial"/>
        </w:rPr>
        <w:t xml:space="preserve"> an extent</w:t>
      </w:r>
      <w:r w:rsidR="00DF7984">
        <w:rPr>
          <w:rFonts w:ascii="Arial" w:hAnsi="Arial" w:cs="Arial"/>
        </w:rPr>
        <w:t xml:space="preserve"> that the former cannot envisage rule transgression by the latter and </w:t>
      </w:r>
      <w:r w:rsidR="00D952E2">
        <w:rPr>
          <w:rFonts w:ascii="Arial" w:hAnsi="Arial" w:cs="Arial"/>
        </w:rPr>
        <w:t>under which</w:t>
      </w:r>
      <w:r w:rsidR="00DF7984">
        <w:rPr>
          <w:rFonts w:ascii="Arial" w:hAnsi="Arial" w:cs="Arial"/>
        </w:rPr>
        <w:t xml:space="preserve"> public denouncement and regulatory sanction</w:t>
      </w:r>
      <w:r w:rsidR="00DF7984" w:rsidRPr="00DF7984">
        <w:rPr>
          <w:rFonts w:ascii="Arial" w:hAnsi="Arial" w:cs="Arial"/>
        </w:rPr>
        <w:t xml:space="preserve"> </w:t>
      </w:r>
      <w:r w:rsidR="00D952E2">
        <w:rPr>
          <w:rFonts w:ascii="Arial" w:hAnsi="Arial" w:cs="Arial"/>
        </w:rPr>
        <w:t>becomes</w:t>
      </w:r>
      <w:r w:rsidR="00DF7984" w:rsidRPr="00DF7984">
        <w:rPr>
          <w:rFonts w:ascii="Arial" w:hAnsi="Arial" w:cs="Arial"/>
        </w:rPr>
        <w:t xml:space="preserve"> unthinkable.</w:t>
      </w:r>
      <w:r w:rsidR="00DF7984" w:rsidRPr="00DF7984">
        <w:t xml:space="preserve"> </w:t>
      </w:r>
    </w:p>
    <w:p w:rsidR="00AD0E94" w:rsidRDefault="00AD0E94" w:rsidP="00453966">
      <w:pPr>
        <w:spacing w:after="0" w:line="480" w:lineRule="auto"/>
        <w:rPr>
          <w:rFonts w:ascii="Arial" w:hAnsi="Arial" w:cs="Arial"/>
        </w:rPr>
      </w:pPr>
    </w:p>
    <w:p w:rsidR="00453966" w:rsidRDefault="00C170B5" w:rsidP="00453966">
      <w:pPr>
        <w:spacing w:after="0" w:line="480" w:lineRule="auto"/>
        <w:rPr>
          <w:rFonts w:ascii="Arial" w:hAnsi="Arial" w:cs="Arial"/>
        </w:rPr>
      </w:pPr>
      <w:r w:rsidRPr="00C170B5">
        <w:rPr>
          <w:rFonts w:ascii="Arial" w:hAnsi="Arial" w:cs="Arial"/>
        </w:rPr>
        <w:t xml:space="preserve">In simple terms </w:t>
      </w:r>
      <w:r w:rsidR="00453966">
        <w:rPr>
          <w:rFonts w:ascii="Arial" w:hAnsi="Arial" w:cs="Arial"/>
        </w:rPr>
        <w:t xml:space="preserve">prudential </w:t>
      </w:r>
      <w:r w:rsidRPr="00C170B5">
        <w:rPr>
          <w:rFonts w:ascii="Arial" w:hAnsi="Arial" w:cs="Arial"/>
        </w:rPr>
        <w:t xml:space="preserve">regulation establishes the </w:t>
      </w:r>
      <w:r>
        <w:rPr>
          <w:rFonts w:ascii="Arial" w:hAnsi="Arial" w:cs="Arial"/>
        </w:rPr>
        <w:t xml:space="preserve">framework </w:t>
      </w:r>
      <w:r w:rsidR="00453966">
        <w:rPr>
          <w:rFonts w:ascii="Arial" w:hAnsi="Arial" w:cs="Arial"/>
        </w:rPr>
        <w:t xml:space="preserve">that ensures financial institutions are properly managed, adequately capitalised and have in place appropriate systems with which to control and monitor risk arising from the portfolio of their activities.  These rules are intended to ensure stability and achieve the underlying objective of promoting </w:t>
      </w:r>
      <w:r w:rsidR="00422A4F" w:rsidRPr="00422A4F">
        <w:rPr>
          <w:rFonts w:ascii="Arial" w:hAnsi="Arial" w:cs="Arial"/>
        </w:rPr>
        <w:t>confidence in the financial system</w:t>
      </w:r>
      <w:r w:rsidR="00453966">
        <w:rPr>
          <w:rFonts w:ascii="Arial" w:hAnsi="Arial" w:cs="Arial"/>
        </w:rPr>
        <w:t xml:space="preserve">.  Enforcement of these rules falls to the national financial market regulator.  </w:t>
      </w:r>
      <w:r w:rsidR="00AD0E94">
        <w:rPr>
          <w:rFonts w:ascii="Arial" w:hAnsi="Arial" w:cs="Arial"/>
        </w:rPr>
        <w:t>The 1980s witnessed, through the 1986 Financial Services Act</w:t>
      </w:r>
      <w:r w:rsidR="00B55A53">
        <w:rPr>
          <w:rStyle w:val="FootnoteReference"/>
          <w:rFonts w:ascii="Arial" w:hAnsi="Arial" w:cs="Arial"/>
        </w:rPr>
        <w:footnoteReference w:id="14"/>
      </w:r>
      <w:r w:rsidR="00AD0E94">
        <w:rPr>
          <w:rFonts w:ascii="Arial" w:hAnsi="Arial" w:cs="Arial"/>
        </w:rPr>
        <w:t xml:space="preserve">, the </w:t>
      </w:r>
      <w:r w:rsidR="00453966">
        <w:rPr>
          <w:rFonts w:ascii="Arial" w:hAnsi="Arial" w:cs="Arial"/>
        </w:rPr>
        <w:t>first comprehensive attempt at wholesale taming of the financial markets</w:t>
      </w:r>
      <w:r w:rsidR="00AD0E94">
        <w:rPr>
          <w:rFonts w:ascii="Arial" w:hAnsi="Arial" w:cs="Arial"/>
        </w:rPr>
        <w:t xml:space="preserve">.  This Act </w:t>
      </w:r>
      <w:r w:rsidR="00453966" w:rsidRPr="00422A4F">
        <w:rPr>
          <w:rFonts w:ascii="Arial" w:hAnsi="Arial" w:cs="Arial"/>
        </w:rPr>
        <w:t>established</w:t>
      </w:r>
      <w:r w:rsidR="00453966">
        <w:rPr>
          <w:rFonts w:ascii="Arial" w:hAnsi="Arial" w:cs="Arial"/>
        </w:rPr>
        <w:t xml:space="preserve"> </w:t>
      </w:r>
      <w:r w:rsidR="00C73B14">
        <w:rPr>
          <w:rFonts w:ascii="Arial" w:hAnsi="Arial" w:cs="Arial"/>
        </w:rPr>
        <w:t>m</w:t>
      </w:r>
      <w:r w:rsidR="00453966" w:rsidRPr="00422A4F">
        <w:rPr>
          <w:rFonts w:ascii="Arial" w:hAnsi="Arial" w:cs="Arial"/>
        </w:rPr>
        <w:t>ultiple self-regulatory bodies</w:t>
      </w:r>
      <w:r w:rsidR="00C73B14">
        <w:rPr>
          <w:rFonts w:ascii="Arial" w:hAnsi="Arial" w:cs="Arial"/>
        </w:rPr>
        <w:t xml:space="preserve"> which collectively</w:t>
      </w:r>
    </w:p>
    <w:p w:rsidR="00453966" w:rsidRPr="00216368" w:rsidRDefault="00453966" w:rsidP="00453966">
      <w:pPr>
        <w:spacing w:after="0" w:line="480" w:lineRule="auto"/>
        <w:ind w:left="720"/>
        <w:rPr>
          <w:rFonts w:ascii="Arial" w:hAnsi="Arial" w:cs="Arial"/>
          <w:i/>
        </w:rPr>
      </w:pPr>
      <w:r>
        <w:rPr>
          <w:rFonts w:ascii="Arial" w:hAnsi="Arial" w:cs="Arial"/>
          <w:i/>
        </w:rPr>
        <w:t>“</w:t>
      </w:r>
      <w:proofErr w:type="gramStart"/>
      <w:r>
        <w:rPr>
          <w:rFonts w:ascii="Arial" w:hAnsi="Arial" w:cs="Arial"/>
          <w:i/>
        </w:rPr>
        <w:t>demonstrated</w:t>
      </w:r>
      <w:proofErr w:type="gramEnd"/>
      <w:r>
        <w:rPr>
          <w:rFonts w:ascii="Arial" w:hAnsi="Arial" w:cs="Arial"/>
          <w:i/>
        </w:rPr>
        <w:t xml:space="preserve">….that the City of London was a well regulated market and therefore an arena of probity and confidence” </w:t>
      </w:r>
      <w:r w:rsidRPr="00AD0E94">
        <w:rPr>
          <w:rFonts w:ascii="Arial" w:hAnsi="Arial" w:cs="Arial"/>
        </w:rPr>
        <w:t>(Stanley,1994)</w:t>
      </w:r>
      <w:r>
        <w:rPr>
          <w:rFonts w:ascii="Arial" w:hAnsi="Arial" w:cs="Arial"/>
          <w:i/>
        </w:rPr>
        <w:t xml:space="preserve"> </w:t>
      </w:r>
      <w:r w:rsidRPr="00AD0E94">
        <w:rPr>
          <w:rStyle w:val="FootnoteReference"/>
          <w:rFonts w:ascii="Arial" w:hAnsi="Arial" w:cs="Arial"/>
        </w:rPr>
        <w:footnoteReference w:id="15"/>
      </w:r>
    </w:p>
    <w:p w:rsidR="00972AFF" w:rsidRDefault="00972AFF" w:rsidP="00A031F0">
      <w:pPr>
        <w:spacing w:after="0" w:line="480" w:lineRule="auto"/>
        <w:rPr>
          <w:rFonts w:ascii="Arial" w:hAnsi="Arial" w:cs="Arial"/>
        </w:rPr>
      </w:pPr>
    </w:p>
    <w:p w:rsidR="00B34B74" w:rsidRDefault="002A10EB" w:rsidP="0060674C">
      <w:pPr>
        <w:spacing w:after="0" w:line="480" w:lineRule="auto"/>
        <w:rPr>
          <w:rFonts w:ascii="Arial" w:hAnsi="Arial" w:cs="Arial"/>
        </w:rPr>
      </w:pPr>
      <w:r>
        <w:rPr>
          <w:rFonts w:ascii="Arial" w:hAnsi="Arial" w:cs="Arial"/>
        </w:rPr>
        <w:lastRenderedPageBreak/>
        <w:t>A</w:t>
      </w:r>
      <w:r w:rsidRPr="003524F0">
        <w:rPr>
          <w:rFonts w:ascii="Arial" w:hAnsi="Arial" w:cs="Arial"/>
        </w:rPr>
        <w:t xml:space="preserve"> </w:t>
      </w:r>
      <w:r>
        <w:rPr>
          <w:rFonts w:ascii="Arial" w:hAnsi="Arial" w:cs="Arial"/>
        </w:rPr>
        <w:t>central tenet</w:t>
      </w:r>
      <w:r w:rsidRPr="003524F0">
        <w:rPr>
          <w:rFonts w:ascii="Arial" w:hAnsi="Arial" w:cs="Arial"/>
        </w:rPr>
        <w:t xml:space="preserve"> of </w:t>
      </w:r>
      <w:r w:rsidR="00604FE9">
        <w:rPr>
          <w:rFonts w:ascii="Arial" w:hAnsi="Arial" w:cs="Arial"/>
        </w:rPr>
        <w:t xml:space="preserve">the government at the time and its policy </w:t>
      </w:r>
      <w:r>
        <w:rPr>
          <w:rFonts w:ascii="Arial" w:hAnsi="Arial" w:cs="Arial"/>
        </w:rPr>
        <w:t xml:space="preserve">was to </w:t>
      </w:r>
      <w:r w:rsidR="00604FE9">
        <w:rPr>
          <w:rFonts w:ascii="Arial" w:hAnsi="Arial" w:cs="Arial"/>
        </w:rPr>
        <w:t>open up</w:t>
      </w:r>
      <w:r>
        <w:rPr>
          <w:rFonts w:ascii="Arial" w:hAnsi="Arial" w:cs="Arial"/>
        </w:rPr>
        <w:t xml:space="preserve"> </w:t>
      </w:r>
      <w:r w:rsidR="00B64F5D" w:rsidRPr="003524F0">
        <w:rPr>
          <w:rFonts w:ascii="Arial" w:hAnsi="Arial" w:cs="Arial"/>
        </w:rPr>
        <w:t xml:space="preserve">access to financial </w:t>
      </w:r>
      <w:r>
        <w:rPr>
          <w:rFonts w:ascii="Arial" w:hAnsi="Arial" w:cs="Arial"/>
        </w:rPr>
        <w:t xml:space="preserve">markets to the wider population, </w:t>
      </w:r>
      <w:r w:rsidR="00B64F5D" w:rsidRPr="003524F0">
        <w:rPr>
          <w:rFonts w:ascii="Arial" w:hAnsi="Arial" w:cs="Arial"/>
        </w:rPr>
        <w:t>whereby the man in the street was encouraged to participate in the growing financial markets (Gamble, 1989)</w:t>
      </w:r>
      <w:r w:rsidR="00B64F5D" w:rsidRPr="003524F0">
        <w:rPr>
          <w:rStyle w:val="FootnoteReference"/>
          <w:rFonts w:ascii="Arial" w:hAnsi="Arial" w:cs="Arial"/>
        </w:rPr>
        <w:footnoteReference w:id="16"/>
      </w:r>
      <w:r w:rsidR="00B64F5D" w:rsidRPr="003524F0">
        <w:rPr>
          <w:rFonts w:ascii="Arial" w:hAnsi="Arial" w:cs="Arial"/>
        </w:rPr>
        <w:t xml:space="preserve">.  </w:t>
      </w:r>
      <w:r w:rsidR="000C573E">
        <w:rPr>
          <w:rFonts w:ascii="Arial" w:hAnsi="Arial" w:cs="Arial"/>
        </w:rPr>
        <w:t xml:space="preserve">To be successful, the </w:t>
      </w:r>
      <w:r w:rsidR="00586607">
        <w:rPr>
          <w:rFonts w:ascii="Arial" w:hAnsi="Arial" w:cs="Arial"/>
        </w:rPr>
        <w:t xml:space="preserve">privatisation </w:t>
      </w:r>
      <w:r w:rsidR="000C573E">
        <w:rPr>
          <w:rFonts w:ascii="Arial" w:hAnsi="Arial" w:cs="Arial"/>
        </w:rPr>
        <w:t xml:space="preserve">policy </w:t>
      </w:r>
      <w:r w:rsidR="00B64F5D" w:rsidRPr="003524F0">
        <w:rPr>
          <w:rFonts w:ascii="Arial" w:hAnsi="Arial" w:cs="Arial"/>
        </w:rPr>
        <w:t>required the introduction of mechanisms that would ensure “</w:t>
      </w:r>
      <w:r w:rsidR="00B64F5D" w:rsidRPr="003524F0">
        <w:rPr>
          <w:rFonts w:ascii="Arial" w:hAnsi="Arial" w:cs="Arial"/>
          <w:i/>
        </w:rPr>
        <w:t xml:space="preserve">effective legal protection of </w:t>
      </w:r>
      <w:r w:rsidR="00F3711F">
        <w:rPr>
          <w:rFonts w:ascii="Arial" w:hAnsi="Arial" w:cs="Arial"/>
          <w:i/>
        </w:rPr>
        <w:t>i</w:t>
      </w:r>
      <w:r w:rsidR="00B64F5D" w:rsidRPr="003524F0">
        <w:rPr>
          <w:rFonts w:ascii="Arial" w:hAnsi="Arial" w:cs="Arial"/>
          <w:i/>
        </w:rPr>
        <w:t>nvestors</w:t>
      </w:r>
      <w:r w:rsidR="00B64F5D" w:rsidRPr="003524F0">
        <w:rPr>
          <w:rFonts w:ascii="Arial" w:hAnsi="Arial" w:cs="Arial"/>
        </w:rPr>
        <w:t xml:space="preserve">” (Johnson and </w:t>
      </w:r>
      <w:proofErr w:type="spellStart"/>
      <w:r w:rsidR="00B64F5D" w:rsidRPr="003524F0">
        <w:rPr>
          <w:rFonts w:ascii="Arial" w:hAnsi="Arial" w:cs="Arial"/>
        </w:rPr>
        <w:t>Schleifer</w:t>
      </w:r>
      <w:proofErr w:type="spellEnd"/>
      <w:r w:rsidR="00B64F5D" w:rsidRPr="003524F0">
        <w:rPr>
          <w:rFonts w:ascii="Arial" w:hAnsi="Arial" w:cs="Arial"/>
        </w:rPr>
        <w:t>, 2004</w:t>
      </w:r>
      <w:r w:rsidR="000C573E">
        <w:rPr>
          <w:rStyle w:val="FootnoteReference"/>
          <w:rFonts w:ascii="Arial" w:hAnsi="Arial" w:cs="Arial"/>
        </w:rPr>
        <w:footnoteReference w:id="17"/>
      </w:r>
      <w:r w:rsidR="005853FE" w:rsidRPr="003524F0">
        <w:rPr>
          <w:rFonts w:ascii="Arial" w:hAnsi="Arial" w:cs="Arial"/>
        </w:rPr>
        <w:t>;</w:t>
      </w:r>
      <w:r w:rsidR="00B64F5D" w:rsidRPr="003524F0">
        <w:rPr>
          <w:rFonts w:ascii="Arial" w:hAnsi="Arial" w:cs="Arial"/>
        </w:rPr>
        <w:t xml:space="preserve"> Crew and </w:t>
      </w:r>
      <w:proofErr w:type="spellStart"/>
      <w:r w:rsidR="00B64F5D" w:rsidRPr="003524F0">
        <w:rPr>
          <w:rFonts w:ascii="Arial" w:hAnsi="Arial" w:cs="Arial"/>
        </w:rPr>
        <w:t>Kleindorfer</w:t>
      </w:r>
      <w:proofErr w:type="spellEnd"/>
      <w:r w:rsidR="00B64F5D" w:rsidRPr="003524F0">
        <w:rPr>
          <w:rFonts w:ascii="Arial" w:hAnsi="Arial" w:cs="Arial"/>
        </w:rPr>
        <w:t>, 2002</w:t>
      </w:r>
      <w:r w:rsidR="00604FE9">
        <w:rPr>
          <w:rStyle w:val="FootnoteReference"/>
          <w:rFonts w:ascii="Arial" w:hAnsi="Arial" w:cs="Arial"/>
        </w:rPr>
        <w:footnoteReference w:id="18"/>
      </w:r>
      <w:r w:rsidR="00B64F5D" w:rsidRPr="003524F0">
        <w:rPr>
          <w:rFonts w:ascii="Arial" w:hAnsi="Arial" w:cs="Arial"/>
        </w:rPr>
        <w:t>)</w:t>
      </w:r>
      <w:r w:rsidR="002039D5" w:rsidRPr="003524F0">
        <w:rPr>
          <w:rFonts w:ascii="Arial" w:hAnsi="Arial" w:cs="Arial"/>
        </w:rPr>
        <w:t>;</w:t>
      </w:r>
      <w:r w:rsidR="00B64F5D" w:rsidRPr="003524F0">
        <w:rPr>
          <w:rFonts w:ascii="Arial" w:hAnsi="Arial" w:cs="Arial"/>
        </w:rPr>
        <w:t xml:space="preserve"> hence </w:t>
      </w:r>
      <w:r w:rsidR="00AD0E94" w:rsidRPr="00AD0E94">
        <w:rPr>
          <w:rFonts w:ascii="Arial" w:hAnsi="Arial" w:cs="Arial"/>
        </w:rPr>
        <w:t>regulation delivered the</w:t>
      </w:r>
      <w:r w:rsidRPr="00AD0E94">
        <w:rPr>
          <w:rFonts w:ascii="Arial" w:hAnsi="Arial" w:cs="Arial"/>
        </w:rPr>
        <w:t xml:space="preserve"> </w:t>
      </w:r>
      <w:r w:rsidR="00B64F5D" w:rsidRPr="00AD0E94">
        <w:rPr>
          <w:rFonts w:ascii="Arial" w:hAnsi="Arial" w:cs="Arial"/>
        </w:rPr>
        <w:t>means</w:t>
      </w:r>
      <w:r w:rsidR="00B64F5D" w:rsidRPr="003524F0">
        <w:rPr>
          <w:rFonts w:ascii="Arial" w:hAnsi="Arial" w:cs="Arial"/>
        </w:rPr>
        <w:t xml:space="preserve"> of engendering </w:t>
      </w:r>
      <w:r w:rsidR="0046035A">
        <w:rPr>
          <w:rFonts w:ascii="Arial" w:hAnsi="Arial" w:cs="Arial"/>
        </w:rPr>
        <w:t>t</w:t>
      </w:r>
      <w:r w:rsidR="00682831" w:rsidRPr="003524F0">
        <w:rPr>
          <w:rFonts w:ascii="Arial" w:hAnsi="Arial" w:cs="Arial"/>
        </w:rPr>
        <w:t xml:space="preserve">rust </w:t>
      </w:r>
      <w:r w:rsidR="00B64F5D" w:rsidRPr="003524F0">
        <w:rPr>
          <w:rFonts w:ascii="Arial" w:hAnsi="Arial" w:cs="Arial"/>
        </w:rPr>
        <w:t>with the latter</w:t>
      </w:r>
      <w:r w:rsidR="00682831" w:rsidRPr="003524F0">
        <w:rPr>
          <w:rFonts w:ascii="Arial" w:hAnsi="Arial" w:cs="Arial"/>
        </w:rPr>
        <w:t xml:space="preserve"> of critical importance to the financial sector (Pettit, 1995)</w:t>
      </w:r>
      <w:r w:rsidR="00DF5720" w:rsidRPr="003524F0">
        <w:rPr>
          <w:rStyle w:val="FootnoteReference"/>
          <w:rFonts w:ascii="Arial" w:hAnsi="Arial" w:cs="Arial"/>
        </w:rPr>
        <w:footnoteReference w:id="19"/>
      </w:r>
      <w:r w:rsidR="0046035A">
        <w:rPr>
          <w:rFonts w:ascii="Arial" w:hAnsi="Arial" w:cs="Arial"/>
        </w:rPr>
        <w:t xml:space="preserve">. </w:t>
      </w:r>
      <w:r w:rsidR="00AD0E94">
        <w:rPr>
          <w:rFonts w:ascii="Arial" w:hAnsi="Arial" w:cs="Arial"/>
        </w:rPr>
        <w:t xml:space="preserve">As rules have to be policed, </w:t>
      </w:r>
      <w:r w:rsidR="00586607">
        <w:rPr>
          <w:rFonts w:ascii="Arial" w:hAnsi="Arial" w:cs="Arial"/>
        </w:rPr>
        <w:t>internal compliance and strong corporate governance took centre stage.</w:t>
      </w:r>
      <w:r w:rsidR="0046035A">
        <w:rPr>
          <w:rFonts w:ascii="Arial" w:hAnsi="Arial" w:cs="Arial"/>
        </w:rPr>
        <w:t xml:space="preserve"> </w:t>
      </w:r>
    </w:p>
    <w:p w:rsidR="0060674C" w:rsidRDefault="0060674C" w:rsidP="0060674C">
      <w:pPr>
        <w:spacing w:after="0" w:line="480" w:lineRule="auto"/>
        <w:rPr>
          <w:rFonts w:ascii="Arial" w:hAnsi="Arial" w:cs="Arial"/>
        </w:rPr>
      </w:pPr>
    </w:p>
    <w:p w:rsidR="0060674C" w:rsidRDefault="000507C6" w:rsidP="0060674C">
      <w:pPr>
        <w:spacing w:after="0" w:line="480" w:lineRule="auto"/>
        <w:rPr>
          <w:rFonts w:ascii="Arial" w:hAnsi="Arial" w:cs="Arial"/>
        </w:rPr>
      </w:pPr>
      <w:r w:rsidRPr="000507C6">
        <w:rPr>
          <w:rFonts w:ascii="Arial" w:hAnsi="Arial" w:cs="Arial"/>
        </w:rPr>
        <w:t>Regulation</w:t>
      </w:r>
      <w:r>
        <w:rPr>
          <w:rFonts w:ascii="Arial" w:hAnsi="Arial" w:cs="Arial"/>
        </w:rPr>
        <w:t xml:space="preserve"> can </w:t>
      </w:r>
      <w:r w:rsidR="003E29D7">
        <w:rPr>
          <w:rFonts w:ascii="Arial" w:hAnsi="Arial" w:cs="Arial"/>
        </w:rPr>
        <w:t>follow</w:t>
      </w:r>
      <w:r>
        <w:rPr>
          <w:rFonts w:ascii="Arial" w:hAnsi="Arial" w:cs="Arial"/>
        </w:rPr>
        <w:t xml:space="preserve"> one of two broad models – coercive or voluntary and within the UK the approach </w:t>
      </w:r>
      <w:r w:rsidR="0060674C">
        <w:rPr>
          <w:rFonts w:ascii="Arial" w:hAnsi="Arial" w:cs="Arial"/>
        </w:rPr>
        <w:t xml:space="preserve">very much </w:t>
      </w:r>
      <w:r>
        <w:rPr>
          <w:rFonts w:ascii="Arial" w:hAnsi="Arial" w:cs="Arial"/>
        </w:rPr>
        <w:t>aligns with the latter whereby rules are put in place to avoid potential ‘</w:t>
      </w:r>
      <w:r w:rsidRPr="000507C6">
        <w:rPr>
          <w:rFonts w:ascii="Arial" w:hAnsi="Arial" w:cs="Arial"/>
          <w:i/>
        </w:rPr>
        <w:t>conduct failure’</w:t>
      </w:r>
      <w:r>
        <w:rPr>
          <w:rFonts w:ascii="Arial" w:hAnsi="Arial" w:cs="Arial"/>
          <w:i/>
        </w:rPr>
        <w:t xml:space="preserve"> </w:t>
      </w:r>
      <w:r w:rsidRPr="000507C6">
        <w:rPr>
          <w:rFonts w:ascii="Arial" w:hAnsi="Arial" w:cs="Arial"/>
        </w:rPr>
        <w:t>(Vass, 2006)</w:t>
      </w:r>
      <w:r>
        <w:rPr>
          <w:rStyle w:val="FootnoteReference"/>
          <w:rFonts w:ascii="Arial" w:hAnsi="Arial" w:cs="Arial"/>
        </w:rPr>
        <w:footnoteReference w:id="20"/>
      </w:r>
      <w:r w:rsidR="001538D4">
        <w:rPr>
          <w:rFonts w:ascii="Arial" w:hAnsi="Arial" w:cs="Arial"/>
        </w:rPr>
        <w:t>.  Thus there has</w:t>
      </w:r>
      <w:r w:rsidR="00907D30">
        <w:rPr>
          <w:rFonts w:ascii="Arial" w:hAnsi="Arial" w:cs="Arial"/>
        </w:rPr>
        <w:t xml:space="preserve"> been</w:t>
      </w:r>
      <w:r w:rsidR="001538D4" w:rsidRPr="001538D4">
        <w:rPr>
          <w:rFonts w:ascii="Arial" w:hAnsi="Arial" w:cs="Arial"/>
        </w:rPr>
        <w:t xml:space="preserve"> a long history of self-policing within financial markets with emphasis on a more persuasive model of regulatory compliance (</w:t>
      </w:r>
      <w:proofErr w:type="spellStart"/>
      <w:r w:rsidR="001538D4" w:rsidRPr="001538D4">
        <w:rPr>
          <w:rFonts w:ascii="Arial" w:hAnsi="Arial" w:cs="Arial"/>
        </w:rPr>
        <w:t>Mascini</w:t>
      </w:r>
      <w:proofErr w:type="spellEnd"/>
      <w:r w:rsidR="001538D4" w:rsidRPr="001538D4">
        <w:rPr>
          <w:rFonts w:ascii="Arial" w:hAnsi="Arial" w:cs="Arial"/>
        </w:rPr>
        <w:t>, 2013)</w:t>
      </w:r>
      <w:r w:rsidR="001538D4">
        <w:rPr>
          <w:rStyle w:val="FootnoteReference"/>
          <w:rFonts w:ascii="Arial" w:hAnsi="Arial" w:cs="Arial"/>
        </w:rPr>
        <w:footnoteReference w:id="21"/>
      </w:r>
      <w:r w:rsidR="001538D4" w:rsidRPr="001538D4">
        <w:rPr>
          <w:rFonts w:ascii="Arial" w:hAnsi="Arial" w:cs="Arial"/>
        </w:rPr>
        <w:t xml:space="preserve"> such that the regulator sits in benign oversight over self-regulatory structures </w:t>
      </w:r>
      <w:r w:rsidR="00D416E3">
        <w:rPr>
          <w:rFonts w:ascii="Arial" w:hAnsi="Arial" w:cs="Arial"/>
        </w:rPr>
        <w:t>that constantly monitor against a legal framework (Robinson and Marshall, 2006)</w:t>
      </w:r>
      <w:r w:rsidR="00D416E3">
        <w:rPr>
          <w:rStyle w:val="FootnoteReference"/>
          <w:rFonts w:ascii="Arial" w:hAnsi="Arial" w:cs="Arial"/>
        </w:rPr>
        <w:footnoteReference w:id="22"/>
      </w:r>
      <w:r w:rsidR="00D416E3">
        <w:rPr>
          <w:rFonts w:ascii="Arial" w:hAnsi="Arial" w:cs="Arial"/>
        </w:rPr>
        <w:t xml:space="preserve"> </w:t>
      </w:r>
      <w:r w:rsidR="001538D4" w:rsidRPr="001538D4">
        <w:rPr>
          <w:rFonts w:ascii="Arial" w:hAnsi="Arial" w:cs="Arial"/>
        </w:rPr>
        <w:t xml:space="preserve">reinforced by the belief that regulatory compliance would be driven through the discipline of the market – the paternalist model </w:t>
      </w:r>
      <w:r w:rsidR="002C35E8">
        <w:rPr>
          <w:rFonts w:ascii="Arial" w:hAnsi="Arial" w:cs="Arial"/>
        </w:rPr>
        <w:t xml:space="preserve">identified by </w:t>
      </w:r>
      <w:r w:rsidR="001538D4" w:rsidRPr="001538D4">
        <w:rPr>
          <w:rFonts w:ascii="Arial" w:hAnsi="Arial" w:cs="Arial"/>
        </w:rPr>
        <w:t>Harvey and Bosworth-Davies (in press)</w:t>
      </w:r>
      <w:r w:rsidR="001538D4">
        <w:rPr>
          <w:rStyle w:val="FootnoteReference"/>
          <w:rFonts w:ascii="Arial" w:hAnsi="Arial" w:cs="Arial"/>
        </w:rPr>
        <w:footnoteReference w:id="23"/>
      </w:r>
      <w:r w:rsidR="003E29D7">
        <w:rPr>
          <w:rFonts w:ascii="Arial" w:hAnsi="Arial" w:cs="Arial"/>
        </w:rPr>
        <w:t xml:space="preserve">. </w:t>
      </w:r>
      <w:r w:rsidR="0060674C">
        <w:rPr>
          <w:rFonts w:ascii="Arial" w:hAnsi="Arial" w:cs="Arial"/>
        </w:rPr>
        <w:t>Indeed, trust itself moved from the domain of the individual’s personal ethical stance ‘my word is my bond’ to expectation that it would permeate the standards exhibited by the institutions themselves as:</w:t>
      </w:r>
    </w:p>
    <w:p w:rsidR="0060674C" w:rsidRPr="00C77FE6" w:rsidRDefault="0060674C" w:rsidP="0060674C">
      <w:pPr>
        <w:spacing w:after="0" w:line="480" w:lineRule="auto"/>
        <w:ind w:left="720"/>
        <w:rPr>
          <w:rFonts w:ascii="Arial" w:hAnsi="Arial" w:cs="Arial"/>
        </w:rPr>
      </w:pPr>
      <w:r>
        <w:rPr>
          <w:rFonts w:ascii="Arial" w:hAnsi="Arial" w:cs="Arial"/>
          <w:i/>
        </w:rPr>
        <w:lastRenderedPageBreak/>
        <w:t>“</w:t>
      </w:r>
      <w:proofErr w:type="gramStart"/>
      <w:r w:rsidRPr="00C77FE6">
        <w:rPr>
          <w:rFonts w:ascii="Arial" w:hAnsi="Arial" w:cs="Arial"/>
          <w:i/>
        </w:rPr>
        <w:t>responsibility</w:t>
      </w:r>
      <w:proofErr w:type="gramEnd"/>
      <w:r w:rsidRPr="00C77FE6">
        <w:rPr>
          <w:rFonts w:ascii="Arial" w:hAnsi="Arial" w:cs="Arial"/>
          <w:i/>
        </w:rPr>
        <w:t xml:space="preserve"> in the area of finance is not simply a matter of private ethics. </w:t>
      </w:r>
      <w:proofErr w:type="gramStart"/>
      <w:r w:rsidRPr="00C77FE6">
        <w:rPr>
          <w:rFonts w:ascii="Arial" w:hAnsi="Arial" w:cs="Arial"/>
          <w:i/>
        </w:rPr>
        <w:t>It also involves establishing and maintaining bonds of trust between holders and users of capital, as well as between the operators themselves</w:t>
      </w:r>
      <w:r>
        <w:rPr>
          <w:rFonts w:ascii="Arial" w:hAnsi="Arial" w:cs="Arial"/>
          <w:i/>
        </w:rPr>
        <w:t xml:space="preserve">” </w:t>
      </w:r>
      <w:r w:rsidRPr="00C77FE6">
        <w:rPr>
          <w:rFonts w:ascii="Arial" w:hAnsi="Arial" w:cs="Arial"/>
        </w:rPr>
        <w:t>(</w:t>
      </w:r>
      <w:proofErr w:type="spellStart"/>
      <w:r w:rsidRPr="00C77FE6">
        <w:rPr>
          <w:rFonts w:ascii="Arial" w:hAnsi="Arial" w:cs="Arial"/>
        </w:rPr>
        <w:t>Bonvin</w:t>
      </w:r>
      <w:proofErr w:type="spellEnd"/>
      <w:r w:rsidRPr="00C77FE6">
        <w:rPr>
          <w:rFonts w:ascii="Arial" w:hAnsi="Arial" w:cs="Arial"/>
        </w:rPr>
        <w:t xml:space="preserve"> and </w:t>
      </w:r>
      <w:proofErr w:type="spellStart"/>
      <w:r w:rsidRPr="00C77FE6">
        <w:rPr>
          <w:rFonts w:ascii="Arial" w:hAnsi="Arial" w:cs="Arial"/>
        </w:rPr>
        <w:t>Dembinski</w:t>
      </w:r>
      <w:proofErr w:type="spellEnd"/>
      <w:r w:rsidRPr="00C77FE6">
        <w:rPr>
          <w:rFonts w:ascii="Arial" w:hAnsi="Arial" w:cs="Arial"/>
        </w:rPr>
        <w:t>, 2002).</w:t>
      </w:r>
      <w:proofErr w:type="gramEnd"/>
      <w:r w:rsidRPr="00C77FE6">
        <w:rPr>
          <w:rStyle w:val="FootnoteReference"/>
          <w:rFonts w:ascii="Arial" w:hAnsi="Arial" w:cs="Arial"/>
        </w:rPr>
        <w:footnoteReference w:id="24"/>
      </w:r>
      <w:r w:rsidRPr="00C77FE6">
        <w:rPr>
          <w:rFonts w:ascii="Arial" w:hAnsi="Arial" w:cs="Arial"/>
        </w:rPr>
        <w:t xml:space="preserve"> </w:t>
      </w:r>
    </w:p>
    <w:p w:rsidR="00DC2E28" w:rsidRDefault="0060674C" w:rsidP="00DC2E28">
      <w:pPr>
        <w:spacing w:after="0" w:line="480" w:lineRule="auto"/>
        <w:rPr>
          <w:rFonts w:ascii="Arial" w:hAnsi="Arial" w:cs="Arial"/>
        </w:rPr>
      </w:pPr>
      <w:r>
        <w:rPr>
          <w:rFonts w:ascii="Arial" w:hAnsi="Arial" w:cs="Arial"/>
        </w:rPr>
        <w:t>However these</w:t>
      </w:r>
      <w:r w:rsidR="000C573E" w:rsidRPr="000C573E">
        <w:rPr>
          <w:rFonts w:ascii="Arial" w:hAnsi="Arial" w:cs="Arial"/>
        </w:rPr>
        <w:t xml:space="preserve"> traditional </w:t>
      </w:r>
      <w:r w:rsidR="005C72F0">
        <w:rPr>
          <w:rFonts w:ascii="Arial" w:hAnsi="Arial" w:cs="Arial"/>
        </w:rPr>
        <w:t xml:space="preserve">voluntary-persuasive </w:t>
      </w:r>
      <w:r w:rsidR="000C573E" w:rsidRPr="000C573E">
        <w:rPr>
          <w:rFonts w:ascii="Arial" w:hAnsi="Arial" w:cs="Arial"/>
        </w:rPr>
        <w:t>models of financial regulation assume an inverse relationship between internal cultural values and the prescriptive content of the regulatory framework</w:t>
      </w:r>
      <w:r w:rsidR="00FC2B65">
        <w:rPr>
          <w:rFonts w:ascii="Arial" w:hAnsi="Arial" w:cs="Arial"/>
        </w:rPr>
        <w:t xml:space="preserve">, whereby organisations are intrinsically motivated to ensure that their actions </w:t>
      </w:r>
      <w:r w:rsidR="00A73B87">
        <w:rPr>
          <w:rFonts w:ascii="Arial" w:hAnsi="Arial" w:cs="Arial"/>
        </w:rPr>
        <w:t>remain legitimate and above board.</w:t>
      </w:r>
      <w:r w:rsidR="00DF7984">
        <w:rPr>
          <w:rFonts w:ascii="Arial" w:hAnsi="Arial" w:cs="Arial"/>
        </w:rPr>
        <w:t xml:space="preserve">  </w:t>
      </w:r>
      <w:r w:rsidR="00DC2E28" w:rsidRPr="004B2D53">
        <w:rPr>
          <w:rFonts w:ascii="Arial" w:hAnsi="Arial" w:cs="Arial"/>
        </w:rPr>
        <w:t xml:space="preserve">This model </w:t>
      </w:r>
      <w:r w:rsidR="00DC2E28">
        <w:rPr>
          <w:rFonts w:ascii="Arial" w:hAnsi="Arial" w:cs="Arial"/>
        </w:rPr>
        <w:t>permits</w:t>
      </w:r>
      <w:r w:rsidR="00DC2E28" w:rsidRPr="004B2D53">
        <w:rPr>
          <w:rFonts w:ascii="Arial" w:hAnsi="Arial" w:cs="Arial"/>
        </w:rPr>
        <w:t xml:space="preserve"> regulation by exception – trusting that organisations self-police leaving the regulator to concentrate resource and effort in areas of high risk.  </w:t>
      </w:r>
      <w:r w:rsidR="00144B01">
        <w:rPr>
          <w:rFonts w:ascii="Arial" w:hAnsi="Arial" w:cs="Arial"/>
        </w:rPr>
        <w:t>T</w:t>
      </w:r>
      <w:r w:rsidR="004B2D53" w:rsidRPr="004B2D53">
        <w:rPr>
          <w:rFonts w:ascii="Arial" w:hAnsi="Arial" w:cs="Arial"/>
        </w:rPr>
        <w:t>his approach underpinned the movement from a rules-based to a risk-based approach promulgated by the F</w:t>
      </w:r>
      <w:r w:rsidR="00DC2E28">
        <w:rPr>
          <w:rFonts w:ascii="Arial" w:hAnsi="Arial" w:cs="Arial"/>
        </w:rPr>
        <w:t>inancial Services Authority (F</w:t>
      </w:r>
      <w:r w:rsidR="004B2D53" w:rsidRPr="004B2D53">
        <w:rPr>
          <w:rFonts w:ascii="Arial" w:hAnsi="Arial" w:cs="Arial"/>
        </w:rPr>
        <w:t>SA</w:t>
      </w:r>
      <w:r w:rsidR="00DC2E28">
        <w:rPr>
          <w:rFonts w:ascii="Arial" w:hAnsi="Arial" w:cs="Arial"/>
        </w:rPr>
        <w:t>)</w:t>
      </w:r>
      <w:r w:rsidR="009178BE">
        <w:rPr>
          <w:rFonts w:ascii="Arial" w:hAnsi="Arial" w:cs="Arial"/>
        </w:rPr>
        <w:t>.</w:t>
      </w:r>
      <w:r w:rsidR="00DC2E28">
        <w:rPr>
          <w:rStyle w:val="FootnoteReference"/>
          <w:rFonts w:ascii="Arial" w:hAnsi="Arial" w:cs="Arial"/>
        </w:rPr>
        <w:footnoteReference w:id="25"/>
      </w:r>
      <w:r w:rsidR="00471DD9">
        <w:rPr>
          <w:rFonts w:ascii="Arial" w:hAnsi="Arial" w:cs="Arial"/>
        </w:rPr>
        <w:t xml:space="preserve"> </w:t>
      </w:r>
      <w:r w:rsidR="009178BE">
        <w:rPr>
          <w:rFonts w:ascii="Arial" w:hAnsi="Arial" w:cs="Arial"/>
        </w:rPr>
        <w:t xml:space="preserve"> I</w:t>
      </w:r>
      <w:r w:rsidR="00471DD9">
        <w:rPr>
          <w:rFonts w:ascii="Arial" w:hAnsi="Arial" w:cs="Arial"/>
        </w:rPr>
        <w:t xml:space="preserve">ndeed as pointed out in 1999 by Baldwin and </w:t>
      </w:r>
      <w:r w:rsidR="00E87D53">
        <w:rPr>
          <w:rFonts w:ascii="Arial" w:hAnsi="Arial" w:cs="Arial"/>
        </w:rPr>
        <w:t>C</w:t>
      </w:r>
      <w:r w:rsidR="00471DD9">
        <w:rPr>
          <w:rFonts w:ascii="Arial" w:hAnsi="Arial" w:cs="Arial"/>
        </w:rPr>
        <w:t>ave</w:t>
      </w:r>
      <w:r w:rsidR="009178BE">
        <w:rPr>
          <w:rFonts w:ascii="Arial" w:hAnsi="Arial" w:cs="Arial"/>
        </w:rPr>
        <w:t>,</w:t>
      </w:r>
      <w:r w:rsidR="00E87D53">
        <w:rPr>
          <w:rStyle w:val="FootnoteReference"/>
          <w:rFonts w:ascii="Arial" w:hAnsi="Arial" w:cs="Arial"/>
        </w:rPr>
        <w:footnoteReference w:id="26"/>
      </w:r>
      <w:r w:rsidR="00E87D53">
        <w:rPr>
          <w:rFonts w:ascii="Arial" w:hAnsi="Arial" w:cs="Arial"/>
        </w:rPr>
        <w:t xml:space="preserve"> compliance is synonymous with a risk based approach to regulation whilst </w:t>
      </w:r>
      <w:r w:rsidR="00D66DF9">
        <w:rPr>
          <w:rFonts w:ascii="Arial" w:hAnsi="Arial" w:cs="Arial"/>
        </w:rPr>
        <w:t>deterrence models focus more on the impact of the harm</w:t>
      </w:r>
      <w:r w:rsidR="004B2D53" w:rsidRPr="004B2D53">
        <w:rPr>
          <w:rFonts w:ascii="Arial" w:hAnsi="Arial" w:cs="Arial"/>
        </w:rPr>
        <w:t xml:space="preserve">.  </w:t>
      </w:r>
      <w:r w:rsidR="00DC2E28" w:rsidRPr="0015702F">
        <w:rPr>
          <w:rFonts w:ascii="Arial" w:hAnsi="Arial" w:cs="Arial"/>
        </w:rPr>
        <w:t xml:space="preserve">As coercive models make greater use of regulatory sanction and indeed, on prosecution, this approach can </w:t>
      </w:r>
      <w:r w:rsidR="00DC2E28">
        <w:rPr>
          <w:rFonts w:ascii="Arial" w:hAnsi="Arial" w:cs="Arial"/>
        </w:rPr>
        <w:t xml:space="preserve">be </w:t>
      </w:r>
      <w:r w:rsidR="00DC2E28" w:rsidRPr="0015702F">
        <w:rPr>
          <w:rFonts w:ascii="Arial" w:hAnsi="Arial" w:cs="Arial"/>
        </w:rPr>
        <w:t>expensive</w:t>
      </w:r>
      <w:r w:rsidR="00DC2E28">
        <w:rPr>
          <w:rFonts w:ascii="Arial" w:hAnsi="Arial" w:cs="Arial"/>
        </w:rPr>
        <w:t xml:space="preserve"> to operate and to enforce. In such circumstances a model based on </w:t>
      </w:r>
      <w:r w:rsidR="00DC2E28" w:rsidRPr="00DF7984">
        <w:rPr>
          <w:rFonts w:ascii="Arial" w:hAnsi="Arial" w:cs="Arial"/>
        </w:rPr>
        <w:t>persuasion is seen as more</w:t>
      </w:r>
      <w:r w:rsidR="00DC2E28">
        <w:rPr>
          <w:rFonts w:ascii="Arial" w:hAnsi="Arial" w:cs="Arial"/>
        </w:rPr>
        <w:t xml:space="preserve"> cost</w:t>
      </w:r>
      <w:r w:rsidR="00DC2E28" w:rsidRPr="00DF7984">
        <w:rPr>
          <w:rFonts w:ascii="Arial" w:hAnsi="Arial" w:cs="Arial"/>
        </w:rPr>
        <w:t xml:space="preserve"> efficient</w:t>
      </w:r>
      <w:r w:rsidR="00DC2E28">
        <w:rPr>
          <w:rFonts w:ascii="Arial" w:hAnsi="Arial" w:cs="Arial"/>
        </w:rPr>
        <w:t xml:space="preserve"> as the ‘costs’ are shifted out from the regulator and into the regulated entities.</w:t>
      </w:r>
      <w:r w:rsidR="00DC2E28" w:rsidRPr="00DF7984">
        <w:rPr>
          <w:rFonts w:ascii="Arial" w:hAnsi="Arial" w:cs="Arial"/>
        </w:rPr>
        <w:t xml:space="preserve"> </w:t>
      </w:r>
    </w:p>
    <w:p w:rsidR="0062177C" w:rsidRDefault="0062177C" w:rsidP="00A73B87">
      <w:pPr>
        <w:spacing w:after="0" w:line="480" w:lineRule="auto"/>
        <w:rPr>
          <w:rFonts w:ascii="Arial" w:hAnsi="Arial" w:cs="Arial"/>
        </w:rPr>
      </w:pPr>
    </w:p>
    <w:p w:rsidR="004A4B07" w:rsidRDefault="00D4332C" w:rsidP="00A73B87">
      <w:pPr>
        <w:spacing w:after="0" w:line="480" w:lineRule="auto"/>
        <w:rPr>
          <w:rFonts w:ascii="Arial" w:hAnsi="Arial" w:cs="Arial"/>
        </w:rPr>
      </w:pPr>
      <w:r w:rsidRPr="00D4332C">
        <w:rPr>
          <w:rFonts w:ascii="Arial" w:hAnsi="Arial" w:cs="Arial"/>
        </w:rPr>
        <w:t xml:space="preserve">It is not the purpose of this brief contribution to </w:t>
      </w:r>
      <w:r>
        <w:rPr>
          <w:rFonts w:ascii="Arial" w:hAnsi="Arial" w:cs="Arial"/>
        </w:rPr>
        <w:t>trace the flux and change in response to the almost continuous series of financial scandal and crises</w:t>
      </w:r>
      <w:r w:rsidR="006A6D61">
        <w:rPr>
          <w:rFonts w:ascii="Arial" w:hAnsi="Arial" w:cs="Arial"/>
        </w:rPr>
        <w:t xml:space="preserve"> that has largely been responsible for changing </w:t>
      </w:r>
      <w:r w:rsidR="006F0223">
        <w:rPr>
          <w:rFonts w:ascii="Arial" w:hAnsi="Arial" w:cs="Arial"/>
        </w:rPr>
        <w:t xml:space="preserve">the UK </w:t>
      </w:r>
      <w:r w:rsidR="006A6D61">
        <w:rPr>
          <w:rFonts w:ascii="Arial" w:hAnsi="Arial" w:cs="Arial"/>
        </w:rPr>
        <w:t>regulatory framework</w:t>
      </w:r>
      <w:r w:rsidR="006A6D61">
        <w:rPr>
          <w:rStyle w:val="FootnoteReference"/>
          <w:rFonts w:ascii="Arial" w:hAnsi="Arial" w:cs="Arial"/>
        </w:rPr>
        <w:footnoteReference w:id="27"/>
      </w:r>
      <w:r w:rsidR="006F0223">
        <w:rPr>
          <w:rFonts w:ascii="Arial" w:hAnsi="Arial" w:cs="Arial"/>
        </w:rPr>
        <w:t xml:space="preserve">, however, more mature readers of this </w:t>
      </w:r>
      <w:r w:rsidR="00586607">
        <w:rPr>
          <w:rFonts w:ascii="Arial" w:hAnsi="Arial" w:cs="Arial"/>
        </w:rPr>
        <w:t>chapter</w:t>
      </w:r>
      <w:r w:rsidR="006F0223">
        <w:rPr>
          <w:rFonts w:ascii="Arial" w:hAnsi="Arial" w:cs="Arial"/>
        </w:rPr>
        <w:t xml:space="preserve"> will recall the </w:t>
      </w:r>
      <w:r w:rsidR="00BC784D">
        <w:rPr>
          <w:rFonts w:ascii="Arial" w:hAnsi="Arial" w:cs="Arial"/>
        </w:rPr>
        <w:t xml:space="preserve">names of Peter </w:t>
      </w:r>
      <w:proofErr w:type="spellStart"/>
      <w:r w:rsidR="00BC784D">
        <w:rPr>
          <w:rFonts w:ascii="Arial" w:hAnsi="Arial" w:cs="Arial"/>
        </w:rPr>
        <w:t>Clowes</w:t>
      </w:r>
      <w:proofErr w:type="spellEnd"/>
      <w:r w:rsidR="00BC784D">
        <w:rPr>
          <w:rFonts w:ascii="Arial" w:hAnsi="Arial" w:cs="Arial"/>
        </w:rPr>
        <w:t xml:space="preserve">, Johnson Matthey Bank, </w:t>
      </w:r>
      <w:r w:rsidR="00BC784D">
        <w:rPr>
          <w:rFonts w:ascii="Arial" w:hAnsi="Arial" w:cs="Arial"/>
        </w:rPr>
        <w:lastRenderedPageBreak/>
        <w:t>Robert Maxwell, Guinness, Blue Arrow and Polly Peck</w:t>
      </w:r>
      <w:r w:rsidR="006F0223">
        <w:rPr>
          <w:rStyle w:val="FootnoteReference"/>
          <w:rFonts w:ascii="Arial" w:hAnsi="Arial" w:cs="Arial"/>
        </w:rPr>
        <w:footnoteReference w:id="28"/>
      </w:r>
      <w:r w:rsidR="006F0223">
        <w:rPr>
          <w:rFonts w:ascii="Arial" w:hAnsi="Arial" w:cs="Arial"/>
        </w:rPr>
        <w:t xml:space="preserve">  </w:t>
      </w:r>
      <w:r w:rsidR="006B60F2">
        <w:rPr>
          <w:rFonts w:ascii="Arial" w:hAnsi="Arial" w:cs="Arial"/>
        </w:rPr>
        <w:t xml:space="preserve">as examples </w:t>
      </w:r>
      <w:r w:rsidR="006F0223">
        <w:rPr>
          <w:rFonts w:ascii="Arial" w:hAnsi="Arial" w:cs="Arial"/>
        </w:rPr>
        <w:t>selected f</w:t>
      </w:r>
      <w:r w:rsidR="00BC784D">
        <w:rPr>
          <w:rFonts w:ascii="Arial" w:hAnsi="Arial" w:cs="Arial"/>
        </w:rPr>
        <w:t xml:space="preserve">rom the 1980s and 1990s </w:t>
      </w:r>
      <w:r w:rsidR="006B60F2">
        <w:rPr>
          <w:rFonts w:ascii="Arial" w:hAnsi="Arial" w:cs="Arial"/>
        </w:rPr>
        <w:t xml:space="preserve">that </w:t>
      </w:r>
      <w:r w:rsidR="006F0223">
        <w:rPr>
          <w:rFonts w:ascii="Arial" w:hAnsi="Arial" w:cs="Arial"/>
        </w:rPr>
        <w:t xml:space="preserve">chart the </w:t>
      </w:r>
      <w:r w:rsidR="00BC784D">
        <w:rPr>
          <w:rFonts w:ascii="Arial" w:hAnsi="Arial" w:cs="Arial"/>
        </w:rPr>
        <w:t xml:space="preserve">move </w:t>
      </w:r>
      <w:r w:rsidR="00216368">
        <w:rPr>
          <w:rFonts w:ascii="Arial" w:hAnsi="Arial" w:cs="Arial"/>
        </w:rPr>
        <w:t>from self</w:t>
      </w:r>
      <w:r w:rsidR="006B60F2">
        <w:rPr>
          <w:rFonts w:ascii="Arial" w:hAnsi="Arial" w:cs="Arial"/>
        </w:rPr>
        <w:t>-</w:t>
      </w:r>
      <w:r w:rsidR="00216368">
        <w:rPr>
          <w:rFonts w:ascii="Arial" w:hAnsi="Arial" w:cs="Arial"/>
        </w:rPr>
        <w:t xml:space="preserve">regulatory to a </w:t>
      </w:r>
      <w:r w:rsidR="006B60F2">
        <w:rPr>
          <w:rFonts w:ascii="Arial" w:hAnsi="Arial" w:cs="Arial"/>
        </w:rPr>
        <w:t xml:space="preserve">greater degree of </w:t>
      </w:r>
      <w:r w:rsidR="00216368">
        <w:rPr>
          <w:rFonts w:ascii="Arial" w:hAnsi="Arial" w:cs="Arial"/>
        </w:rPr>
        <w:t xml:space="preserve">statutory </w:t>
      </w:r>
      <w:r w:rsidR="007759CD">
        <w:rPr>
          <w:rFonts w:ascii="Arial" w:hAnsi="Arial" w:cs="Arial"/>
        </w:rPr>
        <w:t>regulation through the already mentioned</w:t>
      </w:r>
      <w:r w:rsidR="00216368">
        <w:rPr>
          <w:rFonts w:ascii="Arial" w:hAnsi="Arial" w:cs="Arial"/>
        </w:rPr>
        <w:t xml:space="preserve"> creation of the Financial Services Authority</w:t>
      </w:r>
      <w:r w:rsidR="006F0223">
        <w:rPr>
          <w:rFonts w:ascii="Arial" w:hAnsi="Arial" w:cs="Arial"/>
        </w:rPr>
        <w:t xml:space="preserve">.  Move forward to the 2000s and </w:t>
      </w:r>
      <w:r w:rsidR="0062177C">
        <w:rPr>
          <w:rFonts w:ascii="Arial" w:hAnsi="Arial" w:cs="Arial"/>
        </w:rPr>
        <w:t xml:space="preserve">there has been a further tranche of </w:t>
      </w:r>
      <w:r w:rsidR="006D4C15">
        <w:rPr>
          <w:rFonts w:ascii="Arial" w:hAnsi="Arial" w:cs="Arial"/>
        </w:rPr>
        <w:t xml:space="preserve">very public </w:t>
      </w:r>
      <w:r w:rsidR="006D4C15" w:rsidRPr="006D4C15">
        <w:rPr>
          <w:rFonts w:ascii="Arial" w:hAnsi="Arial" w:cs="Arial"/>
        </w:rPr>
        <w:t>scandals involving sales of private pensions, endowment mortgages and most recently payment protection insurance</w:t>
      </w:r>
      <w:r w:rsidR="00884055">
        <w:rPr>
          <w:rFonts w:ascii="Arial" w:hAnsi="Arial" w:cs="Arial"/>
        </w:rPr>
        <w:t xml:space="preserve"> (refer to Table 1)</w:t>
      </w:r>
      <w:r w:rsidR="006D4C15">
        <w:rPr>
          <w:rFonts w:ascii="Arial" w:hAnsi="Arial" w:cs="Arial"/>
        </w:rPr>
        <w:t>.</w:t>
      </w:r>
      <w:r w:rsidR="006F0223">
        <w:rPr>
          <w:rFonts w:ascii="Arial" w:hAnsi="Arial" w:cs="Arial"/>
        </w:rPr>
        <w:t xml:space="preserve"> Indeed it is these cases that, in the wake of the financial cris</w:t>
      </w:r>
      <w:r w:rsidR="007759CD">
        <w:rPr>
          <w:rFonts w:ascii="Arial" w:hAnsi="Arial" w:cs="Arial"/>
        </w:rPr>
        <w:t>i</w:t>
      </w:r>
      <w:r w:rsidR="006F0223">
        <w:rPr>
          <w:rFonts w:ascii="Arial" w:hAnsi="Arial" w:cs="Arial"/>
        </w:rPr>
        <w:t xml:space="preserve">s have </w:t>
      </w:r>
      <w:r w:rsidR="007759CD">
        <w:rPr>
          <w:rFonts w:ascii="Arial" w:hAnsi="Arial" w:cs="Arial"/>
        </w:rPr>
        <w:t>heightened</w:t>
      </w:r>
      <w:r w:rsidR="006F0223">
        <w:rPr>
          <w:rFonts w:ascii="Arial" w:hAnsi="Arial" w:cs="Arial"/>
        </w:rPr>
        <w:t xml:space="preserve"> public sensitivity to confidence in activity within this </w:t>
      </w:r>
      <w:r w:rsidR="007759CD">
        <w:rPr>
          <w:rFonts w:ascii="Arial" w:hAnsi="Arial" w:cs="Arial"/>
        </w:rPr>
        <w:t>sector.</w:t>
      </w:r>
      <w:r w:rsidR="007759CD" w:rsidRPr="004A4B07">
        <w:rPr>
          <w:rFonts w:ascii="Arial" w:hAnsi="Arial" w:cs="Arial"/>
        </w:rPr>
        <w:t xml:space="preserve"> This</w:t>
      </w:r>
      <w:r w:rsidR="004A4B07" w:rsidRPr="004A4B07">
        <w:rPr>
          <w:rFonts w:ascii="Arial" w:hAnsi="Arial" w:cs="Arial"/>
        </w:rPr>
        <w:t xml:space="preserve"> is only to be expected, </w:t>
      </w:r>
      <w:proofErr w:type="spellStart"/>
      <w:r w:rsidR="004A4B07" w:rsidRPr="004A4B07">
        <w:rPr>
          <w:rFonts w:ascii="Arial" w:hAnsi="Arial" w:cs="Arial"/>
        </w:rPr>
        <w:t>Jewkes</w:t>
      </w:r>
      <w:proofErr w:type="spellEnd"/>
      <w:r w:rsidR="004A4B07" w:rsidRPr="004A4B07">
        <w:rPr>
          <w:rFonts w:ascii="Arial" w:hAnsi="Arial" w:cs="Arial"/>
        </w:rPr>
        <w:t xml:space="preserve"> (2004)</w:t>
      </w:r>
      <w:r w:rsidR="008240E7">
        <w:rPr>
          <w:rStyle w:val="FootnoteReference"/>
          <w:rFonts w:ascii="Arial" w:hAnsi="Arial" w:cs="Arial"/>
        </w:rPr>
        <w:footnoteReference w:id="29"/>
      </w:r>
      <w:r w:rsidR="004A4B07" w:rsidRPr="004A4B07">
        <w:rPr>
          <w:rFonts w:ascii="Arial" w:hAnsi="Arial" w:cs="Arial"/>
        </w:rPr>
        <w:t xml:space="preserve"> noted the effect of framing</w:t>
      </w:r>
      <w:r w:rsidR="004A4B07">
        <w:rPr>
          <w:rStyle w:val="FootnoteReference"/>
          <w:rFonts w:ascii="Arial" w:hAnsi="Arial" w:cs="Arial"/>
        </w:rPr>
        <w:footnoteReference w:id="30"/>
      </w:r>
      <w:r w:rsidR="004A4B07" w:rsidRPr="004A4B07">
        <w:rPr>
          <w:rFonts w:ascii="Arial" w:hAnsi="Arial" w:cs="Arial"/>
        </w:rPr>
        <w:t xml:space="preserve">  on fact exaggeration whilst Combs and </w:t>
      </w:r>
      <w:proofErr w:type="spellStart"/>
      <w:r w:rsidR="004A4B07" w:rsidRPr="004A4B07">
        <w:rPr>
          <w:rFonts w:ascii="Arial" w:hAnsi="Arial" w:cs="Arial"/>
        </w:rPr>
        <w:t>Slovac</w:t>
      </w:r>
      <w:proofErr w:type="spellEnd"/>
      <w:r w:rsidR="004A4B07" w:rsidRPr="004A4B07">
        <w:rPr>
          <w:rFonts w:ascii="Arial" w:hAnsi="Arial" w:cs="Arial"/>
        </w:rPr>
        <w:t xml:space="preserve"> (1979)</w:t>
      </w:r>
      <w:r w:rsidR="008240E7">
        <w:rPr>
          <w:rStyle w:val="FootnoteReference"/>
          <w:rFonts w:ascii="Arial" w:hAnsi="Arial" w:cs="Arial"/>
        </w:rPr>
        <w:footnoteReference w:id="31"/>
      </w:r>
      <w:r w:rsidR="004A4B07" w:rsidRPr="004A4B07">
        <w:rPr>
          <w:rFonts w:ascii="Arial" w:hAnsi="Arial" w:cs="Arial"/>
        </w:rPr>
        <w:t xml:space="preserve"> identified a strong </w:t>
      </w:r>
      <w:r w:rsidR="00144B01">
        <w:rPr>
          <w:rFonts w:ascii="Arial" w:hAnsi="Arial" w:cs="Arial"/>
        </w:rPr>
        <w:t>correlation</w:t>
      </w:r>
      <w:r w:rsidR="004A4B07" w:rsidRPr="004A4B07">
        <w:rPr>
          <w:rFonts w:ascii="Arial" w:hAnsi="Arial" w:cs="Arial"/>
        </w:rPr>
        <w:t xml:space="preserve"> between availability</w:t>
      </w:r>
      <w:r w:rsidR="004A4B07">
        <w:rPr>
          <w:rStyle w:val="FootnoteReference"/>
          <w:rFonts w:ascii="Arial" w:hAnsi="Arial" w:cs="Arial"/>
        </w:rPr>
        <w:footnoteReference w:id="32"/>
      </w:r>
      <w:r w:rsidR="004A4B07" w:rsidRPr="004A4B07">
        <w:rPr>
          <w:rFonts w:ascii="Arial" w:hAnsi="Arial" w:cs="Arial"/>
        </w:rPr>
        <w:t xml:space="preserve"> bias and media coverage. The manner of how such issues are presented to society has been noted as an important factor in how perceptions are </w:t>
      </w:r>
      <w:r w:rsidR="008240E7">
        <w:rPr>
          <w:rFonts w:ascii="Arial" w:hAnsi="Arial" w:cs="Arial"/>
        </w:rPr>
        <w:t>influenced</w:t>
      </w:r>
      <w:r w:rsidR="004A4B07" w:rsidRPr="004A4B07">
        <w:rPr>
          <w:rFonts w:ascii="Arial" w:hAnsi="Arial" w:cs="Arial"/>
        </w:rPr>
        <w:t>, Stallings, (1990)</w:t>
      </w:r>
      <w:r w:rsidR="008240E7">
        <w:rPr>
          <w:rStyle w:val="FootnoteReference"/>
          <w:rFonts w:ascii="Arial" w:hAnsi="Arial" w:cs="Arial"/>
        </w:rPr>
        <w:footnoteReference w:id="33"/>
      </w:r>
      <w:r w:rsidR="004A4B07" w:rsidRPr="004A4B07">
        <w:rPr>
          <w:rFonts w:ascii="Arial" w:hAnsi="Arial" w:cs="Arial"/>
        </w:rPr>
        <w:t>, notes that written media play a crucial role in this process</w:t>
      </w:r>
      <w:r w:rsidR="008240E7">
        <w:rPr>
          <w:rFonts w:ascii="Arial" w:hAnsi="Arial" w:cs="Arial"/>
        </w:rPr>
        <w:t>.</w:t>
      </w:r>
    </w:p>
    <w:p w:rsidR="004A4B07" w:rsidRDefault="004A4B07" w:rsidP="00A73B87">
      <w:pPr>
        <w:spacing w:after="0" w:line="480" w:lineRule="auto"/>
        <w:rPr>
          <w:rFonts w:ascii="Arial" w:hAnsi="Arial" w:cs="Arial"/>
        </w:rPr>
      </w:pPr>
    </w:p>
    <w:p w:rsidR="00A821B5" w:rsidRDefault="00A821B5" w:rsidP="00A73B87">
      <w:pPr>
        <w:spacing w:after="0" w:line="480" w:lineRule="auto"/>
        <w:rPr>
          <w:rFonts w:ascii="Arial" w:hAnsi="Arial" w:cs="Arial"/>
        </w:rPr>
      </w:pPr>
    </w:p>
    <w:p w:rsidR="00884055" w:rsidRDefault="00884055" w:rsidP="00A73B87">
      <w:pPr>
        <w:spacing w:after="0" w:line="480" w:lineRule="auto"/>
        <w:rPr>
          <w:rFonts w:ascii="Arial" w:hAnsi="Arial" w:cs="Arial"/>
          <w:b/>
        </w:rPr>
      </w:pPr>
    </w:p>
    <w:p w:rsidR="00343E76" w:rsidRPr="00884055" w:rsidRDefault="00884055" w:rsidP="00A73B87">
      <w:pPr>
        <w:spacing w:after="0" w:line="480" w:lineRule="auto"/>
        <w:rPr>
          <w:rFonts w:ascii="Arial" w:hAnsi="Arial" w:cs="Arial"/>
          <w:b/>
        </w:rPr>
      </w:pPr>
      <w:r w:rsidRPr="00884055">
        <w:rPr>
          <w:rFonts w:ascii="Arial" w:hAnsi="Arial" w:cs="Arial"/>
          <w:b/>
        </w:rPr>
        <w:lastRenderedPageBreak/>
        <w:t>Table 1 Timeline of selected ‘incidents’ in the London Financial Markets</w:t>
      </w:r>
    </w:p>
    <w:tbl>
      <w:tblPr>
        <w:tblStyle w:val="LightList"/>
        <w:tblW w:w="5000" w:type="pct"/>
        <w:tblLook w:val="0420" w:firstRow="1" w:lastRow="0" w:firstColumn="0" w:lastColumn="0" w:noHBand="0" w:noVBand="1"/>
      </w:tblPr>
      <w:tblGrid>
        <w:gridCol w:w="2257"/>
        <w:gridCol w:w="6463"/>
      </w:tblGrid>
      <w:tr w:rsidR="00884055" w:rsidRPr="00884055" w:rsidTr="00884055">
        <w:trPr>
          <w:cnfStyle w:val="100000000000" w:firstRow="1" w:lastRow="0" w:firstColumn="0" w:lastColumn="0" w:oddVBand="0" w:evenVBand="0" w:oddHBand="0" w:evenHBand="0" w:firstRowFirstColumn="0" w:firstRowLastColumn="0" w:lastRowFirstColumn="0" w:lastRowLastColumn="0"/>
          <w:trHeight w:val="579"/>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i/>
                <w:iCs/>
                <w:color w:val="FFFFFF"/>
                <w:kern w:val="24"/>
                <w:lang w:eastAsia="en-GB"/>
              </w:rPr>
              <w:t>year in which incident came to light</w:t>
            </w:r>
          </w:p>
        </w:tc>
        <w:tc>
          <w:tcPr>
            <w:tcW w:w="3706" w:type="pct"/>
            <w:hideMark/>
          </w:tcPr>
          <w:p w:rsidR="00884055" w:rsidRPr="00884055" w:rsidRDefault="00884055" w:rsidP="008D78C4">
            <w:pPr>
              <w:rPr>
                <w:rFonts w:ascii="Arial" w:eastAsia="Times New Roman" w:hAnsi="Arial" w:cs="Arial"/>
                <w:lang w:eastAsia="en-GB"/>
              </w:rPr>
            </w:pPr>
            <w:r>
              <w:rPr>
                <w:rFonts w:ascii="Arial" w:eastAsia="Times New Roman" w:hAnsi="Arial" w:cs="Arial"/>
                <w:color w:val="FFFFFF"/>
                <w:kern w:val="24"/>
                <w:lang w:eastAsia="en-GB"/>
              </w:rPr>
              <w:t>I</w:t>
            </w:r>
            <w:r w:rsidRPr="00884055">
              <w:rPr>
                <w:rFonts w:ascii="Arial" w:eastAsia="Times New Roman" w:hAnsi="Arial" w:cs="Arial"/>
                <w:color w:val="FFFFFF"/>
                <w:kern w:val="24"/>
                <w:lang w:eastAsia="en-GB"/>
              </w:rPr>
              <w:t>ncident</w:t>
            </w:r>
          </w:p>
        </w:tc>
      </w:tr>
      <w:tr w:rsidR="00884055" w:rsidRPr="00884055" w:rsidTr="00884055">
        <w:trPr>
          <w:cnfStyle w:val="000000100000" w:firstRow="0" w:lastRow="0" w:firstColumn="0" w:lastColumn="0" w:oddVBand="0" w:evenVBand="0" w:oddHBand="1" w:evenHBand="0" w:firstRowFirstColumn="0" w:firstRowLastColumn="0" w:lastRowFirstColumn="0" w:lastRowLastColumn="0"/>
          <w:trHeight w:val="372"/>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1984</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Johnson Matthey Bank</w:t>
            </w:r>
          </w:p>
        </w:tc>
      </w:tr>
      <w:tr w:rsidR="00884055" w:rsidRPr="00884055" w:rsidTr="00884055">
        <w:trPr>
          <w:trHeight w:val="372"/>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1986</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Guinness/Distillers take over</w:t>
            </w:r>
          </w:p>
        </w:tc>
      </w:tr>
      <w:tr w:rsidR="00884055" w:rsidRPr="00884055" w:rsidTr="00884055">
        <w:trPr>
          <w:cnfStyle w:val="000000100000" w:firstRow="0" w:lastRow="0" w:firstColumn="0" w:lastColumn="0" w:oddVBand="0" w:evenVBand="0" w:oddHBand="1" w:evenHBand="0" w:firstRowFirstColumn="0" w:firstRowLastColumn="0" w:lastRowFirstColumn="0" w:lastRowLastColumn="0"/>
          <w:trHeight w:val="372"/>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1988</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 xml:space="preserve">Barlow </w:t>
            </w:r>
            <w:proofErr w:type="spellStart"/>
            <w:r w:rsidRPr="00884055">
              <w:rPr>
                <w:rFonts w:ascii="Arial" w:eastAsia="Times New Roman" w:hAnsi="Arial" w:cs="Arial"/>
                <w:color w:val="000000"/>
                <w:kern w:val="24"/>
                <w:lang w:eastAsia="en-GB"/>
              </w:rPr>
              <w:t>Clowes</w:t>
            </w:r>
            <w:proofErr w:type="spellEnd"/>
          </w:p>
        </w:tc>
      </w:tr>
      <w:tr w:rsidR="00884055" w:rsidRPr="00884055" w:rsidTr="00884055">
        <w:trPr>
          <w:trHeight w:val="372"/>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1990</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Polly Peck</w:t>
            </w:r>
          </w:p>
        </w:tc>
      </w:tr>
      <w:tr w:rsidR="00884055" w:rsidRPr="00884055" w:rsidTr="00884055">
        <w:trPr>
          <w:cnfStyle w:val="000000100000" w:firstRow="0" w:lastRow="0" w:firstColumn="0" w:lastColumn="0" w:oddVBand="0" w:evenVBand="0" w:oddHBand="1" w:evenHBand="0" w:firstRowFirstColumn="0" w:firstRowLastColumn="0" w:lastRowFirstColumn="0" w:lastRowLastColumn="0"/>
          <w:trHeight w:val="372"/>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1991</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Robert Maxwell and Mirror Group</w:t>
            </w:r>
          </w:p>
        </w:tc>
      </w:tr>
      <w:tr w:rsidR="00884055" w:rsidRPr="00884055" w:rsidTr="00884055">
        <w:trPr>
          <w:trHeight w:val="372"/>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1991</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BCCI</w:t>
            </w:r>
          </w:p>
        </w:tc>
      </w:tr>
      <w:tr w:rsidR="00884055" w:rsidRPr="00884055" w:rsidTr="00884055">
        <w:trPr>
          <w:cnfStyle w:val="000000100000" w:firstRow="0" w:lastRow="0" w:firstColumn="0" w:lastColumn="0" w:oddVBand="0" w:evenVBand="0" w:oddHBand="1" w:evenHBand="0" w:firstRowFirstColumn="0" w:firstRowLastColumn="0" w:lastRowFirstColumn="0" w:lastRowLastColumn="0"/>
          <w:trHeight w:val="483"/>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1992</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Blue Arrow/Manpower takeover</w:t>
            </w:r>
          </w:p>
        </w:tc>
      </w:tr>
      <w:tr w:rsidR="00884055" w:rsidRPr="00884055" w:rsidTr="00884055">
        <w:trPr>
          <w:trHeight w:val="483"/>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1993</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 xml:space="preserve">Credit </w:t>
            </w:r>
            <w:proofErr w:type="spellStart"/>
            <w:r w:rsidRPr="00884055">
              <w:rPr>
                <w:rFonts w:ascii="Arial" w:eastAsia="Times New Roman" w:hAnsi="Arial" w:cs="Arial"/>
                <w:color w:val="000000"/>
                <w:kern w:val="24"/>
                <w:lang w:eastAsia="en-GB"/>
              </w:rPr>
              <w:t>Lyonnaise</w:t>
            </w:r>
            <w:proofErr w:type="spellEnd"/>
            <w:r w:rsidRPr="00884055">
              <w:rPr>
                <w:rFonts w:ascii="Arial" w:eastAsia="Times New Roman" w:hAnsi="Arial" w:cs="Arial"/>
                <w:color w:val="000000"/>
                <w:kern w:val="24"/>
                <w:lang w:eastAsia="en-GB"/>
              </w:rPr>
              <w:t xml:space="preserve"> Rouse (LME)</w:t>
            </w:r>
          </w:p>
        </w:tc>
      </w:tr>
      <w:tr w:rsidR="00884055" w:rsidRPr="00884055" w:rsidTr="00884055">
        <w:trPr>
          <w:cnfStyle w:val="000000100000" w:firstRow="0" w:lastRow="0" w:firstColumn="0" w:lastColumn="0" w:oddVBand="0" w:evenVBand="0" w:oddHBand="1" w:evenHBand="0" w:firstRowFirstColumn="0" w:firstRowLastColumn="0" w:lastRowFirstColumn="0" w:lastRowLastColumn="0"/>
          <w:trHeight w:val="483"/>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1995</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 xml:space="preserve">Nick Leeson </w:t>
            </w:r>
            <w:r>
              <w:rPr>
                <w:rFonts w:ascii="Arial" w:eastAsia="Times New Roman" w:hAnsi="Arial" w:cs="Arial"/>
                <w:color w:val="000000"/>
                <w:kern w:val="24"/>
                <w:lang w:eastAsia="en-GB"/>
              </w:rPr>
              <w:t xml:space="preserve">- </w:t>
            </w:r>
            <w:r w:rsidRPr="00884055">
              <w:rPr>
                <w:rFonts w:ascii="Arial" w:eastAsia="Times New Roman" w:hAnsi="Arial" w:cs="Arial"/>
                <w:color w:val="000000"/>
                <w:kern w:val="24"/>
                <w:lang w:eastAsia="en-GB"/>
              </w:rPr>
              <w:t>Barings</w:t>
            </w:r>
          </w:p>
        </w:tc>
      </w:tr>
      <w:tr w:rsidR="00884055" w:rsidRPr="00884055" w:rsidTr="00884055">
        <w:trPr>
          <w:trHeight w:val="483"/>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1996</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 xml:space="preserve">Pensions </w:t>
            </w:r>
            <w:proofErr w:type="spellStart"/>
            <w:r w:rsidRPr="00884055">
              <w:rPr>
                <w:rFonts w:ascii="Arial" w:eastAsia="Times New Roman" w:hAnsi="Arial" w:cs="Arial"/>
                <w:color w:val="000000"/>
                <w:kern w:val="24"/>
                <w:lang w:eastAsia="en-GB"/>
              </w:rPr>
              <w:t>Mis</w:t>
            </w:r>
            <w:proofErr w:type="spellEnd"/>
            <w:r w:rsidRPr="00884055">
              <w:rPr>
                <w:rFonts w:ascii="Arial" w:eastAsia="Times New Roman" w:hAnsi="Arial" w:cs="Arial"/>
                <w:color w:val="000000"/>
                <w:kern w:val="24"/>
                <w:lang w:eastAsia="en-GB"/>
              </w:rPr>
              <w:t>-selling (various)</w:t>
            </w:r>
          </w:p>
        </w:tc>
      </w:tr>
      <w:tr w:rsidR="00884055" w:rsidRPr="00884055" w:rsidTr="00884055">
        <w:trPr>
          <w:cnfStyle w:val="000000100000" w:firstRow="0" w:lastRow="0" w:firstColumn="0" w:lastColumn="0" w:oddVBand="0" w:evenVBand="0" w:oddHBand="1" w:evenHBand="0" w:firstRowFirstColumn="0" w:firstRowLastColumn="0" w:lastRowFirstColumn="0" w:lastRowLastColumn="0"/>
          <w:trHeight w:val="483"/>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1996</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 xml:space="preserve">Peter Young </w:t>
            </w:r>
            <w:r>
              <w:rPr>
                <w:rFonts w:ascii="Arial" w:eastAsia="Times New Roman" w:hAnsi="Arial" w:cs="Arial"/>
                <w:color w:val="000000"/>
                <w:kern w:val="24"/>
                <w:lang w:eastAsia="en-GB"/>
              </w:rPr>
              <w:t xml:space="preserve">- </w:t>
            </w:r>
            <w:r w:rsidRPr="00884055">
              <w:rPr>
                <w:rFonts w:ascii="Arial" w:eastAsia="Times New Roman" w:hAnsi="Arial" w:cs="Arial"/>
                <w:color w:val="000000"/>
                <w:kern w:val="24"/>
                <w:lang w:eastAsia="en-GB"/>
              </w:rPr>
              <w:t>Morgan Grenfell</w:t>
            </w:r>
          </w:p>
        </w:tc>
      </w:tr>
      <w:tr w:rsidR="00884055" w:rsidRPr="00884055" w:rsidTr="00884055">
        <w:trPr>
          <w:trHeight w:val="483"/>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2000</w:t>
            </w:r>
          </w:p>
        </w:tc>
        <w:tc>
          <w:tcPr>
            <w:tcW w:w="3706" w:type="pct"/>
            <w:hideMark/>
          </w:tcPr>
          <w:p w:rsidR="00884055" w:rsidRPr="00884055" w:rsidRDefault="00884055" w:rsidP="00884055">
            <w:pPr>
              <w:rPr>
                <w:rFonts w:ascii="Arial" w:eastAsia="Times New Roman" w:hAnsi="Arial" w:cs="Arial"/>
                <w:lang w:eastAsia="en-GB"/>
              </w:rPr>
            </w:pPr>
            <w:r w:rsidRPr="00884055">
              <w:rPr>
                <w:rFonts w:ascii="Arial" w:eastAsia="Times New Roman" w:hAnsi="Arial" w:cs="Arial"/>
                <w:color w:val="000000"/>
                <w:kern w:val="24"/>
                <w:lang w:eastAsia="en-GB"/>
              </w:rPr>
              <w:t xml:space="preserve">Mortgage Endowments </w:t>
            </w:r>
            <w:proofErr w:type="spellStart"/>
            <w:r w:rsidRPr="00884055">
              <w:rPr>
                <w:rFonts w:ascii="Arial" w:eastAsia="Times New Roman" w:hAnsi="Arial" w:cs="Arial"/>
                <w:color w:val="000000"/>
                <w:kern w:val="24"/>
                <w:lang w:eastAsia="en-GB"/>
              </w:rPr>
              <w:t>Mis</w:t>
            </w:r>
            <w:proofErr w:type="spellEnd"/>
            <w:r>
              <w:rPr>
                <w:rFonts w:ascii="Arial" w:eastAsia="Times New Roman" w:hAnsi="Arial" w:cs="Arial"/>
                <w:color w:val="000000"/>
                <w:kern w:val="24"/>
                <w:lang w:eastAsia="en-GB"/>
              </w:rPr>
              <w:t>-</w:t>
            </w:r>
            <w:r w:rsidRPr="00884055">
              <w:rPr>
                <w:rFonts w:ascii="Arial" w:eastAsia="Times New Roman" w:hAnsi="Arial" w:cs="Arial"/>
                <w:color w:val="000000"/>
                <w:kern w:val="24"/>
                <w:lang w:eastAsia="en-GB"/>
              </w:rPr>
              <w:t>selling</w:t>
            </w:r>
          </w:p>
        </w:tc>
      </w:tr>
      <w:tr w:rsidR="00884055" w:rsidRPr="00884055" w:rsidTr="00884055">
        <w:trPr>
          <w:cnfStyle w:val="000000100000" w:firstRow="0" w:lastRow="0" w:firstColumn="0" w:lastColumn="0" w:oddVBand="0" w:evenVBand="0" w:oddHBand="1" w:evenHBand="0" w:firstRowFirstColumn="0" w:firstRowLastColumn="0" w:lastRowFirstColumn="0" w:lastRowLastColumn="0"/>
          <w:trHeight w:val="483"/>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2000</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Equitable Life</w:t>
            </w:r>
          </w:p>
        </w:tc>
      </w:tr>
      <w:tr w:rsidR="00884055" w:rsidRPr="00884055" w:rsidTr="00884055">
        <w:trPr>
          <w:trHeight w:val="489"/>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2002</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Split capital investment trusts and equity linked income bonds</w:t>
            </w:r>
          </w:p>
        </w:tc>
      </w:tr>
      <w:tr w:rsidR="00884055" w:rsidRPr="00884055" w:rsidTr="00884055">
        <w:trPr>
          <w:cnfStyle w:val="000000100000" w:firstRow="0" w:lastRow="0" w:firstColumn="0" w:lastColumn="0" w:oddVBand="0" w:evenVBand="0" w:oddHBand="1" w:evenHBand="0" w:firstRowFirstColumn="0" w:firstRowLastColumn="0" w:lastRowFirstColumn="0" w:lastRowLastColumn="0"/>
          <w:trHeight w:val="483"/>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2007</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Self-certified mortgages</w:t>
            </w:r>
            <w:r w:rsidR="00721F98">
              <w:rPr>
                <w:rFonts w:ascii="Arial" w:eastAsia="Times New Roman" w:hAnsi="Arial" w:cs="Arial"/>
                <w:color w:val="000000"/>
                <w:kern w:val="24"/>
                <w:lang w:eastAsia="en-GB"/>
              </w:rPr>
              <w:t xml:space="preserve"> (leading to the financial crisis)</w:t>
            </w:r>
          </w:p>
        </w:tc>
      </w:tr>
      <w:tr w:rsidR="00884055" w:rsidRPr="00884055" w:rsidTr="00884055">
        <w:trPr>
          <w:trHeight w:val="483"/>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2011</w:t>
            </w:r>
          </w:p>
        </w:tc>
        <w:tc>
          <w:tcPr>
            <w:tcW w:w="3706" w:type="pct"/>
            <w:hideMark/>
          </w:tcPr>
          <w:p w:rsidR="00884055" w:rsidRPr="00884055" w:rsidRDefault="00884055" w:rsidP="008D78C4">
            <w:pPr>
              <w:rPr>
                <w:rFonts w:ascii="Arial" w:eastAsia="Times New Roman" w:hAnsi="Arial" w:cs="Arial"/>
                <w:lang w:eastAsia="en-GB"/>
              </w:rPr>
            </w:pPr>
            <w:proofErr w:type="spellStart"/>
            <w:r w:rsidRPr="00884055">
              <w:rPr>
                <w:rFonts w:ascii="Arial" w:eastAsia="Times New Roman" w:hAnsi="Arial" w:cs="Arial"/>
                <w:color w:val="000000"/>
                <w:kern w:val="24"/>
                <w:lang w:eastAsia="en-GB"/>
              </w:rPr>
              <w:t>Kweku</w:t>
            </w:r>
            <w:proofErr w:type="spellEnd"/>
            <w:r w:rsidRPr="00884055">
              <w:rPr>
                <w:rFonts w:ascii="Arial" w:eastAsia="Times New Roman" w:hAnsi="Arial" w:cs="Arial"/>
                <w:color w:val="000000"/>
                <w:kern w:val="24"/>
                <w:lang w:eastAsia="en-GB"/>
              </w:rPr>
              <w:t xml:space="preserve"> </w:t>
            </w:r>
            <w:proofErr w:type="spellStart"/>
            <w:r w:rsidRPr="00884055">
              <w:rPr>
                <w:rFonts w:ascii="Arial" w:eastAsia="Times New Roman" w:hAnsi="Arial" w:cs="Arial"/>
                <w:color w:val="000000"/>
                <w:kern w:val="24"/>
                <w:lang w:eastAsia="en-GB"/>
              </w:rPr>
              <w:t>Adoboli</w:t>
            </w:r>
            <w:proofErr w:type="spellEnd"/>
            <w:r>
              <w:rPr>
                <w:rFonts w:ascii="Arial" w:eastAsia="Times New Roman" w:hAnsi="Arial" w:cs="Arial"/>
                <w:color w:val="000000"/>
                <w:kern w:val="24"/>
                <w:lang w:eastAsia="en-GB"/>
              </w:rPr>
              <w:t xml:space="preserve"> -</w:t>
            </w:r>
            <w:r w:rsidRPr="00884055">
              <w:rPr>
                <w:rFonts w:ascii="Arial" w:eastAsia="Times New Roman" w:hAnsi="Arial" w:cs="Arial"/>
                <w:color w:val="000000"/>
                <w:kern w:val="24"/>
                <w:lang w:eastAsia="en-GB"/>
              </w:rPr>
              <w:t xml:space="preserve"> UBS</w:t>
            </w:r>
          </w:p>
        </w:tc>
      </w:tr>
      <w:tr w:rsidR="00884055" w:rsidRPr="00884055" w:rsidTr="00884055">
        <w:trPr>
          <w:cnfStyle w:val="000000100000" w:firstRow="0" w:lastRow="0" w:firstColumn="0" w:lastColumn="0" w:oddVBand="0" w:evenVBand="0" w:oddHBand="1" w:evenHBand="0" w:firstRowFirstColumn="0" w:firstRowLastColumn="0" w:lastRowFirstColumn="0" w:lastRowLastColumn="0"/>
          <w:trHeight w:val="483"/>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2012</w:t>
            </w:r>
          </w:p>
        </w:tc>
        <w:tc>
          <w:tcPr>
            <w:tcW w:w="3706" w:type="pct"/>
            <w:hideMark/>
          </w:tcPr>
          <w:p w:rsidR="00884055" w:rsidRPr="00884055" w:rsidRDefault="00884055" w:rsidP="00721F98">
            <w:pPr>
              <w:rPr>
                <w:rFonts w:ascii="Arial" w:eastAsia="Times New Roman" w:hAnsi="Arial" w:cs="Arial"/>
                <w:lang w:eastAsia="en-GB"/>
              </w:rPr>
            </w:pPr>
            <w:r w:rsidRPr="00884055">
              <w:rPr>
                <w:rFonts w:ascii="Arial" w:eastAsia="Times New Roman" w:hAnsi="Arial" w:cs="Arial"/>
                <w:color w:val="000000"/>
                <w:kern w:val="24"/>
                <w:lang w:eastAsia="en-GB"/>
              </w:rPr>
              <w:t>Barclays Bank</w:t>
            </w:r>
            <w:r>
              <w:rPr>
                <w:rFonts w:ascii="Arial" w:eastAsia="Times New Roman" w:hAnsi="Arial" w:cs="Arial"/>
                <w:color w:val="000000"/>
                <w:kern w:val="24"/>
                <w:lang w:eastAsia="en-GB"/>
              </w:rPr>
              <w:t>, RBS and</w:t>
            </w:r>
            <w:r w:rsidRPr="00884055">
              <w:rPr>
                <w:rFonts w:ascii="Arial" w:eastAsia="Times New Roman" w:hAnsi="Arial" w:cs="Arial"/>
                <w:color w:val="000000"/>
                <w:kern w:val="24"/>
                <w:lang w:eastAsia="en-GB"/>
              </w:rPr>
              <w:t xml:space="preserve"> UBS </w:t>
            </w:r>
            <w:r w:rsidR="00721F98">
              <w:rPr>
                <w:rFonts w:ascii="Arial" w:eastAsia="Times New Roman" w:hAnsi="Arial" w:cs="Arial"/>
                <w:color w:val="000000"/>
                <w:kern w:val="24"/>
                <w:lang w:eastAsia="en-GB"/>
              </w:rPr>
              <w:t xml:space="preserve">– </w:t>
            </w:r>
            <w:r w:rsidRPr="00884055">
              <w:rPr>
                <w:rFonts w:ascii="Arial" w:eastAsia="Times New Roman" w:hAnsi="Arial" w:cs="Arial"/>
                <w:color w:val="000000"/>
                <w:kern w:val="24"/>
                <w:lang w:eastAsia="en-GB"/>
              </w:rPr>
              <w:t>LIBOR</w:t>
            </w:r>
            <w:r w:rsidR="00721F98">
              <w:rPr>
                <w:rFonts w:ascii="Arial" w:eastAsia="Times New Roman" w:hAnsi="Arial" w:cs="Arial"/>
                <w:color w:val="000000"/>
                <w:kern w:val="24"/>
                <w:lang w:eastAsia="en-GB"/>
              </w:rPr>
              <w:t xml:space="preserve"> setting</w:t>
            </w:r>
          </w:p>
        </w:tc>
      </w:tr>
      <w:tr w:rsidR="00884055" w:rsidRPr="00884055" w:rsidTr="00884055">
        <w:trPr>
          <w:trHeight w:val="571"/>
        </w:trPr>
        <w:tc>
          <w:tcPr>
            <w:tcW w:w="1294"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2013</w:t>
            </w:r>
          </w:p>
        </w:tc>
        <w:tc>
          <w:tcPr>
            <w:tcW w:w="3706" w:type="pct"/>
            <w:hideMark/>
          </w:tcPr>
          <w:p w:rsidR="00884055" w:rsidRPr="00884055" w:rsidRDefault="00884055" w:rsidP="008D78C4">
            <w:pPr>
              <w:rPr>
                <w:rFonts w:ascii="Arial" w:eastAsia="Times New Roman" w:hAnsi="Arial" w:cs="Arial"/>
                <w:lang w:eastAsia="en-GB"/>
              </w:rPr>
            </w:pPr>
            <w:r w:rsidRPr="00884055">
              <w:rPr>
                <w:rFonts w:ascii="Arial" w:eastAsia="Times New Roman" w:hAnsi="Arial" w:cs="Arial"/>
                <w:color w:val="000000"/>
                <w:kern w:val="24"/>
                <w:lang w:eastAsia="en-GB"/>
              </w:rPr>
              <w:t>Interest rate protection products</w:t>
            </w:r>
          </w:p>
        </w:tc>
      </w:tr>
    </w:tbl>
    <w:p w:rsidR="00884055" w:rsidRDefault="00884055" w:rsidP="00A73B87">
      <w:pPr>
        <w:spacing w:after="0" w:line="480" w:lineRule="auto"/>
        <w:rPr>
          <w:rFonts w:ascii="Arial" w:hAnsi="Arial" w:cs="Arial"/>
        </w:rPr>
      </w:pPr>
    </w:p>
    <w:p w:rsidR="00B20F64" w:rsidRDefault="000E77A1" w:rsidP="00A73B87">
      <w:pPr>
        <w:spacing w:after="0" w:line="480" w:lineRule="auto"/>
        <w:rPr>
          <w:rFonts w:ascii="Arial" w:hAnsi="Arial" w:cs="Arial"/>
        </w:rPr>
      </w:pPr>
      <w:r w:rsidRPr="00B55A53">
        <w:rPr>
          <w:rFonts w:ascii="Arial" w:hAnsi="Arial" w:cs="Arial"/>
        </w:rPr>
        <w:t xml:space="preserve">It is as a result of these various scandals and events that twice the government has resorted to a very public </w:t>
      </w:r>
      <w:r>
        <w:rPr>
          <w:rFonts w:ascii="Arial" w:hAnsi="Arial" w:cs="Arial"/>
        </w:rPr>
        <w:t>‘</w:t>
      </w:r>
      <w:r w:rsidRPr="00B55A53">
        <w:rPr>
          <w:rFonts w:ascii="Arial" w:hAnsi="Arial" w:cs="Arial"/>
        </w:rPr>
        <w:t>rearrangement of the deck chairs</w:t>
      </w:r>
      <w:r>
        <w:rPr>
          <w:rFonts w:ascii="Arial" w:hAnsi="Arial" w:cs="Arial"/>
        </w:rPr>
        <w:t>’</w:t>
      </w:r>
      <w:r w:rsidRPr="00B55A53">
        <w:rPr>
          <w:rFonts w:ascii="Arial" w:hAnsi="Arial" w:cs="Arial"/>
        </w:rPr>
        <w:t xml:space="preserve"> and realignment of the regulatory structures.  </w:t>
      </w:r>
      <w:r>
        <w:rPr>
          <w:rFonts w:ascii="Arial" w:hAnsi="Arial" w:cs="Arial"/>
        </w:rPr>
        <w:t>As noted</w:t>
      </w:r>
      <w:r w:rsidR="00A821B5">
        <w:rPr>
          <w:rFonts w:ascii="Arial" w:hAnsi="Arial" w:cs="Arial"/>
        </w:rPr>
        <w:t>,</w:t>
      </w:r>
      <w:r>
        <w:rPr>
          <w:rFonts w:ascii="Arial" w:hAnsi="Arial" w:cs="Arial"/>
        </w:rPr>
        <w:t xml:space="preserve"> the first of these occurred in </w:t>
      </w:r>
      <w:r w:rsidRPr="00B55A53">
        <w:rPr>
          <w:rFonts w:ascii="Arial" w:hAnsi="Arial" w:cs="Arial"/>
        </w:rPr>
        <w:t>1986 through the Financial Services Act</w:t>
      </w:r>
      <w:r>
        <w:rPr>
          <w:rFonts w:ascii="Arial" w:hAnsi="Arial" w:cs="Arial"/>
        </w:rPr>
        <w:t>,</w:t>
      </w:r>
      <w:r w:rsidRPr="00B55A53">
        <w:rPr>
          <w:rFonts w:ascii="Arial" w:hAnsi="Arial" w:cs="Arial"/>
        </w:rPr>
        <w:t xml:space="preserve"> </w:t>
      </w:r>
      <w:r w:rsidR="00A821B5">
        <w:rPr>
          <w:rFonts w:ascii="Arial" w:hAnsi="Arial" w:cs="Arial"/>
        </w:rPr>
        <w:t xml:space="preserve">responsible for the </w:t>
      </w:r>
      <w:r w:rsidRPr="00B55A53">
        <w:rPr>
          <w:rFonts w:ascii="Arial" w:hAnsi="Arial" w:cs="Arial"/>
        </w:rPr>
        <w:t>creat</w:t>
      </w:r>
      <w:r w:rsidR="00A821B5">
        <w:rPr>
          <w:rFonts w:ascii="Arial" w:hAnsi="Arial" w:cs="Arial"/>
        </w:rPr>
        <w:t>ion of</w:t>
      </w:r>
      <w:r w:rsidRPr="00B55A53">
        <w:rPr>
          <w:rFonts w:ascii="Arial" w:hAnsi="Arial" w:cs="Arial"/>
        </w:rPr>
        <w:t xml:space="preserve"> the various self</w:t>
      </w:r>
      <w:r>
        <w:rPr>
          <w:rFonts w:ascii="Arial" w:hAnsi="Arial" w:cs="Arial"/>
        </w:rPr>
        <w:t>-</w:t>
      </w:r>
      <w:r w:rsidRPr="00B55A53">
        <w:rPr>
          <w:rFonts w:ascii="Arial" w:hAnsi="Arial" w:cs="Arial"/>
        </w:rPr>
        <w:t xml:space="preserve">regulatory bodies for each discrete area of the financial sector; and </w:t>
      </w:r>
      <w:r w:rsidR="00A821B5">
        <w:rPr>
          <w:rFonts w:ascii="Arial" w:hAnsi="Arial" w:cs="Arial"/>
        </w:rPr>
        <w:t xml:space="preserve">their </w:t>
      </w:r>
      <w:r w:rsidRPr="00B55A53">
        <w:rPr>
          <w:rFonts w:ascii="Arial" w:hAnsi="Arial" w:cs="Arial"/>
        </w:rPr>
        <w:t xml:space="preserve">subsequent </w:t>
      </w:r>
      <w:r w:rsidR="00A821B5">
        <w:rPr>
          <w:rFonts w:ascii="Arial" w:hAnsi="Arial" w:cs="Arial"/>
        </w:rPr>
        <w:t>re-</w:t>
      </w:r>
      <w:r w:rsidR="00A821B5" w:rsidRPr="00B55A53">
        <w:rPr>
          <w:rFonts w:ascii="Arial" w:hAnsi="Arial" w:cs="Arial"/>
        </w:rPr>
        <w:t>combination to</w:t>
      </w:r>
      <w:r w:rsidRPr="00B55A53">
        <w:rPr>
          <w:rFonts w:ascii="Arial" w:hAnsi="Arial" w:cs="Arial"/>
        </w:rPr>
        <w:t xml:space="preserve"> mould the </w:t>
      </w:r>
      <w:r>
        <w:rPr>
          <w:rFonts w:ascii="Arial" w:hAnsi="Arial" w:cs="Arial"/>
        </w:rPr>
        <w:t xml:space="preserve">all-powerful single </w:t>
      </w:r>
      <w:r w:rsidR="00A821B5">
        <w:rPr>
          <w:rFonts w:ascii="Arial" w:hAnsi="Arial" w:cs="Arial"/>
        </w:rPr>
        <w:t>regulatory authority that was</w:t>
      </w:r>
      <w:r>
        <w:rPr>
          <w:rFonts w:ascii="Arial" w:hAnsi="Arial" w:cs="Arial"/>
        </w:rPr>
        <w:t xml:space="preserve"> the </w:t>
      </w:r>
      <w:r w:rsidRPr="00B55A53">
        <w:rPr>
          <w:rFonts w:ascii="Arial" w:hAnsi="Arial" w:cs="Arial"/>
        </w:rPr>
        <w:t xml:space="preserve">Financial Services Authority </w:t>
      </w:r>
      <w:r w:rsidR="00A821B5" w:rsidRPr="00B55A53">
        <w:rPr>
          <w:rFonts w:ascii="Arial" w:hAnsi="Arial" w:cs="Arial"/>
        </w:rPr>
        <w:t>(FSA</w:t>
      </w:r>
      <w:r w:rsidRPr="00B55A53">
        <w:rPr>
          <w:rFonts w:ascii="Arial" w:hAnsi="Arial" w:cs="Arial"/>
        </w:rPr>
        <w:t>)</w:t>
      </w:r>
      <w:r w:rsidR="00A821B5">
        <w:rPr>
          <w:rFonts w:ascii="Arial" w:hAnsi="Arial" w:cs="Arial"/>
        </w:rPr>
        <w:t>.  This</w:t>
      </w:r>
      <w:r w:rsidRPr="00B55A53">
        <w:rPr>
          <w:rFonts w:ascii="Arial" w:hAnsi="Arial" w:cs="Arial"/>
        </w:rPr>
        <w:t xml:space="preserve"> emerged as a result of the Financial Services and Markets Act, </w:t>
      </w:r>
      <w:r w:rsidRPr="00B55A53">
        <w:rPr>
          <w:rFonts w:ascii="Arial" w:hAnsi="Arial" w:cs="Arial"/>
        </w:rPr>
        <w:lastRenderedPageBreak/>
        <w:t xml:space="preserve">2000. </w:t>
      </w:r>
      <w:r w:rsidR="00825AC3">
        <w:rPr>
          <w:rFonts w:ascii="Arial" w:hAnsi="Arial" w:cs="Arial"/>
        </w:rPr>
        <w:t xml:space="preserve"> Sharpened media attention undoubtedly prompted the</w:t>
      </w:r>
      <w:r w:rsidR="00A821B5">
        <w:rPr>
          <w:rFonts w:ascii="Arial" w:hAnsi="Arial" w:cs="Arial"/>
        </w:rPr>
        <w:t xml:space="preserve"> FSA to</w:t>
      </w:r>
      <w:r w:rsidR="00343E76">
        <w:rPr>
          <w:rFonts w:ascii="Arial" w:hAnsi="Arial" w:cs="Arial"/>
        </w:rPr>
        <w:t xml:space="preserve"> increase</w:t>
      </w:r>
      <w:r w:rsidR="00A821B5">
        <w:rPr>
          <w:rFonts w:ascii="Arial" w:hAnsi="Arial" w:cs="Arial"/>
        </w:rPr>
        <w:t xml:space="preserve"> the </w:t>
      </w:r>
      <w:r w:rsidR="00343E76">
        <w:rPr>
          <w:rFonts w:ascii="Arial" w:hAnsi="Arial" w:cs="Arial"/>
        </w:rPr>
        <w:t xml:space="preserve">visibility of </w:t>
      </w:r>
      <w:r w:rsidR="006B60F2">
        <w:rPr>
          <w:rFonts w:ascii="Arial" w:hAnsi="Arial" w:cs="Arial"/>
        </w:rPr>
        <w:t>its regulatory sanction</w:t>
      </w:r>
      <w:r w:rsidR="00825AC3">
        <w:rPr>
          <w:rFonts w:ascii="Arial" w:hAnsi="Arial" w:cs="Arial"/>
        </w:rPr>
        <w:t xml:space="preserve"> activity </w:t>
      </w:r>
      <w:r w:rsidR="00343E76">
        <w:rPr>
          <w:rFonts w:ascii="Arial" w:hAnsi="Arial" w:cs="Arial"/>
        </w:rPr>
        <w:t>via implementation of a policy of ‘visible deterrence’ over the latter part of the 2000s</w:t>
      </w:r>
      <w:r w:rsidR="00B20F64">
        <w:rPr>
          <w:rFonts w:ascii="Arial" w:hAnsi="Arial" w:cs="Arial"/>
        </w:rPr>
        <w:t xml:space="preserve"> and this did give rise to a gradual increase in the overall size of regulatory fines levied on rule transgressors. </w:t>
      </w:r>
      <w:r w:rsidR="00A821B5">
        <w:rPr>
          <w:rFonts w:ascii="Arial" w:hAnsi="Arial" w:cs="Arial"/>
        </w:rPr>
        <w:t>For example, i</w:t>
      </w:r>
      <w:r w:rsidR="00A821B5" w:rsidRPr="005C72F0">
        <w:rPr>
          <w:rFonts w:ascii="Arial" w:hAnsi="Arial" w:cs="Arial"/>
        </w:rPr>
        <w:t>n 2002 the FSA imposed nine fines totalling £9.4 million, with an average value of £827k and a range of £4k to £4 million.  In 2012, it imposed 53 fines, with a total value of £311.6 million, an average value of £5.9 million and a range from £10k to £160 million</w:t>
      </w:r>
      <w:r w:rsidR="00A821B5">
        <w:rPr>
          <w:rStyle w:val="FootnoteReference"/>
          <w:rFonts w:ascii="Arial" w:hAnsi="Arial" w:cs="Arial"/>
        </w:rPr>
        <w:footnoteReference w:id="34"/>
      </w:r>
      <w:r w:rsidR="00A821B5" w:rsidRPr="005C72F0">
        <w:rPr>
          <w:rFonts w:ascii="Arial" w:hAnsi="Arial" w:cs="Arial"/>
        </w:rPr>
        <w:t xml:space="preserve">.   </w:t>
      </w:r>
      <w:r w:rsidR="00A821B5">
        <w:rPr>
          <w:rFonts w:ascii="Arial" w:hAnsi="Arial" w:cs="Arial"/>
        </w:rPr>
        <w:t xml:space="preserve">Despite these higher sanctions the UK approach </w:t>
      </w:r>
      <w:r w:rsidR="00825AC3">
        <w:rPr>
          <w:rFonts w:ascii="Arial" w:hAnsi="Arial" w:cs="Arial"/>
        </w:rPr>
        <w:t>remained</w:t>
      </w:r>
      <w:r w:rsidR="00A821B5">
        <w:rPr>
          <w:rFonts w:ascii="Arial" w:hAnsi="Arial" w:cs="Arial"/>
        </w:rPr>
        <w:t xml:space="preserve"> </w:t>
      </w:r>
      <w:r w:rsidR="00A821B5" w:rsidRPr="0062177C">
        <w:rPr>
          <w:rFonts w:ascii="Arial" w:hAnsi="Arial" w:cs="Arial"/>
        </w:rPr>
        <w:t xml:space="preserve">in sharp contrast to </w:t>
      </w:r>
      <w:r w:rsidR="00A821B5" w:rsidRPr="00343E76">
        <w:rPr>
          <w:rFonts w:ascii="Arial" w:hAnsi="Arial" w:cs="Arial"/>
          <w:i/>
        </w:rPr>
        <w:t xml:space="preserve">‘the American system of enforcement </w:t>
      </w:r>
      <w:r w:rsidR="00A821B5" w:rsidRPr="00825AC3">
        <w:rPr>
          <w:rFonts w:ascii="Arial" w:hAnsi="Arial" w:cs="Arial"/>
        </w:rPr>
        <w:t>[that]</w:t>
      </w:r>
      <w:r w:rsidR="00A821B5" w:rsidRPr="00343E76">
        <w:rPr>
          <w:rFonts w:ascii="Arial" w:hAnsi="Arial" w:cs="Arial"/>
          <w:i/>
        </w:rPr>
        <w:t xml:space="preserve"> tends to be more adversarial, litigious and deterrence-based than the more compliance-oriented British approach’</w:t>
      </w:r>
      <w:r w:rsidR="00A821B5" w:rsidRPr="0062177C">
        <w:rPr>
          <w:rFonts w:ascii="Arial" w:hAnsi="Arial" w:cs="Arial"/>
        </w:rPr>
        <w:t xml:space="preserve"> (Baldwin and Cave, 1999)</w:t>
      </w:r>
      <w:r w:rsidR="00B20F64">
        <w:rPr>
          <w:rFonts w:ascii="Arial" w:hAnsi="Arial" w:cs="Arial"/>
        </w:rPr>
        <w:t>.</w:t>
      </w:r>
      <w:r w:rsidR="00A821B5">
        <w:rPr>
          <w:rStyle w:val="FootnoteReference"/>
          <w:rFonts w:ascii="Arial" w:hAnsi="Arial" w:cs="Arial"/>
        </w:rPr>
        <w:footnoteReference w:id="35"/>
      </w:r>
      <w:r w:rsidR="00A821B5" w:rsidRPr="0062177C">
        <w:rPr>
          <w:rFonts w:ascii="Arial" w:hAnsi="Arial" w:cs="Arial"/>
        </w:rPr>
        <w:t xml:space="preserve">  </w:t>
      </w:r>
    </w:p>
    <w:p w:rsidR="00B20F64" w:rsidRDefault="00B20F64" w:rsidP="00A73B87">
      <w:pPr>
        <w:spacing w:after="0" w:line="480" w:lineRule="auto"/>
        <w:rPr>
          <w:rFonts w:ascii="Arial" w:hAnsi="Arial" w:cs="Arial"/>
        </w:rPr>
      </w:pPr>
    </w:p>
    <w:p w:rsidR="00371893" w:rsidRDefault="000B023F" w:rsidP="000E31D3">
      <w:pPr>
        <w:spacing w:after="0" w:line="480" w:lineRule="auto"/>
        <w:rPr>
          <w:rFonts w:ascii="Arial" w:hAnsi="Arial" w:cs="Arial"/>
        </w:rPr>
      </w:pPr>
      <w:r>
        <w:rPr>
          <w:rFonts w:ascii="Arial" w:hAnsi="Arial" w:cs="Arial"/>
        </w:rPr>
        <w:t xml:space="preserve">It was thus far from unexpected that the latest assault on public confidence </w:t>
      </w:r>
      <w:r w:rsidR="00B20F64">
        <w:rPr>
          <w:rFonts w:ascii="Arial" w:hAnsi="Arial" w:cs="Arial"/>
        </w:rPr>
        <w:t xml:space="preserve">that emerged with the 2008 financial crisis that had led </w:t>
      </w:r>
      <w:r w:rsidR="00B20F64" w:rsidRPr="006B60F2">
        <w:rPr>
          <w:rFonts w:ascii="Arial" w:hAnsi="Arial" w:cs="Arial"/>
        </w:rPr>
        <w:t xml:space="preserve">to calls for what </w:t>
      </w:r>
      <w:proofErr w:type="spellStart"/>
      <w:r w:rsidR="00B20F64" w:rsidRPr="006B60F2">
        <w:rPr>
          <w:rFonts w:ascii="Arial" w:hAnsi="Arial" w:cs="Arial"/>
        </w:rPr>
        <w:t>Moshella</w:t>
      </w:r>
      <w:proofErr w:type="spellEnd"/>
      <w:r w:rsidR="00B20F64" w:rsidRPr="006B60F2">
        <w:rPr>
          <w:rFonts w:ascii="Arial" w:hAnsi="Arial" w:cs="Arial"/>
        </w:rPr>
        <w:t xml:space="preserve"> and </w:t>
      </w:r>
      <w:proofErr w:type="spellStart"/>
      <w:r w:rsidR="00B20F64" w:rsidRPr="006B60F2">
        <w:rPr>
          <w:rFonts w:ascii="Arial" w:hAnsi="Arial" w:cs="Arial"/>
        </w:rPr>
        <w:t>Tsingou</w:t>
      </w:r>
      <w:proofErr w:type="spellEnd"/>
      <w:r w:rsidR="00B20F64" w:rsidRPr="006B60F2">
        <w:rPr>
          <w:rFonts w:ascii="Arial" w:hAnsi="Arial" w:cs="Arial"/>
        </w:rPr>
        <w:t xml:space="preserve"> (2013)</w:t>
      </w:r>
      <w:r w:rsidR="00B20F64">
        <w:rPr>
          <w:rStyle w:val="FootnoteReference"/>
          <w:rFonts w:ascii="Arial" w:hAnsi="Arial" w:cs="Arial"/>
        </w:rPr>
        <w:footnoteReference w:id="36"/>
      </w:r>
      <w:r w:rsidR="00B20F64" w:rsidRPr="006B60F2">
        <w:rPr>
          <w:rFonts w:ascii="Arial" w:hAnsi="Arial" w:cs="Arial"/>
        </w:rPr>
        <w:t xml:space="preserve">  </w:t>
      </w:r>
      <w:r w:rsidR="00A649C4" w:rsidRPr="006B60F2">
        <w:rPr>
          <w:rFonts w:ascii="Arial" w:hAnsi="Arial" w:cs="Arial"/>
        </w:rPr>
        <w:t>refer</w:t>
      </w:r>
      <w:r w:rsidR="00A649C4">
        <w:rPr>
          <w:rFonts w:ascii="Arial" w:hAnsi="Arial" w:cs="Arial"/>
        </w:rPr>
        <w:t>red</w:t>
      </w:r>
      <w:r w:rsidR="00B20F64" w:rsidRPr="006B60F2">
        <w:rPr>
          <w:rFonts w:ascii="Arial" w:hAnsi="Arial" w:cs="Arial"/>
        </w:rPr>
        <w:t xml:space="preserve"> to as </w:t>
      </w:r>
      <w:r w:rsidR="00B20F64" w:rsidRPr="00343E76">
        <w:rPr>
          <w:rFonts w:ascii="Arial" w:hAnsi="Arial" w:cs="Arial"/>
          <w:i/>
        </w:rPr>
        <w:t>“re-regulation</w:t>
      </w:r>
      <w:r w:rsidR="00B20F64" w:rsidRPr="006B60F2">
        <w:rPr>
          <w:rFonts w:ascii="Arial" w:hAnsi="Arial" w:cs="Arial"/>
        </w:rPr>
        <w:t xml:space="preserve">” of these markets and </w:t>
      </w:r>
      <w:r w:rsidR="00B20F64" w:rsidRPr="00343E76">
        <w:rPr>
          <w:rFonts w:ascii="Arial" w:hAnsi="Arial" w:cs="Arial"/>
          <w:i/>
        </w:rPr>
        <w:t>“to a more assertive and interventionist role for the public sector”</w:t>
      </w:r>
      <w:r w:rsidR="00144B01">
        <w:rPr>
          <w:rFonts w:ascii="Arial" w:hAnsi="Arial" w:cs="Arial"/>
        </w:rPr>
        <w:t>,</w:t>
      </w:r>
      <w:r w:rsidR="00B20F64">
        <w:rPr>
          <w:rFonts w:ascii="Arial" w:hAnsi="Arial" w:cs="Arial"/>
        </w:rPr>
        <w:t xml:space="preserve"> </w:t>
      </w:r>
      <w:r>
        <w:rPr>
          <w:rFonts w:ascii="Arial" w:hAnsi="Arial" w:cs="Arial"/>
        </w:rPr>
        <w:t xml:space="preserve">would result in the third major reconfiguration of the regulatory framework </w:t>
      </w:r>
      <w:r w:rsidR="00B20F64">
        <w:rPr>
          <w:rFonts w:ascii="Arial" w:hAnsi="Arial" w:cs="Arial"/>
        </w:rPr>
        <w:t>that accompanied</w:t>
      </w:r>
      <w:r>
        <w:rPr>
          <w:rFonts w:ascii="Arial" w:hAnsi="Arial" w:cs="Arial"/>
        </w:rPr>
        <w:t xml:space="preserve"> the Financial Services and Market Act 2012</w:t>
      </w:r>
      <w:r w:rsidR="00B20F64">
        <w:rPr>
          <w:rFonts w:ascii="Arial" w:hAnsi="Arial" w:cs="Arial"/>
        </w:rPr>
        <w:t>.</w:t>
      </w:r>
      <w:r>
        <w:rPr>
          <w:rStyle w:val="FootnoteReference"/>
          <w:rFonts w:ascii="Arial" w:hAnsi="Arial" w:cs="Arial"/>
        </w:rPr>
        <w:footnoteReference w:id="37"/>
      </w:r>
      <w:r w:rsidRPr="00E64EB7">
        <w:t xml:space="preserve"> </w:t>
      </w:r>
      <w:r w:rsidR="00B20F64">
        <w:rPr>
          <w:rFonts w:ascii="Arial" w:hAnsi="Arial" w:cs="Arial"/>
        </w:rPr>
        <w:t xml:space="preserve"> F</w:t>
      </w:r>
      <w:r>
        <w:rPr>
          <w:rFonts w:ascii="Arial" w:hAnsi="Arial" w:cs="Arial"/>
        </w:rPr>
        <w:t xml:space="preserve">or the FSA it was unfortunate that </w:t>
      </w:r>
      <w:r w:rsidR="00B20F64">
        <w:rPr>
          <w:rFonts w:ascii="Arial" w:hAnsi="Arial" w:cs="Arial"/>
        </w:rPr>
        <w:t>its visible deterrence efforts proved insufficient</w:t>
      </w:r>
      <w:r>
        <w:rPr>
          <w:rFonts w:ascii="Arial" w:hAnsi="Arial" w:cs="Arial"/>
        </w:rPr>
        <w:t xml:space="preserve"> to save it from being reorganised</w:t>
      </w:r>
      <w:r w:rsidRPr="000E77A1">
        <w:rPr>
          <w:rFonts w:ascii="Arial" w:hAnsi="Arial" w:cs="Arial"/>
        </w:rPr>
        <w:t xml:space="preserve"> </w:t>
      </w:r>
      <w:r>
        <w:rPr>
          <w:rFonts w:ascii="Arial" w:hAnsi="Arial" w:cs="Arial"/>
        </w:rPr>
        <w:t>and</w:t>
      </w:r>
      <w:r w:rsidR="000E77A1" w:rsidRPr="000E77A1">
        <w:rPr>
          <w:rFonts w:ascii="Arial" w:hAnsi="Arial" w:cs="Arial"/>
        </w:rPr>
        <w:t xml:space="preserve"> replaced </w:t>
      </w:r>
      <w:r w:rsidR="000E77A1">
        <w:rPr>
          <w:rFonts w:ascii="Arial" w:hAnsi="Arial" w:cs="Arial"/>
        </w:rPr>
        <w:t>in response to public criticism that its span of oversight had grown too large for it to be effective.  This Act paved the way for the creation</w:t>
      </w:r>
      <w:r w:rsidR="000E77A1" w:rsidRPr="000E77A1">
        <w:rPr>
          <w:rFonts w:ascii="Arial" w:hAnsi="Arial" w:cs="Arial"/>
        </w:rPr>
        <w:t xml:space="preserve"> </w:t>
      </w:r>
      <w:r w:rsidR="000E77A1">
        <w:rPr>
          <w:rFonts w:ascii="Arial" w:hAnsi="Arial" w:cs="Arial"/>
        </w:rPr>
        <w:t xml:space="preserve">of </w:t>
      </w:r>
      <w:r w:rsidR="000E77A1" w:rsidRPr="000E77A1">
        <w:rPr>
          <w:rFonts w:ascii="Arial" w:hAnsi="Arial" w:cs="Arial"/>
        </w:rPr>
        <w:t xml:space="preserve">the Financial Conduct Authority (FCA) and the Prudential Regulation Authority (PRA) but also broadened and strengthened the law in relation to market manipulation (arising from the LIBOR setting ‘scandal’) and </w:t>
      </w:r>
      <w:r w:rsidR="00A649C4">
        <w:rPr>
          <w:rFonts w:ascii="Arial" w:hAnsi="Arial" w:cs="Arial"/>
        </w:rPr>
        <w:t xml:space="preserve">in </w:t>
      </w:r>
      <w:r w:rsidR="00A649C4">
        <w:rPr>
          <w:rFonts w:ascii="Arial" w:hAnsi="Arial" w:cs="Arial"/>
        </w:rPr>
        <w:lastRenderedPageBreak/>
        <w:t xml:space="preserve">relation to </w:t>
      </w:r>
      <w:r w:rsidR="000E77A1" w:rsidRPr="000E77A1">
        <w:rPr>
          <w:rFonts w:ascii="Arial" w:hAnsi="Arial" w:cs="Arial"/>
        </w:rPr>
        <w:t xml:space="preserve">misleading statement and practices and creation of misleading impressions which was seen as providing a means of strengthening accountability.    </w:t>
      </w:r>
    </w:p>
    <w:p w:rsidR="000E31D3" w:rsidRDefault="000E31D3" w:rsidP="000E31D3">
      <w:pPr>
        <w:spacing w:after="0" w:line="480" w:lineRule="auto"/>
        <w:rPr>
          <w:rFonts w:ascii="Arial" w:hAnsi="Arial" w:cs="Arial"/>
          <w:i/>
        </w:rPr>
      </w:pPr>
    </w:p>
    <w:p w:rsidR="006B60F2" w:rsidRPr="006B60F2" w:rsidRDefault="006B60F2" w:rsidP="003145BF">
      <w:pPr>
        <w:spacing w:after="0" w:line="480" w:lineRule="auto"/>
        <w:ind w:left="720"/>
        <w:rPr>
          <w:rFonts w:ascii="Arial" w:hAnsi="Arial" w:cs="Arial"/>
        </w:rPr>
      </w:pPr>
      <w:r w:rsidRPr="006B60F2">
        <w:rPr>
          <w:rFonts w:ascii="Arial" w:hAnsi="Arial" w:cs="Arial"/>
          <w:i/>
        </w:rPr>
        <w:t>“The FSA has lasted barely a decade and was the second failed attempt to balance self-regulation with formal legislation to guard against City misdemeanours and miscreants”.</w:t>
      </w:r>
      <w:r w:rsidRPr="006B60F2">
        <w:t xml:space="preserve"> </w:t>
      </w:r>
      <w:r>
        <w:t>‘</w:t>
      </w:r>
      <w:r w:rsidRPr="006B60F2">
        <w:rPr>
          <w:rFonts w:ascii="Arial" w:hAnsi="Arial" w:cs="Arial"/>
        </w:rPr>
        <w:t>And so, farewell to the FSA</w:t>
      </w:r>
      <w:r>
        <w:rPr>
          <w:rFonts w:ascii="Arial" w:hAnsi="Arial" w:cs="Arial"/>
        </w:rPr>
        <w:t xml:space="preserve">’ </w:t>
      </w:r>
      <w:r w:rsidRPr="006B60F2">
        <w:rPr>
          <w:rFonts w:ascii="Arial" w:hAnsi="Arial" w:cs="Arial"/>
        </w:rPr>
        <w:t xml:space="preserve">Sebastian Walsh, </w:t>
      </w:r>
      <w:r w:rsidRPr="006B60F2">
        <w:rPr>
          <w:rFonts w:ascii="Arial" w:hAnsi="Arial" w:cs="Arial"/>
          <w:i/>
        </w:rPr>
        <w:t>Financial News</w:t>
      </w:r>
      <w:r w:rsidRPr="006B60F2">
        <w:rPr>
          <w:rFonts w:ascii="Arial" w:hAnsi="Arial" w:cs="Arial"/>
        </w:rPr>
        <w:t xml:space="preserve"> 9th Jan 2012</w:t>
      </w:r>
    </w:p>
    <w:p w:rsidR="007B5204" w:rsidRDefault="007B5204" w:rsidP="007B5204">
      <w:pPr>
        <w:spacing w:after="0" w:line="480" w:lineRule="auto"/>
        <w:rPr>
          <w:rFonts w:ascii="Arial" w:hAnsi="Arial" w:cs="Arial"/>
          <w:b/>
        </w:rPr>
      </w:pPr>
    </w:p>
    <w:p w:rsidR="007B5204" w:rsidRDefault="007B5204" w:rsidP="007B5204">
      <w:pPr>
        <w:spacing w:after="0" w:line="480" w:lineRule="auto"/>
        <w:rPr>
          <w:rFonts w:ascii="Arial" w:hAnsi="Arial" w:cs="Arial"/>
          <w:b/>
        </w:rPr>
      </w:pPr>
      <w:r>
        <w:rPr>
          <w:rFonts w:ascii="Arial" w:hAnsi="Arial" w:cs="Arial"/>
          <w:b/>
        </w:rPr>
        <w:t>Inherent instability</w:t>
      </w:r>
    </w:p>
    <w:p w:rsidR="00B7671F" w:rsidRDefault="00B7671F" w:rsidP="00A73B87">
      <w:pPr>
        <w:spacing w:after="0" w:line="480" w:lineRule="auto"/>
        <w:rPr>
          <w:rFonts w:ascii="Arial" w:hAnsi="Arial" w:cs="Arial"/>
        </w:rPr>
      </w:pPr>
    </w:p>
    <w:p w:rsidR="00371893" w:rsidRDefault="00144B01" w:rsidP="00076234">
      <w:pPr>
        <w:spacing w:after="0" w:line="480" w:lineRule="auto"/>
        <w:rPr>
          <w:rFonts w:ascii="Arial" w:hAnsi="Arial" w:cs="Arial"/>
        </w:rPr>
      </w:pPr>
      <w:r>
        <w:rPr>
          <w:rFonts w:ascii="Arial" w:hAnsi="Arial" w:cs="Arial"/>
        </w:rPr>
        <w:t>Changing the structure of</w:t>
      </w:r>
      <w:r w:rsidR="007B5204">
        <w:rPr>
          <w:rFonts w:ascii="Arial" w:hAnsi="Arial" w:cs="Arial"/>
        </w:rPr>
        <w:t xml:space="preserve"> regulation </w:t>
      </w:r>
      <w:r w:rsidR="0060674C">
        <w:rPr>
          <w:rFonts w:ascii="Arial" w:hAnsi="Arial" w:cs="Arial"/>
        </w:rPr>
        <w:t xml:space="preserve">is somewhat predicated on the assumption that </w:t>
      </w:r>
      <w:r w:rsidR="00AD1B59">
        <w:rPr>
          <w:rFonts w:ascii="Arial" w:hAnsi="Arial" w:cs="Arial"/>
        </w:rPr>
        <w:t xml:space="preserve">it possible to intervene and substantially alter past behaviours </w:t>
      </w:r>
      <w:r w:rsidR="007D7FD5">
        <w:rPr>
          <w:rFonts w:ascii="Arial" w:hAnsi="Arial" w:cs="Arial"/>
        </w:rPr>
        <w:t xml:space="preserve">learned </w:t>
      </w:r>
      <w:r w:rsidR="00AD1B59">
        <w:rPr>
          <w:rFonts w:ascii="Arial" w:hAnsi="Arial" w:cs="Arial"/>
        </w:rPr>
        <w:t xml:space="preserve">and business models </w:t>
      </w:r>
      <w:r w:rsidR="007D7FD5">
        <w:rPr>
          <w:rFonts w:ascii="Arial" w:hAnsi="Arial" w:cs="Arial"/>
        </w:rPr>
        <w:t>developed</w:t>
      </w:r>
      <w:r w:rsidR="00AD1B59">
        <w:rPr>
          <w:rFonts w:ascii="Arial" w:hAnsi="Arial" w:cs="Arial"/>
        </w:rPr>
        <w:t xml:space="preserve"> over many years of </w:t>
      </w:r>
      <w:r w:rsidR="007D7FD5">
        <w:rPr>
          <w:rFonts w:ascii="Arial" w:hAnsi="Arial" w:cs="Arial"/>
        </w:rPr>
        <w:t xml:space="preserve">a </w:t>
      </w:r>
      <w:r w:rsidR="00AD1B59">
        <w:rPr>
          <w:rFonts w:ascii="Arial" w:hAnsi="Arial" w:cs="Arial"/>
        </w:rPr>
        <w:t>free functioning capitalist system.</w:t>
      </w:r>
      <w:r w:rsidR="00AD1B59" w:rsidRPr="00AD1B59">
        <w:t xml:space="preserve"> </w:t>
      </w:r>
      <w:r w:rsidR="00A73B87">
        <w:rPr>
          <w:rFonts w:ascii="Arial" w:hAnsi="Arial" w:cs="Arial"/>
        </w:rPr>
        <w:t>Unfortunately</w:t>
      </w:r>
      <w:r w:rsidR="00166381">
        <w:rPr>
          <w:rFonts w:ascii="Arial" w:hAnsi="Arial" w:cs="Arial"/>
        </w:rPr>
        <w:t xml:space="preserve"> what is frequently overlooked is the very real fact that</w:t>
      </w:r>
      <w:r w:rsidR="00A73B87">
        <w:rPr>
          <w:rFonts w:ascii="Arial" w:hAnsi="Arial" w:cs="Arial"/>
        </w:rPr>
        <w:t xml:space="preserve"> the capitalist </w:t>
      </w:r>
      <w:r w:rsidR="00C95607">
        <w:rPr>
          <w:rFonts w:ascii="Arial" w:hAnsi="Arial" w:cs="Arial"/>
        </w:rPr>
        <w:t>system itself</w:t>
      </w:r>
      <w:r w:rsidR="00166381">
        <w:rPr>
          <w:rFonts w:ascii="Arial" w:hAnsi="Arial" w:cs="Arial"/>
        </w:rPr>
        <w:t xml:space="preserve"> is, by its very nature unstable as it </w:t>
      </w:r>
      <w:r w:rsidR="00A73B87">
        <w:rPr>
          <w:rFonts w:ascii="Arial" w:hAnsi="Arial" w:cs="Arial"/>
        </w:rPr>
        <w:t xml:space="preserve">centres upon successful profit generation and this </w:t>
      </w:r>
      <w:r w:rsidR="00AD1B59">
        <w:rPr>
          <w:rFonts w:ascii="Arial" w:hAnsi="Arial" w:cs="Arial"/>
        </w:rPr>
        <w:t xml:space="preserve">requires </w:t>
      </w:r>
      <w:r w:rsidR="00A73B87">
        <w:rPr>
          <w:rFonts w:ascii="Arial" w:hAnsi="Arial" w:cs="Arial"/>
        </w:rPr>
        <w:t xml:space="preserve">companies </w:t>
      </w:r>
      <w:r w:rsidR="00AD1B59">
        <w:rPr>
          <w:rFonts w:ascii="Arial" w:hAnsi="Arial" w:cs="Arial"/>
        </w:rPr>
        <w:t xml:space="preserve">to </w:t>
      </w:r>
      <w:r w:rsidR="00A73B87">
        <w:rPr>
          <w:rFonts w:ascii="Arial" w:hAnsi="Arial" w:cs="Arial"/>
        </w:rPr>
        <w:t>seek out</w:t>
      </w:r>
      <w:r w:rsidR="00AD1B59">
        <w:rPr>
          <w:rFonts w:ascii="Arial" w:hAnsi="Arial" w:cs="Arial"/>
        </w:rPr>
        <w:t xml:space="preserve"> and exploit </w:t>
      </w:r>
      <w:r w:rsidR="00A73B87">
        <w:rPr>
          <w:rFonts w:ascii="Arial" w:hAnsi="Arial" w:cs="Arial"/>
        </w:rPr>
        <w:t xml:space="preserve">potential market advantage. </w:t>
      </w:r>
      <w:r w:rsidR="007D7FD5">
        <w:rPr>
          <w:rFonts w:ascii="Arial" w:hAnsi="Arial" w:cs="Arial"/>
        </w:rPr>
        <w:t xml:space="preserve"> Seeking to benefit from the very market anomalies that regulation seeks to put right. </w:t>
      </w:r>
      <w:r w:rsidR="00D203CA">
        <w:rPr>
          <w:rFonts w:ascii="Arial" w:hAnsi="Arial" w:cs="Arial"/>
        </w:rPr>
        <w:t xml:space="preserve"> Ingrained within this approach is the fact that </w:t>
      </w:r>
      <w:r w:rsidR="00AD1B59">
        <w:rPr>
          <w:rFonts w:ascii="Arial" w:hAnsi="Arial" w:cs="Arial"/>
          <w:i/>
        </w:rPr>
        <w:t>“</w:t>
      </w:r>
      <w:r w:rsidR="00D203CA" w:rsidRPr="00D203CA">
        <w:rPr>
          <w:rFonts w:ascii="Arial" w:hAnsi="Arial" w:cs="Arial"/>
          <w:i/>
        </w:rPr>
        <w:t>people in markets act in their own self-interest</w:t>
      </w:r>
      <w:r w:rsidR="00AD1B59">
        <w:rPr>
          <w:rFonts w:ascii="Arial" w:hAnsi="Arial" w:cs="Arial"/>
          <w:i/>
        </w:rPr>
        <w:t xml:space="preserve">” </w:t>
      </w:r>
      <w:r w:rsidR="00D203CA">
        <w:rPr>
          <w:rFonts w:ascii="Arial" w:hAnsi="Arial" w:cs="Arial"/>
        </w:rPr>
        <w:t xml:space="preserve">(van de </w:t>
      </w:r>
      <w:proofErr w:type="spellStart"/>
      <w:r w:rsidR="00D203CA">
        <w:rPr>
          <w:rFonts w:ascii="Arial" w:hAnsi="Arial" w:cs="Arial"/>
        </w:rPr>
        <w:t>Ven</w:t>
      </w:r>
      <w:proofErr w:type="spellEnd"/>
      <w:r w:rsidR="00D203CA">
        <w:rPr>
          <w:rFonts w:ascii="Arial" w:hAnsi="Arial" w:cs="Arial"/>
        </w:rPr>
        <w:t>, 2011)</w:t>
      </w:r>
      <w:r w:rsidR="00AD1B59">
        <w:rPr>
          <w:rFonts w:ascii="Arial" w:hAnsi="Arial" w:cs="Arial"/>
        </w:rPr>
        <w:t>.</w:t>
      </w:r>
      <w:r w:rsidR="00D203CA">
        <w:rPr>
          <w:rStyle w:val="FootnoteReference"/>
          <w:rFonts w:ascii="Arial" w:hAnsi="Arial" w:cs="Arial"/>
        </w:rPr>
        <w:footnoteReference w:id="38"/>
      </w:r>
      <w:r w:rsidR="00D203CA" w:rsidRPr="00D203CA">
        <w:rPr>
          <w:rFonts w:ascii="Arial" w:hAnsi="Arial" w:cs="Arial"/>
        </w:rPr>
        <w:t xml:space="preserve"> </w:t>
      </w:r>
      <w:r w:rsidR="00A73B87">
        <w:rPr>
          <w:rFonts w:ascii="Arial" w:hAnsi="Arial" w:cs="Arial"/>
        </w:rPr>
        <w:t xml:space="preserve"> Indeed </w:t>
      </w:r>
      <w:r w:rsidR="00BC21AD" w:rsidRPr="00BC21AD">
        <w:rPr>
          <w:rFonts w:ascii="Arial" w:hAnsi="Arial" w:cs="Arial"/>
        </w:rPr>
        <w:t xml:space="preserve">Minsky, </w:t>
      </w:r>
      <w:r w:rsidR="00BC21AD">
        <w:rPr>
          <w:rFonts w:ascii="Arial" w:hAnsi="Arial" w:cs="Arial"/>
        </w:rPr>
        <w:t>(</w:t>
      </w:r>
      <w:r w:rsidR="00BC21AD" w:rsidRPr="00BC21AD">
        <w:rPr>
          <w:rFonts w:ascii="Arial" w:hAnsi="Arial" w:cs="Arial"/>
        </w:rPr>
        <w:t>2003</w:t>
      </w:r>
      <w:r w:rsidR="00BC21AD">
        <w:rPr>
          <w:rFonts w:ascii="Arial" w:hAnsi="Arial" w:cs="Arial"/>
        </w:rPr>
        <w:t>)</w:t>
      </w:r>
      <w:r w:rsidR="00BC21AD">
        <w:rPr>
          <w:rStyle w:val="FootnoteReference"/>
          <w:rFonts w:ascii="Arial" w:hAnsi="Arial" w:cs="Arial"/>
        </w:rPr>
        <w:footnoteReference w:id="39"/>
      </w:r>
      <w:r w:rsidR="00BC21AD" w:rsidRPr="00BC21AD">
        <w:rPr>
          <w:rFonts w:ascii="Arial" w:hAnsi="Arial" w:cs="Arial"/>
        </w:rPr>
        <w:t xml:space="preserve">, </w:t>
      </w:r>
      <w:r w:rsidR="007D7FD5">
        <w:rPr>
          <w:rFonts w:ascii="Arial" w:hAnsi="Arial" w:cs="Arial"/>
        </w:rPr>
        <w:t>argued</w:t>
      </w:r>
      <w:r w:rsidR="00BC21AD">
        <w:rPr>
          <w:rFonts w:ascii="Arial" w:hAnsi="Arial" w:cs="Arial"/>
        </w:rPr>
        <w:t xml:space="preserve"> the</w:t>
      </w:r>
      <w:r w:rsidR="00BC21AD" w:rsidRPr="00BC21AD">
        <w:rPr>
          <w:rFonts w:ascii="Arial" w:hAnsi="Arial" w:cs="Arial"/>
        </w:rPr>
        <w:t xml:space="preserve"> existence of regular endogenously generated financial crises </w:t>
      </w:r>
      <w:r w:rsidR="00076234">
        <w:rPr>
          <w:rFonts w:ascii="Arial" w:hAnsi="Arial" w:cs="Arial"/>
        </w:rPr>
        <w:t xml:space="preserve">as being part and parcel of </w:t>
      </w:r>
      <w:r w:rsidR="00BC21AD" w:rsidRPr="00BC21AD">
        <w:rPr>
          <w:rFonts w:ascii="Arial" w:hAnsi="Arial" w:cs="Arial"/>
        </w:rPr>
        <w:t>capitalist economies</w:t>
      </w:r>
      <w:r w:rsidR="00AD1B59">
        <w:rPr>
          <w:rFonts w:ascii="Arial" w:hAnsi="Arial" w:cs="Arial"/>
        </w:rPr>
        <w:t>.  Setting out his first and second theorems that identified the</w:t>
      </w:r>
      <w:r w:rsidR="00076234" w:rsidRPr="00076234">
        <w:t xml:space="preserve"> </w:t>
      </w:r>
      <w:r w:rsidR="00076234" w:rsidRPr="00076234">
        <w:rPr>
          <w:rFonts w:ascii="Arial" w:hAnsi="Arial" w:cs="Arial"/>
        </w:rPr>
        <w:t xml:space="preserve">predisposition of financial markets to lurch from one </w:t>
      </w:r>
      <w:r w:rsidR="00076234">
        <w:rPr>
          <w:rFonts w:ascii="Arial" w:hAnsi="Arial" w:cs="Arial"/>
        </w:rPr>
        <w:t xml:space="preserve">crisis </w:t>
      </w:r>
      <w:r w:rsidR="00076234" w:rsidRPr="00076234">
        <w:rPr>
          <w:rFonts w:ascii="Arial" w:hAnsi="Arial" w:cs="Arial"/>
        </w:rPr>
        <w:t>to the next</w:t>
      </w:r>
      <w:r w:rsidR="00516B8F">
        <w:rPr>
          <w:rFonts w:ascii="Arial" w:hAnsi="Arial" w:cs="Arial"/>
        </w:rPr>
        <w:t>:</w:t>
      </w:r>
    </w:p>
    <w:p w:rsidR="00371893" w:rsidRDefault="00076234" w:rsidP="00371893">
      <w:pPr>
        <w:spacing w:after="0" w:line="480" w:lineRule="auto"/>
        <w:ind w:left="720"/>
        <w:rPr>
          <w:rFonts w:ascii="Arial" w:hAnsi="Arial" w:cs="Arial"/>
          <w:i/>
        </w:rPr>
      </w:pPr>
      <w:r w:rsidRPr="00076234">
        <w:rPr>
          <w:rFonts w:ascii="Arial" w:hAnsi="Arial" w:cs="Arial"/>
        </w:rPr>
        <w:t xml:space="preserve"> </w:t>
      </w:r>
      <w:r w:rsidRPr="00076234">
        <w:rPr>
          <w:rFonts w:ascii="Arial" w:hAnsi="Arial" w:cs="Arial"/>
          <w:i/>
        </w:rPr>
        <w:t xml:space="preserve">“The first theorem of the financial instability hypothesis is that the economy has financing regimes under which it is </w:t>
      </w:r>
      <w:proofErr w:type="gramStart"/>
      <w:r w:rsidRPr="00076234">
        <w:rPr>
          <w:rFonts w:ascii="Arial" w:hAnsi="Arial" w:cs="Arial"/>
          <w:i/>
        </w:rPr>
        <w:t>stable,</w:t>
      </w:r>
      <w:proofErr w:type="gramEnd"/>
      <w:r w:rsidRPr="00076234">
        <w:rPr>
          <w:rFonts w:ascii="Arial" w:hAnsi="Arial" w:cs="Arial"/>
          <w:i/>
        </w:rPr>
        <w:t xml:space="preserve"> and financing r</w:t>
      </w:r>
      <w:r>
        <w:rPr>
          <w:rFonts w:ascii="Arial" w:hAnsi="Arial" w:cs="Arial"/>
          <w:i/>
        </w:rPr>
        <w:t xml:space="preserve">egimes in which it is unstable” </w:t>
      </w:r>
    </w:p>
    <w:p w:rsidR="00371893" w:rsidRPr="00C95607" w:rsidRDefault="00076234" w:rsidP="00371893">
      <w:pPr>
        <w:spacing w:after="0" w:line="480" w:lineRule="auto"/>
        <w:rPr>
          <w:rFonts w:ascii="Arial" w:hAnsi="Arial" w:cs="Arial"/>
        </w:rPr>
      </w:pPr>
      <w:proofErr w:type="gramStart"/>
      <w:r w:rsidRPr="00C95607">
        <w:rPr>
          <w:rFonts w:ascii="Arial" w:hAnsi="Arial" w:cs="Arial"/>
        </w:rPr>
        <w:lastRenderedPageBreak/>
        <w:t>and</w:t>
      </w:r>
      <w:proofErr w:type="gramEnd"/>
      <w:r w:rsidRPr="00C95607">
        <w:rPr>
          <w:rFonts w:ascii="Arial" w:hAnsi="Arial" w:cs="Arial"/>
        </w:rPr>
        <w:t xml:space="preserve"> </w:t>
      </w:r>
    </w:p>
    <w:p w:rsidR="00371893" w:rsidRDefault="00076234" w:rsidP="00371893">
      <w:pPr>
        <w:spacing w:after="0" w:line="480" w:lineRule="auto"/>
        <w:ind w:left="720"/>
      </w:pPr>
      <w:r w:rsidRPr="00076234">
        <w:rPr>
          <w:rFonts w:ascii="Arial" w:hAnsi="Arial" w:cs="Arial"/>
          <w:i/>
        </w:rPr>
        <w:t>“The second theorem of the financial instability hypothesis is that over periods of prolonged prosperity, the economy transits from financial relations that make for a stable system to financial relations that make for an unstable system. In particular, over a protracted period of good times, capitalist economies tend to move to a financial structure in which there is a large weight to units engaged in speculative and Ponzi finance.”</w:t>
      </w:r>
      <w:r w:rsidRPr="00076234">
        <w:t xml:space="preserve"> </w:t>
      </w:r>
    </w:p>
    <w:p w:rsidR="00AD1B59" w:rsidRDefault="00AD1B59" w:rsidP="00371893">
      <w:pPr>
        <w:spacing w:after="0" w:line="480" w:lineRule="auto"/>
        <w:rPr>
          <w:rFonts w:ascii="Arial" w:hAnsi="Arial" w:cs="Arial"/>
          <w:b/>
        </w:rPr>
      </w:pPr>
    </w:p>
    <w:p w:rsidR="004D4A6C" w:rsidRDefault="00A97102" w:rsidP="00A97102">
      <w:pPr>
        <w:spacing w:after="0" w:line="480" w:lineRule="auto"/>
        <w:rPr>
          <w:rFonts w:ascii="Arial" w:hAnsi="Arial" w:cs="Arial"/>
        </w:rPr>
      </w:pPr>
      <w:r>
        <w:rPr>
          <w:rFonts w:ascii="Arial" w:hAnsi="Arial" w:cs="Arial"/>
        </w:rPr>
        <w:t xml:space="preserve">Thinking back over the past thirty years there have been various structural changes to financial markets and in the wider </w:t>
      </w:r>
      <w:r w:rsidR="00721F98">
        <w:rPr>
          <w:rFonts w:ascii="Arial" w:hAnsi="Arial" w:cs="Arial"/>
        </w:rPr>
        <w:t>economy</w:t>
      </w:r>
      <w:r>
        <w:rPr>
          <w:rFonts w:ascii="Arial" w:hAnsi="Arial" w:cs="Arial"/>
        </w:rPr>
        <w:t xml:space="preserve"> that created the conditions for</w:t>
      </w:r>
      <w:r w:rsidR="00721F98">
        <w:rPr>
          <w:rFonts w:ascii="Arial" w:hAnsi="Arial" w:cs="Arial"/>
        </w:rPr>
        <w:t xml:space="preserve"> opportunistic profit driven exploitation that led to </w:t>
      </w:r>
      <w:r>
        <w:rPr>
          <w:rFonts w:ascii="Arial" w:hAnsi="Arial" w:cs="Arial"/>
        </w:rPr>
        <w:t>the</w:t>
      </w:r>
      <w:r w:rsidR="008D78C4">
        <w:rPr>
          <w:rFonts w:ascii="Arial" w:hAnsi="Arial" w:cs="Arial"/>
        </w:rPr>
        <w:t xml:space="preserve"> transgressions identified in Table 1</w:t>
      </w:r>
      <w:r w:rsidR="00BC5F57">
        <w:rPr>
          <w:rFonts w:ascii="Arial" w:hAnsi="Arial" w:cs="Arial"/>
        </w:rPr>
        <w:t xml:space="preserve"> and indeed to the financial crisis.</w:t>
      </w:r>
      <w:r>
        <w:rPr>
          <w:rFonts w:ascii="Arial" w:hAnsi="Arial" w:cs="Arial"/>
        </w:rPr>
        <w:t xml:space="preserve">  </w:t>
      </w:r>
      <w:r w:rsidR="00BC5F57">
        <w:rPr>
          <w:rFonts w:ascii="Arial" w:hAnsi="Arial" w:cs="Arial"/>
        </w:rPr>
        <w:t xml:space="preserve">In 1986, </w:t>
      </w:r>
      <w:r>
        <w:rPr>
          <w:rFonts w:ascii="Arial" w:hAnsi="Arial" w:cs="Arial"/>
        </w:rPr>
        <w:t>‘Big Bang’</w:t>
      </w:r>
      <w:r>
        <w:rPr>
          <w:rStyle w:val="FootnoteReference"/>
          <w:rFonts w:ascii="Arial" w:hAnsi="Arial" w:cs="Arial"/>
        </w:rPr>
        <w:footnoteReference w:id="40"/>
      </w:r>
      <w:r>
        <w:rPr>
          <w:rFonts w:ascii="Arial" w:hAnsi="Arial" w:cs="Arial"/>
        </w:rPr>
        <w:t xml:space="preserve"> o</w:t>
      </w:r>
      <w:r w:rsidRPr="00A97102">
        <w:rPr>
          <w:rFonts w:ascii="Arial" w:hAnsi="Arial" w:cs="Arial"/>
        </w:rPr>
        <w:t>pen</w:t>
      </w:r>
      <w:r>
        <w:rPr>
          <w:rFonts w:ascii="Arial" w:hAnsi="Arial" w:cs="Arial"/>
        </w:rPr>
        <w:t>ed</w:t>
      </w:r>
      <w:r w:rsidRPr="00A97102">
        <w:rPr>
          <w:rFonts w:ascii="Arial" w:hAnsi="Arial" w:cs="Arial"/>
        </w:rPr>
        <w:t xml:space="preserve"> up </w:t>
      </w:r>
      <w:r>
        <w:rPr>
          <w:rFonts w:ascii="Arial" w:hAnsi="Arial" w:cs="Arial"/>
        </w:rPr>
        <w:t>the London financial</w:t>
      </w:r>
      <w:r w:rsidRPr="00A97102">
        <w:rPr>
          <w:rFonts w:ascii="Arial" w:hAnsi="Arial" w:cs="Arial"/>
        </w:rPr>
        <w:t xml:space="preserve"> markets to </w:t>
      </w:r>
      <w:r>
        <w:rPr>
          <w:rFonts w:ascii="Arial" w:hAnsi="Arial" w:cs="Arial"/>
        </w:rPr>
        <w:t xml:space="preserve">international </w:t>
      </w:r>
      <w:r w:rsidRPr="00A97102">
        <w:rPr>
          <w:rFonts w:ascii="Arial" w:hAnsi="Arial" w:cs="Arial"/>
        </w:rPr>
        <w:t>competition</w:t>
      </w:r>
      <w:r>
        <w:rPr>
          <w:rFonts w:ascii="Arial" w:hAnsi="Arial" w:cs="Arial"/>
        </w:rPr>
        <w:t xml:space="preserve">.  One of the consequences of this was a shift from </w:t>
      </w:r>
      <w:r w:rsidRPr="00A97102">
        <w:rPr>
          <w:rFonts w:ascii="Arial" w:hAnsi="Arial" w:cs="Arial"/>
        </w:rPr>
        <w:t>traditional forms of relationship-based financial intermediation to transaction-based or market-place finance</w:t>
      </w:r>
      <w:r>
        <w:rPr>
          <w:rFonts w:ascii="Arial" w:hAnsi="Arial" w:cs="Arial"/>
        </w:rPr>
        <w:t>.  Competition resulted in a driving down of profit margins and in light of the need to</w:t>
      </w:r>
      <w:r w:rsidRPr="00A97102">
        <w:rPr>
          <w:rFonts w:ascii="Arial" w:hAnsi="Arial" w:cs="Arial"/>
        </w:rPr>
        <w:t xml:space="preserve"> maintain profit </w:t>
      </w:r>
      <w:proofErr w:type="gramStart"/>
      <w:r w:rsidRPr="00A97102">
        <w:rPr>
          <w:rFonts w:ascii="Arial" w:hAnsi="Arial" w:cs="Arial"/>
        </w:rPr>
        <w:t>flows</w:t>
      </w:r>
      <w:proofErr w:type="gramEnd"/>
      <w:r>
        <w:rPr>
          <w:rFonts w:ascii="Arial" w:hAnsi="Arial" w:cs="Arial"/>
        </w:rPr>
        <w:t xml:space="preserve"> attention turned to developing</w:t>
      </w:r>
      <w:r w:rsidRPr="00A97102">
        <w:rPr>
          <w:rFonts w:ascii="Arial" w:hAnsi="Arial" w:cs="Arial"/>
        </w:rPr>
        <w:t xml:space="preserve"> innovative </w:t>
      </w:r>
      <w:r>
        <w:rPr>
          <w:rFonts w:ascii="Arial" w:hAnsi="Arial" w:cs="Arial"/>
        </w:rPr>
        <w:t xml:space="preserve">new products. </w:t>
      </w:r>
      <w:r w:rsidR="008D78C4">
        <w:rPr>
          <w:rFonts w:ascii="Arial" w:hAnsi="Arial" w:cs="Arial"/>
        </w:rPr>
        <w:t>S</w:t>
      </w:r>
      <w:r w:rsidR="008D78C4" w:rsidRPr="008D78C4">
        <w:rPr>
          <w:rFonts w:ascii="Arial" w:hAnsi="Arial" w:cs="Arial"/>
        </w:rPr>
        <w:t xml:space="preserve">ignificantly, </w:t>
      </w:r>
      <w:r w:rsidR="008D78C4">
        <w:rPr>
          <w:rFonts w:ascii="Arial" w:hAnsi="Arial" w:cs="Arial"/>
        </w:rPr>
        <w:t xml:space="preserve">one of the changes was the overt </w:t>
      </w:r>
      <w:proofErr w:type="spellStart"/>
      <w:r w:rsidR="008D78C4" w:rsidRPr="008D78C4">
        <w:rPr>
          <w:rFonts w:ascii="Arial" w:hAnsi="Arial" w:cs="Arial"/>
        </w:rPr>
        <w:t>incentivis</w:t>
      </w:r>
      <w:r w:rsidR="008D78C4">
        <w:rPr>
          <w:rFonts w:ascii="Arial" w:hAnsi="Arial" w:cs="Arial"/>
        </w:rPr>
        <w:t>ation</w:t>
      </w:r>
      <w:proofErr w:type="spellEnd"/>
      <w:r w:rsidR="008D78C4" w:rsidRPr="008D78C4">
        <w:rPr>
          <w:rFonts w:ascii="Arial" w:hAnsi="Arial" w:cs="Arial"/>
        </w:rPr>
        <w:t xml:space="preserve"> </w:t>
      </w:r>
      <w:r w:rsidR="008D78C4">
        <w:rPr>
          <w:rFonts w:ascii="Arial" w:hAnsi="Arial" w:cs="Arial"/>
        </w:rPr>
        <w:t xml:space="preserve">(rather than management) of </w:t>
      </w:r>
      <w:r w:rsidR="008D78C4" w:rsidRPr="008D78C4">
        <w:rPr>
          <w:rFonts w:ascii="Arial" w:hAnsi="Arial" w:cs="Arial"/>
        </w:rPr>
        <w:t xml:space="preserve">risk-taking by both individuals </w:t>
      </w:r>
      <w:r w:rsidR="008D78C4">
        <w:rPr>
          <w:rFonts w:ascii="Arial" w:hAnsi="Arial" w:cs="Arial"/>
        </w:rPr>
        <w:t xml:space="preserve">(bonus reward culture) </w:t>
      </w:r>
      <w:r w:rsidR="008D78C4" w:rsidRPr="008D78C4">
        <w:rPr>
          <w:rFonts w:ascii="Arial" w:hAnsi="Arial" w:cs="Arial"/>
        </w:rPr>
        <w:t>and the firms that employed them</w:t>
      </w:r>
      <w:r w:rsidR="008D78C4">
        <w:rPr>
          <w:rFonts w:ascii="Arial" w:hAnsi="Arial" w:cs="Arial"/>
        </w:rPr>
        <w:t xml:space="preserve"> (gaining market advantage)</w:t>
      </w:r>
      <w:r w:rsidR="008D78C4" w:rsidRPr="008D78C4">
        <w:rPr>
          <w:rFonts w:ascii="Arial" w:hAnsi="Arial" w:cs="Arial"/>
        </w:rPr>
        <w:t xml:space="preserve">.  The result was that </w:t>
      </w:r>
      <w:r w:rsidR="008D78C4" w:rsidRPr="008D78C4">
        <w:rPr>
          <w:rFonts w:ascii="Arial" w:hAnsi="Arial" w:cs="Arial"/>
          <w:i/>
        </w:rPr>
        <w:t>“the efficiency of the financial system grew, but so did its vulnerability”</w:t>
      </w:r>
      <w:r w:rsidR="008D78C4" w:rsidRPr="008D78C4">
        <w:rPr>
          <w:rFonts w:ascii="Arial" w:hAnsi="Arial" w:cs="Arial"/>
        </w:rPr>
        <w:t xml:space="preserve"> (</w:t>
      </w:r>
      <w:proofErr w:type="spellStart"/>
      <w:r w:rsidR="008D78C4" w:rsidRPr="008D78C4">
        <w:rPr>
          <w:rFonts w:ascii="Arial" w:hAnsi="Arial" w:cs="Arial"/>
        </w:rPr>
        <w:t>Genschel</w:t>
      </w:r>
      <w:proofErr w:type="spellEnd"/>
      <w:r w:rsidR="008D78C4" w:rsidRPr="008D78C4">
        <w:rPr>
          <w:rFonts w:ascii="Arial" w:hAnsi="Arial" w:cs="Arial"/>
        </w:rPr>
        <w:t xml:space="preserve"> and Plumper, 2011</w:t>
      </w:r>
      <w:r w:rsidR="008D78C4">
        <w:rPr>
          <w:rFonts w:ascii="Arial" w:hAnsi="Arial" w:cs="Arial"/>
        </w:rPr>
        <w:t>).</w:t>
      </w:r>
      <w:r w:rsidR="008D78C4">
        <w:rPr>
          <w:rStyle w:val="FootnoteReference"/>
          <w:rFonts w:ascii="Arial" w:hAnsi="Arial" w:cs="Arial"/>
        </w:rPr>
        <w:footnoteReference w:id="41"/>
      </w:r>
      <w:r w:rsidR="008D78C4" w:rsidRPr="008D78C4">
        <w:rPr>
          <w:rFonts w:ascii="Arial" w:hAnsi="Arial" w:cs="Arial"/>
        </w:rPr>
        <w:t xml:space="preserve"> </w:t>
      </w:r>
      <w:r w:rsidR="008D78C4">
        <w:rPr>
          <w:rFonts w:ascii="Arial" w:hAnsi="Arial" w:cs="Arial"/>
        </w:rPr>
        <w:t xml:space="preserve"> Significant however was that the City culture was one that</w:t>
      </w:r>
      <w:r w:rsidR="008D78C4" w:rsidRPr="008D78C4">
        <w:rPr>
          <w:rFonts w:ascii="Arial" w:hAnsi="Arial" w:cs="Arial"/>
        </w:rPr>
        <w:t xml:space="preserve"> </w:t>
      </w:r>
      <w:r w:rsidR="008D78C4" w:rsidRPr="008D78C4">
        <w:rPr>
          <w:rFonts w:ascii="Arial" w:hAnsi="Arial" w:cs="Arial"/>
          <w:i/>
        </w:rPr>
        <w:t>“placed individual success and self-reliance as the primary indicators of excellence”</w:t>
      </w:r>
      <w:r w:rsidR="008D78C4" w:rsidRPr="008D78C4">
        <w:rPr>
          <w:rFonts w:ascii="Arial" w:hAnsi="Arial" w:cs="Arial"/>
        </w:rPr>
        <w:t xml:space="preserve"> </w:t>
      </w:r>
      <w:r w:rsidR="008D78C4" w:rsidRPr="00D261F0">
        <w:rPr>
          <w:rFonts w:ascii="Arial" w:hAnsi="Arial" w:cs="Arial"/>
        </w:rPr>
        <w:t>(Stanley, 1994).</w:t>
      </w:r>
      <w:r w:rsidR="008D78C4">
        <w:rPr>
          <w:rStyle w:val="FootnoteReference"/>
          <w:rFonts w:ascii="Arial" w:hAnsi="Arial" w:cs="Arial"/>
        </w:rPr>
        <w:footnoteReference w:id="42"/>
      </w:r>
      <w:r w:rsidR="008D78C4" w:rsidRPr="00D261F0">
        <w:rPr>
          <w:rFonts w:ascii="Arial" w:hAnsi="Arial" w:cs="Arial"/>
        </w:rPr>
        <w:t xml:space="preserve"> </w:t>
      </w:r>
      <w:r w:rsidR="00D261F0" w:rsidRPr="00D261F0">
        <w:rPr>
          <w:rFonts w:ascii="Arial" w:hAnsi="Arial" w:cs="Arial"/>
        </w:rPr>
        <w:t xml:space="preserve">To this </w:t>
      </w:r>
      <w:r w:rsidR="004D4A6C">
        <w:rPr>
          <w:rFonts w:ascii="Arial" w:hAnsi="Arial" w:cs="Arial"/>
        </w:rPr>
        <w:t xml:space="preserve">heady </w:t>
      </w:r>
      <w:r w:rsidR="00BC5F57">
        <w:rPr>
          <w:rFonts w:ascii="Arial" w:hAnsi="Arial" w:cs="Arial"/>
        </w:rPr>
        <w:t xml:space="preserve">mix </w:t>
      </w:r>
      <w:r w:rsidR="00D261F0" w:rsidRPr="00D261F0">
        <w:rPr>
          <w:rFonts w:ascii="Arial" w:hAnsi="Arial" w:cs="Arial"/>
        </w:rPr>
        <w:t>was add</w:t>
      </w:r>
      <w:r w:rsidR="00D261F0">
        <w:rPr>
          <w:rFonts w:ascii="Arial" w:hAnsi="Arial" w:cs="Arial"/>
        </w:rPr>
        <w:t>ed</w:t>
      </w:r>
      <w:r w:rsidR="00D261F0" w:rsidRPr="00D261F0">
        <w:rPr>
          <w:rFonts w:ascii="Arial" w:hAnsi="Arial" w:cs="Arial"/>
        </w:rPr>
        <w:t xml:space="preserve"> the c</w:t>
      </w:r>
      <w:r w:rsidR="008D78C4" w:rsidRPr="00D261F0">
        <w:rPr>
          <w:rFonts w:ascii="Arial" w:hAnsi="Arial" w:cs="Arial"/>
        </w:rPr>
        <w:t>ontinued e</w:t>
      </w:r>
      <w:r w:rsidRPr="00D261F0">
        <w:rPr>
          <w:rFonts w:ascii="Arial" w:hAnsi="Arial" w:cs="Arial"/>
        </w:rPr>
        <w:t>conomic liberalisation of cross border flows and opening up of sovereign markets to international c</w:t>
      </w:r>
      <w:r w:rsidRPr="00A97102">
        <w:rPr>
          <w:rFonts w:ascii="Arial" w:hAnsi="Arial" w:cs="Arial"/>
        </w:rPr>
        <w:t>apital</w:t>
      </w:r>
      <w:r w:rsidR="008D78C4">
        <w:rPr>
          <w:rFonts w:ascii="Arial" w:hAnsi="Arial" w:cs="Arial"/>
        </w:rPr>
        <w:t xml:space="preserve"> </w:t>
      </w:r>
      <w:r w:rsidR="00D261F0">
        <w:rPr>
          <w:rFonts w:ascii="Arial" w:hAnsi="Arial" w:cs="Arial"/>
        </w:rPr>
        <w:t>that</w:t>
      </w:r>
      <w:r w:rsidR="008D78C4">
        <w:rPr>
          <w:rFonts w:ascii="Arial" w:hAnsi="Arial" w:cs="Arial"/>
        </w:rPr>
        <w:t xml:space="preserve"> enabled institutional </w:t>
      </w:r>
      <w:r w:rsidR="008D78C4">
        <w:rPr>
          <w:rFonts w:ascii="Arial" w:hAnsi="Arial" w:cs="Arial"/>
        </w:rPr>
        <w:lastRenderedPageBreak/>
        <w:t>i</w:t>
      </w:r>
      <w:r w:rsidRPr="00A97102">
        <w:rPr>
          <w:rFonts w:ascii="Arial" w:hAnsi="Arial" w:cs="Arial"/>
        </w:rPr>
        <w:t xml:space="preserve">nvestors </w:t>
      </w:r>
      <w:r w:rsidR="008D78C4">
        <w:rPr>
          <w:rFonts w:ascii="Arial" w:hAnsi="Arial" w:cs="Arial"/>
        </w:rPr>
        <w:t>to c</w:t>
      </w:r>
      <w:r w:rsidRPr="00A97102">
        <w:rPr>
          <w:rFonts w:ascii="Arial" w:hAnsi="Arial" w:cs="Arial"/>
        </w:rPr>
        <w:t>has</w:t>
      </w:r>
      <w:r w:rsidR="008D78C4">
        <w:rPr>
          <w:rFonts w:ascii="Arial" w:hAnsi="Arial" w:cs="Arial"/>
        </w:rPr>
        <w:t>e</w:t>
      </w:r>
      <w:r w:rsidRPr="00A97102">
        <w:rPr>
          <w:rFonts w:ascii="Arial" w:hAnsi="Arial" w:cs="Arial"/>
        </w:rPr>
        <w:t xml:space="preserve"> short term gains </w:t>
      </w:r>
      <w:r w:rsidR="00D261F0">
        <w:rPr>
          <w:rFonts w:ascii="Arial" w:hAnsi="Arial" w:cs="Arial"/>
        </w:rPr>
        <w:t xml:space="preserve">(against a back drop of historically low interest rates) </w:t>
      </w:r>
      <w:r w:rsidRPr="00A97102">
        <w:rPr>
          <w:rFonts w:ascii="Arial" w:hAnsi="Arial" w:cs="Arial"/>
        </w:rPr>
        <w:t>through moving speculative capital around the globe</w:t>
      </w:r>
      <w:r w:rsidR="00D261F0">
        <w:rPr>
          <w:rFonts w:ascii="Arial" w:hAnsi="Arial" w:cs="Arial"/>
        </w:rPr>
        <w:t xml:space="preserve">.  </w:t>
      </w:r>
      <w:r w:rsidR="004D4A6C">
        <w:rPr>
          <w:rFonts w:ascii="Arial" w:hAnsi="Arial" w:cs="Arial"/>
        </w:rPr>
        <w:t>Similarly, O’Brien (2009)</w:t>
      </w:r>
      <w:r w:rsidR="004D4A6C">
        <w:rPr>
          <w:rStyle w:val="FootnoteReference"/>
          <w:rFonts w:ascii="Arial" w:hAnsi="Arial" w:cs="Arial"/>
        </w:rPr>
        <w:footnoteReference w:id="43"/>
      </w:r>
      <w:r w:rsidR="004D4A6C" w:rsidRPr="004D4A6C">
        <w:rPr>
          <w:rFonts w:ascii="Arial" w:hAnsi="Arial" w:cs="Arial"/>
        </w:rPr>
        <w:t xml:space="preserve"> </w:t>
      </w:r>
      <w:r w:rsidR="004D4A6C">
        <w:rPr>
          <w:rFonts w:ascii="Arial" w:hAnsi="Arial" w:cs="Arial"/>
        </w:rPr>
        <w:t>summed up the origins of the 2008 crisis as arising from:</w:t>
      </w:r>
    </w:p>
    <w:p w:rsidR="004D4A6C" w:rsidRDefault="004D4A6C" w:rsidP="004D4A6C">
      <w:pPr>
        <w:spacing w:after="0" w:line="480" w:lineRule="auto"/>
        <w:ind w:left="720"/>
        <w:rPr>
          <w:rFonts w:ascii="Arial" w:hAnsi="Arial" w:cs="Arial"/>
        </w:rPr>
      </w:pPr>
      <w:r w:rsidRPr="00E8399B">
        <w:rPr>
          <w:rFonts w:ascii="Arial" w:hAnsi="Arial" w:cs="Arial"/>
          <w:i/>
        </w:rPr>
        <w:t>“flawed governance mechanisms, including remuneration incentives skewed in favour of short-term profit-taking; flawed models of financing, including (but not limited to) the dominant originate-and-distribute model of securitization; and regulatory structures predicated on risk reduction which created incentives for arbitrage and paid insufficient attention to systemic credit risk</w:t>
      </w:r>
      <w:r>
        <w:rPr>
          <w:rFonts w:ascii="Arial" w:hAnsi="Arial" w:cs="Arial"/>
          <w:i/>
        </w:rPr>
        <w:t>”</w:t>
      </w:r>
    </w:p>
    <w:p w:rsidR="004D4A6C" w:rsidRDefault="004D4A6C" w:rsidP="00A97102">
      <w:pPr>
        <w:spacing w:after="0" w:line="480" w:lineRule="auto"/>
        <w:rPr>
          <w:rFonts w:ascii="Arial" w:hAnsi="Arial" w:cs="Arial"/>
        </w:rPr>
      </w:pPr>
    </w:p>
    <w:p w:rsidR="00E8399B" w:rsidRPr="004D4A6C" w:rsidRDefault="00BC5F57" w:rsidP="00E8399B">
      <w:pPr>
        <w:spacing w:after="0" w:line="480" w:lineRule="auto"/>
        <w:rPr>
          <w:rFonts w:ascii="Arial" w:hAnsi="Arial" w:cs="Arial"/>
        </w:rPr>
      </w:pPr>
      <w:r>
        <w:rPr>
          <w:rFonts w:ascii="Arial" w:hAnsi="Arial" w:cs="Arial"/>
        </w:rPr>
        <w:t xml:space="preserve">With the benefit of such hindsight, the financial crisis and indeed the continued regulatory ‘transgressions’ </w:t>
      </w:r>
      <w:r w:rsidR="004D4A6C">
        <w:rPr>
          <w:rFonts w:ascii="Arial" w:hAnsi="Arial" w:cs="Arial"/>
        </w:rPr>
        <w:t>we</w:t>
      </w:r>
      <w:r w:rsidR="00F27906">
        <w:rPr>
          <w:rFonts w:ascii="Arial" w:hAnsi="Arial" w:cs="Arial"/>
        </w:rPr>
        <w:t>re</w:t>
      </w:r>
      <w:r w:rsidR="004D4A6C">
        <w:rPr>
          <w:rFonts w:ascii="Arial" w:hAnsi="Arial" w:cs="Arial"/>
        </w:rPr>
        <w:t xml:space="preserve"> and are</w:t>
      </w:r>
      <w:r w:rsidR="00F27906">
        <w:rPr>
          <w:rFonts w:ascii="Arial" w:hAnsi="Arial" w:cs="Arial"/>
        </w:rPr>
        <w:t xml:space="preserve"> somewhat</w:t>
      </w:r>
      <w:r w:rsidR="00D261F0">
        <w:rPr>
          <w:rFonts w:ascii="Arial" w:hAnsi="Arial" w:cs="Arial"/>
        </w:rPr>
        <w:t xml:space="preserve"> predictable.</w:t>
      </w:r>
      <w:r w:rsidR="004D4A6C">
        <w:rPr>
          <w:rFonts w:ascii="Arial" w:hAnsi="Arial" w:cs="Arial"/>
        </w:rPr>
        <w:t xml:space="preserve"> </w:t>
      </w:r>
      <w:r w:rsidR="003000DB">
        <w:rPr>
          <w:rFonts w:ascii="Arial" w:hAnsi="Arial" w:cs="Arial"/>
        </w:rPr>
        <w:t xml:space="preserve">In these circumstances the </w:t>
      </w:r>
      <w:r w:rsidR="00371893" w:rsidRPr="00371893">
        <w:rPr>
          <w:rFonts w:ascii="Arial" w:hAnsi="Arial" w:cs="Arial"/>
        </w:rPr>
        <w:t xml:space="preserve">challenge </w:t>
      </w:r>
      <w:r w:rsidR="00371893">
        <w:rPr>
          <w:rFonts w:ascii="Arial" w:hAnsi="Arial" w:cs="Arial"/>
        </w:rPr>
        <w:t xml:space="preserve">facing </w:t>
      </w:r>
      <w:r w:rsidR="003000DB">
        <w:rPr>
          <w:rFonts w:ascii="Arial" w:hAnsi="Arial" w:cs="Arial"/>
        </w:rPr>
        <w:t xml:space="preserve">governments </w:t>
      </w:r>
      <w:r w:rsidR="00371893">
        <w:rPr>
          <w:rFonts w:ascii="Arial" w:hAnsi="Arial" w:cs="Arial"/>
        </w:rPr>
        <w:t xml:space="preserve">is not to respond to the growing public clamour for </w:t>
      </w:r>
      <w:r w:rsidR="004D4A6C">
        <w:rPr>
          <w:rFonts w:ascii="Arial" w:hAnsi="Arial" w:cs="Arial"/>
        </w:rPr>
        <w:t xml:space="preserve">a </w:t>
      </w:r>
      <w:r w:rsidR="00371893">
        <w:rPr>
          <w:rFonts w:ascii="Arial" w:hAnsi="Arial" w:cs="Arial"/>
        </w:rPr>
        <w:t xml:space="preserve">more and tighter </w:t>
      </w:r>
      <w:r w:rsidR="004D4A6C">
        <w:rPr>
          <w:rFonts w:ascii="Arial" w:hAnsi="Arial" w:cs="Arial"/>
        </w:rPr>
        <w:t>regulatory response</w:t>
      </w:r>
      <w:r w:rsidR="00371893">
        <w:rPr>
          <w:rFonts w:ascii="Arial" w:hAnsi="Arial" w:cs="Arial"/>
        </w:rPr>
        <w:t xml:space="preserve"> </w:t>
      </w:r>
      <w:r w:rsidR="004D4A6C">
        <w:rPr>
          <w:rFonts w:ascii="Arial" w:hAnsi="Arial" w:cs="Arial"/>
        </w:rPr>
        <w:t>b</w:t>
      </w:r>
      <w:r w:rsidR="00F27906">
        <w:rPr>
          <w:rFonts w:ascii="Arial" w:hAnsi="Arial" w:cs="Arial"/>
        </w:rPr>
        <w:t xml:space="preserve">ut to recognise </w:t>
      </w:r>
      <w:r w:rsidR="004D4A6C">
        <w:rPr>
          <w:rFonts w:ascii="Arial" w:hAnsi="Arial" w:cs="Arial"/>
        </w:rPr>
        <w:t>that we</w:t>
      </w:r>
      <w:r w:rsidR="00371893">
        <w:rPr>
          <w:rFonts w:ascii="Arial" w:hAnsi="Arial" w:cs="Arial"/>
        </w:rPr>
        <w:t xml:space="preserve"> inhabit an unstable system predisposed to </w:t>
      </w:r>
      <w:r w:rsidR="00F27906">
        <w:rPr>
          <w:rFonts w:ascii="Arial" w:hAnsi="Arial" w:cs="Arial"/>
        </w:rPr>
        <w:t>rule-bending and</w:t>
      </w:r>
      <w:r w:rsidR="004D4A6C">
        <w:rPr>
          <w:rFonts w:ascii="Arial" w:hAnsi="Arial" w:cs="Arial"/>
        </w:rPr>
        <w:t>, inevitably,</w:t>
      </w:r>
      <w:r w:rsidR="00F27906">
        <w:rPr>
          <w:rFonts w:ascii="Arial" w:hAnsi="Arial" w:cs="Arial"/>
        </w:rPr>
        <w:t xml:space="preserve"> </w:t>
      </w:r>
      <w:r w:rsidR="00371893">
        <w:rPr>
          <w:rFonts w:ascii="Arial" w:hAnsi="Arial" w:cs="Arial"/>
        </w:rPr>
        <w:t>period crises</w:t>
      </w:r>
      <w:r w:rsidR="004D4A6C">
        <w:rPr>
          <w:rFonts w:ascii="Arial" w:hAnsi="Arial" w:cs="Arial"/>
        </w:rPr>
        <w:t xml:space="preserve">. </w:t>
      </w:r>
      <w:r w:rsidR="00E8399B">
        <w:rPr>
          <w:rFonts w:ascii="Arial" w:hAnsi="Arial" w:cs="Arial"/>
        </w:rPr>
        <w:t xml:space="preserve"> </w:t>
      </w:r>
      <w:r w:rsidR="004D4A6C">
        <w:rPr>
          <w:rFonts w:ascii="Arial" w:hAnsi="Arial" w:cs="Arial"/>
        </w:rPr>
        <w:t xml:space="preserve">Otherwise we will find that we enter into a constant upward spiral of regulatory tightening as </w:t>
      </w:r>
      <w:r w:rsidR="004D4A6C" w:rsidRPr="004D4A6C">
        <w:rPr>
          <w:rFonts w:ascii="Arial" w:hAnsi="Arial" w:cs="Arial"/>
          <w:i/>
        </w:rPr>
        <w:t>“when beliefs and presences are produced by a set of probability judgements, made inaccurate by the availability heuristic , legislation will predictably become anecdote driven”</w:t>
      </w:r>
      <w:r w:rsidR="004D4A6C" w:rsidRPr="004D4A6C">
        <w:rPr>
          <w:rFonts w:ascii="Arial" w:hAnsi="Arial" w:cs="Arial"/>
        </w:rPr>
        <w:t xml:space="preserve"> (</w:t>
      </w:r>
      <w:proofErr w:type="spellStart"/>
      <w:r w:rsidR="004D4A6C" w:rsidRPr="004D4A6C">
        <w:rPr>
          <w:rFonts w:ascii="Arial" w:hAnsi="Arial" w:cs="Arial"/>
        </w:rPr>
        <w:t>Jolls</w:t>
      </w:r>
      <w:proofErr w:type="spellEnd"/>
      <w:r w:rsidR="004D4A6C" w:rsidRPr="004D4A6C">
        <w:rPr>
          <w:rFonts w:ascii="Arial" w:hAnsi="Arial" w:cs="Arial"/>
        </w:rPr>
        <w:t xml:space="preserve"> </w:t>
      </w:r>
      <w:r w:rsidR="004D4A6C" w:rsidRPr="004D4A6C">
        <w:rPr>
          <w:rFonts w:ascii="Arial" w:hAnsi="Arial" w:cs="Arial"/>
          <w:i/>
        </w:rPr>
        <w:t xml:space="preserve">et al </w:t>
      </w:r>
      <w:r w:rsidR="004D4A6C" w:rsidRPr="004D4A6C">
        <w:rPr>
          <w:rFonts w:ascii="Arial" w:hAnsi="Arial" w:cs="Arial"/>
        </w:rPr>
        <w:t>1998</w:t>
      </w:r>
      <w:r w:rsidR="004D4A6C">
        <w:rPr>
          <w:rFonts w:ascii="Arial" w:hAnsi="Arial" w:cs="Arial"/>
        </w:rPr>
        <w:t>).</w:t>
      </w:r>
      <w:r w:rsidR="004D4A6C" w:rsidRPr="004D4A6C">
        <w:rPr>
          <w:rStyle w:val="FootnoteReference"/>
          <w:rFonts w:ascii="Arial" w:hAnsi="Arial" w:cs="Arial"/>
        </w:rPr>
        <w:footnoteReference w:id="44"/>
      </w:r>
    </w:p>
    <w:p w:rsidR="004D4A6C" w:rsidRDefault="004D4A6C" w:rsidP="00CC1C91">
      <w:pPr>
        <w:spacing w:after="0" w:line="480" w:lineRule="auto"/>
        <w:rPr>
          <w:rFonts w:ascii="Arial" w:hAnsi="Arial" w:cs="Arial"/>
          <w:b/>
        </w:rPr>
      </w:pPr>
    </w:p>
    <w:p w:rsidR="00CC1C91" w:rsidRPr="005C79D5" w:rsidRDefault="00B7671F" w:rsidP="00CC1C91">
      <w:pPr>
        <w:spacing w:after="0" w:line="480" w:lineRule="auto"/>
        <w:rPr>
          <w:rFonts w:ascii="Arial" w:hAnsi="Arial" w:cs="Arial"/>
          <w:b/>
        </w:rPr>
      </w:pPr>
      <w:r>
        <w:rPr>
          <w:rFonts w:ascii="Arial" w:hAnsi="Arial" w:cs="Arial"/>
          <w:b/>
        </w:rPr>
        <w:t>Discussion</w:t>
      </w:r>
    </w:p>
    <w:p w:rsidR="004D4A6C" w:rsidRDefault="004D4A6C" w:rsidP="00422A4F">
      <w:pPr>
        <w:spacing w:after="0" w:line="480" w:lineRule="auto"/>
        <w:rPr>
          <w:rFonts w:ascii="Arial" w:hAnsi="Arial" w:cs="Arial"/>
        </w:rPr>
      </w:pPr>
    </w:p>
    <w:p w:rsidR="006B3D2F" w:rsidRDefault="00B7671F" w:rsidP="00422A4F">
      <w:pPr>
        <w:spacing w:after="0" w:line="480" w:lineRule="auto"/>
        <w:rPr>
          <w:rFonts w:ascii="Arial" w:hAnsi="Arial" w:cs="Arial"/>
        </w:rPr>
      </w:pPr>
      <w:r w:rsidRPr="00B7671F">
        <w:rPr>
          <w:rFonts w:ascii="Arial" w:hAnsi="Arial" w:cs="Arial"/>
        </w:rPr>
        <w:t xml:space="preserve">The argument being </w:t>
      </w:r>
      <w:r w:rsidR="004D4A6C">
        <w:rPr>
          <w:rFonts w:ascii="Arial" w:hAnsi="Arial" w:cs="Arial"/>
        </w:rPr>
        <w:t>presented</w:t>
      </w:r>
      <w:r w:rsidRPr="00B7671F">
        <w:rPr>
          <w:rFonts w:ascii="Arial" w:hAnsi="Arial" w:cs="Arial"/>
        </w:rPr>
        <w:t xml:space="preserve"> here is that there have always been and will always be financial crises and that changing (synonymous with tightening) regulatory structures </w:t>
      </w:r>
      <w:r w:rsidRPr="00B7671F">
        <w:rPr>
          <w:rFonts w:ascii="Arial" w:hAnsi="Arial" w:cs="Arial"/>
        </w:rPr>
        <w:lastRenderedPageBreak/>
        <w:t>will not prevent their continued occurrence.  What is important is rather how the subsequent reaction of both markets and regulators is managed.</w:t>
      </w:r>
    </w:p>
    <w:p w:rsidR="00B7671F" w:rsidRDefault="00B7671F" w:rsidP="00422A4F">
      <w:pPr>
        <w:spacing w:after="0" w:line="480" w:lineRule="auto"/>
        <w:rPr>
          <w:rFonts w:ascii="Arial" w:hAnsi="Arial" w:cs="Arial"/>
        </w:rPr>
      </w:pPr>
    </w:p>
    <w:p w:rsidR="00B37A41" w:rsidRDefault="000B3398" w:rsidP="00A031F0">
      <w:pPr>
        <w:spacing w:after="0" w:line="480" w:lineRule="auto"/>
        <w:rPr>
          <w:rFonts w:ascii="Arial" w:hAnsi="Arial" w:cs="Arial"/>
        </w:rPr>
      </w:pPr>
      <w:r>
        <w:rPr>
          <w:rFonts w:ascii="Arial" w:hAnsi="Arial" w:cs="Arial"/>
        </w:rPr>
        <w:t>At present, t</w:t>
      </w:r>
      <w:r w:rsidR="006B3D2F">
        <w:rPr>
          <w:rFonts w:ascii="Arial" w:hAnsi="Arial" w:cs="Arial"/>
        </w:rPr>
        <w:t xml:space="preserve">he risk is that the UK shifts from the </w:t>
      </w:r>
      <w:r w:rsidR="00B333B2">
        <w:rPr>
          <w:rFonts w:ascii="Arial" w:hAnsi="Arial" w:cs="Arial"/>
        </w:rPr>
        <w:t>voluntary</w:t>
      </w:r>
      <w:r>
        <w:rPr>
          <w:rFonts w:ascii="Arial" w:hAnsi="Arial" w:cs="Arial"/>
        </w:rPr>
        <w:t xml:space="preserve"> and essentially </w:t>
      </w:r>
      <w:proofErr w:type="gramStart"/>
      <w:r>
        <w:rPr>
          <w:rFonts w:ascii="Arial" w:hAnsi="Arial" w:cs="Arial"/>
        </w:rPr>
        <w:t>trust</w:t>
      </w:r>
      <w:proofErr w:type="gramEnd"/>
      <w:r w:rsidR="006B3D2F">
        <w:rPr>
          <w:rFonts w:ascii="Arial" w:hAnsi="Arial" w:cs="Arial"/>
        </w:rPr>
        <w:t xml:space="preserve"> based model to a US style coercive model</w:t>
      </w:r>
      <w:r w:rsidR="00B333B2" w:rsidRPr="00B333B2">
        <w:rPr>
          <w:rFonts w:ascii="Arial" w:hAnsi="Arial" w:cs="Arial"/>
        </w:rPr>
        <w:t xml:space="preserve"> </w:t>
      </w:r>
      <w:r w:rsidR="00B333B2">
        <w:rPr>
          <w:rFonts w:ascii="Arial" w:hAnsi="Arial" w:cs="Arial"/>
        </w:rPr>
        <w:t>without properly understanding that in so doing they could stifle the very innovation that drives the economy or worse push such innovative minds to find ways to further circumvent the rules.  Indeed the introduction of</w:t>
      </w:r>
      <w:r w:rsidR="006B3D2F">
        <w:rPr>
          <w:rFonts w:ascii="Arial" w:hAnsi="Arial" w:cs="Arial"/>
        </w:rPr>
        <w:t xml:space="preserve"> Deferred Prosecution Agreements</w:t>
      </w:r>
      <w:r w:rsidR="006B3D2F">
        <w:rPr>
          <w:rStyle w:val="FootnoteReference"/>
          <w:rFonts w:ascii="Arial" w:hAnsi="Arial" w:cs="Arial"/>
        </w:rPr>
        <w:footnoteReference w:id="45"/>
      </w:r>
      <w:r w:rsidR="006B3D2F">
        <w:rPr>
          <w:rFonts w:ascii="Arial" w:hAnsi="Arial" w:cs="Arial"/>
        </w:rPr>
        <w:t xml:space="preserve"> could well be the start of this</w:t>
      </w:r>
      <w:r w:rsidR="00CC1C91">
        <w:rPr>
          <w:rFonts w:ascii="Arial" w:hAnsi="Arial" w:cs="Arial"/>
        </w:rPr>
        <w:t xml:space="preserve">.  </w:t>
      </w:r>
      <w:r w:rsidR="006B3D2F">
        <w:rPr>
          <w:rFonts w:ascii="Arial" w:hAnsi="Arial" w:cs="Arial"/>
        </w:rPr>
        <w:t xml:space="preserve"> </w:t>
      </w:r>
      <w:r w:rsidR="00CC1C91">
        <w:rPr>
          <w:rFonts w:ascii="Arial" w:hAnsi="Arial" w:cs="Arial"/>
        </w:rPr>
        <w:t xml:space="preserve">Further a focus on </w:t>
      </w:r>
      <w:r w:rsidR="00CC1C91" w:rsidRPr="00422A4F">
        <w:rPr>
          <w:rFonts w:ascii="Arial" w:hAnsi="Arial" w:cs="Arial"/>
        </w:rPr>
        <w:t xml:space="preserve">national systems of supervision based on home country responsibility for supervision of internationally agreed standards </w:t>
      </w:r>
      <w:r w:rsidR="00B333B2">
        <w:rPr>
          <w:rFonts w:ascii="Arial" w:hAnsi="Arial" w:cs="Arial"/>
        </w:rPr>
        <w:t>fails to</w:t>
      </w:r>
      <w:r w:rsidR="00CC1C91">
        <w:rPr>
          <w:rFonts w:ascii="Arial" w:hAnsi="Arial" w:cs="Arial"/>
        </w:rPr>
        <w:t xml:space="preserve"> properly recognise the complexity of operation of financial institutions.  It is better to clearly recognise that</w:t>
      </w:r>
      <w:r w:rsidR="006B3D2F">
        <w:rPr>
          <w:rFonts w:ascii="Arial" w:hAnsi="Arial" w:cs="Arial"/>
        </w:rPr>
        <w:t xml:space="preserve"> </w:t>
      </w:r>
      <w:r w:rsidR="00422A4F" w:rsidRPr="006B3D2F">
        <w:rPr>
          <w:rFonts w:ascii="Arial" w:hAnsi="Arial" w:cs="Arial"/>
          <w:i/>
        </w:rPr>
        <w:t>“Arrangements for international regulatory coordination and cooperation still seem to lag well behind the dynamic of the transformations of finance”</w:t>
      </w:r>
      <w:r w:rsidR="00422A4F" w:rsidRPr="00422A4F">
        <w:rPr>
          <w:rFonts w:ascii="Arial" w:hAnsi="Arial" w:cs="Arial"/>
        </w:rPr>
        <w:t xml:space="preserve"> </w:t>
      </w:r>
      <w:r w:rsidR="00CC1C91">
        <w:rPr>
          <w:rFonts w:ascii="Arial" w:hAnsi="Arial" w:cs="Arial"/>
        </w:rPr>
        <w:t>(</w:t>
      </w:r>
      <w:proofErr w:type="spellStart"/>
      <w:r w:rsidR="00422A4F" w:rsidRPr="00422A4F">
        <w:rPr>
          <w:rFonts w:ascii="Arial" w:hAnsi="Arial" w:cs="Arial"/>
        </w:rPr>
        <w:t>Picciotto</w:t>
      </w:r>
      <w:proofErr w:type="spellEnd"/>
      <w:r w:rsidR="00422A4F" w:rsidRPr="00422A4F">
        <w:rPr>
          <w:rFonts w:ascii="Arial" w:hAnsi="Arial" w:cs="Arial"/>
        </w:rPr>
        <w:t xml:space="preserve"> and Haines</w:t>
      </w:r>
      <w:proofErr w:type="gramStart"/>
      <w:r w:rsidR="00CC1C91">
        <w:rPr>
          <w:rFonts w:ascii="Arial" w:hAnsi="Arial" w:cs="Arial"/>
        </w:rPr>
        <w:t>,</w:t>
      </w:r>
      <w:r w:rsidR="00422A4F" w:rsidRPr="00422A4F">
        <w:rPr>
          <w:rFonts w:ascii="Arial" w:hAnsi="Arial" w:cs="Arial"/>
        </w:rPr>
        <w:t>1999</w:t>
      </w:r>
      <w:proofErr w:type="gramEnd"/>
      <w:r w:rsidR="00CC1C91">
        <w:rPr>
          <w:rFonts w:ascii="Arial" w:hAnsi="Arial" w:cs="Arial"/>
        </w:rPr>
        <w:t>)</w:t>
      </w:r>
      <w:r w:rsidR="006B3D2F">
        <w:rPr>
          <w:rStyle w:val="FootnoteReference"/>
          <w:rFonts w:ascii="Arial" w:hAnsi="Arial" w:cs="Arial"/>
        </w:rPr>
        <w:footnoteReference w:id="46"/>
      </w:r>
      <w:r w:rsidR="00CC1C91">
        <w:rPr>
          <w:rFonts w:ascii="Arial" w:hAnsi="Arial" w:cs="Arial"/>
        </w:rPr>
        <w:t xml:space="preserve">  and this will continue to be the case. </w:t>
      </w:r>
      <w:r w:rsidR="00285CEC">
        <w:rPr>
          <w:rFonts w:ascii="Arial" w:hAnsi="Arial" w:cs="Arial"/>
        </w:rPr>
        <w:t>Trust</w:t>
      </w:r>
      <w:r w:rsidR="00D81821">
        <w:rPr>
          <w:rFonts w:ascii="Arial" w:hAnsi="Arial" w:cs="Arial"/>
        </w:rPr>
        <w:t xml:space="preserve"> of itself is not something that can be </w:t>
      </w:r>
      <w:r w:rsidR="004754CB">
        <w:rPr>
          <w:rFonts w:ascii="Arial" w:hAnsi="Arial" w:cs="Arial"/>
        </w:rPr>
        <w:t>inculcated via legislation</w:t>
      </w:r>
      <w:r w:rsidR="00D2264E">
        <w:rPr>
          <w:rFonts w:ascii="Arial" w:hAnsi="Arial" w:cs="Arial"/>
        </w:rPr>
        <w:t xml:space="preserve">. </w:t>
      </w:r>
      <w:r w:rsidR="00776D25">
        <w:rPr>
          <w:rFonts w:ascii="Arial" w:hAnsi="Arial" w:cs="Arial"/>
        </w:rPr>
        <w:t>As pointed out by Harvey and Bosworth Davies</w:t>
      </w:r>
      <w:r w:rsidR="00776D25">
        <w:rPr>
          <w:rStyle w:val="FootnoteReference"/>
          <w:rFonts w:ascii="Arial" w:hAnsi="Arial" w:cs="Arial"/>
        </w:rPr>
        <w:footnoteReference w:id="47"/>
      </w:r>
      <w:r w:rsidR="00776D25">
        <w:rPr>
          <w:rFonts w:ascii="Arial" w:hAnsi="Arial" w:cs="Arial"/>
        </w:rPr>
        <w:t xml:space="preserve"> </w:t>
      </w:r>
      <w:r w:rsidR="00776D25" w:rsidRPr="00776D25">
        <w:rPr>
          <w:rFonts w:ascii="Arial" w:hAnsi="Arial" w:cs="Arial"/>
        </w:rPr>
        <w:t xml:space="preserve">trust within financial markets </w:t>
      </w:r>
      <w:r w:rsidR="00776D25">
        <w:rPr>
          <w:rFonts w:ascii="Arial" w:hAnsi="Arial" w:cs="Arial"/>
        </w:rPr>
        <w:t xml:space="preserve">is underpinned by collective recognition of </w:t>
      </w:r>
      <w:r w:rsidR="00776D25" w:rsidRPr="00776D25">
        <w:rPr>
          <w:rFonts w:ascii="Arial" w:hAnsi="Arial" w:cs="Arial"/>
        </w:rPr>
        <w:t xml:space="preserve">accepted and exhibited moral standards that are presumed to </w:t>
      </w:r>
      <w:r w:rsidR="00776D25">
        <w:rPr>
          <w:rFonts w:ascii="Arial" w:hAnsi="Arial" w:cs="Arial"/>
        </w:rPr>
        <w:t xml:space="preserve">embrace both the individual </w:t>
      </w:r>
      <w:r w:rsidR="00D2264E">
        <w:rPr>
          <w:rFonts w:ascii="Arial" w:hAnsi="Arial" w:cs="Arial"/>
        </w:rPr>
        <w:t xml:space="preserve">and their employing institution.  As long as we embrace a capitalist system crises will happen it is better that regulators have an open dialogue with the market so that they are informed of an impending problem sooner </w:t>
      </w:r>
      <w:r w:rsidR="00285CEC">
        <w:rPr>
          <w:rFonts w:ascii="Arial" w:hAnsi="Arial" w:cs="Arial"/>
        </w:rPr>
        <w:t>and are thus better able to manage the surprises</w:t>
      </w:r>
      <w:r w:rsidR="00D2264E">
        <w:rPr>
          <w:rFonts w:ascii="Arial" w:hAnsi="Arial" w:cs="Arial"/>
        </w:rPr>
        <w:t>:</w:t>
      </w:r>
    </w:p>
    <w:p w:rsidR="00D2264E" w:rsidRDefault="00D2264E" w:rsidP="00D2264E">
      <w:pPr>
        <w:spacing w:after="0" w:line="480" w:lineRule="auto"/>
        <w:ind w:left="720"/>
        <w:rPr>
          <w:rFonts w:ascii="Arial" w:hAnsi="Arial" w:cs="Arial"/>
        </w:rPr>
      </w:pPr>
      <w:r w:rsidRPr="00D2264E">
        <w:rPr>
          <w:rFonts w:ascii="Arial" w:hAnsi="Arial" w:cs="Arial"/>
          <w:i/>
        </w:rPr>
        <w:t>“I found a flaw. That is precisely the reason I was shocked because I’d been going for 40 years or more with very considerable evidence that it was working exceptionally well”’</w:t>
      </w:r>
      <w:r w:rsidRPr="00D2264E">
        <w:rPr>
          <w:rFonts w:ascii="Arial" w:hAnsi="Arial" w:cs="Arial"/>
        </w:rPr>
        <w:t xml:space="preserve"> </w:t>
      </w:r>
      <w:r>
        <w:rPr>
          <w:rFonts w:ascii="Arial" w:hAnsi="Arial" w:cs="Arial"/>
        </w:rPr>
        <w:t xml:space="preserve"> </w:t>
      </w:r>
      <w:r w:rsidRPr="00D2264E">
        <w:rPr>
          <w:rFonts w:ascii="Arial" w:hAnsi="Arial" w:cs="Arial"/>
        </w:rPr>
        <w:t>Alan Greenspan, 23rd October 2008</w:t>
      </w:r>
      <w:r>
        <w:rPr>
          <w:rStyle w:val="FootnoteReference"/>
          <w:rFonts w:ascii="Arial" w:hAnsi="Arial" w:cs="Arial"/>
        </w:rPr>
        <w:footnoteReference w:id="48"/>
      </w:r>
    </w:p>
    <w:p w:rsidR="00D81821" w:rsidRPr="005C79D5" w:rsidRDefault="00D81821">
      <w:pPr>
        <w:spacing w:after="0" w:line="480" w:lineRule="auto"/>
        <w:rPr>
          <w:rFonts w:ascii="Arial" w:hAnsi="Arial" w:cs="Arial"/>
        </w:rPr>
      </w:pPr>
    </w:p>
    <w:sectPr w:rsidR="00D81821" w:rsidRPr="005C79D5" w:rsidSect="00A031F0">
      <w:footerReference w:type="default" r:id="rId8"/>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6C" w:rsidRDefault="004D4A6C" w:rsidP="00A031F0">
      <w:pPr>
        <w:spacing w:after="0" w:line="240" w:lineRule="auto"/>
      </w:pPr>
      <w:r>
        <w:separator/>
      </w:r>
    </w:p>
  </w:endnote>
  <w:endnote w:type="continuationSeparator" w:id="0">
    <w:p w:rsidR="004D4A6C" w:rsidRDefault="004D4A6C" w:rsidP="00A0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424757"/>
      <w:docPartObj>
        <w:docPartGallery w:val="Page Numbers (Bottom of Page)"/>
        <w:docPartUnique/>
      </w:docPartObj>
    </w:sdtPr>
    <w:sdtEndPr>
      <w:rPr>
        <w:noProof/>
      </w:rPr>
    </w:sdtEndPr>
    <w:sdtContent>
      <w:p w:rsidR="004D4A6C" w:rsidRDefault="004D4A6C">
        <w:pPr>
          <w:pStyle w:val="Footer"/>
          <w:jc w:val="center"/>
        </w:pPr>
        <w:r>
          <w:fldChar w:fldCharType="begin"/>
        </w:r>
        <w:r>
          <w:instrText xml:space="preserve"> PAGE   \* MERGEFORMAT </w:instrText>
        </w:r>
        <w:r>
          <w:fldChar w:fldCharType="separate"/>
        </w:r>
        <w:r w:rsidR="009E5D49">
          <w:rPr>
            <w:noProof/>
          </w:rPr>
          <w:t>13</w:t>
        </w:r>
        <w:r>
          <w:rPr>
            <w:noProof/>
          </w:rPr>
          <w:fldChar w:fldCharType="end"/>
        </w:r>
      </w:p>
    </w:sdtContent>
  </w:sdt>
  <w:p w:rsidR="004D4A6C" w:rsidRDefault="004D4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6C" w:rsidRDefault="004D4A6C" w:rsidP="00A031F0">
      <w:pPr>
        <w:spacing w:after="0" w:line="240" w:lineRule="auto"/>
      </w:pPr>
      <w:r>
        <w:separator/>
      </w:r>
    </w:p>
  </w:footnote>
  <w:footnote w:type="continuationSeparator" w:id="0">
    <w:p w:rsidR="004D4A6C" w:rsidRDefault="004D4A6C" w:rsidP="00A031F0">
      <w:pPr>
        <w:spacing w:after="0" w:line="240" w:lineRule="auto"/>
      </w:pPr>
      <w:r>
        <w:continuationSeparator/>
      </w:r>
    </w:p>
  </w:footnote>
  <w:footnote w:id="1">
    <w:p w:rsidR="004D4A6C" w:rsidRDefault="004D4A6C" w:rsidP="00536F12">
      <w:pPr>
        <w:pStyle w:val="FootnoteText"/>
      </w:pPr>
      <w:r>
        <w:rPr>
          <w:rStyle w:val="FootnoteReference"/>
        </w:rPr>
        <w:footnoteRef/>
      </w:r>
      <w:r>
        <w:t xml:space="preserve"> Remarks by Federal Reserve Board Chairman Governor Ben S. Bernanke At the meetings of the Eastern Economic Association, Washington, DC February 20, 2004  available at </w:t>
      </w:r>
      <w:hyperlink r:id="rId1" w:history="1">
        <w:r w:rsidRPr="00F85601">
          <w:rPr>
            <w:rStyle w:val="Hyperlink"/>
          </w:rPr>
          <w:t>http://www.federalreserve.gov/Boarddocs/Speeches/2004/20040220/</w:t>
        </w:r>
      </w:hyperlink>
    </w:p>
    <w:p w:rsidR="004D4A6C" w:rsidRDefault="004D4A6C" w:rsidP="00536F12">
      <w:pPr>
        <w:pStyle w:val="FootnoteText"/>
      </w:pPr>
    </w:p>
  </w:footnote>
  <w:footnote w:id="2">
    <w:p w:rsidR="004D4A6C" w:rsidRDefault="004D4A6C" w:rsidP="00E26A4D">
      <w:pPr>
        <w:pStyle w:val="FootnoteText"/>
      </w:pPr>
      <w:r>
        <w:rPr>
          <w:rStyle w:val="FootnoteReference"/>
        </w:rPr>
        <w:footnoteRef/>
      </w:r>
      <w:r>
        <w:t xml:space="preserve"> UBS fined £160 million for significant failings in relation to LIBOR and EURIBOR FSA/PN/116/2012</w:t>
      </w:r>
    </w:p>
    <w:p w:rsidR="004D4A6C" w:rsidRDefault="004D4A6C" w:rsidP="00E26A4D">
      <w:pPr>
        <w:pStyle w:val="FootnoteText"/>
      </w:pPr>
      <w:r>
        <w:t xml:space="preserve">19 Dec 2012 </w:t>
      </w:r>
      <w:hyperlink r:id="rId2" w:history="1">
        <w:r w:rsidRPr="00D173D9">
          <w:rPr>
            <w:rStyle w:val="Hyperlink"/>
          </w:rPr>
          <w:t>http://www.fsa.gov.uk/library/communication/pr/2012/116.shtml</w:t>
        </w:r>
      </w:hyperlink>
      <w:r>
        <w:t xml:space="preserve"> (accessed 20/7/14)</w:t>
      </w:r>
    </w:p>
  </w:footnote>
  <w:footnote w:id="3">
    <w:p w:rsidR="004D4A6C" w:rsidRDefault="004D4A6C" w:rsidP="00CF1AE8">
      <w:pPr>
        <w:pStyle w:val="FootnoteText"/>
      </w:pPr>
      <w:r>
        <w:rPr>
          <w:rStyle w:val="FootnoteReference"/>
        </w:rPr>
        <w:footnoteRef/>
      </w:r>
      <w:r>
        <w:t xml:space="preserve"> Barclays fined £59.5 million for significant failings in relation to LIBOR and EURIBOR FSA/PN/070/2012</w:t>
      </w:r>
    </w:p>
    <w:p w:rsidR="004D4A6C" w:rsidRPr="00CF1AE8" w:rsidRDefault="004D4A6C" w:rsidP="00CF1AE8">
      <w:pPr>
        <w:pStyle w:val="FootnoteText"/>
      </w:pPr>
      <w:r w:rsidRPr="00CF1AE8">
        <w:t xml:space="preserve">27 Jun 2012 </w:t>
      </w:r>
      <w:hyperlink r:id="rId3" w:history="1">
        <w:r w:rsidRPr="00CF1AE8">
          <w:rPr>
            <w:rStyle w:val="Hyperlink"/>
          </w:rPr>
          <w:t>http://www.fsa.gov.uk/library/communication/pr/2012/070.shtml</w:t>
        </w:r>
      </w:hyperlink>
      <w:r w:rsidRPr="00CF1AE8">
        <w:t xml:space="preserve"> (accessed 20/7/14)</w:t>
      </w:r>
    </w:p>
  </w:footnote>
  <w:footnote w:id="4">
    <w:p w:rsidR="004D4A6C" w:rsidRPr="00CF1AE8" w:rsidRDefault="004D4A6C">
      <w:pPr>
        <w:pStyle w:val="FootnoteText"/>
      </w:pPr>
      <w:r>
        <w:rPr>
          <w:rStyle w:val="FootnoteReference"/>
        </w:rPr>
        <w:footnoteRef/>
      </w:r>
      <w:r w:rsidRPr="00CF1AE8">
        <w:t xml:space="preserve"> RBS fined £87.5 million for significant failings in relation to LIBOR</w:t>
      </w:r>
      <w:r>
        <w:t xml:space="preserve"> F</w:t>
      </w:r>
      <w:r w:rsidRPr="00CF1AE8">
        <w:t>SA/PN/011/2013</w:t>
      </w:r>
      <w:r>
        <w:t xml:space="preserve"> </w:t>
      </w:r>
      <w:r w:rsidRPr="00CF1AE8">
        <w:t xml:space="preserve">06 Feb 2013 </w:t>
      </w:r>
      <w:hyperlink r:id="rId4" w:history="1">
        <w:r w:rsidRPr="00CF1AE8">
          <w:rPr>
            <w:rStyle w:val="Hyperlink"/>
          </w:rPr>
          <w:t>http://www.fsa.gov.uk/library/communication/pr/2013/011.shtml</w:t>
        </w:r>
      </w:hyperlink>
      <w:r w:rsidRPr="00CF1AE8">
        <w:t xml:space="preserve"> (accessed 20/7/14)</w:t>
      </w:r>
    </w:p>
  </w:footnote>
  <w:footnote w:id="5">
    <w:p w:rsidR="004D4A6C" w:rsidRPr="005C79D5" w:rsidRDefault="004D4A6C">
      <w:pPr>
        <w:pStyle w:val="FootnoteText"/>
        <w:rPr>
          <w:rFonts w:ascii="Arial" w:hAnsi="Arial" w:cs="Arial"/>
          <w:sz w:val="16"/>
          <w:szCs w:val="16"/>
        </w:rPr>
      </w:pPr>
      <w:r>
        <w:rPr>
          <w:rStyle w:val="FootnoteReference"/>
        </w:rPr>
        <w:footnoteRef/>
      </w:r>
      <w:r>
        <w:t xml:space="preserve"> </w:t>
      </w:r>
      <w:r w:rsidRPr="00DF7A1D">
        <w:t xml:space="preserve">Forex scandal: What is that all about? </w:t>
      </w:r>
      <w:r>
        <w:t>BBC Business News, 12</w:t>
      </w:r>
      <w:r w:rsidRPr="00DF7A1D">
        <w:rPr>
          <w:vertAlign w:val="superscript"/>
        </w:rPr>
        <w:t>th</w:t>
      </w:r>
      <w:r>
        <w:t xml:space="preserve"> June, 2014 available at: </w:t>
      </w:r>
      <w:hyperlink r:id="rId5" w:history="1">
        <w:r w:rsidRPr="00AC3664">
          <w:rPr>
            <w:rStyle w:val="Hyperlink"/>
            <w:rFonts w:ascii="Arial" w:hAnsi="Arial" w:cs="Arial"/>
            <w:sz w:val="16"/>
            <w:szCs w:val="16"/>
          </w:rPr>
          <w:t>http://www.bbc.co.uk/news/business-26526905</w:t>
        </w:r>
      </w:hyperlink>
      <w:r>
        <w:rPr>
          <w:rFonts w:ascii="Arial" w:hAnsi="Arial" w:cs="Arial"/>
          <w:sz w:val="16"/>
          <w:szCs w:val="16"/>
        </w:rPr>
        <w:t xml:space="preserve">   (accessed 20/7/14)</w:t>
      </w:r>
    </w:p>
  </w:footnote>
  <w:footnote w:id="6">
    <w:p w:rsidR="004D4A6C" w:rsidRPr="00E51484" w:rsidRDefault="004D4A6C" w:rsidP="009625E2">
      <w:pPr>
        <w:pStyle w:val="FootnoteText"/>
      </w:pPr>
      <w:r>
        <w:rPr>
          <w:rStyle w:val="FootnoteReference"/>
        </w:rPr>
        <w:footnoteRef/>
      </w:r>
      <w:r>
        <w:t xml:space="preserve"> Whittle, A., and Mueller, F., “Bankers in the dock: Moral storytelling in action” (2012) </w:t>
      </w:r>
      <w:r w:rsidRPr="00E51484">
        <w:rPr>
          <w:i/>
        </w:rPr>
        <w:t>Human Relations</w:t>
      </w:r>
      <w:r>
        <w:t xml:space="preserve"> </w:t>
      </w:r>
      <w:r>
        <w:rPr>
          <w:i/>
        </w:rPr>
        <w:t xml:space="preserve"> </w:t>
      </w:r>
      <w:r w:rsidRPr="00E51484">
        <w:t>65</w:t>
      </w:r>
      <w:r>
        <w:t>:</w:t>
      </w:r>
      <w:r w:rsidRPr="00E51484">
        <w:t>1</w:t>
      </w:r>
      <w:r>
        <w:t>, 111 at 112</w:t>
      </w:r>
    </w:p>
  </w:footnote>
  <w:footnote w:id="7">
    <w:p w:rsidR="004D4A6C" w:rsidRDefault="004D4A6C">
      <w:pPr>
        <w:pStyle w:val="FootnoteText"/>
      </w:pPr>
      <w:r>
        <w:rPr>
          <w:rStyle w:val="FootnoteReference"/>
        </w:rPr>
        <w:footnoteRef/>
      </w:r>
      <w:r>
        <w:t xml:space="preserve"> </w:t>
      </w:r>
      <w:r w:rsidRPr="002756A4">
        <w:t>Mayer, C., ‘Trust in Financial Markets’</w:t>
      </w:r>
      <w:r>
        <w:t xml:space="preserve"> </w:t>
      </w:r>
      <w:r w:rsidRPr="002756A4">
        <w:t xml:space="preserve">(2008) </w:t>
      </w:r>
      <w:r w:rsidRPr="002756A4">
        <w:rPr>
          <w:i/>
        </w:rPr>
        <w:t>European Financial Management</w:t>
      </w:r>
      <w:r w:rsidRPr="002756A4">
        <w:t>, 14:4</w:t>
      </w:r>
      <w:r>
        <w:t>, 617 at 620</w:t>
      </w:r>
      <w:r w:rsidRPr="002756A4">
        <w:t>.</w:t>
      </w:r>
    </w:p>
  </w:footnote>
  <w:footnote w:id="8">
    <w:p w:rsidR="004D4A6C" w:rsidRDefault="004D4A6C">
      <w:pPr>
        <w:pStyle w:val="FootnoteText"/>
      </w:pPr>
      <w:r>
        <w:rPr>
          <w:rStyle w:val="FootnoteReference"/>
        </w:rPr>
        <w:footnoteRef/>
      </w:r>
      <w:r>
        <w:t xml:space="preserve"> </w:t>
      </w:r>
      <w:proofErr w:type="spellStart"/>
      <w:r w:rsidRPr="004E1513">
        <w:t>Htay</w:t>
      </w:r>
      <w:proofErr w:type="spellEnd"/>
      <w:r w:rsidRPr="004E1513">
        <w:t xml:space="preserve">, S. ‘Corporate Governance and Strategic Information Disclosure in Malaysian Listed Banks: Panel Data Analysis’, (2012) </w:t>
      </w:r>
      <w:r w:rsidRPr="004E1513">
        <w:rPr>
          <w:i/>
        </w:rPr>
        <w:t>International Review of Business Research Papers</w:t>
      </w:r>
      <w:r w:rsidRPr="004E1513">
        <w:t>, 8:1</w:t>
      </w:r>
      <w:r>
        <w:t xml:space="preserve">, </w:t>
      </w:r>
      <w:r w:rsidRPr="004E1513">
        <w:t>196</w:t>
      </w:r>
    </w:p>
  </w:footnote>
  <w:footnote w:id="9">
    <w:p w:rsidR="004D4A6C" w:rsidRDefault="004D4A6C">
      <w:pPr>
        <w:pStyle w:val="FootnoteText"/>
      </w:pPr>
      <w:r>
        <w:rPr>
          <w:rStyle w:val="FootnoteReference"/>
        </w:rPr>
        <w:footnoteRef/>
      </w:r>
      <w:r>
        <w:t xml:space="preserve"> </w:t>
      </w:r>
      <w:proofErr w:type="spellStart"/>
      <w:r w:rsidRPr="00422A4F">
        <w:t>Picciotto</w:t>
      </w:r>
      <w:proofErr w:type="spellEnd"/>
      <w:r>
        <w:t>,</w:t>
      </w:r>
      <w:r w:rsidRPr="00422A4F">
        <w:t xml:space="preserve"> S</w:t>
      </w:r>
      <w:r>
        <w:t>.,</w:t>
      </w:r>
      <w:r w:rsidRPr="00422A4F">
        <w:t xml:space="preserve"> and Haines</w:t>
      </w:r>
      <w:r>
        <w:t>,</w:t>
      </w:r>
      <w:r w:rsidRPr="00422A4F">
        <w:t xml:space="preserve"> J</w:t>
      </w:r>
      <w:r>
        <w:t>.,</w:t>
      </w:r>
      <w:r w:rsidRPr="00422A4F">
        <w:t xml:space="preserve"> “Regulating Global Financial Markets” (1999) </w:t>
      </w:r>
      <w:r w:rsidRPr="000D5DAE">
        <w:rPr>
          <w:i/>
        </w:rPr>
        <w:t>Journal of Law and Society</w:t>
      </w:r>
      <w:r w:rsidRPr="00422A4F">
        <w:t>, 26</w:t>
      </w:r>
      <w:r>
        <w:t>:</w:t>
      </w:r>
      <w:r w:rsidRPr="00422A4F">
        <w:t>3</w:t>
      </w:r>
      <w:r>
        <w:t>,</w:t>
      </w:r>
      <w:r w:rsidRPr="00422A4F">
        <w:t xml:space="preserve"> 351</w:t>
      </w:r>
      <w:r>
        <w:t xml:space="preserve"> at 352</w:t>
      </w:r>
    </w:p>
  </w:footnote>
  <w:footnote w:id="10">
    <w:p w:rsidR="004D4A6C" w:rsidRDefault="004D4A6C" w:rsidP="00C73B14">
      <w:pPr>
        <w:pStyle w:val="FootnoteText"/>
      </w:pPr>
      <w:r>
        <w:rPr>
          <w:rStyle w:val="FootnoteReference"/>
        </w:rPr>
        <w:footnoteRef/>
      </w:r>
      <w:r>
        <w:t xml:space="preserve"> </w:t>
      </w:r>
      <w:r w:rsidRPr="008B39BC">
        <w:t xml:space="preserve">Diamond, D., “Financial intermediation and delegated monitoring”, </w:t>
      </w:r>
      <w:r>
        <w:t>(</w:t>
      </w:r>
      <w:r w:rsidRPr="008B39BC">
        <w:t>1984</w:t>
      </w:r>
      <w:r>
        <w:t xml:space="preserve">) </w:t>
      </w:r>
      <w:r w:rsidRPr="008B39BC">
        <w:rPr>
          <w:i/>
        </w:rPr>
        <w:t xml:space="preserve">Review of Economic Studies </w:t>
      </w:r>
      <w:r w:rsidRPr="008B39BC">
        <w:t>51</w:t>
      </w:r>
      <w:r>
        <w:t>, 393</w:t>
      </w:r>
    </w:p>
  </w:footnote>
  <w:footnote w:id="11">
    <w:p w:rsidR="004D4A6C" w:rsidRDefault="004D4A6C">
      <w:pPr>
        <w:pStyle w:val="FootnoteText"/>
      </w:pPr>
      <w:r>
        <w:rPr>
          <w:rStyle w:val="FootnoteReference"/>
        </w:rPr>
        <w:footnoteRef/>
      </w:r>
      <w:r>
        <w:t xml:space="preserve"> </w:t>
      </w:r>
      <w:r w:rsidRPr="00B64F5C">
        <w:t>Ricketts</w:t>
      </w:r>
      <w:r>
        <w:t>,</w:t>
      </w:r>
      <w:r w:rsidRPr="00B64F5C">
        <w:t xml:space="preserve"> M</w:t>
      </w:r>
      <w:r>
        <w:t>.,</w:t>
      </w:r>
      <w:r w:rsidRPr="00B64F5C">
        <w:t xml:space="preserve"> “Economic regulation: principles, history and methods” , Chapter 2, 34-62 </w:t>
      </w:r>
      <w:r w:rsidRPr="00E87D53">
        <w:t>Crew M and Parker</w:t>
      </w:r>
      <w:r>
        <w:t>,</w:t>
      </w:r>
      <w:r w:rsidRPr="00E87D53">
        <w:t xml:space="preserve"> D</w:t>
      </w:r>
      <w:r>
        <w:t>.,</w:t>
      </w:r>
      <w:r w:rsidRPr="00E87D53">
        <w:t xml:space="preserve"> </w:t>
      </w:r>
      <w:r w:rsidRPr="008240E7">
        <w:rPr>
          <w:i/>
        </w:rPr>
        <w:t>International handbook on economic regulation</w:t>
      </w:r>
      <w:r w:rsidRPr="00E87D53">
        <w:t xml:space="preserve"> </w:t>
      </w:r>
      <w:r w:rsidRPr="00B64F5C">
        <w:t xml:space="preserve">(2006) </w:t>
      </w:r>
      <w:r w:rsidRPr="00E87D53">
        <w:t xml:space="preserve"> Edward Elgar </w:t>
      </w:r>
      <w:r>
        <w:t>at 37</w:t>
      </w:r>
    </w:p>
  </w:footnote>
  <w:footnote w:id="12">
    <w:p w:rsidR="004D4A6C" w:rsidRDefault="004D4A6C">
      <w:pPr>
        <w:pStyle w:val="FootnoteText"/>
      </w:pPr>
      <w:r>
        <w:rPr>
          <w:rStyle w:val="FootnoteReference"/>
        </w:rPr>
        <w:footnoteRef/>
      </w:r>
      <w:r>
        <w:t xml:space="preserve"> </w:t>
      </w:r>
      <w:proofErr w:type="gramStart"/>
      <w:r w:rsidRPr="00587B14">
        <w:t>Vass</w:t>
      </w:r>
      <w:r w:rsidR="00C314A4">
        <w:t>.</w:t>
      </w:r>
      <w:proofErr w:type="gramEnd"/>
      <w:r w:rsidRPr="00587B14">
        <w:t xml:space="preserve"> P</w:t>
      </w:r>
      <w:r w:rsidR="00C314A4">
        <w:t>.</w:t>
      </w:r>
      <w:r w:rsidRPr="00587B14">
        <w:t xml:space="preserve">, “Regulatory governance and the lessons from UK practice” Chapter 9, 188-205 in </w:t>
      </w:r>
      <w:r w:rsidRPr="00DB605F">
        <w:t>Crew</w:t>
      </w:r>
      <w:r w:rsidR="00C314A4">
        <w:t>,</w:t>
      </w:r>
      <w:r w:rsidRPr="00DB605F">
        <w:t xml:space="preserve"> M</w:t>
      </w:r>
      <w:r w:rsidR="00C314A4">
        <w:t>.</w:t>
      </w:r>
      <w:r w:rsidRPr="00DB605F">
        <w:t xml:space="preserve"> and Parker</w:t>
      </w:r>
      <w:r w:rsidR="00C314A4">
        <w:t>,</w:t>
      </w:r>
      <w:r w:rsidRPr="00DB605F">
        <w:t xml:space="preserve"> D</w:t>
      </w:r>
      <w:r w:rsidR="00C314A4">
        <w:t>.,</w:t>
      </w:r>
      <w:r w:rsidRPr="00DB605F">
        <w:t xml:space="preserve"> </w:t>
      </w:r>
      <w:r w:rsidRPr="008240E7">
        <w:rPr>
          <w:i/>
        </w:rPr>
        <w:t>International handbook on economic regulation</w:t>
      </w:r>
      <w:r w:rsidRPr="00DB605F">
        <w:t xml:space="preserve">  (2006) Edward Elgar </w:t>
      </w:r>
      <w:r>
        <w:t>at 191</w:t>
      </w:r>
    </w:p>
  </w:footnote>
  <w:footnote w:id="13">
    <w:p w:rsidR="004D4A6C" w:rsidRDefault="004D4A6C">
      <w:pPr>
        <w:pStyle w:val="FootnoteText"/>
      </w:pPr>
      <w:r>
        <w:rPr>
          <w:rStyle w:val="FootnoteReference"/>
        </w:rPr>
        <w:footnoteRef/>
      </w:r>
      <w:r>
        <w:t xml:space="preserve"> </w:t>
      </w:r>
      <w:r w:rsidRPr="003764A2">
        <w:t>Baldwin</w:t>
      </w:r>
      <w:r w:rsidR="00C314A4">
        <w:t>,</w:t>
      </w:r>
      <w:r w:rsidRPr="003764A2">
        <w:t xml:space="preserve"> R</w:t>
      </w:r>
      <w:r w:rsidR="00C314A4">
        <w:t>.</w:t>
      </w:r>
      <w:r w:rsidRPr="003764A2">
        <w:t xml:space="preserve"> and </w:t>
      </w:r>
      <w:proofErr w:type="spellStart"/>
      <w:r w:rsidRPr="003764A2">
        <w:t>Cav</w:t>
      </w:r>
      <w:r w:rsidR="00C314A4">
        <w:t>.,</w:t>
      </w:r>
      <w:r w:rsidRPr="003764A2">
        <w:t>e</w:t>
      </w:r>
      <w:proofErr w:type="spellEnd"/>
      <w:r w:rsidRPr="003764A2">
        <w:t xml:space="preserve"> M</w:t>
      </w:r>
      <w:r w:rsidR="00C314A4">
        <w:t>.,</w:t>
      </w:r>
      <w:r w:rsidRPr="003764A2">
        <w:t xml:space="preserve">  “Understanding Regulation:  theory strategy and practice” </w:t>
      </w:r>
      <w:r w:rsidR="00C314A4" w:rsidRPr="003764A2">
        <w:t>(1999)</w:t>
      </w:r>
      <w:r w:rsidR="00C314A4">
        <w:t xml:space="preserve"> </w:t>
      </w:r>
      <w:r w:rsidRPr="003764A2">
        <w:t>Oxford University Press</w:t>
      </w:r>
      <w:r>
        <w:t xml:space="preserve"> at 77; </w:t>
      </w:r>
      <w:r w:rsidRPr="003764A2">
        <w:t>Kirkpatrick</w:t>
      </w:r>
      <w:r w:rsidR="00C314A4">
        <w:t>,</w:t>
      </w:r>
      <w:r w:rsidRPr="003764A2">
        <w:t xml:space="preserve"> C “Regulatory impact assessment” Chapter 11 232 – 251 in Crew</w:t>
      </w:r>
      <w:r w:rsidR="00C314A4">
        <w:t>,</w:t>
      </w:r>
      <w:r w:rsidRPr="003764A2">
        <w:t xml:space="preserve"> M</w:t>
      </w:r>
      <w:r w:rsidR="00C314A4">
        <w:t>.</w:t>
      </w:r>
      <w:r w:rsidRPr="003764A2">
        <w:t xml:space="preserve"> and </w:t>
      </w:r>
      <w:proofErr w:type="spellStart"/>
      <w:r w:rsidRPr="003764A2">
        <w:t>Parke</w:t>
      </w:r>
      <w:r w:rsidR="00C314A4">
        <w:t>,</w:t>
      </w:r>
      <w:r w:rsidRPr="003764A2">
        <w:t>r</w:t>
      </w:r>
      <w:proofErr w:type="spellEnd"/>
      <w:r w:rsidRPr="003764A2">
        <w:t xml:space="preserve"> D</w:t>
      </w:r>
      <w:r w:rsidR="00C314A4">
        <w:t>.</w:t>
      </w:r>
      <w:r w:rsidRPr="003764A2">
        <w:t xml:space="preserve"> </w:t>
      </w:r>
      <w:r w:rsidRPr="008240E7">
        <w:rPr>
          <w:i/>
        </w:rPr>
        <w:t>International handbook on economic regulation</w:t>
      </w:r>
      <w:r w:rsidRPr="003764A2">
        <w:t xml:space="preserve"> </w:t>
      </w:r>
      <w:r w:rsidR="00C314A4" w:rsidRPr="003764A2">
        <w:t xml:space="preserve">(2006) </w:t>
      </w:r>
      <w:r w:rsidRPr="003764A2">
        <w:t xml:space="preserve"> Edward Elgar</w:t>
      </w:r>
      <w:r>
        <w:t xml:space="preserve"> at 236</w:t>
      </w:r>
    </w:p>
  </w:footnote>
  <w:footnote w:id="14">
    <w:p w:rsidR="004D4A6C" w:rsidRDefault="004D4A6C">
      <w:pPr>
        <w:pStyle w:val="FootnoteText"/>
      </w:pPr>
      <w:r>
        <w:rPr>
          <w:rStyle w:val="FootnoteReference"/>
        </w:rPr>
        <w:footnoteRef/>
      </w:r>
      <w:r>
        <w:t xml:space="preserve"> </w:t>
      </w:r>
      <w:r w:rsidRPr="00B55A53">
        <w:t xml:space="preserve">Financial Service Act 1986 C60 (Repealed) available at: </w:t>
      </w:r>
      <w:hyperlink r:id="rId6" w:history="1">
        <w:r w:rsidRPr="00342EB8">
          <w:rPr>
            <w:rStyle w:val="Hyperlink"/>
          </w:rPr>
          <w:t>http://www.legislation.gov.uk/ukpga/1986/60/pdfs/ukpga_19860060_en.pdf</w:t>
        </w:r>
      </w:hyperlink>
    </w:p>
  </w:footnote>
  <w:footnote w:id="15">
    <w:p w:rsidR="004D4A6C" w:rsidRDefault="004D4A6C" w:rsidP="00453966">
      <w:pPr>
        <w:pStyle w:val="FootnoteText"/>
      </w:pPr>
      <w:r>
        <w:rPr>
          <w:rStyle w:val="FootnoteReference"/>
        </w:rPr>
        <w:footnoteRef/>
      </w:r>
      <w:r>
        <w:t xml:space="preserve"> Stanley C</w:t>
      </w:r>
      <w:r w:rsidRPr="00216368">
        <w:t xml:space="preserve">., “Mavericks at the Casino: Legal and Ethical Indeterminacy in the Financial Markets” (1994) </w:t>
      </w:r>
      <w:proofErr w:type="gramStart"/>
      <w:r w:rsidRPr="002756A4">
        <w:rPr>
          <w:i/>
        </w:rPr>
        <w:t>The</w:t>
      </w:r>
      <w:proofErr w:type="gramEnd"/>
      <w:r w:rsidRPr="002756A4">
        <w:rPr>
          <w:i/>
        </w:rPr>
        <w:t xml:space="preserve"> Journal of Asset Protection and Financial Crime</w:t>
      </w:r>
      <w:r w:rsidRPr="00216368">
        <w:t xml:space="preserve"> 2</w:t>
      </w:r>
      <w:r>
        <w:t>:2. 137 at 143</w:t>
      </w:r>
    </w:p>
  </w:footnote>
  <w:footnote w:id="16">
    <w:p w:rsidR="004D4A6C" w:rsidRDefault="004D4A6C">
      <w:pPr>
        <w:pStyle w:val="FootnoteText"/>
      </w:pPr>
      <w:r>
        <w:rPr>
          <w:rStyle w:val="FootnoteReference"/>
        </w:rPr>
        <w:footnoteRef/>
      </w:r>
      <w:r>
        <w:t xml:space="preserve"> </w:t>
      </w:r>
      <w:r w:rsidRPr="00B64F5D">
        <w:t>Gamble, A</w:t>
      </w:r>
      <w:r>
        <w:t>.,</w:t>
      </w:r>
      <w:r w:rsidRPr="00B64F5D">
        <w:t xml:space="preserve"> ‘Privatization, Thatcherism and the British State. </w:t>
      </w:r>
      <w:proofErr w:type="gramStart"/>
      <w:r w:rsidRPr="00B64F5D">
        <w:t>The Crisis of Social Democracy.’</w:t>
      </w:r>
      <w:proofErr w:type="gramEnd"/>
      <w:r w:rsidRPr="00B64F5D">
        <w:t xml:space="preserve"> In Gamble</w:t>
      </w:r>
      <w:r>
        <w:t>,</w:t>
      </w:r>
      <w:r w:rsidRPr="00B64F5D">
        <w:t xml:space="preserve"> A</w:t>
      </w:r>
      <w:r>
        <w:t>.</w:t>
      </w:r>
      <w:r w:rsidRPr="00B64F5D">
        <w:t xml:space="preserve"> and Wells</w:t>
      </w:r>
      <w:r>
        <w:t>,</w:t>
      </w:r>
      <w:r w:rsidRPr="00B64F5D">
        <w:t xml:space="preserve"> C</w:t>
      </w:r>
      <w:r>
        <w:t>.,</w:t>
      </w:r>
      <w:r w:rsidRPr="00B64F5D">
        <w:t xml:space="preserve"> (1989) </w:t>
      </w:r>
      <w:r w:rsidRPr="008240E7">
        <w:rPr>
          <w:i/>
        </w:rPr>
        <w:t>Thatcher’s Law</w:t>
      </w:r>
      <w:r w:rsidRPr="00B64F5D">
        <w:t>, Basil Blackwell, London</w:t>
      </w:r>
    </w:p>
  </w:footnote>
  <w:footnote w:id="17">
    <w:p w:rsidR="004D4A6C" w:rsidRDefault="004D4A6C" w:rsidP="00EF2092">
      <w:pPr>
        <w:spacing w:after="0" w:line="240" w:lineRule="auto"/>
      </w:pPr>
      <w:r>
        <w:rPr>
          <w:rStyle w:val="FootnoteReference"/>
        </w:rPr>
        <w:footnoteRef/>
      </w:r>
      <w:r>
        <w:t xml:space="preserve"> </w:t>
      </w:r>
      <w:r w:rsidRPr="00E46525">
        <w:rPr>
          <w:sz w:val="20"/>
          <w:szCs w:val="20"/>
        </w:rPr>
        <w:t>Johnson, S</w:t>
      </w:r>
      <w:r>
        <w:rPr>
          <w:sz w:val="20"/>
          <w:szCs w:val="20"/>
        </w:rPr>
        <w:t>.</w:t>
      </w:r>
      <w:r w:rsidRPr="00E46525">
        <w:rPr>
          <w:sz w:val="20"/>
          <w:szCs w:val="20"/>
        </w:rPr>
        <w:t xml:space="preserve"> and </w:t>
      </w:r>
      <w:proofErr w:type="spellStart"/>
      <w:r w:rsidRPr="00E46525">
        <w:rPr>
          <w:sz w:val="20"/>
          <w:szCs w:val="20"/>
        </w:rPr>
        <w:t>Schleifer</w:t>
      </w:r>
      <w:proofErr w:type="spellEnd"/>
      <w:r w:rsidRPr="00E46525">
        <w:rPr>
          <w:sz w:val="20"/>
          <w:szCs w:val="20"/>
        </w:rPr>
        <w:t>, A., ‘Privatization and Corporate Governance’, Governance, Regulation and Privatization in the Asia-Pacific Region, NBER East Asia Seminar on Economics, (2004) 12</w:t>
      </w:r>
      <w:r>
        <w:rPr>
          <w:sz w:val="20"/>
          <w:szCs w:val="20"/>
        </w:rPr>
        <w:t>: 13, at 16</w:t>
      </w:r>
    </w:p>
  </w:footnote>
  <w:footnote w:id="18">
    <w:p w:rsidR="004D4A6C" w:rsidRDefault="004D4A6C">
      <w:pPr>
        <w:pStyle w:val="FootnoteText"/>
      </w:pPr>
      <w:r>
        <w:rPr>
          <w:rStyle w:val="FootnoteReference"/>
        </w:rPr>
        <w:footnoteRef/>
      </w:r>
      <w:r>
        <w:t xml:space="preserve"> </w:t>
      </w:r>
      <w:r w:rsidRPr="00604FE9">
        <w:t xml:space="preserve">Crew, M and </w:t>
      </w:r>
      <w:proofErr w:type="spellStart"/>
      <w:r w:rsidRPr="00604FE9">
        <w:t>Kleindorfer</w:t>
      </w:r>
      <w:proofErr w:type="spellEnd"/>
      <w:r w:rsidRPr="00604FE9">
        <w:t xml:space="preserve">, P., “Regulatory Economics: Twenty years of Progress”, (2002), </w:t>
      </w:r>
      <w:r w:rsidRPr="008240E7">
        <w:rPr>
          <w:i/>
        </w:rPr>
        <w:t>Journal of Regulatory Economics</w:t>
      </w:r>
      <w:r w:rsidRPr="00604FE9">
        <w:t>, 21</w:t>
      </w:r>
      <w:r>
        <w:t>:</w:t>
      </w:r>
      <w:r w:rsidRPr="00604FE9">
        <w:t>1</w:t>
      </w:r>
      <w:r>
        <w:t xml:space="preserve">, </w:t>
      </w:r>
      <w:r w:rsidRPr="00604FE9">
        <w:t>5</w:t>
      </w:r>
    </w:p>
  </w:footnote>
  <w:footnote w:id="19">
    <w:p w:rsidR="004D4A6C" w:rsidRDefault="004D4A6C">
      <w:pPr>
        <w:pStyle w:val="FootnoteText"/>
      </w:pPr>
      <w:r>
        <w:rPr>
          <w:rStyle w:val="FootnoteReference"/>
        </w:rPr>
        <w:footnoteRef/>
      </w:r>
      <w:r>
        <w:t xml:space="preserve"> </w:t>
      </w:r>
      <w:r w:rsidRPr="00DF5720">
        <w:t xml:space="preserve">Pettit, P., ‘The Cunning of Trust’, (1995) </w:t>
      </w:r>
      <w:r w:rsidRPr="00BB5B53">
        <w:rPr>
          <w:i/>
        </w:rPr>
        <w:t>Philosophy &amp; Public Affairs</w:t>
      </w:r>
      <w:r w:rsidRPr="00DF5720">
        <w:t>, 24:3, 202</w:t>
      </w:r>
    </w:p>
  </w:footnote>
  <w:footnote w:id="20">
    <w:p w:rsidR="004D4A6C" w:rsidRDefault="004D4A6C">
      <w:pPr>
        <w:pStyle w:val="FootnoteText"/>
      </w:pPr>
      <w:r>
        <w:rPr>
          <w:rStyle w:val="FootnoteReference"/>
        </w:rPr>
        <w:footnoteRef/>
      </w:r>
      <w:r>
        <w:t xml:space="preserve"> </w:t>
      </w:r>
      <w:r w:rsidRPr="007759CD">
        <w:rPr>
          <w:i/>
        </w:rPr>
        <w:t xml:space="preserve">Op </w:t>
      </w:r>
      <w:proofErr w:type="spellStart"/>
      <w:r w:rsidRPr="007759CD">
        <w:rPr>
          <w:i/>
        </w:rPr>
        <w:t>cit</w:t>
      </w:r>
      <w:proofErr w:type="spellEnd"/>
      <w:r>
        <w:t xml:space="preserve"> footnote 12 at 191.</w:t>
      </w:r>
    </w:p>
  </w:footnote>
  <w:footnote w:id="21">
    <w:p w:rsidR="004D4A6C" w:rsidRDefault="004D4A6C">
      <w:pPr>
        <w:pStyle w:val="FootnoteText"/>
      </w:pPr>
      <w:r>
        <w:rPr>
          <w:rStyle w:val="FootnoteReference"/>
        </w:rPr>
        <w:footnoteRef/>
      </w:r>
      <w:r>
        <w:t xml:space="preserve"> </w:t>
      </w:r>
      <w:proofErr w:type="spellStart"/>
      <w:r w:rsidRPr="001538D4">
        <w:t>Mascini</w:t>
      </w:r>
      <w:proofErr w:type="spellEnd"/>
      <w:r>
        <w:t>,</w:t>
      </w:r>
      <w:r w:rsidRPr="001538D4">
        <w:t xml:space="preserve"> P</w:t>
      </w:r>
      <w:r>
        <w:t>.,</w:t>
      </w:r>
      <w:r w:rsidRPr="001538D4">
        <w:t xml:space="preserve"> “Why was the enforcement pyramid so influential? And what price was paid?” (2013)</w:t>
      </w:r>
      <w:r>
        <w:t xml:space="preserve">, </w:t>
      </w:r>
      <w:r w:rsidRPr="009644E2">
        <w:rPr>
          <w:i/>
        </w:rPr>
        <w:t>Regulation and Governance</w:t>
      </w:r>
      <w:r w:rsidRPr="001538D4">
        <w:t xml:space="preserve">  7, 48</w:t>
      </w:r>
    </w:p>
  </w:footnote>
  <w:footnote w:id="22">
    <w:p w:rsidR="004D4A6C" w:rsidRDefault="004D4A6C">
      <w:pPr>
        <w:pStyle w:val="FootnoteText"/>
      </w:pPr>
      <w:r>
        <w:rPr>
          <w:rStyle w:val="FootnoteReference"/>
        </w:rPr>
        <w:footnoteRef/>
      </w:r>
      <w:r>
        <w:t xml:space="preserve"> </w:t>
      </w:r>
      <w:r w:rsidRPr="00D416E3">
        <w:t>Robinson</w:t>
      </w:r>
      <w:r>
        <w:t>, C.,</w:t>
      </w:r>
      <w:r w:rsidRPr="00D416E3">
        <w:t xml:space="preserve"> and Marshall</w:t>
      </w:r>
      <w:r>
        <w:t xml:space="preserve">, E., </w:t>
      </w:r>
      <w:r w:rsidRPr="00D416E3">
        <w:t>“The regulation of energy: issues and pitfalls  ch</w:t>
      </w:r>
      <w:r>
        <w:t xml:space="preserve">apter </w:t>
      </w:r>
      <w:r w:rsidRPr="00D416E3">
        <w:t xml:space="preserve"> 15 325 -349</w:t>
      </w:r>
      <w:r>
        <w:t xml:space="preserve"> in </w:t>
      </w:r>
      <w:r w:rsidRPr="00D416E3">
        <w:t xml:space="preserve">Crew M and Parker, D., </w:t>
      </w:r>
      <w:r w:rsidRPr="008240E7">
        <w:rPr>
          <w:i/>
        </w:rPr>
        <w:t>International handbook on economic regulation</w:t>
      </w:r>
      <w:r w:rsidRPr="00D416E3">
        <w:t xml:space="preserve">  (2006) Edward Elgar </w:t>
      </w:r>
    </w:p>
  </w:footnote>
  <w:footnote w:id="23">
    <w:p w:rsidR="004D4A6C" w:rsidRDefault="004D4A6C">
      <w:pPr>
        <w:pStyle w:val="FootnoteText"/>
      </w:pPr>
      <w:r>
        <w:rPr>
          <w:rStyle w:val="FootnoteReference"/>
        </w:rPr>
        <w:footnoteRef/>
      </w:r>
      <w:r>
        <w:t xml:space="preserve"> </w:t>
      </w:r>
      <w:r w:rsidRPr="001538D4">
        <w:t xml:space="preserve">Harvey J and Bosworth-Davies R “Drawing the line in the sand:  Trust, integrity and regulatory misdemeanour” </w:t>
      </w:r>
      <w:r w:rsidRPr="008240E7">
        <w:rPr>
          <w:i/>
        </w:rPr>
        <w:t>The Security Journal</w:t>
      </w:r>
      <w:r w:rsidRPr="001538D4">
        <w:t xml:space="preserve"> (forthcoming)</w:t>
      </w:r>
    </w:p>
  </w:footnote>
  <w:footnote w:id="24">
    <w:p w:rsidR="004D4A6C" w:rsidRDefault="004D4A6C" w:rsidP="0060674C">
      <w:pPr>
        <w:pStyle w:val="FootnoteText"/>
      </w:pPr>
      <w:r>
        <w:rPr>
          <w:rStyle w:val="FootnoteReference"/>
        </w:rPr>
        <w:footnoteRef/>
      </w:r>
      <w:r>
        <w:t xml:space="preserve"> </w:t>
      </w:r>
      <w:proofErr w:type="spellStart"/>
      <w:r w:rsidRPr="00C77FE6">
        <w:t>Bonvin</w:t>
      </w:r>
      <w:proofErr w:type="spellEnd"/>
      <w:r w:rsidRPr="00C77FE6">
        <w:t xml:space="preserve">, J. and </w:t>
      </w:r>
      <w:proofErr w:type="spellStart"/>
      <w:r w:rsidRPr="00C77FE6">
        <w:t>Dembinski</w:t>
      </w:r>
      <w:proofErr w:type="spellEnd"/>
      <w:r w:rsidRPr="00C77FE6">
        <w:t xml:space="preserve">, P., “Ethical Issues in Financial Activities” (2002) </w:t>
      </w:r>
      <w:r w:rsidRPr="00583EF0">
        <w:rPr>
          <w:i/>
        </w:rPr>
        <w:t xml:space="preserve">Journal of Business Ethics </w:t>
      </w:r>
      <w:r>
        <w:t>37, 187 at 190</w:t>
      </w:r>
    </w:p>
  </w:footnote>
  <w:footnote w:id="25">
    <w:p w:rsidR="004D4A6C" w:rsidRDefault="004D4A6C">
      <w:pPr>
        <w:pStyle w:val="FootnoteText"/>
      </w:pPr>
      <w:r>
        <w:rPr>
          <w:rStyle w:val="FootnoteReference"/>
        </w:rPr>
        <w:footnoteRef/>
      </w:r>
      <w:r>
        <w:t xml:space="preserve"> The single Financial Services Authority was created by the Financial Services and Markets Act, 2000 (</w:t>
      </w:r>
      <w:r w:rsidRPr="000E77A1">
        <w:t xml:space="preserve">Financial Services and Markets Act 2000, C 8, available at: </w:t>
      </w:r>
      <w:hyperlink r:id="rId7" w:history="1">
        <w:r w:rsidRPr="00342EB8">
          <w:rPr>
            <w:rStyle w:val="Hyperlink"/>
          </w:rPr>
          <w:t>http://www.legislation.gov.uk/ukpga/2000/8/pdfs/ukpga_20000008_en.pdf</w:t>
        </w:r>
      </w:hyperlink>
      <w:r>
        <w:t xml:space="preserve">) to replace the multiple self-regulatory bodies.  </w:t>
      </w:r>
    </w:p>
  </w:footnote>
  <w:footnote w:id="26">
    <w:p w:rsidR="004D4A6C" w:rsidRDefault="004D4A6C">
      <w:pPr>
        <w:pStyle w:val="FootnoteText"/>
      </w:pPr>
      <w:r>
        <w:rPr>
          <w:rStyle w:val="FootnoteReference"/>
        </w:rPr>
        <w:footnoteRef/>
      </w:r>
      <w:r>
        <w:t xml:space="preserve"> </w:t>
      </w:r>
      <w:r w:rsidRPr="007759CD">
        <w:rPr>
          <w:i/>
        </w:rPr>
        <w:t>Op. cit</w:t>
      </w:r>
      <w:r>
        <w:t>. footnote 13 at 99</w:t>
      </w:r>
    </w:p>
  </w:footnote>
  <w:footnote w:id="27">
    <w:p w:rsidR="004D4A6C" w:rsidRDefault="004D4A6C">
      <w:pPr>
        <w:pStyle w:val="FootnoteText"/>
      </w:pPr>
      <w:r>
        <w:rPr>
          <w:rStyle w:val="FootnoteReference"/>
        </w:rPr>
        <w:footnoteRef/>
      </w:r>
      <w:r>
        <w:t xml:space="preserve"> For a thorough overview of the UK regulatory landscape refer to Nicholas Ryder  “The financial crisis and white collar crime”, (2014) Chapter 5, 179, Edward Elgar</w:t>
      </w:r>
    </w:p>
  </w:footnote>
  <w:footnote w:id="28">
    <w:p w:rsidR="004D4A6C" w:rsidRDefault="004D4A6C" w:rsidP="00950AE7">
      <w:pPr>
        <w:pStyle w:val="FootnoteText"/>
      </w:pPr>
      <w:r>
        <w:rPr>
          <w:rStyle w:val="FootnoteReference"/>
        </w:rPr>
        <w:footnoteRef/>
      </w:r>
      <w:r>
        <w:t xml:space="preserve"> Briefly: Peter </w:t>
      </w:r>
      <w:proofErr w:type="spellStart"/>
      <w:r>
        <w:t>Clowes</w:t>
      </w:r>
      <w:proofErr w:type="spellEnd"/>
      <w:r>
        <w:t xml:space="preserve"> perpetrated a £17 million investment fraud during the mid-1980s. Refer to: </w:t>
      </w:r>
      <w:hyperlink r:id="rId8" w:history="1">
        <w:r w:rsidRPr="00832BAA">
          <w:rPr>
            <w:rStyle w:val="Hyperlink"/>
          </w:rPr>
          <w:t>http://www.sfo.gov.uk/our-work/our-cases/historic-cases/barlow-clowes.aspx</w:t>
        </w:r>
      </w:hyperlink>
      <w:r>
        <w:t xml:space="preserve">; Johnson Matthey Bank, one of the central London bullion market makers collapsed in 1984 and was purchased by the Bank of England for £1 in 1991; Robert Maxwell had misappropriated £450m from the pension fund of his company, the Mirror Group newspapers; The Guinness take-over of The Distillers Company plc in 1986 involved illegal share support. Refer to: </w:t>
      </w:r>
      <w:hyperlink r:id="rId9" w:history="1">
        <w:r w:rsidRPr="00832BAA">
          <w:rPr>
            <w:rStyle w:val="Hyperlink"/>
          </w:rPr>
          <w:t>http://www.sfo.gov.uk/our-work/our-cases/historic-cases/the-guinness-case.aspx</w:t>
        </w:r>
      </w:hyperlink>
      <w:r>
        <w:t xml:space="preserve">; The 1992 takeover by Blue Arrow of the Manpower employment agency involved price rigging of the Blue Arrow Shares; BCCI was involved in an £800m bank fraud in 1991. Refer to: </w:t>
      </w:r>
      <w:hyperlink r:id="rId10" w:history="1">
        <w:r w:rsidRPr="00832BAA">
          <w:rPr>
            <w:rStyle w:val="Hyperlink"/>
          </w:rPr>
          <w:t>http://www.sfo.gov.uk/our-work/our-cases/historic-cases/bank-of-credit-and-commerce-international-(bcci).aspx</w:t>
        </w:r>
      </w:hyperlink>
      <w:r>
        <w:t xml:space="preserve">; Polly Peck collapsed in 1990 and was sued for £378m by its administrators. </w:t>
      </w:r>
      <w:proofErr w:type="spellStart"/>
      <w:r>
        <w:t>Asil</w:t>
      </w:r>
      <w:proofErr w:type="spellEnd"/>
      <w:r>
        <w:t xml:space="preserve"> Nadir, who has recently returned to the United Kingdom, faced charges for theft and false accounting. Refer to: </w:t>
      </w:r>
      <w:hyperlink r:id="rId11" w:history="1">
        <w:r w:rsidRPr="00832BAA">
          <w:rPr>
            <w:rStyle w:val="Hyperlink"/>
          </w:rPr>
          <w:t>http://www.guardian.co.uk/business/2010/aug/26/polly-peck-business-asil-nadir</w:t>
        </w:r>
      </w:hyperlink>
      <w:r>
        <w:t>.</w:t>
      </w:r>
    </w:p>
  </w:footnote>
  <w:footnote w:id="29">
    <w:p w:rsidR="004D4A6C" w:rsidRDefault="004D4A6C">
      <w:pPr>
        <w:pStyle w:val="FootnoteText"/>
      </w:pPr>
      <w:r>
        <w:rPr>
          <w:rStyle w:val="FootnoteReference"/>
        </w:rPr>
        <w:footnoteRef/>
      </w:r>
      <w:r>
        <w:t xml:space="preserve"> </w:t>
      </w:r>
      <w:proofErr w:type="spellStart"/>
      <w:proofErr w:type="gramStart"/>
      <w:r w:rsidRPr="008240E7">
        <w:t>Jewkes</w:t>
      </w:r>
      <w:proofErr w:type="spellEnd"/>
      <w:r w:rsidRPr="008240E7">
        <w:t xml:space="preserve">, Y. </w:t>
      </w:r>
      <w:r w:rsidRPr="008240E7">
        <w:rPr>
          <w:i/>
        </w:rPr>
        <w:t>Media &amp; Crime</w:t>
      </w:r>
      <w:r w:rsidRPr="008240E7">
        <w:t>.</w:t>
      </w:r>
      <w:proofErr w:type="gramEnd"/>
      <w:r w:rsidRPr="008240E7">
        <w:t xml:space="preserve"> (2004) London: Sage Publications.</w:t>
      </w:r>
    </w:p>
  </w:footnote>
  <w:footnote w:id="30">
    <w:p w:rsidR="004D4A6C" w:rsidRDefault="004D4A6C">
      <w:pPr>
        <w:pStyle w:val="FootnoteText"/>
      </w:pPr>
      <w:r>
        <w:rPr>
          <w:rStyle w:val="FootnoteReference"/>
        </w:rPr>
        <w:footnoteRef/>
      </w:r>
      <w:r>
        <w:t xml:space="preserve"> </w:t>
      </w:r>
      <w:r w:rsidRPr="004A4B07">
        <w:t>Framing refers to the cognitive heuristic in which people tend to reach conclusions based on the 'framework' within which a situation is presented with evidence that decisions will by systematically different if information is framed in a positive or negative way.</w:t>
      </w:r>
    </w:p>
  </w:footnote>
  <w:footnote w:id="31">
    <w:p w:rsidR="004D4A6C" w:rsidRDefault="004D4A6C">
      <w:pPr>
        <w:pStyle w:val="FootnoteText"/>
      </w:pPr>
      <w:r>
        <w:rPr>
          <w:rStyle w:val="FootnoteReference"/>
        </w:rPr>
        <w:footnoteRef/>
      </w:r>
      <w:r>
        <w:t xml:space="preserve"> </w:t>
      </w:r>
      <w:r w:rsidRPr="008240E7">
        <w:t xml:space="preserve">Combs P and </w:t>
      </w:r>
      <w:proofErr w:type="spellStart"/>
      <w:r w:rsidRPr="008240E7">
        <w:t>Slovac</w:t>
      </w:r>
      <w:proofErr w:type="spellEnd"/>
      <w:r w:rsidRPr="008240E7">
        <w:t xml:space="preserve">, </w:t>
      </w:r>
      <w:proofErr w:type="gramStart"/>
      <w:r w:rsidRPr="008240E7">
        <w:t>B..</w:t>
      </w:r>
      <w:proofErr w:type="gramEnd"/>
      <w:r w:rsidRPr="008240E7">
        <w:t xml:space="preserve"> 'Newspaper Coverage of Causes of Death', (1979) </w:t>
      </w:r>
      <w:r w:rsidRPr="009825CD">
        <w:rPr>
          <w:i/>
        </w:rPr>
        <w:t>Journalism Quarterly</w:t>
      </w:r>
      <w:r w:rsidRPr="008240E7">
        <w:t>, 56, 837</w:t>
      </w:r>
    </w:p>
  </w:footnote>
  <w:footnote w:id="32">
    <w:p w:rsidR="004D4A6C" w:rsidRDefault="004D4A6C">
      <w:pPr>
        <w:pStyle w:val="FootnoteText"/>
      </w:pPr>
      <w:r>
        <w:rPr>
          <w:rStyle w:val="FootnoteReference"/>
        </w:rPr>
        <w:footnoteRef/>
      </w:r>
      <w:r>
        <w:t xml:space="preserve"> </w:t>
      </w:r>
      <w:r w:rsidRPr="004A4B07">
        <w:t xml:space="preserve">The availability heuristic explains ease of availability of information recall in the brain – negative events that are easy to remember are accorded a greater perceived frequency and thus risk.  This ease of recall can be influenced by heavy media coverage where such items are overstated as risk.  </w:t>
      </w:r>
    </w:p>
  </w:footnote>
  <w:footnote w:id="33">
    <w:p w:rsidR="004D4A6C" w:rsidRDefault="004D4A6C">
      <w:pPr>
        <w:pStyle w:val="FootnoteText"/>
      </w:pPr>
      <w:r>
        <w:rPr>
          <w:rStyle w:val="FootnoteReference"/>
        </w:rPr>
        <w:footnoteRef/>
      </w:r>
      <w:r>
        <w:t xml:space="preserve"> </w:t>
      </w:r>
      <w:r w:rsidRPr="008240E7">
        <w:t xml:space="preserve">Stallings, R. 'Media Discourse and the Social Construction of Risk', (1990) </w:t>
      </w:r>
      <w:r w:rsidRPr="008240E7">
        <w:rPr>
          <w:i/>
        </w:rPr>
        <w:t>Social Problems</w:t>
      </w:r>
      <w:r>
        <w:t xml:space="preserve">, 37, </w:t>
      </w:r>
      <w:r w:rsidRPr="008240E7">
        <w:t>1</w:t>
      </w:r>
      <w:r>
        <w:t>, 80</w:t>
      </w:r>
    </w:p>
  </w:footnote>
  <w:footnote w:id="34">
    <w:p w:rsidR="004D4A6C" w:rsidRDefault="004D4A6C" w:rsidP="00A821B5">
      <w:pPr>
        <w:pStyle w:val="FootnoteText"/>
      </w:pPr>
      <w:r>
        <w:rPr>
          <w:rStyle w:val="FootnoteReference"/>
        </w:rPr>
        <w:footnoteRef/>
      </w:r>
      <w:r>
        <w:t xml:space="preserve"> </w:t>
      </w:r>
      <w:proofErr w:type="spellStart"/>
      <w:r w:rsidRPr="00A821B5">
        <w:rPr>
          <w:i/>
        </w:rPr>
        <w:t>Op.cit</w:t>
      </w:r>
      <w:proofErr w:type="spellEnd"/>
      <w:r>
        <w:t xml:space="preserve"> footnote 23</w:t>
      </w:r>
      <w:r w:rsidRPr="00343E76">
        <w:t xml:space="preserve"> using data extracted from </w:t>
      </w:r>
      <w:hyperlink r:id="rId12" w:history="1">
        <w:r w:rsidRPr="00F85601">
          <w:rPr>
            <w:rStyle w:val="Hyperlink"/>
          </w:rPr>
          <w:t>http://www.fsa.gov.uk/about/press/facts/fines</w:t>
        </w:r>
      </w:hyperlink>
      <w:r w:rsidRPr="00343E76">
        <w:t xml:space="preserve"> accessed 15th July, 2013</w:t>
      </w:r>
    </w:p>
  </w:footnote>
  <w:footnote w:id="35">
    <w:p w:rsidR="004D4A6C" w:rsidRDefault="004D4A6C" w:rsidP="00A821B5">
      <w:pPr>
        <w:pStyle w:val="FootnoteText"/>
      </w:pPr>
      <w:r w:rsidRPr="00825AC3">
        <w:rPr>
          <w:rStyle w:val="FootnoteReference"/>
        </w:rPr>
        <w:footnoteRef/>
      </w:r>
      <w:r w:rsidRPr="00825AC3">
        <w:t xml:space="preserve"> </w:t>
      </w:r>
      <w:r w:rsidRPr="00825AC3">
        <w:rPr>
          <w:i/>
        </w:rPr>
        <w:t xml:space="preserve">Op. </w:t>
      </w:r>
      <w:proofErr w:type="spellStart"/>
      <w:r w:rsidRPr="00825AC3">
        <w:rPr>
          <w:i/>
        </w:rPr>
        <w:t>cit</w:t>
      </w:r>
      <w:proofErr w:type="spellEnd"/>
      <w:r>
        <w:t xml:space="preserve"> footnote 13 at 97</w:t>
      </w:r>
    </w:p>
  </w:footnote>
  <w:footnote w:id="36">
    <w:p w:rsidR="004D4A6C" w:rsidRDefault="004D4A6C" w:rsidP="00B20F64">
      <w:pPr>
        <w:pStyle w:val="FootnoteText"/>
      </w:pPr>
      <w:r>
        <w:rPr>
          <w:rStyle w:val="FootnoteReference"/>
        </w:rPr>
        <w:footnoteRef/>
      </w:r>
      <w:r>
        <w:t xml:space="preserve"> </w:t>
      </w:r>
      <w:proofErr w:type="spellStart"/>
      <w:r w:rsidRPr="00343E76">
        <w:t>Moshella</w:t>
      </w:r>
      <w:proofErr w:type="spellEnd"/>
      <w:r>
        <w:t>,</w:t>
      </w:r>
      <w:r w:rsidRPr="00343E76">
        <w:t xml:space="preserve"> M</w:t>
      </w:r>
      <w:r>
        <w:t>.,</w:t>
      </w:r>
      <w:r w:rsidRPr="00343E76">
        <w:t xml:space="preserve"> and </w:t>
      </w:r>
      <w:proofErr w:type="spellStart"/>
      <w:r w:rsidRPr="00343E76">
        <w:t>Tsingou</w:t>
      </w:r>
      <w:proofErr w:type="spellEnd"/>
      <w:r>
        <w:t>,</w:t>
      </w:r>
      <w:r w:rsidRPr="00343E76">
        <w:t xml:space="preserve"> E</w:t>
      </w:r>
      <w:r>
        <w:t>.,</w:t>
      </w:r>
      <w:r w:rsidRPr="00343E76">
        <w:t xml:space="preserve"> “Regulating finance after the crisis:  Unveiling the different dynamics of the regulatory process” (2013) </w:t>
      </w:r>
      <w:r w:rsidRPr="00343E76">
        <w:rPr>
          <w:i/>
        </w:rPr>
        <w:t>Regulation and Governance</w:t>
      </w:r>
      <w:r w:rsidRPr="00343E76">
        <w:t xml:space="preserve">  7, 407</w:t>
      </w:r>
      <w:r>
        <w:t xml:space="preserve"> at 409</w:t>
      </w:r>
    </w:p>
  </w:footnote>
  <w:footnote w:id="37">
    <w:p w:rsidR="004D4A6C" w:rsidRDefault="004D4A6C" w:rsidP="000B023F">
      <w:pPr>
        <w:pStyle w:val="FootnoteText"/>
      </w:pPr>
      <w:r>
        <w:rPr>
          <w:rStyle w:val="FootnoteReference"/>
        </w:rPr>
        <w:footnoteRef/>
      </w:r>
      <w:r>
        <w:t xml:space="preserve"> Financial Services and Market Act 2012, C21 available at: </w:t>
      </w:r>
      <w:hyperlink r:id="rId13" w:history="1">
        <w:r w:rsidRPr="00F36017">
          <w:rPr>
            <w:rStyle w:val="Hyperlink"/>
          </w:rPr>
          <w:t>http://www.legislation.gov.uk/ukpga/2012/21/pdfs/ukpga_20120021_en.pdf</w:t>
        </w:r>
      </w:hyperlink>
    </w:p>
  </w:footnote>
  <w:footnote w:id="38">
    <w:p w:rsidR="004D4A6C" w:rsidRDefault="004D4A6C">
      <w:pPr>
        <w:pStyle w:val="FootnoteText"/>
      </w:pPr>
      <w:r>
        <w:rPr>
          <w:rStyle w:val="FootnoteReference"/>
        </w:rPr>
        <w:footnoteRef/>
      </w:r>
      <w:r>
        <w:t xml:space="preserve"> Van de </w:t>
      </w:r>
      <w:proofErr w:type="spellStart"/>
      <w:r>
        <w:t>Ven</w:t>
      </w:r>
      <w:proofErr w:type="spellEnd"/>
      <w:r>
        <w:t xml:space="preserve">, B., ”Banking after the crisis: Towards an understanding of banking a s a professional Practice (2011) </w:t>
      </w:r>
      <w:r>
        <w:rPr>
          <w:i/>
        </w:rPr>
        <w:t xml:space="preserve">Ethical </w:t>
      </w:r>
      <w:proofErr w:type="spellStart"/>
      <w:r>
        <w:rPr>
          <w:i/>
        </w:rPr>
        <w:t>Persepctives</w:t>
      </w:r>
      <w:proofErr w:type="spellEnd"/>
      <w:r>
        <w:rPr>
          <w:i/>
        </w:rPr>
        <w:t xml:space="preserve"> </w:t>
      </w:r>
      <w:r>
        <w:t xml:space="preserve"> 18:4, 541 at 542 </w:t>
      </w:r>
    </w:p>
  </w:footnote>
  <w:footnote w:id="39">
    <w:p w:rsidR="004D4A6C" w:rsidRDefault="004D4A6C">
      <w:pPr>
        <w:pStyle w:val="FootnoteText"/>
      </w:pPr>
      <w:r>
        <w:rPr>
          <w:rStyle w:val="FootnoteReference"/>
        </w:rPr>
        <w:footnoteRef/>
      </w:r>
      <w:r>
        <w:t xml:space="preserve"> </w:t>
      </w:r>
      <w:r w:rsidRPr="00BC21AD">
        <w:t>Minsky, H</w:t>
      </w:r>
      <w:r>
        <w:t>., “</w:t>
      </w:r>
      <w:r w:rsidRPr="00BC21AD">
        <w:t>The financial instability hypothesis</w:t>
      </w:r>
      <w:r>
        <w:t>”</w:t>
      </w:r>
      <w:r w:rsidRPr="00BC21AD">
        <w:t xml:space="preserve">. In Stilwell </w:t>
      </w:r>
      <w:proofErr w:type="spellStart"/>
      <w:r w:rsidRPr="00BC21AD">
        <w:t>F.and</w:t>
      </w:r>
      <w:proofErr w:type="spellEnd"/>
      <w:r w:rsidRPr="00BC21AD">
        <w:t xml:space="preserve"> </w:t>
      </w:r>
      <w:proofErr w:type="spellStart"/>
      <w:r w:rsidRPr="00BC21AD">
        <w:t>Argyrous</w:t>
      </w:r>
      <w:proofErr w:type="spellEnd"/>
      <w:r w:rsidRPr="00BC21AD">
        <w:t xml:space="preserve"> G. (eds.), </w:t>
      </w:r>
      <w:r w:rsidRPr="007D7FD5">
        <w:rPr>
          <w:i/>
        </w:rPr>
        <w:t>Economics as a social science: readings in political economy</w:t>
      </w:r>
      <w:r w:rsidRPr="00BC21AD">
        <w:t>,</w:t>
      </w:r>
      <w:r>
        <w:t xml:space="preserve"> (2003)</w:t>
      </w:r>
      <w:r w:rsidRPr="00BC21AD">
        <w:t xml:space="preserve"> North Melbourne: Pluto Press, 201</w:t>
      </w:r>
      <w:r>
        <w:t xml:space="preserve"> at 203</w:t>
      </w:r>
    </w:p>
  </w:footnote>
  <w:footnote w:id="40">
    <w:p w:rsidR="004D4A6C" w:rsidRDefault="004D4A6C">
      <w:pPr>
        <w:pStyle w:val="FootnoteText"/>
      </w:pPr>
      <w:r>
        <w:rPr>
          <w:rStyle w:val="FootnoteReference"/>
        </w:rPr>
        <w:footnoteRef/>
      </w:r>
      <w:r>
        <w:t xml:space="preserve"> </w:t>
      </w:r>
      <w:r w:rsidRPr="00A97102">
        <w:t>Big Bang describes the event on October 27th, 1986 when the London Stock Exchange became an international exchange and transferred trading in equities and government bonds from physical to an electronic display system (SEAQ).</w:t>
      </w:r>
    </w:p>
  </w:footnote>
  <w:footnote w:id="41">
    <w:p w:rsidR="004D4A6C" w:rsidRDefault="004D4A6C">
      <w:pPr>
        <w:pStyle w:val="FootnoteText"/>
      </w:pPr>
      <w:r>
        <w:rPr>
          <w:rStyle w:val="FootnoteReference"/>
        </w:rPr>
        <w:footnoteRef/>
      </w:r>
      <w:r>
        <w:t xml:space="preserve"> </w:t>
      </w:r>
      <w:proofErr w:type="spellStart"/>
      <w:r w:rsidRPr="008D78C4">
        <w:t>Genschel</w:t>
      </w:r>
      <w:proofErr w:type="spellEnd"/>
      <w:r w:rsidRPr="008D78C4">
        <w:t xml:space="preserve">, P. and Plumper, T., ‘Regulatory competition and international co-operation’, (2011) </w:t>
      </w:r>
      <w:r w:rsidRPr="008D78C4">
        <w:rPr>
          <w:i/>
        </w:rPr>
        <w:t>Journal of European Public Policy</w:t>
      </w:r>
      <w:r w:rsidRPr="008D78C4">
        <w:t>, 4</w:t>
      </w:r>
      <w:r>
        <w:t>:</w:t>
      </w:r>
      <w:r w:rsidRPr="008D78C4">
        <w:t>4</w:t>
      </w:r>
      <w:r>
        <w:t>, 626 at 628</w:t>
      </w:r>
    </w:p>
  </w:footnote>
  <w:footnote w:id="42">
    <w:p w:rsidR="004D4A6C" w:rsidRDefault="004D4A6C">
      <w:pPr>
        <w:pStyle w:val="FootnoteText"/>
      </w:pPr>
      <w:r>
        <w:rPr>
          <w:rStyle w:val="FootnoteReference"/>
        </w:rPr>
        <w:footnoteRef/>
      </w:r>
      <w:r>
        <w:t xml:space="preserve"> </w:t>
      </w:r>
      <w:r w:rsidRPr="00BC5F57">
        <w:rPr>
          <w:i/>
        </w:rPr>
        <w:t>Op</w:t>
      </w:r>
      <w:r>
        <w:rPr>
          <w:i/>
        </w:rPr>
        <w:t>.</w:t>
      </w:r>
      <w:r w:rsidRPr="00BC5F57">
        <w:rPr>
          <w:i/>
        </w:rPr>
        <w:t xml:space="preserve"> cit</w:t>
      </w:r>
      <w:r>
        <w:rPr>
          <w:i/>
        </w:rPr>
        <w:t>.</w:t>
      </w:r>
      <w:r>
        <w:t xml:space="preserve"> footnote 15 at 139</w:t>
      </w:r>
    </w:p>
  </w:footnote>
  <w:footnote w:id="43">
    <w:p w:rsidR="004D4A6C" w:rsidRDefault="004D4A6C" w:rsidP="004D4A6C">
      <w:pPr>
        <w:pStyle w:val="FootnoteText"/>
      </w:pPr>
      <w:r>
        <w:rPr>
          <w:rStyle w:val="FootnoteReference"/>
        </w:rPr>
        <w:footnoteRef/>
      </w:r>
      <w:r>
        <w:t xml:space="preserve"> O’Brien, J., </w:t>
      </w:r>
      <w:r w:rsidRPr="00E8399B">
        <w:rPr>
          <w:i/>
        </w:rPr>
        <w:t>“The Future of Financial Regulation: Retrieving the Meaning of Accountability in Capital Markets”</w:t>
      </w:r>
      <w:r>
        <w:t xml:space="preserve">, Institute of International and European Affairs, presentation, </w:t>
      </w:r>
      <w:r w:rsidR="00285CEC">
        <w:t xml:space="preserve">(2009) </w:t>
      </w:r>
      <w:r>
        <w:t>5</w:t>
      </w:r>
      <w:r w:rsidRPr="00E8399B">
        <w:rPr>
          <w:vertAlign w:val="superscript"/>
        </w:rPr>
        <w:t>th</w:t>
      </w:r>
      <w:r>
        <w:t xml:space="preserve"> November available at: </w:t>
      </w:r>
      <w:hyperlink r:id="rId14" w:history="1">
        <w:r w:rsidRPr="00832BAA">
          <w:rPr>
            <w:rStyle w:val="Hyperlink"/>
          </w:rPr>
          <w:t>http://www.iiea.com/event/archive_view?urlKey=the-future-of-financial-regulation-retrieving-the-meaning-of-accountability-in-capital-markets</w:t>
        </w:r>
      </w:hyperlink>
    </w:p>
  </w:footnote>
  <w:footnote w:id="44">
    <w:p w:rsidR="004D4A6C" w:rsidRDefault="004D4A6C">
      <w:pPr>
        <w:pStyle w:val="FootnoteText"/>
      </w:pPr>
      <w:r>
        <w:rPr>
          <w:rStyle w:val="FootnoteReference"/>
        </w:rPr>
        <w:footnoteRef/>
      </w:r>
      <w:r>
        <w:t xml:space="preserve"> </w:t>
      </w:r>
      <w:proofErr w:type="spellStart"/>
      <w:r w:rsidRPr="004D4A6C">
        <w:t>Jolls</w:t>
      </w:r>
      <w:proofErr w:type="spellEnd"/>
      <w:r w:rsidRPr="004D4A6C">
        <w:t xml:space="preserve">, C, </w:t>
      </w:r>
      <w:proofErr w:type="spellStart"/>
      <w:r w:rsidRPr="004D4A6C">
        <w:t>Sun</w:t>
      </w:r>
      <w:r w:rsidR="009E5D49">
        <w:t>stein</w:t>
      </w:r>
      <w:proofErr w:type="spellEnd"/>
      <w:r w:rsidR="009E5D49">
        <w:t xml:space="preserve">, C. and </w:t>
      </w:r>
      <w:proofErr w:type="spellStart"/>
      <w:r w:rsidR="009E5D49">
        <w:t>Thaler</w:t>
      </w:r>
      <w:proofErr w:type="spellEnd"/>
      <w:r w:rsidR="009E5D49">
        <w:t>, R., “</w:t>
      </w:r>
      <w:proofErr w:type="spellStart"/>
      <w:r w:rsidRPr="004D4A6C">
        <w:rPr>
          <w:i/>
        </w:rPr>
        <w:t>Behavioral</w:t>
      </w:r>
      <w:proofErr w:type="spellEnd"/>
      <w:r w:rsidRPr="004D4A6C">
        <w:rPr>
          <w:i/>
        </w:rPr>
        <w:t xml:space="preserve"> Approach to Law and Economics</w:t>
      </w:r>
      <w:r w:rsidR="009E5D49">
        <w:rPr>
          <w:i/>
        </w:rPr>
        <w:t>,</w:t>
      </w:r>
      <w:r w:rsidRPr="004D4A6C">
        <w:t xml:space="preserve"> (1998) Stanford Law Review, July</w:t>
      </w:r>
      <w:r>
        <w:t xml:space="preserve">, at 1518 </w:t>
      </w:r>
      <w:r w:rsidRPr="004D4A6C">
        <w:t xml:space="preserve">Available at SSRN: </w:t>
      </w:r>
      <w:hyperlink r:id="rId15" w:history="1">
        <w:r w:rsidRPr="00F85601">
          <w:rPr>
            <w:rStyle w:val="Hyperlink"/>
          </w:rPr>
          <w:t>http://ssrn.com/abstract=74927</w:t>
        </w:r>
      </w:hyperlink>
      <w:r>
        <w:t xml:space="preserve"> </w:t>
      </w:r>
    </w:p>
  </w:footnote>
  <w:footnote w:id="45">
    <w:p w:rsidR="004D4A6C" w:rsidRDefault="004D4A6C">
      <w:pPr>
        <w:pStyle w:val="FootnoteText"/>
      </w:pPr>
      <w:r>
        <w:rPr>
          <w:rStyle w:val="FootnoteReference"/>
        </w:rPr>
        <w:footnoteRef/>
      </w:r>
      <w:r>
        <w:t xml:space="preserve"> </w:t>
      </w:r>
      <w:r w:rsidRPr="006B3D2F">
        <w:t xml:space="preserve">Deferred Prosecution Agreements: new guidance for prosecutors 14 February 2014 available at: </w:t>
      </w:r>
      <w:hyperlink r:id="rId16" w:history="1">
        <w:r w:rsidRPr="00342EB8">
          <w:rPr>
            <w:rStyle w:val="Hyperlink"/>
          </w:rPr>
          <w:t>http://www.sfo.gov.uk/press-room/latest-press-releases/press-releases-2013/deferred-prosecution-agreements-new-guidance-for-prosecutors.aspx</w:t>
        </w:r>
      </w:hyperlink>
    </w:p>
  </w:footnote>
  <w:footnote w:id="46">
    <w:p w:rsidR="004D4A6C" w:rsidRDefault="004D4A6C">
      <w:pPr>
        <w:pStyle w:val="FootnoteText"/>
      </w:pPr>
      <w:r>
        <w:rPr>
          <w:rStyle w:val="FootnoteReference"/>
        </w:rPr>
        <w:footnoteRef/>
      </w:r>
      <w:r>
        <w:t xml:space="preserve"> </w:t>
      </w:r>
      <w:r w:rsidRPr="00046FA7">
        <w:rPr>
          <w:i/>
        </w:rPr>
        <w:t>Op</w:t>
      </w:r>
      <w:r w:rsidR="00046FA7" w:rsidRPr="00046FA7">
        <w:rPr>
          <w:i/>
        </w:rPr>
        <w:t>.</w:t>
      </w:r>
      <w:r w:rsidRPr="00046FA7">
        <w:rPr>
          <w:i/>
        </w:rPr>
        <w:t xml:space="preserve"> cit</w:t>
      </w:r>
      <w:r w:rsidR="00046FA7">
        <w:t>.</w:t>
      </w:r>
      <w:r>
        <w:t xml:space="preserve"> </w:t>
      </w:r>
      <w:r w:rsidR="00046FA7">
        <w:t>Footnote 9</w:t>
      </w:r>
      <w:r>
        <w:t xml:space="preserve"> at 354</w:t>
      </w:r>
    </w:p>
  </w:footnote>
  <w:footnote w:id="47">
    <w:p w:rsidR="004D4A6C" w:rsidRDefault="004D4A6C">
      <w:pPr>
        <w:pStyle w:val="FootnoteText"/>
      </w:pPr>
      <w:r>
        <w:rPr>
          <w:rStyle w:val="FootnoteReference"/>
        </w:rPr>
        <w:footnoteRef/>
      </w:r>
      <w:r>
        <w:t xml:space="preserve"> </w:t>
      </w:r>
      <w:r w:rsidR="00285CEC" w:rsidRPr="00285CEC">
        <w:rPr>
          <w:i/>
        </w:rPr>
        <w:t>Op. cit</w:t>
      </w:r>
      <w:r w:rsidR="00285CEC">
        <w:rPr>
          <w:i/>
        </w:rPr>
        <w:t>.</w:t>
      </w:r>
      <w:r w:rsidR="00285CEC">
        <w:t xml:space="preserve"> </w:t>
      </w:r>
      <w:r w:rsidR="00285CEC">
        <w:t xml:space="preserve">Footnote </w:t>
      </w:r>
      <w:r w:rsidR="00285CEC">
        <w:t>2</w:t>
      </w:r>
      <w:r w:rsidR="009E5D49">
        <w:t>3</w:t>
      </w:r>
      <w:bookmarkStart w:id="0" w:name="_GoBack"/>
      <w:bookmarkEnd w:id="0"/>
    </w:p>
  </w:footnote>
  <w:footnote w:id="48">
    <w:p w:rsidR="004D4A6C" w:rsidRDefault="004D4A6C">
      <w:pPr>
        <w:pStyle w:val="FootnoteText"/>
      </w:pPr>
      <w:r>
        <w:rPr>
          <w:rStyle w:val="FootnoteReference"/>
        </w:rPr>
        <w:footnoteRef/>
      </w:r>
      <w:r>
        <w:t xml:space="preserve"> </w:t>
      </w:r>
      <w:proofErr w:type="gramStart"/>
      <w:r>
        <w:t>Testimony by f</w:t>
      </w:r>
      <w:r w:rsidRPr="00D2264E">
        <w:t>ormer Fed</w:t>
      </w:r>
      <w:r>
        <w:t>eral Reserve</w:t>
      </w:r>
      <w:r w:rsidRPr="00D2264E">
        <w:t xml:space="preserve"> Chairman Alan Greenspan </w:t>
      </w:r>
      <w:r>
        <w:t xml:space="preserve">in front of the US </w:t>
      </w:r>
      <w:r w:rsidRPr="00D2264E">
        <w:t>House Oversight Committee</w:t>
      </w:r>
      <w: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F0"/>
    <w:rsid w:val="000242A7"/>
    <w:rsid w:val="00046FA7"/>
    <w:rsid w:val="000507C6"/>
    <w:rsid w:val="00076234"/>
    <w:rsid w:val="000A2005"/>
    <w:rsid w:val="000B023F"/>
    <w:rsid w:val="000B3398"/>
    <w:rsid w:val="000C573E"/>
    <w:rsid w:val="000D5DAE"/>
    <w:rsid w:val="000E307E"/>
    <w:rsid w:val="000E31D3"/>
    <w:rsid w:val="000E77A1"/>
    <w:rsid w:val="000F340F"/>
    <w:rsid w:val="00114B07"/>
    <w:rsid w:val="00124F8C"/>
    <w:rsid w:val="00144B01"/>
    <w:rsid w:val="001538D4"/>
    <w:rsid w:val="0015702F"/>
    <w:rsid w:val="00166381"/>
    <w:rsid w:val="001C38B4"/>
    <w:rsid w:val="002039D5"/>
    <w:rsid w:val="00216368"/>
    <w:rsid w:val="002167FC"/>
    <w:rsid w:val="002633E6"/>
    <w:rsid w:val="00275017"/>
    <w:rsid w:val="00275534"/>
    <w:rsid w:val="002756A4"/>
    <w:rsid w:val="0028150B"/>
    <w:rsid w:val="00285CEC"/>
    <w:rsid w:val="002A10EB"/>
    <w:rsid w:val="002A44CB"/>
    <w:rsid w:val="002B7975"/>
    <w:rsid w:val="002C35E8"/>
    <w:rsid w:val="002F0C20"/>
    <w:rsid w:val="003000DB"/>
    <w:rsid w:val="003145BF"/>
    <w:rsid w:val="00343E76"/>
    <w:rsid w:val="003524F0"/>
    <w:rsid w:val="00371893"/>
    <w:rsid w:val="003764A2"/>
    <w:rsid w:val="003B1996"/>
    <w:rsid w:val="003B1F38"/>
    <w:rsid w:val="003C6D2B"/>
    <w:rsid w:val="003E009D"/>
    <w:rsid w:val="003E29D7"/>
    <w:rsid w:val="003F0E3A"/>
    <w:rsid w:val="00422A4F"/>
    <w:rsid w:val="00436089"/>
    <w:rsid w:val="00453966"/>
    <w:rsid w:val="0046035A"/>
    <w:rsid w:val="00471DD9"/>
    <w:rsid w:val="004754CB"/>
    <w:rsid w:val="004A4B07"/>
    <w:rsid w:val="004B2D53"/>
    <w:rsid w:val="004C4299"/>
    <w:rsid w:val="004D4A6C"/>
    <w:rsid w:val="004E1513"/>
    <w:rsid w:val="005067F3"/>
    <w:rsid w:val="00516B8F"/>
    <w:rsid w:val="00530140"/>
    <w:rsid w:val="00530BDA"/>
    <w:rsid w:val="00536F12"/>
    <w:rsid w:val="00581924"/>
    <w:rsid w:val="00583EF0"/>
    <w:rsid w:val="005853FE"/>
    <w:rsid w:val="00586607"/>
    <w:rsid w:val="00587B14"/>
    <w:rsid w:val="005C493D"/>
    <w:rsid w:val="005C72F0"/>
    <w:rsid w:val="005C79D5"/>
    <w:rsid w:val="005D1F2A"/>
    <w:rsid w:val="005E09FD"/>
    <w:rsid w:val="005F307F"/>
    <w:rsid w:val="00604FE9"/>
    <w:rsid w:val="0060674C"/>
    <w:rsid w:val="00616882"/>
    <w:rsid w:val="00616F73"/>
    <w:rsid w:val="0062177C"/>
    <w:rsid w:val="00622608"/>
    <w:rsid w:val="0065342E"/>
    <w:rsid w:val="0067592D"/>
    <w:rsid w:val="00681926"/>
    <w:rsid w:val="00682831"/>
    <w:rsid w:val="006838F6"/>
    <w:rsid w:val="006A6D61"/>
    <w:rsid w:val="006B3D2F"/>
    <w:rsid w:val="006B60F2"/>
    <w:rsid w:val="006D4C15"/>
    <w:rsid w:val="006F0223"/>
    <w:rsid w:val="00711109"/>
    <w:rsid w:val="00721F98"/>
    <w:rsid w:val="00746626"/>
    <w:rsid w:val="007759CD"/>
    <w:rsid w:val="00776D25"/>
    <w:rsid w:val="0078409D"/>
    <w:rsid w:val="00784BC2"/>
    <w:rsid w:val="007B3A17"/>
    <w:rsid w:val="007B5204"/>
    <w:rsid w:val="007D16E5"/>
    <w:rsid w:val="007D7FD5"/>
    <w:rsid w:val="007F3697"/>
    <w:rsid w:val="008240E7"/>
    <w:rsid w:val="00825AC3"/>
    <w:rsid w:val="00855AEB"/>
    <w:rsid w:val="008661C1"/>
    <w:rsid w:val="00884055"/>
    <w:rsid w:val="008A67E0"/>
    <w:rsid w:val="008B39BC"/>
    <w:rsid w:val="008C61C4"/>
    <w:rsid w:val="008D78C4"/>
    <w:rsid w:val="009071D8"/>
    <w:rsid w:val="00907D30"/>
    <w:rsid w:val="009178BE"/>
    <w:rsid w:val="00930F2E"/>
    <w:rsid w:val="009363CC"/>
    <w:rsid w:val="00942BC5"/>
    <w:rsid w:val="00950AE7"/>
    <w:rsid w:val="00957EBA"/>
    <w:rsid w:val="009625E2"/>
    <w:rsid w:val="0096294C"/>
    <w:rsid w:val="009644E2"/>
    <w:rsid w:val="00972AFF"/>
    <w:rsid w:val="009825CD"/>
    <w:rsid w:val="009D7B2F"/>
    <w:rsid w:val="009E5D49"/>
    <w:rsid w:val="00A031F0"/>
    <w:rsid w:val="00A53F39"/>
    <w:rsid w:val="00A604E6"/>
    <w:rsid w:val="00A649C4"/>
    <w:rsid w:val="00A73B87"/>
    <w:rsid w:val="00A821B5"/>
    <w:rsid w:val="00A97102"/>
    <w:rsid w:val="00AA09E8"/>
    <w:rsid w:val="00AD0E94"/>
    <w:rsid w:val="00AD1B59"/>
    <w:rsid w:val="00B142DF"/>
    <w:rsid w:val="00B20F64"/>
    <w:rsid w:val="00B333B2"/>
    <w:rsid w:val="00B34B74"/>
    <w:rsid w:val="00B37A41"/>
    <w:rsid w:val="00B40C5B"/>
    <w:rsid w:val="00B40E14"/>
    <w:rsid w:val="00B46A49"/>
    <w:rsid w:val="00B55A53"/>
    <w:rsid w:val="00B61BEB"/>
    <w:rsid w:val="00B64F5C"/>
    <w:rsid w:val="00B64F5D"/>
    <w:rsid w:val="00B7671F"/>
    <w:rsid w:val="00B8396A"/>
    <w:rsid w:val="00B90973"/>
    <w:rsid w:val="00BB5B53"/>
    <w:rsid w:val="00BC21AD"/>
    <w:rsid w:val="00BC5F57"/>
    <w:rsid w:val="00BC784D"/>
    <w:rsid w:val="00BF15C1"/>
    <w:rsid w:val="00C170B5"/>
    <w:rsid w:val="00C25825"/>
    <w:rsid w:val="00C314A4"/>
    <w:rsid w:val="00C373FA"/>
    <w:rsid w:val="00C5294C"/>
    <w:rsid w:val="00C5421F"/>
    <w:rsid w:val="00C65FC6"/>
    <w:rsid w:val="00C73B14"/>
    <w:rsid w:val="00C77FE6"/>
    <w:rsid w:val="00C80C1F"/>
    <w:rsid w:val="00C87174"/>
    <w:rsid w:val="00C95077"/>
    <w:rsid w:val="00C95607"/>
    <w:rsid w:val="00CC1C91"/>
    <w:rsid w:val="00CD1300"/>
    <w:rsid w:val="00CE3973"/>
    <w:rsid w:val="00CF1AE8"/>
    <w:rsid w:val="00D14B45"/>
    <w:rsid w:val="00D163C8"/>
    <w:rsid w:val="00D203CA"/>
    <w:rsid w:val="00D2264E"/>
    <w:rsid w:val="00D261F0"/>
    <w:rsid w:val="00D416E3"/>
    <w:rsid w:val="00D4332C"/>
    <w:rsid w:val="00D50099"/>
    <w:rsid w:val="00D5682F"/>
    <w:rsid w:val="00D66DF9"/>
    <w:rsid w:val="00D76EB3"/>
    <w:rsid w:val="00D81821"/>
    <w:rsid w:val="00D93715"/>
    <w:rsid w:val="00D93F66"/>
    <w:rsid w:val="00D952E2"/>
    <w:rsid w:val="00DA7B18"/>
    <w:rsid w:val="00DB605F"/>
    <w:rsid w:val="00DC2E28"/>
    <w:rsid w:val="00DF5720"/>
    <w:rsid w:val="00DF7984"/>
    <w:rsid w:val="00DF7A1D"/>
    <w:rsid w:val="00E05C9F"/>
    <w:rsid w:val="00E1407B"/>
    <w:rsid w:val="00E224F1"/>
    <w:rsid w:val="00E26A4D"/>
    <w:rsid w:val="00E37732"/>
    <w:rsid w:val="00E46525"/>
    <w:rsid w:val="00E501AC"/>
    <w:rsid w:val="00E51484"/>
    <w:rsid w:val="00E52E56"/>
    <w:rsid w:val="00E64EB7"/>
    <w:rsid w:val="00E6647A"/>
    <w:rsid w:val="00E8399B"/>
    <w:rsid w:val="00E87D53"/>
    <w:rsid w:val="00E948BE"/>
    <w:rsid w:val="00E95129"/>
    <w:rsid w:val="00EB4B12"/>
    <w:rsid w:val="00EB5E77"/>
    <w:rsid w:val="00EC1395"/>
    <w:rsid w:val="00EC3940"/>
    <w:rsid w:val="00EC76D9"/>
    <w:rsid w:val="00ED2DDD"/>
    <w:rsid w:val="00ED65E4"/>
    <w:rsid w:val="00EF133C"/>
    <w:rsid w:val="00EF2092"/>
    <w:rsid w:val="00EF3232"/>
    <w:rsid w:val="00F0109C"/>
    <w:rsid w:val="00F01100"/>
    <w:rsid w:val="00F043D3"/>
    <w:rsid w:val="00F27906"/>
    <w:rsid w:val="00F327D7"/>
    <w:rsid w:val="00F3711F"/>
    <w:rsid w:val="00F90BF8"/>
    <w:rsid w:val="00FC2B65"/>
    <w:rsid w:val="00FF4FFF"/>
    <w:rsid w:val="00FF6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1F0"/>
  </w:style>
  <w:style w:type="paragraph" w:styleId="Footer">
    <w:name w:val="footer"/>
    <w:basedOn w:val="Normal"/>
    <w:link w:val="FooterChar"/>
    <w:uiPriority w:val="99"/>
    <w:unhideWhenUsed/>
    <w:rsid w:val="00A03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1F0"/>
  </w:style>
  <w:style w:type="paragraph" w:styleId="FootnoteText">
    <w:name w:val="footnote text"/>
    <w:aliases w:val="Znak Znak Znak,Sprotna opomba - besedilo1"/>
    <w:basedOn w:val="Normal"/>
    <w:link w:val="FootnoteTextChar"/>
    <w:uiPriority w:val="99"/>
    <w:unhideWhenUsed/>
    <w:rsid w:val="00581924"/>
    <w:pPr>
      <w:spacing w:after="0" w:line="240" w:lineRule="auto"/>
    </w:pPr>
    <w:rPr>
      <w:sz w:val="20"/>
      <w:szCs w:val="20"/>
    </w:rPr>
  </w:style>
  <w:style w:type="character" w:customStyle="1" w:styleId="FootnoteTextChar">
    <w:name w:val="Footnote Text Char"/>
    <w:aliases w:val="Znak Znak Znak Char,Sprotna opomba - besedilo1 Char"/>
    <w:basedOn w:val="DefaultParagraphFont"/>
    <w:link w:val="FootnoteText"/>
    <w:uiPriority w:val="99"/>
    <w:rsid w:val="00581924"/>
    <w:rPr>
      <w:sz w:val="20"/>
      <w:szCs w:val="20"/>
    </w:rPr>
  </w:style>
  <w:style w:type="character" w:styleId="FootnoteReference">
    <w:name w:val="footnote reference"/>
    <w:basedOn w:val="DefaultParagraphFont"/>
    <w:uiPriority w:val="99"/>
    <w:semiHidden/>
    <w:unhideWhenUsed/>
    <w:rsid w:val="00581924"/>
    <w:rPr>
      <w:vertAlign w:val="superscript"/>
    </w:rPr>
  </w:style>
  <w:style w:type="character" w:styleId="Hyperlink">
    <w:name w:val="Hyperlink"/>
    <w:basedOn w:val="DefaultParagraphFont"/>
    <w:uiPriority w:val="99"/>
    <w:unhideWhenUsed/>
    <w:rsid w:val="00530BDA"/>
    <w:rPr>
      <w:color w:val="0000FF" w:themeColor="hyperlink"/>
      <w:u w:val="single"/>
    </w:rPr>
  </w:style>
  <w:style w:type="paragraph" w:styleId="BalloonText">
    <w:name w:val="Balloon Text"/>
    <w:basedOn w:val="Normal"/>
    <w:link w:val="BalloonTextChar"/>
    <w:uiPriority w:val="99"/>
    <w:semiHidden/>
    <w:unhideWhenUsed/>
    <w:rsid w:val="0011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07"/>
    <w:rPr>
      <w:rFonts w:ascii="Tahoma" w:hAnsi="Tahoma" w:cs="Tahoma"/>
      <w:sz w:val="16"/>
      <w:szCs w:val="16"/>
    </w:rPr>
  </w:style>
  <w:style w:type="character" w:styleId="FollowedHyperlink">
    <w:name w:val="FollowedHyperlink"/>
    <w:basedOn w:val="DefaultParagraphFont"/>
    <w:uiPriority w:val="99"/>
    <w:semiHidden/>
    <w:unhideWhenUsed/>
    <w:rsid w:val="00371893"/>
    <w:rPr>
      <w:color w:val="800080" w:themeColor="followedHyperlink"/>
      <w:u w:val="single"/>
    </w:rPr>
  </w:style>
  <w:style w:type="table" w:styleId="LightShading">
    <w:name w:val="Light Shading"/>
    <w:basedOn w:val="TableNormal"/>
    <w:uiPriority w:val="60"/>
    <w:rsid w:val="008840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840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1F0"/>
  </w:style>
  <w:style w:type="paragraph" w:styleId="Footer">
    <w:name w:val="footer"/>
    <w:basedOn w:val="Normal"/>
    <w:link w:val="FooterChar"/>
    <w:uiPriority w:val="99"/>
    <w:unhideWhenUsed/>
    <w:rsid w:val="00A03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1F0"/>
  </w:style>
  <w:style w:type="paragraph" w:styleId="FootnoteText">
    <w:name w:val="footnote text"/>
    <w:aliases w:val="Znak Znak Znak,Sprotna opomba - besedilo1"/>
    <w:basedOn w:val="Normal"/>
    <w:link w:val="FootnoteTextChar"/>
    <w:uiPriority w:val="99"/>
    <w:unhideWhenUsed/>
    <w:rsid w:val="00581924"/>
    <w:pPr>
      <w:spacing w:after="0" w:line="240" w:lineRule="auto"/>
    </w:pPr>
    <w:rPr>
      <w:sz w:val="20"/>
      <w:szCs w:val="20"/>
    </w:rPr>
  </w:style>
  <w:style w:type="character" w:customStyle="1" w:styleId="FootnoteTextChar">
    <w:name w:val="Footnote Text Char"/>
    <w:aliases w:val="Znak Znak Znak Char,Sprotna opomba - besedilo1 Char"/>
    <w:basedOn w:val="DefaultParagraphFont"/>
    <w:link w:val="FootnoteText"/>
    <w:uiPriority w:val="99"/>
    <w:rsid w:val="00581924"/>
    <w:rPr>
      <w:sz w:val="20"/>
      <w:szCs w:val="20"/>
    </w:rPr>
  </w:style>
  <w:style w:type="character" w:styleId="FootnoteReference">
    <w:name w:val="footnote reference"/>
    <w:basedOn w:val="DefaultParagraphFont"/>
    <w:uiPriority w:val="99"/>
    <w:semiHidden/>
    <w:unhideWhenUsed/>
    <w:rsid w:val="00581924"/>
    <w:rPr>
      <w:vertAlign w:val="superscript"/>
    </w:rPr>
  </w:style>
  <w:style w:type="character" w:styleId="Hyperlink">
    <w:name w:val="Hyperlink"/>
    <w:basedOn w:val="DefaultParagraphFont"/>
    <w:uiPriority w:val="99"/>
    <w:unhideWhenUsed/>
    <w:rsid w:val="00530BDA"/>
    <w:rPr>
      <w:color w:val="0000FF" w:themeColor="hyperlink"/>
      <w:u w:val="single"/>
    </w:rPr>
  </w:style>
  <w:style w:type="paragraph" w:styleId="BalloonText">
    <w:name w:val="Balloon Text"/>
    <w:basedOn w:val="Normal"/>
    <w:link w:val="BalloonTextChar"/>
    <w:uiPriority w:val="99"/>
    <w:semiHidden/>
    <w:unhideWhenUsed/>
    <w:rsid w:val="0011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07"/>
    <w:rPr>
      <w:rFonts w:ascii="Tahoma" w:hAnsi="Tahoma" w:cs="Tahoma"/>
      <w:sz w:val="16"/>
      <w:szCs w:val="16"/>
    </w:rPr>
  </w:style>
  <w:style w:type="character" w:styleId="FollowedHyperlink">
    <w:name w:val="FollowedHyperlink"/>
    <w:basedOn w:val="DefaultParagraphFont"/>
    <w:uiPriority w:val="99"/>
    <w:semiHidden/>
    <w:unhideWhenUsed/>
    <w:rsid w:val="00371893"/>
    <w:rPr>
      <w:color w:val="800080" w:themeColor="followedHyperlink"/>
      <w:u w:val="single"/>
    </w:rPr>
  </w:style>
  <w:style w:type="table" w:styleId="LightShading">
    <w:name w:val="Light Shading"/>
    <w:basedOn w:val="TableNormal"/>
    <w:uiPriority w:val="60"/>
    <w:rsid w:val="008840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840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4688">
      <w:bodyDiv w:val="1"/>
      <w:marLeft w:val="0"/>
      <w:marRight w:val="0"/>
      <w:marTop w:val="0"/>
      <w:marBottom w:val="0"/>
      <w:divBdr>
        <w:top w:val="none" w:sz="0" w:space="0" w:color="auto"/>
        <w:left w:val="none" w:sz="0" w:space="0" w:color="auto"/>
        <w:bottom w:val="none" w:sz="0" w:space="0" w:color="auto"/>
        <w:right w:val="none" w:sz="0" w:space="0" w:color="auto"/>
      </w:divBdr>
    </w:div>
    <w:div w:id="17520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fo.gov.uk/our-work/our-cases/historic-cases/barlow-clowes.aspx" TargetMode="External"/><Relationship Id="rId13" Type="http://schemas.openxmlformats.org/officeDocument/2006/relationships/hyperlink" Target="http://www.legislation.gov.uk/ukpga/2012/21/pdfs/ukpga_20120021_en.pdf" TargetMode="External"/><Relationship Id="rId3" Type="http://schemas.openxmlformats.org/officeDocument/2006/relationships/hyperlink" Target="http://www.fsa.gov.uk/library/communication/pr/2012/070.shtml" TargetMode="External"/><Relationship Id="rId7" Type="http://schemas.openxmlformats.org/officeDocument/2006/relationships/hyperlink" Target="http://www.legislation.gov.uk/ukpga/2000/8/pdfs/ukpga_20000008_en.pdf" TargetMode="External"/><Relationship Id="rId12" Type="http://schemas.openxmlformats.org/officeDocument/2006/relationships/hyperlink" Target="http://www.fsa.gov.uk/about/press/facts/fines" TargetMode="External"/><Relationship Id="rId2" Type="http://schemas.openxmlformats.org/officeDocument/2006/relationships/hyperlink" Target="http://www.fsa.gov.uk/library/communication/pr/2012/116.shtml" TargetMode="External"/><Relationship Id="rId16" Type="http://schemas.openxmlformats.org/officeDocument/2006/relationships/hyperlink" Target="http://www.sfo.gov.uk/press-room/latest-press-releases/press-releases-2013/deferred-prosecution-agreements-new-guidance-for-prosecutors.aspx" TargetMode="External"/><Relationship Id="rId1" Type="http://schemas.openxmlformats.org/officeDocument/2006/relationships/hyperlink" Target="http://www.federalreserve.gov/Boarddocs/Speeches/2004/20040220/" TargetMode="External"/><Relationship Id="rId6" Type="http://schemas.openxmlformats.org/officeDocument/2006/relationships/hyperlink" Target="http://www.legislation.gov.uk/ukpga/1986/60/pdfs/ukpga_19860060_en.pdf" TargetMode="External"/><Relationship Id="rId11" Type="http://schemas.openxmlformats.org/officeDocument/2006/relationships/hyperlink" Target="http://www.guardian.co.uk/business/2010/aug/26/polly-peck-business-asil-nadir" TargetMode="External"/><Relationship Id="rId5" Type="http://schemas.openxmlformats.org/officeDocument/2006/relationships/hyperlink" Target="http://www.bbc.co.uk/news/business-26526905" TargetMode="External"/><Relationship Id="rId15" Type="http://schemas.openxmlformats.org/officeDocument/2006/relationships/hyperlink" Target="http://ssrn.com/abstract=74927" TargetMode="External"/><Relationship Id="rId10" Type="http://schemas.openxmlformats.org/officeDocument/2006/relationships/hyperlink" Target="http://www.sfo.gov.uk/our-work/our-cases/historic-cases/bank-of-credit-and-commerce-international-(bcci).aspx" TargetMode="External"/><Relationship Id="rId4" Type="http://schemas.openxmlformats.org/officeDocument/2006/relationships/hyperlink" Target="http://www.fsa.gov.uk/library/communication/pr/2013/011.shtml" TargetMode="External"/><Relationship Id="rId9" Type="http://schemas.openxmlformats.org/officeDocument/2006/relationships/hyperlink" Target="http://www.sfo.gov.uk/our-work/our-cases/historic-cases/the-guinness-case.aspx" TargetMode="External"/><Relationship Id="rId14" Type="http://schemas.openxmlformats.org/officeDocument/2006/relationships/hyperlink" Target="http://www.iiea.com/event/archive_view?urlKey=the-future-of-financial-regulation-retrieving-the-meaning-of-accountability-in-capital-mar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7F8A-70E6-4147-A59D-524A1961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13</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Harvey</dc:creator>
  <cp:lastModifiedBy>mnjh1</cp:lastModifiedBy>
  <cp:revision>146</cp:revision>
  <cp:lastPrinted>2014-07-24T12:56:00Z</cp:lastPrinted>
  <dcterms:created xsi:type="dcterms:W3CDTF">2014-07-02T13:14:00Z</dcterms:created>
  <dcterms:modified xsi:type="dcterms:W3CDTF">2014-09-08T10:57:00Z</dcterms:modified>
</cp:coreProperties>
</file>