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9228B" w:rsidRDefault="00873333" w:rsidP="0039228B">
      <w:pPr>
        <w:spacing w:line="360" w:lineRule="auto"/>
        <w:jc w:val="both"/>
        <w:rPr>
          <w:b/>
          <w:sz w:val="24"/>
          <w:szCs w:val="24"/>
        </w:rPr>
      </w:pPr>
      <w:r w:rsidRPr="0039228B">
        <w:rPr>
          <w:b/>
          <w:sz w:val="24"/>
          <w:szCs w:val="24"/>
        </w:rPr>
        <w:t>Is piercing</w:t>
      </w:r>
      <w:r w:rsidR="004C417A" w:rsidRPr="0039228B">
        <w:rPr>
          <w:b/>
          <w:sz w:val="24"/>
          <w:szCs w:val="24"/>
        </w:rPr>
        <w:t xml:space="preserve"> the veil</w:t>
      </w:r>
      <w:r w:rsidR="00016437" w:rsidRPr="0039228B">
        <w:rPr>
          <w:b/>
          <w:sz w:val="24"/>
          <w:szCs w:val="24"/>
        </w:rPr>
        <w:t xml:space="preserve"> contrary to </w:t>
      </w:r>
      <w:r w:rsidR="000D3E2E" w:rsidRPr="0039228B">
        <w:rPr>
          <w:b/>
          <w:sz w:val="24"/>
          <w:szCs w:val="24"/>
        </w:rPr>
        <w:t>h</w:t>
      </w:r>
      <w:r w:rsidR="00016437" w:rsidRPr="0039228B">
        <w:rPr>
          <w:b/>
          <w:sz w:val="24"/>
          <w:szCs w:val="24"/>
        </w:rPr>
        <w:t>igh authority?</w:t>
      </w:r>
      <w:r w:rsidR="007E5EBE">
        <w:rPr>
          <w:b/>
          <w:sz w:val="24"/>
          <w:szCs w:val="24"/>
        </w:rPr>
        <w:t xml:space="preserve"> A</w:t>
      </w:r>
      <w:r w:rsidRPr="0039228B">
        <w:rPr>
          <w:b/>
          <w:sz w:val="24"/>
          <w:szCs w:val="24"/>
        </w:rPr>
        <w:t xml:space="preserve"> </w:t>
      </w:r>
      <w:r w:rsidR="00045D59" w:rsidRPr="0039228B">
        <w:rPr>
          <w:b/>
          <w:sz w:val="24"/>
          <w:szCs w:val="24"/>
        </w:rPr>
        <w:t xml:space="preserve">footnote to </w:t>
      </w:r>
      <w:r w:rsidRPr="0039228B">
        <w:rPr>
          <w:b/>
          <w:sz w:val="24"/>
          <w:szCs w:val="24"/>
        </w:rPr>
        <w:t>the ‘never-ending story’</w:t>
      </w:r>
    </w:p>
    <w:p w:rsidR="00133BB3" w:rsidRPr="00AF23B1" w:rsidRDefault="00133BB3" w:rsidP="0039228B">
      <w:pPr>
        <w:spacing w:line="360" w:lineRule="auto"/>
        <w:jc w:val="both"/>
        <w:rPr>
          <w:sz w:val="24"/>
          <w:szCs w:val="24"/>
        </w:rPr>
      </w:pPr>
      <w:r w:rsidRPr="00AF23B1">
        <w:rPr>
          <w:sz w:val="24"/>
          <w:szCs w:val="24"/>
        </w:rPr>
        <w:t>Corporate personality;</w:t>
      </w:r>
      <w:r w:rsidR="00177D89">
        <w:rPr>
          <w:sz w:val="24"/>
          <w:szCs w:val="24"/>
        </w:rPr>
        <w:t xml:space="preserve"> P</w:t>
      </w:r>
      <w:r w:rsidRPr="00AF23B1">
        <w:rPr>
          <w:sz w:val="24"/>
          <w:szCs w:val="24"/>
        </w:rPr>
        <w:t>ower of the court to pierce the veil</w:t>
      </w:r>
      <w:r w:rsidR="002303AA" w:rsidRPr="00AF23B1">
        <w:rPr>
          <w:sz w:val="24"/>
          <w:szCs w:val="24"/>
        </w:rPr>
        <w:t xml:space="preserve">; </w:t>
      </w:r>
      <w:r w:rsidR="00177D89">
        <w:rPr>
          <w:sz w:val="24"/>
          <w:szCs w:val="24"/>
        </w:rPr>
        <w:t>R</w:t>
      </w:r>
      <w:r w:rsidR="002303AA" w:rsidRPr="00AF23B1">
        <w:rPr>
          <w:sz w:val="24"/>
          <w:szCs w:val="24"/>
        </w:rPr>
        <w:t>atio decidendi</w:t>
      </w:r>
      <w:r w:rsidR="0019118F">
        <w:rPr>
          <w:sz w:val="24"/>
          <w:szCs w:val="24"/>
        </w:rPr>
        <w:t xml:space="preserve">; </w:t>
      </w:r>
      <w:r w:rsidR="00177D89">
        <w:rPr>
          <w:sz w:val="24"/>
          <w:szCs w:val="24"/>
        </w:rPr>
        <w:t>J</w:t>
      </w:r>
      <w:r w:rsidR="0019118F">
        <w:rPr>
          <w:sz w:val="24"/>
          <w:szCs w:val="24"/>
        </w:rPr>
        <w:t>udicial law-making</w:t>
      </w:r>
      <w:r w:rsidR="00177D89">
        <w:rPr>
          <w:sz w:val="24"/>
          <w:szCs w:val="24"/>
        </w:rPr>
        <w:t>; Corporate responsibility</w:t>
      </w:r>
    </w:p>
    <w:p w:rsidR="00CF369C" w:rsidRPr="00AF23B1" w:rsidRDefault="00CF369C" w:rsidP="0039228B">
      <w:pPr>
        <w:spacing w:line="360" w:lineRule="auto"/>
        <w:jc w:val="both"/>
        <w:rPr>
          <w:sz w:val="24"/>
          <w:szCs w:val="24"/>
        </w:rPr>
      </w:pPr>
      <w:r w:rsidRPr="00AF23B1">
        <w:rPr>
          <w:sz w:val="24"/>
          <w:szCs w:val="24"/>
        </w:rPr>
        <w:t>A</w:t>
      </w:r>
      <w:r w:rsidR="004C093F" w:rsidRPr="00AF23B1">
        <w:rPr>
          <w:sz w:val="24"/>
          <w:szCs w:val="24"/>
        </w:rPr>
        <w:t xml:space="preserve"> 2006 editorial</w:t>
      </w:r>
      <w:r w:rsidRPr="00AF23B1">
        <w:rPr>
          <w:sz w:val="24"/>
          <w:szCs w:val="24"/>
        </w:rPr>
        <w:t xml:space="preserve"> in </w:t>
      </w:r>
      <w:r w:rsidR="004C093F" w:rsidRPr="00AF23B1">
        <w:rPr>
          <w:sz w:val="24"/>
          <w:szCs w:val="24"/>
        </w:rPr>
        <w:t>C</w:t>
      </w:r>
      <w:r w:rsidRPr="00AF23B1">
        <w:rPr>
          <w:sz w:val="24"/>
          <w:szCs w:val="24"/>
        </w:rPr>
        <w:t xml:space="preserve">ompany </w:t>
      </w:r>
      <w:r w:rsidR="004C093F" w:rsidRPr="00AF23B1">
        <w:rPr>
          <w:sz w:val="24"/>
          <w:szCs w:val="24"/>
        </w:rPr>
        <w:t>L</w:t>
      </w:r>
      <w:r w:rsidRPr="00AF23B1">
        <w:rPr>
          <w:sz w:val="24"/>
          <w:szCs w:val="24"/>
        </w:rPr>
        <w:t xml:space="preserve">awyer suggested that </w:t>
      </w:r>
      <w:r w:rsidR="002A0092" w:rsidRPr="00AF23B1">
        <w:rPr>
          <w:sz w:val="24"/>
          <w:szCs w:val="24"/>
        </w:rPr>
        <w:t>“</w:t>
      </w:r>
      <w:r w:rsidR="002A0092">
        <w:rPr>
          <w:sz w:val="24"/>
          <w:szCs w:val="24"/>
        </w:rPr>
        <w:t>[</w:t>
      </w:r>
      <w:r w:rsidR="000D16B3">
        <w:rPr>
          <w:sz w:val="24"/>
          <w:szCs w:val="24"/>
        </w:rPr>
        <w:t>a]</w:t>
      </w:r>
      <w:r w:rsidR="007E5EBE">
        <w:rPr>
          <w:sz w:val="24"/>
          <w:szCs w:val="24"/>
        </w:rPr>
        <w:t xml:space="preserve"> </w:t>
      </w:r>
      <w:r w:rsidRPr="00AF23B1">
        <w:rPr>
          <w:sz w:val="24"/>
          <w:szCs w:val="24"/>
        </w:rPr>
        <w:t xml:space="preserve">court faced with a proposal to pierce the corporate </w:t>
      </w:r>
      <w:r w:rsidRPr="00AF23B1">
        <w:rPr>
          <w:bCs/>
          <w:sz w:val="24"/>
          <w:szCs w:val="24"/>
        </w:rPr>
        <w:t>veil</w:t>
      </w:r>
      <w:r w:rsidRPr="00AF23B1">
        <w:rPr>
          <w:sz w:val="24"/>
          <w:szCs w:val="24"/>
        </w:rPr>
        <w:t xml:space="preserve"> walks a tightrope</w:t>
      </w:r>
      <w:r w:rsidR="006F12D9">
        <w:rPr>
          <w:sz w:val="24"/>
          <w:szCs w:val="24"/>
        </w:rPr>
        <w:t>.</w:t>
      </w:r>
      <w:r w:rsidRPr="00AF23B1">
        <w:rPr>
          <w:sz w:val="24"/>
          <w:szCs w:val="24"/>
        </w:rPr>
        <w:t xml:space="preserve">” </w:t>
      </w:r>
      <w:r w:rsidR="004E70E1">
        <w:rPr>
          <w:sz w:val="24"/>
          <w:szCs w:val="24"/>
        </w:rPr>
        <w:t>and added</w:t>
      </w:r>
      <w:r w:rsidRPr="00AF23B1">
        <w:rPr>
          <w:sz w:val="24"/>
          <w:szCs w:val="24"/>
        </w:rPr>
        <w:t xml:space="preserve"> that “</w:t>
      </w:r>
      <w:r w:rsidR="006F12D9">
        <w:rPr>
          <w:sz w:val="24"/>
          <w:szCs w:val="24"/>
        </w:rPr>
        <w:t>…</w:t>
      </w:r>
      <w:r w:rsidRPr="00AF23B1">
        <w:rPr>
          <w:sz w:val="24"/>
          <w:szCs w:val="24"/>
        </w:rPr>
        <w:t>there is still room for claimants to test the boundaries in this area of law.”</w:t>
      </w:r>
      <w:r w:rsidR="00BA542E" w:rsidRPr="00AF23B1">
        <w:rPr>
          <w:rStyle w:val="FootnoteReference"/>
          <w:sz w:val="24"/>
          <w:szCs w:val="24"/>
        </w:rPr>
        <w:footnoteReference w:id="1"/>
      </w:r>
      <w:r w:rsidRPr="00AF23B1">
        <w:rPr>
          <w:sz w:val="24"/>
          <w:szCs w:val="24"/>
        </w:rPr>
        <w:t xml:space="preserve"> The boundaries at both extremes of the argument were tested in the Supreme Court in </w:t>
      </w:r>
      <w:r w:rsidRPr="00AF23B1">
        <w:rPr>
          <w:i/>
          <w:sz w:val="24"/>
          <w:szCs w:val="24"/>
        </w:rPr>
        <w:t>VTB v Nutritek</w:t>
      </w:r>
      <w:r w:rsidR="00BA542E" w:rsidRPr="00AF23B1">
        <w:rPr>
          <w:rStyle w:val="FootnoteReference"/>
          <w:sz w:val="24"/>
          <w:szCs w:val="24"/>
        </w:rPr>
        <w:footnoteReference w:id="2"/>
      </w:r>
      <w:r w:rsidRPr="00AF23B1">
        <w:rPr>
          <w:sz w:val="24"/>
          <w:szCs w:val="24"/>
        </w:rPr>
        <w:t xml:space="preserve">. </w:t>
      </w:r>
      <w:r w:rsidR="00BA542E" w:rsidRPr="00AF23B1">
        <w:rPr>
          <w:sz w:val="24"/>
          <w:szCs w:val="24"/>
        </w:rPr>
        <w:t xml:space="preserve">For the </w:t>
      </w:r>
      <w:r w:rsidR="00D15F15">
        <w:rPr>
          <w:sz w:val="24"/>
          <w:szCs w:val="24"/>
        </w:rPr>
        <w:t>appellants</w:t>
      </w:r>
      <w:r w:rsidR="00BA542E" w:rsidRPr="00AF23B1">
        <w:rPr>
          <w:sz w:val="24"/>
          <w:szCs w:val="24"/>
        </w:rPr>
        <w:t>, c</w:t>
      </w:r>
      <w:r w:rsidRPr="00AF23B1">
        <w:rPr>
          <w:sz w:val="24"/>
          <w:szCs w:val="24"/>
        </w:rPr>
        <w:t>ounsel argued that</w:t>
      </w:r>
      <w:r w:rsidR="00D372EA" w:rsidRPr="00AF23B1">
        <w:rPr>
          <w:sz w:val="24"/>
          <w:szCs w:val="24"/>
        </w:rPr>
        <w:t xml:space="preserve"> </w:t>
      </w:r>
      <w:r w:rsidRPr="00AF23B1">
        <w:rPr>
          <w:sz w:val="24"/>
          <w:szCs w:val="24"/>
        </w:rPr>
        <w:t xml:space="preserve">the power to pierce the veil </w:t>
      </w:r>
      <w:r w:rsidR="00D372EA" w:rsidRPr="00AF23B1">
        <w:rPr>
          <w:sz w:val="24"/>
          <w:szCs w:val="24"/>
        </w:rPr>
        <w:t xml:space="preserve">could be </w:t>
      </w:r>
      <w:r w:rsidR="004A1602" w:rsidRPr="00AF23B1">
        <w:rPr>
          <w:sz w:val="24"/>
          <w:szCs w:val="24"/>
        </w:rPr>
        <w:t>used to</w:t>
      </w:r>
      <w:r w:rsidRPr="00AF23B1">
        <w:rPr>
          <w:sz w:val="24"/>
          <w:szCs w:val="24"/>
        </w:rPr>
        <w:t xml:space="preserve"> hold</w:t>
      </w:r>
      <w:r w:rsidR="004A1602" w:rsidRPr="00AF23B1">
        <w:rPr>
          <w:sz w:val="24"/>
          <w:szCs w:val="24"/>
        </w:rPr>
        <w:t xml:space="preserve"> </w:t>
      </w:r>
      <w:r w:rsidRPr="00AF23B1">
        <w:rPr>
          <w:sz w:val="24"/>
          <w:szCs w:val="24"/>
        </w:rPr>
        <w:t>the controllers of a company liable</w:t>
      </w:r>
      <w:r w:rsidR="00177D89">
        <w:rPr>
          <w:sz w:val="24"/>
          <w:szCs w:val="24"/>
        </w:rPr>
        <w:t>,</w:t>
      </w:r>
      <w:r w:rsidRPr="00AF23B1">
        <w:rPr>
          <w:sz w:val="24"/>
          <w:szCs w:val="24"/>
        </w:rPr>
        <w:t xml:space="preserve"> as if they had been parties to a contract </w:t>
      </w:r>
      <w:r w:rsidR="00177D89">
        <w:rPr>
          <w:sz w:val="24"/>
          <w:szCs w:val="24"/>
        </w:rPr>
        <w:t xml:space="preserve">into </w:t>
      </w:r>
      <w:r w:rsidRPr="00AF23B1">
        <w:rPr>
          <w:sz w:val="24"/>
          <w:szCs w:val="24"/>
        </w:rPr>
        <w:t>which the company had entered.</w:t>
      </w:r>
      <w:r w:rsidR="00BA542E" w:rsidRPr="00AF23B1">
        <w:rPr>
          <w:sz w:val="24"/>
          <w:szCs w:val="24"/>
        </w:rPr>
        <w:t xml:space="preserve"> </w:t>
      </w:r>
      <w:r w:rsidR="00D372EA" w:rsidRPr="00AF23B1">
        <w:rPr>
          <w:sz w:val="24"/>
          <w:szCs w:val="24"/>
        </w:rPr>
        <w:t xml:space="preserve">For the </w:t>
      </w:r>
      <w:r w:rsidR="00D15F15">
        <w:rPr>
          <w:sz w:val="24"/>
          <w:szCs w:val="24"/>
        </w:rPr>
        <w:t>respondents, o</w:t>
      </w:r>
      <w:r w:rsidRPr="00AF23B1">
        <w:rPr>
          <w:sz w:val="24"/>
          <w:szCs w:val="24"/>
        </w:rPr>
        <w:t xml:space="preserve">pposing counsel argued </w:t>
      </w:r>
      <w:r w:rsidR="002D3C86">
        <w:rPr>
          <w:sz w:val="24"/>
          <w:szCs w:val="24"/>
        </w:rPr>
        <w:t xml:space="preserve">not only </w:t>
      </w:r>
      <w:r w:rsidRPr="00AF23B1">
        <w:rPr>
          <w:sz w:val="24"/>
          <w:szCs w:val="24"/>
        </w:rPr>
        <w:t xml:space="preserve">that the </w:t>
      </w:r>
      <w:r w:rsidR="002D3C86">
        <w:rPr>
          <w:sz w:val="24"/>
          <w:szCs w:val="24"/>
        </w:rPr>
        <w:t xml:space="preserve">veil should not be pierced in this </w:t>
      </w:r>
      <w:r w:rsidR="0081657D">
        <w:rPr>
          <w:sz w:val="24"/>
          <w:szCs w:val="24"/>
        </w:rPr>
        <w:t xml:space="preserve">particular </w:t>
      </w:r>
      <w:r w:rsidR="002D3C86">
        <w:rPr>
          <w:sz w:val="24"/>
          <w:szCs w:val="24"/>
        </w:rPr>
        <w:t>case</w:t>
      </w:r>
      <w:r w:rsidR="00177D89">
        <w:rPr>
          <w:sz w:val="24"/>
          <w:szCs w:val="24"/>
        </w:rPr>
        <w:t>,</w:t>
      </w:r>
      <w:r w:rsidR="002D3C86">
        <w:rPr>
          <w:sz w:val="24"/>
          <w:szCs w:val="24"/>
        </w:rPr>
        <w:t xml:space="preserve"> but also that the</w:t>
      </w:r>
      <w:r w:rsidR="00177D89">
        <w:rPr>
          <w:sz w:val="24"/>
          <w:szCs w:val="24"/>
        </w:rPr>
        <w:t>re were no circumstances in which the court could</w:t>
      </w:r>
      <w:r w:rsidRPr="00AF23B1">
        <w:rPr>
          <w:sz w:val="24"/>
          <w:szCs w:val="24"/>
        </w:rPr>
        <w:t xml:space="preserve"> pierce the veil</w:t>
      </w:r>
      <w:r w:rsidR="00177D89">
        <w:rPr>
          <w:sz w:val="24"/>
          <w:szCs w:val="24"/>
        </w:rPr>
        <w:t xml:space="preserve">. </w:t>
      </w:r>
    </w:p>
    <w:p w:rsidR="002D3C86" w:rsidRDefault="00B26AE1" w:rsidP="0039228B">
      <w:pPr>
        <w:spacing w:line="360" w:lineRule="auto"/>
        <w:jc w:val="both"/>
        <w:rPr>
          <w:i/>
          <w:sz w:val="24"/>
          <w:szCs w:val="24"/>
        </w:rPr>
      </w:pPr>
      <w:r>
        <w:rPr>
          <w:sz w:val="24"/>
          <w:szCs w:val="24"/>
        </w:rPr>
        <w:t>The first argument was rejected by the Court.</w:t>
      </w:r>
      <w:r w:rsidR="00D15F15" w:rsidRPr="00AF23B1">
        <w:rPr>
          <w:sz w:val="24"/>
          <w:szCs w:val="24"/>
        </w:rPr>
        <w:t xml:space="preserve"> </w:t>
      </w:r>
      <w:r w:rsidR="00177D89">
        <w:rPr>
          <w:sz w:val="24"/>
          <w:szCs w:val="24"/>
        </w:rPr>
        <w:t>In relation to the second and third points,</w:t>
      </w:r>
      <w:r w:rsidR="00177D89" w:rsidRPr="00AF23B1">
        <w:rPr>
          <w:sz w:val="24"/>
          <w:szCs w:val="24"/>
        </w:rPr>
        <w:t xml:space="preserve"> </w:t>
      </w:r>
      <w:r w:rsidR="00D15F15" w:rsidRPr="00AF23B1">
        <w:rPr>
          <w:sz w:val="24"/>
          <w:szCs w:val="24"/>
        </w:rPr>
        <w:t>Lord</w:t>
      </w:r>
      <w:r w:rsidR="00EC4E1A" w:rsidRPr="00AF23B1">
        <w:rPr>
          <w:sz w:val="24"/>
          <w:szCs w:val="24"/>
        </w:rPr>
        <w:t xml:space="preserve"> Neuberger</w:t>
      </w:r>
      <w:r>
        <w:rPr>
          <w:sz w:val="24"/>
          <w:szCs w:val="24"/>
        </w:rPr>
        <w:t xml:space="preserve"> </w:t>
      </w:r>
      <w:r w:rsidR="00D15F15">
        <w:rPr>
          <w:sz w:val="24"/>
          <w:szCs w:val="24"/>
        </w:rPr>
        <w:t>gave th</w:t>
      </w:r>
      <w:r w:rsidR="00DF4907" w:rsidRPr="00AF23B1">
        <w:rPr>
          <w:sz w:val="24"/>
          <w:szCs w:val="24"/>
        </w:rPr>
        <w:t>e leading judgement</w:t>
      </w:r>
      <w:r>
        <w:rPr>
          <w:sz w:val="24"/>
          <w:szCs w:val="24"/>
        </w:rPr>
        <w:t xml:space="preserve">. He decided that this was </w:t>
      </w:r>
      <w:r w:rsidR="00177D89">
        <w:rPr>
          <w:sz w:val="24"/>
          <w:szCs w:val="24"/>
        </w:rPr>
        <w:t xml:space="preserve">clearly </w:t>
      </w:r>
      <w:r>
        <w:rPr>
          <w:sz w:val="24"/>
          <w:szCs w:val="24"/>
        </w:rPr>
        <w:t>not a case in which the veil would be pierced</w:t>
      </w:r>
      <w:r w:rsidR="00177D89">
        <w:rPr>
          <w:sz w:val="24"/>
          <w:szCs w:val="24"/>
        </w:rPr>
        <w:t>,</w:t>
      </w:r>
      <w:r>
        <w:rPr>
          <w:sz w:val="24"/>
          <w:szCs w:val="24"/>
        </w:rPr>
        <w:t xml:space="preserve"> but</w:t>
      </w:r>
      <w:r w:rsidR="00DF4907">
        <w:rPr>
          <w:sz w:val="24"/>
          <w:szCs w:val="24"/>
        </w:rPr>
        <w:t xml:space="preserve"> </w:t>
      </w:r>
      <w:r w:rsidR="002D3C86">
        <w:rPr>
          <w:sz w:val="24"/>
          <w:szCs w:val="24"/>
        </w:rPr>
        <w:t xml:space="preserve">he </w:t>
      </w:r>
      <w:r w:rsidR="00EC4E1A" w:rsidRPr="00AF23B1">
        <w:rPr>
          <w:sz w:val="24"/>
          <w:szCs w:val="24"/>
        </w:rPr>
        <w:t xml:space="preserve">declined to </w:t>
      </w:r>
      <w:r w:rsidR="007D62EA" w:rsidRPr="00AF23B1">
        <w:rPr>
          <w:sz w:val="24"/>
          <w:szCs w:val="24"/>
        </w:rPr>
        <w:t>reach a</w:t>
      </w:r>
      <w:r w:rsidR="00D15F15">
        <w:rPr>
          <w:sz w:val="24"/>
          <w:szCs w:val="24"/>
        </w:rPr>
        <w:t>ny</w:t>
      </w:r>
      <w:r w:rsidR="007D62EA" w:rsidRPr="00AF23B1">
        <w:rPr>
          <w:sz w:val="24"/>
          <w:szCs w:val="24"/>
        </w:rPr>
        <w:t xml:space="preserve"> conclusion</w:t>
      </w:r>
      <w:r w:rsidR="009A7957">
        <w:rPr>
          <w:sz w:val="24"/>
          <w:szCs w:val="24"/>
        </w:rPr>
        <w:t xml:space="preserve"> </w:t>
      </w:r>
      <w:r w:rsidR="004A1602" w:rsidRPr="00AF23B1">
        <w:rPr>
          <w:sz w:val="24"/>
          <w:szCs w:val="24"/>
        </w:rPr>
        <w:t xml:space="preserve">on </w:t>
      </w:r>
      <w:r>
        <w:rPr>
          <w:sz w:val="24"/>
          <w:szCs w:val="24"/>
        </w:rPr>
        <w:t>whether or not such a power existed</w:t>
      </w:r>
      <w:r w:rsidR="00D372EA" w:rsidRPr="00AF23B1">
        <w:rPr>
          <w:sz w:val="24"/>
          <w:szCs w:val="24"/>
        </w:rPr>
        <w:t>. He stated that</w:t>
      </w:r>
      <w:r w:rsidR="00EC4E1A" w:rsidRPr="00AF23B1">
        <w:rPr>
          <w:sz w:val="24"/>
          <w:szCs w:val="24"/>
        </w:rPr>
        <w:t xml:space="preserve"> he could “see the force in </w:t>
      </w:r>
      <w:r w:rsidR="007D62EA" w:rsidRPr="00AF23B1">
        <w:rPr>
          <w:sz w:val="24"/>
          <w:szCs w:val="24"/>
        </w:rPr>
        <w:t>[the]</w:t>
      </w:r>
      <w:r w:rsidR="00EC4E1A" w:rsidRPr="00AF23B1">
        <w:rPr>
          <w:sz w:val="24"/>
          <w:szCs w:val="24"/>
        </w:rPr>
        <w:t xml:space="preserve"> argument” </w:t>
      </w:r>
      <w:r w:rsidR="007D62EA" w:rsidRPr="00AF23B1">
        <w:rPr>
          <w:sz w:val="24"/>
          <w:szCs w:val="24"/>
        </w:rPr>
        <w:t>that</w:t>
      </w:r>
      <w:r w:rsidR="008C49F7" w:rsidRPr="00AF23B1">
        <w:rPr>
          <w:sz w:val="24"/>
          <w:szCs w:val="24"/>
        </w:rPr>
        <w:t xml:space="preserve"> </w:t>
      </w:r>
      <w:r w:rsidR="00EC4E1A" w:rsidRPr="00AF23B1">
        <w:rPr>
          <w:sz w:val="24"/>
          <w:szCs w:val="24"/>
        </w:rPr>
        <w:t>piercing the veil is</w:t>
      </w:r>
      <w:r w:rsidR="00DB0D58" w:rsidRPr="00AF23B1">
        <w:rPr>
          <w:sz w:val="24"/>
          <w:szCs w:val="24"/>
        </w:rPr>
        <w:t xml:space="preserve"> </w:t>
      </w:r>
      <w:r w:rsidR="008C49F7" w:rsidRPr="00AF23B1">
        <w:rPr>
          <w:sz w:val="24"/>
          <w:szCs w:val="24"/>
        </w:rPr>
        <w:t>“</w:t>
      </w:r>
      <w:r w:rsidR="00EC4E1A" w:rsidRPr="00AF23B1">
        <w:rPr>
          <w:sz w:val="24"/>
          <w:szCs w:val="24"/>
        </w:rPr>
        <w:t>contrary to high authority</w:t>
      </w:r>
      <w:r w:rsidR="008C49F7" w:rsidRPr="00AF23B1">
        <w:rPr>
          <w:sz w:val="24"/>
          <w:szCs w:val="24"/>
        </w:rPr>
        <w:t>”.</w:t>
      </w:r>
      <w:r w:rsidR="00D372EA" w:rsidRPr="00AF23B1">
        <w:rPr>
          <w:i/>
          <w:sz w:val="24"/>
          <w:szCs w:val="24"/>
        </w:rPr>
        <w:t xml:space="preserve"> </w:t>
      </w:r>
    </w:p>
    <w:p w:rsidR="00EC4E1A" w:rsidRPr="00AF23B1" w:rsidRDefault="00D372EA" w:rsidP="0039228B">
      <w:pPr>
        <w:spacing w:line="360" w:lineRule="auto"/>
        <w:jc w:val="both"/>
        <w:rPr>
          <w:sz w:val="24"/>
          <w:szCs w:val="24"/>
        </w:rPr>
      </w:pPr>
      <w:r w:rsidRPr="00AF23B1">
        <w:rPr>
          <w:sz w:val="24"/>
          <w:szCs w:val="24"/>
        </w:rPr>
        <w:t xml:space="preserve">This article considers relevant sections of Lord Neuberger’s judgement and whether </w:t>
      </w:r>
      <w:r w:rsidR="00DF4907">
        <w:rPr>
          <w:sz w:val="24"/>
          <w:szCs w:val="24"/>
        </w:rPr>
        <w:t xml:space="preserve">the argument that </w:t>
      </w:r>
      <w:r w:rsidRPr="00AF23B1">
        <w:rPr>
          <w:sz w:val="24"/>
          <w:szCs w:val="24"/>
        </w:rPr>
        <w:t>piercing the veil is “contrary to high authority”</w:t>
      </w:r>
      <w:r w:rsidR="00D26FA6">
        <w:rPr>
          <w:sz w:val="24"/>
          <w:szCs w:val="24"/>
        </w:rPr>
        <w:t xml:space="preserve"> </w:t>
      </w:r>
      <w:r w:rsidR="00DF4907">
        <w:rPr>
          <w:sz w:val="24"/>
          <w:szCs w:val="24"/>
        </w:rPr>
        <w:t>is sustainable</w:t>
      </w:r>
      <w:r w:rsidR="002445FC">
        <w:rPr>
          <w:sz w:val="24"/>
          <w:szCs w:val="24"/>
        </w:rPr>
        <w:t xml:space="preserve">. It argues that the Supreme </w:t>
      </w:r>
      <w:r w:rsidR="00D26FA6">
        <w:rPr>
          <w:sz w:val="24"/>
          <w:szCs w:val="24"/>
        </w:rPr>
        <w:t>Court</w:t>
      </w:r>
      <w:r w:rsidR="002445FC">
        <w:rPr>
          <w:sz w:val="24"/>
          <w:szCs w:val="24"/>
        </w:rPr>
        <w:t xml:space="preserve"> should make it clear that </w:t>
      </w:r>
      <w:r w:rsidR="00D26FA6">
        <w:rPr>
          <w:sz w:val="24"/>
          <w:szCs w:val="24"/>
        </w:rPr>
        <w:t>such a</w:t>
      </w:r>
      <w:r w:rsidR="002445FC">
        <w:rPr>
          <w:sz w:val="24"/>
          <w:szCs w:val="24"/>
        </w:rPr>
        <w:t xml:space="preserve"> power </w:t>
      </w:r>
      <w:r w:rsidR="002D3C86">
        <w:rPr>
          <w:sz w:val="24"/>
          <w:szCs w:val="24"/>
        </w:rPr>
        <w:t xml:space="preserve">does </w:t>
      </w:r>
      <w:r w:rsidR="002445FC">
        <w:rPr>
          <w:sz w:val="24"/>
          <w:szCs w:val="24"/>
        </w:rPr>
        <w:t>exist</w:t>
      </w:r>
      <w:r w:rsidR="00D15F15">
        <w:rPr>
          <w:sz w:val="24"/>
          <w:szCs w:val="24"/>
        </w:rPr>
        <w:t xml:space="preserve"> and should use th</w:t>
      </w:r>
      <w:r w:rsidR="002D3C86">
        <w:rPr>
          <w:sz w:val="24"/>
          <w:szCs w:val="24"/>
        </w:rPr>
        <w:t>e</w:t>
      </w:r>
      <w:r w:rsidR="00D15F15">
        <w:rPr>
          <w:sz w:val="24"/>
          <w:szCs w:val="24"/>
        </w:rPr>
        <w:t xml:space="preserve"> power more pro-actively</w:t>
      </w:r>
      <w:r w:rsidR="002445FC">
        <w:rPr>
          <w:sz w:val="24"/>
          <w:szCs w:val="24"/>
        </w:rPr>
        <w:t>.</w:t>
      </w:r>
    </w:p>
    <w:p w:rsidR="00D372EA" w:rsidRPr="00AF23B1" w:rsidRDefault="00D372EA" w:rsidP="0039228B">
      <w:pPr>
        <w:spacing w:line="360" w:lineRule="auto"/>
        <w:jc w:val="both"/>
        <w:rPr>
          <w:b/>
          <w:sz w:val="24"/>
          <w:szCs w:val="24"/>
        </w:rPr>
      </w:pPr>
      <w:r w:rsidRPr="00AF23B1">
        <w:rPr>
          <w:b/>
          <w:sz w:val="24"/>
          <w:szCs w:val="24"/>
        </w:rPr>
        <w:t>Background</w:t>
      </w:r>
    </w:p>
    <w:p w:rsidR="00F60EE2" w:rsidRPr="00AF23B1" w:rsidRDefault="00125C02" w:rsidP="0039228B">
      <w:pPr>
        <w:spacing w:line="360" w:lineRule="auto"/>
        <w:jc w:val="both"/>
        <w:rPr>
          <w:sz w:val="24"/>
          <w:szCs w:val="24"/>
        </w:rPr>
      </w:pPr>
      <w:r w:rsidRPr="00AF23B1">
        <w:rPr>
          <w:sz w:val="24"/>
          <w:szCs w:val="24"/>
        </w:rPr>
        <w:t xml:space="preserve">Given </w:t>
      </w:r>
      <w:r w:rsidR="005B47C7" w:rsidRPr="00AF23B1">
        <w:rPr>
          <w:sz w:val="24"/>
          <w:szCs w:val="24"/>
        </w:rPr>
        <w:t xml:space="preserve">the numerous </w:t>
      </w:r>
      <w:r w:rsidR="00C47071" w:rsidRPr="00AF23B1">
        <w:rPr>
          <w:sz w:val="24"/>
          <w:szCs w:val="24"/>
        </w:rPr>
        <w:t xml:space="preserve">decisions in which reference has been made to the court’s ability to </w:t>
      </w:r>
      <w:r w:rsidR="00F60EE2" w:rsidRPr="00AF23B1">
        <w:rPr>
          <w:sz w:val="24"/>
          <w:szCs w:val="24"/>
        </w:rPr>
        <w:t>pierce</w:t>
      </w:r>
      <w:r w:rsidR="005B47C7" w:rsidRPr="00AF23B1">
        <w:rPr>
          <w:sz w:val="24"/>
          <w:szCs w:val="24"/>
        </w:rPr>
        <w:t xml:space="preserve"> the </w:t>
      </w:r>
      <w:r w:rsidR="00E95DC6" w:rsidRPr="00AF23B1">
        <w:rPr>
          <w:sz w:val="24"/>
          <w:szCs w:val="24"/>
        </w:rPr>
        <w:t>veil (commonly accompanied by a</w:t>
      </w:r>
      <w:r w:rsidR="00613780">
        <w:rPr>
          <w:sz w:val="24"/>
          <w:szCs w:val="24"/>
        </w:rPr>
        <w:t xml:space="preserve"> presumption</w:t>
      </w:r>
      <w:r w:rsidR="00E95DC6" w:rsidRPr="00AF23B1">
        <w:rPr>
          <w:sz w:val="24"/>
          <w:szCs w:val="24"/>
        </w:rPr>
        <w:t xml:space="preserve"> that such a power exists)</w:t>
      </w:r>
      <w:r w:rsidR="00E95DC6" w:rsidRPr="00AF23B1">
        <w:rPr>
          <w:sz w:val="24"/>
          <w:szCs w:val="24"/>
          <w:vertAlign w:val="superscript"/>
        </w:rPr>
        <w:footnoteReference w:id="3"/>
      </w:r>
      <w:r w:rsidR="00E95DC6" w:rsidRPr="00AF23B1">
        <w:rPr>
          <w:sz w:val="24"/>
          <w:szCs w:val="24"/>
        </w:rPr>
        <w:t xml:space="preserve"> </w:t>
      </w:r>
      <w:r w:rsidR="00F60EE2" w:rsidRPr="00AF23B1">
        <w:rPr>
          <w:sz w:val="24"/>
          <w:szCs w:val="24"/>
        </w:rPr>
        <w:t>and</w:t>
      </w:r>
      <w:r w:rsidR="000D16B3">
        <w:rPr>
          <w:sz w:val="24"/>
          <w:szCs w:val="24"/>
        </w:rPr>
        <w:t xml:space="preserve"> </w:t>
      </w:r>
      <w:r w:rsidR="002D3C86">
        <w:rPr>
          <w:sz w:val="24"/>
          <w:szCs w:val="24"/>
        </w:rPr>
        <w:t xml:space="preserve">many </w:t>
      </w:r>
      <w:r w:rsidR="00F60EE2" w:rsidRPr="00AF23B1">
        <w:rPr>
          <w:sz w:val="24"/>
          <w:szCs w:val="24"/>
        </w:rPr>
        <w:t>opinion</w:t>
      </w:r>
      <w:r w:rsidR="0035381A" w:rsidRPr="00AF23B1">
        <w:rPr>
          <w:sz w:val="24"/>
          <w:szCs w:val="24"/>
        </w:rPr>
        <w:t>s</w:t>
      </w:r>
      <w:r w:rsidR="004A1602" w:rsidRPr="00AF23B1">
        <w:rPr>
          <w:sz w:val="24"/>
          <w:szCs w:val="24"/>
        </w:rPr>
        <w:t xml:space="preserve"> to the</w:t>
      </w:r>
      <w:r w:rsidR="0035381A" w:rsidRPr="00AF23B1">
        <w:rPr>
          <w:sz w:val="24"/>
          <w:szCs w:val="24"/>
        </w:rPr>
        <w:t xml:space="preserve"> same effect,</w:t>
      </w:r>
      <w:r w:rsidR="004A1602" w:rsidRPr="00AF23B1">
        <w:rPr>
          <w:sz w:val="24"/>
          <w:szCs w:val="24"/>
        </w:rPr>
        <w:t xml:space="preserve"> which</w:t>
      </w:r>
      <w:r w:rsidR="00F60EE2" w:rsidRPr="00AF23B1">
        <w:rPr>
          <w:sz w:val="24"/>
          <w:szCs w:val="24"/>
        </w:rPr>
        <w:t xml:space="preserve"> </w:t>
      </w:r>
      <w:r w:rsidR="004A1602" w:rsidRPr="00AF23B1">
        <w:rPr>
          <w:sz w:val="24"/>
          <w:szCs w:val="24"/>
        </w:rPr>
        <w:t>as Lord Neuberger pointed out, ha</w:t>
      </w:r>
      <w:r w:rsidR="0035381A" w:rsidRPr="00AF23B1">
        <w:rPr>
          <w:sz w:val="24"/>
          <w:szCs w:val="24"/>
        </w:rPr>
        <w:t>ve</w:t>
      </w:r>
      <w:r w:rsidR="004A1602" w:rsidRPr="00AF23B1">
        <w:rPr>
          <w:sz w:val="24"/>
          <w:szCs w:val="24"/>
        </w:rPr>
        <w:t xml:space="preserve"> been </w:t>
      </w:r>
      <w:r w:rsidR="00F60EE2" w:rsidRPr="00AF23B1">
        <w:rPr>
          <w:sz w:val="24"/>
          <w:szCs w:val="24"/>
        </w:rPr>
        <w:lastRenderedPageBreak/>
        <w:t>expressed in several</w:t>
      </w:r>
      <w:r w:rsidR="00C47071" w:rsidRPr="00AF23B1">
        <w:rPr>
          <w:sz w:val="24"/>
          <w:szCs w:val="24"/>
        </w:rPr>
        <w:t xml:space="preserve"> leading texts</w:t>
      </w:r>
      <w:r w:rsidR="004A1602" w:rsidRPr="00AF23B1">
        <w:rPr>
          <w:rStyle w:val="FootnoteReference"/>
          <w:sz w:val="24"/>
          <w:szCs w:val="24"/>
        </w:rPr>
        <w:footnoteReference w:id="4"/>
      </w:r>
      <w:r w:rsidR="004A1602" w:rsidRPr="00AF23B1">
        <w:rPr>
          <w:sz w:val="24"/>
          <w:szCs w:val="24"/>
        </w:rPr>
        <w:t>,</w:t>
      </w:r>
      <w:r w:rsidR="00C47071" w:rsidRPr="00AF23B1">
        <w:rPr>
          <w:sz w:val="24"/>
          <w:szCs w:val="24"/>
        </w:rPr>
        <w:t xml:space="preserve"> </w:t>
      </w:r>
      <w:r w:rsidR="00F60EE2" w:rsidRPr="00AF23B1">
        <w:rPr>
          <w:sz w:val="24"/>
          <w:szCs w:val="24"/>
        </w:rPr>
        <w:t>the argument</w:t>
      </w:r>
      <w:r w:rsidR="002303AA" w:rsidRPr="00AF23B1">
        <w:rPr>
          <w:sz w:val="24"/>
          <w:szCs w:val="24"/>
        </w:rPr>
        <w:t xml:space="preserve"> before the Supreme </w:t>
      </w:r>
      <w:r w:rsidR="004A1602" w:rsidRPr="00AF23B1">
        <w:rPr>
          <w:sz w:val="24"/>
          <w:szCs w:val="24"/>
        </w:rPr>
        <w:t>Court that</w:t>
      </w:r>
      <w:r w:rsidR="00F60EE2" w:rsidRPr="00AF23B1">
        <w:rPr>
          <w:sz w:val="24"/>
          <w:szCs w:val="24"/>
        </w:rPr>
        <w:t xml:space="preserve"> no such power existed </w:t>
      </w:r>
      <w:r w:rsidR="002303AA" w:rsidRPr="00AF23B1">
        <w:rPr>
          <w:sz w:val="24"/>
          <w:szCs w:val="24"/>
        </w:rPr>
        <w:t xml:space="preserve">was </w:t>
      </w:r>
      <w:r w:rsidR="00F60EE2" w:rsidRPr="00AF23B1">
        <w:rPr>
          <w:sz w:val="24"/>
          <w:szCs w:val="24"/>
        </w:rPr>
        <w:t>surprising.</w:t>
      </w:r>
    </w:p>
    <w:p w:rsidR="004A1602" w:rsidRPr="00AF23B1" w:rsidRDefault="00DB0D58" w:rsidP="0039228B">
      <w:pPr>
        <w:spacing w:line="360" w:lineRule="auto"/>
        <w:jc w:val="both"/>
        <w:rPr>
          <w:sz w:val="24"/>
          <w:szCs w:val="24"/>
        </w:rPr>
      </w:pPr>
      <w:r w:rsidRPr="00AF23B1">
        <w:rPr>
          <w:sz w:val="24"/>
          <w:szCs w:val="24"/>
        </w:rPr>
        <w:t>Lord Wilson</w:t>
      </w:r>
      <w:r w:rsidR="00F60EE2" w:rsidRPr="00AF23B1">
        <w:rPr>
          <w:sz w:val="24"/>
          <w:szCs w:val="24"/>
        </w:rPr>
        <w:t xml:space="preserve"> described it</w:t>
      </w:r>
      <w:r w:rsidRPr="00AF23B1">
        <w:rPr>
          <w:sz w:val="24"/>
          <w:szCs w:val="24"/>
        </w:rPr>
        <w:t xml:space="preserve">, though not </w:t>
      </w:r>
      <w:r w:rsidR="00F60EE2" w:rsidRPr="00AF23B1">
        <w:rPr>
          <w:sz w:val="24"/>
          <w:szCs w:val="24"/>
        </w:rPr>
        <w:t>by way of criticism</w:t>
      </w:r>
      <w:r w:rsidRPr="00AF23B1">
        <w:rPr>
          <w:sz w:val="24"/>
          <w:szCs w:val="24"/>
        </w:rPr>
        <w:t xml:space="preserve">, as an example </w:t>
      </w:r>
      <w:r w:rsidR="002303AA" w:rsidRPr="00AF23B1">
        <w:rPr>
          <w:sz w:val="24"/>
          <w:szCs w:val="24"/>
        </w:rPr>
        <w:t>of blue-</w:t>
      </w:r>
      <w:r w:rsidRPr="00AF23B1">
        <w:rPr>
          <w:sz w:val="24"/>
          <w:szCs w:val="24"/>
        </w:rPr>
        <w:t>sky thinking</w:t>
      </w:r>
      <w:r w:rsidRPr="00AF23B1">
        <w:rPr>
          <w:rStyle w:val="FootnoteReference"/>
          <w:sz w:val="24"/>
          <w:szCs w:val="24"/>
        </w:rPr>
        <w:footnoteReference w:id="5"/>
      </w:r>
      <w:r w:rsidRPr="00AF23B1">
        <w:rPr>
          <w:sz w:val="24"/>
          <w:szCs w:val="24"/>
        </w:rPr>
        <w:t xml:space="preserve"> and ‘a highly ambitious submission’. Lord Clarke</w:t>
      </w:r>
      <w:r w:rsidR="00864E55" w:rsidRPr="00AF23B1">
        <w:rPr>
          <w:sz w:val="24"/>
          <w:szCs w:val="24"/>
        </w:rPr>
        <w:t xml:space="preserve">, who agreed with Lord Neuberger that this was not a case in which the veil should be pierced, went into no </w:t>
      </w:r>
      <w:r w:rsidR="004A1602" w:rsidRPr="00AF23B1">
        <w:rPr>
          <w:sz w:val="24"/>
          <w:szCs w:val="24"/>
        </w:rPr>
        <w:t>detail on this particular point. T</w:t>
      </w:r>
      <w:r w:rsidR="00864E55" w:rsidRPr="00AF23B1">
        <w:rPr>
          <w:sz w:val="24"/>
          <w:szCs w:val="24"/>
        </w:rPr>
        <w:t>he most plausible interpretation of his brief comments</w:t>
      </w:r>
      <w:r w:rsidR="004A1602" w:rsidRPr="00AF23B1">
        <w:rPr>
          <w:sz w:val="24"/>
          <w:szCs w:val="24"/>
        </w:rPr>
        <w:t xml:space="preserve"> </w:t>
      </w:r>
      <w:r w:rsidR="00B87481">
        <w:rPr>
          <w:sz w:val="24"/>
          <w:szCs w:val="24"/>
        </w:rPr>
        <w:t xml:space="preserve">however </w:t>
      </w:r>
      <w:r w:rsidR="00864E55" w:rsidRPr="00AF23B1">
        <w:rPr>
          <w:sz w:val="24"/>
          <w:szCs w:val="24"/>
        </w:rPr>
        <w:t xml:space="preserve">is that he did not agree with the submission. </w:t>
      </w:r>
      <w:r w:rsidR="00F60EE2" w:rsidRPr="00AF23B1">
        <w:rPr>
          <w:sz w:val="24"/>
          <w:szCs w:val="24"/>
        </w:rPr>
        <w:t xml:space="preserve"> The two other </w:t>
      </w:r>
      <w:r w:rsidR="009A7957">
        <w:rPr>
          <w:sz w:val="24"/>
          <w:szCs w:val="24"/>
        </w:rPr>
        <w:t>L</w:t>
      </w:r>
      <w:r w:rsidR="00F60EE2" w:rsidRPr="00AF23B1">
        <w:rPr>
          <w:sz w:val="24"/>
          <w:szCs w:val="24"/>
        </w:rPr>
        <w:t xml:space="preserve">aw </w:t>
      </w:r>
      <w:r w:rsidR="009A7957">
        <w:rPr>
          <w:sz w:val="24"/>
          <w:szCs w:val="24"/>
        </w:rPr>
        <w:t>L</w:t>
      </w:r>
      <w:r w:rsidR="00F60EE2" w:rsidRPr="00AF23B1">
        <w:rPr>
          <w:sz w:val="24"/>
          <w:szCs w:val="24"/>
        </w:rPr>
        <w:t>ords</w:t>
      </w:r>
      <w:r w:rsidR="004A1602" w:rsidRPr="00AF23B1">
        <w:rPr>
          <w:sz w:val="24"/>
          <w:szCs w:val="24"/>
        </w:rPr>
        <w:t xml:space="preserve"> both expressed agreement with Lord Neuberger, al</w:t>
      </w:r>
      <w:r w:rsidR="0035381A" w:rsidRPr="00AF23B1">
        <w:rPr>
          <w:sz w:val="24"/>
          <w:szCs w:val="24"/>
        </w:rPr>
        <w:t xml:space="preserve">beit </w:t>
      </w:r>
      <w:r w:rsidR="004A1602" w:rsidRPr="00AF23B1">
        <w:rPr>
          <w:sz w:val="24"/>
          <w:szCs w:val="24"/>
        </w:rPr>
        <w:t xml:space="preserve">in subtly different terms. Lord Mance </w:t>
      </w:r>
      <w:r w:rsidR="009A7957">
        <w:rPr>
          <w:sz w:val="24"/>
          <w:szCs w:val="24"/>
        </w:rPr>
        <w:t xml:space="preserve">expressed agreement </w:t>
      </w:r>
      <w:r w:rsidR="004A1602" w:rsidRPr="00AF23B1">
        <w:rPr>
          <w:sz w:val="24"/>
          <w:szCs w:val="24"/>
        </w:rPr>
        <w:t xml:space="preserve">with Lord Neuberger’s judgement; Lord Reed agreed that the veil should not be pierced in this case ‘for the reasons given by Lord Neuberger’. </w:t>
      </w:r>
    </w:p>
    <w:p w:rsidR="00DB0D58" w:rsidRPr="00AF23B1" w:rsidRDefault="0035381A" w:rsidP="0039228B">
      <w:pPr>
        <w:spacing w:line="360" w:lineRule="auto"/>
        <w:jc w:val="both"/>
        <w:rPr>
          <w:sz w:val="24"/>
          <w:szCs w:val="24"/>
        </w:rPr>
      </w:pPr>
      <w:r w:rsidRPr="00AF23B1">
        <w:rPr>
          <w:sz w:val="24"/>
          <w:szCs w:val="24"/>
        </w:rPr>
        <w:t xml:space="preserve">Although he declined to decide the point, </w:t>
      </w:r>
      <w:r w:rsidR="00864E55" w:rsidRPr="00AF23B1">
        <w:rPr>
          <w:sz w:val="24"/>
          <w:szCs w:val="24"/>
        </w:rPr>
        <w:t xml:space="preserve">Lord Neuberger apparently regarded </w:t>
      </w:r>
      <w:r w:rsidR="009A3636" w:rsidRPr="00AF23B1">
        <w:rPr>
          <w:sz w:val="24"/>
          <w:szCs w:val="24"/>
        </w:rPr>
        <w:t>the</w:t>
      </w:r>
      <w:r w:rsidR="00864E55" w:rsidRPr="00AF23B1">
        <w:rPr>
          <w:sz w:val="24"/>
          <w:szCs w:val="24"/>
        </w:rPr>
        <w:t xml:space="preserve"> argument </w:t>
      </w:r>
      <w:r w:rsidRPr="00AF23B1">
        <w:rPr>
          <w:sz w:val="24"/>
          <w:szCs w:val="24"/>
        </w:rPr>
        <w:t>that there was no power to pierce the veil</w:t>
      </w:r>
      <w:r w:rsidR="00F60EE2" w:rsidRPr="00AF23B1">
        <w:rPr>
          <w:sz w:val="24"/>
          <w:szCs w:val="24"/>
        </w:rPr>
        <w:t xml:space="preserve"> </w:t>
      </w:r>
      <w:r w:rsidR="009A3636" w:rsidRPr="00AF23B1">
        <w:rPr>
          <w:sz w:val="24"/>
          <w:szCs w:val="24"/>
        </w:rPr>
        <w:t xml:space="preserve">as one </w:t>
      </w:r>
      <w:r w:rsidR="00F60EE2" w:rsidRPr="00AF23B1">
        <w:rPr>
          <w:sz w:val="24"/>
          <w:szCs w:val="24"/>
        </w:rPr>
        <w:t>which was worthy of serious consideration. The</w:t>
      </w:r>
      <w:r w:rsidR="009A3636" w:rsidRPr="00AF23B1">
        <w:rPr>
          <w:sz w:val="24"/>
          <w:szCs w:val="24"/>
        </w:rPr>
        <w:t xml:space="preserve"> tone of his remarks suggest</w:t>
      </w:r>
      <w:r w:rsidR="00F60EE2" w:rsidRPr="00AF23B1">
        <w:rPr>
          <w:sz w:val="24"/>
          <w:szCs w:val="24"/>
        </w:rPr>
        <w:t>ed</w:t>
      </w:r>
      <w:r w:rsidR="009A3636" w:rsidRPr="00AF23B1">
        <w:rPr>
          <w:sz w:val="24"/>
          <w:szCs w:val="24"/>
        </w:rPr>
        <w:t xml:space="preserve"> </w:t>
      </w:r>
      <w:r w:rsidR="00F60EE2" w:rsidRPr="00AF23B1">
        <w:rPr>
          <w:sz w:val="24"/>
          <w:szCs w:val="24"/>
        </w:rPr>
        <w:t>that he might have a degree of sympathy</w:t>
      </w:r>
      <w:r w:rsidR="009A3636" w:rsidRPr="00AF23B1">
        <w:rPr>
          <w:sz w:val="24"/>
          <w:szCs w:val="24"/>
        </w:rPr>
        <w:t xml:space="preserve"> for the view that the jurisprudence in the case law</w:t>
      </w:r>
      <w:r w:rsidR="00F60EE2" w:rsidRPr="00AF23B1">
        <w:rPr>
          <w:sz w:val="24"/>
          <w:szCs w:val="24"/>
        </w:rPr>
        <w:t>,</w:t>
      </w:r>
      <w:r w:rsidR="009A3636" w:rsidRPr="00AF23B1">
        <w:rPr>
          <w:sz w:val="24"/>
          <w:szCs w:val="24"/>
        </w:rPr>
        <w:t xml:space="preserve"> which is typically relied upon to support the view that</w:t>
      </w:r>
      <w:r w:rsidR="00F12EA4" w:rsidRPr="00AF23B1">
        <w:rPr>
          <w:sz w:val="24"/>
          <w:szCs w:val="24"/>
        </w:rPr>
        <w:t xml:space="preserve"> (at least in some circumstances)</w:t>
      </w:r>
      <w:r w:rsidR="009A3636" w:rsidRPr="00AF23B1">
        <w:rPr>
          <w:sz w:val="24"/>
          <w:szCs w:val="24"/>
        </w:rPr>
        <w:t xml:space="preserve"> </w:t>
      </w:r>
      <w:r w:rsidR="00F12EA4" w:rsidRPr="00AF23B1">
        <w:rPr>
          <w:sz w:val="24"/>
          <w:szCs w:val="24"/>
        </w:rPr>
        <w:t xml:space="preserve">the </w:t>
      </w:r>
      <w:r w:rsidR="009A3636" w:rsidRPr="00AF23B1">
        <w:rPr>
          <w:sz w:val="24"/>
          <w:szCs w:val="24"/>
        </w:rPr>
        <w:t>veil may be pierced, is not as watertight as is often presumed.</w:t>
      </w:r>
      <w:r w:rsidR="00864E55" w:rsidRPr="00AF23B1">
        <w:rPr>
          <w:sz w:val="24"/>
          <w:szCs w:val="24"/>
        </w:rPr>
        <w:t xml:space="preserve"> </w:t>
      </w:r>
    </w:p>
    <w:p w:rsidR="00DA1034" w:rsidRPr="00AF23B1" w:rsidRDefault="009A3636" w:rsidP="0039228B">
      <w:pPr>
        <w:spacing w:line="360" w:lineRule="auto"/>
        <w:jc w:val="both"/>
        <w:rPr>
          <w:sz w:val="24"/>
          <w:szCs w:val="24"/>
        </w:rPr>
      </w:pPr>
      <w:r w:rsidRPr="00AF23B1">
        <w:rPr>
          <w:sz w:val="24"/>
          <w:szCs w:val="24"/>
        </w:rPr>
        <w:t xml:space="preserve">Some criticisms of the </w:t>
      </w:r>
      <w:r w:rsidR="002303AA" w:rsidRPr="00AF23B1">
        <w:rPr>
          <w:sz w:val="24"/>
          <w:szCs w:val="24"/>
        </w:rPr>
        <w:t xml:space="preserve">relevant </w:t>
      </w:r>
      <w:r w:rsidRPr="00AF23B1">
        <w:rPr>
          <w:sz w:val="24"/>
          <w:szCs w:val="24"/>
        </w:rPr>
        <w:t xml:space="preserve">jurisprudence </w:t>
      </w:r>
      <w:r w:rsidR="00F60EE2" w:rsidRPr="00AF23B1">
        <w:rPr>
          <w:sz w:val="24"/>
          <w:szCs w:val="24"/>
        </w:rPr>
        <w:t>are</w:t>
      </w:r>
      <w:r w:rsidRPr="00AF23B1">
        <w:rPr>
          <w:sz w:val="24"/>
          <w:szCs w:val="24"/>
        </w:rPr>
        <w:t xml:space="preserve"> undoubtedly justified</w:t>
      </w:r>
      <w:r w:rsidR="00F12EA4" w:rsidRPr="00AF23B1">
        <w:rPr>
          <w:sz w:val="24"/>
          <w:szCs w:val="24"/>
        </w:rPr>
        <w:t>. I</w:t>
      </w:r>
      <w:r w:rsidR="00F60EE2" w:rsidRPr="00AF23B1">
        <w:rPr>
          <w:sz w:val="24"/>
          <w:szCs w:val="24"/>
        </w:rPr>
        <w:t xml:space="preserve">t is </w:t>
      </w:r>
      <w:r w:rsidR="002D3C86">
        <w:rPr>
          <w:sz w:val="24"/>
          <w:szCs w:val="24"/>
        </w:rPr>
        <w:t xml:space="preserve">respectfully </w:t>
      </w:r>
      <w:r w:rsidR="00F60EE2" w:rsidRPr="00AF23B1">
        <w:rPr>
          <w:sz w:val="24"/>
          <w:szCs w:val="24"/>
        </w:rPr>
        <w:t>submitted that</w:t>
      </w:r>
      <w:r w:rsidR="00F12EA4" w:rsidRPr="00AF23B1">
        <w:rPr>
          <w:sz w:val="24"/>
          <w:szCs w:val="24"/>
        </w:rPr>
        <w:t xml:space="preserve"> his Lordship </w:t>
      </w:r>
      <w:r w:rsidR="002303AA" w:rsidRPr="00AF23B1">
        <w:rPr>
          <w:sz w:val="24"/>
          <w:szCs w:val="24"/>
        </w:rPr>
        <w:t>must be</w:t>
      </w:r>
      <w:r w:rsidR="00F60EE2" w:rsidRPr="00AF23B1">
        <w:rPr>
          <w:sz w:val="24"/>
          <w:szCs w:val="24"/>
        </w:rPr>
        <w:t xml:space="preserve"> </w:t>
      </w:r>
      <w:r w:rsidRPr="00AF23B1">
        <w:rPr>
          <w:sz w:val="24"/>
          <w:szCs w:val="24"/>
        </w:rPr>
        <w:t>right to say that</w:t>
      </w:r>
      <w:r w:rsidR="006F12D9">
        <w:rPr>
          <w:sz w:val="24"/>
          <w:szCs w:val="24"/>
        </w:rPr>
        <w:t>,</w:t>
      </w:r>
      <w:r w:rsidRPr="00AF23B1">
        <w:rPr>
          <w:sz w:val="24"/>
          <w:szCs w:val="24"/>
        </w:rPr>
        <w:t xml:space="preserve"> </w:t>
      </w:r>
      <w:r w:rsidR="00DF4907">
        <w:rPr>
          <w:sz w:val="24"/>
          <w:szCs w:val="24"/>
        </w:rPr>
        <w:t xml:space="preserve">while </w:t>
      </w:r>
      <w:r w:rsidR="00DA1034" w:rsidRPr="00AF23B1">
        <w:rPr>
          <w:sz w:val="24"/>
          <w:szCs w:val="24"/>
        </w:rPr>
        <w:t xml:space="preserve">terms such as “façade” “sham” ‘mask’ and ‘cloak’ </w:t>
      </w:r>
      <w:r w:rsidRPr="00AF23B1">
        <w:rPr>
          <w:sz w:val="24"/>
          <w:szCs w:val="24"/>
        </w:rPr>
        <w:t>may be useful metaphors</w:t>
      </w:r>
      <w:r w:rsidR="002A0092">
        <w:rPr>
          <w:sz w:val="24"/>
          <w:szCs w:val="24"/>
        </w:rPr>
        <w:t>,</w:t>
      </w:r>
      <w:r w:rsidR="00003919" w:rsidRPr="00AF23B1">
        <w:rPr>
          <w:rStyle w:val="FootnoteReference"/>
          <w:sz w:val="24"/>
          <w:szCs w:val="24"/>
        </w:rPr>
        <w:footnoteReference w:id="6"/>
      </w:r>
      <w:r w:rsidR="002A0092">
        <w:rPr>
          <w:sz w:val="24"/>
          <w:szCs w:val="24"/>
        </w:rPr>
        <w:t xml:space="preserve"> </w:t>
      </w:r>
      <w:r w:rsidR="00DA1034" w:rsidRPr="00AF23B1">
        <w:rPr>
          <w:sz w:val="24"/>
          <w:szCs w:val="24"/>
        </w:rPr>
        <w:t>the difficulty of establishing the precise meaning of these terms in the corporate context ‘risk</w:t>
      </w:r>
      <w:r w:rsidR="00F60EE2" w:rsidRPr="00AF23B1">
        <w:rPr>
          <w:sz w:val="24"/>
          <w:szCs w:val="24"/>
        </w:rPr>
        <w:t>[s]</w:t>
      </w:r>
      <w:r w:rsidR="00DA1034" w:rsidRPr="00AF23B1">
        <w:rPr>
          <w:sz w:val="24"/>
          <w:szCs w:val="24"/>
        </w:rPr>
        <w:t xml:space="preserve"> causing confusion and uncertainty in the law’.</w:t>
      </w:r>
    </w:p>
    <w:p w:rsidR="003020F6" w:rsidRPr="00AF23B1" w:rsidRDefault="00003919" w:rsidP="0039228B">
      <w:pPr>
        <w:spacing w:line="360" w:lineRule="auto"/>
        <w:jc w:val="both"/>
        <w:rPr>
          <w:sz w:val="24"/>
          <w:szCs w:val="24"/>
        </w:rPr>
      </w:pPr>
      <w:r w:rsidRPr="00AF23B1">
        <w:rPr>
          <w:sz w:val="24"/>
          <w:szCs w:val="24"/>
        </w:rPr>
        <w:t>Similarly</w:t>
      </w:r>
      <w:r w:rsidR="00DF4907">
        <w:rPr>
          <w:sz w:val="24"/>
          <w:szCs w:val="24"/>
        </w:rPr>
        <w:t>,</w:t>
      </w:r>
      <w:r w:rsidRPr="00AF23B1">
        <w:rPr>
          <w:sz w:val="24"/>
          <w:szCs w:val="24"/>
        </w:rPr>
        <w:t xml:space="preserve"> it has been pointed out by many </w:t>
      </w:r>
      <w:r w:rsidR="00873333" w:rsidRPr="00AF23B1">
        <w:rPr>
          <w:sz w:val="24"/>
          <w:szCs w:val="24"/>
        </w:rPr>
        <w:t>writers</w:t>
      </w:r>
      <w:r w:rsidR="003020F6" w:rsidRPr="00AF23B1">
        <w:rPr>
          <w:sz w:val="24"/>
          <w:szCs w:val="24"/>
        </w:rPr>
        <w:t xml:space="preserve"> </w:t>
      </w:r>
      <w:r w:rsidR="00873333" w:rsidRPr="00AF23B1">
        <w:rPr>
          <w:sz w:val="24"/>
          <w:szCs w:val="24"/>
        </w:rPr>
        <w:t>that</w:t>
      </w:r>
      <w:r w:rsidRPr="00AF23B1">
        <w:rPr>
          <w:sz w:val="24"/>
          <w:szCs w:val="24"/>
        </w:rPr>
        <w:t xml:space="preserve"> in</w:t>
      </w:r>
      <w:r w:rsidR="00873333" w:rsidRPr="00AF23B1">
        <w:rPr>
          <w:sz w:val="24"/>
          <w:szCs w:val="24"/>
        </w:rPr>
        <w:t xml:space="preserve"> oft-cited</w:t>
      </w:r>
      <w:r w:rsidRPr="00AF23B1">
        <w:rPr>
          <w:sz w:val="24"/>
          <w:szCs w:val="24"/>
        </w:rPr>
        <w:t xml:space="preserve"> cases</w:t>
      </w:r>
      <w:r w:rsidR="002D3C86">
        <w:rPr>
          <w:sz w:val="24"/>
          <w:szCs w:val="24"/>
        </w:rPr>
        <w:t>,</w:t>
      </w:r>
      <w:r w:rsidRPr="00AF23B1">
        <w:rPr>
          <w:sz w:val="24"/>
          <w:szCs w:val="24"/>
        </w:rPr>
        <w:t xml:space="preserve"> such as </w:t>
      </w:r>
      <w:r w:rsidRPr="00AF23B1">
        <w:rPr>
          <w:i/>
          <w:sz w:val="24"/>
          <w:szCs w:val="24"/>
        </w:rPr>
        <w:t>Gilford</w:t>
      </w:r>
      <w:r w:rsidR="00B26AE1">
        <w:rPr>
          <w:i/>
          <w:sz w:val="24"/>
          <w:szCs w:val="24"/>
        </w:rPr>
        <w:t xml:space="preserve"> Motor Company </w:t>
      </w:r>
      <w:r w:rsidR="000D16B3">
        <w:rPr>
          <w:i/>
          <w:sz w:val="24"/>
          <w:szCs w:val="24"/>
        </w:rPr>
        <w:t>v</w:t>
      </w:r>
      <w:r w:rsidR="00B26AE1">
        <w:rPr>
          <w:i/>
          <w:sz w:val="24"/>
          <w:szCs w:val="24"/>
        </w:rPr>
        <w:t xml:space="preserve"> Horne</w:t>
      </w:r>
      <w:r w:rsidR="0035381A" w:rsidRPr="00AF23B1">
        <w:rPr>
          <w:rStyle w:val="FootnoteReference"/>
          <w:i/>
          <w:sz w:val="24"/>
          <w:szCs w:val="24"/>
        </w:rPr>
        <w:footnoteReference w:id="7"/>
      </w:r>
      <w:r w:rsidRPr="00AF23B1">
        <w:rPr>
          <w:sz w:val="24"/>
          <w:szCs w:val="24"/>
        </w:rPr>
        <w:t xml:space="preserve">and </w:t>
      </w:r>
      <w:r w:rsidR="00B26AE1" w:rsidRPr="00B26AE1">
        <w:rPr>
          <w:i/>
          <w:sz w:val="24"/>
          <w:szCs w:val="24"/>
        </w:rPr>
        <w:t>Jones v</w:t>
      </w:r>
      <w:r w:rsidR="00B26AE1">
        <w:rPr>
          <w:sz w:val="24"/>
          <w:szCs w:val="24"/>
        </w:rPr>
        <w:t xml:space="preserve"> </w:t>
      </w:r>
      <w:r w:rsidRPr="00AF23B1">
        <w:rPr>
          <w:i/>
          <w:sz w:val="24"/>
          <w:szCs w:val="24"/>
        </w:rPr>
        <w:t>Lipman</w:t>
      </w:r>
      <w:r w:rsidR="0035381A" w:rsidRPr="00AF23B1">
        <w:rPr>
          <w:rStyle w:val="FootnoteReference"/>
          <w:i/>
          <w:sz w:val="24"/>
          <w:szCs w:val="24"/>
        </w:rPr>
        <w:footnoteReference w:id="8"/>
      </w:r>
      <w:r w:rsidR="002D3C86">
        <w:rPr>
          <w:i/>
          <w:sz w:val="24"/>
          <w:szCs w:val="24"/>
        </w:rPr>
        <w:t>,</w:t>
      </w:r>
      <w:r w:rsidRPr="00AF23B1">
        <w:rPr>
          <w:sz w:val="24"/>
          <w:szCs w:val="24"/>
        </w:rPr>
        <w:t xml:space="preserve"> the same result could have been</w:t>
      </w:r>
      <w:r w:rsidR="00873333" w:rsidRPr="00AF23B1">
        <w:rPr>
          <w:sz w:val="24"/>
          <w:szCs w:val="24"/>
        </w:rPr>
        <w:t>,</w:t>
      </w:r>
      <w:r w:rsidRPr="00AF23B1">
        <w:rPr>
          <w:sz w:val="24"/>
          <w:szCs w:val="24"/>
        </w:rPr>
        <w:t xml:space="preserve"> and possibly should have been</w:t>
      </w:r>
      <w:r w:rsidR="00873333" w:rsidRPr="00AF23B1">
        <w:rPr>
          <w:sz w:val="24"/>
          <w:szCs w:val="24"/>
        </w:rPr>
        <w:t>,</w:t>
      </w:r>
      <w:r w:rsidRPr="00AF23B1">
        <w:rPr>
          <w:sz w:val="24"/>
          <w:szCs w:val="24"/>
        </w:rPr>
        <w:t xml:space="preserve"> achieved by a route which did not involve piercing the veil of </w:t>
      </w:r>
      <w:r w:rsidRPr="00AF23B1">
        <w:rPr>
          <w:sz w:val="24"/>
          <w:szCs w:val="24"/>
        </w:rPr>
        <w:lastRenderedPageBreak/>
        <w:t>incorporation.</w:t>
      </w:r>
      <w:r w:rsidR="00982E84" w:rsidRPr="00AF23B1">
        <w:rPr>
          <w:rStyle w:val="FootnoteReference"/>
          <w:sz w:val="24"/>
          <w:szCs w:val="24"/>
        </w:rPr>
        <w:footnoteReference w:id="9"/>
      </w:r>
      <w:r w:rsidR="00873333" w:rsidRPr="00AF23B1">
        <w:rPr>
          <w:sz w:val="24"/>
          <w:szCs w:val="24"/>
        </w:rPr>
        <w:t xml:space="preserve"> </w:t>
      </w:r>
      <w:r w:rsidR="00D26FA6">
        <w:rPr>
          <w:sz w:val="24"/>
          <w:szCs w:val="24"/>
        </w:rPr>
        <w:t xml:space="preserve">Indeed </w:t>
      </w:r>
      <w:r w:rsidR="00E9261D">
        <w:rPr>
          <w:sz w:val="24"/>
          <w:szCs w:val="24"/>
        </w:rPr>
        <w:t>it has been</w:t>
      </w:r>
      <w:r w:rsidR="003020F6" w:rsidRPr="00AF23B1">
        <w:rPr>
          <w:sz w:val="24"/>
          <w:szCs w:val="24"/>
        </w:rPr>
        <w:t xml:space="preserve"> argue</w:t>
      </w:r>
      <w:r w:rsidR="00E9261D">
        <w:rPr>
          <w:sz w:val="24"/>
          <w:szCs w:val="24"/>
        </w:rPr>
        <w:t>d</w:t>
      </w:r>
      <w:r w:rsidR="00873333" w:rsidRPr="00AF23B1">
        <w:rPr>
          <w:sz w:val="24"/>
          <w:szCs w:val="24"/>
        </w:rPr>
        <w:t xml:space="preserve"> that the orders made against both the compan</w:t>
      </w:r>
      <w:r w:rsidR="002D3C86">
        <w:rPr>
          <w:sz w:val="24"/>
          <w:szCs w:val="24"/>
        </w:rPr>
        <w:t>ies</w:t>
      </w:r>
      <w:r w:rsidR="00873333" w:rsidRPr="00AF23B1">
        <w:rPr>
          <w:sz w:val="24"/>
          <w:szCs w:val="24"/>
        </w:rPr>
        <w:t xml:space="preserve"> and the individuals involved in these cases show that </w:t>
      </w:r>
      <w:r w:rsidR="000D3E2E" w:rsidRPr="00AF23B1">
        <w:rPr>
          <w:sz w:val="24"/>
          <w:szCs w:val="24"/>
        </w:rPr>
        <w:t>the veil</w:t>
      </w:r>
      <w:r w:rsidR="00873333" w:rsidRPr="00AF23B1">
        <w:rPr>
          <w:sz w:val="24"/>
          <w:szCs w:val="24"/>
        </w:rPr>
        <w:t xml:space="preserve"> was not </w:t>
      </w:r>
      <w:r w:rsidR="00D6531C" w:rsidRPr="00AF23B1">
        <w:rPr>
          <w:sz w:val="24"/>
          <w:szCs w:val="24"/>
        </w:rPr>
        <w:t>pierced at</w:t>
      </w:r>
      <w:r w:rsidR="00873333" w:rsidRPr="00AF23B1">
        <w:rPr>
          <w:sz w:val="24"/>
          <w:szCs w:val="24"/>
        </w:rPr>
        <w:t xml:space="preserve"> all.</w:t>
      </w:r>
      <w:r w:rsidR="00873333" w:rsidRPr="00AF23B1">
        <w:rPr>
          <w:rStyle w:val="FootnoteReference"/>
          <w:sz w:val="24"/>
          <w:szCs w:val="24"/>
        </w:rPr>
        <w:footnoteReference w:id="10"/>
      </w:r>
      <w:r w:rsidR="00873333" w:rsidRPr="00AF23B1">
        <w:rPr>
          <w:sz w:val="24"/>
          <w:szCs w:val="24"/>
        </w:rPr>
        <w:t xml:space="preserve"> </w:t>
      </w:r>
    </w:p>
    <w:p w:rsidR="00BA6990" w:rsidRPr="00AF23B1" w:rsidRDefault="00F60EE2" w:rsidP="0039228B">
      <w:pPr>
        <w:spacing w:line="360" w:lineRule="auto"/>
        <w:jc w:val="both"/>
        <w:rPr>
          <w:sz w:val="24"/>
          <w:szCs w:val="24"/>
        </w:rPr>
      </w:pPr>
      <w:r w:rsidRPr="00AF23B1">
        <w:rPr>
          <w:sz w:val="24"/>
          <w:szCs w:val="24"/>
        </w:rPr>
        <w:t>O</w:t>
      </w:r>
      <w:r w:rsidR="000D3E2E" w:rsidRPr="00AF23B1">
        <w:rPr>
          <w:sz w:val="24"/>
          <w:szCs w:val="24"/>
        </w:rPr>
        <w:t xml:space="preserve">ther </w:t>
      </w:r>
      <w:r w:rsidR="003020F6" w:rsidRPr="00AF23B1">
        <w:rPr>
          <w:sz w:val="24"/>
          <w:szCs w:val="24"/>
        </w:rPr>
        <w:t>parts of</w:t>
      </w:r>
      <w:r w:rsidR="000D3E2E" w:rsidRPr="00AF23B1">
        <w:rPr>
          <w:sz w:val="24"/>
          <w:szCs w:val="24"/>
        </w:rPr>
        <w:t xml:space="preserve"> </w:t>
      </w:r>
      <w:r w:rsidR="00DF4907">
        <w:rPr>
          <w:sz w:val="24"/>
          <w:szCs w:val="24"/>
        </w:rPr>
        <w:t xml:space="preserve">the </w:t>
      </w:r>
      <w:r w:rsidR="000D3E2E" w:rsidRPr="00AF23B1">
        <w:rPr>
          <w:sz w:val="24"/>
          <w:szCs w:val="24"/>
        </w:rPr>
        <w:t xml:space="preserve">judgement however </w:t>
      </w:r>
      <w:r w:rsidRPr="00AF23B1">
        <w:rPr>
          <w:sz w:val="24"/>
          <w:szCs w:val="24"/>
        </w:rPr>
        <w:t>seem to be</w:t>
      </w:r>
      <w:r w:rsidR="000D3E2E" w:rsidRPr="00AF23B1">
        <w:rPr>
          <w:sz w:val="24"/>
          <w:szCs w:val="24"/>
        </w:rPr>
        <w:t xml:space="preserve"> more open to </w:t>
      </w:r>
      <w:r w:rsidR="00BE01DC">
        <w:rPr>
          <w:sz w:val="24"/>
          <w:szCs w:val="24"/>
        </w:rPr>
        <w:t>debate</w:t>
      </w:r>
      <w:r w:rsidR="000D3E2E" w:rsidRPr="00AF23B1">
        <w:rPr>
          <w:sz w:val="24"/>
          <w:szCs w:val="24"/>
        </w:rPr>
        <w:t xml:space="preserve">. </w:t>
      </w:r>
      <w:r w:rsidR="003020F6" w:rsidRPr="00AF23B1">
        <w:rPr>
          <w:sz w:val="24"/>
          <w:szCs w:val="24"/>
        </w:rPr>
        <w:t>One</w:t>
      </w:r>
      <w:r w:rsidR="00D26FA6">
        <w:rPr>
          <w:sz w:val="24"/>
          <w:szCs w:val="24"/>
        </w:rPr>
        <w:t xml:space="preserve"> point which seemed to concern </w:t>
      </w:r>
      <w:r w:rsidR="003561FB" w:rsidRPr="00AF23B1">
        <w:rPr>
          <w:sz w:val="24"/>
          <w:szCs w:val="24"/>
        </w:rPr>
        <w:t>h</w:t>
      </w:r>
      <w:r w:rsidR="003020F6" w:rsidRPr="00AF23B1">
        <w:rPr>
          <w:sz w:val="24"/>
          <w:szCs w:val="24"/>
        </w:rPr>
        <w:t>is Lordship</w:t>
      </w:r>
      <w:r w:rsidR="00D26FA6">
        <w:rPr>
          <w:sz w:val="24"/>
          <w:szCs w:val="24"/>
        </w:rPr>
        <w:t xml:space="preserve"> </w:t>
      </w:r>
      <w:r w:rsidR="003020F6" w:rsidRPr="00AF23B1">
        <w:rPr>
          <w:sz w:val="24"/>
          <w:szCs w:val="24"/>
        </w:rPr>
        <w:t xml:space="preserve">was </w:t>
      </w:r>
      <w:r w:rsidR="00493925" w:rsidRPr="00AF23B1">
        <w:rPr>
          <w:sz w:val="24"/>
          <w:szCs w:val="24"/>
        </w:rPr>
        <w:t>a</w:t>
      </w:r>
      <w:r w:rsidR="003020F6" w:rsidRPr="00AF23B1">
        <w:rPr>
          <w:sz w:val="24"/>
          <w:szCs w:val="24"/>
        </w:rPr>
        <w:t xml:space="preserve"> lack of House of Lords or Supreme </w:t>
      </w:r>
      <w:r w:rsidR="00804977" w:rsidRPr="00AF23B1">
        <w:rPr>
          <w:sz w:val="24"/>
          <w:szCs w:val="24"/>
        </w:rPr>
        <w:t>Court</w:t>
      </w:r>
      <w:r w:rsidR="003020F6" w:rsidRPr="00AF23B1">
        <w:rPr>
          <w:sz w:val="24"/>
          <w:szCs w:val="24"/>
        </w:rPr>
        <w:t xml:space="preserve"> authority</w:t>
      </w:r>
      <w:r w:rsidR="003561FB" w:rsidRPr="00AF23B1">
        <w:rPr>
          <w:sz w:val="24"/>
          <w:szCs w:val="24"/>
        </w:rPr>
        <w:t xml:space="preserve"> for piercing the veil</w:t>
      </w:r>
      <w:r w:rsidR="003020F6" w:rsidRPr="00AF23B1">
        <w:rPr>
          <w:sz w:val="24"/>
          <w:szCs w:val="24"/>
        </w:rPr>
        <w:t xml:space="preserve">. Very </w:t>
      </w:r>
      <w:r w:rsidR="000E0DB7" w:rsidRPr="00AF23B1">
        <w:rPr>
          <w:sz w:val="24"/>
          <w:szCs w:val="24"/>
        </w:rPr>
        <w:t xml:space="preserve">many of the well-known cases which </w:t>
      </w:r>
      <w:r w:rsidR="003561FB" w:rsidRPr="00AF23B1">
        <w:rPr>
          <w:sz w:val="24"/>
          <w:szCs w:val="24"/>
        </w:rPr>
        <w:t>discuss the veil</w:t>
      </w:r>
      <w:r w:rsidR="000E0DB7" w:rsidRPr="00AF23B1">
        <w:rPr>
          <w:sz w:val="24"/>
          <w:szCs w:val="24"/>
        </w:rPr>
        <w:t xml:space="preserve"> have been heard in the </w:t>
      </w:r>
      <w:r w:rsidR="00133BB3" w:rsidRPr="00AF23B1">
        <w:rPr>
          <w:sz w:val="24"/>
          <w:szCs w:val="24"/>
        </w:rPr>
        <w:t>C</w:t>
      </w:r>
      <w:r w:rsidR="00EC4EF8" w:rsidRPr="00AF23B1">
        <w:rPr>
          <w:sz w:val="24"/>
          <w:szCs w:val="24"/>
        </w:rPr>
        <w:t>ourt of Appeal.</w:t>
      </w:r>
      <w:r w:rsidR="00493925" w:rsidRPr="00AF23B1">
        <w:rPr>
          <w:rStyle w:val="FootnoteReference"/>
          <w:sz w:val="24"/>
          <w:szCs w:val="24"/>
        </w:rPr>
        <w:footnoteReference w:id="11"/>
      </w:r>
      <w:r w:rsidR="007D0445" w:rsidRPr="00AF23B1">
        <w:rPr>
          <w:sz w:val="24"/>
          <w:szCs w:val="24"/>
        </w:rPr>
        <w:t xml:space="preserve">  </w:t>
      </w:r>
      <w:r w:rsidR="00DF4907" w:rsidRPr="00AF23B1">
        <w:rPr>
          <w:i/>
          <w:sz w:val="24"/>
          <w:szCs w:val="24"/>
        </w:rPr>
        <w:t>Salomon v Salomon</w:t>
      </w:r>
      <w:r w:rsidR="00DF4907">
        <w:rPr>
          <w:i/>
          <w:sz w:val="24"/>
          <w:szCs w:val="24"/>
        </w:rPr>
        <w:t xml:space="preserve"> &amp; Co.</w:t>
      </w:r>
      <w:r w:rsidR="00DF4907" w:rsidRPr="00AF23B1">
        <w:rPr>
          <w:rStyle w:val="FootnoteReference"/>
          <w:i/>
          <w:sz w:val="24"/>
          <w:szCs w:val="24"/>
        </w:rPr>
        <w:footnoteReference w:id="12"/>
      </w:r>
      <w:r w:rsidR="00DF4907" w:rsidRPr="00AF23B1">
        <w:rPr>
          <w:sz w:val="24"/>
          <w:szCs w:val="24"/>
        </w:rPr>
        <w:t xml:space="preserve">, </w:t>
      </w:r>
      <w:r w:rsidR="00DF4907">
        <w:rPr>
          <w:sz w:val="24"/>
          <w:szCs w:val="24"/>
        </w:rPr>
        <w:t xml:space="preserve">however, </w:t>
      </w:r>
      <w:r w:rsidR="007D0445" w:rsidRPr="00AF23B1">
        <w:rPr>
          <w:sz w:val="24"/>
          <w:szCs w:val="24"/>
        </w:rPr>
        <w:t xml:space="preserve">was a </w:t>
      </w:r>
      <w:r w:rsidR="003020F6" w:rsidRPr="00AF23B1">
        <w:rPr>
          <w:sz w:val="24"/>
          <w:szCs w:val="24"/>
        </w:rPr>
        <w:t xml:space="preserve">House of Lords </w:t>
      </w:r>
      <w:r w:rsidR="007D0445" w:rsidRPr="00AF23B1">
        <w:rPr>
          <w:sz w:val="24"/>
          <w:szCs w:val="24"/>
        </w:rPr>
        <w:t xml:space="preserve">decision. </w:t>
      </w:r>
      <w:r w:rsidR="007D0445" w:rsidRPr="00AF23B1">
        <w:rPr>
          <w:i/>
          <w:sz w:val="24"/>
          <w:szCs w:val="24"/>
        </w:rPr>
        <w:t>Salomon,</w:t>
      </w:r>
      <w:r w:rsidR="007D0445" w:rsidRPr="00AF23B1">
        <w:rPr>
          <w:sz w:val="24"/>
          <w:szCs w:val="24"/>
        </w:rPr>
        <w:t xml:space="preserve"> said Lord Neuberger, could be seen as an early attempt to pierce the veil</w:t>
      </w:r>
      <w:r w:rsidR="003020F6" w:rsidRPr="00AF23B1">
        <w:rPr>
          <w:sz w:val="24"/>
          <w:szCs w:val="24"/>
        </w:rPr>
        <w:t>.</w:t>
      </w:r>
      <w:r w:rsidR="007D0445" w:rsidRPr="00AF23B1">
        <w:rPr>
          <w:sz w:val="24"/>
          <w:szCs w:val="24"/>
        </w:rPr>
        <w:t xml:space="preserve"> </w:t>
      </w:r>
      <w:r w:rsidR="003020F6" w:rsidRPr="00AF23B1">
        <w:rPr>
          <w:sz w:val="24"/>
          <w:szCs w:val="24"/>
        </w:rPr>
        <w:t>Th</w:t>
      </w:r>
      <w:r w:rsidR="00D845FB" w:rsidRPr="00AF23B1">
        <w:rPr>
          <w:sz w:val="24"/>
          <w:szCs w:val="24"/>
        </w:rPr>
        <w:t>at</w:t>
      </w:r>
      <w:r w:rsidR="007D0445" w:rsidRPr="00AF23B1">
        <w:rPr>
          <w:sz w:val="24"/>
          <w:szCs w:val="24"/>
        </w:rPr>
        <w:t xml:space="preserve"> attempt had failed “not on the facts but as a matter of principle”. Lord Halsbury had stated</w:t>
      </w:r>
      <w:r w:rsidR="00765108">
        <w:rPr>
          <w:sz w:val="24"/>
          <w:szCs w:val="24"/>
        </w:rPr>
        <w:t xml:space="preserve"> (unequivocally)</w:t>
      </w:r>
      <w:r w:rsidR="007D0445" w:rsidRPr="00AF23B1">
        <w:rPr>
          <w:sz w:val="24"/>
          <w:szCs w:val="24"/>
        </w:rPr>
        <w:t xml:space="preserve"> that a company “must be treated like any other independent person with its rights and liabilities appropriate to itself.” Thus</w:t>
      </w:r>
      <w:r w:rsidR="00E9261D">
        <w:rPr>
          <w:sz w:val="24"/>
          <w:szCs w:val="24"/>
        </w:rPr>
        <w:t>,</w:t>
      </w:r>
      <w:r w:rsidR="007D0445" w:rsidRPr="00AF23B1">
        <w:rPr>
          <w:sz w:val="24"/>
          <w:szCs w:val="24"/>
        </w:rPr>
        <w:t xml:space="preserve"> it might be argued</w:t>
      </w:r>
      <w:r w:rsidR="00E9261D">
        <w:rPr>
          <w:sz w:val="24"/>
          <w:szCs w:val="24"/>
        </w:rPr>
        <w:t>,</w:t>
      </w:r>
      <w:r w:rsidR="007D0445" w:rsidRPr="00AF23B1">
        <w:rPr>
          <w:sz w:val="24"/>
          <w:szCs w:val="24"/>
        </w:rPr>
        <w:t xml:space="preserve"> the highest judicial authority </w:t>
      </w:r>
      <w:r w:rsidR="004616CB" w:rsidRPr="00AF23B1">
        <w:rPr>
          <w:sz w:val="24"/>
          <w:szCs w:val="24"/>
        </w:rPr>
        <w:t xml:space="preserve">has </w:t>
      </w:r>
      <w:r w:rsidR="007D0445" w:rsidRPr="00AF23B1">
        <w:rPr>
          <w:sz w:val="24"/>
          <w:szCs w:val="24"/>
        </w:rPr>
        <w:t>state</w:t>
      </w:r>
      <w:r w:rsidR="004616CB" w:rsidRPr="00AF23B1">
        <w:rPr>
          <w:sz w:val="24"/>
          <w:szCs w:val="24"/>
        </w:rPr>
        <w:t>d</w:t>
      </w:r>
      <w:r w:rsidR="007D0445" w:rsidRPr="00AF23B1">
        <w:rPr>
          <w:sz w:val="24"/>
          <w:szCs w:val="24"/>
        </w:rPr>
        <w:t xml:space="preserve"> that the veil cannot be pierced. </w:t>
      </w:r>
    </w:p>
    <w:p w:rsidR="004616CB" w:rsidRDefault="00BA6990" w:rsidP="0039228B">
      <w:pPr>
        <w:spacing w:line="360" w:lineRule="auto"/>
        <w:jc w:val="both"/>
        <w:rPr>
          <w:sz w:val="24"/>
          <w:szCs w:val="24"/>
        </w:rPr>
      </w:pPr>
      <w:r w:rsidRPr="00AF23B1">
        <w:rPr>
          <w:sz w:val="24"/>
          <w:szCs w:val="24"/>
        </w:rPr>
        <w:t xml:space="preserve">If, as </w:t>
      </w:r>
      <w:r w:rsidR="00FC2DE4">
        <w:rPr>
          <w:sz w:val="24"/>
          <w:szCs w:val="24"/>
        </w:rPr>
        <w:t>is</w:t>
      </w:r>
      <w:r w:rsidR="00DF4907">
        <w:rPr>
          <w:sz w:val="24"/>
          <w:szCs w:val="24"/>
        </w:rPr>
        <w:t xml:space="preserve"> clearly</w:t>
      </w:r>
      <w:r w:rsidRPr="00AF23B1">
        <w:rPr>
          <w:sz w:val="24"/>
          <w:szCs w:val="24"/>
        </w:rPr>
        <w:t xml:space="preserve"> the case, numerous judges in </w:t>
      </w:r>
      <w:r w:rsidR="004616CB" w:rsidRPr="00AF23B1">
        <w:rPr>
          <w:sz w:val="24"/>
          <w:szCs w:val="24"/>
        </w:rPr>
        <w:t xml:space="preserve">subsequent </w:t>
      </w:r>
      <w:r w:rsidRPr="00AF23B1">
        <w:rPr>
          <w:sz w:val="24"/>
          <w:szCs w:val="24"/>
        </w:rPr>
        <w:t>cases have proceeded on the basis that the power to pierce the veil exists, this raise</w:t>
      </w:r>
      <w:r w:rsidR="00FC2DE4">
        <w:rPr>
          <w:sz w:val="24"/>
          <w:szCs w:val="24"/>
        </w:rPr>
        <w:t xml:space="preserve">s many </w:t>
      </w:r>
      <w:r w:rsidRPr="00AF23B1">
        <w:rPr>
          <w:sz w:val="24"/>
          <w:szCs w:val="24"/>
        </w:rPr>
        <w:t>questions</w:t>
      </w:r>
      <w:r w:rsidR="00E642C6" w:rsidRPr="00AF23B1">
        <w:rPr>
          <w:sz w:val="24"/>
          <w:szCs w:val="24"/>
        </w:rPr>
        <w:t xml:space="preserve"> as to the authority on which the</w:t>
      </w:r>
      <w:r w:rsidR="002214A9" w:rsidRPr="00AF23B1">
        <w:rPr>
          <w:sz w:val="24"/>
          <w:szCs w:val="24"/>
        </w:rPr>
        <w:t>ir decisions were based</w:t>
      </w:r>
      <w:r w:rsidR="00FC2DE4">
        <w:rPr>
          <w:sz w:val="24"/>
          <w:szCs w:val="24"/>
        </w:rPr>
        <w:t>. Regardless of that however</w:t>
      </w:r>
      <w:r w:rsidR="00804977" w:rsidRPr="00AF23B1">
        <w:rPr>
          <w:sz w:val="24"/>
          <w:szCs w:val="24"/>
        </w:rPr>
        <w:t xml:space="preserve"> – </w:t>
      </w:r>
      <w:r w:rsidR="00FC2DE4" w:rsidRPr="00AF23B1">
        <w:rPr>
          <w:sz w:val="24"/>
          <w:szCs w:val="24"/>
        </w:rPr>
        <w:t>and crucially</w:t>
      </w:r>
      <w:r w:rsidR="00804977" w:rsidRPr="00AF23B1">
        <w:rPr>
          <w:sz w:val="24"/>
          <w:szCs w:val="24"/>
        </w:rPr>
        <w:t xml:space="preserve"> -</w:t>
      </w:r>
      <w:r w:rsidRPr="00AF23B1">
        <w:rPr>
          <w:sz w:val="24"/>
          <w:szCs w:val="24"/>
        </w:rPr>
        <w:t xml:space="preserve"> </w:t>
      </w:r>
      <w:r w:rsidR="00E642C6" w:rsidRPr="00AF23B1">
        <w:rPr>
          <w:sz w:val="24"/>
          <w:szCs w:val="24"/>
        </w:rPr>
        <w:t xml:space="preserve">those decisions </w:t>
      </w:r>
      <w:r w:rsidRPr="00AF23B1">
        <w:rPr>
          <w:sz w:val="24"/>
          <w:szCs w:val="24"/>
        </w:rPr>
        <w:t>would</w:t>
      </w:r>
      <w:r w:rsidR="00D845FB" w:rsidRPr="00AF23B1">
        <w:rPr>
          <w:sz w:val="24"/>
          <w:szCs w:val="24"/>
        </w:rPr>
        <w:t xml:space="preserve"> </w:t>
      </w:r>
      <w:r w:rsidRPr="00AF23B1">
        <w:rPr>
          <w:sz w:val="24"/>
          <w:szCs w:val="24"/>
        </w:rPr>
        <w:t xml:space="preserve">not </w:t>
      </w:r>
      <w:r w:rsidR="004616CB" w:rsidRPr="00AF23B1">
        <w:rPr>
          <w:sz w:val="24"/>
          <w:szCs w:val="24"/>
        </w:rPr>
        <w:t xml:space="preserve">be </w:t>
      </w:r>
      <w:r w:rsidRPr="00AF23B1">
        <w:rPr>
          <w:sz w:val="24"/>
          <w:szCs w:val="24"/>
        </w:rPr>
        <w:t>bind</w:t>
      </w:r>
      <w:r w:rsidR="004616CB" w:rsidRPr="00AF23B1">
        <w:rPr>
          <w:sz w:val="24"/>
          <w:szCs w:val="24"/>
        </w:rPr>
        <w:t>ing on</w:t>
      </w:r>
      <w:r w:rsidRPr="00AF23B1">
        <w:rPr>
          <w:sz w:val="24"/>
          <w:szCs w:val="24"/>
        </w:rPr>
        <w:t xml:space="preserve"> the Supreme Court</w:t>
      </w:r>
      <w:r w:rsidR="002214A9" w:rsidRPr="00AF23B1">
        <w:rPr>
          <w:sz w:val="24"/>
          <w:szCs w:val="24"/>
        </w:rPr>
        <w:t xml:space="preserve">. </w:t>
      </w:r>
      <w:r w:rsidR="007D0445" w:rsidRPr="00AF23B1">
        <w:rPr>
          <w:sz w:val="24"/>
          <w:szCs w:val="24"/>
        </w:rPr>
        <w:t xml:space="preserve"> </w:t>
      </w:r>
      <w:r w:rsidR="004616CB" w:rsidRPr="00AF23B1">
        <w:rPr>
          <w:sz w:val="24"/>
          <w:szCs w:val="24"/>
        </w:rPr>
        <w:t xml:space="preserve">In short, as a matter of strict law, </w:t>
      </w:r>
      <w:r w:rsidR="00EC4EF8" w:rsidRPr="00AF23B1">
        <w:rPr>
          <w:sz w:val="24"/>
          <w:szCs w:val="24"/>
        </w:rPr>
        <w:t>previous Court</w:t>
      </w:r>
      <w:r w:rsidR="004616CB" w:rsidRPr="00AF23B1">
        <w:rPr>
          <w:sz w:val="24"/>
          <w:szCs w:val="24"/>
        </w:rPr>
        <w:t xml:space="preserve"> of Appeal decisions were not relevant. </w:t>
      </w:r>
      <w:r w:rsidR="00C96E03">
        <w:rPr>
          <w:sz w:val="24"/>
          <w:szCs w:val="24"/>
        </w:rPr>
        <w:t xml:space="preserve">As a matter of precedent, </w:t>
      </w:r>
      <w:r w:rsidR="00C96E03" w:rsidRPr="00AF23B1">
        <w:rPr>
          <w:sz w:val="24"/>
          <w:szCs w:val="24"/>
        </w:rPr>
        <w:t>Lord Neuberger required a subsequent House of Lords or Supreme Court authority</w:t>
      </w:r>
      <w:r w:rsidR="00C96E03">
        <w:rPr>
          <w:sz w:val="24"/>
          <w:szCs w:val="24"/>
        </w:rPr>
        <w:t xml:space="preserve"> in order t</w:t>
      </w:r>
      <w:r w:rsidR="00E642C6" w:rsidRPr="00AF23B1">
        <w:rPr>
          <w:sz w:val="24"/>
          <w:szCs w:val="24"/>
        </w:rPr>
        <w:t xml:space="preserve">o be able to </w:t>
      </w:r>
      <w:r w:rsidR="004616CB" w:rsidRPr="00AF23B1">
        <w:rPr>
          <w:sz w:val="24"/>
          <w:szCs w:val="24"/>
        </w:rPr>
        <w:t xml:space="preserve">either </w:t>
      </w:r>
      <w:r w:rsidR="00E642C6" w:rsidRPr="00AF23B1">
        <w:rPr>
          <w:sz w:val="24"/>
          <w:szCs w:val="24"/>
        </w:rPr>
        <w:t>disregard</w:t>
      </w:r>
      <w:r w:rsidR="00D845FB" w:rsidRPr="00AF23B1">
        <w:rPr>
          <w:sz w:val="24"/>
          <w:szCs w:val="24"/>
        </w:rPr>
        <w:t>,</w:t>
      </w:r>
      <w:r w:rsidR="00E642C6" w:rsidRPr="00AF23B1">
        <w:rPr>
          <w:sz w:val="24"/>
          <w:szCs w:val="24"/>
        </w:rPr>
        <w:t xml:space="preserve"> or at least rely on a refinement</w:t>
      </w:r>
      <w:r w:rsidR="00DE029F">
        <w:rPr>
          <w:sz w:val="24"/>
          <w:szCs w:val="24"/>
        </w:rPr>
        <w:t>,</w:t>
      </w:r>
      <w:r w:rsidR="00E642C6" w:rsidRPr="00AF23B1">
        <w:rPr>
          <w:sz w:val="24"/>
          <w:szCs w:val="24"/>
        </w:rPr>
        <w:t xml:space="preserve"> </w:t>
      </w:r>
      <w:r w:rsidR="004616CB" w:rsidRPr="00AF23B1">
        <w:rPr>
          <w:sz w:val="24"/>
          <w:szCs w:val="24"/>
        </w:rPr>
        <w:t xml:space="preserve">of </w:t>
      </w:r>
      <w:r w:rsidR="009C24DC">
        <w:rPr>
          <w:sz w:val="24"/>
          <w:szCs w:val="24"/>
        </w:rPr>
        <w:t>any</w:t>
      </w:r>
      <w:r w:rsidR="00E642C6" w:rsidRPr="00AF23B1">
        <w:rPr>
          <w:sz w:val="24"/>
          <w:szCs w:val="24"/>
        </w:rPr>
        <w:t xml:space="preserve"> principle established in </w:t>
      </w:r>
      <w:r w:rsidR="00E642C6" w:rsidRPr="00D26FA6">
        <w:rPr>
          <w:i/>
          <w:sz w:val="24"/>
          <w:szCs w:val="24"/>
        </w:rPr>
        <w:t>Salomon</w:t>
      </w:r>
      <w:r w:rsidR="00E642C6" w:rsidRPr="00AF23B1">
        <w:rPr>
          <w:sz w:val="24"/>
          <w:szCs w:val="24"/>
        </w:rPr>
        <w:t>.</w:t>
      </w:r>
    </w:p>
    <w:p w:rsidR="002D3C86" w:rsidRPr="002D3C86" w:rsidRDefault="002D3C86" w:rsidP="0039228B">
      <w:pPr>
        <w:spacing w:line="360" w:lineRule="auto"/>
        <w:jc w:val="both"/>
        <w:rPr>
          <w:b/>
          <w:sz w:val="24"/>
          <w:szCs w:val="24"/>
        </w:rPr>
      </w:pPr>
      <w:r w:rsidRPr="002D3C86">
        <w:rPr>
          <w:b/>
          <w:sz w:val="24"/>
          <w:szCs w:val="24"/>
        </w:rPr>
        <w:t>Woolfson</w:t>
      </w:r>
    </w:p>
    <w:p w:rsidR="004616CB" w:rsidRPr="00AF23B1" w:rsidRDefault="002214A9" w:rsidP="0039228B">
      <w:pPr>
        <w:spacing w:line="360" w:lineRule="auto"/>
        <w:jc w:val="both"/>
        <w:rPr>
          <w:sz w:val="24"/>
          <w:szCs w:val="24"/>
        </w:rPr>
      </w:pPr>
      <w:r w:rsidRPr="00AF23B1">
        <w:rPr>
          <w:sz w:val="24"/>
          <w:szCs w:val="24"/>
        </w:rPr>
        <w:t>The only House of Lords decision to which Lord Neuberger referred (i</w:t>
      </w:r>
      <w:r w:rsidR="00B87481">
        <w:rPr>
          <w:sz w:val="24"/>
          <w:szCs w:val="24"/>
        </w:rPr>
        <w:t>n this section of the judgement)</w:t>
      </w:r>
      <w:r w:rsidRPr="00AF23B1">
        <w:rPr>
          <w:sz w:val="24"/>
          <w:szCs w:val="24"/>
        </w:rPr>
        <w:t xml:space="preserve"> </w:t>
      </w:r>
      <w:r w:rsidR="00E642C6" w:rsidRPr="00AF23B1">
        <w:rPr>
          <w:sz w:val="24"/>
          <w:szCs w:val="24"/>
        </w:rPr>
        <w:t xml:space="preserve">was </w:t>
      </w:r>
      <w:r w:rsidR="00E642C6" w:rsidRPr="00AF23B1">
        <w:rPr>
          <w:i/>
          <w:sz w:val="24"/>
          <w:szCs w:val="24"/>
        </w:rPr>
        <w:t>Woolfson v Strathclyde</w:t>
      </w:r>
      <w:r w:rsidR="00DE029F">
        <w:rPr>
          <w:i/>
          <w:sz w:val="24"/>
          <w:szCs w:val="24"/>
        </w:rPr>
        <w:t xml:space="preserve"> Regional Council</w:t>
      </w:r>
      <w:r w:rsidR="00C96E03">
        <w:rPr>
          <w:sz w:val="24"/>
          <w:szCs w:val="24"/>
        </w:rPr>
        <w:t>,</w:t>
      </w:r>
      <w:r w:rsidR="003561FB" w:rsidRPr="00AF23B1">
        <w:rPr>
          <w:rStyle w:val="FootnoteReference"/>
          <w:sz w:val="24"/>
          <w:szCs w:val="24"/>
        </w:rPr>
        <w:footnoteReference w:id="13"/>
      </w:r>
      <w:r w:rsidR="003561FB" w:rsidRPr="00AF23B1">
        <w:rPr>
          <w:sz w:val="24"/>
          <w:szCs w:val="24"/>
        </w:rPr>
        <w:t xml:space="preserve"> </w:t>
      </w:r>
      <w:r w:rsidRPr="00AF23B1">
        <w:rPr>
          <w:sz w:val="24"/>
          <w:szCs w:val="24"/>
        </w:rPr>
        <w:t>but he seemed to attach little weight to it</w:t>
      </w:r>
      <w:r w:rsidR="00E642C6" w:rsidRPr="00AF23B1">
        <w:rPr>
          <w:sz w:val="24"/>
          <w:szCs w:val="24"/>
        </w:rPr>
        <w:t xml:space="preserve">. </w:t>
      </w:r>
      <w:r w:rsidRPr="00AF23B1">
        <w:rPr>
          <w:sz w:val="24"/>
          <w:szCs w:val="24"/>
        </w:rPr>
        <w:t>He dealt</w:t>
      </w:r>
      <w:r w:rsidR="00E642C6" w:rsidRPr="00AF23B1">
        <w:rPr>
          <w:sz w:val="24"/>
          <w:szCs w:val="24"/>
        </w:rPr>
        <w:t xml:space="preserve"> with it in </w:t>
      </w:r>
      <w:r w:rsidRPr="00AF23B1">
        <w:rPr>
          <w:sz w:val="24"/>
          <w:szCs w:val="24"/>
        </w:rPr>
        <w:t>two short</w:t>
      </w:r>
      <w:r w:rsidR="00E642C6" w:rsidRPr="00AF23B1">
        <w:rPr>
          <w:sz w:val="24"/>
          <w:szCs w:val="24"/>
        </w:rPr>
        <w:t xml:space="preserve"> </w:t>
      </w:r>
      <w:r w:rsidR="00C94A6A" w:rsidRPr="00AF23B1">
        <w:rPr>
          <w:sz w:val="24"/>
          <w:szCs w:val="24"/>
        </w:rPr>
        <w:t>paragraphs, the second of which concluded:</w:t>
      </w:r>
      <w:r w:rsidR="004616CB" w:rsidRPr="00AF23B1">
        <w:rPr>
          <w:sz w:val="24"/>
          <w:szCs w:val="24"/>
        </w:rPr>
        <w:t xml:space="preserve"> </w:t>
      </w:r>
    </w:p>
    <w:p w:rsidR="00C94A6A" w:rsidRPr="00AF23B1" w:rsidRDefault="00C94A6A" w:rsidP="0039228B">
      <w:pPr>
        <w:spacing w:line="360" w:lineRule="auto"/>
        <w:jc w:val="both"/>
        <w:rPr>
          <w:sz w:val="24"/>
          <w:szCs w:val="24"/>
        </w:rPr>
      </w:pPr>
      <w:r w:rsidRPr="00AF23B1">
        <w:rPr>
          <w:sz w:val="24"/>
          <w:szCs w:val="24"/>
        </w:rPr>
        <w:lastRenderedPageBreak/>
        <w:t xml:space="preserve"> </w:t>
      </w:r>
      <w:r w:rsidR="007B21C0" w:rsidRPr="00AF23B1">
        <w:rPr>
          <w:sz w:val="24"/>
          <w:szCs w:val="24"/>
        </w:rPr>
        <w:t>“</w:t>
      </w:r>
      <w:bookmarkStart w:id="0" w:name="para121"/>
      <w:r w:rsidR="007B21C0" w:rsidRPr="00AF23B1">
        <w:rPr>
          <w:sz w:val="24"/>
          <w:szCs w:val="24"/>
        </w:rPr>
        <w:t xml:space="preserve">The brief discussion of the principle in </w:t>
      </w:r>
      <w:r w:rsidR="007B21C0" w:rsidRPr="00AF23B1">
        <w:rPr>
          <w:i/>
          <w:iCs/>
          <w:sz w:val="24"/>
          <w:szCs w:val="24"/>
        </w:rPr>
        <w:t xml:space="preserve">Woolfson </w:t>
      </w:r>
      <w:r w:rsidR="007B21C0" w:rsidRPr="00AF23B1">
        <w:rPr>
          <w:sz w:val="24"/>
          <w:szCs w:val="24"/>
        </w:rPr>
        <w:t xml:space="preserve">does not justify the contention that it was somehow affirmed or approved by the House: Lord Keith's remarks were obiter, and the power of the court to pierce the corporate veil does not appear to have been in issue in that case. The most that can be said about </w:t>
      </w:r>
      <w:r w:rsidR="007B21C0" w:rsidRPr="00AF23B1">
        <w:rPr>
          <w:i/>
          <w:iCs/>
          <w:sz w:val="24"/>
          <w:szCs w:val="24"/>
        </w:rPr>
        <w:t xml:space="preserve">Woolfson </w:t>
      </w:r>
      <w:r w:rsidR="007B21C0" w:rsidRPr="00AF23B1">
        <w:rPr>
          <w:sz w:val="24"/>
          <w:szCs w:val="24"/>
        </w:rPr>
        <w:t>from the perspective of VTB is that the House was prepared to assume that the power existed.”</w:t>
      </w:r>
      <w:r w:rsidRPr="00AF23B1">
        <w:rPr>
          <w:sz w:val="24"/>
          <w:szCs w:val="24"/>
        </w:rPr>
        <w:t xml:space="preserve"> </w:t>
      </w:r>
    </w:p>
    <w:p w:rsidR="00E9261D" w:rsidRDefault="00C94A6A" w:rsidP="0039228B">
      <w:pPr>
        <w:spacing w:line="360" w:lineRule="auto"/>
        <w:jc w:val="both"/>
        <w:rPr>
          <w:sz w:val="24"/>
          <w:szCs w:val="24"/>
        </w:rPr>
      </w:pPr>
      <w:r w:rsidRPr="00AF23B1">
        <w:rPr>
          <w:sz w:val="24"/>
          <w:szCs w:val="24"/>
        </w:rPr>
        <w:t xml:space="preserve">It is </w:t>
      </w:r>
      <w:r w:rsidR="009C24DC">
        <w:rPr>
          <w:sz w:val="24"/>
          <w:szCs w:val="24"/>
        </w:rPr>
        <w:t xml:space="preserve">respectfully </w:t>
      </w:r>
      <w:r w:rsidRPr="00AF23B1">
        <w:rPr>
          <w:sz w:val="24"/>
          <w:szCs w:val="24"/>
        </w:rPr>
        <w:t xml:space="preserve">submitted that this conclusion and the brief rationale provided for it, </w:t>
      </w:r>
      <w:r w:rsidR="00EC4EF8" w:rsidRPr="00AF23B1">
        <w:rPr>
          <w:sz w:val="24"/>
          <w:szCs w:val="24"/>
        </w:rPr>
        <w:t>are open to question</w:t>
      </w:r>
      <w:r w:rsidR="00E9261D">
        <w:rPr>
          <w:sz w:val="24"/>
          <w:szCs w:val="24"/>
        </w:rPr>
        <w:t>.</w:t>
      </w:r>
      <w:r w:rsidR="00EC4EF8" w:rsidRPr="00AF23B1">
        <w:rPr>
          <w:sz w:val="24"/>
          <w:szCs w:val="24"/>
        </w:rPr>
        <w:t xml:space="preserve"> </w:t>
      </w:r>
      <w:bookmarkEnd w:id="0"/>
    </w:p>
    <w:p w:rsidR="00596044" w:rsidRPr="00AF23B1" w:rsidRDefault="00C94A6A" w:rsidP="0039228B">
      <w:pPr>
        <w:spacing w:line="360" w:lineRule="auto"/>
        <w:jc w:val="both"/>
        <w:rPr>
          <w:sz w:val="24"/>
          <w:szCs w:val="24"/>
        </w:rPr>
      </w:pPr>
      <w:r w:rsidRPr="00AF23B1">
        <w:rPr>
          <w:sz w:val="24"/>
          <w:szCs w:val="24"/>
        </w:rPr>
        <w:t>I</w:t>
      </w:r>
      <w:r w:rsidR="00596044" w:rsidRPr="00AF23B1">
        <w:rPr>
          <w:sz w:val="24"/>
          <w:szCs w:val="24"/>
        </w:rPr>
        <w:t>t is true that the discussion</w:t>
      </w:r>
      <w:r w:rsidRPr="00AF23B1">
        <w:rPr>
          <w:sz w:val="24"/>
          <w:szCs w:val="24"/>
        </w:rPr>
        <w:t xml:space="preserve"> of </w:t>
      </w:r>
      <w:r w:rsidR="00613780">
        <w:rPr>
          <w:sz w:val="24"/>
          <w:szCs w:val="24"/>
        </w:rPr>
        <w:t xml:space="preserve">the </w:t>
      </w:r>
      <w:r w:rsidRPr="00AF23B1">
        <w:rPr>
          <w:sz w:val="24"/>
          <w:szCs w:val="24"/>
        </w:rPr>
        <w:t>principle</w:t>
      </w:r>
      <w:r w:rsidR="00596044" w:rsidRPr="00AF23B1">
        <w:rPr>
          <w:sz w:val="24"/>
          <w:szCs w:val="24"/>
        </w:rPr>
        <w:t xml:space="preserve"> in </w:t>
      </w:r>
      <w:r w:rsidR="00596044" w:rsidRPr="00D26FA6">
        <w:rPr>
          <w:i/>
          <w:sz w:val="24"/>
          <w:szCs w:val="24"/>
        </w:rPr>
        <w:t>Woolfson</w:t>
      </w:r>
      <w:r w:rsidR="00596044" w:rsidRPr="00AF23B1">
        <w:rPr>
          <w:sz w:val="24"/>
          <w:szCs w:val="24"/>
        </w:rPr>
        <w:t xml:space="preserve"> is brief,</w:t>
      </w:r>
      <w:r w:rsidRPr="00AF23B1">
        <w:rPr>
          <w:sz w:val="24"/>
          <w:szCs w:val="24"/>
        </w:rPr>
        <w:t xml:space="preserve"> as is the judgement as a whole. Equally i</w:t>
      </w:r>
      <w:r w:rsidR="00596044" w:rsidRPr="00AF23B1">
        <w:rPr>
          <w:sz w:val="24"/>
          <w:szCs w:val="24"/>
        </w:rPr>
        <w:t xml:space="preserve">t is true, as Lord Neuberger </w:t>
      </w:r>
      <w:proofErr w:type="gramStart"/>
      <w:r w:rsidR="00804977" w:rsidRPr="00AF23B1">
        <w:rPr>
          <w:sz w:val="24"/>
          <w:szCs w:val="24"/>
        </w:rPr>
        <w:t>suggests,</w:t>
      </w:r>
      <w:proofErr w:type="gramEnd"/>
      <w:r w:rsidR="00774EED" w:rsidRPr="00AF23B1">
        <w:rPr>
          <w:sz w:val="24"/>
          <w:szCs w:val="24"/>
        </w:rPr>
        <w:t xml:space="preserve"> that</w:t>
      </w:r>
      <w:r w:rsidR="00596044" w:rsidRPr="00AF23B1">
        <w:rPr>
          <w:sz w:val="24"/>
          <w:szCs w:val="24"/>
        </w:rPr>
        <w:t xml:space="preserve"> </w:t>
      </w:r>
      <w:r w:rsidR="00E67836" w:rsidRPr="00AF23B1">
        <w:rPr>
          <w:sz w:val="24"/>
          <w:szCs w:val="24"/>
        </w:rPr>
        <w:t xml:space="preserve">the power of the court to pierce the corporate veil was not </w:t>
      </w:r>
      <w:r w:rsidR="00EC4EF8" w:rsidRPr="00AF23B1">
        <w:rPr>
          <w:sz w:val="24"/>
          <w:szCs w:val="24"/>
        </w:rPr>
        <w:t xml:space="preserve">specifically </w:t>
      </w:r>
      <w:r w:rsidR="00E67836" w:rsidRPr="00AF23B1">
        <w:rPr>
          <w:sz w:val="24"/>
          <w:szCs w:val="24"/>
        </w:rPr>
        <w:t xml:space="preserve">an issue in </w:t>
      </w:r>
      <w:r w:rsidRPr="00D26FA6">
        <w:rPr>
          <w:i/>
          <w:sz w:val="24"/>
          <w:szCs w:val="24"/>
        </w:rPr>
        <w:t>Woolfson</w:t>
      </w:r>
      <w:r w:rsidRPr="00AF23B1">
        <w:rPr>
          <w:sz w:val="24"/>
          <w:szCs w:val="24"/>
        </w:rPr>
        <w:t xml:space="preserve">. On the other hand </w:t>
      </w:r>
      <w:r w:rsidR="00E67836" w:rsidRPr="00AF23B1">
        <w:rPr>
          <w:sz w:val="24"/>
          <w:szCs w:val="24"/>
        </w:rPr>
        <w:t xml:space="preserve">it is difficult to regard Lord Keith’s comments as mere obiter. Similarly it is difficult to </w:t>
      </w:r>
      <w:r w:rsidR="003561FB" w:rsidRPr="00AF23B1">
        <w:rPr>
          <w:sz w:val="24"/>
          <w:szCs w:val="24"/>
        </w:rPr>
        <w:t xml:space="preserve">agree that “The most that can be said about </w:t>
      </w:r>
      <w:r w:rsidR="003561FB" w:rsidRPr="00AF23B1">
        <w:rPr>
          <w:i/>
          <w:iCs/>
          <w:sz w:val="24"/>
          <w:szCs w:val="24"/>
        </w:rPr>
        <w:t xml:space="preserve">Woolfson </w:t>
      </w:r>
      <w:r w:rsidR="003561FB" w:rsidRPr="00AF23B1">
        <w:rPr>
          <w:sz w:val="24"/>
          <w:szCs w:val="24"/>
        </w:rPr>
        <w:t>… is that the House was prepared to assume that the power existed.”</w:t>
      </w:r>
    </w:p>
    <w:p w:rsidR="00FC2DE4" w:rsidRDefault="00FC2DE4" w:rsidP="0039228B">
      <w:pPr>
        <w:spacing w:line="360" w:lineRule="auto"/>
        <w:jc w:val="both"/>
        <w:rPr>
          <w:sz w:val="24"/>
          <w:szCs w:val="24"/>
        </w:rPr>
      </w:pPr>
      <w:r w:rsidRPr="00FC2DE4">
        <w:rPr>
          <w:b/>
          <w:sz w:val="24"/>
          <w:szCs w:val="24"/>
        </w:rPr>
        <w:t>What is the ratio in Woolfson?</w:t>
      </w:r>
      <w:r>
        <w:rPr>
          <w:sz w:val="24"/>
          <w:szCs w:val="24"/>
        </w:rPr>
        <w:t xml:space="preserve"> </w:t>
      </w:r>
    </w:p>
    <w:p w:rsidR="00E67836" w:rsidRPr="00AF23B1" w:rsidRDefault="00E67836" w:rsidP="0039228B">
      <w:pPr>
        <w:spacing w:line="360" w:lineRule="auto"/>
        <w:jc w:val="both"/>
        <w:rPr>
          <w:sz w:val="24"/>
          <w:szCs w:val="24"/>
        </w:rPr>
      </w:pPr>
      <w:r w:rsidRPr="00AF23B1">
        <w:rPr>
          <w:sz w:val="24"/>
          <w:szCs w:val="24"/>
        </w:rPr>
        <w:t xml:space="preserve">The distinction between obiter dictum and ratio decidendi is </w:t>
      </w:r>
      <w:r w:rsidR="00D1272E" w:rsidRPr="00AF23B1">
        <w:rPr>
          <w:sz w:val="24"/>
          <w:szCs w:val="24"/>
        </w:rPr>
        <w:t xml:space="preserve">notoriously difficult to </w:t>
      </w:r>
      <w:r w:rsidR="00D845FB" w:rsidRPr="00AF23B1">
        <w:rPr>
          <w:sz w:val="24"/>
          <w:szCs w:val="24"/>
        </w:rPr>
        <w:t>draw</w:t>
      </w:r>
      <w:r w:rsidR="009D48BA" w:rsidRPr="00AF23B1">
        <w:rPr>
          <w:sz w:val="24"/>
          <w:szCs w:val="24"/>
        </w:rPr>
        <w:t>.</w:t>
      </w:r>
      <w:r w:rsidR="00953A1D" w:rsidRPr="00AF23B1">
        <w:rPr>
          <w:rStyle w:val="FootnoteReference"/>
          <w:sz w:val="24"/>
          <w:szCs w:val="24"/>
        </w:rPr>
        <w:footnoteReference w:id="14"/>
      </w:r>
      <w:r w:rsidR="00D845FB" w:rsidRPr="00AF23B1">
        <w:rPr>
          <w:sz w:val="24"/>
          <w:szCs w:val="24"/>
        </w:rPr>
        <w:t xml:space="preserve"> </w:t>
      </w:r>
      <w:r w:rsidR="009D48BA" w:rsidRPr="00AF23B1">
        <w:rPr>
          <w:sz w:val="24"/>
          <w:szCs w:val="24"/>
        </w:rPr>
        <w:t xml:space="preserve">In </w:t>
      </w:r>
      <w:r w:rsidR="009D48BA" w:rsidRPr="00AF23B1">
        <w:rPr>
          <w:sz w:val="24"/>
          <w:szCs w:val="24"/>
          <w:lang w:val="en"/>
        </w:rPr>
        <w:t xml:space="preserve">Halsbury’s Laws the ratio is described as “The enunciation of the reason or principle upon which a question before a court has been decided  ...” </w:t>
      </w:r>
      <w:r w:rsidR="00E9261D">
        <w:rPr>
          <w:rStyle w:val="FootnoteReference"/>
          <w:sz w:val="24"/>
          <w:szCs w:val="24"/>
          <w:lang w:val="en"/>
        </w:rPr>
        <w:footnoteReference w:id="15"/>
      </w:r>
      <w:r w:rsidR="00E9261D">
        <w:rPr>
          <w:sz w:val="24"/>
          <w:szCs w:val="24"/>
          <w:lang w:val="en"/>
        </w:rPr>
        <w:t xml:space="preserve"> </w:t>
      </w:r>
      <w:r w:rsidR="009D48BA" w:rsidRPr="00AF23B1">
        <w:rPr>
          <w:bCs/>
          <w:sz w:val="24"/>
          <w:szCs w:val="24"/>
          <w:lang w:val="en"/>
        </w:rPr>
        <w:t>Ultimately</w:t>
      </w:r>
      <w:r w:rsidR="00C94A6A" w:rsidRPr="00AF23B1">
        <w:rPr>
          <w:sz w:val="24"/>
          <w:szCs w:val="24"/>
        </w:rPr>
        <w:t xml:space="preserve"> </w:t>
      </w:r>
      <w:r w:rsidR="00D845FB" w:rsidRPr="00AF23B1">
        <w:rPr>
          <w:sz w:val="24"/>
          <w:szCs w:val="24"/>
        </w:rPr>
        <w:t xml:space="preserve">however </w:t>
      </w:r>
      <w:r w:rsidR="009D48BA" w:rsidRPr="00AF23B1">
        <w:rPr>
          <w:sz w:val="24"/>
          <w:szCs w:val="24"/>
        </w:rPr>
        <w:t xml:space="preserve">what constitutes the ratio of a case </w:t>
      </w:r>
      <w:r w:rsidR="00C94A6A" w:rsidRPr="00AF23B1">
        <w:rPr>
          <w:sz w:val="24"/>
          <w:szCs w:val="24"/>
        </w:rPr>
        <w:t xml:space="preserve">is probably </w:t>
      </w:r>
      <w:r w:rsidR="00D34C9F" w:rsidRPr="00AF23B1">
        <w:rPr>
          <w:sz w:val="24"/>
          <w:szCs w:val="24"/>
        </w:rPr>
        <w:t>a matter of opinion and perception rather than of fact.</w:t>
      </w:r>
      <w:r w:rsidR="00774EED" w:rsidRPr="00AF23B1">
        <w:rPr>
          <w:rStyle w:val="FootnoteReference"/>
          <w:sz w:val="24"/>
          <w:szCs w:val="24"/>
        </w:rPr>
        <w:footnoteReference w:id="16"/>
      </w:r>
      <w:r w:rsidR="00D1272E" w:rsidRPr="00AF23B1">
        <w:rPr>
          <w:sz w:val="24"/>
          <w:szCs w:val="24"/>
        </w:rPr>
        <w:t xml:space="preserve"> </w:t>
      </w:r>
      <w:r w:rsidR="005A42E1" w:rsidRPr="00AF23B1">
        <w:rPr>
          <w:b/>
          <w:sz w:val="24"/>
          <w:szCs w:val="24"/>
          <w:lang w:val="en"/>
        </w:rPr>
        <w:t xml:space="preserve"> </w:t>
      </w:r>
      <w:r w:rsidR="00D34C9F" w:rsidRPr="00AF23B1">
        <w:rPr>
          <w:sz w:val="24"/>
          <w:szCs w:val="24"/>
          <w:lang w:val="en"/>
        </w:rPr>
        <w:t>It is submitted that a</w:t>
      </w:r>
      <w:r w:rsidR="00D34C9F" w:rsidRPr="00AF23B1">
        <w:rPr>
          <w:sz w:val="24"/>
          <w:szCs w:val="24"/>
        </w:rPr>
        <w:t xml:space="preserve"> careful</w:t>
      </w:r>
      <w:r w:rsidR="00B94BE1" w:rsidRPr="00AF23B1">
        <w:rPr>
          <w:sz w:val="24"/>
          <w:szCs w:val="24"/>
        </w:rPr>
        <w:t xml:space="preserve"> analysis of </w:t>
      </w:r>
      <w:r w:rsidR="005A42E1" w:rsidRPr="00AF23B1">
        <w:rPr>
          <w:sz w:val="24"/>
          <w:szCs w:val="24"/>
        </w:rPr>
        <w:t>Woolfson</w:t>
      </w:r>
      <w:r w:rsidR="00B94BE1" w:rsidRPr="00AF23B1">
        <w:rPr>
          <w:sz w:val="24"/>
          <w:szCs w:val="24"/>
        </w:rPr>
        <w:t xml:space="preserve"> </w:t>
      </w:r>
      <w:r w:rsidR="00C94A6A" w:rsidRPr="00AF23B1">
        <w:rPr>
          <w:sz w:val="24"/>
          <w:szCs w:val="24"/>
        </w:rPr>
        <w:t>would</w:t>
      </w:r>
      <w:r w:rsidR="00D34C9F" w:rsidRPr="00AF23B1">
        <w:rPr>
          <w:sz w:val="24"/>
          <w:szCs w:val="24"/>
        </w:rPr>
        <w:t xml:space="preserve"> lead</w:t>
      </w:r>
      <w:r w:rsidR="00B94BE1" w:rsidRPr="00AF23B1">
        <w:rPr>
          <w:sz w:val="24"/>
          <w:szCs w:val="24"/>
        </w:rPr>
        <w:t xml:space="preserve"> many to the conclusion that Lord Keith’s </w:t>
      </w:r>
      <w:r w:rsidR="009D48BA" w:rsidRPr="00AF23B1">
        <w:rPr>
          <w:sz w:val="24"/>
          <w:szCs w:val="24"/>
        </w:rPr>
        <w:t>‘</w:t>
      </w:r>
      <w:r w:rsidR="00B94BE1" w:rsidRPr="00AF23B1">
        <w:rPr>
          <w:sz w:val="24"/>
          <w:szCs w:val="24"/>
        </w:rPr>
        <w:t>remarks</w:t>
      </w:r>
      <w:r w:rsidR="009D48BA" w:rsidRPr="00AF23B1">
        <w:rPr>
          <w:sz w:val="24"/>
          <w:szCs w:val="24"/>
        </w:rPr>
        <w:t>’</w:t>
      </w:r>
      <w:r w:rsidR="00B94BE1" w:rsidRPr="00AF23B1">
        <w:rPr>
          <w:sz w:val="24"/>
          <w:szCs w:val="24"/>
        </w:rPr>
        <w:t xml:space="preserve"> were part of the ratio rather than mere obiter</w:t>
      </w:r>
    </w:p>
    <w:p w:rsidR="007F05CB" w:rsidRPr="00AF23B1" w:rsidRDefault="003561FB" w:rsidP="0039228B">
      <w:pPr>
        <w:spacing w:line="360" w:lineRule="auto"/>
        <w:jc w:val="both"/>
        <w:rPr>
          <w:sz w:val="24"/>
          <w:szCs w:val="24"/>
          <w:lang w:val="en"/>
        </w:rPr>
      </w:pPr>
      <w:r w:rsidRPr="00AF23B1">
        <w:rPr>
          <w:sz w:val="24"/>
          <w:szCs w:val="24"/>
        </w:rPr>
        <w:t xml:space="preserve">In </w:t>
      </w:r>
      <w:r w:rsidRPr="00AF23B1">
        <w:rPr>
          <w:i/>
          <w:sz w:val="24"/>
          <w:szCs w:val="24"/>
        </w:rPr>
        <w:t>Woolfson</w:t>
      </w:r>
      <w:r w:rsidR="00D26FA6">
        <w:rPr>
          <w:sz w:val="24"/>
          <w:szCs w:val="24"/>
        </w:rPr>
        <w:t xml:space="preserve"> the appellants</w:t>
      </w:r>
      <w:r w:rsidR="008F21B2">
        <w:rPr>
          <w:sz w:val="24"/>
          <w:szCs w:val="24"/>
        </w:rPr>
        <w:t xml:space="preserve"> were shareholders seeking compensation under </w:t>
      </w:r>
      <w:r w:rsidR="008F21B2" w:rsidRPr="00AF23B1">
        <w:rPr>
          <w:sz w:val="24"/>
          <w:szCs w:val="24"/>
          <w:lang w:val="en"/>
        </w:rPr>
        <w:t>the Land Compensation (Scotland) Act</w:t>
      </w:r>
      <w:r w:rsidR="008F21B2">
        <w:rPr>
          <w:sz w:val="24"/>
          <w:szCs w:val="24"/>
          <w:lang w:val="en"/>
        </w:rPr>
        <w:t xml:space="preserve"> 1963</w:t>
      </w:r>
      <w:r w:rsidR="008F21B2" w:rsidRPr="00AF23B1">
        <w:rPr>
          <w:sz w:val="24"/>
          <w:szCs w:val="24"/>
          <w:lang w:val="en"/>
        </w:rPr>
        <w:t>.</w:t>
      </w:r>
      <w:r w:rsidR="008F21B2">
        <w:rPr>
          <w:sz w:val="24"/>
          <w:szCs w:val="24"/>
          <w:lang w:val="en"/>
        </w:rPr>
        <w:t xml:space="preserve"> They had no right to claim </w:t>
      </w:r>
      <w:r w:rsidR="004A2484">
        <w:rPr>
          <w:sz w:val="24"/>
          <w:szCs w:val="24"/>
          <w:lang w:val="en"/>
        </w:rPr>
        <w:t xml:space="preserve">compensation </w:t>
      </w:r>
      <w:r w:rsidR="008F21B2">
        <w:rPr>
          <w:sz w:val="24"/>
          <w:szCs w:val="24"/>
          <w:lang w:val="en"/>
        </w:rPr>
        <w:t xml:space="preserve">unless the corporate veil could be pierced. </w:t>
      </w:r>
      <w:r w:rsidR="007F05CB" w:rsidRPr="00AF23B1">
        <w:rPr>
          <w:sz w:val="24"/>
          <w:szCs w:val="24"/>
          <w:lang w:val="en"/>
        </w:rPr>
        <w:t>The</w:t>
      </w:r>
      <w:r w:rsidR="008F21B2">
        <w:rPr>
          <w:sz w:val="24"/>
          <w:szCs w:val="24"/>
          <w:lang w:val="en"/>
        </w:rPr>
        <w:t xml:space="preserve">ir </w:t>
      </w:r>
      <w:r w:rsidR="007F05CB" w:rsidRPr="00AF23B1">
        <w:rPr>
          <w:sz w:val="24"/>
          <w:szCs w:val="24"/>
          <w:lang w:val="en"/>
        </w:rPr>
        <w:t xml:space="preserve">argument was that the corporate veil could be lifted on the basis that the company </w:t>
      </w:r>
      <w:r w:rsidR="005A35B2">
        <w:rPr>
          <w:sz w:val="24"/>
          <w:szCs w:val="24"/>
          <w:lang w:val="en"/>
        </w:rPr>
        <w:t xml:space="preserve">was </w:t>
      </w:r>
      <w:r w:rsidR="007F05CB" w:rsidRPr="00AF23B1">
        <w:rPr>
          <w:sz w:val="24"/>
          <w:szCs w:val="24"/>
          <w:lang w:val="en"/>
        </w:rPr>
        <w:t xml:space="preserve">part of a single economic entity and </w:t>
      </w:r>
      <w:r w:rsidR="00B87481">
        <w:rPr>
          <w:sz w:val="24"/>
          <w:szCs w:val="24"/>
          <w:lang w:val="en"/>
        </w:rPr>
        <w:t xml:space="preserve">that </w:t>
      </w:r>
      <w:r w:rsidR="0076501F" w:rsidRPr="0076501F">
        <w:rPr>
          <w:i/>
          <w:sz w:val="24"/>
          <w:szCs w:val="24"/>
        </w:rPr>
        <w:t xml:space="preserve">DHN Food Distributors Ltd. v Tower Hamlets LBC </w:t>
      </w:r>
      <w:r w:rsidR="00B825E8">
        <w:rPr>
          <w:rStyle w:val="FootnoteReference"/>
          <w:sz w:val="24"/>
          <w:szCs w:val="24"/>
          <w:lang w:val="en"/>
        </w:rPr>
        <w:footnoteReference w:id="17"/>
      </w:r>
      <w:r w:rsidR="007F05CB" w:rsidRPr="00AF23B1">
        <w:rPr>
          <w:sz w:val="24"/>
          <w:szCs w:val="24"/>
          <w:lang w:val="en"/>
        </w:rPr>
        <w:t xml:space="preserve"> should be followed.</w:t>
      </w:r>
      <w:r w:rsidR="00FC2DE4" w:rsidRPr="00FC2DE4">
        <w:rPr>
          <w:sz w:val="24"/>
          <w:szCs w:val="24"/>
          <w:lang w:val="en"/>
        </w:rPr>
        <w:t xml:space="preserve"> </w:t>
      </w:r>
      <w:r w:rsidR="00FC2DE4" w:rsidRPr="00AF23B1">
        <w:rPr>
          <w:sz w:val="24"/>
          <w:szCs w:val="24"/>
          <w:lang w:val="en"/>
        </w:rPr>
        <w:t>The court rejected the argument.</w:t>
      </w:r>
    </w:p>
    <w:p w:rsidR="00B23846" w:rsidRPr="00AF23B1" w:rsidRDefault="007F05CB" w:rsidP="0039228B">
      <w:pPr>
        <w:spacing w:line="360" w:lineRule="auto"/>
        <w:jc w:val="both"/>
        <w:rPr>
          <w:sz w:val="24"/>
          <w:szCs w:val="24"/>
          <w:lang w:val="en"/>
        </w:rPr>
      </w:pPr>
      <w:r w:rsidRPr="00AF23B1">
        <w:rPr>
          <w:sz w:val="24"/>
          <w:szCs w:val="24"/>
          <w:lang w:val="en"/>
        </w:rPr>
        <w:lastRenderedPageBreak/>
        <w:t xml:space="preserve">What was the reason or principle on which the court based its decision? </w:t>
      </w:r>
      <w:r w:rsidR="00B23846" w:rsidRPr="00AF23B1">
        <w:rPr>
          <w:sz w:val="24"/>
          <w:szCs w:val="24"/>
          <w:lang w:val="en"/>
        </w:rPr>
        <w:t>Lord Keith</w:t>
      </w:r>
      <w:r w:rsidR="00FC2DE4">
        <w:rPr>
          <w:sz w:val="24"/>
          <w:szCs w:val="24"/>
          <w:lang w:val="en"/>
        </w:rPr>
        <w:t xml:space="preserve"> (who delivered the only judgement and with whom all the other judges agreed)</w:t>
      </w:r>
      <w:r w:rsidR="00B23846" w:rsidRPr="00AF23B1">
        <w:rPr>
          <w:sz w:val="24"/>
          <w:szCs w:val="24"/>
          <w:lang w:val="en"/>
        </w:rPr>
        <w:t xml:space="preserve"> </w:t>
      </w:r>
      <w:r w:rsidR="00C96E03">
        <w:rPr>
          <w:sz w:val="24"/>
          <w:szCs w:val="24"/>
          <w:lang w:val="en"/>
        </w:rPr>
        <w:t xml:space="preserve">said that he </w:t>
      </w:r>
      <w:r w:rsidR="00B23846" w:rsidRPr="00AF23B1">
        <w:rPr>
          <w:sz w:val="24"/>
          <w:szCs w:val="24"/>
          <w:lang w:val="en"/>
        </w:rPr>
        <w:t>agreed with the reasoning of the Lord Justice-</w:t>
      </w:r>
      <w:r w:rsidR="00E9261D">
        <w:rPr>
          <w:sz w:val="24"/>
          <w:szCs w:val="24"/>
          <w:lang w:val="en"/>
        </w:rPr>
        <w:t>C</w:t>
      </w:r>
      <w:r w:rsidR="00B23846" w:rsidRPr="00AF23B1">
        <w:rPr>
          <w:sz w:val="24"/>
          <w:szCs w:val="24"/>
          <w:lang w:val="en"/>
        </w:rPr>
        <w:t xml:space="preserve">lerk in </w:t>
      </w:r>
      <w:r w:rsidR="00804977" w:rsidRPr="00AF23B1">
        <w:rPr>
          <w:sz w:val="24"/>
          <w:szCs w:val="24"/>
          <w:lang w:val="en"/>
        </w:rPr>
        <w:t>the</w:t>
      </w:r>
      <w:r w:rsidR="00B23846" w:rsidRPr="00AF23B1">
        <w:rPr>
          <w:sz w:val="24"/>
          <w:szCs w:val="24"/>
          <w:lang w:val="en"/>
        </w:rPr>
        <w:t xml:space="preserve"> </w:t>
      </w:r>
      <w:r w:rsidR="00EB61CC" w:rsidRPr="00AF23B1">
        <w:rPr>
          <w:sz w:val="24"/>
          <w:szCs w:val="24"/>
          <w:lang w:val="en"/>
        </w:rPr>
        <w:t>Court of Session</w:t>
      </w:r>
      <w:r w:rsidR="004A2484">
        <w:rPr>
          <w:rStyle w:val="FootnoteReference"/>
          <w:sz w:val="24"/>
          <w:szCs w:val="24"/>
          <w:lang w:val="en"/>
        </w:rPr>
        <w:footnoteReference w:id="18"/>
      </w:r>
      <w:r w:rsidR="00804977" w:rsidRPr="00AF23B1">
        <w:rPr>
          <w:sz w:val="24"/>
          <w:szCs w:val="24"/>
          <w:lang w:val="en"/>
        </w:rPr>
        <w:t>,</w:t>
      </w:r>
      <w:r w:rsidR="00B23846" w:rsidRPr="00AF23B1">
        <w:rPr>
          <w:sz w:val="24"/>
          <w:szCs w:val="24"/>
          <w:lang w:val="en"/>
        </w:rPr>
        <w:t xml:space="preserve"> which was </w:t>
      </w:r>
      <w:r w:rsidR="00FC2DE4">
        <w:rPr>
          <w:sz w:val="24"/>
          <w:szCs w:val="24"/>
          <w:lang w:val="en"/>
        </w:rPr>
        <w:t>‘</w:t>
      </w:r>
      <w:r w:rsidR="00B23846" w:rsidRPr="00AF23B1">
        <w:rPr>
          <w:sz w:val="24"/>
          <w:szCs w:val="24"/>
          <w:lang w:val="en"/>
        </w:rPr>
        <w:t>unimpeachable</w:t>
      </w:r>
      <w:r w:rsidR="00FC2DE4">
        <w:rPr>
          <w:sz w:val="24"/>
          <w:szCs w:val="24"/>
          <w:lang w:val="en"/>
        </w:rPr>
        <w:t>’</w:t>
      </w:r>
      <w:r w:rsidR="00B23846" w:rsidRPr="00AF23B1">
        <w:rPr>
          <w:sz w:val="24"/>
          <w:szCs w:val="24"/>
          <w:lang w:val="en"/>
        </w:rPr>
        <w:t>.</w:t>
      </w:r>
    </w:p>
    <w:p w:rsidR="00B23846" w:rsidRPr="00AF23B1" w:rsidRDefault="00B23846" w:rsidP="0039228B">
      <w:pPr>
        <w:spacing w:line="360" w:lineRule="auto"/>
        <w:jc w:val="both"/>
        <w:rPr>
          <w:sz w:val="24"/>
          <w:szCs w:val="24"/>
          <w:lang w:val="en"/>
        </w:rPr>
      </w:pPr>
      <w:r w:rsidRPr="00AF23B1">
        <w:rPr>
          <w:sz w:val="24"/>
          <w:szCs w:val="24"/>
          <w:lang w:val="en"/>
        </w:rPr>
        <w:t>Th</w:t>
      </w:r>
      <w:r w:rsidR="002511FC">
        <w:rPr>
          <w:sz w:val="24"/>
          <w:szCs w:val="24"/>
          <w:lang w:val="en"/>
        </w:rPr>
        <w:t>e</w:t>
      </w:r>
      <w:r w:rsidRPr="00AF23B1">
        <w:rPr>
          <w:sz w:val="24"/>
          <w:szCs w:val="24"/>
          <w:lang w:val="en"/>
        </w:rPr>
        <w:t xml:space="preserve"> reasoning </w:t>
      </w:r>
      <w:r w:rsidR="00B10897">
        <w:rPr>
          <w:sz w:val="24"/>
          <w:szCs w:val="24"/>
          <w:lang w:val="en"/>
        </w:rPr>
        <w:t>of the Lord Justice</w:t>
      </w:r>
      <w:r w:rsidR="004A2484">
        <w:rPr>
          <w:sz w:val="24"/>
          <w:szCs w:val="24"/>
          <w:lang w:val="en"/>
        </w:rPr>
        <w:t>-</w:t>
      </w:r>
      <w:r w:rsidR="00B10897">
        <w:rPr>
          <w:sz w:val="24"/>
          <w:szCs w:val="24"/>
          <w:lang w:val="en"/>
        </w:rPr>
        <w:t xml:space="preserve">Clerk and therefore, it is submitted, the ratio of Woolfson, </w:t>
      </w:r>
      <w:r w:rsidR="00804977" w:rsidRPr="00AF23B1">
        <w:rPr>
          <w:sz w:val="24"/>
          <w:szCs w:val="24"/>
          <w:lang w:val="en"/>
        </w:rPr>
        <w:t>could</w:t>
      </w:r>
      <w:r w:rsidRPr="00AF23B1">
        <w:rPr>
          <w:sz w:val="24"/>
          <w:szCs w:val="24"/>
          <w:lang w:val="en"/>
        </w:rPr>
        <w:t xml:space="preserve"> be summarised </w:t>
      </w:r>
      <w:r w:rsidR="00804977" w:rsidRPr="00AF23B1">
        <w:rPr>
          <w:sz w:val="24"/>
          <w:szCs w:val="24"/>
          <w:lang w:val="en"/>
        </w:rPr>
        <w:t xml:space="preserve">thus. </w:t>
      </w:r>
      <w:r w:rsidR="004A2484" w:rsidRPr="00AF23B1">
        <w:rPr>
          <w:sz w:val="24"/>
          <w:szCs w:val="24"/>
          <w:lang w:val="en"/>
        </w:rPr>
        <w:t xml:space="preserve">The material facts were distinguishable from </w:t>
      </w:r>
      <w:r w:rsidR="004A2484" w:rsidRPr="00FC2DE4">
        <w:rPr>
          <w:i/>
          <w:sz w:val="24"/>
          <w:szCs w:val="24"/>
          <w:lang w:val="en"/>
        </w:rPr>
        <w:t>DHN</w:t>
      </w:r>
      <w:r w:rsidR="004A2484">
        <w:rPr>
          <w:i/>
          <w:sz w:val="24"/>
          <w:szCs w:val="24"/>
          <w:lang w:val="en"/>
        </w:rPr>
        <w:t>,</w:t>
      </w:r>
      <w:r w:rsidR="004A2484" w:rsidRPr="00FC2DE4">
        <w:rPr>
          <w:i/>
          <w:sz w:val="24"/>
          <w:szCs w:val="24"/>
          <w:lang w:val="en"/>
        </w:rPr>
        <w:t xml:space="preserve"> </w:t>
      </w:r>
      <w:r w:rsidR="004A2484">
        <w:rPr>
          <w:sz w:val="24"/>
          <w:szCs w:val="24"/>
          <w:lang w:val="en"/>
        </w:rPr>
        <w:t xml:space="preserve">so </w:t>
      </w:r>
      <w:r w:rsidR="004A2484" w:rsidRPr="00AF23B1">
        <w:rPr>
          <w:sz w:val="24"/>
          <w:szCs w:val="24"/>
          <w:lang w:val="en"/>
        </w:rPr>
        <w:t xml:space="preserve">the veil could not be </w:t>
      </w:r>
      <w:r w:rsidR="004A2484">
        <w:rPr>
          <w:sz w:val="24"/>
          <w:szCs w:val="24"/>
          <w:lang w:val="en"/>
        </w:rPr>
        <w:t xml:space="preserve">pierced. </w:t>
      </w:r>
      <w:r w:rsidR="004A2484" w:rsidRPr="00AF23B1">
        <w:rPr>
          <w:sz w:val="24"/>
          <w:szCs w:val="24"/>
          <w:lang w:val="en"/>
        </w:rPr>
        <w:t xml:space="preserve"> </w:t>
      </w:r>
      <w:r w:rsidRPr="00AF23B1">
        <w:rPr>
          <w:sz w:val="24"/>
          <w:szCs w:val="24"/>
          <w:lang w:val="en"/>
        </w:rPr>
        <w:t xml:space="preserve">The company was not a façade, so </w:t>
      </w:r>
      <w:r w:rsidR="004A2484">
        <w:rPr>
          <w:sz w:val="24"/>
          <w:szCs w:val="24"/>
          <w:lang w:val="en"/>
        </w:rPr>
        <w:t xml:space="preserve">again </w:t>
      </w:r>
      <w:r w:rsidRPr="00AF23B1">
        <w:rPr>
          <w:sz w:val="24"/>
          <w:szCs w:val="24"/>
          <w:lang w:val="en"/>
        </w:rPr>
        <w:t>the veil could not be pierced.</w:t>
      </w:r>
    </w:p>
    <w:p w:rsidR="004C5574" w:rsidRDefault="00DE029F" w:rsidP="00915B71">
      <w:pPr>
        <w:spacing w:line="360" w:lineRule="auto"/>
        <w:jc w:val="both"/>
        <w:rPr>
          <w:sz w:val="24"/>
          <w:szCs w:val="24"/>
          <w:lang w:val="en"/>
        </w:rPr>
      </w:pPr>
      <w:r>
        <w:rPr>
          <w:sz w:val="24"/>
          <w:szCs w:val="24"/>
          <w:lang w:val="en"/>
        </w:rPr>
        <w:t xml:space="preserve">Whilst </w:t>
      </w:r>
      <w:r w:rsidR="00B825E8" w:rsidRPr="00B825E8">
        <w:rPr>
          <w:sz w:val="24"/>
          <w:szCs w:val="24"/>
          <w:lang w:val="en"/>
        </w:rPr>
        <w:t xml:space="preserve">the </w:t>
      </w:r>
      <w:r w:rsidR="009C24DC">
        <w:rPr>
          <w:sz w:val="24"/>
          <w:szCs w:val="24"/>
          <w:lang w:val="en"/>
        </w:rPr>
        <w:t xml:space="preserve">specific </w:t>
      </w:r>
      <w:r w:rsidR="00B825E8" w:rsidRPr="00B825E8">
        <w:rPr>
          <w:sz w:val="24"/>
          <w:szCs w:val="24"/>
          <w:lang w:val="en"/>
        </w:rPr>
        <w:t xml:space="preserve">question of whether the power to pierce the veil </w:t>
      </w:r>
      <w:r w:rsidR="00B825E8">
        <w:rPr>
          <w:sz w:val="24"/>
          <w:szCs w:val="24"/>
          <w:lang w:val="en"/>
        </w:rPr>
        <w:t xml:space="preserve">existed </w:t>
      </w:r>
      <w:r w:rsidR="00B825E8" w:rsidRPr="00B825E8">
        <w:rPr>
          <w:sz w:val="24"/>
          <w:szCs w:val="24"/>
          <w:lang w:val="en"/>
        </w:rPr>
        <w:t xml:space="preserve">was </w:t>
      </w:r>
      <w:r w:rsidR="004A2484">
        <w:rPr>
          <w:sz w:val="24"/>
          <w:szCs w:val="24"/>
          <w:lang w:val="en"/>
        </w:rPr>
        <w:t xml:space="preserve">apparently </w:t>
      </w:r>
      <w:r w:rsidR="00B825E8" w:rsidRPr="00B825E8">
        <w:rPr>
          <w:sz w:val="24"/>
          <w:szCs w:val="24"/>
          <w:lang w:val="en"/>
        </w:rPr>
        <w:t xml:space="preserve">not </w:t>
      </w:r>
      <w:r w:rsidR="004A2484">
        <w:rPr>
          <w:sz w:val="24"/>
          <w:szCs w:val="24"/>
          <w:lang w:val="en"/>
        </w:rPr>
        <w:t>argued</w:t>
      </w:r>
      <w:r w:rsidR="00B825E8" w:rsidRPr="00B825E8">
        <w:rPr>
          <w:sz w:val="24"/>
          <w:szCs w:val="24"/>
          <w:lang w:val="en"/>
        </w:rPr>
        <w:t xml:space="preserve"> </w:t>
      </w:r>
      <w:r w:rsidR="00B825E8">
        <w:rPr>
          <w:sz w:val="24"/>
          <w:szCs w:val="24"/>
          <w:lang w:val="en"/>
        </w:rPr>
        <w:t>in Woolfson</w:t>
      </w:r>
      <w:r>
        <w:rPr>
          <w:sz w:val="24"/>
          <w:szCs w:val="24"/>
          <w:lang w:val="en"/>
        </w:rPr>
        <w:t>,</w:t>
      </w:r>
      <w:r w:rsidR="00B825E8">
        <w:rPr>
          <w:sz w:val="24"/>
          <w:szCs w:val="24"/>
          <w:lang w:val="en"/>
        </w:rPr>
        <w:t xml:space="preserve"> </w:t>
      </w:r>
      <w:r w:rsidR="00B825E8" w:rsidRPr="00B825E8">
        <w:rPr>
          <w:sz w:val="24"/>
          <w:szCs w:val="24"/>
          <w:lang w:val="en"/>
        </w:rPr>
        <w:t xml:space="preserve">it </w:t>
      </w:r>
      <w:r w:rsidR="009C24DC">
        <w:rPr>
          <w:sz w:val="24"/>
          <w:szCs w:val="24"/>
          <w:lang w:val="en"/>
        </w:rPr>
        <w:t>would seem to be</w:t>
      </w:r>
      <w:r w:rsidR="00B825E8" w:rsidRPr="00B825E8">
        <w:rPr>
          <w:sz w:val="24"/>
          <w:szCs w:val="24"/>
          <w:lang w:val="en"/>
        </w:rPr>
        <w:t xml:space="preserve"> clearly implicit </w:t>
      </w:r>
      <w:r w:rsidR="00B825E8">
        <w:rPr>
          <w:sz w:val="24"/>
          <w:szCs w:val="24"/>
          <w:lang w:val="en"/>
        </w:rPr>
        <w:t xml:space="preserve">in </w:t>
      </w:r>
      <w:r w:rsidR="009C24DC">
        <w:rPr>
          <w:sz w:val="24"/>
          <w:szCs w:val="24"/>
          <w:lang w:val="en"/>
        </w:rPr>
        <w:t>any form</w:t>
      </w:r>
      <w:r w:rsidR="005A35B2">
        <w:rPr>
          <w:sz w:val="24"/>
          <w:szCs w:val="24"/>
          <w:lang w:val="en"/>
        </w:rPr>
        <w:t>ul</w:t>
      </w:r>
      <w:r w:rsidR="009C24DC">
        <w:rPr>
          <w:sz w:val="24"/>
          <w:szCs w:val="24"/>
          <w:lang w:val="en"/>
        </w:rPr>
        <w:t xml:space="preserve">ation of </w:t>
      </w:r>
      <w:r w:rsidR="00B825E8">
        <w:rPr>
          <w:sz w:val="24"/>
          <w:szCs w:val="24"/>
          <w:lang w:val="en"/>
        </w:rPr>
        <w:t xml:space="preserve">the ratio </w:t>
      </w:r>
      <w:r w:rsidR="00B825E8" w:rsidRPr="00B825E8">
        <w:rPr>
          <w:sz w:val="24"/>
          <w:szCs w:val="24"/>
          <w:lang w:val="en"/>
        </w:rPr>
        <w:t xml:space="preserve">that </w:t>
      </w:r>
      <w:r w:rsidR="009C24DC">
        <w:rPr>
          <w:sz w:val="24"/>
          <w:szCs w:val="24"/>
          <w:lang w:val="en"/>
        </w:rPr>
        <w:t>such a</w:t>
      </w:r>
      <w:r w:rsidR="00B825E8" w:rsidRPr="00B825E8">
        <w:rPr>
          <w:sz w:val="24"/>
          <w:szCs w:val="24"/>
          <w:lang w:val="en"/>
        </w:rPr>
        <w:t xml:space="preserve"> power existed</w:t>
      </w:r>
      <w:r w:rsidR="00B825E8">
        <w:rPr>
          <w:sz w:val="24"/>
          <w:szCs w:val="24"/>
          <w:lang w:val="en"/>
        </w:rPr>
        <w:t>.</w:t>
      </w:r>
      <w:r w:rsidR="00C96E03">
        <w:rPr>
          <w:sz w:val="24"/>
          <w:szCs w:val="24"/>
          <w:lang w:val="en"/>
        </w:rPr>
        <w:t xml:space="preserve"> </w:t>
      </w:r>
      <w:r w:rsidR="009C24DC">
        <w:rPr>
          <w:sz w:val="24"/>
          <w:szCs w:val="24"/>
          <w:lang w:val="en"/>
        </w:rPr>
        <w:t>Indeed</w:t>
      </w:r>
      <w:r w:rsidR="00C96E03">
        <w:rPr>
          <w:sz w:val="24"/>
          <w:szCs w:val="24"/>
          <w:lang w:val="en"/>
        </w:rPr>
        <w:t xml:space="preserve"> the ratio might </w:t>
      </w:r>
      <w:r w:rsidR="004A2484">
        <w:rPr>
          <w:sz w:val="24"/>
          <w:szCs w:val="24"/>
          <w:lang w:val="en"/>
        </w:rPr>
        <w:t xml:space="preserve">easily </w:t>
      </w:r>
      <w:r w:rsidR="00C96E03">
        <w:rPr>
          <w:sz w:val="24"/>
          <w:szCs w:val="24"/>
          <w:lang w:val="en"/>
        </w:rPr>
        <w:t>be reframed</w:t>
      </w:r>
      <w:r w:rsidR="004A2484">
        <w:rPr>
          <w:sz w:val="24"/>
          <w:szCs w:val="24"/>
          <w:lang w:val="en"/>
        </w:rPr>
        <w:t xml:space="preserve"> thus:</w:t>
      </w:r>
    </w:p>
    <w:p w:rsidR="004C5574" w:rsidRDefault="004A2484" w:rsidP="00915B71">
      <w:pPr>
        <w:spacing w:line="360" w:lineRule="auto"/>
        <w:jc w:val="both"/>
        <w:rPr>
          <w:sz w:val="24"/>
          <w:szCs w:val="24"/>
          <w:lang w:val="en"/>
        </w:rPr>
      </w:pPr>
      <w:r w:rsidRPr="004C5574">
        <w:rPr>
          <w:sz w:val="24"/>
          <w:szCs w:val="24"/>
          <w:lang w:val="en"/>
        </w:rPr>
        <w:t xml:space="preserve">The material facts were distinguishable from </w:t>
      </w:r>
      <w:r w:rsidRPr="004C5574">
        <w:rPr>
          <w:i/>
          <w:sz w:val="24"/>
          <w:szCs w:val="24"/>
          <w:lang w:val="en"/>
        </w:rPr>
        <w:t xml:space="preserve">DHN, </w:t>
      </w:r>
      <w:r w:rsidRPr="004C5574">
        <w:rPr>
          <w:sz w:val="24"/>
          <w:szCs w:val="24"/>
          <w:lang w:val="en"/>
        </w:rPr>
        <w:t>so the court would not use its power to pierce the veil</w:t>
      </w:r>
      <w:r>
        <w:rPr>
          <w:sz w:val="24"/>
          <w:szCs w:val="24"/>
          <w:lang w:val="en"/>
        </w:rPr>
        <w:t xml:space="preserve">. </w:t>
      </w:r>
      <w:r w:rsidR="004C5574" w:rsidRPr="004C5574">
        <w:rPr>
          <w:sz w:val="24"/>
          <w:szCs w:val="24"/>
          <w:lang w:val="en"/>
        </w:rPr>
        <w:t xml:space="preserve">The company was not a façade </w:t>
      </w:r>
      <w:proofErr w:type="gramStart"/>
      <w:r w:rsidRPr="004C5574">
        <w:rPr>
          <w:sz w:val="24"/>
          <w:szCs w:val="24"/>
          <w:lang w:val="en"/>
        </w:rPr>
        <w:t>so</w:t>
      </w:r>
      <w:r w:rsidR="00DE029F">
        <w:rPr>
          <w:sz w:val="24"/>
          <w:szCs w:val="24"/>
          <w:lang w:val="en"/>
        </w:rPr>
        <w:t>,</w:t>
      </w:r>
      <w:proofErr w:type="gramEnd"/>
      <w:r w:rsidR="004C5574" w:rsidRPr="004C5574">
        <w:rPr>
          <w:sz w:val="24"/>
          <w:szCs w:val="24"/>
          <w:lang w:val="en"/>
        </w:rPr>
        <w:t xml:space="preserve"> </w:t>
      </w:r>
      <w:r w:rsidRPr="004C5574">
        <w:rPr>
          <w:sz w:val="24"/>
          <w:szCs w:val="24"/>
          <w:lang w:val="en"/>
        </w:rPr>
        <w:t>again</w:t>
      </w:r>
      <w:r w:rsidR="00DE029F">
        <w:rPr>
          <w:sz w:val="24"/>
          <w:szCs w:val="24"/>
          <w:lang w:val="en"/>
        </w:rPr>
        <w:t>,</w:t>
      </w:r>
      <w:r w:rsidRPr="004C5574">
        <w:rPr>
          <w:sz w:val="24"/>
          <w:szCs w:val="24"/>
          <w:lang w:val="en"/>
        </w:rPr>
        <w:t xml:space="preserve"> </w:t>
      </w:r>
      <w:r w:rsidR="004C5574" w:rsidRPr="004C5574">
        <w:rPr>
          <w:sz w:val="24"/>
          <w:szCs w:val="24"/>
          <w:lang w:val="en"/>
        </w:rPr>
        <w:t xml:space="preserve">the </w:t>
      </w:r>
      <w:r w:rsidR="004C5574">
        <w:rPr>
          <w:sz w:val="24"/>
          <w:szCs w:val="24"/>
          <w:lang w:val="en"/>
        </w:rPr>
        <w:t xml:space="preserve">court would not use its power to pierce the </w:t>
      </w:r>
      <w:r w:rsidR="004C5574" w:rsidRPr="004C5574">
        <w:rPr>
          <w:sz w:val="24"/>
          <w:szCs w:val="24"/>
          <w:lang w:val="en"/>
        </w:rPr>
        <w:t>veil</w:t>
      </w:r>
      <w:r w:rsidR="004C5574">
        <w:rPr>
          <w:sz w:val="24"/>
          <w:szCs w:val="24"/>
          <w:lang w:val="en"/>
        </w:rPr>
        <w:t>.</w:t>
      </w:r>
      <w:r w:rsidR="004C5574" w:rsidRPr="004C5574">
        <w:rPr>
          <w:sz w:val="24"/>
          <w:szCs w:val="24"/>
          <w:lang w:val="en"/>
        </w:rPr>
        <w:t xml:space="preserve"> </w:t>
      </w:r>
    </w:p>
    <w:p w:rsidR="007F213C" w:rsidRDefault="007F213C" w:rsidP="004A2484">
      <w:pPr>
        <w:spacing w:line="360" w:lineRule="auto"/>
        <w:jc w:val="both"/>
        <w:rPr>
          <w:sz w:val="24"/>
          <w:szCs w:val="24"/>
          <w:lang w:val="en"/>
        </w:rPr>
      </w:pPr>
      <w:r w:rsidRPr="004A2484">
        <w:rPr>
          <w:sz w:val="24"/>
          <w:szCs w:val="24"/>
          <w:lang w:val="en"/>
        </w:rPr>
        <w:t xml:space="preserve">The following points </w:t>
      </w:r>
      <w:r>
        <w:rPr>
          <w:sz w:val="24"/>
          <w:szCs w:val="24"/>
          <w:lang w:val="en"/>
        </w:rPr>
        <w:t xml:space="preserve">in relation to </w:t>
      </w:r>
      <w:r w:rsidRPr="004A2484">
        <w:rPr>
          <w:i/>
          <w:sz w:val="24"/>
          <w:szCs w:val="24"/>
          <w:lang w:val="en"/>
        </w:rPr>
        <w:t>Woolfson</w:t>
      </w:r>
      <w:r>
        <w:rPr>
          <w:sz w:val="24"/>
          <w:szCs w:val="24"/>
          <w:lang w:val="en"/>
        </w:rPr>
        <w:t xml:space="preserve"> </w:t>
      </w:r>
      <w:r w:rsidRPr="004A2484">
        <w:rPr>
          <w:sz w:val="24"/>
          <w:szCs w:val="24"/>
          <w:lang w:val="en"/>
        </w:rPr>
        <w:t xml:space="preserve">could </w:t>
      </w:r>
      <w:r w:rsidR="00155FD2">
        <w:rPr>
          <w:sz w:val="24"/>
          <w:szCs w:val="24"/>
          <w:lang w:val="en"/>
        </w:rPr>
        <w:t xml:space="preserve">also </w:t>
      </w:r>
      <w:r w:rsidRPr="004A2484">
        <w:rPr>
          <w:sz w:val="24"/>
          <w:szCs w:val="24"/>
          <w:lang w:val="en"/>
        </w:rPr>
        <w:t>be noted</w:t>
      </w:r>
      <w:r w:rsidR="00155FD2">
        <w:rPr>
          <w:sz w:val="24"/>
          <w:szCs w:val="24"/>
          <w:lang w:val="en"/>
        </w:rPr>
        <w:t>:</w:t>
      </w:r>
      <w:r>
        <w:rPr>
          <w:sz w:val="24"/>
          <w:szCs w:val="24"/>
          <w:lang w:val="en"/>
        </w:rPr>
        <w:t xml:space="preserve"> </w:t>
      </w:r>
    </w:p>
    <w:p w:rsidR="004A2484" w:rsidRPr="00155FD2" w:rsidRDefault="007F213C" w:rsidP="00155FD2">
      <w:pPr>
        <w:pStyle w:val="ListParagraph"/>
        <w:numPr>
          <w:ilvl w:val="0"/>
          <w:numId w:val="7"/>
        </w:numPr>
        <w:spacing w:line="360" w:lineRule="auto"/>
        <w:jc w:val="both"/>
        <w:rPr>
          <w:sz w:val="24"/>
          <w:szCs w:val="24"/>
          <w:lang w:val="en"/>
        </w:rPr>
      </w:pPr>
      <w:r w:rsidRPr="00155FD2">
        <w:rPr>
          <w:sz w:val="24"/>
          <w:szCs w:val="24"/>
          <w:lang w:val="en"/>
        </w:rPr>
        <w:t>I</w:t>
      </w:r>
      <w:r w:rsidR="00B825E8" w:rsidRPr="00155FD2">
        <w:rPr>
          <w:sz w:val="24"/>
          <w:szCs w:val="24"/>
          <w:lang w:val="en"/>
        </w:rPr>
        <w:t xml:space="preserve">f there </w:t>
      </w:r>
      <w:r w:rsidR="004A2484" w:rsidRPr="00155FD2">
        <w:rPr>
          <w:sz w:val="24"/>
          <w:szCs w:val="24"/>
          <w:lang w:val="en"/>
        </w:rPr>
        <w:t>were</w:t>
      </w:r>
      <w:r w:rsidR="00B825E8" w:rsidRPr="00155FD2">
        <w:rPr>
          <w:sz w:val="24"/>
          <w:szCs w:val="24"/>
          <w:lang w:val="en"/>
        </w:rPr>
        <w:t xml:space="preserve"> no power to pierce the veil </w:t>
      </w:r>
      <w:r w:rsidR="00A2475A" w:rsidRPr="00155FD2">
        <w:rPr>
          <w:sz w:val="24"/>
          <w:szCs w:val="24"/>
          <w:lang w:val="en"/>
        </w:rPr>
        <w:t xml:space="preserve">the arguments </w:t>
      </w:r>
      <w:r w:rsidR="00B825E8" w:rsidRPr="00155FD2">
        <w:rPr>
          <w:sz w:val="24"/>
          <w:szCs w:val="24"/>
          <w:lang w:val="en"/>
        </w:rPr>
        <w:t>for the appellant</w:t>
      </w:r>
      <w:r w:rsidR="004A2484" w:rsidRPr="00155FD2">
        <w:rPr>
          <w:sz w:val="24"/>
          <w:szCs w:val="24"/>
          <w:lang w:val="en"/>
        </w:rPr>
        <w:t>s</w:t>
      </w:r>
      <w:r w:rsidR="00B825E8" w:rsidRPr="00155FD2">
        <w:rPr>
          <w:sz w:val="24"/>
          <w:szCs w:val="24"/>
          <w:lang w:val="en"/>
        </w:rPr>
        <w:t xml:space="preserve"> </w:t>
      </w:r>
      <w:r w:rsidR="00C96E03" w:rsidRPr="00155FD2">
        <w:rPr>
          <w:sz w:val="24"/>
          <w:szCs w:val="24"/>
          <w:lang w:val="en"/>
        </w:rPr>
        <w:t>could</w:t>
      </w:r>
      <w:r w:rsidR="004C5574" w:rsidRPr="00155FD2">
        <w:rPr>
          <w:sz w:val="24"/>
          <w:szCs w:val="24"/>
          <w:lang w:val="en"/>
        </w:rPr>
        <w:t xml:space="preserve"> </w:t>
      </w:r>
      <w:r w:rsidR="00C96E03" w:rsidRPr="00155FD2">
        <w:rPr>
          <w:sz w:val="24"/>
          <w:szCs w:val="24"/>
          <w:lang w:val="en"/>
        </w:rPr>
        <w:t xml:space="preserve">and presumably </w:t>
      </w:r>
      <w:r w:rsidR="00A2475A" w:rsidRPr="00155FD2">
        <w:rPr>
          <w:sz w:val="24"/>
          <w:szCs w:val="24"/>
          <w:lang w:val="en"/>
        </w:rPr>
        <w:t>would have been summarily dismissed on that basis</w:t>
      </w:r>
      <w:r w:rsidR="00B825E8" w:rsidRPr="00155FD2">
        <w:rPr>
          <w:sz w:val="24"/>
          <w:szCs w:val="24"/>
          <w:lang w:val="en"/>
        </w:rPr>
        <w:t xml:space="preserve">. </w:t>
      </w:r>
    </w:p>
    <w:p w:rsidR="00155FD2" w:rsidRDefault="004A2484" w:rsidP="00155FD2">
      <w:pPr>
        <w:pStyle w:val="ListParagraph"/>
        <w:numPr>
          <w:ilvl w:val="0"/>
          <w:numId w:val="7"/>
        </w:numPr>
        <w:spacing w:line="360" w:lineRule="auto"/>
        <w:jc w:val="both"/>
        <w:rPr>
          <w:sz w:val="24"/>
          <w:szCs w:val="24"/>
          <w:lang w:val="en"/>
        </w:rPr>
      </w:pPr>
      <w:r w:rsidRPr="00155FD2">
        <w:rPr>
          <w:sz w:val="24"/>
          <w:szCs w:val="24"/>
          <w:lang w:val="en"/>
        </w:rPr>
        <w:t xml:space="preserve">Lord Keith </w:t>
      </w:r>
      <w:r w:rsidR="007F213C" w:rsidRPr="00155FD2">
        <w:rPr>
          <w:sz w:val="24"/>
          <w:szCs w:val="24"/>
          <w:lang w:val="en"/>
        </w:rPr>
        <w:t>says of the judgement of the Lord Justice-Clerk</w:t>
      </w:r>
      <w:r w:rsidR="00155FD2">
        <w:rPr>
          <w:sz w:val="24"/>
          <w:szCs w:val="24"/>
          <w:lang w:val="en"/>
        </w:rPr>
        <w:t xml:space="preserve">: </w:t>
      </w:r>
      <w:r w:rsidR="00155FD2" w:rsidRPr="00155FD2">
        <w:rPr>
          <w:sz w:val="24"/>
          <w:szCs w:val="24"/>
          <w:lang w:val="en"/>
        </w:rPr>
        <w:t>“He</w:t>
      </w:r>
      <w:r w:rsidRPr="00155FD2">
        <w:rPr>
          <w:sz w:val="24"/>
          <w:szCs w:val="24"/>
          <w:lang w:val="en"/>
        </w:rPr>
        <w:t xml:space="preserve"> approached the matter from the point of view of the principles upon which a court may be entitled to ignore the separate legal status of a limited company and its incorporators, which </w:t>
      </w:r>
      <w:proofErr w:type="spellStart"/>
      <w:r w:rsidRPr="00155FD2">
        <w:rPr>
          <w:sz w:val="24"/>
          <w:szCs w:val="24"/>
          <w:lang w:val="en"/>
        </w:rPr>
        <w:t>as</w:t>
      </w:r>
      <w:proofErr w:type="spellEnd"/>
      <w:r w:rsidRPr="00155FD2">
        <w:rPr>
          <w:sz w:val="24"/>
          <w:szCs w:val="24"/>
          <w:lang w:val="en"/>
        </w:rPr>
        <w:t xml:space="preserve"> held in Salomon v. Salomon &amp;</w:t>
      </w:r>
      <w:r w:rsidR="007F213C" w:rsidRPr="00155FD2">
        <w:rPr>
          <w:sz w:val="24"/>
          <w:szCs w:val="24"/>
          <w:lang w:val="en"/>
        </w:rPr>
        <w:t xml:space="preserve"> </w:t>
      </w:r>
      <w:r w:rsidRPr="00155FD2">
        <w:rPr>
          <w:sz w:val="24"/>
          <w:szCs w:val="24"/>
          <w:lang w:val="en"/>
        </w:rPr>
        <w:t xml:space="preserve">Co. Ltd. 1897 A.C. 22 must </w:t>
      </w:r>
      <w:r w:rsidRPr="00155FD2">
        <w:rPr>
          <w:i/>
          <w:sz w:val="24"/>
          <w:szCs w:val="24"/>
          <w:lang w:val="en"/>
        </w:rPr>
        <w:t>normally</w:t>
      </w:r>
      <w:r w:rsidRPr="00155FD2">
        <w:rPr>
          <w:sz w:val="24"/>
          <w:szCs w:val="24"/>
          <w:lang w:val="en"/>
        </w:rPr>
        <w:t xml:space="preserve"> receive full effect in relations between the company and persons dealing with it.” (</w:t>
      </w:r>
      <w:r w:rsidR="007F213C" w:rsidRPr="00155FD2">
        <w:rPr>
          <w:sz w:val="24"/>
          <w:szCs w:val="24"/>
          <w:lang w:val="en"/>
        </w:rPr>
        <w:t>Emphasis</w:t>
      </w:r>
      <w:r w:rsidRPr="00155FD2">
        <w:rPr>
          <w:sz w:val="24"/>
          <w:szCs w:val="24"/>
          <w:lang w:val="en"/>
        </w:rPr>
        <w:t xml:space="preserve"> added</w:t>
      </w:r>
      <w:r w:rsidR="007F213C" w:rsidRPr="00155FD2">
        <w:rPr>
          <w:sz w:val="24"/>
          <w:szCs w:val="24"/>
          <w:lang w:val="en"/>
        </w:rPr>
        <w:t>.</w:t>
      </w:r>
      <w:r w:rsidRPr="00155FD2">
        <w:rPr>
          <w:sz w:val="24"/>
          <w:szCs w:val="24"/>
          <w:lang w:val="en"/>
        </w:rPr>
        <w:t>)</w:t>
      </w:r>
      <w:r w:rsidR="00155FD2" w:rsidRPr="00155FD2">
        <w:rPr>
          <w:sz w:val="24"/>
          <w:szCs w:val="24"/>
          <w:lang w:val="en"/>
        </w:rPr>
        <w:t xml:space="preserve"> It is not clear whether Lord Keith is attributing the view that </w:t>
      </w:r>
      <w:r w:rsidR="00155FD2" w:rsidRPr="00155FD2">
        <w:rPr>
          <w:i/>
          <w:sz w:val="24"/>
          <w:szCs w:val="24"/>
          <w:lang w:val="en"/>
        </w:rPr>
        <w:t xml:space="preserve">Salomon </w:t>
      </w:r>
      <w:r w:rsidR="00155FD2" w:rsidRPr="00155FD2">
        <w:rPr>
          <w:sz w:val="24"/>
          <w:szCs w:val="24"/>
          <w:lang w:val="en"/>
        </w:rPr>
        <w:t xml:space="preserve">must </w:t>
      </w:r>
      <w:r w:rsidR="00155FD2" w:rsidRPr="00155FD2">
        <w:rPr>
          <w:i/>
          <w:sz w:val="24"/>
          <w:szCs w:val="24"/>
          <w:lang w:val="en"/>
        </w:rPr>
        <w:t>normally</w:t>
      </w:r>
      <w:r w:rsidR="00155FD2" w:rsidRPr="00155FD2">
        <w:rPr>
          <w:sz w:val="24"/>
          <w:szCs w:val="24"/>
          <w:lang w:val="en"/>
        </w:rPr>
        <w:t xml:space="preserve"> receive full effect to Lord Justice-Clerk or is stating that view himself. It is submitted that the latter is more likely. In either case, the use of the word ‘normally’ clearly implies that there will be cases when corporate personality will not ‘receive full effect’</w:t>
      </w:r>
    </w:p>
    <w:p w:rsidR="006A1FFF" w:rsidRDefault="006A1FFF" w:rsidP="006A1FFF">
      <w:pPr>
        <w:pStyle w:val="ListParagraph"/>
        <w:spacing w:line="360" w:lineRule="auto"/>
        <w:jc w:val="both"/>
        <w:rPr>
          <w:sz w:val="24"/>
          <w:szCs w:val="24"/>
          <w:lang w:val="en"/>
        </w:rPr>
      </w:pPr>
    </w:p>
    <w:p w:rsidR="006A1FFF" w:rsidRDefault="006A1FFF" w:rsidP="006A1FFF">
      <w:pPr>
        <w:pStyle w:val="ListParagraph"/>
        <w:spacing w:line="360" w:lineRule="auto"/>
        <w:ind w:left="0"/>
        <w:jc w:val="both"/>
        <w:rPr>
          <w:sz w:val="24"/>
          <w:szCs w:val="24"/>
          <w:lang w:val="en"/>
        </w:rPr>
      </w:pPr>
      <w:r w:rsidRPr="006A1FFF">
        <w:rPr>
          <w:sz w:val="24"/>
          <w:szCs w:val="24"/>
          <w:lang w:val="en"/>
        </w:rPr>
        <w:lastRenderedPageBreak/>
        <w:t xml:space="preserve">At the end of his consideration of </w:t>
      </w:r>
      <w:r w:rsidRPr="006A1FFF">
        <w:rPr>
          <w:i/>
          <w:sz w:val="24"/>
          <w:szCs w:val="24"/>
          <w:lang w:val="en"/>
        </w:rPr>
        <w:t>Woolfson</w:t>
      </w:r>
      <w:r w:rsidRPr="006A1FFF">
        <w:rPr>
          <w:sz w:val="24"/>
          <w:szCs w:val="24"/>
          <w:lang w:val="en"/>
        </w:rPr>
        <w:t>, Lord Neuberger concludes that “The most that can be said about Woolfson from the perspective of VTB is that the House was prepared to assume that the power [to pierce the veil] existed.”  With respect, this is slightly misleading. Although the distinction is often ignored in common parlance</w:t>
      </w:r>
      <w:r w:rsidR="00EC048F">
        <w:rPr>
          <w:sz w:val="24"/>
          <w:szCs w:val="24"/>
          <w:lang w:val="en"/>
        </w:rPr>
        <w:t>,</w:t>
      </w:r>
      <w:r w:rsidRPr="006A1FFF">
        <w:rPr>
          <w:sz w:val="24"/>
          <w:szCs w:val="24"/>
          <w:lang w:val="en"/>
        </w:rPr>
        <w:t xml:space="preserve"> an assumption differs from a presumption in that an assumption is neutral about the truth or otherwise of a proposition, whereas a person making a presumption believes the relevant proposition to be correct (although the presump</w:t>
      </w:r>
      <w:r w:rsidR="0076501F">
        <w:rPr>
          <w:sz w:val="24"/>
          <w:szCs w:val="24"/>
          <w:lang w:val="en"/>
        </w:rPr>
        <w:t>tion may be rebutted).</w:t>
      </w:r>
      <w:r w:rsidR="004C466D">
        <w:rPr>
          <w:rStyle w:val="FootnoteReference"/>
          <w:sz w:val="24"/>
          <w:szCs w:val="24"/>
          <w:lang w:val="en"/>
        </w:rPr>
        <w:footnoteReference w:id="19"/>
      </w:r>
      <w:r w:rsidR="0076501F">
        <w:rPr>
          <w:sz w:val="24"/>
          <w:szCs w:val="24"/>
          <w:lang w:val="en"/>
        </w:rPr>
        <w:t xml:space="preserve"> </w:t>
      </w:r>
      <w:r w:rsidRPr="006A1FFF">
        <w:rPr>
          <w:sz w:val="24"/>
          <w:szCs w:val="24"/>
          <w:lang w:val="en"/>
        </w:rPr>
        <w:t xml:space="preserve">The language of Lord Keith’s speech is much more suggestive of a presumption than an assumption. </w:t>
      </w:r>
      <w:r w:rsidR="006B1175">
        <w:rPr>
          <w:sz w:val="24"/>
          <w:szCs w:val="24"/>
          <w:lang w:val="en"/>
        </w:rPr>
        <w:t>It is submitted that m</w:t>
      </w:r>
      <w:r w:rsidRPr="006A1FFF">
        <w:rPr>
          <w:sz w:val="24"/>
          <w:szCs w:val="24"/>
          <w:lang w:val="en"/>
        </w:rPr>
        <w:t xml:space="preserve">ost </w:t>
      </w:r>
      <w:r w:rsidR="006B1175">
        <w:rPr>
          <w:sz w:val="24"/>
          <w:szCs w:val="24"/>
          <w:lang w:val="en"/>
        </w:rPr>
        <w:t>lawyers reading his judgement</w:t>
      </w:r>
      <w:r w:rsidRPr="006A1FFF">
        <w:rPr>
          <w:sz w:val="24"/>
          <w:szCs w:val="24"/>
          <w:lang w:val="en"/>
        </w:rPr>
        <w:t xml:space="preserve"> would conclude that he believed that the power to pierce the veil existed. </w:t>
      </w:r>
    </w:p>
    <w:p w:rsidR="00EC048F" w:rsidRPr="006A1FFF" w:rsidRDefault="00EC048F" w:rsidP="006A1FFF">
      <w:pPr>
        <w:pStyle w:val="ListParagraph"/>
        <w:spacing w:line="360" w:lineRule="auto"/>
        <w:ind w:left="0"/>
        <w:jc w:val="both"/>
        <w:rPr>
          <w:sz w:val="24"/>
          <w:szCs w:val="24"/>
          <w:lang w:val="en"/>
        </w:rPr>
      </w:pPr>
    </w:p>
    <w:p w:rsidR="006A1FFF" w:rsidRDefault="006A1FFF" w:rsidP="00EC048F">
      <w:pPr>
        <w:pStyle w:val="ListParagraph"/>
        <w:spacing w:line="360" w:lineRule="auto"/>
        <w:ind w:left="0"/>
        <w:jc w:val="both"/>
        <w:rPr>
          <w:sz w:val="24"/>
          <w:szCs w:val="24"/>
          <w:lang w:val="en"/>
        </w:rPr>
      </w:pPr>
      <w:r w:rsidRPr="006A1FFF">
        <w:rPr>
          <w:sz w:val="24"/>
          <w:szCs w:val="24"/>
          <w:lang w:val="en"/>
        </w:rPr>
        <w:t>Similarly and again</w:t>
      </w:r>
      <w:r w:rsidR="006B1175">
        <w:rPr>
          <w:sz w:val="24"/>
          <w:szCs w:val="24"/>
          <w:lang w:val="en"/>
        </w:rPr>
        <w:t>,</w:t>
      </w:r>
      <w:r w:rsidRPr="006A1FFF">
        <w:rPr>
          <w:sz w:val="24"/>
          <w:szCs w:val="24"/>
          <w:lang w:val="en"/>
        </w:rPr>
        <w:t xml:space="preserve"> with respect, to say that the House ‘</w:t>
      </w:r>
      <w:r w:rsidRPr="004C466D">
        <w:rPr>
          <w:i/>
          <w:sz w:val="24"/>
          <w:szCs w:val="24"/>
          <w:lang w:val="en"/>
        </w:rPr>
        <w:t>was prepared to</w:t>
      </w:r>
      <w:r w:rsidRPr="006A1FFF">
        <w:rPr>
          <w:sz w:val="24"/>
          <w:szCs w:val="24"/>
          <w:lang w:val="en"/>
        </w:rPr>
        <w:t xml:space="preserve"> assume’ (emphasis added) is linguistically questionable. It is not that the court ‘was prepared to assume’ it </w:t>
      </w:r>
      <w:r w:rsidRPr="00EC048F">
        <w:rPr>
          <w:i/>
          <w:sz w:val="24"/>
          <w:szCs w:val="24"/>
          <w:lang w:val="en"/>
        </w:rPr>
        <w:t>did</w:t>
      </w:r>
      <w:r w:rsidRPr="006A1FFF">
        <w:rPr>
          <w:sz w:val="24"/>
          <w:szCs w:val="24"/>
          <w:lang w:val="en"/>
        </w:rPr>
        <w:t xml:space="preserve"> assume (sic) that the power existed.</w:t>
      </w:r>
    </w:p>
    <w:p w:rsidR="006B1175" w:rsidRDefault="006B1175" w:rsidP="004C466D">
      <w:pPr>
        <w:pStyle w:val="ListParagraph"/>
        <w:spacing w:line="360" w:lineRule="auto"/>
        <w:ind w:left="0"/>
        <w:jc w:val="both"/>
        <w:rPr>
          <w:b/>
          <w:sz w:val="24"/>
          <w:szCs w:val="24"/>
          <w:lang w:val="en"/>
        </w:rPr>
      </w:pPr>
    </w:p>
    <w:p w:rsidR="006A1FFF" w:rsidRPr="00155FD2" w:rsidRDefault="004C466D" w:rsidP="004C466D">
      <w:pPr>
        <w:pStyle w:val="ListParagraph"/>
        <w:spacing w:line="360" w:lineRule="auto"/>
        <w:ind w:left="0"/>
        <w:jc w:val="both"/>
        <w:rPr>
          <w:sz w:val="24"/>
          <w:szCs w:val="24"/>
          <w:lang w:val="en"/>
        </w:rPr>
      </w:pPr>
      <w:bookmarkStart w:id="1" w:name="_GoBack"/>
      <w:r w:rsidRPr="004C466D">
        <w:rPr>
          <w:b/>
          <w:sz w:val="24"/>
          <w:szCs w:val="24"/>
          <w:lang w:val="en"/>
        </w:rPr>
        <w:t>The ratio in Salomon</w:t>
      </w:r>
    </w:p>
    <w:p w:rsidR="00915B71" w:rsidRDefault="00C96E03" w:rsidP="00915B71">
      <w:pPr>
        <w:spacing w:line="360" w:lineRule="auto"/>
        <w:jc w:val="both"/>
        <w:rPr>
          <w:sz w:val="24"/>
          <w:szCs w:val="24"/>
        </w:rPr>
      </w:pPr>
      <w:r>
        <w:rPr>
          <w:sz w:val="24"/>
          <w:szCs w:val="24"/>
          <w:lang w:val="en"/>
        </w:rPr>
        <w:t xml:space="preserve">In his presumption that the power to pierce the veil existed, was </w:t>
      </w:r>
      <w:r w:rsidR="004A5F3A">
        <w:rPr>
          <w:sz w:val="24"/>
          <w:szCs w:val="24"/>
          <w:lang w:val="en"/>
        </w:rPr>
        <w:t xml:space="preserve">Lord Keith </w:t>
      </w:r>
      <w:r w:rsidR="004C5574">
        <w:rPr>
          <w:sz w:val="24"/>
          <w:szCs w:val="24"/>
          <w:lang w:val="en"/>
        </w:rPr>
        <w:t xml:space="preserve">ignoring a cardinal </w:t>
      </w:r>
      <w:r w:rsidR="00915B71">
        <w:rPr>
          <w:sz w:val="24"/>
          <w:szCs w:val="24"/>
          <w:lang w:val="en"/>
        </w:rPr>
        <w:t xml:space="preserve">principle established by </w:t>
      </w:r>
      <w:r w:rsidR="00915B71" w:rsidRPr="004C5574">
        <w:rPr>
          <w:i/>
          <w:sz w:val="24"/>
          <w:szCs w:val="24"/>
          <w:lang w:val="en"/>
        </w:rPr>
        <w:t>Salomon</w:t>
      </w:r>
      <w:r w:rsidR="00915B71">
        <w:rPr>
          <w:sz w:val="24"/>
          <w:szCs w:val="24"/>
          <w:lang w:val="en"/>
        </w:rPr>
        <w:t>? Lord N</w:t>
      </w:r>
      <w:r w:rsidR="004C5574">
        <w:rPr>
          <w:sz w:val="24"/>
          <w:szCs w:val="24"/>
          <w:lang w:val="en"/>
        </w:rPr>
        <w:t xml:space="preserve">euberger commented </w:t>
      </w:r>
      <w:r w:rsidR="00915B71">
        <w:rPr>
          <w:sz w:val="24"/>
          <w:szCs w:val="24"/>
          <w:lang w:val="en"/>
        </w:rPr>
        <w:t>that</w:t>
      </w:r>
      <w:r w:rsidR="00045087">
        <w:rPr>
          <w:sz w:val="24"/>
          <w:szCs w:val="24"/>
          <w:lang w:val="en"/>
        </w:rPr>
        <w:t xml:space="preserve">: </w:t>
      </w:r>
      <w:r w:rsidR="00915B71">
        <w:rPr>
          <w:sz w:val="24"/>
          <w:szCs w:val="24"/>
        </w:rPr>
        <w:t>“</w:t>
      </w:r>
      <w:r w:rsidR="00915B71" w:rsidRPr="00915B71">
        <w:rPr>
          <w:sz w:val="24"/>
          <w:szCs w:val="24"/>
        </w:rPr>
        <w:t>There is gr</w:t>
      </w:r>
      <w:r w:rsidR="004C5574">
        <w:rPr>
          <w:sz w:val="24"/>
          <w:szCs w:val="24"/>
        </w:rPr>
        <w:t>eat force in the argument that [</w:t>
      </w:r>
      <w:r w:rsidR="004C5574" w:rsidRPr="004C5574">
        <w:rPr>
          <w:i/>
          <w:sz w:val="24"/>
          <w:szCs w:val="24"/>
        </w:rPr>
        <w:t>Salomon</w:t>
      </w:r>
      <w:r w:rsidR="004C5574">
        <w:rPr>
          <w:sz w:val="24"/>
          <w:szCs w:val="24"/>
        </w:rPr>
        <w:t xml:space="preserve">] </w:t>
      </w:r>
      <w:r w:rsidR="00915B71" w:rsidRPr="00915B71">
        <w:rPr>
          <w:sz w:val="24"/>
          <w:szCs w:val="24"/>
        </w:rPr>
        <w:t>represented an early attempt to pierce the veil of incorporation, and it failed, pursuant to a unanimous decision of the House of Lords, not on the facts, but as a matter of principle.</w:t>
      </w:r>
      <w:r w:rsidR="00915B71">
        <w:rPr>
          <w:sz w:val="24"/>
          <w:szCs w:val="24"/>
        </w:rPr>
        <w:t>”</w:t>
      </w:r>
      <w:r w:rsidR="00915B71" w:rsidRPr="00915B71">
        <w:rPr>
          <w:sz w:val="24"/>
          <w:szCs w:val="24"/>
        </w:rPr>
        <w:t xml:space="preserve"> </w:t>
      </w:r>
      <w:r w:rsidR="00915B71">
        <w:rPr>
          <w:rStyle w:val="FootnoteReference"/>
          <w:sz w:val="24"/>
          <w:szCs w:val="24"/>
        </w:rPr>
        <w:footnoteReference w:id="20"/>
      </w:r>
    </w:p>
    <w:bookmarkEnd w:id="1"/>
    <w:p w:rsidR="006F1BFD" w:rsidRPr="00915B71" w:rsidRDefault="00015F7F" w:rsidP="00915B71">
      <w:pPr>
        <w:spacing w:line="360" w:lineRule="auto"/>
        <w:jc w:val="both"/>
        <w:rPr>
          <w:sz w:val="24"/>
          <w:szCs w:val="24"/>
        </w:rPr>
      </w:pPr>
      <w:r>
        <w:rPr>
          <w:sz w:val="24"/>
          <w:szCs w:val="24"/>
        </w:rPr>
        <w:t xml:space="preserve">In </w:t>
      </w:r>
      <w:r w:rsidRPr="00015F7F">
        <w:rPr>
          <w:i/>
          <w:sz w:val="24"/>
          <w:szCs w:val="24"/>
        </w:rPr>
        <w:t>Salomon</w:t>
      </w:r>
      <w:r w:rsidR="006F1BFD" w:rsidRPr="00015F7F">
        <w:rPr>
          <w:i/>
          <w:sz w:val="24"/>
          <w:szCs w:val="24"/>
        </w:rPr>
        <w:t xml:space="preserve"> </w:t>
      </w:r>
      <w:r w:rsidR="006F1BFD">
        <w:rPr>
          <w:sz w:val="24"/>
          <w:szCs w:val="24"/>
        </w:rPr>
        <w:t>Lord Halsbury’s well-known judgement begins</w:t>
      </w:r>
      <w:r w:rsidR="00045087">
        <w:rPr>
          <w:sz w:val="24"/>
          <w:szCs w:val="24"/>
        </w:rPr>
        <w:t>:</w:t>
      </w:r>
    </w:p>
    <w:p w:rsidR="000479AA" w:rsidRDefault="00045087" w:rsidP="00915B71">
      <w:pPr>
        <w:spacing w:line="360" w:lineRule="auto"/>
        <w:jc w:val="both"/>
        <w:rPr>
          <w:sz w:val="24"/>
          <w:szCs w:val="24"/>
          <w:lang w:val="en"/>
        </w:rPr>
      </w:pPr>
      <w:r>
        <w:rPr>
          <w:sz w:val="24"/>
          <w:szCs w:val="24"/>
          <w:lang w:val="en"/>
        </w:rPr>
        <w:t>“</w:t>
      </w:r>
      <w:r w:rsidR="006F1BFD" w:rsidRPr="006F1BFD">
        <w:rPr>
          <w:sz w:val="24"/>
          <w:szCs w:val="24"/>
          <w:lang w:val="en"/>
        </w:rPr>
        <w:t>My Lords, the important question in this case, I am not certain it is not the only question, is whether the respondent company was a company at all - whether in truth that artificial creation of the Legislature had been validly constituted in this instance</w:t>
      </w:r>
      <w:r w:rsidR="006A1FFF">
        <w:rPr>
          <w:sz w:val="24"/>
          <w:szCs w:val="24"/>
          <w:lang w:val="en"/>
        </w:rPr>
        <w:t>;”</w:t>
      </w:r>
    </w:p>
    <w:p w:rsidR="00B825E8" w:rsidRDefault="00015F7F" w:rsidP="00915B71">
      <w:pPr>
        <w:spacing w:line="360" w:lineRule="auto"/>
        <w:jc w:val="both"/>
        <w:rPr>
          <w:sz w:val="24"/>
          <w:szCs w:val="24"/>
          <w:lang w:val="en"/>
        </w:rPr>
      </w:pPr>
      <w:r>
        <w:rPr>
          <w:sz w:val="24"/>
          <w:szCs w:val="24"/>
          <w:lang w:val="en"/>
        </w:rPr>
        <w:t xml:space="preserve">This question </w:t>
      </w:r>
      <w:r w:rsidR="0029397E">
        <w:rPr>
          <w:sz w:val="24"/>
          <w:szCs w:val="24"/>
          <w:lang w:val="en"/>
        </w:rPr>
        <w:t xml:space="preserve">Lord Halsbury </w:t>
      </w:r>
      <w:r>
        <w:rPr>
          <w:sz w:val="24"/>
          <w:szCs w:val="24"/>
          <w:lang w:val="en"/>
        </w:rPr>
        <w:t xml:space="preserve">seeks to answer </w:t>
      </w:r>
      <w:r w:rsidR="000479AA">
        <w:rPr>
          <w:sz w:val="24"/>
          <w:szCs w:val="24"/>
          <w:lang w:val="en"/>
        </w:rPr>
        <w:t xml:space="preserve">is not </w:t>
      </w:r>
      <w:r>
        <w:rPr>
          <w:sz w:val="24"/>
          <w:szCs w:val="24"/>
          <w:lang w:val="en"/>
        </w:rPr>
        <w:t>whether or not the veil should be pierced</w:t>
      </w:r>
      <w:r w:rsidR="000479AA">
        <w:rPr>
          <w:sz w:val="24"/>
          <w:szCs w:val="24"/>
          <w:lang w:val="en"/>
        </w:rPr>
        <w:t xml:space="preserve"> </w:t>
      </w:r>
      <w:r>
        <w:rPr>
          <w:sz w:val="24"/>
          <w:szCs w:val="24"/>
          <w:lang w:val="en"/>
        </w:rPr>
        <w:t xml:space="preserve">but </w:t>
      </w:r>
      <w:r w:rsidR="004C5574">
        <w:rPr>
          <w:sz w:val="24"/>
          <w:szCs w:val="24"/>
          <w:lang w:val="en"/>
        </w:rPr>
        <w:t xml:space="preserve">rather </w:t>
      </w:r>
      <w:r w:rsidR="000479AA">
        <w:rPr>
          <w:sz w:val="24"/>
          <w:szCs w:val="24"/>
          <w:lang w:val="en"/>
        </w:rPr>
        <w:t xml:space="preserve">whether or not </w:t>
      </w:r>
      <w:r w:rsidR="004C466D">
        <w:rPr>
          <w:sz w:val="24"/>
          <w:szCs w:val="24"/>
          <w:lang w:val="en"/>
        </w:rPr>
        <w:t>what was described as a</w:t>
      </w:r>
      <w:r w:rsidR="000479AA">
        <w:rPr>
          <w:sz w:val="24"/>
          <w:szCs w:val="24"/>
          <w:lang w:val="en"/>
        </w:rPr>
        <w:t xml:space="preserve"> company was indeed a company</w:t>
      </w:r>
      <w:r w:rsidR="00EA65B7">
        <w:rPr>
          <w:sz w:val="24"/>
          <w:szCs w:val="24"/>
          <w:lang w:val="en"/>
        </w:rPr>
        <w:t xml:space="preserve"> or merely ‘the appellant under another name’</w:t>
      </w:r>
      <w:r w:rsidR="004C5574">
        <w:rPr>
          <w:sz w:val="24"/>
          <w:szCs w:val="24"/>
          <w:lang w:val="en"/>
        </w:rPr>
        <w:t xml:space="preserve">. </w:t>
      </w:r>
      <w:r w:rsidR="000479AA">
        <w:rPr>
          <w:sz w:val="24"/>
          <w:szCs w:val="24"/>
          <w:lang w:val="en"/>
        </w:rPr>
        <w:t xml:space="preserve"> </w:t>
      </w:r>
      <w:r w:rsidR="006A1FFF">
        <w:rPr>
          <w:sz w:val="24"/>
          <w:szCs w:val="24"/>
          <w:lang w:val="en"/>
        </w:rPr>
        <w:t>Statute</w:t>
      </w:r>
      <w:r w:rsidR="000479AA">
        <w:rPr>
          <w:sz w:val="24"/>
          <w:szCs w:val="24"/>
          <w:lang w:val="en"/>
        </w:rPr>
        <w:t xml:space="preserve"> was to be the sole guide</w:t>
      </w:r>
      <w:r w:rsidR="006A1FFF">
        <w:rPr>
          <w:sz w:val="24"/>
          <w:szCs w:val="24"/>
          <w:lang w:val="en"/>
        </w:rPr>
        <w:t>.</w:t>
      </w:r>
      <w:r w:rsidR="006F1BFD" w:rsidRPr="006F1BFD">
        <w:rPr>
          <w:sz w:val="24"/>
          <w:szCs w:val="24"/>
          <w:lang w:val="en"/>
        </w:rPr>
        <w:t xml:space="preserve"> </w:t>
      </w:r>
      <w:r w:rsidR="0029397E">
        <w:rPr>
          <w:sz w:val="24"/>
          <w:szCs w:val="24"/>
          <w:lang w:val="en"/>
        </w:rPr>
        <w:t xml:space="preserve">Could it be </w:t>
      </w:r>
      <w:r w:rsidR="0029397E">
        <w:rPr>
          <w:sz w:val="24"/>
          <w:szCs w:val="24"/>
          <w:lang w:val="en"/>
        </w:rPr>
        <w:lastRenderedPageBreak/>
        <w:t xml:space="preserve">argued that, at its simplest, the ratio is no more than that a company formed in accordance with the statutory requirements is a separate legal personality?  </w:t>
      </w:r>
    </w:p>
    <w:p w:rsidR="00994688" w:rsidRDefault="00015F7F" w:rsidP="00D2101C">
      <w:pPr>
        <w:spacing w:line="360" w:lineRule="auto"/>
        <w:jc w:val="both"/>
        <w:rPr>
          <w:sz w:val="24"/>
          <w:szCs w:val="24"/>
          <w:lang w:val="en"/>
        </w:rPr>
      </w:pPr>
      <w:r>
        <w:rPr>
          <w:sz w:val="24"/>
          <w:szCs w:val="24"/>
          <w:lang w:val="en"/>
        </w:rPr>
        <w:t xml:space="preserve">There </w:t>
      </w:r>
      <w:r w:rsidR="0029397E">
        <w:rPr>
          <w:sz w:val="24"/>
          <w:szCs w:val="24"/>
          <w:lang w:val="en"/>
        </w:rPr>
        <w:t xml:space="preserve">is not scope in this article to </w:t>
      </w:r>
      <w:r w:rsidR="0015621B">
        <w:rPr>
          <w:sz w:val="24"/>
          <w:szCs w:val="24"/>
          <w:lang w:val="en"/>
        </w:rPr>
        <w:t>explore</w:t>
      </w:r>
      <w:r w:rsidR="0029397E">
        <w:rPr>
          <w:sz w:val="24"/>
          <w:szCs w:val="24"/>
          <w:lang w:val="en"/>
        </w:rPr>
        <w:t xml:space="preserve"> fully the</w:t>
      </w:r>
      <w:r>
        <w:rPr>
          <w:sz w:val="24"/>
          <w:szCs w:val="24"/>
          <w:lang w:val="en"/>
        </w:rPr>
        <w:t xml:space="preserve"> </w:t>
      </w:r>
      <w:r w:rsidR="0015621B">
        <w:rPr>
          <w:sz w:val="24"/>
          <w:szCs w:val="24"/>
          <w:lang w:val="en"/>
        </w:rPr>
        <w:t xml:space="preserve">many </w:t>
      </w:r>
      <w:r w:rsidR="00AF0467">
        <w:rPr>
          <w:sz w:val="24"/>
          <w:szCs w:val="24"/>
          <w:lang w:val="en"/>
        </w:rPr>
        <w:t xml:space="preserve">significant differences </w:t>
      </w:r>
      <w:r w:rsidR="00EA65B7">
        <w:rPr>
          <w:sz w:val="24"/>
          <w:szCs w:val="24"/>
          <w:lang w:val="en"/>
        </w:rPr>
        <w:t>between</w:t>
      </w:r>
      <w:r w:rsidR="00AF0467">
        <w:rPr>
          <w:sz w:val="24"/>
          <w:szCs w:val="24"/>
          <w:lang w:val="en"/>
        </w:rPr>
        <w:t xml:space="preserve"> the judgements </w:t>
      </w:r>
      <w:r w:rsidR="00EA65B7">
        <w:rPr>
          <w:sz w:val="24"/>
          <w:szCs w:val="24"/>
          <w:lang w:val="en"/>
        </w:rPr>
        <w:t xml:space="preserve">in </w:t>
      </w:r>
      <w:r w:rsidR="00EA65B7" w:rsidRPr="00EA65B7">
        <w:rPr>
          <w:i/>
          <w:sz w:val="24"/>
          <w:szCs w:val="24"/>
          <w:lang w:val="en"/>
        </w:rPr>
        <w:t>Salomon</w:t>
      </w:r>
      <w:r>
        <w:rPr>
          <w:sz w:val="24"/>
          <w:szCs w:val="24"/>
          <w:lang w:val="en"/>
        </w:rPr>
        <w:t xml:space="preserve"> and </w:t>
      </w:r>
      <w:r w:rsidR="0029397E">
        <w:rPr>
          <w:sz w:val="24"/>
          <w:szCs w:val="24"/>
          <w:lang w:val="en"/>
        </w:rPr>
        <w:t xml:space="preserve">the differing </w:t>
      </w:r>
      <w:r w:rsidR="00AF0467">
        <w:rPr>
          <w:sz w:val="24"/>
          <w:szCs w:val="24"/>
          <w:lang w:val="en"/>
        </w:rPr>
        <w:t xml:space="preserve">versions of the ratio </w:t>
      </w:r>
      <w:r w:rsidR="0029397E">
        <w:rPr>
          <w:sz w:val="24"/>
          <w:szCs w:val="24"/>
          <w:lang w:val="en"/>
        </w:rPr>
        <w:t xml:space="preserve">decidendi which </w:t>
      </w:r>
      <w:r w:rsidR="00AF0467">
        <w:rPr>
          <w:sz w:val="24"/>
          <w:szCs w:val="24"/>
          <w:lang w:val="en"/>
        </w:rPr>
        <w:t>could be constructed</w:t>
      </w:r>
      <w:r w:rsidR="00EA65B7">
        <w:rPr>
          <w:sz w:val="24"/>
          <w:szCs w:val="24"/>
          <w:lang w:val="en"/>
        </w:rPr>
        <w:t xml:space="preserve">. </w:t>
      </w:r>
      <w:r w:rsidR="0029397E">
        <w:rPr>
          <w:sz w:val="24"/>
          <w:szCs w:val="24"/>
          <w:lang w:val="en"/>
        </w:rPr>
        <w:t>I</w:t>
      </w:r>
      <w:r w:rsidR="00D30786">
        <w:rPr>
          <w:sz w:val="24"/>
          <w:szCs w:val="24"/>
          <w:lang w:val="en"/>
        </w:rPr>
        <w:t xml:space="preserve">t is submitted </w:t>
      </w:r>
      <w:r w:rsidR="0029397E">
        <w:rPr>
          <w:sz w:val="24"/>
          <w:szCs w:val="24"/>
          <w:lang w:val="en"/>
        </w:rPr>
        <w:t xml:space="preserve">however </w:t>
      </w:r>
      <w:r w:rsidR="00D30786">
        <w:rPr>
          <w:sz w:val="24"/>
          <w:szCs w:val="24"/>
          <w:lang w:val="en"/>
        </w:rPr>
        <w:t>that</w:t>
      </w:r>
      <w:r w:rsidR="0029397E">
        <w:rPr>
          <w:sz w:val="24"/>
          <w:szCs w:val="24"/>
          <w:lang w:val="en"/>
        </w:rPr>
        <w:t xml:space="preserve"> the</w:t>
      </w:r>
      <w:r w:rsidR="00D30786">
        <w:rPr>
          <w:sz w:val="24"/>
          <w:szCs w:val="24"/>
          <w:lang w:val="en"/>
        </w:rPr>
        <w:t xml:space="preserve"> element of uncertainty over the exact ratio in </w:t>
      </w:r>
      <w:r w:rsidR="00D30786" w:rsidRPr="0015621B">
        <w:rPr>
          <w:i/>
          <w:sz w:val="24"/>
          <w:szCs w:val="24"/>
          <w:lang w:val="en"/>
        </w:rPr>
        <w:t>Salomon</w:t>
      </w:r>
      <w:r w:rsidR="00D30786">
        <w:rPr>
          <w:sz w:val="24"/>
          <w:szCs w:val="24"/>
          <w:lang w:val="en"/>
        </w:rPr>
        <w:t xml:space="preserve">, taken together with </w:t>
      </w:r>
      <w:r w:rsidR="00994688">
        <w:rPr>
          <w:sz w:val="24"/>
          <w:szCs w:val="24"/>
          <w:lang w:val="en"/>
        </w:rPr>
        <w:t xml:space="preserve">the decision in </w:t>
      </w:r>
      <w:r w:rsidR="00994688" w:rsidRPr="0015621B">
        <w:rPr>
          <w:i/>
          <w:sz w:val="24"/>
          <w:szCs w:val="24"/>
          <w:lang w:val="en"/>
        </w:rPr>
        <w:t>Woolfson</w:t>
      </w:r>
      <w:r w:rsidR="00994688">
        <w:rPr>
          <w:sz w:val="24"/>
          <w:szCs w:val="24"/>
          <w:lang w:val="en"/>
        </w:rPr>
        <w:t xml:space="preserve"> and </w:t>
      </w:r>
      <w:r w:rsidR="00D30786">
        <w:rPr>
          <w:sz w:val="24"/>
          <w:szCs w:val="24"/>
          <w:lang w:val="en"/>
        </w:rPr>
        <w:t>the overwhelming evidence from case law that judges have presumed that such a power exists</w:t>
      </w:r>
      <w:r w:rsidR="00994688">
        <w:rPr>
          <w:sz w:val="24"/>
          <w:szCs w:val="24"/>
          <w:lang w:val="en"/>
        </w:rPr>
        <w:t>,</w:t>
      </w:r>
      <w:r w:rsidR="00D30786">
        <w:rPr>
          <w:sz w:val="24"/>
          <w:szCs w:val="24"/>
          <w:lang w:val="en"/>
        </w:rPr>
        <w:t xml:space="preserve"> mean</w:t>
      </w:r>
      <w:r w:rsidR="0015621B">
        <w:rPr>
          <w:sz w:val="24"/>
          <w:szCs w:val="24"/>
          <w:lang w:val="en"/>
        </w:rPr>
        <w:t>s</w:t>
      </w:r>
      <w:r w:rsidR="00D30786">
        <w:rPr>
          <w:sz w:val="24"/>
          <w:szCs w:val="24"/>
          <w:lang w:val="en"/>
        </w:rPr>
        <w:t xml:space="preserve"> that the argument that piercing the veil is contrary to high authority is not sustainable.  </w:t>
      </w:r>
    </w:p>
    <w:p w:rsidR="00A11707" w:rsidRPr="00A11707" w:rsidRDefault="00A11707" w:rsidP="0039228B">
      <w:pPr>
        <w:spacing w:line="360" w:lineRule="auto"/>
        <w:jc w:val="both"/>
        <w:rPr>
          <w:b/>
          <w:sz w:val="24"/>
          <w:szCs w:val="24"/>
        </w:rPr>
      </w:pPr>
      <w:r w:rsidRPr="00A11707">
        <w:rPr>
          <w:b/>
          <w:sz w:val="24"/>
          <w:szCs w:val="24"/>
        </w:rPr>
        <w:t xml:space="preserve">Conclusion </w:t>
      </w:r>
    </w:p>
    <w:p w:rsidR="006D760D" w:rsidRDefault="00A11707" w:rsidP="0039228B">
      <w:pPr>
        <w:spacing w:line="360" w:lineRule="auto"/>
        <w:jc w:val="both"/>
        <w:rPr>
          <w:sz w:val="24"/>
          <w:szCs w:val="24"/>
        </w:rPr>
      </w:pPr>
      <w:r>
        <w:rPr>
          <w:sz w:val="24"/>
          <w:szCs w:val="24"/>
        </w:rPr>
        <w:t xml:space="preserve">One might </w:t>
      </w:r>
      <w:r w:rsidR="006B1175">
        <w:rPr>
          <w:sz w:val="24"/>
          <w:szCs w:val="24"/>
        </w:rPr>
        <w:t xml:space="preserve">reasonably </w:t>
      </w:r>
      <w:r>
        <w:rPr>
          <w:sz w:val="24"/>
          <w:szCs w:val="24"/>
        </w:rPr>
        <w:t>question</w:t>
      </w:r>
      <w:r w:rsidR="00877723" w:rsidRPr="00404146">
        <w:rPr>
          <w:sz w:val="24"/>
          <w:szCs w:val="24"/>
        </w:rPr>
        <w:t xml:space="preserve"> whether the gallons of ink spilled</w:t>
      </w:r>
      <w:r w:rsidR="00EA65B7">
        <w:rPr>
          <w:sz w:val="24"/>
          <w:szCs w:val="24"/>
        </w:rPr>
        <w:t xml:space="preserve"> (</w:t>
      </w:r>
      <w:r w:rsidR="00404146" w:rsidRPr="00404146">
        <w:rPr>
          <w:sz w:val="24"/>
          <w:szCs w:val="24"/>
        </w:rPr>
        <w:t>and</w:t>
      </w:r>
      <w:r w:rsidR="0015621B">
        <w:rPr>
          <w:sz w:val="24"/>
          <w:szCs w:val="24"/>
        </w:rPr>
        <w:t>,</w:t>
      </w:r>
      <w:r w:rsidR="00404146" w:rsidRPr="00404146">
        <w:rPr>
          <w:sz w:val="24"/>
          <w:szCs w:val="24"/>
        </w:rPr>
        <w:t xml:space="preserve"> </w:t>
      </w:r>
      <w:r w:rsidR="00EA65B7">
        <w:rPr>
          <w:sz w:val="24"/>
          <w:szCs w:val="24"/>
        </w:rPr>
        <w:t>latterly</w:t>
      </w:r>
      <w:r w:rsidR="0015621B">
        <w:rPr>
          <w:sz w:val="24"/>
          <w:szCs w:val="24"/>
        </w:rPr>
        <w:t>,</w:t>
      </w:r>
      <w:r w:rsidR="00EA65B7">
        <w:rPr>
          <w:sz w:val="24"/>
          <w:szCs w:val="24"/>
        </w:rPr>
        <w:t xml:space="preserve"> </w:t>
      </w:r>
      <w:r w:rsidR="00B753A4">
        <w:rPr>
          <w:sz w:val="24"/>
          <w:szCs w:val="24"/>
        </w:rPr>
        <w:t>gi</w:t>
      </w:r>
      <w:r w:rsidR="00404146" w:rsidRPr="00404146">
        <w:rPr>
          <w:sz w:val="24"/>
          <w:szCs w:val="24"/>
        </w:rPr>
        <w:t>gabytes</w:t>
      </w:r>
      <w:r w:rsidR="00184A83" w:rsidRPr="00404146">
        <w:rPr>
          <w:sz w:val="24"/>
          <w:szCs w:val="24"/>
        </w:rPr>
        <w:t xml:space="preserve"> of memory</w:t>
      </w:r>
      <w:r w:rsidR="00404146" w:rsidRPr="00404146">
        <w:rPr>
          <w:sz w:val="24"/>
          <w:szCs w:val="24"/>
        </w:rPr>
        <w:t xml:space="preserve"> </w:t>
      </w:r>
      <w:r w:rsidR="00184A83" w:rsidRPr="00404146">
        <w:rPr>
          <w:sz w:val="24"/>
          <w:szCs w:val="24"/>
        </w:rPr>
        <w:t>consumed</w:t>
      </w:r>
      <w:r w:rsidR="00EA65B7">
        <w:rPr>
          <w:sz w:val="24"/>
          <w:szCs w:val="24"/>
        </w:rPr>
        <w:t>)</w:t>
      </w:r>
      <w:r w:rsidR="00877723" w:rsidRPr="00404146">
        <w:rPr>
          <w:sz w:val="24"/>
          <w:szCs w:val="24"/>
        </w:rPr>
        <w:t xml:space="preserve"> on </w:t>
      </w:r>
      <w:r>
        <w:rPr>
          <w:sz w:val="24"/>
          <w:szCs w:val="24"/>
        </w:rPr>
        <w:t>the</w:t>
      </w:r>
      <w:r w:rsidR="00877723" w:rsidRPr="00404146">
        <w:rPr>
          <w:sz w:val="24"/>
          <w:szCs w:val="24"/>
        </w:rPr>
        <w:t xml:space="preserve"> esoteric </w:t>
      </w:r>
      <w:r w:rsidR="0015621B">
        <w:rPr>
          <w:sz w:val="24"/>
          <w:szCs w:val="24"/>
        </w:rPr>
        <w:t xml:space="preserve">legal </w:t>
      </w:r>
      <w:r w:rsidR="00877723" w:rsidRPr="00404146">
        <w:rPr>
          <w:sz w:val="24"/>
          <w:szCs w:val="24"/>
        </w:rPr>
        <w:t xml:space="preserve">debate about whether or not the </w:t>
      </w:r>
      <w:r w:rsidR="00404146">
        <w:rPr>
          <w:sz w:val="24"/>
          <w:szCs w:val="24"/>
        </w:rPr>
        <w:t xml:space="preserve">corporate </w:t>
      </w:r>
      <w:r w:rsidR="00877723" w:rsidRPr="00404146">
        <w:rPr>
          <w:sz w:val="24"/>
          <w:szCs w:val="24"/>
        </w:rPr>
        <w:t>veil can be pierced</w:t>
      </w:r>
      <w:r w:rsidR="00404146" w:rsidRPr="00404146">
        <w:rPr>
          <w:sz w:val="24"/>
          <w:szCs w:val="24"/>
        </w:rPr>
        <w:t xml:space="preserve"> </w:t>
      </w:r>
      <w:r w:rsidR="00404146">
        <w:rPr>
          <w:sz w:val="24"/>
          <w:szCs w:val="24"/>
        </w:rPr>
        <w:t xml:space="preserve">has been </w:t>
      </w:r>
      <w:r w:rsidR="00404146" w:rsidRPr="00404146">
        <w:rPr>
          <w:sz w:val="24"/>
          <w:szCs w:val="24"/>
        </w:rPr>
        <w:t>worthwhile.</w:t>
      </w:r>
      <w:r w:rsidR="00404146" w:rsidRPr="00AF23B1">
        <w:rPr>
          <w:b/>
          <w:sz w:val="24"/>
          <w:szCs w:val="24"/>
        </w:rPr>
        <w:t xml:space="preserve"> </w:t>
      </w:r>
      <w:r w:rsidR="006B1175" w:rsidRPr="006B1175">
        <w:rPr>
          <w:sz w:val="24"/>
          <w:szCs w:val="24"/>
        </w:rPr>
        <w:t>Indeed</w:t>
      </w:r>
      <w:r w:rsidR="006B1175">
        <w:rPr>
          <w:b/>
          <w:sz w:val="24"/>
          <w:szCs w:val="24"/>
        </w:rPr>
        <w:t xml:space="preserve"> </w:t>
      </w:r>
      <w:r w:rsidR="006B1175">
        <w:rPr>
          <w:sz w:val="24"/>
          <w:szCs w:val="24"/>
        </w:rPr>
        <w:t>o</w:t>
      </w:r>
      <w:r w:rsidR="00404146" w:rsidRPr="00404146">
        <w:rPr>
          <w:sz w:val="24"/>
          <w:szCs w:val="24"/>
        </w:rPr>
        <w:t xml:space="preserve">ne might </w:t>
      </w:r>
      <w:r w:rsidR="006B1175">
        <w:rPr>
          <w:sz w:val="24"/>
          <w:szCs w:val="24"/>
        </w:rPr>
        <w:t>say</w:t>
      </w:r>
      <w:r w:rsidR="00404146" w:rsidRPr="00404146">
        <w:rPr>
          <w:sz w:val="24"/>
          <w:szCs w:val="24"/>
        </w:rPr>
        <w:t xml:space="preserve"> that a</w:t>
      </w:r>
      <w:r w:rsidR="00877723" w:rsidRPr="00404146">
        <w:rPr>
          <w:sz w:val="24"/>
          <w:szCs w:val="24"/>
        </w:rPr>
        <w:t>bstruse academic arguments about the precise wording of judgements</w:t>
      </w:r>
      <w:r w:rsidR="00404146" w:rsidRPr="00404146">
        <w:rPr>
          <w:sz w:val="24"/>
          <w:szCs w:val="24"/>
        </w:rPr>
        <w:t xml:space="preserve"> represent the nadir of a</w:t>
      </w:r>
      <w:r w:rsidR="00B753A4">
        <w:rPr>
          <w:sz w:val="24"/>
          <w:szCs w:val="24"/>
        </w:rPr>
        <w:t xml:space="preserve"> </w:t>
      </w:r>
      <w:r w:rsidR="00C33D89">
        <w:rPr>
          <w:sz w:val="24"/>
          <w:szCs w:val="24"/>
        </w:rPr>
        <w:t>largely</w:t>
      </w:r>
      <w:r w:rsidR="00404146" w:rsidRPr="00404146">
        <w:rPr>
          <w:sz w:val="24"/>
          <w:szCs w:val="24"/>
        </w:rPr>
        <w:t xml:space="preserve"> futile exercise. </w:t>
      </w:r>
      <w:r w:rsidR="00B753A4">
        <w:rPr>
          <w:sz w:val="24"/>
          <w:szCs w:val="24"/>
        </w:rPr>
        <w:t xml:space="preserve">There may be </w:t>
      </w:r>
      <w:r w:rsidR="002511FC">
        <w:rPr>
          <w:sz w:val="24"/>
          <w:szCs w:val="24"/>
        </w:rPr>
        <w:t>an element of</w:t>
      </w:r>
      <w:r w:rsidR="00B753A4">
        <w:rPr>
          <w:sz w:val="24"/>
          <w:szCs w:val="24"/>
        </w:rPr>
        <w:t xml:space="preserve"> truth in this</w:t>
      </w:r>
      <w:r w:rsidR="009750C1">
        <w:rPr>
          <w:sz w:val="24"/>
          <w:szCs w:val="24"/>
        </w:rPr>
        <w:t xml:space="preserve"> and yet, at</w:t>
      </w:r>
      <w:r w:rsidR="00404146" w:rsidRPr="00404146">
        <w:rPr>
          <w:sz w:val="24"/>
          <w:szCs w:val="24"/>
        </w:rPr>
        <w:t xml:space="preserve"> the same time</w:t>
      </w:r>
      <w:r w:rsidR="009750C1">
        <w:rPr>
          <w:sz w:val="24"/>
          <w:szCs w:val="24"/>
        </w:rPr>
        <w:t>,</w:t>
      </w:r>
      <w:r w:rsidR="00404146" w:rsidRPr="00404146">
        <w:rPr>
          <w:sz w:val="24"/>
          <w:szCs w:val="24"/>
        </w:rPr>
        <w:t xml:space="preserve"> </w:t>
      </w:r>
      <w:r w:rsidR="00B753A4">
        <w:rPr>
          <w:sz w:val="24"/>
          <w:szCs w:val="24"/>
        </w:rPr>
        <w:t>questions</w:t>
      </w:r>
      <w:r w:rsidR="00404146" w:rsidRPr="00404146">
        <w:rPr>
          <w:sz w:val="24"/>
          <w:szCs w:val="24"/>
        </w:rPr>
        <w:t xml:space="preserve"> of corporate responsibility</w:t>
      </w:r>
      <w:r w:rsidR="002511FC">
        <w:rPr>
          <w:sz w:val="24"/>
          <w:szCs w:val="24"/>
        </w:rPr>
        <w:t xml:space="preserve"> </w:t>
      </w:r>
      <w:r w:rsidR="00B753A4">
        <w:rPr>
          <w:sz w:val="24"/>
          <w:szCs w:val="24"/>
        </w:rPr>
        <w:t>and accountability</w:t>
      </w:r>
      <w:r w:rsidR="00404146" w:rsidRPr="00404146">
        <w:rPr>
          <w:sz w:val="24"/>
          <w:szCs w:val="24"/>
        </w:rPr>
        <w:t xml:space="preserve">, in </w:t>
      </w:r>
      <w:r w:rsidR="00B753A4">
        <w:rPr>
          <w:sz w:val="24"/>
          <w:szCs w:val="24"/>
        </w:rPr>
        <w:t>their</w:t>
      </w:r>
      <w:r w:rsidR="00404146" w:rsidRPr="00404146">
        <w:rPr>
          <w:sz w:val="24"/>
          <w:szCs w:val="24"/>
        </w:rPr>
        <w:t xml:space="preserve"> broadest sense, </w:t>
      </w:r>
      <w:r w:rsidR="00B753A4" w:rsidRPr="00404146">
        <w:rPr>
          <w:sz w:val="24"/>
          <w:szCs w:val="24"/>
        </w:rPr>
        <w:t>can rarely have been more important</w:t>
      </w:r>
      <w:r w:rsidR="00B753A4">
        <w:rPr>
          <w:sz w:val="24"/>
          <w:szCs w:val="24"/>
        </w:rPr>
        <w:t>.</w:t>
      </w:r>
      <w:r w:rsidR="00E22508">
        <w:rPr>
          <w:rStyle w:val="FootnoteReference"/>
          <w:sz w:val="24"/>
          <w:szCs w:val="24"/>
        </w:rPr>
        <w:footnoteReference w:id="21"/>
      </w:r>
      <w:r w:rsidR="00B753A4">
        <w:rPr>
          <w:sz w:val="24"/>
          <w:szCs w:val="24"/>
        </w:rPr>
        <w:t xml:space="preserve"> </w:t>
      </w:r>
      <w:r w:rsidR="00404146" w:rsidRPr="00404146">
        <w:rPr>
          <w:sz w:val="24"/>
          <w:szCs w:val="24"/>
        </w:rPr>
        <w:t xml:space="preserve"> </w:t>
      </w:r>
      <w:r w:rsidR="00B753A4" w:rsidRPr="00404146">
        <w:rPr>
          <w:sz w:val="24"/>
          <w:szCs w:val="24"/>
        </w:rPr>
        <w:t>Piercing</w:t>
      </w:r>
      <w:r w:rsidR="00404146" w:rsidRPr="00404146">
        <w:rPr>
          <w:sz w:val="24"/>
          <w:szCs w:val="24"/>
        </w:rPr>
        <w:t xml:space="preserve"> the veil </w:t>
      </w:r>
      <w:r w:rsidR="00B753A4">
        <w:rPr>
          <w:sz w:val="24"/>
          <w:szCs w:val="24"/>
        </w:rPr>
        <w:t xml:space="preserve">lies at the very </w:t>
      </w:r>
      <w:r w:rsidR="00B753A4" w:rsidRPr="00404146">
        <w:rPr>
          <w:sz w:val="24"/>
          <w:szCs w:val="24"/>
        </w:rPr>
        <w:t>heart</w:t>
      </w:r>
      <w:r w:rsidR="00B753A4">
        <w:rPr>
          <w:sz w:val="24"/>
          <w:szCs w:val="24"/>
        </w:rPr>
        <w:t xml:space="preserve"> of these questions.</w:t>
      </w:r>
    </w:p>
    <w:p w:rsidR="00565113" w:rsidRPr="00AF23B1" w:rsidRDefault="00E22508" w:rsidP="0039228B">
      <w:pPr>
        <w:spacing w:line="360" w:lineRule="auto"/>
        <w:jc w:val="both"/>
        <w:rPr>
          <w:sz w:val="24"/>
          <w:szCs w:val="24"/>
        </w:rPr>
      </w:pPr>
      <w:r>
        <w:rPr>
          <w:sz w:val="24"/>
          <w:szCs w:val="24"/>
        </w:rPr>
        <w:t xml:space="preserve">The Supreme Court has the opportunity to give further guidance on piercing the veil </w:t>
      </w:r>
      <w:r w:rsidR="009750C1">
        <w:rPr>
          <w:sz w:val="24"/>
          <w:szCs w:val="24"/>
        </w:rPr>
        <w:t xml:space="preserve">when it gives judgment on the appeal from </w:t>
      </w:r>
      <w:r w:rsidR="00D15F73" w:rsidRPr="00D15F73">
        <w:rPr>
          <w:i/>
          <w:iCs/>
          <w:sz w:val="24"/>
          <w:szCs w:val="24"/>
        </w:rPr>
        <w:t xml:space="preserve">Petrodel Resources Limited v </w:t>
      </w:r>
      <w:r w:rsidR="00C33D89" w:rsidRPr="00D15F73">
        <w:rPr>
          <w:i/>
          <w:iCs/>
          <w:sz w:val="24"/>
          <w:szCs w:val="24"/>
        </w:rPr>
        <w:t>Pres</w:t>
      </w:r>
      <w:r w:rsidR="00C33D89">
        <w:rPr>
          <w:i/>
          <w:iCs/>
          <w:sz w:val="24"/>
          <w:szCs w:val="24"/>
        </w:rPr>
        <w:t>t</w:t>
      </w:r>
      <w:r w:rsidR="00D15F73">
        <w:rPr>
          <w:rStyle w:val="FootnoteReference"/>
          <w:i/>
          <w:iCs/>
          <w:sz w:val="24"/>
          <w:szCs w:val="24"/>
        </w:rPr>
        <w:footnoteReference w:id="22"/>
      </w:r>
      <w:r w:rsidR="00D15F73">
        <w:rPr>
          <w:sz w:val="24"/>
          <w:szCs w:val="24"/>
        </w:rPr>
        <w:t>. At the time of writing, this judgement has not been delivered</w:t>
      </w:r>
      <w:r w:rsidR="009750C1">
        <w:rPr>
          <w:sz w:val="24"/>
          <w:szCs w:val="24"/>
        </w:rPr>
        <w:t>,</w:t>
      </w:r>
      <w:r w:rsidR="00D15F73">
        <w:rPr>
          <w:sz w:val="24"/>
          <w:szCs w:val="24"/>
        </w:rPr>
        <w:t xml:space="preserve"> but</w:t>
      </w:r>
      <w:r w:rsidR="009750C1">
        <w:rPr>
          <w:sz w:val="24"/>
          <w:szCs w:val="24"/>
        </w:rPr>
        <w:t xml:space="preserve"> it</w:t>
      </w:r>
      <w:r w:rsidR="00D15F73">
        <w:rPr>
          <w:sz w:val="24"/>
          <w:szCs w:val="24"/>
        </w:rPr>
        <w:t xml:space="preserve"> is expected soon. </w:t>
      </w:r>
      <w:r w:rsidR="006D760D">
        <w:rPr>
          <w:sz w:val="24"/>
          <w:szCs w:val="24"/>
        </w:rPr>
        <w:t xml:space="preserve">With Parliament </w:t>
      </w:r>
      <w:r>
        <w:rPr>
          <w:sz w:val="24"/>
          <w:szCs w:val="24"/>
        </w:rPr>
        <w:t xml:space="preserve">currently </w:t>
      </w:r>
      <w:r w:rsidR="006D760D">
        <w:rPr>
          <w:sz w:val="24"/>
          <w:szCs w:val="24"/>
        </w:rPr>
        <w:t xml:space="preserve">rendered </w:t>
      </w:r>
      <w:r>
        <w:rPr>
          <w:sz w:val="24"/>
          <w:szCs w:val="24"/>
        </w:rPr>
        <w:t>largely</w:t>
      </w:r>
      <w:r w:rsidR="006D760D">
        <w:rPr>
          <w:sz w:val="24"/>
          <w:szCs w:val="24"/>
        </w:rPr>
        <w:t xml:space="preserve"> impotent, partly by its out-dated procedures and partly </w:t>
      </w:r>
      <w:r>
        <w:rPr>
          <w:sz w:val="24"/>
          <w:szCs w:val="24"/>
        </w:rPr>
        <w:t>thanks to widespread corporate manipulation of the ‘democratic’ process</w:t>
      </w:r>
      <w:r w:rsidR="006D095E">
        <w:rPr>
          <w:rStyle w:val="FootnoteReference"/>
          <w:sz w:val="24"/>
          <w:szCs w:val="24"/>
        </w:rPr>
        <w:footnoteReference w:id="23"/>
      </w:r>
      <w:r w:rsidR="003E2AAA">
        <w:rPr>
          <w:sz w:val="24"/>
          <w:szCs w:val="24"/>
        </w:rPr>
        <w:t>,</w:t>
      </w:r>
      <w:r>
        <w:rPr>
          <w:sz w:val="24"/>
          <w:szCs w:val="24"/>
        </w:rPr>
        <w:t xml:space="preserve"> </w:t>
      </w:r>
      <w:r w:rsidR="006D760D">
        <w:rPr>
          <w:sz w:val="24"/>
          <w:szCs w:val="24"/>
        </w:rPr>
        <w:t xml:space="preserve">one </w:t>
      </w:r>
      <w:r>
        <w:rPr>
          <w:sz w:val="24"/>
          <w:szCs w:val="24"/>
        </w:rPr>
        <w:t>could argue that i</w:t>
      </w:r>
      <w:r w:rsidR="006D760D">
        <w:rPr>
          <w:sz w:val="24"/>
          <w:szCs w:val="24"/>
        </w:rPr>
        <w:t xml:space="preserve">t is </w:t>
      </w:r>
      <w:r w:rsidR="003E2AAA">
        <w:rPr>
          <w:sz w:val="24"/>
          <w:szCs w:val="24"/>
        </w:rPr>
        <w:lastRenderedPageBreak/>
        <w:t xml:space="preserve">now </w:t>
      </w:r>
      <w:r w:rsidR="006D760D">
        <w:rPr>
          <w:sz w:val="24"/>
          <w:szCs w:val="24"/>
        </w:rPr>
        <w:t xml:space="preserve">incumbent on the </w:t>
      </w:r>
      <w:r w:rsidR="003E2AAA">
        <w:rPr>
          <w:sz w:val="24"/>
          <w:szCs w:val="24"/>
        </w:rPr>
        <w:t>members of the Supreme Court</w:t>
      </w:r>
      <w:r w:rsidR="00A82BBE">
        <w:rPr>
          <w:sz w:val="24"/>
          <w:szCs w:val="24"/>
        </w:rPr>
        <w:t xml:space="preserve"> </w:t>
      </w:r>
      <w:r w:rsidR="006D760D">
        <w:rPr>
          <w:sz w:val="24"/>
          <w:szCs w:val="24"/>
        </w:rPr>
        <w:t xml:space="preserve">to use their privileged constitutional </w:t>
      </w:r>
      <w:r w:rsidR="006B1175">
        <w:rPr>
          <w:sz w:val="24"/>
          <w:szCs w:val="24"/>
        </w:rPr>
        <w:t>position</w:t>
      </w:r>
      <w:r w:rsidR="00C33D89">
        <w:rPr>
          <w:rStyle w:val="FootnoteReference"/>
          <w:sz w:val="24"/>
          <w:szCs w:val="24"/>
        </w:rPr>
        <w:footnoteReference w:id="24"/>
      </w:r>
      <w:r w:rsidR="006B1175">
        <w:rPr>
          <w:sz w:val="24"/>
          <w:szCs w:val="24"/>
        </w:rPr>
        <w:t xml:space="preserve"> to</w:t>
      </w:r>
      <w:r w:rsidR="006D760D">
        <w:rPr>
          <w:sz w:val="24"/>
          <w:szCs w:val="24"/>
        </w:rPr>
        <w:t xml:space="preserve"> help to avert the ‘</w:t>
      </w:r>
      <w:r w:rsidR="003E2AAA">
        <w:rPr>
          <w:sz w:val="24"/>
          <w:szCs w:val="24"/>
        </w:rPr>
        <w:t>C</w:t>
      </w:r>
      <w:r w:rsidR="006D760D">
        <w:rPr>
          <w:sz w:val="24"/>
          <w:szCs w:val="24"/>
        </w:rPr>
        <w:t xml:space="preserve">orporate </w:t>
      </w:r>
      <w:r w:rsidR="003E2AAA">
        <w:rPr>
          <w:sz w:val="24"/>
          <w:szCs w:val="24"/>
        </w:rPr>
        <w:t>T</w:t>
      </w:r>
      <w:r w:rsidR="006D760D">
        <w:rPr>
          <w:sz w:val="24"/>
          <w:szCs w:val="24"/>
        </w:rPr>
        <w:t xml:space="preserve">akeover of </w:t>
      </w:r>
      <w:r w:rsidR="00C33D89">
        <w:rPr>
          <w:sz w:val="24"/>
          <w:szCs w:val="24"/>
        </w:rPr>
        <w:t>Britain’.</w:t>
      </w:r>
      <w:r>
        <w:rPr>
          <w:sz w:val="24"/>
          <w:szCs w:val="24"/>
        </w:rPr>
        <w:t xml:space="preserve"> </w:t>
      </w:r>
      <w:r w:rsidR="0019118F">
        <w:rPr>
          <w:sz w:val="24"/>
          <w:szCs w:val="24"/>
        </w:rPr>
        <w:t xml:space="preserve"> Any overt attempt to do so seems most unlikely, but in recent years the sen</w:t>
      </w:r>
      <w:r w:rsidR="00A11707">
        <w:rPr>
          <w:sz w:val="24"/>
          <w:szCs w:val="24"/>
        </w:rPr>
        <w:t>i</w:t>
      </w:r>
      <w:r w:rsidR="0019118F">
        <w:rPr>
          <w:sz w:val="24"/>
          <w:szCs w:val="24"/>
        </w:rPr>
        <w:t>or courts have been adept at steadily, arguably surreptitiously, increasing their social influence</w:t>
      </w:r>
      <w:r w:rsidR="00A82BBE">
        <w:rPr>
          <w:rStyle w:val="FootnoteReference"/>
          <w:sz w:val="24"/>
          <w:szCs w:val="24"/>
        </w:rPr>
        <w:footnoteReference w:id="25"/>
      </w:r>
      <w:r w:rsidR="0019118F">
        <w:rPr>
          <w:sz w:val="24"/>
          <w:szCs w:val="24"/>
        </w:rPr>
        <w:t xml:space="preserve">. </w:t>
      </w:r>
      <w:r>
        <w:rPr>
          <w:sz w:val="24"/>
          <w:szCs w:val="24"/>
        </w:rPr>
        <w:t>At the very least one would hope t</w:t>
      </w:r>
      <w:r w:rsidR="0019118F">
        <w:rPr>
          <w:sz w:val="24"/>
          <w:szCs w:val="24"/>
        </w:rPr>
        <w:t xml:space="preserve">he </w:t>
      </w:r>
      <w:r w:rsidR="00A11707">
        <w:rPr>
          <w:sz w:val="24"/>
          <w:szCs w:val="24"/>
        </w:rPr>
        <w:t>C</w:t>
      </w:r>
      <w:r w:rsidR="0019118F">
        <w:rPr>
          <w:sz w:val="24"/>
          <w:szCs w:val="24"/>
        </w:rPr>
        <w:t xml:space="preserve">ourt will use this opportunity to </w:t>
      </w:r>
      <w:r>
        <w:rPr>
          <w:sz w:val="24"/>
          <w:szCs w:val="24"/>
        </w:rPr>
        <w:t xml:space="preserve">recognise </w:t>
      </w:r>
      <w:r w:rsidR="0019118F">
        <w:rPr>
          <w:sz w:val="24"/>
          <w:szCs w:val="24"/>
        </w:rPr>
        <w:t xml:space="preserve">explicitly </w:t>
      </w:r>
      <w:r>
        <w:rPr>
          <w:sz w:val="24"/>
          <w:szCs w:val="24"/>
        </w:rPr>
        <w:t xml:space="preserve">that the power to pierce the veil exists and </w:t>
      </w:r>
      <w:r w:rsidR="006D095E">
        <w:rPr>
          <w:sz w:val="24"/>
          <w:szCs w:val="24"/>
        </w:rPr>
        <w:t>to give</w:t>
      </w:r>
      <w:r>
        <w:rPr>
          <w:sz w:val="24"/>
          <w:szCs w:val="24"/>
        </w:rPr>
        <w:t xml:space="preserve"> some clear guidance on the circumstances when that power can be used.</w:t>
      </w:r>
      <w:r w:rsidR="00B753A4">
        <w:rPr>
          <w:sz w:val="24"/>
          <w:szCs w:val="24"/>
        </w:rPr>
        <w:t xml:space="preserve"> </w:t>
      </w:r>
    </w:p>
    <w:p w:rsidR="006A1FFF" w:rsidRPr="00C96E03" w:rsidRDefault="0082190D" w:rsidP="00C96E03">
      <w:pPr>
        <w:spacing w:line="360" w:lineRule="auto"/>
        <w:jc w:val="both"/>
        <w:rPr>
          <w:b/>
          <w:sz w:val="24"/>
          <w:szCs w:val="24"/>
          <w:lang w:val="en"/>
        </w:rPr>
      </w:pPr>
      <w:bookmarkStart w:id="2" w:name="TAAB"/>
      <w:bookmarkStart w:id="3" w:name="31315F436976696C5F50726F6365647572655F30"/>
      <w:bookmarkEnd w:id="2"/>
      <w:bookmarkEnd w:id="3"/>
      <w:r w:rsidRPr="0082190D">
        <w:rPr>
          <w:i/>
          <w:sz w:val="24"/>
          <w:szCs w:val="24"/>
        </w:rPr>
        <w:t xml:space="preserve">Peter </w:t>
      </w:r>
      <w:r w:rsidR="002303AA" w:rsidRPr="0082190D">
        <w:rPr>
          <w:i/>
          <w:sz w:val="24"/>
          <w:szCs w:val="24"/>
        </w:rPr>
        <w:t>B</w:t>
      </w:r>
      <w:r w:rsidRPr="0082190D">
        <w:rPr>
          <w:i/>
          <w:sz w:val="24"/>
          <w:szCs w:val="24"/>
        </w:rPr>
        <w:t>reakey</w:t>
      </w:r>
      <w:r w:rsidR="002303AA" w:rsidRPr="0082190D">
        <w:rPr>
          <w:i/>
          <w:sz w:val="24"/>
          <w:szCs w:val="24"/>
        </w:rPr>
        <w:t xml:space="preserve"> is a so</w:t>
      </w:r>
      <w:r w:rsidR="00D372EA" w:rsidRPr="0082190D">
        <w:rPr>
          <w:i/>
          <w:sz w:val="24"/>
          <w:szCs w:val="24"/>
        </w:rPr>
        <w:t xml:space="preserve">licitor and </w:t>
      </w:r>
      <w:r w:rsidRPr="0082190D">
        <w:rPr>
          <w:i/>
          <w:sz w:val="24"/>
          <w:szCs w:val="24"/>
        </w:rPr>
        <w:t>s</w:t>
      </w:r>
      <w:r w:rsidR="00F3461A" w:rsidRPr="0082190D">
        <w:rPr>
          <w:i/>
          <w:sz w:val="24"/>
          <w:szCs w:val="24"/>
        </w:rPr>
        <w:t xml:space="preserve">enior </w:t>
      </w:r>
      <w:r w:rsidRPr="0082190D">
        <w:rPr>
          <w:i/>
          <w:sz w:val="24"/>
          <w:szCs w:val="24"/>
        </w:rPr>
        <w:t>l</w:t>
      </w:r>
      <w:r w:rsidR="002303AA" w:rsidRPr="0082190D">
        <w:rPr>
          <w:i/>
          <w:sz w:val="24"/>
          <w:szCs w:val="24"/>
        </w:rPr>
        <w:t>ecturer</w:t>
      </w:r>
      <w:r w:rsidR="00F3461A" w:rsidRPr="0082190D">
        <w:rPr>
          <w:i/>
          <w:sz w:val="24"/>
          <w:szCs w:val="24"/>
        </w:rPr>
        <w:t xml:space="preserve"> in law at </w:t>
      </w:r>
      <w:r w:rsidR="002303AA" w:rsidRPr="0082190D">
        <w:rPr>
          <w:i/>
          <w:sz w:val="24"/>
          <w:szCs w:val="24"/>
        </w:rPr>
        <w:t>Northumbria University</w:t>
      </w:r>
      <w:r w:rsidRPr="0082190D">
        <w:rPr>
          <w:i/>
          <w:sz w:val="24"/>
          <w:szCs w:val="24"/>
        </w:rPr>
        <w:t xml:space="preserve"> and an elected member of Newcastle City Council.</w:t>
      </w:r>
      <w:r w:rsidR="002303AA" w:rsidRPr="0082190D">
        <w:rPr>
          <w:i/>
          <w:sz w:val="24"/>
          <w:szCs w:val="24"/>
        </w:rPr>
        <w:t xml:space="preserve"> </w:t>
      </w:r>
    </w:p>
    <w:p w:rsidR="006F1BFD" w:rsidRPr="00AF23B1" w:rsidRDefault="006F1BFD" w:rsidP="0039228B">
      <w:pPr>
        <w:spacing w:line="360" w:lineRule="auto"/>
        <w:jc w:val="both"/>
        <w:rPr>
          <w:b/>
          <w:sz w:val="24"/>
          <w:szCs w:val="24"/>
        </w:rPr>
      </w:pPr>
    </w:p>
    <w:sectPr w:rsidR="006F1BFD" w:rsidRPr="00AF23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77" w:rsidRDefault="00A13F77" w:rsidP="00E67836">
      <w:pPr>
        <w:spacing w:after="0" w:line="240" w:lineRule="auto"/>
      </w:pPr>
      <w:r>
        <w:separator/>
      </w:r>
    </w:p>
  </w:endnote>
  <w:endnote w:type="continuationSeparator" w:id="0">
    <w:p w:rsidR="00A13F77" w:rsidRDefault="00A13F77" w:rsidP="00E6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76451"/>
      <w:docPartObj>
        <w:docPartGallery w:val="Page Numbers (Bottom of Page)"/>
        <w:docPartUnique/>
      </w:docPartObj>
    </w:sdtPr>
    <w:sdtEndPr>
      <w:rPr>
        <w:noProof/>
      </w:rPr>
    </w:sdtEndPr>
    <w:sdtContent>
      <w:p w:rsidR="006A1FFF" w:rsidRDefault="006A1FFF">
        <w:pPr>
          <w:pStyle w:val="Footer"/>
          <w:jc w:val="center"/>
        </w:pPr>
        <w:r>
          <w:fldChar w:fldCharType="begin"/>
        </w:r>
        <w:r>
          <w:instrText xml:space="preserve"> PAGE   \* MERGEFORMAT </w:instrText>
        </w:r>
        <w:r>
          <w:fldChar w:fldCharType="separate"/>
        </w:r>
        <w:r w:rsidR="00CB6EF1">
          <w:rPr>
            <w:noProof/>
          </w:rPr>
          <w:t>6</w:t>
        </w:r>
        <w:r>
          <w:rPr>
            <w:noProof/>
          </w:rPr>
          <w:fldChar w:fldCharType="end"/>
        </w:r>
      </w:p>
    </w:sdtContent>
  </w:sdt>
  <w:p w:rsidR="006A1FFF" w:rsidRDefault="006A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77" w:rsidRDefault="00A13F77" w:rsidP="00E67836">
      <w:pPr>
        <w:spacing w:after="0" w:line="240" w:lineRule="auto"/>
      </w:pPr>
      <w:r>
        <w:separator/>
      </w:r>
    </w:p>
  </w:footnote>
  <w:footnote w:type="continuationSeparator" w:id="0">
    <w:p w:rsidR="00A13F77" w:rsidRDefault="00A13F77" w:rsidP="00E67836">
      <w:pPr>
        <w:spacing w:after="0" w:line="240" w:lineRule="auto"/>
      </w:pPr>
      <w:r>
        <w:continuationSeparator/>
      </w:r>
    </w:p>
  </w:footnote>
  <w:footnote w:id="1">
    <w:p w:rsidR="00BA542E" w:rsidRDefault="00BA542E">
      <w:pPr>
        <w:pStyle w:val="FootnoteText"/>
      </w:pPr>
      <w:r>
        <w:rPr>
          <w:rStyle w:val="FootnoteReference"/>
        </w:rPr>
        <w:footnoteRef/>
      </w:r>
      <w:r>
        <w:t xml:space="preserve"> </w:t>
      </w:r>
      <w:r w:rsidRPr="00BA542E">
        <w:rPr>
          <w:bCs/>
        </w:rPr>
        <w:t>Lisa Linklater</w:t>
      </w:r>
      <w:r>
        <w:rPr>
          <w:bCs/>
        </w:rPr>
        <w:t xml:space="preserve">, </w:t>
      </w:r>
      <w:r w:rsidRPr="00BA542E">
        <w:rPr>
          <w:bCs/>
          <w:iCs/>
        </w:rPr>
        <w:t>"Piercing the corporate veil" - the never ending story?”</w:t>
      </w:r>
      <w:r>
        <w:rPr>
          <w:bCs/>
          <w:i/>
          <w:iCs/>
        </w:rPr>
        <w:t xml:space="preserve"> </w:t>
      </w:r>
      <w:r w:rsidRPr="00BA542E">
        <w:t>2006</w:t>
      </w:r>
      <w:r>
        <w:t xml:space="preserve"> </w:t>
      </w:r>
      <w:r w:rsidRPr="00BA542E">
        <w:t>Comp</w:t>
      </w:r>
      <w:r>
        <w:t>any Lawyer</w:t>
      </w:r>
      <w:r w:rsidRPr="00BA542E">
        <w:t>,</w:t>
      </w:r>
      <w:r>
        <w:t xml:space="preserve"> </w:t>
      </w:r>
      <w:r w:rsidRPr="00BA542E">
        <w:t>27(3), 65-66</w:t>
      </w:r>
    </w:p>
  </w:footnote>
  <w:footnote w:id="2">
    <w:p w:rsidR="00BA542E" w:rsidRPr="0039228B" w:rsidRDefault="00BA542E">
      <w:pPr>
        <w:pStyle w:val="FootnoteText"/>
      </w:pPr>
      <w:r>
        <w:rPr>
          <w:rStyle w:val="FootnoteReference"/>
        </w:rPr>
        <w:footnoteRef/>
      </w:r>
      <w:r>
        <w:t xml:space="preserve"> </w:t>
      </w:r>
      <w:proofErr w:type="gramStart"/>
      <w:r w:rsidRPr="00BA542E">
        <w:rPr>
          <w:bCs/>
          <w:i/>
        </w:rPr>
        <w:t xml:space="preserve">VTB Capital plc v Nutritek International Corp &amp; Others </w:t>
      </w:r>
      <w:r w:rsidRPr="0039228B">
        <w:rPr>
          <w:bCs/>
        </w:rPr>
        <w:t>[2013] UKSC 5</w:t>
      </w:r>
      <w:r w:rsidR="00B02926">
        <w:rPr>
          <w:bCs/>
        </w:rPr>
        <w:t>.</w:t>
      </w:r>
      <w:proofErr w:type="gramEnd"/>
    </w:p>
  </w:footnote>
  <w:footnote w:id="3">
    <w:p w:rsidR="00E95DC6" w:rsidRDefault="00E95DC6" w:rsidP="00D372EA">
      <w:pPr>
        <w:pStyle w:val="FootnoteText"/>
      </w:pPr>
      <w:r>
        <w:rPr>
          <w:rStyle w:val="FootnoteReference"/>
        </w:rPr>
        <w:footnoteRef/>
      </w:r>
      <w:r>
        <w:t xml:space="preserve"> </w:t>
      </w:r>
      <w:r w:rsidR="00A06AB1">
        <w:t>E.g.</w:t>
      </w:r>
      <w:r w:rsidRPr="00E95DC6">
        <w:rPr>
          <w:rFonts w:ascii="Times New Roman" w:eastAsia="Times New Roman" w:hAnsi="Times New Roman" w:cs="Times New Roman"/>
          <w:i/>
          <w:sz w:val="24"/>
          <w:szCs w:val="24"/>
        </w:rPr>
        <w:t xml:space="preserve"> </w:t>
      </w:r>
      <w:r w:rsidRPr="00E95DC6">
        <w:rPr>
          <w:i/>
        </w:rPr>
        <w:t xml:space="preserve">Nicholas v. Nicholas </w:t>
      </w:r>
      <w:r w:rsidRPr="00E95DC6">
        <w:t>[1984] FLR 285</w:t>
      </w:r>
      <w:r w:rsidR="00E34AC7">
        <w:t xml:space="preserve">, </w:t>
      </w:r>
      <w:r w:rsidR="00022B04" w:rsidRPr="00022B04">
        <w:rPr>
          <w:i/>
          <w:iCs/>
          <w:lang w:val="en"/>
        </w:rPr>
        <w:t>Adams v Cape Industries plc</w:t>
      </w:r>
      <w:r w:rsidR="00022B04" w:rsidRPr="00022B04">
        <w:rPr>
          <w:lang w:val="en"/>
        </w:rPr>
        <w:t xml:space="preserve"> </w:t>
      </w:r>
      <w:hyperlink r:id="rId1" w:tgtFrame="_parent" w:history="1">
        <w:r w:rsidR="00022B04" w:rsidRPr="00022B04">
          <w:rPr>
            <w:rStyle w:val="Hyperlink"/>
            <w:iCs/>
            <w:color w:val="auto"/>
            <w:lang w:val="en"/>
          </w:rPr>
          <w:t>[</w:t>
        </w:r>
        <w:r w:rsidR="00022B04" w:rsidRPr="0039228B">
          <w:rPr>
            <w:rStyle w:val="Hyperlink"/>
            <w:iCs/>
            <w:color w:val="auto"/>
            <w:u w:val="none"/>
            <w:lang w:val="en"/>
          </w:rPr>
          <w:t>1990] Ch 433,</w:t>
        </w:r>
      </w:hyperlink>
      <w:r w:rsidR="0039228B">
        <w:rPr>
          <w:rStyle w:val="Hyperlink"/>
          <w:i/>
          <w:iCs/>
          <w:color w:val="auto"/>
          <w:u w:val="none"/>
          <w:lang w:val="en"/>
        </w:rPr>
        <w:t xml:space="preserve"> </w:t>
      </w:r>
      <w:proofErr w:type="spellStart"/>
      <w:r w:rsidR="00D372EA" w:rsidRPr="00022B04">
        <w:rPr>
          <w:bCs/>
          <w:i/>
          <w:lang w:val="en"/>
        </w:rPr>
        <w:t>Gencor</w:t>
      </w:r>
      <w:proofErr w:type="spellEnd"/>
      <w:r w:rsidR="00D372EA" w:rsidRPr="00022B04">
        <w:rPr>
          <w:bCs/>
          <w:i/>
          <w:lang w:val="en"/>
        </w:rPr>
        <w:t xml:space="preserve"> ACP Ltd v </w:t>
      </w:r>
      <w:proofErr w:type="spellStart"/>
      <w:proofErr w:type="gramStart"/>
      <w:r w:rsidR="00D372EA" w:rsidRPr="00022B04">
        <w:rPr>
          <w:bCs/>
          <w:i/>
          <w:lang w:val="en"/>
        </w:rPr>
        <w:t>Dalby</w:t>
      </w:r>
      <w:proofErr w:type="spellEnd"/>
      <w:r w:rsidR="00D372EA" w:rsidRPr="00D372EA">
        <w:rPr>
          <w:bCs/>
          <w:lang w:val="en"/>
        </w:rPr>
        <w:t xml:space="preserve"> </w:t>
      </w:r>
      <w:r w:rsidR="00D372EA" w:rsidRPr="00D372EA">
        <w:rPr>
          <w:bCs/>
        </w:rPr>
        <w:t xml:space="preserve"> </w:t>
      </w:r>
      <w:r w:rsidR="00A06AB1" w:rsidRPr="00D372EA">
        <w:rPr>
          <w:bCs/>
        </w:rPr>
        <w:t>[</w:t>
      </w:r>
      <w:proofErr w:type="gramEnd"/>
      <w:r w:rsidR="00A06AB1" w:rsidRPr="00D372EA">
        <w:rPr>
          <w:bCs/>
        </w:rPr>
        <w:t>2000] 2 BCLC 734</w:t>
      </w:r>
      <w:r w:rsidR="00D372EA">
        <w:rPr>
          <w:bCs/>
        </w:rPr>
        <w:t xml:space="preserve">, </w:t>
      </w:r>
      <w:r w:rsidR="00A06AB1" w:rsidRPr="00A06AB1">
        <w:rPr>
          <w:b/>
          <w:bCs/>
        </w:rPr>
        <w:t xml:space="preserve"> </w:t>
      </w:r>
      <w:r w:rsidR="00E34AC7" w:rsidRPr="00022B04">
        <w:rPr>
          <w:i/>
        </w:rPr>
        <w:t>A v A</w:t>
      </w:r>
      <w:r w:rsidR="00E34AC7">
        <w:t xml:space="preserve"> </w:t>
      </w:r>
      <w:r w:rsidR="00A06AB1" w:rsidRPr="00A06AB1">
        <w:rPr>
          <w:lang w:val="en"/>
        </w:rPr>
        <w:t>[2007] EWHC 99 (Fam)</w:t>
      </w:r>
      <w:r w:rsidR="00B02926">
        <w:rPr>
          <w:lang w:val="en"/>
        </w:rPr>
        <w:t>.</w:t>
      </w:r>
    </w:p>
  </w:footnote>
  <w:footnote w:id="4">
    <w:p w:rsidR="004A1602" w:rsidRDefault="004A1602" w:rsidP="004A1602">
      <w:pPr>
        <w:pStyle w:val="FootnoteText"/>
      </w:pPr>
      <w:r>
        <w:rPr>
          <w:rStyle w:val="FootnoteReference"/>
        </w:rPr>
        <w:footnoteRef/>
      </w:r>
      <w:r>
        <w:t xml:space="preserve"> </w:t>
      </w:r>
      <w:proofErr w:type="gramStart"/>
      <w:r>
        <w:t xml:space="preserve">E.g. </w:t>
      </w:r>
      <w:r w:rsidRPr="000D16B3">
        <w:rPr>
          <w:i/>
        </w:rPr>
        <w:t>Gore-Browne on Companies</w:t>
      </w:r>
      <w:r w:rsidR="00BE01DC" w:rsidRPr="00BE01DC">
        <w:t>, 45th ed.</w:t>
      </w:r>
      <w:r w:rsidR="00BE01DC">
        <w:rPr>
          <w:i/>
        </w:rPr>
        <w:t xml:space="preserve"> </w:t>
      </w:r>
      <w:r w:rsidR="00BE01DC" w:rsidRPr="00BE01DC">
        <w:t>(Jordans</w:t>
      </w:r>
      <w:r w:rsidR="00BE01DC">
        <w:rPr>
          <w:i/>
        </w:rPr>
        <w:t>)</w:t>
      </w:r>
      <w:r>
        <w:t xml:space="preserve">, </w:t>
      </w:r>
      <w:r w:rsidR="00BE01DC">
        <w:t>Chapter 7</w:t>
      </w:r>
      <w:r w:rsidR="00E46F8C">
        <w:t>.</w:t>
      </w:r>
      <w:proofErr w:type="gramEnd"/>
    </w:p>
  </w:footnote>
  <w:footnote w:id="5">
    <w:p w:rsidR="00DB0D58" w:rsidRPr="002D3C86" w:rsidRDefault="00DB0D58">
      <w:pPr>
        <w:pStyle w:val="FootnoteText"/>
      </w:pPr>
      <w:r>
        <w:rPr>
          <w:rStyle w:val="FootnoteReference"/>
        </w:rPr>
        <w:footnoteRef/>
      </w:r>
      <w:r>
        <w:t xml:space="preserve"> </w:t>
      </w:r>
      <w:r w:rsidR="002D3C86">
        <w:t>‘</w:t>
      </w:r>
      <w:r w:rsidR="0039228B" w:rsidRPr="002D3C86">
        <w:t>B</w:t>
      </w:r>
      <w:r w:rsidRPr="002D3C86">
        <w:t>lue-sky thinking — creative ideas that are not limited by current thinking or beliefs</w:t>
      </w:r>
      <w:r w:rsidR="002D3C86" w:rsidRPr="002D3C86">
        <w:t>’</w:t>
      </w:r>
      <w:r w:rsidR="0081657D">
        <w:t xml:space="preserve"> </w:t>
      </w:r>
      <w:r w:rsidRPr="003020F6">
        <w:rPr>
          <w:i/>
          <w:iCs/>
        </w:rPr>
        <w:t xml:space="preserve">Collins English </w:t>
      </w:r>
      <w:r w:rsidR="0081657D">
        <w:rPr>
          <w:i/>
          <w:iCs/>
        </w:rPr>
        <w:t xml:space="preserve">Dictionary, </w:t>
      </w:r>
      <w:r w:rsidRPr="003020F6">
        <w:rPr>
          <w:i/>
          <w:iCs/>
        </w:rPr>
        <w:t>10th Edition</w:t>
      </w:r>
      <w:r w:rsidRPr="003020F6">
        <w:rPr>
          <w:i/>
        </w:rPr>
        <w:t>,</w:t>
      </w:r>
      <w:r w:rsidR="002D3C86">
        <w:rPr>
          <w:i/>
        </w:rPr>
        <w:t xml:space="preserve"> available at </w:t>
      </w:r>
      <w:r w:rsidRPr="0039228B">
        <w:rPr>
          <w:i/>
        </w:rPr>
        <w:t>http://dictionary.reference.com/browse/blue-sky thinking</w:t>
      </w:r>
      <w:r w:rsidR="002D3C86" w:rsidRPr="002D3C86">
        <w:rPr>
          <w:i/>
        </w:rPr>
        <w:t xml:space="preserve"> </w:t>
      </w:r>
      <w:r w:rsidR="002D3C86" w:rsidRPr="002D3C86">
        <w:t>[Accessed April 24, 2013</w:t>
      </w:r>
      <w:r w:rsidR="002D3C86">
        <w:t>]</w:t>
      </w:r>
      <w:r w:rsidR="00B02926">
        <w:t>.</w:t>
      </w:r>
    </w:p>
  </w:footnote>
  <w:footnote w:id="6">
    <w:p w:rsidR="00003919" w:rsidRDefault="00003919">
      <w:pPr>
        <w:pStyle w:val="FootnoteText"/>
      </w:pPr>
      <w:r>
        <w:rPr>
          <w:rStyle w:val="FootnoteReference"/>
        </w:rPr>
        <w:footnoteRef/>
      </w:r>
      <w:r>
        <w:t xml:space="preserve"> </w:t>
      </w:r>
      <w:r w:rsidR="002A0092">
        <w:t xml:space="preserve">They are described as ‘colourful epithets’ in </w:t>
      </w:r>
      <w:r>
        <w:t>Mayson French and Ryan</w:t>
      </w:r>
      <w:r w:rsidR="002A0092">
        <w:t>,</w:t>
      </w:r>
      <w:r>
        <w:t xml:space="preserve"> </w:t>
      </w:r>
      <w:r w:rsidR="0081657D" w:rsidRPr="000D16B3">
        <w:rPr>
          <w:i/>
        </w:rPr>
        <w:t>Company Law</w:t>
      </w:r>
      <w:r w:rsidR="0081657D">
        <w:t xml:space="preserve"> 27</w:t>
      </w:r>
      <w:r w:rsidR="0081657D" w:rsidRPr="0081657D">
        <w:rPr>
          <w:vertAlign w:val="superscript"/>
        </w:rPr>
        <w:t>th</w:t>
      </w:r>
      <w:r w:rsidR="0081657D">
        <w:t xml:space="preserve"> ed. </w:t>
      </w:r>
      <w:r w:rsidR="00C33D89">
        <w:t>(</w:t>
      </w:r>
      <w:r w:rsidR="0081657D">
        <w:t>Oxford University Press</w:t>
      </w:r>
      <w:r w:rsidR="00C33D89">
        <w:t>,</w:t>
      </w:r>
      <w:r w:rsidR="000D16B3">
        <w:t xml:space="preserve"> 2010</w:t>
      </w:r>
      <w:r w:rsidR="00BE01DC">
        <w:t>) para. 5.3.7.3</w:t>
      </w:r>
      <w:r w:rsidR="00B02926">
        <w:t>.</w:t>
      </w:r>
    </w:p>
  </w:footnote>
  <w:footnote w:id="7">
    <w:p w:rsidR="0035381A" w:rsidRDefault="0035381A">
      <w:pPr>
        <w:pStyle w:val="FootnoteText"/>
      </w:pPr>
      <w:r>
        <w:rPr>
          <w:rStyle w:val="FootnoteReference"/>
        </w:rPr>
        <w:footnoteRef/>
      </w:r>
      <w:r>
        <w:t xml:space="preserve"> </w:t>
      </w:r>
      <w:proofErr w:type="gramStart"/>
      <w:r w:rsidR="009A7957" w:rsidRPr="009A7957">
        <w:rPr>
          <w:i/>
        </w:rPr>
        <w:t>Gilford Motor Company Ltd v Horne</w:t>
      </w:r>
      <w:r w:rsidR="009A7957">
        <w:t xml:space="preserve"> [1933] Ch. 935</w:t>
      </w:r>
      <w:r w:rsidR="00B02926">
        <w:t>.</w:t>
      </w:r>
      <w:proofErr w:type="gramEnd"/>
    </w:p>
  </w:footnote>
  <w:footnote w:id="8">
    <w:p w:rsidR="0035381A" w:rsidRDefault="0035381A">
      <w:pPr>
        <w:pStyle w:val="FootnoteText"/>
      </w:pPr>
      <w:r>
        <w:rPr>
          <w:rStyle w:val="FootnoteReference"/>
        </w:rPr>
        <w:footnoteRef/>
      </w:r>
      <w:r>
        <w:t xml:space="preserve"> </w:t>
      </w:r>
      <w:proofErr w:type="gramStart"/>
      <w:r w:rsidR="009A7957" w:rsidRPr="009A7957">
        <w:rPr>
          <w:i/>
        </w:rPr>
        <w:t xml:space="preserve">Jones v Lipman </w:t>
      </w:r>
      <w:r w:rsidR="00E9261D" w:rsidRPr="00E9261D">
        <w:t>[</w:t>
      </w:r>
      <w:r w:rsidR="009A7957">
        <w:t>1962</w:t>
      </w:r>
      <w:r w:rsidR="00E9261D">
        <w:t>]</w:t>
      </w:r>
      <w:r w:rsidR="009A7957">
        <w:t xml:space="preserve"> 1 WLR 832</w:t>
      </w:r>
      <w:r w:rsidR="00B02926">
        <w:t>.</w:t>
      </w:r>
      <w:proofErr w:type="gramEnd"/>
    </w:p>
  </w:footnote>
  <w:footnote w:id="9">
    <w:p w:rsidR="00982E84" w:rsidRPr="002A0092" w:rsidRDefault="00982E84">
      <w:pPr>
        <w:pStyle w:val="FootnoteText"/>
        <w:rPr>
          <w:i/>
        </w:rPr>
      </w:pPr>
      <w:r>
        <w:rPr>
          <w:rStyle w:val="FootnoteReference"/>
        </w:rPr>
        <w:footnoteRef/>
      </w:r>
      <w:r>
        <w:t xml:space="preserve"> </w:t>
      </w:r>
      <w:r w:rsidR="003561FB">
        <w:t>E.g.</w:t>
      </w:r>
      <w:r>
        <w:t xml:space="preserve"> Kershaw, </w:t>
      </w:r>
      <w:r w:rsidRPr="002A0092">
        <w:rPr>
          <w:i/>
        </w:rPr>
        <w:t xml:space="preserve">Company </w:t>
      </w:r>
      <w:r w:rsidR="00C33D89">
        <w:rPr>
          <w:i/>
        </w:rPr>
        <w:t>L</w:t>
      </w:r>
      <w:r w:rsidRPr="002A0092">
        <w:rPr>
          <w:i/>
        </w:rPr>
        <w:t xml:space="preserve">aw in </w:t>
      </w:r>
      <w:r w:rsidR="00C33D89">
        <w:rPr>
          <w:i/>
        </w:rPr>
        <w:t>C</w:t>
      </w:r>
      <w:r w:rsidRPr="002A0092">
        <w:rPr>
          <w:i/>
        </w:rPr>
        <w:t>ontext</w:t>
      </w:r>
      <w:r>
        <w:t xml:space="preserve"> </w:t>
      </w:r>
      <w:r w:rsidR="00A612EB">
        <w:t>2</w:t>
      </w:r>
      <w:r w:rsidR="00A612EB" w:rsidRPr="00A612EB">
        <w:rPr>
          <w:vertAlign w:val="superscript"/>
        </w:rPr>
        <w:t>nd</w:t>
      </w:r>
      <w:r w:rsidR="00A612EB">
        <w:t xml:space="preserve"> ed., </w:t>
      </w:r>
      <w:r w:rsidR="00C33D89">
        <w:t>(</w:t>
      </w:r>
      <w:r>
        <w:t>O</w:t>
      </w:r>
      <w:r w:rsidR="00A612EB">
        <w:t>xford University Press</w:t>
      </w:r>
      <w:r w:rsidR="00E46F8C">
        <w:t>,</w:t>
      </w:r>
      <w:r w:rsidR="00A612EB">
        <w:t xml:space="preserve"> 2012</w:t>
      </w:r>
      <w:r w:rsidR="00B02926">
        <w:t>) p.56</w:t>
      </w:r>
      <w:r w:rsidR="00C33D89">
        <w:t>,</w:t>
      </w:r>
      <w:r w:rsidR="00A612EB">
        <w:t xml:space="preserve"> </w:t>
      </w:r>
      <w:r>
        <w:t xml:space="preserve">citing in support </w:t>
      </w:r>
      <w:r w:rsidR="00C33D89">
        <w:t>‘</w:t>
      </w:r>
      <w:r w:rsidRPr="00C33D89">
        <w:t xml:space="preserve">Turning Points in the </w:t>
      </w:r>
      <w:r w:rsidR="0039228B" w:rsidRPr="00C33D89">
        <w:t>C</w:t>
      </w:r>
      <w:r w:rsidRPr="00C33D89">
        <w:t>ommon law</w:t>
      </w:r>
      <w:r w:rsidR="00C33D89">
        <w:rPr>
          <w:i/>
        </w:rPr>
        <w:t>’</w:t>
      </w:r>
      <w:r w:rsidRPr="00A612EB">
        <w:rPr>
          <w:i/>
        </w:rPr>
        <w:t>,</w:t>
      </w:r>
      <w:r>
        <w:t xml:space="preserve"> Lord Cooke, Hamlyn Lectures</w:t>
      </w:r>
      <w:r w:rsidR="00C33D89">
        <w:t xml:space="preserve"> (Sweet and Maxwell, 1997)</w:t>
      </w:r>
      <w:r>
        <w:t xml:space="preserve"> and</w:t>
      </w:r>
      <w:r w:rsidR="00A612EB">
        <w:t xml:space="preserve"> </w:t>
      </w:r>
      <w:r w:rsidR="00A612EB" w:rsidRPr="006F3997">
        <w:rPr>
          <w:i/>
        </w:rPr>
        <w:t>CMS</w:t>
      </w:r>
      <w:r>
        <w:t xml:space="preserve"> </w:t>
      </w:r>
      <w:r w:rsidRPr="002A0092">
        <w:rPr>
          <w:i/>
        </w:rPr>
        <w:t>Dolphin v Simonet</w:t>
      </w:r>
      <w:r w:rsidR="00A612EB">
        <w:rPr>
          <w:i/>
        </w:rPr>
        <w:t xml:space="preserve"> [2001] BCLC 704</w:t>
      </w:r>
      <w:r w:rsidR="00B02926">
        <w:rPr>
          <w:i/>
        </w:rPr>
        <w:t>.</w:t>
      </w:r>
    </w:p>
  </w:footnote>
  <w:footnote w:id="10">
    <w:p w:rsidR="00873333" w:rsidRDefault="00873333">
      <w:pPr>
        <w:pStyle w:val="FootnoteText"/>
      </w:pPr>
      <w:r>
        <w:rPr>
          <w:rStyle w:val="FootnoteReference"/>
        </w:rPr>
        <w:footnoteRef/>
      </w:r>
      <w:r w:rsidR="00982E84">
        <w:t xml:space="preserve"> </w:t>
      </w:r>
      <w:r w:rsidR="00982E84" w:rsidRPr="00982E84">
        <w:rPr>
          <w:sz w:val="22"/>
          <w:szCs w:val="22"/>
        </w:rPr>
        <w:t xml:space="preserve"> </w:t>
      </w:r>
      <w:proofErr w:type="gramStart"/>
      <w:r w:rsidR="00982E84" w:rsidRPr="00982E84">
        <w:t>Mayson</w:t>
      </w:r>
      <w:r w:rsidR="00DE029F">
        <w:t>,</w:t>
      </w:r>
      <w:r w:rsidR="00982E84" w:rsidRPr="00982E84">
        <w:t xml:space="preserve"> French and Ryan </w:t>
      </w:r>
      <w:r w:rsidR="00E9261D" w:rsidRPr="00DE029F">
        <w:rPr>
          <w:i/>
        </w:rPr>
        <w:t>Company Law</w:t>
      </w:r>
      <w:r w:rsidR="00E9261D" w:rsidRPr="00E9261D">
        <w:t xml:space="preserve"> </w:t>
      </w:r>
      <w:r w:rsidR="00B02926" w:rsidRPr="00E9261D">
        <w:t>2</w:t>
      </w:r>
      <w:r w:rsidR="00B02926">
        <w:t>7</w:t>
      </w:r>
      <w:r w:rsidR="00B02926" w:rsidRPr="00DE029F">
        <w:rPr>
          <w:vertAlign w:val="superscript"/>
        </w:rPr>
        <w:t>th</w:t>
      </w:r>
      <w:r w:rsidR="00B02926">
        <w:t xml:space="preserve"> </w:t>
      </w:r>
      <w:r w:rsidR="00B02926" w:rsidRPr="00E9261D">
        <w:t>ed</w:t>
      </w:r>
      <w:r w:rsidR="00DE029F">
        <w:t>. (</w:t>
      </w:r>
      <w:r w:rsidR="00DE029F" w:rsidRPr="00E9261D">
        <w:t>O</w:t>
      </w:r>
      <w:r w:rsidR="00DE029F">
        <w:t>xford University Press, 2010)</w:t>
      </w:r>
      <w:r w:rsidR="00B02926">
        <w:t>.</w:t>
      </w:r>
      <w:proofErr w:type="gramEnd"/>
    </w:p>
  </w:footnote>
  <w:footnote w:id="11">
    <w:p w:rsidR="00493925" w:rsidRDefault="00493925">
      <w:pPr>
        <w:pStyle w:val="FootnoteText"/>
      </w:pPr>
      <w:r>
        <w:rPr>
          <w:rStyle w:val="FootnoteReference"/>
        </w:rPr>
        <w:footnoteRef/>
      </w:r>
      <w:r>
        <w:t xml:space="preserve"> </w:t>
      </w:r>
      <w:r w:rsidR="003561FB">
        <w:t xml:space="preserve">E.g. </w:t>
      </w:r>
      <w:r w:rsidRPr="00493925">
        <w:rPr>
          <w:i/>
          <w:iCs/>
          <w:lang w:val="en"/>
        </w:rPr>
        <w:t>Adams v Cape Industries plc</w:t>
      </w:r>
      <w:r w:rsidRPr="00493925">
        <w:rPr>
          <w:lang w:val="en"/>
        </w:rPr>
        <w:t xml:space="preserve"> </w:t>
      </w:r>
      <w:r w:rsidRPr="00493925">
        <w:rPr>
          <w:iCs/>
          <w:lang w:val="en"/>
        </w:rPr>
        <w:t>[1990] Ch 433</w:t>
      </w:r>
      <w:r w:rsidR="00765108" w:rsidRPr="00493925">
        <w:rPr>
          <w:iCs/>
          <w:lang w:val="en"/>
        </w:rPr>
        <w:t>,</w:t>
      </w:r>
      <w:r w:rsidR="00765108" w:rsidRPr="00493925">
        <w:rPr>
          <w:i/>
          <w:iCs/>
          <w:lang w:val="en"/>
        </w:rPr>
        <w:t xml:space="preserve"> </w:t>
      </w:r>
      <w:r w:rsidR="00765108" w:rsidRPr="00493925">
        <w:t>Trustor</w:t>
      </w:r>
      <w:r w:rsidRPr="00493925">
        <w:rPr>
          <w:bCs/>
          <w:i/>
          <w:lang w:val="en"/>
        </w:rPr>
        <w:t xml:space="preserve"> AB v Smallbone and others (No 2)</w:t>
      </w:r>
      <w:r w:rsidR="00765108">
        <w:rPr>
          <w:bCs/>
          <w:i/>
          <w:lang w:val="en"/>
        </w:rPr>
        <w:t xml:space="preserve"> </w:t>
      </w:r>
      <w:r w:rsidRPr="00493925">
        <w:rPr>
          <w:bCs/>
        </w:rPr>
        <w:t>[2001] EWHC 703 (Ch)</w:t>
      </w:r>
      <w:r w:rsidR="003561FB">
        <w:rPr>
          <w:bCs/>
        </w:rPr>
        <w:t>,</w:t>
      </w:r>
      <w:r w:rsidRPr="00493925">
        <w:rPr>
          <w:bCs/>
        </w:rPr>
        <w:t xml:space="preserve"> </w:t>
      </w:r>
      <w:r w:rsidRPr="00493925">
        <w:rPr>
          <w:i/>
        </w:rPr>
        <w:t>DHN</w:t>
      </w:r>
      <w:r>
        <w:rPr>
          <w:i/>
        </w:rPr>
        <w:t xml:space="preserve"> Food Distributors Limited</w:t>
      </w:r>
      <w:r w:rsidRPr="00493925">
        <w:rPr>
          <w:i/>
        </w:rPr>
        <w:t xml:space="preserve"> v Tower Hamlets LBC</w:t>
      </w:r>
      <w:r>
        <w:t xml:space="preserve"> [1976] 1 WLR 852, </w:t>
      </w:r>
      <w:r w:rsidRPr="003561FB">
        <w:rPr>
          <w:i/>
        </w:rPr>
        <w:t>Atlas Maritime</w:t>
      </w:r>
      <w:r w:rsidR="00EC4EF8" w:rsidRPr="003561FB">
        <w:rPr>
          <w:i/>
        </w:rPr>
        <w:t xml:space="preserve"> Company SA v Avalon Maritime Ltd</w:t>
      </w:r>
      <w:r w:rsidR="00EC4EF8" w:rsidRPr="003561FB">
        <w:rPr>
          <w:rFonts w:ascii="Arial" w:hAnsi="Arial" w:cs="Arial"/>
          <w:i/>
          <w:lang w:val="en"/>
        </w:rPr>
        <w:t xml:space="preserve"> [</w:t>
      </w:r>
      <w:r w:rsidR="00EC4EF8" w:rsidRPr="003561FB">
        <w:rPr>
          <w:i/>
          <w:lang w:val="en"/>
        </w:rPr>
        <w:t>1991] 4 All ER 769</w:t>
      </w:r>
      <w:proofErr w:type="gramStart"/>
      <w:r w:rsidR="00765108">
        <w:rPr>
          <w:i/>
          <w:lang w:val="en"/>
        </w:rPr>
        <w:t>,</w:t>
      </w:r>
      <w:r w:rsidR="003561FB">
        <w:t xml:space="preserve"> </w:t>
      </w:r>
      <w:r w:rsidR="00A612EB">
        <w:t xml:space="preserve"> </w:t>
      </w:r>
      <w:r w:rsidR="00A612EB" w:rsidRPr="00A612EB">
        <w:rPr>
          <w:i/>
        </w:rPr>
        <w:t>Ord</w:t>
      </w:r>
      <w:proofErr w:type="gramEnd"/>
      <w:r w:rsidR="00A612EB" w:rsidRPr="00A612EB">
        <w:rPr>
          <w:i/>
        </w:rPr>
        <w:t xml:space="preserve"> v </w:t>
      </w:r>
      <w:r w:rsidRPr="00A612EB">
        <w:rPr>
          <w:i/>
        </w:rPr>
        <w:t>Bellhaven</w:t>
      </w:r>
      <w:r w:rsidRPr="00493925">
        <w:t xml:space="preserve"> </w:t>
      </w:r>
      <w:r w:rsidR="00A612EB">
        <w:t xml:space="preserve">[1998] BCC 607 </w:t>
      </w:r>
      <w:r w:rsidRPr="00493925">
        <w:t>et al</w:t>
      </w:r>
      <w:r w:rsidR="00A612EB">
        <w:t>.</w:t>
      </w:r>
    </w:p>
  </w:footnote>
  <w:footnote w:id="12">
    <w:p w:rsidR="00DF4907" w:rsidRDefault="00DF4907" w:rsidP="00DF4907">
      <w:pPr>
        <w:pStyle w:val="FootnoteText"/>
      </w:pPr>
      <w:r>
        <w:rPr>
          <w:rStyle w:val="FootnoteReference"/>
        </w:rPr>
        <w:footnoteRef/>
      </w:r>
      <w:r>
        <w:t xml:space="preserve"> </w:t>
      </w:r>
      <w:proofErr w:type="gramStart"/>
      <w:r w:rsidR="002D3C86" w:rsidRPr="002D3C86">
        <w:rPr>
          <w:i/>
        </w:rPr>
        <w:t>Salomon v Salomon &amp; Co</w:t>
      </w:r>
      <w:r w:rsidR="002D3C86" w:rsidRPr="002D3C86">
        <w:t xml:space="preserve"> </w:t>
      </w:r>
      <w:r w:rsidR="002D3C86">
        <w:t>[</w:t>
      </w:r>
      <w:r>
        <w:t>1897] A.C. 22 HL.</w:t>
      </w:r>
      <w:proofErr w:type="gramEnd"/>
    </w:p>
  </w:footnote>
  <w:footnote w:id="13">
    <w:p w:rsidR="003561FB" w:rsidRDefault="003561FB">
      <w:pPr>
        <w:pStyle w:val="FootnoteText"/>
      </w:pPr>
      <w:r>
        <w:rPr>
          <w:rStyle w:val="FootnoteReference"/>
        </w:rPr>
        <w:footnoteRef/>
      </w:r>
      <w:r>
        <w:t xml:space="preserve"> </w:t>
      </w:r>
      <w:r w:rsidR="0039228B" w:rsidRPr="0039228B">
        <w:rPr>
          <w:i/>
        </w:rPr>
        <w:t>Woolfson v Strathclyde</w:t>
      </w:r>
      <w:r w:rsidR="0039228B" w:rsidRPr="0039228B">
        <w:t xml:space="preserve"> </w:t>
      </w:r>
      <w:r w:rsidR="0039228B" w:rsidRPr="0039228B">
        <w:rPr>
          <w:i/>
        </w:rPr>
        <w:t>Regional Council</w:t>
      </w:r>
      <w:r w:rsidR="0039228B">
        <w:t xml:space="preserve"> </w:t>
      </w:r>
      <w:r w:rsidR="0039228B" w:rsidRPr="0039228B">
        <w:rPr>
          <w:lang w:val="en"/>
        </w:rPr>
        <w:t xml:space="preserve">1978 </w:t>
      </w:r>
      <w:proofErr w:type="gramStart"/>
      <w:r w:rsidR="0039228B" w:rsidRPr="0039228B">
        <w:rPr>
          <w:lang w:val="en"/>
        </w:rPr>
        <w:t>SC(</w:t>
      </w:r>
      <w:proofErr w:type="gramEnd"/>
      <w:r w:rsidR="0039228B" w:rsidRPr="0039228B">
        <w:rPr>
          <w:lang w:val="en"/>
        </w:rPr>
        <w:t>HL) 90</w:t>
      </w:r>
      <w:r w:rsidR="00B02926">
        <w:rPr>
          <w:lang w:val="en"/>
        </w:rPr>
        <w:t>.</w:t>
      </w:r>
    </w:p>
  </w:footnote>
  <w:footnote w:id="14">
    <w:p w:rsidR="00953A1D" w:rsidRDefault="00953A1D">
      <w:pPr>
        <w:pStyle w:val="FootnoteText"/>
      </w:pPr>
      <w:r>
        <w:rPr>
          <w:rStyle w:val="FootnoteReference"/>
        </w:rPr>
        <w:footnoteRef/>
      </w:r>
      <w:r>
        <w:t xml:space="preserve"> Slapper and Kelly, </w:t>
      </w:r>
      <w:proofErr w:type="gramStart"/>
      <w:r w:rsidRPr="00765108">
        <w:rPr>
          <w:i/>
        </w:rPr>
        <w:t>The</w:t>
      </w:r>
      <w:proofErr w:type="gramEnd"/>
      <w:r w:rsidRPr="00765108">
        <w:rPr>
          <w:i/>
        </w:rPr>
        <w:t xml:space="preserve"> English Legal System,</w:t>
      </w:r>
      <w:r>
        <w:t xml:space="preserve"> 12</w:t>
      </w:r>
      <w:r w:rsidRPr="00953A1D">
        <w:rPr>
          <w:vertAlign w:val="superscript"/>
        </w:rPr>
        <w:t>th</w:t>
      </w:r>
      <w:r>
        <w:t xml:space="preserve"> ed</w:t>
      </w:r>
      <w:r w:rsidR="00765108">
        <w:t>. (Routledge</w:t>
      </w:r>
      <w:r w:rsidR="00E46F8C">
        <w:t>,</w:t>
      </w:r>
      <w:r w:rsidR="00765108">
        <w:t xml:space="preserve"> 2011) Paras</w:t>
      </w:r>
      <w:r>
        <w:t xml:space="preserve"> 3.6.4 and 10.4.2</w:t>
      </w:r>
      <w:r w:rsidR="00B02926">
        <w:t>.</w:t>
      </w:r>
      <w:r w:rsidR="00E9261D">
        <w:t xml:space="preserve"> </w:t>
      </w:r>
    </w:p>
  </w:footnote>
  <w:footnote w:id="15">
    <w:p w:rsidR="00E9261D" w:rsidRDefault="00E9261D">
      <w:pPr>
        <w:pStyle w:val="FootnoteText"/>
      </w:pPr>
      <w:r w:rsidRPr="0076501F">
        <w:rPr>
          <w:rStyle w:val="FootnoteReference"/>
          <w:i/>
        </w:rPr>
        <w:footnoteRef/>
      </w:r>
      <w:r w:rsidRPr="0076501F">
        <w:rPr>
          <w:i/>
        </w:rPr>
        <w:t xml:space="preserve"> </w:t>
      </w:r>
      <w:proofErr w:type="gramStart"/>
      <w:r w:rsidRPr="0076501F">
        <w:rPr>
          <w:i/>
        </w:rPr>
        <w:t>Halsbury’s Laws</w:t>
      </w:r>
      <w:r w:rsidR="0076501F" w:rsidRPr="0076501F">
        <w:rPr>
          <w:i/>
        </w:rPr>
        <w:t xml:space="preserve"> of England</w:t>
      </w:r>
      <w:r>
        <w:t xml:space="preserve"> </w:t>
      </w:r>
      <w:r w:rsidR="0076501F" w:rsidRPr="0076501F">
        <w:rPr>
          <w:bCs/>
          <w:lang w:val="en"/>
        </w:rPr>
        <w:t>Vol.</w:t>
      </w:r>
      <w:r w:rsidR="00765108" w:rsidRPr="0076501F">
        <w:rPr>
          <w:bCs/>
          <w:lang w:val="en"/>
        </w:rPr>
        <w:t xml:space="preserve"> 11 (2009) </w:t>
      </w:r>
      <w:r w:rsidR="0076501F" w:rsidRPr="0076501F">
        <w:rPr>
          <w:bCs/>
          <w:lang w:val="en"/>
        </w:rPr>
        <w:t>5th e</w:t>
      </w:r>
      <w:r w:rsidR="0076501F">
        <w:rPr>
          <w:bCs/>
          <w:lang w:val="en"/>
        </w:rPr>
        <w:t>d</w:t>
      </w:r>
      <w:r w:rsidR="00B02926">
        <w:rPr>
          <w:bCs/>
          <w:lang w:val="en"/>
        </w:rPr>
        <w:t>.</w:t>
      </w:r>
      <w:r w:rsidR="00765108" w:rsidRPr="0076501F">
        <w:rPr>
          <w:bCs/>
          <w:lang w:val="en"/>
        </w:rPr>
        <w:t xml:space="preserve">, </w:t>
      </w:r>
      <w:r w:rsidR="0076501F">
        <w:rPr>
          <w:bCs/>
          <w:lang w:val="en"/>
        </w:rPr>
        <w:t>Part 3, para 91</w:t>
      </w:r>
      <w:r w:rsidR="00B02926">
        <w:rPr>
          <w:bCs/>
          <w:lang w:val="en"/>
        </w:rPr>
        <w:t>.</w:t>
      </w:r>
      <w:proofErr w:type="gramEnd"/>
      <w:r>
        <w:tab/>
      </w:r>
    </w:p>
  </w:footnote>
  <w:footnote w:id="16">
    <w:p w:rsidR="00A13F77" w:rsidRDefault="00A13F77" w:rsidP="00774EED">
      <w:pPr>
        <w:pStyle w:val="FootnoteText"/>
      </w:pPr>
      <w:r>
        <w:rPr>
          <w:rStyle w:val="FootnoteReference"/>
        </w:rPr>
        <w:footnoteRef/>
      </w:r>
      <w:r>
        <w:t xml:space="preserve"> See Holland &amp; Webb</w:t>
      </w:r>
      <w:r w:rsidR="0076501F">
        <w:rPr>
          <w:i/>
        </w:rPr>
        <w:t>,</w:t>
      </w:r>
      <w:r w:rsidRPr="0076501F">
        <w:rPr>
          <w:i/>
        </w:rPr>
        <w:t xml:space="preserve"> Learning Legal rules</w:t>
      </w:r>
      <w:r>
        <w:t xml:space="preserve">, </w:t>
      </w:r>
      <w:r w:rsidR="0076501F">
        <w:t>4th ed. (Blackstone Press</w:t>
      </w:r>
      <w:r w:rsidR="00E46F8C">
        <w:t>,</w:t>
      </w:r>
      <w:r w:rsidR="0076501F">
        <w:t xml:space="preserve"> 1999) </w:t>
      </w:r>
      <w:r>
        <w:t>p 146</w:t>
      </w:r>
      <w:r w:rsidR="00B02926">
        <w:t>.</w:t>
      </w:r>
    </w:p>
  </w:footnote>
  <w:footnote w:id="17">
    <w:p w:rsidR="00B825E8" w:rsidRDefault="00B825E8">
      <w:pPr>
        <w:pStyle w:val="FootnoteText"/>
      </w:pPr>
      <w:r>
        <w:rPr>
          <w:rStyle w:val="FootnoteReference"/>
        </w:rPr>
        <w:footnoteRef/>
      </w:r>
      <w:r>
        <w:t xml:space="preserve"> </w:t>
      </w:r>
      <w:proofErr w:type="gramStart"/>
      <w:r w:rsidR="009C24DC" w:rsidRPr="0076501F">
        <w:rPr>
          <w:i/>
        </w:rPr>
        <w:t>DHN Food Distributors Ltd. v Tower Hamlets LBC</w:t>
      </w:r>
      <w:r w:rsidR="009C24DC">
        <w:t xml:space="preserve"> [1976] 1 WLR 852.</w:t>
      </w:r>
      <w:proofErr w:type="gramEnd"/>
    </w:p>
  </w:footnote>
  <w:footnote w:id="18">
    <w:p w:rsidR="004A2484" w:rsidRDefault="004A2484">
      <w:pPr>
        <w:pStyle w:val="FootnoteText"/>
      </w:pPr>
      <w:r>
        <w:rPr>
          <w:rStyle w:val="FootnoteReference"/>
        </w:rPr>
        <w:footnoteRef/>
      </w:r>
      <w:r>
        <w:t xml:space="preserve"> </w:t>
      </w:r>
      <w:proofErr w:type="gramStart"/>
      <w:r w:rsidR="0076501F" w:rsidRPr="0076501F">
        <w:rPr>
          <w:i/>
        </w:rPr>
        <w:t>Woolfson v Strathclyde</w:t>
      </w:r>
      <w:r w:rsidR="0076501F" w:rsidRPr="0076501F">
        <w:t xml:space="preserve"> </w:t>
      </w:r>
      <w:r w:rsidR="0076501F" w:rsidRPr="0076501F">
        <w:rPr>
          <w:i/>
        </w:rPr>
        <w:t>Regional Council</w:t>
      </w:r>
      <w:r w:rsidR="0076501F" w:rsidRPr="0076501F">
        <w:t xml:space="preserve"> </w:t>
      </w:r>
      <w:r>
        <w:t>1977 SC 84</w:t>
      </w:r>
      <w:r w:rsidR="00B02926">
        <w:t>.</w:t>
      </w:r>
      <w:proofErr w:type="gramEnd"/>
    </w:p>
  </w:footnote>
  <w:footnote w:id="19">
    <w:p w:rsidR="004C466D" w:rsidRPr="004C466D" w:rsidRDefault="004C466D">
      <w:pPr>
        <w:pStyle w:val="FootnoteText"/>
        <w:rPr>
          <w:i/>
        </w:rPr>
      </w:pPr>
      <w:r>
        <w:rPr>
          <w:rStyle w:val="FootnoteReference"/>
        </w:rPr>
        <w:footnoteRef/>
      </w:r>
      <w:r>
        <w:t xml:space="preserve"> The distinction is made, albeit obliquely</w:t>
      </w:r>
      <w:r w:rsidR="00E46F8C">
        <w:t>,</w:t>
      </w:r>
      <w:r>
        <w:t xml:space="preserve"> in the </w:t>
      </w:r>
      <w:r w:rsidRPr="004C466D">
        <w:rPr>
          <w:i/>
        </w:rPr>
        <w:t>Concise Oxford English Dictionary 12</w:t>
      </w:r>
      <w:r w:rsidRPr="004C466D">
        <w:rPr>
          <w:i/>
          <w:vertAlign w:val="superscript"/>
        </w:rPr>
        <w:t>th</w:t>
      </w:r>
      <w:r w:rsidRPr="004C466D">
        <w:rPr>
          <w:i/>
        </w:rPr>
        <w:t xml:space="preserve"> </w:t>
      </w:r>
      <w:proofErr w:type="gramStart"/>
      <w:r w:rsidRPr="004C466D">
        <w:rPr>
          <w:i/>
        </w:rPr>
        <w:t>ed</w:t>
      </w:r>
      <w:proofErr w:type="gramEnd"/>
      <w:r w:rsidRPr="004C466D">
        <w:rPr>
          <w:i/>
        </w:rPr>
        <w:t>.</w:t>
      </w:r>
    </w:p>
  </w:footnote>
  <w:footnote w:id="20">
    <w:p w:rsidR="00915B71" w:rsidRDefault="00915B71">
      <w:pPr>
        <w:pStyle w:val="FootnoteText"/>
      </w:pPr>
      <w:r>
        <w:rPr>
          <w:rStyle w:val="FootnoteReference"/>
        </w:rPr>
        <w:footnoteRef/>
      </w:r>
      <w:r>
        <w:t xml:space="preserve"> </w:t>
      </w:r>
      <w:proofErr w:type="gramStart"/>
      <w:r>
        <w:t>At paragraph 122</w:t>
      </w:r>
      <w:r w:rsidR="00B02926">
        <w:t>.</w:t>
      </w:r>
      <w:proofErr w:type="gramEnd"/>
    </w:p>
  </w:footnote>
  <w:footnote w:id="21">
    <w:p w:rsidR="00E22508" w:rsidRPr="00E22508" w:rsidRDefault="00E22508" w:rsidP="006D095E">
      <w:pPr>
        <w:spacing w:line="240" w:lineRule="auto"/>
        <w:jc w:val="both"/>
      </w:pPr>
      <w:r>
        <w:rPr>
          <w:rStyle w:val="FootnoteReference"/>
        </w:rPr>
        <w:footnoteRef/>
      </w:r>
      <w:r>
        <w:t xml:space="preserve"> </w:t>
      </w:r>
      <w:r w:rsidRPr="00E22508">
        <w:rPr>
          <w:b/>
          <w:sz w:val="20"/>
          <w:szCs w:val="20"/>
        </w:rPr>
        <w:t>“</w:t>
      </w:r>
      <w:r w:rsidRPr="00E22508">
        <w:rPr>
          <w:sz w:val="20"/>
          <w:szCs w:val="20"/>
          <w:lang w:val="en"/>
        </w:rPr>
        <w:t>The struggle between people and corporations will be the defining battle of the 21st century. If the corporations win, liberal democracy will come to an end.”</w:t>
      </w:r>
      <w:r w:rsidRPr="00E22508">
        <w:rPr>
          <w:sz w:val="20"/>
          <w:szCs w:val="20"/>
        </w:rPr>
        <w:t xml:space="preserve"> George Monbiot </w:t>
      </w:r>
      <w:r w:rsidR="006D095E" w:rsidRPr="006B1175">
        <w:rPr>
          <w:i/>
          <w:sz w:val="20"/>
          <w:szCs w:val="20"/>
        </w:rPr>
        <w:t>“</w:t>
      </w:r>
      <w:r w:rsidRPr="006B1175">
        <w:rPr>
          <w:i/>
          <w:sz w:val="20"/>
          <w:szCs w:val="20"/>
          <w:lang w:val="en"/>
        </w:rPr>
        <w:t>The Captive State: The Corporate</w:t>
      </w:r>
      <w:r w:rsidR="00D15F73" w:rsidRPr="006B1175">
        <w:rPr>
          <w:i/>
          <w:sz w:val="20"/>
          <w:szCs w:val="20"/>
          <w:lang w:val="en"/>
        </w:rPr>
        <w:t xml:space="preserve"> Takeover of Britain</w:t>
      </w:r>
      <w:r w:rsidR="006D095E" w:rsidRPr="006B1175">
        <w:rPr>
          <w:i/>
          <w:sz w:val="20"/>
          <w:szCs w:val="20"/>
          <w:lang w:val="en"/>
        </w:rPr>
        <w:t>”</w:t>
      </w:r>
      <w:r w:rsidR="006B1175">
        <w:rPr>
          <w:sz w:val="20"/>
          <w:szCs w:val="20"/>
          <w:lang w:val="en"/>
        </w:rPr>
        <w:t xml:space="preserve">, </w:t>
      </w:r>
      <w:r w:rsidR="00C33D89">
        <w:rPr>
          <w:sz w:val="20"/>
          <w:szCs w:val="20"/>
          <w:lang w:val="en"/>
        </w:rPr>
        <w:t>(</w:t>
      </w:r>
      <w:r w:rsidR="00D15F73">
        <w:rPr>
          <w:sz w:val="20"/>
          <w:szCs w:val="20"/>
          <w:lang w:val="en"/>
        </w:rPr>
        <w:t>Macmillan</w:t>
      </w:r>
      <w:r w:rsidR="00C33D89">
        <w:rPr>
          <w:sz w:val="20"/>
          <w:szCs w:val="20"/>
          <w:lang w:val="en"/>
        </w:rPr>
        <w:t>,</w:t>
      </w:r>
      <w:r w:rsidR="00D15F73">
        <w:rPr>
          <w:sz w:val="20"/>
          <w:szCs w:val="20"/>
          <w:lang w:val="en"/>
        </w:rPr>
        <w:t xml:space="preserve"> </w:t>
      </w:r>
      <w:r w:rsidRPr="00E22508">
        <w:rPr>
          <w:sz w:val="20"/>
          <w:szCs w:val="20"/>
          <w:lang w:val="en"/>
        </w:rPr>
        <w:t>2001)</w:t>
      </w:r>
      <w:r w:rsidR="00B02926">
        <w:rPr>
          <w:sz w:val="20"/>
          <w:szCs w:val="20"/>
          <w:lang w:val="en"/>
        </w:rPr>
        <w:t>.</w:t>
      </w:r>
    </w:p>
  </w:footnote>
  <w:footnote w:id="22">
    <w:p w:rsidR="00D15F73" w:rsidRPr="00D15F73" w:rsidRDefault="00D15F73" w:rsidP="00D15F73">
      <w:pPr>
        <w:pStyle w:val="FootnoteText"/>
      </w:pPr>
      <w:r>
        <w:rPr>
          <w:rStyle w:val="FootnoteReference"/>
        </w:rPr>
        <w:footnoteRef/>
      </w:r>
      <w:r>
        <w:t xml:space="preserve"> </w:t>
      </w:r>
      <w:proofErr w:type="gramStart"/>
      <w:r w:rsidRPr="00D15F73">
        <w:rPr>
          <w:i/>
          <w:iCs/>
        </w:rPr>
        <w:t>Petrodel Resources Limited</w:t>
      </w:r>
      <w:r>
        <w:rPr>
          <w:i/>
          <w:iCs/>
        </w:rPr>
        <w:t xml:space="preserve"> and others</w:t>
      </w:r>
      <w:r w:rsidRPr="00D15F73">
        <w:rPr>
          <w:i/>
          <w:iCs/>
        </w:rPr>
        <w:t xml:space="preserve"> v Prest</w:t>
      </w:r>
      <w:r>
        <w:rPr>
          <w:i/>
          <w:iCs/>
        </w:rPr>
        <w:t xml:space="preserve"> and others</w:t>
      </w:r>
      <w:r w:rsidRPr="00D15F73">
        <w:rPr>
          <w:i/>
          <w:iCs/>
        </w:rPr>
        <w:t xml:space="preserve"> </w:t>
      </w:r>
      <w:r w:rsidRPr="00D15F73">
        <w:t>[2012] EWCA Civ 1395</w:t>
      </w:r>
      <w:r w:rsidR="00B02926">
        <w:t>.</w:t>
      </w:r>
      <w:proofErr w:type="gramEnd"/>
    </w:p>
    <w:p w:rsidR="00D15F73" w:rsidRDefault="00D15F73">
      <w:pPr>
        <w:pStyle w:val="FootnoteText"/>
      </w:pPr>
    </w:p>
  </w:footnote>
  <w:footnote w:id="23">
    <w:p w:rsidR="006D095E" w:rsidRDefault="006D095E" w:rsidP="006D095E">
      <w:pPr>
        <w:pStyle w:val="FootnoteText"/>
      </w:pPr>
      <w:r>
        <w:rPr>
          <w:rStyle w:val="FootnoteReference"/>
        </w:rPr>
        <w:footnoteRef/>
      </w:r>
      <w:r>
        <w:t xml:space="preserve"> “Lobbyists are people who are paid to influence government decisions. It’s big business in the</w:t>
      </w:r>
    </w:p>
    <w:p w:rsidR="006D095E" w:rsidRDefault="006D095E" w:rsidP="006D095E">
      <w:pPr>
        <w:pStyle w:val="FootnoteText"/>
      </w:pPr>
      <w:proofErr w:type="gramStart"/>
      <w:r>
        <w:t>UK, where the lobbying industry is worth £2</w:t>
      </w:r>
      <w:r w:rsidR="00C33D89">
        <w:t xml:space="preserve"> </w:t>
      </w:r>
      <w:r>
        <w:t>billion.</w:t>
      </w:r>
      <w:proofErr w:type="gramEnd"/>
      <w:r>
        <w:t xml:space="preserve"> Most of the money is spent by large corporations, who court politicians and officials and persuade them to delays laws and regulations or award them government business, all to benefit their bottom line and often against the public interest”,</w:t>
      </w:r>
      <w:r w:rsidRPr="006D095E">
        <w:t xml:space="preserve"> </w:t>
      </w:r>
      <w:r w:rsidRPr="006B1175">
        <w:rPr>
          <w:i/>
        </w:rPr>
        <w:t>Alliance for Lobbying Transparency</w:t>
      </w:r>
      <w:r>
        <w:t xml:space="preserve">, </w:t>
      </w:r>
      <w:r w:rsidR="00B02926">
        <w:t>“Bringing</w:t>
      </w:r>
      <w:r>
        <w:t xml:space="preserve"> transparency to lobbying” Briefing note, February 2012 available at </w:t>
      </w:r>
      <w:r w:rsidRPr="006B1175">
        <w:t>h</w:t>
      </w:r>
      <w:r w:rsidRPr="006B1175">
        <w:rPr>
          <w:i/>
        </w:rPr>
        <w:t>ttp://www.lobbyingtransparency.org/images/bringing_transparency_to_</w:t>
      </w:r>
      <w:proofErr w:type="gramStart"/>
      <w:r w:rsidRPr="006B1175">
        <w:rPr>
          <w:i/>
        </w:rPr>
        <w:t>lobbying.pdf</w:t>
      </w:r>
      <w:r>
        <w:rPr>
          <w:i/>
        </w:rPr>
        <w:t xml:space="preserve">  </w:t>
      </w:r>
      <w:r w:rsidRPr="006D095E">
        <w:t>[</w:t>
      </w:r>
      <w:proofErr w:type="gramEnd"/>
      <w:r w:rsidRPr="006D095E">
        <w:t>Accessed June 2nd 2013]</w:t>
      </w:r>
      <w:r w:rsidR="00B02926">
        <w:t>.</w:t>
      </w:r>
    </w:p>
    <w:p w:rsidR="00A3117D" w:rsidRPr="006D095E" w:rsidRDefault="00A3117D" w:rsidP="006D095E">
      <w:pPr>
        <w:pStyle w:val="FootnoteText"/>
      </w:pPr>
    </w:p>
  </w:footnote>
  <w:footnote w:id="24">
    <w:p w:rsidR="00C33D89" w:rsidRDefault="00C33D89" w:rsidP="00C33D89">
      <w:pPr>
        <w:pStyle w:val="FootnoteText"/>
      </w:pPr>
      <w:r w:rsidRPr="00E22508">
        <w:rPr>
          <w:rStyle w:val="FootnoteReference"/>
        </w:rPr>
        <w:footnoteRef/>
      </w:r>
      <w:r w:rsidRPr="00E22508">
        <w:t xml:space="preserve"> </w:t>
      </w:r>
      <w:proofErr w:type="gramStart"/>
      <w:r w:rsidRPr="00E22508">
        <w:t>Noblesse oblige</w:t>
      </w:r>
      <w:r w:rsidR="00B02926">
        <w:t>.</w:t>
      </w:r>
      <w:proofErr w:type="gramEnd"/>
    </w:p>
  </w:footnote>
  <w:footnote w:id="25">
    <w:p w:rsidR="00A82BBE" w:rsidRDefault="00A82BBE">
      <w:pPr>
        <w:pStyle w:val="FootnoteText"/>
      </w:pPr>
      <w:r>
        <w:rPr>
          <w:rStyle w:val="FootnoteReference"/>
        </w:rPr>
        <w:footnoteRef/>
      </w:r>
      <w:r>
        <w:t xml:space="preserve"> “</w:t>
      </w:r>
      <w:r w:rsidRPr="00A82BBE">
        <w:t>The reality is that today there is not a single important social issue in our society that judges at some point are not asked to adjudicate</w:t>
      </w:r>
      <w:r>
        <w:t xml:space="preserve">…” </w:t>
      </w:r>
      <w:proofErr w:type="spellStart"/>
      <w:r>
        <w:t>Prof.</w:t>
      </w:r>
      <w:proofErr w:type="spellEnd"/>
      <w:r>
        <w:t xml:space="preserve"> Cheryl Thomas “</w:t>
      </w:r>
      <w:r w:rsidRPr="00A82BBE">
        <w:t>Lack of understanding about the judiciary is unacceptable and dangerous</w:t>
      </w:r>
      <w:r>
        <w:t xml:space="preserve">”, available at </w:t>
      </w:r>
      <w:r w:rsidRPr="00A82BBE">
        <w:t>http://www.guardian.co.uk/law/2012/jul/06/understanding-judiciary-dangerous</w:t>
      </w:r>
      <w:r>
        <w:t xml:space="preserve"> [Accessed June 2</w:t>
      </w:r>
      <w:r w:rsidRPr="00A82BBE">
        <w:rPr>
          <w:vertAlign w:val="superscript"/>
        </w:rPr>
        <w:t>nd</w:t>
      </w:r>
      <w:r>
        <w:t>, 2013]</w:t>
      </w:r>
      <w:r w:rsidR="00B0292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167"/>
    <w:multiLevelType w:val="hybridMultilevel"/>
    <w:tmpl w:val="D93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E691B"/>
    <w:multiLevelType w:val="multilevel"/>
    <w:tmpl w:val="1B74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145F1"/>
    <w:multiLevelType w:val="hybridMultilevel"/>
    <w:tmpl w:val="94D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27062A"/>
    <w:multiLevelType w:val="multilevel"/>
    <w:tmpl w:val="6E8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96F5D"/>
    <w:multiLevelType w:val="multilevel"/>
    <w:tmpl w:val="2110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D274A"/>
    <w:multiLevelType w:val="multilevel"/>
    <w:tmpl w:val="0272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96B97"/>
    <w:multiLevelType w:val="multilevel"/>
    <w:tmpl w:val="B5AA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F33B9"/>
    <w:multiLevelType w:val="multilevel"/>
    <w:tmpl w:val="1FF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7A"/>
    <w:rsid w:val="00003919"/>
    <w:rsid w:val="00015F7F"/>
    <w:rsid w:val="00016437"/>
    <w:rsid w:val="00017F5C"/>
    <w:rsid w:val="00022B04"/>
    <w:rsid w:val="00045087"/>
    <w:rsid w:val="00045D59"/>
    <w:rsid w:val="000479AA"/>
    <w:rsid w:val="000552A0"/>
    <w:rsid w:val="000D16B3"/>
    <w:rsid w:val="000D3E2E"/>
    <w:rsid w:val="000E0DB7"/>
    <w:rsid w:val="00125C02"/>
    <w:rsid w:val="00133BB3"/>
    <w:rsid w:val="00144889"/>
    <w:rsid w:val="00155FD2"/>
    <w:rsid w:val="0015621B"/>
    <w:rsid w:val="00177D89"/>
    <w:rsid w:val="00184A83"/>
    <w:rsid w:val="00187092"/>
    <w:rsid w:val="0019118F"/>
    <w:rsid w:val="001925DF"/>
    <w:rsid w:val="00217173"/>
    <w:rsid w:val="002214A9"/>
    <w:rsid w:val="002303AA"/>
    <w:rsid w:val="002445FC"/>
    <w:rsid w:val="002511FC"/>
    <w:rsid w:val="00264CDF"/>
    <w:rsid w:val="0029397E"/>
    <w:rsid w:val="002A0092"/>
    <w:rsid w:val="002A7627"/>
    <w:rsid w:val="002D3C86"/>
    <w:rsid w:val="003020F6"/>
    <w:rsid w:val="0035381A"/>
    <w:rsid w:val="003542DA"/>
    <w:rsid w:val="003561FB"/>
    <w:rsid w:val="0039228B"/>
    <w:rsid w:val="003D477E"/>
    <w:rsid w:val="003E2AAA"/>
    <w:rsid w:val="00404146"/>
    <w:rsid w:val="00424B4F"/>
    <w:rsid w:val="004616CB"/>
    <w:rsid w:val="004628EE"/>
    <w:rsid w:val="00493925"/>
    <w:rsid w:val="004A1602"/>
    <w:rsid w:val="004A2484"/>
    <w:rsid w:val="004A5F3A"/>
    <w:rsid w:val="004C093F"/>
    <w:rsid w:val="004C23FC"/>
    <w:rsid w:val="004C417A"/>
    <w:rsid w:val="004C466D"/>
    <w:rsid w:val="004C4EBA"/>
    <w:rsid w:val="004C5574"/>
    <w:rsid w:val="004E70E1"/>
    <w:rsid w:val="005374D5"/>
    <w:rsid w:val="00565113"/>
    <w:rsid w:val="00596044"/>
    <w:rsid w:val="005A35B2"/>
    <w:rsid w:val="005A42E1"/>
    <w:rsid w:val="005A7852"/>
    <w:rsid w:val="005B47C7"/>
    <w:rsid w:val="005D239A"/>
    <w:rsid w:val="005D4A9B"/>
    <w:rsid w:val="00613780"/>
    <w:rsid w:val="00622092"/>
    <w:rsid w:val="006A1FFF"/>
    <w:rsid w:val="006B1175"/>
    <w:rsid w:val="006B2E68"/>
    <w:rsid w:val="006D095E"/>
    <w:rsid w:val="006D760D"/>
    <w:rsid w:val="006F12D9"/>
    <w:rsid w:val="006F1BFD"/>
    <w:rsid w:val="006F3997"/>
    <w:rsid w:val="00705701"/>
    <w:rsid w:val="0076501F"/>
    <w:rsid w:val="00765108"/>
    <w:rsid w:val="00774EED"/>
    <w:rsid w:val="007B21C0"/>
    <w:rsid w:val="007D0445"/>
    <w:rsid w:val="007D62EA"/>
    <w:rsid w:val="007E5EBE"/>
    <w:rsid w:val="007F05CB"/>
    <w:rsid w:val="007F213C"/>
    <w:rsid w:val="00804977"/>
    <w:rsid w:val="0081657D"/>
    <w:rsid w:val="0082190D"/>
    <w:rsid w:val="00864E55"/>
    <w:rsid w:val="00873333"/>
    <w:rsid w:val="00877723"/>
    <w:rsid w:val="008C49F7"/>
    <w:rsid w:val="008D1F2D"/>
    <w:rsid w:val="008F21B2"/>
    <w:rsid w:val="008F5D11"/>
    <w:rsid w:val="00915B71"/>
    <w:rsid w:val="009238D2"/>
    <w:rsid w:val="00933506"/>
    <w:rsid w:val="00945B28"/>
    <w:rsid w:val="00953A1D"/>
    <w:rsid w:val="009556D6"/>
    <w:rsid w:val="009750C1"/>
    <w:rsid w:val="00982E84"/>
    <w:rsid w:val="00994688"/>
    <w:rsid w:val="009A3636"/>
    <w:rsid w:val="009A7957"/>
    <w:rsid w:val="009C24DC"/>
    <w:rsid w:val="009D48BA"/>
    <w:rsid w:val="00A06AB1"/>
    <w:rsid w:val="00A11707"/>
    <w:rsid w:val="00A13F77"/>
    <w:rsid w:val="00A2475A"/>
    <w:rsid w:val="00A3117D"/>
    <w:rsid w:val="00A529A4"/>
    <w:rsid w:val="00A612EB"/>
    <w:rsid w:val="00A7117A"/>
    <w:rsid w:val="00A82BBE"/>
    <w:rsid w:val="00A94B3B"/>
    <w:rsid w:val="00AB2F2E"/>
    <w:rsid w:val="00AD623A"/>
    <w:rsid w:val="00AF0467"/>
    <w:rsid w:val="00AF23B1"/>
    <w:rsid w:val="00B02926"/>
    <w:rsid w:val="00B10897"/>
    <w:rsid w:val="00B23846"/>
    <w:rsid w:val="00B26AE1"/>
    <w:rsid w:val="00B753A4"/>
    <w:rsid w:val="00B825E8"/>
    <w:rsid w:val="00B87481"/>
    <w:rsid w:val="00B94BE1"/>
    <w:rsid w:val="00BA542E"/>
    <w:rsid w:val="00BA64CE"/>
    <w:rsid w:val="00BA6990"/>
    <w:rsid w:val="00BE01DC"/>
    <w:rsid w:val="00C271AE"/>
    <w:rsid w:val="00C33D89"/>
    <w:rsid w:val="00C47071"/>
    <w:rsid w:val="00C55419"/>
    <w:rsid w:val="00C87FBB"/>
    <w:rsid w:val="00C94A6A"/>
    <w:rsid w:val="00C96E03"/>
    <w:rsid w:val="00CB6EF1"/>
    <w:rsid w:val="00CD64FE"/>
    <w:rsid w:val="00CF369C"/>
    <w:rsid w:val="00D1272E"/>
    <w:rsid w:val="00D15F15"/>
    <w:rsid w:val="00D15F73"/>
    <w:rsid w:val="00D2101C"/>
    <w:rsid w:val="00D26FA6"/>
    <w:rsid w:val="00D30786"/>
    <w:rsid w:val="00D34C9F"/>
    <w:rsid w:val="00D372EA"/>
    <w:rsid w:val="00D405F4"/>
    <w:rsid w:val="00D6531C"/>
    <w:rsid w:val="00D845FB"/>
    <w:rsid w:val="00DA1034"/>
    <w:rsid w:val="00DB0D58"/>
    <w:rsid w:val="00DE029F"/>
    <w:rsid w:val="00DF4907"/>
    <w:rsid w:val="00E22508"/>
    <w:rsid w:val="00E34AC7"/>
    <w:rsid w:val="00E46F8C"/>
    <w:rsid w:val="00E642C6"/>
    <w:rsid w:val="00E67836"/>
    <w:rsid w:val="00E9261D"/>
    <w:rsid w:val="00E94632"/>
    <w:rsid w:val="00E95DC6"/>
    <w:rsid w:val="00EA65B7"/>
    <w:rsid w:val="00EB61CC"/>
    <w:rsid w:val="00EC048F"/>
    <w:rsid w:val="00EC366C"/>
    <w:rsid w:val="00EC4E1A"/>
    <w:rsid w:val="00EC4EF8"/>
    <w:rsid w:val="00F12EA4"/>
    <w:rsid w:val="00F3461A"/>
    <w:rsid w:val="00F60EE2"/>
    <w:rsid w:val="00F73C5E"/>
    <w:rsid w:val="00FC2DE4"/>
    <w:rsid w:val="00FD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1A"/>
    <w:rPr>
      <w:color w:val="0000FF" w:themeColor="hyperlink"/>
      <w:u w:val="single"/>
    </w:rPr>
  </w:style>
  <w:style w:type="paragraph" w:styleId="FootnoteText">
    <w:name w:val="footnote text"/>
    <w:basedOn w:val="Normal"/>
    <w:link w:val="FootnoteTextChar"/>
    <w:uiPriority w:val="99"/>
    <w:unhideWhenUsed/>
    <w:rsid w:val="00E67836"/>
    <w:pPr>
      <w:spacing w:after="0" w:line="240" w:lineRule="auto"/>
    </w:pPr>
    <w:rPr>
      <w:sz w:val="20"/>
      <w:szCs w:val="20"/>
    </w:rPr>
  </w:style>
  <w:style w:type="character" w:customStyle="1" w:styleId="FootnoteTextChar">
    <w:name w:val="Footnote Text Char"/>
    <w:basedOn w:val="DefaultParagraphFont"/>
    <w:link w:val="FootnoteText"/>
    <w:uiPriority w:val="99"/>
    <w:rsid w:val="00E67836"/>
    <w:rPr>
      <w:sz w:val="20"/>
      <w:szCs w:val="20"/>
    </w:rPr>
  </w:style>
  <w:style w:type="character" w:styleId="FootnoteReference">
    <w:name w:val="footnote reference"/>
    <w:basedOn w:val="DefaultParagraphFont"/>
    <w:uiPriority w:val="99"/>
    <w:semiHidden/>
    <w:unhideWhenUsed/>
    <w:rsid w:val="00E67836"/>
    <w:rPr>
      <w:vertAlign w:val="superscript"/>
    </w:rPr>
  </w:style>
  <w:style w:type="paragraph" w:styleId="BalloonText">
    <w:name w:val="Balloon Text"/>
    <w:basedOn w:val="Normal"/>
    <w:link w:val="BalloonTextChar"/>
    <w:uiPriority w:val="99"/>
    <w:semiHidden/>
    <w:unhideWhenUsed/>
    <w:rsid w:val="004C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3F"/>
    <w:rPr>
      <w:rFonts w:ascii="Tahoma" w:hAnsi="Tahoma" w:cs="Tahoma"/>
      <w:sz w:val="16"/>
      <w:szCs w:val="16"/>
    </w:rPr>
  </w:style>
  <w:style w:type="paragraph" w:styleId="ListParagraph">
    <w:name w:val="List Paragraph"/>
    <w:basedOn w:val="Normal"/>
    <w:uiPriority w:val="34"/>
    <w:qFormat/>
    <w:rsid w:val="00155FD2"/>
    <w:pPr>
      <w:ind w:left="720"/>
      <w:contextualSpacing/>
    </w:pPr>
  </w:style>
  <w:style w:type="paragraph" w:styleId="Header">
    <w:name w:val="header"/>
    <w:basedOn w:val="Normal"/>
    <w:link w:val="HeaderChar"/>
    <w:uiPriority w:val="99"/>
    <w:unhideWhenUsed/>
    <w:rsid w:val="006A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FF"/>
  </w:style>
  <w:style w:type="paragraph" w:styleId="Footer">
    <w:name w:val="footer"/>
    <w:basedOn w:val="Normal"/>
    <w:link w:val="FooterChar"/>
    <w:uiPriority w:val="99"/>
    <w:unhideWhenUsed/>
    <w:rsid w:val="006A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FF"/>
  </w:style>
  <w:style w:type="paragraph" w:styleId="NormalWeb">
    <w:name w:val="Normal (Web)"/>
    <w:basedOn w:val="Normal"/>
    <w:uiPriority w:val="99"/>
    <w:semiHidden/>
    <w:unhideWhenUsed/>
    <w:rsid w:val="00D15F73"/>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C4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466D"/>
    <w:rPr>
      <w:sz w:val="20"/>
      <w:szCs w:val="20"/>
    </w:rPr>
  </w:style>
  <w:style w:type="character" w:styleId="EndnoteReference">
    <w:name w:val="endnote reference"/>
    <w:basedOn w:val="DefaultParagraphFont"/>
    <w:uiPriority w:val="99"/>
    <w:semiHidden/>
    <w:unhideWhenUsed/>
    <w:rsid w:val="004C46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1A"/>
    <w:rPr>
      <w:color w:val="0000FF" w:themeColor="hyperlink"/>
      <w:u w:val="single"/>
    </w:rPr>
  </w:style>
  <w:style w:type="paragraph" w:styleId="FootnoteText">
    <w:name w:val="footnote text"/>
    <w:basedOn w:val="Normal"/>
    <w:link w:val="FootnoteTextChar"/>
    <w:uiPriority w:val="99"/>
    <w:unhideWhenUsed/>
    <w:rsid w:val="00E67836"/>
    <w:pPr>
      <w:spacing w:after="0" w:line="240" w:lineRule="auto"/>
    </w:pPr>
    <w:rPr>
      <w:sz w:val="20"/>
      <w:szCs w:val="20"/>
    </w:rPr>
  </w:style>
  <w:style w:type="character" w:customStyle="1" w:styleId="FootnoteTextChar">
    <w:name w:val="Footnote Text Char"/>
    <w:basedOn w:val="DefaultParagraphFont"/>
    <w:link w:val="FootnoteText"/>
    <w:uiPriority w:val="99"/>
    <w:rsid w:val="00E67836"/>
    <w:rPr>
      <w:sz w:val="20"/>
      <w:szCs w:val="20"/>
    </w:rPr>
  </w:style>
  <w:style w:type="character" w:styleId="FootnoteReference">
    <w:name w:val="footnote reference"/>
    <w:basedOn w:val="DefaultParagraphFont"/>
    <w:uiPriority w:val="99"/>
    <w:semiHidden/>
    <w:unhideWhenUsed/>
    <w:rsid w:val="00E67836"/>
    <w:rPr>
      <w:vertAlign w:val="superscript"/>
    </w:rPr>
  </w:style>
  <w:style w:type="paragraph" w:styleId="BalloonText">
    <w:name w:val="Balloon Text"/>
    <w:basedOn w:val="Normal"/>
    <w:link w:val="BalloonTextChar"/>
    <w:uiPriority w:val="99"/>
    <w:semiHidden/>
    <w:unhideWhenUsed/>
    <w:rsid w:val="004C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3F"/>
    <w:rPr>
      <w:rFonts w:ascii="Tahoma" w:hAnsi="Tahoma" w:cs="Tahoma"/>
      <w:sz w:val="16"/>
      <w:szCs w:val="16"/>
    </w:rPr>
  </w:style>
  <w:style w:type="paragraph" w:styleId="ListParagraph">
    <w:name w:val="List Paragraph"/>
    <w:basedOn w:val="Normal"/>
    <w:uiPriority w:val="34"/>
    <w:qFormat/>
    <w:rsid w:val="00155FD2"/>
    <w:pPr>
      <w:ind w:left="720"/>
      <w:contextualSpacing/>
    </w:pPr>
  </w:style>
  <w:style w:type="paragraph" w:styleId="Header">
    <w:name w:val="header"/>
    <w:basedOn w:val="Normal"/>
    <w:link w:val="HeaderChar"/>
    <w:uiPriority w:val="99"/>
    <w:unhideWhenUsed/>
    <w:rsid w:val="006A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FF"/>
  </w:style>
  <w:style w:type="paragraph" w:styleId="Footer">
    <w:name w:val="footer"/>
    <w:basedOn w:val="Normal"/>
    <w:link w:val="FooterChar"/>
    <w:uiPriority w:val="99"/>
    <w:unhideWhenUsed/>
    <w:rsid w:val="006A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FF"/>
  </w:style>
  <w:style w:type="paragraph" w:styleId="NormalWeb">
    <w:name w:val="Normal (Web)"/>
    <w:basedOn w:val="Normal"/>
    <w:uiPriority w:val="99"/>
    <w:semiHidden/>
    <w:unhideWhenUsed/>
    <w:rsid w:val="00D15F73"/>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C4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466D"/>
    <w:rPr>
      <w:sz w:val="20"/>
      <w:szCs w:val="20"/>
    </w:rPr>
  </w:style>
  <w:style w:type="character" w:styleId="EndnoteReference">
    <w:name w:val="endnote reference"/>
    <w:basedOn w:val="DefaultParagraphFont"/>
    <w:uiPriority w:val="99"/>
    <w:semiHidden/>
    <w:unhideWhenUsed/>
    <w:rsid w:val="004C4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96308">
      <w:bodyDiv w:val="1"/>
      <w:marLeft w:val="0"/>
      <w:marRight w:val="0"/>
      <w:marTop w:val="0"/>
      <w:marBottom w:val="0"/>
      <w:divBdr>
        <w:top w:val="none" w:sz="0" w:space="0" w:color="auto"/>
        <w:left w:val="none" w:sz="0" w:space="0" w:color="auto"/>
        <w:bottom w:val="none" w:sz="0" w:space="0" w:color="auto"/>
        <w:right w:val="none" w:sz="0" w:space="0" w:color="auto"/>
      </w:divBdr>
      <w:divsChild>
        <w:div w:id="838077375">
          <w:marLeft w:val="0"/>
          <w:marRight w:val="0"/>
          <w:marTop w:val="0"/>
          <w:marBottom w:val="0"/>
          <w:divBdr>
            <w:top w:val="none" w:sz="0" w:space="0" w:color="auto"/>
            <w:left w:val="none" w:sz="0" w:space="0" w:color="auto"/>
            <w:bottom w:val="none" w:sz="0" w:space="0" w:color="auto"/>
            <w:right w:val="none" w:sz="0" w:space="0" w:color="auto"/>
          </w:divBdr>
          <w:divsChild>
            <w:div w:id="297414981">
              <w:marLeft w:val="0"/>
              <w:marRight w:val="0"/>
              <w:marTop w:val="0"/>
              <w:marBottom w:val="0"/>
              <w:divBdr>
                <w:top w:val="none" w:sz="0" w:space="0" w:color="auto"/>
                <w:left w:val="single" w:sz="6" w:space="0" w:color="E4E4E4"/>
                <w:bottom w:val="none" w:sz="0" w:space="0" w:color="auto"/>
                <w:right w:val="none" w:sz="0" w:space="0" w:color="auto"/>
              </w:divBdr>
              <w:divsChild>
                <w:div w:id="1373532865">
                  <w:marLeft w:val="0"/>
                  <w:marRight w:val="0"/>
                  <w:marTop w:val="0"/>
                  <w:marBottom w:val="0"/>
                  <w:divBdr>
                    <w:top w:val="none" w:sz="0" w:space="0" w:color="auto"/>
                    <w:left w:val="none" w:sz="0" w:space="0" w:color="auto"/>
                    <w:bottom w:val="none" w:sz="0" w:space="0" w:color="auto"/>
                    <w:right w:val="none" w:sz="0" w:space="0" w:color="auto"/>
                  </w:divBdr>
                  <w:divsChild>
                    <w:div w:id="872763453">
                      <w:marLeft w:val="0"/>
                      <w:marRight w:val="0"/>
                      <w:marTop w:val="0"/>
                      <w:marBottom w:val="0"/>
                      <w:divBdr>
                        <w:top w:val="none" w:sz="0" w:space="0" w:color="auto"/>
                        <w:left w:val="none" w:sz="0" w:space="0" w:color="auto"/>
                        <w:bottom w:val="none" w:sz="0" w:space="0" w:color="auto"/>
                        <w:right w:val="none" w:sz="0" w:space="0" w:color="auto"/>
                      </w:divBdr>
                      <w:divsChild>
                        <w:div w:id="220750129">
                          <w:marLeft w:val="0"/>
                          <w:marRight w:val="0"/>
                          <w:marTop w:val="0"/>
                          <w:marBottom w:val="105"/>
                          <w:divBdr>
                            <w:top w:val="none" w:sz="0" w:space="0" w:color="auto"/>
                            <w:left w:val="none" w:sz="0" w:space="0" w:color="auto"/>
                            <w:bottom w:val="none" w:sz="0" w:space="0" w:color="auto"/>
                            <w:right w:val="none" w:sz="0" w:space="0" w:color="auto"/>
                          </w:divBdr>
                          <w:divsChild>
                            <w:div w:id="1673027351">
                              <w:marLeft w:val="0"/>
                              <w:marRight w:val="0"/>
                              <w:marTop w:val="105"/>
                              <w:marBottom w:val="0"/>
                              <w:divBdr>
                                <w:top w:val="none" w:sz="0" w:space="0" w:color="auto"/>
                                <w:left w:val="none" w:sz="0" w:space="0" w:color="auto"/>
                                <w:bottom w:val="none" w:sz="0" w:space="0" w:color="auto"/>
                                <w:right w:val="none" w:sz="0" w:space="0" w:color="auto"/>
                              </w:divBdr>
                              <w:divsChild>
                                <w:div w:id="246811925">
                                  <w:marLeft w:val="0"/>
                                  <w:marRight w:val="0"/>
                                  <w:marTop w:val="0"/>
                                  <w:marBottom w:val="105"/>
                                  <w:divBdr>
                                    <w:top w:val="none" w:sz="0" w:space="0" w:color="auto"/>
                                    <w:left w:val="none" w:sz="0" w:space="0" w:color="auto"/>
                                    <w:bottom w:val="none" w:sz="0" w:space="0" w:color="auto"/>
                                    <w:right w:val="none" w:sz="0" w:space="0" w:color="auto"/>
                                  </w:divBdr>
                                  <w:divsChild>
                                    <w:div w:id="1346204450">
                                      <w:marLeft w:val="0"/>
                                      <w:marRight w:val="0"/>
                                      <w:marTop w:val="105"/>
                                      <w:marBottom w:val="0"/>
                                      <w:divBdr>
                                        <w:top w:val="none" w:sz="0" w:space="0" w:color="auto"/>
                                        <w:left w:val="none" w:sz="0" w:space="0" w:color="auto"/>
                                        <w:bottom w:val="none" w:sz="0" w:space="0" w:color="auto"/>
                                        <w:right w:val="none" w:sz="0" w:space="0" w:color="auto"/>
                                      </w:divBdr>
                                      <w:divsChild>
                                        <w:div w:id="1927882904">
                                          <w:marLeft w:val="0"/>
                                          <w:marRight w:val="0"/>
                                          <w:marTop w:val="0"/>
                                          <w:marBottom w:val="105"/>
                                          <w:divBdr>
                                            <w:top w:val="none" w:sz="0" w:space="0" w:color="auto"/>
                                            <w:left w:val="none" w:sz="0" w:space="0" w:color="auto"/>
                                            <w:bottom w:val="none" w:sz="0" w:space="0" w:color="auto"/>
                                            <w:right w:val="none" w:sz="0" w:space="0" w:color="auto"/>
                                          </w:divBdr>
                                          <w:divsChild>
                                            <w:div w:id="1611476591">
                                              <w:marLeft w:val="0"/>
                                              <w:marRight w:val="0"/>
                                              <w:marTop w:val="105"/>
                                              <w:marBottom w:val="0"/>
                                              <w:divBdr>
                                                <w:top w:val="none" w:sz="0" w:space="0" w:color="auto"/>
                                                <w:left w:val="none" w:sz="0" w:space="0" w:color="auto"/>
                                                <w:bottom w:val="none" w:sz="0" w:space="0" w:color="auto"/>
                                                <w:right w:val="none" w:sz="0" w:space="0" w:color="auto"/>
                                              </w:divBdr>
                                              <w:divsChild>
                                                <w:div w:id="891385651">
                                                  <w:marLeft w:val="0"/>
                                                  <w:marRight w:val="0"/>
                                                  <w:marTop w:val="0"/>
                                                  <w:marBottom w:val="105"/>
                                                  <w:divBdr>
                                                    <w:top w:val="none" w:sz="0" w:space="0" w:color="auto"/>
                                                    <w:left w:val="none" w:sz="0" w:space="0" w:color="auto"/>
                                                    <w:bottom w:val="none" w:sz="0" w:space="0" w:color="auto"/>
                                                    <w:right w:val="none" w:sz="0" w:space="0" w:color="auto"/>
                                                  </w:divBdr>
                                                  <w:divsChild>
                                                    <w:div w:id="1465657401">
                                                      <w:marLeft w:val="0"/>
                                                      <w:marRight w:val="0"/>
                                                      <w:marTop w:val="105"/>
                                                      <w:marBottom w:val="0"/>
                                                      <w:divBdr>
                                                        <w:top w:val="none" w:sz="0" w:space="0" w:color="auto"/>
                                                        <w:left w:val="none" w:sz="0" w:space="0" w:color="auto"/>
                                                        <w:bottom w:val="none" w:sz="0" w:space="0" w:color="auto"/>
                                                        <w:right w:val="none" w:sz="0" w:space="0" w:color="auto"/>
                                                      </w:divBdr>
                                                    </w:div>
                                                  </w:divsChild>
                                                </w:div>
                                                <w:div w:id="802508097">
                                                  <w:marLeft w:val="0"/>
                                                  <w:marRight w:val="0"/>
                                                  <w:marTop w:val="0"/>
                                                  <w:marBottom w:val="105"/>
                                                  <w:divBdr>
                                                    <w:top w:val="none" w:sz="0" w:space="0" w:color="auto"/>
                                                    <w:left w:val="none" w:sz="0" w:space="0" w:color="auto"/>
                                                    <w:bottom w:val="none" w:sz="0" w:space="0" w:color="auto"/>
                                                    <w:right w:val="none" w:sz="0" w:space="0" w:color="auto"/>
                                                  </w:divBdr>
                                                  <w:divsChild>
                                                    <w:div w:id="1071631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351825">
      <w:bodyDiv w:val="1"/>
      <w:marLeft w:val="0"/>
      <w:marRight w:val="0"/>
      <w:marTop w:val="0"/>
      <w:marBottom w:val="0"/>
      <w:divBdr>
        <w:top w:val="none" w:sz="0" w:space="0" w:color="auto"/>
        <w:left w:val="none" w:sz="0" w:space="0" w:color="auto"/>
        <w:bottom w:val="none" w:sz="0" w:space="0" w:color="auto"/>
        <w:right w:val="none" w:sz="0" w:space="0" w:color="auto"/>
      </w:divBdr>
      <w:divsChild>
        <w:div w:id="1395351236">
          <w:marLeft w:val="0"/>
          <w:marRight w:val="0"/>
          <w:marTop w:val="0"/>
          <w:marBottom w:val="0"/>
          <w:divBdr>
            <w:top w:val="none" w:sz="0" w:space="0" w:color="auto"/>
            <w:left w:val="none" w:sz="0" w:space="0" w:color="auto"/>
            <w:bottom w:val="none" w:sz="0" w:space="0" w:color="auto"/>
            <w:right w:val="none" w:sz="0" w:space="0" w:color="auto"/>
          </w:divBdr>
          <w:divsChild>
            <w:div w:id="28263744">
              <w:marLeft w:val="0"/>
              <w:marRight w:val="0"/>
              <w:marTop w:val="0"/>
              <w:marBottom w:val="0"/>
              <w:divBdr>
                <w:top w:val="none" w:sz="0" w:space="0" w:color="auto"/>
                <w:left w:val="single" w:sz="6" w:space="0" w:color="E4E4E4"/>
                <w:bottom w:val="none" w:sz="0" w:space="0" w:color="auto"/>
                <w:right w:val="none" w:sz="0" w:space="0" w:color="auto"/>
              </w:divBdr>
              <w:divsChild>
                <w:div w:id="174999013">
                  <w:marLeft w:val="0"/>
                  <w:marRight w:val="0"/>
                  <w:marTop w:val="0"/>
                  <w:marBottom w:val="0"/>
                  <w:divBdr>
                    <w:top w:val="none" w:sz="0" w:space="0" w:color="auto"/>
                    <w:left w:val="none" w:sz="0" w:space="0" w:color="auto"/>
                    <w:bottom w:val="none" w:sz="0" w:space="0" w:color="auto"/>
                    <w:right w:val="none" w:sz="0" w:space="0" w:color="auto"/>
                  </w:divBdr>
                  <w:divsChild>
                    <w:div w:id="422117463">
                      <w:marLeft w:val="0"/>
                      <w:marRight w:val="0"/>
                      <w:marTop w:val="0"/>
                      <w:marBottom w:val="0"/>
                      <w:divBdr>
                        <w:top w:val="none" w:sz="0" w:space="0" w:color="auto"/>
                        <w:left w:val="none" w:sz="0" w:space="0" w:color="auto"/>
                        <w:bottom w:val="none" w:sz="0" w:space="0" w:color="auto"/>
                        <w:right w:val="none" w:sz="0" w:space="0" w:color="auto"/>
                      </w:divBdr>
                      <w:divsChild>
                        <w:div w:id="653526584">
                          <w:marLeft w:val="0"/>
                          <w:marRight w:val="0"/>
                          <w:marTop w:val="0"/>
                          <w:marBottom w:val="0"/>
                          <w:divBdr>
                            <w:top w:val="none" w:sz="0" w:space="0" w:color="auto"/>
                            <w:left w:val="none" w:sz="0" w:space="0" w:color="auto"/>
                            <w:bottom w:val="none" w:sz="0" w:space="0" w:color="auto"/>
                            <w:right w:val="none" w:sz="0" w:space="0" w:color="auto"/>
                          </w:divBdr>
                          <w:divsChild>
                            <w:div w:id="997658522">
                              <w:marLeft w:val="0"/>
                              <w:marRight w:val="0"/>
                              <w:marTop w:val="0"/>
                              <w:marBottom w:val="0"/>
                              <w:divBdr>
                                <w:top w:val="none" w:sz="0" w:space="0" w:color="auto"/>
                                <w:left w:val="none" w:sz="0" w:space="0" w:color="auto"/>
                                <w:bottom w:val="none" w:sz="0" w:space="0" w:color="auto"/>
                                <w:right w:val="none" w:sz="0" w:space="0" w:color="auto"/>
                              </w:divBdr>
                            </w:div>
                            <w:div w:id="2025741640">
                              <w:marLeft w:val="0"/>
                              <w:marRight w:val="0"/>
                              <w:marTop w:val="0"/>
                              <w:marBottom w:val="0"/>
                              <w:divBdr>
                                <w:top w:val="none" w:sz="0" w:space="0" w:color="auto"/>
                                <w:left w:val="none" w:sz="0" w:space="0" w:color="auto"/>
                                <w:bottom w:val="none" w:sz="0" w:space="0" w:color="auto"/>
                                <w:right w:val="none" w:sz="0" w:space="0" w:color="auto"/>
                              </w:divBdr>
                              <w:divsChild>
                                <w:div w:id="599412058">
                                  <w:marLeft w:val="0"/>
                                  <w:marRight w:val="0"/>
                                  <w:marTop w:val="0"/>
                                  <w:marBottom w:val="0"/>
                                  <w:divBdr>
                                    <w:top w:val="none" w:sz="0" w:space="0" w:color="auto"/>
                                    <w:left w:val="none" w:sz="0" w:space="0" w:color="auto"/>
                                    <w:bottom w:val="none" w:sz="0" w:space="0" w:color="auto"/>
                                    <w:right w:val="none" w:sz="0" w:space="0" w:color="auto"/>
                                  </w:divBdr>
                                </w:div>
                                <w:div w:id="1749380420">
                                  <w:marLeft w:val="0"/>
                                  <w:marRight w:val="0"/>
                                  <w:marTop w:val="0"/>
                                  <w:marBottom w:val="105"/>
                                  <w:divBdr>
                                    <w:top w:val="none" w:sz="0" w:space="0" w:color="auto"/>
                                    <w:left w:val="none" w:sz="0" w:space="0" w:color="auto"/>
                                    <w:bottom w:val="none" w:sz="0" w:space="0" w:color="auto"/>
                                    <w:right w:val="none" w:sz="0" w:space="0" w:color="auto"/>
                                  </w:divBdr>
                                  <w:divsChild>
                                    <w:div w:id="360908343">
                                      <w:marLeft w:val="0"/>
                                      <w:marRight w:val="0"/>
                                      <w:marTop w:val="105"/>
                                      <w:marBottom w:val="0"/>
                                      <w:divBdr>
                                        <w:top w:val="none" w:sz="0" w:space="0" w:color="auto"/>
                                        <w:left w:val="none" w:sz="0" w:space="0" w:color="auto"/>
                                        <w:bottom w:val="none" w:sz="0" w:space="0" w:color="auto"/>
                                        <w:right w:val="none" w:sz="0" w:space="0" w:color="auto"/>
                                      </w:divBdr>
                                    </w:div>
                                  </w:divsChild>
                                </w:div>
                                <w:div w:id="1947543410">
                                  <w:marLeft w:val="0"/>
                                  <w:marRight w:val="0"/>
                                  <w:marTop w:val="0"/>
                                  <w:marBottom w:val="0"/>
                                  <w:divBdr>
                                    <w:top w:val="none" w:sz="0" w:space="0" w:color="auto"/>
                                    <w:left w:val="none" w:sz="0" w:space="0" w:color="auto"/>
                                    <w:bottom w:val="none" w:sz="0" w:space="0" w:color="auto"/>
                                    <w:right w:val="none" w:sz="0" w:space="0" w:color="auto"/>
                                  </w:divBdr>
                                </w:div>
                                <w:div w:id="523593581">
                                  <w:marLeft w:val="105"/>
                                  <w:marRight w:val="0"/>
                                  <w:marTop w:val="0"/>
                                  <w:marBottom w:val="0"/>
                                  <w:divBdr>
                                    <w:top w:val="none" w:sz="0" w:space="0" w:color="auto"/>
                                    <w:left w:val="none" w:sz="0" w:space="0" w:color="auto"/>
                                    <w:bottom w:val="none" w:sz="0" w:space="0" w:color="auto"/>
                                    <w:right w:val="none" w:sz="0" w:space="0" w:color="auto"/>
                                  </w:divBdr>
                                  <w:divsChild>
                                    <w:div w:id="1500346574">
                                      <w:marLeft w:val="105"/>
                                      <w:marRight w:val="0"/>
                                      <w:marTop w:val="0"/>
                                      <w:marBottom w:val="0"/>
                                      <w:divBdr>
                                        <w:top w:val="none" w:sz="0" w:space="0" w:color="auto"/>
                                        <w:left w:val="none" w:sz="0" w:space="0" w:color="auto"/>
                                        <w:bottom w:val="none" w:sz="0" w:space="0" w:color="auto"/>
                                        <w:right w:val="none" w:sz="0" w:space="0" w:color="auto"/>
                                      </w:divBdr>
                                      <w:divsChild>
                                        <w:div w:id="1560434082">
                                          <w:marLeft w:val="105"/>
                                          <w:marRight w:val="0"/>
                                          <w:marTop w:val="0"/>
                                          <w:marBottom w:val="0"/>
                                          <w:divBdr>
                                            <w:top w:val="none" w:sz="0" w:space="0" w:color="auto"/>
                                            <w:left w:val="none" w:sz="0" w:space="0" w:color="auto"/>
                                            <w:bottom w:val="none" w:sz="0" w:space="0" w:color="auto"/>
                                            <w:right w:val="none" w:sz="0" w:space="0" w:color="auto"/>
                                          </w:divBdr>
                                          <w:divsChild>
                                            <w:div w:id="680279517">
                                              <w:marLeft w:val="105"/>
                                              <w:marRight w:val="0"/>
                                              <w:marTop w:val="0"/>
                                              <w:marBottom w:val="0"/>
                                              <w:divBdr>
                                                <w:top w:val="none" w:sz="0" w:space="0" w:color="auto"/>
                                                <w:left w:val="none" w:sz="0" w:space="0" w:color="auto"/>
                                                <w:bottom w:val="none" w:sz="0" w:space="0" w:color="auto"/>
                                                <w:right w:val="none" w:sz="0" w:space="0" w:color="auto"/>
                                              </w:divBdr>
                                              <w:divsChild>
                                                <w:div w:id="1454865524">
                                                  <w:marLeft w:val="105"/>
                                                  <w:marRight w:val="0"/>
                                                  <w:marTop w:val="0"/>
                                                  <w:marBottom w:val="0"/>
                                                  <w:divBdr>
                                                    <w:top w:val="none" w:sz="0" w:space="0" w:color="auto"/>
                                                    <w:left w:val="none" w:sz="0" w:space="0" w:color="auto"/>
                                                    <w:bottom w:val="none" w:sz="0" w:space="0" w:color="auto"/>
                                                    <w:right w:val="none" w:sz="0" w:space="0" w:color="auto"/>
                                                  </w:divBdr>
                                                  <w:divsChild>
                                                    <w:div w:id="1022054688">
                                                      <w:marLeft w:val="105"/>
                                                      <w:marRight w:val="0"/>
                                                      <w:marTop w:val="0"/>
                                                      <w:marBottom w:val="0"/>
                                                      <w:divBdr>
                                                        <w:top w:val="none" w:sz="0" w:space="0" w:color="auto"/>
                                                        <w:left w:val="none" w:sz="0" w:space="0" w:color="auto"/>
                                                        <w:bottom w:val="none" w:sz="0" w:space="0" w:color="auto"/>
                                                        <w:right w:val="none" w:sz="0" w:space="0" w:color="auto"/>
                                                      </w:divBdr>
                                                      <w:divsChild>
                                                        <w:div w:id="11670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82182">
      <w:bodyDiv w:val="1"/>
      <w:marLeft w:val="0"/>
      <w:marRight w:val="0"/>
      <w:marTop w:val="0"/>
      <w:marBottom w:val="0"/>
      <w:divBdr>
        <w:top w:val="none" w:sz="0" w:space="0" w:color="auto"/>
        <w:left w:val="none" w:sz="0" w:space="0" w:color="auto"/>
        <w:bottom w:val="none" w:sz="0" w:space="0" w:color="auto"/>
        <w:right w:val="none" w:sz="0" w:space="0" w:color="auto"/>
      </w:divBdr>
      <w:divsChild>
        <w:div w:id="2096704907">
          <w:marLeft w:val="0"/>
          <w:marRight w:val="0"/>
          <w:marTop w:val="0"/>
          <w:marBottom w:val="0"/>
          <w:divBdr>
            <w:top w:val="none" w:sz="0" w:space="0" w:color="auto"/>
            <w:left w:val="none" w:sz="0" w:space="0" w:color="auto"/>
            <w:bottom w:val="none" w:sz="0" w:space="0" w:color="auto"/>
            <w:right w:val="none" w:sz="0" w:space="0" w:color="auto"/>
          </w:divBdr>
          <w:divsChild>
            <w:div w:id="811824680">
              <w:marLeft w:val="0"/>
              <w:marRight w:val="0"/>
              <w:marTop w:val="0"/>
              <w:marBottom w:val="0"/>
              <w:divBdr>
                <w:top w:val="none" w:sz="0" w:space="0" w:color="auto"/>
                <w:left w:val="single" w:sz="6" w:space="0" w:color="E4E4E4"/>
                <w:bottom w:val="none" w:sz="0" w:space="0" w:color="auto"/>
                <w:right w:val="none" w:sz="0" w:space="0" w:color="auto"/>
              </w:divBdr>
              <w:divsChild>
                <w:div w:id="2031837525">
                  <w:marLeft w:val="0"/>
                  <w:marRight w:val="0"/>
                  <w:marTop w:val="0"/>
                  <w:marBottom w:val="0"/>
                  <w:divBdr>
                    <w:top w:val="none" w:sz="0" w:space="0" w:color="auto"/>
                    <w:left w:val="none" w:sz="0" w:space="0" w:color="auto"/>
                    <w:bottom w:val="none" w:sz="0" w:space="0" w:color="auto"/>
                    <w:right w:val="none" w:sz="0" w:space="0" w:color="auto"/>
                  </w:divBdr>
                  <w:divsChild>
                    <w:div w:id="951209896">
                      <w:marLeft w:val="0"/>
                      <w:marRight w:val="0"/>
                      <w:marTop w:val="0"/>
                      <w:marBottom w:val="0"/>
                      <w:divBdr>
                        <w:top w:val="none" w:sz="0" w:space="0" w:color="auto"/>
                        <w:left w:val="none" w:sz="0" w:space="0" w:color="auto"/>
                        <w:bottom w:val="none" w:sz="0" w:space="0" w:color="auto"/>
                        <w:right w:val="none" w:sz="0" w:space="0" w:color="auto"/>
                      </w:divBdr>
                      <w:divsChild>
                        <w:div w:id="1370765788">
                          <w:marLeft w:val="0"/>
                          <w:marRight w:val="0"/>
                          <w:marTop w:val="0"/>
                          <w:marBottom w:val="105"/>
                          <w:divBdr>
                            <w:top w:val="none" w:sz="0" w:space="0" w:color="auto"/>
                            <w:left w:val="none" w:sz="0" w:space="0" w:color="auto"/>
                            <w:bottom w:val="none" w:sz="0" w:space="0" w:color="auto"/>
                            <w:right w:val="none" w:sz="0" w:space="0" w:color="auto"/>
                          </w:divBdr>
                          <w:divsChild>
                            <w:div w:id="133911890">
                              <w:marLeft w:val="0"/>
                              <w:marRight w:val="0"/>
                              <w:marTop w:val="105"/>
                              <w:marBottom w:val="0"/>
                              <w:divBdr>
                                <w:top w:val="none" w:sz="0" w:space="0" w:color="auto"/>
                                <w:left w:val="none" w:sz="0" w:space="0" w:color="auto"/>
                                <w:bottom w:val="none" w:sz="0" w:space="0" w:color="auto"/>
                                <w:right w:val="none" w:sz="0" w:space="0" w:color="auto"/>
                              </w:divBdr>
                              <w:divsChild>
                                <w:div w:id="1606843691">
                                  <w:marLeft w:val="0"/>
                                  <w:marRight w:val="0"/>
                                  <w:marTop w:val="0"/>
                                  <w:marBottom w:val="105"/>
                                  <w:divBdr>
                                    <w:top w:val="none" w:sz="0" w:space="0" w:color="auto"/>
                                    <w:left w:val="none" w:sz="0" w:space="0" w:color="auto"/>
                                    <w:bottom w:val="none" w:sz="0" w:space="0" w:color="auto"/>
                                    <w:right w:val="none" w:sz="0" w:space="0" w:color="auto"/>
                                  </w:divBdr>
                                  <w:divsChild>
                                    <w:div w:id="1821845399">
                                      <w:marLeft w:val="0"/>
                                      <w:marRight w:val="0"/>
                                      <w:marTop w:val="105"/>
                                      <w:marBottom w:val="0"/>
                                      <w:divBdr>
                                        <w:top w:val="none" w:sz="0" w:space="0" w:color="auto"/>
                                        <w:left w:val="none" w:sz="0" w:space="0" w:color="auto"/>
                                        <w:bottom w:val="none" w:sz="0" w:space="0" w:color="auto"/>
                                        <w:right w:val="none" w:sz="0" w:space="0" w:color="auto"/>
                                      </w:divBdr>
                                      <w:divsChild>
                                        <w:div w:id="1882009913">
                                          <w:marLeft w:val="0"/>
                                          <w:marRight w:val="0"/>
                                          <w:marTop w:val="0"/>
                                          <w:marBottom w:val="105"/>
                                          <w:divBdr>
                                            <w:top w:val="none" w:sz="0" w:space="0" w:color="auto"/>
                                            <w:left w:val="none" w:sz="0" w:space="0" w:color="auto"/>
                                            <w:bottom w:val="none" w:sz="0" w:space="0" w:color="auto"/>
                                            <w:right w:val="none" w:sz="0" w:space="0" w:color="auto"/>
                                          </w:divBdr>
                                          <w:divsChild>
                                            <w:div w:id="390470601">
                                              <w:marLeft w:val="0"/>
                                              <w:marRight w:val="0"/>
                                              <w:marTop w:val="105"/>
                                              <w:marBottom w:val="0"/>
                                              <w:divBdr>
                                                <w:top w:val="none" w:sz="0" w:space="0" w:color="auto"/>
                                                <w:left w:val="none" w:sz="0" w:space="0" w:color="auto"/>
                                                <w:bottom w:val="none" w:sz="0" w:space="0" w:color="auto"/>
                                                <w:right w:val="none" w:sz="0" w:space="0" w:color="auto"/>
                                              </w:divBdr>
                                              <w:divsChild>
                                                <w:div w:id="1407915992">
                                                  <w:marLeft w:val="0"/>
                                                  <w:marRight w:val="0"/>
                                                  <w:marTop w:val="0"/>
                                                  <w:marBottom w:val="105"/>
                                                  <w:divBdr>
                                                    <w:top w:val="none" w:sz="0" w:space="0" w:color="auto"/>
                                                    <w:left w:val="none" w:sz="0" w:space="0" w:color="auto"/>
                                                    <w:bottom w:val="none" w:sz="0" w:space="0" w:color="auto"/>
                                                    <w:right w:val="none" w:sz="0" w:space="0" w:color="auto"/>
                                                  </w:divBdr>
                                                  <w:divsChild>
                                                    <w:div w:id="496850485">
                                                      <w:marLeft w:val="0"/>
                                                      <w:marRight w:val="0"/>
                                                      <w:marTop w:val="105"/>
                                                      <w:marBottom w:val="0"/>
                                                      <w:divBdr>
                                                        <w:top w:val="none" w:sz="0" w:space="0" w:color="auto"/>
                                                        <w:left w:val="none" w:sz="0" w:space="0" w:color="auto"/>
                                                        <w:bottom w:val="none" w:sz="0" w:space="0" w:color="auto"/>
                                                        <w:right w:val="none" w:sz="0" w:space="0" w:color="auto"/>
                                                      </w:divBdr>
                                                    </w:div>
                                                  </w:divsChild>
                                                </w:div>
                                                <w:div w:id="114107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647297">
      <w:bodyDiv w:val="1"/>
      <w:marLeft w:val="375"/>
      <w:marRight w:val="375"/>
      <w:marTop w:val="75"/>
      <w:marBottom w:val="75"/>
      <w:divBdr>
        <w:top w:val="none" w:sz="0" w:space="0" w:color="auto"/>
        <w:left w:val="none" w:sz="0" w:space="0" w:color="auto"/>
        <w:bottom w:val="none" w:sz="0" w:space="0" w:color="auto"/>
        <w:right w:val="none" w:sz="0" w:space="0" w:color="auto"/>
      </w:divBdr>
      <w:divsChild>
        <w:div w:id="1667975412">
          <w:marLeft w:val="0"/>
          <w:marRight w:val="0"/>
          <w:marTop w:val="0"/>
          <w:marBottom w:val="0"/>
          <w:divBdr>
            <w:top w:val="none" w:sz="0" w:space="0" w:color="auto"/>
            <w:left w:val="none" w:sz="0" w:space="0" w:color="auto"/>
            <w:bottom w:val="none" w:sz="0" w:space="0" w:color="auto"/>
            <w:right w:val="none" w:sz="0" w:space="0" w:color="auto"/>
          </w:divBdr>
          <w:divsChild>
            <w:div w:id="1917933887">
              <w:marLeft w:val="0"/>
              <w:marRight w:val="0"/>
              <w:marTop w:val="0"/>
              <w:marBottom w:val="0"/>
              <w:divBdr>
                <w:top w:val="none" w:sz="0" w:space="0" w:color="auto"/>
                <w:left w:val="none" w:sz="0" w:space="0" w:color="auto"/>
                <w:bottom w:val="none" w:sz="0" w:space="0" w:color="auto"/>
                <w:right w:val="none" w:sz="0" w:space="0" w:color="auto"/>
              </w:divBdr>
              <w:divsChild>
                <w:div w:id="5947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6959">
      <w:bodyDiv w:val="1"/>
      <w:marLeft w:val="0"/>
      <w:marRight w:val="0"/>
      <w:marTop w:val="0"/>
      <w:marBottom w:val="0"/>
      <w:divBdr>
        <w:top w:val="none" w:sz="0" w:space="0" w:color="auto"/>
        <w:left w:val="none" w:sz="0" w:space="0" w:color="auto"/>
        <w:bottom w:val="none" w:sz="0" w:space="0" w:color="auto"/>
        <w:right w:val="none" w:sz="0" w:space="0" w:color="auto"/>
      </w:divBdr>
      <w:divsChild>
        <w:div w:id="241447865">
          <w:marLeft w:val="120"/>
          <w:marRight w:val="120"/>
          <w:marTop w:val="120"/>
          <w:marBottom w:val="120"/>
          <w:divBdr>
            <w:top w:val="none" w:sz="0" w:space="0" w:color="auto"/>
            <w:left w:val="none" w:sz="0" w:space="0" w:color="auto"/>
            <w:bottom w:val="none" w:sz="0" w:space="0" w:color="auto"/>
            <w:right w:val="none" w:sz="0" w:space="0" w:color="auto"/>
          </w:divBdr>
          <w:divsChild>
            <w:div w:id="9531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1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0448">
          <w:marLeft w:val="0"/>
          <w:marRight w:val="0"/>
          <w:marTop w:val="0"/>
          <w:marBottom w:val="0"/>
          <w:divBdr>
            <w:top w:val="none" w:sz="0" w:space="0" w:color="auto"/>
            <w:left w:val="none" w:sz="0" w:space="0" w:color="auto"/>
            <w:bottom w:val="none" w:sz="0" w:space="0" w:color="auto"/>
            <w:right w:val="none" w:sz="0" w:space="0" w:color="auto"/>
          </w:divBdr>
          <w:divsChild>
            <w:div w:id="636381023">
              <w:marLeft w:val="0"/>
              <w:marRight w:val="0"/>
              <w:marTop w:val="0"/>
              <w:marBottom w:val="0"/>
              <w:divBdr>
                <w:top w:val="none" w:sz="0" w:space="0" w:color="auto"/>
                <w:left w:val="none" w:sz="0" w:space="0" w:color="auto"/>
                <w:bottom w:val="none" w:sz="0" w:space="0" w:color="auto"/>
                <w:right w:val="none" w:sz="0" w:space="0" w:color="auto"/>
              </w:divBdr>
              <w:divsChild>
                <w:div w:id="1485005221">
                  <w:marLeft w:val="0"/>
                  <w:marRight w:val="0"/>
                  <w:marTop w:val="0"/>
                  <w:marBottom w:val="0"/>
                  <w:divBdr>
                    <w:top w:val="none" w:sz="0" w:space="0" w:color="auto"/>
                    <w:left w:val="none" w:sz="0" w:space="0" w:color="auto"/>
                    <w:bottom w:val="none" w:sz="0" w:space="0" w:color="auto"/>
                    <w:right w:val="none" w:sz="0" w:space="0" w:color="auto"/>
                  </w:divBdr>
                  <w:divsChild>
                    <w:div w:id="1046686001">
                      <w:marLeft w:val="0"/>
                      <w:marRight w:val="0"/>
                      <w:marTop w:val="0"/>
                      <w:marBottom w:val="0"/>
                      <w:divBdr>
                        <w:top w:val="none" w:sz="0" w:space="0" w:color="auto"/>
                        <w:left w:val="none" w:sz="0" w:space="0" w:color="auto"/>
                        <w:bottom w:val="none" w:sz="0" w:space="0" w:color="auto"/>
                        <w:right w:val="none" w:sz="0" w:space="0" w:color="auto"/>
                      </w:divBdr>
                      <w:divsChild>
                        <w:div w:id="904491177">
                          <w:marLeft w:val="0"/>
                          <w:marRight w:val="0"/>
                          <w:marTop w:val="0"/>
                          <w:marBottom w:val="0"/>
                          <w:divBdr>
                            <w:top w:val="none" w:sz="0" w:space="0" w:color="auto"/>
                            <w:left w:val="none" w:sz="0" w:space="0" w:color="auto"/>
                            <w:bottom w:val="none" w:sz="0" w:space="0" w:color="auto"/>
                            <w:right w:val="none" w:sz="0" w:space="0" w:color="auto"/>
                          </w:divBdr>
                          <w:divsChild>
                            <w:div w:id="717433100">
                              <w:marLeft w:val="0"/>
                              <w:marRight w:val="0"/>
                              <w:marTop w:val="0"/>
                              <w:marBottom w:val="0"/>
                              <w:divBdr>
                                <w:top w:val="none" w:sz="0" w:space="0" w:color="auto"/>
                                <w:left w:val="none" w:sz="0" w:space="0" w:color="auto"/>
                                <w:bottom w:val="none" w:sz="0" w:space="0" w:color="auto"/>
                                <w:right w:val="none" w:sz="0" w:space="0" w:color="auto"/>
                              </w:divBdr>
                              <w:divsChild>
                                <w:div w:id="829249530">
                                  <w:marLeft w:val="0"/>
                                  <w:marRight w:val="0"/>
                                  <w:marTop w:val="0"/>
                                  <w:marBottom w:val="0"/>
                                  <w:divBdr>
                                    <w:top w:val="none" w:sz="0" w:space="0" w:color="auto"/>
                                    <w:left w:val="none" w:sz="0" w:space="0" w:color="auto"/>
                                    <w:bottom w:val="none" w:sz="0" w:space="0" w:color="auto"/>
                                    <w:right w:val="none" w:sz="0" w:space="0" w:color="auto"/>
                                  </w:divBdr>
                                  <w:divsChild>
                                    <w:div w:id="901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6704">
      <w:bodyDiv w:val="1"/>
      <w:marLeft w:val="0"/>
      <w:marRight w:val="0"/>
      <w:marTop w:val="0"/>
      <w:marBottom w:val="0"/>
      <w:divBdr>
        <w:top w:val="none" w:sz="0" w:space="0" w:color="auto"/>
        <w:left w:val="none" w:sz="0" w:space="0" w:color="auto"/>
        <w:bottom w:val="none" w:sz="0" w:space="0" w:color="auto"/>
        <w:right w:val="none" w:sz="0" w:space="0" w:color="auto"/>
      </w:divBdr>
      <w:divsChild>
        <w:div w:id="2014335427">
          <w:marLeft w:val="0"/>
          <w:marRight w:val="0"/>
          <w:marTop w:val="0"/>
          <w:marBottom w:val="0"/>
          <w:divBdr>
            <w:top w:val="none" w:sz="0" w:space="0" w:color="auto"/>
            <w:left w:val="none" w:sz="0" w:space="0" w:color="auto"/>
            <w:bottom w:val="none" w:sz="0" w:space="0" w:color="auto"/>
            <w:right w:val="none" w:sz="0" w:space="0" w:color="auto"/>
          </w:divBdr>
          <w:divsChild>
            <w:div w:id="1899513113">
              <w:marLeft w:val="0"/>
              <w:marRight w:val="0"/>
              <w:marTop w:val="0"/>
              <w:marBottom w:val="0"/>
              <w:divBdr>
                <w:top w:val="none" w:sz="0" w:space="0" w:color="auto"/>
                <w:left w:val="single" w:sz="6" w:space="0" w:color="E4E4E4"/>
                <w:bottom w:val="none" w:sz="0" w:space="0" w:color="auto"/>
                <w:right w:val="none" w:sz="0" w:space="0" w:color="auto"/>
              </w:divBdr>
              <w:divsChild>
                <w:div w:id="753166339">
                  <w:marLeft w:val="0"/>
                  <w:marRight w:val="0"/>
                  <w:marTop w:val="0"/>
                  <w:marBottom w:val="0"/>
                  <w:divBdr>
                    <w:top w:val="none" w:sz="0" w:space="0" w:color="auto"/>
                    <w:left w:val="none" w:sz="0" w:space="0" w:color="auto"/>
                    <w:bottom w:val="none" w:sz="0" w:space="0" w:color="auto"/>
                    <w:right w:val="none" w:sz="0" w:space="0" w:color="auto"/>
                  </w:divBdr>
                  <w:divsChild>
                    <w:div w:id="410349280">
                      <w:marLeft w:val="0"/>
                      <w:marRight w:val="0"/>
                      <w:marTop w:val="0"/>
                      <w:marBottom w:val="0"/>
                      <w:divBdr>
                        <w:top w:val="none" w:sz="0" w:space="0" w:color="auto"/>
                        <w:left w:val="none" w:sz="0" w:space="0" w:color="auto"/>
                        <w:bottom w:val="none" w:sz="0" w:space="0" w:color="auto"/>
                        <w:right w:val="none" w:sz="0" w:space="0" w:color="auto"/>
                      </w:divBdr>
                      <w:divsChild>
                        <w:div w:id="1872911820">
                          <w:marLeft w:val="0"/>
                          <w:marRight w:val="0"/>
                          <w:marTop w:val="0"/>
                          <w:marBottom w:val="105"/>
                          <w:divBdr>
                            <w:top w:val="none" w:sz="0" w:space="0" w:color="auto"/>
                            <w:left w:val="none" w:sz="0" w:space="0" w:color="auto"/>
                            <w:bottom w:val="none" w:sz="0" w:space="0" w:color="auto"/>
                            <w:right w:val="none" w:sz="0" w:space="0" w:color="auto"/>
                          </w:divBdr>
                          <w:divsChild>
                            <w:div w:id="2034575152">
                              <w:marLeft w:val="0"/>
                              <w:marRight w:val="0"/>
                              <w:marTop w:val="105"/>
                              <w:marBottom w:val="0"/>
                              <w:divBdr>
                                <w:top w:val="none" w:sz="0" w:space="0" w:color="auto"/>
                                <w:left w:val="none" w:sz="0" w:space="0" w:color="auto"/>
                                <w:bottom w:val="none" w:sz="0" w:space="0" w:color="auto"/>
                                <w:right w:val="none" w:sz="0" w:space="0" w:color="auto"/>
                              </w:divBdr>
                            </w:div>
                          </w:divsChild>
                        </w:div>
                        <w:div w:id="102111227">
                          <w:marLeft w:val="0"/>
                          <w:marRight w:val="0"/>
                          <w:marTop w:val="105"/>
                          <w:marBottom w:val="0"/>
                          <w:divBdr>
                            <w:top w:val="none" w:sz="0" w:space="0" w:color="auto"/>
                            <w:left w:val="none" w:sz="0" w:space="0" w:color="auto"/>
                            <w:bottom w:val="none" w:sz="0" w:space="0" w:color="auto"/>
                            <w:right w:val="none" w:sz="0" w:space="0" w:color="auto"/>
                          </w:divBdr>
                          <w:divsChild>
                            <w:div w:id="2012638683">
                              <w:marLeft w:val="75"/>
                              <w:marRight w:val="0"/>
                              <w:marTop w:val="0"/>
                              <w:marBottom w:val="0"/>
                              <w:divBdr>
                                <w:top w:val="none" w:sz="0" w:space="0" w:color="auto"/>
                                <w:left w:val="none" w:sz="0" w:space="0" w:color="auto"/>
                                <w:bottom w:val="none" w:sz="0" w:space="0" w:color="auto"/>
                                <w:right w:val="none" w:sz="0" w:space="0" w:color="auto"/>
                              </w:divBdr>
                              <w:divsChild>
                                <w:div w:id="18390784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178912">
                          <w:marLeft w:val="0"/>
                          <w:marRight w:val="0"/>
                          <w:marTop w:val="0"/>
                          <w:marBottom w:val="105"/>
                          <w:divBdr>
                            <w:top w:val="none" w:sz="0" w:space="0" w:color="auto"/>
                            <w:left w:val="none" w:sz="0" w:space="0" w:color="auto"/>
                            <w:bottom w:val="none" w:sz="0" w:space="0" w:color="auto"/>
                            <w:right w:val="none" w:sz="0" w:space="0" w:color="auto"/>
                          </w:divBdr>
                          <w:divsChild>
                            <w:div w:id="2090154945">
                              <w:marLeft w:val="0"/>
                              <w:marRight w:val="0"/>
                              <w:marTop w:val="105"/>
                              <w:marBottom w:val="0"/>
                              <w:divBdr>
                                <w:top w:val="none" w:sz="0" w:space="0" w:color="auto"/>
                                <w:left w:val="none" w:sz="0" w:space="0" w:color="auto"/>
                                <w:bottom w:val="none" w:sz="0" w:space="0" w:color="auto"/>
                                <w:right w:val="none" w:sz="0" w:space="0" w:color="auto"/>
                              </w:divBdr>
                            </w:div>
                          </w:divsChild>
                        </w:div>
                        <w:div w:id="488715535">
                          <w:marLeft w:val="0"/>
                          <w:marRight w:val="0"/>
                          <w:marTop w:val="0"/>
                          <w:marBottom w:val="105"/>
                          <w:divBdr>
                            <w:top w:val="none" w:sz="0" w:space="0" w:color="auto"/>
                            <w:left w:val="none" w:sz="0" w:space="0" w:color="auto"/>
                            <w:bottom w:val="none" w:sz="0" w:space="0" w:color="auto"/>
                            <w:right w:val="none" w:sz="0" w:space="0" w:color="auto"/>
                          </w:divBdr>
                          <w:divsChild>
                            <w:div w:id="495073078">
                              <w:marLeft w:val="0"/>
                              <w:marRight w:val="0"/>
                              <w:marTop w:val="105"/>
                              <w:marBottom w:val="0"/>
                              <w:divBdr>
                                <w:top w:val="none" w:sz="0" w:space="0" w:color="auto"/>
                                <w:left w:val="none" w:sz="0" w:space="0" w:color="auto"/>
                                <w:bottom w:val="none" w:sz="0" w:space="0" w:color="auto"/>
                                <w:right w:val="none" w:sz="0" w:space="0" w:color="auto"/>
                              </w:divBdr>
                            </w:div>
                          </w:divsChild>
                        </w:div>
                        <w:div w:id="721901268">
                          <w:marLeft w:val="0"/>
                          <w:marRight w:val="0"/>
                          <w:marTop w:val="0"/>
                          <w:marBottom w:val="105"/>
                          <w:divBdr>
                            <w:top w:val="none" w:sz="0" w:space="0" w:color="auto"/>
                            <w:left w:val="none" w:sz="0" w:space="0" w:color="auto"/>
                            <w:bottom w:val="none" w:sz="0" w:space="0" w:color="auto"/>
                            <w:right w:val="none" w:sz="0" w:space="0" w:color="auto"/>
                          </w:divBdr>
                          <w:divsChild>
                            <w:div w:id="3528527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65575">
      <w:bodyDiv w:val="1"/>
      <w:marLeft w:val="0"/>
      <w:marRight w:val="0"/>
      <w:marTop w:val="0"/>
      <w:marBottom w:val="0"/>
      <w:divBdr>
        <w:top w:val="none" w:sz="0" w:space="0" w:color="auto"/>
        <w:left w:val="none" w:sz="0" w:space="0" w:color="auto"/>
        <w:bottom w:val="none" w:sz="0" w:space="0" w:color="auto"/>
        <w:right w:val="none" w:sz="0" w:space="0" w:color="auto"/>
      </w:divBdr>
      <w:divsChild>
        <w:div w:id="588807746">
          <w:marLeft w:val="0"/>
          <w:marRight w:val="0"/>
          <w:marTop w:val="0"/>
          <w:marBottom w:val="0"/>
          <w:divBdr>
            <w:top w:val="none" w:sz="0" w:space="0" w:color="auto"/>
            <w:left w:val="none" w:sz="0" w:space="0" w:color="auto"/>
            <w:bottom w:val="none" w:sz="0" w:space="0" w:color="auto"/>
            <w:right w:val="none" w:sz="0" w:space="0" w:color="auto"/>
          </w:divBdr>
          <w:divsChild>
            <w:div w:id="69349370">
              <w:marLeft w:val="0"/>
              <w:marRight w:val="0"/>
              <w:marTop w:val="0"/>
              <w:marBottom w:val="0"/>
              <w:divBdr>
                <w:top w:val="none" w:sz="0" w:space="0" w:color="auto"/>
                <w:left w:val="single" w:sz="6" w:space="0" w:color="E4E4E4"/>
                <w:bottom w:val="none" w:sz="0" w:space="0" w:color="auto"/>
                <w:right w:val="none" w:sz="0" w:space="0" w:color="auto"/>
              </w:divBdr>
              <w:divsChild>
                <w:div w:id="2078739977">
                  <w:marLeft w:val="0"/>
                  <w:marRight w:val="0"/>
                  <w:marTop w:val="0"/>
                  <w:marBottom w:val="0"/>
                  <w:divBdr>
                    <w:top w:val="none" w:sz="0" w:space="0" w:color="auto"/>
                    <w:left w:val="none" w:sz="0" w:space="0" w:color="auto"/>
                    <w:bottom w:val="none" w:sz="0" w:space="0" w:color="auto"/>
                    <w:right w:val="none" w:sz="0" w:space="0" w:color="auto"/>
                  </w:divBdr>
                  <w:divsChild>
                    <w:div w:id="20517225">
                      <w:marLeft w:val="0"/>
                      <w:marRight w:val="0"/>
                      <w:marTop w:val="0"/>
                      <w:marBottom w:val="0"/>
                      <w:divBdr>
                        <w:top w:val="none" w:sz="0" w:space="0" w:color="auto"/>
                        <w:left w:val="none" w:sz="0" w:space="0" w:color="auto"/>
                        <w:bottom w:val="none" w:sz="0" w:space="0" w:color="auto"/>
                        <w:right w:val="none" w:sz="0" w:space="0" w:color="auto"/>
                      </w:divBdr>
                      <w:divsChild>
                        <w:div w:id="726074068">
                          <w:marLeft w:val="0"/>
                          <w:marRight w:val="0"/>
                          <w:marTop w:val="0"/>
                          <w:marBottom w:val="105"/>
                          <w:divBdr>
                            <w:top w:val="none" w:sz="0" w:space="0" w:color="auto"/>
                            <w:left w:val="none" w:sz="0" w:space="0" w:color="auto"/>
                            <w:bottom w:val="none" w:sz="0" w:space="0" w:color="auto"/>
                            <w:right w:val="none" w:sz="0" w:space="0" w:color="auto"/>
                          </w:divBdr>
                          <w:divsChild>
                            <w:div w:id="933174909">
                              <w:marLeft w:val="0"/>
                              <w:marRight w:val="0"/>
                              <w:marTop w:val="105"/>
                              <w:marBottom w:val="0"/>
                              <w:divBdr>
                                <w:top w:val="none" w:sz="0" w:space="0" w:color="auto"/>
                                <w:left w:val="none" w:sz="0" w:space="0" w:color="auto"/>
                                <w:bottom w:val="none" w:sz="0" w:space="0" w:color="auto"/>
                                <w:right w:val="none" w:sz="0" w:space="0" w:color="auto"/>
                              </w:divBdr>
                              <w:divsChild>
                                <w:div w:id="982001251">
                                  <w:marLeft w:val="0"/>
                                  <w:marRight w:val="105"/>
                                  <w:marTop w:val="0"/>
                                  <w:marBottom w:val="0"/>
                                  <w:divBdr>
                                    <w:top w:val="none" w:sz="0" w:space="0" w:color="auto"/>
                                    <w:left w:val="none" w:sz="0" w:space="0" w:color="auto"/>
                                    <w:bottom w:val="none" w:sz="0" w:space="0" w:color="auto"/>
                                    <w:right w:val="none" w:sz="0" w:space="0" w:color="auto"/>
                                  </w:divBdr>
                                  <w:divsChild>
                                    <w:div w:id="1622227220">
                                      <w:marLeft w:val="0"/>
                                      <w:marRight w:val="0"/>
                                      <w:marTop w:val="0"/>
                                      <w:marBottom w:val="105"/>
                                      <w:divBdr>
                                        <w:top w:val="none" w:sz="0" w:space="0" w:color="auto"/>
                                        <w:left w:val="none" w:sz="0" w:space="0" w:color="auto"/>
                                        <w:bottom w:val="none" w:sz="0" w:space="0" w:color="auto"/>
                                        <w:right w:val="none" w:sz="0" w:space="0" w:color="auto"/>
                                      </w:divBdr>
                                      <w:divsChild>
                                        <w:div w:id="11031089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418855">
      <w:bodyDiv w:val="1"/>
      <w:marLeft w:val="0"/>
      <w:marRight w:val="0"/>
      <w:marTop w:val="0"/>
      <w:marBottom w:val="0"/>
      <w:divBdr>
        <w:top w:val="none" w:sz="0" w:space="0" w:color="auto"/>
        <w:left w:val="none" w:sz="0" w:space="0" w:color="auto"/>
        <w:bottom w:val="none" w:sz="0" w:space="0" w:color="auto"/>
        <w:right w:val="none" w:sz="0" w:space="0" w:color="auto"/>
      </w:divBdr>
      <w:divsChild>
        <w:div w:id="966163137">
          <w:marLeft w:val="0"/>
          <w:marRight w:val="0"/>
          <w:marTop w:val="100"/>
          <w:marBottom w:val="100"/>
          <w:divBdr>
            <w:top w:val="none" w:sz="0" w:space="0" w:color="auto"/>
            <w:left w:val="none" w:sz="0" w:space="0" w:color="auto"/>
            <w:bottom w:val="none" w:sz="0" w:space="0" w:color="auto"/>
            <w:right w:val="none" w:sz="0" w:space="0" w:color="auto"/>
          </w:divBdr>
          <w:divsChild>
            <w:div w:id="2138838726">
              <w:marLeft w:val="0"/>
              <w:marRight w:val="0"/>
              <w:marTop w:val="100"/>
              <w:marBottom w:val="100"/>
              <w:divBdr>
                <w:top w:val="none" w:sz="0" w:space="0" w:color="auto"/>
                <w:left w:val="none" w:sz="0" w:space="0" w:color="auto"/>
                <w:bottom w:val="none" w:sz="0" w:space="0" w:color="auto"/>
                <w:right w:val="none" w:sz="0" w:space="0" w:color="auto"/>
              </w:divBdr>
              <w:divsChild>
                <w:div w:id="1098677096">
                  <w:marLeft w:val="0"/>
                  <w:marRight w:val="0"/>
                  <w:marTop w:val="0"/>
                  <w:marBottom w:val="0"/>
                  <w:divBdr>
                    <w:top w:val="none" w:sz="0" w:space="0" w:color="auto"/>
                    <w:left w:val="none" w:sz="0" w:space="0" w:color="auto"/>
                    <w:bottom w:val="none" w:sz="0" w:space="0" w:color="auto"/>
                    <w:right w:val="none" w:sz="0" w:space="0" w:color="auto"/>
                  </w:divBdr>
                  <w:divsChild>
                    <w:div w:id="319623201">
                      <w:marLeft w:val="0"/>
                      <w:marRight w:val="0"/>
                      <w:marTop w:val="270"/>
                      <w:marBottom w:val="0"/>
                      <w:divBdr>
                        <w:top w:val="none" w:sz="0" w:space="0" w:color="auto"/>
                        <w:left w:val="none" w:sz="0" w:space="0" w:color="auto"/>
                        <w:bottom w:val="none" w:sz="0" w:space="0" w:color="auto"/>
                        <w:right w:val="none" w:sz="0" w:space="0" w:color="auto"/>
                      </w:divBdr>
                      <w:divsChild>
                        <w:div w:id="1756591680">
                          <w:marLeft w:val="0"/>
                          <w:marRight w:val="0"/>
                          <w:marTop w:val="0"/>
                          <w:marBottom w:val="0"/>
                          <w:divBdr>
                            <w:top w:val="none" w:sz="0" w:space="0" w:color="auto"/>
                            <w:left w:val="none" w:sz="0" w:space="0" w:color="auto"/>
                            <w:bottom w:val="none" w:sz="0" w:space="0" w:color="auto"/>
                            <w:right w:val="none" w:sz="0" w:space="0" w:color="auto"/>
                          </w:divBdr>
                          <w:divsChild>
                            <w:div w:id="96416044">
                              <w:marLeft w:val="-225"/>
                              <w:marRight w:val="0"/>
                              <w:marTop w:val="264"/>
                              <w:marBottom w:val="264"/>
                              <w:divBdr>
                                <w:top w:val="none" w:sz="0" w:space="0" w:color="auto"/>
                                <w:left w:val="none" w:sz="0" w:space="0" w:color="auto"/>
                                <w:bottom w:val="none" w:sz="0" w:space="0" w:color="auto"/>
                                <w:right w:val="single" w:sz="6" w:space="21" w:color="CCCCCC"/>
                              </w:divBdr>
                              <w:divsChild>
                                <w:div w:id="94450720">
                                  <w:marLeft w:val="0"/>
                                  <w:marRight w:val="0"/>
                                  <w:marTop w:val="0"/>
                                  <w:marBottom w:val="0"/>
                                  <w:divBdr>
                                    <w:top w:val="none" w:sz="0" w:space="0" w:color="auto"/>
                                    <w:left w:val="none" w:sz="0" w:space="0" w:color="auto"/>
                                    <w:bottom w:val="none" w:sz="0" w:space="0" w:color="auto"/>
                                    <w:right w:val="none" w:sz="0" w:space="0" w:color="auto"/>
                                  </w:divBdr>
                                </w:div>
                                <w:div w:id="1478449842">
                                  <w:marLeft w:val="0"/>
                                  <w:marRight w:val="0"/>
                                  <w:marTop w:val="0"/>
                                  <w:marBottom w:val="0"/>
                                  <w:divBdr>
                                    <w:top w:val="none" w:sz="0" w:space="0" w:color="auto"/>
                                    <w:left w:val="none" w:sz="0" w:space="0" w:color="auto"/>
                                    <w:bottom w:val="none" w:sz="0" w:space="0" w:color="auto"/>
                                    <w:right w:val="none" w:sz="0" w:space="0" w:color="auto"/>
                                  </w:divBdr>
                                </w:div>
                                <w:div w:id="177739809">
                                  <w:marLeft w:val="0"/>
                                  <w:marRight w:val="0"/>
                                  <w:marTop w:val="0"/>
                                  <w:marBottom w:val="0"/>
                                  <w:divBdr>
                                    <w:top w:val="none" w:sz="0" w:space="0" w:color="auto"/>
                                    <w:left w:val="none" w:sz="0" w:space="0" w:color="auto"/>
                                    <w:bottom w:val="none" w:sz="0" w:space="0" w:color="auto"/>
                                    <w:right w:val="none" w:sz="0" w:space="0" w:color="auto"/>
                                  </w:divBdr>
                                </w:div>
                                <w:div w:id="961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13471">
      <w:bodyDiv w:val="1"/>
      <w:marLeft w:val="0"/>
      <w:marRight w:val="0"/>
      <w:marTop w:val="0"/>
      <w:marBottom w:val="0"/>
      <w:divBdr>
        <w:top w:val="none" w:sz="0" w:space="0" w:color="auto"/>
        <w:left w:val="none" w:sz="0" w:space="0" w:color="auto"/>
        <w:bottom w:val="none" w:sz="0" w:space="0" w:color="auto"/>
        <w:right w:val="none" w:sz="0" w:space="0" w:color="auto"/>
      </w:divBdr>
      <w:divsChild>
        <w:div w:id="106316397">
          <w:marLeft w:val="0"/>
          <w:marRight w:val="0"/>
          <w:marTop w:val="0"/>
          <w:marBottom w:val="0"/>
          <w:divBdr>
            <w:top w:val="none" w:sz="0" w:space="0" w:color="auto"/>
            <w:left w:val="none" w:sz="0" w:space="0" w:color="auto"/>
            <w:bottom w:val="none" w:sz="0" w:space="0" w:color="auto"/>
            <w:right w:val="none" w:sz="0" w:space="0" w:color="auto"/>
          </w:divBdr>
          <w:divsChild>
            <w:div w:id="1893879113">
              <w:marLeft w:val="0"/>
              <w:marRight w:val="0"/>
              <w:marTop w:val="0"/>
              <w:marBottom w:val="0"/>
              <w:divBdr>
                <w:top w:val="none" w:sz="0" w:space="0" w:color="auto"/>
                <w:left w:val="none" w:sz="0" w:space="0" w:color="auto"/>
                <w:bottom w:val="none" w:sz="0" w:space="0" w:color="auto"/>
                <w:right w:val="none" w:sz="0" w:space="0" w:color="auto"/>
              </w:divBdr>
              <w:divsChild>
                <w:div w:id="408236665">
                  <w:marLeft w:val="0"/>
                  <w:marRight w:val="0"/>
                  <w:marTop w:val="0"/>
                  <w:marBottom w:val="0"/>
                  <w:divBdr>
                    <w:top w:val="none" w:sz="0" w:space="0" w:color="auto"/>
                    <w:left w:val="none" w:sz="0" w:space="0" w:color="auto"/>
                    <w:bottom w:val="none" w:sz="0" w:space="0" w:color="auto"/>
                    <w:right w:val="none" w:sz="0" w:space="0" w:color="auto"/>
                  </w:divBdr>
                  <w:divsChild>
                    <w:div w:id="382756969">
                      <w:marLeft w:val="0"/>
                      <w:marRight w:val="0"/>
                      <w:marTop w:val="0"/>
                      <w:marBottom w:val="0"/>
                      <w:divBdr>
                        <w:top w:val="none" w:sz="0" w:space="0" w:color="auto"/>
                        <w:left w:val="none" w:sz="0" w:space="0" w:color="auto"/>
                        <w:bottom w:val="none" w:sz="0" w:space="0" w:color="auto"/>
                        <w:right w:val="none" w:sz="0" w:space="0" w:color="auto"/>
                      </w:divBdr>
                      <w:divsChild>
                        <w:div w:id="203563218">
                          <w:marLeft w:val="0"/>
                          <w:marRight w:val="0"/>
                          <w:marTop w:val="0"/>
                          <w:marBottom w:val="0"/>
                          <w:divBdr>
                            <w:top w:val="none" w:sz="0" w:space="0" w:color="auto"/>
                            <w:left w:val="none" w:sz="0" w:space="0" w:color="auto"/>
                            <w:bottom w:val="none" w:sz="0" w:space="0" w:color="auto"/>
                            <w:right w:val="none" w:sz="0" w:space="0" w:color="auto"/>
                          </w:divBdr>
                          <w:divsChild>
                            <w:div w:id="1317494260">
                              <w:marLeft w:val="0"/>
                              <w:marRight w:val="0"/>
                              <w:marTop w:val="0"/>
                              <w:marBottom w:val="0"/>
                              <w:divBdr>
                                <w:top w:val="none" w:sz="0" w:space="0" w:color="auto"/>
                                <w:left w:val="none" w:sz="0" w:space="0" w:color="auto"/>
                                <w:bottom w:val="none" w:sz="0" w:space="0" w:color="auto"/>
                                <w:right w:val="none" w:sz="0" w:space="0" w:color="auto"/>
                              </w:divBdr>
                              <w:divsChild>
                                <w:div w:id="318658085">
                                  <w:marLeft w:val="0"/>
                                  <w:marRight w:val="0"/>
                                  <w:marTop w:val="0"/>
                                  <w:marBottom w:val="0"/>
                                  <w:divBdr>
                                    <w:top w:val="none" w:sz="0" w:space="0" w:color="auto"/>
                                    <w:left w:val="none" w:sz="0" w:space="0" w:color="auto"/>
                                    <w:bottom w:val="none" w:sz="0" w:space="0" w:color="auto"/>
                                    <w:right w:val="none" w:sz="0" w:space="0" w:color="auto"/>
                                  </w:divBdr>
                                  <w:divsChild>
                                    <w:div w:id="2075733392">
                                      <w:marLeft w:val="0"/>
                                      <w:marRight w:val="0"/>
                                      <w:marTop w:val="0"/>
                                      <w:marBottom w:val="0"/>
                                      <w:divBdr>
                                        <w:top w:val="none" w:sz="0" w:space="0" w:color="auto"/>
                                        <w:left w:val="none" w:sz="0" w:space="0" w:color="auto"/>
                                        <w:bottom w:val="none" w:sz="0" w:space="0" w:color="auto"/>
                                        <w:right w:val="none" w:sz="0" w:space="0" w:color="auto"/>
                                      </w:divBdr>
                                    </w:div>
                                  </w:divsChild>
                                </w:div>
                                <w:div w:id="1821577824">
                                  <w:marLeft w:val="0"/>
                                  <w:marRight w:val="0"/>
                                  <w:marTop w:val="0"/>
                                  <w:marBottom w:val="0"/>
                                  <w:divBdr>
                                    <w:top w:val="none" w:sz="0" w:space="0" w:color="auto"/>
                                    <w:left w:val="none" w:sz="0" w:space="0" w:color="auto"/>
                                    <w:bottom w:val="none" w:sz="0" w:space="0" w:color="auto"/>
                                    <w:right w:val="none" w:sz="0" w:space="0" w:color="auto"/>
                                  </w:divBdr>
                                  <w:divsChild>
                                    <w:div w:id="1469203335">
                                      <w:marLeft w:val="0"/>
                                      <w:marRight w:val="0"/>
                                      <w:marTop w:val="0"/>
                                      <w:marBottom w:val="0"/>
                                      <w:divBdr>
                                        <w:top w:val="none" w:sz="0" w:space="0" w:color="auto"/>
                                        <w:left w:val="none" w:sz="0" w:space="0" w:color="auto"/>
                                        <w:bottom w:val="none" w:sz="0" w:space="0" w:color="auto"/>
                                        <w:right w:val="none" w:sz="0" w:space="0" w:color="auto"/>
                                      </w:divBdr>
                                    </w:div>
                                    <w:div w:id="1169640926">
                                      <w:marLeft w:val="0"/>
                                      <w:marRight w:val="0"/>
                                      <w:marTop w:val="0"/>
                                      <w:marBottom w:val="0"/>
                                      <w:divBdr>
                                        <w:top w:val="none" w:sz="0" w:space="0" w:color="auto"/>
                                        <w:left w:val="none" w:sz="0" w:space="0" w:color="auto"/>
                                        <w:bottom w:val="none" w:sz="0" w:space="0" w:color="auto"/>
                                        <w:right w:val="none" w:sz="0" w:space="0" w:color="auto"/>
                                      </w:divBdr>
                                    </w:div>
                                  </w:divsChild>
                                </w:div>
                                <w:div w:id="813790935">
                                  <w:marLeft w:val="0"/>
                                  <w:marRight w:val="0"/>
                                  <w:marTop w:val="0"/>
                                  <w:marBottom w:val="0"/>
                                  <w:divBdr>
                                    <w:top w:val="none" w:sz="0" w:space="0" w:color="auto"/>
                                    <w:left w:val="none" w:sz="0" w:space="0" w:color="auto"/>
                                    <w:bottom w:val="none" w:sz="0" w:space="0" w:color="auto"/>
                                    <w:right w:val="none" w:sz="0" w:space="0" w:color="auto"/>
                                  </w:divBdr>
                                  <w:divsChild>
                                    <w:div w:id="3464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23393">
      <w:bodyDiv w:val="1"/>
      <w:marLeft w:val="0"/>
      <w:marRight w:val="0"/>
      <w:marTop w:val="0"/>
      <w:marBottom w:val="0"/>
      <w:divBdr>
        <w:top w:val="none" w:sz="0" w:space="0" w:color="auto"/>
        <w:left w:val="none" w:sz="0" w:space="0" w:color="auto"/>
        <w:bottom w:val="none" w:sz="0" w:space="0" w:color="auto"/>
        <w:right w:val="none" w:sz="0" w:space="0" w:color="auto"/>
      </w:divBdr>
      <w:divsChild>
        <w:div w:id="1877691684">
          <w:marLeft w:val="0"/>
          <w:marRight w:val="0"/>
          <w:marTop w:val="0"/>
          <w:marBottom w:val="0"/>
          <w:divBdr>
            <w:top w:val="none" w:sz="0" w:space="0" w:color="auto"/>
            <w:left w:val="none" w:sz="0" w:space="0" w:color="auto"/>
            <w:bottom w:val="none" w:sz="0" w:space="0" w:color="auto"/>
            <w:right w:val="none" w:sz="0" w:space="0" w:color="auto"/>
          </w:divBdr>
          <w:divsChild>
            <w:div w:id="2038921140">
              <w:marLeft w:val="0"/>
              <w:marRight w:val="0"/>
              <w:marTop w:val="0"/>
              <w:marBottom w:val="0"/>
              <w:divBdr>
                <w:top w:val="none" w:sz="0" w:space="0" w:color="auto"/>
                <w:left w:val="single" w:sz="6" w:space="0" w:color="E4E4E4"/>
                <w:bottom w:val="none" w:sz="0" w:space="0" w:color="auto"/>
                <w:right w:val="none" w:sz="0" w:space="0" w:color="auto"/>
              </w:divBdr>
              <w:divsChild>
                <w:div w:id="1259097640">
                  <w:marLeft w:val="0"/>
                  <w:marRight w:val="0"/>
                  <w:marTop w:val="0"/>
                  <w:marBottom w:val="0"/>
                  <w:divBdr>
                    <w:top w:val="none" w:sz="0" w:space="0" w:color="auto"/>
                    <w:left w:val="none" w:sz="0" w:space="0" w:color="auto"/>
                    <w:bottom w:val="none" w:sz="0" w:space="0" w:color="auto"/>
                    <w:right w:val="none" w:sz="0" w:space="0" w:color="auto"/>
                  </w:divBdr>
                  <w:divsChild>
                    <w:div w:id="925723894">
                      <w:marLeft w:val="0"/>
                      <w:marRight w:val="0"/>
                      <w:marTop w:val="0"/>
                      <w:marBottom w:val="0"/>
                      <w:divBdr>
                        <w:top w:val="none" w:sz="0" w:space="0" w:color="auto"/>
                        <w:left w:val="none" w:sz="0" w:space="0" w:color="auto"/>
                        <w:bottom w:val="none" w:sz="0" w:space="0" w:color="auto"/>
                        <w:right w:val="none" w:sz="0" w:space="0" w:color="auto"/>
                      </w:divBdr>
                      <w:divsChild>
                        <w:div w:id="97995422">
                          <w:marLeft w:val="0"/>
                          <w:marRight w:val="0"/>
                          <w:marTop w:val="210"/>
                          <w:marBottom w:val="0"/>
                          <w:divBdr>
                            <w:top w:val="none" w:sz="0" w:space="0" w:color="auto"/>
                            <w:left w:val="none" w:sz="0" w:space="0" w:color="auto"/>
                            <w:bottom w:val="none" w:sz="0" w:space="0" w:color="auto"/>
                            <w:right w:val="none" w:sz="0" w:space="0" w:color="auto"/>
                          </w:divBdr>
                          <w:divsChild>
                            <w:div w:id="197553160">
                              <w:marLeft w:val="0"/>
                              <w:marRight w:val="0"/>
                              <w:marTop w:val="0"/>
                              <w:marBottom w:val="0"/>
                              <w:divBdr>
                                <w:top w:val="none" w:sz="0" w:space="0" w:color="auto"/>
                                <w:left w:val="none" w:sz="0" w:space="0" w:color="auto"/>
                                <w:bottom w:val="none" w:sz="0" w:space="0" w:color="auto"/>
                                <w:right w:val="none" w:sz="0" w:space="0" w:color="auto"/>
                              </w:divBdr>
                              <w:divsChild>
                                <w:div w:id="1916087802">
                                  <w:marLeft w:val="0"/>
                                  <w:marRight w:val="0"/>
                                  <w:marTop w:val="0"/>
                                  <w:marBottom w:val="0"/>
                                  <w:divBdr>
                                    <w:top w:val="none" w:sz="0" w:space="0" w:color="auto"/>
                                    <w:left w:val="none" w:sz="0" w:space="0" w:color="auto"/>
                                    <w:bottom w:val="none" w:sz="0" w:space="0" w:color="auto"/>
                                    <w:right w:val="none" w:sz="0" w:space="0" w:color="auto"/>
                                  </w:divBdr>
                                </w:div>
                                <w:div w:id="54358554">
                                  <w:marLeft w:val="300"/>
                                  <w:marRight w:val="0"/>
                                  <w:marTop w:val="0"/>
                                  <w:marBottom w:val="0"/>
                                  <w:divBdr>
                                    <w:top w:val="none" w:sz="0" w:space="0" w:color="auto"/>
                                    <w:left w:val="none" w:sz="0" w:space="0" w:color="auto"/>
                                    <w:bottom w:val="none" w:sz="0" w:space="0" w:color="auto"/>
                                    <w:right w:val="none" w:sz="0" w:space="0" w:color="auto"/>
                                  </w:divBdr>
                                </w:div>
                                <w:div w:id="1335718487">
                                  <w:marLeft w:val="300"/>
                                  <w:marRight w:val="0"/>
                                  <w:marTop w:val="0"/>
                                  <w:marBottom w:val="0"/>
                                  <w:divBdr>
                                    <w:top w:val="none" w:sz="0" w:space="0" w:color="auto"/>
                                    <w:left w:val="none" w:sz="0" w:space="0" w:color="auto"/>
                                    <w:bottom w:val="none" w:sz="0" w:space="0" w:color="auto"/>
                                    <w:right w:val="none" w:sz="0" w:space="0" w:color="auto"/>
                                  </w:divBdr>
                                </w:div>
                                <w:div w:id="664937003">
                                  <w:marLeft w:val="300"/>
                                  <w:marRight w:val="0"/>
                                  <w:marTop w:val="0"/>
                                  <w:marBottom w:val="0"/>
                                  <w:divBdr>
                                    <w:top w:val="none" w:sz="0" w:space="0" w:color="auto"/>
                                    <w:left w:val="none" w:sz="0" w:space="0" w:color="auto"/>
                                    <w:bottom w:val="none" w:sz="0" w:space="0" w:color="auto"/>
                                    <w:right w:val="none" w:sz="0" w:space="0" w:color="auto"/>
                                  </w:divBdr>
                                </w:div>
                                <w:div w:id="657921589">
                                  <w:marLeft w:val="300"/>
                                  <w:marRight w:val="0"/>
                                  <w:marTop w:val="0"/>
                                  <w:marBottom w:val="0"/>
                                  <w:divBdr>
                                    <w:top w:val="none" w:sz="0" w:space="0" w:color="auto"/>
                                    <w:left w:val="none" w:sz="0" w:space="0" w:color="auto"/>
                                    <w:bottom w:val="none" w:sz="0" w:space="0" w:color="auto"/>
                                    <w:right w:val="none" w:sz="0" w:space="0" w:color="auto"/>
                                  </w:divBdr>
                                </w:div>
                                <w:div w:id="21051503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nexis.com:80/uk/legal/search/enhRunRemoteLink.do?ersKey=23_T17314511630&amp;langcountry=GB&amp;backKey=20_T17314511632&amp;linkInfo=F%23GB%23CH%23tpage%25532%25year%251990%25page%25433%25sel1%251990%25&amp;service=citation&amp;A=0.4980924841247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97A0-3911-40B6-9B65-FEB7B707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Breakey</dc:creator>
  <cp:lastModifiedBy>Breakey</cp:lastModifiedBy>
  <cp:revision>3</cp:revision>
  <cp:lastPrinted>2013-06-05T10:47:00Z</cp:lastPrinted>
  <dcterms:created xsi:type="dcterms:W3CDTF">2013-10-08T08:25:00Z</dcterms:created>
  <dcterms:modified xsi:type="dcterms:W3CDTF">2013-10-08T12:14:00Z</dcterms:modified>
</cp:coreProperties>
</file>