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8227D" w14:textId="4958887D" w:rsidR="003932BC" w:rsidRDefault="0079731E" w:rsidP="0019402E">
      <w:pPr>
        <w:spacing w:line="276" w:lineRule="auto"/>
        <w:jc w:val="center"/>
        <w:outlineLvl w:val="0"/>
        <w:rPr>
          <w:lang w:val="en-GB"/>
        </w:rPr>
      </w:pPr>
      <w:r w:rsidRPr="0040433A">
        <w:rPr>
          <w:lang w:val="en-GB"/>
        </w:rPr>
        <w:t>ASSESSING THE FEASIBILITY OF A BUSINESS AND HUMAN RIGHTS TREATY</w:t>
      </w:r>
    </w:p>
    <w:p w14:paraId="7576A582" w14:textId="77777777" w:rsidR="003932BC" w:rsidRDefault="003932BC" w:rsidP="0019402E">
      <w:pPr>
        <w:spacing w:line="276" w:lineRule="auto"/>
        <w:jc w:val="center"/>
        <w:outlineLvl w:val="0"/>
        <w:rPr>
          <w:lang w:val="en-GB"/>
        </w:rPr>
      </w:pPr>
    </w:p>
    <w:p w14:paraId="0A0F30BC" w14:textId="63B86156" w:rsidR="0057264D" w:rsidRDefault="003932BC" w:rsidP="0019402E">
      <w:pPr>
        <w:spacing w:line="276" w:lineRule="auto"/>
        <w:jc w:val="center"/>
        <w:outlineLvl w:val="0"/>
        <w:rPr>
          <w:lang w:val="en-GB"/>
        </w:rPr>
      </w:pPr>
      <w:r>
        <w:rPr>
          <w:lang w:val="en-GB"/>
        </w:rPr>
        <w:t>Lee McConnell</w:t>
      </w:r>
      <w:r w:rsidR="0057264D">
        <w:rPr>
          <w:rStyle w:val="FootnoteReference"/>
          <w:lang w:val="en-GB"/>
        </w:rPr>
        <w:footnoteReference w:customMarkFollows="1" w:id="1"/>
        <w:t>*</w:t>
      </w:r>
    </w:p>
    <w:p w14:paraId="337B1CD9" w14:textId="77777777" w:rsidR="003932BC" w:rsidRDefault="003932BC" w:rsidP="0019402E">
      <w:pPr>
        <w:spacing w:line="276" w:lineRule="auto"/>
        <w:jc w:val="center"/>
        <w:outlineLvl w:val="0"/>
        <w:rPr>
          <w:lang w:val="en-GB"/>
        </w:rPr>
      </w:pPr>
    </w:p>
    <w:p w14:paraId="5C25134D" w14:textId="1583B775" w:rsidR="003932BC" w:rsidRDefault="003932BC" w:rsidP="003932BC">
      <w:pPr>
        <w:spacing w:line="276" w:lineRule="auto"/>
        <w:jc w:val="both"/>
        <w:outlineLvl w:val="0"/>
        <w:rPr>
          <w:lang w:val="en-GB"/>
        </w:rPr>
      </w:pPr>
      <w:r w:rsidRPr="003932BC">
        <w:rPr>
          <w:b/>
          <w:lang w:val="en-GB"/>
        </w:rPr>
        <w:t>Abstract:</w:t>
      </w:r>
      <w:r w:rsidRPr="003932BC">
        <w:rPr>
          <w:lang w:val="en-GB"/>
        </w:rPr>
        <w:t xml:space="preserve"> In light of a recent shift in dialogue to hard law standards in the domain of business and human rights, this article p</w:t>
      </w:r>
      <w:bookmarkStart w:id="0" w:name="_GoBack"/>
      <w:bookmarkEnd w:id="0"/>
      <w:r w:rsidRPr="003932BC">
        <w:rPr>
          <w:lang w:val="en-GB"/>
        </w:rPr>
        <w:t>rovides an in-depth examination of the viability of a business and human rights treaty. It</w:t>
      </w:r>
      <w:r w:rsidR="00461F0A">
        <w:rPr>
          <w:lang w:val="en-GB"/>
        </w:rPr>
        <w:t xml:space="preserve"> seeks to</w:t>
      </w:r>
      <w:r w:rsidR="00397C0A">
        <w:rPr>
          <w:lang w:val="en-GB"/>
        </w:rPr>
        <w:t xml:space="preserve"> advance</w:t>
      </w:r>
      <w:r w:rsidRPr="003932BC">
        <w:rPr>
          <w:lang w:val="en-GB"/>
        </w:rPr>
        <w:t xml:space="preserve"> a valid </w:t>
      </w:r>
      <w:r w:rsidR="00700BAE">
        <w:rPr>
          <w:lang w:val="en-GB"/>
        </w:rPr>
        <w:t xml:space="preserve">theoretical </w:t>
      </w:r>
      <w:r w:rsidR="00D35290" w:rsidRPr="003932BC">
        <w:rPr>
          <w:lang w:val="en-GB"/>
        </w:rPr>
        <w:t xml:space="preserve">model </w:t>
      </w:r>
      <w:r w:rsidRPr="003932BC">
        <w:rPr>
          <w:lang w:val="en-GB"/>
        </w:rPr>
        <w:t xml:space="preserve">for a treaty </w:t>
      </w:r>
      <w:r w:rsidR="00700BAE">
        <w:rPr>
          <w:lang w:val="en-GB"/>
        </w:rPr>
        <w:t>that</w:t>
      </w:r>
      <w:r w:rsidR="00700BAE" w:rsidRPr="003932BC">
        <w:rPr>
          <w:lang w:val="en-GB"/>
        </w:rPr>
        <w:t xml:space="preserve"> </w:t>
      </w:r>
      <w:r w:rsidRPr="003932BC">
        <w:rPr>
          <w:lang w:val="en-GB"/>
        </w:rPr>
        <w:t>directly addresses non-State actors, explores the allocation of responsibility among multiple duty-bearers, and contemplates the scope, content, and enforcement of the potential obligations. By supplementing this analysis with analogies drawn from existing treaty regimes, the article aims to contribute positively to the normative development of international law in the field.</w:t>
      </w:r>
    </w:p>
    <w:p w14:paraId="69EDF81C" w14:textId="77777777" w:rsidR="003932BC" w:rsidRDefault="003932BC" w:rsidP="003932BC">
      <w:pPr>
        <w:spacing w:line="276" w:lineRule="auto"/>
        <w:jc w:val="both"/>
        <w:outlineLvl w:val="0"/>
        <w:rPr>
          <w:lang w:val="en-GB"/>
        </w:rPr>
      </w:pPr>
    </w:p>
    <w:p w14:paraId="695429A1" w14:textId="4B50DD9A" w:rsidR="003932BC" w:rsidRPr="0040433A" w:rsidRDefault="003932BC" w:rsidP="003932BC">
      <w:pPr>
        <w:spacing w:line="276" w:lineRule="auto"/>
        <w:jc w:val="both"/>
        <w:outlineLvl w:val="0"/>
        <w:rPr>
          <w:lang w:val="en-GB"/>
        </w:rPr>
      </w:pPr>
      <w:r>
        <w:rPr>
          <w:lang w:val="en-GB"/>
        </w:rPr>
        <w:t xml:space="preserve">Keywords: </w:t>
      </w:r>
      <w:r w:rsidRPr="003932BC">
        <w:rPr>
          <w:lang w:val="en-GB"/>
        </w:rPr>
        <w:t>Non-State Actors, Business and Human Rights, International Human Rights, International Law-making, Legal Theory, Pure Theory of Law</w:t>
      </w:r>
      <w:r>
        <w:rPr>
          <w:lang w:val="en-GB"/>
        </w:rPr>
        <w:t>, Formalism</w:t>
      </w:r>
      <w:r w:rsidRPr="003932BC">
        <w:rPr>
          <w:lang w:val="en-GB"/>
        </w:rPr>
        <w:t>, Legal Analogy</w:t>
      </w:r>
    </w:p>
    <w:p w14:paraId="768A346A" w14:textId="7FB92B3A" w:rsidR="00BB5FD0" w:rsidRPr="0040433A" w:rsidRDefault="0079731E" w:rsidP="0040433A">
      <w:pPr>
        <w:pStyle w:val="ListParagraph"/>
        <w:numPr>
          <w:ilvl w:val="0"/>
          <w:numId w:val="11"/>
        </w:numPr>
        <w:spacing w:before="240" w:after="240" w:line="276" w:lineRule="auto"/>
        <w:ind w:left="709" w:hanging="349"/>
        <w:jc w:val="center"/>
        <w:outlineLvl w:val="0"/>
        <w:rPr>
          <w:lang w:val="en-GB"/>
        </w:rPr>
      </w:pPr>
      <w:r w:rsidRPr="0040433A">
        <w:rPr>
          <w:lang w:val="en-GB"/>
        </w:rPr>
        <w:t>INTRODUCTION</w:t>
      </w:r>
    </w:p>
    <w:p w14:paraId="7247EED2" w14:textId="2C6EBCA2" w:rsidR="008070BE" w:rsidRDefault="00737EDA" w:rsidP="0040433A">
      <w:pPr>
        <w:spacing w:line="276" w:lineRule="auto"/>
        <w:jc w:val="both"/>
        <w:rPr>
          <w:lang w:val="en-GB"/>
        </w:rPr>
      </w:pPr>
      <w:r w:rsidRPr="0040433A">
        <w:rPr>
          <w:lang w:val="en-GB"/>
        </w:rPr>
        <w:t xml:space="preserve">The </w:t>
      </w:r>
      <w:r w:rsidR="00F673B1" w:rsidRPr="0040433A">
        <w:rPr>
          <w:lang w:val="en-GB"/>
        </w:rPr>
        <w:t xml:space="preserve">transnational </w:t>
      </w:r>
      <w:r w:rsidRPr="0040433A">
        <w:rPr>
          <w:lang w:val="en-GB"/>
        </w:rPr>
        <w:t xml:space="preserve">operations of </w:t>
      </w:r>
      <w:r w:rsidR="00613569" w:rsidRPr="0040433A">
        <w:rPr>
          <w:lang w:val="en-GB"/>
        </w:rPr>
        <w:t>business actors</w:t>
      </w:r>
      <w:r w:rsidRPr="0040433A">
        <w:rPr>
          <w:lang w:val="en-GB"/>
        </w:rPr>
        <w:t xml:space="preserve"> often give rise to adverse human rights impacts. In light of international phe</w:t>
      </w:r>
      <w:r w:rsidR="00127C1B" w:rsidRPr="0040433A">
        <w:rPr>
          <w:lang w:val="en-GB"/>
        </w:rPr>
        <w:t>nomena such as economic globaliz</w:t>
      </w:r>
      <w:r w:rsidRPr="0040433A">
        <w:rPr>
          <w:lang w:val="en-GB"/>
        </w:rPr>
        <w:t xml:space="preserve">ation, the </w:t>
      </w:r>
      <w:r w:rsidR="00C12898" w:rsidRPr="0040433A">
        <w:rPr>
          <w:lang w:val="en-GB"/>
        </w:rPr>
        <w:t>privatization</w:t>
      </w:r>
      <w:r w:rsidRPr="0040433A">
        <w:rPr>
          <w:lang w:val="en-GB"/>
        </w:rPr>
        <w:t xml:space="preserve"> of warfare and other traditionally governmental functions, </w:t>
      </w:r>
      <w:r w:rsidR="006E2982" w:rsidRPr="0040433A">
        <w:rPr>
          <w:lang w:val="en-GB"/>
        </w:rPr>
        <w:t xml:space="preserve">non-State actors now exert </w:t>
      </w:r>
      <w:r w:rsidRPr="0040433A">
        <w:rPr>
          <w:lang w:val="en-GB"/>
        </w:rPr>
        <w:t xml:space="preserve">significant influence </w:t>
      </w:r>
      <w:r w:rsidR="000C3F5B" w:rsidRPr="0040433A">
        <w:rPr>
          <w:lang w:val="en-GB"/>
        </w:rPr>
        <w:t>o</w:t>
      </w:r>
      <w:r w:rsidR="001B56BD" w:rsidRPr="0040433A">
        <w:rPr>
          <w:lang w:val="en-GB"/>
        </w:rPr>
        <w:t>n</w:t>
      </w:r>
      <w:r w:rsidRPr="0040433A">
        <w:rPr>
          <w:lang w:val="en-GB"/>
        </w:rPr>
        <w:t xml:space="preserve"> public aff</w:t>
      </w:r>
      <w:r w:rsidR="00D82DCF">
        <w:rPr>
          <w:lang w:val="en-GB"/>
        </w:rPr>
        <w:t>airs. By contrast, State power</w:t>
      </w:r>
      <w:r w:rsidRPr="0040433A">
        <w:rPr>
          <w:lang w:val="en-GB"/>
        </w:rPr>
        <w:t xml:space="preserve"> has </w:t>
      </w:r>
      <w:r w:rsidR="006E2982" w:rsidRPr="0040433A">
        <w:rPr>
          <w:lang w:val="en-GB"/>
        </w:rPr>
        <w:t xml:space="preserve">dramatically </w:t>
      </w:r>
      <w:r w:rsidRPr="0040433A">
        <w:rPr>
          <w:lang w:val="en-GB"/>
        </w:rPr>
        <w:t>declined</w:t>
      </w:r>
      <w:r w:rsidR="00C52942">
        <w:rPr>
          <w:lang w:val="en-GB"/>
        </w:rPr>
        <w:t xml:space="preserve"> </w:t>
      </w:r>
      <w:r w:rsidR="008070BE">
        <w:rPr>
          <w:lang w:val="en-GB"/>
        </w:rPr>
        <w:t>over the course of the last century</w:t>
      </w:r>
      <w:r w:rsidRPr="0040433A">
        <w:rPr>
          <w:lang w:val="en-GB"/>
        </w:rPr>
        <w:t xml:space="preserve">, leading to a position of </w:t>
      </w:r>
      <w:r w:rsidR="001B56BD" w:rsidRPr="0040433A">
        <w:rPr>
          <w:lang w:val="en-GB"/>
        </w:rPr>
        <w:t xml:space="preserve">relative </w:t>
      </w:r>
      <w:r w:rsidRPr="0040433A">
        <w:rPr>
          <w:lang w:val="en-GB"/>
        </w:rPr>
        <w:t xml:space="preserve">corporate impunity. </w:t>
      </w:r>
      <w:r w:rsidR="00315F87">
        <w:rPr>
          <w:lang w:val="en-GB"/>
        </w:rPr>
        <w:t>Many developing</w:t>
      </w:r>
      <w:r w:rsidR="008C779C" w:rsidRPr="0040433A">
        <w:rPr>
          <w:lang w:val="en-GB"/>
        </w:rPr>
        <w:t xml:space="preserve"> </w:t>
      </w:r>
      <w:r w:rsidRPr="0040433A">
        <w:rPr>
          <w:lang w:val="en-GB"/>
        </w:rPr>
        <w:t xml:space="preserve">States are </w:t>
      </w:r>
      <w:r w:rsidR="00B92F51" w:rsidRPr="0040433A">
        <w:rPr>
          <w:lang w:val="en-GB"/>
        </w:rPr>
        <w:t>incapable of</w:t>
      </w:r>
      <w:r w:rsidRPr="0040433A">
        <w:rPr>
          <w:lang w:val="en-GB"/>
        </w:rPr>
        <w:t xml:space="preserve"> effectively safeguard</w:t>
      </w:r>
      <w:r w:rsidR="00B92F51" w:rsidRPr="0040433A">
        <w:rPr>
          <w:lang w:val="en-GB"/>
        </w:rPr>
        <w:t>ing</w:t>
      </w:r>
      <w:r w:rsidRPr="0040433A">
        <w:rPr>
          <w:lang w:val="en-GB"/>
        </w:rPr>
        <w:t xml:space="preserve"> the hu</w:t>
      </w:r>
      <w:r w:rsidR="00B92F51" w:rsidRPr="0040433A">
        <w:rPr>
          <w:lang w:val="en-GB"/>
        </w:rPr>
        <w:t>man rights of their populations</w:t>
      </w:r>
      <w:r w:rsidRPr="0040433A">
        <w:rPr>
          <w:lang w:val="en-GB"/>
        </w:rPr>
        <w:t xml:space="preserve"> </w:t>
      </w:r>
      <w:r w:rsidR="00B92F51" w:rsidRPr="0040433A">
        <w:rPr>
          <w:lang w:val="en-GB"/>
        </w:rPr>
        <w:t xml:space="preserve">due to </w:t>
      </w:r>
      <w:r w:rsidRPr="0040433A">
        <w:rPr>
          <w:lang w:val="en-GB"/>
        </w:rPr>
        <w:t>weak governmental and judicial infrastructures</w:t>
      </w:r>
      <w:r w:rsidR="00C52942">
        <w:rPr>
          <w:lang w:val="en-GB"/>
        </w:rPr>
        <w:t xml:space="preserve"> or</w:t>
      </w:r>
      <w:r w:rsidR="00B92F51" w:rsidRPr="0040433A">
        <w:rPr>
          <w:lang w:val="en-GB"/>
        </w:rPr>
        <w:t xml:space="preserve"> corruption</w:t>
      </w:r>
      <w:r w:rsidR="00C52942">
        <w:rPr>
          <w:lang w:val="en-GB"/>
        </w:rPr>
        <w:t>.</w:t>
      </w:r>
      <w:r w:rsidRPr="0040433A">
        <w:rPr>
          <w:lang w:val="en-GB"/>
        </w:rPr>
        <w:t xml:space="preserve"> </w:t>
      </w:r>
      <w:r w:rsidR="00C52942">
        <w:rPr>
          <w:lang w:val="en-GB"/>
        </w:rPr>
        <w:t>Such States may also demonstrate an</w:t>
      </w:r>
      <w:r w:rsidR="00B92F51" w:rsidRPr="0040433A">
        <w:rPr>
          <w:lang w:val="en-GB"/>
        </w:rPr>
        <w:t xml:space="preserve"> unwillingness</w:t>
      </w:r>
      <w:r w:rsidR="00C52942">
        <w:rPr>
          <w:lang w:val="en-GB"/>
        </w:rPr>
        <w:t xml:space="preserve"> to ensure adherence to human rights at the domestic level due to</w:t>
      </w:r>
      <w:r w:rsidRPr="0040433A">
        <w:rPr>
          <w:lang w:val="en-GB"/>
        </w:rPr>
        <w:t xml:space="preserve"> </w:t>
      </w:r>
      <w:r w:rsidR="00C52942">
        <w:rPr>
          <w:lang w:val="en-GB"/>
        </w:rPr>
        <w:t xml:space="preserve">fears that such activity might </w:t>
      </w:r>
      <w:r w:rsidRPr="0040433A">
        <w:rPr>
          <w:lang w:val="en-GB"/>
        </w:rPr>
        <w:t>stem the flow of foreign direct investment (FDI).</w:t>
      </w:r>
      <w:r w:rsidR="008C779C" w:rsidRPr="0040433A">
        <w:rPr>
          <w:lang w:val="en-GB"/>
        </w:rPr>
        <w:t xml:space="preserve"> Western States, which may be capable of providing </w:t>
      </w:r>
      <w:r w:rsidR="001E4A9A" w:rsidRPr="0040433A">
        <w:rPr>
          <w:lang w:val="en-GB"/>
        </w:rPr>
        <w:t xml:space="preserve">procedurally </w:t>
      </w:r>
      <w:r w:rsidR="008C779C" w:rsidRPr="0040433A">
        <w:rPr>
          <w:lang w:val="en-GB"/>
        </w:rPr>
        <w:t>fairer avenues to domestic redress</w:t>
      </w:r>
      <w:r w:rsidR="00C52942">
        <w:rPr>
          <w:lang w:val="en-GB"/>
        </w:rPr>
        <w:t xml:space="preserve"> for </w:t>
      </w:r>
      <w:r w:rsidR="00397C0A">
        <w:rPr>
          <w:lang w:val="en-GB"/>
        </w:rPr>
        <w:t>victims of corporate negligence</w:t>
      </w:r>
      <w:r w:rsidR="008C779C" w:rsidRPr="0040433A">
        <w:rPr>
          <w:lang w:val="en-GB"/>
        </w:rPr>
        <w:t xml:space="preserve">, have proven reluctant to hear cases </w:t>
      </w:r>
      <w:r w:rsidR="0071299C" w:rsidRPr="0040433A">
        <w:rPr>
          <w:lang w:val="en-GB"/>
        </w:rPr>
        <w:t>concerning</w:t>
      </w:r>
      <w:r w:rsidR="008C779C" w:rsidRPr="0040433A">
        <w:rPr>
          <w:lang w:val="en-GB"/>
        </w:rPr>
        <w:t xml:space="preserve"> extraterritorial </w:t>
      </w:r>
      <w:r w:rsidR="0071299C" w:rsidRPr="0040433A">
        <w:rPr>
          <w:lang w:val="en-GB"/>
        </w:rPr>
        <w:t>conduct</w:t>
      </w:r>
      <w:r w:rsidR="008C779C" w:rsidRPr="0040433A">
        <w:rPr>
          <w:lang w:val="en-GB"/>
        </w:rPr>
        <w:t xml:space="preserve">, and the complex corporate structures </w:t>
      </w:r>
      <w:r w:rsidR="00C52942">
        <w:rPr>
          <w:lang w:val="en-GB"/>
        </w:rPr>
        <w:t>established</w:t>
      </w:r>
      <w:r w:rsidR="008C779C" w:rsidRPr="0040433A">
        <w:rPr>
          <w:lang w:val="en-GB"/>
        </w:rPr>
        <w:t xml:space="preserve"> by many business </w:t>
      </w:r>
      <w:r w:rsidR="008A1F24" w:rsidRPr="0040433A">
        <w:rPr>
          <w:lang w:val="en-GB"/>
        </w:rPr>
        <w:t xml:space="preserve">actors often </w:t>
      </w:r>
      <w:r w:rsidR="00397C0A">
        <w:rPr>
          <w:lang w:val="en-GB"/>
        </w:rPr>
        <w:t xml:space="preserve">hinder </w:t>
      </w:r>
      <w:r w:rsidR="008070BE">
        <w:rPr>
          <w:lang w:val="en-GB"/>
        </w:rPr>
        <w:t xml:space="preserve">the success of </w:t>
      </w:r>
      <w:r w:rsidR="008A1F24" w:rsidRPr="0040433A">
        <w:rPr>
          <w:lang w:val="en-GB"/>
        </w:rPr>
        <w:t>domestic litigation</w:t>
      </w:r>
      <w:r w:rsidR="008C779C" w:rsidRPr="0040433A">
        <w:rPr>
          <w:lang w:val="en-GB"/>
        </w:rPr>
        <w:t>.</w:t>
      </w:r>
      <w:r w:rsidRPr="0040433A">
        <w:rPr>
          <w:lang w:val="en-GB"/>
        </w:rPr>
        <w:t xml:space="preserve"> </w:t>
      </w:r>
    </w:p>
    <w:p w14:paraId="45E4BFCB" w14:textId="154ADF82" w:rsidR="0024184C" w:rsidRPr="0040433A" w:rsidRDefault="00397C0A" w:rsidP="00CE20A9">
      <w:pPr>
        <w:spacing w:line="276" w:lineRule="auto"/>
        <w:ind w:firstLine="720"/>
        <w:jc w:val="both"/>
        <w:rPr>
          <w:lang w:val="en-GB"/>
        </w:rPr>
      </w:pPr>
      <w:r>
        <w:rPr>
          <w:lang w:val="en-GB"/>
        </w:rPr>
        <w:t xml:space="preserve">Nonetheless, </w:t>
      </w:r>
      <w:r w:rsidR="00737EDA" w:rsidRPr="0040433A">
        <w:rPr>
          <w:lang w:val="en-GB"/>
        </w:rPr>
        <w:t xml:space="preserve">States </w:t>
      </w:r>
      <w:r w:rsidR="008E6ABB">
        <w:rPr>
          <w:lang w:val="en-GB"/>
        </w:rPr>
        <w:t>remain the primary</w:t>
      </w:r>
      <w:r w:rsidR="00737EDA" w:rsidRPr="0040433A">
        <w:rPr>
          <w:lang w:val="en-GB"/>
        </w:rPr>
        <w:t xml:space="preserve"> </w:t>
      </w:r>
      <w:r w:rsidR="008E6ABB">
        <w:rPr>
          <w:lang w:val="en-GB"/>
        </w:rPr>
        <w:t>addressees of</w:t>
      </w:r>
      <w:r w:rsidR="00737EDA" w:rsidRPr="0040433A">
        <w:rPr>
          <w:lang w:val="en-GB"/>
        </w:rPr>
        <w:t xml:space="preserve"> international human rights obligations. </w:t>
      </w:r>
      <w:r w:rsidR="00B92F51" w:rsidRPr="0040433A">
        <w:rPr>
          <w:lang w:val="en-GB"/>
        </w:rPr>
        <w:t>T</w:t>
      </w:r>
      <w:r w:rsidR="00737EDA" w:rsidRPr="0040433A">
        <w:rPr>
          <w:lang w:val="en-GB"/>
        </w:rPr>
        <w:t xml:space="preserve">he dominant method of advancing the business and human rights agenda at the international level has been via </w:t>
      </w:r>
      <w:r w:rsidR="00A34B9D">
        <w:rPr>
          <w:lang w:val="en-GB"/>
        </w:rPr>
        <w:t xml:space="preserve">non-judicially </w:t>
      </w:r>
      <w:r w:rsidR="00A34B9D">
        <w:rPr>
          <w:lang w:val="en-GB"/>
        </w:rPr>
        <w:lastRenderedPageBreak/>
        <w:t>enforceable soft-law initiatives</w:t>
      </w:r>
      <w:r w:rsidR="008C779C" w:rsidRPr="0040433A">
        <w:rPr>
          <w:lang w:val="en-GB"/>
        </w:rPr>
        <w:t xml:space="preserve"> such as the UN Guiding Principle</w:t>
      </w:r>
      <w:r w:rsidR="007500BE" w:rsidRPr="0040433A">
        <w:rPr>
          <w:lang w:val="en-GB"/>
        </w:rPr>
        <w:t>s on Business and Human Rights</w:t>
      </w:r>
      <w:r w:rsidR="001E4A9A" w:rsidRPr="0040433A">
        <w:rPr>
          <w:lang w:val="en-GB"/>
        </w:rPr>
        <w:t xml:space="preserve"> 2011</w:t>
      </w:r>
      <w:r w:rsidR="00E05649" w:rsidRPr="0040433A">
        <w:rPr>
          <w:lang w:val="en-GB"/>
        </w:rPr>
        <w:t xml:space="preserve"> (UNGPs)</w:t>
      </w:r>
      <w:r w:rsidR="007500BE" w:rsidRPr="0040433A">
        <w:rPr>
          <w:lang w:val="en-GB"/>
        </w:rPr>
        <w:t>,</w:t>
      </w:r>
      <w:r w:rsidR="00B92F51" w:rsidRPr="0040433A">
        <w:rPr>
          <w:lang w:val="en-GB"/>
        </w:rPr>
        <w:t xml:space="preserve"> the </w:t>
      </w:r>
      <w:r w:rsidR="00A34B9D">
        <w:rPr>
          <w:lang w:val="en-GB"/>
        </w:rPr>
        <w:t>efficacy</w:t>
      </w:r>
      <w:r w:rsidR="00AB5230">
        <w:rPr>
          <w:lang w:val="en-GB"/>
        </w:rPr>
        <w:t xml:space="preserve"> of which have</w:t>
      </w:r>
      <w:r w:rsidR="00B92F51" w:rsidRPr="0040433A">
        <w:rPr>
          <w:lang w:val="en-GB"/>
        </w:rPr>
        <w:t xml:space="preserve"> been called into doubt.</w:t>
      </w:r>
      <w:r w:rsidR="00B92F51" w:rsidRPr="0040433A">
        <w:rPr>
          <w:rStyle w:val="FootnoteReference"/>
          <w:sz w:val="24"/>
          <w:lang w:val="en-GB"/>
        </w:rPr>
        <w:footnoteReference w:id="2"/>
      </w:r>
      <w:r w:rsidR="008C779C" w:rsidRPr="0040433A">
        <w:rPr>
          <w:lang w:val="en-GB"/>
        </w:rPr>
        <w:t xml:space="preserve"> Given</w:t>
      </w:r>
      <w:r w:rsidR="0024184C" w:rsidRPr="0040433A">
        <w:rPr>
          <w:lang w:val="en-GB"/>
        </w:rPr>
        <w:t xml:space="preserve"> the failings of regulatory </w:t>
      </w:r>
      <w:r w:rsidR="005D5BB7" w:rsidRPr="0040433A">
        <w:rPr>
          <w:lang w:val="en-GB"/>
        </w:rPr>
        <w:t>regimes</w:t>
      </w:r>
      <w:r w:rsidR="001E4A9A" w:rsidRPr="0040433A">
        <w:rPr>
          <w:lang w:val="en-GB"/>
        </w:rPr>
        <w:t xml:space="preserve"> at both</w:t>
      </w:r>
      <w:r w:rsidR="00D0267B">
        <w:rPr>
          <w:lang w:val="en-GB"/>
        </w:rPr>
        <w:t xml:space="preserve"> the</w:t>
      </w:r>
      <w:r w:rsidR="001E4A9A" w:rsidRPr="0040433A">
        <w:rPr>
          <w:lang w:val="en-GB"/>
        </w:rPr>
        <w:t xml:space="preserve"> </w:t>
      </w:r>
      <w:r w:rsidR="0024184C" w:rsidRPr="0040433A">
        <w:rPr>
          <w:lang w:val="en-GB"/>
        </w:rPr>
        <w:t xml:space="preserve">international and domestic levels, the question has arisen as to whether non-State actors ought to be directly </w:t>
      </w:r>
      <w:r w:rsidR="00D67A19">
        <w:rPr>
          <w:lang w:val="en-GB"/>
        </w:rPr>
        <w:t>subject</w:t>
      </w:r>
      <w:r w:rsidR="00D67A19" w:rsidRPr="0040433A">
        <w:rPr>
          <w:lang w:val="en-GB"/>
        </w:rPr>
        <w:t xml:space="preserve"> </w:t>
      </w:r>
      <w:r w:rsidR="0024184C" w:rsidRPr="0040433A">
        <w:rPr>
          <w:lang w:val="en-GB"/>
        </w:rPr>
        <w:t>to international human rights standards.</w:t>
      </w:r>
      <w:r w:rsidR="00985955" w:rsidRPr="0040433A">
        <w:rPr>
          <w:rStyle w:val="FootnoteReference"/>
          <w:sz w:val="24"/>
          <w:lang w:val="en-GB"/>
        </w:rPr>
        <w:footnoteReference w:id="3"/>
      </w:r>
      <w:r w:rsidR="00926443">
        <w:rPr>
          <w:lang w:val="en-GB"/>
        </w:rPr>
        <w:t xml:space="preserve"> T</w:t>
      </w:r>
      <w:r w:rsidR="0024184C" w:rsidRPr="0040433A">
        <w:rPr>
          <w:lang w:val="en-GB"/>
        </w:rPr>
        <w:t>his matter has</w:t>
      </w:r>
      <w:r w:rsidR="006E2982" w:rsidRPr="0040433A">
        <w:rPr>
          <w:lang w:val="en-GB"/>
        </w:rPr>
        <w:t xml:space="preserve"> </w:t>
      </w:r>
      <w:r w:rsidR="0024184C" w:rsidRPr="0040433A">
        <w:rPr>
          <w:lang w:val="en-GB"/>
        </w:rPr>
        <w:t>been subject to significant debate among scholars</w:t>
      </w:r>
      <w:r w:rsidR="007A253D" w:rsidRPr="0040433A">
        <w:rPr>
          <w:rStyle w:val="FootnoteReference"/>
          <w:sz w:val="24"/>
          <w:lang w:val="en-GB"/>
        </w:rPr>
        <w:footnoteReference w:id="4"/>
      </w:r>
      <w:r w:rsidR="0024184C" w:rsidRPr="0040433A">
        <w:rPr>
          <w:lang w:val="en-GB"/>
        </w:rPr>
        <w:t xml:space="preserve"> and States alike, </w:t>
      </w:r>
      <w:r w:rsidR="0071299C" w:rsidRPr="0040433A">
        <w:rPr>
          <w:lang w:val="en-GB"/>
        </w:rPr>
        <w:t>stimulated</w:t>
      </w:r>
      <w:r w:rsidR="005D5BB7" w:rsidRPr="0040433A">
        <w:rPr>
          <w:lang w:val="en-GB"/>
        </w:rPr>
        <w:t xml:space="preserve"> </w:t>
      </w:r>
      <w:r w:rsidR="00E630F0" w:rsidRPr="0040433A">
        <w:rPr>
          <w:lang w:val="en-GB"/>
        </w:rPr>
        <w:t xml:space="preserve">in part </w:t>
      </w:r>
      <w:r w:rsidR="005D5BB7" w:rsidRPr="0040433A">
        <w:rPr>
          <w:lang w:val="en-GB"/>
        </w:rPr>
        <w:t xml:space="preserve">by the submissions </w:t>
      </w:r>
      <w:r w:rsidR="00E630F0" w:rsidRPr="0040433A">
        <w:rPr>
          <w:lang w:val="en-GB"/>
        </w:rPr>
        <w:t>of</w:t>
      </w:r>
      <w:r w:rsidR="005D5BB7" w:rsidRPr="0040433A">
        <w:rPr>
          <w:lang w:val="en-GB"/>
        </w:rPr>
        <w:t xml:space="preserve"> Ecuador at the 2</w:t>
      </w:r>
      <w:r w:rsidR="00135BDA" w:rsidRPr="0040433A">
        <w:rPr>
          <w:lang w:val="en-GB"/>
        </w:rPr>
        <w:t>4</w:t>
      </w:r>
      <w:r w:rsidR="005D5BB7" w:rsidRPr="0040433A">
        <w:rPr>
          <w:vertAlign w:val="superscript"/>
          <w:lang w:val="en-GB"/>
        </w:rPr>
        <w:t>th</w:t>
      </w:r>
      <w:r w:rsidR="005D5BB7" w:rsidRPr="0040433A">
        <w:rPr>
          <w:lang w:val="en-GB"/>
        </w:rPr>
        <w:t xml:space="preserve"> session of the Human Rights Council in 2013, whe</w:t>
      </w:r>
      <w:r w:rsidR="00471CDD">
        <w:rPr>
          <w:lang w:val="en-GB"/>
        </w:rPr>
        <w:t>n</w:t>
      </w:r>
      <w:r w:rsidR="005D5BB7" w:rsidRPr="0040433A">
        <w:rPr>
          <w:lang w:val="en-GB"/>
        </w:rPr>
        <w:t xml:space="preserve"> a directly binding </w:t>
      </w:r>
      <w:r w:rsidR="00BB4A22" w:rsidRPr="0040433A">
        <w:rPr>
          <w:lang w:val="en-GB"/>
        </w:rPr>
        <w:t xml:space="preserve">business and human rights </w:t>
      </w:r>
      <w:r w:rsidR="005D5BB7" w:rsidRPr="0040433A">
        <w:rPr>
          <w:lang w:val="en-GB"/>
        </w:rPr>
        <w:t>treaty was first tabled.</w:t>
      </w:r>
      <w:r w:rsidR="00135BDA" w:rsidRPr="0040433A">
        <w:rPr>
          <w:rStyle w:val="FootnoteReference"/>
          <w:sz w:val="24"/>
          <w:lang w:val="en-GB"/>
        </w:rPr>
        <w:footnoteReference w:id="5"/>
      </w:r>
      <w:r w:rsidR="00B25373" w:rsidRPr="0040433A">
        <w:rPr>
          <w:lang w:val="en-GB"/>
        </w:rPr>
        <w:t xml:space="preserve"> </w:t>
      </w:r>
      <w:r w:rsidR="00B25373" w:rsidRPr="0040433A">
        <w:rPr>
          <w:rFonts w:eastAsia="Times New Roman" w:cs="Times New Roman"/>
          <w:lang w:val="en-GB"/>
        </w:rPr>
        <w:t xml:space="preserve">This was followed in June 2014 by </w:t>
      </w:r>
      <w:r w:rsidR="00970643">
        <w:rPr>
          <w:rFonts w:eastAsia="Times New Roman" w:cs="Times New Roman"/>
          <w:lang w:val="en-GB"/>
        </w:rPr>
        <w:t xml:space="preserve">the adoption of </w:t>
      </w:r>
      <w:r w:rsidR="00B25373" w:rsidRPr="0040433A">
        <w:rPr>
          <w:rFonts w:eastAsia="Times New Roman" w:cs="Times New Roman"/>
          <w:lang w:val="en-GB"/>
        </w:rPr>
        <w:t>a resolution establishing the need for further elaboration of a legally binding treaty directly addressing business actors,</w:t>
      </w:r>
      <w:r w:rsidR="00B25373" w:rsidRPr="0040433A">
        <w:rPr>
          <w:rFonts w:eastAsia="Times New Roman" w:cs="Times New Roman"/>
          <w:vertAlign w:val="superscript"/>
          <w:lang w:val="en-GB"/>
        </w:rPr>
        <w:footnoteReference w:id="6"/>
      </w:r>
      <w:r w:rsidR="00B25373" w:rsidRPr="0040433A">
        <w:rPr>
          <w:rFonts w:eastAsia="Times New Roman" w:cs="Times New Roman"/>
          <w:lang w:val="en-GB"/>
        </w:rPr>
        <w:t xml:space="preserve"> and the establishment of a</w:t>
      </w:r>
      <w:r w:rsidR="00DD69B7" w:rsidRPr="0040433A">
        <w:rPr>
          <w:rFonts w:eastAsia="Times New Roman" w:cs="Times New Roman"/>
          <w:lang w:val="en-GB"/>
        </w:rPr>
        <w:t xml:space="preserve"> dedicated</w:t>
      </w:r>
      <w:r w:rsidR="00B25373" w:rsidRPr="0040433A">
        <w:rPr>
          <w:rFonts w:eastAsia="Times New Roman" w:cs="Times New Roman"/>
          <w:lang w:val="en-GB"/>
        </w:rPr>
        <w:t xml:space="preserve"> </w:t>
      </w:r>
      <w:r w:rsidR="007B0870" w:rsidRPr="0040433A">
        <w:rPr>
          <w:rFonts w:eastAsia="Times New Roman" w:cs="Times New Roman"/>
          <w:lang w:val="en-GB"/>
        </w:rPr>
        <w:t>Open</w:t>
      </w:r>
      <w:r w:rsidR="005A7A92" w:rsidRPr="0040433A">
        <w:rPr>
          <w:rFonts w:eastAsia="Times New Roman" w:cs="Times New Roman"/>
          <w:lang w:val="en-GB"/>
        </w:rPr>
        <w:t>-</w:t>
      </w:r>
      <w:r w:rsidR="007B0870" w:rsidRPr="0040433A">
        <w:rPr>
          <w:rFonts w:eastAsia="Times New Roman" w:cs="Times New Roman"/>
          <w:lang w:val="en-GB"/>
        </w:rPr>
        <w:t xml:space="preserve">Ended </w:t>
      </w:r>
      <w:r w:rsidR="00DD69B7" w:rsidRPr="0040433A">
        <w:rPr>
          <w:rFonts w:eastAsia="Times New Roman" w:cs="Times New Roman"/>
          <w:lang w:val="en-GB"/>
        </w:rPr>
        <w:t>Interg</w:t>
      </w:r>
      <w:r w:rsidR="00B25373" w:rsidRPr="0040433A">
        <w:rPr>
          <w:rFonts w:eastAsia="Times New Roman" w:cs="Times New Roman"/>
          <w:lang w:val="en-GB"/>
        </w:rPr>
        <w:t xml:space="preserve">overnmental Working Group </w:t>
      </w:r>
      <w:r w:rsidR="009B622A">
        <w:rPr>
          <w:rFonts w:eastAsia="Times New Roman" w:cs="Times New Roman"/>
          <w:lang w:val="en-GB"/>
        </w:rPr>
        <w:t>that</w:t>
      </w:r>
      <w:r w:rsidR="00B25373" w:rsidRPr="0040433A">
        <w:rPr>
          <w:rFonts w:eastAsia="Times New Roman" w:cs="Times New Roman"/>
          <w:lang w:val="en-GB"/>
        </w:rPr>
        <w:t xml:space="preserve"> met for the first time in Ju</w:t>
      </w:r>
      <w:r w:rsidR="00064063" w:rsidRPr="0040433A">
        <w:rPr>
          <w:rFonts w:eastAsia="Times New Roman" w:cs="Times New Roman"/>
          <w:lang w:val="en-GB"/>
        </w:rPr>
        <w:t>ly</w:t>
      </w:r>
      <w:r w:rsidR="00B25373" w:rsidRPr="0040433A">
        <w:rPr>
          <w:rFonts w:eastAsia="Times New Roman" w:cs="Times New Roman"/>
          <w:lang w:val="en-GB"/>
        </w:rPr>
        <w:t xml:space="preserve"> 2015.</w:t>
      </w:r>
      <w:r w:rsidR="00483B7C" w:rsidRPr="0040433A">
        <w:rPr>
          <w:rStyle w:val="FootnoteReference"/>
          <w:rFonts w:eastAsia="Times New Roman" w:cs="Times New Roman"/>
          <w:sz w:val="24"/>
          <w:lang w:val="en-GB"/>
        </w:rPr>
        <w:footnoteReference w:id="7"/>
      </w:r>
    </w:p>
    <w:p w14:paraId="7ED34D87" w14:textId="513F8E1D" w:rsidR="0044533D" w:rsidRPr="0040433A" w:rsidRDefault="00970643" w:rsidP="0040433A">
      <w:pPr>
        <w:spacing w:line="276" w:lineRule="auto"/>
        <w:ind w:firstLine="720"/>
        <w:jc w:val="both"/>
        <w:rPr>
          <w:lang w:val="en-GB"/>
        </w:rPr>
      </w:pPr>
      <w:r>
        <w:rPr>
          <w:lang w:val="en-GB"/>
        </w:rPr>
        <w:lastRenderedPageBreak/>
        <w:t>It was t</w:t>
      </w:r>
      <w:r w:rsidR="0044533D" w:rsidRPr="0040433A">
        <w:rPr>
          <w:lang w:val="en-GB"/>
        </w:rPr>
        <w:t xml:space="preserve">he experiences of the State of Ecuador in its turbulent litigation against Chevron </w:t>
      </w:r>
      <w:r>
        <w:rPr>
          <w:lang w:val="en-GB"/>
        </w:rPr>
        <w:t xml:space="preserve">that </w:t>
      </w:r>
      <w:r w:rsidR="008E6ABB">
        <w:rPr>
          <w:lang w:val="en-GB"/>
        </w:rPr>
        <w:t xml:space="preserve">prompted </w:t>
      </w:r>
      <w:r w:rsidR="00C549ED">
        <w:rPr>
          <w:lang w:val="en-GB"/>
        </w:rPr>
        <w:t>this</w:t>
      </w:r>
      <w:r w:rsidR="0044533D" w:rsidRPr="0040433A">
        <w:rPr>
          <w:lang w:val="en-GB"/>
        </w:rPr>
        <w:t xml:space="preserve"> shift </w:t>
      </w:r>
      <w:r w:rsidR="008F4096" w:rsidRPr="0040433A">
        <w:rPr>
          <w:lang w:val="en-GB"/>
        </w:rPr>
        <w:t>back to</w:t>
      </w:r>
      <w:r>
        <w:rPr>
          <w:lang w:val="en-GB"/>
        </w:rPr>
        <w:t>wards</w:t>
      </w:r>
      <w:r w:rsidR="008F4096" w:rsidRPr="0040433A">
        <w:rPr>
          <w:lang w:val="en-GB"/>
        </w:rPr>
        <w:t xml:space="preserve"> hard law standards.</w:t>
      </w:r>
      <w:r w:rsidR="00D125BC" w:rsidRPr="0040433A">
        <w:rPr>
          <w:rStyle w:val="FootnoteReference"/>
          <w:sz w:val="24"/>
          <w:lang w:val="en-GB"/>
        </w:rPr>
        <w:footnoteReference w:id="8"/>
      </w:r>
      <w:r w:rsidR="008F4096" w:rsidRPr="0040433A">
        <w:rPr>
          <w:lang w:val="en-GB"/>
        </w:rPr>
        <w:t xml:space="preserve"> </w:t>
      </w:r>
      <w:r w:rsidR="00081E78">
        <w:rPr>
          <w:lang w:val="en-GB"/>
        </w:rPr>
        <w:t>In addition</w:t>
      </w:r>
      <w:r w:rsidR="001E31E0">
        <w:rPr>
          <w:lang w:val="en-GB"/>
        </w:rPr>
        <w:t xml:space="preserve"> to</w:t>
      </w:r>
      <w:r w:rsidR="00D125BC">
        <w:rPr>
          <w:lang w:val="en-GB"/>
        </w:rPr>
        <w:t xml:space="preserve"> the</w:t>
      </w:r>
      <w:r w:rsidR="001E31E0">
        <w:rPr>
          <w:lang w:val="en-GB"/>
        </w:rPr>
        <w:t xml:space="preserve"> investment arbitration mounted against Ecuador by Chevron,</w:t>
      </w:r>
      <w:r w:rsidR="00081E78">
        <w:rPr>
          <w:lang w:val="en-GB"/>
        </w:rPr>
        <w:t xml:space="preserve"> </w:t>
      </w:r>
      <w:r w:rsidR="00D125BC">
        <w:rPr>
          <w:lang w:val="en-GB"/>
        </w:rPr>
        <w:t>several Ecuadorian villagers have initiated domestic</w:t>
      </w:r>
      <w:r w:rsidR="00081E78">
        <w:rPr>
          <w:lang w:val="en-GB"/>
        </w:rPr>
        <w:t xml:space="preserve"> legal challenge</w:t>
      </w:r>
      <w:r w:rsidR="001E31E0">
        <w:rPr>
          <w:lang w:val="en-GB"/>
        </w:rPr>
        <w:t>s</w:t>
      </w:r>
      <w:r w:rsidR="00D125BC">
        <w:rPr>
          <w:lang w:val="en-GB"/>
        </w:rPr>
        <w:t xml:space="preserve"> </w:t>
      </w:r>
      <w:r w:rsidR="00081E78">
        <w:rPr>
          <w:lang w:val="en-GB"/>
        </w:rPr>
        <w:t>against the corporation.</w:t>
      </w:r>
      <w:r w:rsidR="00081E78" w:rsidRPr="00081E78">
        <w:rPr>
          <w:rStyle w:val="FootnoteReference"/>
          <w:sz w:val="24"/>
          <w:lang w:val="en-GB"/>
        </w:rPr>
        <w:t xml:space="preserve"> </w:t>
      </w:r>
      <w:r w:rsidR="001E31E0">
        <w:rPr>
          <w:lang w:val="en-GB"/>
        </w:rPr>
        <w:t>These</w:t>
      </w:r>
      <w:r w:rsidR="00081E78">
        <w:rPr>
          <w:lang w:val="en-GB"/>
        </w:rPr>
        <w:t xml:space="preserve"> civil action</w:t>
      </w:r>
      <w:r w:rsidR="001E31E0">
        <w:rPr>
          <w:lang w:val="en-GB"/>
        </w:rPr>
        <w:t>s</w:t>
      </w:r>
      <w:r w:rsidR="00081E78">
        <w:rPr>
          <w:lang w:val="en-GB"/>
        </w:rPr>
        <w:t xml:space="preserve"> accused Texaco (later acquired by Chevron) of </w:t>
      </w:r>
      <w:r w:rsidR="0044533D" w:rsidRPr="0040433A">
        <w:rPr>
          <w:lang w:val="en-GB"/>
        </w:rPr>
        <w:t>contaminat</w:t>
      </w:r>
      <w:r w:rsidR="00081E78">
        <w:rPr>
          <w:lang w:val="en-GB"/>
        </w:rPr>
        <w:t>ing</w:t>
      </w:r>
      <w:r w:rsidR="0044533D" w:rsidRPr="0040433A">
        <w:rPr>
          <w:lang w:val="en-GB"/>
        </w:rPr>
        <w:t xml:space="preserve"> an oil field between 1964 and 1992</w:t>
      </w:r>
      <w:r w:rsidR="00081E78">
        <w:rPr>
          <w:lang w:val="en-GB"/>
        </w:rPr>
        <w:t>, giving rise to widespread environmental damage affecting the health and livelihoods of the local population</w:t>
      </w:r>
      <w:r w:rsidR="0044533D" w:rsidRPr="0040433A">
        <w:rPr>
          <w:lang w:val="en-GB"/>
        </w:rPr>
        <w:t xml:space="preserve">. </w:t>
      </w:r>
      <w:r w:rsidR="008F4096" w:rsidRPr="0040433A">
        <w:rPr>
          <w:lang w:val="en-GB"/>
        </w:rPr>
        <w:t>I</w:t>
      </w:r>
      <w:r w:rsidR="006E2982" w:rsidRPr="0040433A">
        <w:rPr>
          <w:lang w:val="en-GB"/>
        </w:rPr>
        <w:t xml:space="preserve">n November 2013 </w:t>
      </w:r>
      <w:r w:rsidR="00327EB1" w:rsidRPr="0040433A">
        <w:rPr>
          <w:lang w:val="en-GB"/>
        </w:rPr>
        <w:t>the</w:t>
      </w:r>
      <w:r w:rsidR="0044533D" w:rsidRPr="0040433A">
        <w:rPr>
          <w:lang w:val="en-GB"/>
        </w:rPr>
        <w:t xml:space="preserve"> Ecuadorian Supreme Court ordered the corporation to pay $9.5 billion USD in compensation.</w:t>
      </w:r>
      <w:r w:rsidR="0044533D" w:rsidRPr="0040433A">
        <w:rPr>
          <w:rStyle w:val="FootnoteReference"/>
          <w:sz w:val="24"/>
          <w:lang w:val="en-GB"/>
        </w:rPr>
        <w:footnoteReference w:id="9"/>
      </w:r>
      <w:r w:rsidR="0044533D" w:rsidRPr="0040433A">
        <w:rPr>
          <w:lang w:val="en-GB"/>
        </w:rPr>
        <w:t xml:space="preserve"> Having initially argued on the basis of the doctrine of </w:t>
      </w:r>
      <w:r w:rsidR="0044533D" w:rsidRPr="0040433A">
        <w:rPr>
          <w:i/>
          <w:lang w:val="en-GB"/>
        </w:rPr>
        <w:t>forum non conveniens</w:t>
      </w:r>
      <w:r w:rsidR="00926443">
        <w:rPr>
          <w:lang w:val="en-GB"/>
        </w:rPr>
        <w:t xml:space="preserve"> that the Ecuadorian c</w:t>
      </w:r>
      <w:r w:rsidR="0044533D" w:rsidRPr="0040433A">
        <w:rPr>
          <w:lang w:val="en-GB"/>
        </w:rPr>
        <w:t xml:space="preserve">ourts were better suited to hear the action, Chevron subsequently </w:t>
      </w:r>
      <w:r w:rsidR="00880585" w:rsidRPr="0040433A">
        <w:rPr>
          <w:lang w:val="en-GB"/>
        </w:rPr>
        <w:t>claimed</w:t>
      </w:r>
      <w:r w:rsidR="0044533D" w:rsidRPr="0040433A">
        <w:rPr>
          <w:lang w:val="en-GB"/>
        </w:rPr>
        <w:t xml:space="preserve"> </w:t>
      </w:r>
      <w:r w:rsidR="00880585" w:rsidRPr="0040433A">
        <w:rPr>
          <w:lang w:val="en-GB"/>
        </w:rPr>
        <w:t xml:space="preserve">that </w:t>
      </w:r>
      <w:r w:rsidR="0044533D" w:rsidRPr="0040433A">
        <w:rPr>
          <w:lang w:val="en-GB"/>
        </w:rPr>
        <w:t>the case should be heard in the US. Consequently, since 2011, there has been addition</w:t>
      </w:r>
      <w:r w:rsidR="00926443">
        <w:rPr>
          <w:lang w:val="en-GB"/>
        </w:rPr>
        <w:t>al protracted litigation in US c</w:t>
      </w:r>
      <w:r w:rsidR="0044533D" w:rsidRPr="0040433A">
        <w:rPr>
          <w:lang w:val="en-GB"/>
        </w:rPr>
        <w:t>ourts</w:t>
      </w:r>
      <w:r w:rsidR="008F4096" w:rsidRPr="0040433A">
        <w:rPr>
          <w:lang w:val="en-GB"/>
        </w:rPr>
        <w:t>,</w:t>
      </w:r>
      <w:r w:rsidR="0044533D" w:rsidRPr="0040433A">
        <w:rPr>
          <w:rStyle w:val="FootnoteReference"/>
          <w:sz w:val="24"/>
          <w:lang w:val="en-GB"/>
        </w:rPr>
        <w:footnoteReference w:id="10"/>
      </w:r>
      <w:r w:rsidR="008F4096" w:rsidRPr="0040433A">
        <w:rPr>
          <w:lang w:val="en-GB"/>
        </w:rPr>
        <w:t xml:space="preserve"> and a </w:t>
      </w:r>
      <w:r w:rsidR="008A333B" w:rsidRPr="0040433A">
        <w:rPr>
          <w:lang w:val="en-GB"/>
        </w:rPr>
        <w:t>2015</w:t>
      </w:r>
      <w:r w:rsidR="008F4096" w:rsidRPr="0040433A">
        <w:rPr>
          <w:lang w:val="en-GB"/>
        </w:rPr>
        <w:t xml:space="preserve"> ruling by the Supreme Court of Canada permitting the claimants to pursue enforcement of the Ecuadorian award </w:t>
      </w:r>
      <w:r w:rsidR="008A333B" w:rsidRPr="0040433A">
        <w:rPr>
          <w:lang w:val="en-GB"/>
        </w:rPr>
        <w:t>o</w:t>
      </w:r>
      <w:r w:rsidR="008F4096" w:rsidRPr="0040433A">
        <w:rPr>
          <w:lang w:val="en-GB"/>
        </w:rPr>
        <w:t xml:space="preserve">f </w:t>
      </w:r>
      <w:r w:rsidR="00A97055" w:rsidRPr="0040433A">
        <w:rPr>
          <w:lang w:val="en-GB"/>
        </w:rPr>
        <w:t>damages under</w:t>
      </w:r>
      <w:r w:rsidR="008F4096" w:rsidRPr="0040433A">
        <w:rPr>
          <w:lang w:val="en-GB"/>
        </w:rPr>
        <w:t xml:space="preserve"> Canadian jurisdiction.</w:t>
      </w:r>
      <w:r w:rsidR="00512429" w:rsidRPr="0040433A">
        <w:rPr>
          <w:rStyle w:val="FootnoteReference"/>
          <w:sz w:val="24"/>
          <w:lang w:val="en-GB"/>
        </w:rPr>
        <w:footnoteReference w:id="11"/>
      </w:r>
      <w:r w:rsidR="0044533D" w:rsidRPr="0040433A">
        <w:rPr>
          <w:lang w:val="en-GB"/>
        </w:rPr>
        <w:t xml:space="preserve"> The legal challenges surrounding this complex case continue, and the </w:t>
      </w:r>
      <w:r w:rsidR="00E630F0" w:rsidRPr="0040433A">
        <w:rPr>
          <w:lang w:val="en-GB"/>
        </w:rPr>
        <w:t xml:space="preserve">final </w:t>
      </w:r>
      <w:r w:rsidR="0044533D" w:rsidRPr="0040433A">
        <w:rPr>
          <w:lang w:val="en-GB"/>
        </w:rPr>
        <w:t>outcome remains uncertain.</w:t>
      </w:r>
      <w:r w:rsidR="00AF4EC5" w:rsidRPr="0040433A">
        <w:rPr>
          <w:rStyle w:val="FootnoteReference"/>
          <w:sz w:val="24"/>
          <w:lang w:val="en-GB"/>
        </w:rPr>
        <w:footnoteReference w:id="12"/>
      </w:r>
    </w:p>
    <w:p w14:paraId="16FB0A89" w14:textId="24ED8EC9" w:rsidR="00B26F19" w:rsidRPr="0040433A" w:rsidRDefault="00654559" w:rsidP="0040433A">
      <w:pPr>
        <w:spacing w:line="276" w:lineRule="auto"/>
        <w:ind w:firstLine="720"/>
        <w:jc w:val="both"/>
        <w:rPr>
          <w:lang w:val="en-GB"/>
        </w:rPr>
      </w:pPr>
      <w:r w:rsidRPr="0040433A">
        <w:rPr>
          <w:lang w:val="en-GB"/>
        </w:rPr>
        <w:t>Th</w:t>
      </w:r>
      <w:r w:rsidR="00970643">
        <w:rPr>
          <w:lang w:val="en-GB"/>
        </w:rPr>
        <w:t>is</w:t>
      </w:r>
      <w:r w:rsidR="001E31E0">
        <w:rPr>
          <w:lang w:val="en-GB"/>
        </w:rPr>
        <w:t xml:space="preserve"> context</w:t>
      </w:r>
      <w:r w:rsidR="00970643">
        <w:rPr>
          <w:lang w:val="en-GB"/>
        </w:rPr>
        <w:t xml:space="preserve"> </w:t>
      </w:r>
      <w:r w:rsidRPr="0040433A">
        <w:rPr>
          <w:lang w:val="en-GB"/>
        </w:rPr>
        <w:t>notwithstanding, the aim of this article is not to argue the m</w:t>
      </w:r>
      <w:r w:rsidR="00926443">
        <w:rPr>
          <w:lang w:val="en-GB"/>
        </w:rPr>
        <w:t xml:space="preserve">erits or demerits of a </w:t>
      </w:r>
      <w:r w:rsidR="00BB4A22" w:rsidRPr="0040433A">
        <w:rPr>
          <w:lang w:val="en-GB"/>
        </w:rPr>
        <w:t xml:space="preserve">business and human rights </w:t>
      </w:r>
      <w:r w:rsidRPr="0040433A">
        <w:rPr>
          <w:lang w:val="en-GB"/>
        </w:rPr>
        <w:t xml:space="preserve">treaty. Rather, it will respond </w:t>
      </w:r>
      <w:r w:rsidR="000A13D4">
        <w:rPr>
          <w:lang w:val="en-GB"/>
        </w:rPr>
        <w:t xml:space="preserve">in detail </w:t>
      </w:r>
      <w:r w:rsidRPr="0040433A">
        <w:rPr>
          <w:lang w:val="en-GB"/>
        </w:rPr>
        <w:t xml:space="preserve">to four key factors </w:t>
      </w:r>
      <w:r w:rsidR="00426DA0">
        <w:rPr>
          <w:lang w:val="en-GB"/>
        </w:rPr>
        <w:t>that</w:t>
      </w:r>
      <w:r w:rsidR="00E630F0" w:rsidRPr="0040433A">
        <w:rPr>
          <w:lang w:val="en-GB"/>
        </w:rPr>
        <w:t xml:space="preserve"> </w:t>
      </w:r>
      <w:r w:rsidRPr="0040433A">
        <w:rPr>
          <w:lang w:val="en-GB"/>
        </w:rPr>
        <w:t xml:space="preserve">call into question the project’s feasibility. </w:t>
      </w:r>
      <w:r w:rsidR="00767796" w:rsidRPr="0040433A">
        <w:rPr>
          <w:lang w:val="en-GB"/>
        </w:rPr>
        <w:t>In particular</w:t>
      </w:r>
      <w:r w:rsidRPr="0040433A">
        <w:rPr>
          <w:lang w:val="en-GB"/>
        </w:rPr>
        <w:t xml:space="preserve">, it will </w:t>
      </w:r>
      <w:r w:rsidR="001947D5" w:rsidRPr="0040433A">
        <w:rPr>
          <w:lang w:val="en-GB"/>
        </w:rPr>
        <w:t>address</w:t>
      </w:r>
      <w:r w:rsidR="00A10783" w:rsidRPr="0040433A">
        <w:rPr>
          <w:lang w:val="en-GB"/>
        </w:rPr>
        <w:t>:</w:t>
      </w:r>
      <w:r w:rsidRPr="0040433A">
        <w:rPr>
          <w:lang w:val="en-GB"/>
        </w:rPr>
        <w:t xml:space="preserve"> (i) the theoretical basis for the extension of direct international obligations to non-State actors; (ii) </w:t>
      </w:r>
      <w:r w:rsidR="00C1545D" w:rsidRPr="0040433A">
        <w:rPr>
          <w:lang w:val="en-GB"/>
        </w:rPr>
        <w:t xml:space="preserve">the determination of </w:t>
      </w:r>
      <w:r w:rsidR="00A10783" w:rsidRPr="0040433A">
        <w:rPr>
          <w:lang w:val="en-GB"/>
        </w:rPr>
        <w:t>relevant duty</w:t>
      </w:r>
      <w:r w:rsidR="00C1545D" w:rsidRPr="0040433A">
        <w:rPr>
          <w:lang w:val="en-GB"/>
        </w:rPr>
        <w:t>-</w:t>
      </w:r>
      <w:r w:rsidR="00A10783" w:rsidRPr="0040433A">
        <w:rPr>
          <w:lang w:val="en-GB"/>
        </w:rPr>
        <w:t>bearers</w:t>
      </w:r>
      <w:r w:rsidR="009A5D27" w:rsidRPr="0040433A">
        <w:rPr>
          <w:lang w:val="en-GB"/>
        </w:rPr>
        <w:t xml:space="preserve"> and the allocation of responsibility</w:t>
      </w:r>
      <w:r w:rsidRPr="0040433A">
        <w:rPr>
          <w:lang w:val="en-GB"/>
        </w:rPr>
        <w:t>; (iii)</w:t>
      </w:r>
      <w:r w:rsidR="00A10783" w:rsidRPr="0040433A">
        <w:rPr>
          <w:lang w:val="en-GB"/>
        </w:rPr>
        <w:t xml:space="preserve"> the </w:t>
      </w:r>
      <w:r w:rsidR="00F106E5" w:rsidRPr="0040433A">
        <w:rPr>
          <w:lang w:val="en-GB"/>
        </w:rPr>
        <w:t>scope</w:t>
      </w:r>
      <w:r w:rsidR="00A10783" w:rsidRPr="0040433A">
        <w:rPr>
          <w:lang w:val="en-GB"/>
        </w:rPr>
        <w:t xml:space="preserve"> and limits of the obligations</w:t>
      </w:r>
      <w:r w:rsidRPr="0040433A">
        <w:rPr>
          <w:lang w:val="en-GB"/>
        </w:rPr>
        <w:t xml:space="preserve">; </w:t>
      </w:r>
      <w:r w:rsidR="00C1545D" w:rsidRPr="0040433A">
        <w:rPr>
          <w:lang w:val="en-GB"/>
        </w:rPr>
        <w:t xml:space="preserve">and </w:t>
      </w:r>
      <w:r w:rsidRPr="0040433A">
        <w:rPr>
          <w:lang w:val="en-GB"/>
        </w:rPr>
        <w:t xml:space="preserve">(iv) </w:t>
      </w:r>
      <w:r w:rsidR="008B2341">
        <w:rPr>
          <w:lang w:val="en-GB"/>
        </w:rPr>
        <w:t>remedies and enforcement mechanisms</w:t>
      </w:r>
      <w:r w:rsidRPr="0040433A">
        <w:rPr>
          <w:lang w:val="en-GB"/>
        </w:rPr>
        <w:t>.</w:t>
      </w:r>
      <w:r w:rsidR="00EB5F56" w:rsidRPr="0040433A">
        <w:rPr>
          <w:lang w:val="en-GB"/>
        </w:rPr>
        <w:t xml:space="preserve"> </w:t>
      </w:r>
      <w:r w:rsidR="006E2982" w:rsidRPr="0040433A">
        <w:rPr>
          <w:lang w:val="en-GB"/>
        </w:rPr>
        <w:t>Over</w:t>
      </w:r>
      <w:r w:rsidR="001947D5" w:rsidRPr="0040433A">
        <w:rPr>
          <w:lang w:val="en-GB"/>
        </w:rPr>
        <w:t xml:space="preserve"> the course of this discussion, the potential utility of analogies drawn from existing domestic and international law in surmounting these significant doctrinal </w:t>
      </w:r>
      <w:r w:rsidR="00E630F0" w:rsidRPr="0040433A">
        <w:rPr>
          <w:lang w:val="en-GB"/>
        </w:rPr>
        <w:t>impediments</w:t>
      </w:r>
      <w:r w:rsidR="001947D5" w:rsidRPr="0040433A">
        <w:rPr>
          <w:lang w:val="en-GB"/>
        </w:rPr>
        <w:t xml:space="preserve"> will be demonstrated.</w:t>
      </w:r>
      <w:r w:rsidR="00926443" w:rsidRPr="0040433A">
        <w:rPr>
          <w:rStyle w:val="FootnoteReference"/>
          <w:sz w:val="24"/>
          <w:lang w:val="en-GB"/>
        </w:rPr>
        <w:footnoteReference w:id="13"/>
      </w:r>
      <w:r w:rsidR="001947D5" w:rsidRPr="0040433A">
        <w:rPr>
          <w:lang w:val="en-GB"/>
        </w:rPr>
        <w:t xml:space="preserve"> </w:t>
      </w:r>
      <w:r w:rsidR="00EB5F56" w:rsidRPr="0040433A">
        <w:rPr>
          <w:lang w:val="en-GB"/>
        </w:rPr>
        <w:t xml:space="preserve">In providing a </w:t>
      </w:r>
      <w:r w:rsidR="006E2982" w:rsidRPr="0040433A">
        <w:rPr>
          <w:lang w:val="en-GB"/>
        </w:rPr>
        <w:t>thorough</w:t>
      </w:r>
      <w:r w:rsidR="00EB5F56" w:rsidRPr="0040433A">
        <w:rPr>
          <w:lang w:val="en-GB"/>
        </w:rPr>
        <w:t xml:space="preserve"> examination of these challenges, it is hoped that the study will </w:t>
      </w:r>
      <w:r w:rsidR="00E630F0" w:rsidRPr="0040433A">
        <w:rPr>
          <w:lang w:val="en-GB"/>
        </w:rPr>
        <w:t>advance the</w:t>
      </w:r>
      <w:r w:rsidR="00EB5F56" w:rsidRPr="0040433A">
        <w:rPr>
          <w:lang w:val="en-GB"/>
        </w:rPr>
        <w:t xml:space="preserve"> burgeoning dialogue </w:t>
      </w:r>
      <w:r w:rsidR="007B305B" w:rsidRPr="0040433A">
        <w:rPr>
          <w:lang w:val="en-GB"/>
        </w:rPr>
        <w:t xml:space="preserve">on the topic of </w:t>
      </w:r>
      <w:r w:rsidR="00E630F0" w:rsidRPr="0040433A">
        <w:rPr>
          <w:lang w:val="en-GB"/>
        </w:rPr>
        <w:t xml:space="preserve">direct non-State actor regulation, and contribute </w:t>
      </w:r>
      <w:r w:rsidR="006E2982" w:rsidRPr="0040433A">
        <w:rPr>
          <w:lang w:val="en-GB"/>
        </w:rPr>
        <w:t>positively to the debate surrounding</w:t>
      </w:r>
      <w:r w:rsidR="00EB5F56" w:rsidRPr="0040433A">
        <w:rPr>
          <w:lang w:val="en-GB"/>
        </w:rPr>
        <w:t xml:space="preserve"> </w:t>
      </w:r>
      <w:r w:rsidR="006E2982" w:rsidRPr="0040433A">
        <w:rPr>
          <w:lang w:val="en-GB"/>
        </w:rPr>
        <w:t xml:space="preserve">the </w:t>
      </w:r>
      <w:r w:rsidR="00EB5F56" w:rsidRPr="0040433A">
        <w:rPr>
          <w:lang w:val="en-GB"/>
        </w:rPr>
        <w:t xml:space="preserve">future normative development of international </w:t>
      </w:r>
      <w:r w:rsidR="00833115">
        <w:rPr>
          <w:lang w:val="en-GB"/>
        </w:rPr>
        <w:t xml:space="preserve">human rights </w:t>
      </w:r>
      <w:r w:rsidR="00EB5F56" w:rsidRPr="0040433A">
        <w:rPr>
          <w:lang w:val="en-GB"/>
        </w:rPr>
        <w:t>law.</w:t>
      </w:r>
      <w:r w:rsidR="00B26F19" w:rsidRPr="0040433A">
        <w:rPr>
          <w:lang w:val="en-GB"/>
        </w:rPr>
        <w:t xml:space="preserve"> </w:t>
      </w:r>
    </w:p>
    <w:p w14:paraId="6034E6B0" w14:textId="488B6DAA" w:rsidR="00C22B7A" w:rsidRPr="0040433A" w:rsidRDefault="00926443" w:rsidP="0040433A">
      <w:pPr>
        <w:pStyle w:val="Heading1"/>
        <w:numPr>
          <w:ilvl w:val="0"/>
          <w:numId w:val="11"/>
        </w:numPr>
        <w:spacing w:line="276" w:lineRule="auto"/>
        <w:ind w:hanging="371"/>
        <w:rPr>
          <w:b w:val="0"/>
          <w:szCs w:val="24"/>
          <w:lang w:val="en-GB"/>
        </w:rPr>
      </w:pPr>
      <w:r>
        <w:rPr>
          <w:b w:val="0"/>
          <w:szCs w:val="24"/>
          <w:lang w:val="en-GB"/>
        </w:rPr>
        <w:t>LAYING THE</w:t>
      </w:r>
      <w:r w:rsidR="005B4310" w:rsidRPr="0040433A">
        <w:rPr>
          <w:b w:val="0"/>
          <w:szCs w:val="24"/>
          <w:lang w:val="en-GB"/>
        </w:rPr>
        <w:t xml:space="preserve"> </w:t>
      </w:r>
      <w:r w:rsidR="00924E8B" w:rsidRPr="0040433A">
        <w:rPr>
          <w:b w:val="0"/>
          <w:szCs w:val="24"/>
          <w:lang w:val="en-GB"/>
        </w:rPr>
        <w:t xml:space="preserve">THEORETICAL FOUNDATIONS </w:t>
      </w:r>
      <w:r w:rsidR="0079731E" w:rsidRPr="0040433A">
        <w:rPr>
          <w:b w:val="0"/>
          <w:szCs w:val="24"/>
          <w:lang w:val="en-GB"/>
        </w:rPr>
        <w:t>F</w:t>
      </w:r>
      <w:r w:rsidR="00924E8B" w:rsidRPr="0040433A">
        <w:rPr>
          <w:b w:val="0"/>
          <w:szCs w:val="24"/>
          <w:lang w:val="en-GB"/>
        </w:rPr>
        <w:t>OR</w:t>
      </w:r>
      <w:r w:rsidR="0079731E" w:rsidRPr="0040433A">
        <w:rPr>
          <w:b w:val="0"/>
          <w:szCs w:val="24"/>
          <w:lang w:val="en-GB"/>
        </w:rPr>
        <w:t xml:space="preserve"> </w:t>
      </w:r>
      <w:r w:rsidR="003436B8">
        <w:rPr>
          <w:b w:val="0"/>
          <w:szCs w:val="24"/>
          <w:lang w:val="en-GB"/>
        </w:rPr>
        <w:t>THE</w:t>
      </w:r>
      <w:r w:rsidR="0079731E" w:rsidRPr="0040433A">
        <w:rPr>
          <w:b w:val="0"/>
          <w:szCs w:val="24"/>
          <w:lang w:val="en-GB"/>
        </w:rPr>
        <w:t xml:space="preserve"> TREATY</w:t>
      </w:r>
    </w:p>
    <w:p w14:paraId="45759BAF" w14:textId="77777777" w:rsidR="00131DB4" w:rsidRPr="0040433A" w:rsidRDefault="00131DB4" w:rsidP="0040433A">
      <w:pPr>
        <w:spacing w:line="276" w:lineRule="auto"/>
        <w:jc w:val="both"/>
        <w:rPr>
          <w:b/>
          <w:lang w:val="en-GB"/>
        </w:rPr>
      </w:pPr>
    </w:p>
    <w:p w14:paraId="2766C09B" w14:textId="5DE188B8" w:rsidR="00812236" w:rsidRPr="0040433A" w:rsidRDefault="009D6A74" w:rsidP="00957ADA">
      <w:pPr>
        <w:spacing w:line="276" w:lineRule="auto"/>
        <w:jc w:val="both"/>
        <w:rPr>
          <w:lang w:val="en-GB"/>
        </w:rPr>
      </w:pPr>
      <w:r w:rsidRPr="0040433A">
        <w:rPr>
          <w:lang w:val="en-GB"/>
        </w:rPr>
        <w:t>The first hurdle to the establishment of a business and human rights treaty is conceptual. It demands a robust explanation of the theoretical validity of a treat</w:t>
      </w:r>
      <w:r w:rsidR="0076749B" w:rsidRPr="0040433A">
        <w:rPr>
          <w:lang w:val="en-GB"/>
        </w:rPr>
        <w:t>y</w:t>
      </w:r>
      <w:r w:rsidR="00281FE0">
        <w:rPr>
          <w:lang w:val="en-GB"/>
        </w:rPr>
        <w:t xml:space="preserve"> </w:t>
      </w:r>
      <w:r w:rsidR="00700BAE">
        <w:rPr>
          <w:lang w:val="en-GB"/>
        </w:rPr>
        <w:t>that</w:t>
      </w:r>
      <w:r w:rsidR="00426C1D">
        <w:rPr>
          <w:lang w:val="en-GB"/>
        </w:rPr>
        <w:t xml:space="preserve"> is concluded between States but whose</w:t>
      </w:r>
      <w:r w:rsidR="00426C1D" w:rsidRPr="0040433A">
        <w:rPr>
          <w:lang w:val="en-GB"/>
        </w:rPr>
        <w:t xml:space="preserve"> </w:t>
      </w:r>
      <w:r w:rsidRPr="0040433A">
        <w:rPr>
          <w:lang w:val="en-GB"/>
        </w:rPr>
        <w:t>address</w:t>
      </w:r>
      <w:r w:rsidR="00426C1D">
        <w:rPr>
          <w:lang w:val="en-GB"/>
        </w:rPr>
        <w:t>e</w:t>
      </w:r>
      <w:r w:rsidRPr="0040433A">
        <w:rPr>
          <w:lang w:val="en-GB"/>
        </w:rPr>
        <w:t xml:space="preserve">es </w:t>
      </w:r>
      <w:r w:rsidR="00426C1D">
        <w:rPr>
          <w:lang w:val="en-GB"/>
        </w:rPr>
        <w:t xml:space="preserve">include </w:t>
      </w:r>
      <w:r w:rsidRPr="0040433A">
        <w:rPr>
          <w:lang w:val="en-GB"/>
        </w:rPr>
        <w:t xml:space="preserve">non-State actors. </w:t>
      </w:r>
      <w:r w:rsidR="00417AB9">
        <w:rPr>
          <w:lang w:val="en-GB"/>
        </w:rPr>
        <w:t>Classically, i</w:t>
      </w:r>
      <w:r w:rsidR="00FB6779" w:rsidRPr="0040433A">
        <w:rPr>
          <w:lang w:val="en-GB"/>
        </w:rPr>
        <w:t>nternational law has been perceived as a system governing inter-State relations.</w:t>
      </w:r>
      <w:r w:rsidR="001C554F">
        <w:rPr>
          <w:lang w:val="en-GB"/>
        </w:rPr>
        <w:t xml:space="preserve"> </w:t>
      </w:r>
      <w:r w:rsidR="00950858" w:rsidRPr="0040433A">
        <w:rPr>
          <w:lang w:val="en-GB"/>
        </w:rPr>
        <w:t>Dominant</w:t>
      </w:r>
      <w:r w:rsidR="00A1517D" w:rsidRPr="0040433A">
        <w:rPr>
          <w:lang w:val="en-GB"/>
        </w:rPr>
        <w:t xml:space="preserve"> positivist</w:t>
      </w:r>
      <w:r w:rsidR="00950858" w:rsidRPr="0040433A">
        <w:rPr>
          <w:lang w:val="en-GB"/>
        </w:rPr>
        <w:t xml:space="preserve"> s</w:t>
      </w:r>
      <w:r w:rsidR="00EB5ADA" w:rsidRPr="0040433A">
        <w:rPr>
          <w:lang w:val="en-GB"/>
        </w:rPr>
        <w:t xml:space="preserve">cholarship </w:t>
      </w:r>
      <w:r w:rsidR="00950858" w:rsidRPr="0040433A">
        <w:rPr>
          <w:lang w:val="en-GB"/>
        </w:rPr>
        <w:t>exhibit</w:t>
      </w:r>
      <w:r w:rsidR="00463D72" w:rsidRPr="0040433A">
        <w:rPr>
          <w:lang w:val="en-GB"/>
        </w:rPr>
        <w:t>s</w:t>
      </w:r>
      <w:r w:rsidR="00950858" w:rsidRPr="0040433A">
        <w:rPr>
          <w:lang w:val="en-GB"/>
        </w:rPr>
        <w:t xml:space="preserve"> a general reluctance</w:t>
      </w:r>
      <w:r w:rsidR="00EB5ADA" w:rsidRPr="0040433A">
        <w:rPr>
          <w:lang w:val="en-GB"/>
        </w:rPr>
        <w:t xml:space="preserve"> to </w:t>
      </w:r>
      <w:r w:rsidR="00812236" w:rsidRPr="0040433A">
        <w:rPr>
          <w:lang w:val="en-GB"/>
        </w:rPr>
        <w:t xml:space="preserve">include </w:t>
      </w:r>
      <w:r w:rsidR="00EB5ADA" w:rsidRPr="0040433A">
        <w:rPr>
          <w:lang w:val="en-GB"/>
        </w:rPr>
        <w:t>non-State entities</w:t>
      </w:r>
      <w:r w:rsidR="00812236" w:rsidRPr="0040433A">
        <w:rPr>
          <w:lang w:val="en-GB"/>
        </w:rPr>
        <w:t xml:space="preserve"> as subjects (as opposed to objects) of regulation,</w:t>
      </w:r>
      <w:r w:rsidR="00A1517D" w:rsidRPr="0040433A">
        <w:rPr>
          <w:rStyle w:val="FootnoteReference"/>
          <w:sz w:val="24"/>
          <w:lang w:val="en-GB"/>
        </w:rPr>
        <w:footnoteReference w:id="14"/>
      </w:r>
      <w:r w:rsidR="00812236" w:rsidRPr="0040433A">
        <w:rPr>
          <w:lang w:val="en-GB"/>
        </w:rPr>
        <w:t xml:space="preserve"> despite </w:t>
      </w:r>
      <w:r w:rsidR="00EB5ADA" w:rsidRPr="0040433A">
        <w:rPr>
          <w:lang w:val="en-GB"/>
        </w:rPr>
        <w:t>the increasing public influence of these entities,</w:t>
      </w:r>
      <w:r w:rsidR="00713221" w:rsidRPr="0040433A">
        <w:rPr>
          <w:rStyle w:val="FootnoteReference"/>
          <w:sz w:val="24"/>
          <w:lang w:val="en-GB"/>
        </w:rPr>
        <w:footnoteReference w:id="15"/>
      </w:r>
      <w:r w:rsidR="00EB5ADA" w:rsidRPr="0040433A">
        <w:rPr>
          <w:lang w:val="en-GB"/>
        </w:rPr>
        <w:t xml:space="preserve"> and the</w:t>
      </w:r>
      <w:r w:rsidR="00463D72" w:rsidRPr="0040433A">
        <w:rPr>
          <w:lang w:val="en-GB"/>
        </w:rPr>
        <w:t xml:space="preserve"> substantial</w:t>
      </w:r>
      <w:r w:rsidR="00EB5ADA" w:rsidRPr="0040433A">
        <w:rPr>
          <w:lang w:val="en-GB"/>
        </w:rPr>
        <w:t xml:space="preserve"> decline </w:t>
      </w:r>
      <w:r w:rsidR="001C554F">
        <w:rPr>
          <w:lang w:val="en-GB"/>
        </w:rPr>
        <w:t xml:space="preserve">in </w:t>
      </w:r>
      <w:r w:rsidR="00EB5ADA" w:rsidRPr="0040433A">
        <w:rPr>
          <w:lang w:val="en-GB"/>
        </w:rPr>
        <w:t>State</w:t>
      </w:r>
      <w:r w:rsidR="00207815" w:rsidRPr="0040433A">
        <w:rPr>
          <w:lang w:val="en-GB"/>
        </w:rPr>
        <w:t xml:space="preserve"> power</w:t>
      </w:r>
      <w:r w:rsidR="00EB5ADA" w:rsidRPr="0040433A">
        <w:rPr>
          <w:lang w:val="en-GB"/>
        </w:rPr>
        <w:t>.</w:t>
      </w:r>
      <w:r w:rsidR="00613A2A" w:rsidRPr="0040433A">
        <w:rPr>
          <w:rStyle w:val="FootnoteReference"/>
          <w:sz w:val="24"/>
          <w:lang w:val="en-GB"/>
        </w:rPr>
        <w:footnoteReference w:id="16"/>
      </w:r>
      <w:r w:rsidR="00EB5ADA" w:rsidRPr="0040433A">
        <w:rPr>
          <w:lang w:val="en-GB"/>
        </w:rPr>
        <w:t xml:space="preserve"> One of the core reasons for this hesitance stems from received theoretical </w:t>
      </w:r>
      <w:r w:rsidR="00934EA6" w:rsidRPr="0040433A">
        <w:rPr>
          <w:lang w:val="en-GB"/>
        </w:rPr>
        <w:t>bases</w:t>
      </w:r>
      <w:r w:rsidR="00EB5ADA" w:rsidRPr="0040433A">
        <w:rPr>
          <w:lang w:val="en-GB"/>
        </w:rPr>
        <w:t xml:space="preserve"> of international law.</w:t>
      </w:r>
      <w:r w:rsidR="008E1F12" w:rsidRPr="0040433A">
        <w:rPr>
          <w:rStyle w:val="FootnoteReference"/>
          <w:sz w:val="24"/>
          <w:lang w:val="en-GB"/>
        </w:rPr>
        <w:footnoteReference w:id="17"/>
      </w:r>
      <w:r w:rsidR="00EB5ADA" w:rsidRPr="0040433A">
        <w:rPr>
          <w:lang w:val="en-GB"/>
        </w:rPr>
        <w:t xml:space="preserve"> </w:t>
      </w:r>
      <w:r w:rsidR="00934EA6" w:rsidRPr="0040433A">
        <w:rPr>
          <w:lang w:val="en-GB"/>
        </w:rPr>
        <w:t xml:space="preserve">In line with recent scholarship, </w:t>
      </w:r>
      <w:r w:rsidR="000D7971">
        <w:rPr>
          <w:lang w:val="en-GB"/>
        </w:rPr>
        <w:t>this section argues</w:t>
      </w:r>
      <w:r w:rsidR="00934EA6" w:rsidRPr="0040433A">
        <w:rPr>
          <w:lang w:val="en-GB"/>
        </w:rPr>
        <w:t xml:space="preserve"> that a formalist reading of international legal </w:t>
      </w:r>
      <w:r w:rsidR="000D7971">
        <w:rPr>
          <w:lang w:val="en-GB"/>
        </w:rPr>
        <w:t>personality</w:t>
      </w:r>
      <w:r w:rsidR="00934EA6" w:rsidRPr="0040433A">
        <w:rPr>
          <w:lang w:val="en-GB"/>
        </w:rPr>
        <w:t xml:space="preserve"> may liberat</w:t>
      </w:r>
      <w:r w:rsidR="00CB5641">
        <w:rPr>
          <w:lang w:val="en-GB"/>
        </w:rPr>
        <w:t>e</w:t>
      </w:r>
      <w:r w:rsidR="00934EA6" w:rsidRPr="0040433A">
        <w:rPr>
          <w:lang w:val="en-GB"/>
        </w:rPr>
        <w:t xml:space="preserve"> international law from its classical constraints,</w:t>
      </w:r>
      <w:r w:rsidR="001C554F" w:rsidRPr="0040433A">
        <w:rPr>
          <w:rStyle w:val="FootnoteReference"/>
          <w:sz w:val="24"/>
          <w:lang w:val="en-GB"/>
        </w:rPr>
        <w:footnoteReference w:id="18"/>
      </w:r>
      <w:r w:rsidR="00934EA6" w:rsidRPr="0040433A">
        <w:rPr>
          <w:lang w:val="en-GB"/>
        </w:rPr>
        <w:t xml:space="preserve"> </w:t>
      </w:r>
      <w:r w:rsidR="001C1A62" w:rsidRPr="0040433A">
        <w:rPr>
          <w:lang w:val="en-GB"/>
        </w:rPr>
        <w:t xml:space="preserve">providing a more logical basis for the development of a system of law </w:t>
      </w:r>
      <w:r w:rsidR="00860977">
        <w:rPr>
          <w:lang w:val="en-GB"/>
        </w:rPr>
        <w:t>that</w:t>
      </w:r>
      <w:r w:rsidR="00860977" w:rsidRPr="0040433A">
        <w:rPr>
          <w:lang w:val="en-GB"/>
        </w:rPr>
        <w:t xml:space="preserve"> </w:t>
      </w:r>
      <w:r w:rsidR="001C1A62" w:rsidRPr="0040433A">
        <w:rPr>
          <w:lang w:val="en-GB"/>
        </w:rPr>
        <w:t xml:space="preserve">is open to the direct regulation of non-State actors. </w:t>
      </w:r>
      <w:r w:rsidR="00812236" w:rsidRPr="0040433A">
        <w:rPr>
          <w:lang w:val="en-GB"/>
        </w:rPr>
        <w:t xml:space="preserve">In doing so, </w:t>
      </w:r>
      <w:r w:rsidR="000D7971">
        <w:rPr>
          <w:lang w:val="en-GB"/>
        </w:rPr>
        <w:t>it</w:t>
      </w:r>
      <w:r w:rsidR="00812236" w:rsidRPr="0040433A">
        <w:rPr>
          <w:lang w:val="en-GB"/>
        </w:rPr>
        <w:t xml:space="preserve"> lay</w:t>
      </w:r>
      <w:r w:rsidR="000D7971">
        <w:rPr>
          <w:lang w:val="en-GB"/>
        </w:rPr>
        <w:t>s</w:t>
      </w:r>
      <w:r w:rsidR="00812236" w:rsidRPr="0040433A">
        <w:rPr>
          <w:lang w:val="en-GB"/>
        </w:rPr>
        <w:t xml:space="preserve"> the groundwork for the </w:t>
      </w:r>
      <w:r w:rsidR="00926443">
        <w:rPr>
          <w:lang w:val="en-GB"/>
        </w:rPr>
        <w:t xml:space="preserve">formulation </w:t>
      </w:r>
      <w:r w:rsidR="00812236" w:rsidRPr="0040433A">
        <w:rPr>
          <w:lang w:val="en-GB"/>
        </w:rPr>
        <w:t>of a huma</w:t>
      </w:r>
      <w:r w:rsidR="00926443">
        <w:rPr>
          <w:lang w:val="en-GB"/>
        </w:rPr>
        <w:t xml:space="preserve">n rights treaty </w:t>
      </w:r>
      <w:r w:rsidR="00AD5FF9">
        <w:rPr>
          <w:lang w:val="en-GB"/>
        </w:rPr>
        <w:t>that</w:t>
      </w:r>
      <w:r w:rsidR="00926443">
        <w:rPr>
          <w:lang w:val="en-GB"/>
        </w:rPr>
        <w:t xml:space="preserve"> directly addresses</w:t>
      </w:r>
      <w:r w:rsidR="00146B42" w:rsidRPr="0040433A">
        <w:rPr>
          <w:lang w:val="en-GB"/>
        </w:rPr>
        <w:t xml:space="preserve"> </w:t>
      </w:r>
      <w:r w:rsidR="00F62311" w:rsidRPr="0040433A">
        <w:rPr>
          <w:lang w:val="en-GB"/>
        </w:rPr>
        <w:t>transnational corporations and other business actors</w:t>
      </w:r>
      <w:r w:rsidR="00146B42" w:rsidRPr="0040433A">
        <w:rPr>
          <w:lang w:val="en-GB"/>
        </w:rPr>
        <w:t>.</w:t>
      </w:r>
    </w:p>
    <w:p w14:paraId="6598A343" w14:textId="31254264" w:rsidR="00256A40" w:rsidRPr="0040433A" w:rsidRDefault="00AE6785" w:rsidP="0040433A">
      <w:pPr>
        <w:spacing w:line="276" w:lineRule="auto"/>
        <w:ind w:firstLine="720"/>
        <w:jc w:val="both"/>
        <w:rPr>
          <w:lang w:val="en-GB"/>
        </w:rPr>
      </w:pPr>
      <w:r w:rsidRPr="0040433A">
        <w:rPr>
          <w:lang w:val="en-GB"/>
        </w:rPr>
        <w:t>S</w:t>
      </w:r>
      <w:r w:rsidR="008E1F12" w:rsidRPr="0040433A">
        <w:rPr>
          <w:lang w:val="en-GB"/>
        </w:rPr>
        <w:t>ensitiv</w:t>
      </w:r>
      <w:r w:rsidR="00CB0FDC" w:rsidRPr="0040433A">
        <w:rPr>
          <w:lang w:val="en-GB"/>
        </w:rPr>
        <w:t>ities on</w:t>
      </w:r>
      <w:r w:rsidRPr="0040433A">
        <w:rPr>
          <w:lang w:val="en-GB"/>
        </w:rPr>
        <w:t xml:space="preserve"> the part of</w:t>
      </w:r>
      <w:r w:rsidR="008E1F12" w:rsidRPr="0040433A">
        <w:rPr>
          <w:lang w:val="en-GB"/>
        </w:rPr>
        <w:t xml:space="preserve"> States and </w:t>
      </w:r>
      <w:r w:rsidR="007F0425" w:rsidRPr="0040433A">
        <w:rPr>
          <w:lang w:val="en-GB"/>
        </w:rPr>
        <w:t xml:space="preserve">legal </w:t>
      </w:r>
      <w:r w:rsidR="008E1F12" w:rsidRPr="0040433A">
        <w:rPr>
          <w:lang w:val="en-GB"/>
        </w:rPr>
        <w:t xml:space="preserve">scholars underscore </w:t>
      </w:r>
      <w:r w:rsidR="00D77B3A">
        <w:rPr>
          <w:lang w:val="en-GB"/>
        </w:rPr>
        <w:t xml:space="preserve">the </w:t>
      </w:r>
      <w:r w:rsidR="008E1F12" w:rsidRPr="0040433A">
        <w:rPr>
          <w:lang w:val="en-GB"/>
        </w:rPr>
        <w:t>r</w:t>
      </w:r>
      <w:r w:rsidR="007D2E62" w:rsidRPr="0040433A">
        <w:rPr>
          <w:lang w:val="en-GB"/>
        </w:rPr>
        <w:t xml:space="preserve">eticence </w:t>
      </w:r>
      <w:r w:rsidR="008E1F12" w:rsidRPr="0040433A">
        <w:rPr>
          <w:lang w:val="en-GB"/>
        </w:rPr>
        <w:t xml:space="preserve">to extend international legal personality to non-State actors. </w:t>
      </w:r>
      <w:r w:rsidR="00C86796">
        <w:rPr>
          <w:lang w:val="en-GB"/>
        </w:rPr>
        <w:t>Their</w:t>
      </w:r>
      <w:r w:rsidR="00BB0A9D">
        <w:rPr>
          <w:lang w:val="en-GB"/>
        </w:rPr>
        <w:t xml:space="preserve"> concerns</w:t>
      </w:r>
      <w:r w:rsidR="003849F4" w:rsidRPr="0040433A">
        <w:rPr>
          <w:lang w:val="en-GB"/>
        </w:rPr>
        <w:t xml:space="preserve"> stem from the </w:t>
      </w:r>
      <w:r w:rsidR="00EE1DA7" w:rsidRPr="0040433A">
        <w:rPr>
          <w:lang w:val="en-GB"/>
        </w:rPr>
        <w:t xml:space="preserve">political and legal effects </w:t>
      </w:r>
      <w:r w:rsidR="00B37ABB" w:rsidRPr="0040433A">
        <w:rPr>
          <w:lang w:val="en-GB"/>
        </w:rPr>
        <w:t>perceived to result</w:t>
      </w:r>
      <w:r w:rsidR="00EE1DA7" w:rsidRPr="0040433A">
        <w:rPr>
          <w:lang w:val="en-GB"/>
        </w:rPr>
        <w:t xml:space="preserve"> from the recognition of non-State actors as subjects of international law. The situation is exacerbated by the unhelpful binary </w:t>
      </w:r>
      <w:r w:rsidR="007107F5">
        <w:rPr>
          <w:lang w:val="en-GB"/>
        </w:rPr>
        <w:t>div</w:t>
      </w:r>
      <w:r w:rsidR="005D44C7">
        <w:rPr>
          <w:lang w:val="en-GB"/>
        </w:rPr>
        <w:t xml:space="preserve">ide </w:t>
      </w:r>
      <w:r w:rsidR="00EE1DA7" w:rsidRPr="0040433A">
        <w:rPr>
          <w:lang w:val="en-GB"/>
        </w:rPr>
        <w:t>maintained between ‘State’ and ‘non-State’ entities,</w:t>
      </w:r>
      <w:r w:rsidR="00613A2A" w:rsidRPr="0040433A">
        <w:rPr>
          <w:rStyle w:val="FootnoteReference"/>
          <w:sz w:val="24"/>
          <w:lang w:val="en-GB"/>
        </w:rPr>
        <w:footnoteReference w:id="19"/>
      </w:r>
      <w:r w:rsidR="00EE1DA7" w:rsidRPr="0040433A">
        <w:rPr>
          <w:lang w:val="en-GB"/>
        </w:rPr>
        <w:t xml:space="preserve"> which prompts</w:t>
      </w:r>
      <w:r w:rsidR="00CB0FDC" w:rsidRPr="0040433A">
        <w:rPr>
          <w:lang w:val="en-GB"/>
        </w:rPr>
        <w:t xml:space="preserve"> the</w:t>
      </w:r>
      <w:r w:rsidR="00EE1DA7" w:rsidRPr="0040433A">
        <w:rPr>
          <w:lang w:val="en-GB"/>
        </w:rPr>
        <w:t xml:space="preserve"> concern that if one non-State actor is </w:t>
      </w:r>
      <w:r w:rsidR="00417AB9">
        <w:rPr>
          <w:lang w:val="en-GB"/>
        </w:rPr>
        <w:t>‘</w:t>
      </w:r>
      <w:r w:rsidR="00EE1DA7" w:rsidRPr="0040433A">
        <w:rPr>
          <w:lang w:val="en-GB"/>
        </w:rPr>
        <w:t>imbu</w:t>
      </w:r>
      <w:r w:rsidR="00917151">
        <w:rPr>
          <w:lang w:val="en-GB"/>
        </w:rPr>
        <w:t>ed</w:t>
      </w:r>
      <w:r w:rsidR="00417AB9">
        <w:rPr>
          <w:lang w:val="en-GB"/>
        </w:rPr>
        <w:t>’</w:t>
      </w:r>
      <w:r w:rsidR="00917151">
        <w:rPr>
          <w:lang w:val="en-GB"/>
        </w:rPr>
        <w:t xml:space="preserve"> with legal personality, the same will necessarily follow for</w:t>
      </w:r>
      <w:r w:rsidR="00ED089F" w:rsidRPr="0040433A">
        <w:rPr>
          <w:lang w:val="en-GB"/>
        </w:rPr>
        <w:t xml:space="preserve"> other </w:t>
      </w:r>
      <w:r w:rsidR="004828F7" w:rsidRPr="0040433A">
        <w:rPr>
          <w:lang w:val="en-GB"/>
        </w:rPr>
        <w:t>entities.</w:t>
      </w:r>
      <w:r w:rsidR="00204A20" w:rsidRPr="0040433A">
        <w:rPr>
          <w:rStyle w:val="FootnoteReference"/>
          <w:sz w:val="24"/>
          <w:lang w:val="en-GB"/>
        </w:rPr>
        <w:footnoteReference w:id="20"/>
      </w:r>
      <w:r w:rsidR="004828F7" w:rsidRPr="0040433A">
        <w:rPr>
          <w:lang w:val="en-GB"/>
        </w:rPr>
        <w:t xml:space="preserve"> These </w:t>
      </w:r>
      <w:r w:rsidR="0016242F" w:rsidRPr="0040433A">
        <w:rPr>
          <w:lang w:val="en-GB"/>
        </w:rPr>
        <w:t>anxieties</w:t>
      </w:r>
      <w:r w:rsidR="004828F7" w:rsidRPr="0040433A">
        <w:rPr>
          <w:lang w:val="en-GB"/>
        </w:rPr>
        <w:t xml:space="preserve"> r</w:t>
      </w:r>
      <w:r w:rsidR="00127C1B" w:rsidRPr="0040433A">
        <w:rPr>
          <w:lang w:val="en-GB"/>
        </w:rPr>
        <w:t>egarding the political legitimiz</w:t>
      </w:r>
      <w:r w:rsidR="004828F7" w:rsidRPr="0040433A">
        <w:rPr>
          <w:lang w:val="en-GB"/>
        </w:rPr>
        <w:t xml:space="preserve">ation of non-State actors are directly related to questions </w:t>
      </w:r>
      <w:r w:rsidR="00C409FF" w:rsidRPr="0040433A">
        <w:rPr>
          <w:lang w:val="en-GB"/>
        </w:rPr>
        <w:t>of</w:t>
      </w:r>
      <w:r w:rsidR="004828F7" w:rsidRPr="0040433A">
        <w:rPr>
          <w:lang w:val="en-GB"/>
        </w:rPr>
        <w:t xml:space="preserve"> legal legitimacy,</w:t>
      </w:r>
      <w:r w:rsidR="00F00C98" w:rsidRPr="0040433A">
        <w:rPr>
          <w:rStyle w:val="FootnoteReference"/>
          <w:sz w:val="24"/>
          <w:lang w:val="en-GB"/>
        </w:rPr>
        <w:footnoteReference w:id="21"/>
      </w:r>
      <w:r w:rsidR="004828F7" w:rsidRPr="0040433A">
        <w:rPr>
          <w:lang w:val="en-GB"/>
        </w:rPr>
        <w:t xml:space="preserve"> </w:t>
      </w:r>
      <w:r w:rsidR="001F0948" w:rsidRPr="0040433A">
        <w:rPr>
          <w:lang w:val="en-GB"/>
        </w:rPr>
        <w:t xml:space="preserve">and </w:t>
      </w:r>
      <w:r w:rsidR="004828F7" w:rsidRPr="0040433A">
        <w:rPr>
          <w:lang w:val="en-GB"/>
        </w:rPr>
        <w:t>in particular</w:t>
      </w:r>
      <w:r w:rsidR="001F0948" w:rsidRPr="0040433A">
        <w:rPr>
          <w:lang w:val="en-GB"/>
        </w:rPr>
        <w:t>,</w:t>
      </w:r>
      <w:r w:rsidR="004828F7" w:rsidRPr="0040433A">
        <w:rPr>
          <w:lang w:val="en-GB"/>
        </w:rPr>
        <w:t xml:space="preserve"> theoretical justifications relating to the validity or binding quality of international law. </w:t>
      </w:r>
      <w:r w:rsidR="007C4220" w:rsidRPr="0040433A">
        <w:rPr>
          <w:lang w:val="en-GB"/>
        </w:rPr>
        <w:t xml:space="preserve">Each </w:t>
      </w:r>
      <w:r w:rsidR="00CA76B7" w:rsidRPr="0040433A">
        <w:rPr>
          <w:lang w:val="en-GB"/>
        </w:rPr>
        <w:t>is</w:t>
      </w:r>
      <w:r w:rsidR="007C4220" w:rsidRPr="0040433A">
        <w:rPr>
          <w:lang w:val="en-GB"/>
        </w:rPr>
        <w:t xml:space="preserve"> rooted in the underlying contractarian rationale in which do</w:t>
      </w:r>
      <w:r w:rsidR="00ED089F" w:rsidRPr="0040433A">
        <w:rPr>
          <w:lang w:val="en-GB"/>
        </w:rPr>
        <w:t>minant positivist scholarship remains</w:t>
      </w:r>
      <w:r w:rsidR="007C4220" w:rsidRPr="0040433A">
        <w:rPr>
          <w:lang w:val="en-GB"/>
        </w:rPr>
        <w:t xml:space="preserve"> entrenched.</w:t>
      </w:r>
      <w:r w:rsidR="00F91DCA" w:rsidRPr="0040433A">
        <w:rPr>
          <w:rStyle w:val="FootnoteReference"/>
          <w:sz w:val="24"/>
          <w:lang w:val="en-GB"/>
        </w:rPr>
        <w:footnoteReference w:id="22"/>
      </w:r>
      <w:r w:rsidR="007C4220" w:rsidRPr="0040433A">
        <w:rPr>
          <w:lang w:val="en-GB"/>
        </w:rPr>
        <w:t xml:space="preserve"> </w:t>
      </w:r>
      <w:r w:rsidR="00495810" w:rsidRPr="0040433A">
        <w:rPr>
          <w:lang w:val="en-GB"/>
        </w:rPr>
        <w:t>The origins of this view are</w:t>
      </w:r>
      <w:r w:rsidR="00D93507" w:rsidRPr="0040433A">
        <w:rPr>
          <w:lang w:val="en-GB"/>
        </w:rPr>
        <w:t xml:space="preserve"> readily apparent</w:t>
      </w:r>
      <w:r w:rsidR="00955BBB" w:rsidRPr="0040433A">
        <w:rPr>
          <w:lang w:val="en-GB"/>
        </w:rPr>
        <w:t xml:space="preserve"> in the post-Vattellian scholarship</w:t>
      </w:r>
      <w:r w:rsidR="005B7B6D" w:rsidRPr="0040433A">
        <w:rPr>
          <w:rStyle w:val="FootnoteReference"/>
          <w:sz w:val="24"/>
          <w:lang w:val="en-GB"/>
        </w:rPr>
        <w:footnoteReference w:id="23"/>
      </w:r>
      <w:r w:rsidR="00955BBB" w:rsidRPr="0040433A">
        <w:rPr>
          <w:lang w:val="en-GB"/>
        </w:rPr>
        <w:t xml:space="preserve"> of late-nineteenth and early-twentieth century German</w:t>
      </w:r>
      <w:r w:rsidR="005B7B6D" w:rsidRPr="0040433A">
        <w:rPr>
          <w:rStyle w:val="FootnoteReference"/>
          <w:sz w:val="24"/>
          <w:lang w:val="en-GB"/>
        </w:rPr>
        <w:footnoteReference w:id="24"/>
      </w:r>
      <w:r w:rsidR="00955BBB" w:rsidRPr="0040433A">
        <w:rPr>
          <w:lang w:val="en-GB"/>
        </w:rPr>
        <w:t xml:space="preserve"> and Italian </w:t>
      </w:r>
      <w:r w:rsidR="00495810" w:rsidRPr="0040433A">
        <w:rPr>
          <w:lang w:val="en-GB"/>
        </w:rPr>
        <w:t>scholars</w:t>
      </w:r>
      <w:r w:rsidR="00955BBB" w:rsidRPr="0040433A">
        <w:rPr>
          <w:lang w:val="en-GB"/>
        </w:rPr>
        <w:t>,</w:t>
      </w:r>
      <w:r w:rsidR="005B7B6D" w:rsidRPr="0040433A">
        <w:rPr>
          <w:rStyle w:val="FootnoteReference"/>
          <w:sz w:val="24"/>
          <w:lang w:val="en-GB"/>
        </w:rPr>
        <w:footnoteReference w:id="25"/>
      </w:r>
      <w:r w:rsidR="00D93507" w:rsidRPr="0040433A">
        <w:rPr>
          <w:lang w:val="en-GB"/>
        </w:rPr>
        <w:t xml:space="preserve"> who</w:t>
      </w:r>
      <w:r w:rsidR="00955BBB" w:rsidRPr="0040433A">
        <w:rPr>
          <w:lang w:val="en-GB"/>
        </w:rPr>
        <w:t xml:space="preserve"> came to view the State as factually, socially and historically constituted, possessing pseudo-psychological traits such as a sovereign ‘will’.</w:t>
      </w:r>
      <w:r w:rsidR="005B7B6D" w:rsidRPr="0040433A">
        <w:rPr>
          <w:rStyle w:val="FootnoteReference"/>
          <w:sz w:val="24"/>
          <w:lang w:val="en-GB"/>
        </w:rPr>
        <w:footnoteReference w:id="26"/>
      </w:r>
      <w:r w:rsidR="00FB1132" w:rsidRPr="0040433A">
        <w:rPr>
          <w:lang w:val="en-GB"/>
        </w:rPr>
        <w:t xml:space="preserve"> The State was </w:t>
      </w:r>
      <w:r w:rsidR="00294288">
        <w:rPr>
          <w:lang w:val="en-GB"/>
        </w:rPr>
        <w:t xml:space="preserve">treated as an </w:t>
      </w:r>
      <w:r w:rsidR="00FB1132" w:rsidRPr="0040433A">
        <w:rPr>
          <w:i/>
          <w:lang w:val="en-GB"/>
        </w:rPr>
        <w:t>a priori</w:t>
      </w:r>
      <w:r w:rsidR="004E625F" w:rsidRPr="0040433A">
        <w:rPr>
          <w:i/>
          <w:lang w:val="en-GB"/>
        </w:rPr>
        <w:t xml:space="preserve"> </w:t>
      </w:r>
      <w:r w:rsidR="004E625F" w:rsidRPr="0040433A">
        <w:rPr>
          <w:lang w:val="en-GB"/>
        </w:rPr>
        <w:t>concept</w:t>
      </w:r>
      <w:r w:rsidR="001C554F">
        <w:rPr>
          <w:lang w:val="en-GB"/>
        </w:rPr>
        <w:t>;</w:t>
      </w:r>
      <w:r w:rsidR="004B0DC0" w:rsidRPr="0040433A">
        <w:rPr>
          <w:lang w:val="en-GB"/>
        </w:rPr>
        <w:t xml:space="preserve"> it</w:t>
      </w:r>
      <w:r w:rsidR="00FB1132" w:rsidRPr="0040433A">
        <w:rPr>
          <w:lang w:val="en-GB"/>
        </w:rPr>
        <w:t xml:space="preserve"> precede</w:t>
      </w:r>
      <w:r w:rsidR="004B0DC0" w:rsidRPr="0040433A">
        <w:rPr>
          <w:lang w:val="en-GB"/>
        </w:rPr>
        <w:t>d</w:t>
      </w:r>
      <w:r w:rsidR="00FB1132" w:rsidRPr="0040433A">
        <w:rPr>
          <w:lang w:val="en-GB"/>
        </w:rPr>
        <w:t xml:space="preserve"> the exi</w:t>
      </w:r>
      <w:r w:rsidR="004B0DC0" w:rsidRPr="0040433A">
        <w:rPr>
          <w:lang w:val="en-GB"/>
        </w:rPr>
        <w:t xml:space="preserve">stence of international law, </w:t>
      </w:r>
      <w:r w:rsidR="00FB1132" w:rsidRPr="0040433A">
        <w:rPr>
          <w:lang w:val="en-GB"/>
        </w:rPr>
        <w:t>contribute</w:t>
      </w:r>
      <w:r w:rsidR="004B0DC0" w:rsidRPr="0040433A">
        <w:rPr>
          <w:lang w:val="en-GB"/>
        </w:rPr>
        <w:t>d</w:t>
      </w:r>
      <w:r w:rsidR="00FB1132" w:rsidRPr="0040433A">
        <w:rPr>
          <w:lang w:val="en-GB"/>
        </w:rPr>
        <w:t xml:space="preserve"> to its formulation, and validate</w:t>
      </w:r>
      <w:r w:rsidR="004B0DC0" w:rsidRPr="0040433A">
        <w:rPr>
          <w:lang w:val="en-GB"/>
        </w:rPr>
        <w:t>d</w:t>
      </w:r>
      <w:r w:rsidR="00294288">
        <w:rPr>
          <w:lang w:val="en-GB"/>
        </w:rPr>
        <w:t xml:space="preserve"> it via its consensual will.</w:t>
      </w:r>
      <w:r w:rsidR="004654C8" w:rsidRPr="0040433A">
        <w:rPr>
          <w:rStyle w:val="FootnoteReference"/>
          <w:sz w:val="24"/>
          <w:lang w:val="en-GB"/>
        </w:rPr>
        <w:footnoteReference w:id="27"/>
      </w:r>
    </w:p>
    <w:p w14:paraId="400AE7F5" w14:textId="7E0113D6" w:rsidR="008E1F12" w:rsidRPr="0040433A" w:rsidRDefault="00E34001" w:rsidP="0040433A">
      <w:pPr>
        <w:spacing w:line="276" w:lineRule="auto"/>
        <w:ind w:firstLine="720"/>
        <w:jc w:val="both"/>
        <w:rPr>
          <w:lang w:val="en-GB"/>
        </w:rPr>
      </w:pPr>
      <w:r w:rsidRPr="0040433A">
        <w:rPr>
          <w:lang w:val="en-GB"/>
        </w:rPr>
        <w:t>Thus</w:t>
      </w:r>
      <w:r w:rsidR="00DA44A6" w:rsidRPr="0040433A">
        <w:rPr>
          <w:lang w:val="en-GB"/>
        </w:rPr>
        <w:t>,</w:t>
      </w:r>
      <w:r w:rsidRPr="0040433A">
        <w:rPr>
          <w:lang w:val="en-GB"/>
        </w:rPr>
        <w:t xml:space="preserve"> the </w:t>
      </w:r>
      <w:r w:rsidR="00E6662E" w:rsidRPr="0040433A">
        <w:rPr>
          <w:lang w:val="en-GB"/>
        </w:rPr>
        <w:t>prima</w:t>
      </w:r>
      <w:r w:rsidR="00DA44A6" w:rsidRPr="0040433A">
        <w:rPr>
          <w:lang w:val="en-GB"/>
        </w:rPr>
        <w:t>c</w:t>
      </w:r>
      <w:r w:rsidR="00E6662E" w:rsidRPr="0040433A">
        <w:rPr>
          <w:lang w:val="en-GB"/>
        </w:rPr>
        <w:t>y of States</w:t>
      </w:r>
      <w:r w:rsidRPr="0040433A">
        <w:rPr>
          <w:lang w:val="en-GB"/>
        </w:rPr>
        <w:t xml:space="preserve"> in the international legal system</w:t>
      </w:r>
      <w:r w:rsidR="00E6662E" w:rsidRPr="0040433A">
        <w:rPr>
          <w:lang w:val="en-GB"/>
        </w:rPr>
        <w:t xml:space="preserve"> was codified</w:t>
      </w:r>
      <w:r w:rsidR="000E1D1D" w:rsidRPr="0040433A">
        <w:rPr>
          <w:lang w:val="en-GB"/>
        </w:rPr>
        <w:t xml:space="preserve">, </w:t>
      </w:r>
      <w:r w:rsidR="00771F0E">
        <w:rPr>
          <w:lang w:val="en-GB"/>
        </w:rPr>
        <w:t>despite</w:t>
      </w:r>
      <w:r w:rsidR="000E1D1D" w:rsidRPr="0040433A">
        <w:rPr>
          <w:lang w:val="en-GB"/>
        </w:rPr>
        <w:t xml:space="preserve"> the notable absence of a workable definition of the</w:t>
      </w:r>
      <w:r w:rsidR="00771F0E">
        <w:rPr>
          <w:lang w:val="en-GB"/>
        </w:rPr>
        <w:t>ir</w:t>
      </w:r>
      <w:r w:rsidR="000E1D1D" w:rsidRPr="0040433A">
        <w:rPr>
          <w:lang w:val="en-GB"/>
        </w:rPr>
        <w:t xml:space="preserve"> constituent </w:t>
      </w:r>
      <w:r w:rsidR="00771F0E">
        <w:rPr>
          <w:lang w:val="en-GB"/>
        </w:rPr>
        <w:t xml:space="preserve">empirical </w:t>
      </w:r>
      <w:r w:rsidR="000E1D1D" w:rsidRPr="0040433A">
        <w:rPr>
          <w:lang w:val="en-GB"/>
        </w:rPr>
        <w:t>features.</w:t>
      </w:r>
      <w:r w:rsidR="000E1D1D" w:rsidRPr="0040433A">
        <w:rPr>
          <w:rStyle w:val="FootnoteReference"/>
          <w:sz w:val="24"/>
          <w:lang w:val="en-GB"/>
        </w:rPr>
        <w:footnoteReference w:id="28"/>
      </w:r>
      <w:r w:rsidRPr="0040433A">
        <w:rPr>
          <w:lang w:val="en-GB"/>
        </w:rPr>
        <w:t xml:space="preserve"> </w:t>
      </w:r>
      <w:r w:rsidR="000E1D1D" w:rsidRPr="0040433A">
        <w:rPr>
          <w:lang w:val="en-GB"/>
        </w:rPr>
        <w:t>T</w:t>
      </w:r>
      <w:r w:rsidRPr="0040433A">
        <w:rPr>
          <w:lang w:val="en-GB"/>
        </w:rPr>
        <w:t>he terms ‘subject’, ‘creator’</w:t>
      </w:r>
      <w:r w:rsidR="00DA44A6" w:rsidRPr="0040433A">
        <w:rPr>
          <w:lang w:val="en-GB"/>
        </w:rPr>
        <w:t xml:space="preserve">, </w:t>
      </w:r>
      <w:r w:rsidRPr="0040433A">
        <w:rPr>
          <w:lang w:val="en-GB"/>
        </w:rPr>
        <w:t xml:space="preserve">‘validator’ and ‘enforcer’ became </w:t>
      </w:r>
      <w:r w:rsidR="005814AF" w:rsidRPr="0040433A">
        <w:rPr>
          <w:lang w:val="en-GB"/>
        </w:rPr>
        <w:t xml:space="preserve">effectively </w:t>
      </w:r>
      <w:r w:rsidRPr="0040433A">
        <w:rPr>
          <w:lang w:val="en-GB"/>
        </w:rPr>
        <w:t>synonymous.</w:t>
      </w:r>
      <w:r w:rsidR="00BD6F63" w:rsidRPr="0040433A">
        <w:rPr>
          <w:lang w:val="en-GB"/>
        </w:rPr>
        <w:t xml:space="preserve"> As a result, dominant scholarship conflates the creators </w:t>
      </w:r>
      <w:r w:rsidR="0009431D" w:rsidRPr="0040433A">
        <w:rPr>
          <w:lang w:val="en-GB"/>
        </w:rPr>
        <w:t>of international legal rules with the</w:t>
      </w:r>
      <w:r w:rsidR="00BD6F63" w:rsidRPr="0040433A">
        <w:rPr>
          <w:lang w:val="en-GB"/>
        </w:rPr>
        <w:t xml:space="preserve"> subjects or addressees</w:t>
      </w:r>
      <w:r w:rsidR="0009431D" w:rsidRPr="0040433A">
        <w:rPr>
          <w:lang w:val="en-GB"/>
        </w:rPr>
        <w:t xml:space="preserve"> of those rules</w:t>
      </w:r>
      <w:r w:rsidR="00BD6F63" w:rsidRPr="0040433A">
        <w:rPr>
          <w:lang w:val="en-GB"/>
        </w:rPr>
        <w:t xml:space="preserve">. </w:t>
      </w:r>
      <w:r w:rsidR="009D3044" w:rsidRPr="0040433A">
        <w:rPr>
          <w:lang w:val="en-GB"/>
        </w:rPr>
        <w:t xml:space="preserve">These roles were perceived as the natural competences of States, stemming from their </w:t>
      </w:r>
      <w:r w:rsidR="00553BD7" w:rsidRPr="0040433A">
        <w:rPr>
          <w:lang w:val="en-GB"/>
        </w:rPr>
        <w:t xml:space="preserve">uncontested </w:t>
      </w:r>
      <w:r w:rsidR="009D3044" w:rsidRPr="0040433A">
        <w:rPr>
          <w:lang w:val="en-GB"/>
        </w:rPr>
        <w:t>social and historical prestige.</w:t>
      </w:r>
      <w:r w:rsidR="001B2756" w:rsidRPr="0040433A">
        <w:rPr>
          <w:lang w:val="en-GB"/>
        </w:rPr>
        <w:t xml:space="preserve"> </w:t>
      </w:r>
      <w:r w:rsidR="00214E44">
        <w:rPr>
          <w:lang w:val="en-GB"/>
        </w:rPr>
        <w:t>The</w:t>
      </w:r>
      <w:r w:rsidR="00256A40" w:rsidRPr="0040433A">
        <w:rPr>
          <w:lang w:val="en-GB"/>
        </w:rPr>
        <w:t xml:space="preserve"> nexus between </w:t>
      </w:r>
      <w:r w:rsidR="00214E44">
        <w:rPr>
          <w:lang w:val="en-GB"/>
        </w:rPr>
        <w:t xml:space="preserve">the </w:t>
      </w:r>
      <w:r w:rsidR="00256A40" w:rsidRPr="0040433A">
        <w:rPr>
          <w:lang w:val="en-GB"/>
        </w:rPr>
        <w:t xml:space="preserve">explanations of legal validity implicit within classical </w:t>
      </w:r>
      <w:r w:rsidR="00844211" w:rsidRPr="0040433A">
        <w:rPr>
          <w:lang w:val="en-GB"/>
        </w:rPr>
        <w:t>international legal doctrine</w:t>
      </w:r>
      <w:r w:rsidR="00256A40" w:rsidRPr="0040433A">
        <w:rPr>
          <w:lang w:val="en-GB"/>
        </w:rPr>
        <w:t xml:space="preserve"> and the political sensitivities surrounding</w:t>
      </w:r>
      <w:r w:rsidR="00B42E80" w:rsidRPr="0040433A">
        <w:rPr>
          <w:lang w:val="en-GB"/>
        </w:rPr>
        <w:t xml:space="preserve"> the international legal personality of</w:t>
      </w:r>
      <w:r w:rsidR="006B1B4A" w:rsidRPr="0040433A">
        <w:rPr>
          <w:lang w:val="en-GB"/>
        </w:rPr>
        <w:t xml:space="preserve"> non-State actors</w:t>
      </w:r>
      <w:r w:rsidR="00214E44">
        <w:rPr>
          <w:lang w:val="en-GB"/>
        </w:rPr>
        <w:t xml:space="preserve"> may be traced to this</w:t>
      </w:r>
      <w:r w:rsidR="00C9245C">
        <w:rPr>
          <w:lang w:val="en-GB"/>
        </w:rPr>
        <w:t xml:space="preserve"> doctrinal</w:t>
      </w:r>
      <w:r w:rsidR="00214E44">
        <w:rPr>
          <w:lang w:val="en-GB"/>
        </w:rPr>
        <w:t xml:space="preserve"> position</w:t>
      </w:r>
      <w:r w:rsidR="00256A40" w:rsidRPr="0040433A">
        <w:rPr>
          <w:lang w:val="en-GB"/>
        </w:rPr>
        <w:t>.</w:t>
      </w:r>
      <w:r w:rsidR="00BD6F63" w:rsidRPr="0040433A">
        <w:rPr>
          <w:lang w:val="en-GB"/>
        </w:rPr>
        <w:t xml:space="preserve"> </w:t>
      </w:r>
      <w:r w:rsidR="009D3044" w:rsidRPr="0040433A">
        <w:rPr>
          <w:lang w:val="en-GB"/>
        </w:rPr>
        <w:t>It has led to the view that</w:t>
      </w:r>
      <w:r w:rsidR="004C63AD">
        <w:rPr>
          <w:lang w:val="en-GB"/>
        </w:rPr>
        <w:t xml:space="preserve"> if non-State actors are the </w:t>
      </w:r>
      <w:r w:rsidR="00A92F7C" w:rsidRPr="0040433A">
        <w:rPr>
          <w:lang w:val="en-GB"/>
        </w:rPr>
        <w:t>direct addressee</w:t>
      </w:r>
      <w:r w:rsidR="004C63AD">
        <w:rPr>
          <w:lang w:val="en-GB"/>
        </w:rPr>
        <w:t>s of</w:t>
      </w:r>
      <w:r w:rsidR="00A92F7C" w:rsidRPr="0040433A">
        <w:rPr>
          <w:lang w:val="en-GB"/>
        </w:rPr>
        <w:t xml:space="preserve"> </w:t>
      </w:r>
      <w:r w:rsidR="009D3044" w:rsidRPr="0040433A">
        <w:rPr>
          <w:lang w:val="en-GB"/>
        </w:rPr>
        <w:t>international rule</w:t>
      </w:r>
      <w:r w:rsidR="004C63AD">
        <w:rPr>
          <w:lang w:val="en-GB"/>
        </w:rPr>
        <w:t>s, whatever their</w:t>
      </w:r>
      <w:r w:rsidR="00A92F7C" w:rsidRPr="0040433A">
        <w:rPr>
          <w:lang w:val="en-GB"/>
        </w:rPr>
        <w:t xml:space="preserve"> </w:t>
      </w:r>
      <w:r w:rsidR="00A00AD1" w:rsidRPr="0040433A">
        <w:rPr>
          <w:lang w:val="en-GB"/>
        </w:rPr>
        <w:t>content,</w:t>
      </w:r>
      <w:r w:rsidR="009D3044" w:rsidRPr="0040433A">
        <w:rPr>
          <w:lang w:val="en-GB"/>
        </w:rPr>
        <w:t xml:space="preserve"> </w:t>
      </w:r>
      <w:r w:rsidR="004C63AD">
        <w:rPr>
          <w:lang w:val="en-GB"/>
        </w:rPr>
        <w:t>this will place them</w:t>
      </w:r>
      <w:r w:rsidR="009D3044" w:rsidRPr="0040433A">
        <w:rPr>
          <w:lang w:val="en-GB"/>
        </w:rPr>
        <w:t xml:space="preserve"> on par with States politicall</w:t>
      </w:r>
      <w:r w:rsidR="0060520B" w:rsidRPr="0040433A">
        <w:rPr>
          <w:lang w:val="en-GB"/>
        </w:rPr>
        <w:t>y.</w:t>
      </w:r>
      <w:r w:rsidR="009D3044" w:rsidRPr="0040433A">
        <w:rPr>
          <w:lang w:val="en-GB"/>
        </w:rPr>
        <w:t xml:space="preserve"> </w:t>
      </w:r>
      <w:r w:rsidR="0060520B" w:rsidRPr="0040433A">
        <w:rPr>
          <w:lang w:val="en-GB"/>
        </w:rPr>
        <w:t>As a corollary</w:t>
      </w:r>
      <w:r w:rsidR="00A00AD1" w:rsidRPr="0040433A">
        <w:rPr>
          <w:lang w:val="en-GB"/>
        </w:rPr>
        <w:t>,</w:t>
      </w:r>
      <w:r w:rsidR="0060520B" w:rsidRPr="0040433A">
        <w:rPr>
          <w:lang w:val="en-GB"/>
        </w:rPr>
        <w:t xml:space="preserve"> it</w:t>
      </w:r>
      <w:r w:rsidR="009D3044" w:rsidRPr="0040433A">
        <w:rPr>
          <w:lang w:val="en-GB"/>
        </w:rPr>
        <w:t xml:space="preserve"> </w:t>
      </w:r>
      <w:r w:rsidR="00BD6F63" w:rsidRPr="0040433A">
        <w:rPr>
          <w:lang w:val="en-GB"/>
        </w:rPr>
        <w:t xml:space="preserve">has given rise to the claim that in order for non-State actors to be legitimately bound by international rules, they must consent </w:t>
      </w:r>
      <w:r w:rsidR="009D3044" w:rsidRPr="0040433A">
        <w:rPr>
          <w:lang w:val="en-GB"/>
        </w:rPr>
        <w:t>to those rules, and thus, participate in their formulation.</w:t>
      </w:r>
      <w:r w:rsidR="00334596" w:rsidRPr="0040433A">
        <w:rPr>
          <w:rStyle w:val="FootnoteReference"/>
          <w:sz w:val="24"/>
          <w:lang w:val="en-GB"/>
        </w:rPr>
        <w:footnoteReference w:id="29"/>
      </w:r>
      <w:r w:rsidR="00276458" w:rsidRPr="0040433A">
        <w:rPr>
          <w:lang w:val="en-GB"/>
        </w:rPr>
        <w:t xml:space="preserve"> </w:t>
      </w:r>
      <w:r w:rsidR="00B40BEB" w:rsidRPr="0040433A">
        <w:rPr>
          <w:rFonts w:eastAsia="Times New Roman" w:cs="Times New Roman"/>
          <w:lang w:val="en-GB"/>
        </w:rPr>
        <w:t xml:space="preserve">While it is </w:t>
      </w:r>
      <w:r w:rsidR="00306BD8" w:rsidRPr="0040433A">
        <w:rPr>
          <w:rFonts w:eastAsia="Times New Roman" w:cs="Times New Roman"/>
          <w:lang w:val="en-GB"/>
        </w:rPr>
        <w:t xml:space="preserve">has been </w:t>
      </w:r>
      <w:r w:rsidR="00B40BEB" w:rsidRPr="0040433A">
        <w:rPr>
          <w:rFonts w:eastAsia="Times New Roman" w:cs="Times New Roman"/>
          <w:lang w:val="en-GB"/>
        </w:rPr>
        <w:t xml:space="preserve">suggested that such objections </w:t>
      </w:r>
      <w:r w:rsidR="00DE776C" w:rsidRPr="0040433A">
        <w:rPr>
          <w:rFonts w:eastAsia="Times New Roman" w:cs="Times New Roman"/>
          <w:lang w:val="en-GB"/>
        </w:rPr>
        <w:t>are unsustainable because they confuse ‘</w:t>
      </w:r>
      <w:r w:rsidR="00B40BEB" w:rsidRPr="0040433A">
        <w:rPr>
          <w:rFonts w:eastAsia="Times New Roman" w:cs="Times New Roman"/>
          <w:lang w:val="en-GB"/>
        </w:rPr>
        <w:t>personality with legitimacy’,</w:t>
      </w:r>
      <w:r w:rsidR="00B40BEB" w:rsidRPr="0040433A">
        <w:rPr>
          <w:rFonts w:eastAsia="Times New Roman" w:cs="Times New Roman"/>
          <w:vertAlign w:val="superscript"/>
          <w:lang w:val="en-GB"/>
        </w:rPr>
        <w:footnoteReference w:id="30"/>
      </w:r>
      <w:r w:rsidR="00B40BEB" w:rsidRPr="0040433A">
        <w:rPr>
          <w:rFonts w:eastAsia="Times New Roman" w:cs="Times New Roman"/>
          <w:lang w:val="en-GB"/>
        </w:rPr>
        <w:t xml:space="preserve"> it is argued that this conflation is a direct consequence of the dominant theoretical conception of international law. </w:t>
      </w:r>
      <w:r w:rsidR="00276458" w:rsidRPr="0040433A">
        <w:rPr>
          <w:lang w:val="en-GB"/>
        </w:rPr>
        <w:t>As such, traditional scholarship erroneously produces politically contentious,</w:t>
      </w:r>
      <w:r w:rsidR="001007F7" w:rsidRPr="0040433A">
        <w:rPr>
          <w:lang w:val="en-GB"/>
        </w:rPr>
        <w:t xml:space="preserve"> practically</w:t>
      </w:r>
      <w:r w:rsidR="00276458" w:rsidRPr="0040433A">
        <w:rPr>
          <w:lang w:val="en-GB"/>
        </w:rPr>
        <w:t xml:space="preserve"> unworkable </w:t>
      </w:r>
      <w:r w:rsidR="001007F7" w:rsidRPr="0040433A">
        <w:rPr>
          <w:lang w:val="en-GB"/>
        </w:rPr>
        <w:t xml:space="preserve">results </w:t>
      </w:r>
      <w:r w:rsidR="005D6E1D">
        <w:rPr>
          <w:lang w:val="en-GB"/>
        </w:rPr>
        <w:t>that</w:t>
      </w:r>
      <w:r w:rsidR="005D6E1D" w:rsidRPr="0040433A">
        <w:rPr>
          <w:lang w:val="en-GB"/>
        </w:rPr>
        <w:t xml:space="preserve"> </w:t>
      </w:r>
      <w:r w:rsidR="001007F7" w:rsidRPr="0040433A">
        <w:rPr>
          <w:lang w:val="en-GB"/>
        </w:rPr>
        <w:t xml:space="preserve">have stayed progress in the field of non-State actor regulation. </w:t>
      </w:r>
    </w:p>
    <w:p w14:paraId="77DF99F5" w14:textId="45E46A05" w:rsidR="0020647A" w:rsidRPr="005806E3" w:rsidRDefault="001B32CC" w:rsidP="005806E3">
      <w:pPr>
        <w:spacing w:line="276" w:lineRule="auto"/>
        <w:ind w:firstLine="720"/>
        <w:jc w:val="both"/>
        <w:rPr>
          <w:rFonts w:eastAsia="Times New Roman" w:cs="Times New Roman"/>
          <w:lang w:val="en-GB"/>
        </w:rPr>
      </w:pPr>
      <w:r w:rsidRPr="00294288">
        <w:rPr>
          <w:lang w:val="en-GB"/>
        </w:rPr>
        <w:t>Recent scholarship</w:t>
      </w:r>
      <w:r>
        <w:rPr>
          <w:lang w:val="en-GB"/>
        </w:rPr>
        <w:t xml:space="preserve"> has begun </w:t>
      </w:r>
      <w:r w:rsidR="00C8440D">
        <w:rPr>
          <w:lang w:val="en-GB"/>
        </w:rPr>
        <w:t>to recognise that</w:t>
      </w:r>
      <w:r>
        <w:rPr>
          <w:lang w:val="en-GB"/>
        </w:rPr>
        <w:t xml:space="preserve"> a formalist approach to international legal personality </w:t>
      </w:r>
      <w:r w:rsidR="0017386D" w:rsidRPr="0040433A">
        <w:rPr>
          <w:lang w:val="en-GB"/>
        </w:rPr>
        <w:t xml:space="preserve">has the potential to establish the theoretical foundations for the direct regulation of non-State actors, free </w:t>
      </w:r>
      <w:r w:rsidR="00B04B6B">
        <w:rPr>
          <w:lang w:val="en-GB"/>
        </w:rPr>
        <w:t>from</w:t>
      </w:r>
      <w:r w:rsidR="0017386D" w:rsidRPr="0040433A">
        <w:rPr>
          <w:lang w:val="en-GB"/>
        </w:rPr>
        <w:t xml:space="preserve"> undesirable presumptions relating to political status and law-making capacity.</w:t>
      </w:r>
      <w:r w:rsidR="00D76F1F" w:rsidRPr="0040433A">
        <w:rPr>
          <w:rStyle w:val="FootnoteReference"/>
          <w:sz w:val="24"/>
          <w:lang w:val="en-GB"/>
        </w:rPr>
        <w:footnoteReference w:id="31"/>
      </w:r>
      <w:r w:rsidR="00917151">
        <w:rPr>
          <w:lang w:val="en-GB"/>
        </w:rPr>
        <w:t xml:space="preserve"> </w:t>
      </w:r>
      <w:r w:rsidR="00C8440D">
        <w:rPr>
          <w:lang w:val="en-GB"/>
        </w:rPr>
        <w:t>The positive effects of such an approach is apparent in</w:t>
      </w:r>
      <w:r w:rsidR="00917151">
        <w:rPr>
          <w:lang w:val="en-GB"/>
        </w:rPr>
        <w:t xml:space="preserve"> the</w:t>
      </w:r>
      <w:r w:rsidR="00C8440D">
        <w:rPr>
          <w:lang w:val="en-GB"/>
        </w:rPr>
        <w:t xml:space="preserve"> formalist</w:t>
      </w:r>
      <w:r w:rsidR="00917151">
        <w:rPr>
          <w:lang w:val="en-GB"/>
        </w:rPr>
        <w:t xml:space="preserve"> conception of the international legal order advanced by </w:t>
      </w:r>
      <w:r w:rsidR="00C8440D">
        <w:rPr>
          <w:rFonts w:eastAsia="Times New Roman" w:cs="Times New Roman"/>
          <w:lang w:val="en-GB"/>
        </w:rPr>
        <w:t>Kelsen</w:t>
      </w:r>
      <w:r w:rsidR="001E2E0E">
        <w:rPr>
          <w:rFonts w:eastAsia="Times New Roman" w:cs="Times New Roman"/>
          <w:lang w:val="en-GB"/>
        </w:rPr>
        <w:t xml:space="preserve">’s </w:t>
      </w:r>
      <w:r w:rsidR="00C8440D">
        <w:rPr>
          <w:rFonts w:eastAsia="Times New Roman" w:cs="Times New Roman"/>
          <w:lang w:val="en-GB"/>
        </w:rPr>
        <w:t>Pure Theory of Law</w:t>
      </w:r>
      <w:r w:rsidR="001E2E0E">
        <w:rPr>
          <w:rFonts w:eastAsia="Times New Roman" w:cs="Times New Roman"/>
          <w:lang w:val="en-GB"/>
        </w:rPr>
        <w:t>. The theory</w:t>
      </w:r>
      <w:r>
        <w:rPr>
          <w:rFonts w:eastAsia="Times New Roman" w:cs="Times New Roman"/>
          <w:lang w:val="en-GB"/>
        </w:rPr>
        <w:t xml:space="preserve"> </w:t>
      </w:r>
      <w:r w:rsidR="00F15151" w:rsidRPr="0040433A">
        <w:rPr>
          <w:rFonts w:eastAsia="Times New Roman" w:cs="Times New Roman"/>
          <w:lang w:val="en-GB"/>
        </w:rPr>
        <w:t xml:space="preserve">is premised on a </w:t>
      </w:r>
      <w:r w:rsidR="000E1D1D" w:rsidRPr="0040433A">
        <w:rPr>
          <w:rFonts w:eastAsia="Times New Roman" w:cs="Times New Roman"/>
          <w:lang w:val="en-GB"/>
        </w:rPr>
        <w:t>strict</w:t>
      </w:r>
      <w:r w:rsidR="00F15151" w:rsidRPr="0040433A">
        <w:rPr>
          <w:rFonts w:eastAsia="Times New Roman" w:cs="Times New Roman"/>
          <w:lang w:val="en-GB"/>
        </w:rPr>
        <w:t xml:space="preserve"> methodological</w:t>
      </w:r>
      <w:r w:rsidR="000E1D1D" w:rsidRPr="0040433A">
        <w:rPr>
          <w:rFonts w:eastAsia="Times New Roman" w:cs="Times New Roman"/>
          <w:lang w:val="en-GB"/>
        </w:rPr>
        <w:t xml:space="preserve"> separation between ‘</w:t>
      </w:r>
      <w:r w:rsidR="000E1D1D" w:rsidRPr="0040433A">
        <w:rPr>
          <w:rFonts w:eastAsia="Times New Roman" w:cs="Times New Roman"/>
          <w:i/>
          <w:lang w:val="en-GB"/>
        </w:rPr>
        <w:t xml:space="preserve">is’ </w:t>
      </w:r>
      <w:r w:rsidR="000E1D1D" w:rsidRPr="0040433A">
        <w:rPr>
          <w:rFonts w:eastAsia="Times New Roman" w:cs="Times New Roman"/>
          <w:lang w:val="en-GB"/>
        </w:rPr>
        <w:t>and ‘</w:t>
      </w:r>
      <w:r w:rsidR="000E1D1D" w:rsidRPr="0040433A">
        <w:rPr>
          <w:rFonts w:eastAsia="Times New Roman" w:cs="Times New Roman"/>
          <w:i/>
          <w:lang w:val="en-GB"/>
        </w:rPr>
        <w:t>ought’</w:t>
      </w:r>
      <w:r w:rsidR="009318E7">
        <w:rPr>
          <w:rFonts w:eastAsia="Times New Roman" w:cs="Times New Roman"/>
          <w:lang w:val="en-GB"/>
        </w:rPr>
        <w:t>.</w:t>
      </w:r>
      <w:r w:rsidR="000E1D1D" w:rsidRPr="0040433A">
        <w:rPr>
          <w:rFonts w:eastAsia="Times New Roman" w:cs="Times New Roman"/>
          <w:vertAlign w:val="superscript"/>
          <w:lang w:val="en-GB"/>
        </w:rPr>
        <w:footnoteReference w:id="32"/>
      </w:r>
      <w:r w:rsidR="009318E7">
        <w:rPr>
          <w:rFonts w:eastAsia="Times New Roman" w:cs="Times New Roman"/>
          <w:lang w:val="en-GB"/>
        </w:rPr>
        <w:t xml:space="preserve"> </w:t>
      </w:r>
      <w:r w:rsidR="0092601D">
        <w:rPr>
          <w:rFonts w:eastAsia="Times New Roman" w:cs="Times New Roman"/>
          <w:lang w:val="en-GB"/>
        </w:rPr>
        <w:t>I</w:t>
      </w:r>
      <w:r w:rsidR="009318E7">
        <w:rPr>
          <w:rFonts w:eastAsia="Times New Roman" w:cs="Times New Roman"/>
          <w:lang w:val="en-GB"/>
        </w:rPr>
        <w:t>t</w:t>
      </w:r>
      <w:r w:rsidR="000E1D1D" w:rsidRPr="0040433A">
        <w:rPr>
          <w:rFonts w:eastAsia="Times New Roman" w:cs="Times New Roman"/>
          <w:lang w:val="en-GB"/>
        </w:rPr>
        <w:t xml:space="preserve"> </w:t>
      </w:r>
      <w:r w:rsidR="00787CF2">
        <w:rPr>
          <w:rFonts w:eastAsia="Times New Roman" w:cs="Times New Roman"/>
          <w:lang w:val="en-GB"/>
        </w:rPr>
        <w:t xml:space="preserve">defines </w:t>
      </w:r>
      <w:r w:rsidR="000E1D1D" w:rsidRPr="0040433A">
        <w:rPr>
          <w:rFonts w:eastAsia="Times New Roman" w:cs="Times New Roman"/>
          <w:lang w:val="en-GB"/>
        </w:rPr>
        <w:t>legal</w:t>
      </w:r>
      <w:r w:rsidR="007433E8">
        <w:rPr>
          <w:rFonts w:eastAsia="Times New Roman" w:cs="Times New Roman"/>
          <w:lang w:val="en-GB"/>
        </w:rPr>
        <w:t xml:space="preserve"> orders</w:t>
      </w:r>
      <w:r w:rsidR="000E1D1D" w:rsidRPr="0040433A">
        <w:rPr>
          <w:rFonts w:eastAsia="Times New Roman" w:cs="Times New Roman"/>
          <w:lang w:val="en-GB"/>
        </w:rPr>
        <w:t xml:space="preserve"> </w:t>
      </w:r>
      <w:r w:rsidR="00F15151" w:rsidRPr="0040433A">
        <w:rPr>
          <w:rFonts w:eastAsia="Times New Roman" w:cs="Times New Roman"/>
          <w:lang w:val="en-GB"/>
        </w:rPr>
        <w:t>a</w:t>
      </w:r>
      <w:r w:rsidR="007433E8">
        <w:rPr>
          <w:rFonts w:eastAsia="Times New Roman" w:cs="Times New Roman"/>
          <w:lang w:val="en-GB"/>
        </w:rPr>
        <w:t xml:space="preserve">s </w:t>
      </w:r>
      <w:r w:rsidR="0001212B" w:rsidRPr="0040433A">
        <w:rPr>
          <w:rFonts w:eastAsia="Times New Roman" w:cs="Times New Roman"/>
          <w:lang w:val="en-GB"/>
        </w:rPr>
        <w:t xml:space="preserve">hierarchal </w:t>
      </w:r>
      <w:r w:rsidR="009318E7">
        <w:rPr>
          <w:rFonts w:eastAsia="Times New Roman" w:cs="Times New Roman"/>
          <w:lang w:val="en-GB"/>
        </w:rPr>
        <w:t>system</w:t>
      </w:r>
      <w:r w:rsidR="007433E8">
        <w:rPr>
          <w:rFonts w:eastAsia="Times New Roman" w:cs="Times New Roman"/>
          <w:lang w:val="en-GB"/>
        </w:rPr>
        <w:t>s</w:t>
      </w:r>
      <w:r w:rsidR="009318E7">
        <w:rPr>
          <w:rFonts w:eastAsia="Times New Roman" w:cs="Times New Roman"/>
          <w:lang w:val="en-GB"/>
        </w:rPr>
        <w:t xml:space="preserve"> of </w:t>
      </w:r>
      <w:r w:rsidR="0092601D">
        <w:rPr>
          <w:rFonts w:eastAsia="Times New Roman" w:cs="Times New Roman"/>
          <w:lang w:val="en-GB"/>
        </w:rPr>
        <w:t>‘</w:t>
      </w:r>
      <w:r w:rsidR="009318E7">
        <w:rPr>
          <w:rFonts w:eastAsia="Times New Roman" w:cs="Times New Roman"/>
          <w:lang w:val="en-GB"/>
        </w:rPr>
        <w:t>norms</w:t>
      </w:r>
      <w:r w:rsidR="0092601D">
        <w:rPr>
          <w:rFonts w:eastAsia="Times New Roman" w:cs="Times New Roman"/>
          <w:lang w:val="en-GB"/>
        </w:rPr>
        <w:t>’</w:t>
      </w:r>
      <w:r w:rsidR="000E1D1D" w:rsidRPr="0040433A">
        <w:rPr>
          <w:rFonts w:eastAsia="Times New Roman" w:cs="Times New Roman"/>
          <w:lang w:val="en-GB"/>
        </w:rPr>
        <w:t>.</w:t>
      </w:r>
      <w:r w:rsidR="00516B6B" w:rsidRPr="0040433A">
        <w:rPr>
          <w:rStyle w:val="FootnoteReference"/>
          <w:rFonts w:eastAsia="Times New Roman" w:cs="Times New Roman"/>
          <w:sz w:val="24"/>
          <w:lang w:val="en-GB"/>
        </w:rPr>
        <w:footnoteReference w:id="33"/>
      </w:r>
      <w:r w:rsidR="000E1D1D" w:rsidRPr="0040433A">
        <w:rPr>
          <w:rFonts w:eastAsia="Times New Roman" w:cs="Times New Roman"/>
          <w:lang w:val="en-GB"/>
        </w:rPr>
        <w:t xml:space="preserve"> A norm describes a behaviour </w:t>
      </w:r>
      <w:r w:rsidR="001C554F">
        <w:rPr>
          <w:rFonts w:eastAsia="Times New Roman" w:cs="Times New Roman"/>
          <w:lang w:val="en-GB"/>
        </w:rPr>
        <w:t>that</w:t>
      </w:r>
      <w:r w:rsidR="000E1D1D" w:rsidRPr="0040433A">
        <w:rPr>
          <w:rFonts w:eastAsia="Times New Roman" w:cs="Times New Roman"/>
          <w:lang w:val="en-GB"/>
        </w:rPr>
        <w:t xml:space="preserve"> </w:t>
      </w:r>
      <w:r w:rsidR="000E1D1D" w:rsidRPr="0040433A">
        <w:rPr>
          <w:rFonts w:eastAsia="Times New Roman" w:cs="Times New Roman"/>
          <w:i/>
          <w:lang w:val="en-GB"/>
        </w:rPr>
        <w:t>ought</w:t>
      </w:r>
      <w:r w:rsidR="000E1D1D" w:rsidRPr="0040433A">
        <w:rPr>
          <w:rFonts w:eastAsia="Times New Roman" w:cs="Times New Roman"/>
          <w:lang w:val="en-GB"/>
        </w:rPr>
        <w:t xml:space="preserve"> to occur, as entirely distinct from the actual existence or fulfilment of the act prescribed.</w:t>
      </w:r>
      <w:r w:rsidR="000E1D1D" w:rsidRPr="0040433A">
        <w:rPr>
          <w:rFonts w:eastAsia="Times New Roman" w:cs="Times New Roman"/>
          <w:vertAlign w:val="superscript"/>
          <w:lang w:val="en-GB"/>
        </w:rPr>
        <w:footnoteReference w:id="34"/>
      </w:r>
      <w:r w:rsidR="000E1D1D" w:rsidRPr="0040433A">
        <w:rPr>
          <w:rFonts w:eastAsia="Times New Roman" w:cs="Times New Roman"/>
          <w:lang w:val="en-GB"/>
        </w:rPr>
        <w:t xml:space="preserve"> </w:t>
      </w:r>
      <w:r w:rsidR="00BB677D" w:rsidRPr="0040433A">
        <w:rPr>
          <w:rFonts w:eastAsia="Times New Roman" w:cs="Times New Roman"/>
          <w:lang w:val="en-GB"/>
        </w:rPr>
        <w:t>Thus</w:t>
      </w:r>
      <w:r w:rsidR="00A31722" w:rsidRPr="0040433A">
        <w:rPr>
          <w:rFonts w:eastAsia="Times New Roman" w:cs="Times New Roman"/>
          <w:lang w:val="en-GB"/>
        </w:rPr>
        <w:t xml:space="preserve">, while a legal rule might provide that ‘all murderers </w:t>
      </w:r>
      <w:r w:rsidR="000B2C2E">
        <w:rPr>
          <w:rFonts w:eastAsia="Times New Roman" w:cs="Times New Roman"/>
          <w:lang w:val="en-GB"/>
        </w:rPr>
        <w:t>are to</w:t>
      </w:r>
      <w:r w:rsidR="00A31722" w:rsidRPr="0040433A">
        <w:rPr>
          <w:rFonts w:eastAsia="Times New Roman" w:cs="Times New Roman"/>
          <w:lang w:val="en-GB"/>
        </w:rPr>
        <w:t xml:space="preserve"> be punished’, this rule says nothing about whether all murderers are </w:t>
      </w:r>
      <w:r w:rsidR="00AB6C4E" w:rsidRPr="0040433A">
        <w:rPr>
          <w:rFonts w:eastAsia="Times New Roman" w:cs="Times New Roman"/>
          <w:lang w:val="en-GB"/>
        </w:rPr>
        <w:t xml:space="preserve">actually </w:t>
      </w:r>
      <w:r w:rsidR="00A31722" w:rsidRPr="0040433A">
        <w:rPr>
          <w:rFonts w:eastAsia="Times New Roman" w:cs="Times New Roman"/>
          <w:lang w:val="en-GB"/>
        </w:rPr>
        <w:t>caught, convicted, and sanction</w:t>
      </w:r>
      <w:r w:rsidR="00BB677D" w:rsidRPr="0040433A">
        <w:rPr>
          <w:rFonts w:eastAsia="Times New Roman" w:cs="Times New Roman"/>
          <w:lang w:val="en-GB"/>
        </w:rPr>
        <w:t>ed</w:t>
      </w:r>
      <w:r w:rsidR="00AB6C4E">
        <w:rPr>
          <w:rFonts w:eastAsia="Times New Roman" w:cs="Times New Roman"/>
          <w:lang w:val="en-GB"/>
        </w:rPr>
        <w:t xml:space="preserve">. Legal norms are simply </w:t>
      </w:r>
      <w:r w:rsidR="00A31722" w:rsidRPr="0040433A">
        <w:rPr>
          <w:rFonts w:eastAsia="Times New Roman" w:cs="Times New Roman"/>
          <w:lang w:val="en-GB"/>
        </w:rPr>
        <w:t>prescriptive statements; their validity is not contingent upon facts</w:t>
      </w:r>
      <w:r w:rsidR="000E1D1D" w:rsidRPr="0040433A">
        <w:rPr>
          <w:rFonts w:eastAsia="Times New Roman" w:cs="Times New Roman"/>
          <w:lang w:val="en-GB"/>
        </w:rPr>
        <w:t>.</w:t>
      </w:r>
      <w:r w:rsidR="000E1D1D" w:rsidRPr="0040433A">
        <w:rPr>
          <w:rFonts w:eastAsia="Times New Roman" w:cs="Times New Roman"/>
          <w:vertAlign w:val="superscript"/>
          <w:lang w:val="en-GB"/>
        </w:rPr>
        <w:footnoteReference w:id="35"/>
      </w:r>
      <w:r w:rsidR="00A31722" w:rsidRPr="0040433A">
        <w:rPr>
          <w:rFonts w:eastAsia="Times New Roman" w:cs="Times New Roman"/>
          <w:lang w:val="en-GB"/>
        </w:rPr>
        <w:t xml:space="preserve"> </w:t>
      </w:r>
      <w:r w:rsidR="00F15151" w:rsidRPr="0040433A">
        <w:rPr>
          <w:lang w:val="en-GB"/>
        </w:rPr>
        <w:t>As is already apparent</w:t>
      </w:r>
      <w:r w:rsidR="003733CC" w:rsidRPr="0040433A">
        <w:rPr>
          <w:lang w:val="en-GB"/>
        </w:rPr>
        <w:t xml:space="preserve">, </w:t>
      </w:r>
      <w:r w:rsidR="00C8440D">
        <w:rPr>
          <w:lang w:val="en-GB"/>
        </w:rPr>
        <w:t>this</w:t>
      </w:r>
      <w:r w:rsidR="00D96EF7">
        <w:rPr>
          <w:lang w:val="en-GB"/>
        </w:rPr>
        <w:t xml:space="preserve"> </w:t>
      </w:r>
      <w:r w:rsidR="00C8440D">
        <w:rPr>
          <w:lang w:val="en-GB"/>
        </w:rPr>
        <w:t>method</w:t>
      </w:r>
      <w:r w:rsidR="00D96EF7">
        <w:rPr>
          <w:lang w:val="en-GB"/>
        </w:rPr>
        <w:t xml:space="preserve"> </w:t>
      </w:r>
      <w:r w:rsidR="000E1D1D" w:rsidRPr="0040433A">
        <w:rPr>
          <w:lang w:val="en-GB"/>
        </w:rPr>
        <w:t>distinguishes</w:t>
      </w:r>
      <w:r w:rsidR="00D96EF7">
        <w:rPr>
          <w:lang w:val="en-GB"/>
        </w:rPr>
        <w:t xml:space="preserve"> itself from the contractarian explanations of validity advanced </w:t>
      </w:r>
      <w:r w:rsidR="00AB6C4E">
        <w:rPr>
          <w:lang w:val="en-GB"/>
        </w:rPr>
        <w:t>in</w:t>
      </w:r>
      <w:r w:rsidR="00D96EF7">
        <w:rPr>
          <w:lang w:val="en-GB"/>
        </w:rPr>
        <w:t xml:space="preserve"> </w:t>
      </w:r>
      <w:r w:rsidR="000E1D1D" w:rsidRPr="0040433A">
        <w:rPr>
          <w:lang w:val="en-GB"/>
        </w:rPr>
        <w:t xml:space="preserve">dominant </w:t>
      </w:r>
      <w:r w:rsidR="0020647A" w:rsidRPr="0040433A">
        <w:rPr>
          <w:lang w:val="en-GB"/>
        </w:rPr>
        <w:t>positivist</w:t>
      </w:r>
      <w:r w:rsidR="000E1D1D" w:rsidRPr="0040433A">
        <w:rPr>
          <w:lang w:val="en-GB"/>
        </w:rPr>
        <w:t xml:space="preserve"> scholarship. Such an approach would violate the</w:t>
      </w:r>
      <w:r w:rsidR="00A31722" w:rsidRPr="0040433A">
        <w:rPr>
          <w:lang w:val="en-GB"/>
        </w:rPr>
        <w:t xml:space="preserve"> </w:t>
      </w:r>
      <w:r w:rsidR="000E1D1D" w:rsidRPr="0040433A">
        <w:rPr>
          <w:i/>
          <w:lang w:val="en-GB"/>
        </w:rPr>
        <w:t>is/ought</w:t>
      </w:r>
      <w:r w:rsidR="000E1D1D" w:rsidRPr="0040433A">
        <w:rPr>
          <w:lang w:val="en-GB"/>
        </w:rPr>
        <w:t xml:space="preserve"> dichotomy by utilising an </w:t>
      </w:r>
      <w:r w:rsidR="000E1D1D" w:rsidRPr="0040433A">
        <w:rPr>
          <w:i/>
          <w:lang w:val="en-GB"/>
        </w:rPr>
        <w:t>is</w:t>
      </w:r>
      <w:r w:rsidR="000E1D1D" w:rsidRPr="0040433A">
        <w:rPr>
          <w:lang w:val="en-GB"/>
        </w:rPr>
        <w:t xml:space="preserve"> (the factually conceived State) to explain the validity of an </w:t>
      </w:r>
      <w:r w:rsidR="000E1D1D" w:rsidRPr="0040433A">
        <w:rPr>
          <w:i/>
          <w:lang w:val="en-GB"/>
        </w:rPr>
        <w:t>ought</w:t>
      </w:r>
      <w:r w:rsidR="00367D2A" w:rsidRPr="0040433A">
        <w:rPr>
          <w:lang w:val="en-GB"/>
        </w:rPr>
        <w:t xml:space="preserve"> (</w:t>
      </w:r>
      <w:r w:rsidR="00F15151" w:rsidRPr="0040433A">
        <w:rPr>
          <w:lang w:val="en-GB"/>
        </w:rPr>
        <w:t>legal norm</w:t>
      </w:r>
      <w:r w:rsidR="00367D2A" w:rsidRPr="0040433A">
        <w:rPr>
          <w:lang w:val="en-GB"/>
        </w:rPr>
        <w:t>s</w:t>
      </w:r>
      <w:r w:rsidR="000E1D1D" w:rsidRPr="0040433A">
        <w:rPr>
          <w:lang w:val="en-GB"/>
        </w:rPr>
        <w:t>).</w:t>
      </w:r>
      <w:r w:rsidR="0020647A" w:rsidRPr="0040433A">
        <w:rPr>
          <w:lang w:val="en-GB"/>
        </w:rPr>
        <w:t xml:space="preserve"> </w:t>
      </w:r>
      <w:r w:rsidR="00B3056A" w:rsidRPr="0040433A">
        <w:rPr>
          <w:lang w:val="en-GB"/>
        </w:rPr>
        <w:t>Instead, t</w:t>
      </w:r>
      <w:r w:rsidR="00A31722" w:rsidRPr="0040433A">
        <w:rPr>
          <w:lang w:val="en-GB"/>
        </w:rPr>
        <w:t>he State is viewed entirely in juristic terms</w:t>
      </w:r>
      <w:r w:rsidR="00BB677D" w:rsidRPr="0040433A">
        <w:rPr>
          <w:lang w:val="en-GB"/>
        </w:rPr>
        <w:t>.</w:t>
      </w:r>
      <w:r w:rsidR="00A31722" w:rsidRPr="0040433A">
        <w:rPr>
          <w:lang w:val="en-GB"/>
        </w:rPr>
        <w:t xml:space="preserve"> </w:t>
      </w:r>
      <w:r w:rsidR="00BB677D" w:rsidRPr="0040433A">
        <w:rPr>
          <w:lang w:val="en-GB"/>
        </w:rPr>
        <w:t>A</w:t>
      </w:r>
      <w:r w:rsidR="00A31722" w:rsidRPr="0040433A">
        <w:rPr>
          <w:lang w:val="en-GB"/>
        </w:rPr>
        <w:t xml:space="preserve"> State is not an area of territory, a government, a permanent population, or an amalgam</w:t>
      </w:r>
      <w:r w:rsidR="00D30D33" w:rsidRPr="0040433A">
        <w:rPr>
          <w:lang w:val="en-GB"/>
        </w:rPr>
        <w:t xml:space="preserve"> of </w:t>
      </w:r>
      <w:r w:rsidR="008200CF" w:rsidRPr="0040433A">
        <w:rPr>
          <w:lang w:val="en-GB"/>
        </w:rPr>
        <w:t>these physical properties</w:t>
      </w:r>
      <w:r w:rsidR="00BE2ADE" w:rsidRPr="0040433A">
        <w:rPr>
          <w:lang w:val="en-GB"/>
        </w:rPr>
        <w:t>.</w:t>
      </w:r>
      <w:r w:rsidR="00D30D33" w:rsidRPr="0040433A">
        <w:rPr>
          <w:rFonts w:eastAsia="Times New Roman" w:cs="Times New Roman"/>
          <w:lang w:val="en-GB"/>
        </w:rPr>
        <w:t xml:space="preserve"> </w:t>
      </w:r>
      <w:r w:rsidR="004B305F" w:rsidRPr="0040433A">
        <w:rPr>
          <w:lang w:val="en-GB"/>
        </w:rPr>
        <w:t xml:space="preserve">It is the </w:t>
      </w:r>
      <w:r w:rsidR="004B305F" w:rsidRPr="0040433A">
        <w:rPr>
          <w:i/>
          <w:lang w:val="en-GB"/>
        </w:rPr>
        <w:t>rule</w:t>
      </w:r>
      <w:r w:rsidR="004B305F" w:rsidRPr="0040433A">
        <w:rPr>
          <w:lang w:val="en-GB"/>
        </w:rPr>
        <w:t xml:space="preserve"> defining a State’s territory that is relevant to the study of law rather than the </w:t>
      </w:r>
      <w:r w:rsidR="004B305F" w:rsidRPr="0040433A">
        <w:rPr>
          <w:i/>
          <w:lang w:val="en-GB"/>
        </w:rPr>
        <w:t>actual</w:t>
      </w:r>
      <w:r w:rsidR="004B305F" w:rsidRPr="0040433A">
        <w:rPr>
          <w:lang w:val="en-GB"/>
        </w:rPr>
        <w:t xml:space="preserve"> territory</w:t>
      </w:r>
      <w:r w:rsidR="00BB677D" w:rsidRPr="0040433A">
        <w:rPr>
          <w:lang w:val="en-GB"/>
        </w:rPr>
        <w:t>.</w:t>
      </w:r>
      <w:r w:rsidR="00D30D33" w:rsidRPr="0040433A">
        <w:rPr>
          <w:rFonts w:eastAsia="Times New Roman" w:cs="Times New Roman"/>
          <w:vertAlign w:val="superscript"/>
          <w:lang w:val="en-GB"/>
        </w:rPr>
        <w:footnoteReference w:id="36"/>
      </w:r>
      <w:r w:rsidR="00D30D33" w:rsidRPr="0040433A">
        <w:rPr>
          <w:rFonts w:eastAsia="Times New Roman" w:cs="Times New Roman"/>
          <w:lang w:val="en-GB"/>
        </w:rPr>
        <w:t xml:space="preserve"> </w:t>
      </w:r>
      <w:r w:rsidR="00200086" w:rsidRPr="0040433A">
        <w:rPr>
          <w:lang w:val="en-GB"/>
        </w:rPr>
        <w:t>A</w:t>
      </w:r>
      <w:r w:rsidR="00D30D33" w:rsidRPr="0040433A">
        <w:rPr>
          <w:lang w:val="en-GB"/>
        </w:rPr>
        <w:t xml:space="preserve">ccording to this view, </w:t>
      </w:r>
      <w:r w:rsidR="00CF7F01" w:rsidRPr="0040433A">
        <w:rPr>
          <w:lang w:val="en-GB"/>
        </w:rPr>
        <w:t xml:space="preserve">States are </w:t>
      </w:r>
      <w:r w:rsidR="00D30D33" w:rsidRPr="0040433A">
        <w:rPr>
          <w:lang w:val="en-GB"/>
        </w:rPr>
        <w:t>like all legal persons</w:t>
      </w:r>
      <w:r w:rsidR="00CF7F01" w:rsidRPr="0040433A">
        <w:rPr>
          <w:lang w:val="en-GB"/>
        </w:rPr>
        <w:t>; they</w:t>
      </w:r>
      <w:r w:rsidR="009D55F8" w:rsidRPr="0040433A">
        <w:rPr>
          <w:lang w:val="en-GB"/>
        </w:rPr>
        <w:t xml:space="preserve"> are</w:t>
      </w:r>
      <w:r w:rsidR="00D30D33" w:rsidRPr="0040433A">
        <w:rPr>
          <w:lang w:val="en-GB"/>
        </w:rPr>
        <w:t xml:space="preserve"> </w:t>
      </w:r>
      <w:r w:rsidR="005E127A" w:rsidRPr="0040433A">
        <w:rPr>
          <w:lang w:val="en-GB"/>
        </w:rPr>
        <w:t xml:space="preserve">personified </w:t>
      </w:r>
      <w:r w:rsidR="00D30D33" w:rsidRPr="0040433A">
        <w:rPr>
          <w:lang w:val="en-GB"/>
        </w:rPr>
        <w:t xml:space="preserve">bundles of rights and duties ultimately </w:t>
      </w:r>
      <w:r w:rsidR="005E127A" w:rsidRPr="0040433A">
        <w:rPr>
          <w:lang w:val="en-GB"/>
        </w:rPr>
        <w:t>addressing individuals.</w:t>
      </w:r>
      <w:r w:rsidR="004A2639" w:rsidRPr="0040433A">
        <w:rPr>
          <w:rStyle w:val="FootnoteReference"/>
          <w:sz w:val="24"/>
          <w:lang w:val="en-GB"/>
        </w:rPr>
        <w:footnoteReference w:id="37"/>
      </w:r>
      <w:r w:rsidR="00BE2ADE" w:rsidRPr="0040433A">
        <w:rPr>
          <w:lang w:val="en-GB"/>
        </w:rPr>
        <w:t xml:space="preserve"> </w:t>
      </w:r>
    </w:p>
    <w:p w14:paraId="22FC2B55" w14:textId="428050FE" w:rsidR="0020647A" w:rsidRPr="0040433A" w:rsidRDefault="00BE2ADE" w:rsidP="00ED224A">
      <w:pPr>
        <w:spacing w:line="276" w:lineRule="auto"/>
        <w:ind w:firstLine="720"/>
        <w:jc w:val="both"/>
        <w:rPr>
          <w:rFonts w:eastAsia="Times New Roman" w:cs="Times New Roman"/>
          <w:lang w:val="en-GB"/>
        </w:rPr>
      </w:pPr>
      <w:r w:rsidRPr="0040433A">
        <w:rPr>
          <w:rFonts w:eastAsia="Times New Roman" w:cs="Times New Roman"/>
          <w:lang w:val="en-GB"/>
        </w:rPr>
        <w:t xml:space="preserve">This conception proves enlightening with respect to the </w:t>
      </w:r>
      <w:r w:rsidR="009B3F88">
        <w:rPr>
          <w:rFonts w:eastAsia="Times New Roman" w:cs="Times New Roman"/>
          <w:lang w:val="en-GB"/>
        </w:rPr>
        <w:t xml:space="preserve">definition </w:t>
      </w:r>
      <w:r w:rsidRPr="0040433A">
        <w:rPr>
          <w:rFonts w:eastAsia="Times New Roman" w:cs="Times New Roman"/>
          <w:lang w:val="en-GB"/>
        </w:rPr>
        <w:t>of international legal personality provided by the</w:t>
      </w:r>
      <w:r w:rsidR="002A1247">
        <w:rPr>
          <w:rFonts w:eastAsia="Times New Roman" w:cs="Times New Roman"/>
          <w:lang w:val="en-GB"/>
        </w:rPr>
        <w:t xml:space="preserve"> </w:t>
      </w:r>
      <w:r w:rsidR="002A1247" w:rsidRPr="0040433A">
        <w:rPr>
          <w:lang w:val="en-GB"/>
        </w:rPr>
        <w:t>International Court of Justice</w:t>
      </w:r>
      <w:r w:rsidR="002A1247">
        <w:rPr>
          <w:lang w:val="en-GB"/>
        </w:rPr>
        <w:t>’s</w:t>
      </w:r>
      <w:r w:rsidRPr="0040433A">
        <w:rPr>
          <w:rFonts w:eastAsia="Times New Roman" w:cs="Times New Roman"/>
          <w:lang w:val="en-GB"/>
        </w:rPr>
        <w:t xml:space="preserve"> </w:t>
      </w:r>
      <w:r w:rsidR="002A1247">
        <w:rPr>
          <w:rFonts w:eastAsia="Times New Roman" w:cs="Times New Roman"/>
          <w:lang w:val="en-GB"/>
        </w:rPr>
        <w:t>(</w:t>
      </w:r>
      <w:r w:rsidRPr="0040433A">
        <w:rPr>
          <w:rFonts w:eastAsia="Times New Roman" w:cs="Times New Roman"/>
          <w:lang w:val="en-GB"/>
        </w:rPr>
        <w:t>ICJ</w:t>
      </w:r>
      <w:r w:rsidR="002A1247">
        <w:rPr>
          <w:rFonts w:eastAsia="Times New Roman" w:cs="Times New Roman"/>
          <w:lang w:val="en-GB"/>
        </w:rPr>
        <w:t>)</w:t>
      </w:r>
      <w:r w:rsidRPr="0040433A">
        <w:rPr>
          <w:rFonts w:eastAsia="Times New Roman" w:cs="Times New Roman"/>
          <w:lang w:val="en-GB"/>
        </w:rPr>
        <w:t xml:space="preserve"> </w:t>
      </w:r>
      <w:r w:rsidR="00D81580">
        <w:rPr>
          <w:rFonts w:eastAsia="Times New Roman" w:cs="Times New Roman"/>
          <w:i/>
          <w:lang w:val="en-GB"/>
        </w:rPr>
        <w:t>Reparation</w:t>
      </w:r>
      <w:r w:rsidRPr="0040433A">
        <w:rPr>
          <w:rFonts w:eastAsia="Times New Roman" w:cs="Times New Roman"/>
          <w:lang w:val="en-GB"/>
        </w:rPr>
        <w:t xml:space="preserve"> Advisory Opinion.</w:t>
      </w:r>
      <w:r w:rsidRPr="0040433A">
        <w:rPr>
          <w:rFonts w:eastAsia="Times New Roman" w:cs="Times New Roman"/>
          <w:vertAlign w:val="superscript"/>
          <w:lang w:val="en-GB"/>
        </w:rPr>
        <w:footnoteReference w:id="38"/>
      </w:r>
      <w:r w:rsidRPr="0040433A">
        <w:rPr>
          <w:rFonts w:eastAsia="Times New Roman" w:cs="Times New Roman"/>
          <w:lang w:val="en-GB"/>
        </w:rPr>
        <w:t xml:space="preserve"> That an entity is perceived as an international legal person to the extent that it is so-defined by positive law</w:t>
      </w:r>
      <w:r w:rsidRPr="0040433A">
        <w:rPr>
          <w:rFonts w:eastAsia="Times New Roman" w:cs="Times New Roman"/>
          <w:vertAlign w:val="superscript"/>
          <w:lang w:val="en-GB"/>
        </w:rPr>
        <w:footnoteReference w:id="39"/>
      </w:r>
      <w:r w:rsidR="003733CC" w:rsidRPr="0040433A">
        <w:rPr>
          <w:rFonts w:eastAsia="Times New Roman" w:cs="Times New Roman"/>
          <w:lang w:val="en-GB"/>
        </w:rPr>
        <w:t xml:space="preserve"> </w:t>
      </w:r>
      <w:r w:rsidR="00FA4E5B" w:rsidRPr="0040433A">
        <w:rPr>
          <w:rFonts w:eastAsia="Times New Roman" w:cs="Times New Roman"/>
          <w:lang w:val="en-GB"/>
        </w:rPr>
        <w:t>is not problematic under</w:t>
      </w:r>
      <w:r w:rsidRPr="0040433A">
        <w:rPr>
          <w:rFonts w:eastAsia="Times New Roman" w:cs="Times New Roman"/>
          <w:lang w:val="en-GB"/>
        </w:rPr>
        <w:t xml:space="preserve"> formalist logic.</w:t>
      </w:r>
      <w:r w:rsidRPr="0040433A">
        <w:rPr>
          <w:rFonts w:eastAsia="Times New Roman" w:cs="Times New Roman"/>
          <w:vertAlign w:val="superscript"/>
          <w:lang w:val="en-GB"/>
        </w:rPr>
        <w:footnoteReference w:id="40"/>
      </w:r>
      <w:r w:rsidRPr="0040433A">
        <w:rPr>
          <w:rFonts w:eastAsia="Times New Roman" w:cs="Times New Roman"/>
          <w:lang w:val="en-GB"/>
        </w:rPr>
        <w:t xml:space="preserve"> That different entities might be the addressees of varying rights and obligations</w:t>
      </w:r>
      <w:r w:rsidRPr="0040433A">
        <w:rPr>
          <w:rFonts w:eastAsia="Times New Roman" w:cs="Times New Roman"/>
          <w:vertAlign w:val="superscript"/>
          <w:lang w:val="en-GB"/>
        </w:rPr>
        <w:footnoteReference w:id="41"/>
      </w:r>
      <w:r w:rsidRPr="0040433A">
        <w:rPr>
          <w:rFonts w:eastAsia="Times New Roman" w:cs="Times New Roman"/>
          <w:lang w:val="en-GB"/>
        </w:rPr>
        <w:t xml:space="preserve"> need not be expressed in terms such as ‘full’</w:t>
      </w:r>
      <w:r w:rsidR="008200CF" w:rsidRPr="0040433A">
        <w:rPr>
          <w:rFonts w:eastAsia="Times New Roman" w:cs="Times New Roman"/>
          <w:lang w:val="en-GB"/>
        </w:rPr>
        <w:t xml:space="preserve"> or ‘limited’ personality.</w:t>
      </w:r>
      <w:r w:rsidRPr="0040433A">
        <w:rPr>
          <w:rFonts w:eastAsia="Times New Roman" w:cs="Times New Roman"/>
          <w:lang w:val="en-GB"/>
        </w:rPr>
        <w:t xml:space="preserve"> </w:t>
      </w:r>
      <w:r w:rsidR="00FA4E5B" w:rsidRPr="0040433A">
        <w:rPr>
          <w:rFonts w:eastAsia="Times New Roman" w:cs="Times New Roman"/>
          <w:lang w:val="en-GB"/>
        </w:rPr>
        <w:t>Legal</w:t>
      </w:r>
      <w:r w:rsidRPr="0040433A">
        <w:rPr>
          <w:rFonts w:eastAsia="Times New Roman" w:cs="Times New Roman"/>
          <w:lang w:val="en-GB"/>
        </w:rPr>
        <w:t xml:space="preserve"> persons are </w:t>
      </w:r>
      <w:r w:rsidR="00FA4E5B" w:rsidRPr="0040433A">
        <w:rPr>
          <w:rFonts w:eastAsia="Times New Roman" w:cs="Times New Roman"/>
          <w:lang w:val="en-GB"/>
        </w:rPr>
        <w:t>merely</w:t>
      </w:r>
      <w:r w:rsidRPr="0040433A">
        <w:rPr>
          <w:rFonts w:eastAsia="Times New Roman" w:cs="Times New Roman"/>
          <w:lang w:val="en-GB"/>
        </w:rPr>
        <w:t xml:space="preserve"> devices employed to describe legal phenomena, in particular, the referral or imputation</w:t>
      </w:r>
      <w:r w:rsidR="00155099">
        <w:rPr>
          <w:rFonts w:eastAsia="Times New Roman" w:cs="Times New Roman"/>
          <w:lang w:val="en-GB"/>
        </w:rPr>
        <w:t xml:space="preserve"> </w:t>
      </w:r>
      <w:r w:rsidRPr="0040433A">
        <w:rPr>
          <w:rFonts w:eastAsia="Times New Roman" w:cs="Times New Roman"/>
          <w:lang w:val="en-GB"/>
        </w:rPr>
        <w:t>of norms regulating human behaviour to an ‘order’ or ‘corporation’</w:t>
      </w:r>
      <w:r w:rsidR="00FA4E5B" w:rsidRPr="0040433A">
        <w:rPr>
          <w:rFonts w:eastAsia="Times New Roman" w:cs="Times New Roman"/>
          <w:lang w:val="en-GB"/>
        </w:rPr>
        <w:t>.</w:t>
      </w:r>
      <w:r w:rsidR="00661EF6" w:rsidRPr="00661EF6">
        <w:rPr>
          <w:rFonts w:eastAsia="Times New Roman" w:cs="Times New Roman"/>
          <w:vertAlign w:val="superscript"/>
          <w:lang w:val="en-GB"/>
        </w:rPr>
        <w:t xml:space="preserve"> </w:t>
      </w:r>
      <w:r w:rsidR="00661EF6" w:rsidRPr="0040433A">
        <w:rPr>
          <w:rFonts w:eastAsia="Times New Roman" w:cs="Times New Roman"/>
          <w:vertAlign w:val="superscript"/>
          <w:lang w:val="en-GB"/>
        </w:rPr>
        <w:footnoteReference w:id="42"/>
      </w:r>
      <w:r w:rsidR="00661EF6" w:rsidRPr="0040433A">
        <w:rPr>
          <w:rFonts w:eastAsia="Times New Roman" w:cs="Times New Roman"/>
          <w:lang w:val="en-GB"/>
        </w:rPr>
        <w:t xml:space="preserve"> </w:t>
      </w:r>
      <w:r w:rsidR="00FA4E5B" w:rsidRPr="0040433A">
        <w:rPr>
          <w:rFonts w:eastAsia="Times New Roman" w:cs="Times New Roman"/>
          <w:lang w:val="en-GB"/>
        </w:rPr>
        <w:t xml:space="preserve"> This includes, but is</w:t>
      </w:r>
      <w:r w:rsidRPr="0040433A">
        <w:rPr>
          <w:rFonts w:eastAsia="Times New Roman" w:cs="Times New Roman"/>
          <w:lang w:val="en-GB"/>
        </w:rPr>
        <w:t xml:space="preserve"> not necessarily </w:t>
      </w:r>
      <w:r w:rsidR="008200CF" w:rsidRPr="0040433A">
        <w:rPr>
          <w:rFonts w:eastAsia="Times New Roman" w:cs="Times New Roman"/>
          <w:lang w:val="en-GB"/>
        </w:rPr>
        <w:t>limited to</w:t>
      </w:r>
      <w:r w:rsidRPr="0040433A">
        <w:rPr>
          <w:rFonts w:eastAsia="Times New Roman" w:cs="Times New Roman"/>
          <w:lang w:val="en-GB"/>
        </w:rPr>
        <w:t>, State</w:t>
      </w:r>
      <w:r w:rsidR="002C0678" w:rsidRPr="0040433A">
        <w:rPr>
          <w:rFonts w:eastAsia="Times New Roman" w:cs="Times New Roman"/>
          <w:lang w:val="en-GB"/>
        </w:rPr>
        <w:t>s</w:t>
      </w:r>
      <w:r w:rsidRPr="0040433A">
        <w:rPr>
          <w:rFonts w:eastAsia="Times New Roman" w:cs="Times New Roman"/>
          <w:lang w:val="en-GB"/>
        </w:rPr>
        <w:t>.</w:t>
      </w:r>
      <w:r w:rsidRPr="0040433A">
        <w:rPr>
          <w:rFonts w:eastAsia="Times New Roman" w:cs="Times New Roman"/>
          <w:vertAlign w:val="superscript"/>
          <w:lang w:val="en-GB"/>
        </w:rPr>
        <w:footnoteReference w:id="43"/>
      </w:r>
      <w:r w:rsidR="0020647A" w:rsidRPr="0040433A">
        <w:rPr>
          <w:rFonts w:eastAsia="Times New Roman" w:cs="Times New Roman"/>
          <w:lang w:val="en-GB"/>
        </w:rPr>
        <w:t xml:space="preserve"> The consequences of this </w:t>
      </w:r>
      <w:r w:rsidR="00FA4E5B" w:rsidRPr="0040433A">
        <w:rPr>
          <w:rFonts w:eastAsia="Times New Roman" w:cs="Times New Roman"/>
          <w:lang w:val="en-GB"/>
        </w:rPr>
        <w:t>view in the context of</w:t>
      </w:r>
      <w:r w:rsidR="00661EF6">
        <w:rPr>
          <w:rFonts w:eastAsia="Times New Roman" w:cs="Times New Roman"/>
          <w:lang w:val="en-GB"/>
        </w:rPr>
        <w:t xml:space="preserve"> non-State actors </w:t>
      </w:r>
      <w:r w:rsidR="00B432A1" w:rsidRPr="0040433A">
        <w:rPr>
          <w:rFonts w:eastAsia="Times New Roman" w:cs="Times New Roman"/>
          <w:lang w:val="en-GB"/>
        </w:rPr>
        <w:t>are</w:t>
      </w:r>
      <w:r w:rsidR="00FA4E5B" w:rsidRPr="0040433A">
        <w:rPr>
          <w:rFonts w:eastAsia="Times New Roman" w:cs="Times New Roman"/>
          <w:lang w:val="en-GB"/>
        </w:rPr>
        <w:t xml:space="preserve"> clear</w:t>
      </w:r>
      <w:r w:rsidR="00AB6C4E">
        <w:rPr>
          <w:rFonts w:eastAsia="Times New Roman" w:cs="Times New Roman"/>
          <w:lang w:val="en-GB"/>
        </w:rPr>
        <w:t>;</w:t>
      </w:r>
      <w:r w:rsidR="0020647A" w:rsidRPr="0040433A">
        <w:rPr>
          <w:rFonts w:eastAsia="Times New Roman" w:cs="Times New Roman"/>
          <w:lang w:val="en-GB"/>
        </w:rPr>
        <w:t xml:space="preserve"> international personality is </w:t>
      </w:r>
      <w:r w:rsidR="009B3F88">
        <w:rPr>
          <w:rFonts w:eastAsia="Times New Roman" w:cs="Times New Roman"/>
          <w:lang w:val="en-GB"/>
        </w:rPr>
        <w:t xml:space="preserve">an </w:t>
      </w:r>
      <w:r w:rsidR="0020647A" w:rsidRPr="0040433A">
        <w:rPr>
          <w:rFonts w:eastAsia="Times New Roman" w:cs="Times New Roman"/>
          <w:lang w:val="en-GB"/>
        </w:rPr>
        <w:t>entirely open</w:t>
      </w:r>
      <w:r w:rsidR="00FF65F6" w:rsidRPr="0040433A">
        <w:rPr>
          <w:rFonts w:eastAsia="Times New Roman" w:cs="Times New Roman"/>
          <w:lang w:val="en-GB"/>
        </w:rPr>
        <w:t xml:space="preserve"> and neutral</w:t>
      </w:r>
      <w:r w:rsidR="009B3F88">
        <w:rPr>
          <w:rFonts w:eastAsia="Times New Roman" w:cs="Times New Roman"/>
          <w:lang w:val="en-GB"/>
        </w:rPr>
        <w:t xml:space="preserve"> concept.</w:t>
      </w:r>
      <w:r w:rsidR="0020647A" w:rsidRPr="0040433A">
        <w:rPr>
          <w:rFonts w:eastAsia="Times New Roman" w:cs="Times New Roman"/>
          <w:vertAlign w:val="superscript"/>
          <w:lang w:val="en-GB"/>
        </w:rPr>
        <w:footnoteReference w:id="44"/>
      </w:r>
      <w:r w:rsidR="009B3F88">
        <w:rPr>
          <w:rFonts w:eastAsia="Times New Roman" w:cs="Times New Roman"/>
          <w:lang w:val="en-GB"/>
        </w:rPr>
        <w:t xml:space="preserve"> I</w:t>
      </w:r>
      <w:r w:rsidR="0020647A" w:rsidRPr="0040433A">
        <w:rPr>
          <w:rFonts w:eastAsia="Times New Roman" w:cs="Times New Roman"/>
          <w:lang w:val="en-GB"/>
        </w:rPr>
        <w:t xml:space="preserve">t entails no presumptions as to the political status of the entity, or as to which rights and capacities a </w:t>
      </w:r>
      <w:r w:rsidR="00AB6C4E">
        <w:rPr>
          <w:rFonts w:eastAsia="Times New Roman" w:cs="Times New Roman"/>
          <w:lang w:val="en-GB"/>
        </w:rPr>
        <w:t>‘</w:t>
      </w:r>
      <w:r w:rsidR="0020647A" w:rsidRPr="0040433A">
        <w:rPr>
          <w:rFonts w:eastAsia="Times New Roman" w:cs="Times New Roman"/>
          <w:lang w:val="en-GB"/>
        </w:rPr>
        <w:t>subject</w:t>
      </w:r>
      <w:r w:rsidR="00AB6C4E">
        <w:rPr>
          <w:rFonts w:eastAsia="Times New Roman" w:cs="Times New Roman"/>
          <w:lang w:val="en-GB"/>
        </w:rPr>
        <w:t>’</w:t>
      </w:r>
      <w:r w:rsidR="0020647A" w:rsidRPr="0040433A">
        <w:rPr>
          <w:rFonts w:eastAsia="Times New Roman" w:cs="Times New Roman"/>
          <w:lang w:val="en-GB"/>
        </w:rPr>
        <w:t xml:space="preserve"> of international law</w:t>
      </w:r>
      <w:r w:rsidR="00CF6DC9" w:rsidRPr="0040433A">
        <w:rPr>
          <w:rFonts w:eastAsia="Times New Roman" w:cs="Times New Roman"/>
          <w:lang w:val="en-GB"/>
        </w:rPr>
        <w:t xml:space="preserve"> naturally</w:t>
      </w:r>
      <w:r w:rsidR="0020647A" w:rsidRPr="0040433A">
        <w:rPr>
          <w:rFonts w:eastAsia="Times New Roman" w:cs="Times New Roman"/>
          <w:lang w:val="en-GB"/>
        </w:rPr>
        <w:t xml:space="preserve"> ‘possesses’.</w:t>
      </w:r>
      <w:r w:rsidR="0020647A" w:rsidRPr="0040433A">
        <w:rPr>
          <w:rFonts w:eastAsia="Times New Roman" w:cs="Times New Roman"/>
          <w:vertAlign w:val="superscript"/>
          <w:lang w:val="en-GB"/>
        </w:rPr>
        <w:footnoteReference w:id="45"/>
      </w:r>
      <w:r w:rsidR="0020647A" w:rsidRPr="0040433A">
        <w:rPr>
          <w:rFonts w:eastAsia="Times New Roman" w:cs="Times New Roman"/>
          <w:lang w:val="en-GB"/>
        </w:rPr>
        <w:t xml:space="preserve"> </w:t>
      </w:r>
      <w:r w:rsidR="00FA4E5B" w:rsidRPr="0040433A">
        <w:rPr>
          <w:rFonts w:eastAsia="Times New Roman" w:cs="Times New Roman"/>
          <w:lang w:val="en-GB"/>
        </w:rPr>
        <w:t>Rather, t</w:t>
      </w:r>
      <w:r w:rsidR="0020647A" w:rsidRPr="0040433A">
        <w:rPr>
          <w:rFonts w:eastAsia="Times New Roman" w:cs="Times New Roman"/>
          <w:lang w:val="en-GB"/>
        </w:rPr>
        <w:t>he law-</w:t>
      </w:r>
      <w:r w:rsidR="00FA4E5B" w:rsidRPr="0040433A">
        <w:rPr>
          <w:rFonts w:eastAsia="Times New Roman" w:cs="Times New Roman"/>
          <w:lang w:val="en-GB"/>
        </w:rPr>
        <w:t xml:space="preserve">making capacity </w:t>
      </w:r>
      <w:r w:rsidR="0020647A" w:rsidRPr="0040433A">
        <w:rPr>
          <w:rFonts w:eastAsia="Times New Roman" w:cs="Times New Roman"/>
          <w:lang w:val="en-GB"/>
        </w:rPr>
        <w:t>of States is prescribed by a higher norm, or more specifically, such a competence is assigned by the law to an individual, in their capacity as an agent, and then imputed to the State legal order. Thus, the conflation between addressee and law-</w:t>
      </w:r>
      <w:r w:rsidR="00F655FF" w:rsidRPr="0040433A">
        <w:rPr>
          <w:rFonts w:eastAsia="Times New Roman" w:cs="Times New Roman"/>
          <w:lang w:val="en-GB"/>
        </w:rPr>
        <w:t>maker is completely dissolved on this formalist view</w:t>
      </w:r>
      <w:r w:rsidR="0020647A" w:rsidRPr="0040433A">
        <w:rPr>
          <w:rFonts w:eastAsia="Times New Roman" w:cs="Times New Roman"/>
          <w:lang w:val="en-GB"/>
        </w:rPr>
        <w:t xml:space="preserve">. Law-creating competence may be imputed to </w:t>
      </w:r>
      <w:r w:rsidR="0020647A" w:rsidRPr="0040433A">
        <w:rPr>
          <w:rFonts w:eastAsia="Times New Roman" w:cs="Times New Roman"/>
          <w:i/>
          <w:lang w:val="en-GB"/>
        </w:rPr>
        <w:t>any</w:t>
      </w:r>
      <w:r w:rsidR="0020647A" w:rsidRPr="0040433A">
        <w:rPr>
          <w:rFonts w:eastAsia="Times New Roman" w:cs="Times New Roman"/>
          <w:lang w:val="en-GB"/>
        </w:rPr>
        <w:t xml:space="preserve"> entity</w:t>
      </w:r>
      <w:r w:rsidR="002C0678" w:rsidRPr="0040433A">
        <w:rPr>
          <w:rFonts w:eastAsia="Times New Roman" w:cs="Times New Roman"/>
          <w:lang w:val="en-GB"/>
        </w:rPr>
        <w:t xml:space="preserve">, but it is not </w:t>
      </w:r>
      <w:r w:rsidR="002C0678" w:rsidRPr="0040433A">
        <w:rPr>
          <w:rFonts w:eastAsia="Times New Roman" w:cs="Times New Roman"/>
          <w:i/>
          <w:lang w:val="en-GB"/>
        </w:rPr>
        <w:t>necessary</w:t>
      </w:r>
      <w:r w:rsidR="009F3427" w:rsidRPr="0040433A">
        <w:rPr>
          <w:rFonts w:eastAsia="Times New Roman" w:cs="Times New Roman"/>
          <w:lang w:val="en-GB"/>
        </w:rPr>
        <w:t xml:space="preserve"> to establish the validity of an </w:t>
      </w:r>
      <w:r w:rsidR="002C0678" w:rsidRPr="0040433A">
        <w:rPr>
          <w:rFonts w:eastAsia="Times New Roman" w:cs="Times New Roman"/>
          <w:lang w:val="en-GB"/>
        </w:rPr>
        <w:t>obligation.</w:t>
      </w:r>
      <w:r w:rsidR="0020647A" w:rsidRPr="0040433A">
        <w:rPr>
          <w:rFonts w:eastAsia="Times New Roman" w:cs="Times New Roman"/>
          <w:lang w:val="en-GB"/>
        </w:rPr>
        <w:t xml:space="preserve"> </w:t>
      </w:r>
    </w:p>
    <w:p w14:paraId="128DEFEF" w14:textId="16C6C96A" w:rsidR="00BE6E4A" w:rsidRPr="0040433A" w:rsidRDefault="00C8440D" w:rsidP="0040433A">
      <w:pPr>
        <w:spacing w:line="276" w:lineRule="auto"/>
        <w:ind w:firstLine="720"/>
        <w:jc w:val="both"/>
        <w:rPr>
          <w:rFonts w:eastAsia="Times New Roman" w:cs="Times New Roman"/>
          <w:lang w:val="en-GB"/>
        </w:rPr>
      </w:pPr>
      <w:r>
        <w:rPr>
          <w:lang w:val="en-GB"/>
        </w:rPr>
        <w:t>Kelsen’s</w:t>
      </w:r>
      <w:r w:rsidR="00131DB4" w:rsidRPr="0040433A">
        <w:rPr>
          <w:lang w:val="en-GB"/>
        </w:rPr>
        <w:t xml:space="preserve"> model assuage</w:t>
      </w:r>
      <w:r w:rsidR="00294288">
        <w:rPr>
          <w:lang w:val="en-GB"/>
        </w:rPr>
        <w:t>s</w:t>
      </w:r>
      <w:r w:rsidR="00131DB4" w:rsidRPr="0040433A">
        <w:rPr>
          <w:lang w:val="en-GB"/>
        </w:rPr>
        <w:t xml:space="preserve"> traditional contractarian anxieties in international law </w:t>
      </w:r>
      <w:r w:rsidR="00112C43">
        <w:rPr>
          <w:lang w:val="en-GB"/>
        </w:rPr>
        <w:t xml:space="preserve">concerning </w:t>
      </w:r>
      <w:r w:rsidR="00131DB4" w:rsidRPr="0040433A">
        <w:rPr>
          <w:lang w:val="en-GB"/>
        </w:rPr>
        <w:t>the attribution of responsibility to third parties in relation to primary obligations to which they have not themselves expressly consented.</w:t>
      </w:r>
      <w:r w:rsidR="00131DB4" w:rsidRPr="0040433A">
        <w:rPr>
          <w:rStyle w:val="FootnoteReference"/>
          <w:sz w:val="24"/>
          <w:lang w:val="en-GB"/>
        </w:rPr>
        <w:footnoteReference w:id="46"/>
      </w:r>
      <w:r w:rsidR="0001212B" w:rsidRPr="0040433A">
        <w:rPr>
          <w:lang w:val="en-GB"/>
        </w:rPr>
        <w:t xml:space="preserve"> </w:t>
      </w:r>
      <w:r w:rsidR="0001212B" w:rsidRPr="0040433A">
        <w:rPr>
          <w:rFonts w:eastAsia="Times New Roman" w:cs="Times New Roman"/>
          <w:lang w:val="en-GB"/>
        </w:rPr>
        <w:t xml:space="preserve">Binding quality is not derived from the consent or natural status of the addressee but from the legal order itself, which ultimately finds its basis in the </w:t>
      </w:r>
      <w:r w:rsidR="00602E85" w:rsidRPr="0040433A">
        <w:rPr>
          <w:rFonts w:eastAsia="Times New Roman" w:cs="Times New Roman"/>
          <w:i/>
          <w:lang w:val="en-GB"/>
        </w:rPr>
        <w:t>G</w:t>
      </w:r>
      <w:r w:rsidR="0001212B" w:rsidRPr="0040433A">
        <w:rPr>
          <w:rFonts w:eastAsia="Times New Roman" w:cs="Times New Roman"/>
          <w:i/>
          <w:lang w:val="en-GB"/>
        </w:rPr>
        <w:t>rundnorm</w:t>
      </w:r>
      <w:r w:rsidR="003A6185" w:rsidRPr="0040433A">
        <w:rPr>
          <w:rFonts w:eastAsia="Times New Roman" w:cs="Times New Roman"/>
          <w:i/>
          <w:lang w:val="en-GB"/>
        </w:rPr>
        <w:t xml:space="preserve"> </w:t>
      </w:r>
      <w:r w:rsidR="003A6185" w:rsidRPr="0040433A">
        <w:rPr>
          <w:rFonts w:eastAsia="Times New Roman" w:cs="Times New Roman"/>
          <w:lang w:val="en-GB"/>
        </w:rPr>
        <w:t>or basic norm</w:t>
      </w:r>
      <w:r w:rsidR="0001212B" w:rsidRPr="0040433A">
        <w:rPr>
          <w:rFonts w:eastAsia="Times New Roman" w:cs="Times New Roman"/>
          <w:lang w:val="en-GB"/>
        </w:rPr>
        <w:t>.</w:t>
      </w:r>
      <w:r w:rsidR="0001212B" w:rsidRPr="0040433A">
        <w:rPr>
          <w:rFonts w:eastAsia="Times New Roman" w:cs="Times New Roman"/>
          <w:vertAlign w:val="superscript"/>
          <w:lang w:val="en-GB"/>
        </w:rPr>
        <w:footnoteReference w:id="47"/>
      </w:r>
      <w:r w:rsidR="003A6185" w:rsidRPr="0040433A">
        <w:rPr>
          <w:rFonts w:eastAsia="Times New Roman" w:cs="Times New Roman"/>
          <w:lang w:val="en-GB"/>
        </w:rPr>
        <w:t xml:space="preserve"> While the controversy surrounding</w:t>
      </w:r>
      <w:r w:rsidR="00D769AE" w:rsidRPr="0040433A">
        <w:rPr>
          <w:rFonts w:eastAsia="Times New Roman" w:cs="Times New Roman"/>
          <w:lang w:val="en-GB"/>
        </w:rPr>
        <w:t xml:space="preserve"> this</w:t>
      </w:r>
      <w:r w:rsidR="003A6185" w:rsidRPr="0040433A">
        <w:rPr>
          <w:rFonts w:eastAsia="Times New Roman" w:cs="Times New Roman"/>
          <w:lang w:val="en-GB"/>
        </w:rPr>
        <w:t xml:space="preserve"> concept ca</w:t>
      </w:r>
      <w:r w:rsidR="00446CA7" w:rsidRPr="0040433A">
        <w:rPr>
          <w:rFonts w:eastAsia="Times New Roman" w:cs="Times New Roman"/>
          <w:lang w:val="en-GB"/>
        </w:rPr>
        <w:t xml:space="preserve">nnot be denied, it is suggested that this stems from </w:t>
      </w:r>
      <w:r w:rsidR="009B3F88">
        <w:rPr>
          <w:rFonts w:eastAsia="Times New Roman" w:cs="Times New Roman"/>
          <w:lang w:val="en-GB"/>
        </w:rPr>
        <w:t>its</w:t>
      </w:r>
      <w:r w:rsidR="00BE6E4A" w:rsidRPr="0040433A">
        <w:rPr>
          <w:rFonts w:eastAsia="Times New Roman" w:cs="Times New Roman"/>
          <w:lang w:val="en-GB"/>
        </w:rPr>
        <w:t xml:space="preserve"> </w:t>
      </w:r>
      <w:r w:rsidR="00127C1B" w:rsidRPr="0040433A">
        <w:rPr>
          <w:rFonts w:eastAsia="Times New Roman" w:cs="Times New Roman"/>
          <w:lang w:val="en-GB"/>
        </w:rPr>
        <w:t>mischaracteriz</w:t>
      </w:r>
      <w:r w:rsidR="00446CA7" w:rsidRPr="0040433A">
        <w:rPr>
          <w:rFonts w:eastAsia="Times New Roman" w:cs="Times New Roman"/>
          <w:lang w:val="en-GB"/>
        </w:rPr>
        <w:t>ation</w:t>
      </w:r>
      <w:r w:rsidR="00BE6E4A" w:rsidRPr="0040433A">
        <w:rPr>
          <w:rFonts w:eastAsia="Times New Roman" w:cs="Times New Roman"/>
          <w:lang w:val="en-GB"/>
        </w:rPr>
        <w:t xml:space="preserve"> as a form </w:t>
      </w:r>
      <w:r w:rsidR="00916009">
        <w:rPr>
          <w:rFonts w:eastAsia="Times New Roman" w:cs="Times New Roman"/>
          <w:lang w:val="en-GB"/>
        </w:rPr>
        <w:t>of validation akin to that espoused by naturalist jurisprudence</w:t>
      </w:r>
      <w:r w:rsidR="00446CA7" w:rsidRPr="0040433A">
        <w:rPr>
          <w:rFonts w:eastAsia="Times New Roman" w:cs="Times New Roman"/>
          <w:lang w:val="en-GB"/>
        </w:rPr>
        <w:t>.</w:t>
      </w:r>
      <w:r w:rsidR="00BE6E4A" w:rsidRPr="0040433A">
        <w:rPr>
          <w:rStyle w:val="FootnoteReference"/>
          <w:rFonts w:eastAsia="Times New Roman" w:cs="Times New Roman"/>
          <w:sz w:val="24"/>
          <w:lang w:val="en-GB"/>
        </w:rPr>
        <w:footnoteReference w:id="48"/>
      </w:r>
      <w:r w:rsidR="00B03304">
        <w:rPr>
          <w:rFonts w:eastAsia="Times New Roman" w:cs="Times New Roman"/>
          <w:lang w:val="en-GB"/>
        </w:rPr>
        <w:t xml:space="preserve"> Kelsen’s explanation of legal validity ultimately rests </w:t>
      </w:r>
      <w:r w:rsidR="00916009">
        <w:rPr>
          <w:rFonts w:eastAsia="Times New Roman" w:cs="Times New Roman"/>
          <w:lang w:val="en-GB"/>
        </w:rPr>
        <w:t>o</w:t>
      </w:r>
      <w:r w:rsidR="00B03304">
        <w:rPr>
          <w:rFonts w:eastAsia="Times New Roman" w:cs="Times New Roman"/>
          <w:lang w:val="en-GB"/>
        </w:rPr>
        <w:t>n a</w:t>
      </w:r>
      <w:r w:rsidR="00916009">
        <w:rPr>
          <w:rFonts w:eastAsia="Times New Roman" w:cs="Times New Roman"/>
          <w:lang w:val="en-GB"/>
        </w:rPr>
        <w:t xml:space="preserve"> basic</w:t>
      </w:r>
      <w:r w:rsidR="00B03304">
        <w:rPr>
          <w:rFonts w:eastAsia="Times New Roman" w:cs="Times New Roman"/>
          <w:lang w:val="en-GB"/>
        </w:rPr>
        <w:t xml:space="preserve"> norm that cannot be positively determined. As such, the </w:t>
      </w:r>
      <w:r w:rsidR="00B03304">
        <w:rPr>
          <w:rFonts w:eastAsia="Times New Roman" w:cs="Times New Roman"/>
          <w:i/>
          <w:lang w:val="en-GB"/>
        </w:rPr>
        <w:t>Grundnorm</w:t>
      </w:r>
      <w:r w:rsidR="00B03304">
        <w:rPr>
          <w:rFonts w:eastAsia="Times New Roman" w:cs="Times New Roman"/>
          <w:lang w:val="en-GB"/>
        </w:rPr>
        <w:t xml:space="preserve"> may be taken to be </w:t>
      </w:r>
      <w:r w:rsidR="00916009">
        <w:rPr>
          <w:rFonts w:eastAsia="Times New Roman" w:cs="Times New Roman"/>
          <w:lang w:val="en-GB"/>
        </w:rPr>
        <w:t>equivalent</w:t>
      </w:r>
      <w:r w:rsidR="00B03304">
        <w:rPr>
          <w:rFonts w:eastAsia="Times New Roman" w:cs="Times New Roman"/>
          <w:lang w:val="en-GB"/>
        </w:rPr>
        <w:t xml:space="preserve"> to a command emanating from the divine.</w:t>
      </w:r>
      <w:r w:rsidR="009B3F88">
        <w:rPr>
          <w:rFonts w:eastAsia="Times New Roman" w:cs="Times New Roman"/>
          <w:lang w:val="en-GB"/>
        </w:rPr>
        <w:t xml:space="preserve"> </w:t>
      </w:r>
      <w:r w:rsidR="009318E7">
        <w:rPr>
          <w:rFonts w:eastAsia="Times New Roman" w:cs="Times New Roman"/>
          <w:lang w:val="en-GB"/>
        </w:rPr>
        <w:t>In Kelsen’s words:</w:t>
      </w:r>
    </w:p>
    <w:p w14:paraId="6A3A6562" w14:textId="191E35CC" w:rsidR="00BE6E4A" w:rsidRPr="0040433A" w:rsidRDefault="00BE6E4A" w:rsidP="0040433A">
      <w:pPr>
        <w:spacing w:before="240" w:after="240" w:line="276" w:lineRule="auto"/>
        <w:ind w:left="720"/>
        <w:jc w:val="both"/>
        <w:rPr>
          <w:rFonts w:eastAsia="Times New Roman" w:cs="Times New Roman"/>
          <w:lang w:val="en-GB"/>
        </w:rPr>
      </w:pPr>
      <w:r w:rsidRPr="0040433A">
        <w:rPr>
          <w:rFonts w:eastAsia="Times New Roman" w:cs="Times New Roman"/>
          <w:lang w:val="en-GB"/>
        </w:rPr>
        <w:t>[T]he theory of the basic norm may be considered a natural law doctrine in keeping with Kant’s transcendental logic. There still remains the enormous difference which separates, and forever must separate, the transcendental conditions of all empirical knowledge and consequently the laws prevailing in nature on the one side from the transcendent metaphysics beyo</w:t>
      </w:r>
      <w:r w:rsidR="007E62F9" w:rsidRPr="0040433A">
        <w:rPr>
          <w:rFonts w:eastAsia="Times New Roman" w:cs="Times New Roman"/>
          <w:lang w:val="en-GB"/>
        </w:rPr>
        <w:t>nd all experience on the other.</w:t>
      </w:r>
      <w:r w:rsidRPr="0040433A">
        <w:rPr>
          <w:rFonts w:eastAsia="Times New Roman" w:cs="Times New Roman"/>
          <w:vertAlign w:val="superscript"/>
          <w:lang w:val="en-GB"/>
        </w:rPr>
        <w:footnoteReference w:id="49"/>
      </w:r>
      <w:r w:rsidRPr="0040433A">
        <w:rPr>
          <w:rFonts w:eastAsia="Times New Roman" w:cs="Times New Roman"/>
          <w:lang w:val="en-GB"/>
        </w:rPr>
        <w:t xml:space="preserve"> </w:t>
      </w:r>
    </w:p>
    <w:p w14:paraId="1333840D" w14:textId="2A3DFD30" w:rsidR="00BE6E4A" w:rsidRPr="0040433A" w:rsidRDefault="009B3F88" w:rsidP="009B3F88">
      <w:pPr>
        <w:spacing w:line="276" w:lineRule="auto"/>
        <w:ind w:firstLine="720"/>
        <w:jc w:val="both"/>
        <w:rPr>
          <w:rFonts w:eastAsia="Times New Roman" w:cs="Times New Roman"/>
          <w:lang w:val="en-GB"/>
        </w:rPr>
      </w:pPr>
      <w:r>
        <w:rPr>
          <w:rFonts w:eastAsia="Times New Roman" w:cs="Times New Roman"/>
          <w:lang w:val="en-GB"/>
        </w:rPr>
        <w:t>Thus, w</w:t>
      </w:r>
      <w:r w:rsidR="00BE6E4A" w:rsidRPr="0040433A">
        <w:rPr>
          <w:rFonts w:eastAsia="Times New Roman" w:cs="Times New Roman"/>
          <w:lang w:val="en-GB"/>
        </w:rPr>
        <w:t xml:space="preserve">hile the basic norm may serve the same </w:t>
      </w:r>
      <w:r w:rsidR="00BE6E4A" w:rsidRPr="0040433A">
        <w:rPr>
          <w:rFonts w:eastAsia="Times New Roman" w:cs="Times New Roman"/>
          <w:i/>
          <w:lang w:val="en-GB"/>
        </w:rPr>
        <w:t>validating</w:t>
      </w:r>
      <w:r w:rsidR="00BE6E4A" w:rsidRPr="0040433A">
        <w:rPr>
          <w:rFonts w:eastAsia="Times New Roman" w:cs="Times New Roman"/>
          <w:lang w:val="en-GB"/>
        </w:rPr>
        <w:t xml:space="preserve"> function, and while its existence also lies beyond positivist determination, it</w:t>
      </w:r>
      <w:r>
        <w:rPr>
          <w:rFonts w:eastAsia="Times New Roman" w:cs="Times New Roman"/>
          <w:lang w:val="en-GB"/>
        </w:rPr>
        <w:t>s purpose is entirely different</w:t>
      </w:r>
      <w:r w:rsidR="00BE6E4A" w:rsidRPr="0040433A">
        <w:rPr>
          <w:rFonts w:eastAsia="Times New Roman" w:cs="Times New Roman"/>
          <w:lang w:val="en-GB"/>
        </w:rPr>
        <w:t xml:space="preserve"> and its content is entirely empty.</w:t>
      </w:r>
      <w:r w:rsidR="00BE6E4A" w:rsidRPr="0040433A">
        <w:rPr>
          <w:rFonts w:eastAsia="Times New Roman" w:cs="Times New Roman"/>
          <w:vertAlign w:val="superscript"/>
          <w:lang w:val="en-GB"/>
        </w:rPr>
        <w:footnoteReference w:id="50"/>
      </w:r>
      <w:r w:rsidR="00BE6E4A" w:rsidRPr="0040433A">
        <w:rPr>
          <w:rFonts w:eastAsia="Times New Roman" w:cs="Times New Roman"/>
          <w:lang w:val="en-GB"/>
        </w:rPr>
        <w:t xml:space="preserve"> </w:t>
      </w:r>
      <w:r w:rsidR="009318E7">
        <w:rPr>
          <w:rFonts w:eastAsia="Times New Roman" w:cs="Times New Roman"/>
          <w:lang w:val="en-GB"/>
        </w:rPr>
        <w:t>The content of all l</w:t>
      </w:r>
      <w:r w:rsidR="00CA556E" w:rsidRPr="0040433A">
        <w:rPr>
          <w:rFonts w:eastAsia="Times New Roman" w:cs="Times New Roman"/>
          <w:lang w:val="en-GB"/>
        </w:rPr>
        <w:t>egal n</w:t>
      </w:r>
      <w:r w:rsidR="00155099">
        <w:rPr>
          <w:rFonts w:eastAsia="Times New Roman" w:cs="Times New Roman"/>
          <w:lang w:val="en-GB"/>
        </w:rPr>
        <w:t>orms is</w:t>
      </w:r>
      <w:r w:rsidR="00BE6E4A" w:rsidRPr="0040433A">
        <w:rPr>
          <w:rFonts w:eastAsia="Times New Roman" w:cs="Times New Roman"/>
          <w:lang w:val="en-GB"/>
        </w:rPr>
        <w:t xml:space="preserve"> always </w:t>
      </w:r>
      <w:r>
        <w:rPr>
          <w:rFonts w:eastAsia="Times New Roman" w:cs="Times New Roman"/>
          <w:lang w:val="en-GB"/>
        </w:rPr>
        <w:t>positively</w:t>
      </w:r>
      <w:r w:rsidR="00602E85" w:rsidRPr="0040433A">
        <w:rPr>
          <w:rFonts w:eastAsia="Times New Roman" w:cs="Times New Roman"/>
          <w:lang w:val="en-GB"/>
        </w:rPr>
        <w:t xml:space="preserve"> </w:t>
      </w:r>
      <w:r>
        <w:rPr>
          <w:rFonts w:eastAsia="Times New Roman" w:cs="Times New Roman"/>
          <w:lang w:val="en-GB"/>
        </w:rPr>
        <w:t>determined</w:t>
      </w:r>
      <w:r w:rsidR="00CA556E" w:rsidRPr="0040433A">
        <w:rPr>
          <w:rFonts w:eastAsia="Times New Roman" w:cs="Times New Roman"/>
          <w:lang w:val="en-GB"/>
        </w:rPr>
        <w:t>.</w:t>
      </w:r>
      <w:r w:rsidR="00BE6E4A" w:rsidRPr="0040433A">
        <w:rPr>
          <w:rFonts w:eastAsia="Times New Roman" w:cs="Times New Roman"/>
          <w:vertAlign w:val="superscript"/>
          <w:lang w:val="en-GB"/>
        </w:rPr>
        <w:footnoteReference w:id="51"/>
      </w:r>
      <w:r w:rsidR="00BE6E4A" w:rsidRPr="0040433A">
        <w:rPr>
          <w:rFonts w:eastAsia="Times New Roman" w:cs="Times New Roman"/>
          <w:lang w:val="en-GB"/>
        </w:rPr>
        <w:t xml:space="preserve"> The basic norm simply makes the co</w:t>
      </w:r>
      <w:r w:rsidR="00F438A7" w:rsidRPr="0040433A">
        <w:rPr>
          <w:rFonts w:eastAsia="Times New Roman" w:cs="Times New Roman"/>
          <w:lang w:val="en-GB"/>
        </w:rPr>
        <w:t>gnition of legal norms possible:</w:t>
      </w:r>
      <w:r w:rsidR="00BE6E4A" w:rsidRPr="0040433A">
        <w:rPr>
          <w:rFonts w:eastAsia="Times New Roman" w:cs="Times New Roman"/>
          <w:lang w:val="en-GB"/>
        </w:rPr>
        <w:t xml:space="preserve"> it is </w:t>
      </w:r>
      <w:r w:rsidR="000C4DDC" w:rsidRPr="0040433A">
        <w:rPr>
          <w:rFonts w:eastAsia="Times New Roman" w:cs="Times New Roman"/>
          <w:lang w:val="en-GB"/>
        </w:rPr>
        <w:t>a prism</w:t>
      </w:r>
      <w:r w:rsidR="00BE6E4A" w:rsidRPr="0040433A">
        <w:rPr>
          <w:rFonts w:eastAsia="Times New Roman" w:cs="Times New Roman"/>
          <w:lang w:val="en-GB"/>
        </w:rPr>
        <w:t xml:space="preserve"> through which norms are discernible</w:t>
      </w:r>
      <w:r w:rsidR="00B82DDF" w:rsidRPr="0040433A">
        <w:rPr>
          <w:rFonts w:eastAsia="Times New Roman" w:cs="Times New Roman"/>
          <w:lang w:val="en-GB"/>
        </w:rPr>
        <w:t xml:space="preserve">. </w:t>
      </w:r>
      <w:r w:rsidR="00BE6E4A" w:rsidRPr="0040433A">
        <w:rPr>
          <w:rFonts w:eastAsia="Times New Roman" w:cs="Times New Roman"/>
          <w:lang w:val="en-GB"/>
        </w:rPr>
        <w:t xml:space="preserve">The basis </w:t>
      </w:r>
      <w:r w:rsidR="00B82DDF" w:rsidRPr="0040433A">
        <w:rPr>
          <w:rFonts w:eastAsia="Times New Roman" w:cs="Times New Roman"/>
          <w:lang w:val="en-GB"/>
        </w:rPr>
        <w:t xml:space="preserve">of Pure Theory is a value-free </w:t>
      </w:r>
      <w:r w:rsidR="00BE6E4A" w:rsidRPr="0040433A">
        <w:rPr>
          <w:rFonts w:eastAsia="Times New Roman" w:cs="Times New Roman"/>
          <w:lang w:val="en-GB"/>
        </w:rPr>
        <w:t>presumption of legal validity necessary for the cognition of a positively-defined legal order</w:t>
      </w:r>
      <w:r w:rsidR="009318E7">
        <w:rPr>
          <w:rFonts w:eastAsia="Times New Roman" w:cs="Times New Roman"/>
          <w:lang w:val="en-GB"/>
        </w:rPr>
        <w:t xml:space="preserve"> as a system of norms</w:t>
      </w:r>
      <w:r w:rsidR="00BE6E4A" w:rsidRPr="0040433A">
        <w:rPr>
          <w:rFonts w:eastAsia="Times New Roman" w:cs="Times New Roman"/>
          <w:lang w:val="en-GB"/>
        </w:rPr>
        <w:t>, and not a theological ideal with substantive moral content.</w:t>
      </w:r>
      <w:r w:rsidR="00BE6E4A" w:rsidRPr="0040433A">
        <w:rPr>
          <w:rFonts w:eastAsia="Times New Roman" w:cs="Times New Roman"/>
          <w:vertAlign w:val="superscript"/>
          <w:lang w:val="en-GB"/>
        </w:rPr>
        <w:footnoteReference w:id="52"/>
      </w:r>
      <w:r w:rsidR="00BE6E4A" w:rsidRPr="0040433A">
        <w:rPr>
          <w:rFonts w:eastAsia="Times New Roman" w:cs="Times New Roman"/>
          <w:lang w:val="en-GB"/>
        </w:rPr>
        <w:t xml:space="preserve"> </w:t>
      </w:r>
      <w:r w:rsidR="009833C5" w:rsidRPr="0040433A">
        <w:rPr>
          <w:rFonts w:eastAsia="Times New Roman" w:cs="Times New Roman"/>
          <w:lang w:val="en-GB"/>
        </w:rPr>
        <w:t>Just as the notion of cause and effect in natural science (</w:t>
      </w:r>
      <w:r w:rsidR="009833C5" w:rsidRPr="0040433A">
        <w:rPr>
          <w:rFonts w:eastAsia="Times New Roman" w:cs="Times New Roman"/>
          <w:i/>
          <w:lang w:val="en-GB"/>
        </w:rPr>
        <w:t>is</w:t>
      </w:r>
      <w:r w:rsidR="009833C5" w:rsidRPr="0040433A">
        <w:rPr>
          <w:rFonts w:eastAsia="Times New Roman" w:cs="Times New Roman"/>
          <w:lang w:val="en-GB"/>
        </w:rPr>
        <w:t xml:space="preserve">) must be prevented from infinite regress via the presumption of a ‘first cause’, the </w:t>
      </w:r>
      <w:r w:rsidR="0059614C">
        <w:rPr>
          <w:rFonts w:eastAsia="Times New Roman" w:cs="Times New Roman"/>
          <w:lang w:val="en-GB"/>
        </w:rPr>
        <w:t>G</w:t>
      </w:r>
      <w:r w:rsidR="009833C5" w:rsidRPr="0040433A">
        <w:rPr>
          <w:rFonts w:eastAsia="Times New Roman" w:cs="Times New Roman"/>
          <w:i/>
          <w:lang w:val="en-GB"/>
        </w:rPr>
        <w:t>rundnorm</w:t>
      </w:r>
      <w:r w:rsidR="009833C5" w:rsidRPr="0040433A">
        <w:rPr>
          <w:rFonts w:eastAsia="Times New Roman" w:cs="Times New Roman"/>
          <w:lang w:val="en-GB"/>
        </w:rPr>
        <w:t xml:space="preserve"> serves the same function in the realm of norms (</w:t>
      </w:r>
      <w:r w:rsidR="009833C5" w:rsidRPr="0040433A">
        <w:rPr>
          <w:rFonts w:eastAsia="Times New Roman" w:cs="Times New Roman"/>
          <w:i/>
          <w:lang w:val="en-GB"/>
        </w:rPr>
        <w:t>ought</w:t>
      </w:r>
      <w:r w:rsidR="009833C5" w:rsidRPr="0040433A">
        <w:rPr>
          <w:rFonts w:eastAsia="Times New Roman" w:cs="Times New Roman"/>
          <w:lang w:val="en-GB"/>
        </w:rPr>
        <w:t>).</w:t>
      </w:r>
      <w:r w:rsidR="009833C5" w:rsidRPr="0040433A">
        <w:rPr>
          <w:rFonts w:eastAsia="Times New Roman" w:cs="Times New Roman"/>
          <w:vertAlign w:val="superscript"/>
          <w:lang w:val="en-GB"/>
        </w:rPr>
        <w:footnoteReference w:id="53"/>
      </w:r>
      <w:r w:rsidR="009833C5" w:rsidRPr="0040433A">
        <w:rPr>
          <w:rFonts w:eastAsia="Times New Roman" w:cs="Times New Roman"/>
          <w:lang w:val="en-GB"/>
        </w:rPr>
        <w:t xml:space="preserve"> </w:t>
      </w:r>
      <w:r w:rsidR="00BE6E4A" w:rsidRPr="0040433A">
        <w:rPr>
          <w:rFonts w:eastAsia="Times New Roman" w:cs="Times New Roman"/>
          <w:lang w:val="en-GB"/>
        </w:rPr>
        <w:t xml:space="preserve">The </w:t>
      </w:r>
      <w:r w:rsidR="0059614C">
        <w:rPr>
          <w:rFonts w:eastAsia="Times New Roman" w:cs="Times New Roman"/>
          <w:i/>
          <w:lang w:val="en-GB"/>
        </w:rPr>
        <w:t>G</w:t>
      </w:r>
      <w:r w:rsidR="00BE6E4A" w:rsidRPr="0040433A">
        <w:rPr>
          <w:rFonts w:eastAsia="Times New Roman" w:cs="Times New Roman"/>
          <w:i/>
          <w:lang w:val="en-GB"/>
        </w:rPr>
        <w:t xml:space="preserve">rundnorm </w:t>
      </w:r>
      <w:r w:rsidR="009833C5" w:rsidRPr="0040433A">
        <w:rPr>
          <w:rFonts w:eastAsia="Times New Roman" w:cs="Times New Roman"/>
          <w:lang w:val="en-GB"/>
        </w:rPr>
        <w:t xml:space="preserve">is </w:t>
      </w:r>
      <w:r w:rsidR="00AB6C4E">
        <w:rPr>
          <w:rFonts w:eastAsia="Times New Roman" w:cs="Times New Roman"/>
          <w:lang w:val="en-GB"/>
        </w:rPr>
        <w:t xml:space="preserve">the </w:t>
      </w:r>
      <w:r w:rsidR="009833C5" w:rsidRPr="0040433A">
        <w:rPr>
          <w:rFonts w:eastAsia="Times New Roman" w:cs="Times New Roman"/>
          <w:lang w:val="en-GB"/>
        </w:rPr>
        <w:t>Pure Theory’s ‘big bang’.</w:t>
      </w:r>
      <w:r w:rsidR="00BE6E4A" w:rsidRPr="0040433A">
        <w:rPr>
          <w:rFonts w:eastAsia="Times New Roman" w:cs="Times New Roman"/>
          <w:lang w:val="en-GB"/>
        </w:rPr>
        <w:t xml:space="preserve"> </w:t>
      </w:r>
    </w:p>
    <w:p w14:paraId="7A06FE39" w14:textId="6329A7F2" w:rsidR="00BE6E4A" w:rsidRDefault="00BE6E4A" w:rsidP="0040433A">
      <w:pPr>
        <w:spacing w:line="276" w:lineRule="auto"/>
        <w:ind w:firstLine="720"/>
        <w:jc w:val="both"/>
        <w:rPr>
          <w:rFonts w:eastAsia="Times New Roman" w:cs="Times New Roman"/>
          <w:lang w:val="en-GB"/>
        </w:rPr>
      </w:pPr>
      <w:r w:rsidRPr="0040433A">
        <w:rPr>
          <w:rFonts w:eastAsia="Times New Roman" w:cs="Times New Roman"/>
          <w:lang w:val="en-GB"/>
        </w:rPr>
        <w:t xml:space="preserve">While the strength of this justification in the context of </w:t>
      </w:r>
      <w:r w:rsidR="00B82DDF" w:rsidRPr="0040433A">
        <w:rPr>
          <w:rFonts w:eastAsia="Times New Roman" w:cs="Times New Roman"/>
          <w:lang w:val="en-GB"/>
        </w:rPr>
        <w:t>neo-</w:t>
      </w:r>
      <w:r w:rsidRPr="0040433A">
        <w:rPr>
          <w:rFonts w:eastAsia="Times New Roman" w:cs="Times New Roman"/>
          <w:lang w:val="en-GB"/>
        </w:rPr>
        <w:t>Kantian philosophy has also been subject to cogent criticism,</w:t>
      </w:r>
      <w:r w:rsidRPr="0040433A">
        <w:rPr>
          <w:rFonts w:eastAsia="Times New Roman" w:cs="Times New Roman"/>
          <w:vertAlign w:val="superscript"/>
          <w:lang w:val="en-GB"/>
        </w:rPr>
        <w:footnoteReference w:id="54"/>
      </w:r>
      <w:r w:rsidRPr="0040433A">
        <w:rPr>
          <w:rFonts w:eastAsia="Times New Roman" w:cs="Times New Roman"/>
          <w:lang w:val="en-GB"/>
        </w:rPr>
        <w:t xml:space="preserve"> undermining the </w:t>
      </w:r>
      <w:r w:rsidRPr="00294288">
        <w:rPr>
          <w:rFonts w:eastAsia="Times New Roman" w:cs="Times New Roman"/>
          <w:i/>
          <w:lang w:val="en-GB"/>
        </w:rPr>
        <w:t>necessity</w:t>
      </w:r>
      <w:r w:rsidRPr="0040433A">
        <w:rPr>
          <w:rFonts w:eastAsia="Times New Roman" w:cs="Times New Roman"/>
          <w:lang w:val="en-GB"/>
        </w:rPr>
        <w:t xml:space="preserve"> of a </w:t>
      </w:r>
      <w:r w:rsidR="00294288">
        <w:rPr>
          <w:rFonts w:eastAsia="Times New Roman" w:cs="Times New Roman"/>
          <w:lang w:val="en-GB"/>
        </w:rPr>
        <w:t>strictly</w:t>
      </w:r>
      <w:r w:rsidRPr="0040433A">
        <w:rPr>
          <w:rFonts w:eastAsia="Times New Roman" w:cs="Times New Roman"/>
          <w:lang w:val="en-GB"/>
        </w:rPr>
        <w:t xml:space="preserve"> normative </w:t>
      </w:r>
      <w:r w:rsidR="009833C5" w:rsidRPr="0040433A">
        <w:rPr>
          <w:rFonts w:eastAsia="Times New Roman" w:cs="Times New Roman"/>
          <w:lang w:val="en-GB"/>
        </w:rPr>
        <w:t>view of</w:t>
      </w:r>
      <w:r w:rsidRPr="0040433A">
        <w:rPr>
          <w:rFonts w:eastAsia="Times New Roman" w:cs="Times New Roman"/>
          <w:lang w:val="en-GB"/>
        </w:rPr>
        <w:t xml:space="preserve"> law, this is not fatal</w:t>
      </w:r>
      <w:r w:rsidR="00EE1F92">
        <w:rPr>
          <w:rFonts w:eastAsia="Times New Roman" w:cs="Times New Roman"/>
          <w:lang w:val="en-GB"/>
        </w:rPr>
        <w:t xml:space="preserve"> to</w:t>
      </w:r>
      <w:r w:rsidRPr="0040433A">
        <w:rPr>
          <w:rFonts w:eastAsia="Times New Roman" w:cs="Times New Roman"/>
          <w:lang w:val="en-GB"/>
        </w:rPr>
        <w:t xml:space="preserve"> </w:t>
      </w:r>
      <w:r w:rsidR="00BE1BB4">
        <w:rPr>
          <w:rFonts w:eastAsia="Times New Roman" w:cs="Times New Roman"/>
          <w:lang w:val="en-GB"/>
        </w:rPr>
        <w:t>the</w:t>
      </w:r>
      <w:r w:rsidRPr="0040433A">
        <w:rPr>
          <w:rFonts w:eastAsia="Times New Roman" w:cs="Times New Roman"/>
          <w:lang w:val="en-GB"/>
        </w:rPr>
        <w:t xml:space="preserve"> theory.</w:t>
      </w:r>
      <w:r w:rsidR="00891DCC" w:rsidRPr="0040433A">
        <w:rPr>
          <w:rFonts w:eastAsia="Times New Roman" w:cs="Times New Roman"/>
          <w:vertAlign w:val="superscript"/>
          <w:lang w:val="en-GB"/>
        </w:rPr>
        <w:footnoteReference w:id="55"/>
      </w:r>
      <w:r w:rsidRPr="0040433A">
        <w:rPr>
          <w:rFonts w:eastAsia="Times New Roman" w:cs="Times New Roman"/>
          <w:lang w:val="en-GB"/>
        </w:rPr>
        <w:t xml:space="preserve"> Rather, its claim to uniqueness in solving the antinomy between natural and positive law is undermined, and the </w:t>
      </w:r>
      <w:r w:rsidR="00975604">
        <w:rPr>
          <w:rFonts w:eastAsia="Times New Roman" w:cs="Times New Roman"/>
          <w:lang w:val="en-GB"/>
        </w:rPr>
        <w:t>theory</w:t>
      </w:r>
      <w:r w:rsidRPr="0040433A">
        <w:rPr>
          <w:rFonts w:eastAsia="Times New Roman" w:cs="Times New Roman"/>
          <w:lang w:val="en-GB"/>
        </w:rPr>
        <w:t xml:space="preserve"> simply ‘takes its place alongside other normativist legal theories… perhaps best understood as offering </w:t>
      </w:r>
      <w:r w:rsidRPr="0040433A">
        <w:rPr>
          <w:rFonts w:eastAsia="Times New Roman" w:cs="Times New Roman"/>
          <w:i/>
          <w:lang w:val="en-GB"/>
        </w:rPr>
        <w:t>a legal point of view</w:t>
      </w:r>
      <w:r w:rsidRPr="00222E8F">
        <w:rPr>
          <w:rFonts w:eastAsia="Times New Roman" w:cs="Times New Roman"/>
          <w:lang w:val="en-GB"/>
        </w:rPr>
        <w:t>.’</w:t>
      </w:r>
      <w:r w:rsidRPr="0040433A">
        <w:rPr>
          <w:rFonts w:eastAsia="Times New Roman" w:cs="Times New Roman"/>
          <w:vertAlign w:val="superscript"/>
          <w:lang w:val="en-GB"/>
        </w:rPr>
        <w:footnoteReference w:id="56"/>
      </w:r>
      <w:r w:rsidRPr="0040433A">
        <w:rPr>
          <w:rFonts w:eastAsia="Times New Roman" w:cs="Times New Roman"/>
          <w:lang w:val="en-GB"/>
        </w:rPr>
        <w:t xml:space="preserve"> </w:t>
      </w:r>
      <w:r w:rsidR="00C8440D">
        <w:rPr>
          <w:rFonts w:eastAsia="Times New Roman" w:cs="Times New Roman"/>
          <w:lang w:val="en-GB"/>
        </w:rPr>
        <w:t>I</w:t>
      </w:r>
      <w:r w:rsidRPr="0040433A">
        <w:rPr>
          <w:rFonts w:eastAsia="Times New Roman" w:cs="Times New Roman"/>
          <w:lang w:val="en-GB"/>
        </w:rPr>
        <w:t>n the context of non-State actor regulation, it is clear that</w:t>
      </w:r>
      <w:r w:rsidR="00341F3B" w:rsidRPr="0040433A">
        <w:rPr>
          <w:rFonts w:eastAsia="Times New Roman" w:cs="Times New Roman"/>
          <w:lang w:val="en-GB"/>
        </w:rPr>
        <w:t xml:space="preserve"> the s</w:t>
      </w:r>
      <w:r w:rsidR="00C8440D">
        <w:rPr>
          <w:rFonts w:eastAsia="Times New Roman" w:cs="Times New Roman"/>
          <w:lang w:val="en-GB"/>
        </w:rPr>
        <w:t>trictly normative view advanced</w:t>
      </w:r>
      <w:r w:rsidR="00975604">
        <w:rPr>
          <w:rFonts w:eastAsia="Times New Roman" w:cs="Times New Roman"/>
          <w:lang w:val="en-GB"/>
        </w:rPr>
        <w:t xml:space="preserve"> </w:t>
      </w:r>
      <w:r w:rsidRPr="0040433A">
        <w:rPr>
          <w:rFonts w:eastAsia="Times New Roman" w:cs="Times New Roman"/>
          <w:lang w:val="en-GB"/>
        </w:rPr>
        <w:t xml:space="preserve">has utility both as a critical methodology which exposes the weakness of traditional doctrine, and in the construction of a potential theoretical foundation </w:t>
      </w:r>
      <w:r w:rsidR="00460AA1">
        <w:rPr>
          <w:rFonts w:eastAsia="Times New Roman" w:cs="Times New Roman"/>
          <w:lang w:val="en-GB"/>
        </w:rPr>
        <w:t>that</w:t>
      </w:r>
      <w:r w:rsidRPr="0040433A">
        <w:rPr>
          <w:rFonts w:eastAsia="Times New Roman" w:cs="Times New Roman"/>
          <w:lang w:val="en-GB"/>
        </w:rPr>
        <w:t xml:space="preserve"> is receptive to the direct regulation of </w:t>
      </w:r>
      <w:r w:rsidR="00E47318" w:rsidRPr="0040433A">
        <w:rPr>
          <w:rFonts w:eastAsia="Times New Roman" w:cs="Times New Roman"/>
          <w:lang w:val="en-GB"/>
        </w:rPr>
        <w:t>business actors</w:t>
      </w:r>
      <w:r w:rsidRPr="0040433A">
        <w:rPr>
          <w:rFonts w:eastAsia="Times New Roman" w:cs="Times New Roman"/>
          <w:lang w:val="en-GB"/>
        </w:rPr>
        <w:t xml:space="preserve">. </w:t>
      </w:r>
      <w:r w:rsidR="00975604">
        <w:rPr>
          <w:rFonts w:eastAsia="Times New Roman" w:cs="Times New Roman"/>
          <w:lang w:val="en-GB"/>
        </w:rPr>
        <w:t>This basis having been established, t</w:t>
      </w:r>
      <w:r w:rsidR="00B73290" w:rsidRPr="0040433A">
        <w:rPr>
          <w:rFonts w:eastAsia="Times New Roman" w:cs="Times New Roman"/>
          <w:lang w:val="en-GB"/>
        </w:rPr>
        <w:t xml:space="preserve">he precise form and content of a binding </w:t>
      </w:r>
      <w:r w:rsidR="00BB4A22" w:rsidRPr="0040433A">
        <w:rPr>
          <w:rFonts w:eastAsia="Times New Roman" w:cs="Times New Roman"/>
          <w:lang w:val="en-GB"/>
        </w:rPr>
        <w:t xml:space="preserve">business and human rights </w:t>
      </w:r>
      <w:r w:rsidR="00B73290" w:rsidRPr="0040433A">
        <w:rPr>
          <w:rFonts w:eastAsia="Times New Roman" w:cs="Times New Roman"/>
          <w:lang w:val="en-GB"/>
        </w:rPr>
        <w:t>treaty</w:t>
      </w:r>
      <w:r w:rsidR="00975604">
        <w:rPr>
          <w:rFonts w:eastAsia="Times New Roman" w:cs="Times New Roman"/>
          <w:lang w:val="en-GB"/>
        </w:rPr>
        <w:t xml:space="preserve"> </w:t>
      </w:r>
      <w:r w:rsidR="00B73290" w:rsidRPr="0040433A">
        <w:rPr>
          <w:rFonts w:eastAsia="Times New Roman" w:cs="Times New Roman"/>
          <w:lang w:val="en-GB"/>
        </w:rPr>
        <w:t xml:space="preserve">raises three other important questions, which </w:t>
      </w:r>
      <w:r w:rsidR="00975604">
        <w:rPr>
          <w:rFonts w:eastAsia="Times New Roman" w:cs="Times New Roman"/>
          <w:lang w:val="en-GB"/>
        </w:rPr>
        <w:t>are</w:t>
      </w:r>
      <w:r w:rsidR="00B73290" w:rsidRPr="0040433A">
        <w:rPr>
          <w:rFonts w:eastAsia="Times New Roman" w:cs="Times New Roman"/>
          <w:lang w:val="en-GB"/>
        </w:rPr>
        <w:t xml:space="preserve"> addressed in the remain</w:t>
      </w:r>
      <w:r w:rsidR="00E42F31" w:rsidRPr="0040433A">
        <w:rPr>
          <w:rFonts w:eastAsia="Times New Roman" w:cs="Times New Roman"/>
          <w:lang w:val="en-GB"/>
        </w:rPr>
        <w:t>ing subsections below.</w:t>
      </w:r>
    </w:p>
    <w:p w14:paraId="504AB597" w14:textId="28E0295A" w:rsidR="00C22B7A" w:rsidRPr="0040433A" w:rsidRDefault="0079731E" w:rsidP="0040433A">
      <w:pPr>
        <w:pStyle w:val="Heading1"/>
        <w:numPr>
          <w:ilvl w:val="0"/>
          <w:numId w:val="11"/>
        </w:numPr>
        <w:spacing w:line="276" w:lineRule="auto"/>
        <w:ind w:left="851" w:hanging="491"/>
        <w:jc w:val="center"/>
        <w:rPr>
          <w:b w:val="0"/>
          <w:szCs w:val="24"/>
          <w:lang w:val="en-GB"/>
        </w:rPr>
      </w:pPr>
      <w:r w:rsidRPr="0040433A">
        <w:rPr>
          <w:b w:val="0"/>
          <w:szCs w:val="24"/>
          <w:lang w:val="en-GB"/>
        </w:rPr>
        <w:t>IDENTIFYING DUTY-BEARERS, ALLOCATING RESPONSIBILITY</w:t>
      </w:r>
    </w:p>
    <w:p w14:paraId="45BE0CB0" w14:textId="77777777" w:rsidR="00C22B7A" w:rsidRPr="0040433A" w:rsidRDefault="00C22B7A" w:rsidP="0040433A">
      <w:pPr>
        <w:spacing w:line="276" w:lineRule="auto"/>
        <w:jc w:val="both"/>
        <w:rPr>
          <w:lang w:val="en-GB"/>
        </w:rPr>
      </w:pPr>
    </w:p>
    <w:p w14:paraId="252586D1" w14:textId="791796FC" w:rsidR="00C22B7A" w:rsidRPr="0040433A" w:rsidRDefault="00786966" w:rsidP="00957ADA">
      <w:pPr>
        <w:spacing w:line="276" w:lineRule="auto"/>
        <w:jc w:val="both"/>
        <w:rPr>
          <w:lang w:val="en-GB"/>
        </w:rPr>
      </w:pPr>
      <w:r w:rsidRPr="0040433A">
        <w:rPr>
          <w:lang w:val="en-GB"/>
        </w:rPr>
        <w:t>Hart famously distinguished between primary and secondary rules.</w:t>
      </w:r>
      <w:r w:rsidRPr="0040433A">
        <w:rPr>
          <w:rStyle w:val="FootnoteReference"/>
          <w:sz w:val="24"/>
          <w:lang w:val="en-GB"/>
        </w:rPr>
        <w:footnoteReference w:id="57"/>
      </w:r>
      <w:r w:rsidRPr="0040433A">
        <w:rPr>
          <w:lang w:val="en-GB"/>
        </w:rPr>
        <w:t xml:space="preserve"> The former define the behaviours which addressees ought to engage in or refrain from, and the latter are ‘in a sense parasitic upon or secondary to the first’</w:t>
      </w:r>
      <w:r w:rsidR="006C76F8">
        <w:rPr>
          <w:lang w:val="en-GB"/>
        </w:rPr>
        <w:t>,</w:t>
      </w:r>
      <w:r w:rsidRPr="0040433A">
        <w:rPr>
          <w:rStyle w:val="FootnoteReference"/>
          <w:sz w:val="24"/>
          <w:lang w:val="en-GB"/>
        </w:rPr>
        <w:footnoteReference w:id="58"/>
      </w:r>
      <w:r w:rsidR="006C76F8">
        <w:rPr>
          <w:lang w:val="en-GB"/>
        </w:rPr>
        <w:t xml:space="preserve"> determining</w:t>
      </w:r>
      <w:r w:rsidRPr="0040433A">
        <w:rPr>
          <w:lang w:val="en-GB"/>
        </w:rPr>
        <w:t xml:space="preserve"> the manner in which primary rules may be created/modified, or control</w:t>
      </w:r>
      <w:r w:rsidR="004D11AF">
        <w:rPr>
          <w:lang w:val="en-GB"/>
        </w:rPr>
        <w:t>ling</w:t>
      </w:r>
      <w:r w:rsidRPr="0040433A">
        <w:rPr>
          <w:lang w:val="en-GB"/>
        </w:rPr>
        <w:t xml:space="preserve"> the manne</w:t>
      </w:r>
      <w:r w:rsidR="004D11AF">
        <w:rPr>
          <w:lang w:val="en-GB"/>
        </w:rPr>
        <w:t>r in which primary rules operate in adjudication.</w:t>
      </w:r>
      <w:r w:rsidRPr="0040433A">
        <w:rPr>
          <w:lang w:val="en-GB"/>
        </w:rPr>
        <w:t xml:space="preserve"> </w:t>
      </w:r>
      <w:r w:rsidR="005806E3">
        <w:rPr>
          <w:lang w:val="en-GB"/>
        </w:rPr>
        <w:t>A</w:t>
      </w:r>
      <w:r w:rsidR="00C22B7A" w:rsidRPr="0040433A">
        <w:rPr>
          <w:lang w:val="en-GB"/>
        </w:rPr>
        <w:t xml:space="preserve"> </w:t>
      </w:r>
      <w:r w:rsidR="005806E3">
        <w:rPr>
          <w:lang w:val="en-GB"/>
        </w:rPr>
        <w:t>longstanding issue</w:t>
      </w:r>
      <w:r w:rsidR="00C22B7A" w:rsidRPr="0040433A">
        <w:rPr>
          <w:lang w:val="en-GB"/>
        </w:rPr>
        <w:t xml:space="preserve"> </w:t>
      </w:r>
      <w:r w:rsidR="005806E3">
        <w:rPr>
          <w:lang w:val="en-GB"/>
        </w:rPr>
        <w:t>concerning</w:t>
      </w:r>
      <w:r w:rsidR="001F33C4" w:rsidRPr="0040433A">
        <w:rPr>
          <w:lang w:val="en-GB"/>
        </w:rPr>
        <w:t xml:space="preserve"> the establishment of</w:t>
      </w:r>
      <w:r w:rsidR="00C22B7A" w:rsidRPr="0040433A">
        <w:rPr>
          <w:lang w:val="en-GB"/>
        </w:rPr>
        <w:t xml:space="preserve"> liability for</w:t>
      </w:r>
      <w:r w:rsidR="00977C3C">
        <w:rPr>
          <w:lang w:val="en-GB"/>
        </w:rPr>
        <w:t xml:space="preserve"> </w:t>
      </w:r>
      <w:r w:rsidR="00935744">
        <w:rPr>
          <w:lang w:val="en-GB"/>
        </w:rPr>
        <w:t xml:space="preserve">the </w:t>
      </w:r>
      <w:r w:rsidR="00977C3C">
        <w:rPr>
          <w:lang w:val="en-GB"/>
        </w:rPr>
        <w:t>adverse effects pr</w:t>
      </w:r>
      <w:r w:rsidR="00FD4BD2">
        <w:rPr>
          <w:lang w:val="en-GB"/>
        </w:rPr>
        <w:t>oduced by the cumulative acts</w:t>
      </w:r>
      <w:r w:rsidR="00977C3C">
        <w:rPr>
          <w:lang w:val="en-GB"/>
        </w:rPr>
        <w:t xml:space="preserve"> of</w:t>
      </w:r>
      <w:r w:rsidR="00C22B7A" w:rsidRPr="0040433A">
        <w:rPr>
          <w:lang w:val="en-GB"/>
        </w:rPr>
        <w:t xml:space="preserve"> State and non-State actors is the lack of </w:t>
      </w:r>
      <w:r w:rsidR="00527101" w:rsidRPr="0040433A">
        <w:rPr>
          <w:lang w:val="en-GB"/>
        </w:rPr>
        <w:t>primary rules</w:t>
      </w:r>
      <w:r w:rsidR="00C22B7A" w:rsidRPr="0040433A">
        <w:rPr>
          <w:lang w:val="en-GB"/>
        </w:rPr>
        <w:t xml:space="preserve"> governing </w:t>
      </w:r>
      <w:r w:rsidR="005806E3">
        <w:rPr>
          <w:lang w:val="en-GB"/>
        </w:rPr>
        <w:t>the conduct of non-State actors. After</w:t>
      </w:r>
      <w:r w:rsidR="00FD2E0C">
        <w:rPr>
          <w:lang w:val="en-GB"/>
        </w:rPr>
        <w:t xml:space="preserve"> </w:t>
      </w:r>
      <w:r w:rsidR="005806E3">
        <w:rPr>
          <w:lang w:val="en-GB"/>
        </w:rPr>
        <w:t>all,</w:t>
      </w:r>
      <w:r w:rsidR="008B114D" w:rsidRPr="0040433A">
        <w:rPr>
          <w:lang w:val="en-GB"/>
        </w:rPr>
        <w:t xml:space="preserve"> ‘if there are no primary obligations to begin with, a regime of responsibility simply cannot apply’.</w:t>
      </w:r>
      <w:r w:rsidR="008602B7" w:rsidRPr="0040433A">
        <w:rPr>
          <w:rStyle w:val="FootnoteReference"/>
          <w:sz w:val="24"/>
          <w:lang w:val="en-GB"/>
        </w:rPr>
        <w:footnoteReference w:id="59"/>
      </w:r>
      <w:r w:rsidR="00C22B7A" w:rsidRPr="0040433A">
        <w:rPr>
          <w:lang w:val="en-GB"/>
        </w:rPr>
        <w:t xml:space="preserve"> </w:t>
      </w:r>
      <w:r w:rsidR="009B46FA" w:rsidRPr="0040433A">
        <w:rPr>
          <w:lang w:val="en-GB"/>
        </w:rPr>
        <w:t>However</w:t>
      </w:r>
      <w:r w:rsidR="001842E7" w:rsidRPr="0040433A">
        <w:rPr>
          <w:lang w:val="en-GB"/>
        </w:rPr>
        <w:t xml:space="preserve">, as primary rules such as those posited by the </w:t>
      </w:r>
      <w:r w:rsidR="0086370A" w:rsidRPr="0040433A">
        <w:rPr>
          <w:lang w:val="en-GB"/>
        </w:rPr>
        <w:t>proposed</w:t>
      </w:r>
      <w:r w:rsidR="001842E7" w:rsidRPr="0040433A">
        <w:rPr>
          <w:lang w:val="en-GB"/>
        </w:rPr>
        <w:t xml:space="preserve"> treaty emerge, and multiple actors with human rights obligations are implicated in the same </w:t>
      </w:r>
      <w:r w:rsidR="00170292" w:rsidRPr="0040433A">
        <w:rPr>
          <w:lang w:val="en-GB"/>
        </w:rPr>
        <w:t xml:space="preserve">harmful </w:t>
      </w:r>
      <w:r w:rsidR="001F33C4" w:rsidRPr="0040433A">
        <w:rPr>
          <w:lang w:val="en-GB"/>
        </w:rPr>
        <w:t xml:space="preserve">outcomes, questions surrounding the </w:t>
      </w:r>
      <w:r w:rsidR="000F62D9" w:rsidRPr="0040433A">
        <w:rPr>
          <w:lang w:val="en-GB"/>
        </w:rPr>
        <w:t xml:space="preserve">secondary rules governing the </w:t>
      </w:r>
      <w:r w:rsidR="001F33C4" w:rsidRPr="0040433A">
        <w:rPr>
          <w:lang w:val="en-GB"/>
        </w:rPr>
        <w:t xml:space="preserve">apportionment </w:t>
      </w:r>
      <w:r w:rsidR="001842E7" w:rsidRPr="0040433A">
        <w:rPr>
          <w:lang w:val="en-GB"/>
        </w:rPr>
        <w:t>of</w:t>
      </w:r>
      <w:r w:rsidR="007178C9" w:rsidRPr="0040433A">
        <w:rPr>
          <w:lang w:val="en-GB"/>
        </w:rPr>
        <w:t xml:space="preserve"> responsibility naturally arise.</w:t>
      </w:r>
      <w:r w:rsidR="001842E7" w:rsidRPr="0040433A">
        <w:rPr>
          <w:rStyle w:val="FootnoteReference"/>
          <w:sz w:val="24"/>
          <w:lang w:val="en-GB"/>
        </w:rPr>
        <w:footnoteReference w:id="60"/>
      </w:r>
      <w:r w:rsidR="001842E7" w:rsidRPr="0040433A">
        <w:rPr>
          <w:lang w:val="en-GB"/>
        </w:rPr>
        <w:t xml:space="preserve"> </w:t>
      </w:r>
      <w:r w:rsidR="007178C9" w:rsidRPr="0040433A">
        <w:rPr>
          <w:lang w:val="en-GB"/>
        </w:rPr>
        <w:t>Even in relation to States, ‘international law has not developed sophisticated rules and procedures for adjudicating and apportioning responsibility between States in the position of multiple tortfeasors’.</w:t>
      </w:r>
      <w:r w:rsidR="007178C9" w:rsidRPr="0040433A">
        <w:rPr>
          <w:rStyle w:val="FootnoteReference"/>
          <w:sz w:val="24"/>
          <w:lang w:val="en-GB"/>
        </w:rPr>
        <w:footnoteReference w:id="61"/>
      </w:r>
      <w:r w:rsidR="007178C9" w:rsidRPr="0040433A">
        <w:rPr>
          <w:lang w:val="en-GB"/>
        </w:rPr>
        <w:t xml:space="preserve"> Naturally, the situation regarding non-State actors is even less developed. </w:t>
      </w:r>
      <w:r w:rsidR="00EB60ED" w:rsidRPr="0040433A">
        <w:rPr>
          <w:lang w:val="en-GB"/>
        </w:rPr>
        <w:t>Presently, t</w:t>
      </w:r>
      <w:r w:rsidR="00C22B7A" w:rsidRPr="0040433A">
        <w:rPr>
          <w:lang w:val="en-GB"/>
        </w:rPr>
        <w:t xml:space="preserve">he only manner of holding </w:t>
      </w:r>
      <w:r w:rsidR="007178C9" w:rsidRPr="0040433A">
        <w:rPr>
          <w:lang w:val="en-GB"/>
        </w:rPr>
        <w:t>private</w:t>
      </w:r>
      <w:r w:rsidR="00C22B7A" w:rsidRPr="0040433A">
        <w:rPr>
          <w:lang w:val="en-GB"/>
        </w:rPr>
        <w:t xml:space="preserve"> actors to account</w:t>
      </w:r>
      <w:r w:rsidR="00EB60ED" w:rsidRPr="0040433A">
        <w:rPr>
          <w:lang w:val="en-GB"/>
        </w:rPr>
        <w:t xml:space="preserve"> in international law</w:t>
      </w:r>
      <w:r w:rsidR="00C22B7A" w:rsidRPr="0040433A">
        <w:rPr>
          <w:lang w:val="en-GB"/>
        </w:rPr>
        <w:t xml:space="preserve"> </w:t>
      </w:r>
      <w:r w:rsidR="00EB60ED" w:rsidRPr="0040433A">
        <w:rPr>
          <w:lang w:val="en-GB"/>
        </w:rPr>
        <w:t>is via attribution</w:t>
      </w:r>
      <w:r w:rsidR="00652102" w:rsidRPr="0040433A">
        <w:rPr>
          <w:lang w:val="en-GB"/>
        </w:rPr>
        <w:t xml:space="preserve"> of the offending conduct to</w:t>
      </w:r>
      <w:r w:rsidR="00C22B7A" w:rsidRPr="0040433A">
        <w:rPr>
          <w:lang w:val="en-GB"/>
        </w:rPr>
        <w:t xml:space="preserve"> </w:t>
      </w:r>
      <w:r w:rsidR="00891DCC">
        <w:rPr>
          <w:lang w:val="en-GB"/>
        </w:rPr>
        <w:t>a</w:t>
      </w:r>
      <w:r w:rsidR="000F61CA" w:rsidRPr="0040433A">
        <w:rPr>
          <w:lang w:val="en-GB"/>
        </w:rPr>
        <w:t xml:space="preserve"> </w:t>
      </w:r>
      <w:r w:rsidR="00C22B7A" w:rsidRPr="0040433A">
        <w:rPr>
          <w:lang w:val="en-GB"/>
        </w:rPr>
        <w:t>State</w:t>
      </w:r>
      <w:r w:rsidR="000F61CA" w:rsidRPr="0040433A">
        <w:rPr>
          <w:lang w:val="en-GB"/>
        </w:rPr>
        <w:t>.</w:t>
      </w:r>
      <w:r w:rsidR="000F61CA" w:rsidRPr="0040433A">
        <w:rPr>
          <w:rStyle w:val="FootnoteReference"/>
          <w:sz w:val="24"/>
          <w:lang w:val="en-GB"/>
        </w:rPr>
        <w:footnoteReference w:id="62"/>
      </w:r>
      <w:r w:rsidR="000F61CA" w:rsidRPr="0040433A">
        <w:rPr>
          <w:lang w:val="en-GB"/>
        </w:rPr>
        <w:t xml:space="preserve"> </w:t>
      </w:r>
      <w:r w:rsidR="004D11AF">
        <w:rPr>
          <w:lang w:val="en-GB"/>
        </w:rPr>
        <w:t>I</w:t>
      </w:r>
      <w:r w:rsidR="00DC778D" w:rsidRPr="0040433A">
        <w:rPr>
          <w:lang w:val="en-GB"/>
        </w:rPr>
        <w:t xml:space="preserve">t has been demonstrated above that the theoretical impediments to the establishment of obligations addressing non-State actors have </w:t>
      </w:r>
      <w:r w:rsidR="00A1493A" w:rsidRPr="0040433A">
        <w:rPr>
          <w:lang w:val="en-GB"/>
        </w:rPr>
        <w:t xml:space="preserve">perhaps </w:t>
      </w:r>
      <w:r w:rsidR="00DC778D" w:rsidRPr="0040433A">
        <w:rPr>
          <w:lang w:val="en-GB"/>
        </w:rPr>
        <w:t>been ov</w:t>
      </w:r>
      <w:r w:rsidR="004D11AF">
        <w:rPr>
          <w:lang w:val="en-GB"/>
        </w:rPr>
        <w:t>erstated. The clear scope provided by</w:t>
      </w:r>
      <w:r w:rsidR="00DC778D" w:rsidRPr="0040433A">
        <w:rPr>
          <w:lang w:val="en-GB"/>
        </w:rPr>
        <w:t xml:space="preserve"> alternative </w:t>
      </w:r>
      <w:r w:rsidR="004D11AF">
        <w:rPr>
          <w:lang w:val="en-GB"/>
        </w:rPr>
        <w:t>theoretical approaches</w:t>
      </w:r>
      <w:r w:rsidR="00DC778D" w:rsidRPr="0040433A">
        <w:rPr>
          <w:lang w:val="en-GB"/>
        </w:rPr>
        <w:t xml:space="preserve"> and the political will </w:t>
      </w:r>
      <w:r w:rsidR="001F33C4" w:rsidRPr="0040433A">
        <w:rPr>
          <w:lang w:val="en-GB"/>
        </w:rPr>
        <w:t xml:space="preserve">evident in </w:t>
      </w:r>
      <w:r w:rsidR="00F30F49">
        <w:rPr>
          <w:lang w:val="en-GB"/>
        </w:rPr>
        <w:t xml:space="preserve">the </w:t>
      </w:r>
      <w:r w:rsidR="00DC778D" w:rsidRPr="0040433A">
        <w:rPr>
          <w:lang w:val="en-GB"/>
        </w:rPr>
        <w:t>Ecuadorian initiative notwiths</w:t>
      </w:r>
      <w:r w:rsidR="001F33C4" w:rsidRPr="0040433A">
        <w:rPr>
          <w:lang w:val="en-GB"/>
        </w:rPr>
        <w:t>tanding, the exact shape of the</w:t>
      </w:r>
      <w:r w:rsidR="00DC778D" w:rsidRPr="0040433A">
        <w:rPr>
          <w:lang w:val="en-GB"/>
        </w:rPr>
        <w:t xml:space="preserve"> rules governing the </w:t>
      </w:r>
      <w:r w:rsidR="001F33C4" w:rsidRPr="0040433A">
        <w:rPr>
          <w:lang w:val="en-GB"/>
        </w:rPr>
        <w:t>allocation of responsibility for</w:t>
      </w:r>
      <w:r w:rsidR="00DC778D" w:rsidRPr="0040433A">
        <w:rPr>
          <w:lang w:val="en-GB"/>
        </w:rPr>
        <w:t xml:space="preserve"> </w:t>
      </w:r>
      <w:r w:rsidR="001F33C4" w:rsidRPr="0040433A">
        <w:rPr>
          <w:lang w:val="en-GB"/>
        </w:rPr>
        <w:t xml:space="preserve">wrongs perpetrated by </w:t>
      </w:r>
      <w:r w:rsidR="00DC778D" w:rsidRPr="0040433A">
        <w:rPr>
          <w:lang w:val="en-GB"/>
        </w:rPr>
        <w:t xml:space="preserve">multiple actors remains uncertain. </w:t>
      </w:r>
      <w:r w:rsidR="00E75E25" w:rsidRPr="0040433A">
        <w:rPr>
          <w:lang w:val="en-GB"/>
        </w:rPr>
        <w:t>The</w:t>
      </w:r>
      <w:r w:rsidR="00170C9E" w:rsidRPr="0040433A">
        <w:rPr>
          <w:lang w:val="en-GB"/>
        </w:rPr>
        <w:t xml:space="preserve"> e</w:t>
      </w:r>
      <w:r w:rsidR="00DC778D" w:rsidRPr="0040433A">
        <w:rPr>
          <w:lang w:val="en-GB"/>
        </w:rPr>
        <w:t xml:space="preserve">xploration of these questions has gained significant traction in recent years in the pioneering work of </w:t>
      </w:r>
      <w:r w:rsidR="00527101" w:rsidRPr="0040433A">
        <w:rPr>
          <w:lang w:val="en-GB"/>
        </w:rPr>
        <w:t>Nollkaemper</w:t>
      </w:r>
      <w:r w:rsidR="00170C9E" w:rsidRPr="0040433A">
        <w:rPr>
          <w:lang w:val="en-GB"/>
        </w:rPr>
        <w:t xml:space="preserve"> and Jacobs</w:t>
      </w:r>
      <w:r w:rsidR="004D11AF">
        <w:rPr>
          <w:lang w:val="en-GB"/>
        </w:rPr>
        <w:t>,</w:t>
      </w:r>
      <w:r w:rsidR="00170C9E" w:rsidRPr="0040433A">
        <w:rPr>
          <w:rStyle w:val="FootnoteReference"/>
          <w:sz w:val="24"/>
          <w:lang w:val="en-GB"/>
        </w:rPr>
        <w:footnoteReference w:id="63"/>
      </w:r>
      <w:r w:rsidR="00527101" w:rsidRPr="0040433A">
        <w:rPr>
          <w:lang w:val="en-GB"/>
        </w:rPr>
        <w:t xml:space="preserve"> among others</w:t>
      </w:r>
      <w:r w:rsidR="004D11AF">
        <w:rPr>
          <w:lang w:val="en-GB"/>
        </w:rPr>
        <w:t>,</w:t>
      </w:r>
      <w:r w:rsidR="00E75E25" w:rsidRPr="0040433A">
        <w:rPr>
          <w:rStyle w:val="FootnoteReference"/>
          <w:sz w:val="24"/>
          <w:lang w:val="en-GB"/>
        </w:rPr>
        <w:footnoteReference w:id="64"/>
      </w:r>
      <w:r w:rsidR="00527101" w:rsidRPr="0040433A">
        <w:rPr>
          <w:lang w:val="en-GB"/>
        </w:rPr>
        <w:t xml:space="preserve"> </w:t>
      </w:r>
      <w:r w:rsidR="00DC778D" w:rsidRPr="0040433A">
        <w:rPr>
          <w:lang w:val="en-GB"/>
        </w:rPr>
        <w:t xml:space="preserve">into the notion of shared responsibility in international law. </w:t>
      </w:r>
      <w:r w:rsidR="00CF42F7" w:rsidRPr="0040433A">
        <w:rPr>
          <w:lang w:val="en-GB"/>
        </w:rPr>
        <w:t xml:space="preserve">Drawing on this literature, this </w:t>
      </w:r>
      <w:r w:rsidR="00AC4787" w:rsidRPr="0040433A">
        <w:rPr>
          <w:lang w:val="en-GB"/>
        </w:rPr>
        <w:t xml:space="preserve">section </w:t>
      </w:r>
      <w:r w:rsidR="00DC778D" w:rsidRPr="0040433A">
        <w:rPr>
          <w:lang w:val="en-GB"/>
        </w:rPr>
        <w:t>unpack</w:t>
      </w:r>
      <w:r w:rsidR="004D11AF">
        <w:rPr>
          <w:lang w:val="en-GB"/>
        </w:rPr>
        <w:t>s</w:t>
      </w:r>
      <w:r w:rsidR="00DC778D" w:rsidRPr="0040433A">
        <w:rPr>
          <w:lang w:val="en-GB"/>
        </w:rPr>
        <w:t xml:space="preserve"> some</w:t>
      </w:r>
      <w:r w:rsidR="00CF42F7" w:rsidRPr="0040433A">
        <w:rPr>
          <w:lang w:val="en-GB"/>
        </w:rPr>
        <w:t xml:space="preserve"> of the methods posited to date</w:t>
      </w:r>
      <w:r w:rsidR="00156C92" w:rsidRPr="0040433A">
        <w:rPr>
          <w:lang w:val="en-GB"/>
        </w:rPr>
        <w:t>,</w:t>
      </w:r>
      <w:r w:rsidR="00DC778D" w:rsidRPr="0040433A">
        <w:rPr>
          <w:lang w:val="en-GB"/>
        </w:rPr>
        <w:t xml:space="preserve"> </w:t>
      </w:r>
      <w:r w:rsidR="00AC4787" w:rsidRPr="0040433A">
        <w:rPr>
          <w:lang w:val="en-GB"/>
        </w:rPr>
        <w:t>and</w:t>
      </w:r>
      <w:r w:rsidR="00DC778D" w:rsidRPr="0040433A">
        <w:rPr>
          <w:lang w:val="en-GB"/>
        </w:rPr>
        <w:t xml:space="preserve"> assess</w:t>
      </w:r>
      <w:r w:rsidR="004D11AF">
        <w:rPr>
          <w:lang w:val="en-GB"/>
        </w:rPr>
        <w:t>es</w:t>
      </w:r>
      <w:r w:rsidR="00DC778D" w:rsidRPr="0040433A">
        <w:rPr>
          <w:lang w:val="en-GB"/>
        </w:rPr>
        <w:t xml:space="preserve"> their utility in relation to </w:t>
      </w:r>
      <w:r w:rsidR="00042E6B">
        <w:rPr>
          <w:lang w:val="en-GB"/>
        </w:rPr>
        <w:t>the proposed</w:t>
      </w:r>
      <w:r w:rsidR="006E0A89" w:rsidRPr="0040433A">
        <w:rPr>
          <w:lang w:val="en-GB"/>
        </w:rPr>
        <w:t xml:space="preserve"> treaty.</w:t>
      </w:r>
      <w:r w:rsidR="00AC4787" w:rsidRPr="0040433A">
        <w:rPr>
          <w:lang w:val="en-GB"/>
        </w:rPr>
        <w:t xml:space="preserve"> </w:t>
      </w:r>
    </w:p>
    <w:p w14:paraId="26F99FAB" w14:textId="417E7CC4" w:rsidR="00C22B7A" w:rsidRDefault="00891DCC" w:rsidP="0040433A">
      <w:pPr>
        <w:spacing w:line="276" w:lineRule="auto"/>
        <w:ind w:firstLine="720"/>
        <w:jc w:val="both"/>
        <w:rPr>
          <w:lang w:val="en-GB"/>
        </w:rPr>
      </w:pPr>
      <w:r>
        <w:rPr>
          <w:lang w:val="en-GB"/>
        </w:rPr>
        <w:t>The identification of duty-</w:t>
      </w:r>
      <w:r w:rsidR="006502F6" w:rsidRPr="0040433A">
        <w:rPr>
          <w:lang w:val="en-GB"/>
        </w:rPr>
        <w:t xml:space="preserve">bearers and the </w:t>
      </w:r>
      <w:r w:rsidR="00EA4A17">
        <w:rPr>
          <w:lang w:val="en-GB"/>
        </w:rPr>
        <w:t>allocation of</w:t>
      </w:r>
      <w:r w:rsidR="00202627" w:rsidRPr="0040433A">
        <w:rPr>
          <w:lang w:val="en-GB"/>
        </w:rPr>
        <w:t xml:space="preserve"> responsibility</w:t>
      </w:r>
      <w:r w:rsidR="00EA4A17">
        <w:rPr>
          <w:lang w:val="en-GB"/>
        </w:rPr>
        <w:t xml:space="preserve"> constitute </w:t>
      </w:r>
      <w:r w:rsidR="00202627" w:rsidRPr="0040433A">
        <w:rPr>
          <w:lang w:val="en-GB"/>
        </w:rPr>
        <w:t>pressing issue</w:t>
      </w:r>
      <w:r w:rsidR="00EA4A17">
        <w:rPr>
          <w:lang w:val="en-GB"/>
        </w:rPr>
        <w:t>s</w:t>
      </w:r>
      <w:r w:rsidR="00202627" w:rsidRPr="0040433A">
        <w:rPr>
          <w:lang w:val="en-GB"/>
        </w:rPr>
        <w:t xml:space="preserve"> in the practical reali</w:t>
      </w:r>
      <w:r w:rsidR="00127C1B" w:rsidRPr="0040433A">
        <w:rPr>
          <w:lang w:val="en-GB"/>
        </w:rPr>
        <w:t>z</w:t>
      </w:r>
      <w:r w:rsidR="00202627" w:rsidRPr="0040433A">
        <w:rPr>
          <w:lang w:val="en-GB"/>
        </w:rPr>
        <w:t xml:space="preserve">ation of </w:t>
      </w:r>
      <w:r w:rsidR="00815C68">
        <w:rPr>
          <w:lang w:val="en-GB"/>
        </w:rPr>
        <w:t>the</w:t>
      </w:r>
      <w:r w:rsidR="00C62A97">
        <w:rPr>
          <w:lang w:val="en-GB"/>
        </w:rPr>
        <w:t xml:space="preserve"> proposed</w:t>
      </w:r>
      <w:r w:rsidR="00815C68">
        <w:rPr>
          <w:lang w:val="en-GB"/>
        </w:rPr>
        <w:t xml:space="preserve"> </w:t>
      </w:r>
      <w:r w:rsidR="00202627" w:rsidRPr="0040433A">
        <w:rPr>
          <w:lang w:val="en-GB"/>
        </w:rPr>
        <w:t xml:space="preserve">treaty. </w:t>
      </w:r>
      <w:r w:rsidR="00652102" w:rsidRPr="0040433A">
        <w:rPr>
          <w:lang w:val="en-GB"/>
        </w:rPr>
        <w:t>Should delegates proceed to identify</w:t>
      </w:r>
      <w:r>
        <w:rPr>
          <w:lang w:val="en-GB"/>
        </w:rPr>
        <w:t xml:space="preserve"> States as the sole duty-</w:t>
      </w:r>
      <w:r w:rsidR="00202627" w:rsidRPr="0040433A">
        <w:rPr>
          <w:lang w:val="en-GB"/>
        </w:rPr>
        <w:t>bearers</w:t>
      </w:r>
      <w:r>
        <w:rPr>
          <w:lang w:val="en-GB"/>
        </w:rPr>
        <w:t xml:space="preserve"> in the proposed treaty</w:t>
      </w:r>
      <w:r w:rsidR="00202627" w:rsidRPr="0040433A">
        <w:rPr>
          <w:lang w:val="en-GB"/>
        </w:rPr>
        <w:t xml:space="preserve">, </w:t>
      </w:r>
      <w:r>
        <w:rPr>
          <w:lang w:val="en-GB"/>
        </w:rPr>
        <w:t>the instrument</w:t>
      </w:r>
      <w:r w:rsidR="00652102" w:rsidRPr="0040433A">
        <w:rPr>
          <w:lang w:val="en-GB"/>
        </w:rPr>
        <w:t xml:space="preserve"> may prove to be redundant before it is drafted</w:t>
      </w:r>
      <w:r w:rsidR="00202627" w:rsidRPr="0040433A">
        <w:rPr>
          <w:lang w:val="en-GB"/>
        </w:rPr>
        <w:t xml:space="preserve">. </w:t>
      </w:r>
      <w:r w:rsidR="00BC33EE" w:rsidRPr="0040433A">
        <w:rPr>
          <w:lang w:val="en-GB"/>
        </w:rPr>
        <w:t>If this were the case, the instrument may</w:t>
      </w:r>
      <w:r w:rsidR="00202627" w:rsidRPr="0040433A">
        <w:rPr>
          <w:lang w:val="en-GB"/>
        </w:rPr>
        <w:t xml:space="preserve"> </w:t>
      </w:r>
      <w:r w:rsidR="00EA4A17">
        <w:rPr>
          <w:lang w:val="en-GB"/>
        </w:rPr>
        <w:t>simply restate</w:t>
      </w:r>
      <w:r w:rsidR="00202627" w:rsidRPr="0040433A">
        <w:rPr>
          <w:lang w:val="en-GB"/>
        </w:rPr>
        <w:t xml:space="preserve"> </w:t>
      </w:r>
      <w:r w:rsidR="00EA4A17">
        <w:rPr>
          <w:lang w:val="en-GB"/>
        </w:rPr>
        <w:t xml:space="preserve">the </w:t>
      </w:r>
      <w:r w:rsidR="00202627" w:rsidRPr="0040433A">
        <w:rPr>
          <w:lang w:val="en-GB"/>
        </w:rPr>
        <w:t>principles</w:t>
      </w:r>
      <w:r w:rsidR="00652102" w:rsidRPr="0040433A">
        <w:rPr>
          <w:lang w:val="en-GB"/>
        </w:rPr>
        <w:t xml:space="preserve"> of State responsibility for private actors</w:t>
      </w:r>
      <w:r w:rsidR="00202627" w:rsidRPr="0040433A">
        <w:rPr>
          <w:lang w:val="en-GB"/>
        </w:rPr>
        <w:t xml:space="preserve"> already articulated</w:t>
      </w:r>
      <w:r w:rsidR="0064759A" w:rsidRPr="0040433A">
        <w:rPr>
          <w:lang w:val="en-GB"/>
        </w:rPr>
        <w:t xml:space="preserve"> in</w:t>
      </w:r>
      <w:r w:rsidR="00202627" w:rsidRPr="0040433A">
        <w:rPr>
          <w:lang w:val="en-GB"/>
        </w:rPr>
        <w:t xml:space="preserve"> </w:t>
      </w:r>
      <w:r w:rsidR="00652102" w:rsidRPr="0040433A">
        <w:rPr>
          <w:lang w:val="en-GB"/>
        </w:rPr>
        <w:t>widely ratified</w:t>
      </w:r>
      <w:r w:rsidR="00202627" w:rsidRPr="0040433A">
        <w:rPr>
          <w:lang w:val="en-GB"/>
        </w:rPr>
        <w:t xml:space="preserve"> human rights treaties.</w:t>
      </w:r>
      <w:r w:rsidR="00652102" w:rsidRPr="0040433A">
        <w:rPr>
          <w:rStyle w:val="FootnoteReference"/>
          <w:sz w:val="24"/>
          <w:lang w:val="en-GB"/>
        </w:rPr>
        <w:footnoteReference w:id="65"/>
      </w:r>
      <w:r w:rsidR="00202627" w:rsidRPr="0040433A">
        <w:rPr>
          <w:lang w:val="en-GB"/>
        </w:rPr>
        <w:t xml:space="preserve"> The factors </w:t>
      </w:r>
      <w:r w:rsidR="00195F75">
        <w:rPr>
          <w:lang w:val="en-GB"/>
        </w:rPr>
        <w:t>that</w:t>
      </w:r>
      <w:r w:rsidR="00852B00" w:rsidRPr="0040433A">
        <w:rPr>
          <w:lang w:val="en-GB"/>
        </w:rPr>
        <w:t xml:space="preserve"> inhibit</w:t>
      </w:r>
      <w:r w:rsidR="00202627" w:rsidRPr="0040433A">
        <w:rPr>
          <w:lang w:val="en-GB"/>
        </w:rPr>
        <w:t xml:space="preserve"> the </w:t>
      </w:r>
      <w:r w:rsidR="005579AD" w:rsidRPr="0040433A">
        <w:rPr>
          <w:lang w:val="en-GB"/>
        </w:rPr>
        <w:t>efficacy</w:t>
      </w:r>
      <w:r w:rsidR="00202627" w:rsidRPr="0040433A">
        <w:rPr>
          <w:lang w:val="en-GB"/>
        </w:rPr>
        <w:t xml:space="preserve"> of these </w:t>
      </w:r>
      <w:r w:rsidR="005579AD" w:rsidRPr="0040433A">
        <w:rPr>
          <w:lang w:val="en-GB"/>
        </w:rPr>
        <w:t xml:space="preserve">existing </w:t>
      </w:r>
      <w:r w:rsidR="00202627" w:rsidRPr="0040433A">
        <w:rPr>
          <w:lang w:val="en-GB"/>
        </w:rPr>
        <w:t xml:space="preserve">obligations rest </w:t>
      </w:r>
      <w:r w:rsidR="005579AD" w:rsidRPr="0040433A">
        <w:rPr>
          <w:lang w:val="en-GB"/>
        </w:rPr>
        <w:t>on the unwillingness or incapacity of many host States to give effect to their international obligations, in light of widespread corruption,</w:t>
      </w:r>
      <w:r w:rsidR="00263FCB" w:rsidRPr="0040433A">
        <w:rPr>
          <w:rStyle w:val="FootnoteReference"/>
          <w:sz w:val="24"/>
          <w:lang w:val="en-GB"/>
        </w:rPr>
        <w:footnoteReference w:id="66"/>
      </w:r>
      <w:r w:rsidR="005579AD" w:rsidRPr="0040433A">
        <w:rPr>
          <w:lang w:val="en-GB"/>
        </w:rPr>
        <w:t xml:space="preserve"> </w:t>
      </w:r>
      <w:r w:rsidR="004B5020">
        <w:rPr>
          <w:lang w:val="en-GB"/>
        </w:rPr>
        <w:t>fragile governmental infrastructures</w:t>
      </w:r>
      <w:r w:rsidR="00263FCB" w:rsidRPr="0040433A">
        <w:rPr>
          <w:rStyle w:val="FootnoteReference"/>
          <w:sz w:val="24"/>
          <w:lang w:val="en-GB"/>
        </w:rPr>
        <w:footnoteReference w:id="67"/>
      </w:r>
      <w:r w:rsidR="005579AD" w:rsidRPr="0040433A">
        <w:rPr>
          <w:lang w:val="en-GB"/>
        </w:rPr>
        <w:t xml:space="preserve"> and </w:t>
      </w:r>
      <w:r w:rsidR="009C3B1C" w:rsidRPr="0040433A">
        <w:rPr>
          <w:lang w:val="en-GB"/>
        </w:rPr>
        <w:t>the quest for</w:t>
      </w:r>
      <w:r w:rsidR="005579AD" w:rsidRPr="0040433A">
        <w:rPr>
          <w:lang w:val="en-GB"/>
        </w:rPr>
        <w:t xml:space="preserve"> capital via </w:t>
      </w:r>
      <w:r w:rsidR="001F382C">
        <w:rPr>
          <w:lang w:val="en-GB"/>
        </w:rPr>
        <w:t>FDI</w:t>
      </w:r>
      <w:r w:rsidR="005579AD" w:rsidRPr="0040433A">
        <w:rPr>
          <w:lang w:val="en-GB"/>
        </w:rPr>
        <w:t>.</w:t>
      </w:r>
      <w:r w:rsidR="00263FCB" w:rsidRPr="0040433A">
        <w:rPr>
          <w:rStyle w:val="FootnoteReference"/>
          <w:sz w:val="24"/>
          <w:lang w:val="en-GB"/>
        </w:rPr>
        <w:footnoteReference w:id="68"/>
      </w:r>
      <w:r w:rsidR="003A5817" w:rsidRPr="0040433A">
        <w:rPr>
          <w:lang w:val="en-GB"/>
        </w:rPr>
        <w:t xml:space="preserve"> This article </w:t>
      </w:r>
      <w:r w:rsidR="00F60844" w:rsidRPr="0040433A">
        <w:rPr>
          <w:lang w:val="en-GB"/>
        </w:rPr>
        <w:t>argues</w:t>
      </w:r>
      <w:r w:rsidR="003A5817" w:rsidRPr="0040433A">
        <w:rPr>
          <w:lang w:val="en-GB"/>
        </w:rPr>
        <w:t xml:space="preserve"> that a </w:t>
      </w:r>
      <w:r w:rsidR="004C2547">
        <w:rPr>
          <w:lang w:val="en-GB"/>
        </w:rPr>
        <w:t>regime</w:t>
      </w:r>
      <w:r w:rsidR="005579AD" w:rsidRPr="0040433A">
        <w:rPr>
          <w:lang w:val="en-GB"/>
        </w:rPr>
        <w:t xml:space="preserve"> </w:t>
      </w:r>
      <w:r w:rsidR="00654BE2">
        <w:rPr>
          <w:lang w:val="en-GB"/>
        </w:rPr>
        <w:t>addressing</w:t>
      </w:r>
      <w:r w:rsidR="005579AD" w:rsidRPr="0040433A">
        <w:rPr>
          <w:lang w:val="en-GB"/>
        </w:rPr>
        <w:t xml:space="preserve"> </w:t>
      </w:r>
      <w:r w:rsidR="00E742E7" w:rsidRPr="0040433A">
        <w:rPr>
          <w:lang w:val="en-GB"/>
        </w:rPr>
        <w:t xml:space="preserve">both States </w:t>
      </w:r>
      <w:r w:rsidR="00E742E7" w:rsidRPr="0040433A">
        <w:rPr>
          <w:i/>
          <w:lang w:val="en-GB"/>
        </w:rPr>
        <w:t>and</w:t>
      </w:r>
      <w:r w:rsidR="00E742E7" w:rsidRPr="0040433A">
        <w:rPr>
          <w:lang w:val="en-GB"/>
        </w:rPr>
        <w:t xml:space="preserve"> non-State</w:t>
      </w:r>
      <w:r w:rsidR="005579AD" w:rsidRPr="0040433A">
        <w:rPr>
          <w:lang w:val="en-GB"/>
        </w:rPr>
        <w:t xml:space="preserve"> actors is required to ensure effective engagement with fundamental human rights standards</w:t>
      </w:r>
      <w:r w:rsidR="00E742E7" w:rsidRPr="0040433A">
        <w:rPr>
          <w:lang w:val="en-GB"/>
        </w:rPr>
        <w:t>.</w:t>
      </w:r>
      <w:r w:rsidR="00967FD4" w:rsidRPr="0040433A">
        <w:rPr>
          <w:lang w:val="en-GB"/>
        </w:rPr>
        <w:t xml:space="preserve"> This section </w:t>
      </w:r>
      <w:r w:rsidR="00DA269D">
        <w:rPr>
          <w:lang w:val="en-GB"/>
        </w:rPr>
        <w:t>identifies</w:t>
      </w:r>
      <w:r w:rsidR="00852B00" w:rsidRPr="0040433A">
        <w:rPr>
          <w:lang w:val="en-GB"/>
        </w:rPr>
        <w:t xml:space="preserve"> four</w:t>
      </w:r>
      <w:r w:rsidR="00945945">
        <w:rPr>
          <w:lang w:val="en-GB"/>
        </w:rPr>
        <w:t xml:space="preserve"> </w:t>
      </w:r>
      <w:r w:rsidR="00DA269D">
        <w:rPr>
          <w:lang w:val="en-GB"/>
        </w:rPr>
        <w:t xml:space="preserve">interrelated </w:t>
      </w:r>
      <w:r w:rsidR="00082913">
        <w:rPr>
          <w:lang w:val="en-GB"/>
        </w:rPr>
        <w:t>methods</w:t>
      </w:r>
      <w:r w:rsidR="00945945">
        <w:rPr>
          <w:lang w:val="en-GB"/>
        </w:rPr>
        <w:t xml:space="preserve"> by</w:t>
      </w:r>
      <w:r w:rsidR="00967FD4" w:rsidRPr="0040433A">
        <w:rPr>
          <w:lang w:val="en-GB"/>
        </w:rPr>
        <w:t xml:space="preserve"> which shared responsibility might be allocated between</w:t>
      </w:r>
      <w:r w:rsidR="005579AD" w:rsidRPr="0040433A">
        <w:rPr>
          <w:lang w:val="en-GB"/>
        </w:rPr>
        <w:t xml:space="preserve"> these </w:t>
      </w:r>
      <w:r w:rsidR="00967FD4" w:rsidRPr="0040433A">
        <w:rPr>
          <w:lang w:val="en-GB"/>
        </w:rPr>
        <w:t>actors in the context of a business and human rights treaty</w:t>
      </w:r>
      <w:r w:rsidR="005579AD" w:rsidRPr="0040433A">
        <w:rPr>
          <w:lang w:val="en-GB"/>
        </w:rPr>
        <w:t>.</w:t>
      </w:r>
      <w:r w:rsidR="00BC2E62" w:rsidRPr="0040433A">
        <w:rPr>
          <w:lang w:val="en-GB"/>
        </w:rPr>
        <w:t xml:space="preserve"> </w:t>
      </w:r>
      <w:r w:rsidR="00DA269D">
        <w:rPr>
          <w:lang w:val="en-GB"/>
        </w:rPr>
        <w:t>The approach adopted is holistic, recognising and incorporating existing responsibility regimes that are external to the proposed treaty, and drawing analog</w:t>
      </w:r>
      <w:r w:rsidR="00EE3436">
        <w:rPr>
          <w:lang w:val="en-GB"/>
        </w:rPr>
        <w:t>ies</w:t>
      </w:r>
      <w:r w:rsidR="00DA269D">
        <w:rPr>
          <w:lang w:val="en-GB"/>
        </w:rPr>
        <w:t xml:space="preserve"> from ex</w:t>
      </w:r>
      <w:r w:rsidR="007A0963">
        <w:rPr>
          <w:lang w:val="en-GB"/>
        </w:rPr>
        <w:t>isting</w:t>
      </w:r>
      <w:r w:rsidR="00DA269D">
        <w:rPr>
          <w:lang w:val="en-GB"/>
        </w:rPr>
        <w:t xml:space="preserve"> international law in framing the particular rules within the instrument itself. </w:t>
      </w:r>
      <w:r w:rsidR="005579AD" w:rsidRPr="0040433A">
        <w:rPr>
          <w:lang w:val="en-GB"/>
        </w:rPr>
        <w:t>E</w:t>
      </w:r>
      <w:r w:rsidR="00BC2E62" w:rsidRPr="0040433A">
        <w:rPr>
          <w:lang w:val="en-GB"/>
        </w:rPr>
        <w:t xml:space="preserve">ach </w:t>
      </w:r>
      <w:r w:rsidR="00F63CF9">
        <w:rPr>
          <w:lang w:val="en-GB"/>
        </w:rPr>
        <w:t xml:space="preserve">tier </w:t>
      </w:r>
      <w:r w:rsidR="005579AD" w:rsidRPr="0040433A">
        <w:rPr>
          <w:lang w:val="en-GB"/>
        </w:rPr>
        <w:t>respond</w:t>
      </w:r>
      <w:r w:rsidR="00EA4A17">
        <w:rPr>
          <w:lang w:val="en-GB"/>
        </w:rPr>
        <w:t>s</w:t>
      </w:r>
      <w:r w:rsidR="00BC2E62" w:rsidRPr="0040433A">
        <w:rPr>
          <w:lang w:val="en-GB"/>
        </w:rPr>
        <w:t xml:space="preserve"> to </w:t>
      </w:r>
      <w:r w:rsidR="005579AD" w:rsidRPr="0040433A">
        <w:rPr>
          <w:lang w:val="en-GB"/>
        </w:rPr>
        <w:t>a different level</w:t>
      </w:r>
      <w:r w:rsidR="00BC2E62" w:rsidRPr="0040433A">
        <w:rPr>
          <w:lang w:val="en-GB"/>
        </w:rPr>
        <w:t xml:space="preserve"> of culpability</w:t>
      </w:r>
      <w:r w:rsidR="00EA4A17">
        <w:rPr>
          <w:lang w:val="en-GB"/>
        </w:rPr>
        <w:t>, demonstrating</w:t>
      </w:r>
      <w:r w:rsidR="005579AD" w:rsidRPr="0040433A">
        <w:rPr>
          <w:lang w:val="en-GB"/>
        </w:rPr>
        <w:t xml:space="preserve"> how </w:t>
      </w:r>
      <w:r w:rsidR="00DA269D">
        <w:rPr>
          <w:lang w:val="en-GB"/>
        </w:rPr>
        <w:t>a</w:t>
      </w:r>
      <w:r w:rsidR="005579AD" w:rsidRPr="0040433A">
        <w:rPr>
          <w:lang w:val="en-GB"/>
        </w:rPr>
        <w:t xml:space="preserve"> </w:t>
      </w:r>
      <w:r w:rsidR="00DA269D">
        <w:rPr>
          <w:lang w:val="en-GB"/>
        </w:rPr>
        <w:t>rule structure</w:t>
      </w:r>
      <w:r w:rsidR="005579AD" w:rsidRPr="0040433A">
        <w:rPr>
          <w:lang w:val="en-GB"/>
        </w:rPr>
        <w:t xml:space="preserve"> might be utili</w:t>
      </w:r>
      <w:r w:rsidR="000C6751" w:rsidRPr="0040433A">
        <w:rPr>
          <w:lang w:val="en-GB"/>
        </w:rPr>
        <w:t>z</w:t>
      </w:r>
      <w:r w:rsidR="005579AD" w:rsidRPr="0040433A">
        <w:rPr>
          <w:lang w:val="en-GB"/>
        </w:rPr>
        <w:t xml:space="preserve">ed to provide a nuanced </w:t>
      </w:r>
      <w:r w:rsidR="00263FCB" w:rsidRPr="0040433A">
        <w:rPr>
          <w:lang w:val="en-GB"/>
        </w:rPr>
        <w:t>division of responsibility</w:t>
      </w:r>
      <w:r w:rsidR="001842E7" w:rsidRPr="0040433A">
        <w:rPr>
          <w:lang w:val="en-GB"/>
        </w:rPr>
        <w:t xml:space="preserve"> </w:t>
      </w:r>
      <w:r w:rsidR="0009295C">
        <w:rPr>
          <w:lang w:val="en-GB"/>
        </w:rPr>
        <w:t>that</w:t>
      </w:r>
      <w:r w:rsidR="00DA269D">
        <w:rPr>
          <w:lang w:val="en-GB"/>
        </w:rPr>
        <w:t xml:space="preserve"> is </w:t>
      </w:r>
      <w:r w:rsidR="00EB589F" w:rsidRPr="0040433A">
        <w:rPr>
          <w:lang w:val="en-GB"/>
        </w:rPr>
        <w:t>responsive to common scenarios</w:t>
      </w:r>
      <w:r w:rsidR="00DA269D">
        <w:rPr>
          <w:lang w:val="en-GB"/>
        </w:rPr>
        <w:t xml:space="preserve"> and weaknesses within the existing legal framework</w:t>
      </w:r>
      <w:r w:rsidR="00EB589F" w:rsidRPr="0040433A">
        <w:rPr>
          <w:lang w:val="en-GB"/>
        </w:rPr>
        <w:t>.</w:t>
      </w:r>
    </w:p>
    <w:p w14:paraId="71439DD1" w14:textId="77777777" w:rsidR="0040433A" w:rsidRPr="0040433A" w:rsidRDefault="0040433A" w:rsidP="0040433A">
      <w:pPr>
        <w:spacing w:line="276" w:lineRule="auto"/>
        <w:ind w:firstLine="720"/>
        <w:jc w:val="both"/>
        <w:rPr>
          <w:lang w:val="en-GB"/>
        </w:rPr>
      </w:pPr>
    </w:p>
    <w:p w14:paraId="66E02324" w14:textId="4CBC5CDE" w:rsidR="0008593C" w:rsidRPr="0040433A" w:rsidRDefault="00EA6923" w:rsidP="0040433A">
      <w:pPr>
        <w:pStyle w:val="Heading2"/>
        <w:numPr>
          <w:ilvl w:val="0"/>
          <w:numId w:val="6"/>
        </w:numPr>
        <w:ind w:left="1077"/>
        <w:jc w:val="center"/>
        <w:rPr>
          <w:szCs w:val="24"/>
          <w:lang w:val="en-GB"/>
        </w:rPr>
      </w:pPr>
      <w:r w:rsidRPr="0040433A">
        <w:rPr>
          <w:szCs w:val="24"/>
          <w:lang w:val="en-GB"/>
        </w:rPr>
        <w:t>Attribution</w:t>
      </w:r>
      <w:r w:rsidR="007B1733" w:rsidRPr="0040433A">
        <w:rPr>
          <w:szCs w:val="24"/>
          <w:lang w:val="en-GB"/>
        </w:rPr>
        <w:t xml:space="preserve"> to the State</w:t>
      </w:r>
      <w:r w:rsidR="0040433A">
        <w:rPr>
          <w:szCs w:val="24"/>
          <w:lang w:val="en-GB"/>
        </w:rPr>
        <w:br/>
      </w:r>
    </w:p>
    <w:p w14:paraId="7F271EB7" w14:textId="1542BBE6" w:rsidR="0008593C" w:rsidRPr="0040433A" w:rsidRDefault="0008593C" w:rsidP="00957ADA">
      <w:pPr>
        <w:spacing w:line="276" w:lineRule="auto"/>
        <w:jc w:val="both"/>
        <w:rPr>
          <w:lang w:val="en-GB"/>
        </w:rPr>
      </w:pPr>
      <w:r w:rsidRPr="0040433A">
        <w:rPr>
          <w:lang w:val="en-GB"/>
        </w:rPr>
        <w:t xml:space="preserve">The first method of allocating responsibility can be derived from the International Law Commission’s (ILC) Articles on State Responsibility for Internationally Wrongful Acts (ASRIWA). </w:t>
      </w:r>
      <w:r w:rsidR="00F076C3">
        <w:rPr>
          <w:lang w:val="en-GB"/>
        </w:rPr>
        <w:t>T</w:t>
      </w:r>
      <w:r w:rsidR="00C26CA4">
        <w:rPr>
          <w:lang w:val="en-GB"/>
        </w:rPr>
        <w:t>o date,</w:t>
      </w:r>
      <w:r w:rsidR="00D72897">
        <w:rPr>
          <w:lang w:val="en-GB"/>
        </w:rPr>
        <w:t xml:space="preserve"> these provisions have had limited practical utility in establishing State responsibility for the </w:t>
      </w:r>
      <w:r w:rsidR="00F076C3">
        <w:rPr>
          <w:lang w:val="en-GB"/>
        </w:rPr>
        <w:t>conduct of</w:t>
      </w:r>
      <w:r w:rsidR="00D72897">
        <w:rPr>
          <w:lang w:val="en-GB"/>
        </w:rPr>
        <w:t xml:space="preserve"> business actors. Nevertheless, </w:t>
      </w:r>
      <w:r w:rsidR="00126F9F" w:rsidRPr="0040433A">
        <w:rPr>
          <w:lang w:val="en-GB"/>
        </w:rPr>
        <w:t xml:space="preserve">they provide a workable model for the attribution of responsibility </w:t>
      </w:r>
      <w:r w:rsidR="00DD6FDF">
        <w:rPr>
          <w:lang w:val="en-GB"/>
        </w:rPr>
        <w:t>where</w:t>
      </w:r>
      <w:r w:rsidR="00126F9F" w:rsidRPr="0040433A">
        <w:rPr>
          <w:lang w:val="en-GB"/>
        </w:rPr>
        <w:t xml:space="preserve"> a State has played an instrumental role in the adverse human rights impacts of a private</w:t>
      </w:r>
      <w:r w:rsidR="00D54903">
        <w:rPr>
          <w:lang w:val="en-GB"/>
        </w:rPr>
        <w:t xml:space="preserve"> actor, and thus will likely </w:t>
      </w:r>
      <w:r w:rsidR="00126F9F" w:rsidRPr="0040433A">
        <w:rPr>
          <w:lang w:val="en-GB"/>
        </w:rPr>
        <w:t xml:space="preserve">play </w:t>
      </w:r>
      <w:r w:rsidR="00D72897">
        <w:rPr>
          <w:lang w:val="en-GB"/>
        </w:rPr>
        <w:t>some role</w:t>
      </w:r>
      <w:r w:rsidR="00126F9F" w:rsidRPr="0040433A">
        <w:rPr>
          <w:lang w:val="en-GB"/>
        </w:rPr>
        <w:t xml:space="preserve"> in the a</w:t>
      </w:r>
      <w:r w:rsidR="00822221">
        <w:rPr>
          <w:lang w:val="en-GB"/>
        </w:rPr>
        <w:t xml:space="preserve">pplication of a </w:t>
      </w:r>
      <w:r w:rsidR="00126F9F" w:rsidRPr="0040433A">
        <w:rPr>
          <w:lang w:val="en-GB"/>
        </w:rPr>
        <w:t>business and human rights treaty.</w:t>
      </w:r>
      <w:r w:rsidR="00142F7E" w:rsidRPr="0040433A">
        <w:rPr>
          <w:lang w:val="en-GB"/>
        </w:rPr>
        <w:t xml:space="preserve"> </w:t>
      </w:r>
    </w:p>
    <w:p w14:paraId="5EF60E5F" w14:textId="3C2F299E" w:rsidR="00142F7E" w:rsidRPr="0040433A" w:rsidRDefault="00142F7E" w:rsidP="0040433A">
      <w:pPr>
        <w:spacing w:line="276" w:lineRule="auto"/>
        <w:ind w:firstLine="720"/>
        <w:jc w:val="both"/>
        <w:rPr>
          <w:rFonts w:eastAsia="Times New Roman" w:cs="Times New Roman"/>
          <w:lang w:val="en-GB"/>
        </w:rPr>
      </w:pPr>
      <w:r w:rsidRPr="0040433A">
        <w:rPr>
          <w:rFonts w:eastAsia="Times New Roman" w:cs="Times New Roman"/>
          <w:lang w:val="en-GB"/>
        </w:rPr>
        <w:t xml:space="preserve">The ASRIWA detail specific instances in which the conduct of private entities may be directly attributed to </w:t>
      </w:r>
      <w:r w:rsidR="001B6E6B" w:rsidRPr="0040433A">
        <w:rPr>
          <w:rFonts w:eastAsia="Times New Roman" w:cs="Times New Roman"/>
          <w:lang w:val="en-GB"/>
        </w:rPr>
        <w:t>a</w:t>
      </w:r>
      <w:r w:rsidRPr="0040433A">
        <w:rPr>
          <w:rFonts w:eastAsia="Times New Roman" w:cs="Times New Roman"/>
          <w:lang w:val="en-GB"/>
        </w:rPr>
        <w:t xml:space="preserve"> State.</w:t>
      </w:r>
      <w:r w:rsidRPr="0040433A">
        <w:rPr>
          <w:rFonts w:eastAsia="Times New Roman" w:cs="Times New Roman"/>
          <w:vertAlign w:val="superscript"/>
          <w:lang w:val="en-GB"/>
        </w:rPr>
        <w:footnoteReference w:id="69"/>
      </w:r>
      <w:r w:rsidRPr="0040433A">
        <w:rPr>
          <w:rFonts w:eastAsia="Times New Roman" w:cs="Times New Roman"/>
          <w:lang w:val="en-GB"/>
        </w:rPr>
        <w:t xml:space="preserve"> This approach to non-State actor accountability is wholly dependent on the factual connection between the non-State entity and </w:t>
      </w:r>
      <w:r w:rsidR="005B3253">
        <w:rPr>
          <w:rFonts w:eastAsia="Times New Roman" w:cs="Times New Roman"/>
          <w:lang w:val="en-GB"/>
        </w:rPr>
        <w:t xml:space="preserve">the </w:t>
      </w:r>
      <w:r w:rsidRPr="0040433A">
        <w:rPr>
          <w:rFonts w:eastAsia="Times New Roman" w:cs="Times New Roman"/>
          <w:lang w:val="en-GB"/>
        </w:rPr>
        <w:t>responsible State.</w:t>
      </w:r>
      <w:r w:rsidRPr="0040433A">
        <w:rPr>
          <w:rFonts w:eastAsia="Times New Roman" w:cs="Times New Roman"/>
          <w:vertAlign w:val="superscript"/>
          <w:lang w:val="en-GB"/>
        </w:rPr>
        <w:footnoteReference w:id="70"/>
      </w:r>
      <w:r w:rsidRPr="0040433A">
        <w:rPr>
          <w:rFonts w:eastAsia="Times New Roman" w:cs="Times New Roman"/>
          <w:lang w:val="en-GB"/>
        </w:rPr>
        <w:t xml:space="preserve"> Any </w:t>
      </w:r>
      <w:r w:rsidR="005062E2">
        <w:rPr>
          <w:rFonts w:eastAsia="Times New Roman" w:cs="Times New Roman"/>
          <w:lang w:val="en-GB"/>
        </w:rPr>
        <w:t>claim in this regard</w:t>
      </w:r>
      <w:r w:rsidRPr="0040433A">
        <w:rPr>
          <w:rFonts w:eastAsia="Times New Roman" w:cs="Times New Roman"/>
          <w:lang w:val="en-GB"/>
        </w:rPr>
        <w:t xml:space="preserve"> is actionable solely as a result of</w:t>
      </w:r>
      <w:r w:rsidR="007F020C">
        <w:rPr>
          <w:rFonts w:eastAsia="Times New Roman" w:cs="Times New Roman"/>
          <w:lang w:val="en-GB"/>
        </w:rPr>
        <w:t xml:space="preserve"> the</w:t>
      </w:r>
      <w:r w:rsidRPr="0040433A">
        <w:rPr>
          <w:rFonts w:eastAsia="Times New Roman" w:cs="Times New Roman"/>
          <w:lang w:val="en-GB"/>
        </w:rPr>
        <w:t xml:space="preserve"> attribution</w:t>
      </w:r>
      <w:r w:rsidR="007F020C">
        <w:rPr>
          <w:rFonts w:eastAsia="Times New Roman" w:cs="Times New Roman"/>
          <w:lang w:val="en-GB"/>
        </w:rPr>
        <w:t xml:space="preserve"> of the wrongful act</w:t>
      </w:r>
      <w:r w:rsidRPr="0040433A">
        <w:rPr>
          <w:rFonts w:eastAsia="Times New Roman" w:cs="Times New Roman"/>
          <w:lang w:val="en-GB"/>
        </w:rPr>
        <w:t xml:space="preserve"> to the State. There is no secondary or joint responsibility assigned to the non</w:t>
      </w:r>
      <w:r w:rsidR="00EA6923" w:rsidRPr="0040433A">
        <w:rPr>
          <w:rFonts w:eastAsia="Times New Roman" w:cs="Times New Roman"/>
          <w:lang w:val="en-GB"/>
        </w:rPr>
        <w:t xml:space="preserve">-State actor, and given that this form of responsibility is already articulated by the ASRIWA, </w:t>
      </w:r>
      <w:r w:rsidR="007C089B" w:rsidRPr="0040433A">
        <w:rPr>
          <w:rFonts w:eastAsia="Times New Roman" w:cs="Times New Roman"/>
          <w:lang w:val="en-GB"/>
        </w:rPr>
        <w:t>it</w:t>
      </w:r>
      <w:r w:rsidR="00EA6923" w:rsidRPr="0040433A">
        <w:rPr>
          <w:rFonts w:eastAsia="Times New Roman" w:cs="Times New Roman"/>
          <w:lang w:val="en-GB"/>
        </w:rPr>
        <w:t xml:space="preserve"> would </w:t>
      </w:r>
      <w:r w:rsidR="007C089B" w:rsidRPr="0040433A">
        <w:rPr>
          <w:rFonts w:eastAsia="Times New Roman" w:cs="Times New Roman"/>
          <w:lang w:val="en-GB"/>
        </w:rPr>
        <w:t xml:space="preserve">likely </w:t>
      </w:r>
      <w:r w:rsidR="00EA6923" w:rsidRPr="0040433A">
        <w:rPr>
          <w:rFonts w:eastAsia="Times New Roman" w:cs="Times New Roman"/>
          <w:lang w:val="en-GB"/>
        </w:rPr>
        <w:t>not need to feature in the proposed treaty.</w:t>
      </w:r>
      <w:r w:rsidRPr="0040433A">
        <w:rPr>
          <w:rFonts w:eastAsia="Times New Roman" w:cs="Times New Roman"/>
          <w:lang w:val="en-GB"/>
        </w:rPr>
        <w:t xml:space="preserve"> </w:t>
      </w:r>
      <w:r w:rsidR="00852B00" w:rsidRPr="0040433A">
        <w:rPr>
          <w:rFonts w:eastAsia="Times New Roman" w:cs="Times New Roman"/>
          <w:lang w:val="en-GB"/>
        </w:rPr>
        <w:t>States may be held accountable for violations of their international obligations committed vicariously through private actors.</w:t>
      </w:r>
      <w:r w:rsidR="00852B00" w:rsidRPr="0040433A">
        <w:rPr>
          <w:rFonts w:eastAsia="Times New Roman" w:cs="Times New Roman"/>
          <w:vertAlign w:val="superscript"/>
          <w:lang w:val="en-GB"/>
        </w:rPr>
        <w:footnoteReference w:id="71"/>
      </w:r>
      <w:r w:rsidR="00852B00" w:rsidRPr="0040433A">
        <w:rPr>
          <w:rFonts w:eastAsia="Times New Roman" w:cs="Times New Roman"/>
          <w:lang w:val="en-GB"/>
        </w:rPr>
        <w:t xml:space="preserve"> </w:t>
      </w:r>
      <w:r w:rsidRPr="0040433A">
        <w:rPr>
          <w:rFonts w:eastAsia="Times New Roman" w:cs="Times New Roman"/>
          <w:lang w:val="en-GB"/>
        </w:rPr>
        <w:t>The fact that States will be responsible for the abusive acts of their organs and agents,</w:t>
      </w:r>
      <w:r w:rsidRPr="0040433A">
        <w:rPr>
          <w:rFonts w:eastAsia="Times New Roman" w:cs="Times New Roman"/>
          <w:vertAlign w:val="superscript"/>
          <w:lang w:val="en-GB"/>
        </w:rPr>
        <w:footnoteReference w:id="72"/>
      </w:r>
      <w:r w:rsidRPr="0040433A">
        <w:rPr>
          <w:rFonts w:eastAsia="Times New Roman" w:cs="Times New Roman"/>
          <w:lang w:val="en-GB"/>
        </w:rPr>
        <w:t xml:space="preserve"> even when acting beyond their official capacity,</w:t>
      </w:r>
      <w:r w:rsidRPr="0040433A">
        <w:rPr>
          <w:rFonts w:eastAsia="Times New Roman" w:cs="Times New Roman"/>
          <w:vertAlign w:val="superscript"/>
          <w:lang w:val="en-GB"/>
        </w:rPr>
        <w:footnoteReference w:id="73"/>
      </w:r>
      <w:r w:rsidRPr="0040433A">
        <w:rPr>
          <w:rFonts w:eastAsia="Times New Roman" w:cs="Times New Roman"/>
          <w:lang w:val="en-GB"/>
        </w:rPr>
        <w:t xml:space="preserve"> is fairly non-contentious.</w:t>
      </w:r>
      <w:r w:rsidRPr="0040433A">
        <w:rPr>
          <w:rFonts w:eastAsia="Times New Roman" w:cs="Times New Roman"/>
          <w:vertAlign w:val="superscript"/>
          <w:lang w:val="en-GB"/>
        </w:rPr>
        <w:footnoteReference w:id="74"/>
      </w:r>
      <w:r w:rsidRPr="0040433A">
        <w:rPr>
          <w:rFonts w:eastAsia="Times New Roman" w:cs="Times New Roman"/>
          <w:lang w:val="en-GB"/>
        </w:rPr>
        <w:t xml:space="preserve"> There are four key circumstances in which private behaviour will be considered attributable to the State, each of which hinges on the actor’s relationship with the State government.</w:t>
      </w:r>
      <w:r w:rsidRPr="0040433A">
        <w:rPr>
          <w:rFonts w:eastAsia="Times New Roman" w:cs="Times New Roman"/>
          <w:vertAlign w:val="superscript"/>
          <w:lang w:val="en-GB"/>
        </w:rPr>
        <w:footnoteReference w:id="75"/>
      </w:r>
      <w:r w:rsidRPr="0040433A">
        <w:rPr>
          <w:rFonts w:eastAsia="Times New Roman" w:cs="Times New Roman"/>
          <w:lang w:val="en-GB"/>
        </w:rPr>
        <w:t xml:space="preserve"> First, while the conduct of private entities is not </w:t>
      </w:r>
      <w:r w:rsidRPr="0040433A">
        <w:rPr>
          <w:rFonts w:eastAsia="Times New Roman" w:cs="Times New Roman"/>
          <w:i/>
          <w:lang w:val="en-GB"/>
        </w:rPr>
        <w:t>prima facie</w:t>
      </w:r>
      <w:r w:rsidRPr="0040433A">
        <w:rPr>
          <w:rFonts w:eastAsia="Times New Roman" w:cs="Times New Roman"/>
          <w:lang w:val="en-GB"/>
        </w:rPr>
        <w:t xml:space="preserve"> attributable to the State,</w:t>
      </w:r>
      <w:r w:rsidRPr="0040433A">
        <w:rPr>
          <w:rFonts w:eastAsia="Times New Roman" w:cs="Times New Roman"/>
          <w:vertAlign w:val="superscript"/>
          <w:lang w:val="en-GB"/>
        </w:rPr>
        <w:footnoteReference w:id="76"/>
      </w:r>
      <w:r w:rsidRPr="0040433A">
        <w:rPr>
          <w:rFonts w:eastAsia="Times New Roman" w:cs="Times New Roman"/>
          <w:lang w:val="en-GB"/>
        </w:rPr>
        <w:t xml:space="preserve"> even when the corporation is wholly owned by the State, or the State possesses a controlling interest in it,</w:t>
      </w:r>
      <w:r w:rsidRPr="0040433A">
        <w:rPr>
          <w:rFonts w:eastAsia="Times New Roman" w:cs="Times New Roman"/>
          <w:vertAlign w:val="superscript"/>
          <w:lang w:val="en-GB"/>
        </w:rPr>
        <w:footnoteReference w:id="77"/>
      </w:r>
      <w:r w:rsidRPr="0040433A">
        <w:rPr>
          <w:rFonts w:eastAsia="Times New Roman" w:cs="Times New Roman"/>
          <w:lang w:val="en-GB"/>
        </w:rPr>
        <w:t xml:space="preserve"> the conduct of entities </w:t>
      </w:r>
      <w:r w:rsidRPr="0040433A">
        <w:rPr>
          <w:rFonts w:eastAsia="Times New Roman" w:cs="Times New Roman"/>
          <w:i/>
          <w:lang w:val="en-GB"/>
        </w:rPr>
        <w:t>exercising elements of governmental authority</w:t>
      </w:r>
      <w:r w:rsidRPr="0040433A">
        <w:rPr>
          <w:rFonts w:eastAsia="Times New Roman" w:cs="Times New Roman"/>
          <w:lang w:val="en-GB"/>
        </w:rPr>
        <w:t xml:space="preserve"> may be imputed to the State.</w:t>
      </w:r>
      <w:r w:rsidRPr="0040433A">
        <w:rPr>
          <w:rFonts w:eastAsia="Times New Roman" w:cs="Times New Roman"/>
          <w:vertAlign w:val="superscript"/>
          <w:lang w:val="en-GB"/>
        </w:rPr>
        <w:footnoteReference w:id="78"/>
      </w:r>
      <w:r w:rsidRPr="0040433A">
        <w:rPr>
          <w:rFonts w:eastAsia="Times New Roman" w:cs="Times New Roman"/>
          <w:lang w:val="en-GB"/>
        </w:rPr>
        <w:t xml:space="preserve"> The relevant conduct must relate to governmental activity and not </w:t>
      </w:r>
      <w:r w:rsidR="004469DB">
        <w:rPr>
          <w:rFonts w:eastAsia="Times New Roman" w:cs="Times New Roman"/>
          <w:lang w:val="en-GB"/>
        </w:rPr>
        <w:t>to other private or commercial operations</w:t>
      </w:r>
      <w:r w:rsidRPr="0040433A">
        <w:rPr>
          <w:rFonts w:eastAsia="Times New Roman" w:cs="Times New Roman"/>
          <w:lang w:val="en-GB"/>
        </w:rPr>
        <w:t xml:space="preserve">, though </w:t>
      </w:r>
      <w:r w:rsidR="00EA59EC">
        <w:rPr>
          <w:rFonts w:eastAsia="Times New Roman" w:cs="Times New Roman"/>
          <w:lang w:val="en-GB"/>
        </w:rPr>
        <w:t xml:space="preserve">the ILC has not provided </w:t>
      </w:r>
      <w:r w:rsidRPr="0040433A">
        <w:rPr>
          <w:rFonts w:eastAsia="Times New Roman" w:cs="Times New Roman"/>
          <w:lang w:val="en-GB"/>
        </w:rPr>
        <w:t>precise definition</w:t>
      </w:r>
      <w:r w:rsidR="005842A6">
        <w:rPr>
          <w:rFonts w:eastAsia="Times New Roman" w:cs="Times New Roman"/>
          <w:lang w:val="en-GB"/>
        </w:rPr>
        <w:t>s</w:t>
      </w:r>
      <w:r w:rsidR="00266F94">
        <w:rPr>
          <w:rFonts w:eastAsia="Times New Roman" w:cs="Times New Roman"/>
          <w:lang w:val="en-GB"/>
        </w:rPr>
        <w:t xml:space="preserve"> in this regard</w:t>
      </w:r>
      <w:r w:rsidRPr="0040433A">
        <w:rPr>
          <w:rFonts w:eastAsia="Times New Roman" w:cs="Times New Roman"/>
          <w:lang w:val="en-GB"/>
        </w:rPr>
        <w:t>.</w:t>
      </w:r>
      <w:r w:rsidRPr="0040433A">
        <w:rPr>
          <w:rFonts w:eastAsia="Times New Roman" w:cs="Times New Roman"/>
          <w:vertAlign w:val="superscript"/>
          <w:lang w:val="en-GB"/>
        </w:rPr>
        <w:footnoteReference w:id="79"/>
      </w:r>
      <w:r w:rsidRPr="0040433A">
        <w:rPr>
          <w:rFonts w:eastAsia="Times New Roman" w:cs="Times New Roman"/>
          <w:lang w:val="en-GB"/>
        </w:rPr>
        <w:t xml:space="preserve"> This provision is particularly pertinent given the international trend toward the </w:t>
      </w:r>
      <w:r w:rsidR="00C12898" w:rsidRPr="0040433A">
        <w:rPr>
          <w:rFonts w:eastAsia="Times New Roman" w:cs="Times New Roman"/>
          <w:lang w:val="en-GB"/>
        </w:rPr>
        <w:t>privatization</w:t>
      </w:r>
      <w:r w:rsidRPr="0040433A">
        <w:rPr>
          <w:rFonts w:eastAsia="Times New Roman" w:cs="Times New Roman"/>
          <w:lang w:val="en-GB"/>
        </w:rPr>
        <w:t xml:space="preserve"> of government</w:t>
      </w:r>
      <w:r w:rsidR="004469DB">
        <w:rPr>
          <w:rFonts w:eastAsia="Times New Roman" w:cs="Times New Roman"/>
          <w:lang w:val="en-GB"/>
        </w:rPr>
        <w:t>al</w:t>
      </w:r>
      <w:r w:rsidRPr="0040433A">
        <w:rPr>
          <w:rFonts w:eastAsia="Times New Roman" w:cs="Times New Roman"/>
          <w:lang w:val="en-GB"/>
        </w:rPr>
        <w:t xml:space="preserve"> functions.</w:t>
      </w:r>
      <w:r w:rsidRPr="0040433A">
        <w:rPr>
          <w:rFonts w:eastAsia="Times New Roman" w:cs="Times New Roman"/>
          <w:vertAlign w:val="superscript"/>
          <w:lang w:val="en-GB"/>
        </w:rPr>
        <w:footnoteReference w:id="80"/>
      </w:r>
      <w:r w:rsidRPr="0040433A">
        <w:rPr>
          <w:rFonts w:eastAsia="Times New Roman" w:cs="Times New Roman"/>
          <w:lang w:val="en-GB"/>
        </w:rPr>
        <w:t xml:space="preserve"> </w:t>
      </w:r>
    </w:p>
    <w:p w14:paraId="2420BA55" w14:textId="0DD547F7" w:rsidR="00142F7E" w:rsidRPr="0040433A" w:rsidRDefault="00142F7E" w:rsidP="0040433A">
      <w:pPr>
        <w:spacing w:line="276" w:lineRule="auto"/>
        <w:ind w:firstLine="720"/>
        <w:jc w:val="both"/>
        <w:rPr>
          <w:rFonts w:eastAsia="Times New Roman" w:cs="Times New Roman"/>
          <w:lang w:val="en-GB"/>
        </w:rPr>
      </w:pPr>
      <w:r w:rsidRPr="0040433A">
        <w:rPr>
          <w:rFonts w:eastAsia="Times New Roman" w:cs="Times New Roman"/>
          <w:lang w:val="en-GB"/>
        </w:rPr>
        <w:t xml:space="preserve">The three remaining scenarios are articulated in </w:t>
      </w:r>
      <w:r w:rsidR="00495374" w:rsidRPr="0040433A">
        <w:rPr>
          <w:rFonts w:eastAsia="Times New Roman" w:cs="Times New Roman"/>
          <w:lang w:val="en-GB"/>
        </w:rPr>
        <w:t>a</w:t>
      </w:r>
      <w:r w:rsidRPr="0040433A">
        <w:rPr>
          <w:rFonts w:eastAsia="Times New Roman" w:cs="Times New Roman"/>
          <w:lang w:val="en-GB"/>
        </w:rPr>
        <w:t xml:space="preserve">rticles 8-11. Pursuant to these provisions, certain conduct </w:t>
      </w:r>
      <w:r w:rsidR="00CE11AE">
        <w:rPr>
          <w:rFonts w:eastAsia="Times New Roman" w:cs="Times New Roman"/>
          <w:lang w:val="en-GB"/>
        </w:rPr>
        <w:t>that</w:t>
      </w:r>
      <w:r w:rsidRPr="0040433A">
        <w:rPr>
          <w:rFonts w:eastAsia="Times New Roman" w:cs="Times New Roman"/>
          <w:lang w:val="en-GB"/>
        </w:rPr>
        <w:t xml:space="preserve"> does not result directly from the actions of the State, its organs or agents is nonetheless imputed to the S</w:t>
      </w:r>
      <w:r w:rsidR="00495374" w:rsidRPr="0040433A">
        <w:rPr>
          <w:rFonts w:eastAsia="Times New Roman" w:cs="Times New Roman"/>
          <w:lang w:val="en-GB"/>
        </w:rPr>
        <w:t>tate. The least contentious is a</w:t>
      </w:r>
      <w:r w:rsidRPr="0040433A">
        <w:rPr>
          <w:rFonts w:eastAsia="Times New Roman" w:cs="Times New Roman"/>
          <w:lang w:val="en-GB"/>
        </w:rPr>
        <w:t>rticle 11, which provides that conduct will be attributable where a ‘State acknowledges and adopts the conduct in question as its own.’</w:t>
      </w:r>
      <w:r w:rsidRPr="0040433A">
        <w:rPr>
          <w:rFonts w:eastAsia="Times New Roman" w:cs="Times New Roman"/>
          <w:vertAlign w:val="superscript"/>
          <w:lang w:val="en-GB"/>
        </w:rPr>
        <w:footnoteReference w:id="81"/>
      </w:r>
      <w:r w:rsidRPr="0040433A">
        <w:rPr>
          <w:rFonts w:eastAsia="Times New Roman" w:cs="Times New Roman"/>
          <w:lang w:val="en-GB"/>
        </w:rPr>
        <w:t xml:space="preserve"> More problematically, conduct is attributable to the State where an entity operates under its direction or control.</w:t>
      </w:r>
      <w:r w:rsidRPr="0040433A">
        <w:rPr>
          <w:rFonts w:eastAsia="Times New Roman" w:cs="Times New Roman"/>
          <w:vertAlign w:val="superscript"/>
          <w:lang w:val="en-GB"/>
        </w:rPr>
        <w:footnoteReference w:id="82"/>
      </w:r>
      <w:r w:rsidRPr="0040433A">
        <w:rPr>
          <w:rFonts w:eastAsia="Times New Roman" w:cs="Times New Roman"/>
          <w:lang w:val="en-GB"/>
        </w:rPr>
        <w:t xml:space="preserve"> Such conduct will rise to this level ‘only if it directed or controlled the specific operation and the conduct complained of was an integral part of that operation.’</w:t>
      </w:r>
      <w:r w:rsidRPr="0040433A">
        <w:rPr>
          <w:rFonts w:eastAsia="Times New Roman" w:cs="Times New Roman"/>
          <w:vertAlign w:val="superscript"/>
          <w:lang w:val="en-GB"/>
        </w:rPr>
        <w:footnoteReference w:id="83"/>
      </w:r>
      <w:r w:rsidRPr="0040433A">
        <w:rPr>
          <w:rFonts w:eastAsia="Times New Roman" w:cs="Times New Roman"/>
          <w:lang w:val="en-GB"/>
        </w:rPr>
        <w:t xml:space="preserve"> </w:t>
      </w:r>
      <w:r w:rsidR="00C530A5">
        <w:rPr>
          <w:rFonts w:eastAsia="Times New Roman" w:cs="Times New Roman"/>
          <w:lang w:val="en-GB"/>
        </w:rPr>
        <w:t>I</w:t>
      </w:r>
      <w:r w:rsidRPr="0040433A">
        <w:rPr>
          <w:rFonts w:eastAsia="Times New Roman" w:cs="Times New Roman"/>
          <w:lang w:val="en-GB"/>
        </w:rPr>
        <w:t xml:space="preserve">n its </w:t>
      </w:r>
      <w:r w:rsidRPr="0040433A">
        <w:rPr>
          <w:rFonts w:eastAsia="Times New Roman" w:cs="Times New Roman"/>
          <w:i/>
          <w:lang w:val="en-GB"/>
        </w:rPr>
        <w:t>Nicaragua</w:t>
      </w:r>
      <w:r w:rsidR="00E153DF">
        <w:rPr>
          <w:rFonts w:eastAsia="Times New Roman" w:cs="Times New Roman"/>
          <w:lang w:val="en-GB"/>
        </w:rPr>
        <w:t xml:space="preserve"> </w:t>
      </w:r>
      <w:r w:rsidR="00CE20A9">
        <w:rPr>
          <w:rFonts w:eastAsia="Times New Roman" w:cs="Times New Roman"/>
          <w:lang w:val="en-GB"/>
        </w:rPr>
        <w:t>o</w:t>
      </w:r>
      <w:r w:rsidRPr="0040433A">
        <w:rPr>
          <w:rFonts w:eastAsia="Times New Roman" w:cs="Times New Roman"/>
          <w:lang w:val="en-GB"/>
        </w:rPr>
        <w:t xml:space="preserve">pinion, </w:t>
      </w:r>
      <w:r w:rsidR="00C530A5">
        <w:rPr>
          <w:rFonts w:eastAsia="Times New Roman" w:cs="Times New Roman"/>
          <w:lang w:val="en-GB"/>
        </w:rPr>
        <w:t>the ICJ</w:t>
      </w:r>
      <w:r w:rsidR="00C530A5" w:rsidRPr="0040433A">
        <w:rPr>
          <w:rFonts w:eastAsia="Times New Roman" w:cs="Times New Roman"/>
          <w:lang w:val="en-GB"/>
        </w:rPr>
        <w:t xml:space="preserve"> </w:t>
      </w:r>
      <w:r w:rsidRPr="0040433A">
        <w:rPr>
          <w:rFonts w:eastAsia="Times New Roman" w:cs="Times New Roman"/>
          <w:lang w:val="en-GB"/>
        </w:rPr>
        <w:t>considered whether the conduct of</w:t>
      </w:r>
      <w:r w:rsidR="00C530A5">
        <w:rPr>
          <w:rFonts w:eastAsia="Times New Roman" w:cs="Times New Roman"/>
          <w:lang w:val="en-GB"/>
        </w:rPr>
        <w:t xml:space="preserve"> a group of </w:t>
      </w:r>
      <w:r w:rsidR="006817A4">
        <w:rPr>
          <w:rFonts w:eastAsia="Times New Roman" w:cs="Times New Roman"/>
          <w:lang w:val="en-GB"/>
        </w:rPr>
        <w:t>insurgent</w:t>
      </w:r>
      <w:r w:rsidR="00C530A5">
        <w:rPr>
          <w:rFonts w:eastAsia="Times New Roman" w:cs="Times New Roman"/>
          <w:lang w:val="en-GB"/>
        </w:rPr>
        <w:t xml:space="preserve"> forces</w:t>
      </w:r>
      <w:r w:rsidRPr="0040433A">
        <w:rPr>
          <w:rFonts w:eastAsia="Times New Roman" w:cs="Times New Roman"/>
          <w:lang w:val="en-GB"/>
        </w:rPr>
        <w:t xml:space="preserve"> </w:t>
      </w:r>
      <w:r w:rsidR="00C530A5">
        <w:rPr>
          <w:rFonts w:eastAsia="Times New Roman" w:cs="Times New Roman"/>
          <w:lang w:val="en-GB"/>
        </w:rPr>
        <w:t xml:space="preserve">termed the ‘Contras’ </w:t>
      </w:r>
      <w:r w:rsidRPr="0040433A">
        <w:rPr>
          <w:rFonts w:eastAsia="Times New Roman" w:cs="Times New Roman"/>
          <w:lang w:val="en-GB"/>
        </w:rPr>
        <w:t>was attributable to the US</w:t>
      </w:r>
      <w:r w:rsidR="00DA67D2">
        <w:rPr>
          <w:rFonts w:eastAsia="Times New Roman" w:cs="Times New Roman"/>
          <w:lang w:val="en-GB"/>
        </w:rPr>
        <w:t xml:space="preserve"> on the basis of the financi</w:t>
      </w:r>
      <w:r w:rsidR="00AC012F">
        <w:rPr>
          <w:rFonts w:eastAsia="Times New Roman" w:cs="Times New Roman"/>
          <w:lang w:val="en-GB"/>
        </w:rPr>
        <w:t xml:space="preserve">al support </w:t>
      </w:r>
      <w:r w:rsidR="00B20E0E">
        <w:rPr>
          <w:rFonts w:eastAsia="Times New Roman" w:cs="Times New Roman"/>
          <w:lang w:val="en-GB"/>
        </w:rPr>
        <w:t xml:space="preserve">provided by </w:t>
      </w:r>
      <w:r w:rsidR="003071CF">
        <w:rPr>
          <w:rFonts w:eastAsia="Times New Roman" w:cs="Times New Roman"/>
          <w:lang w:val="en-GB"/>
        </w:rPr>
        <w:t>the State</w:t>
      </w:r>
      <w:r w:rsidR="00C530A5">
        <w:rPr>
          <w:rFonts w:eastAsia="Times New Roman" w:cs="Times New Roman"/>
          <w:lang w:val="en-GB"/>
        </w:rPr>
        <w:t>.</w:t>
      </w:r>
      <w:r w:rsidRPr="0040433A">
        <w:rPr>
          <w:rFonts w:eastAsia="Times New Roman" w:cs="Times New Roman"/>
          <w:lang w:val="en-GB"/>
        </w:rPr>
        <w:t xml:space="preserve"> </w:t>
      </w:r>
      <w:r w:rsidR="00C530A5">
        <w:rPr>
          <w:rFonts w:eastAsia="Times New Roman" w:cs="Times New Roman"/>
          <w:lang w:val="en-GB"/>
        </w:rPr>
        <w:t xml:space="preserve">It </w:t>
      </w:r>
      <w:r w:rsidRPr="0040433A">
        <w:rPr>
          <w:rFonts w:eastAsia="Times New Roman" w:cs="Times New Roman"/>
          <w:lang w:val="en-GB"/>
        </w:rPr>
        <w:t>held that</w:t>
      </w:r>
      <w:r w:rsidR="009E51F7" w:rsidRPr="0040433A">
        <w:rPr>
          <w:rFonts w:eastAsia="Times New Roman" w:cs="Times New Roman"/>
          <w:lang w:val="en-GB"/>
        </w:rPr>
        <w:t xml:space="preserve"> ‘</w:t>
      </w:r>
      <w:r w:rsidRPr="0040433A">
        <w:rPr>
          <w:rFonts w:eastAsia="Times New Roman" w:cs="Times New Roman"/>
          <w:lang w:val="en-GB"/>
        </w:rPr>
        <w:t xml:space="preserve">despite the heavy subsidiaries and other support provided to them by the United States, there is no clear evidence of the United States having exercised such a degree of control in all fields as to justify the </w:t>
      </w:r>
      <w:r w:rsidR="009E51F7" w:rsidRPr="0040433A">
        <w:rPr>
          <w:rFonts w:eastAsia="Times New Roman" w:cs="Times New Roman"/>
          <w:lang w:val="en-GB"/>
        </w:rPr>
        <w:t>Contras as acting on its behalf</w:t>
      </w:r>
      <w:r w:rsidRPr="0040433A">
        <w:rPr>
          <w:rFonts w:eastAsia="Times New Roman" w:cs="Times New Roman"/>
          <w:lang w:val="en-GB"/>
        </w:rPr>
        <w:t>.</w:t>
      </w:r>
      <w:r w:rsidR="009E51F7" w:rsidRPr="0040433A">
        <w:rPr>
          <w:rFonts w:eastAsia="Times New Roman" w:cs="Times New Roman"/>
          <w:lang w:val="en-GB"/>
        </w:rPr>
        <w:t>’</w:t>
      </w:r>
      <w:r w:rsidRPr="0040433A">
        <w:rPr>
          <w:rFonts w:eastAsia="Times New Roman" w:cs="Times New Roman"/>
          <w:vertAlign w:val="superscript"/>
          <w:lang w:val="en-GB"/>
        </w:rPr>
        <w:footnoteReference w:id="84"/>
      </w:r>
    </w:p>
    <w:p w14:paraId="16991BFC" w14:textId="5724556D" w:rsidR="00142F7E" w:rsidRPr="0040433A" w:rsidRDefault="00142F7E" w:rsidP="0040433A">
      <w:pPr>
        <w:spacing w:line="276" w:lineRule="auto"/>
        <w:ind w:firstLine="720"/>
        <w:jc w:val="both"/>
        <w:rPr>
          <w:rFonts w:eastAsia="Times New Roman" w:cs="Times New Roman"/>
          <w:lang w:val="en-GB"/>
        </w:rPr>
      </w:pPr>
      <w:r w:rsidRPr="0040433A">
        <w:rPr>
          <w:rFonts w:eastAsia="Times New Roman" w:cs="Times New Roman"/>
          <w:lang w:val="en-GB"/>
        </w:rPr>
        <w:t xml:space="preserve">The approach in </w:t>
      </w:r>
      <w:r w:rsidRPr="0040433A">
        <w:rPr>
          <w:rFonts w:eastAsia="Times New Roman" w:cs="Times New Roman"/>
          <w:i/>
          <w:lang w:val="en-GB"/>
        </w:rPr>
        <w:t>Nicaragua</w:t>
      </w:r>
      <w:r w:rsidR="000C6751" w:rsidRPr="0040433A">
        <w:rPr>
          <w:rFonts w:eastAsia="Times New Roman" w:cs="Times New Roman"/>
          <w:lang w:val="en-GB"/>
        </w:rPr>
        <w:t xml:space="preserve"> has been criticiz</w:t>
      </w:r>
      <w:r w:rsidRPr="0040433A">
        <w:rPr>
          <w:rFonts w:eastAsia="Times New Roman" w:cs="Times New Roman"/>
          <w:lang w:val="en-GB"/>
        </w:rPr>
        <w:t>ed in subsequent international jurisprudence,</w:t>
      </w:r>
      <w:r w:rsidRPr="0040433A">
        <w:rPr>
          <w:rFonts w:eastAsia="Times New Roman" w:cs="Times New Roman"/>
          <w:vertAlign w:val="superscript"/>
          <w:lang w:val="en-GB"/>
        </w:rPr>
        <w:footnoteReference w:id="85"/>
      </w:r>
      <w:r w:rsidRPr="0040433A">
        <w:rPr>
          <w:rFonts w:eastAsia="Times New Roman" w:cs="Times New Roman"/>
          <w:lang w:val="en-GB"/>
        </w:rPr>
        <w:t xml:space="preserve"> and it is generally accepted that the threshold will be determined on a case-by-case basis.</w:t>
      </w:r>
      <w:r w:rsidRPr="0040433A">
        <w:rPr>
          <w:rFonts w:eastAsia="Times New Roman" w:cs="Times New Roman"/>
          <w:vertAlign w:val="superscript"/>
          <w:lang w:val="en-GB"/>
        </w:rPr>
        <w:footnoteReference w:id="86"/>
      </w:r>
      <w:r w:rsidRPr="0040433A">
        <w:rPr>
          <w:rFonts w:eastAsia="Times New Roman" w:cs="Times New Roman"/>
          <w:lang w:val="en-GB"/>
        </w:rPr>
        <w:t xml:space="preserve"> However, it has been suggested that such a relationship will only be established in a small category of cases</w:t>
      </w:r>
      <w:r w:rsidR="006804AC" w:rsidRPr="0040433A">
        <w:rPr>
          <w:rFonts w:eastAsia="Times New Roman" w:cs="Times New Roman"/>
          <w:lang w:val="en-GB"/>
        </w:rPr>
        <w:t>.</w:t>
      </w:r>
      <w:r w:rsidRPr="0040433A">
        <w:rPr>
          <w:rFonts w:eastAsia="Times New Roman" w:cs="Times New Roman"/>
          <w:vertAlign w:val="superscript"/>
          <w:lang w:val="en-GB"/>
        </w:rPr>
        <w:footnoteReference w:id="87"/>
      </w:r>
      <w:r w:rsidRPr="0040433A">
        <w:rPr>
          <w:rFonts w:eastAsia="Times New Roman" w:cs="Times New Roman"/>
          <w:lang w:val="en-GB"/>
        </w:rPr>
        <w:t xml:space="preserve"> Thus, while this constitutes an accepted method of achieving redress for non-State actor activity under the proposed treaty regime, it is unlikely to aid the majority of victims.</w:t>
      </w:r>
      <w:r w:rsidRPr="0040433A">
        <w:rPr>
          <w:rFonts w:eastAsia="Times New Roman" w:cs="Times New Roman"/>
          <w:vertAlign w:val="superscript"/>
          <w:lang w:val="en-GB"/>
        </w:rPr>
        <w:footnoteReference w:id="88"/>
      </w:r>
      <w:r w:rsidRPr="0040433A">
        <w:rPr>
          <w:rFonts w:eastAsia="Times New Roman" w:cs="Times New Roman"/>
          <w:lang w:val="en-GB"/>
        </w:rPr>
        <w:t xml:space="preserve"> Furthermore, Ratner suggests that there may be instances in which ‘the company is effectively the superior and the State is the agent’.</w:t>
      </w:r>
      <w:r w:rsidRPr="0040433A">
        <w:rPr>
          <w:rFonts w:eastAsia="Times New Roman" w:cs="Times New Roman"/>
          <w:vertAlign w:val="superscript"/>
          <w:lang w:val="en-GB"/>
        </w:rPr>
        <w:footnoteReference w:id="89"/>
      </w:r>
      <w:r w:rsidRPr="0040433A">
        <w:rPr>
          <w:rFonts w:eastAsia="Times New Roman" w:cs="Times New Roman"/>
          <w:lang w:val="en-GB"/>
        </w:rPr>
        <w:t xml:space="preserve"> While such instances are possible in light of the economic power wielded by many business actors, the </w:t>
      </w:r>
      <w:r w:rsidR="00274FE8" w:rsidRPr="0040433A">
        <w:rPr>
          <w:rFonts w:eastAsia="Times New Roman" w:cs="Times New Roman"/>
          <w:lang w:val="en-GB"/>
        </w:rPr>
        <w:t>ASRIWA</w:t>
      </w:r>
      <w:r w:rsidRPr="0040433A">
        <w:rPr>
          <w:rFonts w:eastAsia="Times New Roman" w:cs="Times New Roman"/>
          <w:lang w:val="en-GB"/>
        </w:rPr>
        <w:t xml:space="preserve"> do not cater for this inverse scenario. States </w:t>
      </w:r>
      <w:r w:rsidR="006804AC" w:rsidRPr="0040433A">
        <w:rPr>
          <w:rFonts w:eastAsia="Times New Roman" w:cs="Times New Roman"/>
          <w:lang w:val="en-GB"/>
        </w:rPr>
        <w:t xml:space="preserve">alone bear the obligations, and </w:t>
      </w:r>
      <w:r w:rsidR="00B00555" w:rsidRPr="0040433A">
        <w:rPr>
          <w:rFonts w:eastAsia="Times New Roman" w:cs="Times New Roman"/>
          <w:lang w:val="en-GB"/>
        </w:rPr>
        <w:t xml:space="preserve">are treated as </w:t>
      </w:r>
      <w:r w:rsidRPr="0040433A">
        <w:rPr>
          <w:rFonts w:eastAsia="Times New Roman" w:cs="Times New Roman"/>
          <w:lang w:val="en-GB"/>
        </w:rPr>
        <w:t>‘commander’ in their relations with private actors, irrespective of the facts.</w:t>
      </w:r>
    </w:p>
    <w:p w14:paraId="0AD34281" w14:textId="5ABAA8A9" w:rsidR="00142F7E" w:rsidRDefault="00142F7E" w:rsidP="0040433A">
      <w:pPr>
        <w:spacing w:line="276" w:lineRule="auto"/>
        <w:ind w:firstLine="720"/>
        <w:jc w:val="both"/>
        <w:rPr>
          <w:rFonts w:eastAsia="Times New Roman" w:cs="Times New Roman"/>
          <w:lang w:val="en-GB"/>
        </w:rPr>
      </w:pPr>
      <w:r w:rsidRPr="0040433A">
        <w:rPr>
          <w:rFonts w:eastAsia="Times New Roman" w:cs="Times New Roman"/>
          <w:lang w:val="en-GB"/>
        </w:rPr>
        <w:t xml:space="preserve">Whereas </w:t>
      </w:r>
      <w:r w:rsidR="00B00555" w:rsidRPr="0040433A">
        <w:rPr>
          <w:rFonts w:eastAsia="Times New Roman" w:cs="Times New Roman"/>
          <w:lang w:val="en-GB"/>
        </w:rPr>
        <w:t>the conduct contemplated by the</w:t>
      </w:r>
      <w:r w:rsidRPr="0040433A">
        <w:rPr>
          <w:rFonts w:eastAsia="Times New Roman" w:cs="Times New Roman"/>
          <w:lang w:val="en-GB"/>
        </w:rPr>
        <w:t xml:space="preserve"> </w:t>
      </w:r>
      <w:r w:rsidR="00274FE8" w:rsidRPr="0040433A">
        <w:rPr>
          <w:rFonts w:eastAsia="Times New Roman" w:cs="Times New Roman"/>
          <w:lang w:val="en-GB"/>
        </w:rPr>
        <w:t>ASRIWA</w:t>
      </w:r>
      <w:r w:rsidRPr="0040433A">
        <w:rPr>
          <w:rFonts w:eastAsia="Times New Roman" w:cs="Times New Roman"/>
          <w:lang w:val="en-GB"/>
        </w:rPr>
        <w:t xml:space="preserve"> is contingent on the close proxim</w:t>
      </w:r>
      <w:r w:rsidR="00206BFE">
        <w:rPr>
          <w:rFonts w:eastAsia="Times New Roman" w:cs="Times New Roman"/>
          <w:lang w:val="en-GB"/>
        </w:rPr>
        <w:t xml:space="preserve">ity between private entity and </w:t>
      </w:r>
      <w:r w:rsidRPr="0040433A">
        <w:rPr>
          <w:rFonts w:eastAsia="Times New Roman" w:cs="Times New Roman"/>
          <w:lang w:val="en-GB"/>
        </w:rPr>
        <w:t>State, and accusations of complicity and impunity are leveraged at weak governance States with some regularity,</w:t>
      </w:r>
      <w:r w:rsidRPr="0040433A">
        <w:rPr>
          <w:rFonts w:eastAsia="Times New Roman" w:cs="Times New Roman"/>
          <w:vertAlign w:val="superscript"/>
          <w:lang w:val="en-GB"/>
        </w:rPr>
        <w:footnoteReference w:id="90"/>
      </w:r>
      <w:r w:rsidRPr="0040433A">
        <w:rPr>
          <w:rFonts w:eastAsia="Times New Roman" w:cs="Times New Roman"/>
          <w:lang w:val="en-GB"/>
        </w:rPr>
        <w:t xml:space="preserve"> violations are also likely to result from the basic incapacity or unwillingness of the State to effectively regulate its domestic affairs.</w:t>
      </w:r>
      <w:r w:rsidRPr="0040433A">
        <w:rPr>
          <w:rFonts w:eastAsia="Times New Roman" w:cs="Times New Roman"/>
          <w:vertAlign w:val="superscript"/>
          <w:lang w:val="en-GB"/>
        </w:rPr>
        <w:footnoteReference w:id="91"/>
      </w:r>
      <w:r w:rsidRPr="0040433A">
        <w:rPr>
          <w:rFonts w:eastAsia="Times New Roman" w:cs="Times New Roman"/>
          <w:lang w:val="en-GB"/>
        </w:rPr>
        <w:t xml:space="preserve"> </w:t>
      </w:r>
      <w:r w:rsidR="00B00555" w:rsidRPr="0040433A">
        <w:rPr>
          <w:rFonts w:eastAsia="Times New Roman" w:cs="Times New Roman"/>
          <w:lang w:val="en-GB"/>
        </w:rPr>
        <w:t>I</w:t>
      </w:r>
      <w:r w:rsidRPr="0040433A">
        <w:rPr>
          <w:rFonts w:eastAsia="Times New Roman" w:cs="Times New Roman"/>
          <w:lang w:val="en-GB"/>
        </w:rPr>
        <w:t>n this context</w:t>
      </w:r>
      <w:r w:rsidR="00B00555" w:rsidRPr="0040433A">
        <w:rPr>
          <w:rFonts w:eastAsia="Times New Roman" w:cs="Times New Roman"/>
          <w:lang w:val="en-GB"/>
        </w:rPr>
        <w:t>,</w:t>
      </w:r>
      <w:r w:rsidRPr="0040433A">
        <w:rPr>
          <w:rFonts w:eastAsia="Times New Roman" w:cs="Times New Roman"/>
          <w:lang w:val="en-GB"/>
        </w:rPr>
        <w:t xml:space="preserve"> </w:t>
      </w:r>
      <w:r w:rsidR="00702547" w:rsidRPr="0040433A">
        <w:rPr>
          <w:rFonts w:eastAsia="Times New Roman" w:cs="Times New Roman"/>
          <w:lang w:val="en-GB"/>
        </w:rPr>
        <w:t>purely</w:t>
      </w:r>
      <w:r w:rsidRPr="0040433A">
        <w:rPr>
          <w:rFonts w:eastAsia="Times New Roman" w:cs="Times New Roman"/>
          <w:lang w:val="en-GB"/>
        </w:rPr>
        <w:t xml:space="preserve"> State-based approaches to non-State actor regulation truly fall apart. The conception of State regulation through municipal law is justified ‘on the basis that the State has, at least in theory, the constitutional authority to legislate and regulate such actions to ensure their compliance with its international obligations.’</w:t>
      </w:r>
      <w:r w:rsidRPr="0040433A">
        <w:rPr>
          <w:rFonts w:eastAsia="Times New Roman" w:cs="Times New Roman"/>
          <w:vertAlign w:val="superscript"/>
          <w:lang w:val="en-GB"/>
        </w:rPr>
        <w:footnoteReference w:id="92"/>
      </w:r>
      <w:r w:rsidRPr="0040433A">
        <w:rPr>
          <w:rFonts w:eastAsia="Times New Roman" w:cs="Times New Roman"/>
          <w:lang w:val="en-GB"/>
        </w:rPr>
        <w:t xml:space="preserve"> Yet in many States, such regulation is entirely unrealistic. The traditional treatment of non-State actors is staunchly Western and fails to account for the realities of life in weak governance States.</w:t>
      </w:r>
      <w:r w:rsidRPr="0040433A">
        <w:rPr>
          <w:rFonts w:eastAsia="Times New Roman" w:cs="Times New Roman"/>
          <w:vertAlign w:val="superscript"/>
          <w:lang w:val="en-GB"/>
        </w:rPr>
        <w:footnoteReference w:id="93"/>
      </w:r>
      <w:r w:rsidRPr="0040433A">
        <w:rPr>
          <w:rFonts w:eastAsia="Times New Roman" w:cs="Times New Roman"/>
          <w:lang w:val="en-GB"/>
        </w:rPr>
        <w:t xml:space="preserve"> The existence, will and capacity of the State a</w:t>
      </w:r>
      <w:r w:rsidR="00274FE8" w:rsidRPr="0040433A">
        <w:rPr>
          <w:rFonts w:eastAsia="Times New Roman" w:cs="Times New Roman"/>
          <w:lang w:val="en-GB"/>
        </w:rPr>
        <w:t>s a regulator is simply assumed</w:t>
      </w:r>
      <w:r w:rsidR="00387D9D" w:rsidRPr="0040433A">
        <w:rPr>
          <w:rFonts w:eastAsia="Times New Roman" w:cs="Times New Roman"/>
          <w:lang w:val="en-GB"/>
        </w:rPr>
        <w:t>.</w:t>
      </w:r>
      <w:r w:rsidRPr="0040433A">
        <w:rPr>
          <w:rFonts w:eastAsia="Times New Roman" w:cs="Times New Roman"/>
          <w:vertAlign w:val="superscript"/>
          <w:lang w:val="en-GB"/>
        </w:rPr>
        <w:footnoteReference w:id="94"/>
      </w:r>
      <w:r w:rsidRPr="0040433A">
        <w:rPr>
          <w:rFonts w:eastAsia="Times New Roman" w:cs="Times New Roman"/>
          <w:lang w:val="en-GB"/>
        </w:rPr>
        <w:t xml:space="preserve"> </w:t>
      </w:r>
      <w:r w:rsidR="00852B00" w:rsidRPr="0040433A">
        <w:rPr>
          <w:rFonts w:eastAsia="Times New Roman" w:cs="Times New Roman"/>
          <w:lang w:val="en-GB"/>
        </w:rPr>
        <w:t>Thus, the attribution regime will need to be supplemented with other categories of responsibility in order to ensure the regulatory gap is adequately filled.</w:t>
      </w:r>
    </w:p>
    <w:p w14:paraId="76F7320A" w14:textId="77777777" w:rsidR="0040433A" w:rsidRPr="0040433A" w:rsidRDefault="0040433A" w:rsidP="0040433A">
      <w:pPr>
        <w:spacing w:line="276" w:lineRule="auto"/>
        <w:ind w:firstLine="720"/>
        <w:jc w:val="both"/>
        <w:rPr>
          <w:rFonts w:eastAsia="Times New Roman" w:cs="Times New Roman"/>
          <w:lang w:val="en-GB"/>
        </w:rPr>
      </w:pPr>
    </w:p>
    <w:p w14:paraId="10DE06ED" w14:textId="38FD4D18" w:rsidR="00EA6923" w:rsidRPr="0040433A" w:rsidRDefault="00EA6923" w:rsidP="0040433A">
      <w:pPr>
        <w:pStyle w:val="Heading2"/>
        <w:numPr>
          <w:ilvl w:val="0"/>
          <w:numId w:val="6"/>
        </w:numPr>
        <w:spacing w:line="480" w:lineRule="auto"/>
        <w:ind w:left="1077"/>
        <w:jc w:val="center"/>
        <w:rPr>
          <w:szCs w:val="24"/>
          <w:lang w:val="en-GB"/>
        </w:rPr>
      </w:pPr>
      <w:r w:rsidRPr="0040433A">
        <w:rPr>
          <w:szCs w:val="24"/>
          <w:lang w:val="en-GB"/>
        </w:rPr>
        <w:t>Complicity</w:t>
      </w:r>
    </w:p>
    <w:p w14:paraId="7F30F330" w14:textId="22EAA347" w:rsidR="001F4EB7" w:rsidRPr="0040433A" w:rsidRDefault="00702547" w:rsidP="00957ADA">
      <w:pPr>
        <w:spacing w:line="276" w:lineRule="auto"/>
        <w:jc w:val="both"/>
        <w:rPr>
          <w:lang w:val="en-GB"/>
        </w:rPr>
      </w:pPr>
      <w:r w:rsidRPr="0040433A">
        <w:rPr>
          <w:lang w:val="en-GB"/>
        </w:rPr>
        <w:t>Given that a treaty could impose direct international human rights obligations on</w:t>
      </w:r>
      <w:r w:rsidR="000A52E3" w:rsidRPr="0040433A">
        <w:rPr>
          <w:lang w:val="en-GB"/>
        </w:rPr>
        <w:t xml:space="preserve"> both State </w:t>
      </w:r>
      <w:r w:rsidR="000A52E3" w:rsidRPr="0040433A">
        <w:rPr>
          <w:i/>
          <w:lang w:val="en-GB"/>
        </w:rPr>
        <w:t>and</w:t>
      </w:r>
      <w:r w:rsidRPr="0040433A">
        <w:rPr>
          <w:lang w:val="en-GB"/>
        </w:rPr>
        <w:t xml:space="preserve"> non-State actors, a scenario could arise </w:t>
      </w:r>
      <w:r w:rsidR="00EA6923" w:rsidRPr="0040433A">
        <w:rPr>
          <w:lang w:val="en-GB"/>
        </w:rPr>
        <w:t>in which</w:t>
      </w:r>
      <w:r w:rsidR="00274FE8" w:rsidRPr="0040433A">
        <w:rPr>
          <w:lang w:val="en-GB"/>
        </w:rPr>
        <w:t xml:space="preserve"> the non-State entity</w:t>
      </w:r>
      <w:r w:rsidRPr="0040433A">
        <w:rPr>
          <w:lang w:val="en-GB"/>
        </w:rPr>
        <w:t xml:space="preserve"> served as the principal actor in the </w:t>
      </w:r>
      <w:r w:rsidR="000822CD" w:rsidRPr="0040433A">
        <w:rPr>
          <w:lang w:val="en-GB"/>
        </w:rPr>
        <w:t>perpetuation of human rights abuses</w:t>
      </w:r>
      <w:r w:rsidRPr="0040433A">
        <w:rPr>
          <w:lang w:val="en-GB"/>
        </w:rPr>
        <w:t xml:space="preserve">. The role of the State would therefore be secondary. </w:t>
      </w:r>
      <w:r w:rsidR="002567A5" w:rsidRPr="0040433A">
        <w:rPr>
          <w:lang w:val="en-GB"/>
        </w:rPr>
        <w:t>Similarly, a non-State actor could facilitate human rights</w:t>
      </w:r>
      <w:r w:rsidR="00991CBC" w:rsidRPr="0040433A">
        <w:rPr>
          <w:lang w:val="en-GB"/>
        </w:rPr>
        <w:t xml:space="preserve"> abuses</w:t>
      </w:r>
      <w:r w:rsidR="002567A5" w:rsidRPr="0040433A">
        <w:rPr>
          <w:lang w:val="en-GB"/>
        </w:rPr>
        <w:t xml:space="preserve"> propagated by a State without</w:t>
      </w:r>
      <w:r w:rsidR="00B56716" w:rsidRPr="0040433A">
        <w:rPr>
          <w:lang w:val="en-GB"/>
        </w:rPr>
        <w:t xml:space="preserve"> its actions</w:t>
      </w:r>
      <w:r w:rsidR="002567A5" w:rsidRPr="0040433A">
        <w:rPr>
          <w:lang w:val="en-GB"/>
        </w:rPr>
        <w:t xml:space="preserve"> rising to the level of </w:t>
      </w:r>
      <w:r w:rsidR="006D1F9B">
        <w:rPr>
          <w:lang w:val="en-GB"/>
        </w:rPr>
        <w:t>attribution</w:t>
      </w:r>
      <w:r w:rsidR="002567A5" w:rsidRPr="0040433A">
        <w:rPr>
          <w:lang w:val="en-GB"/>
        </w:rPr>
        <w:t xml:space="preserve"> described above. </w:t>
      </w:r>
      <w:r w:rsidRPr="0040433A">
        <w:rPr>
          <w:lang w:val="en-GB"/>
        </w:rPr>
        <w:t xml:space="preserve">The question arises as to whether </w:t>
      </w:r>
      <w:r w:rsidR="000A52E3" w:rsidRPr="0040433A">
        <w:rPr>
          <w:lang w:val="en-GB"/>
        </w:rPr>
        <w:t xml:space="preserve">a </w:t>
      </w:r>
      <w:r w:rsidRPr="0040433A">
        <w:rPr>
          <w:lang w:val="en-GB"/>
        </w:rPr>
        <w:t>complicity</w:t>
      </w:r>
      <w:r w:rsidR="000A52E3" w:rsidRPr="0040433A">
        <w:rPr>
          <w:lang w:val="en-GB"/>
        </w:rPr>
        <w:t xml:space="preserve"> rule which </w:t>
      </w:r>
      <w:r w:rsidR="000A52E3" w:rsidRPr="0040433A">
        <w:rPr>
          <w:i/>
          <w:lang w:val="en-GB"/>
        </w:rPr>
        <w:t>derives</w:t>
      </w:r>
      <w:r w:rsidR="000A52E3" w:rsidRPr="0040433A">
        <w:rPr>
          <w:lang w:val="en-GB"/>
        </w:rPr>
        <w:t xml:space="preserve"> responsib</w:t>
      </w:r>
      <w:r w:rsidR="00072E9B" w:rsidRPr="0040433A">
        <w:rPr>
          <w:lang w:val="en-GB"/>
        </w:rPr>
        <w:t>ility from the principal actor’s</w:t>
      </w:r>
      <w:r w:rsidR="000A52E3" w:rsidRPr="0040433A">
        <w:rPr>
          <w:lang w:val="en-GB"/>
        </w:rPr>
        <w:t xml:space="preserve"> wrongful conduct, rather than </w:t>
      </w:r>
      <w:r w:rsidR="000A52E3" w:rsidRPr="0040433A">
        <w:rPr>
          <w:i/>
          <w:lang w:val="en-GB"/>
        </w:rPr>
        <w:t>attributing</w:t>
      </w:r>
      <w:r w:rsidR="000A52E3" w:rsidRPr="0040433A">
        <w:rPr>
          <w:lang w:val="en-GB"/>
        </w:rPr>
        <w:t xml:space="preserve"> the wrongful conduct to a secondary actor, may hold utility. </w:t>
      </w:r>
      <w:r w:rsidR="00F247A0" w:rsidRPr="0040433A">
        <w:rPr>
          <w:lang w:val="en-GB"/>
        </w:rPr>
        <w:t xml:space="preserve">The key to complicity of this kind </w:t>
      </w:r>
      <w:r w:rsidR="00B56716" w:rsidRPr="0040433A">
        <w:rPr>
          <w:lang w:val="en-GB"/>
        </w:rPr>
        <w:t xml:space="preserve">lies in the distinction </w:t>
      </w:r>
      <w:r w:rsidR="00F247A0" w:rsidRPr="0040433A">
        <w:rPr>
          <w:lang w:val="en-GB"/>
        </w:rPr>
        <w:t>between primary and secondary rules</w:t>
      </w:r>
      <w:r w:rsidR="000A29C9" w:rsidRPr="0040433A">
        <w:rPr>
          <w:lang w:val="en-GB"/>
        </w:rPr>
        <w:t xml:space="preserve"> introduced above</w:t>
      </w:r>
      <w:r w:rsidR="00F247A0" w:rsidRPr="0040433A">
        <w:rPr>
          <w:lang w:val="en-GB"/>
        </w:rPr>
        <w:t xml:space="preserve">. </w:t>
      </w:r>
      <w:r w:rsidR="00120CB1" w:rsidRPr="0040433A">
        <w:rPr>
          <w:lang w:val="en-GB"/>
        </w:rPr>
        <w:t>An</w:t>
      </w:r>
      <w:r w:rsidR="00D60972">
        <w:rPr>
          <w:lang w:val="en-GB"/>
        </w:rPr>
        <w:t xml:space="preserve"> an</w:t>
      </w:r>
      <w:r w:rsidR="00120CB1" w:rsidRPr="0040433A">
        <w:rPr>
          <w:lang w:val="en-GB"/>
        </w:rPr>
        <w:t xml:space="preserve">alogy may be drawn </w:t>
      </w:r>
      <w:r w:rsidR="00D60972">
        <w:rPr>
          <w:lang w:val="en-GB"/>
        </w:rPr>
        <w:t xml:space="preserve">with </w:t>
      </w:r>
      <w:r w:rsidR="00120CB1" w:rsidRPr="0040433A">
        <w:rPr>
          <w:lang w:val="en-GB"/>
        </w:rPr>
        <w:t>the ASRIWA</w:t>
      </w:r>
      <w:r w:rsidR="00F247A0" w:rsidRPr="0040433A">
        <w:rPr>
          <w:lang w:val="en-GB"/>
        </w:rPr>
        <w:t xml:space="preserve">, </w:t>
      </w:r>
      <w:r w:rsidR="00495374" w:rsidRPr="0040433A">
        <w:rPr>
          <w:lang w:val="en-GB"/>
        </w:rPr>
        <w:t>a</w:t>
      </w:r>
      <w:r w:rsidR="00B56716" w:rsidRPr="0040433A">
        <w:rPr>
          <w:lang w:val="en-GB"/>
        </w:rPr>
        <w:t xml:space="preserve">rticle 16 </w:t>
      </w:r>
      <w:r w:rsidR="00120CB1" w:rsidRPr="0040433A">
        <w:rPr>
          <w:lang w:val="en-GB"/>
        </w:rPr>
        <w:t xml:space="preserve">of which </w:t>
      </w:r>
      <w:r w:rsidR="00F247A0" w:rsidRPr="0040433A">
        <w:rPr>
          <w:lang w:val="en-GB"/>
        </w:rPr>
        <w:t>has</w:t>
      </w:r>
      <w:r w:rsidR="00C63A7C" w:rsidRPr="0040433A">
        <w:rPr>
          <w:lang w:val="en-GB"/>
        </w:rPr>
        <w:t xml:space="preserve"> proven difficult to categori</w:t>
      </w:r>
      <w:r w:rsidR="005E0963" w:rsidRPr="0040433A">
        <w:rPr>
          <w:lang w:val="en-GB"/>
        </w:rPr>
        <w:t>z</w:t>
      </w:r>
      <w:r w:rsidR="00C63A7C" w:rsidRPr="0040433A">
        <w:rPr>
          <w:lang w:val="en-GB"/>
        </w:rPr>
        <w:t>e</w:t>
      </w:r>
      <w:r w:rsidR="001F4EB7" w:rsidRPr="0040433A">
        <w:rPr>
          <w:lang w:val="en-GB"/>
        </w:rPr>
        <w:t>:</w:t>
      </w:r>
    </w:p>
    <w:p w14:paraId="41086B3D" w14:textId="45BD1C15" w:rsidR="001F4EB7" w:rsidRPr="0040433A" w:rsidRDefault="00BC2D60" w:rsidP="0040433A">
      <w:pPr>
        <w:spacing w:before="240" w:after="240" w:line="276" w:lineRule="auto"/>
        <w:ind w:left="720"/>
        <w:jc w:val="both"/>
        <w:rPr>
          <w:lang w:val="en-GB"/>
        </w:rPr>
      </w:pPr>
      <w:r w:rsidRPr="0040433A">
        <w:rPr>
          <w:lang w:val="en-GB"/>
        </w:rPr>
        <w:t>A State which aids or assists another State in the commission of an internationally wrongful act by the latter is internationally responsible for doing so if: (a) That State does so with knowledge of the circumstances of the internationally wrongful act; and (b) The act would be internationally wrongful if committed by that State.</w:t>
      </w:r>
      <w:r w:rsidRPr="0040433A">
        <w:rPr>
          <w:rStyle w:val="FootnoteReference"/>
          <w:sz w:val="24"/>
          <w:lang w:val="en-GB"/>
        </w:rPr>
        <w:footnoteReference w:id="95"/>
      </w:r>
    </w:p>
    <w:p w14:paraId="44B305C7" w14:textId="2BE4550A" w:rsidR="00F247A0" w:rsidRPr="0040433A" w:rsidRDefault="00F67D8C" w:rsidP="0040433A">
      <w:pPr>
        <w:spacing w:line="276" w:lineRule="auto"/>
        <w:ind w:firstLine="720"/>
        <w:jc w:val="both"/>
        <w:rPr>
          <w:lang w:val="en-GB"/>
        </w:rPr>
      </w:pPr>
      <w:r w:rsidRPr="0040433A">
        <w:rPr>
          <w:lang w:val="en-GB"/>
        </w:rPr>
        <w:t xml:space="preserve">Although </w:t>
      </w:r>
      <w:r w:rsidR="00B80E08">
        <w:rPr>
          <w:lang w:val="en-GB"/>
        </w:rPr>
        <w:t xml:space="preserve">the </w:t>
      </w:r>
      <w:r w:rsidR="00F247A0" w:rsidRPr="0040433A">
        <w:rPr>
          <w:lang w:val="en-GB"/>
        </w:rPr>
        <w:t>ILC</w:t>
      </w:r>
      <w:r w:rsidR="00C63A7C" w:rsidRPr="0040433A">
        <w:rPr>
          <w:lang w:val="en-GB"/>
        </w:rPr>
        <w:t>’s mandate</w:t>
      </w:r>
      <w:r w:rsidR="00F247A0" w:rsidRPr="0040433A">
        <w:rPr>
          <w:lang w:val="en-GB"/>
        </w:rPr>
        <w:t xml:space="preserve"> was to produce guidance on the operation of se</w:t>
      </w:r>
      <w:r w:rsidR="00BB4A22" w:rsidRPr="0040433A">
        <w:rPr>
          <w:lang w:val="en-GB"/>
        </w:rPr>
        <w:t>condary rules of responsibility</w:t>
      </w:r>
      <w:r w:rsidR="00F247A0" w:rsidRPr="0040433A">
        <w:rPr>
          <w:lang w:val="en-GB"/>
        </w:rPr>
        <w:t>,</w:t>
      </w:r>
      <w:r w:rsidR="00A50D65" w:rsidRPr="0040433A">
        <w:rPr>
          <w:rStyle w:val="FootnoteReference"/>
          <w:sz w:val="24"/>
          <w:lang w:val="en-GB"/>
        </w:rPr>
        <w:footnoteReference w:id="96"/>
      </w:r>
      <w:r w:rsidR="00F247A0" w:rsidRPr="0040433A">
        <w:rPr>
          <w:lang w:val="en-GB"/>
        </w:rPr>
        <w:t xml:space="preserve"> it has been convincingly argued that this provision constitutes a sepa</w:t>
      </w:r>
      <w:r w:rsidR="005C04FF" w:rsidRPr="0040433A">
        <w:rPr>
          <w:lang w:val="en-GB"/>
        </w:rPr>
        <w:t>rate</w:t>
      </w:r>
      <w:r w:rsidR="00237603" w:rsidRPr="0040433A">
        <w:rPr>
          <w:lang w:val="en-GB"/>
        </w:rPr>
        <w:t>, albeit atypical,</w:t>
      </w:r>
      <w:r w:rsidR="00237603" w:rsidRPr="0040433A">
        <w:rPr>
          <w:rStyle w:val="FootnoteReference"/>
          <w:sz w:val="24"/>
          <w:lang w:val="en-GB"/>
        </w:rPr>
        <w:footnoteReference w:id="97"/>
      </w:r>
      <w:r w:rsidR="005C04FF" w:rsidRPr="0040433A">
        <w:rPr>
          <w:lang w:val="en-GB"/>
        </w:rPr>
        <w:t xml:space="preserve"> primary rule of obligation.</w:t>
      </w:r>
      <w:r w:rsidR="00A50D65" w:rsidRPr="0040433A">
        <w:rPr>
          <w:rStyle w:val="FootnoteReference"/>
          <w:sz w:val="24"/>
          <w:lang w:val="en-GB"/>
        </w:rPr>
        <w:footnoteReference w:id="98"/>
      </w:r>
      <w:r w:rsidR="00F247A0" w:rsidRPr="0040433A">
        <w:rPr>
          <w:lang w:val="en-GB"/>
        </w:rPr>
        <w:t xml:space="preserve"> </w:t>
      </w:r>
      <w:r w:rsidR="00F901B2" w:rsidRPr="0040433A">
        <w:rPr>
          <w:lang w:val="en-GB"/>
        </w:rPr>
        <w:t>Indeed,</w:t>
      </w:r>
      <w:r w:rsidR="00F95CA7" w:rsidRPr="0040433A">
        <w:rPr>
          <w:lang w:val="en-GB"/>
        </w:rPr>
        <w:t xml:space="preserve"> the</w:t>
      </w:r>
      <w:r w:rsidR="00B6434F" w:rsidRPr="0040433A">
        <w:rPr>
          <w:lang w:val="en-GB"/>
        </w:rPr>
        <w:t xml:space="preserve"> Special Rapporteur for State Responsibility</w:t>
      </w:r>
      <w:r w:rsidR="00F95CA7" w:rsidRPr="0040433A">
        <w:rPr>
          <w:lang w:val="en-GB"/>
        </w:rPr>
        <w:t>,</w:t>
      </w:r>
      <w:r w:rsidR="00F901B2" w:rsidRPr="0040433A">
        <w:rPr>
          <w:lang w:val="en-GB"/>
        </w:rPr>
        <w:t xml:space="preserve"> </w:t>
      </w:r>
      <w:r w:rsidR="006754C7" w:rsidRPr="0040433A">
        <w:rPr>
          <w:lang w:val="en-GB"/>
        </w:rPr>
        <w:t xml:space="preserve">Roberto </w:t>
      </w:r>
      <w:r w:rsidR="00237603" w:rsidRPr="0040433A">
        <w:rPr>
          <w:lang w:val="en-GB"/>
        </w:rPr>
        <w:t>Ago</w:t>
      </w:r>
      <w:r w:rsidR="00F95CA7" w:rsidRPr="0040433A">
        <w:rPr>
          <w:lang w:val="en-GB"/>
        </w:rPr>
        <w:t>,</w:t>
      </w:r>
      <w:r w:rsidR="00237603" w:rsidRPr="0040433A">
        <w:rPr>
          <w:lang w:val="en-GB"/>
        </w:rPr>
        <w:t xml:space="preserve"> stated that ‘the Commission should not hesitate to leap that barrier [between primary and secondary rules] whenever necessary’.</w:t>
      </w:r>
      <w:r w:rsidR="00237603" w:rsidRPr="0040433A">
        <w:rPr>
          <w:rStyle w:val="FootnoteReference"/>
          <w:sz w:val="24"/>
          <w:lang w:val="en-GB"/>
        </w:rPr>
        <w:footnoteReference w:id="99"/>
      </w:r>
      <w:r w:rsidR="00237603" w:rsidRPr="0040433A">
        <w:rPr>
          <w:lang w:val="en-GB"/>
        </w:rPr>
        <w:t xml:space="preserve"> </w:t>
      </w:r>
      <w:r w:rsidR="009A52E1" w:rsidRPr="0040433A">
        <w:rPr>
          <w:lang w:val="en-GB"/>
        </w:rPr>
        <w:t>Categoriz</w:t>
      </w:r>
      <w:r w:rsidR="00F247A0" w:rsidRPr="0040433A">
        <w:rPr>
          <w:lang w:val="en-GB"/>
        </w:rPr>
        <w:t>ing the rule in this way lends itself to the discussion of shared responsibility between two duty</w:t>
      </w:r>
      <w:r w:rsidR="00B56716" w:rsidRPr="0040433A">
        <w:rPr>
          <w:lang w:val="en-GB"/>
        </w:rPr>
        <w:t>-</w:t>
      </w:r>
      <w:r w:rsidR="00F247A0" w:rsidRPr="0040433A">
        <w:rPr>
          <w:lang w:val="en-GB"/>
        </w:rPr>
        <w:t xml:space="preserve">bearers in a binding </w:t>
      </w:r>
      <w:r w:rsidR="00BB4A22" w:rsidRPr="0040433A">
        <w:rPr>
          <w:lang w:val="en-GB"/>
        </w:rPr>
        <w:t>business and human rights treaty</w:t>
      </w:r>
      <w:r w:rsidR="00F247A0" w:rsidRPr="0040433A">
        <w:rPr>
          <w:lang w:val="en-GB"/>
        </w:rPr>
        <w:t>. This is because where a non-State actor</w:t>
      </w:r>
      <w:r w:rsidR="00C356FE" w:rsidRPr="0040433A">
        <w:rPr>
          <w:lang w:val="en-GB"/>
        </w:rPr>
        <w:t>,</w:t>
      </w:r>
      <w:r w:rsidR="00F247A0" w:rsidRPr="0040433A">
        <w:rPr>
          <w:lang w:val="en-GB"/>
        </w:rPr>
        <w:t xml:space="preserve"> </w:t>
      </w:r>
      <w:r w:rsidR="00B56716" w:rsidRPr="0040433A">
        <w:rPr>
          <w:lang w:val="en-GB"/>
        </w:rPr>
        <w:t>serving</w:t>
      </w:r>
      <w:r w:rsidR="00F247A0" w:rsidRPr="0040433A">
        <w:rPr>
          <w:lang w:val="en-GB"/>
        </w:rPr>
        <w:t xml:space="preserve"> as the principal </w:t>
      </w:r>
      <w:r w:rsidR="00B56716" w:rsidRPr="0040433A">
        <w:rPr>
          <w:lang w:val="en-GB"/>
        </w:rPr>
        <w:t>wrongdoer</w:t>
      </w:r>
      <w:r w:rsidR="00C356FE" w:rsidRPr="0040433A">
        <w:rPr>
          <w:lang w:val="en-GB"/>
        </w:rPr>
        <w:t>,</w:t>
      </w:r>
      <w:r w:rsidR="00B56716" w:rsidRPr="0040433A">
        <w:rPr>
          <w:lang w:val="en-GB"/>
        </w:rPr>
        <w:t xml:space="preserve"> </w:t>
      </w:r>
      <w:r w:rsidR="00C356FE" w:rsidRPr="0040433A">
        <w:rPr>
          <w:lang w:val="en-GB"/>
        </w:rPr>
        <w:t xml:space="preserve">engages in a direct breach of an </w:t>
      </w:r>
      <w:r w:rsidR="00F247A0" w:rsidRPr="0040433A">
        <w:rPr>
          <w:lang w:val="en-GB"/>
        </w:rPr>
        <w:t>obligation</w:t>
      </w:r>
      <w:r w:rsidR="00B56716" w:rsidRPr="0040433A">
        <w:rPr>
          <w:lang w:val="en-GB"/>
        </w:rPr>
        <w:t xml:space="preserve">, a State’s conduct which </w:t>
      </w:r>
      <w:r w:rsidR="00F247A0" w:rsidRPr="0040433A">
        <w:rPr>
          <w:lang w:val="en-GB"/>
        </w:rPr>
        <w:t>assists</w:t>
      </w:r>
      <w:r w:rsidR="00C356FE" w:rsidRPr="0040433A">
        <w:rPr>
          <w:lang w:val="en-GB"/>
        </w:rPr>
        <w:t xml:space="preserve"> the non-State actor’s substantive breach</w:t>
      </w:r>
      <w:r w:rsidR="00F247A0" w:rsidRPr="0040433A">
        <w:rPr>
          <w:lang w:val="en-GB"/>
        </w:rPr>
        <w:t xml:space="preserve"> via positive </w:t>
      </w:r>
      <w:r w:rsidR="00C356FE" w:rsidRPr="0040433A">
        <w:rPr>
          <w:lang w:val="en-GB"/>
        </w:rPr>
        <w:t>act</w:t>
      </w:r>
      <w:r w:rsidR="00F247A0" w:rsidRPr="0040433A">
        <w:rPr>
          <w:lang w:val="en-GB"/>
        </w:rPr>
        <w:t xml:space="preserve"> or omission could be said to breach a </w:t>
      </w:r>
      <w:r w:rsidR="00F247A0" w:rsidRPr="0040433A">
        <w:rPr>
          <w:i/>
          <w:lang w:val="en-GB"/>
        </w:rPr>
        <w:t>second</w:t>
      </w:r>
      <w:r w:rsidR="00F247A0" w:rsidRPr="0040433A">
        <w:rPr>
          <w:lang w:val="en-GB"/>
        </w:rPr>
        <w:t xml:space="preserve"> primary obligation to refrain from complicit conduct.</w:t>
      </w:r>
      <w:r w:rsidR="00546070" w:rsidRPr="0040433A">
        <w:rPr>
          <w:lang w:val="en-GB"/>
        </w:rPr>
        <w:t xml:space="preserve"> On this view, it may be possible to circumvent the problematic issue of attributing concurrent responsibility to multiple actors for the breach of a single primary rule,</w:t>
      </w:r>
      <w:r w:rsidR="003D2A8B" w:rsidRPr="0040433A">
        <w:rPr>
          <w:rStyle w:val="FootnoteReference"/>
          <w:sz w:val="24"/>
          <w:lang w:val="en-GB"/>
        </w:rPr>
        <w:footnoteReference w:id="100"/>
      </w:r>
      <w:r w:rsidR="00546070" w:rsidRPr="0040433A">
        <w:rPr>
          <w:lang w:val="en-GB"/>
        </w:rPr>
        <w:t xml:space="preserve"> giving rise to a single wrongful act.</w:t>
      </w:r>
      <w:r w:rsidR="00436A4D" w:rsidRPr="0040433A">
        <w:rPr>
          <w:rStyle w:val="FootnoteReference"/>
          <w:sz w:val="24"/>
          <w:lang w:val="en-GB"/>
        </w:rPr>
        <w:footnoteReference w:id="101"/>
      </w:r>
      <w:r w:rsidR="00546070" w:rsidRPr="0040433A">
        <w:rPr>
          <w:lang w:val="en-GB"/>
        </w:rPr>
        <w:t xml:space="preserve"> There</w:t>
      </w:r>
      <w:r w:rsidR="00316C3C" w:rsidRPr="0040433A">
        <w:rPr>
          <w:lang w:val="en-GB"/>
        </w:rPr>
        <w:t xml:space="preserve"> may be</w:t>
      </w:r>
      <w:r w:rsidR="00546070" w:rsidRPr="0040433A">
        <w:rPr>
          <w:lang w:val="en-GB"/>
        </w:rPr>
        <w:t>, in fact, two separate obligations; two separate breaches, giving rise to separate responsibilit</w:t>
      </w:r>
      <w:r w:rsidR="000D1E8A">
        <w:rPr>
          <w:lang w:val="en-GB"/>
        </w:rPr>
        <w:t>ies</w:t>
      </w:r>
      <w:r w:rsidR="00546070" w:rsidRPr="0040433A">
        <w:rPr>
          <w:lang w:val="en-GB"/>
        </w:rPr>
        <w:t>, the derivative nature of the complicity rule notwithstanding.</w:t>
      </w:r>
    </w:p>
    <w:p w14:paraId="2842EB8C" w14:textId="3229201A" w:rsidR="00DA7671" w:rsidRPr="0040433A" w:rsidRDefault="0066302B" w:rsidP="0040433A">
      <w:pPr>
        <w:spacing w:line="276" w:lineRule="auto"/>
        <w:ind w:firstLine="720"/>
        <w:jc w:val="both"/>
        <w:rPr>
          <w:lang w:val="en-GB"/>
        </w:rPr>
      </w:pPr>
      <w:r w:rsidRPr="0040433A">
        <w:rPr>
          <w:lang w:val="en-GB"/>
        </w:rPr>
        <w:t>Whether or not</w:t>
      </w:r>
      <w:r w:rsidR="00744446" w:rsidRPr="0040433A">
        <w:rPr>
          <w:lang w:val="en-GB"/>
        </w:rPr>
        <w:t xml:space="preserve"> one agrees with th</w:t>
      </w:r>
      <w:r w:rsidRPr="0040433A">
        <w:rPr>
          <w:lang w:val="en-GB"/>
        </w:rPr>
        <w:t>is</w:t>
      </w:r>
      <w:r w:rsidR="00127C1B" w:rsidRPr="0040433A">
        <w:rPr>
          <w:lang w:val="en-GB"/>
        </w:rPr>
        <w:t xml:space="preserve"> categoriz</w:t>
      </w:r>
      <w:r w:rsidR="00744446" w:rsidRPr="0040433A">
        <w:rPr>
          <w:lang w:val="en-GB"/>
        </w:rPr>
        <w:t xml:space="preserve">ation of the </w:t>
      </w:r>
      <w:r w:rsidR="00744446" w:rsidRPr="0040433A">
        <w:rPr>
          <w:i/>
          <w:lang w:val="en-GB"/>
        </w:rPr>
        <w:t>general</w:t>
      </w:r>
      <w:r w:rsidR="00744446" w:rsidRPr="0040433A">
        <w:rPr>
          <w:lang w:val="en-GB"/>
        </w:rPr>
        <w:t xml:space="preserve"> complicity rule provided in </w:t>
      </w:r>
      <w:r w:rsidR="00495374" w:rsidRPr="0040433A">
        <w:rPr>
          <w:lang w:val="en-GB"/>
        </w:rPr>
        <w:t>a</w:t>
      </w:r>
      <w:r w:rsidR="00744446" w:rsidRPr="0040433A">
        <w:rPr>
          <w:lang w:val="en-GB"/>
        </w:rPr>
        <w:t>rticle 16</w:t>
      </w:r>
      <w:r w:rsidRPr="0040433A">
        <w:rPr>
          <w:lang w:val="en-GB"/>
        </w:rPr>
        <w:t xml:space="preserve"> ASRIW</w:t>
      </w:r>
      <w:r w:rsidR="00B80E08">
        <w:rPr>
          <w:lang w:val="en-GB"/>
        </w:rPr>
        <w:t>A</w:t>
      </w:r>
      <w:r w:rsidR="00744446" w:rsidRPr="0040433A">
        <w:rPr>
          <w:lang w:val="en-GB"/>
        </w:rPr>
        <w:t xml:space="preserve">, examples of </w:t>
      </w:r>
      <w:r w:rsidR="00744446" w:rsidRPr="0040433A">
        <w:rPr>
          <w:i/>
          <w:lang w:val="en-GB"/>
        </w:rPr>
        <w:t xml:space="preserve">specific </w:t>
      </w:r>
      <w:r w:rsidR="00744446" w:rsidRPr="0040433A">
        <w:rPr>
          <w:lang w:val="en-GB"/>
        </w:rPr>
        <w:t>complicity provisions framed as primary rules are observable in international practice.</w:t>
      </w:r>
      <w:r w:rsidR="00744446" w:rsidRPr="0040433A">
        <w:rPr>
          <w:rStyle w:val="FootnoteReference"/>
          <w:sz w:val="24"/>
          <w:lang w:val="en-GB"/>
        </w:rPr>
        <w:footnoteReference w:id="102"/>
      </w:r>
      <w:r w:rsidR="00744446" w:rsidRPr="0040433A">
        <w:rPr>
          <w:lang w:val="en-GB"/>
        </w:rPr>
        <w:t xml:space="preserve"> </w:t>
      </w:r>
      <w:r w:rsidR="00A60B0A" w:rsidRPr="0040433A">
        <w:rPr>
          <w:lang w:val="en-GB"/>
        </w:rPr>
        <w:t>A</w:t>
      </w:r>
      <w:r w:rsidR="00A026F5" w:rsidRPr="0040433A">
        <w:rPr>
          <w:lang w:val="en-GB"/>
        </w:rPr>
        <w:t>n existing</w:t>
      </w:r>
      <w:r w:rsidR="000A52E3" w:rsidRPr="0040433A">
        <w:rPr>
          <w:lang w:val="en-GB"/>
        </w:rPr>
        <w:t xml:space="preserve"> rule of this kind</w:t>
      </w:r>
      <w:r w:rsidR="00A026F5" w:rsidRPr="0040433A">
        <w:rPr>
          <w:lang w:val="en-GB"/>
        </w:rPr>
        <w:t xml:space="preserve"> </w:t>
      </w:r>
      <w:r w:rsidR="000A52E3" w:rsidRPr="0040433A">
        <w:rPr>
          <w:lang w:val="en-GB"/>
        </w:rPr>
        <w:t xml:space="preserve">was </w:t>
      </w:r>
      <w:r w:rsidR="00391751">
        <w:rPr>
          <w:lang w:val="en-GB"/>
        </w:rPr>
        <w:t>identified</w:t>
      </w:r>
      <w:r w:rsidR="000A52E3" w:rsidRPr="0040433A">
        <w:rPr>
          <w:lang w:val="en-GB"/>
        </w:rPr>
        <w:t xml:space="preserve"> during the ICJ</w:t>
      </w:r>
      <w:r w:rsidR="006D1F9B">
        <w:rPr>
          <w:lang w:val="en-GB"/>
        </w:rPr>
        <w:t>’s</w:t>
      </w:r>
      <w:r w:rsidR="000A52E3" w:rsidRPr="0040433A">
        <w:rPr>
          <w:lang w:val="en-GB"/>
        </w:rPr>
        <w:t xml:space="preserve"> </w:t>
      </w:r>
      <w:r w:rsidR="00331112">
        <w:rPr>
          <w:i/>
          <w:lang w:val="en-GB"/>
        </w:rPr>
        <w:t>Bos</w:t>
      </w:r>
      <w:r w:rsidR="000A52E3" w:rsidRPr="0040433A">
        <w:rPr>
          <w:i/>
          <w:lang w:val="en-GB"/>
        </w:rPr>
        <w:t>nian Genocide</w:t>
      </w:r>
      <w:r w:rsidR="000A52E3" w:rsidRPr="0040433A">
        <w:rPr>
          <w:lang w:val="en-GB"/>
        </w:rPr>
        <w:t xml:space="preserve"> </w:t>
      </w:r>
      <w:r w:rsidR="00CE20A9">
        <w:rPr>
          <w:lang w:val="en-GB"/>
        </w:rPr>
        <w:t>o</w:t>
      </w:r>
      <w:r w:rsidR="000A52E3" w:rsidRPr="0040433A">
        <w:rPr>
          <w:lang w:val="en-GB"/>
        </w:rPr>
        <w:t>pinion.</w:t>
      </w:r>
      <w:r w:rsidR="000A52E3" w:rsidRPr="0040433A">
        <w:rPr>
          <w:rStyle w:val="FootnoteReference"/>
          <w:sz w:val="24"/>
          <w:lang w:val="en-GB"/>
        </w:rPr>
        <w:footnoteReference w:id="103"/>
      </w:r>
      <w:r w:rsidR="000A52E3" w:rsidRPr="0040433A">
        <w:rPr>
          <w:lang w:val="en-GB"/>
        </w:rPr>
        <w:t xml:space="preserve"> Article 1 of the Genocide Convention provides: ‘Contracting Parties confirm that genocide, whether committed in time of peace or in time of war, is a crime under international law which they undertake to prevent and punish’.</w:t>
      </w:r>
      <w:r w:rsidR="000A52E3" w:rsidRPr="0040433A">
        <w:rPr>
          <w:rStyle w:val="FootnoteReference"/>
          <w:sz w:val="24"/>
          <w:lang w:val="en-GB"/>
        </w:rPr>
        <w:footnoteReference w:id="104"/>
      </w:r>
      <w:r w:rsidR="000A52E3" w:rsidRPr="0040433A">
        <w:rPr>
          <w:lang w:val="en-GB"/>
        </w:rPr>
        <w:t xml:space="preserve"> </w:t>
      </w:r>
      <w:r w:rsidR="00EF4E5A">
        <w:rPr>
          <w:lang w:val="en-GB"/>
        </w:rPr>
        <w:t>The ICJ</w:t>
      </w:r>
      <w:r w:rsidR="000A52E3" w:rsidRPr="0040433A">
        <w:rPr>
          <w:lang w:val="en-GB"/>
        </w:rPr>
        <w:t xml:space="preserve"> recognised</w:t>
      </w:r>
      <w:r w:rsidR="00EF4E5A">
        <w:rPr>
          <w:lang w:val="en-GB"/>
        </w:rPr>
        <w:t xml:space="preserve"> that the obligation to prevent genocide implies </w:t>
      </w:r>
      <w:r w:rsidR="003C18C1" w:rsidRPr="0040433A">
        <w:rPr>
          <w:lang w:val="en-GB"/>
        </w:rPr>
        <w:t>a</w:t>
      </w:r>
      <w:r w:rsidR="000A52E3" w:rsidRPr="0040433A">
        <w:rPr>
          <w:lang w:val="en-GB"/>
        </w:rPr>
        <w:t xml:space="preserve"> primary rule that States ought not </w:t>
      </w:r>
      <w:r w:rsidR="00F247A0" w:rsidRPr="0040433A">
        <w:rPr>
          <w:lang w:val="en-GB"/>
        </w:rPr>
        <w:t xml:space="preserve">to engage in activity constituting </w:t>
      </w:r>
      <w:r w:rsidR="000A52E3" w:rsidRPr="0040433A">
        <w:rPr>
          <w:lang w:val="en-GB"/>
        </w:rPr>
        <w:t>complicity in the crime of genocide.</w:t>
      </w:r>
      <w:r w:rsidR="00330B7A" w:rsidRPr="0040433A">
        <w:rPr>
          <w:rStyle w:val="FootnoteReference"/>
          <w:sz w:val="24"/>
          <w:lang w:val="en-GB"/>
        </w:rPr>
        <w:footnoteReference w:id="105"/>
      </w:r>
      <w:r w:rsidR="005C04FF" w:rsidRPr="0040433A">
        <w:rPr>
          <w:lang w:val="en-GB"/>
        </w:rPr>
        <w:t xml:space="preserve"> While this</w:t>
      </w:r>
      <w:r w:rsidR="00DF6ABA" w:rsidRPr="0040433A">
        <w:rPr>
          <w:lang w:val="en-GB"/>
        </w:rPr>
        <w:t xml:space="preserve"> teleological reading</w:t>
      </w:r>
      <w:r w:rsidR="009227E1" w:rsidRPr="0040433A">
        <w:rPr>
          <w:rStyle w:val="FootnoteReference"/>
          <w:sz w:val="24"/>
          <w:lang w:val="en-GB"/>
        </w:rPr>
        <w:footnoteReference w:id="106"/>
      </w:r>
      <w:r w:rsidR="00DF6ABA" w:rsidRPr="0040433A">
        <w:rPr>
          <w:lang w:val="en-GB"/>
        </w:rPr>
        <w:t xml:space="preserve"> of the treaty by the ICJ has been subject to criticism,</w:t>
      </w:r>
      <w:r w:rsidR="00DF6ABA" w:rsidRPr="0040433A">
        <w:rPr>
          <w:rStyle w:val="FootnoteReference"/>
          <w:sz w:val="24"/>
          <w:lang w:val="en-GB"/>
        </w:rPr>
        <w:footnoteReference w:id="107"/>
      </w:r>
      <w:r w:rsidR="00DF6ABA" w:rsidRPr="0040433A">
        <w:rPr>
          <w:lang w:val="en-GB"/>
        </w:rPr>
        <w:t xml:space="preserve"> the</w:t>
      </w:r>
      <w:r w:rsidR="00223D45">
        <w:rPr>
          <w:lang w:val="en-GB"/>
        </w:rPr>
        <w:t xml:space="preserve"> express</w:t>
      </w:r>
      <w:r w:rsidR="00DF6ABA" w:rsidRPr="0040433A">
        <w:rPr>
          <w:lang w:val="en-GB"/>
        </w:rPr>
        <w:t xml:space="preserve"> articulation of a </w:t>
      </w:r>
      <w:r w:rsidR="00252228">
        <w:rPr>
          <w:lang w:val="en-GB"/>
        </w:rPr>
        <w:t>rule</w:t>
      </w:r>
      <w:r w:rsidR="00DF6ABA" w:rsidRPr="0040433A">
        <w:rPr>
          <w:lang w:val="en-GB"/>
        </w:rPr>
        <w:t xml:space="preserve"> analogous to </w:t>
      </w:r>
      <w:r w:rsidR="00495374" w:rsidRPr="0040433A">
        <w:rPr>
          <w:lang w:val="en-GB"/>
        </w:rPr>
        <w:t>a</w:t>
      </w:r>
      <w:r w:rsidR="00DF6ABA" w:rsidRPr="0040433A">
        <w:rPr>
          <w:lang w:val="en-GB"/>
        </w:rPr>
        <w:t>rticle 16 ASRIWA</w:t>
      </w:r>
      <w:r w:rsidR="00EF4E5A">
        <w:rPr>
          <w:lang w:val="en-GB"/>
        </w:rPr>
        <w:t xml:space="preserve"> </w:t>
      </w:r>
      <w:r w:rsidR="00DF6ABA" w:rsidRPr="0040433A">
        <w:rPr>
          <w:lang w:val="en-GB"/>
        </w:rPr>
        <w:t>in the proposed business and human rights treaty</w:t>
      </w:r>
      <w:r w:rsidR="008F5EC5">
        <w:rPr>
          <w:lang w:val="en-GB"/>
        </w:rPr>
        <w:t xml:space="preserve"> </w:t>
      </w:r>
      <w:r w:rsidR="00DF6ABA" w:rsidRPr="0040433A">
        <w:rPr>
          <w:lang w:val="en-GB"/>
        </w:rPr>
        <w:t xml:space="preserve">would </w:t>
      </w:r>
      <w:r w:rsidR="008F5EC5">
        <w:rPr>
          <w:lang w:val="en-GB"/>
        </w:rPr>
        <w:t xml:space="preserve">likely </w:t>
      </w:r>
      <w:r w:rsidR="00DF6ABA" w:rsidRPr="0040433A">
        <w:rPr>
          <w:lang w:val="en-GB"/>
        </w:rPr>
        <w:t>mitigate concerns</w:t>
      </w:r>
      <w:r w:rsidR="00DA67D2">
        <w:rPr>
          <w:lang w:val="en-GB"/>
        </w:rPr>
        <w:t xml:space="preserve"> stemming from </w:t>
      </w:r>
      <w:r w:rsidR="00BE6DC3">
        <w:rPr>
          <w:lang w:val="en-GB"/>
        </w:rPr>
        <w:t xml:space="preserve">this </w:t>
      </w:r>
      <w:r w:rsidR="002A7FE1">
        <w:rPr>
          <w:lang w:val="en-GB"/>
        </w:rPr>
        <w:t>method</w:t>
      </w:r>
      <w:r w:rsidR="008F5EC5">
        <w:rPr>
          <w:lang w:val="en-GB"/>
        </w:rPr>
        <w:t xml:space="preserve"> of </w:t>
      </w:r>
      <w:r w:rsidR="00DA67D2">
        <w:rPr>
          <w:lang w:val="en-GB"/>
        </w:rPr>
        <w:t>treaty interpretation</w:t>
      </w:r>
      <w:r w:rsidR="00DF6ABA" w:rsidRPr="0040433A">
        <w:rPr>
          <w:lang w:val="en-GB"/>
        </w:rPr>
        <w:t>.</w:t>
      </w:r>
      <w:r w:rsidR="00EF4E5A" w:rsidRPr="0040433A">
        <w:rPr>
          <w:rStyle w:val="FootnoteReference"/>
          <w:sz w:val="24"/>
          <w:lang w:val="en-GB"/>
        </w:rPr>
        <w:footnoteReference w:id="108"/>
      </w:r>
    </w:p>
    <w:p w14:paraId="6956C795" w14:textId="1E49DC50" w:rsidR="00EF5631" w:rsidRPr="0040433A" w:rsidRDefault="00DA7671" w:rsidP="0040433A">
      <w:pPr>
        <w:spacing w:line="276" w:lineRule="auto"/>
        <w:ind w:firstLine="720"/>
        <w:jc w:val="both"/>
        <w:rPr>
          <w:lang w:val="en-GB"/>
        </w:rPr>
      </w:pPr>
      <w:r w:rsidRPr="0040433A">
        <w:rPr>
          <w:lang w:val="en-GB"/>
        </w:rPr>
        <w:t xml:space="preserve">Some </w:t>
      </w:r>
      <w:r w:rsidR="002175B7" w:rsidRPr="0040433A">
        <w:rPr>
          <w:lang w:val="en-GB"/>
        </w:rPr>
        <w:t>question</w:t>
      </w:r>
      <w:r w:rsidRPr="0040433A">
        <w:rPr>
          <w:lang w:val="en-GB"/>
        </w:rPr>
        <w:t>s</w:t>
      </w:r>
      <w:r w:rsidR="002175B7" w:rsidRPr="0040433A">
        <w:rPr>
          <w:lang w:val="en-GB"/>
        </w:rPr>
        <w:t xml:space="preserve"> </w:t>
      </w:r>
      <w:r w:rsidR="00CE11AE">
        <w:rPr>
          <w:lang w:val="en-GB"/>
        </w:rPr>
        <w:t>that</w:t>
      </w:r>
      <w:r w:rsidR="00CE11AE" w:rsidRPr="0040433A">
        <w:rPr>
          <w:lang w:val="en-GB"/>
        </w:rPr>
        <w:t xml:space="preserve"> </w:t>
      </w:r>
      <w:r w:rsidR="002175B7" w:rsidRPr="0040433A">
        <w:rPr>
          <w:lang w:val="en-GB"/>
        </w:rPr>
        <w:t xml:space="preserve">will require greater consideration </w:t>
      </w:r>
      <w:r w:rsidRPr="0040433A">
        <w:rPr>
          <w:lang w:val="en-GB"/>
        </w:rPr>
        <w:t>concern</w:t>
      </w:r>
      <w:r w:rsidR="002175B7" w:rsidRPr="0040433A">
        <w:rPr>
          <w:lang w:val="en-GB"/>
        </w:rPr>
        <w:t xml:space="preserve"> the scope of such a complicity obligation</w:t>
      </w:r>
      <w:r w:rsidR="00361A46">
        <w:rPr>
          <w:lang w:val="en-GB"/>
        </w:rPr>
        <w:t>;</w:t>
      </w:r>
      <w:r w:rsidR="002175B7" w:rsidRPr="0040433A">
        <w:rPr>
          <w:lang w:val="en-GB"/>
        </w:rPr>
        <w:t xml:space="preserve"> what knowledge or intent is required on the part of the complicit party to engage the provision? Is the rule limited to positive action, or might it be extended to omission, influence, </w:t>
      </w:r>
      <w:r w:rsidR="00603ADA" w:rsidRPr="0040433A">
        <w:rPr>
          <w:lang w:val="en-GB"/>
        </w:rPr>
        <w:t xml:space="preserve">toleration and </w:t>
      </w:r>
      <w:r w:rsidR="002175B7" w:rsidRPr="0040433A">
        <w:rPr>
          <w:lang w:val="en-GB"/>
        </w:rPr>
        <w:t>wilful blindness?</w:t>
      </w:r>
      <w:r w:rsidR="00DF6ABA" w:rsidRPr="0040433A">
        <w:rPr>
          <w:lang w:val="en-GB"/>
        </w:rPr>
        <w:t xml:space="preserve"> </w:t>
      </w:r>
      <w:r w:rsidRPr="0040433A">
        <w:rPr>
          <w:lang w:val="en-GB"/>
        </w:rPr>
        <w:t xml:space="preserve">This is perhaps where </w:t>
      </w:r>
      <w:r w:rsidR="00A60B0A" w:rsidRPr="0040433A">
        <w:rPr>
          <w:lang w:val="en-GB"/>
        </w:rPr>
        <w:t>the</w:t>
      </w:r>
      <w:r w:rsidRPr="0040433A">
        <w:rPr>
          <w:lang w:val="en-GB"/>
        </w:rPr>
        <w:t xml:space="preserve"> analogy to ASRIWA might depart; classically, there ha</w:t>
      </w:r>
      <w:r w:rsidR="00205FD0" w:rsidRPr="0040433A">
        <w:rPr>
          <w:lang w:val="en-GB"/>
        </w:rPr>
        <w:t>s</w:t>
      </w:r>
      <w:r w:rsidRPr="0040433A">
        <w:rPr>
          <w:lang w:val="en-GB"/>
        </w:rPr>
        <w:t xml:space="preserve"> been concern </w:t>
      </w:r>
      <w:r w:rsidR="0067293E" w:rsidRPr="0040433A">
        <w:rPr>
          <w:lang w:val="en-GB"/>
        </w:rPr>
        <w:t>surrounding the allocation of</w:t>
      </w:r>
      <w:r w:rsidR="006F4E4D" w:rsidRPr="0040433A">
        <w:rPr>
          <w:lang w:val="en-GB"/>
        </w:rPr>
        <w:t xml:space="preserve"> responsibility for ‘influence’ in instances of internationally wrongful acts involving two States, due to sensitivities </w:t>
      </w:r>
      <w:r w:rsidR="0067293E" w:rsidRPr="0040433A">
        <w:rPr>
          <w:lang w:val="en-GB"/>
        </w:rPr>
        <w:t>regarding</w:t>
      </w:r>
      <w:r w:rsidR="006F4E4D" w:rsidRPr="0040433A">
        <w:rPr>
          <w:lang w:val="en-GB"/>
        </w:rPr>
        <w:t xml:space="preserve"> the doctrines of sovereignty and non-intervention.</w:t>
      </w:r>
      <w:r w:rsidR="006F4E4D" w:rsidRPr="0040433A">
        <w:rPr>
          <w:rStyle w:val="FootnoteReference"/>
          <w:sz w:val="24"/>
          <w:lang w:val="en-GB"/>
        </w:rPr>
        <w:footnoteReference w:id="109"/>
      </w:r>
      <w:r w:rsidR="006F4E4D" w:rsidRPr="0040433A">
        <w:rPr>
          <w:lang w:val="en-GB"/>
        </w:rPr>
        <w:t xml:space="preserve"> Jackson highlights the existing </w:t>
      </w:r>
      <w:r w:rsidR="00393F15" w:rsidRPr="0040433A">
        <w:rPr>
          <w:lang w:val="en-GB"/>
        </w:rPr>
        <w:t xml:space="preserve">recognition of the capacity of States to influence non-State actors, and to </w:t>
      </w:r>
      <w:r w:rsidR="008C7265" w:rsidRPr="0040433A">
        <w:rPr>
          <w:lang w:val="en-GB"/>
        </w:rPr>
        <w:t>foment</w:t>
      </w:r>
      <w:r w:rsidR="00393F15" w:rsidRPr="0040433A">
        <w:rPr>
          <w:lang w:val="en-GB"/>
        </w:rPr>
        <w:t xml:space="preserve"> or incite armed activities, and suggests that international law is not concerned with the influence of States on </w:t>
      </w:r>
      <w:r w:rsidR="00C33EB6">
        <w:rPr>
          <w:lang w:val="en-GB"/>
        </w:rPr>
        <w:t>the conduct of non-State actors.</w:t>
      </w:r>
      <w:r w:rsidR="00393F15" w:rsidRPr="0040433A">
        <w:rPr>
          <w:lang w:val="en-GB"/>
        </w:rPr>
        <w:t xml:space="preserve"> </w:t>
      </w:r>
    </w:p>
    <w:p w14:paraId="0DE320A2" w14:textId="523668F0" w:rsidR="00EF5631" w:rsidRPr="0040433A" w:rsidRDefault="006F4E4D" w:rsidP="0040433A">
      <w:pPr>
        <w:spacing w:before="240" w:after="240" w:line="276" w:lineRule="auto"/>
        <w:ind w:left="720"/>
        <w:jc w:val="both"/>
        <w:rPr>
          <w:lang w:val="en-GB"/>
        </w:rPr>
      </w:pPr>
      <w:r w:rsidRPr="0040433A">
        <w:rPr>
          <w:lang w:val="en-GB"/>
        </w:rPr>
        <w:t>As international law develops to recogni</w:t>
      </w:r>
      <w:r w:rsidR="008316A4" w:rsidRPr="0040433A">
        <w:rPr>
          <w:lang w:val="en-GB"/>
        </w:rPr>
        <w:t>s</w:t>
      </w:r>
      <w:r w:rsidRPr="0040433A">
        <w:rPr>
          <w:lang w:val="en-GB"/>
        </w:rPr>
        <w:t>e increased possibilities of principal wrongdoing by non-State actors, so the ways in which States might participate in that wrongdoing should be adequately sanctioned. This would include not simply the provision of assistance… but also complicit influence.</w:t>
      </w:r>
      <w:r w:rsidRPr="0040433A">
        <w:rPr>
          <w:rStyle w:val="FootnoteReference"/>
          <w:sz w:val="24"/>
          <w:lang w:val="en-GB"/>
        </w:rPr>
        <w:footnoteReference w:id="110"/>
      </w:r>
      <w:r w:rsidR="00CF05B5" w:rsidRPr="0040433A">
        <w:rPr>
          <w:lang w:val="en-GB"/>
        </w:rPr>
        <w:t xml:space="preserve"> </w:t>
      </w:r>
    </w:p>
    <w:p w14:paraId="24523D41" w14:textId="341F18DC" w:rsidR="006F4E4D" w:rsidRPr="0040433A" w:rsidRDefault="00CF05B5" w:rsidP="0040433A">
      <w:pPr>
        <w:spacing w:line="276" w:lineRule="auto"/>
        <w:jc w:val="both"/>
        <w:rPr>
          <w:lang w:val="en-GB"/>
        </w:rPr>
      </w:pPr>
      <w:r w:rsidRPr="0040433A">
        <w:rPr>
          <w:lang w:val="en-GB"/>
        </w:rPr>
        <w:t>However, sovereignty concerns are likely to reappear in r</w:t>
      </w:r>
      <w:r w:rsidR="00DA20C5">
        <w:rPr>
          <w:lang w:val="en-GB"/>
        </w:rPr>
        <w:t>elation to the inverse scenario,</w:t>
      </w:r>
      <w:r w:rsidRPr="0040433A">
        <w:rPr>
          <w:lang w:val="en-GB"/>
        </w:rPr>
        <w:t xml:space="preserve"> where the economic influence of </w:t>
      </w:r>
      <w:r w:rsidR="004F6007" w:rsidRPr="0040433A">
        <w:rPr>
          <w:lang w:val="en-GB"/>
        </w:rPr>
        <w:t xml:space="preserve">a </w:t>
      </w:r>
      <w:r w:rsidRPr="0040433A">
        <w:rPr>
          <w:lang w:val="en-GB"/>
        </w:rPr>
        <w:t>non-State actor induces a State to engage in wrongful conduct, or t</w:t>
      </w:r>
      <w:r w:rsidR="00213BA7" w:rsidRPr="0040433A">
        <w:rPr>
          <w:lang w:val="en-GB"/>
        </w:rPr>
        <w:t>o</w:t>
      </w:r>
      <w:r w:rsidRPr="0040433A">
        <w:rPr>
          <w:lang w:val="en-GB"/>
        </w:rPr>
        <w:t xml:space="preserve"> simply turn a blind eye to the wrongful </w:t>
      </w:r>
      <w:r w:rsidR="00C33EB6">
        <w:rPr>
          <w:lang w:val="en-GB"/>
        </w:rPr>
        <w:t>acts</w:t>
      </w:r>
      <w:r w:rsidRPr="0040433A">
        <w:rPr>
          <w:lang w:val="en-GB"/>
        </w:rPr>
        <w:t xml:space="preserve"> of the corporation.</w:t>
      </w:r>
      <w:r w:rsidR="00213BA7" w:rsidRPr="0040433A">
        <w:rPr>
          <w:lang w:val="en-GB"/>
        </w:rPr>
        <w:t xml:space="preserve"> As such, it is not clear whether a </w:t>
      </w:r>
      <w:r w:rsidR="00A60B0A" w:rsidRPr="0040433A">
        <w:rPr>
          <w:lang w:val="en-GB"/>
        </w:rPr>
        <w:t xml:space="preserve">single </w:t>
      </w:r>
      <w:r w:rsidR="00213BA7" w:rsidRPr="0040433A">
        <w:rPr>
          <w:lang w:val="en-GB"/>
        </w:rPr>
        <w:t>primary rule precluding complicit conduct could be applied un</w:t>
      </w:r>
      <w:r w:rsidR="00A60B0A" w:rsidRPr="0040433A">
        <w:rPr>
          <w:lang w:val="en-GB"/>
        </w:rPr>
        <w:t>iformly</w:t>
      </w:r>
      <w:r w:rsidR="0097295C" w:rsidRPr="0040433A">
        <w:rPr>
          <w:lang w:val="en-GB"/>
        </w:rPr>
        <w:t>.</w:t>
      </w:r>
    </w:p>
    <w:p w14:paraId="3914A59A" w14:textId="13328E52" w:rsidR="00DD41DF" w:rsidRPr="0040433A" w:rsidRDefault="00AF344C" w:rsidP="0040433A">
      <w:pPr>
        <w:spacing w:line="276" w:lineRule="auto"/>
        <w:jc w:val="both"/>
        <w:rPr>
          <w:lang w:val="en-GB"/>
        </w:rPr>
      </w:pPr>
      <w:r w:rsidRPr="0040433A">
        <w:rPr>
          <w:lang w:val="en-GB"/>
        </w:rPr>
        <w:tab/>
        <w:t>The level of contribution requ</w:t>
      </w:r>
      <w:r w:rsidR="005D0A81" w:rsidRPr="0040433A">
        <w:rPr>
          <w:lang w:val="en-GB"/>
        </w:rPr>
        <w:t xml:space="preserve">ired to engage such a provision poses </w:t>
      </w:r>
      <w:r w:rsidR="00F24404" w:rsidRPr="0040433A">
        <w:rPr>
          <w:lang w:val="en-GB"/>
        </w:rPr>
        <w:t xml:space="preserve">substantial </w:t>
      </w:r>
      <w:r w:rsidR="005D0A81" w:rsidRPr="0040433A">
        <w:rPr>
          <w:lang w:val="en-GB"/>
        </w:rPr>
        <w:t>questions</w:t>
      </w:r>
      <w:r w:rsidRPr="0040433A">
        <w:rPr>
          <w:lang w:val="en-GB"/>
        </w:rPr>
        <w:t>.</w:t>
      </w:r>
      <w:r w:rsidR="00E93706" w:rsidRPr="0040433A">
        <w:rPr>
          <w:rStyle w:val="FootnoteReference"/>
          <w:sz w:val="24"/>
          <w:lang w:val="en-GB"/>
        </w:rPr>
        <w:footnoteReference w:id="111"/>
      </w:r>
      <w:r w:rsidRPr="0040433A">
        <w:rPr>
          <w:lang w:val="en-GB"/>
        </w:rPr>
        <w:t xml:space="preserve"> </w:t>
      </w:r>
      <w:r w:rsidR="005D0A81" w:rsidRPr="0040433A">
        <w:rPr>
          <w:lang w:val="en-GB"/>
        </w:rPr>
        <w:t>For Aust, ‘[i]t is theoretically conceivable that “aid or assistance” comprises every act (or omission) which facilitates the commission of an internationally wrongful act.’</w:t>
      </w:r>
      <w:r w:rsidR="005D0A81" w:rsidRPr="0040433A">
        <w:rPr>
          <w:rStyle w:val="FootnoteReference"/>
          <w:sz w:val="24"/>
          <w:lang w:val="en-GB"/>
        </w:rPr>
        <w:footnoteReference w:id="112"/>
      </w:r>
      <w:r w:rsidR="005D0A81" w:rsidRPr="0040433A">
        <w:rPr>
          <w:lang w:val="en-GB"/>
        </w:rPr>
        <w:t xml:space="preserve"> </w:t>
      </w:r>
      <w:r w:rsidR="00495374" w:rsidRPr="0040433A">
        <w:rPr>
          <w:lang w:val="en-GB"/>
        </w:rPr>
        <w:t>The commentary to a</w:t>
      </w:r>
      <w:r w:rsidRPr="0040433A">
        <w:rPr>
          <w:lang w:val="en-GB"/>
        </w:rPr>
        <w:t>rticle 16 ASRIWA is itself silent on the nexus between princip</w:t>
      </w:r>
      <w:r w:rsidR="00F24404" w:rsidRPr="0040433A">
        <w:rPr>
          <w:lang w:val="en-GB"/>
        </w:rPr>
        <w:t>al and accomplice, providing</w:t>
      </w:r>
      <w:r w:rsidRPr="0040433A">
        <w:rPr>
          <w:lang w:val="en-GB"/>
        </w:rPr>
        <w:t>:</w:t>
      </w:r>
      <w:r w:rsidR="008107F9" w:rsidRPr="0040433A">
        <w:rPr>
          <w:lang w:val="en-GB"/>
        </w:rPr>
        <w:t xml:space="preserve"> </w:t>
      </w:r>
      <w:r w:rsidRPr="0040433A">
        <w:rPr>
          <w:lang w:val="en-GB"/>
        </w:rPr>
        <w:t>‘</w:t>
      </w:r>
      <w:r w:rsidR="008107F9" w:rsidRPr="0040433A">
        <w:rPr>
          <w:lang w:val="en-GB"/>
        </w:rPr>
        <w:t>[t]</w:t>
      </w:r>
      <w:r w:rsidRPr="0040433A">
        <w:rPr>
          <w:lang w:val="en-GB"/>
        </w:rPr>
        <w:t xml:space="preserve">here is no requirement that the aid or assistance should have been essential to the performance of the internationally </w:t>
      </w:r>
      <w:r w:rsidR="00D14883" w:rsidRPr="0040433A">
        <w:rPr>
          <w:lang w:val="en-GB"/>
        </w:rPr>
        <w:t>wrongful act; it is sufficient</w:t>
      </w:r>
      <w:r w:rsidRPr="0040433A">
        <w:rPr>
          <w:lang w:val="en-GB"/>
        </w:rPr>
        <w:t xml:space="preserve"> if it contributed significantly’</w:t>
      </w:r>
      <w:r w:rsidR="00F24404" w:rsidRPr="0040433A">
        <w:rPr>
          <w:lang w:val="en-GB"/>
        </w:rPr>
        <w:t>.</w:t>
      </w:r>
      <w:r w:rsidRPr="0040433A">
        <w:rPr>
          <w:rStyle w:val="FootnoteReference"/>
          <w:sz w:val="24"/>
          <w:lang w:val="en-GB"/>
        </w:rPr>
        <w:footnoteReference w:id="113"/>
      </w:r>
      <w:r w:rsidR="008107F9" w:rsidRPr="0040433A">
        <w:rPr>
          <w:lang w:val="en-GB"/>
        </w:rPr>
        <w:t xml:space="preserve"> </w:t>
      </w:r>
      <w:r w:rsidR="006B259B" w:rsidRPr="0040433A">
        <w:rPr>
          <w:lang w:val="en-GB"/>
        </w:rPr>
        <w:t>While this provision seems to demand that the conduct materially facilitates the commission of the wrongful act,</w:t>
      </w:r>
      <w:r w:rsidR="006B259B" w:rsidRPr="0040433A">
        <w:rPr>
          <w:rStyle w:val="FootnoteReference"/>
          <w:sz w:val="24"/>
          <w:lang w:val="en-GB"/>
        </w:rPr>
        <w:footnoteReference w:id="114"/>
      </w:r>
      <w:r w:rsidR="006B259B" w:rsidRPr="0040433A">
        <w:rPr>
          <w:lang w:val="en-GB"/>
        </w:rPr>
        <w:t xml:space="preserve"> the commentary acknowledges that conduct may constitute assistance where it is ‘only an incidental factor in the commission of the primary act’.</w:t>
      </w:r>
      <w:r w:rsidR="006B259B" w:rsidRPr="0040433A">
        <w:rPr>
          <w:rStyle w:val="FootnoteReference"/>
          <w:sz w:val="24"/>
          <w:lang w:val="en-GB"/>
        </w:rPr>
        <w:footnoteReference w:id="115"/>
      </w:r>
      <w:r w:rsidR="009B1D15" w:rsidRPr="0040433A">
        <w:rPr>
          <w:lang w:val="en-GB"/>
        </w:rPr>
        <w:t xml:space="preserve"> </w:t>
      </w:r>
      <w:r w:rsidR="0016765E" w:rsidRPr="0040433A">
        <w:rPr>
          <w:lang w:val="en-GB"/>
        </w:rPr>
        <w:t xml:space="preserve">Lowe </w:t>
      </w:r>
      <w:r w:rsidR="0066302B" w:rsidRPr="0040433A">
        <w:rPr>
          <w:lang w:val="en-GB"/>
        </w:rPr>
        <w:t>provides a useful illustration,</w:t>
      </w:r>
      <w:r w:rsidR="0016765E" w:rsidRPr="0040433A">
        <w:rPr>
          <w:lang w:val="en-GB"/>
        </w:rPr>
        <w:t xml:space="preserve"> </w:t>
      </w:r>
      <w:r w:rsidR="00AB5FF0">
        <w:rPr>
          <w:lang w:val="en-GB"/>
        </w:rPr>
        <w:t>contemplating</w:t>
      </w:r>
      <w:r w:rsidR="0016765E" w:rsidRPr="0040433A">
        <w:rPr>
          <w:lang w:val="en-GB"/>
        </w:rPr>
        <w:t xml:space="preserve"> the situation in which a State provides financial backing for</w:t>
      </w:r>
      <w:r w:rsidR="008B6A7B" w:rsidRPr="0040433A">
        <w:rPr>
          <w:lang w:val="en-GB"/>
        </w:rPr>
        <w:t xml:space="preserve"> overseas</w:t>
      </w:r>
      <w:r w:rsidR="0016765E" w:rsidRPr="0040433A">
        <w:rPr>
          <w:lang w:val="en-GB"/>
        </w:rPr>
        <w:t xml:space="preserve"> investments by </w:t>
      </w:r>
      <w:r w:rsidR="00F24404" w:rsidRPr="0040433A">
        <w:rPr>
          <w:lang w:val="en-GB"/>
        </w:rPr>
        <w:t>a</w:t>
      </w:r>
      <w:r w:rsidR="0066302B" w:rsidRPr="0040433A">
        <w:rPr>
          <w:lang w:val="en-GB"/>
        </w:rPr>
        <w:t xml:space="preserve"> company</w:t>
      </w:r>
      <w:r w:rsidR="00ED1FDE" w:rsidRPr="0040433A">
        <w:rPr>
          <w:lang w:val="en-GB"/>
        </w:rPr>
        <w:t xml:space="preserve"> incorporated within its territory</w:t>
      </w:r>
      <w:r w:rsidR="0066302B" w:rsidRPr="0040433A">
        <w:rPr>
          <w:lang w:val="en-GB"/>
        </w:rPr>
        <w:t>. He concludes</w:t>
      </w:r>
      <w:r w:rsidR="0016765E" w:rsidRPr="0040433A">
        <w:rPr>
          <w:lang w:val="en-GB"/>
        </w:rPr>
        <w:t xml:space="preserve"> ‘[t]here is no reason why State responsibility should not be engaged by the provision of the investment guarantee.’</w:t>
      </w:r>
      <w:r w:rsidR="0016765E" w:rsidRPr="0040433A">
        <w:rPr>
          <w:rStyle w:val="FootnoteReference"/>
          <w:sz w:val="24"/>
          <w:lang w:val="en-GB"/>
        </w:rPr>
        <w:footnoteReference w:id="116"/>
      </w:r>
      <w:r w:rsidR="0016765E" w:rsidRPr="0040433A">
        <w:rPr>
          <w:lang w:val="en-GB"/>
        </w:rPr>
        <w:t xml:space="preserve"> Thus</w:t>
      </w:r>
      <w:r w:rsidR="00CC02BC" w:rsidRPr="0040433A">
        <w:rPr>
          <w:lang w:val="en-GB"/>
        </w:rPr>
        <w:t>,</w:t>
      </w:r>
      <w:r w:rsidR="0016765E" w:rsidRPr="0040433A">
        <w:rPr>
          <w:lang w:val="en-GB"/>
        </w:rPr>
        <w:t xml:space="preserve"> </w:t>
      </w:r>
      <w:r w:rsidR="00A40ECC" w:rsidRPr="0040433A">
        <w:rPr>
          <w:lang w:val="en-GB"/>
        </w:rPr>
        <w:t>a complicity</w:t>
      </w:r>
      <w:r w:rsidR="0016765E" w:rsidRPr="0040433A">
        <w:rPr>
          <w:lang w:val="en-GB"/>
        </w:rPr>
        <w:t xml:space="preserve"> provision in a binding business and human rights treaty might produce consequences for home States, as well as host States.</w:t>
      </w:r>
      <w:r w:rsidR="0066302B" w:rsidRPr="0040433A">
        <w:rPr>
          <w:rStyle w:val="FootnoteReference"/>
          <w:sz w:val="24"/>
          <w:lang w:val="en-GB"/>
        </w:rPr>
        <w:footnoteReference w:id="117"/>
      </w:r>
      <w:r w:rsidR="0016765E" w:rsidRPr="0040433A">
        <w:rPr>
          <w:lang w:val="en-GB"/>
        </w:rPr>
        <w:t xml:space="preserve"> Yet, the precise standard is not clear. </w:t>
      </w:r>
      <w:r w:rsidR="00BB676D" w:rsidRPr="0040433A">
        <w:rPr>
          <w:lang w:val="en-GB"/>
        </w:rPr>
        <w:t>In the case of specific complicity rules contained in other multilateral treaties, it appears that a material contr</w:t>
      </w:r>
      <w:r w:rsidR="009A2FC6" w:rsidRPr="0040433A">
        <w:rPr>
          <w:lang w:val="en-GB"/>
        </w:rPr>
        <w:t xml:space="preserve">ibution test is favoured by most </w:t>
      </w:r>
      <w:r w:rsidR="00BB676D" w:rsidRPr="0040433A">
        <w:rPr>
          <w:lang w:val="en-GB"/>
        </w:rPr>
        <w:t>States.</w:t>
      </w:r>
      <w:r w:rsidR="00576E23" w:rsidRPr="0040433A">
        <w:rPr>
          <w:rStyle w:val="FootnoteReference"/>
          <w:sz w:val="24"/>
          <w:lang w:val="en-GB"/>
        </w:rPr>
        <w:footnoteReference w:id="118"/>
      </w:r>
      <w:r w:rsidR="00BB676D" w:rsidRPr="0040433A">
        <w:rPr>
          <w:lang w:val="en-GB"/>
        </w:rPr>
        <w:t xml:space="preserve"> Indeed, </w:t>
      </w:r>
      <w:r w:rsidR="009B1D15" w:rsidRPr="0040433A">
        <w:rPr>
          <w:lang w:val="en-GB"/>
        </w:rPr>
        <w:t>Jackson suggests that the material contribution</w:t>
      </w:r>
      <w:r w:rsidR="003115C0">
        <w:rPr>
          <w:lang w:val="en-GB"/>
        </w:rPr>
        <w:t xml:space="preserve"> standard should be preferred</w:t>
      </w:r>
      <w:r w:rsidR="009B1D15" w:rsidRPr="0040433A">
        <w:rPr>
          <w:lang w:val="en-GB"/>
        </w:rPr>
        <w:t xml:space="preserve"> since ‘it serves the interests of international cooperation to require a nexus beyond incidental contribution… [and] exclud[es] the incidental relationships that arise from virtually every State interaction’.</w:t>
      </w:r>
      <w:r w:rsidR="009B1D15" w:rsidRPr="0040433A">
        <w:rPr>
          <w:rStyle w:val="FootnoteReference"/>
          <w:sz w:val="24"/>
          <w:lang w:val="en-GB"/>
        </w:rPr>
        <w:footnoteReference w:id="119"/>
      </w:r>
      <w:r w:rsidR="00895BAA" w:rsidRPr="0040433A">
        <w:rPr>
          <w:lang w:val="en-GB"/>
        </w:rPr>
        <w:t xml:space="preserve"> The same is likely to apply to relationships betw</w:t>
      </w:r>
      <w:r w:rsidR="00576E23" w:rsidRPr="0040433A">
        <w:rPr>
          <w:lang w:val="en-GB"/>
        </w:rPr>
        <w:t xml:space="preserve">een State and non-State actors. </w:t>
      </w:r>
      <w:r w:rsidR="00E62DC1" w:rsidRPr="0040433A">
        <w:rPr>
          <w:lang w:val="en-GB"/>
        </w:rPr>
        <w:t>However</w:t>
      </w:r>
      <w:r w:rsidR="00576E23" w:rsidRPr="0040433A">
        <w:rPr>
          <w:lang w:val="en-GB"/>
        </w:rPr>
        <w:t>, it is interesting to note the</w:t>
      </w:r>
      <w:r w:rsidR="000524F6">
        <w:rPr>
          <w:lang w:val="en-GB"/>
        </w:rPr>
        <w:t xml:space="preserve"> inconsistent </w:t>
      </w:r>
      <w:r w:rsidR="008E0C24">
        <w:rPr>
          <w:lang w:val="en-GB"/>
        </w:rPr>
        <w:t>approaches adopted by</w:t>
      </w:r>
      <w:r w:rsidR="000524F6">
        <w:rPr>
          <w:lang w:val="en-GB"/>
        </w:rPr>
        <w:t xml:space="preserve"> States in this regard. For instance, t</w:t>
      </w:r>
      <w:r w:rsidR="00576E23" w:rsidRPr="0040433A">
        <w:rPr>
          <w:lang w:val="en-GB"/>
        </w:rPr>
        <w:t xml:space="preserve">he United Kingdom </w:t>
      </w:r>
      <w:r w:rsidR="00112D4B">
        <w:rPr>
          <w:lang w:val="en-GB"/>
        </w:rPr>
        <w:t>endorsed</w:t>
      </w:r>
      <w:r w:rsidR="00576E23" w:rsidRPr="0040433A">
        <w:rPr>
          <w:lang w:val="en-GB"/>
        </w:rPr>
        <w:t xml:space="preserve"> a very liberal interpretation of an analogous complicity provision in the 1997 </w:t>
      </w:r>
      <w:r w:rsidR="00013D81" w:rsidRPr="0040433A">
        <w:rPr>
          <w:lang w:val="en-GB"/>
        </w:rPr>
        <w:t>Ottawa</w:t>
      </w:r>
      <w:r w:rsidR="00576E23" w:rsidRPr="0040433A">
        <w:rPr>
          <w:lang w:val="en-GB"/>
        </w:rPr>
        <w:t xml:space="preserve"> Convention,</w:t>
      </w:r>
      <w:r w:rsidR="008678A6" w:rsidRPr="0040433A">
        <w:rPr>
          <w:rStyle w:val="FootnoteReference"/>
          <w:sz w:val="24"/>
          <w:lang w:val="en-GB"/>
        </w:rPr>
        <w:footnoteReference w:id="120"/>
      </w:r>
      <w:r w:rsidR="00576E23" w:rsidRPr="0040433A">
        <w:rPr>
          <w:lang w:val="en-GB"/>
        </w:rPr>
        <w:t xml:space="preserve"> </w:t>
      </w:r>
      <w:r w:rsidR="000524F6">
        <w:rPr>
          <w:lang w:val="en-GB"/>
        </w:rPr>
        <w:t>only to later adopt a</w:t>
      </w:r>
      <w:r w:rsidR="00F80CCD" w:rsidRPr="0040433A">
        <w:rPr>
          <w:lang w:val="en-GB"/>
        </w:rPr>
        <w:t xml:space="preserve"> restrictive stance in relation</w:t>
      </w:r>
      <w:r w:rsidR="000524F6">
        <w:rPr>
          <w:lang w:val="en-GB"/>
        </w:rPr>
        <w:t xml:space="preserve"> to</w:t>
      </w:r>
      <w:r w:rsidR="000524F6" w:rsidRPr="000524F6">
        <w:rPr>
          <w:lang w:val="en-GB"/>
        </w:rPr>
        <w:t xml:space="preserve"> </w:t>
      </w:r>
      <w:r w:rsidR="000524F6" w:rsidRPr="0040433A">
        <w:rPr>
          <w:lang w:val="en-GB"/>
        </w:rPr>
        <w:t xml:space="preserve">the </w:t>
      </w:r>
      <w:r w:rsidR="000524F6">
        <w:rPr>
          <w:lang w:val="en-GB"/>
        </w:rPr>
        <w:t xml:space="preserve">2005 </w:t>
      </w:r>
      <w:r w:rsidR="000524F6" w:rsidRPr="0040433A">
        <w:rPr>
          <w:lang w:val="en-GB"/>
        </w:rPr>
        <w:t>C</w:t>
      </w:r>
      <w:r w:rsidR="000524F6">
        <w:rPr>
          <w:lang w:val="en-GB"/>
        </w:rPr>
        <w:t>luster Munitions Convention</w:t>
      </w:r>
      <w:r w:rsidR="00F80CCD" w:rsidRPr="0040433A">
        <w:rPr>
          <w:lang w:val="en-GB"/>
        </w:rPr>
        <w:t>,</w:t>
      </w:r>
      <w:r w:rsidR="000524F6" w:rsidRPr="000524F6">
        <w:rPr>
          <w:rStyle w:val="FootnoteReference"/>
          <w:sz w:val="24"/>
          <w:lang w:val="en-GB"/>
        </w:rPr>
        <w:t xml:space="preserve"> </w:t>
      </w:r>
      <w:r w:rsidR="000524F6" w:rsidRPr="0040433A">
        <w:rPr>
          <w:rStyle w:val="FootnoteReference"/>
          <w:sz w:val="24"/>
          <w:lang w:val="en-GB"/>
        </w:rPr>
        <w:footnoteReference w:id="121"/>
      </w:r>
      <w:r w:rsidR="00F80CCD" w:rsidRPr="0040433A">
        <w:rPr>
          <w:lang w:val="en-GB"/>
        </w:rPr>
        <w:t xml:space="preserve"> advocating the deletion of an ‘aid or assistance’ clause</w:t>
      </w:r>
      <w:r w:rsidR="000524F6">
        <w:rPr>
          <w:lang w:val="en-GB"/>
        </w:rPr>
        <w:t>.</w:t>
      </w:r>
      <w:r w:rsidR="00F80CCD" w:rsidRPr="0040433A">
        <w:rPr>
          <w:rStyle w:val="FootnoteReference"/>
          <w:sz w:val="24"/>
          <w:lang w:val="en-GB"/>
        </w:rPr>
        <w:footnoteReference w:id="122"/>
      </w:r>
    </w:p>
    <w:p w14:paraId="3AA9B35A" w14:textId="158AA64D" w:rsidR="006249DC" w:rsidRPr="0040433A" w:rsidRDefault="00576E23" w:rsidP="0040433A">
      <w:pPr>
        <w:spacing w:line="276" w:lineRule="auto"/>
        <w:ind w:firstLine="720"/>
        <w:jc w:val="both"/>
        <w:rPr>
          <w:lang w:val="en-GB"/>
        </w:rPr>
      </w:pPr>
      <w:r w:rsidRPr="0040433A">
        <w:rPr>
          <w:lang w:val="en-GB"/>
        </w:rPr>
        <w:t xml:space="preserve"> </w:t>
      </w:r>
      <w:r w:rsidR="00DD41DF" w:rsidRPr="0040433A">
        <w:rPr>
          <w:lang w:val="en-GB"/>
        </w:rPr>
        <w:t>The fine lines between governmental incapacity, wilful bli</w:t>
      </w:r>
      <w:r w:rsidR="001802CD" w:rsidRPr="0040433A">
        <w:rPr>
          <w:lang w:val="en-GB"/>
        </w:rPr>
        <w:t>ndness and complicit omission are</w:t>
      </w:r>
      <w:r w:rsidR="00DD41DF" w:rsidRPr="0040433A">
        <w:rPr>
          <w:lang w:val="en-GB"/>
        </w:rPr>
        <w:t xml:space="preserve"> likely to cause significant practical issues in the </w:t>
      </w:r>
      <w:r w:rsidR="00127C1B" w:rsidRPr="0040433A">
        <w:rPr>
          <w:lang w:val="en-GB"/>
        </w:rPr>
        <w:t>categoriz</w:t>
      </w:r>
      <w:r w:rsidR="00C80353" w:rsidRPr="0040433A">
        <w:rPr>
          <w:lang w:val="en-GB"/>
        </w:rPr>
        <w:t xml:space="preserve">ation of State conduct, and demand </w:t>
      </w:r>
      <w:r w:rsidR="008A759A">
        <w:rPr>
          <w:lang w:val="en-GB"/>
        </w:rPr>
        <w:t xml:space="preserve">careful </w:t>
      </w:r>
      <w:r w:rsidR="00C80353" w:rsidRPr="0040433A">
        <w:rPr>
          <w:lang w:val="en-GB"/>
        </w:rPr>
        <w:t xml:space="preserve">consideration </w:t>
      </w:r>
      <w:r w:rsidR="008A759A">
        <w:rPr>
          <w:lang w:val="en-GB"/>
        </w:rPr>
        <w:t>in light of the</w:t>
      </w:r>
      <w:r w:rsidR="00C80353" w:rsidRPr="0040433A">
        <w:rPr>
          <w:lang w:val="en-GB"/>
        </w:rPr>
        <w:t xml:space="preserve"> forgoing cont</w:t>
      </w:r>
      <w:r w:rsidR="00613569" w:rsidRPr="0040433A">
        <w:rPr>
          <w:lang w:val="en-GB"/>
        </w:rPr>
        <w:t>ext regarding the transnational operations of business actor</w:t>
      </w:r>
      <w:r w:rsidR="00C80353" w:rsidRPr="0040433A">
        <w:rPr>
          <w:lang w:val="en-GB"/>
        </w:rPr>
        <w:t>s.</w:t>
      </w:r>
      <w:r w:rsidR="00DD41DF" w:rsidRPr="0040433A">
        <w:rPr>
          <w:lang w:val="en-GB"/>
        </w:rPr>
        <w:t xml:space="preserve"> The ICJ in </w:t>
      </w:r>
      <w:r w:rsidR="00DD41DF" w:rsidRPr="0040433A">
        <w:rPr>
          <w:i/>
          <w:lang w:val="en-GB"/>
        </w:rPr>
        <w:t>Bosnian Genocide</w:t>
      </w:r>
      <w:r w:rsidR="00DD41DF" w:rsidRPr="0040433A">
        <w:rPr>
          <w:lang w:val="en-GB"/>
        </w:rPr>
        <w:t xml:space="preserve"> expressly stated that ‘complicity always requires some positive action… while complicity results from commission, violation of the obligation to prevent results from omission’.</w:t>
      </w:r>
      <w:r w:rsidR="00DD41DF" w:rsidRPr="0040433A">
        <w:rPr>
          <w:rStyle w:val="FootnoteReference"/>
          <w:sz w:val="24"/>
          <w:lang w:val="en-GB"/>
        </w:rPr>
        <w:footnoteReference w:id="123"/>
      </w:r>
      <w:r w:rsidR="00DD41DF" w:rsidRPr="0040433A">
        <w:rPr>
          <w:lang w:val="en-GB"/>
        </w:rPr>
        <w:t xml:space="preserve"> Similarly, Ago’s Seventh </w:t>
      </w:r>
      <w:r w:rsidR="00D14883" w:rsidRPr="0040433A">
        <w:rPr>
          <w:lang w:val="en-GB"/>
        </w:rPr>
        <w:t>R</w:t>
      </w:r>
      <w:r w:rsidR="00DD41DF" w:rsidRPr="0040433A">
        <w:rPr>
          <w:lang w:val="en-GB"/>
        </w:rPr>
        <w:t xml:space="preserve">eport on State Responsibility provides: </w:t>
      </w:r>
    </w:p>
    <w:p w14:paraId="65BC6723" w14:textId="6447CFD2" w:rsidR="006249DC" w:rsidRPr="0040433A" w:rsidRDefault="006249DC" w:rsidP="0040433A">
      <w:pPr>
        <w:spacing w:before="240" w:after="240" w:line="276" w:lineRule="auto"/>
        <w:ind w:left="720"/>
        <w:jc w:val="both"/>
        <w:rPr>
          <w:lang w:val="en-GB"/>
        </w:rPr>
      </w:pPr>
      <w:r w:rsidRPr="0040433A">
        <w:rPr>
          <w:lang w:val="en-GB"/>
        </w:rPr>
        <w:t>[A]</w:t>
      </w:r>
      <w:r w:rsidR="00DD41DF" w:rsidRPr="0040433A">
        <w:rPr>
          <w:lang w:val="en-GB"/>
        </w:rPr>
        <w:t xml:space="preserve"> case of “participation” in the internationally wrongful act of another cannot be found in the [sole fact] that a State failed to take preventative or repressive measures required of it… This does not mean that in specific cases there may not also be participation… But there is an additional element, a separate breach besides the mer</w:t>
      </w:r>
      <w:r w:rsidRPr="0040433A">
        <w:rPr>
          <w:lang w:val="en-GB"/>
        </w:rPr>
        <w:t>e failure to prevent and punish</w:t>
      </w:r>
      <w:r w:rsidR="00DD41DF" w:rsidRPr="0040433A">
        <w:rPr>
          <w:lang w:val="en-GB"/>
        </w:rPr>
        <w:t>.</w:t>
      </w:r>
      <w:r w:rsidR="00DD41DF" w:rsidRPr="0040433A">
        <w:rPr>
          <w:rStyle w:val="FootnoteReference"/>
          <w:sz w:val="24"/>
          <w:lang w:val="en-GB"/>
        </w:rPr>
        <w:footnoteReference w:id="124"/>
      </w:r>
      <w:r w:rsidR="00DD41DF" w:rsidRPr="0040433A">
        <w:rPr>
          <w:lang w:val="en-GB"/>
        </w:rPr>
        <w:t xml:space="preserve"> </w:t>
      </w:r>
    </w:p>
    <w:p w14:paraId="77C2A74C" w14:textId="68EC4324" w:rsidR="00DD41DF" w:rsidRPr="0040433A" w:rsidRDefault="00DD41DF" w:rsidP="0040433A">
      <w:pPr>
        <w:spacing w:line="276" w:lineRule="auto"/>
        <w:jc w:val="both"/>
        <w:rPr>
          <w:lang w:val="en-GB"/>
        </w:rPr>
      </w:pPr>
      <w:r w:rsidRPr="0040433A">
        <w:rPr>
          <w:lang w:val="en-GB"/>
        </w:rPr>
        <w:t>Jackson suggests that complicity via omission is doctrinally and normatively supported in municipal and international criminal law, though he recogni</w:t>
      </w:r>
      <w:r w:rsidR="008316A4" w:rsidRPr="0040433A">
        <w:rPr>
          <w:lang w:val="en-GB"/>
        </w:rPr>
        <w:t>s</w:t>
      </w:r>
      <w:r w:rsidRPr="0040433A">
        <w:rPr>
          <w:lang w:val="en-GB"/>
        </w:rPr>
        <w:t xml:space="preserve">es that ‘[m]any more omissions will violate the obligation to prevent genocide than constitute complicity… But in some circumstances, a particularly culpable proximate omission, where both </w:t>
      </w:r>
      <w:r w:rsidRPr="003115C0">
        <w:rPr>
          <w:lang w:val="en-GB"/>
        </w:rPr>
        <w:t>mens rea</w:t>
      </w:r>
      <w:r w:rsidRPr="0040433A">
        <w:rPr>
          <w:lang w:val="en-GB"/>
        </w:rPr>
        <w:t xml:space="preserve"> and nexus requirements are met, should be seen to constitute complicity.’</w:t>
      </w:r>
      <w:r w:rsidRPr="0040433A">
        <w:rPr>
          <w:rStyle w:val="FootnoteReference"/>
          <w:sz w:val="24"/>
          <w:lang w:val="en-GB"/>
        </w:rPr>
        <w:footnoteReference w:id="125"/>
      </w:r>
      <w:r w:rsidRPr="0040433A">
        <w:rPr>
          <w:lang w:val="en-GB"/>
        </w:rPr>
        <w:t xml:space="preserve"> Clearly then, not all omissions will give rise to the complicit responsibility of a secondary actor, unless the omission substantially contributed to the principal wrong and</w:t>
      </w:r>
      <w:r w:rsidR="00BA0BAA">
        <w:rPr>
          <w:lang w:val="en-GB"/>
        </w:rPr>
        <w:t xml:space="preserve"> the</w:t>
      </w:r>
      <w:r w:rsidRPr="0040433A">
        <w:rPr>
          <w:lang w:val="en-GB"/>
        </w:rPr>
        <w:t xml:space="preserve"> actor possessed sufficient knowledge. Indeed, the conduct of States falling outside of these instances of complicity may be captured under </w:t>
      </w:r>
      <w:r w:rsidR="005D1946">
        <w:rPr>
          <w:lang w:val="en-GB"/>
        </w:rPr>
        <w:t xml:space="preserve">the </w:t>
      </w:r>
      <w:r w:rsidRPr="0040433A">
        <w:rPr>
          <w:lang w:val="en-GB"/>
        </w:rPr>
        <w:t xml:space="preserve">due diligence </w:t>
      </w:r>
      <w:r w:rsidR="00F04B97" w:rsidRPr="0040433A">
        <w:rPr>
          <w:lang w:val="en-GB"/>
        </w:rPr>
        <w:t>obligations</w:t>
      </w:r>
      <w:r w:rsidRPr="0040433A">
        <w:rPr>
          <w:lang w:val="en-GB"/>
        </w:rPr>
        <w:t xml:space="preserve"> held by States </w:t>
      </w:r>
      <w:r w:rsidR="00F04B97" w:rsidRPr="0040433A">
        <w:rPr>
          <w:lang w:val="en-GB"/>
        </w:rPr>
        <w:t>under ex</w:t>
      </w:r>
      <w:r w:rsidR="005D1946">
        <w:rPr>
          <w:lang w:val="en-GB"/>
        </w:rPr>
        <w:t>tant</w:t>
      </w:r>
      <w:r w:rsidRPr="0040433A">
        <w:rPr>
          <w:lang w:val="en-GB"/>
        </w:rPr>
        <w:t xml:space="preserve"> human rights treaties.</w:t>
      </w:r>
      <w:r w:rsidR="003F3501">
        <w:rPr>
          <w:rStyle w:val="FootnoteReference"/>
          <w:lang w:val="en-GB"/>
        </w:rPr>
        <w:footnoteReference w:id="126"/>
      </w:r>
      <w:r w:rsidRPr="0040433A">
        <w:rPr>
          <w:lang w:val="en-GB"/>
        </w:rPr>
        <w:t xml:space="preserve"> </w:t>
      </w:r>
    </w:p>
    <w:p w14:paraId="496FF80E" w14:textId="031A8888" w:rsidR="00FD0350" w:rsidRPr="0040433A" w:rsidRDefault="001802CD" w:rsidP="0040433A">
      <w:pPr>
        <w:spacing w:line="276" w:lineRule="auto"/>
        <w:ind w:firstLine="720"/>
        <w:jc w:val="both"/>
        <w:rPr>
          <w:lang w:val="en-GB"/>
        </w:rPr>
      </w:pPr>
      <w:r w:rsidRPr="0040433A">
        <w:rPr>
          <w:lang w:val="en-GB"/>
        </w:rPr>
        <w:t>It is clear that ‘aid or assistance’ is a ‘</w:t>
      </w:r>
      <w:r w:rsidR="005075AC" w:rsidRPr="0040433A">
        <w:rPr>
          <w:lang w:val="en-GB"/>
        </w:rPr>
        <w:t>normative and case-specific concept, meaning that its content will always have to be determined in the specific situation, with a view to the relation between the supportive conduct to the neighbouring normative environment and the enabling function it played to the case at hand.’</w:t>
      </w:r>
      <w:r w:rsidR="005075AC" w:rsidRPr="0040433A">
        <w:rPr>
          <w:rStyle w:val="FootnoteReference"/>
          <w:sz w:val="24"/>
          <w:lang w:val="en-GB"/>
        </w:rPr>
        <w:footnoteReference w:id="127"/>
      </w:r>
      <w:r w:rsidR="005075AC" w:rsidRPr="0040433A">
        <w:rPr>
          <w:lang w:val="en-GB"/>
        </w:rPr>
        <w:t xml:space="preserve"> </w:t>
      </w:r>
      <w:r w:rsidR="00C75F16" w:rsidRPr="0040433A">
        <w:rPr>
          <w:lang w:val="en-GB"/>
        </w:rPr>
        <w:t xml:space="preserve">This exercise will also need to take into account a second factor </w:t>
      </w:r>
      <w:r w:rsidR="00CE11AE">
        <w:rPr>
          <w:lang w:val="en-GB"/>
        </w:rPr>
        <w:t>that</w:t>
      </w:r>
      <w:r w:rsidR="00C75F16" w:rsidRPr="0040433A">
        <w:rPr>
          <w:lang w:val="en-GB"/>
        </w:rPr>
        <w:t xml:space="preserve"> will determine the engagement of a complicity rule:</w:t>
      </w:r>
      <w:r w:rsidR="00576E23" w:rsidRPr="0040433A">
        <w:rPr>
          <w:lang w:val="en-GB"/>
        </w:rPr>
        <w:t xml:space="preserve"> the subjectiv</w:t>
      </w:r>
      <w:r w:rsidR="00E039FD" w:rsidRPr="0040433A">
        <w:rPr>
          <w:lang w:val="en-GB"/>
        </w:rPr>
        <w:t xml:space="preserve">e element. The manner in which </w:t>
      </w:r>
      <w:r w:rsidR="005B71AF" w:rsidRPr="0040433A">
        <w:rPr>
          <w:lang w:val="en-GB"/>
        </w:rPr>
        <w:t xml:space="preserve">causal act and </w:t>
      </w:r>
      <w:r w:rsidR="00E039FD" w:rsidRPr="005D1946">
        <w:rPr>
          <w:lang w:val="en-GB"/>
        </w:rPr>
        <w:t>mens rea</w:t>
      </w:r>
      <w:r w:rsidR="00576E23" w:rsidRPr="0040433A">
        <w:rPr>
          <w:lang w:val="en-GB"/>
        </w:rPr>
        <w:t xml:space="preserve"> interact will require careful articulation should a complicity provision be adopted in </w:t>
      </w:r>
      <w:r w:rsidR="005D1946">
        <w:rPr>
          <w:lang w:val="en-GB"/>
        </w:rPr>
        <w:t>the</w:t>
      </w:r>
      <w:r w:rsidR="00576E23" w:rsidRPr="0040433A">
        <w:rPr>
          <w:lang w:val="en-GB"/>
        </w:rPr>
        <w:t xml:space="preserve"> proposed treaty, and will need to weigh considerations relating to global economic cooperation with the need to safeguard fundamental human rights. </w:t>
      </w:r>
    </w:p>
    <w:p w14:paraId="39D9A9BA" w14:textId="77777777" w:rsidR="00DA4C23" w:rsidRDefault="00895BAA" w:rsidP="00DA4C23">
      <w:pPr>
        <w:spacing w:line="276" w:lineRule="auto"/>
        <w:ind w:firstLine="720"/>
        <w:jc w:val="both"/>
        <w:rPr>
          <w:lang w:val="en-GB"/>
        </w:rPr>
      </w:pPr>
      <w:r w:rsidRPr="0040433A">
        <w:rPr>
          <w:lang w:val="en-GB"/>
        </w:rPr>
        <w:t xml:space="preserve">With regard to the </w:t>
      </w:r>
      <w:r w:rsidRPr="0082769B">
        <w:rPr>
          <w:lang w:val="en-GB"/>
        </w:rPr>
        <w:t>mens rea</w:t>
      </w:r>
      <w:r w:rsidRPr="0040433A">
        <w:rPr>
          <w:lang w:val="en-GB"/>
        </w:rPr>
        <w:t xml:space="preserve"> standard, while some form of knowledge on be</w:t>
      </w:r>
      <w:r w:rsidR="0082769B">
        <w:rPr>
          <w:lang w:val="en-GB"/>
        </w:rPr>
        <w:t>half of the complicit party is necessary</w:t>
      </w:r>
      <w:r w:rsidRPr="0040433A">
        <w:rPr>
          <w:lang w:val="en-GB"/>
        </w:rPr>
        <w:t>,</w:t>
      </w:r>
      <w:r w:rsidR="00FD0350" w:rsidRPr="0040433A">
        <w:rPr>
          <w:rStyle w:val="FootnoteReference"/>
          <w:sz w:val="24"/>
          <w:lang w:val="en-GB"/>
        </w:rPr>
        <w:footnoteReference w:id="128"/>
      </w:r>
      <w:r w:rsidRPr="0040433A">
        <w:rPr>
          <w:lang w:val="en-GB"/>
        </w:rPr>
        <w:t xml:space="preserve"> there is presently no agreement among scholars as to the level required</w:t>
      </w:r>
      <w:r w:rsidR="00495374" w:rsidRPr="0040433A">
        <w:rPr>
          <w:lang w:val="en-GB"/>
        </w:rPr>
        <w:t xml:space="preserve"> to engage a</w:t>
      </w:r>
      <w:r w:rsidR="005A6B9E">
        <w:rPr>
          <w:lang w:val="en-GB"/>
        </w:rPr>
        <w:t>rticle 16 ASRIW</w:t>
      </w:r>
      <w:r w:rsidR="006C3BFD" w:rsidRPr="0040433A">
        <w:rPr>
          <w:lang w:val="en-GB"/>
        </w:rPr>
        <w:t>A</w:t>
      </w:r>
      <w:r w:rsidRPr="0040433A">
        <w:rPr>
          <w:lang w:val="en-GB"/>
        </w:rPr>
        <w:t>.</w:t>
      </w:r>
      <w:r w:rsidRPr="0040433A">
        <w:rPr>
          <w:rStyle w:val="FootnoteReference"/>
          <w:sz w:val="24"/>
          <w:lang w:val="en-GB"/>
        </w:rPr>
        <w:footnoteReference w:id="129"/>
      </w:r>
      <w:r w:rsidR="00CB11D6" w:rsidRPr="0040433A">
        <w:rPr>
          <w:lang w:val="en-GB"/>
        </w:rPr>
        <w:t xml:space="preserve"> Suggested standards </w:t>
      </w:r>
      <w:r w:rsidR="005C1AAE" w:rsidRPr="0040433A">
        <w:rPr>
          <w:lang w:val="en-GB"/>
        </w:rPr>
        <w:t>include constructive knowledge (expected in the exercise of reasonable care);</w:t>
      </w:r>
      <w:r w:rsidR="00544282" w:rsidRPr="0040433A">
        <w:rPr>
          <w:rStyle w:val="FootnoteReference"/>
          <w:sz w:val="24"/>
          <w:lang w:val="en-GB"/>
        </w:rPr>
        <w:footnoteReference w:id="130"/>
      </w:r>
      <w:r w:rsidR="005C1AAE" w:rsidRPr="0040433A">
        <w:rPr>
          <w:lang w:val="en-GB"/>
        </w:rPr>
        <w:t xml:space="preserve"> direct knowledge (based on the particular circumstances);</w:t>
      </w:r>
      <w:r w:rsidR="005C1AAE" w:rsidRPr="0040433A">
        <w:rPr>
          <w:rStyle w:val="FootnoteReference"/>
          <w:sz w:val="24"/>
          <w:lang w:val="en-GB"/>
        </w:rPr>
        <w:footnoteReference w:id="131"/>
      </w:r>
      <w:r w:rsidR="005C1AAE" w:rsidRPr="0040433A">
        <w:rPr>
          <w:lang w:val="en-GB"/>
        </w:rPr>
        <w:t xml:space="preserve"> </w:t>
      </w:r>
      <w:r w:rsidR="00CB11D6" w:rsidRPr="0040433A">
        <w:rPr>
          <w:lang w:val="en-GB"/>
        </w:rPr>
        <w:t>wrongful intent</w:t>
      </w:r>
      <w:r w:rsidR="00547952" w:rsidRPr="0040433A">
        <w:rPr>
          <w:lang w:val="en-GB"/>
        </w:rPr>
        <w:t xml:space="preserve"> </w:t>
      </w:r>
      <w:r w:rsidR="00A20ABB" w:rsidRPr="0040433A">
        <w:rPr>
          <w:lang w:val="en-GB"/>
        </w:rPr>
        <w:t>(</w:t>
      </w:r>
      <w:r w:rsidR="00547952" w:rsidRPr="0040433A">
        <w:rPr>
          <w:lang w:val="en-GB"/>
        </w:rPr>
        <w:t>stemming from a reading of the ILC’s Commentary</w:t>
      </w:r>
      <w:r w:rsidR="00A20ABB" w:rsidRPr="0040433A">
        <w:rPr>
          <w:lang w:val="en-GB"/>
        </w:rPr>
        <w:t>);</w:t>
      </w:r>
      <w:r w:rsidR="001B1AE4" w:rsidRPr="0040433A">
        <w:rPr>
          <w:rStyle w:val="FootnoteReference"/>
          <w:sz w:val="24"/>
          <w:lang w:val="en-GB"/>
        </w:rPr>
        <w:footnoteReference w:id="132"/>
      </w:r>
      <w:r w:rsidR="001B1AE4" w:rsidRPr="0040433A">
        <w:rPr>
          <w:lang w:val="en-GB"/>
        </w:rPr>
        <w:t xml:space="preserve"> </w:t>
      </w:r>
      <w:r w:rsidR="00A20ABB" w:rsidRPr="0040433A">
        <w:rPr>
          <w:lang w:val="en-GB"/>
        </w:rPr>
        <w:t>and</w:t>
      </w:r>
      <w:r w:rsidR="001B1AE4" w:rsidRPr="0040433A">
        <w:rPr>
          <w:lang w:val="en-GB"/>
        </w:rPr>
        <w:t xml:space="preserve"> </w:t>
      </w:r>
      <w:r w:rsidR="00CB11D6" w:rsidRPr="0040433A">
        <w:rPr>
          <w:lang w:val="en-GB"/>
        </w:rPr>
        <w:t>wilful blindness</w:t>
      </w:r>
      <w:r w:rsidR="000F3721" w:rsidRPr="0040433A">
        <w:rPr>
          <w:lang w:val="en-GB"/>
        </w:rPr>
        <w:t>.</w:t>
      </w:r>
      <w:r w:rsidR="001B1AE4" w:rsidRPr="0040433A">
        <w:rPr>
          <w:rStyle w:val="FootnoteReference"/>
          <w:sz w:val="24"/>
          <w:lang w:val="en-GB"/>
        </w:rPr>
        <w:footnoteReference w:id="133"/>
      </w:r>
      <w:r w:rsidR="00CB11D6" w:rsidRPr="0040433A">
        <w:rPr>
          <w:lang w:val="en-GB"/>
        </w:rPr>
        <w:t xml:space="preserve"> </w:t>
      </w:r>
      <w:r w:rsidR="00547952" w:rsidRPr="0040433A">
        <w:rPr>
          <w:lang w:val="en-GB"/>
        </w:rPr>
        <w:t xml:space="preserve">In the case of </w:t>
      </w:r>
      <w:r w:rsidR="002042CF" w:rsidRPr="0040433A">
        <w:rPr>
          <w:lang w:val="en-GB"/>
        </w:rPr>
        <w:t>wrongful intent</w:t>
      </w:r>
      <w:r w:rsidR="00547952" w:rsidRPr="0040433A">
        <w:rPr>
          <w:lang w:val="en-GB"/>
        </w:rPr>
        <w:t>, most host States engag</w:t>
      </w:r>
      <w:r w:rsidR="00613569" w:rsidRPr="0040433A">
        <w:rPr>
          <w:lang w:val="en-GB"/>
        </w:rPr>
        <w:t>e in bilateral agreements with business actor</w:t>
      </w:r>
      <w:r w:rsidR="00547952" w:rsidRPr="0040433A">
        <w:rPr>
          <w:lang w:val="en-GB"/>
        </w:rPr>
        <w:t>s under the auspices of economic development,</w:t>
      </w:r>
      <w:r w:rsidR="003D4B44" w:rsidRPr="0040433A">
        <w:rPr>
          <w:rStyle w:val="FootnoteReference"/>
          <w:sz w:val="24"/>
          <w:lang w:val="en-GB"/>
        </w:rPr>
        <w:footnoteReference w:id="134"/>
      </w:r>
      <w:r w:rsidR="00547952" w:rsidRPr="0040433A">
        <w:rPr>
          <w:lang w:val="en-GB"/>
        </w:rPr>
        <w:t xml:space="preserve"> making it difficult to establish intent to facilitate any human rights violations </w:t>
      </w:r>
      <w:r w:rsidR="000F3721" w:rsidRPr="0040433A">
        <w:rPr>
          <w:lang w:val="en-GB"/>
        </w:rPr>
        <w:t>resulting from the arrangement.</w:t>
      </w:r>
      <w:r w:rsidR="008A1D4E" w:rsidRPr="0040433A">
        <w:rPr>
          <w:rStyle w:val="FootnoteReference"/>
          <w:sz w:val="24"/>
          <w:lang w:val="en-GB"/>
        </w:rPr>
        <w:footnoteReference w:id="135"/>
      </w:r>
      <w:r w:rsidR="000F3721" w:rsidRPr="0040433A">
        <w:rPr>
          <w:lang w:val="en-GB"/>
        </w:rPr>
        <w:t xml:space="preserve"> </w:t>
      </w:r>
      <w:r w:rsidR="00C76BCB" w:rsidRPr="0040433A">
        <w:rPr>
          <w:lang w:val="en-GB"/>
        </w:rPr>
        <w:t xml:space="preserve">Crawford has acknowledged that ‘different primary rules of international law impose different </w:t>
      </w:r>
      <w:r w:rsidR="00C53A5D" w:rsidRPr="0040433A">
        <w:rPr>
          <w:lang w:val="en-GB"/>
        </w:rPr>
        <w:t>s</w:t>
      </w:r>
      <w:r w:rsidR="00C76BCB" w:rsidRPr="0040433A">
        <w:rPr>
          <w:lang w:val="en-GB"/>
        </w:rPr>
        <w:t>tandards ranging from “due diligence” to strict liability’.</w:t>
      </w:r>
      <w:r w:rsidR="00C76BCB" w:rsidRPr="0040433A">
        <w:rPr>
          <w:rStyle w:val="FootnoteReference"/>
          <w:sz w:val="24"/>
          <w:lang w:val="en-GB"/>
        </w:rPr>
        <w:footnoteReference w:id="136"/>
      </w:r>
      <w:r w:rsidR="00C76BCB" w:rsidRPr="0040433A">
        <w:rPr>
          <w:lang w:val="en-GB"/>
        </w:rPr>
        <w:t xml:space="preserve"> Thus, while analogy</w:t>
      </w:r>
      <w:r w:rsidR="00B7548D" w:rsidRPr="0040433A">
        <w:rPr>
          <w:lang w:val="en-GB"/>
        </w:rPr>
        <w:t xml:space="preserve"> may take </w:t>
      </w:r>
      <w:r w:rsidR="00C76BCB" w:rsidRPr="0040433A">
        <w:rPr>
          <w:lang w:val="en-GB"/>
        </w:rPr>
        <w:t>us part way, a complicity provision in a binding business and human rights treaty need not necessarily duplicate the</w:t>
      </w:r>
      <w:r w:rsidR="00FE2F0F" w:rsidRPr="0040433A">
        <w:rPr>
          <w:lang w:val="en-GB"/>
        </w:rPr>
        <w:t xml:space="preserve"> level of contribution nor the</w:t>
      </w:r>
      <w:r w:rsidR="00C76BCB" w:rsidRPr="0040433A">
        <w:rPr>
          <w:lang w:val="en-GB"/>
        </w:rPr>
        <w:t xml:space="preserve"> subjective element adopted in the application of </w:t>
      </w:r>
      <w:r w:rsidR="00495374" w:rsidRPr="0040433A">
        <w:rPr>
          <w:lang w:val="en-GB"/>
        </w:rPr>
        <w:t>a</w:t>
      </w:r>
      <w:r w:rsidR="00C76BCB" w:rsidRPr="0040433A">
        <w:rPr>
          <w:lang w:val="en-GB"/>
        </w:rPr>
        <w:t>rticle 16</w:t>
      </w:r>
      <w:r w:rsidR="0082769B">
        <w:rPr>
          <w:lang w:val="en-GB"/>
        </w:rPr>
        <w:t>.</w:t>
      </w:r>
      <w:r w:rsidR="002E1077" w:rsidRPr="0040433A">
        <w:rPr>
          <w:rStyle w:val="FootnoteReference"/>
          <w:sz w:val="24"/>
          <w:lang w:val="en-GB"/>
        </w:rPr>
        <w:footnoteReference w:id="137"/>
      </w:r>
      <w:r w:rsidR="00DA4C23">
        <w:rPr>
          <w:lang w:val="en-GB"/>
        </w:rPr>
        <w:t xml:space="preserve"> </w:t>
      </w:r>
    </w:p>
    <w:p w14:paraId="61506D58" w14:textId="65FC27E3" w:rsidR="00DA4C23" w:rsidRDefault="00DA4C23" w:rsidP="00DA4C23">
      <w:pPr>
        <w:spacing w:before="240" w:after="240" w:line="276" w:lineRule="auto"/>
        <w:ind w:left="720"/>
        <w:jc w:val="both"/>
        <w:rPr>
          <w:lang w:val="en-GB"/>
        </w:rPr>
      </w:pPr>
      <w:r>
        <w:rPr>
          <w:lang w:val="en-GB"/>
        </w:rPr>
        <w:t>[D]</w:t>
      </w:r>
      <w:r w:rsidR="00B7548D" w:rsidRPr="0040433A">
        <w:rPr>
          <w:lang w:val="en-GB"/>
        </w:rPr>
        <w:t>ue to its generality</w:t>
      </w:r>
      <w:r w:rsidR="00F0460E" w:rsidRPr="0040433A">
        <w:rPr>
          <w:lang w:val="en-GB"/>
        </w:rPr>
        <w:t>,</w:t>
      </w:r>
      <w:r w:rsidR="00B7548D" w:rsidRPr="0040433A">
        <w:rPr>
          <w:lang w:val="en-GB"/>
        </w:rPr>
        <w:t xml:space="preserve"> it covers aid or assistance furnished to violations of the </w:t>
      </w:r>
      <w:r w:rsidR="00467AF1" w:rsidRPr="0040433A">
        <w:rPr>
          <w:lang w:val="en-GB"/>
        </w:rPr>
        <w:t xml:space="preserve">most diverse kind of rules. It </w:t>
      </w:r>
      <w:r w:rsidR="00B7548D" w:rsidRPr="0040433A">
        <w:rPr>
          <w:lang w:val="en-GB"/>
        </w:rPr>
        <w:t xml:space="preserve">therefore </w:t>
      </w:r>
      <w:r w:rsidR="00467AF1" w:rsidRPr="0040433A">
        <w:rPr>
          <w:lang w:val="en-GB"/>
        </w:rPr>
        <w:t>can</w:t>
      </w:r>
      <w:r w:rsidR="00B7548D" w:rsidRPr="0040433A">
        <w:rPr>
          <w:lang w:val="en-GB"/>
        </w:rPr>
        <w:t xml:space="preserve">not be expected that a clear-cut general rule on “the” intent standard with respect to complicity in </w:t>
      </w:r>
      <w:r w:rsidR="00681DC1" w:rsidRPr="0040433A">
        <w:rPr>
          <w:lang w:val="en-GB"/>
        </w:rPr>
        <w:t>international law will be deduc</w:t>
      </w:r>
      <w:r>
        <w:rPr>
          <w:lang w:val="en-GB"/>
        </w:rPr>
        <w:t>ible.</w:t>
      </w:r>
      <w:r w:rsidR="00B7548D" w:rsidRPr="0040433A">
        <w:rPr>
          <w:rStyle w:val="FootnoteReference"/>
          <w:sz w:val="24"/>
          <w:lang w:val="en-GB"/>
        </w:rPr>
        <w:footnoteReference w:id="138"/>
      </w:r>
      <w:r w:rsidR="00B7548D" w:rsidRPr="0040433A">
        <w:rPr>
          <w:lang w:val="en-GB"/>
        </w:rPr>
        <w:t xml:space="preserve"> </w:t>
      </w:r>
      <w:r w:rsidR="00C76BCB" w:rsidRPr="0040433A">
        <w:rPr>
          <w:lang w:val="en-GB"/>
        </w:rPr>
        <w:t xml:space="preserve"> </w:t>
      </w:r>
    </w:p>
    <w:p w14:paraId="193EF9FB" w14:textId="288BFE06" w:rsidR="00F42404" w:rsidRPr="0040433A" w:rsidRDefault="00B7548D" w:rsidP="00DA4C23">
      <w:pPr>
        <w:spacing w:line="276" w:lineRule="auto"/>
        <w:jc w:val="both"/>
        <w:rPr>
          <w:lang w:val="en-GB"/>
        </w:rPr>
      </w:pPr>
      <w:r w:rsidRPr="0040433A">
        <w:rPr>
          <w:lang w:val="en-GB"/>
        </w:rPr>
        <w:t>As such</w:t>
      </w:r>
      <w:r w:rsidR="00C76BCB" w:rsidRPr="0040433A">
        <w:rPr>
          <w:lang w:val="en-GB"/>
        </w:rPr>
        <w:t xml:space="preserve">, </w:t>
      </w:r>
      <w:r w:rsidRPr="0040433A">
        <w:rPr>
          <w:lang w:val="en-GB"/>
        </w:rPr>
        <w:t xml:space="preserve">there is no reason as to why a </w:t>
      </w:r>
      <w:r w:rsidR="00C76BCB" w:rsidRPr="0040433A">
        <w:rPr>
          <w:lang w:val="en-GB"/>
        </w:rPr>
        <w:t xml:space="preserve">more specific standard may be adopted in the treaty as </w:t>
      </w:r>
      <w:r w:rsidR="00C76BCB" w:rsidRPr="0040433A">
        <w:rPr>
          <w:i/>
          <w:lang w:val="en-GB"/>
        </w:rPr>
        <w:t>lex specialis</w:t>
      </w:r>
      <w:r w:rsidRPr="0040433A">
        <w:rPr>
          <w:i/>
          <w:lang w:val="en-GB"/>
        </w:rPr>
        <w:t>.</w:t>
      </w:r>
      <w:r w:rsidR="002146FC" w:rsidRPr="0040433A">
        <w:rPr>
          <w:lang w:val="en-GB"/>
        </w:rPr>
        <w:t xml:space="preserve"> </w:t>
      </w:r>
    </w:p>
    <w:p w14:paraId="711AFC6C" w14:textId="2BF4717F" w:rsidR="00BA5581" w:rsidRPr="0040433A" w:rsidRDefault="002146FC" w:rsidP="0040433A">
      <w:pPr>
        <w:spacing w:line="276" w:lineRule="auto"/>
        <w:ind w:firstLine="720"/>
        <w:jc w:val="both"/>
        <w:rPr>
          <w:lang w:val="en-GB"/>
        </w:rPr>
      </w:pPr>
      <w:r w:rsidRPr="0040433A">
        <w:rPr>
          <w:lang w:val="en-GB"/>
        </w:rPr>
        <w:t>Aust even suggests that ‘a modification of the intent standard may be called for due to differing standards in human rights law’.</w:t>
      </w:r>
      <w:r w:rsidRPr="0040433A">
        <w:rPr>
          <w:rStyle w:val="FootnoteReference"/>
          <w:sz w:val="24"/>
          <w:lang w:val="en-GB"/>
        </w:rPr>
        <w:footnoteReference w:id="139"/>
      </w:r>
      <w:r w:rsidRPr="0040433A">
        <w:rPr>
          <w:lang w:val="en-GB"/>
        </w:rPr>
        <w:t xml:space="preserve"> Such was the approach of the Inter-American Court on Human Rights</w:t>
      </w:r>
      <w:r w:rsidR="00A4314D" w:rsidRPr="0040433A">
        <w:rPr>
          <w:lang w:val="en-GB"/>
        </w:rPr>
        <w:t xml:space="preserve"> (IAC</w:t>
      </w:r>
      <w:r w:rsidR="00DA4C23">
        <w:rPr>
          <w:lang w:val="en-GB"/>
        </w:rPr>
        <w:t>t</w:t>
      </w:r>
      <w:r w:rsidR="00A4314D" w:rsidRPr="0040433A">
        <w:rPr>
          <w:lang w:val="en-GB"/>
        </w:rPr>
        <w:t>HR)</w:t>
      </w:r>
      <w:r w:rsidRPr="0040433A">
        <w:rPr>
          <w:lang w:val="en-GB"/>
        </w:rPr>
        <w:t xml:space="preserve"> </w:t>
      </w:r>
      <w:r w:rsidR="003D55DC">
        <w:rPr>
          <w:lang w:val="en-GB"/>
        </w:rPr>
        <w:t xml:space="preserve">when </w:t>
      </w:r>
      <w:r w:rsidR="00EE6FDD" w:rsidRPr="0040433A">
        <w:rPr>
          <w:lang w:val="en-GB"/>
        </w:rPr>
        <w:t xml:space="preserve">adopting a due diligence </w:t>
      </w:r>
      <w:r w:rsidR="008107F9" w:rsidRPr="0040433A">
        <w:rPr>
          <w:lang w:val="en-GB"/>
        </w:rPr>
        <w:t xml:space="preserve">standard in </w:t>
      </w:r>
      <w:r w:rsidR="00C00EB7" w:rsidRPr="0040433A">
        <w:rPr>
          <w:rFonts w:cs="Swift-Italic"/>
          <w:i/>
          <w:iCs/>
          <w:lang w:val="en-GB"/>
        </w:rPr>
        <w:t>Velásquez Rodríguez</w:t>
      </w:r>
      <w:r w:rsidR="001D0D16" w:rsidRPr="0040433A">
        <w:rPr>
          <w:rStyle w:val="FootnoteReference"/>
          <w:rFonts w:cs="Swift-Italic"/>
          <w:iCs/>
          <w:sz w:val="24"/>
          <w:lang w:val="en-GB"/>
        </w:rPr>
        <w:footnoteReference w:id="140"/>
      </w:r>
      <w:r w:rsidR="00C00EB7" w:rsidRPr="0040433A">
        <w:rPr>
          <w:rFonts w:cs="Swift-Italic"/>
          <w:iCs/>
          <w:lang w:val="en-GB"/>
        </w:rPr>
        <w:t xml:space="preserve"> </w:t>
      </w:r>
      <w:r w:rsidR="009E052E">
        <w:rPr>
          <w:lang w:val="en-GB"/>
        </w:rPr>
        <w:t xml:space="preserve">mandating the State to </w:t>
      </w:r>
      <w:r w:rsidR="00EE6FDD" w:rsidRPr="0040433A">
        <w:rPr>
          <w:lang w:val="en-GB"/>
        </w:rPr>
        <w:t>organise the government in such a way as to guarantee righ</w:t>
      </w:r>
      <w:r w:rsidR="009E052E">
        <w:rPr>
          <w:lang w:val="en-GB"/>
        </w:rPr>
        <w:t>ts recognised in the Convention</w:t>
      </w:r>
      <w:r w:rsidR="00EE6FDD" w:rsidRPr="0040433A">
        <w:rPr>
          <w:rStyle w:val="FootnoteReference"/>
          <w:sz w:val="24"/>
          <w:lang w:val="en-GB"/>
        </w:rPr>
        <w:footnoteReference w:id="141"/>
      </w:r>
      <w:r w:rsidR="00EE6FDD" w:rsidRPr="0040433A">
        <w:rPr>
          <w:lang w:val="en-GB"/>
        </w:rPr>
        <w:t xml:space="preserve"> and thus to safeguard its population against </w:t>
      </w:r>
      <w:r w:rsidR="00BA5D95">
        <w:rPr>
          <w:lang w:val="en-GB"/>
        </w:rPr>
        <w:t xml:space="preserve">the </w:t>
      </w:r>
      <w:r w:rsidR="00EE6FDD" w:rsidRPr="0040433A">
        <w:rPr>
          <w:lang w:val="en-GB"/>
        </w:rPr>
        <w:t xml:space="preserve">abusive </w:t>
      </w:r>
      <w:r w:rsidR="00BA5D95">
        <w:rPr>
          <w:lang w:val="en-GB"/>
        </w:rPr>
        <w:t xml:space="preserve">acts of non-State entities conducted with </w:t>
      </w:r>
      <w:r w:rsidR="00EE6FDD" w:rsidRPr="0040433A">
        <w:rPr>
          <w:lang w:val="en-GB"/>
        </w:rPr>
        <w:t>the acquiescence of the host State.</w:t>
      </w:r>
      <w:r w:rsidR="00EE6FDD" w:rsidRPr="0040433A">
        <w:rPr>
          <w:rStyle w:val="FootnoteReference"/>
          <w:sz w:val="24"/>
          <w:lang w:val="en-GB"/>
        </w:rPr>
        <w:footnoteReference w:id="142"/>
      </w:r>
      <w:r w:rsidR="00EE6FDD" w:rsidRPr="0040433A">
        <w:rPr>
          <w:lang w:val="en-GB"/>
        </w:rPr>
        <w:t xml:space="preserve"> </w:t>
      </w:r>
      <w:r w:rsidR="008632A7" w:rsidRPr="0040433A">
        <w:rPr>
          <w:lang w:val="en-GB"/>
        </w:rPr>
        <w:t>This obliges the State to ta</w:t>
      </w:r>
      <w:r w:rsidR="00646F45" w:rsidRPr="0040433A">
        <w:rPr>
          <w:lang w:val="en-GB"/>
        </w:rPr>
        <w:t>k</w:t>
      </w:r>
      <w:r w:rsidR="008632A7" w:rsidRPr="0040433A">
        <w:rPr>
          <w:lang w:val="en-GB"/>
        </w:rPr>
        <w:t xml:space="preserve">e positive measures to prevent, investigate and punish human rights violations </w:t>
      </w:r>
      <w:r w:rsidR="004322C9">
        <w:rPr>
          <w:lang w:val="en-GB"/>
        </w:rPr>
        <w:t>that</w:t>
      </w:r>
      <w:r w:rsidR="008632A7" w:rsidRPr="0040433A">
        <w:rPr>
          <w:lang w:val="en-GB"/>
        </w:rPr>
        <w:t xml:space="preserve"> are not attributable to the State. </w:t>
      </w:r>
      <w:r w:rsidR="00157890" w:rsidRPr="0040433A">
        <w:rPr>
          <w:lang w:val="en-GB"/>
        </w:rPr>
        <w:t xml:space="preserve">Yet, </w:t>
      </w:r>
      <w:r w:rsidR="00495582" w:rsidRPr="0040433A">
        <w:rPr>
          <w:lang w:val="en-GB"/>
        </w:rPr>
        <w:t xml:space="preserve">the </w:t>
      </w:r>
      <w:r w:rsidR="00157890" w:rsidRPr="0040433A">
        <w:rPr>
          <w:lang w:val="en-GB"/>
        </w:rPr>
        <w:t>manner in which the IAC</w:t>
      </w:r>
      <w:r w:rsidR="00DA4C23">
        <w:rPr>
          <w:lang w:val="en-GB"/>
        </w:rPr>
        <w:t>t</w:t>
      </w:r>
      <w:r w:rsidR="00157890" w:rsidRPr="0040433A">
        <w:rPr>
          <w:lang w:val="en-GB"/>
        </w:rPr>
        <w:t xml:space="preserve">HR has implemented a </w:t>
      </w:r>
      <w:r w:rsidR="00157890" w:rsidRPr="0040433A">
        <w:rPr>
          <w:i/>
          <w:lang w:val="en-GB"/>
        </w:rPr>
        <w:t>lex specialis</w:t>
      </w:r>
      <w:r w:rsidR="00157890" w:rsidRPr="0040433A">
        <w:rPr>
          <w:lang w:val="en-GB"/>
        </w:rPr>
        <w:t xml:space="preserve"> test in case law</w:t>
      </w:r>
      <w:r w:rsidR="008632A7" w:rsidRPr="0040433A">
        <w:rPr>
          <w:lang w:val="en-GB"/>
        </w:rPr>
        <w:t xml:space="preserve"> where a State </w:t>
      </w:r>
      <w:r w:rsidR="00E30C71">
        <w:rPr>
          <w:lang w:val="en-GB"/>
        </w:rPr>
        <w:t>h</w:t>
      </w:r>
      <w:r w:rsidR="008632A7" w:rsidRPr="0040433A">
        <w:rPr>
          <w:lang w:val="en-GB"/>
        </w:rPr>
        <w:t>as supported a non-State actor in violating human rights</w:t>
      </w:r>
      <w:r w:rsidR="00157890" w:rsidRPr="0040433A">
        <w:rPr>
          <w:lang w:val="en-GB"/>
        </w:rPr>
        <w:t xml:space="preserve"> has proven problematic.</w:t>
      </w:r>
      <w:r w:rsidR="00A4314D" w:rsidRPr="0040433A">
        <w:rPr>
          <w:lang w:val="en-GB"/>
        </w:rPr>
        <w:t xml:space="preserve"> </w:t>
      </w:r>
      <w:r w:rsidR="00157890" w:rsidRPr="0040433A">
        <w:rPr>
          <w:lang w:val="en-GB"/>
        </w:rPr>
        <w:t>In</w:t>
      </w:r>
      <w:r w:rsidR="00EF1D7B" w:rsidRPr="0040433A">
        <w:rPr>
          <w:lang w:val="en-GB"/>
        </w:rPr>
        <w:t xml:space="preserve"> </w:t>
      </w:r>
      <w:r w:rsidR="00EF1D7B" w:rsidRPr="0040433A">
        <w:rPr>
          <w:i/>
          <w:lang w:val="en-GB"/>
        </w:rPr>
        <w:t>Riofrío Massacre</w:t>
      </w:r>
      <w:r w:rsidR="00EF1D7B" w:rsidRPr="0040433A">
        <w:rPr>
          <w:rStyle w:val="FootnoteReference"/>
          <w:sz w:val="24"/>
          <w:lang w:val="en-GB"/>
        </w:rPr>
        <w:footnoteReference w:id="143"/>
      </w:r>
      <w:r w:rsidR="00A4314D" w:rsidRPr="0040433A">
        <w:rPr>
          <w:lang w:val="en-GB"/>
        </w:rPr>
        <w:t xml:space="preserve"> and </w:t>
      </w:r>
      <w:r w:rsidR="00A4314D" w:rsidRPr="0040433A">
        <w:rPr>
          <w:i/>
          <w:lang w:val="en-GB"/>
        </w:rPr>
        <w:t>Mapiripán Massacre</w:t>
      </w:r>
      <w:r w:rsidR="00EF1D7B" w:rsidRPr="0040433A">
        <w:rPr>
          <w:lang w:val="en-GB"/>
        </w:rPr>
        <w:t>,</w:t>
      </w:r>
      <w:r w:rsidR="00EF1D7B" w:rsidRPr="0040433A">
        <w:rPr>
          <w:rStyle w:val="FootnoteReference"/>
          <w:sz w:val="24"/>
          <w:lang w:val="en-GB"/>
        </w:rPr>
        <w:footnoteReference w:id="144"/>
      </w:r>
      <w:r w:rsidR="00A4314D" w:rsidRPr="0040433A">
        <w:rPr>
          <w:lang w:val="en-GB"/>
        </w:rPr>
        <w:t xml:space="preserve"> </w:t>
      </w:r>
      <w:r w:rsidR="008876BB" w:rsidRPr="0040433A">
        <w:rPr>
          <w:lang w:val="en-GB"/>
        </w:rPr>
        <w:t xml:space="preserve">the </w:t>
      </w:r>
      <w:r w:rsidR="00DA269D">
        <w:rPr>
          <w:lang w:val="en-GB"/>
        </w:rPr>
        <w:t>Inter-American Court and Commission both</w:t>
      </w:r>
      <w:r w:rsidR="008876BB" w:rsidRPr="0040433A">
        <w:rPr>
          <w:lang w:val="en-GB"/>
        </w:rPr>
        <w:t xml:space="preserve"> expressly asserted</w:t>
      </w:r>
      <w:r w:rsidR="00A4314D" w:rsidRPr="0040433A">
        <w:rPr>
          <w:lang w:val="en-GB"/>
        </w:rPr>
        <w:t xml:space="preserve"> that </w:t>
      </w:r>
      <w:r w:rsidR="00A4314D" w:rsidRPr="0040433A">
        <w:rPr>
          <w:i/>
          <w:lang w:val="en-GB"/>
        </w:rPr>
        <w:t xml:space="preserve">support </w:t>
      </w:r>
      <w:r w:rsidR="00A4314D" w:rsidRPr="0040433A">
        <w:rPr>
          <w:lang w:val="en-GB"/>
        </w:rPr>
        <w:t xml:space="preserve">or </w:t>
      </w:r>
      <w:r w:rsidR="00A4314D" w:rsidRPr="0040433A">
        <w:rPr>
          <w:i/>
          <w:lang w:val="en-GB"/>
        </w:rPr>
        <w:t>toleration</w:t>
      </w:r>
      <w:r w:rsidR="00A4314D" w:rsidRPr="0040433A">
        <w:rPr>
          <w:lang w:val="en-GB"/>
        </w:rPr>
        <w:t xml:space="preserve"> by State officials of human rights abuses by private actors is sufficient to</w:t>
      </w:r>
      <w:r w:rsidR="00A4314D" w:rsidRPr="0040433A">
        <w:rPr>
          <w:i/>
          <w:lang w:val="en-GB"/>
        </w:rPr>
        <w:t xml:space="preserve"> attribute</w:t>
      </w:r>
      <w:r w:rsidR="00A4314D" w:rsidRPr="0040433A">
        <w:rPr>
          <w:lang w:val="en-GB"/>
        </w:rPr>
        <w:t xml:space="preserve"> those acts to the State.</w:t>
      </w:r>
      <w:r w:rsidR="00157890" w:rsidRPr="0040433A">
        <w:rPr>
          <w:lang w:val="en-GB"/>
        </w:rPr>
        <w:t xml:space="preserve"> Yet, attribution is arguably superfluous</w:t>
      </w:r>
      <w:r w:rsidR="00EF1D7B" w:rsidRPr="0040433A">
        <w:rPr>
          <w:lang w:val="en-GB"/>
        </w:rPr>
        <w:t>, and characteristic of agency rather than complicity</w:t>
      </w:r>
      <w:r w:rsidR="00473862" w:rsidRPr="0040433A">
        <w:rPr>
          <w:lang w:val="en-GB"/>
        </w:rPr>
        <w:t xml:space="preserve">. Complicity is a form of secondary responsibility, </w:t>
      </w:r>
      <w:r w:rsidR="00473862" w:rsidRPr="0040433A">
        <w:rPr>
          <w:i/>
          <w:lang w:val="en-GB"/>
        </w:rPr>
        <w:t>derivative</w:t>
      </w:r>
      <w:r w:rsidR="00473862" w:rsidRPr="0040433A">
        <w:rPr>
          <w:lang w:val="en-GB"/>
        </w:rPr>
        <w:t xml:space="preserve"> from a principal wrong; it does not entail imputing the principal wrong to the secondary actor.</w:t>
      </w:r>
      <w:r w:rsidR="00A4314D" w:rsidRPr="0040433A">
        <w:rPr>
          <w:lang w:val="en-GB"/>
        </w:rPr>
        <w:t xml:space="preserve"> </w:t>
      </w:r>
    </w:p>
    <w:p w14:paraId="05B742D7" w14:textId="34D1B4C0" w:rsidR="00BA5581" w:rsidRPr="0040433A" w:rsidRDefault="00473862" w:rsidP="0040433A">
      <w:pPr>
        <w:spacing w:before="240" w:after="240" w:line="276" w:lineRule="auto"/>
        <w:ind w:left="720"/>
        <w:jc w:val="both"/>
        <w:rPr>
          <w:lang w:val="en-GB"/>
        </w:rPr>
      </w:pPr>
      <w:r w:rsidRPr="0040433A">
        <w:rPr>
          <w:lang w:val="en-GB"/>
        </w:rPr>
        <w:t>[R]</w:t>
      </w:r>
      <w:r w:rsidR="00A4314D" w:rsidRPr="0040433A">
        <w:rPr>
          <w:lang w:val="en-GB"/>
        </w:rPr>
        <w:t>esponsibility under the Convention may be engaged by the State’s failure to ensure the full and free exercise of rights where those rights are violated by private parties. There is no need to find that the acts of the private party are attributable to the State – the relevant State’s failure</w:t>
      </w:r>
      <w:r w:rsidR="00402B21" w:rsidRPr="0040433A">
        <w:rPr>
          <w:lang w:val="en-GB"/>
        </w:rPr>
        <w:t xml:space="preserve"> to act is the attributable act</w:t>
      </w:r>
      <w:r w:rsidR="00A4314D" w:rsidRPr="0040433A">
        <w:rPr>
          <w:lang w:val="en-GB"/>
        </w:rPr>
        <w:t>.</w:t>
      </w:r>
      <w:r w:rsidR="00157890" w:rsidRPr="0040433A">
        <w:rPr>
          <w:rStyle w:val="FootnoteReference"/>
          <w:sz w:val="24"/>
          <w:lang w:val="en-GB"/>
        </w:rPr>
        <w:footnoteReference w:id="145"/>
      </w:r>
      <w:r w:rsidR="00157890" w:rsidRPr="0040433A">
        <w:rPr>
          <w:lang w:val="en-GB"/>
        </w:rPr>
        <w:t xml:space="preserve"> </w:t>
      </w:r>
    </w:p>
    <w:p w14:paraId="10206EC3" w14:textId="628BEB59" w:rsidR="00A4314D" w:rsidRPr="0040433A" w:rsidRDefault="00157890" w:rsidP="0040433A">
      <w:pPr>
        <w:spacing w:line="276" w:lineRule="auto"/>
        <w:jc w:val="both"/>
        <w:rPr>
          <w:lang w:val="en-GB"/>
        </w:rPr>
      </w:pPr>
      <w:r w:rsidRPr="0040433A">
        <w:rPr>
          <w:lang w:val="en-GB"/>
        </w:rPr>
        <w:t>A better solution would be to recognise the existing due diligence obligations incumbent upon States to secure the relevant rights for all within their jurisdiction, rather than to loosen the test for attribution.</w:t>
      </w:r>
      <w:r w:rsidR="00EF1D7B" w:rsidRPr="0040433A">
        <w:rPr>
          <w:rStyle w:val="FootnoteReference"/>
          <w:sz w:val="24"/>
          <w:lang w:val="en-GB"/>
        </w:rPr>
        <w:footnoteReference w:id="146"/>
      </w:r>
    </w:p>
    <w:p w14:paraId="019836CC" w14:textId="75CCABF0" w:rsidR="00984D73" w:rsidRDefault="00B7548D" w:rsidP="0040433A">
      <w:pPr>
        <w:spacing w:line="276" w:lineRule="auto"/>
        <w:ind w:firstLine="720"/>
        <w:jc w:val="both"/>
        <w:rPr>
          <w:lang w:val="en-GB"/>
        </w:rPr>
      </w:pPr>
      <w:r w:rsidRPr="0040433A">
        <w:rPr>
          <w:lang w:val="en-GB"/>
        </w:rPr>
        <w:t xml:space="preserve">It is beyond the scope of this article to provide a </w:t>
      </w:r>
      <w:r w:rsidR="00CC1AFB" w:rsidRPr="0040433A">
        <w:rPr>
          <w:lang w:val="en-GB"/>
        </w:rPr>
        <w:t xml:space="preserve">detailed </w:t>
      </w:r>
      <w:r w:rsidRPr="0040433A">
        <w:rPr>
          <w:lang w:val="en-GB"/>
        </w:rPr>
        <w:t xml:space="preserve">enumeration of the approaches to </w:t>
      </w:r>
      <w:r w:rsidRPr="00DA269D">
        <w:rPr>
          <w:lang w:val="en-GB"/>
        </w:rPr>
        <w:t>mens rea</w:t>
      </w:r>
      <w:r w:rsidRPr="0040433A">
        <w:rPr>
          <w:lang w:val="en-GB"/>
        </w:rPr>
        <w:t xml:space="preserve"> in specific and general complicity provisions</w:t>
      </w:r>
      <w:r w:rsidR="00D14883" w:rsidRPr="0040433A">
        <w:rPr>
          <w:lang w:val="en-GB"/>
        </w:rPr>
        <w:t>.</w:t>
      </w:r>
      <w:r w:rsidRPr="0040433A">
        <w:rPr>
          <w:rStyle w:val="FootnoteReference"/>
          <w:sz w:val="24"/>
          <w:lang w:val="en-GB"/>
        </w:rPr>
        <w:footnoteReference w:id="147"/>
      </w:r>
      <w:r w:rsidR="00EE3B2E" w:rsidRPr="0040433A">
        <w:rPr>
          <w:lang w:val="en-GB"/>
        </w:rPr>
        <w:t xml:space="preserve"> </w:t>
      </w:r>
      <w:r w:rsidR="00B551F1" w:rsidRPr="0040433A">
        <w:rPr>
          <w:lang w:val="en-GB"/>
        </w:rPr>
        <w:t>However, i</w:t>
      </w:r>
      <w:r w:rsidR="00936C4E" w:rsidRPr="0040433A">
        <w:rPr>
          <w:lang w:val="en-GB"/>
        </w:rPr>
        <w:t>t is suggested that setting too low a standard might have overly detrimental effects on weak governance States which are incapable of giving effect to their international obligations,</w:t>
      </w:r>
      <w:r w:rsidR="002214FB" w:rsidRPr="0040433A">
        <w:rPr>
          <w:lang w:val="en-GB"/>
        </w:rPr>
        <w:t xml:space="preserve"> and may deter </w:t>
      </w:r>
      <w:r w:rsidR="00DA4C23">
        <w:rPr>
          <w:lang w:val="en-GB"/>
        </w:rPr>
        <w:t xml:space="preserve">FDI </w:t>
      </w:r>
      <w:r w:rsidR="002214FB" w:rsidRPr="0040433A">
        <w:rPr>
          <w:lang w:val="en-GB"/>
        </w:rPr>
        <w:t>and development</w:t>
      </w:r>
      <w:r w:rsidR="00E55FB0" w:rsidRPr="0040433A">
        <w:rPr>
          <w:lang w:val="en-GB"/>
        </w:rPr>
        <w:t xml:space="preserve"> – factors which are of significant concern to many host States in the </w:t>
      </w:r>
      <w:r w:rsidR="00D93740" w:rsidRPr="0040433A">
        <w:rPr>
          <w:lang w:val="en-GB"/>
        </w:rPr>
        <w:t>G</w:t>
      </w:r>
      <w:r w:rsidR="00E55FB0" w:rsidRPr="0040433A">
        <w:rPr>
          <w:lang w:val="en-GB"/>
        </w:rPr>
        <w:t xml:space="preserve">lobal </w:t>
      </w:r>
      <w:r w:rsidR="00D93740" w:rsidRPr="0040433A">
        <w:rPr>
          <w:lang w:val="en-GB"/>
        </w:rPr>
        <w:t>S</w:t>
      </w:r>
      <w:r w:rsidR="00E55FB0" w:rsidRPr="0040433A">
        <w:rPr>
          <w:lang w:val="en-GB"/>
        </w:rPr>
        <w:t>outh</w:t>
      </w:r>
      <w:r w:rsidR="002214FB" w:rsidRPr="0040433A">
        <w:rPr>
          <w:lang w:val="en-GB"/>
        </w:rPr>
        <w:t xml:space="preserve">. </w:t>
      </w:r>
      <w:r w:rsidR="00DD41DF" w:rsidRPr="0040433A">
        <w:rPr>
          <w:lang w:val="en-GB"/>
        </w:rPr>
        <w:t xml:space="preserve">While Gibney criticises the ICJ’s interpretation of complicity in </w:t>
      </w:r>
      <w:r w:rsidR="00DD41DF" w:rsidRPr="0040433A">
        <w:rPr>
          <w:i/>
          <w:lang w:val="en-GB"/>
        </w:rPr>
        <w:t>Bosnian Genocide</w:t>
      </w:r>
      <w:r w:rsidR="00DD41DF" w:rsidRPr="0040433A">
        <w:rPr>
          <w:rStyle w:val="FootnoteReference"/>
          <w:sz w:val="24"/>
          <w:lang w:val="en-GB"/>
        </w:rPr>
        <w:footnoteReference w:id="148"/>
      </w:r>
      <w:r w:rsidR="00DD41DF" w:rsidRPr="0040433A">
        <w:rPr>
          <w:lang w:val="en-GB"/>
        </w:rPr>
        <w:t xml:space="preserve"> as </w:t>
      </w:r>
      <w:r w:rsidR="0091776C" w:rsidRPr="0040433A">
        <w:rPr>
          <w:lang w:val="en-GB"/>
        </w:rPr>
        <w:t>setting</w:t>
      </w:r>
      <w:r w:rsidR="00DD41DF" w:rsidRPr="0040433A">
        <w:rPr>
          <w:lang w:val="en-GB"/>
        </w:rPr>
        <w:t xml:space="preserve"> ‘(nearly) impossible standards’,</w:t>
      </w:r>
      <w:r w:rsidR="00DD41DF" w:rsidRPr="0040433A">
        <w:rPr>
          <w:rStyle w:val="FootnoteReference"/>
          <w:sz w:val="24"/>
          <w:lang w:val="en-GB"/>
        </w:rPr>
        <w:footnoteReference w:id="149"/>
      </w:r>
      <w:r w:rsidR="00DD41DF" w:rsidRPr="0040433A">
        <w:rPr>
          <w:lang w:val="en-GB"/>
        </w:rPr>
        <w:t xml:space="preserve"> it is arguably unnecessary to incorporate </w:t>
      </w:r>
      <w:r w:rsidR="00EF1D7B" w:rsidRPr="0040433A">
        <w:rPr>
          <w:lang w:val="en-GB"/>
        </w:rPr>
        <w:t>the lower</w:t>
      </w:r>
      <w:r w:rsidR="00DD41DF" w:rsidRPr="0040433A">
        <w:rPr>
          <w:lang w:val="en-GB"/>
        </w:rPr>
        <w:t xml:space="preserve"> due diligence standard</w:t>
      </w:r>
      <w:r w:rsidR="00EF1D7B" w:rsidRPr="0040433A">
        <w:rPr>
          <w:lang w:val="en-GB"/>
        </w:rPr>
        <w:t xml:space="preserve"> he endorses</w:t>
      </w:r>
      <w:r w:rsidR="00DD41DF" w:rsidRPr="0040433A">
        <w:rPr>
          <w:lang w:val="en-GB"/>
        </w:rPr>
        <w:t xml:space="preserve"> </w:t>
      </w:r>
      <w:r w:rsidR="0091776C" w:rsidRPr="0040433A">
        <w:rPr>
          <w:lang w:val="en-GB"/>
        </w:rPr>
        <w:t>into human rights complicity</w:t>
      </w:r>
      <w:r w:rsidR="00DD41DF" w:rsidRPr="0040433A">
        <w:rPr>
          <w:lang w:val="en-GB"/>
        </w:rPr>
        <w:t>, given that there are myriad due diligence obligations relating to</w:t>
      </w:r>
      <w:r w:rsidR="000B4B4C" w:rsidRPr="0040433A">
        <w:rPr>
          <w:lang w:val="en-GB"/>
        </w:rPr>
        <w:t xml:space="preserve"> the activities of</w:t>
      </w:r>
      <w:r w:rsidR="00DD41DF" w:rsidRPr="0040433A">
        <w:rPr>
          <w:lang w:val="en-GB"/>
        </w:rPr>
        <w:t xml:space="preserve"> private actors already incumbent upon States.</w:t>
      </w:r>
      <w:r w:rsidR="00F42404" w:rsidRPr="0040433A">
        <w:rPr>
          <w:lang w:val="en-GB"/>
        </w:rPr>
        <w:t xml:space="preserve"> </w:t>
      </w:r>
      <w:r w:rsidR="00F1129F" w:rsidRPr="0040433A">
        <w:rPr>
          <w:lang w:val="en-GB"/>
        </w:rPr>
        <w:t>The nature of these duties will be explored below.</w:t>
      </w:r>
      <w:r w:rsidR="00C93F05" w:rsidRPr="0040433A">
        <w:rPr>
          <w:lang w:val="en-GB"/>
        </w:rPr>
        <w:t xml:space="preserve"> What is clear </w:t>
      </w:r>
      <w:r w:rsidR="00AB3BF8" w:rsidRPr="0040433A">
        <w:rPr>
          <w:lang w:val="en-GB"/>
        </w:rPr>
        <w:t xml:space="preserve">is </w:t>
      </w:r>
      <w:r w:rsidR="00C93F05" w:rsidRPr="0040433A">
        <w:rPr>
          <w:lang w:val="en-GB"/>
        </w:rPr>
        <w:t xml:space="preserve">that in addition to </w:t>
      </w:r>
      <w:r w:rsidR="00C93F05" w:rsidRPr="0040433A">
        <w:rPr>
          <w:i/>
          <w:lang w:val="en-GB"/>
        </w:rPr>
        <w:t>attributional</w:t>
      </w:r>
      <w:r w:rsidR="00C93F05" w:rsidRPr="0040433A">
        <w:rPr>
          <w:lang w:val="en-GB"/>
        </w:rPr>
        <w:t xml:space="preserve"> rules enshrined in ASRIWA, some form of primary complicity rule may have a place in </w:t>
      </w:r>
      <w:r w:rsidR="00DA269D">
        <w:rPr>
          <w:lang w:val="en-GB"/>
        </w:rPr>
        <w:t>the rule structure of the proposed</w:t>
      </w:r>
      <w:r w:rsidR="00C93F05" w:rsidRPr="0040433A">
        <w:rPr>
          <w:lang w:val="en-GB"/>
        </w:rPr>
        <w:t xml:space="preserve"> business and human rights treaty.</w:t>
      </w:r>
    </w:p>
    <w:p w14:paraId="4A0A4DB7" w14:textId="77777777" w:rsidR="0040433A" w:rsidRPr="0040433A" w:rsidRDefault="0040433A" w:rsidP="0040433A">
      <w:pPr>
        <w:spacing w:line="276" w:lineRule="auto"/>
        <w:ind w:firstLine="720"/>
        <w:jc w:val="both"/>
        <w:rPr>
          <w:lang w:val="en-GB"/>
        </w:rPr>
      </w:pPr>
    </w:p>
    <w:p w14:paraId="74198843" w14:textId="25D5E90B" w:rsidR="002F420D" w:rsidRPr="0040433A" w:rsidRDefault="002F420D" w:rsidP="0040433A">
      <w:pPr>
        <w:pStyle w:val="Heading2"/>
        <w:numPr>
          <w:ilvl w:val="0"/>
          <w:numId w:val="6"/>
        </w:numPr>
        <w:spacing w:line="276" w:lineRule="auto"/>
        <w:jc w:val="center"/>
        <w:rPr>
          <w:szCs w:val="24"/>
          <w:lang w:val="en-GB"/>
        </w:rPr>
      </w:pPr>
      <w:r w:rsidRPr="0040433A">
        <w:rPr>
          <w:szCs w:val="24"/>
          <w:lang w:val="en-GB"/>
        </w:rPr>
        <w:t xml:space="preserve">Due </w:t>
      </w:r>
      <w:r w:rsidR="00F2097B" w:rsidRPr="0040433A">
        <w:rPr>
          <w:szCs w:val="24"/>
          <w:lang w:val="en-GB"/>
        </w:rPr>
        <w:t>D</w:t>
      </w:r>
      <w:r w:rsidRPr="0040433A">
        <w:rPr>
          <w:szCs w:val="24"/>
          <w:lang w:val="en-GB"/>
        </w:rPr>
        <w:t xml:space="preserve">iligence State </w:t>
      </w:r>
      <w:r w:rsidR="00F2097B" w:rsidRPr="0040433A">
        <w:rPr>
          <w:szCs w:val="24"/>
          <w:lang w:val="en-GB"/>
        </w:rPr>
        <w:t>R</w:t>
      </w:r>
      <w:r w:rsidRPr="0040433A">
        <w:rPr>
          <w:szCs w:val="24"/>
          <w:lang w:val="en-GB"/>
        </w:rPr>
        <w:t>esponsibility</w:t>
      </w:r>
    </w:p>
    <w:p w14:paraId="5A808811" w14:textId="77777777" w:rsidR="00E34A9A" w:rsidRPr="0040433A" w:rsidRDefault="00BF3838" w:rsidP="0040433A">
      <w:pPr>
        <w:spacing w:line="276" w:lineRule="auto"/>
        <w:jc w:val="both"/>
        <w:rPr>
          <w:lang w:val="en-GB"/>
        </w:rPr>
      </w:pPr>
      <w:r w:rsidRPr="0040433A">
        <w:rPr>
          <w:lang w:val="en-GB"/>
        </w:rPr>
        <w:tab/>
      </w:r>
    </w:p>
    <w:p w14:paraId="64E79B21" w14:textId="4A46D315" w:rsidR="001E1AB3" w:rsidRPr="0040433A" w:rsidRDefault="009654E0" w:rsidP="0040433A">
      <w:pPr>
        <w:spacing w:line="276" w:lineRule="auto"/>
        <w:jc w:val="both"/>
        <w:rPr>
          <w:rFonts w:eastAsia="Times New Roman" w:cs="Times New Roman"/>
          <w:lang w:val="en-GB"/>
        </w:rPr>
      </w:pPr>
      <w:r w:rsidRPr="0040433A">
        <w:rPr>
          <w:lang w:val="en-GB"/>
        </w:rPr>
        <w:t>Separate to the attribution of a non-State actor’</w:t>
      </w:r>
      <w:r w:rsidR="001E1AB3" w:rsidRPr="0040433A">
        <w:rPr>
          <w:lang w:val="en-GB"/>
        </w:rPr>
        <w:t>s conduct to a State,</w:t>
      </w:r>
      <w:r w:rsidRPr="0040433A">
        <w:rPr>
          <w:lang w:val="en-GB"/>
        </w:rPr>
        <w:t xml:space="preserve"> and to the </w:t>
      </w:r>
      <w:r w:rsidR="001D40B9" w:rsidRPr="0040433A">
        <w:rPr>
          <w:lang w:val="en-GB"/>
        </w:rPr>
        <w:t xml:space="preserve">substantive </w:t>
      </w:r>
      <w:r w:rsidRPr="0040433A">
        <w:rPr>
          <w:lang w:val="en-GB"/>
        </w:rPr>
        <w:t>complicity rules detailed above</w:t>
      </w:r>
      <w:r w:rsidR="001E1AB3" w:rsidRPr="0040433A">
        <w:rPr>
          <w:lang w:val="en-GB"/>
        </w:rPr>
        <w:t>,</w:t>
      </w:r>
      <w:r w:rsidRPr="0040433A">
        <w:rPr>
          <w:lang w:val="en-GB"/>
        </w:rPr>
        <w:t xml:space="preserve"> are the due diligence obligations </w:t>
      </w:r>
      <w:r w:rsidR="005C2CF0">
        <w:rPr>
          <w:lang w:val="en-GB"/>
        </w:rPr>
        <w:t>mandating</w:t>
      </w:r>
      <w:r w:rsidRPr="0040433A">
        <w:rPr>
          <w:lang w:val="en-GB"/>
        </w:rPr>
        <w:t xml:space="preserve"> States to protect their populations from the adverse </w:t>
      </w:r>
      <w:r w:rsidR="00C64343">
        <w:rPr>
          <w:lang w:val="en-GB"/>
        </w:rPr>
        <w:t>effects produced by</w:t>
      </w:r>
      <w:r w:rsidRPr="0040433A">
        <w:rPr>
          <w:lang w:val="en-GB"/>
        </w:rPr>
        <w:t xml:space="preserve"> private actors. </w:t>
      </w:r>
      <w:r w:rsidR="001E1AB3" w:rsidRPr="0040433A">
        <w:rPr>
          <w:lang w:val="en-GB"/>
        </w:rPr>
        <w:t xml:space="preserve">For instance, </w:t>
      </w:r>
      <w:r w:rsidR="00495374" w:rsidRPr="0040433A">
        <w:rPr>
          <w:rFonts w:eastAsia="Times New Roman" w:cs="Times New Roman"/>
          <w:lang w:val="en-GB"/>
        </w:rPr>
        <w:t>a</w:t>
      </w:r>
      <w:r w:rsidR="001E1AB3" w:rsidRPr="0040433A">
        <w:rPr>
          <w:rFonts w:eastAsia="Times New Roman" w:cs="Times New Roman"/>
          <w:lang w:val="en-GB"/>
        </w:rPr>
        <w:t xml:space="preserve">rticle 2(1) of the International Covenant on Civil and Political Rights (ICCPR) </w:t>
      </w:r>
      <w:r w:rsidR="00CB0317" w:rsidRPr="0040433A">
        <w:rPr>
          <w:rFonts w:eastAsia="Times New Roman" w:cs="Times New Roman"/>
          <w:lang w:val="en-GB"/>
        </w:rPr>
        <w:t>requires</w:t>
      </w:r>
      <w:r w:rsidR="001E1AB3" w:rsidRPr="0040433A">
        <w:rPr>
          <w:rFonts w:eastAsia="Times New Roman" w:cs="Times New Roman"/>
          <w:lang w:val="en-GB"/>
        </w:rPr>
        <w:t xml:space="preserve"> State parties to ‘respect and ensure to all individuals within [their] territory and subject to [their] jurisdiction the rights recognised in the present Covenant without distinction of any kind’.</w:t>
      </w:r>
      <w:r w:rsidR="001E1AB3" w:rsidRPr="0040433A">
        <w:rPr>
          <w:rFonts w:eastAsia="Times New Roman" w:cs="Times New Roman"/>
          <w:vertAlign w:val="superscript"/>
          <w:lang w:val="en-GB"/>
        </w:rPr>
        <w:footnoteReference w:id="150"/>
      </w:r>
      <w:r w:rsidR="001E1AB3" w:rsidRPr="0040433A">
        <w:rPr>
          <w:rFonts w:eastAsia="Times New Roman" w:cs="Times New Roman"/>
          <w:lang w:val="en-GB"/>
        </w:rPr>
        <w:t xml:space="preserve"> The Human Rights Committee (HRC) has expressly stated that States will only discharge their positive obligations if due diligence</w:t>
      </w:r>
      <w:r w:rsidR="001E1AB3" w:rsidRPr="0040433A">
        <w:rPr>
          <w:rFonts w:eastAsia="Times New Roman" w:cs="Times New Roman"/>
          <w:vertAlign w:val="superscript"/>
          <w:lang w:val="en-GB"/>
        </w:rPr>
        <w:footnoteReference w:id="151"/>
      </w:r>
      <w:r w:rsidR="001E1AB3" w:rsidRPr="0040433A">
        <w:rPr>
          <w:rFonts w:eastAsia="Times New Roman" w:cs="Times New Roman"/>
          <w:lang w:val="en-GB"/>
        </w:rPr>
        <w:t xml:space="preserve"> is exercised in the protection of individuals, ‘not just against violations of the Covenant rights by its agents, but also against acts committed by private persons or entities’.</w:t>
      </w:r>
      <w:r w:rsidR="001E1AB3" w:rsidRPr="0040433A">
        <w:rPr>
          <w:rFonts w:eastAsia="Times New Roman" w:cs="Times New Roman"/>
          <w:vertAlign w:val="superscript"/>
          <w:lang w:val="en-GB"/>
        </w:rPr>
        <w:footnoteReference w:id="152"/>
      </w:r>
      <w:r w:rsidR="001E1AB3" w:rsidRPr="0040433A">
        <w:rPr>
          <w:rFonts w:eastAsia="Times New Roman" w:cs="Times New Roman"/>
          <w:lang w:val="en-GB"/>
        </w:rPr>
        <w:t xml:space="preserve"> </w:t>
      </w:r>
    </w:p>
    <w:p w14:paraId="10BCDC77" w14:textId="6D5E4DA0" w:rsidR="00EB589F" w:rsidRPr="0040433A" w:rsidRDefault="001E1AB3" w:rsidP="0040433A">
      <w:pPr>
        <w:spacing w:line="276" w:lineRule="auto"/>
        <w:ind w:firstLine="720"/>
        <w:jc w:val="both"/>
        <w:rPr>
          <w:rFonts w:eastAsia="Times New Roman" w:cs="Times New Roman"/>
          <w:lang w:val="en-GB"/>
        </w:rPr>
      </w:pPr>
      <w:r w:rsidRPr="0040433A">
        <w:rPr>
          <w:rFonts w:eastAsia="Times New Roman" w:cs="Times New Roman"/>
          <w:lang w:val="en-GB"/>
        </w:rPr>
        <w:t>Similarly, with regard to individual com</w:t>
      </w:r>
      <w:r w:rsidR="00DA4C23">
        <w:rPr>
          <w:rFonts w:eastAsia="Times New Roman" w:cs="Times New Roman"/>
          <w:lang w:val="en-GB"/>
        </w:rPr>
        <w:t>plaints</w:t>
      </w:r>
      <w:r w:rsidRPr="0040433A">
        <w:rPr>
          <w:rFonts w:eastAsia="Times New Roman" w:cs="Times New Roman"/>
          <w:lang w:val="en-GB"/>
        </w:rPr>
        <w:t xml:space="preserve"> under the Optional Protocol to the ICCPR, the HRC has attributed breaches to State parties </w:t>
      </w:r>
      <w:r w:rsidR="00B9383B">
        <w:rPr>
          <w:rFonts w:eastAsia="Times New Roman" w:cs="Times New Roman"/>
          <w:lang w:val="en-GB"/>
        </w:rPr>
        <w:t>that</w:t>
      </w:r>
      <w:r w:rsidRPr="0040433A">
        <w:rPr>
          <w:rFonts w:eastAsia="Times New Roman" w:cs="Times New Roman"/>
          <w:lang w:val="en-GB"/>
        </w:rPr>
        <w:t xml:space="preserve"> have failed to protect their population from private actors.</w:t>
      </w:r>
      <w:r w:rsidRPr="0040433A">
        <w:rPr>
          <w:rFonts w:eastAsia="Times New Roman" w:cs="Times New Roman"/>
          <w:vertAlign w:val="superscript"/>
          <w:lang w:val="en-GB"/>
        </w:rPr>
        <w:footnoteReference w:id="153"/>
      </w:r>
      <w:r w:rsidRPr="0040433A">
        <w:rPr>
          <w:rFonts w:eastAsia="Times New Roman" w:cs="Times New Roman"/>
          <w:lang w:val="en-GB"/>
        </w:rPr>
        <w:t xml:space="preserve"> </w:t>
      </w:r>
      <w:r w:rsidR="008B1C41" w:rsidRPr="0040433A">
        <w:rPr>
          <w:rFonts w:eastAsia="Times New Roman" w:cs="Times New Roman"/>
          <w:lang w:val="en-GB"/>
        </w:rPr>
        <w:t>In</w:t>
      </w:r>
      <w:r w:rsidRPr="0040433A">
        <w:rPr>
          <w:rFonts w:eastAsia="Times New Roman" w:cs="Times New Roman"/>
          <w:lang w:val="en-GB"/>
        </w:rPr>
        <w:t xml:space="preserve"> </w:t>
      </w:r>
      <w:r w:rsidRPr="0040433A">
        <w:rPr>
          <w:rFonts w:eastAsia="Times New Roman" w:cs="Times New Roman"/>
          <w:i/>
          <w:lang w:val="en-GB"/>
        </w:rPr>
        <w:t>Lubicon Lake Band v Canada</w:t>
      </w:r>
      <w:r w:rsidRPr="0040433A">
        <w:rPr>
          <w:rFonts w:eastAsia="Times New Roman" w:cs="Times New Roman"/>
          <w:lang w:val="en-GB"/>
        </w:rPr>
        <w:t>,</w:t>
      </w:r>
      <w:r w:rsidR="00D75B1B" w:rsidRPr="0040433A">
        <w:rPr>
          <w:rStyle w:val="FootnoteReference"/>
          <w:rFonts w:eastAsia="Times New Roman" w:cs="Times New Roman"/>
          <w:sz w:val="24"/>
          <w:lang w:val="en-GB"/>
        </w:rPr>
        <w:footnoteReference w:id="154"/>
      </w:r>
      <w:r w:rsidRPr="0040433A">
        <w:rPr>
          <w:rFonts w:eastAsia="Times New Roman" w:cs="Times New Roman"/>
          <w:lang w:val="en-GB"/>
        </w:rPr>
        <w:t xml:space="preserve"> the complainants alleged that their land had been expropriated for commercial development including oil and gas extraction. The HRC found a breach of </w:t>
      </w:r>
      <w:r w:rsidR="00495374" w:rsidRPr="0040433A">
        <w:rPr>
          <w:rFonts w:eastAsia="Times New Roman" w:cs="Times New Roman"/>
          <w:lang w:val="en-GB"/>
        </w:rPr>
        <w:t>a</w:t>
      </w:r>
      <w:r w:rsidRPr="0040433A">
        <w:rPr>
          <w:rFonts w:eastAsia="Times New Roman" w:cs="Times New Roman"/>
          <w:lang w:val="en-GB"/>
        </w:rPr>
        <w:t xml:space="preserve">rticle 27 ICCPR by the State of Canada. </w:t>
      </w:r>
      <w:r w:rsidRPr="0040433A">
        <w:rPr>
          <w:rFonts w:eastAsia="Times New Roman" w:cs="Times New Roman"/>
          <w:i/>
          <w:lang w:val="en-GB"/>
        </w:rPr>
        <w:t>SERAC v Nigeria</w:t>
      </w:r>
      <w:r w:rsidRPr="0040433A">
        <w:rPr>
          <w:rFonts w:eastAsia="Times New Roman" w:cs="Times New Roman"/>
          <w:vertAlign w:val="superscript"/>
          <w:lang w:val="en-GB"/>
        </w:rPr>
        <w:footnoteReference w:id="155"/>
      </w:r>
      <w:r w:rsidRPr="0040433A">
        <w:rPr>
          <w:rFonts w:eastAsia="Times New Roman" w:cs="Times New Roman"/>
          <w:i/>
          <w:lang w:val="en-GB"/>
        </w:rPr>
        <w:t xml:space="preserve"> </w:t>
      </w:r>
      <w:r w:rsidR="008B1C41" w:rsidRPr="0040433A">
        <w:rPr>
          <w:rFonts w:eastAsia="Times New Roman" w:cs="Times New Roman"/>
          <w:lang w:val="en-GB"/>
        </w:rPr>
        <w:t xml:space="preserve">concerned </w:t>
      </w:r>
      <w:r w:rsidRPr="0040433A">
        <w:rPr>
          <w:rFonts w:eastAsia="Times New Roman" w:cs="Times New Roman"/>
          <w:lang w:val="en-GB"/>
        </w:rPr>
        <w:t>a communication to the African Commission</w:t>
      </w:r>
      <w:r w:rsidR="00C72B84" w:rsidRPr="0040433A">
        <w:rPr>
          <w:rFonts w:eastAsia="Times New Roman" w:cs="Times New Roman"/>
          <w:lang w:val="en-GB"/>
        </w:rPr>
        <w:t xml:space="preserve"> for Human and Peoples’ Rights regarding</w:t>
      </w:r>
      <w:r w:rsidRPr="0040433A">
        <w:rPr>
          <w:rFonts w:eastAsia="Times New Roman" w:cs="Times New Roman"/>
          <w:lang w:val="en-GB"/>
        </w:rPr>
        <w:t xml:space="preserve"> environmental degradation resulting from the conduct of a State oil company, which serves as majority shareholder in a joint venture with Shell Petroleum, among others. While recognising the ‘widespread violations perpetrated by the Government of Nigeria and by private actors (be it following its clear blessing or not)’,</w:t>
      </w:r>
      <w:r w:rsidRPr="0040433A">
        <w:rPr>
          <w:rFonts w:eastAsia="Times New Roman" w:cs="Times New Roman"/>
          <w:vertAlign w:val="superscript"/>
          <w:lang w:val="en-GB"/>
        </w:rPr>
        <w:footnoteReference w:id="156"/>
      </w:r>
      <w:r w:rsidRPr="0040433A">
        <w:rPr>
          <w:rFonts w:eastAsia="Times New Roman" w:cs="Times New Roman"/>
          <w:lang w:val="en-GB"/>
        </w:rPr>
        <w:t xml:space="preserve"> the Commission ultimately affirmed the sole responsibility of the Nigerian State.</w:t>
      </w:r>
      <w:r w:rsidRPr="0040433A">
        <w:rPr>
          <w:rFonts w:eastAsia="Times New Roman" w:cs="Times New Roman"/>
          <w:vertAlign w:val="superscript"/>
          <w:lang w:val="en-GB"/>
        </w:rPr>
        <w:footnoteReference w:id="157"/>
      </w:r>
      <w:r w:rsidRPr="0040433A">
        <w:rPr>
          <w:rFonts w:eastAsia="Times New Roman" w:cs="Times New Roman"/>
          <w:lang w:val="en-GB"/>
        </w:rPr>
        <w:t xml:space="preserve"> Similarly, the responsibility of States to protect their citi</w:t>
      </w:r>
      <w:r w:rsidR="008316A4" w:rsidRPr="0040433A">
        <w:rPr>
          <w:rFonts w:eastAsia="Times New Roman" w:cs="Times New Roman"/>
          <w:lang w:val="en-GB"/>
        </w:rPr>
        <w:t>z</w:t>
      </w:r>
      <w:r w:rsidRPr="0040433A">
        <w:rPr>
          <w:rFonts w:eastAsia="Times New Roman" w:cs="Times New Roman"/>
          <w:lang w:val="en-GB"/>
        </w:rPr>
        <w:t>ens from the activities of non-State armed groups are said to arise only ‘upon the State’s own failure to act’.</w:t>
      </w:r>
      <w:r w:rsidRPr="0040433A">
        <w:rPr>
          <w:rFonts w:eastAsia="Times New Roman" w:cs="Times New Roman"/>
          <w:vertAlign w:val="superscript"/>
          <w:lang w:val="en-GB"/>
        </w:rPr>
        <w:footnoteReference w:id="158"/>
      </w:r>
      <w:r w:rsidRPr="0040433A">
        <w:rPr>
          <w:rFonts w:eastAsia="Times New Roman" w:cs="Times New Roman"/>
          <w:lang w:val="en-GB"/>
        </w:rPr>
        <w:t xml:space="preserve"> Thus, </w:t>
      </w:r>
      <w:r w:rsidR="00C72B84" w:rsidRPr="0040433A">
        <w:rPr>
          <w:rFonts w:eastAsia="Times New Roman" w:cs="Times New Roman"/>
          <w:lang w:val="en-GB"/>
        </w:rPr>
        <w:t xml:space="preserve">these </w:t>
      </w:r>
      <w:r w:rsidRPr="0040433A">
        <w:rPr>
          <w:rFonts w:eastAsia="Times New Roman" w:cs="Times New Roman"/>
          <w:lang w:val="en-GB"/>
        </w:rPr>
        <w:t xml:space="preserve">treaty obligations address non-State actors only indirectly, as a consequence of the express consent of the State in which they are domiciled. Yet, to call these obligations ‘indirect’ at all </w:t>
      </w:r>
      <w:r w:rsidR="00C72B84" w:rsidRPr="0040433A">
        <w:rPr>
          <w:rFonts w:eastAsia="Times New Roman" w:cs="Times New Roman"/>
          <w:lang w:val="en-GB"/>
        </w:rPr>
        <w:t xml:space="preserve">is </w:t>
      </w:r>
      <w:r w:rsidR="00F369DC">
        <w:rPr>
          <w:rFonts w:eastAsia="Times New Roman" w:cs="Times New Roman"/>
          <w:lang w:val="en-GB"/>
        </w:rPr>
        <w:t>problematic</w:t>
      </w:r>
      <w:r w:rsidRPr="0040433A">
        <w:rPr>
          <w:rFonts w:eastAsia="Times New Roman" w:cs="Times New Roman"/>
          <w:lang w:val="en-GB"/>
        </w:rPr>
        <w:t xml:space="preserve">. </w:t>
      </w:r>
      <w:r w:rsidR="00F369DC">
        <w:rPr>
          <w:rFonts w:eastAsia="Times New Roman" w:cs="Times New Roman"/>
          <w:lang w:val="en-GB"/>
        </w:rPr>
        <w:t>‘</w:t>
      </w:r>
      <w:r w:rsidRPr="0040433A">
        <w:rPr>
          <w:rFonts w:eastAsia="Times New Roman" w:cs="Times New Roman"/>
          <w:lang w:val="en-GB"/>
        </w:rPr>
        <w:t>The phrase “indirect obligation” actually refers to typical obligations binding on States according to the traditional doctrine of international law.’</w:t>
      </w:r>
      <w:r w:rsidRPr="0040433A">
        <w:rPr>
          <w:rFonts w:eastAsia="Times New Roman" w:cs="Times New Roman"/>
          <w:vertAlign w:val="superscript"/>
          <w:lang w:val="en-GB"/>
        </w:rPr>
        <w:footnoteReference w:id="159"/>
      </w:r>
    </w:p>
    <w:p w14:paraId="0E0AD2D2" w14:textId="6398C20B" w:rsidR="00D316DB" w:rsidRDefault="00F95D1B" w:rsidP="0040433A">
      <w:pPr>
        <w:spacing w:line="276" w:lineRule="auto"/>
        <w:ind w:firstLine="720"/>
        <w:jc w:val="both"/>
        <w:rPr>
          <w:rFonts w:eastAsia="Times New Roman" w:cs="Times New Roman"/>
          <w:lang w:val="en-GB"/>
        </w:rPr>
      </w:pPr>
      <w:r w:rsidRPr="0040433A">
        <w:rPr>
          <w:rFonts w:eastAsia="Times New Roman" w:cs="Times New Roman"/>
          <w:lang w:val="en-GB"/>
        </w:rPr>
        <w:t>In the context of a business and human rights treaty</w:t>
      </w:r>
      <w:r w:rsidR="00D05A6F" w:rsidRPr="0040433A">
        <w:rPr>
          <w:rFonts w:eastAsia="Times New Roman" w:cs="Times New Roman"/>
          <w:lang w:val="en-GB"/>
        </w:rPr>
        <w:t xml:space="preserve">, </w:t>
      </w:r>
      <w:r w:rsidRPr="0040433A">
        <w:rPr>
          <w:rFonts w:eastAsia="Times New Roman" w:cs="Times New Roman"/>
          <w:lang w:val="en-GB"/>
        </w:rPr>
        <w:t>a regime of shared responsibility</w:t>
      </w:r>
      <w:r w:rsidR="00D05A6F" w:rsidRPr="0040433A">
        <w:rPr>
          <w:rFonts w:eastAsia="Times New Roman" w:cs="Times New Roman"/>
          <w:lang w:val="en-GB"/>
        </w:rPr>
        <w:t xml:space="preserve"> is conceivable</w:t>
      </w:r>
      <w:r w:rsidRPr="0040433A">
        <w:rPr>
          <w:rFonts w:eastAsia="Times New Roman" w:cs="Times New Roman"/>
          <w:lang w:val="en-GB"/>
        </w:rPr>
        <w:t xml:space="preserve"> in which non-State actors bear direct obligations</w:t>
      </w:r>
      <w:r w:rsidR="00D05A6F" w:rsidRPr="0040433A">
        <w:rPr>
          <w:rFonts w:eastAsia="Times New Roman" w:cs="Times New Roman"/>
          <w:lang w:val="en-GB"/>
        </w:rPr>
        <w:t>,</w:t>
      </w:r>
      <w:r w:rsidRPr="0040433A">
        <w:rPr>
          <w:rFonts w:eastAsia="Times New Roman" w:cs="Times New Roman"/>
          <w:lang w:val="en-GB"/>
        </w:rPr>
        <w:t xml:space="preserve"> </w:t>
      </w:r>
      <w:r w:rsidR="00D05A6F" w:rsidRPr="0040433A">
        <w:rPr>
          <w:rFonts w:eastAsia="Times New Roman" w:cs="Times New Roman"/>
          <w:lang w:val="en-GB"/>
        </w:rPr>
        <w:t xml:space="preserve">for instance, </w:t>
      </w:r>
      <w:r w:rsidRPr="0040433A">
        <w:rPr>
          <w:rFonts w:eastAsia="Times New Roman" w:cs="Times New Roman"/>
          <w:lang w:val="en-GB"/>
        </w:rPr>
        <w:t xml:space="preserve">not to engage in activity which violates the right to life, </w:t>
      </w:r>
      <w:r w:rsidR="00D05A6F" w:rsidRPr="0040433A">
        <w:rPr>
          <w:rFonts w:eastAsia="Times New Roman" w:cs="Times New Roman"/>
          <w:lang w:val="en-GB"/>
        </w:rPr>
        <w:t xml:space="preserve">in addition to a separate general obligation on States to </w:t>
      </w:r>
      <w:r w:rsidR="003726F0">
        <w:rPr>
          <w:rFonts w:eastAsia="Times New Roman" w:cs="Times New Roman"/>
          <w:lang w:val="en-GB"/>
        </w:rPr>
        <w:t xml:space="preserve">act with diligence in </w:t>
      </w:r>
      <w:r w:rsidR="00D05A6F" w:rsidRPr="0040433A">
        <w:rPr>
          <w:rFonts w:eastAsia="Times New Roman" w:cs="Times New Roman"/>
          <w:lang w:val="en-GB"/>
        </w:rPr>
        <w:t>protect</w:t>
      </w:r>
      <w:r w:rsidR="003726F0">
        <w:rPr>
          <w:rFonts w:eastAsia="Times New Roman" w:cs="Times New Roman"/>
          <w:lang w:val="en-GB"/>
        </w:rPr>
        <w:t>ing</w:t>
      </w:r>
      <w:r w:rsidR="00D05A6F" w:rsidRPr="0040433A">
        <w:rPr>
          <w:rFonts w:eastAsia="Times New Roman" w:cs="Times New Roman"/>
          <w:lang w:val="en-GB"/>
        </w:rPr>
        <w:t xml:space="preserve"> their populations from the abusive conduct of private parties. It is arguable whether the instrument need even provide a restatement </w:t>
      </w:r>
      <w:r w:rsidR="005129E9">
        <w:rPr>
          <w:rFonts w:eastAsia="Times New Roman" w:cs="Times New Roman"/>
          <w:lang w:val="en-GB"/>
        </w:rPr>
        <w:t xml:space="preserve">of </w:t>
      </w:r>
      <w:r w:rsidR="00D05A6F" w:rsidRPr="0040433A">
        <w:rPr>
          <w:rFonts w:eastAsia="Times New Roman" w:cs="Times New Roman"/>
          <w:lang w:val="en-GB"/>
        </w:rPr>
        <w:t>the State obligation, given</w:t>
      </w:r>
      <w:r w:rsidR="005C2CF0">
        <w:rPr>
          <w:rFonts w:eastAsia="Times New Roman" w:cs="Times New Roman"/>
          <w:lang w:val="en-GB"/>
        </w:rPr>
        <w:t xml:space="preserve"> that</w:t>
      </w:r>
      <w:r w:rsidR="00D05A6F" w:rsidRPr="0040433A">
        <w:rPr>
          <w:rFonts w:eastAsia="Times New Roman" w:cs="Times New Roman"/>
          <w:lang w:val="en-GB"/>
        </w:rPr>
        <w:t xml:space="preserve"> it is already widely represented in other treaties.</w:t>
      </w:r>
      <w:r w:rsidR="00243C75" w:rsidRPr="0040433A">
        <w:rPr>
          <w:rFonts w:eastAsia="Times New Roman" w:cs="Times New Roman"/>
          <w:lang w:val="en-GB"/>
        </w:rPr>
        <w:t xml:space="preserve"> This may provide </w:t>
      </w:r>
      <w:r w:rsidR="005129E9">
        <w:rPr>
          <w:rFonts w:eastAsia="Times New Roman" w:cs="Times New Roman"/>
          <w:lang w:val="en-GB"/>
        </w:rPr>
        <w:t>another means of drawing a conceptual distinction between wrongful acts, thereby circumventing</w:t>
      </w:r>
      <w:r w:rsidR="00243C75" w:rsidRPr="0040433A">
        <w:rPr>
          <w:rFonts w:eastAsia="Times New Roman" w:cs="Times New Roman"/>
          <w:lang w:val="en-GB"/>
        </w:rPr>
        <w:t xml:space="preserve"> the doctrinal complexities </w:t>
      </w:r>
      <w:r w:rsidR="005C2CF0">
        <w:rPr>
          <w:rFonts w:eastAsia="Times New Roman" w:cs="Times New Roman"/>
          <w:lang w:val="en-GB"/>
        </w:rPr>
        <w:t xml:space="preserve">of </w:t>
      </w:r>
      <w:r w:rsidR="00243C75" w:rsidRPr="0040433A">
        <w:rPr>
          <w:rFonts w:eastAsia="Times New Roman" w:cs="Times New Roman"/>
          <w:lang w:val="en-GB"/>
        </w:rPr>
        <w:t>allocating responsibility between multiple actors for the</w:t>
      </w:r>
      <w:r w:rsidR="005C2CF0">
        <w:rPr>
          <w:rFonts w:eastAsia="Times New Roman" w:cs="Times New Roman"/>
          <w:lang w:val="en-GB"/>
        </w:rPr>
        <w:t xml:space="preserve"> breach of a single primary obligation</w:t>
      </w:r>
      <w:r w:rsidR="00243C75" w:rsidRPr="0040433A">
        <w:rPr>
          <w:rFonts w:eastAsia="Times New Roman" w:cs="Times New Roman"/>
          <w:lang w:val="en-GB"/>
        </w:rPr>
        <w:t>.</w:t>
      </w:r>
      <w:r w:rsidR="006B1B11" w:rsidRPr="0040433A">
        <w:rPr>
          <w:rFonts w:eastAsia="Times New Roman" w:cs="Times New Roman"/>
          <w:lang w:val="en-GB"/>
        </w:rPr>
        <w:t xml:space="preserve"> Instead, a State’s responsibility might be drawn </w:t>
      </w:r>
      <w:r w:rsidR="008854A5">
        <w:rPr>
          <w:rFonts w:eastAsia="Times New Roman" w:cs="Times New Roman"/>
          <w:lang w:val="en-GB"/>
        </w:rPr>
        <w:t xml:space="preserve">from the </w:t>
      </w:r>
      <w:r w:rsidR="006B1B11" w:rsidRPr="0040433A">
        <w:rPr>
          <w:rFonts w:eastAsia="Times New Roman" w:cs="Times New Roman"/>
          <w:lang w:val="en-GB"/>
        </w:rPr>
        <w:t>ICCPR, while the non-State actor’s responsibility is drawn from the breach of a primary obligation contained within a business and human rights treaty.</w:t>
      </w:r>
      <w:r w:rsidR="00435D24" w:rsidRPr="0040433A">
        <w:rPr>
          <w:rFonts w:eastAsia="Times New Roman" w:cs="Times New Roman"/>
          <w:lang w:val="en-GB"/>
        </w:rPr>
        <w:t xml:space="preserve"> Such a division of responsibility would potentially fill the void between complicit State conduct, and the wilful blindness of a State to the conduct of </w:t>
      </w:r>
      <w:r w:rsidR="002339BC" w:rsidRPr="0040433A">
        <w:rPr>
          <w:rFonts w:eastAsia="Times New Roman" w:cs="Times New Roman"/>
          <w:lang w:val="en-GB"/>
        </w:rPr>
        <w:t>non-State actors operating within their territory.</w:t>
      </w:r>
    </w:p>
    <w:p w14:paraId="35CBC64E" w14:textId="77777777" w:rsidR="0069279C" w:rsidRPr="0040433A" w:rsidRDefault="0069279C" w:rsidP="0040433A">
      <w:pPr>
        <w:spacing w:line="276" w:lineRule="auto"/>
        <w:ind w:firstLine="720"/>
        <w:jc w:val="both"/>
        <w:rPr>
          <w:rFonts w:eastAsia="Times New Roman" w:cs="Times New Roman"/>
          <w:lang w:val="en-GB"/>
        </w:rPr>
      </w:pPr>
    </w:p>
    <w:p w14:paraId="4F219859" w14:textId="77777777" w:rsidR="0001410D" w:rsidRPr="0040433A" w:rsidRDefault="0001410D" w:rsidP="0040433A">
      <w:pPr>
        <w:pStyle w:val="ListParagraph"/>
        <w:keepNext/>
        <w:keepLines/>
        <w:numPr>
          <w:ilvl w:val="0"/>
          <w:numId w:val="9"/>
        </w:numPr>
        <w:spacing w:before="200" w:line="276" w:lineRule="auto"/>
        <w:contextualSpacing w:val="0"/>
        <w:outlineLvl w:val="1"/>
        <w:rPr>
          <w:rFonts w:eastAsiaTheme="majorEastAsia" w:cstheme="majorBidi"/>
          <w:bCs/>
          <w:i/>
          <w:vanish/>
          <w:lang w:val="en-GB"/>
        </w:rPr>
      </w:pPr>
    </w:p>
    <w:p w14:paraId="30712D93" w14:textId="77777777" w:rsidR="0001410D" w:rsidRPr="0040433A" w:rsidRDefault="0001410D" w:rsidP="0040433A">
      <w:pPr>
        <w:pStyle w:val="ListParagraph"/>
        <w:keepNext/>
        <w:keepLines/>
        <w:numPr>
          <w:ilvl w:val="0"/>
          <w:numId w:val="9"/>
        </w:numPr>
        <w:spacing w:before="200" w:line="276" w:lineRule="auto"/>
        <w:contextualSpacing w:val="0"/>
        <w:outlineLvl w:val="1"/>
        <w:rPr>
          <w:rFonts w:eastAsiaTheme="majorEastAsia" w:cstheme="majorBidi"/>
          <w:bCs/>
          <w:i/>
          <w:vanish/>
          <w:lang w:val="en-GB"/>
        </w:rPr>
      </w:pPr>
    </w:p>
    <w:p w14:paraId="4E570D08" w14:textId="77777777" w:rsidR="0001410D" w:rsidRPr="0040433A" w:rsidRDefault="0001410D" w:rsidP="0040433A">
      <w:pPr>
        <w:pStyle w:val="ListParagraph"/>
        <w:keepNext/>
        <w:keepLines/>
        <w:numPr>
          <w:ilvl w:val="0"/>
          <w:numId w:val="9"/>
        </w:numPr>
        <w:spacing w:before="200" w:line="276" w:lineRule="auto"/>
        <w:contextualSpacing w:val="0"/>
        <w:outlineLvl w:val="1"/>
        <w:rPr>
          <w:rFonts w:eastAsiaTheme="majorEastAsia" w:cstheme="majorBidi"/>
          <w:bCs/>
          <w:i/>
          <w:vanish/>
          <w:lang w:val="en-GB"/>
        </w:rPr>
      </w:pPr>
    </w:p>
    <w:p w14:paraId="19BC0D35" w14:textId="00EE3AEB" w:rsidR="00F271A4" w:rsidRPr="0040433A" w:rsidRDefault="00F271A4" w:rsidP="0040433A">
      <w:pPr>
        <w:pStyle w:val="Heading2"/>
        <w:numPr>
          <w:ilvl w:val="0"/>
          <w:numId w:val="9"/>
        </w:numPr>
        <w:spacing w:line="276" w:lineRule="auto"/>
        <w:ind w:left="1134" w:hanging="708"/>
        <w:jc w:val="center"/>
        <w:rPr>
          <w:szCs w:val="24"/>
          <w:lang w:val="en-GB"/>
        </w:rPr>
      </w:pPr>
      <w:r w:rsidRPr="0040433A">
        <w:rPr>
          <w:szCs w:val="24"/>
          <w:lang w:val="en-GB"/>
        </w:rPr>
        <w:t>Joint and Several Liability</w:t>
      </w:r>
    </w:p>
    <w:p w14:paraId="67AAAD02" w14:textId="77777777" w:rsidR="00F271A4" w:rsidRPr="0040433A" w:rsidRDefault="00F271A4" w:rsidP="0040433A">
      <w:pPr>
        <w:spacing w:line="276" w:lineRule="auto"/>
        <w:jc w:val="both"/>
        <w:rPr>
          <w:lang w:val="en-GB"/>
        </w:rPr>
      </w:pPr>
    </w:p>
    <w:p w14:paraId="74C1CB43" w14:textId="55D4DE92" w:rsidR="009654E0" w:rsidRPr="0040433A" w:rsidRDefault="00DF2ED7" w:rsidP="00957ADA">
      <w:pPr>
        <w:spacing w:line="276" w:lineRule="auto"/>
        <w:jc w:val="both"/>
        <w:rPr>
          <w:lang w:val="en-GB"/>
        </w:rPr>
      </w:pPr>
      <w:r>
        <w:rPr>
          <w:lang w:val="en-GB"/>
        </w:rPr>
        <w:t>This final approach is supplementary to the</w:t>
      </w:r>
      <w:r w:rsidR="004C2EBA" w:rsidRPr="0040433A">
        <w:rPr>
          <w:lang w:val="en-GB"/>
        </w:rPr>
        <w:t xml:space="preserve"> </w:t>
      </w:r>
      <w:r w:rsidR="00902A97">
        <w:rPr>
          <w:lang w:val="en-GB"/>
        </w:rPr>
        <w:t>holistic</w:t>
      </w:r>
      <w:r w:rsidR="004C2EBA" w:rsidRPr="0040433A">
        <w:rPr>
          <w:lang w:val="en-GB"/>
        </w:rPr>
        <w:t xml:space="preserve"> respons</w:t>
      </w:r>
      <w:r w:rsidR="00F0460E" w:rsidRPr="0040433A">
        <w:rPr>
          <w:lang w:val="en-GB"/>
        </w:rPr>
        <w:t xml:space="preserve">ibility framework outlined </w:t>
      </w:r>
      <w:r w:rsidR="00BD28D6" w:rsidRPr="0040433A">
        <w:rPr>
          <w:lang w:val="en-GB"/>
        </w:rPr>
        <w:t>above</w:t>
      </w:r>
      <w:r w:rsidR="004C2EBA" w:rsidRPr="0040433A">
        <w:rPr>
          <w:lang w:val="en-GB"/>
        </w:rPr>
        <w:t>. In the vein of Lauterpacht,</w:t>
      </w:r>
      <w:r w:rsidR="004C2EBA" w:rsidRPr="0040433A">
        <w:rPr>
          <w:rStyle w:val="FootnoteReference"/>
          <w:sz w:val="24"/>
          <w:lang w:val="en-GB"/>
        </w:rPr>
        <w:footnoteReference w:id="160"/>
      </w:r>
      <w:r w:rsidR="006940CC">
        <w:rPr>
          <w:lang w:val="en-GB"/>
        </w:rPr>
        <w:t xml:space="preserve"> </w:t>
      </w:r>
      <w:r>
        <w:rPr>
          <w:lang w:val="en-GB"/>
        </w:rPr>
        <w:t>it</w:t>
      </w:r>
      <w:r w:rsidR="004C2EBA" w:rsidRPr="0040433A">
        <w:rPr>
          <w:lang w:val="en-GB"/>
        </w:rPr>
        <w:t xml:space="preserve"> draws </w:t>
      </w:r>
      <w:r w:rsidR="008854A5">
        <w:rPr>
          <w:lang w:val="en-GB"/>
        </w:rPr>
        <w:t xml:space="preserve">an </w:t>
      </w:r>
      <w:r w:rsidR="004C2EBA" w:rsidRPr="0040433A">
        <w:rPr>
          <w:lang w:val="en-GB"/>
        </w:rPr>
        <w:t>analogy from the private law notion of j</w:t>
      </w:r>
      <w:r w:rsidR="00576616" w:rsidRPr="0040433A">
        <w:rPr>
          <w:lang w:val="en-GB"/>
        </w:rPr>
        <w:t>oint and several liability, where a State might incur full legal responsibility for human rights abuses perpetuate</w:t>
      </w:r>
      <w:r w:rsidR="008C4386" w:rsidRPr="0040433A">
        <w:rPr>
          <w:lang w:val="en-GB"/>
        </w:rPr>
        <w:t>d</w:t>
      </w:r>
      <w:r w:rsidR="00576616" w:rsidRPr="0040433A">
        <w:rPr>
          <w:lang w:val="en-GB"/>
        </w:rPr>
        <w:t xml:space="preserve"> by a non-State actor on its territory, and would then </w:t>
      </w:r>
      <w:r w:rsidR="00287B08" w:rsidRPr="0040433A">
        <w:rPr>
          <w:lang w:val="en-GB"/>
        </w:rPr>
        <w:t>bear</w:t>
      </w:r>
      <w:r w:rsidR="00576616" w:rsidRPr="0040433A">
        <w:rPr>
          <w:lang w:val="en-GB"/>
        </w:rPr>
        <w:t xml:space="preserve"> the onus to seek remediation from the private actor in question.</w:t>
      </w:r>
      <w:r w:rsidR="00576616" w:rsidRPr="0040433A">
        <w:rPr>
          <w:rStyle w:val="FootnoteReference"/>
          <w:sz w:val="24"/>
          <w:lang w:val="en-GB"/>
        </w:rPr>
        <w:footnoteReference w:id="161"/>
      </w:r>
      <w:r w:rsidR="006B1359" w:rsidRPr="0040433A">
        <w:rPr>
          <w:lang w:val="en-GB"/>
        </w:rPr>
        <w:t xml:space="preserve"> </w:t>
      </w:r>
      <w:r w:rsidR="008A1950" w:rsidRPr="0040433A">
        <w:rPr>
          <w:lang w:val="en-GB"/>
        </w:rPr>
        <w:t xml:space="preserve">For Vandenhole, </w:t>
      </w:r>
      <w:r w:rsidR="008854A5">
        <w:rPr>
          <w:lang w:val="en-GB"/>
        </w:rPr>
        <w:t xml:space="preserve">the </w:t>
      </w:r>
      <w:r w:rsidR="008A1950" w:rsidRPr="0040433A">
        <w:rPr>
          <w:lang w:val="en-GB"/>
        </w:rPr>
        <w:t xml:space="preserve">private law analogy in human rights </w:t>
      </w:r>
      <w:r w:rsidR="008379EB" w:rsidRPr="0040433A">
        <w:rPr>
          <w:lang w:val="en-GB"/>
        </w:rPr>
        <w:t>is a surprisingly good fit</w:t>
      </w:r>
      <w:r w:rsidR="006B1359" w:rsidRPr="0040433A">
        <w:rPr>
          <w:lang w:val="en-GB"/>
        </w:rPr>
        <w:t>,</w:t>
      </w:r>
      <w:r w:rsidR="006B6A4F" w:rsidRPr="0040433A">
        <w:rPr>
          <w:lang w:val="en-GB"/>
        </w:rPr>
        <w:t xml:space="preserve"> since ‘</w:t>
      </w:r>
      <w:r w:rsidR="006B1359" w:rsidRPr="0040433A">
        <w:rPr>
          <w:lang w:val="en-GB"/>
        </w:rPr>
        <w:t>the notion of injury to individuals is key to human rights responsibility</w:t>
      </w:r>
      <w:r w:rsidR="008A1950" w:rsidRPr="0040433A">
        <w:rPr>
          <w:lang w:val="en-GB"/>
        </w:rPr>
        <w:t xml:space="preserve"> </w:t>
      </w:r>
      <w:r w:rsidR="006B1359" w:rsidRPr="0040433A">
        <w:rPr>
          <w:lang w:val="en-GB"/>
        </w:rPr>
        <w:t>and accountability</w:t>
      </w:r>
      <w:r w:rsidR="006B6A4F" w:rsidRPr="0040433A">
        <w:rPr>
          <w:lang w:val="en-GB"/>
        </w:rPr>
        <w:t>… [and]</w:t>
      </w:r>
      <w:r w:rsidR="006B1359" w:rsidRPr="0040433A">
        <w:rPr>
          <w:lang w:val="en-GB"/>
        </w:rPr>
        <w:t xml:space="preserve"> the objective of human rights law is to offer reparation to the victim’</w:t>
      </w:r>
      <w:r w:rsidR="006B6A4F" w:rsidRPr="0040433A">
        <w:rPr>
          <w:lang w:val="en-GB"/>
        </w:rPr>
        <w:t>.</w:t>
      </w:r>
      <w:r w:rsidR="006B1359" w:rsidRPr="0040433A">
        <w:rPr>
          <w:rStyle w:val="FootnoteReference"/>
          <w:sz w:val="24"/>
          <w:lang w:val="en-GB"/>
        </w:rPr>
        <w:footnoteReference w:id="162"/>
      </w:r>
      <w:r w:rsidR="006B1359" w:rsidRPr="0040433A">
        <w:rPr>
          <w:lang w:val="en-GB"/>
        </w:rPr>
        <w:t xml:space="preserve"> </w:t>
      </w:r>
      <w:r w:rsidR="008A1950" w:rsidRPr="0040433A">
        <w:rPr>
          <w:lang w:val="en-GB"/>
        </w:rPr>
        <w:t>Th</w:t>
      </w:r>
      <w:r w:rsidR="007C0BAB" w:rsidRPr="0040433A">
        <w:rPr>
          <w:lang w:val="en-GB"/>
        </w:rPr>
        <w:t xml:space="preserve">is </w:t>
      </w:r>
      <w:r w:rsidR="008A1950" w:rsidRPr="0040433A">
        <w:rPr>
          <w:lang w:val="en-GB"/>
        </w:rPr>
        <w:t>enumeration arguably oversimplifies</w:t>
      </w:r>
      <w:r w:rsidR="004F2A6A" w:rsidRPr="0040433A">
        <w:rPr>
          <w:lang w:val="en-GB"/>
        </w:rPr>
        <w:t xml:space="preserve"> the human rights project, which is not premised purely</w:t>
      </w:r>
      <w:r w:rsidR="00423B26">
        <w:rPr>
          <w:lang w:val="en-GB"/>
        </w:rPr>
        <w:t xml:space="preserve"> on ex post facto redress, but also</w:t>
      </w:r>
      <w:r w:rsidR="004F2A6A" w:rsidRPr="0040433A">
        <w:rPr>
          <w:lang w:val="en-GB"/>
        </w:rPr>
        <w:t xml:space="preserve"> </w:t>
      </w:r>
      <w:r w:rsidR="00252BBF">
        <w:rPr>
          <w:lang w:val="en-GB"/>
        </w:rPr>
        <w:t>entails</w:t>
      </w:r>
      <w:r w:rsidR="004F2A6A" w:rsidRPr="0040433A">
        <w:rPr>
          <w:lang w:val="en-GB"/>
        </w:rPr>
        <w:t xml:space="preserve"> ex ante obligations</w:t>
      </w:r>
      <w:r w:rsidR="00AF561D" w:rsidRPr="0040433A">
        <w:rPr>
          <w:lang w:val="en-GB"/>
        </w:rPr>
        <w:t>.</w:t>
      </w:r>
      <w:r w:rsidR="007C0BAB" w:rsidRPr="0040433A">
        <w:rPr>
          <w:lang w:val="en-GB"/>
        </w:rPr>
        <w:t xml:space="preserve"> </w:t>
      </w:r>
      <w:r w:rsidR="00A830A6" w:rsidRPr="0040433A">
        <w:rPr>
          <w:lang w:val="en-GB"/>
        </w:rPr>
        <w:t>Emphasising the public law character of international law, Brownlie reminds us that ‘[t]he duty to pay compensation is a normal consequence of responsibility, but is not conterminous with it.’</w:t>
      </w:r>
      <w:r w:rsidR="00A830A6" w:rsidRPr="0040433A">
        <w:rPr>
          <w:rStyle w:val="FootnoteReference"/>
          <w:sz w:val="24"/>
          <w:lang w:val="en-GB"/>
        </w:rPr>
        <w:footnoteReference w:id="163"/>
      </w:r>
      <w:r w:rsidR="00A830A6" w:rsidRPr="0040433A">
        <w:rPr>
          <w:lang w:val="en-GB"/>
        </w:rPr>
        <w:t xml:space="preserve"> </w:t>
      </w:r>
      <w:r w:rsidR="007C0BAB" w:rsidRPr="0040433A">
        <w:rPr>
          <w:lang w:val="en-GB"/>
        </w:rPr>
        <w:t xml:space="preserve">That said, </w:t>
      </w:r>
      <w:r w:rsidR="00B22393" w:rsidRPr="0040433A">
        <w:rPr>
          <w:lang w:val="en-GB"/>
        </w:rPr>
        <w:t xml:space="preserve">the manner in which human rights redress has been managed at the domestic level, particularly in relation </w:t>
      </w:r>
      <w:r w:rsidR="0012428D">
        <w:rPr>
          <w:lang w:val="en-GB"/>
        </w:rPr>
        <w:t xml:space="preserve">to </w:t>
      </w:r>
      <w:r w:rsidR="00613569" w:rsidRPr="0040433A">
        <w:rPr>
          <w:lang w:val="en-GB"/>
        </w:rPr>
        <w:t>business actor</w:t>
      </w:r>
      <w:r w:rsidR="00B22393" w:rsidRPr="0040433A">
        <w:rPr>
          <w:lang w:val="en-GB"/>
        </w:rPr>
        <w:t>s, demonstrates the significant utility of private law, and</w:t>
      </w:r>
      <w:r w:rsidR="00B47FA7">
        <w:rPr>
          <w:lang w:val="en-GB"/>
        </w:rPr>
        <w:t xml:space="preserve"> thus it</w:t>
      </w:r>
      <w:r w:rsidR="00B22393" w:rsidRPr="0040433A">
        <w:rPr>
          <w:lang w:val="en-GB"/>
        </w:rPr>
        <w:t xml:space="preserve"> </w:t>
      </w:r>
      <w:r w:rsidR="000A7E8C">
        <w:rPr>
          <w:lang w:val="en-GB"/>
        </w:rPr>
        <w:t>should</w:t>
      </w:r>
      <w:r w:rsidR="008C4386" w:rsidRPr="0040433A">
        <w:rPr>
          <w:lang w:val="en-GB"/>
        </w:rPr>
        <w:t xml:space="preserve"> </w:t>
      </w:r>
      <w:r w:rsidR="00AE1D5E" w:rsidRPr="0040433A">
        <w:rPr>
          <w:lang w:val="en-GB"/>
        </w:rPr>
        <w:t>not</w:t>
      </w:r>
      <w:r w:rsidR="00B22393" w:rsidRPr="0040433A">
        <w:rPr>
          <w:lang w:val="en-GB"/>
        </w:rPr>
        <w:t xml:space="preserve"> be written off. Vandenhole</w:t>
      </w:r>
      <w:r w:rsidR="00833E76" w:rsidRPr="0040433A">
        <w:rPr>
          <w:lang w:val="en-GB"/>
        </w:rPr>
        <w:t>’s</w:t>
      </w:r>
      <w:r w:rsidR="00B22393" w:rsidRPr="0040433A">
        <w:rPr>
          <w:lang w:val="en-GB"/>
        </w:rPr>
        <w:t xml:space="preserve"> assertion as to the mixed nature of the international law of responsibility finds suppo</w:t>
      </w:r>
      <w:r w:rsidR="003C03A3" w:rsidRPr="0040433A">
        <w:rPr>
          <w:lang w:val="en-GB"/>
        </w:rPr>
        <w:t>r</w:t>
      </w:r>
      <w:r w:rsidR="00B22393" w:rsidRPr="0040433A">
        <w:rPr>
          <w:lang w:val="en-GB"/>
        </w:rPr>
        <w:t>t in the work of Crawford</w:t>
      </w:r>
      <w:r w:rsidR="004741CA" w:rsidRPr="0040433A">
        <w:rPr>
          <w:rStyle w:val="FootnoteReference"/>
          <w:sz w:val="24"/>
          <w:lang w:val="en-GB"/>
        </w:rPr>
        <w:footnoteReference w:id="164"/>
      </w:r>
      <w:r w:rsidR="005A7695" w:rsidRPr="0040433A">
        <w:rPr>
          <w:lang w:val="en-GB"/>
        </w:rPr>
        <w:t xml:space="preserve"> and</w:t>
      </w:r>
      <w:r w:rsidR="005429FE" w:rsidRPr="0040433A">
        <w:rPr>
          <w:lang w:val="en-GB"/>
        </w:rPr>
        <w:t xml:space="preserve"> Nollkaemper</w:t>
      </w:r>
      <w:r w:rsidR="005A7695" w:rsidRPr="0040433A">
        <w:rPr>
          <w:lang w:val="en-GB"/>
        </w:rPr>
        <w:t>.</w:t>
      </w:r>
      <w:r w:rsidR="004741CA" w:rsidRPr="0040433A">
        <w:rPr>
          <w:rStyle w:val="FootnoteReference"/>
          <w:sz w:val="24"/>
          <w:lang w:val="en-GB"/>
        </w:rPr>
        <w:footnoteReference w:id="165"/>
      </w:r>
      <w:r w:rsidR="005A7695" w:rsidRPr="0040433A">
        <w:rPr>
          <w:lang w:val="en-GB"/>
        </w:rPr>
        <w:t xml:space="preserve"> </w:t>
      </w:r>
      <w:r w:rsidR="009D3917" w:rsidRPr="0040433A">
        <w:rPr>
          <w:lang w:val="en-GB"/>
        </w:rPr>
        <w:t xml:space="preserve">Further, </w:t>
      </w:r>
      <w:r w:rsidR="00783907" w:rsidRPr="0040433A">
        <w:rPr>
          <w:lang w:val="en-GB"/>
        </w:rPr>
        <w:t xml:space="preserve">Noyes </w:t>
      </w:r>
      <w:r w:rsidR="008854A5">
        <w:rPr>
          <w:lang w:val="en-GB"/>
        </w:rPr>
        <w:t xml:space="preserve">and </w:t>
      </w:r>
      <w:r w:rsidR="00783907" w:rsidRPr="0040433A">
        <w:rPr>
          <w:lang w:val="en-GB"/>
        </w:rPr>
        <w:t>Smith, in their prescient 1988 article, provided that ‘an examination of the limited body of decisions, State practice, municipal analogies and accepted principles of the international legal system leads to the conclusion that significant support exists for the principle of joint and several liability in international law’.</w:t>
      </w:r>
      <w:r w:rsidR="00783907" w:rsidRPr="0040433A">
        <w:rPr>
          <w:rStyle w:val="FootnoteReference"/>
          <w:sz w:val="24"/>
          <w:lang w:val="en-GB"/>
        </w:rPr>
        <w:footnoteReference w:id="166"/>
      </w:r>
      <w:r w:rsidR="00783907" w:rsidRPr="0040433A">
        <w:rPr>
          <w:lang w:val="en-GB"/>
        </w:rPr>
        <w:t xml:space="preserve"> </w:t>
      </w:r>
      <w:r w:rsidR="005429FE" w:rsidRPr="00676140">
        <w:rPr>
          <w:lang w:val="en-GB"/>
        </w:rPr>
        <w:t>Alford</w:t>
      </w:r>
      <w:r w:rsidR="00605817" w:rsidRPr="00676140">
        <w:rPr>
          <w:lang w:val="en-GB"/>
        </w:rPr>
        <w:t xml:space="preserve"> </w:t>
      </w:r>
      <w:r w:rsidR="005A7695" w:rsidRPr="00676140">
        <w:rPr>
          <w:lang w:val="en-GB"/>
        </w:rPr>
        <w:t>has</w:t>
      </w:r>
      <w:r w:rsidR="00605817" w:rsidRPr="00676140">
        <w:rPr>
          <w:lang w:val="en-GB"/>
        </w:rPr>
        <w:t xml:space="preserve"> also</w:t>
      </w:r>
      <w:r w:rsidR="005A7695" w:rsidRPr="00676140">
        <w:rPr>
          <w:lang w:val="en-GB"/>
        </w:rPr>
        <w:t xml:space="preserve"> echoed the view of </w:t>
      </w:r>
      <w:r w:rsidR="00562840" w:rsidRPr="00676140">
        <w:rPr>
          <w:lang w:val="en-GB"/>
        </w:rPr>
        <w:t>Bruno</w:t>
      </w:r>
      <w:r w:rsidR="005A7695" w:rsidRPr="00676140">
        <w:rPr>
          <w:lang w:val="en-GB"/>
        </w:rPr>
        <w:t xml:space="preserve"> Simma in the ICJ’s</w:t>
      </w:r>
      <w:r w:rsidR="005429FE" w:rsidRPr="00676140">
        <w:rPr>
          <w:lang w:val="en-GB"/>
        </w:rPr>
        <w:t xml:space="preserve"> </w:t>
      </w:r>
      <w:r w:rsidR="005429FE" w:rsidRPr="00676140">
        <w:rPr>
          <w:i/>
          <w:lang w:val="en-GB"/>
        </w:rPr>
        <w:t>Oil Platforms</w:t>
      </w:r>
      <w:r w:rsidR="005429FE" w:rsidRPr="00676140">
        <w:rPr>
          <w:lang w:val="en-GB"/>
        </w:rPr>
        <w:t xml:space="preserve"> decision</w:t>
      </w:r>
      <w:r w:rsidR="005429FE" w:rsidRPr="00676140">
        <w:rPr>
          <w:rStyle w:val="FootnoteReference"/>
          <w:sz w:val="24"/>
          <w:lang w:val="en-GB"/>
        </w:rPr>
        <w:footnoteReference w:id="167"/>
      </w:r>
      <w:r w:rsidR="005A7695" w:rsidRPr="00676140">
        <w:rPr>
          <w:lang w:val="en-GB"/>
        </w:rPr>
        <w:t xml:space="preserve"> that a joint and several liability rule can be derived from domestic legal systems</w:t>
      </w:r>
      <w:r w:rsidR="00942784" w:rsidRPr="00676140">
        <w:rPr>
          <w:rStyle w:val="FootnoteReference"/>
          <w:sz w:val="24"/>
          <w:lang w:val="en-GB"/>
        </w:rPr>
        <w:footnoteReference w:id="168"/>
      </w:r>
      <w:r w:rsidR="005A7695" w:rsidRPr="00676140">
        <w:rPr>
          <w:lang w:val="en-GB"/>
        </w:rPr>
        <w:t xml:space="preserve"> as a general principle of law</w:t>
      </w:r>
      <w:r w:rsidR="000B7C6F" w:rsidRPr="00676140">
        <w:rPr>
          <w:lang w:val="en-GB"/>
        </w:rPr>
        <w:t xml:space="preserve"> within the meaning of </w:t>
      </w:r>
      <w:r w:rsidR="00495374" w:rsidRPr="00676140">
        <w:rPr>
          <w:lang w:val="en-GB"/>
        </w:rPr>
        <w:t>a</w:t>
      </w:r>
      <w:r w:rsidR="000B7C6F" w:rsidRPr="00676140">
        <w:rPr>
          <w:lang w:val="en-GB"/>
        </w:rPr>
        <w:t>rticle 38</w:t>
      </w:r>
      <w:r w:rsidR="008B6867" w:rsidRPr="00676140">
        <w:rPr>
          <w:lang w:val="en-GB"/>
        </w:rPr>
        <w:t>(1)(c)</w:t>
      </w:r>
      <w:r w:rsidR="000B7C6F" w:rsidRPr="00676140">
        <w:rPr>
          <w:lang w:val="en-GB"/>
        </w:rPr>
        <w:t xml:space="preserve"> of the ICJ Statute</w:t>
      </w:r>
      <w:r w:rsidR="005A7695" w:rsidRPr="00676140">
        <w:rPr>
          <w:lang w:val="en-GB"/>
        </w:rPr>
        <w:t>.</w:t>
      </w:r>
      <w:r w:rsidR="000B7C6F" w:rsidRPr="00676140">
        <w:rPr>
          <w:rStyle w:val="FootnoteReference"/>
          <w:sz w:val="24"/>
          <w:lang w:val="en-GB"/>
        </w:rPr>
        <w:footnoteReference w:id="169"/>
      </w:r>
      <w:r w:rsidR="005429FE" w:rsidRPr="0040433A">
        <w:rPr>
          <w:lang w:val="en-GB"/>
        </w:rPr>
        <w:t xml:space="preserve"> </w:t>
      </w:r>
    </w:p>
    <w:p w14:paraId="3E687971" w14:textId="626B7329" w:rsidR="00511491" w:rsidRPr="0040433A" w:rsidRDefault="001D21BE" w:rsidP="0040433A">
      <w:pPr>
        <w:spacing w:line="276" w:lineRule="auto"/>
        <w:ind w:firstLine="720"/>
        <w:jc w:val="both"/>
        <w:rPr>
          <w:lang w:val="en-GB"/>
        </w:rPr>
      </w:pPr>
      <w:r w:rsidRPr="0040433A">
        <w:rPr>
          <w:lang w:val="en-GB"/>
        </w:rPr>
        <w:t xml:space="preserve">The notion of joint and several liability is visible at the international level in the 1972 Convention on </w:t>
      </w:r>
      <w:r w:rsidR="00F24D31">
        <w:rPr>
          <w:lang w:val="en-GB"/>
        </w:rPr>
        <w:t>I</w:t>
      </w:r>
      <w:r w:rsidR="00F24D31" w:rsidRPr="0040433A">
        <w:rPr>
          <w:lang w:val="en-GB"/>
        </w:rPr>
        <w:t xml:space="preserve">nternational </w:t>
      </w:r>
      <w:r w:rsidRPr="0040433A">
        <w:rPr>
          <w:lang w:val="en-GB"/>
        </w:rPr>
        <w:t>Liability for Damage Caused by Space Objects.</w:t>
      </w:r>
      <w:r w:rsidRPr="0040433A">
        <w:rPr>
          <w:rStyle w:val="FootnoteReference"/>
          <w:sz w:val="24"/>
          <w:lang w:val="en-GB"/>
        </w:rPr>
        <w:footnoteReference w:id="170"/>
      </w:r>
      <w:r w:rsidR="007E5817" w:rsidRPr="0040433A">
        <w:rPr>
          <w:lang w:val="en-GB"/>
        </w:rPr>
        <w:t xml:space="preserve"> States jointly participating </w:t>
      </w:r>
      <w:r w:rsidR="003E09F6" w:rsidRPr="0040433A">
        <w:rPr>
          <w:lang w:val="en-GB"/>
        </w:rPr>
        <w:t xml:space="preserve">in </w:t>
      </w:r>
      <w:r w:rsidR="007E5817" w:rsidRPr="0040433A">
        <w:rPr>
          <w:lang w:val="en-GB"/>
        </w:rPr>
        <w:t>the launch of a space object are to be held ‘jointly and severally liable for the damage caused.’</w:t>
      </w:r>
      <w:r w:rsidR="007E5817" w:rsidRPr="0040433A">
        <w:rPr>
          <w:rStyle w:val="FootnoteReference"/>
          <w:sz w:val="24"/>
          <w:lang w:val="en-GB"/>
        </w:rPr>
        <w:footnoteReference w:id="171"/>
      </w:r>
      <w:r w:rsidR="007E5817" w:rsidRPr="0040433A">
        <w:rPr>
          <w:lang w:val="en-GB"/>
        </w:rPr>
        <w:t xml:space="preserve"> Interestingly, a similar provision contemplates wrongdoers acting </w:t>
      </w:r>
      <w:r w:rsidR="007E5817" w:rsidRPr="0040433A">
        <w:rPr>
          <w:i/>
          <w:lang w:val="en-GB"/>
        </w:rPr>
        <w:t>independently</w:t>
      </w:r>
      <w:r w:rsidR="007E5817" w:rsidRPr="0040433A">
        <w:rPr>
          <w:lang w:val="en-GB"/>
        </w:rPr>
        <w:t>.</w:t>
      </w:r>
      <w:r w:rsidR="007E5817" w:rsidRPr="0040433A">
        <w:rPr>
          <w:rStyle w:val="FootnoteReference"/>
          <w:sz w:val="24"/>
          <w:lang w:val="en-GB"/>
        </w:rPr>
        <w:footnoteReference w:id="172"/>
      </w:r>
      <w:r w:rsidR="007E5817" w:rsidRPr="0040433A">
        <w:rPr>
          <w:lang w:val="en-GB"/>
        </w:rPr>
        <w:t xml:space="preserve"> Thus, a party injured as a result of the collision of two space objects may claim compensation from all or any of the launching States involved. There is no requirement that they act in concert. In determining how responsibility </w:t>
      </w:r>
      <w:r w:rsidR="00101E2C">
        <w:rPr>
          <w:lang w:val="en-GB"/>
        </w:rPr>
        <w:t xml:space="preserve">for damages </w:t>
      </w:r>
      <w:r w:rsidR="007E5817" w:rsidRPr="0040433A">
        <w:rPr>
          <w:lang w:val="en-GB"/>
        </w:rPr>
        <w:t xml:space="preserve">will be allocated, </w:t>
      </w:r>
      <w:r w:rsidR="00495374" w:rsidRPr="0040433A">
        <w:rPr>
          <w:lang w:val="en-GB"/>
        </w:rPr>
        <w:t>a</w:t>
      </w:r>
      <w:r w:rsidR="007E5817" w:rsidRPr="0040433A">
        <w:rPr>
          <w:lang w:val="en-GB"/>
        </w:rPr>
        <w:t>rticle 4(2) provides that the burden ‘shall be apportioned between the first two States in accordance to the extent they were at fault; if the extent of the fault… cannot be established… compensation shall be apportioned equally between them’.</w:t>
      </w:r>
      <w:r w:rsidR="007E5817" w:rsidRPr="0040433A">
        <w:rPr>
          <w:rStyle w:val="FootnoteReference"/>
          <w:sz w:val="24"/>
          <w:lang w:val="en-GB"/>
        </w:rPr>
        <w:footnoteReference w:id="173"/>
      </w:r>
      <w:r w:rsidR="003775D4" w:rsidRPr="0040433A">
        <w:rPr>
          <w:lang w:val="en-GB"/>
        </w:rPr>
        <w:t xml:space="preserve"> </w:t>
      </w:r>
      <w:r w:rsidR="00511491" w:rsidRPr="0040433A">
        <w:rPr>
          <w:lang w:val="en-GB"/>
        </w:rPr>
        <w:t xml:space="preserve">This approach is advocated by Noyes &amp; Smith in advancing a general notion of joint and several </w:t>
      </w:r>
      <w:r w:rsidR="00931F23" w:rsidRPr="0040433A">
        <w:rPr>
          <w:lang w:val="en-GB"/>
        </w:rPr>
        <w:t>liability</w:t>
      </w:r>
      <w:r w:rsidR="00EF24A9" w:rsidRPr="0040433A">
        <w:rPr>
          <w:lang w:val="en-GB"/>
        </w:rPr>
        <w:t xml:space="preserve"> in international law.</w:t>
      </w:r>
      <w:r w:rsidR="00511491" w:rsidRPr="0040433A">
        <w:rPr>
          <w:rStyle w:val="FootnoteReference"/>
          <w:sz w:val="24"/>
          <w:lang w:val="en-GB"/>
        </w:rPr>
        <w:footnoteReference w:id="174"/>
      </w:r>
      <w:r w:rsidR="00EF24A9" w:rsidRPr="0040433A">
        <w:rPr>
          <w:lang w:val="en-GB"/>
        </w:rPr>
        <w:t xml:space="preserve"> Indeed, international practice has indicated that the liability of States may be adjusted to reflect the intervening conduct of non-State actors.</w:t>
      </w:r>
      <w:r w:rsidR="00EF24A9" w:rsidRPr="0040433A">
        <w:rPr>
          <w:rStyle w:val="FootnoteReference"/>
          <w:sz w:val="24"/>
          <w:lang w:val="en-GB"/>
        </w:rPr>
        <w:footnoteReference w:id="175"/>
      </w:r>
      <w:r w:rsidR="00EF24A9" w:rsidRPr="0040433A">
        <w:rPr>
          <w:lang w:val="en-GB"/>
        </w:rPr>
        <w:t xml:space="preserve"> </w:t>
      </w:r>
    </w:p>
    <w:p w14:paraId="00938FF6" w14:textId="1415601A" w:rsidR="004F300C" w:rsidRPr="0040433A" w:rsidRDefault="00511491" w:rsidP="0040433A">
      <w:pPr>
        <w:spacing w:line="276" w:lineRule="auto"/>
        <w:ind w:firstLine="720"/>
        <w:jc w:val="both"/>
        <w:rPr>
          <w:lang w:val="en-GB"/>
        </w:rPr>
      </w:pPr>
      <w:r w:rsidRPr="0040433A">
        <w:rPr>
          <w:lang w:val="en-GB"/>
        </w:rPr>
        <w:t xml:space="preserve">While the Space </w:t>
      </w:r>
      <w:r w:rsidR="00025F22">
        <w:rPr>
          <w:lang w:val="en-GB"/>
        </w:rPr>
        <w:t xml:space="preserve">Liability </w:t>
      </w:r>
      <w:r w:rsidRPr="0040433A">
        <w:rPr>
          <w:lang w:val="en-GB"/>
        </w:rPr>
        <w:t>Convention</w:t>
      </w:r>
      <w:r w:rsidR="003775D4" w:rsidRPr="0040433A">
        <w:rPr>
          <w:lang w:val="en-GB"/>
        </w:rPr>
        <w:t xml:space="preserve"> provides an example of the principle in operation in international law, this regime only operates between States.</w:t>
      </w:r>
      <w:r w:rsidRPr="0040433A">
        <w:rPr>
          <w:lang w:val="en-GB"/>
        </w:rPr>
        <w:t xml:space="preserve"> </w:t>
      </w:r>
      <w:r w:rsidR="00B90991" w:rsidRPr="0040433A">
        <w:rPr>
          <w:lang w:val="en-GB"/>
        </w:rPr>
        <w:t xml:space="preserve">A more compelling analogy may be </w:t>
      </w:r>
      <w:r w:rsidR="00D26968">
        <w:rPr>
          <w:lang w:val="en-GB"/>
        </w:rPr>
        <w:t>drawn from</w:t>
      </w:r>
      <w:r w:rsidR="00B90991" w:rsidRPr="0040433A">
        <w:rPr>
          <w:lang w:val="en-GB"/>
        </w:rPr>
        <w:t xml:space="preserve"> </w:t>
      </w:r>
      <w:r w:rsidR="00A62944" w:rsidRPr="0040433A">
        <w:rPr>
          <w:lang w:val="en-GB"/>
        </w:rPr>
        <w:t xml:space="preserve">the </w:t>
      </w:r>
      <w:r w:rsidR="00952133" w:rsidRPr="0040433A">
        <w:rPr>
          <w:lang w:val="en-GB"/>
        </w:rPr>
        <w:t>Convention on the Law of the Sea (UNCLOS)</w:t>
      </w:r>
      <w:r w:rsidR="00681D9B" w:rsidRPr="0040433A">
        <w:rPr>
          <w:lang w:val="en-GB"/>
        </w:rPr>
        <w:t>, where</w:t>
      </w:r>
      <w:r w:rsidR="00744510" w:rsidRPr="0040433A">
        <w:rPr>
          <w:lang w:val="en-GB"/>
        </w:rPr>
        <w:t xml:space="preserve"> supervisory</w:t>
      </w:r>
      <w:r w:rsidR="00681D9B" w:rsidRPr="0040433A">
        <w:rPr>
          <w:lang w:val="en-GB"/>
        </w:rPr>
        <w:t xml:space="preserve"> obligations are split between sponsoring States, and the Inter</w:t>
      </w:r>
      <w:r w:rsidR="00744510" w:rsidRPr="0040433A">
        <w:rPr>
          <w:lang w:val="en-GB"/>
        </w:rPr>
        <w:t>national Seabed Authority (ISA),</w:t>
      </w:r>
      <w:r w:rsidR="002B7E81" w:rsidRPr="0040433A">
        <w:rPr>
          <w:rStyle w:val="FootnoteReference"/>
          <w:sz w:val="24"/>
          <w:shd w:val="clear" w:color="auto" w:fill="FFFFFF"/>
          <w:lang w:val="en-GB"/>
        </w:rPr>
        <w:footnoteReference w:id="176"/>
      </w:r>
      <w:r w:rsidR="00744510" w:rsidRPr="0040433A">
        <w:rPr>
          <w:lang w:val="en-GB"/>
        </w:rPr>
        <w:t xml:space="preserve"> and private sponsored entities are bound by the provisions of internationali</w:t>
      </w:r>
      <w:r w:rsidR="008316A4" w:rsidRPr="0040433A">
        <w:rPr>
          <w:lang w:val="en-GB"/>
        </w:rPr>
        <w:t>s</w:t>
      </w:r>
      <w:r w:rsidR="00744510" w:rsidRPr="0040433A">
        <w:rPr>
          <w:lang w:val="en-GB"/>
        </w:rPr>
        <w:t>ed contracts concluded with the ISA.</w:t>
      </w:r>
      <w:r w:rsidR="00744510" w:rsidRPr="0040433A">
        <w:rPr>
          <w:rStyle w:val="FootnoteReference"/>
          <w:sz w:val="24"/>
          <w:lang w:val="en-GB"/>
        </w:rPr>
        <w:footnoteReference w:id="177"/>
      </w:r>
      <w:r w:rsidR="00952133" w:rsidRPr="0040433A">
        <w:rPr>
          <w:lang w:val="en-GB"/>
        </w:rPr>
        <w:t xml:space="preserve"> </w:t>
      </w:r>
      <w:r w:rsidR="00EB347F" w:rsidRPr="0040433A">
        <w:rPr>
          <w:lang w:val="en-GB"/>
        </w:rPr>
        <w:t xml:space="preserve">Particularly interesting is </w:t>
      </w:r>
      <w:r w:rsidR="00495374" w:rsidRPr="0040433A">
        <w:rPr>
          <w:lang w:val="en-GB"/>
        </w:rPr>
        <w:t>a</w:t>
      </w:r>
      <w:r w:rsidR="00952133" w:rsidRPr="0040433A">
        <w:rPr>
          <w:lang w:val="en-GB"/>
        </w:rPr>
        <w:t>rticle 139</w:t>
      </w:r>
      <w:r w:rsidR="00EB347F" w:rsidRPr="0040433A">
        <w:rPr>
          <w:lang w:val="en-GB"/>
        </w:rPr>
        <w:t>, which</w:t>
      </w:r>
      <w:r w:rsidR="00952133" w:rsidRPr="0040433A">
        <w:rPr>
          <w:lang w:val="en-GB"/>
        </w:rPr>
        <w:t xml:space="preserve"> provides that ‘</w:t>
      </w:r>
      <w:r w:rsidR="00952133" w:rsidRPr="0040433A">
        <w:rPr>
          <w:shd w:val="clear" w:color="auto" w:fill="FFFFFF"/>
          <w:lang w:val="en-GB"/>
        </w:rPr>
        <w:t xml:space="preserve">States </w:t>
      </w:r>
      <w:r w:rsidR="00785709" w:rsidRPr="0040433A">
        <w:rPr>
          <w:shd w:val="clear" w:color="auto" w:fill="FFFFFF"/>
          <w:lang w:val="en-GB"/>
        </w:rPr>
        <w:t xml:space="preserve">Parties or international </w:t>
      </w:r>
      <w:r w:rsidR="00C12898" w:rsidRPr="0040433A">
        <w:rPr>
          <w:shd w:val="clear" w:color="auto" w:fill="FFFFFF"/>
          <w:lang w:val="en-GB"/>
        </w:rPr>
        <w:t>organization</w:t>
      </w:r>
      <w:r w:rsidR="00952133" w:rsidRPr="0040433A">
        <w:rPr>
          <w:shd w:val="clear" w:color="auto" w:fill="FFFFFF"/>
          <w:lang w:val="en-GB"/>
        </w:rPr>
        <w:t>s acting together shall be</w:t>
      </w:r>
      <w:r w:rsidR="00CF4C5E">
        <w:rPr>
          <w:shd w:val="clear" w:color="auto" w:fill="FFFFFF"/>
          <w:lang w:val="en-GB"/>
        </w:rPr>
        <w:t>ar joint and several liability’</w:t>
      </w:r>
      <w:r w:rsidR="00952133" w:rsidRPr="0040433A">
        <w:rPr>
          <w:shd w:val="clear" w:color="auto" w:fill="FFFFFF"/>
          <w:lang w:val="en-GB"/>
        </w:rPr>
        <w:t xml:space="preserve"> for damage resulting from </w:t>
      </w:r>
      <w:r w:rsidR="00016206" w:rsidRPr="0040433A">
        <w:rPr>
          <w:shd w:val="clear" w:color="auto" w:fill="FFFFFF"/>
          <w:lang w:val="en-GB"/>
        </w:rPr>
        <w:t>their failure</w:t>
      </w:r>
      <w:r w:rsidR="00952133" w:rsidRPr="0040433A">
        <w:rPr>
          <w:shd w:val="clear" w:color="auto" w:fill="FFFFFF"/>
          <w:lang w:val="en-GB"/>
        </w:rPr>
        <w:t xml:space="preserve"> to carry out their responsibilities.</w:t>
      </w:r>
      <w:r w:rsidR="000B7CC2" w:rsidRPr="0040433A">
        <w:rPr>
          <w:rStyle w:val="FootnoteReference"/>
          <w:sz w:val="24"/>
          <w:shd w:val="clear" w:color="auto" w:fill="FFFFFF"/>
          <w:lang w:val="en-GB"/>
        </w:rPr>
        <w:footnoteReference w:id="178"/>
      </w:r>
      <w:r w:rsidR="00A35391" w:rsidRPr="0040433A">
        <w:rPr>
          <w:shd w:val="clear" w:color="auto" w:fill="FFFFFF"/>
          <w:lang w:val="en-GB"/>
        </w:rPr>
        <w:t xml:space="preserve"> The </w:t>
      </w:r>
      <w:r w:rsidR="003D7170" w:rsidRPr="0040433A">
        <w:rPr>
          <w:shd w:val="clear" w:color="auto" w:fill="FFFFFF"/>
          <w:lang w:val="en-GB"/>
        </w:rPr>
        <w:t>International Tribunal for the Law of the Sea (</w:t>
      </w:r>
      <w:r w:rsidR="00543C93" w:rsidRPr="0040433A">
        <w:rPr>
          <w:shd w:val="clear" w:color="auto" w:fill="FFFFFF"/>
          <w:lang w:val="en-GB"/>
        </w:rPr>
        <w:t>ITLOS</w:t>
      </w:r>
      <w:r w:rsidR="003D7170" w:rsidRPr="0040433A">
        <w:rPr>
          <w:shd w:val="clear" w:color="auto" w:fill="FFFFFF"/>
          <w:lang w:val="en-GB"/>
        </w:rPr>
        <w:t>)</w:t>
      </w:r>
      <w:r w:rsidR="00543C93" w:rsidRPr="0040433A">
        <w:rPr>
          <w:shd w:val="clear" w:color="auto" w:fill="FFFFFF"/>
          <w:lang w:val="en-GB"/>
        </w:rPr>
        <w:t xml:space="preserve"> </w:t>
      </w:r>
      <w:r w:rsidR="00A35391" w:rsidRPr="0040433A">
        <w:rPr>
          <w:shd w:val="clear" w:color="auto" w:fill="FFFFFF"/>
          <w:lang w:val="en-GB"/>
        </w:rPr>
        <w:t xml:space="preserve">Seabed </w:t>
      </w:r>
      <w:r w:rsidR="00543C93" w:rsidRPr="0040433A">
        <w:rPr>
          <w:shd w:val="clear" w:color="auto" w:fill="FFFFFF"/>
          <w:lang w:val="en-GB"/>
        </w:rPr>
        <w:t xml:space="preserve">Disputes </w:t>
      </w:r>
      <w:r w:rsidR="00A35391" w:rsidRPr="0040433A">
        <w:rPr>
          <w:shd w:val="clear" w:color="auto" w:fill="FFFFFF"/>
          <w:lang w:val="en-GB"/>
        </w:rPr>
        <w:t>Chamber has confirmed the application of this principle, stating that it ‘arises where different entities have contributed to the same damage so that full reparation can be claimed from all or any of them.’</w:t>
      </w:r>
      <w:r w:rsidR="00A35391" w:rsidRPr="0040433A">
        <w:rPr>
          <w:rStyle w:val="FootnoteReference"/>
          <w:sz w:val="24"/>
          <w:shd w:val="clear" w:color="auto" w:fill="FFFFFF"/>
          <w:lang w:val="en-GB"/>
        </w:rPr>
        <w:footnoteReference w:id="179"/>
      </w:r>
      <w:r w:rsidR="008763B0" w:rsidRPr="0040433A">
        <w:rPr>
          <w:shd w:val="clear" w:color="auto" w:fill="FFFFFF"/>
          <w:lang w:val="en-GB"/>
        </w:rPr>
        <w:t xml:space="preserve"> </w:t>
      </w:r>
      <w:r w:rsidR="00307CFA" w:rsidRPr="0040433A">
        <w:rPr>
          <w:shd w:val="clear" w:color="auto" w:fill="FFFFFF"/>
          <w:lang w:val="en-GB"/>
        </w:rPr>
        <w:t xml:space="preserve">It is interesting to note </w:t>
      </w:r>
      <w:r w:rsidR="00E10DFE" w:rsidRPr="0040433A">
        <w:rPr>
          <w:shd w:val="clear" w:color="auto" w:fill="FFFFFF"/>
          <w:lang w:val="en-GB"/>
        </w:rPr>
        <w:t xml:space="preserve">the </w:t>
      </w:r>
      <w:r w:rsidR="005B3284" w:rsidRPr="0040433A">
        <w:rPr>
          <w:shd w:val="clear" w:color="auto" w:fill="FFFFFF"/>
          <w:lang w:val="en-GB"/>
        </w:rPr>
        <w:t xml:space="preserve">‘same damage’ </w:t>
      </w:r>
      <w:r w:rsidR="00307CFA" w:rsidRPr="0040433A">
        <w:rPr>
          <w:shd w:val="clear" w:color="auto" w:fill="FFFFFF"/>
          <w:lang w:val="en-GB"/>
        </w:rPr>
        <w:t>criterion</w:t>
      </w:r>
      <w:r w:rsidR="00374948">
        <w:rPr>
          <w:shd w:val="clear" w:color="auto" w:fill="FFFFFF"/>
          <w:lang w:val="en-GB"/>
        </w:rPr>
        <w:t xml:space="preserve"> adopted in article 139 UNCLOS</w:t>
      </w:r>
      <w:r w:rsidR="00307CFA" w:rsidRPr="0040433A">
        <w:rPr>
          <w:shd w:val="clear" w:color="auto" w:fill="FFFFFF"/>
          <w:lang w:val="en-GB"/>
        </w:rPr>
        <w:t>, which</w:t>
      </w:r>
      <w:r w:rsidR="005B3284" w:rsidRPr="0040433A">
        <w:rPr>
          <w:shd w:val="clear" w:color="auto" w:fill="FFFFFF"/>
          <w:lang w:val="en-GB"/>
        </w:rPr>
        <w:t xml:space="preserve"> departs from the ‘common wrongful act’ stipulation in </w:t>
      </w:r>
      <w:r w:rsidR="00495374" w:rsidRPr="0040433A">
        <w:rPr>
          <w:shd w:val="clear" w:color="auto" w:fill="FFFFFF"/>
          <w:lang w:val="en-GB"/>
        </w:rPr>
        <w:t>a</w:t>
      </w:r>
      <w:r w:rsidR="005B3284" w:rsidRPr="0040433A">
        <w:rPr>
          <w:shd w:val="clear" w:color="auto" w:fill="FFFFFF"/>
          <w:lang w:val="en-GB"/>
        </w:rPr>
        <w:t>rticle 47 ASRIW</w:t>
      </w:r>
      <w:r w:rsidR="000B7CC2">
        <w:rPr>
          <w:shd w:val="clear" w:color="auto" w:fill="FFFFFF"/>
          <w:lang w:val="en-GB"/>
        </w:rPr>
        <w:t>A</w:t>
      </w:r>
      <w:r w:rsidR="005B3284" w:rsidRPr="0040433A">
        <w:rPr>
          <w:shd w:val="clear" w:color="auto" w:fill="FFFFFF"/>
          <w:lang w:val="en-GB"/>
        </w:rPr>
        <w:t>.</w:t>
      </w:r>
      <w:r w:rsidR="005B3284" w:rsidRPr="0040433A">
        <w:rPr>
          <w:rStyle w:val="FootnoteReference"/>
          <w:sz w:val="24"/>
          <w:shd w:val="clear" w:color="auto" w:fill="FFFFFF"/>
          <w:lang w:val="en-GB"/>
        </w:rPr>
        <w:footnoteReference w:id="180"/>
      </w:r>
      <w:r w:rsidR="00D1177F" w:rsidRPr="0040433A">
        <w:rPr>
          <w:shd w:val="clear" w:color="auto" w:fill="FFFFFF"/>
          <w:lang w:val="en-GB"/>
        </w:rPr>
        <w:t xml:space="preserve"> </w:t>
      </w:r>
      <w:r w:rsidR="005B3284" w:rsidRPr="0040433A">
        <w:rPr>
          <w:shd w:val="clear" w:color="auto" w:fill="FFFFFF"/>
          <w:lang w:val="en-GB"/>
        </w:rPr>
        <w:t xml:space="preserve">Indeed, the </w:t>
      </w:r>
      <w:r w:rsidR="005B327D" w:rsidRPr="0040433A">
        <w:rPr>
          <w:shd w:val="clear" w:color="auto" w:fill="FFFFFF"/>
          <w:lang w:val="en-GB"/>
        </w:rPr>
        <w:t>Seabed</w:t>
      </w:r>
      <w:r w:rsidR="005B3284" w:rsidRPr="0040433A">
        <w:rPr>
          <w:shd w:val="clear" w:color="auto" w:fill="FFFFFF"/>
          <w:lang w:val="en-GB"/>
        </w:rPr>
        <w:t xml:space="preserve"> Chamber has confirmed that sponsoring states and international </w:t>
      </w:r>
      <w:r w:rsidR="00C12898" w:rsidRPr="0040433A">
        <w:rPr>
          <w:shd w:val="clear" w:color="auto" w:fill="FFFFFF"/>
          <w:lang w:val="en-GB"/>
        </w:rPr>
        <w:t>organization</w:t>
      </w:r>
      <w:r w:rsidR="005E1762" w:rsidRPr="0040433A">
        <w:rPr>
          <w:shd w:val="clear" w:color="auto" w:fill="FFFFFF"/>
          <w:lang w:val="en-GB"/>
        </w:rPr>
        <w:t xml:space="preserve">s need not act in </w:t>
      </w:r>
      <w:r w:rsidR="00420947" w:rsidRPr="0040433A">
        <w:rPr>
          <w:shd w:val="clear" w:color="auto" w:fill="FFFFFF"/>
          <w:lang w:val="en-GB"/>
        </w:rPr>
        <w:t>concert;</w:t>
      </w:r>
      <w:r w:rsidR="003611C4" w:rsidRPr="0040433A">
        <w:rPr>
          <w:rStyle w:val="FootnoteReference"/>
          <w:sz w:val="24"/>
          <w:shd w:val="clear" w:color="auto" w:fill="FFFFFF"/>
          <w:lang w:val="en-GB"/>
        </w:rPr>
        <w:footnoteReference w:id="181"/>
      </w:r>
      <w:r w:rsidR="005E1762" w:rsidRPr="0040433A">
        <w:rPr>
          <w:shd w:val="clear" w:color="auto" w:fill="FFFFFF"/>
          <w:lang w:val="en-GB"/>
        </w:rPr>
        <w:t xml:space="preserve"> they need only contribute to the </w:t>
      </w:r>
      <w:r w:rsidR="008C4386" w:rsidRPr="0040433A">
        <w:rPr>
          <w:shd w:val="clear" w:color="auto" w:fill="FFFFFF"/>
          <w:lang w:val="en-GB"/>
        </w:rPr>
        <w:t xml:space="preserve">same </w:t>
      </w:r>
      <w:r w:rsidR="00763D59" w:rsidRPr="0040433A">
        <w:rPr>
          <w:shd w:val="clear" w:color="auto" w:fill="FFFFFF"/>
          <w:lang w:val="en-GB"/>
        </w:rPr>
        <w:t>outcome, a rarity in international law.</w:t>
      </w:r>
      <w:r w:rsidR="00763D59" w:rsidRPr="0040433A">
        <w:rPr>
          <w:rStyle w:val="FootnoteReference"/>
          <w:sz w:val="24"/>
          <w:shd w:val="clear" w:color="auto" w:fill="FFFFFF"/>
          <w:lang w:val="en-GB"/>
        </w:rPr>
        <w:footnoteReference w:id="182"/>
      </w:r>
      <w:r w:rsidR="005B3284" w:rsidRPr="0040433A">
        <w:rPr>
          <w:shd w:val="clear" w:color="auto" w:fill="FFFFFF"/>
          <w:lang w:val="en-GB"/>
        </w:rPr>
        <w:t xml:space="preserve"> </w:t>
      </w:r>
    </w:p>
    <w:p w14:paraId="53D5C335" w14:textId="1314909A" w:rsidR="005E5B24" w:rsidRPr="0040433A" w:rsidRDefault="008900F9" w:rsidP="0040433A">
      <w:pPr>
        <w:spacing w:line="276" w:lineRule="auto"/>
        <w:ind w:firstLine="720"/>
        <w:jc w:val="both"/>
        <w:rPr>
          <w:shd w:val="clear" w:color="auto" w:fill="FFFFFF"/>
          <w:lang w:val="en-GB"/>
        </w:rPr>
      </w:pPr>
      <w:r w:rsidRPr="0040433A">
        <w:rPr>
          <w:shd w:val="clear" w:color="auto" w:fill="FFFFFF"/>
          <w:lang w:val="en-GB"/>
        </w:rPr>
        <w:t>Still, the apportionment of responsibility remains problematic</w:t>
      </w:r>
      <w:r w:rsidR="00F7602E" w:rsidRPr="0040433A">
        <w:rPr>
          <w:shd w:val="clear" w:color="auto" w:fill="FFFFFF"/>
          <w:lang w:val="en-GB"/>
        </w:rPr>
        <w:t>.</w:t>
      </w:r>
      <w:r w:rsidR="00F7602E" w:rsidRPr="0040433A">
        <w:rPr>
          <w:rStyle w:val="FootnoteReference"/>
          <w:sz w:val="24"/>
          <w:shd w:val="clear" w:color="auto" w:fill="FFFFFF"/>
          <w:lang w:val="en-GB"/>
        </w:rPr>
        <w:footnoteReference w:id="183"/>
      </w:r>
      <w:r w:rsidRPr="0040433A">
        <w:rPr>
          <w:shd w:val="clear" w:color="auto" w:fill="FFFFFF"/>
          <w:lang w:val="en-GB"/>
        </w:rPr>
        <w:t xml:space="preserve"> </w:t>
      </w:r>
      <w:r w:rsidR="00F7602E" w:rsidRPr="0040433A">
        <w:rPr>
          <w:shd w:val="clear" w:color="auto" w:fill="FFFFFF"/>
          <w:lang w:val="en-GB"/>
        </w:rPr>
        <w:t>Under UNCLOS,</w:t>
      </w:r>
      <w:r w:rsidRPr="0040433A">
        <w:rPr>
          <w:shd w:val="clear" w:color="auto" w:fill="FFFFFF"/>
          <w:lang w:val="en-GB"/>
        </w:rPr>
        <w:t xml:space="preserve"> States and the ISA are burdened with supervisory obligations, </w:t>
      </w:r>
      <w:r w:rsidR="00B56972" w:rsidRPr="0040433A">
        <w:rPr>
          <w:shd w:val="clear" w:color="auto" w:fill="FFFFFF"/>
          <w:lang w:val="en-GB"/>
        </w:rPr>
        <w:t>while</w:t>
      </w:r>
      <w:r w:rsidRPr="0040433A">
        <w:rPr>
          <w:shd w:val="clear" w:color="auto" w:fill="FFFFFF"/>
          <w:lang w:val="en-GB"/>
        </w:rPr>
        <w:t xml:space="preserve"> private </w:t>
      </w:r>
      <w:r w:rsidR="00B56972" w:rsidRPr="0040433A">
        <w:rPr>
          <w:shd w:val="clear" w:color="auto" w:fill="FFFFFF"/>
          <w:lang w:val="en-GB"/>
        </w:rPr>
        <w:t>contractors</w:t>
      </w:r>
      <w:r w:rsidRPr="0040433A">
        <w:rPr>
          <w:shd w:val="clear" w:color="auto" w:fill="FFFFFF"/>
          <w:lang w:val="en-GB"/>
        </w:rPr>
        <w:t xml:space="preserve"> </w:t>
      </w:r>
      <w:r w:rsidR="0036319A" w:rsidRPr="0040433A">
        <w:rPr>
          <w:shd w:val="clear" w:color="auto" w:fill="FFFFFF"/>
          <w:lang w:val="en-GB"/>
        </w:rPr>
        <w:t xml:space="preserve">will often </w:t>
      </w:r>
      <w:r w:rsidRPr="0040433A">
        <w:rPr>
          <w:shd w:val="clear" w:color="auto" w:fill="FFFFFF"/>
          <w:lang w:val="en-GB"/>
        </w:rPr>
        <w:t>carry out the harmful act in question.</w:t>
      </w:r>
      <w:r w:rsidRPr="0040433A">
        <w:rPr>
          <w:rStyle w:val="FootnoteReference"/>
          <w:sz w:val="24"/>
          <w:shd w:val="clear" w:color="auto" w:fill="FFFFFF"/>
          <w:lang w:val="en-GB"/>
        </w:rPr>
        <w:footnoteReference w:id="184"/>
      </w:r>
      <w:r w:rsidRPr="0040433A">
        <w:rPr>
          <w:shd w:val="clear" w:color="auto" w:fill="FFFFFF"/>
          <w:lang w:val="en-GB"/>
        </w:rPr>
        <w:t xml:space="preserve"> </w:t>
      </w:r>
      <w:r w:rsidR="007F7798" w:rsidRPr="0040433A">
        <w:rPr>
          <w:shd w:val="clear" w:color="auto" w:fill="FFFFFF"/>
          <w:lang w:val="en-GB"/>
        </w:rPr>
        <w:t>The Seabed Chamber has recently concluded that the obligations giving rise to joint and several liability between States and the ISA, and the contractual obligations of a private actor with the ISA, exist in parallel.</w:t>
      </w:r>
      <w:r w:rsidR="007F7798" w:rsidRPr="0040433A">
        <w:rPr>
          <w:rStyle w:val="FootnoteReference"/>
          <w:sz w:val="24"/>
          <w:shd w:val="clear" w:color="auto" w:fill="FFFFFF"/>
          <w:lang w:val="en-GB"/>
        </w:rPr>
        <w:footnoteReference w:id="185"/>
      </w:r>
      <w:r w:rsidR="007F7798" w:rsidRPr="0040433A">
        <w:rPr>
          <w:shd w:val="clear" w:color="auto" w:fill="FFFFFF"/>
          <w:lang w:val="en-GB"/>
        </w:rPr>
        <w:t xml:space="preserve"> Thus, under</w:t>
      </w:r>
      <w:r w:rsidR="008763B0" w:rsidRPr="0040433A">
        <w:rPr>
          <w:shd w:val="clear" w:color="auto" w:fill="FFFFFF"/>
          <w:lang w:val="en-GB"/>
        </w:rPr>
        <w:t xml:space="preserve"> UNCLOS, ‘no regime of joint and several liability of a sponsoring State and a private contractor was said to exist’</w:t>
      </w:r>
      <w:r w:rsidR="00EE2EE1" w:rsidRPr="0040433A">
        <w:rPr>
          <w:rStyle w:val="FootnoteReference"/>
          <w:sz w:val="24"/>
          <w:shd w:val="clear" w:color="auto" w:fill="FFFFFF"/>
          <w:lang w:val="en-GB"/>
        </w:rPr>
        <w:footnoteReference w:id="186"/>
      </w:r>
      <w:r w:rsidR="008763B0" w:rsidRPr="0040433A">
        <w:rPr>
          <w:shd w:val="clear" w:color="auto" w:fill="FFFFFF"/>
          <w:lang w:val="en-GB"/>
        </w:rPr>
        <w:t xml:space="preserve"> where a State had taken all measure</w:t>
      </w:r>
      <w:r w:rsidR="007F7798" w:rsidRPr="0040433A">
        <w:rPr>
          <w:shd w:val="clear" w:color="auto" w:fill="FFFFFF"/>
          <w:lang w:val="en-GB"/>
        </w:rPr>
        <w:t>s</w:t>
      </w:r>
      <w:r w:rsidR="008763B0" w:rsidRPr="0040433A">
        <w:rPr>
          <w:shd w:val="clear" w:color="auto" w:fill="FFFFFF"/>
          <w:lang w:val="en-GB"/>
        </w:rPr>
        <w:t xml:space="preserve"> necessary</w:t>
      </w:r>
      <w:r w:rsidR="007F7798" w:rsidRPr="0040433A">
        <w:rPr>
          <w:shd w:val="clear" w:color="auto" w:fill="FFFFFF"/>
          <w:lang w:val="en-GB"/>
        </w:rPr>
        <w:t xml:space="preserve"> to ensure effective compliance.</w:t>
      </w:r>
      <w:r w:rsidR="008763B0" w:rsidRPr="0040433A">
        <w:rPr>
          <w:rStyle w:val="FootnoteReference"/>
          <w:sz w:val="24"/>
          <w:shd w:val="clear" w:color="auto" w:fill="FFFFFF"/>
          <w:lang w:val="en-GB"/>
        </w:rPr>
        <w:footnoteReference w:id="187"/>
      </w:r>
      <w:r w:rsidR="007F7798" w:rsidRPr="0040433A">
        <w:rPr>
          <w:shd w:val="clear" w:color="auto" w:fill="FFFFFF"/>
          <w:lang w:val="en-GB"/>
        </w:rPr>
        <w:t xml:space="preserve"> Instead, the liability of the contractor will need to be pursued at the domestic level, or brought to the Seabed Chamber by the ISA for breach of contract.</w:t>
      </w:r>
      <w:r w:rsidR="008763B0" w:rsidRPr="0040433A">
        <w:rPr>
          <w:shd w:val="clear" w:color="auto" w:fill="FFFFFF"/>
          <w:lang w:val="en-GB"/>
        </w:rPr>
        <w:t xml:space="preserve"> </w:t>
      </w:r>
      <w:r w:rsidR="00D3329B" w:rsidRPr="0040433A">
        <w:rPr>
          <w:shd w:val="clear" w:color="auto" w:fill="FFFFFF"/>
          <w:lang w:val="en-GB"/>
        </w:rPr>
        <w:t>Yet,</w:t>
      </w:r>
      <w:r w:rsidR="007F7798" w:rsidRPr="0040433A">
        <w:rPr>
          <w:shd w:val="clear" w:color="auto" w:fill="FFFFFF"/>
          <w:lang w:val="en-GB"/>
        </w:rPr>
        <w:t xml:space="preserve"> </w:t>
      </w:r>
      <w:r w:rsidR="008763B0" w:rsidRPr="0040433A">
        <w:rPr>
          <w:shd w:val="clear" w:color="auto" w:fill="FFFFFF"/>
          <w:lang w:val="en-GB"/>
        </w:rPr>
        <w:t xml:space="preserve">Nollkaemper has suggested that there may be </w:t>
      </w:r>
      <w:r w:rsidR="00201796" w:rsidRPr="0040433A">
        <w:rPr>
          <w:shd w:val="clear" w:color="auto" w:fill="FFFFFF"/>
          <w:lang w:val="en-GB"/>
        </w:rPr>
        <w:t xml:space="preserve">interpretive </w:t>
      </w:r>
      <w:r w:rsidR="008763B0" w:rsidRPr="0040433A">
        <w:rPr>
          <w:shd w:val="clear" w:color="auto" w:fill="FFFFFF"/>
          <w:lang w:val="en-GB"/>
        </w:rPr>
        <w:t xml:space="preserve">room </w:t>
      </w:r>
      <w:r w:rsidR="00201796" w:rsidRPr="0040433A">
        <w:rPr>
          <w:shd w:val="clear" w:color="auto" w:fill="FFFFFF"/>
          <w:lang w:val="en-GB"/>
        </w:rPr>
        <w:t>to read in a form of joint and several</w:t>
      </w:r>
      <w:r w:rsidR="008763B0" w:rsidRPr="0040433A">
        <w:rPr>
          <w:shd w:val="clear" w:color="auto" w:fill="FFFFFF"/>
          <w:lang w:val="en-GB"/>
        </w:rPr>
        <w:t xml:space="preserve"> liability </w:t>
      </w:r>
      <w:r w:rsidR="00201796" w:rsidRPr="0040433A">
        <w:rPr>
          <w:shd w:val="clear" w:color="auto" w:fill="FFFFFF"/>
          <w:lang w:val="en-GB"/>
        </w:rPr>
        <w:t>between States and non-State actors</w:t>
      </w:r>
      <w:r w:rsidR="00D3329B" w:rsidRPr="0040433A">
        <w:rPr>
          <w:shd w:val="clear" w:color="auto" w:fill="FFFFFF"/>
          <w:lang w:val="en-GB"/>
        </w:rPr>
        <w:t>.</w:t>
      </w:r>
      <w:r w:rsidR="008763B0" w:rsidRPr="0040433A">
        <w:rPr>
          <w:rStyle w:val="FootnoteReference"/>
          <w:sz w:val="24"/>
          <w:shd w:val="clear" w:color="auto" w:fill="FFFFFF"/>
          <w:lang w:val="en-GB"/>
        </w:rPr>
        <w:footnoteReference w:id="188"/>
      </w:r>
      <w:r w:rsidR="00201796" w:rsidRPr="0040433A">
        <w:rPr>
          <w:shd w:val="clear" w:color="auto" w:fill="FFFFFF"/>
          <w:lang w:val="en-GB"/>
        </w:rPr>
        <w:t xml:space="preserve"> Though the types of obligations incumbent on each entity are arguably distinct</w:t>
      </w:r>
      <w:r w:rsidR="00495374" w:rsidRPr="0040433A">
        <w:rPr>
          <w:shd w:val="clear" w:color="auto" w:fill="FFFFFF"/>
          <w:lang w:val="en-GB"/>
        </w:rPr>
        <w:t>, a</w:t>
      </w:r>
      <w:r w:rsidR="00D3329B" w:rsidRPr="0040433A">
        <w:rPr>
          <w:shd w:val="clear" w:color="auto" w:fill="FFFFFF"/>
          <w:lang w:val="en-GB"/>
        </w:rPr>
        <w:t xml:space="preserve">rticle 22 of </w:t>
      </w:r>
      <w:r w:rsidR="00915BB0">
        <w:rPr>
          <w:shd w:val="clear" w:color="auto" w:fill="FFFFFF"/>
          <w:lang w:val="en-GB"/>
        </w:rPr>
        <w:t>a</w:t>
      </w:r>
      <w:r w:rsidR="00915BB0" w:rsidRPr="0040433A">
        <w:rPr>
          <w:shd w:val="clear" w:color="auto" w:fill="FFFFFF"/>
          <w:lang w:val="en-GB"/>
        </w:rPr>
        <w:t xml:space="preserve">nnex </w:t>
      </w:r>
      <w:r w:rsidR="00D3329B" w:rsidRPr="0040433A">
        <w:rPr>
          <w:shd w:val="clear" w:color="auto" w:fill="FFFFFF"/>
          <w:lang w:val="en-GB"/>
        </w:rPr>
        <w:t>3 provides that contractors can be liable for ‘any damage arising out of wrongful acts in the conduct of its operations’,</w:t>
      </w:r>
      <w:r w:rsidR="00D3329B" w:rsidRPr="0040433A">
        <w:rPr>
          <w:rStyle w:val="FootnoteReference"/>
          <w:sz w:val="24"/>
          <w:shd w:val="clear" w:color="auto" w:fill="FFFFFF"/>
          <w:lang w:val="en-GB"/>
        </w:rPr>
        <w:footnoteReference w:id="189"/>
      </w:r>
      <w:r w:rsidR="00D3329B" w:rsidRPr="0040433A">
        <w:rPr>
          <w:shd w:val="clear" w:color="auto" w:fill="FFFFFF"/>
          <w:lang w:val="en-GB"/>
        </w:rPr>
        <w:t xml:space="preserve"> appear</w:t>
      </w:r>
      <w:r w:rsidR="00055418" w:rsidRPr="0040433A">
        <w:rPr>
          <w:shd w:val="clear" w:color="auto" w:fill="FFFFFF"/>
          <w:lang w:val="en-GB"/>
        </w:rPr>
        <w:t>ing</w:t>
      </w:r>
      <w:r w:rsidR="00D3329B" w:rsidRPr="0040433A">
        <w:rPr>
          <w:shd w:val="clear" w:color="auto" w:fill="FFFFFF"/>
          <w:lang w:val="en-GB"/>
        </w:rPr>
        <w:t xml:space="preserve"> to refer to liability in international law.</w:t>
      </w:r>
      <w:r w:rsidR="00D3329B" w:rsidRPr="0040433A">
        <w:rPr>
          <w:rStyle w:val="FootnoteReference"/>
          <w:sz w:val="24"/>
          <w:shd w:val="clear" w:color="auto" w:fill="FFFFFF"/>
          <w:lang w:val="en-GB"/>
        </w:rPr>
        <w:footnoteReference w:id="190"/>
      </w:r>
      <w:r w:rsidR="00D1177F" w:rsidRPr="0040433A">
        <w:rPr>
          <w:shd w:val="clear" w:color="auto" w:fill="FFFFFF"/>
          <w:lang w:val="en-GB"/>
        </w:rPr>
        <w:t xml:space="preserve"> </w:t>
      </w:r>
    </w:p>
    <w:p w14:paraId="323D2400" w14:textId="5258358A" w:rsidR="005255A1" w:rsidRPr="0040433A" w:rsidRDefault="00EA17DE" w:rsidP="0040433A">
      <w:pPr>
        <w:spacing w:line="276" w:lineRule="auto"/>
        <w:ind w:firstLine="720"/>
        <w:jc w:val="both"/>
        <w:rPr>
          <w:shd w:val="clear" w:color="auto" w:fill="FFFFFF"/>
          <w:lang w:val="en-GB"/>
        </w:rPr>
      </w:pPr>
      <w:r w:rsidRPr="0040433A">
        <w:rPr>
          <w:shd w:val="clear" w:color="auto" w:fill="FFFFFF"/>
          <w:lang w:val="en-GB"/>
        </w:rPr>
        <w:t xml:space="preserve">This possibility notwithstanding, </w:t>
      </w:r>
      <w:r w:rsidR="002D5E91" w:rsidRPr="0040433A">
        <w:rPr>
          <w:shd w:val="clear" w:color="auto" w:fill="FFFFFF"/>
          <w:lang w:val="en-GB"/>
        </w:rPr>
        <w:t>Nollkaemper</w:t>
      </w:r>
      <w:r w:rsidR="007F7798" w:rsidRPr="0040433A">
        <w:rPr>
          <w:shd w:val="clear" w:color="auto" w:fill="FFFFFF"/>
          <w:lang w:val="en-GB"/>
        </w:rPr>
        <w:t xml:space="preserve"> is </w:t>
      </w:r>
      <w:r w:rsidR="00EA72A7" w:rsidRPr="0040433A">
        <w:rPr>
          <w:shd w:val="clear" w:color="auto" w:fill="FFFFFF"/>
          <w:lang w:val="en-GB"/>
        </w:rPr>
        <w:t>k</w:t>
      </w:r>
      <w:r w:rsidR="00D1177F" w:rsidRPr="0040433A">
        <w:rPr>
          <w:shd w:val="clear" w:color="auto" w:fill="FFFFFF"/>
          <w:lang w:val="en-GB"/>
        </w:rPr>
        <w:t>een to caution that the decentrali</w:t>
      </w:r>
      <w:r w:rsidR="008316A4" w:rsidRPr="0040433A">
        <w:rPr>
          <w:shd w:val="clear" w:color="auto" w:fill="FFFFFF"/>
          <w:lang w:val="en-GB"/>
        </w:rPr>
        <w:t>s</w:t>
      </w:r>
      <w:r w:rsidR="00D1177F" w:rsidRPr="0040433A">
        <w:rPr>
          <w:shd w:val="clear" w:color="auto" w:fill="FFFFFF"/>
          <w:lang w:val="en-GB"/>
        </w:rPr>
        <w:t>ed nature of the international legal system will pose procedural issues, as will the paucity of courts of compulsory jurisdiction.</w:t>
      </w:r>
      <w:r w:rsidR="00CA70A8" w:rsidRPr="0040433A">
        <w:rPr>
          <w:rStyle w:val="FootnoteReference"/>
          <w:sz w:val="24"/>
          <w:shd w:val="clear" w:color="auto" w:fill="FFFFFF"/>
          <w:lang w:val="en-GB"/>
        </w:rPr>
        <w:footnoteReference w:id="191"/>
      </w:r>
      <w:r w:rsidR="00D1177F" w:rsidRPr="0040433A">
        <w:rPr>
          <w:shd w:val="clear" w:color="auto" w:fill="FFFFFF"/>
          <w:lang w:val="en-GB"/>
        </w:rPr>
        <w:t xml:space="preserve"> </w:t>
      </w:r>
      <w:r w:rsidR="005E5B24" w:rsidRPr="0040433A">
        <w:rPr>
          <w:shd w:val="clear" w:color="auto" w:fill="FFFFFF"/>
          <w:lang w:val="en-GB"/>
        </w:rPr>
        <w:t xml:space="preserve">In the absence of an expansive reading of </w:t>
      </w:r>
      <w:r w:rsidR="00495374" w:rsidRPr="0040433A">
        <w:rPr>
          <w:shd w:val="clear" w:color="auto" w:fill="FFFFFF"/>
          <w:lang w:val="en-GB"/>
        </w:rPr>
        <w:t>a</w:t>
      </w:r>
      <w:r w:rsidR="005E5B24" w:rsidRPr="0040433A">
        <w:rPr>
          <w:shd w:val="clear" w:color="auto" w:fill="FFFFFF"/>
          <w:lang w:val="en-GB"/>
        </w:rPr>
        <w:t>rticle 139,</w:t>
      </w:r>
      <w:r w:rsidR="00B8435D" w:rsidRPr="0040433A">
        <w:rPr>
          <w:shd w:val="clear" w:color="auto" w:fill="FFFFFF"/>
          <w:lang w:val="en-GB"/>
        </w:rPr>
        <w:t xml:space="preserve"> </w:t>
      </w:r>
      <w:r w:rsidR="005E5B24" w:rsidRPr="0040433A">
        <w:rPr>
          <w:shd w:val="clear" w:color="auto" w:fill="FFFFFF"/>
          <w:lang w:val="en-GB"/>
        </w:rPr>
        <w:t>the lack of the joint and several liability of the private contractor might also lead to procedural fragmentation, with claims against States and the ISA being dealt with at international tribunals, and breach of contract claims against private actors being dealt with either at the domestic level, or referred to the Seabed Chamber by the ISA.</w:t>
      </w:r>
      <w:r w:rsidR="005E5B24" w:rsidRPr="0040433A">
        <w:rPr>
          <w:rStyle w:val="FootnoteReference"/>
          <w:sz w:val="24"/>
          <w:shd w:val="clear" w:color="auto" w:fill="FFFFFF"/>
          <w:lang w:val="en-GB"/>
        </w:rPr>
        <w:footnoteReference w:id="192"/>
      </w:r>
      <w:r w:rsidR="005E5B24" w:rsidRPr="0040433A">
        <w:rPr>
          <w:shd w:val="clear" w:color="auto" w:fill="FFFFFF"/>
          <w:lang w:val="en-GB"/>
        </w:rPr>
        <w:t xml:space="preserve"> Given that s</w:t>
      </w:r>
      <w:r w:rsidR="00B8435D" w:rsidRPr="0040433A">
        <w:rPr>
          <w:shd w:val="clear" w:color="auto" w:fill="FFFFFF"/>
          <w:lang w:val="en-GB"/>
        </w:rPr>
        <w:t>ponsoring State</w:t>
      </w:r>
      <w:r w:rsidR="005E5B24" w:rsidRPr="0040433A">
        <w:rPr>
          <w:shd w:val="clear" w:color="auto" w:fill="FFFFFF"/>
          <w:lang w:val="en-GB"/>
        </w:rPr>
        <w:t>s</w:t>
      </w:r>
      <w:r w:rsidR="00B8435D" w:rsidRPr="0040433A">
        <w:rPr>
          <w:shd w:val="clear" w:color="auto" w:fill="FFFFFF"/>
          <w:lang w:val="en-GB"/>
        </w:rPr>
        <w:t xml:space="preserve"> and</w:t>
      </w:r>
      <w:r w:rsidR="005E5B24" w:rsidRPr="0040433A">
        <w:rPr>
          <w:shd w:val="clear" w:color="auto" w:fill="FFFFFF"/>
          <w:lang w:val="en-GB"/>
        </w:rPr>
        <w:t xml:space="preserve"> the</w:t>
      </w:r>
      <w:r w:rsidR="00B8435D" w:rsidRPr="0040433A">
        <w:rPr>
          <w:shd w:val="clear" w:color="auto" w:fill="FFFFFF"/>
          <w:lang w:val="en-GB"/>
        </w:rPr>
        <w:t xml:space="preserve"> ISA bear the superv</w:t>
      </w:r>
      <w:r w:rsidR="005E5B24" w:rsidRPr="0040433A">
        <w:rPr>
          <w:shd w:val="clear" w:color="auto" w:fill="FFFFFF"/>
          <w:lang w:val="en-GB"/>
        </w:rPr>
        <w:t>isory obligations within UNCLOS,</w:t>
      </w:r>
      <w:r w:rsidR="00B8435D" w:rsidRPr="0040433A">
        <w:rPr>
          <w:shd w:val="clear" w:color="auto" w:fill="FFFFFF"/>
          <w:lang w:val="en-GB"/>
        </w:rPr>
        <w:t xml:space="preserve"> and private actors may be held responsible only in relation to claims of </w:t>
      </w:r>
      <w:r w:rsidR="005E5B24" w:rsidRPr="0040433A">
        <w:rPr>
          <w:shd w:val="clear" w:color="auto" w:fill="FFFFFF"/>
          <w:lang w:val="en-GB"/>
        </w:rPr>
        <w:t>b</w:t>
      </w:r>
      <w:r w:rsidR="00B8435D" w:rsidRPr="0040433A">
        <w:rPr>
          <w:shd w:val="clear" w:color="auto" w:fill="FFFFFF"/>
          <w:lang w:val="en-GB"/>
        </w:rPr>
        <w:t>reach of contract, it is possible that a contractor will be absent from proceedings against a State and/or the ISA, despite being vital in determining a causal link between a breach of UNCLOS and the ensuing damage.</w:t>
      </w:r>
      <w:r w:rsidR="00B8435D" w:rsidRPr="0040433A">
        <w:rPr>
          <w:rStyle w:val="FootnoteReference"/>
          <w:sz w:val="24"/>
          <w:shd w:val="clear" w:color="auto" w:fill="FFFFFF"/>
          <w:lang w:val="en-GB"/>
        </w:rPr>
        <w:footnoteReference w:id="193"/>
      </w:r>
      <w:r w:rsidR="006855D4" w:rsidRPr="0040433A">
        <w:rPr>
          <w:shd w:val="clear" w:color="auto" w:fill="FFFFFF"/>
          <w:lang w:val="en-GB"/>
        </w:rPr>
        <w:t xml:space="preserve"> </w:t>
      </w:r>
      <w:r w:rsidR="005E5B24" w:rsidRPr="0040433A">
        <w:rPr>
          <w:shd w:val="clear" w:color="auto" w:fill="FFFFFF"/>
          <w:lang w:val="en-GB"/>
        </w:rPr>
        <w:t>Furthermore, exactly how a party which has paid reparations to the victim will bring actions against other responsible parties is not clear,</w:t>
      </w:r>
      <w:r w:rsidR="005E5B24" w:rsidRPr="0040433A">
        <w:rPr>
          <w:rStyle w:val="FootnoteReference"/>
          <w:sz w:val="24"/>
          <w:shd w:val="clear" w:color="auto" w:fill="FFFFFF"/>
          <w:lang w:val="en-GB"/>
        </w:rPr>
        <w:footnoteReference w:id="194"/>
      </w:r>
      <w:r w:rsidR="005E5B24" w:rsidRPr="0040433A">
        <w:rPr>
          <w:shd w:val="clear" w:color="auto" w:fill="FFFFFF"/>
          <w:lang w:val="en-GB"/>
        </w:rPr>
        <w:t xml:space="preserve"> and as such</w:t>
      </w:r>
      <w:r w:rsidR="00F229EC" w:rsidRPr="0040433A">
        <w:rPr>
          <w:shd w:val="clear" w:color="auto" w:fill="FFFFFF"/>
          <w:lang w:val="en-GB"/>
        </w:rPr>
        <w:t>,</w:t>
      </w:r>
      <w:r w:rsidRPr="0040433A">
        <w:rPr>
          <w:shd w:val="clear" w:color="auto" w:fill="FFFFFF"/>
          <w:lang w:val="en-GB"/>
        </w:rPr>
        <w:t xml:space="preserve"> the </w:t>
      </w:r>
      <w:r w:rsidR="00FA5BE1" w:rsidRPr="0040433A">
        <w:rPr>
          <w:shd w:val="clear" w:color="auto" w:fill="FFFFFF"/>
          <w:lang w:val="en-GB"/>
        </w:rPr>
        <w:t>possibility of such an action</w:t>
      </w:r>
      <w:r w:rsidR="005E5B24" w:rsidRPr="0040433A">
        <w:rPr>
          <w:shd w:val="clear" w:color="auto" w:fill="FFFFFF"/>
          <w:lang w:val="en-GB"/>
        </w:rPr>
        <w:t xml:space="preserve"> ‘remains merely theoretical, casting doubt on the principle’s relevance in international law.’</w:t>
      </w:r>
      <w:r w:rsidR="005E5B24" w:rsidRPr="0040433A">
        <w:rPr>
          <w:rStyle w:val="FootnoteReference"/>
          <w:sz w:val="24"/>
          <w:shd w:val="clear" w:color="auto" w:fill="FFFFFF"/>
          <w:lang w:val="en-GB"/>
        </w:rPr>
        <w:footnoteReference w:id="195"/>
      </w:r>
      <w:r w:rsidR="005E5B24" w:rsidRPr="0040433A">
        <w:rPr>
          <w:shd w:val="clear" w:color="auto" w:fill="FFFFFF"/>
          <w:lang w:val="en-GB"/>
        </w:rPr>
        <w:t xml:space="preserve"> </w:t>
      </w:r>
      <w:r w:rsidR="00F3302F" w:rsidRPr="0040433A">
        <w:rPr>
          <w:shd w:val="clear" w:color="auto" w:fill="FFFFFF"/>
          <w:lang w:val="en-GB"/>
        </w:rPr>
        <w:t>Thus, while this regime provides a glimpse at how a system of joint and several liability might operate at the international level, questions remain as to its precise operation</w:t>
      </w:r>
      <w:r w:rsidR="0030289B" w:rsidRPr="0040433A">
        <w:rPr>
          <w:shd w:val="clear" w:color="auto" w:fill="FFFFFF"/>
          <w:lang w:val="en-GB"/>
        </w:rPr>
        <w:t xml:space="preserve">. </w:t>
      </w:r>
    </w:p>
    <w:p w14:paraId="684DFA6D" w14:textId="16237768" w:rsidR="0083716B" w:rsidRPr="0040433A" w:rsidRDefault="0065774D" w:rsidP="0040433A">
      <w:pPr>
        <w:pStyle w:val="Heading1"/>
        <w:numPr>
          <w:ilvl w:val="0"/>
          <w:numId w:val="11"/>
        </w:numPr>
        <w:spacing w:line="276" w:lineRule="auto"/>
        <w:ind w:left="993" w:hanging="426"/>
        <w:jc w:val="center"/>
        <w:rPr>
          <w:b w:val="0"/>
          <w:szCs w:val="24"/>
          <w:lang w:val="en-GB"/>
        </w:rPr>
      </w:pPr>
      <w:r w:rsidRPr="0040433A">
        <w:rPr>
          <w:b w:val="0"/>
          <w:szCs w:val="24"/>
          <w:lang w:val="en-GB"/>
        </w:rPr>
        <w:t>DELIMITING THE SCOPE AND CONTENT OF NON-STATE ACTOR HUMAN RIGHTS OBLIGATIONS</w:t>
      </w:r>
    </w:p>
    <w:p w14:paraId="6107EC36" w14:textId="77777777" w:rsidR="0083716B" w:rsidRPr="0040433A" w:rsidRDefault="0083716B" w:rsidP="0040433A">
      <w:pPr>
        <w:spacing w:line="276" w:lineRule="auto"/>
        <w:rPr>
          <w:lang w:val="en-GB"/>
        </w:rPr>
      </w:pPr>
    </w:p>
    <w:p w14:paraId="14167932" w14:textId="2E1A8A25" w:rsidR="005255A1" w:rsidRPr="0040433A" w:rsidRDefault="00B225A5" w:rsidP="00957ADA">
      <w:pPr>
        <w:spacing w:line="276" w:lineRule="auto"/>
        <w:jc w:val="both"/>
        <w:rPr>
          <w:lang w:val="en-GB"/>
        </w:rPr>
      </w:pPr>
      <w:r>
        <w:rPr>
          <w:lang w:val="en-GB"/>
        </w:rPr>
        <w:t xml:space="preserve">The </w:t>
      </w:r>
      <w:r w:rsidR="002E3A09">
        <w:rPr>
          <w:lang w:val="en-GB"/>
        </w:rPr>
        <w:t xml:space="preserve">potential </w:t>
      </w:r>
      <w:r>
        <w:rPr>
          <w:lang w:val="en-GB"/>
        </w:rPr>
        <w:t>framing of the</w:t>
      </w:r>
      <w:r w:rsidR="002E3A09">
        <w:rPr>
          <w:lang w:val="en-GB"/>
        </w:rPr>
        <w:t xml:space="preserve"> proposed treaty’s </w:t>
      </w:r>
      <w:r>
        <w:rPr>
          <w:lang w:val="en-GB"/>
        </w:rPr>
        <w:t>obligations having been examined above, question</w:t>
      </w:r>
      <w:r w:rsidR="008B2AF8">
        <w:rPr>
          <w:lang w:val="en-GB"/>
        </w:rPr>
        <w:t>s</w:t>
      </w:r>
      <w:r>
        <w:rPr>
          <w:lang w:val="en-GB"/>
        </w:rPr>
        <w:t xml:space="preserve"> remain as to their precise content and scope. </w:t>
      </w:r>
      <w:r w:rsidR="00E62E67">
        <w:rPr>
          <w:lang w:val="en-GB"/>
        </w:rPr>
        <w:t xml:space="preserve">In this regard, </w:t>
      </w:r>
      <w:r w:rsidR="005255A1" w:rsidRPr="0040433A">
        <w:rPr>
          <w:lang w:val="en-GB"/>
        </w:rPr>
        <w:t xml:space="preserve">John Ruggie’s response to </w:t>
      </w:r>
      <w:r w:rsidR="007A1166">
        <w:rPr>
          <w:lang w:val="en-GB"/>
        </w:rPr>
        <w:t xml:space="preserve">the </w:t>
      </w:r>
      <w:r w:rsidR="005255A1" w:rsidRPr="0040433A">
        <w:rPr>
          <w:lang w:val="en-GB"/>
        </w:rPr>
        <w:t>Ecuado</w:t>
      </w:r>
      <w:r w:rsidR="007A1166">
        <w:rPr>
          <w:lang w:val="en-GB"/>
        </w:rPr>
        <w:t>rian</w:t>
      </w:r>
      <w:r w:rsidR="005255A1" w:rsidRPr="0040433A">
        <w:rPr>
          <w:lang w:val="en-GB"/>
        </w:rPr>
        <w:t xml:space="preserve"> initiative has been mixed, having pragmatically highlighted the diverse legal issues related to the sphere of business and human rights. </w:t>
      </w:r>
    </w:p>
    <w:p w14:paraId="3D341CC0" w14:textId="3BEDFA78" w:rsidR="005255A1" w:rsidRPr="0040433A" w:rsidRDefault="005255A1" w:rsidP="0040433A">
      <w:pPr>
        <w:spacing w:before="240" w:after="240" w:line="276" w:lineRule="auto"/>
        <w:ind w:left="720"/>
        <w:jc w:val="both"/>
        <w:rPr>
          <w:lang w:val="en-GB"/>
        </w:rPr>
      </w:pPr>
      <w:r w:rsidRPr="0040433A">
        <w:rPr>
          <w:lang w:val="en-GB"/>
        </w:rPr>
        <w:t>[T]he category of business and human rights is not so discrete an issue-area as to lend itself to a single set of detailed treaty obligations. It includes complex clusters of different bodies of national and international law… any attempt to aggregate them into a general business and human rights treaty would have to be pitched at such a high level of abstraction that it is hard to imagine it providing a basis for meaningful legal action.</w:t>
      </w:r>
      <w:r w:rsidRPr="0040433A">
        <w:rPr>
          <w:rStyle w:val="FootnoteReference"/>
          <w:sz w:val="24"/>
          <w:lang w:val="en-GB"/>
        </w:rPr>
        <w:footnoteReference w:id="196"/>
      </w:r>
      <w:r w:rsidRPr="0040433A">
        <w:rPr>
          <w:lang w:val="en-GB"/>
        </w:rPr>
        <w:t xml:space="preserve"> </w:t>
      </w:r>
    </w:p>
    <w:p w14:paraId="381B8DAA" w14:textId="0828864A" w:rsidR="005255A1" w:rsidRPr="0040433A" w:rsidRDefault="005255A1" w:rsidP="0040433A">
      <w:pPr>
        <w:spacing w:line="276" w:lineRule="auto"/>
        <w:jc w:val="both"/>
        <w:rPr>
          <w:lang w:val="en-GB"/>
        </w:rPr>
      </w:pPr>
      <w:r w:rsidRPr="0040433A">
        <w:rPr>
          <w:lang w:val="en-GB"/>
        </w:rPr>
        <w:t>Ruggie has also previously expressed concern that a treaty might set too low a ceiling.</w:t>
      </w:r>
      <w:r w:rsidRPr="0040433A">
        <w:rPr>
          <w:rStyle w:val="FootnoteReference"/>
          <w:sz w:val="24"/>
          <w:lang w:val="en-GB"/>
        </w:rPr>
        <w:footnoteReference w:id="197"/>
      </w:r>
      <w:r w:rsidRPr="0040433A">
        <w:rPr>
          <w:lang w:val="en-GB"/>
        </w:rPr>
        <w:t xml:space="preserve"> Scholars such as Ramasatry, largely echoing Ruggie’s apprehensions, have drawn analogy from the anti-corruption/bribery movement and instead advocated a number of narrower treaties establishing corporate liability for specific conduct, particularly in the fields of mineral extraction and illegal logging.</w:t>
      </w:r>
      <w:r w:rsidRPr="0040433A">
        <w:rPr>
          <w:rStyle w:val="FootnoteReference"/>
          <w:sz w:val="24"/>
          <w:lang w:val="en-GB"/>
        </w:rPr>
        <w:footnoteReference w:id="198"/>
      </w:r>
      <w:r w:rsidRPr="0040433A">
        <w:rPr>
          <w:lang w:val="en-GB"/>
        </w:rPr>
        <w:t xml:space="preserve"> While this middle ground may go some way toward addressing Ruggie’s concerns, the present Anti-Corruption Convention, while emphasising the liability of legal persons,</w:t>
      </w:r>
      <w:r w:rsidRPr="0040433A">
        <w:rPr>
          <w:rStyle w:val="FootnoteReference"/>
          <w:sz w:val="24"/>
          <w:lang w:val="en-GB"/>
        </w:rPr>
        <w:footnoteReference w:id="199"/>
      </w:r>
      <w:r w:rsidRPr="0040433A">
        <w:rPr>
          <w:lang w:val="en-GB"/>
        </w:rPr>
        <w:t xml:space="preserve"> is still framed entirely in terms of State responsibility.</w:t>
      </w:r>
      <w:r w:rsidRPr="0040433A">
        <w:rPr>
          <w:rStyle w:val="FootnoteReference"/>
          <w:sz w:val="24"/>
          <w:lang w:val="en-GB"/>
        </w:rPr>
        <w:footnoteReference w:id="200"/>
      </w:r>
    </w:p>
    <w:p w14:paraId="5A10CCAE" w14:textId="4FC765F3" w:rsidR="000B67AB" w:rsidRPr="0040433A" w:rsidRDefault="0083716B" w:rsidP="0040433A">
      <w:pPr>
        <w:spacing w:line="276" w:lineRule="auto"/>
        <w:ind w:firstLine="720"/>
        <w:jc w:val="both"/>
        <w:rPr>
          <w:lang w:val="en-GB"/>
        </w:rPr>
      </w:pPr>
      <w:r w:rsidRPr="0040433A">
        <w:rPr>
          <w:lang w:val="en-GB"/>
        </w:rPr>
        <w:t xml:space="preserve">It is unlikely that the form and content of international human rights obligations directly addressing </w:t>
      </w:r>
      <w:r w:rsidR="00AF1564">
        <w:rPr>
          <w:lang w:val="en-GB"/>
        </w:rPr>
        <w:t xml:space="preserve">business </w:t>
      </w:r>
      <w:r w:rsidRPr="0040433A">
        <w:rPr>
          <w:lang w:val="en-GB"/>
        </w:rPr>
        <w:t>actors could simply mirror those presently addressed to States.</w:t>
      </w:r>
      <w:r w:rsidR="00490031" w:rsidRPr="0040433A">
        <w:rPr>
          <w:rStyle w:val="FootnoteReference"/>
          <w:sz w:val="24"/>
          <w:lang w:val="en-GB"/>
        </w:rPr>
        <w:footnoteReference w:id="201"/>
      </w:r>
      <w:r w:rsidR="00490031" w:rsidRPr="0040433A">
        <w:rPr>
          <w:lang w:val="en-GB"/>
        </w:rPr>
        <w:t xml:space="preserve"> Whereas broadly negative obligations to respect human rights may easily lend themselves to application in the corporate context,</w:t>
      </w:r>
      <w:r w:rsidR="00490031" w:rsidRPr="0040433A">
        <w:rPr>
          <w:rStyle w:val="FootnoteReference"/>
          <w:sz w:val="24"/>
          <w:lang w:val="en-GB"/>
        </w:rPr>
        <w:footnoteReference w:id="202"/>
      </w:r>
      <w:r w:rsidR="00490031" w:rsidRPr="0040433A">
        <w:rPr>
          <w:lang w:val="en-GB"/>
        </w:rPr>
        <w:t xml:space="preserve"> obligations demanding positive action</w:t>
      </w:r>
      <w:r w:rsidR="00127C1B" w:rsidRPr="0040433A">
        <w:rPr>
          <w:lang w:val="en-GB"/>
        </w:rPr>
        <w:t xml:space="preserve"> to protect or fulfil the realiz</w:t>
      </w:r>
      <w:r w:rsidR="00490031" w:rsidRPr="0040433A">
        <w:rPr>
          <w:lang w:val="en-GB"/>
        </w:rPr>
        <w:t xml:space="preserve">ation of human rights may prove more problematic. </w:t>
      </w:r>
      <w:r w:rsidR="008A5E55" w:rsidRPr="0040433A">
        <w:rPr>
          <w:lang w:val="en-GB"/>
        </w:rPr>
        <w:t xml:space="preserve">While scholars have cautioned that baseline obligations to respect human rights by refraining from various types of activity do not </w:t>
      </w:r>
      <w:r w:rsidR="005E78FA" w:rsidRPr="0040433A">
        <w:rPr>
          <w:lang w:val="en-GB"/>
        </w:rPr>
        <w:t>imply as a corollary</w:t>
      </w:r>
      <w:r w:rsidR="000947B3" w:rsidRPr="0040433A">
        <w:rPr>
          <w:lang w:val="en-GB"/>
        </w:rPr>
        <w:t xml:space="preserve"> obligations</w:t>
      </w:r>
      <w:r w:rsidR="005E78FA" w:rsidRPr="0040433A">
        <w:rPr>
          <w:lang w:val="en-GB"/>
        </w:rPr>
        <w:t xml:space="preserve"> </w:t>
      </w:r>
      <w:r w:rsidR="000947B3" w:rsidRPr="0040433A">
        <w:rPr>
          <w:lang w:val="en-GB"/>
        </w:rPr>
        <w:t xml:space="preserve">to </w:t>
      </w:r>
      <w:r w:rsidR="000947B3" w:rsidRPr="0040433A">
        <w:rPr>
          <w:i/>
          <w:lang w:val="en-GB"/>
        </w:rPr>
        <w:t>advance</w:t>
      </w:r>
      <w:r w:rsidR="000947B3" w:rsidRPr="0040433A">
        <w:rPr>
          <w:lang w:val="en-GB"/>
        </w:rPr>
        <w:t xml:space="preserve"> human rights standards,</w:t>
      </w:r>
      <w:r w:rsidR="000947B3" w:rsidRPr="0040433A">
        <w:rPr>
          <w:rStyle w:val="FootnoteReference"/>
          <w:sz w:val="24"/>
          <w:lang w:val="en-GB"/>
        </w:rPr>
        <w:footnoteReference w:id="203"/>
      </w:r>
      <w:r w:rsidR="005E78FA" w:rsidRPr="0040433A">
        <w:rPr>
          <w:lang w:val="en-GB"/>
        </w:rPr>
        <w:t xml:space="preserve"> the binary separation between positive and negative obligations is not </w:t>
      </w:r>
      <w:r w:rsidR="000947B3" w:rsidRPr="0040433A">
        <w:rPr>
          <w:lang w:val="en-GB"/>
        </w:rPr>
        <w:t xml:space="preserve">particularly </w:t>
      </w:r>
      <w:r w:rsidR="00127C1B" w:rsidRPr="0040433A">
        <w:rPr>
          <w:lang w:val="en-GB"/>
        </w:rPr>
        <w:t>helpful in light of the privatiz</w:t>
      </w:r>
      <w:r w:rsidR="000947B3" w:rsidRPr="0040433A">
        <w:rPr>
          <w:lang w:val="en-GB"/>
        </w:rPr>
        <w:t>ation of governmental functions.</w:t>
      </w:r>
      <w:r w:rsidR="003726F0">
        <w:rPr>
          <w:rStyle w:val="FootnoteReference"/>
          <w:lang w:val="en-GB"/>
        </w:rPr>
        <w:footnoteReference w:id="204"/>
      </w:r>
      <w:r w:rsidR="000947B3" w:rsidRPr="0040433A">
        <w:rPr>
          <w:lang w:val="en-GB"/>
        </w:rPr>
        <w:t xml:space="preserve"> </w:t>
      </w:r>
    </w:p>
    <w:p w14:paraId="141587E7" w14:textId="54A47036" w:rsidR="000B67AB" w:rsidRPr="0040433A" w:rsidRDefault="00D80E83" w:rsidP="0040433A">
      <w:pPr>
        <w:spacing w:before="240" w:after="240" w:line="276" w:lineRule="auto"/>
        <w:ind w:left="720"/>
        <w:jc w:val="both"/>
        <w:rPr>
          <w:lang w:val="en-GB"/>
        </w:rPr>
      </w:pPr>
      <w:r w:rsidRPr="0040433A">
        <w:rPr>
          <w:lang w:val="en-GB"/>
        </w:rPr>
        <w:t>T</w:t>
      </w:r>
      <w:r w:rsidR="000947B3" w:rsidRPr="0040433A">
        <w:rPr>
          <w:lang w:val="en-GB"/>
        </w:rPr>
        <w:t>he obligation to respect may encompass a duty to act: in the case of private prisons, a duty to guarantee the minimum standards regarding conditions of detention… This obligation is conceptually different, independent from</w:t>
      </w:r>
      <w:r w:rsidR="005E78FA" w:rsidRPr="0040433A">
        <w:rPr>
          <w:lang w:val="en-GB"/>
        </w:rPr>
        <w:t>,</w:t>
      </w:r>
      <w:r w:rsidR="000947B3" w:rsidRPr="0040433A">
        <w:rPr>
          <w:lang w:val="en-GB"/>
        </w:rPr>
        <w:t xml:space="preserve"> and concurrent with the obligation of the State to protect the rights of inmates by establishing an effective regulatory system regarding the </w:t>
      </w:r>
      <w:r w:rsidR="00C12898" w:rsidRPr="0040433A">
        <w:rPr>
          <w:lang w:val="en-GB"/>
        </w:rPr>
        <w:t>privatization</w:t>
      </w:r>
      <w:r w:rsidR="000947B3" w:rsidRPr="0040433A">
        <w:rPr>
          <w:lang w:val="en-GB"/>
        </w:rPr>
        <w:t xml:space="preserve"> of prisons and guaranteeing judicial remedies for human rights violations.</w:t>
      </w:r>
      <w:r w:rsidR="000947B3" w:rsidRPr="0040433A">
        <w:rPr>
          <w:rStyle w:val="FootnoteReference"/>
          <w:sz w:val="24"/>
          <w:lang w:val="en-GB"/>
        </w:rPr>
        <w:footnoteReference w:id="205"/>
      </w:r>
      <w:r w:rsidR="000947B3" w:rsidRPr="0040433A">
        <w:rPr>
          <w:lang w:val="en-GB"/>
        </w:rPr>
        <w:t xml:space="preserve"> </w:t>
      </w:r>
    </w:p>
    <w:p w14:paraId="08A97EC6" w14:textId="612C6F9E" w:rsidR="008A5E55" w:rsidRPr="0040433A" w:rsidRDefault="000947B3" w:rsidP="0040433A">
      <w:pPr>
        <w:spacing w:line="276" w:lineRule="auto"/>
        <w:jc w:val="both"/>
        <w:rPr>
          <w:lang w:val="en-GB"/>
        </w:rPr>
      </w:pPr>
      <w:r w:rsidRPr="0040433A">
        <w:rPr>
          <w:lang w:val="en-GB"/>
        </w:rPr>
        <w:t>The same may be said with regard to economic social and cultural rights such as the right</w:t>
      </w:r>
      <w:r w:rsidR="005E78FA" w:rsidRPr="0040433A">
        <w:rPr>
          <w:lang w:val="en-GB"/>
        </w:rPr>
        <w:t>s</w:t>
      </w:r>
      <w:r w:rsidRPr="0040433A">
        <w:rPr>
          <w:lang w:val="en-GB"/>
        </w:rPr>
        <w:t xml:space="preserve"> to health, food and water, which are often impacted by the </w:t>
      </w:r>
      <w:r w:rsidR="006516DA" w:rsidRPr="0040433A">
        <w:rPr>
          <w:lang w:val="en-GB"/>
        </w:rPr>
        <w:t>disastrous</w:t>
      </w:r>
      <w:r w:rsidRPr="0040433A">
        <w:rPr>
          <w:lang w:val="en-GB"/>
        </w:rPr>
        <w:t xml:space="preserve"> environmental </w:t>
      </w:r>
      <w:r w:rsidR="005E78FA" w:rsidRPr="0040433A">
        <w:rPr>
          <w:lang w:val="en-GB"/>
        </w:rPr>
        <w:t>effect</w:t>
      </w:r>
      <w:r w:rsidRPr="0040433A">
        <w:rPr>
          <w:lang w:val="en-GB"/>
        </w:rPr>
        <w:t>s of corporate operations.</w:t>
      </w:r>
      <w:r w:rsidR="006516DA" w:rsidRPr="0040433A">
        <w:rPr>
          <w:rStyle w:val="FootnoteReference"/>
          <w:sz w:val="24"/>
          <w:lang w:val="en-GB"/>
        </w:rPr>
        <w:footnoteReference w:id="206"/>
      </w:r>
      <w:r w:rsidRPr="0040433A">
        <w:rPr>
          <w:lang w:val="en-GB"/>
        </w:rPr>
        <w:t xml:space="preserve"> While these </w:t>
      </w:r>
      <w:r w:rsidR="00B55D73" w:rsidRPr="0040433A">
        <w:rPr>
          <w:lang w:val="en-GB"/>
        </w:rPr>
        <w:t xml:space="preserve">rights </w:t>
      </w:r>
      <w:r w:rsidRPr="0040433A">
        <w:rPr>
          <w:lang w:val="en-GB"/>
        </w:rPr>
        <w:t>have</w:t>
      </w:r>
      <w:r w:rsidR="002C28A7" w:rsidRPr="0040433A">
        <w:rPr>
          <w:lang w:val="en-GB"/>
        </w:rPr>
        <w:t xml:space="preserve"> classically</w:t>
      </w:r>
      <w:r w:rsidRPr="0040433A">
        <w:rPr>
          <w:lang w:val="en-GB"/>
        </w:rPr>
        <w:t xml:space="preserve"> been framed as positive duties </w:t>
      </w:r>
      <w:r w:rsidR="007F577F" w:rsidRPr="0040433A">
        <w:rPr>
          <w:lang w:val="en-GB"/>
        </w:rPr>
        <w:t xml:space="preserve">on States </w:t>
      </w:r>
      <w:r w:rsidRPr="0040433A">
        <w:rPr>
          <w:lang w:val="en-GB"/>
        </w:rPr>
        <w:t xml:space="preserve">demanding </w:t>
      </w:r>
      <w:r w:rsidR="007F577F" w:rsidRPr="0040433A">
        <w:rPr>
          <w:lang w:val="en-GB"/>
        </w:rPr>
        <w:t>the</w:t>
      </w:r>
      <w:r w:rsidR="002C28A7" w:rsidRPr="0040433A">
        <w:rPr>
          <w:lang w:val="en-GB"/>
        </w:rPr>
        <w:t>ir</w:t>
      </w:r>
      <w:r w:rsidR="00127C1B" w:rsidRPr="0040433A">
        <w:rPr>
          <w:lang w:val="en-GB"/>
        </w:rPr>
        <w:t xml:space="preserve"> progressive realiz</w:t>
      </w:r>
      <w:r w:rsidR="007F577F" w:rsidRPr="0040433A">
        <w:rPr>
          <w:lang w:val="en-GB"/>
        </w:rPr>
        <w:t>ation</w:t>
      </w:r>
      <w:r w:rsidR="002C28A7" w:rsidRPr="0040433A">
        <w:rPr>
          <w:lang w:val="en-GB"/>
        </w:rPr>
        <w:t xml:space="preserve"> via </w:t>
      </w:r>
      <w:r w:rsidR="00D87C73" w:rsidRPr="0040433A">
        <w:rPr>
          <w:lang w:val="en-GB"/>
        </w:rPr>
        <w:t xml:space="preserve">the allocation of </w:t>
      </w:r>
      <w:r w:rsidR="007F577F" w:rsidRPr="0040433A">
        <w:rPr>
          <w:lang w:val="en-GB"/>
        </w:rPr>
        <w:t>appropriate</w:t>
      </w:r>
      <w:r w:rsidR="002C28A7" w:rsidRPr="0040433A">
        <w:rPr>
          <w:lang w:val="en-GB"/>
        </w:rPr>
        <w:t xml:space="preserve"> funding and</w:t>
      </w:r>
      <w:r w:rsidR="007F577F" w:rsidRPr="0040433A">
        <w:rPr>
          <w:lang w:val="en-GB"/>
        </w:rPr>
        <w:t xml:space="preserve"> infrastructure,</w:t>
      </w:r>
      <w:r w:rsidR="002C28A7" w:rsidRPr="0040433A">
        <w:rPr>
          <w:lang w:val="en-GB"/>
        </w:rPr>
        <w:t xml:space="preserve"> the dichotomy between positive and negative right</w:t>
      </w:r>
      <w:r w:rsidR="00D87C73" w:rsidRPr="0040433A">
        <w:rPr>
          <w:lang w:val="en-GB"/>
        </w:rPr>
        <w:t>s</w:t>
      </w:r>
      <w:r w:rsidR="002C28A7" w:rsidRPr="0040433A">
        <w:rPr>
          <w:lang w:val="en-GB"/>
        </w:rPr>
        <w:t xml:space="preserve"> has been exposed as excessively reductive.</w:t>
      </w:r>
      <w:r w:rsidR="006516DA" w:rsidRPr="0040433A">
        <w:rPr>
          <w:rStyle w:val="FootnoteReference"/>
          <w:sz w:val="24"/>
          <w:lang w:val="en-GB"/>
        </w:rPr>
        <w:footnoteReference w:id="207"/>
      </w:r>
      <w:r w:rsidR="007F577F" w:rsidRPr="0040433A">
        <w:rPr>
          <w:lang w:val="en-GB"/>
        </w:rPr>
        <w:t xml:space="preserve"> </w:t>
      </w:r>
      <w:r w:rsidR="002C28A7" w:rsidRPr="0040433A">
        <w:rPr>
          <w:lang w:val="en-GB"/>
        </w:rPr>
        <w:t xml:space="preserve">These same rights </w:t>
      </w:r>
      <w:r w:rsidR="007F577F" w:rsidRPr="0040433A">
        <w:rPr>
          <w:lang w:val="en-GB"/>
        </w:rPr>
        <w:t>could be represented within a bu</w:t>
      </w:r>
      <w:r w:rsidR="002C28A7" w:rsidRPr="0040433A">
        <w:rPr>
          <w:lang w:val="en-GB"/>
        </w:rPr>
        <w:t>siness and human rights treaty</w:t>
      </w:r>
      <w:r w:rsidR="00D87C73" w:rsidRPr="0040433A">
        <w:rPr>
          <w:lang w:val="en-GB"/>
        </w:rPr>
        <w:t xml:space="preserve"> in a manner </w:t>
      </w:r>
      <w:r w:rsidR="0002060C">
        <w:rPr>
          <w:lang w:val="en-GB"/>
        </w:rPr>
        <w:t>that</w:t>
      </w:r>
      <w:r w:rsidR="00D87C73" w:rsidRPr="0040433A">
        <w:rPr>
          <w:lang w:val="en-GB"/>
        </w:rPr>
        <w:t xml:space="preserve"> respects the differential scope of the duties of States and non-State actors</w:t>
      </w:r>
      <w:r w:rsidR="002C28A7" w:rsidRPr="0040433A">
        <w:rPr>
          <w:lang w:val="en-GB"/>
        </w:rPr>
        <w:t>. For instance, a</w:t>
      </w:r>
      <w:r w:rsidR="007F577F" w:rsidRPr="0040433A">
        <w:rPr>
          <w:lang w:val="en-GB"/>
        </w:rPr>
        <w:t xml:space="preserve">n obligation to </w:t>
      </w:r>
      <w:r w:rsidR="007F577F" w:rsidRPr="0040433A">
        <w:rPr>
          <w:i/>
          <w:lang w:val="en-GB"/>
        </w:rPr>
        <w:t>refrain</w:t>
      </w:r>
      <w:r w:rsidR="007F577F" w:rsidRPr="0040433A">
        <w:rPr>
          <w:lang w:val="en-GB"/>
        </w:rPr>
        <w:t xml:space="preserve"> from the use of land and resources in a manner </w:t>
      </w:r>
      <w:r w:rsidR="0002060C">
        <w:rPr>
          <w:lang w:val="en-GB"/>
        </w:rPr>
        <w:t>that</w:t>
      </w:r>
      <w:r w:rsidR="007F577F" w:rsidRPr="0040433A">
        <w:rPr>
          <w:lang w:val="en-GB"/>
        </w:rPr>
        <w:t xml:space="preserve"> is detrimental to the health, environmental, land and cultural rights </w:t>
      </w:r>
      <w:r w:rsidR="002C28A7" w:rsidRPr="0040433A">
        <w:rPr>
          <w:lang w:val="en-GB"/>
        </w:rPr>
        <w:t xml:space="preserve">of populations </w:t>
      </w:r>
      <w:r w:rsidR="007F577F" w:rsidRPr="0040433A">
        <w:rPr>
          <w:lang w:val="en-GB"/>
        </w:rPr>
        <w:t xml:space="preserve">would tailor the content of these rights to the corporate context. </w:t>
      </w:r>
      <w:r w:rsidR="00E24F9E" w:rsidRPr="0040433A">
        <w:rPr>
          <w:lang w:val="en-GB"/>
        </w:rPr>
        <w:t xml:space="preserve">While </w:t>
      </w:r>
      <w:r w:rsidR="00261B19" w:rsidRPr="0040433A">
        <w:rPr>
          <w:lang w:val="en-GB"/>
        </w:rPr>
        <w:t>such an obligation</w:t>
      </w:r>
      <w:r w:rsidR="00E24F9E" w:rsidRPr="0040433A">
        <w:rPr>
          <w:lang w:val="en-GB"/>
        </w:rPr>
        <w:t xml:space="preserve"> may imply a </w:t>
      </w:r>
      <w:r w:rsidR="00E24F9E" w:rsidRPr="0040433A">
        <w:rPr>
          <w:i/>
          <w:lang w:val="en-GB"/>
        </w:rPr>
        <w:t>positive</w:t>
      </w:r>
      <w:r w:rsidR="00E24F9E" w:rsidRPr="0040433A">
        <w:rPr>
          <w:lang w:val="en-GB"/>
        </w:rPr>
        <w:t xml:space="preserve"> duty to carry out appropriate risk assessments, such demands are hardly unduly restrictive, and are already </w:t>
      </w:r>
      <w:r w:rsidR="00CC0877">
        <w:rPr>
          <w:lang w:val="en-GB"/>
        </w:rPr>
        <w:t>codified</w:t>
      </w:r>
      <w:r w:rsidR="00E24F9E" w:rsidRPr="0040433A">
        <w:rPr>
          <w:lang w:val="en-GB"/>
        </w:rPr>
        <w:t xml:space="preserve"> within e</w:t>
      </w:r>
      <w:r w:rsidR="00A34B9D">
        <w:rPr>
          <w:lang w:val="en-GB"/>
        </w:rPr>
        <w:t>xisting soft-</w:t>
      </w:r>
      <w:r w:rsidR="00E24F9E" w:rsidRPr="0040433A">
        <w:rPr>
          <w:lang w:val="en-GB"/>
        </w:rPr>
        <w:t>law regimes.</w:t>
      </w:r>
      <w:r w:rsidR="00831EFB" w:rsidRPr="0040433A">
        <w:rPr>
          <w:rStyle w:val="FootnoteReference"/>
          <w:sz w:val="24"/>
          <w:lang w:val="en-GB"/>
        </w:rPr>
        <w:footnoteReference w:id="208"/>
      </w:r>
    </w:p>
    <w:p w14:paraId="2B021EE1" w14:textId="00C2F84A" w:rsidR="001821A8" w:rsidRPr="0040433A" w:rsidRDefault="00657065" w:rsidP="0040433A">
      <w:pPr>
        <w:spacing w:line="276" w:lineRule="auto"/>
        <w:ind w:firstLine="720"/>
        <w:jc w:val="both"/>
        <w:rPr>
          <w:lang w:val="en-GB"/>
        </w:rPr>
      </w:pPr>
      <w:r w:rsidRPr="0040433A">
        <w:rPr>
          <w:lang w:val="en-GB"/>
        </w:rPr>
        <w:t xml:space="preserve">A second factor </w:t>
      </w:r>
      <w:r w:rsidR="0002060C">
        <w:rPr>
          <w:lang w:val="en-GB"/>
        </w:rPr>
        <w:t>that</w:t>
      </w:r>
      <w:r w:rsidRPr="0040433A">
        <w:rPr>
          <w:lang w:val="en-GB"/>
        </w:rPr>
        <w:t xml:space="preserve"> must be contended with is that of scope. </w:t>
      </w:r>
      <w:r w:rsidR="0083716B" w:rsidRPr="0040433A">
        <w:rPr>
          <w:lang w:val="en-GB"/>
        </w:rPr>
        <w:t xml:space="preserve">The responsibility of a State to respect, protect and </w:t>
      </w:r>
      <w:r w:rsidR="00E506C5" w:rsidRPr="0040433A">
        <w:rPr>
          <w:lang w:val="en-GB"/>
        </w:rPr>
        <w:t>fulfil</w:t>
      </w:r>
      <w:r w:rsidR="0083716B" w:rsidRPr="0040433A">
        <w:rPr>
          <w:lang w:val="en-GB"/>
        </w:rPr>
        <w:t xml:space="preserve"> existing human rights standards is delineated by a spatial dimension</w:t>
      </w:r>
      <w:r w:rsidR="00A713B9">
        <w:rPr>
          <w:lang w:val="en-GB"/>
        </w:rPr>
        <w:t>,</w:t>
      </w:r>
      <w:r w:rsidR="0083716B" w:rsidRPr="0040433A">
        <w:rPr>
          <w:lang w:val="en-GB"/>
        </w:rPr>
        <w:t xml:space="preserve"> that of its jurisdiction.</w:t>
      </w:r>
      <w:r w:rsidR="0083716B" w:rsidRPr="0040433A">
        <w:rPr>
          <w:rStyle w:val="FootnoteReference"/>
          <w:sz w:val="24"/>
          <w:lang w:val="en-GB"/>
        </w:rPr>
        <w:footnoteReference w:id="209"/>
      </w:r>
      <w:r w:rsidR="0083716B" w:rsidRPr="0040433A">
        <w:rPr>
          <w:lang w:val="en-GB"/>
        </w:rPr>
        <w:t xml:space="preserve"> </w:t>
      </w:r>
      <w:r w:rsidR="00E26DF1" w:rsidRPr="0040433A">
        <w:rPr>
          <w:lang w:val="en-GB"/>
        </w:rPr>
        <w:t>The notion of jurisdiction in international human rights law has</w:t>
      </w:r>
      <w:r w:rsidR="0094054B" w:rsidRPr="0040433A">
        <w:rPr>
          <w:lang w:val="en-GB"/>
        </w:rPr>
        <w:t xml:space="preserve"> classically</w:t>
      </w:r>
      <w:r w:rsidR="00E26DF1" w:rsidRPr="0040433A">
        <w:rPr>
          <w:lang w:val="en-GB"/>
        </w:rPr>
        <w:t xml:space="preserve"> been </w:t>
      </w:r>
      <w:r w:rsidR="00DC04DD">
        <w:rPr>
          <w:lang w:val="en-GB"/>
        </w:rPr>
        <w:t>conceived</w:t>
      </w:r>
      <w:r w:rsidR="00E26DF1" w:rsidRPr="0040433A">
        <w:rPr>
          <w:lang w:val="en-GB"/>
        </w:rPr>
        <w:t xml:space="preserve"> as </w:t>
      </w:r>
      <w:r w:rsidR="0094054B" w:rsidRPr="0040433A">
        <w:rPr>
          <w:lang w:val="en-GB"/>
        </w:rPr>
        <w:t>pr</w:t>
      </w:r>
      <w:r w:rsidR="00A6607F" w:rsidRPr="0040433A">
        <w:rPr>
          <w:lang w:val="en-GB"/>
        </w:rPr>
        <w:t>imarily</w:t>
      </w:r>
      <w:r w:rsidR="0094054B" w:rsidRPr="0040433A">
        <w:rPr>
          <w:lang w:val="en-GB"/>
        </w:rPr>
        <w:t xml:space="preserve"> </w:t>
      </w:r>
      <w:r w:rsidR="00E26DF1" w:rsidRPr="0040433A">
        <w:rPr>
          <w:lang w:val="en-GB"/>
        </w:rPr>
        <w:t xml:space="preserve">territorial in </w:t>
      </w:r>
      <w:r w:rsidR="00FB39D7" w:rsidRPr="0040433A">
        <w:rPr>
          <w:lang w:val="en-GB"/>
        </w:rPr>
        <w:t>nature</w:t>
      </w:r>
      <w:r w:rsidR="00E26DF1" w:rsidRPr="0040433A">
        <w:rPr>
          <w:lang w:val="en-GB"/>
        </w:rPr>
        <w:t>.</w:t>
      </w:r>
      <w:r w:rsidR="00E26DF1" w:rsidRPr="0040433A">
        <w:rPr>
          <w:rStyle w:val="FootnoteReference"/>
          <w:sz w:val="24"/>
          <w:lang w:val="en-GB"/>
        </w:rPr>
        <w:footnoteReference w:id="210"/>
      </w:r>
      <w:r w:rsidR="00E26DF1" w:rsidRPr="0040433A">
        <w:rPr>
          <w:lang w:val="en-GB"/>
        </w:rPr>
        <w:t xml:space="preserve"> </w:t>
      </w:r>
      <w:r w:rsidR="0083716B" w:rsidRPr="0040433A">
        <w:rPr>
          <w:lang w:val="en-GB"/>
        </w:rPr>
        <w:t>Since business actors do not possess permanent sovereignty or territorial control in the same manner as a State, or even a non-State armed group,</w:t>
      </w:r>
      <w:r w:rsidR="00E26DF1" w:rsidRPr="0040433A">
        <w:rPr>
          <w:rStyle w:val="FootnoteReference"/>
          <w:sz w:val="24"/>
          <w:lang w:val="en-GB"/>
        </w:rPr>
        <w:footnoteReference w:id="211"/>
      </w:r>
      <w:r w:rsidR="0083716B" w:rsidRPr="0040433A">
        <w:rPr>
          <w:lang w:val="en-GB"/>
        </w:rPr>
        <w:t xml:space="preserve"> some other factor will be required in order to determine the limits of corporate responsibility. </w:t>
      </w:r>
    </w:p>
    <w:p w14:paraId="1F4DBE83" w14:textId="7A7039DE" w:rsidR="001821A8" w:rsidRPr="0040433A" w:rsidRDefault="001821A8" w:rsidP="0040433A">
      <w:pPr>
        <w:spacing w:before="240" w:after="240" w:line="276" w:lineRule="auto"/>
        <w:ind w:left="720"/>
        <w:jc w:val="both"/>
        <w:rPr>
          <w:lang w:val="en-GB"/>
        </w:rPr>
      </w:pPr>
      <w:r w:rsidRPr="0040433A">
        <w:rPr>
          <w:lang w:val="en-GB"/>
        </w:rPr>
        <w:t xml:space="preserve">At one end is the approach that tends towards an abstract test, independent of the particular act or omission in question, like the overall or effective control tests… or sphere of influence or proximity tests. At the other end is a contextual and inductive approach that… [focuses] on actual or potential use of power or activity, and its </w:t>
      </w:r>
      <w:r w:rsidRPr="0040433A">
        <w:rPr>
          <w:i/>
          <w:lang w:val="en-GB"/>
        </w:rPr>
        <w:t>effects</w:t>
      </w:r>
      <w:r w:rsidRPr="0040433A">
        <w:rPr>
          <w:lang w:val="en-GB"/>
        </w:rPr>
        <w:t xml:space="preserve"> or </w:t>
      </w:r>
      <w:r w:rsidRPr="0040433A">
        <w:rPr>
          <w:i/>
          <w:lang w:val="en-GB"/>
        </w:rPr>
        <w:t>impact</w:t>
      </w:r>
      <w:r w:rsidR="00CD643D" w:rsidRPr="0040433A">
        <w:rPr>
          <w:lang w:val="en-GB"/>
        </w:rPr>
        <w:t xml:space="preserve"> on rights-holders.</w:t>
      </w:r>
      <w:r w:rsidRPr="0040433A">
        <w:rPr>
          <w:rStyle w:val="FootnoteReference"/>
          <w:sz w:val="24"/>
          <w:lang w:val="en-GB"/>
        </w:rPr>
        <w:footnoteReference w:id="212"/>
      </w:r>
    </w:p>
    <w:p w14:paraId="05014E06" w14:textId="323DDB05" w:rsidR="00156AA1" w:rsidRPr="0040433A" w:rsidRDefault="00573665" w:rsidP="0040433A">
      <w:pPr>
        <w:spacing w:line="276" w:lineRule="auto"/>
        <w:ind w:firstLine="720"/>
        <w:jc w:val="both"/>
        <w:rPr>
          <w:lang w:val="en-GB"/>
        </w:rPr>
      </w:pPr>
      <w:r w:rsidRPr="0040433A">
        <w:rPr>
          <w:lang w:val="en-GB"/>
        </w:rPr>
        <w:t>The first ma</w:t>
      </w:r>
      <w:r w:rsidR="00426967">
        <w:rPr>
          <w:lang w:val="en-GB"/>
        </w:rPr>
        <w:t>tter that</w:t>
      </w:r>
      <w:r w:rsidRPr="0040433A">
        <w:rPr>
          <w:lang w:val="en-GB"/>
        </w:rPr>
        <w:t xml:space="preserve"> must be considered is the nature of the obligation. This is linked to the forgoing discussion of primary and secondary rules, which identified that there is scope to establis</w:t>
      </w:r>
      <w:r w:rsidR="00921A63" w:rsidRPr="0040433A">
        <w:rPr>
          <w:lang w:val="en-GB"/>
        </w:rPr>
        <w:t xml:space="preserve">h two sets of primary </w:t>
      </w:r>
      <w:r w:rsidR="00836BC9" w:rsidRPr="0040433A">
        <w:rPr>
          <w:lang w:val="en-GB"/>
        </w:rPr>
        <w:t>obligations within the proposed treaty:</w:t>
      </w:r>
      <w:r w:rsidR="00921A63" w:rsidRPr="0040433A">
        <w:rPr>
          <w:lang w:val="en-GB"/>
        </w:rPr>
        <w:t xml:space="preserve"> one which deems a principal violation wrongful, and a second which deems </w:t>
      </w:r>
      <w:r w:rsidR="00921A63" w:rsidRPr="0040433A">
        <w:rPr>
          <w:i/>
          <w:lang w:val="en-GB"/>
        </w:rPr>
        <w:t>complicity</w:t>
      </w:r>
      <w:r w:rsidR="00921A63" w:rsidRPr="0040433A">
        <w:rPr>
          <w:lang w:val="en-GB"/>
        </w:rPr>
        <w:t xml:space="preserve"> in that principal</w:t>
      </w:r>
      <w:r w:rsidRPr="0040433A">
        <w:rPr>
          <w:lang w:val="en-GB"/>
        </w:rPr>
        <w:t xml:space="preserve"> </w:t>
      </w:r>
      <w:r w:rsidR="001D4646" w:rsidRPr="0040433A">
        <w:rPr>
          <w:lang w:val="en-GB"/>
        </w:rPr>
        <w:t xml:space="preserve">wrong to </w:t>
      </w:r>
      <w:r w:rsidR="00921A63" w:rsidRPr="0040433A">
        <w:rPr>
          <w:lang w:val="en-GB"/>
        </w:rPr>
        <w:t>engage an actor</w:t>
      </w:r>
      <w:r w:rsidR="002007A2">
        <w:rPr>
          <w:lang w:val="en-GB"/>
        </w:rPr>
        <w:t>’</w:t>
      </w:r>
      <w:r w:rsidR="00921A63" w:rsidRPr="0040433A">
        <w:rPr>
          <w:lang w:val="en-GB"/>
        </w:rPr>
        <w:t>s responsibility. Ratner has suggested that where a corporation breaches a complicity obligation ‘the factor of the nexus to the affected populations drops out’.</w:t>
      </w:r>
      <w:r w:rsidR="00921A63" w:rsidRPr="0040433A">
        <w:rPr>
          <w:rStyle w:val="FootnoteReference"/>
          <w:sz w:val="24"/>
          <w:lang w:val="en-GB"/>
        </w:rPr>
        <w:footnoteReference w:id="213"/>
      </w:r>
      <w:r w:rsidR="00921A63" w:rsidRPr="0040433A">
        <w:rPr>
          <w:lang w:val="en-GB"/>
        </w:rPr>
        <w:t xml:space="preserve"> In effect, the delimitation of the obligation is derived from the breach of the principal wrong by a State</w:t>
      </w:r>
      <w:r w:rsidR="001D4646" w:rsidRPr="0040433A">
        <w:rPr>
          <w:lang w:val="en-GB"/>
        </w:rPr>
        <w:t xml:space="preserve"> actor</w:t>
      </w:r>
      <w:r w:rsidR="00921A63" w:rsidRPr="0040433A">
        <w:rPr>
          <w:lang w:val="en-GB"/>
        </w:rPr>
        <w:t xml:space="preserve">. </w:t>
      </w:r>
      <w:r w:rsidR="00156AA1" w:rsidRPr="0040433A">
        <w:rPr>
          <w:lang w:val="en-GB"/>
        </w:rPr>
        <w:t xml:space="preserve">While this enumeration does not account for a scenario in which a corporation is deemed to </w:t>
      </w:r>
      <w:r w:rsidR="00014FA4" w:rsidRPr="0040433A">
        <w:rPr>
          <w:lang w:val="en-GB"/>
        </w:rPr>
        <w:t>be the principal wrongdoer</w:t>
      </w:r>
      <w:r w:rsidR="00156AA1" w:rsidRPr="0040433A">
        <w:rPr>
          <w:lang w:val="en-GB"/>
        </w:rPr>
        <w:t xml:space="preserve"> with the aid or assistance of a State, it could be argued that </w:t>
      </w:r>
      <w:r w:rsidR="005B1CDB" w:rsidRPr="0040433A">
        <w:rPr>
          <w:lang w:val="en-GB"/>
        </w:rPr>
        <w:t xml:space="preserve">in </w:t>
      </w:r>
      <w:r w:rsidR="00156AA1" w:rsidRPr="0040433A">
        <w:rPr>
          <w:lang w:val="en-GB"/>
        </w:rPr>
        <w:t xml:space="preserve">most scenarios </w:t>
      </w:r>
      <w:r w:rsidR="005B1CDB" w:rsidRPr="0040433A">
        <w:rPr>
          <w:lang w:val="en-GB"/>
        </w:rPr>
        <w:t xml:space="preserve">the State’s responsibility </w:t>
      </w:r>
      <w:r w:rsidR="00156AA1" w:rsidRPr="0040433A">
        <w:rPr>
          <w:lang w:val="en-GB"/>
        </w:rPr>
        <w:t xml:space="preserve">would be captured under </w:t>
      </w:r>
      <w:r w:rsidR="005B1CDB" w:rsidRPr="0040433A">
        <w:rPr>
          <w:lang w:val="en-GB"/>
        </w:rPr>
        <w:t xml:space="preserve">its general </w:t>
      </w:r>
      <w:r w:rsidR="00156AA1" w:rsidRPr="0040433A">
        <w:rPr>
          <w:lang w:val="en-GB"/>
        </w:rPr>
        <w:t>due diligence obligations. Ratner</w:t>
      </w:r>
      <w:r w:rsidR="00641DC9" w:rsidRPr="0040433A">
        <w:rPr>
          <w:lang w:val="en-GB"/>
        </w:rPr>
        <w:t xml:space="preserve"> continues:</w:t>
      </w:r>
    </w:p>
    <w:p w14:paraId="32622FDE" w14:textId="14E8B73A" w:rsidR="00AA1B84" w:rsidRPr="0040433A" w:rsidRDefault="00641DC9" w:rsidP="0040433A">
      <w:pPr>
        <w:spacing w:before="240" w:after="240" w:line="276" w:lineRule="auto"/>
        <w:ind w:left="720"/>
        <w:jc w:val="both"/>
        <w:rPr>
          <w:lang w:val="en-GB"/>
        </w:rPr>
      </w:pPr>
      <w:r w:rsidRPr="0040433A">
        <w:rPr>
          <w:lang w:val="en-GB"/>
        </w:rPr>
        <w:t>S</w:t>
      </w:r>
      <w:r w:rsidR="00921A63" w:rsidRPr="0040433A">
        <w:rPr>
          <w:lang w:val="en-GB"/>
        </w:rPr>
        <w:t>econd is a set of duties on the corporation not to infringe directly on the human rights of those with whom it enjoys certain ties, with the possibility of greater duties depending upon the scope of those links</w:t>
      </w:r>
      <w:r w:rsidR="00156AA1" w:rsidRPr="0040433A">
        <w:rPr>
          <w:lang w:val="en-GB"/>
        </w:rPr>
        <w:t>… These connections may, for example, emanate from legal ties (as with employees), physical proximity, or possession of de facto con</w:t>
      </w:r>
      <w:r w:rsidR="00402B21" w:rsidRPr="0040433A">
        <w:rPr>
          <w:lang w:val="en-GB"/>
        </w:rPr>
        <w:t>trol over a piece of territory.</w:t>
      </w:r>
      <w:r w:rsidR="00921A63" w:rsidRPr="0040433A">
        <w:rPr>
          <w:rStyle w:val="FootnoteReference"/>
          <w:sz w:val="24"/>
          <w:lang w:val="en-GB"/>
        </w:rPr>
        <w:footnoteReference w:id="214"/>
      </w:r>
    </w:p>
    <w:p w14:paraId="2BCA8B3E" w14:textId="52BBD3F9" w:rsidR="00FB39D7" w:rsidRPr="0040433A" w:rsidRDefault="001D4646" w:rsidP="0040433A">
      <w:pPr>
        <w:spacing w:line="276" w:lineRule="auto"/>
        <w:ind w:firstLine="720"/>
        <w:jc w:val="both"/>
        <w:rPr>
          <w:lang w:val="en-GB"/>
        </w:rPr>
      </w:pPr>
      <w:r w:rsidRPr="0040433A">
        <w:rPr>
          <w:lang w:val="en-GB"/>
        </w:rPr>
        <w:t xml:space="preserve">While such an approach seems reasonable, </w:t>
      </w:r>
      <w:r w:rsidR="00014FA4" w:rsidRPr="0040433A">
        <w:rPr>
          <w:lang w:val="en-GB"/>
        </w:rPr>
        <w:t>the precise shape of these tests remains unclear.</w:t>
      </w:r>
      <w:r w:rsidR="001509CB" w:rsidRPr="0040433A">
        <w:rPr>
          <w:lang w:val="en-GB"/>
        </w:rPr>
        <w:t xml:space="preserve"> P</w:t>
      </w:r>
      <w:r w:rsidR="00DE6C44" w:rsidRPr="0040433A">
        <w:rPr>
          <w:lang w:val="en-GB"/>
        </w:rPr>
        <w:t>roximity</w:t>
      </w:r>
      <w:r w:rsidR="001509CB" w:rsidRPr="0040433A">
        <w:rPr>
          <w:lang w:val="en-GB"/>
        </w:rPr>
        <w:t xml:space="preserve"> may</w:t>
      </w:r>
      <w:r w:rsidR="00DE6C44" w:rsidRPr="0040433A">
        <w:rPr>
          <w:lang w:val="en-GB"/>
        </w:rPr>
        <w:t xml:space="preserve"> imply political</w:t>
      </w:r>
      <w:r w:rsidR="006D3A73" w:rsidRPr="0040433A">
        <w:rPr>
          <w:lang w:val="en-GB"/>
        </w:rPr>
        <w:t xml:space="preserve"> or economic</w:t>
      </w:r>
      <w:r w:rsidR="003E43A2" w:rsidRPr="0040433A">
        <w:rPr>
          <w:lang w:val="en-GB"/>
        </w:rPr>
        <w:t xml:space="preserve"> ties</w:t>
      </w:r>
      <w:r w:rsidR="00DE6C44" w:rsidRPr="0040433A">
        <w:rPr>
          <w:lang w:val="en-GB"/>
        </w:rPr>
        <w:t xml:space="preserve">, or </w:t>
      </w:r>
      <w:r w:rsidR="006D2EB8" w:rsidRPr="0040433A">
        <w:rPr>
          <w:lang w:val="en-GB"/>
        </w:rPr>
        <w:t>may</w:t>
      </w:r>
      <w:r w:rsidR="00DE6C44" w:rsidRPr="0040433A">
        <w:rPr>
          <w:lang w:val="en-GB"/>
        </w:rPr>
        <w:t xml:space="preserve"> be </w:t>
      </w:r>
      <w:r w:rsidR="006D3A73" w:rsidRPr="0040433A">
        <w:rPr>
          <w:lang w:val="en-GB"/>
        </w:rPr>
        <w:t>circumscribed by geography</w:t>
      </w:r>
      <w:r w:rsidR="00DE6C44" w:rsidRPr="0040433A">
        <w:rPr>
          <w:lang w:val="en-GB"/>
        </w:rPr>
        <w:t>, a notion which Rug</w:t>
      </w:r>
      <w:r w:rsidR="00CC0877">
        <w:rPr>
          <w:lang w:val="en-GB"/>
        </w:rPr>
        <w:t>gie describes as ‘misleading… [c</w:t>
      </w:r>
      <w:r w:rsidR="00DE6C44" w:rsidRPr="0040433A">
        <w:rPr>
          <w:lang w:val="en-GB"/>
        </w:rPr>
        <w:t>ompanies] can equally affect the rights of people far away from the source’.</w:t>
      </w:r>
      <w:r w:rsidR="00DE6C44" w:rsidRPr="0040433A">
        <w:rPr>
          <w:rStyle w:val="FootnoteReference"/>
          <w:sz w:val="24"/>
          <w:lang w:val="en-GB"/>
        </w:rPr>
        <w:footnoteReference w:id="215"/>
      </w:r>
      <w:r w:rsidR="00014FA4" w:rsidRPr="0040433A">
        <w:rPr>
          <w:lang w:val="en-GB"/>
        </w:rPr>
        <w:t xml:space="preserve"> </w:t>
      </w:r>
      <w:r w:rsidR="003C0C75" w:rsidRPr="0040433A">
        <w:rPr>
          <w:lang w:val="en-GB"/>
        </w:rPr>
        <w:t>While ‘l</w:t>
      </w:r>
      <w:r w:rsidR="00014FA4" w:rsidRPr="0040433A">
        <w:rPr>
          <w:lang w:val="en-GB"/>
        </w:rPr>
        <w:t>egal ties</w:t>
      </w:r>
      <w:r w:rsidR="003C0C75" w:rsidRPr="0040433A">
        <w:rPr>
          <w:lang w:val="en-GB"/>
        </w:rPr>
        <w:t>’</w:t>
      </w:r>
      <w:r w:rsidR="00014FA4" w:rsidRPr="0040433A">
        <w:rPr>
          <w:lang w:val="en-GB"/>
        </w:rPr>
        <w:t xml:space="preserve"> with employees seems to be the </w:t>
      </w:r>
      <w:r w:rsidR="007F4534">
        <w:rPr>
          <w:lang w:val="en-GB"/>
        </w:rPr>
        <w:t>simplest</w:t>
      </w:r>
      <w:r w:rsidR="00014FA4" w:rsidRPr="0040433A">
        <w:rPr>
          <w:lang w:val="en-GB"/>
        </w:rPr>
        <w:t xml:space="preserve"> measure, </w:t>
      </w:r>
      <w:r w:rsidR="004A43C3">
        <w:rPr>
          <w:lang w:val="en-GB"/>
        </w:rPr>
        <w:t xml:space="preserve">given </w:t>
      </w:r>
      <w:r w:rsidR="00014FA4" w:rsidRPr="0040433A">
        <w:rPr>
          <w:lang w:val="en-GB"/>
        </w:rPr>
        <w:t>the sprawling corporate structures exhibited by many multinational enterprises,</w:t>
      </w:r>
      <w:r w:rsidR="002E7340" w:rsidRPr="0040433A">
        <w:rPr>
          <w:rStyle w:val="FootnoteReference"/>
          <w:sz w:val="24"/>
          <w:lang w:val="en-GB"/>
        </w:rPr>
        <w:footnoteReference w:id="216"/>
      </w:r>
      <w:r w:rsidR="00014FA4" w:rsidRPr="0040433A">
        <w:rPr>
          <w:lang w:val="en-GB"/>
        </w:rPr>
        <w:t xml:space="preserve"> the question is how fa</w:t>
      </w:r>
      <w:r w:rsidR="002E7340" w:rsidRPr="0040433A">
        <w:rPr>
          <w:lang w:val="en-GB"/>
        </w:rPr>
        <w:t xml:space="preserve">r </w:t>
      </w:r>
      <w:r w:rsidR="004A43C3">
        <w:rPr>
          <w:lang w:val="en-GB"/>
        </w:rPr>
        <w:t>‘</w:t>
      </w:r>
      <w:r w:rsidR="002E7340" w:rsidRPr="0040433A">
        <w:rPr>
          <w:lang w:val="en-GB"/>
        </w:rPr>
        <w:t>legal ties</w:t>
      </w:r>
      <w:r w:rsidR="004A43C3">
        <w:rPr>
          <w:lang w:val="en-GB"/>
        </w:rPr>
        <w:t>’</w:t>
      </w:r>
      <w:r w:rsidR="002E7340" w:rsidRPr="0040433A">
        <w:rPr>
          <w:lang w:val="en-GB"/>
        </w:rPr>
        <w:t xml:space="preserve"> will go.</w:t>
      </w:r>
      <w:r w:rsidR="00014FA4" w:rsidRPr="0040433A">
        <w:rPr>
          <w:lang w:val="en-GB"/>
        </w:rPr>
        <w:t xml:space="preserve"> </w:t>
      </w:r>
      <w:r w:rsidR="002E7340" w:rsidRPr="0040433A">
        <w:rPr>
          <w:lang w:val="en-GB"/>
        </w:rPr>
        <w:t>W</w:t>
      </w:r>
      <w:r w:rsidR="00014FA4" w:rsidRPr="0040433A">
        <w:rPr>
          <w:lang w:val="en-GB"/>
        </w:rPr>
        <w:t xml:space="preserve">ill they stretch down the entire </w:t>
      </w:r>
      <w:r w:rsidR="000E35F9">
        <w:rPr>
          <w:lang w:val="en-GB"/>
        </w:rPr>
        <w:t>supply chain</w:t>
      </w:r>
      <w:r w:rsidR="00014FA4" w:rsidRPr="0040433A">
        <w:rPr>
          <w:lang w:val="en-GB"/>
        </w:rPr>
        <w:t xml:space="preserve"> to reach contractors and sub-contractors of subsidiary corporations?</w:t>
      </w:r>
      <w:r w:rsidR="007500CA" w:rsidRPr="0040433A">
        <w:rPr>
          <w:lang w:val="en-GB"/>
        </w:rPr>
        <w:t xml:space="preserve"> It would seem unlikely in light of domestic tort litigation, a Dutch Court having recently held that </w:t>
      </w:r>
    </w:p>
    <w:p w14:paraId="5AF03AC9" w14:textId="26BB4016" w:rsidR="00FB39D7" w:rsidRPr="0040433A" w:rsidRDefault="007500CA" w:rsidP="0040433A">
      <w:pPr>
        <w:spacing w:before="240" w:after="240" w:line="276" w:lineRule="auto"/>
        <w:ind w:left="720"/>
        <w:jc w:val="both"/>
        <w:rPr>
          <w:lang w:val="en-GB"/>
        </w:rPr>
      </w:pPr>
      <w:r w:rsidRPr="0040433A">
        <w:rPr>
          <w:lang w:val="en-GB"/>
        </w:rPr>
        <w:t>proximity between</w:t>
      </w:r>
      <w:r w:rsidR="00A713B9">
        <w:rPr>
          <w:lang w:val="en-GB"/>
        </w:rPr>
        <w:t xml:space="preserve"> [a]</w:t>
      </w:r>
      <w:r w:rsidRPr="0040433A">
        <w:rPr>
          <w:lang w:val="en-GB"/>
        </w:rPr>
        <w:t xml:space="preserve"> parent company and the employees of its subsidiary that operates in the same country cannot be unreservedly equated with the proximity between the parent of</w:t>
      </w:r>
      <w:r w:rsidR="00AE7F03" w:rsidRPr="0040433A">
        <w:rPr>
          <w:lang w:val="en-GB"/>
        </w:rPr>
        <w:t xml:space="preserve"> </w:t>
      </w:r>
      <w:r w:rsidRPr="0040433A">
        <w:rPr>
          <w:lang w:val="en-GB"/>
        </w:rPr>
        <w:t xml:space="preserve">an international group of oil companies and the </w:t>
      </w:r>
      <w:r w:rsidR="00CC0877">
        <w:rPr>
          <w:lang w:val="en-GB"/>
        </w:rPr>
        <w:t xml:space="preserve">[population] in the vicinity… </w:t>
      </w:r>
      <w:r w:rsidR="00402B21" w:rsidRPr="0040433A">
        <w:rPr>
          <w:lang w:val="en-GB"/>
        </w:rPr>
        <w:t>of its [foreign] subsidiaries</w:t>
      </w:r>
      <w:r w:rsidRPr="0040433A">
        <w:rPr>
          <w:lang w:val="en-GB"/>
        </w:rPr>
        <w:t>.</w:t>
      </w:r>
      <w:r w:rsidRPr="0040433A">
        <w:rPr>
          <w:rStyle w:val="FootnoteReference"/>
          <w:sz w:val="24"/>
          <w:lang w:val="en-GB"/>
        </w:rPr>
        <w:footnoteReference w:id="217"/>
      </w:r>
      <w:r w:rsidR="00997CB3" w:rsidRPr="0040433A">
        <w:rPr>
          <w:lang w:val="en-GB"/>
        </w:rPr>
        <w:t xml:space="preserve"> </w:t>
      </w:r>
    </w:p>
    <w:p w14:paraId="2BD9F57B" w14:textId="4CBEE24E" w:rsidR="003D550F" w:rsidRPr="0040433A" w:rsidRDefault="00DC11B6" w:rsidP="0040433A">
      <w:pPr>
        <w:spacing w:line="276" w:lineRule="auto"/>
        <w:jc w:val="both"/>
        <w:rPr>
          <w:lang w:val="en-GB"/>
        </w:rPr>
      </w:pPr>
      <w:r>
        <w:rPr>
          <w:lang w:val="en-GB"/>
        </w:rPr>
        <w:t xml:space="preserve">It was on this basis that the </w:t>
      </w:r>
      <w:r w:rsidR="004A43C3">
        <w:rPr>
          <w:lang w:val="en-GB"/>
        </w:rPr>
        <w:t xml:space="preserve">Dutch </w:t>
      </w:r>
      <w:r>
        <w:rPr>
          <w:lang w:val="en-GB"/>
        </w:rPr>
        <w:t xml:space="preserve">Court distinguished the case </w:t>
      </w:r>
      <w:r w:rsidR="004A43C3">
        <w:rPr>
          <w:lang w:val="en-GB"/>
        </w:rPr>
        <w:t xml:space="preserve">before it </w:t>
      </w:r>
      <w:r>
        <w:rPr>
          <w:lang w:val="en-GB"/>
        </w:rPr>
        <w:t xml:space="preserve">from the landmark </w:t>
      </w:r>
      <w:r w:rsidRPr="00DC11B6">
        <w:rPr>
          <w:i/>
          <w:lang w:val="en-GB"/>
        </w:rPr>
        <w:t>Chandler v Cape</w:t>
      </w:r>
      <w:r>
        <w:rPr>
          <w:lang w:val="en-GB"/>
        </w:rPr>
        <w:t xml:space="preserve"> judgment, which recognised that, in limited circumstances, parents may be held responsible for the overseas operations of their subsidiaries.</w:t>
      </w:r>
      <w:r w:rsidRPr="00DC11B6">
        <w:rPr>
          <w:rStyle w:val="FootnoteReference"/>
          <w:lang w:val="en-GB"/>
        </w:rPr>
        <w:t xml:space="preserve"> </w:t>
      </w:r>
      <w:r>
        <w:rPr>
          <w:rStyle w:val="FootnoteReference"/>
          <w:lang w:val="en-GB"/>
        </w:rPr>
        <w:footnoteReference w:id="218"/>
      </w:r>
      <w:r>
        <w:rPr>
          <w:lang w:val="en-GB"/>
        </w:rPr>
        <w:t xml:space="preserve"> While an appeal is pending </w:t>
      </w:r>
      <w:r w:rsidR="00125C97">
        <w:rPr>
          <w:lang w:val="en-GB"/>
        </w:rPr>
        <w:t>before the</w:t>
      </w:r>
      <w:r>
        <w:rPr>
          <w:lang w:val="en-GB"/>
        </w:rPr>
        <w:t xml:space="preserve"> Dutch Courts following a ruling that company documents previously denied to the plaintiffs should be disclosed, the final outcome of the case remains uncertain.</w:t>
      </w:r>
      <w:r>
        <w:rPr>
          <w:rStyle w:val="FootnoteReference"/>
          <w:lang w:val="en-GB"/>
        </w:rPr>
        <w:footnoteReference w:id="219"/>
      </w:r>
      <w:r>
        <w:rPr>
          <w:lang w:val="en-GB"/>
        </w:rPr>
        <w:t xml:space="preserve"> </w:t>
      </w:r>
      <w:r w:rsidR="00997CB3" w:rsidRPr="0040433A">
        <w:rPr>
          <w:lang w:val="en-GB"/>
        </w:rPr>
        <w:t>‘</w:t>
      </w:r>
      <w:r w:rsidR="00125C97">
        <w:rPr>
          <w:lang w:val="en-GB"/>
        </w:rPr>
        <w:t>P</w:t>
      </w:r>
      <w:r w:rsidR="00997CB3" w:rsidRPr="0040433A">
        <w:rPr>
          <w:lang w:val="en-GB"/>
        </w:rPr>
        <w:t>rocedural defences’</w:t>
      </w:r>
      <w:r w:rsidR="002E7340" w:rsidRPr="0040433A">
        <w:rPr>
          <w:lang w:val="en-GB"/>
        </w:rPr>
        <w:t xml:space="preserve"> </w:t>
      </w:r>
      <w:r w:rsidR="00125C97">
        <w:rPr>
          <w:lang w:val="en-GB"/>
        </w:rPr>
        <w:t xml:space="preserve">of this kind are </w:t>
      </w:r>
      <w:r w:rsidR="002E7340" w:rsidRPr="0040433A">
        <w:rPr>
          <w:lang w:val="en-GB"/>
        </w:rPr>
        <w:t>often</w:t>
      </w:r>
      <w:r w:rsidR="00997CB3" w:rsidRPr="0040433A">
        <w:rPr>
          <w:lang w:val="en-GB"/>
        </w:rPr>
        <w:t xml:space="preserve"> invoked by business actors in domestic litigation in order to avoid liability</w:t>
      </w:r>
      <w:r w:rsidR="00125C97">
        <w:rPr>
          <w:lang w:val="en-GB"/>
        </w:rPr>
        <w:t>, and</w:t>
      </w:r>
      <w:r w:rsidR="00997CB3" w:rsidRPr="0040433A">
        <w:rPr>
          <w:lang w:val="en-GB"/>
        </w:rPr>
        <w:t xml:space="preserve"> might also factor into the enforcement of international obligations.</w:t>
      </w:r>
      <w:r w:rsidRPr="0040433A">
        <w:rPr>
          <w:rStyle w:val="FootnoteReference"/>
          <w:sz w:val="24"/>
          <w:lang w:val="en-GB"/>
        </w:rPr>
        <w:footnoteReference w:id="220"/>
      </w:r>
      <w:r w:rsidR="00997CB3" w:rsidRPr="0040433A">
        <w:rPr>
          <w:lang w:val="en-GB"/>
        </w:rPr>
        <w:t xml:space="preserve"> Whether parent companies alone, where the majority of a business’s assets lies, ought to be targeted primarily for their lack of oversight, or other entities further down the supply chain should b</w:t>
      </w:r>
      <w:r w:rsidR="0092205F" w:rsidRPr="0040433A">
        <w:rPr>
          <w:lang w:val="en-GB"/>
        </w:rPr>
        <w:t>e indicted</w:t>
      </w:r>
      <w:r w:rsidR="00FD777C">
        <w:rPr>
          <w:lang w:val="en-GB"/>
        </w:rPr>
        <w:t>,</w:t>
      </w:r>
      <w:r w:rsidR="0092205F" w:rsidRPr="0040433A">
        <w:rPr>
          <w:lang w:val="en-GB"/>
        </w:rPr>
        <w:t xml:space="preserve"> is another question feeding </w:t>
      </w:r>
      <w:r w:rsidR="00997CB3" w:rsidRPr="0040433A">
        <w:rPr>
          <w:lang w:val="en-GB"/>
        </w:rPr>
        <w:t>into the debat</w:t>
      </w:r>
      <w:r w:rsidR="0069037D">
        <w:rPr>
          <w:lang w:val="en-GB"/>
        </w:rPr>
        <w:t>e as to the scope of the treaty</w:t>
      </w:r>
      <w:r w:rsidR="00FD777C">
        <w:rPr>
          <w:lang w:val="en-GB"/>
        </w:rPr>
        <w:t>.</w:t>
      </w:r>
      <w:r w:rsidR="00E05649" w:rsidRPr="0040433A">
        <w:rPr>
          <w:lang w:val="en-GB"/>
        </w:rPr>
        <w:t xml:space="preserve"> </w:t>
      </w:r>
      <w:r w:rsidR="00FD777C">
        <w:rPr>
          <w:lang w:val="en-GB"/>
        </w:rPr>
        <w:t>S</w:t>
      </w:r>
      <w:r w:rsidR="00FD777C" w:rsidRPr="0040433A">
        <w:rPr>
          <w:lang w:val="en-GB"/>
        </w:rPr>
        <w:t xml:space="preserve">hould </w:t>
      </w:r>
      <w:r w:rsidR="00901035" w:rsidRPr="0040433A">
        <w:rPr>
          <w:lang w:val="en-GB"/>
        </w:rPr>
        <w:t>the instrument</w:t>
      </w:r>
      <w:r w:rsidR="00997CB3" w:rsidRPr="0040433A">
        <w:rPr>
          <w:lang w:val="en-GB"/>
        </w:rPr>
        <w:t xml:space="preserve"> target only companies operating transnationally, or should it be broader in scope?</w:t>
      </w:r>
      <w:r w:rsidR="00CF75BA" w:rsidRPr="0040433A">
        <w:rPr>
          <w:rStyle w:val="FootnoteReference"/>
          <w:sz w:val="24"/>
          <w:lang w:val="en-GB"/>
        </w:rPr>
        <w:footnoteReference w:id="221"/>
      </w:r>
      <w:r w:rsidR="00997CB3" w:rsidRPr="0040433A">
        <w:rPr>
          <w:lang w:val="en-GB"/>
        </w:rPr>
        <w:t xml:space="preserve"> </w:t>
      </w:r>
    </w:p>
    <w:p w14:paraId="22205593" w14:textId="66B9E6EB" w:rsidR="005A058D" w:rsidRPr="0040433A" w:rsidRDefault="0083716B" w:rsidP="0040433A">
      <w:pPr>
        <w:spacing w:line="276" w:lineRule="auto"/>
        <w:ind w:firstLine="720"/>
        <w:jc w:val="both"/>
        <w:rPr>
          <w:lang w:val="en-GB"/>
        </w:rPr>
      </w:pPr>
      <w:r w:rsidRPr="0040433A">
        <w:rPr>
          <w:lang w:val="en-GB"/>
        </w:rPr>
        <w:t>The principle</w:t>
      </w:r>
      <w:r w:rsidR="00355696" w:rsidRPr="0040433A">
        <w:rPr>
          <w:lang w:val="en-GB"/>
        </w:rPr>
        <w:t xml:space="preserve"> of ‘due diligence’ is another </w:t>
      </w:r>
      <w:r w:rsidR="00FD777C">
        <w:rPr>
          <w:lang w:val="en-GB"/>
        </w:rPr>
        <w:t xml:space="preserve">delimiting </w:t>
      </w:r>
      <w:r w:rsidR="0069037D">
        <w:rPr>
          <w:lang w:val="en-GB"/>
        </w:rPr>
        <w:t>standard</w:t>
      </w:r>
      <w:r w:rsidRPr="0040433A">
        <w:rPr>
          <w:lang w:val="en-GB"/>
        </w:rPr>
        <w:t xml:space="preserve"> </w:t>
      </w:r>
      <w:r w:rsidR="0069037D">
        <w:rPr>
          <w:lang w:val="en-GB"/>
        </w:rPr>
        <w:t>that</w:t>
      </w:r>
      <w:r w:rsidR="005A623B" w:rsidRPr="0040433A">
        <w:rPr>
          <w:lang w:val="en-GB"/>
        </w:rPr>
        <w:t xml:space="preserve"> is key to operationaliz</w:t>
      </w:r>
      <w:r w:rsidR="00962450" w:rsidRPr="0040433A">
        <w:rPr>
          <w:lang w:val="en-GB"/>
        </w:rPr>
        <w:t>ing the</w:t>
      </w:r>
      <w:r w:rsidR="0069037D">
        <w:rPr>
          <w:lang w:val="en-GB"/>
        </w:rPr>
        <w:t xml:space="preserve"> UNGPs</w:t>
      </w:r>
      <w:r w:rsidR="00962450" w:rsidRPr="0040433A">
        <w:rPr>
          <w:lang w:val="en-GB"/>
        </w:rPr>
        <w:t>.</w:t>
      </w:r>
      <w:r w:rsidR="00962450" w:rsidRPr="0040433A">
        <w:rPr>
          <w:rStyle w:val="FootnoteReference"/>
          <w:sz w:val="24"/>
          <w:lang w:val="en-GB"/>
        </w:rPr>
        <w:footnoteReference w:id="222"/>
      </w:r>
      <w:r w:rsidR="00962450" w:rsidRPr="0040433A">
        <w:rPr>
          <w:lang w:val="en-GB"/>
        </w:rPr>
        <w:t xml:space="preserve"> Principle 17(a) </w:t>
      </w:r>
      <w:r w:rsidR="00A24138">
        <w:rPr>
          <w:lang w:val="en-GB"/>
        </w:rPr>
        <w:t>advises that the concept covers</w:t>
      </w:r>
      <w:r w:rsidR="00AE7F03" w:rsidRPr="0040433A">
        <w:rPr>
          <w:lang w:val="en-GB"/>
        </w:rPr>
        <w:t xml:space="preserve"> </w:t>
      </w:r>
      <w:r w:rsidR="00A24138">
        <w:rPr>
          <w:lang w:val="en-GB"/>
        </w:rPr>
        <w:t>‘</w:t>
      </w:r>
      <w:r w:rsidR="00AE7F03" w:rsidRPr="0040433A">
        <w:rPr>
          <w:lang w:val="en-GB"/>
        </w:rPr>
        <w:t>adverse human rights impacts that the business enterprise may cause or contribute to through its own activities, or which may be directly linked to its operations, products or services by its business relationships’.</w:t>
      </w:r>
      <w:r w:rsidR="00AE7F03" w:rsidRPr="0040433A">
        <w:rPr>
          <w:rStyle w:val="FootnoteReference"/>
          <w:sz w:val="24"/>
          <w:lang w:val="en-GB"/>
        </w:rPr>
        <w:footnoteReference w:id="223"/>
      </w:r>
      <w:r w:rsidR="00355696" w:rsidRPr="0040433A">
        <w:rPr>
          <w:lang w:val="en-GB"/>
        </w:rPr>
        <w:t xml:space="preserve"> </w:t>
      </w:r>
      <w:r w:rsidR="00547597" w:rsidRPr="0040433A">
        <w:rPr>
          <w:lang w:val="en-GB"/>
        </w:rPr>
        <w:t xml:space="preserve">The commentary to this principle </w:t>
      </w:r>
      <w:r w:rsidR="00B82624" w:rsidRPr="0040433A">
        <w:rPr>
          <w:lang w:val="en-GB"/>
        </w:rPr>
        <w:t>provides</w:t>
      </w:r>
      <w:r w:rsidR="009165E8" w:rsidRPr="0040433A">
        <w:rPr>
          <w:lang w:val="en-GB"/>
        </w:rPr>
        <w:t xml:space="preserve"> that</w:t>
      </w:r>
      <w:r w:rsidR="00547597" w:rsidRPr="0040433A">
        <w:rPr>
          <w:lang w:val="en-GB"/>
        </w:rPr>
        <w:t xml:space="preserve"> ‘[w]here business enterprises have large numbers of entities in their value chains it may be unreasonably difficult to conduct due diligence for adverse human rights impacts across them all.’</w:t>
      </w:r>
      <w:r w:rsidR="00547597" w:rsidRPr="0040433A">
        <w:rPr>
          <w:rStyle w:val="FootnoteReference"/>
          <w:sz w:val="24"/>
          <w:lang w:val="en-GB"/>
        </w:rPr>
        <w:footnoteReference w:id="224"/>
      </w:r>
      <w:r w:rsidR="009165E8" w:rsidRPr="0040433A">
        <w:rPr>
          <w:lang w:val="en-GB"/>
        </w:rPr>
        <w:t xml:space="preserve"> If adopted by the</w:t>
      </w:r>
      <w:r w:rsidR="00A24138">
        <w:rPr>
          <w:lang w:val="en-GB"/>
        </w:rPr>
        <w:t xml:space="preserve"> proposed</w:t>
      </w:r>
      <w:r w:rsidR="009165E8" w:rsidRPr="0040433A">
        <w:rPr>
          <w:lang w:val="en-GB"/>
        </w:rPr>
        <w:t xml:space="preserve"> treaty, s</w:t>
      </w:r>
      <w:r w:rsidR="00DA2D50" w:rsidRPr="0040433A">
        <w:rPr>
          <w:lang w:val="en-GB"/>
        </w:rPr>
        <w:t xml:space="preserve">uch a loose delimitation of the scope of the obligations would </w:t>
      </w:r>
      <w:r w:rsidR="004B75C4" w:rsidRPr="0040433A">
        <w:rPr>
          <w:lang w:val="en-GB"/>
        </w:rPr>
        <w:t>arguably</w:t>
      </w:r>
      <w:r w:rsidR="00DA2D50" w:rsidRPr="0040433A">
        <w:rPr>
          <w:lang w:val="en-GB"/>
        </w:rPr>
        <w:t xml:space="preserve"> give rise</w:t>
      </w:r>
      <w:r w:rsidR="00013D81" w:rsidRPr="0040433A">
        <w:rPr>
          <w:lang w:val="en-GB"/>
        </w:rPr>
        <w:t xml:space="preserve"> to</w:t>
      </w:r>
      <w:r w:rsidR="00DA2D50" w:rsidRPr="0040433A">
        <w:rPr>
          <w:lang w:val="en-GB"/>
        </w:rPr>
        <w:t xml:space="preserve"> procedural issues in establishing a breach in situations involving multinational conglomerates.</w:t>
      </w:r>
      <w:r w:rsidR="004A0BFF" w:rsidRPr="0040433A">
        <w:rPr>
          <w:lang w:val="en-GB"/>
        </w:rPr>
        <w:t xml:space="preserve"> </w:t>
      </w:r>
      <w:r w:rsidRPr="0040433A">
        <w:rPr>
          <w:lang w:val="en-GB"/>
        </w:rPr>
        <w:t>Others have emphasised the responsibility of actors for human rights to the extent that they fall within their ‘sphere of influence’</w:t>
      </w:r>
      <w:r w:rsidR="0047789B" w:rsidRPr="0040433A">
        <w:rPr>
          <w:lang w:val="en-GB"/>
        </w:rPr>
        <w:t>, a notion</w:t>
      </w:r>
      <w:r w:rsidRPr="0040433A">
        <w:rPr>
          <w:lang w:val="en-GB"/>
        </w:rPr>
        <w:t xml:space="preserve"> </w:t>
      </w:r>
      <w:r w:rsidR="004E165F">
        <w:rPr>
          <w:lang w:val="en-GB"/>
        </w:rPr>
        <w:t>that</w:t>
      </w:r>
      <w:r w:rsidR="00AE7F03" w:rsidRPr="0040433A">
        <w:rPr>
          <w:lang w:val="en-GB"/>
        </w:rPr>
        <w:t xml:space="preserve"> gained traction during the </w:t>
      </w:r>
      <w:r w:rsidR="00925EB7" w:rsidRPr="0040433A">
        <w:rPr>
          <w:lang w:val="en-GB"/>
        </w:rPr>
        <w:t>drafting of the ultimately abandoned</w:t>
      </w:r>
      <w:r w:rsidR="00AE7F03" w:rsidRPr="0040433A">
        <w:rPr>
          <w:lang w:val="en-GB"/>
        </w:rPr>
        <w:t xml:space="preserve"> </w:t>
      </w:r>
      <w:r w:rsidR="009C0561" w:rsidRPr="0040433A">
        <w:rPr>
          <w:lang w:val="en-GB"/>
        </w:rPr>
        <w:t>2003</w:t>
      </w:r>
      <w:r w:rsidR="009C0561">
        <w:rPr>
          <w:lang w:val="en-GB"/>
        </w:rPr>
        <w:t xml:space="preserve"> </w:t>
      </w:r>
      <w:r w:rsidR="00925EB7" w:rsidRPr="0040433A">
        <w:rPr>
          <w:lang w:val="en-GB"/>
        </w:rPr>
        <w:t>Draft Norms on Transnational Corporations</w:t>
      </w:r>
      <w:r w:rsidR="007E6C66" w:rsidRPr="0040433A">
        <w:rPr>
          <w:lang w:val="en-GB"/>
        </w:rPr>
        <w:t>.</w:t>
      </w:r>
      <w:r w:rsidR="00AE7F03" w:rsidRPr="0040433A">
        <w:rPr>
          <w:lang w:val="en-GB"/>
        </w:rPr>
        <w:t xml:space="preserve"> </w:t>
      </w:r>
      <w:r w:rsidR="007E6C66" w:rsidRPr="0040433A">
        <w:rPr>
          <w:lang w:val="en-GB"/>
        </w:rPr>
        <w:t>The concept</w:t>
      </w:r>
      <w:r w:rsidR="00AE7F03" w:rsidRPr="0040433A">
        <w:rPr>
          <w:lang w:val="en-GB"/>
        </w:rPr>
        <w:t xml:space="preserve"> has been described as a ‘set of concentric circles, mapping stakeholders in a company’s value chain’.</w:t>
      </w:r>
      <w:r w:rsidR="004A0BFF" w:rsidRPr="0040433A">
        <w:rPr>
          <w:rStyle w:val="FootnoteReference"/>
          <w:sz w:val="24"/>
          <w:lang w:val="en-GB"/>
        </w:rPr>
        <w:footnoteReference w:id="225"/>
      </w:r>
      <w:r w:rsidR="00AE7F03" w:rsidRPr="0040433A">
        <w:rPr>
          <w:lang w:val="en-GB"/>
        </w:rPr>
        <w:t xml:space="preserve"> </w:t>
      </w:r>
      <w:r w:rsidR="00DE6C44" w:rsidRPr="0040433A">
        <w:rPr>
          <w:lang w:val="en-GB"/>
        </w:rPr>
        <w:t>Ruggie has been critical of the treatment of this term as ‘functionally equivalent to a State’s jurisdiction’, warning against the ambiguity of the term</w:t>
      </w:r>
      <w:r w:rsidR="007F4534">
        <w:rPr>
          <w:lang w:val="en-GB"/>
        </w:rPr>
        <w:t>,</w:t>
      </w:r>
      <w:r w:rsidR="00DE6C44" w:rsidRPr="0040433A">
        <w:rPr>
          <w:lang w:val="en-GB"/>
        </w:rPr>
        <w:t xml:space="preserve"> which might invite manipulation from States seeking to avoid their own human rights responsibility.</w:t>
      </w:r>
      <w:r w:rsidR="004440F5" w:rsidRPr="0040433A">
        <w:rPr>
          <w:rStyle w:val="FootnoteReference"/>
          <w:sz w:val="24"/>
          <w:lang w:val="en-GB"/>
        </w:rPr>
        <w:footnoteReference w:id="226"/>
      </w:r>
      <w:r w:rsidR="00DE6C44" w:rsidRPr="0040433A">
        <w:rPr>
          <w:lang w:val="en-GB"/>
        </w:rPr>
        <w:t xml:space="preserve"> </w:t>
      </w:r>
    </w:p>
    <w:p w14:paraId="02C9DCA4" w14:textId="04DCBE9C" w:rsidR="00567802" w:rsidRPr="0040433A" w:rsidRDefault="00925EB7" w:rsidP="0040433A">
      <w:pPr>
        <w:spacing w:line="276" w:lineRule="auto"/>
        <w:ind w:firstLine="720"/>
        <w:jc w:val="both"/>
        <w:rPr>
          <w:lang w:val="en-GB"/>
        </w:rPr>
      </w:pPr>
      <w:r w:rsidRPr="0040433A">
        <w:rPr>
          <w:lang w:val="en-GB"/>
        </w:rPr>
        <w:t>Karavias</w:t>
      </w:r>
      <w:r w:rsidR="00DE6C44" w:rsidRPr="0040433A">
        <w:rPr>
          <w:lang w:val="en-GB"/>
        </w:rPr>
        <w:t xml:space="preserve"> has also</w:t>
      </w:r>
      <w:r w:rsidRPr="0040433A">
        <w:rPr>
          <w:lang w:val="en-GB"/>
        </w:rPr>
        <w:t xml:space="preserve"> caution</w:t>
      </w:r>
      <w:r w:rsidR="00DE6C44" w:rsidRPr="0040433A">
        <w:rPr>
          <w:lang w:val="en-GB"/>
        </w:rPr>
        <w:t>ed</w:t>
      </w:r>
      <w:r w:rsidRPr="0040433A">
        <w:rPr>
          <w:lang w:val="en-GB"/>
        </w:rPr>
        <w:t xml:space="preserve"> against the a</w:t>
      </w:r>
      <w:r w:rsidR="00567802" w:rsidRPr="0040433A">
        <w:rPr>
          <w:lang w:val="en-GB"/>
        </w:rPr>
        <w:t>doption of this standard</w:t>
      </w:r>
      <w:r w:rsidR="00975B1F" w:rsidRPr="0040433A">
        <w:rPr>
          <w:lang w:val="en-GB"/>
        </w:rPr>
        <w:t xml:space="preserve"> in </w:t>
      </w:r>
      <w:r w:rsidR="00E47FFE">
        <w:rPr>
          <w:lang w:val="en-GB"/>
        </w:rPr>
        <w:t xml:space="preserve">determining the scope of </w:t>
      </w:r>
      <w:r w:rsidR="00975B1F" w:rsidRPr="0040433A">
        <w:rPr>
          <w:lang w:val="en-GB"/>
        </w:rPr>
        <w:t>human rights obligations</w:t>
      </w:r>
      <w:r w:rsidR="00A91E6F" w:rsidRPr="0040433A">
        <w:rPr>
          <w:lang w:val="en-GB"/>
        </w:rPr>
        <w:t>.</w:t>
      </w:r>
    </w:p>
    <w:p w14:paraId="71C0E503" w14:textId="0C2651F0" w:rsidR="004A0BFF" w:rsidRPr="0040433A" w:rsidRDefault="00567802" w:rsidP="0040433A">
      <w:pPr>
        <w:spacing w:before="240" w:after="240" w:line="276" w:lineRule="auto"/>
        <w:ind w:left="720"/>
        <w:jc w:val="both"/>
        <w:rPr>
          <w:lang w:val="en-GB"/>
        </w:rPr>
      </w:pPr>
      <w:r w:rsidRPr="0040433A">
        <w:rPr>
          <w:lang w:val="en-GB"/>
        </w:rPr>
        <w:t>Irrespective of whether we term it “jurisdiction” or “sphere of influence”, the root of human rights obligations is the existence of a factual situation, namely control… Co</w:t>
      </w:r>
      <w:r w:rsidR="002B2C93" w:rsidRPr="0040433A">
        <w:rPr>
          <w:lang w:val="en-GB"/>
        </w:rPr>
        <w:t>rp</w:t>
      </w:r>
      <w:r w:rsidRPr="0040433A">
        <w:rPr>
          <w:lang w:val="en-GB"/>
        </w:rPr>
        <w:t>orations, unlike States, do not in principle exercise control over territory… Still, corporations may exercise functional control over persons.</w:t>
      </w:r>
      <w:r w:rsidR="00BF143F" w:rsidRPr="0040433A">
        <w:rPr>
          <w:rStyle w:val="FootnoteReference"/>
          <w:sz w:val="24"/>
          <w:lang w:val="en-GB"/>
        </w:rPr>
        <w:footnoteReference w:id="227"/>
      </w:r>
      <w:r w:rsidR="00925EB7" w:rsidRPr="0040433A">
        <w:rPr>
          <w:lang w:val="en-GB"/>
        </w:rPr>
        <w:t xml:space="preserve"> </w:t>
      </w:r>
    </w:p>
    <w:p w14:paraId="62B9EF5A" w14:textId="4E9A83F2" w:rsidR="00587473" w:rsidRPr="0040433A" w:rsidRDefault="00BF143F" w:rsidP="0040433A">
      <w:pPr>
        <w:spacing w:line="276" w:lineRule="auto"/>
        <w:jc w:val="both"/>
        <w:rPr>
          <w:lang w:val="en-GB"/>
        </w:rPr>
      </w:pPr>
      <w:r w:rsidRPr="0040433A">
        <w:rPr>
          <w:lang w:val="en-GB"/>
        </w:rPr>
        <w:t xml:space="preserve">It has been </w:t>
      </w:r>
      <w:r w:rsidR="00773BB2" w:rsidRPr="0040433A">
        <w:rPr>
          <w:lang w:val="en-GB"/>
        </w:rPr>
        <w:t>suggested</w:t>
      </w:r>
      <w:r w:rsidRPr="0040433A">
        <w:rPr>
          <w:lang w:val="en-GB"/>
        </w:rPr>
        <w:t xml:space="preserve"> that the control standard is essentially ‘a short hand for something that looks surprisingly like sovereignty.’</w:t>
      </w:r>
      <w:r w:rsidRPr="0040433A">
        <w:rPr>
          <w:rStyle w:val="FootnoteReference"/>
          <w:sz w:val="24"/>
          <w:lang w:val="en-GB"/>
        </w:rPr>
        <w:footnoteReference w:id="228"/>
      </w:r>
      <w:r w:rsidRPr="0040433A">
        <w:rPr>
          <w:lang w:val="en-GB"/>
        </w:rPr>
        <w:t xml:space="preserve"> The</w:t>
      </w:r>
      <w:r w:rsidR="00D62F2F" w:rsidRPr="0040433A">
        <w:rPr>
          <w:lang w:val="en-GB"/>
        </w:rPr>
        <w:t xml:space="preserve"> approach has been elaborated by the jurisprudence of the European Court of Human Rights dealing with the exercise of extraterritorial jurisdiction in </w:t>
      </w:r>
      <w:r w:rsidR="0058387A">
        <w:rPr>
          <w:lang w:val="en-GB"/>
        </w:rPr>
        <w:t xml:space="preserve">cases arising from the </w:t>
      </w:r>
      <w:r w:rsidR="00E47FFE">
        <w:rPr>
          <w:lang w:val="en-GB"/>
        </w:rPr>
        <w:t xml:space="preserve">2003 </w:t>
      </w:r>
      <w:r w:rsidR="00D62F2F" w:rsidRPr="0040433A">
        <w:rPr>
          <w:lang w:val="en-GB"/>
        </w:rPr>
        <w:t>Iraq</w:t>
      </w:r>
      <w:r w:rsidR="00AE53EA">
        <w:rPr>
          <w:lang w:val="en-GB"/>
        </w:rPr>
        <w:t xml:space="preserve"> conflict</w:t>
      </w:r>
      <w:r w:rsidR="00D62F2F" w:rsidRPr="0040433A">
        <w:rPr>
          <w:lang w:val="en-GB"/>
        </w:rPr>
        <w:t>.</w:t>
      </w:r>
      <w:r w:rsidR="00201B2B" w:rsidRPr="0040433A">
        <w:rPr>
          <w:rStyle w:val="FootnoteReference"/>
          <w:sz w:val="24"/>
          <w:lang w:val="en-GB"/>
        </w:rPr>
        <w:footnoteReference w:id="229"/>
      </w:r>
      <w:r w:rsidR="00D62F2F" w:rsidRPr="0040433A">
        <w:rPr>
          <w:lang w:val="en-GB"/>
        </w:rPr>
        <w:t xml:space="preserve"> </w:t>
      </w:r>
      <w:r w:rsidRPr="0040433A">
        <w:rPr>
          <w:lang w:val="en-GB"/>
        </w:rPr>
        <w:t xml:space="preserve">The </w:t>
      </w:r>
      <w:r w:rsidR="00FB5969" w:rsidRPr="0040433A">
        <w:rPr>
          <w:lang w:val="en-GB"/>
        </w:rPr>
        <w:t>C</w:t>
      </w:r>
      <w:r w:rsidRPr="0040433A">
        <w:rPr>
          <w:lang w:val="en-GB"/>
        </w:rPr>
        <w:t>ourt has recogni</w:t>
      </w:r>
      <w:r w:rsidR="00FB5969" w:rsidRPr="0040433A">
        <w:rPr>
          <w:lang w:val="en-GB"/>
        </w:rPr>
        <w:t>s</w:t>
      </w:r>
      <w:r w:rsidRPr="0040433A">
        <w:rPr>
          <w:lang w:val="en-GB"/>
        </w:rPr>
        <w:t>ed that jurisdiction may be established by States exercising c</w:t>
      </w:r>
      <w:r w:rsidR="00D62F2F" w:rsidRPr="0040433A">
        <w:rPr>
          <w:lang w:val="en-GB"/>
        </w:rPr>
        <w:t>ontrol over persons, premises, territory or vessels</w:t>
      </w:r>
      <w:r w:rsidR="00201B2B" w:rsidRPr="0040433A">
        <w:rPr>
          <w:lang w:val="en-GB"/>
        </w:rPr>
        <w:t>.</w:t>
      </w:r>
      <w:r w:rsidR="0083716B" w:rsidRPr="0040433A">
        <w:rPr>
          <w:rStyle w:val="FootnoteReference"/>
          <w:sz w:val="24"/>
          <w:lang w:val="en-GB"/>
        </w:rPr>
        <w:footnoteReference w:id="230"/>
      </w:r>
      <w:r w:rsidR="00201B2B" w:rsidRPr="0040433A">
        <w:rPr>
          <w:lang w:val="en-GB"/>
        </w:rPr>
        <w:t xml:space="preserve"> Interestingly, it has not limited the notion of personal jurisdiction to individuals detained in physical custody, and has recognised that the use of force may, in some circumstances, amount to an assertion of jurisdiction.</w:t>
      </w:r>
      <w:r w:rsidR="00201B2B" w:rsidRPr="0040433A">
        <w:rPr>
          <w:rStyle w:val="FootnoteReference"/>
          <w:sz w:val="24"/>
          <w:lang w:val="en-GB"/>
        </w:rPr>
        <w:footnoteReference w:id="231"/>
      </w:r>
      <w:r w:rsidR="00270732" w:rsidRPr="0040433A">
        <w:rPr>
          <w:lang w:val="en-GB"/>
        </w:rPr>
        <w:t xml:space="preserve"> </w:t>
      </w:r>
      <w:r w:rsidR="00940035" w:rsidRPr="0040433A">
        <w:rPr>
          <w:lang w:val="en-GB"/>
        </w:rPr>
        <w:t>That said, the Court has been notoriously inconsistent in its justifications for the establishment of extraterritorial jurisdiction,</w:t>
      </w:r>
      <w:r w:rsidR="00940035" w:rsidRPr="0040433A">
        <w:rPr>
          <w:rStyle w:val="FootnoteReference"/>
          <w:sz w:val="24"/>
          <w:lang w:val="en-GB"/>
        </w:rPr>
        <w:footnoteReference w:id="232"/>
      </w:r>
      <w:r w:rsidR="00940035" w:rsidRPr="0040433A">
        <w:rPr>
          <w:lang w:val="en-GB"/>
        </w:rPr>
        <w:t xml:space="preserve"> and as such may not be the best indicator of accepted doctrine.</w:t>
      </w:r>
      <w:r w:rsidR="00950227" w:rsidRPr="0040433A">
        <w:rPr>
          <w:rStyle w:val="FootnoteReference"/>
          <w:sz w:val="24"/>
          <w:lang w:val="en-GB"/>
        </w:rPr>
        <w:footnoteReference w:id="233"/>
      </w:r>
      <w:r w:rsidR="001311BC" w:rsidRPr="0040433A">
        <w:rPr>
          <w:lang w:val="en-GB"/>
        </w:rPr>
        <w:t xml:space="preserve"> </w:t>
      </w:r>
      <w:r w:rsidR="00D205C1" w:rsidRPr="0040433A">
        <w:rPr>
          <w:lang w:val="en-GB"/>
        </w:rPr>
        <w:t>Precisely</w:t>
      </w:r>
      <w:r w:rsidR="00270732" w:rsidRPr="0040433A">
        <w:rPr>
          <w:lang w:val="en-GB"/>
        </w:rPr>
        <w:t xml:space="preserve"> what constitutes</w:t>
      </w:r>
      <w:r w:rsidR="00DD63BF" w:rsidRPr="0040433A">
        <w:rPr>
          <w:lang w:val="en-GB"/>
        </w:rPr>
        <w:t xml:space="preserve"> ‘control’ or</w:t>
      </w:r>
      <w:r w:rsidR="00270732" w:rsidRPr="0040433A">
        <w:rPr>
          <w:lang w:val="en-GB"/>
        </w:rPr>
        <w:t xml:space="preserve"> ‘force’, and whether such principle</w:t>
      </w:r>
      <w:r w:rsidR="00DD63BF" w:rsidRPr="0040433A">
        <w:rPr>
          <w:lang w:val="en-GB"/>
        </w:rPr>
        <w:t>s</w:t>
      </w:r>
      <w:r w:rsidR="00270732" w:rsidRPr="0040433A">
        <w:rPr>
          <w:lang w:val="en-GB"/>
        </w:rPr>
        <w:t xml:space="preserve"> would cover conduct giving rise to widespread environmental devastation is perhaps open to question.  </w:t>
      </w:r>
      <w:r w:rsidR="00D205C1" w:rsidRPr="0040433A">
        <w:rPr>
          <w:lang w:val="en-GB"/>
        </w:rPr>
        <w:t xml:space="preserve">The exact scope of the causal link required will </w:t>
      </w:r>
      <w:r w:rsidR="00710CED" w:rsidRPr="0040433A">
        <w:rPr>
          <w:lang w:val="en-GB"/>
        </w:rPr>
        <w:t>demand</w:t>
      </w:r>
      <w:r w:rsidR="00C42112" w:rsidRPr="0040433A">
        <w:rPr>
          <w:lang w:val="en-GB"/>
        </w:rPr>
        <w:t xml:space="preserve"> further</w:t>
      </w:r>
      <w:r w:rsidR="00D205C1" w:rsidRPr="0040433A">
        <w:rPr>
          <w:lang w:val="en-GB"/>
        </w:rPr>
        <w:t xml:space="preserve"> analysis</w:t>
      </w:r>
      <w:r w:rsidR="00F87D20" w:rsidRPr="0040433A">
        <w:rPr>
          <w:lang w:val="en-GB"/>
        </w:rPr>
        <w:t>.</w:t>
      </w:r>
      <w:r w:rsidR="00D205C1" w:rsidRPr="0040433A">
        <w:rPr>
          <w:lang w:val="en-GB"/>
        </w:rPr>
        <w:t xml:space="preserve"> </w:t>
      </w:r>
      <w:r w:rsidR="00F87D20" w:rsidRPr="0040433A">
        <w:rPr>
          <w:lang w:val="en-GB"/>
        </w:rPr>
        <w:t>W</w:t>
      </w:r>
      <w:r w:rsidR="00D205C1" w:rsidRPr="0040433A">
        <w:rPr>
          <w:lang w:val="en-GB"/>
        </w:rPr>
        <w:t xml:space="preserve">hile </w:t>
      </w:r>
      <w:r w:rsidR="00270732" w:rsidRPr="0040433A">
        <w:rPr>
          <w:lang w:val="en-GB"/>
        </w:rPr>
        <w:t>mere corporate presence in a State in which human rights abuses take place</w:t>
      </w:r>
      <w:r w:rsidR="00F87D20" w:rsidRPr="0040433A">
        <w:rPr>
          <w:lang w:val="en-GB"/>
        </w:rPr>
        <w:t xml:space="preserve"> </w:t>
      </w:r>
      <w:r w:rsidR="00FC26D1" w:rsidRPr="0040433A">
        <w:rPr>
          <w:lang w:val="en-GB"/>
        </w:rPr>
        <w:t>is probably</w:t>
      </w:r>
      <w:r w:rsidR="00270732" w:rsidRPr="0040433A">
        <w:rPr>
          <w:lang w:val="en-GB"/>
        </w:rPr>
        <w:t xml:space="preserve"> not</w:t>
      </w:r>
      <w:r w:rsidR="00FC26D1" w:rsidRPr="0040433A">
        <w:rPr>
          <w:lang w:val="en-GB"/>
        </w:rPr>
        <w:t xml:space="preserve"> </w:t>
      </w:r>
      <w:r w:rsidR="00632152">
        <w:rPr>
          <w:lang w:val="en-GB"/>
        </w:rPr>
        <w:t>sufficient to</w:t>
      </w:r>
      <w:r w:rsidR="00270732" w:rsidRPr="0040433A">
        <w:rPr>
          <w:lang w:val="en-GB"/>
        </w:rPr>
        <w:t xml:space="preserve"> establish a link,</w:t>
      </w:r>
      <w:r w:rsidR="00D205C1" w:rsidRPr="0040433A">
        <w:rPr>
          <w:lang w:val="en-GB"/>
        </w:rPr>
        <w:t xml:space="preserve"> ‘where a State perpetrates human rights violations with a view to luring corporate investment, one may argue that corporate investors retain some sort of “indirect” control over the aggrieved individuals’.</w:t>
      </w:r>
      <w:r w:rsidR="00DD63BF" w:rsidRPr="0040433A">
        <w:rPr>
          <w:rStyle w:val="FootnoteReference"/>
          <w:sz w:val="24"/>
          <w:lang w:val="en-GB"/>
        </w:rPr>
        <w:footnoteReference w:id="234"/>
      </w:r>
      <w:r w:rsidR="00D205C1" w:rsidRPr="0040433A">
        <w:rPr>
          <w:lang w:val="en-GB"/>
        </w:rPr>
        <w:t xml:space="preserve"> </w:t>
      </w:r>
      <w:r w:rsidR="001311BC" w:rsidRPr="0040433A">
        <w:rPr>
          <w:lang w:val="en-GB"/>
        </w:rPr>
        <w:t xml:space="preserve">Given that this form of jurisdictional link has not yet </w:t>
      </w:r>
      <w:r w:rsidR="00B05F5F" w:rsidRPr="0040433A">
        <w:rPr>
          <w:lang w:val="en-GB"/>
        </w:rPr>
        <w:t>crystalli</w:t>
      </w:r>
      <w:r w:rsidR="00A91E6F" w:rsidRPr="0040433A">
        <w:rPr>
          <w:lang w:val="en-GB"/>
        </w:rPr>
        <w:t>z</w:t>
      </w:r>
      <w:r w:rsidR="00B05F5F" w:rsidRPr="0040433A">
        <w:rPr>
          <w:lang w:val="en-GB"/>
        </w:rPr>
        <w:t>ed</w:t>
      </w:r>
      <w:r w:rsidR="001311BC" w:rsidRPr="0040433A">
        <w:rPr>
          <w:lang w:val="en-GB"/>
        </w:rPr>
        <w:t xml:space="preserve"> in relation to the conduct of States and their agents, no firm conclusions can be drawn on this matter. Yet, in the context of the alternatives explored above</w:t>
      </w:r>
      <w:r w:rsidR="00430326" w:rsidRPr="0040433A">
        <w:rPr>
          <w:lang w:val="en-GB"/>
        </w:rPr>
        <w:t xml:space="preserve">, the control criterion </w:t>
      </w:r>
      <w:r w:rsidR="004D6A7A" w:rsidRPr="0040433A">
        <w:rPr>
          <w:lang w:val="en-GB"/>
        </w:rPr>
        <w:t xml:space="preserve">advocated by </w:t>
      </w:r>
      <w:r w:rsidR="001311BC" w:rsidRPr="0040433A">
        <w:rPr>
          <w:lang w:val="en-GB"/>
        </w:rPr>
        <w:t xml:space="preserve">scholars such as </w:t>
      </w:r>
      <w:r w:rsidR="004D6A7A" w:rsidRPr="0040433A">
        <w:rPr>
          <w:lang w:val="en-GB"/>
        </w:rPr>
        <w:t>Ratner and Karavias</w:t>
      </w:r>
      <w:r w:rsidR="00430326" w:rsidRPr="0040433A">
        <w:rPr>
          <w:lang w:val="en-GB"/>
        </w:rPr>
        <w:t xml:space="preserve"> is perhaps the most pragmatic.</w:t>
      </w:r>
    </w:p>
    <w:p w14:paraId="488D402F" w14:textId="3C8903B3" w:rsidR="00C22B7A" w:rsidRPr="0040433A" w:rsidRDefault="008B2341" w:rsidP="0040433A">
      <w:pPr>
        <w:pStyle w:val="Heading1"/>
        <w:numPr>
          <w:ilvl w:val="0"/>
          <w:numId w:val="11"/>
        </w:numPr>
        <w:spacing w:after="240" w:line="276" w:lineRule="auto"/>
        <w:ind w:left="851" w:hanging="491"/>
        <w:jc w:val="center"/>
        <w:rPr>
          <w:b w:val="0"/>
          <w:szCs w:val="24"/>
          <w:lang w:val="en-GB"/>
        </w:rPr>
      </w:pPr>
      <w:r>
        <w:rPr>
          <w:b w:val="0"/>
          <w:szCs w:val="24"/>
          <w:lang w:val="en-GB"/>
        </w:rPr>
        <w:t>REMEDIES</w:t>
      </w:r>
      <w:r w:rsidRPr="0040433A">
        <w:rPr>
          <w:b w:val="0"/>
          <w:szCs w:val="24"/>
          <w:lang w:val="en-GB"/>
        </w:rPr>
        <w:t xml:space="preserve"> </w:t>
      </w:r>
      <w:r>
        <w:rPr>
          <w:b w:val="0"/>
          <w:szCs w:val="24"/>
          <w:lang w:val="en-GB"/>
        </w:rPr>
        <w:t xml:space="preserve">AND </w:t>
      </w:r>
      <w:r w:rsidR="0065774D" w:rsidRPr="0040433A">
        <w:rPr>
          <w:b w:val="0"/>
          <w:szCs w:val="24"/>
          <w:lang w:val="en-GB"/>
        </w:rPr>
        <w:t>ENFORCEMENT</w:t>
      </w:r>
      <w:r>
        <w:rPr>
          <w:b w:val="0"/>
          <w:szCs w:val="24"/>
          <w:lang w:val="en-GB"/>
        </w:rPr>
        <w:t xml:space="preserve"> MECHANISMS</w:t>
      </w:r>
      <w:r w:rsidR="00FD2A29">
        <w:rPr>
          <w:b w:val="0"/>
          <w:szCs w:val="24"/>
          <w:lang w:val="en-GB"/>
        </w:rPr>
        <w:t xml:space="preserve"> </w:t>
      </w:r>
    </w:p>
    <w:p w14:paraId="78B2AEDA" w14:textId="18C4B4FB" w:rsidR="00A013A8" w:rsidRDefault="00A013A8" w:rsidP="00957ADA">
      <w:pPr>
        <w:spacing w:line="276" w:lineRule="auto"/>
        <w:jc w:val="both"/>
        <w:rPr>
          <w:lang w:val="en-GB"/>
        </w:rPr>
      </w:pPr>
      <w:r w:rsidRPr="00E72681">
        <w:rPr>
          <w:lang w:val="en-GB"/>
        </w:rPr>
        <w:t>The nature of the adjudication and enforcement of the proposed treaty regime presents a complex set of questions, the answers to which are</w:t>
      </w:r>
      <w:r w:rsidR="003112C9" w:rsidRPr="00E72681">
        <w:rPr>
          <w:lang w:val="en-GB"/>
        </w:rPr>
        <w:t xml:space="preserve"> </w:t>
      </w:r>
      <w:r w:rsidRPr="00E72681">
        <w:rPr>
          <w:lang w:val="en-GB"/>
        </w:rPr>
        <w:t xml:space="preserve">conditional upon the type of remedy pursued. </w:t>
      </w:r>
      <w:r w:rsidRPr="00DC04DD">
        <w:rPr>
          <w:lang w:val="en-GB"/>
        </w:rPr>
        <w:t>Ex ante</w:t>
      </w:r>
      <w:r w:rsidRPr="00E72681">
        <w:rPr>
          <w:lang w:val="en-GB"/>
        </w:rPr>
        <w:t xml:space="preserve"> measures embedded within</w:t>
      </w:r>
      <w:r w:rsidR="00922AA5">
        <w:rPr>
          <w:lang w:val="en-GB"/>
        </w:rPr>
        <w:t xml:space="preserve"> human rights</w:t>
      </w:r>
      <w:r w:rsidRPr="00E72681">
        <w:rPr>
          <w:lang w:val="en-GB"/>
        </w:rPr>
        <w:t xml:space="preserve"> treaty regimes are ‘forwar</w:t>
      </w:r>
      <w:r w:rsidR="00E72681">
        <w:rPr>
          <w:lang w:val="en-GB"/>
        </w:rPr>
        <w:t>d-looking</w:t>
      </w:r>
      <w:r w:rsidRPr="00E72681">
        <w:rPr>
          <w:lang w:val="en-GB"/>
        </w:rPr>
        <w:t>’, in that they seek the prevention and management of harm arising from adverse human rights impacts.</w:t>
      </w:r>
      <w:r w:rsidR="00352C03">
        <w:rPr>
          <w:rStyle w:val="FootnoteReference"/>
          <w:lang w:val="en-GB"/>
        </w:rPr>
        <w:footnoteReference w:id="235"/>
      </w:r>
      <w:r w:rsidRPr="00E72681">
        <w:rPr>
          <w:lang w:val="en-GB"/>
        </w:rPr>
        <w:t xml:space="preserve"> This type of mechanism </w:t>
      </w:r>
      <w:r w:rsidR="006D1B4B" w:rsidRPr="00E72681">
        <w:rPr>
          <w:lang w:val="en-GB"/>
        </w:rPr>
        <w:t>is pre-emptive, seeking</w:t>
      </w:r>
      <w:r w:rsidRPr="00E72681">
        <w:rPr>
          <w:lang w:val="en-GB"/>
        </w:rPr>
        <w:t xml:space="preserve"> to deter </w:t>
      </w:r>
      <w:r w:rsidR="006D1B4B" w:rsidRPr="00E72681">
        <w:rPr>
          <w:lang w:val="en-GB"/>
        </w:rPr>
        <w:t xml:space="preserve">non-compliance </w:t>
      </w:r>
      <w:r w:rsidRPr="00E72681">
        <w:rPr>
          <w:lang w:val="en-GB"/>
        </w:rPr>
        <w:t xml:space="preserve">through </w:t>
      </w:r>
      <w:r w:rsidR="006D1B4B" w:rsidRPr="00E72681">
        <w:rPr>
          <w:lang w:val="en-GB"/>
        </w:rPr>
        <w:t>periodic</w:t>
      </w:r>
      <w:r w:rsidRPr="00E72681">
        <w:rPr>
          <w:lang w:val="en-GB"/>
        </w:rPr>
        <w:t xml:space="preserve"> monitoring and engagement with relevant duty-bearers. The question arises as to whether a treaty monitoring body tasked with </w:t>
      </w:r>
      <w:r w:rsidRPr="00DC04DD">
        <w:rPr>
          <w:lang w:val="en-GB"/>
        </w:rPr>
        <w:t>ex ante</w:t>
      </w:r>
      <w:r w:rsidRPr="00E72681">
        <w:rPr>
          <w:lang w:val="en-GB"/>
        </w:rPr>
        <w:t xml:space="preserve"> </w:t>
      </w:r>
      <w:r w:rsidR="006367B3">
        <w:rPr>
          <w:lang w:val="en-GB"/>
        </w:rPr>
        <w:t>duties</w:t>
      </w:r>
      <w:r w:rsidR="006D1B4B" w:rsidRPr="00E72681">
        <w:rPr>
          <w:lang w:val="en-GB"/>
        </w:rPr>
        <w:t xml:space="preserve"> in monitoring</w:t>
      </w:r>
      <w:r w:rsidR="003112C9" w:rsidRPr="00E72681">
        <w:rPr>
          <w:lang w:val="en-GB"/>
        </w:rPr>
        <w:t xml:space="preserve"> </w:t>
      </w:r>
      <w:r w:rsidR="006D1B4B" w:rsidRPr="00E72681">
        <w:rPr>
          <w:lang w:val="en-GB"/>
        </w:rPr>
        <w:t>periodic</w:t>
      </w:r>
      <w:r w:rsidR="003112C9" w:rsidRPr="00E72681">
        <w:rPr>
          <w:lang w:val="en-GB"/>
        </w:rPr>
        <w:t xml:space="preserve"> report</w:t>
      </w:r>
      <w:r w:rsidR="006D1B4B" w:rsidRPr="00E72681">
        <w:rPr>
          <w:lang w:val="en-GB"/>
        </w:rPr>
        <w:t>s</w:t>
      </w:r>
      <w:r w:rsidR="003112C9" w:rsidRPr="00E72681">
        <w:rPr>
          <w:lang w:val="en-GB"/>
        </w:rPr>
        <w:t xml:space="preserve"> from</w:t>
      </w:r>
      <w:r w:rsidR="00CD4009" w:rsidRPr="00E72681">
        <w:rPr>
          <w:lang w:val="en-GB"/>
        </w:rPr>
        <w:t xml:space="preserve"> relevant duty-holders</w:t>
      </w:r>
      <w:r w:rsidRPr="00E72681">
        <w:rPr>
          <w:lang w:val="en-GB"/>
        </w:rPr>
        <w:t xml:space="preserve"> might play a part in the proposed regime. </w:t>
      </w:r>
      <w:r w:rsidR="0004260C">
        <w:rPr>
          <w:lang w:val="en-GB"/>
        </w:rPr>
        <w:t xml:space="preserve">Ruggie has suggested that </w:t>
      </w:r>
      <w:r w:rsidR="00CD4009" w:rsidRPr="00E72681">
        <w:rPr>
          <w:lang w:val="en-GB"/>
        </w:rPr>
        <w:t>difficulties would be faced were</w:t>
      </w:r>
      <w:r w:rsidR="003112C9" w:rsidRPr="00E72681">
        <w:rPr>
          <w:lang w:val="en-GB"/>
        </w:rPr>
        <w:t xml:space="preserve"> such a mechanism</w:t>
      </w:r>
      <w:r w:rsidR="006367B3">
        <w:rPr>
          <w:lang w:val="en-GB"/>
        </w:rPr>
        <w:t xml:space="preserve"> </w:t>
      </w:r>
      <w:r w:rsidR="00CD4009" w:rsidRPr="00E72681">
        <w:rPr>
          <w:lang w:val="en-GB"/>
        </w:rPr>
        <w:t>t</w:t>
      </w:r>
      <w:r w:rsidR="006D1B4B" w:rsidRPr="00E72681">
        <w:rPr>
          <w:lang w:val="en-GB"/>
        </w:rPr>
        <w:t xml:space="preserve">o be established, given that many </w:t>
      </w:r>
      <w:r w:rsidR="00CD4009" w:rsidRPr="00E72681">
        <w:rPr>
          <w:lang w:val="en-GB"/>
        </w:rPr>
        <w:t>vulnerable</w:t>
      </w:r>
      <w:r w:rsidR="006D1B4B" w:rsidRPr="00E72681">
        <w:rPr>
          <w:lang w:val="en-GB"/>
        </w:rPr>
        <w:t xml:space="preserve"> weak governance States may be incapable of</w:t>
      </w:r>
      <w:r w:rsidR="00CD4009" w:rsidRPr="00E72681">
        <w:rPr>
          <w:lang w:val="en-GB"/>
        </w:rPr>
        <w:t xml:space="preserve"> </w:t>
      </w:r>
      <w:r w:rsidR="006367B3">
        <w:rPr>
          <w:lang w:val="en-GB"/>
        </w:rPr>
        <w:t>meaningfully</w:t>
      </w:r>
      <w:r w:rsidR="0083716B" w:rsidRPr="00E72681">
        <w:rPr>
          <w:lang w:val="en-GB"/>
        </w:rPr>
        <w:t xml:space="preserve"> </w:t>
      </w:r>
      <w:r w:rsidR="006367B3">
        <w:rPr>
          <w:lang w:val="en-GB"/>
        </w:rPr>
        <w:t>engaging</w:t>
      </w:r>
      <w:r w:rsidR="00AC5B37" w:rsidRPr="00E72681">
        <w:rPr>
          <w:lang w:val="en-GB"/>
        </w:rPr>
        <w:t xml:space="preserve"> with reporting requirements</w:t>
      </w:r>
      <w:r w:rsidR="0083716B" w:rsidRPr="00E72681">
        <w:rPr>
          <w:lang w:val="en-GB"/>
        </w:rPr>
        <w:t>.</w:t>
      </w:r>
      <w:r w:rsidR="007F3199" w:rsidRPr="00E72681">
        <w:rPr>
          <w:lang w:val="en-GB"/>
        </w:rPr>
        <w:t xml:space="preserve"> On the other hand, ‘if reporting was to be done by companies directly, then presumably States would have to enforce the obligation upon them… How a treaty body would cope with the incalculably large universe of businesses… is unclear’.</w:t>
      </w:r>
      <w:r w:rsidR="00CA7D44" w:rsidRPr="00E72681">
        <w:rPr>
          <w:rStyle w:val="FootnoteReference"/>
          <w:sz w:val="24"/>
          <w:lang w:val="en-GB"/>
        </w:rPr>
        <w:t xml:space="preserve"> </w:t>
      </w:r>
      <w:r w:rsidR="00CA7D44" w:rsidRPr="00E72681">
        <w:rPr>
          <w:rStyle w:val="FootnoteReference"/>
          <w:sz w:val="24"/>
          <w:lang w:val="en-GB"/>
        </w:rPr>
        <w:footnoteReference w:id="236"/>
      </w:r>
      <w:r w:rsidR="0083716B" w:rsidRPr="00E72681">
        <w:rPr>
          <w:lang w:val="en-GB"/>
        </w:rPr>
        <w:t xml:space="preserve"> </w:t>
      </w:r>
      <w:r w:rsidR="006D1B4B" w:rsidRPr="00E72681">
        <w:rPr>
          <w:lang w:val="en-GB"/>
        </w:rPr>
        <w:t>Some</w:t>
      </w:r>
      <w:r w:rsidR="00CD4009" w:rsidRPr="00E72681">
        <w:rPr>
          <w:lang w:val="en-GB"/>
        </w:rPr>
        <w:t xml:space="preserve"> treaty monitoring bodies also perform quasi-judicial roles in the </w:t>
      </w:r>
      <w:r w:rsidR="006D1B4B" w:rsidRPr="00E72681">
        <w:rPr>
          <w:lang w:val="en-GB"/>
        </w:rPr>
        <w:t>consideration of individual complaints</w:t>
      </w:r>
      <w:r w:rsidR="00CD4009" w:rsidRPr="00E72681">
        <w:rPr>
          <w:lang w:val="en-GB"/>
        </w:rPr>
        <w:t xml:space="preserve"> brought against signatory States, permit</w:t>
      </w:r>
      <w:r w:rsidR="003112C9" w:rsidRPr="00E72681">
        <w:rPr>
          <w:lang w:val="en-GB"/>
        </w:rPr>
        <w:t>ting further interpretation of human rights standards and the rendering of recommendations to State parties regarding</w:t>
      </w:r>
      <w:r w:rsidR="0004260C">
        <w:rPr>
          <w:lang w:val="en-GB"/>
        </w:rPr>
        <w:t xml:space="preserve"> </w:t>
      </w:r>
      <w:r w:rsidR="00953801" w:rsidRPr="00DC04DD">
        <w:rPr>
          <w:lang w:val="en-GB"/>
        </w:rPr>
        <w:t>ex post facto</w:t>
      </w:r>
      <w:r w:rsidR="007F146A">
        <w:rPr>
          <w:lang w:val="en-GB"/>
        </w:rPr>
        <w:t xml:space="preserve"> remedies</w:t>
      </w:r>
      <w:r w:rsidR="003112C9" w:rsidRPr="00E72681">
        <w:rPr>
          <w:lang w:val="en-GB"/>
        </w:rPr>
        <w:t xml:space="preserve">. The benefits of these types of decision in the further codification of human rights standards notwithstanding, their non-binding status and the poor record of State implementation and enforcement of these decisions does not lend confidence to </w:t>
      </w:r>
      <w:r w:rsidR="006D1B4B" w:rsidRPr="00E72681">
        <w:rPr>
          <w:lang w:val="en-GB"/>
        </w:rPr>
        <w:t>their efficacy in compensating</w:t>
      </w:r>
      <w:r w:rsidR="006314CB">
        <w:rPr>
          <w:lang w:val="en-GB"/>
        </w:rPr>
        <w:t xml:space="preserve"> the</w:t>
      </w:r>
      <w:r w:rsidR="006D1B4B" w:rsidRPr="00E72681">
        <w:rPr>
          <w:lang w:val="en-GB"/>
        </w:rPr>
        <w:t xml:space="preserve"> harms suffered by </w:t>
      </w:r>
      <w:r w:rsidR="003112C9" w:rsidRPr="00E72681">
        <w:rPr>
          <w:lang w:val="en-GB"/>
        </w:rPr>
        <w:t>victims.</w:t>
      </w:r>
      <w:r w:rsidR="0010193E">
        <w:rPr>
          <w:rStyle w:val="FootnoteReference"/>
          <w:lang w:val="en-GB"/>
        </w:rPr>
        <w:footnoteReference w:id="237"/>
      </w:r>
      <w:r w:rsidR="005730D2" w:rsidRPr="00E72681">
        <w:rPr>
          <w:lang w:val="en-GB"/>
        </w:rPr>
        <w:t xml:space="preserve"> </w:t>
      </w:r>
      <w:r w:rsidR="003203FE">
        <w:rPr>
          <w:lang w:val="en-GB"/>
        </w:rPr>
        <w:t xml:space="preserve">Other treaty </w:t>
      </w:r>
      <w:r w:rsidR="005A45A6">
        <w:rPr>
          <w:lang w:val="en-GB"/>
        </w:rPr>
        <w:t>regimes</w:t>
      </w:r>
      <w:r w:rsidR="003203FE">
        <w:rPr>
          <w:lang w:val="en-GB"/>
        </w:rPr>
        <w:t xml:space="preserve"> demand regular visits </w:t>
      </w:r>
      <w:r w:rsidR="005A45A6">
        <w:rPr>
          <w:lang w:val="en-GB"/>
        </w:rPr>
        <w:t xml:space="preserve">to relevant sites </w:t>
      </w:r>
      <w:r w:rsidR="00432D57">
        <w:rPr>
          <w:lang w:val="en-GB"/>
        </w:rPr>
        <w:t xml:space="preserve">by independent bodies </w:t>
      </w:r>
      <w:r w:rsidR="003203FE">
        <w:rPr>
          <w:lang w:val="en-GB"/>
        </w:rPr>
        <w:t>in order to monitor the implementation of human rights standards.</w:t>
      </w:r>
      <w:r w:rsidR="00837D46">
        <w:rPr>
          <w:rStyle w:val="FootnoteReference"/>
          <w:lang w:val="en-GB"/>
        </w:rPr>
        <w:footnoteReference w:id="238"/>
      </w:r>
      <w:r w:rsidR="003203FE">
        <w:rPr>
          <w:lang w:val="en-GB"/>
        </w:rPr>
        <w:t xml:space="preserve"> </w:t>
      </w:r>
      <w:r w:rsidR="009B064B">
        <w:rPr>
          <w:lang w:val="en-GB"/>
        </w:rPr>
        <w:t xml:space="preserve">Clearly, </w:t>
      </w:r>
      <w:r w:rsidR="009B064B" w:rsidRPr="003655B9">
        <w:rPr>
          <w:lang w:val="en-GB"/>
        </w:rPr>
        <w:t>ex</w:t>
      </w:r>
      <w:r w:rsidR="006D1B4B" w:rsidRPr="003655B9">
        <w:rPr>
          <w:lang w:val="en-GB"/>
        </w:rPr>
        <w:t xml:space="preserve"> ante</w:t>
      </w:r>
      <w:r w:rsidR="005730D2" w:rsidRPr="00E72681">
        <w:rPr>
          <w:lang w:val="en-GB"/>
        </w:rPr>
        <w:t xml:space="preserve"> enforcement mechanisms</w:t>
      </w:r>
      <w:r w:rsidR="006D1B4B" w:rsidRPr="00E72681">
        <w:rPr>
          <w:lang w:val="en-GB"/>
        </w:rPr>
        <w:t xml:space="preserve"> and </w:t>
      </w:r>
      <w:r w:rsidR="006D1B4B" w:rsidRPr="003655B9">
        <w:rPr>
          <w:lang w:val="en-GB"/>
        </w:rPr>
        <w:t>ex post facto</w:t>
      </w:r>
      <w:r w:rsidR="006D1B4B" w:rsidRPr="00E72681">
        <w:rPr>
          <w:lang w:val="en-GB"/>
        </w:rPr>
        <w:t xml:space="preserve"> remedies are com</w:t>
      </w:r>
      <w:r w:rsidR="00596E98">
        <w:rPr>
          <w:lang w:val="en-GB"/>
        </w:rPr>
        <w:t>plementary in the field of human rights</w:t>
      </w:r>
      <w:r w:rsidR="006D1B4B" w:rsidRPr="00E72681">
        <w:rPr>
          <w:lang w:val="en-GB"/>
        </w:rPr>
        <w:t xml:space="preserve">, and the </w:t>
      </w:r>
      <w:r w:rsidR="005730D2" w:rsidRPr="00E72681">
        <w:rPr>
          <w:lang w:val="en-GB"/>
        </w:rPr>
        <w:t>proposed regime would</w:t>
      </w:r>
      <w:r w:rsidR="006D1B4B" w:rsidRPr="00E72681">
        <w:rPr>
          <w:lang w:val="en-GB"/>
        </w:rPr>
        <w:t xml:space="preserve"> </w:t>
      </w:r>
      <w:r w:rsidR="00E72681" w:rsidRPr="00E72681">
        <w:rPr>
          <w:lang w:val="en-GB"/>
        </w:rPr>
        <w:t>ideally</w:t>
      </w:r>
      <w:r w:rsidR="006D1B4B" w:rsidRPr="00E72681">
        <w:rPr>
          <w:lang w:val="en-GB"/>
        </w:rPr>
        <w:t xml:space="preserve"> </w:t>
      </w:r>
      <w:r w:rsidR="00E72681" w:rsidRPr="00E72681">
        <w:rPr>
          <w:lang w:val="en-GB"/>
        </w:rPr>
        <w:t>need to tailor both</w:t>
      </w:r>
      <w:r w:rsidR="005730D2" w:rsidRPr="00E72681">
        <w:rPr>
          <w:lang w:val="en-GB"/>
        </w:rPr>
        <w:t xml:space="preserve"> to the busi</w:t>
      </w:r>
      <w:r w:rsidR="00E72681">
        <w:rPr>
          <w:lang w:val="en-GB"/>
        </w:rPr>
        <w:t>ness and human rights context. W</w:t>
      </w:r>
      <w:r w:rsidR="005730D2" w:rsidRPr="00E72681">
        <w:rPr>
          <w:lang w:val="en-GB"/>
        </w:rPr>
        <w:t xml:space="preserve">hether </w:t>
      </w:r>
      <w:r w:rsidR="00E72681">
        <w:rPr>
          <w:lang w:val="en-GB"/>
        </w:rPr>
        <w:t xml:space="preserve">this could be achieved solely by the establishment of a </w:t>
      </w:r>
      <w:r w:rsidR="005730D2" w:rsidRPr="00E72681">
        <w:rPr>
          <w:lang w:val="en-GB"/>
        </w:rPr>
        <w:t>treaty monitoring body</w:t>
      </w:r>
      <w:r w:rsidR="00B0180D">
        <w:rPr>
          <w:lang w:val="en-GB"/>
        </w:rPr>
        <w:t xml:space="preserve"> </w:t>
      </w:r>
      <w:r w:rsidR="00E72681">
        <w:rPr>
          <w:lang w:val="en-GB"/>
        </w:rPr>
        <w:t>is doubtful</w:t>
      </w:r>
      <w:r w:rsidR="00E7140D">
        <w:rPr>
          <w:lang w:val="en-GB"/>
        </w:rPr>
        <w:t xml:space="preserve">, though it may be the most pragmatic, in that it </w:t>
      </w:r>
      <w:r w:rsidR="005A45A6">
        <w:rPr>
          <w:lang w:val="en-GB"/>
        </w:rPr>
        <w:t>might</w:t>
      </w:r>
      <w:r w:rsidR="00E7140D">
        <w:rPr>
          <w:lang w:val="en-GB"/>
        </w:rPr>
        <w:t xml:space="preserve"> permit individual complaints against States and non-State actors, leading to recommendations that States pursue binding domestic litigation against business actors to ensure remediation for victims.</w:t>
      </w:r>
    </w:p>
    <w:p w14:paraId="06756D10" w14:textId="4D5FC166" w:rsidR="00FA1E7B" w:rsidRPr="0040433A" w:rsidRDefault="00A013A8" w:rsidP="00A013A8">
      <w:pPr>
        <w:spacing w:line="276" w:lineRule="auto"/>
        <w:ind w:firstLine="720"/>
        <w:jc w:val="both"/>
        <w:rPr>
          <w:lang w:val="en-GB"/>
        </w:rPr>
      </w:pPr>
      <w:r w:rsidRPr="0040433A">
        <w:rPr>
          <w:lang w:val="en-GB"/>
        </w:rPr>
        <w:t>The weakness of</w:t>
      </w:r>
      <w:r w:rsidR="00EE3B96">
        <w:rPr>
          <w:lang w:val="en-GB"/>
        </w:rPr>
        <w:t xml:space="preserve"> international</w:t>
      </w:r>
      <w:r w:rsidRPr="0040433A">
        <w:rPr>
          <w:lang w:val="en-GB"/>
        </w:rPr>
        <w:t xml:space="preserve"> enforcement mechanisms </w:t>
      </w:r>
      <w:r w:rsidR="00EF7059">
        <w:rPr>
          <w:lang w:val="en-GB"/>
        </w:rPr>
        <w:t xml:space="preserve">more generally </w:t>
      </w:r>
      <w:r w:rsidRPr="0040433A">
        <w:rPr>
          <w:lang w:val="en-GB"/>
        </w:rPr>
        <w:t xml:space="preserve">remains an oft-cited criticism </w:t>
      </w:r>
      <w:r w:rsidR="00EE3B96">
        <w:rPr>
          <w:lang w:val="en-GB"/>
        </w:rPr>
        <w:t>of</w:t>
      </w:r>
      <w:r w:rsidR="000843D4">
        <w:rPr>
          <w:lang w:val="en-GB"/>
        </w:rPr>
        <w:t xml:space="preserve"> the international legal system, and t</w:t>
      </w:r>
      <w:r w:rsidRPr="0040433A">
        <w:rPr>
          <w:lang w:val="en-GB"/>
        </w:rPr>
        <w:t xml:space="preserve">he dialogue surrounding the establishment of a </w:t>
      </w:r>
      <w:r w:rsidR="000843D4">
        <w:rPr>
          <w:lang w:val="en-GB"/>
        </w:rPr>
        <w:t xml:space="preserve">business and human rights </w:t>
      </w:r>
      <w:r w:rsidRPr="0040433A">
        <w:rPr>
          <w:lang w:val="en-GB"/>
        </w:rPr>
        <w:t>treaty exacerbates such concerns. At present, international courts</w:t>
      </w:r>
      <w:r w:rsidR="003A143F">
        <w:rPr>
          <w:lang w:val="en-GB"/>
        </w:rPr>
        <w:t xml:space="preserve"> do not possess jurisdiction over business actors</w:t>
      </w:r>
      <w:r w:rsidRPr="0040433A">
        <w:rPr>
          <w:lang w:val="en-GB"/>
        </w:rPr>
        <w:t xml:space="preserve">, the involvement of non-State actors in adjudicative procedures having been largely constrained to the submission of </w:t>
      </w:r>
      <w:r w:rsidRPr="0040433A">
        <w:rPr>
          <w:i/>
          <w:lang w:val="en-GB"/>
        </w:rPr>
        <w:t>amicus curiae</w:t>
      </w:r>
      <w:r w:rsidR="00214ABC">
        <w:rPr>
          <w:lang w:val="en-GB"/>
        </w:rPr>
        <w:t xml:space="preserve"> briefs</w:t>
      </w:r>
      <w:r w:rsidRPr="0040433A">
        <w:rPr>
          <w:lang w:val="en-GB"/>
        </w:rPr>
        <w:t>.</w:t>
      </w:r>
      <w:r w:rsidRPr="0040433A">
        <w:rPr>
          <w:rStyle w:val="FootnoteReference"/>
          <w:sz w:val="24"/>
          <w:lang w:val="en-GB"/>
        </w:rPr>
        <w:footnoteReference w:id="239"/>
      </w:r>
      <w:r w:rsidRPr="0040433A">
        <w:rPr>
          <w:lang w:val="en-GB"/>
        </w:rPr>
        <w:t xml:space="preserve"> </w:t>
      </w:r>
      <w:r w:rsidR="0083716B" w:rsidRPr="0040433A">
        <w:rPr>
          <w:lang w:val="en-GB"/>
        </w:rPr>
        <w:t xml:space="preserve">It is clear in the statement submitted by Ecuador that avenues for redress ought to be provided under the binding regulatory framework proposed. Ruggie </w:t>
      </w:r>
      <w:r w:rsidR="00DA3F9F" w:rsidRPr="0040433A">
        <w:rPr>
          <w:lang w:val="en-GB"/>
        </w:rPr>
        <w:t>has</w:t>
      </w:r>
      <w:r w:rsidR="0083716B" w:rsidRPr="0040433A">
        <w:rPr>
          <w:lang w:val="en-GB"/>
        </w:rPr>
        <w:t xml:space="preserve"> </w:t>
      </w:r>
      <w:r w:rsidR="007F4534">
        <w:rPr>
          <w:lang w:val="en-GB"/>
        </w:rPr>
        <w:t xml:space="preserve">also </w:t>
      </w:r>
      <w:r w:rsidR="0083716B" w:rsidRPr="0040433A">
        <w:rPr>
          <w:lang w:val="en-GB"/>
        </w:rPr>
        <w:t xml:space="preserve">stressed the need for elaboration as to whether such enforcement would take place at the domestic level, </w:t>
      </w:r>
      <w:r w:rsidR="0071721C">
        <w:rPr>
          <w:lang w:val="en-GB"/>
        </w:rPr>
        <w:t>where</w:t>
      </w:r>
      <w:r w:rsidR="0083716B" w:rsidRPr="0040433A">
        <w:rPr>
          <w:lang w:val="en-GB"/>
        </w:rPr>
        <w:t xml:space="preserve"> it would</w:t>
      </w:r>
      <w:r w:rsidR="0044383C" w:rsidRPr="0040433A">
        <w:rPr>
          <w:lang w:val="en-GB"/>
        </w:rPr>
        <w:t xml:space="preserve"> be vulnerable to many procedural</w:t>
      </w:r>
      <w:r w:rsidR="0083716B" w:rsidRPr="0040433A">
        <w:rPr>
          <w:lang w:val="en-GB"/>
        </w:rPr>
        <w:t xml:space="preserve"> flaws</w:t>
      </w:r>
      <w:r w:rsidR="0071721C">
        <w:rPr>
          <w:lang w:val="en-GB"/>
        </w:rPr>
        <w:t xml:space="preserve"> experienced in weak governance States</w:t>
      </w:r>
      <w:r w:rsidR="0083716B" w:rsidRPr="0040433A">
        <w:rPr>
          <w:lang w:val="en-GB"/>
        </w:rPr>
        <w:t>, or whether an ‘international court for corporations’ should be established.</w:t>
      </w:r>
      <w:r w:rsidR="0083716B" w:rsidRPr="0040433A">
        <w:rPr>
          <w:rStyle w:val="FootnoteReference"/>
          <w:sz w:val="24"/>
          <w:lang w:val="en-GB"/>
        </w:rPr>
        <w:footnoteReference w:id="240"/>
      </w:r>
      <w:r w:rsidR="0083716B" w:rsidRPr="0040433A">
        <w:rPr>
          <w:lang w:val="en-GB"/>
        </w:rPr>
        <w:t xml:space="preserve"> </w:t>
      </w:r>
      <w:r w:rsidR="000B023F">
        <w:rPr>
          <w:lang w:val="en-GB"/>
        </w:rPr>
        <w:t xml:space="preserve">It is worth </w:t>
      </w:r>
      <w:r w:rsidR="00574D0C">
        <w:rPr>
          <w:lang w:val="en-GB"/>
        </w:rPr>
        <w:t xml:space="preserve">briefly </w:t>
      </w:r>
      <w:r w:rsidR="000B023F">
        <w:rPr>
          <w:lang w:val="en-GB"/>
        </w:rPr>
        <w:t>conside</w:t>
      </w:r>
      <w:r w:rsidR="00556038">
        <w:rPr>
          <w:lang w:val="en-GB"/>
        </w:rPr>
        <w:t>ring how such a court might function</w:t>
      </w:r>
      <w:r w:rsidR="000B023F">
        <w:rPr>
          <w:lang w:val="en-GB"/>
        </w:rPr>
        <w:t>.</w:t>
      </w:r>
    </w:p>
    <w:p w14:paraId="41B6AC6C" w14:textId="51AE7A36" w:rsidR="00FA1E7B" w:rsidRPr="0040433A" w:rsidRDefault="00FA1E7B" w:rsidP="0040433A">
      <w:pPr>
        <w:spacing w:line="276" w:lineRule="auto"/>
        <w:ind w:firstLine="720"/>
        <w:jc w:val="both"/>
        <w:rPr>
          <w:rFonts w:eastAsia="Times New Roman" w:cs="Times New Roman"/>
          <w:lang w:val="en-GB"/>
        </w:rPr>
      </w:pPr>
      <w:r w:rsidRPr="0040433A">
        <w:rPr>
          <w:rFonts w:eastAsia="Times New Roman" w:cs="Times New Roman"/>
          <w:lang w:val="en-GB"/>
        </w:rPr>
        <w:t>Scholars advocating the international criminal responsibility of non-State entities</w:t>
      </w:r>
      <w:r w:rsidR="00577D16" w:rsidRPr="0040433A">
        <w:rPr>
          <w:rStyle w:val="FootnoteReference"/>
          <w:rFonts w:eastAsia="Times New Roman" w:cs="Times New Roman"/>
          <w:sz w:val="24"/>
          <w:lang w:val="en-GB"/>
        </w:rPr>
        <w:footnoteReference w:id="241"/>
      </w:r>
      <w:r w:rsidR="00AA3F30">
        <w:rPr>
          <w:rFonts w:eastAsia="Times New Roman" w:cs="Times New Roman"/>
          <w:lang w:val="en-GB"/>
        </w:rPr>
        <w:t xml:space="preserve"> have</w:t>
      </w:r>
      <w:r w:rsidRPr="0040433A">
        <w:rPr>
          <w:rFonts w:eastAsia="Times New Roman" w:cs="Times New Roman"/>
          <w:lang w:val="en-GB"/>
        </w:rPr>
        <w:t xml:space="preserve"> highlight</w:t>
      </w:r>
      <w:r w:rsidR="00AA3F30">
        <w:rPr>
          <w:rFonts w:eastAsia="Times New Roman" w:cs="Times New Roman"/>
          <w:lang w:val="en-GB"/>
        </w:rPr>
        <w:t>ed</w:t>
      </w:r>
      <w:r w:rsidRPr="0040433A">
        <w:rPr>
          <w:rFonts w:eastAsia="Times New Roman" w:cs="Times New Roman"/>
          <w:lang w:val="en-GB"/>
        </w:rPr>
        <w:t xml:space="preserve"> the recourse made to juridical persons during the dr</w:t>
      </w:r>
      <w:r w:rsidR="006E1F98" w:rsidRPr="0040433A">
        <w:rPr>
          <w:rFonts w:eastAsia="Times New Roman" w:cs="Times New Roman"/>
          <w:lang w:val="en-GB"/>
        </w:rPr>
        <w:t xml:space="preserve">afting of the Statute of Rome </w:t>
      </w:r>
      <w:r w:rsidRPr="0040433A">
        <w:rPr>
          <w:rFonts w:eastAsia="Times New Roman" w:cs="Times New Roman"/>
          <w:lang w:val="en-GB"/>
        </w:rPr>
        <w:t>1998.</w:t>
      </w:r>
      <w:r w:rsidRPr="0040433A">
        <w:rPr>
          <w:rFonts w:eastAsia="Times New Roman" w:cs="Times New Roman"/>
          <w:vertAlign w:val="superscript"/>
          <w:lang w:val="en-GB"/>
        </w:rPr>
        <w:footnoteReference w:id="242"/>
      </w:r>
      <w:r w:rsidRPr="0040433A">
        <w:rPr>
          <w:rFonts w:eastAsia="Times New Roman" w:cs="Times New Roman"/>
          <w:lang w:val="en-GB"/>
        </w:rPr>
        <w:t xml:space="preserve"> While </w:t>
      </w:r>
      <w:r w:rsidR="00CB2988">
        <w:rPr>
          <w:rFonts w:eastAsia="Times New Roman" w:cs="Times New Roman"/>
          <w:lang w:val="en-GB"/>
        </w:rPr>
        <w:t>one</w:t>
      </w:r>
      <w:r w:rsidRPr="0040433A">
        <w:rPr>
          <w:rFonts w:eastAsia="Times New Roman" w:cs="Times New Roman"/>
          <w:lang w:val="en-GB"/>
        </w:rPr>
        <w:t xml:space="preserve"> draft expressly provide</w:t>
      </w:r>
      <w:r w:rsidR="00484E76" w:rsidRPr="0040433A">
        <w:rPr>
          <w:rFonts w:eastAsia="Times New Roman" w:cs="Times New Roman"/>
          <w:lang w:val="en-GB"/>
        </w:rPr>
        <w:t>d</w:t>
      </w:r>
      <w:r w:rsidRPr="0040433A">
        <w:rPr>
          <w:rFonts w:eastAsia="Times New Roman" w:cs="Times New Roman"/>
          <w:lang w:val="en-GB"/>
        </w:rPr>
        <w:t xml:space="preserve"> the</w:t>
      </w:r>
      <w:r w:rsidR="007D4464" w:rsidRPr="0040433A">
        <w:rPr>
          <w:rFonts w:eastAsia="Times New Roman" w:cs="Times New Roman"/>
          <w:lang w:val="en-GB"/>
        </w:rPr>
        <w:t xml:space="preserve"> International Criminal Court</w:t>
      </w:r>
      <w:r w:rsidRPr="0040433A">
        <w:rPr>
          <w:rFonts w:eastAsia="Times New Roman" w:cs="Times New Roman"/>
          <w:lang w:val="en-GB"/>
        </w:rPr>
        <w:t xml:space="preserve"> </w:t>
      </w:r>
      <w:r w:rsidR="007D4464" w:rsidRPr="0040433A">
        <w:rPr>
          <w:rFonts w:eastAsia="Times New Roman" w:cs="Times New Roman"/>
          <w:lang w:val="en-GB"/>
        </w:rPr>
        <w:t>(</w:t>
      </w:r>
      <w:r w:rsidRPr="0040433A">
        <w:rPr>
          <w:rFonts w:eastAsia="Times New Roman" w:cs="Times New Roman"/>
          <w:lang w:val="en-GB"/>
        </w:rPr>
        <w:t>ICC</w:t>
      </w:r>
      <w:r w:rsidR="007D4464" w:rsidRPr="0040433A">
        <w:rPr>
          <w:rFonts w:eastAsia="Times New Roman" w:cs="Times New Roman"/>
          <w:lang w:val="en-GB"/>
        </w:rPr>
        <w:t>)</w:t>
      </w:r>
      <w:r w:rsidRPr="0040433A">
        <w:rPr>
          <w:rFonts w:eastAsia="Times New Roman" w:cs="Times New Roman"/>
          <w:lang w:val="en-GB"/>
        </w:rPr>
        <w:t xml:space="preserve"> with the competence to render a </w:t>
      </w:r>
      <w:r w:rsidR="0002655A" w:rsidRPr="0040433A">
        <w:rPr>
          <w:rFonts w:eastAsia="Times New Roman" w:cs="Times New Roman"/>
          <w:lang w:val="en-GB"/>
        </w:rPr>
        <w:t>judgment</w:t>
      </w:r>
      <w:r w:rsidR="00AA3F30">
        <w:rPr>
          <w:rFonts w:eastAsia="Times New Roman" w:cs="Times New Roman"/>
          <w:lang w:val="en-GB"/>
        </w:rPr>
        <w:t xml:space="preserve"> over legal</w:t>
      </w:r>
      <w:r w:rsidRPr="0040433A">
        <w:rPr>
          <w:rFonts w:eastAsia="Times New Roman" w:cs="Times New Roman"/>
          <w:lang w:val="en-GB"/>
        </w:rPr>
        <w:t xml:space="preserve"> person</w:t>
      </w:r>
      <w:r w:rsidR="00AA3F30">
        <w:rPr>
          <w:rFonts w:eastAsia="Times New Roman" w:cs="Times New Roman"/>
          <w:lang w:val="en-GB"/>
        </w:rPr>
        <w:t>s</w:t>
      </w:r>
      <w:r w:rsidRPr="0040433A">
        <w:rPr>
          <w:rFonts w:eastAsia="Times New Roman" w:cs="Times New Roman"/>
          <w:lang w:val="en-GB"/>
        </w:rPr>
        <w:t xml:space="preserve"> ‘when the crimes committed were committed on behalf of such legal persons or by their agencies’, the provision was</w:t>
      </w:r>
      <w:r w:rsidR="00CB2988">
        <w:rPr>
          <w:rFonts w:eastAsia="Times New Roman" w:cs="Times New Roman"/>
          <w:lang w:val="en-GB"/>
        </w:rPr>
        <w:t xml:space="preserve"> ultimately omitted</w:t>
      </w:r>
      <w:r w:rsidR="00425FBF">
        <w:rPr>
          <w:rFonts w:eastAsia="Times New Roman" w:cs="Times New Roman"/>
          <w:lang w:val="en-GB"/>
        </w:rPr>
        <w:t>.</w:t>
      </w:r>
      <w:r w:rsidR="00425FBF" w:rsidRPr="0040433A">
        <w:rPr>
          <w:rFonts w:eastAsia="Times New Roman" w:cs="Times New Roman"/>
          <w:vertAlign w:val="superscript"/>
          <w:lang w:val="en-GB"/>
        </w:rPr>
        <w:footnoteReference w:id="243"/>
      </w:r>
      <w:r w:rsidR="00425FBF" w:rsidRPr="0040433A">
        <w:rPr>
          <w:rFonts w:eastAsia="Times New Roman" w:cs="Times New Roman"/>
          <w:lang w:val="en-GB"/>
        </w:rPr>
        <w:t xml:space="preserve"> </w:t>
      </w:r>
      <w:r w:rsidRPr="0040433A">
        <w:rPr>
          <w:rFonts w:eastAsia="Times New Roman" w:cs="Times New Roman"/>
          <w:lang w:val="en-GB"/>
        </w:rPr>
        <w:t xml:space="preserve"> </w:t>
      </w:r>
      <w:r w:rsidR="00CB2988">
        <w:rPr>
          <w:rFonts w:eastAsia="Times New Roman" w:cs="Times New Roman"/>
          <w:lang w:val="en-GB"/>
        </w:rPr>
        <w:t xml:space="preserve">Nonetheless, </w:t>
      </w:r>
      <w:r w:rsidRPr="0040433A">
        <w:rPr>
          <w:rFonts w:eastAsia="Times New Roman" w:cs="Times New Roman"/>
          <w:lang w:val="en-GB"/>
        </w:rPr>
        <w:t xml:space="preserve">Clapham </w:t>
      </w:r>
      <w:r w:rsidR="003C72C3" w:rsidRPr="0040433A">
        <w:rPr>
          <w:rFonts w:eastAsia="Times New Roman" w:cs="Times New Roman"/>
          <w:lang w:val="en-GB"/>
        </w:rPr>
        <w:t xml:space="preserve">has </w:t>
      </w:r>
      <w:r w:rsidRPr="0040433A">
        <w:rPr>
          <w:rFonts w:eastAsia="Times New Roman" w:cs="Times New Roman"/>
          <w:lang w:val="en-GB"/>
        </w:rPr>
        <w:t>emphasise</w:t>
      </w:r>
      <w:r w:rsidR="003C72C3" w:rsidRPr="0040433A">
        <w:rPr>
          <w:rFonts w:eastAsia="Times New Roman" w:cs="Times New Roman"/>
          <w:lang w:val="en-GB"/>
        </w:rPr>
        <w:t>d</w:t>
      </w:r>
      <w:r w:rsidR="00004D60">
        <w:rPr>
          <w:rFonts w:eastAsia="Times New Roman" w:cs="Times New Roman"/>
          <w:lang w:val="en-GB"/>
        </w:rPr>
        <w:t xml:space="preserve"> that</w:t>
      </w:r>
      <w:r w:rsidRPr="0040433A">
        <w:rPr>
          <w:rFonts w:eastAsia="Times New Roman" w:cs="Times New Roman"/>
          <w:lang w:val="en-GB"/>
        </w:rPr>
        <w:t xml:space="preserve"> </w:t>
      </w:r>
      <w:r w:rsidR="00CB2988">
        <w:rPr>
          <w:rFonts w:eastAsia="Times New Roman" w:cs="Times New Roman"/>
          <w:lang w:val="en-GB"/>
        </w:rPr>
        <w:t>this</w:t>
      </w:r>
      <w:r w:rsidRPr="0040433A">
        <w:rPr>
          <w:rFonts w:eastAsia="Times New Roman" w:cs="Times New Roman"/>
          <w:lang w:val="en-GB"/>
        </w:rPr>
        <w:t xml:space="preserve"> resulted from a lack of time during the late stages of the drafting process, rather than obje</w:t>
      </w:r>
      <w:r w:rsidR="00F2080E" w:rsidRPr="0040433A">
        <w:rPr>
          <w:rFonts w:eastAsia="Times New Roman" w:cs="Times New Roman"/>
          <w:lang w:val="en-GB"/>
        </w:rPr>
        <w:t>ctions from representatives</w:t>
      </w:r>
      <w:r w:rsidR="008F0338" w:rsidRPr="0040433A">
        <w:rPr>
          <w:rFonts w:eastAsia="Times New Roman" w:cs="Times New Roman"/>
          <w:lang w:val="en-GB"/>
        </w:rPr>
        <w:t>.</w:t>
      </w:r>
      <w:r w:rsidRPr="0040433A">
        <w:rPr>
          <w:rFonts w:eastAsia="Times New Roman" w:cs="Times New Roman"/>
          <w:vertAlign w:val="superscript"/>
          <w:lang w:val="en-GB"/>
        </w:rPr>
        <w:footnoteReference w:id="244"/>
      </w:r>
      <w:r w:rsidRPr="0040433A">
        <w:rPr>
          <w:rFonts w:eastAsia="Times New Roman" w:cs="Times New Roman"/>
          <w:lang w:val="en-GB"/>
        </w:rPr>
        <w:t xml:space="preserve"> </w:t>
      </w:r>
      <w:r w:rsidR="00CB2988">
        <w:rPr>
          <w:rFonts w:eastAsia="Times New Roman" w:cs="Times New Roman"/>
          <w:lang w:val="en-GB"/>
        </w:rPr>
        <w:t>While c</w:t>
      </w:r>
      <w:r w:rsidRPr="0040433A">
        <w:rPr>
          <w:rFonts w:eastAsia="Times New Roman" w:cs="Times New Roman"/>
          <w:lang w:val="en-GB"/>
        </w:rPr>
        <w:t>ommentators have suggested that jurisdicti</w:t>
      </w:r>
      <w:r w:rsidR="00CB2988">
        <w:rPr>
          <w:rFonts w:eastAsia="Times New Roman" w:cs="Times New Roman"/>
          <w:lang w:val="en-GB"/>
        </w:rPr>
        <w:t xml:space="preserve">on over legal persons could be </w:t>
      </w:r>
      <w:r w:rsidRPr="0040433A">
        <w:rPr>
          <w:rFonts w:eastAsia="Times New Roman" w:cs="Times New Roman"/>
          <w:lang w:val="en-GB"/>
        </w:rPr>
        <w:t>affirmed in the future</w:t>
      </w:r>
      <w:r w:rsidR="00CB2988">
        <w:rPr>
          <w:rFonts w:eastAsia="Times New Roman" w:cs="Times New Roman"/>
          <w:lang w:val="en-GB"/>
        </w:rPr>
        <w:t>,</w:t>
      </w:r>
      <w:r w:rsidRPr="0040433A">
        <w:rPr>
          <w:rFonts w:eastAsia="Times New Roman" w:cs="Times New Roman"/>
          <w:vertAlign w:val="superscript"/>
          <w:lang w:val="en-GB"/>
        </w:rPr>
        <w:footnoteReference w:id="245"/>
      </w:r>
      <w:r w:rsidR="007E33F5" w:rsidRPr="0040433A">
        <w:rPr>
          <w:rFonts w:eastAsia="Times New Roman" w:cs="Times New Roman"/>
          <w:lang w:val="en-GB"/>
        </w:rPr>
        <w:t xml:space="preserve"> </w:t>
      </w:r>
      <w:r w:rsidRPr="0040433A">
        <w:rPr>
          <w:rFonts w:eastAsia="Times New Roman" w:cs="Times New Roman"/>
          <w:lang w:val="en-GB"/>
        </w:rPr>
        <w:t>the ICC has not pu</w:t>
      </w:r>
      <w:r w:rsidR="00CB2988">
        <w:rPr>
          <w:rFonts w:eastAsia="Times New Roman" w:cs="Times New Roman"/>
          <w:lang w:val="en-GB"/>
        </w:rPr>
        <w:t xml:space="preserve">rsued such measures. Indeed, </w:t>
      </w:r>
      <w:r w:rsidRPr="0040433A">
        <w:rPr>
          <w:rFonts w:eastAsia="Times New Roman" w:cs="Times New Roman"/>
          <w:lang w:val="en-GB"/>
        </w:rPr>
        <w:t>the expansion of the ICC’s mandate in this manner could create even more political opposition to the Court’s very existence.</w:t>
      </w:r>
      <w:r w:rsidRPr="0040433A">
        <w:rPr>
          <w:rFonts w:eastAsia="Times New Roman" w:cs="Times New Roman"/>
          <w:vertAlign w:val="superscript"/>
          <w:lang w:val="en-GB"/>
        </w:rPr>
        <w:footnoteReference w:id="246"/>
      </w:r>
      <w:r w:rsidRPr="0040433A">
        <w:rPr>
          <w:rFonts w:eastAsia="Times New Roman" w:cs="Times New Roman"/>
          <w:lang w:val="en-GB"/>
        </w:rPr>
        <w:t xml:space="preserve"> Other objections have emphasised the need for complementarity between nati</w:t>
      </w:r>
      <w:r w:rsidR="00425FBF">
        <w:rPr>
          <w:rFonts w:eastAsia="Times New Roman" w:cs="Times New Roman"/>
          <w:lang w:val="en-GB"/>
        </w:rPr>
        <w:t>onal and international spheres,</w:t>
      </w:r>
      <w:r w:rsidRPr="0040433A">
        <w:rPr>
          <w:rFonts w:eastAsia="Times New Roman" w:cs="Times New Roman"/>
          <w:vertAlign w:val="superscript"/>
          <w:lang w:val="en-GB"/>
        </w:rPr>
        <w:footnoteReference w:id="247"/>
      </w:r>
      <w:r w:rsidRPr="0040433A">
        <w:rPr>
          <w:rFonts w:eastAsia="Times New Roman" w:cs="Times New Roman"/>
          <w:lang w:val="en-GB"/>
        </w:rPr>
        <w:t xml:space="preserve"> and the inherent difficulties in establishing the actus reus</w:t>
      </w:r>
      <w:r w:rsidRPr="0040433A">
        <w:rPr>
          <w:rFonts w:eastAsia="Times New Roman" w:cs="Times New Roman"/>
          <w:vertAlign w:val="superscript"/>
          <w:lang w:val="en-GB"/>
        </w:rPr>
        <w:footnoteReference w:id="248"/>
      </w:r>
      <w:r w:rsidRPr="0040433A">
        <w:rPr>
          <w:rFonts w:eastAsia="Times New Roman" w:cs="Times New Roman"/>
          <w:i/>
          <w:lang w:val="en-GB"/>
        </w:rPr>
        <w:t xml:space="preserve"> </w:t>
      </w:r>
      <w:r w:rsidRPr="0040433A">
        <w:rPr>
          <w:rFonts w:eastAsia="Times New Roman" w:cs="Times New Roman"/>
          <w:lang w:val="en-GB"/>
        </w:rPr>
        <w:t>and mens rea of corporate entities.</w:t>
      </w:r>
      <w:r w:rsidRPr="0040433A">
        <w:rPr>
          <w:rFonts w:eastAsia="Times New Roman" w:cs="Times New Roman"/>
          <w:vertAlign w:val="superscript"/>
          <w:lang w:val="en-GB"/>
        </w:rPr>
        <w:footnoteReference w:id="249"/>
      </w:r>
    </w:p>
    <w:p w14:paraId="7CE73A3F" w14:textId="1C58C3FB" w:rsidR="004450B6" w:rsidRPr="0040433A" w:rsidRDefault="004450B6" w:rsidP="001B06B4">
      <w:pPr>
        <w:spacing w:line="276" w:lineRule="auto"/>
        <w:ind w:firstLine="720"/>
        <w:jc w:val="both"/>
        <w:rPr>
          <w:rFonts w:eastAsia="Times New Roman" w:cs="Times New Roman"/>
          <w:lang w:val="en-GB"/>
        </w:rPr>
      </w:pPr>
      <w:r w:rsidRPr="0040433A">
        <w:rPr>
          <w:lang w:val="en-GB"/>
        </w:rPr>
        <w:t>While</w:t>
      </w:r>
      <w:r w:rsidR="00B0180D">
        <w:rPr>
          <w:lang w:val="en-GB"/>
        </w:rPr>
        <w:t xml:space="preserve"> the first</w:t>
      </w:r>
      <w:r w:rsidRPr="0040433A">
        <w:rPr>
          <w:lang w:val="en-GB"/>
        </w:rPr>
        <w:t xml:space="preserve"> </w:t>
      </w:r>
      <w:r w:rsidR="00B0180D">
        <w:rPr>
          <w:lang w:val="en-GB"/>
        </w:rPr>
        <w:t>ICC p</w:t>
      </w:r>
      <w:r w:rsidRPr="0040433A">
        <w:rPr>
          <w:lang w:val="en-GB"/>
        </w:rPr>
        <w:t xml:space="preserve">rosecutor was </w:t>
      </w:r>
      <w:r w:rsidR="00596E98">
        <w:rPr>
          <w:lang w:val="en-GB"/>
        </w:rPr>
        <w:t>likely correct when he remarked,</w:t>
      </w:r>
      <w:r w:rsidRPr="0040433A">
        <w:rPr>
          <w:lang w:val="en-GB"/>
        </w:rPr>
        <w:t xml:space="preserve"> ‘[f]ollow the trail of the money and you will find the criminals’,</w:t>
      </w:r>
      <w:r w:rsidRPr="0040433A">
        <w:rPr>
          <w:rStyle w:val="FootnoteReference"/>
          <w:sz w:val="24"/>
          <w:lang w:val="en-GB"/>
        </w:rPr>
        <w:footnoteReference w:id="250"/>
      </w:r>
      <w:r w:rsidRPr="0040433A">
        <w:rPr>
          <w:lang w:val="en-GB"/>
        </w:rPr>
        <w:t xml:space="preserve"> given the complex corporate structures boasted by many </w:t>
      </w:r>
      <w:r w:rsidR="004E1DAC" w:rsidRPr="0040433A">
        <w:rPr>
          <w:lang w:val="en-GB"/>
        </w:rPr>
        <w:t>business actors</w:t>
      </w:r>
      <w:r w:rsidRPr="0040433A">
        <w:rPr>
          <w:lang w:val="en-GB"/>
        </w:rPr>
        <w:t>, the difficulty in pinpointing specific individuals to bear criminal responsibility will be significant. It has been suggested that ‘command responsibility,’ which applies to crimes committed by subordinates operating under the effective control of a superior,</w:t>
      </w:r>
      <w:r w:rsidRPr="0040433A">
        <w:rPr>
          <w:rStyle w:val="FootnoteReference"/>
          <w:sz w:val="24"/>
          <w:lang w:val="en-GB"/>
        </w:rPr>
        <w:footnoteReference w:id="251"/>
      </w:r>
      <w:r w:rsidR="00A418EF">
        <w:rPr>
          <w:lang w:val="en-GB"/>
        </w:rPr>
        <w:t xml:space="preserve"> offers an avenue to expose</w:t>
      </w:r>
      <w:r w:rsidRPr="0040433A">
        <w:rPr>
          <w:lang w:val="en-GB"/>
        </w:rPr>
        <w:t xml:space="preserve"> company directors to international criminal liability.</w:t>
      </w:r>
      <w:r w:rsidRPr="0040433A">
        <w:rPr>
          <w:rStyle w:val="FootnoteReference"/>
          <w:sz w:val="24"/>
          <w:lang w:val="en-GB"/>
        </w:rPr>
        <w:footnoteReference w:id="252"/>
      </w:r>
      <w:r w:rsidRPr="0040433A">
        <w:rPr>
          <w:lang w:val="en-GB"/>
        </w:rPr>
        <w:t xml:space="preserve"> </w:t>
      </w:r>
      <w:r w:rsidR="00847899" w:rsidRPr="0040433A">
        <w:rPr>
          <w:lang w:val="en-GB"/>
        </w:rPr>
        <w:t>While most often utiliz</w:t>
      </w:r>
      <w:r w:rsidRPr="0040433A">
        <w:rPr>
          <w:lang w:val="en-GB"/>
        </w:rPr>
        <w:t>ed to establish responsibility in military command chains, the jurisprudence of the ICTR reflects the conviction of company directors for the crimes of genocide and crimes against humanity on this basis.</w:t>
      </w:r>
      <w:r w:rsidRPr="0040433A">
        <w:rPr>
          <w:rStyle w:val="FootnoteReference"/>
          <w:sz w:val="24"/>
          <w:lang w:val="en-GB"/>
        </w:rPr>
        <w:footnoteReference w:id="253"/>
      </w:r>
      <w:r w:rsidRPr="0040433A">
        <w:rPr>
          <w:lang w:val="en-GB"/>
        </w:rPr>
        <w:t xml:space="preserve"> Yet, such avenues are not appropriate to fill the accountability gap with regard to </w:t>
      </w:r>
      <w:r w:rsidR="00613569" w:rsidRPr="0040433A">
        <w:rPr>
          <w:lang w:val="en-GB"/>
        </w:rPr>
        <w:t>business actor</w:t>
      </w:r>
      <w:r w:rsidRPr="0040433A">
        <w:rPr>
          <w:lang w:val="en-GB"/>
        </w:rPr>
        <w:t>s</w:t>
      </w:r>
      <w:r w:rsidR="005A7C47" w:rsidRPr="0040433A">
        <w:rPr>
          <w:lang w:val="en-GB"/>
        </w:rPr>
        <w:t xml:space="preserve">, in that </w:t>
      </w:r>
      <w:r w:rsidR="005A7C47" w:rsidRPr="006F41D0">
        <w:rPr>
          <w:lang w:val="en-GB"/>
        </w:rPr>
        <w:t>ex post facto</w:t>
      </w:r>
      <w:r w:rsidR="005A7C47" w:rsidRPr="0040433A">
        <w:rPr>
          <w:lang w:val="en-GB"/>
        </w:rPr>
        <w:t xml:space="preserve"> redress is not the only purpose </w:t>
      </w:r>
      <w:r w:rsidR="00036640">
        <w:rPr>
          <w:lang w:val="en-GB"/>
        </w:rPr>
        <w:t xml:space="preserve">of </w:t>
      </w:r>
      <w:r w:rsidR="005A7C47" w:rsidRPr="0040433A">
        <w:rPr>
          <w:lang w:val="en-GB"/>
        </w:rPr>
        <w:t>the human rights regime</w:t>
      </w:r>
      <w:r w:rsidRPr="0040433A">
        <w:rPr>
          <w:lang w:val="en-GB"/>
        </w:rPr>
        <w:t xml:space="preserve">. </w:t>
      </w:r>
      <w:r w:rsidR="00FC7819">
        <w:rPr>
          <w:rFonts w:eastAsia="Times New Roman" w:cs="Times New Roman"/>
          <w:lang w:val="en-GB"/>
        </w:rPr>
        <w:t>Moreover, only a limited range of offences</w:t>
      </w:r>
      <w:r w:rsidRPr="0040433A">
        <w:rPr>
          <w:rFonts w:eastAsia="Times New Roman" w:cs="Times New Roman"/>
          <w:lang w:val="en-GB"/>
        </w:rPr>
        <w:t xml:space="preserve"> fall within the jurisdiction o</w:t>
      </w:r>
      <w:r w:rsidR="00FC7819">
        <w:rPr>
          <w:rFonts w:eastAsia="Times New Roman" w:cs="Times New Roman"/>
          <w:lang w:val="en-GB"/>
        </w:rPr>
        <w:t>f the ICC. Any suggestion that its</w:t>
      </w:r>
      <w:r w:rsidRPr="0040433A">
        <w:rPr>
          <w:rFonts w:eastAsia="Times New Roman" w:cs="Times New Roman"/>
          <w:lang w:val="en-GB"/>
        </w:rPr>
        <w:t xml:space="preserve"> competence</w:t>
      </w:r>
      <w:r w:rsidR="00FC7819">
        <w:rPr>
          <w:rFonts w:eastAsia="Times New Roman" w:cs="Times New Roman"/>
          <w:lang w:val="en-GB"/>
        </w:rPr>
        <w:t>s</w:t>
      </w:r>
      <w:r w:rsidRPr="0040433A">
        <w:rPr>
          <w:rFonts w:eastAsia="Times New Roman" w:cs="Times New Roman"/>
          <w:lang w:val="en-GB"/>
        </w:rPr>
        <w:t xml:space="preserve"> could be expanded in the future</w:t>
      </w:r>
      <w:r w:rsidRPr="0040433A">
        <w:rPr>
          <w:rFonts w:eastAsia="Times New Roman" w:cs="Times New Roman"/>
          <w:vertAlign w:val="superscript"/>
          <w:lang w:val="en-GB"/>
        </w:rPr>
        <w:footnoteReference w:id="254"/>
      </w:r>
      <w:r w:rsidRPr="0040433A">
        <w:rPr>
          <w:rFonts w:eastAsia="Times New Roman" w:cs="Times New Roman"/>
          <w:lang w:val="en-GB"/>
        </w:rPr>
        <w:t xml:space="preserve"> is countered by </w:t>
      </w:r>
      <w:r w:rsidR="009D3B88">
        <w:rPr>
          <w:rFonts w:eastAsia="Times New Roman" w:cs="Times New Roman"/>
          <w:lang w:val="en-GB"/>
        </w:rPr>
        <w:t>the limitation of its jurisdiction</w:t>
      </w:r>
      <w:r w:rsidRPr="0040433A">
        <w:rPr>
          <w:rFonts w:eastAsia="Times New Roman" w:cs="Times New Roman"/>
          <w:lang w:val="en-GB"/>
        </w:rPr>
        <w:t xml:space="preserve"> to ‘the most serious crimes of concern to the international community’</w:t>
      </w:r>
      <w:r w:rsidR="00FC7819">
        <w:rPr>
          <w:rFonts w:eastAsia="Times New Roman" w:cs="Times New Roman"/>
          <w:lang w:val="en-GB"/>
        </w:rPr>
        <w:t>.</w:t>
      </w:r>
      <w:r w:rsidRPr="0040433A">
        <w:rPr>
          <w:rFonts w:eastAsia="Times New Roman" w:cs="Times New Roman"/>
          <w:vertAlign w:val="superscript"/>
          <w:lang w:val="en-GB"/>
        </w:rPr>
        <w:footnoteReference w:id="255"/>
      </w:r>
      <w:r w:rsidR="001B06B4">
        <w:rPr>
          <w:rFonts w:eastAsia="Times New Roman" w:cs="Times New Roman"/>
          <w:lang w:val="en-GB"/>
        </w:rPr>
        <w:t xml:space="preserve"> As Chiomenti suggests, ‘</w:t>
      </w:r>
      <w:r w:rsidRPr="0040433A">
        <w:rPr>
          <w:rFonts w:eastAsia="Times New Roman" w:cs="Times New Roman"/>
          <w:lang w:val="en-GB"/>
        </w:rPr>
        <w:t xml:space="preserve">[i]t is difficult to imagine that, </w:t>
      </w:r>
      <w:r w:rsidR="001B06B4">
        <w:rPr>
          <w:rFonts w:eastAsia="Times New Roman" w:cs="Times New Roman"/>
          <w:lang w:val="en-GB"/>
        </w:rPr>
        <w:t>except in extreme circumstances…</w:t>
      </w:r>
      <w:r w:rsidRPr="0040433A">
        <w:rPr>
          <w:rFonts w:eastAsia="Times New Roman" w:cs="Times New Roman"/>
          <w:lang w:val="en-GB"/>
        </w:rPr>
        <w:t xml:space="preserve"> a corporation ordinarily operating in the industrial, commercial, or services sector, will act as the principal author to commit any of the crimes falling under the jurisdiction of the ICC</w:t>
      </w:r>
      <w:r w:rsidR="001B06B4">
        <w:rPr>
          <w:rFonts w:eastAsia="Times New Roman" w:cs="Times New Roman"/>
          <w:lang w:val="en-GB"/>
        </w:rPr>
        <w:t>’</w:t>
      </w:r>
      <w:r w:rsidR="009D3B88">
        <w:rPr>
          <w:rFonts w:eastAsia="Times New Roman" w:cs="Times New Roman"/>
          <w:lang w:val="en-GB"/>
        </w:rPr>
        <w:t>.</w:t>
      </w:r>
      <w:r w:rsidRPr="0040433A">
        <w:rPr>
          <w:rFonts w:eastAsia="Times New Roman" w:cs="Times New Roman"/>
          <w:vertAlign w:val="superscript"/>
          <w:lang w:val="en-GB"/>
        </w:rPr>
        <w:footnoteReference w:id="256"/>
      </w:r>
      <w:r w:rsidRPr="0040433A">
        <w:rPr>
          <w:rFonts w:eastAsia="Times New Roman" w:cs="Times New Roman"/>
          <w:lang w:val="en-GB"/>
        </w:rPr>
        <w:t xml:space="preserve"> </w:t>
      </w:r>
    </w:p>
    <w:p w14:paraId="3A343FDA" w14:textId="6D8B3314" w:rsidR="00893A90" w:rsidRDefault="00394D8B" w:rsidP="0040433A">
      <w:pPr>
        <w:spacing w:line="276" w:lineRule="auto"/>
        <w:ind w:firstLine="720"/>
        <w:jc w:val="both"/>
        <w:rPr>
          <w:lang w:val="en-GB"/>
        </w:rPr>
      </w:pPr>
      <w:r>
        <w:rPr>
          <w:lang w:val="en-GB"/>
        </w:rPr>
        <w:t>A</w:t>
      </w:r>
      <w:r w:rsidR="0083716B" w:rsidRPr="0040433A">
        <w:rPr>
          <w:lang w:val="en-GB"/>
        </w:rPr>
        <w:t xml:space="preserve"> draft statute for a World Court of Human Rights</w:t>
      </w:r>
      <w:r w:rsidR="008514C0">
        <w:rPr>
          <w:lang w:val="en-GB"/>
        </w:rPr>
        <w:t xml:space="preserve"> possessing jurisdiction</w:t>
      </w:r>
      <w:r w:rsidR="0083716B" w:rsidRPr="0040433A">
        <w:rPr>
          <w:i/>
          <w:lang w:val="en-GB"/>
        </w:rPr>
        <w:t xml:space="preserve"> </w:t>
      </w:r>
      <w:r w:rsidR="008514C0">
        <w:rPr>
          <w:lang w:val="en-GB"/>
        </w:rPr>
        <w:t>over</w:t>
      </w:r>
      <w:r w:rsidR="0083716B" w:rsidRPr="0040433A">
        <w:rPr>
          <w:lang w:val="en-GB"/>
        </w:rPr>
        <w:t xml:space="preserve"> non-State actors has been developed by Nowak and Kozma.</w:t>
      </w:r>
      <w:r w:rsidR="0083716B" w:rsidRPr="0040433A">
        <w:rPr>
          <w:rStyle w:val="FootnoteReference"/>
          <w:sz w:val="24"/>
          <w:lang w:val="en-GB"/>
        </w:rPr>
        <w:footnoteReference w:id="257"/>
      </w:r>
      <w:r w:rsidR="0083716B" w:rsidRPr="0040433A">
        <w:rPr>
          <w:lang w:val="en-GB"/>
        </w:rPr>
        <w:t xml:space="preserve"> </w:t>
      </w:r>
      <w:r w:rsidR="0071721C">
        <w:rPr>
          <w:lang w:val="en-GB"/>
        </w:rPr>
        <w:t>P</w:t>
      </w:r>
      <w:r w:rsidR="0071721C" w:rsidRPr="0040433A">
        <w:rPr>
          <w:lang w:val="en-GB"/>
        </w:rPr>
        <w:t xml:space="preserve">ractitioners such as </w:t>
      </w:r>
      <w:r w:rsidR="0071721C">
        <w:rPr>
          <w:lang w:val="en-GB"/>
        </w:rPr>
        <w:t>Cronstedt</w:t>
      </w:r>
      <w:r w:rsidR="0071721C" w:rsidRPr="0040433A">
        <w:rPr>
          <w:lang w:val="en-GB"/>
        </w:rPr>
        <w:t xml:space="preserve"> </w:t>
      </w:r>
      <w:r w:rsidR="0071721C">
        <w:rPr>
          <w:lang w:val="en-GB"/>
        </w:rPr>
        <w:t>have also</w:t>
      </w:r>
      <w:r w:rsidR="0071721C" w:rsidRPr="0040433A">
        <w:rPr>
          <w:lang w:val="en-GB"/>
        </w:rPr>
        <w:t xml:space="preserve"> discussed the potential structure of an International Tribunal on Business and Human Rights.</w:t>
      </w:r>
      <w:r w:rsidR="0071721C" w:rsidRPr="0040433A">
        <w:rPr>
          <w:rStyle w:val="FootnoteReference"/>
          <w:sz w:val="24"/>
          <w:lang w:val="en-GB"/>
        </w:rPr>
        <w:footnoteReference w:id="258"/>
      </w:r>
      <w:r w:rsidR="0071721C" w:rsidRPr="0040433A">
        <w:rPr>
          <w:lang w:val="en-GB"/>
        </w:rPr>
        <w:t xml:space="preserve"> Such </w:t>
      </w:r>
      <w:r w:rsidR="0071721C">
        <w:rPr>
          <w:lang w:val="en-GB"/>
        </w:rPr>
        <w:t>an institution</w:t>
      </w:r>
      <w:r w:rsidR="0071721C" w:rsidRPr="0040433A">
        <w:rPr>
          <w:lang w:val="en-GB"/>
        </w:rPr>
        <w:t xml:space="preserve"> would not issue legally binding decisions, but would rely entirely on the concern of business actors regarding their corporate image.</w:t>
      </w:r>
      <w:r w:rsidR="0071721C" w:rsidRPr="0040433A">
        <w:rPr>
          <w:rStyle w:val="FootnoteReference"/>
          <w:sz w:val="24"/>
          <w:lang w:val="en-GB"/>
        </w:rPr>
        <w:footnoteReference w:id="259"/>
      </w:r>
      <w:r w:rsidR="0071721C" w:rsidRPr="0040433A">
        <w:rPr>
          <w:lang w:val="en-GB"/>
        </w:rPr>
        <w:t xml:space="preserve"> </w:t>
      </w:r>
      <w:r w:rsidR="0083716B" w:rsidRPr="0040433A">
        <w:rPr>
          <w:lang w:val="en-GB"/>
        </w:rPr>
        <w:t>Unfortuna</w:t>
      </w:r>
      <w:r w:rsidR="0071721C">
        <w:rPr>
          <w:lang w:val="en-GB"/>
        </w:rPr>
        <w:t>tely, these draft</w:t>
      </w:r>
      <w:r w:rsidR="001740C0">
        <w:rPr>
          <w:lang w:val="en-GB"/>
        </w:rPr>
        <w:t>s</w:t>
      </w:r>
      <w:r w:rsidR="0071721C">
        <w:rPr>
          <w:lang w:val="en-GB"/>
        </w:rPr>
        <w:t xml:space="preserve"> make</w:t>
      </w:r>
      <w:r w:rsidR="0083716B" w:rsidRPr="0040433A">
        <w:rPr>
          <w:lang w:val="en-GB"/>
        </w:rPr>
        <w:t xml:space="preserve"> the standing of non-State actors before </w:t>
      </w:r>
      <w:r w:rsidR="0071721C">
        <w:rPr>
          <w:lang w:val="en-GB"/>
        </w:rPr>
        <w:t>the proposed arbitral bod</w:t>
      </w:r>
      <w:r w:rsidR="00596E98">
        <w:rPr>
          <w:lang w:val="en-GB"/>
        </w:rPr>
        <w:t>ies</w:t>
      </w:r>
      <w:r w:rsidR="0083716B" w:rsidRPr="0040433A">
        <w:rPr>
          <w:lang w:val="en-GB"/>
        </w:rPr>
        <w:t xml:space="preserve"> contingent </w:t>
      </w:r>
      <w:r w:rsidR="0071721C">
        <w:rPr>
          <w:lang w:val="en-GB"/>
        </w:rPr>
        <w:t>up</w:t>
      </w:r>
      <w:r w:rsidR="0083716B" w:rsidRPr="0040433A">
        <w:rPr>
          <w:lang w:val="en-GB"/>
        </w:rPr>
        <w:t>on a declaration of their consent,</w:t>
      </w:r>
      <w:r w:rsidR="0083716B" w:rsidRPr="0040433A">
        <w:rPr>
          <w:rStyle w:val="FootnoteReference"/>
          <w:sz w:val="24"/>
          <w:lang w:val="en-GB"/>
        </w:rPr>
        <w:footnoteReference w:id="260"/>
      </w:r>
      <w:r w:rsidR="0083716B" w:rsidRPr="0040433A">
        <w:rPr>
          <w:lang w:val="en-GB"/>
        </w:rPr>
        <w:t xml:space="preserve"> a factor which is rendered entirely unnecessary from the </w:t>
      </w:r>
      <w:r w:rsidR="00B177EA" w:rsidRPr="0040433A">
        <w:rPr>
          <w:lang w:val="en-GB"/>
        </w:rPr>
        <w:t xml:space="preserve">formalist </w:t>
      </w:r>
      <w:r w:rsidR="00DE034A" w:rsidRPr="0040433A">
        <w:rPr>
          <w:lang w:val="en-GB"/>
        </w:rPr>
        <w:t xml:space="preserve">theoretical </w:t>
      </w:r>
      <w:r w:rsidR="0083716B" w:rsidRPr="0040433A">
        <w:rPr>
          <w:lang w:val="en-GB"/>
        </w:rPr>
        <w:t>perspective</w:t>
      </w:r>
      <w:r w:rsidR="00B177EA" w:rsidRPr="0040433A">
        <w:rPr>
          <w:lang w:val="en-GB"/>
        </w:rPr>
        <w:t xml:space="preserve"> advanced above</w:t>
      </w:r>
      <w:r w:rsidR="007E3853">
        <w:rPr>
          <w:lang w:val="en-GB"/>
        </w:rPr>
        <w:t>.</w:t>
      </w:r>
      <w:r w:rsidR="0071721C" w:rsidRPr="0071721C">
        <w:rPr>
          <w:lang w:val="en-GB"/>
        </w:rPr>
        <w:t xml:space="preserve"> </w:t>
      </w:r>
      <w:r w:rsidR="0071721C">
        <w:rPr>
          <w:lang w:val="en-GB"/>
        </w:rPr>
        <w:t>Indeed</w:t>
      </w:r>
      <w:r w:rsidR="0071721C" w:rsidRPr="0040433A">
        <w:rPr>
          <w:lang w:val="en-GB"/>
        </w:rPr>
        <w:t>, an analogy might be drawn from t</w:t>
      </w:r>
      <w:r w:rsidR="00871815">
        <w:rPr>
          <w:lang w:val="en-GB"/>
        </w:rPr>
        <w:t>he Seabed Disputes Chamber that</w:t>
      </w:r>
      <w:r w:rsidR="0071721C" w:rsidRPr="0040433A">
        <w:rPr>
          <w:lang w:val="en-GB"/>
        </w:rPr>
        <w:t xml:space="preserve"> has jurisdiction over States, the ISA</w:t>
      </w:r>
      <w:r w:rsidR="007573F6">
        <w:rPr>
          <w:lang w:val="en-GB"/>
        </w:rPr>
        <w:t>,</w:t>
      </w:r>
      <w:r w:rsidR="0071721C" w:rsidRPr="0040433A">
        <w:rPr>
          <w:lang w:val="en-GB"/>
        </w:rPr>
        <w:t xml:space="preserve"> </w:t>
      </w:r>
      <w:r w:rsidR="004C6856">
        <w:rPr>
          <w:lang w:val="en-GB"/>
        </w:rPr>
        <w:t>as well as</w:t>
      </w:r>
      <w:r w:rsidR="004C6856" w:rsidRPr="0040433A">
        <w:rPr>
          <w:lang w:val="en-GB"/>
        </w:rPr>
        <w:t xml:space="preserve"> </w:t>
      </w:r>
      <w:r w:rsidR="0071721C" w:rsidRPr="0040433A">
        <w:rPr>
          <w:lang w:val="en-GB"/>
        </w:rPr>
        <w:t xml:space="preserve">natural and juridical persons, ‘a significant departure from the general regime that confines jurisdiction </w:t>
      </w:r>
      <w:r w:rsidR="0071721C" w:rsidRPr="0040433A">
        <w:rPr>
          <w:i/>
          <w:lang w:val="en-GB"/>
        </w:rPr>
        <w:t xml:space="preserve">rationae personae </w:t>
      </w:r>
      <w:r w:rsidR="0071721C" w:rsidRPr="0040433A">
        <w:rPr>
          <w:lang w:val="en-GB"/>
        </w:rPr>
        <w:t>to States and international organizations’.</w:t>
      </w:r>
      <w:r w:rsidR="0071721C" w:rsidRPr="0040433A">
        <w:rPr>
          <w:rStyle w:val="FootnoteReference"/>
          <w:sz w:val="24"/>
          <w:lang w:val="en-GB"/>
        </w:rPr>
        <w:footnoteReference w:id="261"/>
      </w:r>
      <w:r w:rsidR="001740C0">
        <w:rPr>
          <w:lang w:val="en-GB"/>
        </w:rPr>
        <w:t xml:space="preserve"> </w:t>
      </w:r>
      <w:r w:rsidR="001C6760">
        <w:rPr>
          <w:lang w:val="en-GB"/>
        </w:rPr>
        <w:t>However</w:t>
      </w:r>
      <w:r w:rsidR="001C6760" w:rsidRPr="0040433A">
        <w:rPr>
          <w:lang w:val="en-GB"/>
        </w:rPr>
        <w:t xml:space="preserve">, scholars such as Boyle and Harrison have </w:t>
      </w:r>
      <w:r w:rsidR="002E4C1A">
        <w:rPr>
          <w:lang w:val="en-GB"/>
        </w:rPr>
        <w:t xml:space="preserve">been </w:t>
      </w:r>
      <w:r w:rsidR="001C6760" w:rsidRPr="0040433A">
        <w:rPr>
          <w:lang w:val="en-GB"/>
        </w:rPr>
        <w:t xml:space="preserve">reticent </w:t>
      </w:r>
      <w:r w:rsidR="002E4C1A">
        <w:rPr>
          <w:lang w:val="en-GB"/>
        </w:rPr>
        <w:t xml:space="preserve">concerning </w:t>
      </w:r>
      <w:r w:rsidR="001C6760" w:rsidRPr="0040433A">
        <w:rPr>
          <w:lang w:val="en-GB"/>
        </w:rPr>
        <w:t>the idea of a specialised international environmental court, on the basis of the sheer variety of laws relevant to environmental disputes. The judges of such a court would require a wide-ranging grasp of international law, rendering them no different, in effect, to those at the ICJ.</w:t>
      </w:r>
      <w:r w:rsidR="001C6760" w:rsidRPr="0040433A">
        <w:rPr>
          <w:rStyle w:val="FootnoteReference"/>
          <w:sz w:val="24"/>
          <w:lang w:val="en-GB"/>
        </w:rPr>
        <w:footnoteReference w:id="262"/>
      </w:r>
      <w:r w:rsidR="001C6760" w:rsidRPr="0040433A">
        <w:rPr>
          <w:lang w:val="en-GB"/>
        </w:rPr>
        <w:t xml:space="preserve"> Given the strong parallels between environmental degradation and the operations of multinational enterprises, similar practical concerns could be expressed in relation to a World Court on Business and Human Rights.</w:t>
      </w:r>
    </w:p>
    <w:p w14:paraId="56AE4632" w14:textId="154A92BC" w:rsidR="000C4305" w:rsidRDefault="00DA5828" w:rsidP="006C033B">
      <w:pPr>
        <w:spacing w:line="276" w:lineRule="auto"/>
        <w:ind w:firstLine="720"/>
        <w:jc w:val="both"/>
        <w:rPr>
          <w:lang w:val="en-GB"/>
        </w:rPr>
      </w:pPr>
      <w:r w:rsidRPr="000C4305">
        <w:rPr>
          <w:lang w:val="en-GB"/>
        </w:rPr>
        <w:t>Assuming it is possible to establish a judicial body</w:t>
      </w:r>
      <w:r w:rsidR="005730D2" w:rsidRPr="000C4305">
        <w:rPr>
          <w:lang w:val="en-GB"/>
        </w:rPr>
        <w:t xml:space="preserve"> capable of hearing claims against States and non-State actors, its task</w:t>
      </w:r>
      <w:r w:rsidR="0009372D" w:rsidRPr="000C4305">
        <w:rPr>
          <w:lang w:val="en-GB"/>
        </w:rPr>
        <w:t xml:space="preserve"> in apportioning responsibility for </w:t>
      </w:r>
      <w:r w:rsidR="000C4305" w:rsidRPr="000C4305">
        <w:rPr>
          <w:lang w:val="en-GB"/>
        </w:rPr>
        <w:t>fulfilment of the reme</w:t>
      </w:r>
      <w:r w:rsidR="0019386E">
        <w:rPr>
          <w:lang w:val="en-GB"/>
        </w:rPr>
        <w:t>dial</w:t>
      </w:r>
      <w:r w:rsidR="005730D2" w:rsidRPr="000C4305">
        <w:rPr>
          <w:lang w:val="en-GB"/>
        </w:rPr>
        <w:t xml:space="preserve"> damages among multiple </w:t>
      </w:r>
      <w:r w:rsidR="0009372D" w:rsidRPr="000C4305">
        <w:rPr>
          <w:lang w:val="en-GB"/>
        </w:rPr>
        <w:t xml:space="preserve">perpetrators </w:t>
      </w:r>
      <w:r w:rsidR="002A4DE8" w:rsidRPr="000C4305">
        <w:rPr>
          <w:lang w:val="en-GB"/>
        </w:rPr>
        <w:t xml:space="preserve">would </w:t>
      </w:r>
      <w:r w:rsidR="000C4305" w:rsidRPr="000C4305">
        <w:rPr>
          <w:lang w:val="en-GB"/>
        </w:rPr>
        <w:t>doubtless prove highly complex.</w:t>
      </w:r>
      <w:r w:rsidR="006C033B">
        <w:rPr>
          <w:lang w:val="en-GB"/>
        </w:rPr>
        <w:t xml:space="preserve"> </w:t>
      </w:r>
      <w:r w:rsidR="000C4305" w:rsidRPr="00D977FC">
        <w:rPr>
          <w:lang w:val="en-GB"/>
        </w:rPr>
        <w:t xml:space="preserve">Consider the event that separate primary obligations for both direct and complicit breaches were drafted, in line with the </w:t>
      </w:r>
      <w:r w:rsidR="00943B5A">
        <w:rPr>
          <w:lang w:val="en-GB"/>
        </w:rPr>
        <w:t>approach considered</w:t>
      </w:r>
      <w:r w:rsidR="00E565A0">
        <w:rPr>
          <w:lang w:val="en-GB"/>
        </w:rPr>
        <w:t xml:space="preserve"> above</w:t>
      </w:r>
      <w:r w:rsidR="00943B5A">
        <w:rPr>
          <w:lang w:val="en-GB"/>
        </w:rPr>
        <w:t xml:space="preserve"> in Section III</w:t>
      </w:r>
      <w:r w:rsidR="000C4305" w:rsidRPr="00D977FC">
        <w:rPr>
          <w:lang w:val="en-GB"/>
        </w:rPr>
        <w:t>.</w:t>
      </w:r>
      <w:r w:rsidR="000C4305">
        <w:rPr>
          <w:lang w:val="en-GB"/>
        </w:rPr>
        <w:t xml:space="preserve"> </w:t>
      </w:r>
      <w:r w:rsidR="006C033B">
        <w:rPr>
          <w:lang w:val="en-GB"/>
        </w:rPr>
        <w:t xml:space="preserve">Drawing </w:t>
      </w:r>
      <w:r w:rsidR="002E4C1A">
        <w:rPr>
          <w:lang w:val="en-GB"/>
        </w:rPr>
        <w:t xml:space="preserve">an </w:t>
      </w:r>
      <w:r w:rsidR="006C033B">
        <w:rPr>
          <w:lang w:val="en-GB"/>
        </w:rPr>
        <w:t>analogy from the scheme underpinning reparations in ASRIWA, it must first be established that the wrongful acts in question each have a direct causal connection to the victim’s injury.</w:t>
      </w:r>
      <w:r w:rsidR="00D977FC" w:rsidRPr="00232FD9">
        <w:rPr>
          <w:rStyle w:val="FootnoteReference"/>
          <w:sz w:val="24"/>
          <w:lang w:val="en-GB"/>
        </w:rPr>
        <w:footnoteReference w:id="263"/>
      </w:r>
      <w:r w:rsidR="00F40C32">
        <w:rPr>
          <w:lang w:val="en-GB"/>
        </w:rPr>
        <w:t xml:space="preserve"> Once satisfied</w:t>
      </w:r>
      <w:r w:rsidR="000C4305">
        <w:rPr>
          <w:lang w:val="en-GB"/>
        </w:rPr>
        <w:t>, at least 2 distinct situations are possible</w:t>
      </w:r>
      <w:r w:rsidR="006C033B">
        <w:rPr>
          <w:lang w:val="en-GB"/>
        </w:rPr>
        <w:t>.</w:t>
      </w:r>
      <w:r w:rsidR="000C4305">
        <w:rPr>
          <w:lang w:val="en-GB"/>
        </w:rPr>
        <w:t xml:space="preserve"> </w:t>
      </w:r>
      <w:r w:rsidR="006C033B">
        <w:rPr>
          <w:lang w:val="en-GB"/>
        </w:rPr>
        <w:t>T</w:t>
      </w:r>
      <w:r w:rsidR="000C4305">
        <w:rPr>
          <w:lang w:val="en-GB"/>
        </w:rPr>
        <w:t>he conduct of multiple actors either gives rise to</w:t>
      </w:r>
      <w:r w:rsidR="006C033B">
        <w:rPr>
          <w:lang w:val="en-GB"/>
        </w:rPr>
        <w:t>:</w:t>
      </w:r>
      <w:r w:rsidR="000C4305">
        <w:rPr>
          <w:lang w:val="en-GB"/>
        </w:rPr>
        <w:t xml:space="preserve"> i) </w:t>
      </w:r>
      <w:r w:rsidR="006C033B" w:rsidRPr="001C6760">
        <w:rPr>
          <w:lang w:val="en-GB"/>
        </w:rPr>
        <w:t xml:space="preserve">separate </w:t>
      </w:r>
      <w:r w:rsidR="006C033B">
        <w:rPr>
          <w:lang w:val="en-GB"/>
        </w:rPr>
        <w:t xml:space="preserve">wrongful acts contributing to a </w:t>
      </w:r>
      <w:r w:rsidR="006C033B" w:rsidRPr="006C033B">
        <w:rPr>
          <w:i/>
          <w:lang w:val="en-GB"/>
        </w:rPr>
        <w:t>single</w:t>
      </w:r>
      <w:r w:rsidR="006C033B">
        <w:rPr>
          <w:lang w:val="en-GB"/>
        </w:rPr>
        <w:t xml:space="preserve"> </w:t>
      </w:r>
      <w:r w:rsidR="006C033B" w:rsidRPr="001C6760">
        <w:rPr>
          <w:i/>
          <w:lang w:val="en-GB"/>
        </w:rPr>
        <w:t>injury</w:t>
      </w:r>
      <w:r w:rsidR="000C4305">
        <w:rPr>
          <w:lang w:val="en-GB"/>
        </w:rPr>
        <w:t xml:space="preserve">; </w:t>
      </w:r>
      <w:r w:rsidR="006C033B">
        <w:rPr>
          <w:lang w:val="en-GB"/>
        </w:rPr>
        <w:t xml:space="preserve">or </w:t>
      </w:r>
      <w:r w:rsidR="000C4305">
        <w:rPr>
          <w:lang w:val="en-GB"/>
        </w:rPr>
        <w:t>ii)</w:t>
      </w:r>
      <w:r w:rsidR="006C033B">
        <w:rPr>
          <w:lang w:val="en-GB"/>
        </w:rPr>
        <w:t xml:space="preserve"> </w:t>
      </w:r>
      <w:r w:rsidR="006C033B" w:rsidRPr="001C6760">
        <w:rPr>
          <w:lang w:val="en-GB"/>
        </w:rPr>
        <w:t>separate</w:t>
      </w:r>
      <w:r w:rsidR="006C033B">
        <w:rPr>
          <w:lang w:val="en-GB"/>
        </w:rPr>
        <w:t xml:space="preserve"> wrongful acts contributing to </w:t>
      </w:r>
      <w:r w:rsidR="001C6760">
        <w:rPr>
          <w:i/>
          <w:lang w:val="en-GB"/>
        </w:rPr>
        <w:t xml:space="preserve">multiple </w:t>
      </w:r>
      <w:r w:rsidR="006C033B">
        <w:rPr>
          <w:i/>
          <w:lang w:val="en-GB"/>
        </w:rPr>
        <w:t>separate</w:t>
      </w:r>
      <w:r w:rsidR="006C033B">
        <w:rPr>
          <w:lang w:val="en-GB"/>
        </w:rPr>
        <w:t xml:space="preserve"> </w:t>
      </w:r>
      <w:r w:rsidR="006C033B" w:rsidRPr="001C6760">
        <w:rPr>
          <w:i/>
          <w:lang w:val="en-GB"/>
        </w:rPr>
        <w:t>injuries</w:t>
      </w:r>
      <w:r w:rsidR="006C033B">
        <w:rPr>
          <w:lang w:val="en-GB"/>
        </w:rPr>
        <w:t xml:space="preserve">. In the first situation, a </w:t>
      </w:r>
      <w:r w:rsidR="00D977FC">
        <w:rPr>
          <w:lang w:val="en-GB"/>
        </w:rPr>
        <w:t>business actor</w:t>
      </w:r>
      <w:r w:rsidR="006C033B">
        <w:rPr>
          <w:lang w:val="en-GB"/>
        </w:rPr>
        <w:t xml:space="preserve"> might breach an international obligation by engaging in torture, </w:t>
      </w:r>
      <w:r w:rsidR="006F41D0">
        <w:rPr>
          <w:lang w:val="en-GB"/>
        </w:rPr>
        <w:t>and a State may breach a second</w:t>
      </w:r>
      <w:r w:rsidR="006C033B">
        <w:rPr>
          <w:lang w:val="en-GB"/>
        </w:rPr>
        <w:t xml:space="preserve"> obligation by engaging in complicit conduct. Thus</w:t>
      </w:r>
      <w:r w:rsidR="00D977FC">
        <w:rPr>
          <w:lang w:val="en-GB"/>
        </w:rPr>
        <w:t>,</w:t>
      </w:r>
      <w:r w:rsidR="006C033B">
        <w:rPr>
          <w:lang w:val="en-GB"/>
        </w:rPr>
        <w:t xml:space="preserve"> two </w:t>
      </w:r>
      <w:r w:rsidR="00D977FC">
        <w:rPr>
          <w:lang w:val="en-GB"/>
        </w:rPr>
        <w:t xml:space="preserve">distinct but nonetheless </w:t>
      </w:r>
      <w:r w:rsidR="006C033B">
        <w:rPr>
          <w:lang w:val="en-GB"/>
        </w:rPr>
        <w:t>complementary breaches are inseparably li</w:t>
      </w:r>
      <w:r w:rsidR="001C6760">
        <w:rPr>
          <w:lang w:val="en-GB"/>
        </w:rPr>
        <w:t>nked to the victim’s injury. D’A</w:t>
      </w:r>
      <w:r w:rsidR="006C033B">
        <w:rPr>
          <w:lang w:val="en-GB"/>
        </w:rPr>
        <w:t xml:space="preserve">rgent suggests that there are two ways to deal with reparations in such a situation; either </w:t>
      </w:r>
      <w:r w:rsidR="00D977FC">
        <w:rPr>
          <w:lang w:val="en-GB"/>
        </w:rPr>
        <w:t xml:space="preserve">one wrongful act is identified and isolated as the decisive cause, and a single party is held liable for the entire sum of damages, or </w:t>
      </w:r>
      <w:r w:rsidR="00D977FC">
        <w:rPr>
          <w:i/>
          <w:lang w:val="en-GB"/>
        </w:rPr>
        <w:t>all parties</w:t>
      </w:r>
      <w:r w:rsidR="00D977FC">
        <w:rPr>
          <w:lang w:val="en-GB"/>
        </w:rPr>
        <w:t xml:space="preserve"> are held to be jointly and severally liable for full reparation.</w:t>
      </w:r>
      <w:r w:rsidR="00D977FC" w:rsidRPr="00232FD9">
        <w:rPr>
          <w:rStyle w:val="FootnoteReference"/>
          <w:sz w:val="24"/>
          <w:lang w:val="en-GB"/>
        </w:rPr>
        <w:footnoteReference w:id="264"/>
      </w:r>
      <w:r w:rsidR="00D977FC">
        <w:rPr>
          <w:lang w:val="en-GB"/>
        </w:rPr>
        <w:t xml:space="preserve"> </w:t>
      </w:r>
      <w:r w:rsidR="00830978">
        <w:rPr>
          <w:lang w:val="en-GB"/>
        </w:rPr>
        <w:t xml:space="preserve">This analysis demonstrates the interrelationship between the </w:t>
      </w:r>
      <w:r w:rsidR="007E3853">
        <w:rPr>
          <w:lang w:val="en-GB"/>
        </w:rPr>
        <w:t xml:space="preserve">tiers of </w:t>
      </w:r>
      <w:r w:rsidR="00E565A0">
        <w:rPr>
          <w:lang w:val="en-GB"/>
        </w:rPr>
        <w:t>the rule structure</w:t>
      </w:r>
      <w:r w:rsidR="00830978">
        <w:rPr>
          <w:lang w:val="en-GB"/>
        </w:rPr>
        <w:t xml:space="preserve"> </w:t>
      </w:r>
      <w:r w:rsidR="00E565A0">
        <w:rPr>
          <w:lang w:val="en-GB"/>
        </w:rPr>
        <w:t>proposed</w:t>
      </w:r>
      <w:r w:rsidR="00830978">
        <w:rPr>
          <w:lang w:val="en-GB"/>
        </w:rPr>
        <w:t xml:space="preserve"> above. While</w:t>
      </w:r>
      <w:r w:rsidR="00D977FC">
        <w:rPr>
          <w:lang w:val="en-GB"/>
        </w:rPr>
        <w:t xml:space="preserve"> </w:t>
      </w:r>
      <w:r w:rsidR="006F41D0">
        <w:rPr>
          <w:lang w:val="en-GB"/>
        </w:rPr>
        <w:t xml:space="preserve">the </w:t>
      </w:r>
      <w:r w:rsidR="002E4C1A">
        <w:rPr>
          <w:lang w:val="en-GB"/>
        </w:rPr>
        <w:t xml:space="preserve">approach of </w:t>
      </w:r>
      <w:r w:rsidR="006F41D0">
        <w:rPr>
          <w:lang w:val="en-GB"/>
        </w:rPr>
        <w:t>joint and several</w:t>
      </w:r>
      <w:r w:rsidR="00D977FC">
        <w:rPr>
          <w:lang w:val="en-GB"/>
        </w:rPr>
        <w:t xml:space="preserve"> </w:t>
      </w:r>
      <w:r w:rsidR="002E4C1A">
        <w:rPr>
          <w:lang w:val="en-GB"/>
        </w:rPr>
        <w:t xml:space="preserve">liability </w:t>
      </w:r>
      <w:r w:rsidR="00D977FC">
        <w:rPr>
          <w:lang w:val="en-GB"/>
        </w:rPr>
        <w:t>seems preferable</w:t>
      </w:r>
      <w:r w:rsidR="00352C03">
        <w:rPr>
          <w:lang w:val="en-GB"/>
        </w:rPr>
        <w:t xml:space="preserve"> from the victim’s perspective</w:t>
      </w:r>
      <w:r w:rsidR="00D977FC">
        <w:rPr>
          <w:lang w:val="en-GB"/>
        </w:rPr>
        <w:t>,</w:t>
      </w:r>
      <w:r w:rsidR="00830978">
        <w:rPr>
          <w:lang w:val="en-GB"/>
        </w:rPr>
        <w:t xml:space="preserve"> it r</w:t>
      </w:r>
      <w:r w:rsidR="002E4C1A">
        <w:rPr>
          <w:lang w:val="en-GB"/>
        </w:rPr>
        <w:t xml:space="preserve">aises the question of </w:t>
      </w:r>
      <w:r w:rsidR="00D977FC">
        <w:rPr>
          <w:lang w:val="en-GB"/>
        </w:rPr>
        <w:t xml:space="preserve">how </w:t>
      </w:r>
      <w:r w:rsidR="00352C03">
        <w:rPr>
          <w:lang w:val="en-GB"/>
        </w:rPr>
        <w:t>responsible actors</w:t>
      </w:r>
      <w:r w:rsidR="00830978">
        <w:rPr>
          <w:lang w:val="en-GB"/>
        </w:rPr>
        <w:t xml:space="preserve"> might </w:t>
      </w:r>
      <w:r w:rsidR="00D977FC">
        <w:rPr>
          <w:lang w:val="en-GB"/>
        </w:rPr>
        <w:t xml:space="preserve">seek redress </w:t>
      </w:r>
      <w:r w:rsidR="00830978">
        <w:rPr>
          <w:lang w:val="en-GB"/>
        </w:rPr>
        <w:t xml:space="preserve">for contributions to the harmful outcome by </w:t>
      </w:r>
      <w:r w:rsidR="004E681A">
        <w:rPr>
          <w:lang w:val="en-GB"/>
        </w:rPr>
        <w:t xml:space="preserve">their </w:t>
      </w:r>
      <w:r w:rsidR="00D977FC">
        <w:rPr>
          <w:lang w:val="en-GB"/>
        </w:rPr>
        <w:t>co-perpetrators. Whether cla</w:t>
      </w:r>
      <w:r w:rsidR="00832DC9">
        <w:rPr>
          <w:lang w:val="en-GB"/>
        </w:rPr>
        <w:t>ims could play out between States and non-State actors domestically is questionable, given the unwillingness or incapacity of many States to give domestic effect to their international human rights obligations in the first place.</w:t>
      </w:r>
    </w:p>
    <w:p w14:paraId="59DDB771" w14:textId="1EEBB4E8" w:rsidR="005730D2" w:rsidRPr="0040433A" w:rsidRDefault="00832DC9" w:rsidP="0040433A">
      <w:pPr>
        <w:spacing w:line="276" w:lineRule="auto"/>
        <w:ind w:firstLine="720"/>
        <w:jc w:val="both"/>
        <w:rPr>
          <w:lang w:val="en-GB"/>
        </w:rPr>
      </w:pPr>
      <w:r>
        <w:rPr>
          <w:lang w:val="en-GB"/>
        </w:rPr>
        <w:t xml:space="preserve">The </w:t>
      </w:r>
      <w:r w:rsidR="00B0180D">
        <w:rPr>
          <w:lang w:val="en-GB"/>
        </w:rPr>
        <w:t>position</w:t>
      </w:r>
      <w:r>
        <w:rPr>
          <w:lang w:val="en-GB"/>
        </w:rPr>
        <w:t xml:space="preserve"> is arguably </w:t>
      </w:r>
      <w:r w:rsidR="001C6760">
        <w:rPr>
          <w:lang w:val="en-GB"/>
        </w:rPr>
        <w:t xml:space="preserve">more straightforward </w:t>
      </w:r>
      <w:r>
        <w:rPr>
          <w:lang w:val="en-GB"/>
        </w:rPr>
        <w:t xml:space="preserve">in the second situation, where </w:t>
      </w:r>
      <w:r>
        <w:rPr>
          <w:i/>
          <w:lang w:val="en-GB"/>
        </w:rPr>
        <w:t>separate</w:t>
      </w:r>
      <w:r>
        <w:rPr>
          <w:lang w:val="en-GB"/>
        </w:rPr>
        <w:t xml:space="preserve"> breaches give rise to </w:t>
      </w:r>
      <w:r>
        <w:rPr>
          <w:i/>
          <w:lang w:val="en-GB"/>
        </w:rPr>
        <w:t xml:space="preserve">separate </w:t>
      </w:r>
      <w:r w:rsidRPr="00832DC9">
        <w:rPr>
          <w:lang w:val="en-GB"/>
        </w:rPr>
        <w:t>(</w:t>
      </w:r>
      <w:r>
        <w:rPr>
          <w:lang w:val="en-GB"/>
        </w:rPr>
        <w:t xml:space="preserve">though potentially related) injuries. Consider the </w:t>
      </w:r>
      <w:r w:rsidR="00B0180D">
        <w:rPr>
          <w:lang w:val="en-GB"/>
        </w:rPr>
        <w:t>scenario</w:t>
      </w:r>
      <w:r>
        <w:rPr>
          <w:lang w:val="en-GB"/>
        </w:rPr>
        <w:t xml:space="preserve"> in which a State and a business actor separately engage in torture. </w:t>
      </w:r>
      <w:r w:rsidR="00E97048">
        <w:rPr>
          <w:lang w:val="en-GB"/>
        </w:rPr>
        <w:t>D’</w:t>
      </w:r>
      <w:r w:rsidR="001C6760">
        <w:rPr>
          <w:lang w:val="en-GB"/>
        </w:rPr>
        <w:t>A</w:t>
      </w:r>
      <w:r w:rsidR="00E97048">
        <w:rPr>
          <w:lang w:val="en-GB"/>
        </w:rPr>
        <w:t xml:space="preserve">rgent suggests that in this situation, ‘the responsibility of each wrongdoer can be separately invoked to the extent of the causal importance of its own wrongful act in relation to the </w:t>
      </w:r>
      <w:r w:rsidR="00F40C32">
        <w:rPr>
          <w:lang w:val="en-GB"/>
        </w:rPr>
        <w:t>[overall]</w:t>
      </w:r>
      <w:r w:rsidR="00E97048">
        <w:rPr>
          <w:lang w:val="en-GB"/>
        </w:rPr>
        <w:t xml:space="preserve"> injury’.</w:t>
      </w:r>
      <w:r w:rsidR="00E97048" w:rsidRPr="00232FD9">
        <w:rPr>
          <w:rStyle w:val="FootnoteReference"/>
          <w:sz w:val="24"/>
          <w:lang w:val="en-GB"/>
        </w:rPr>
        <w:footnoteReference w:id="265"/>
      </w:r>
      <w:r w:rsidR="00E97048">
        <w:rPr>
          <w:lang w:val="en-GB"/>
        </w:rPr>
        <w:t xml:space="preserve"> The simplification arising from the distinct nature of the injuries notwithstanding, ‘the apportionment of the obligation to make reparation in </w:t>
      </w:r>
      <w:r w:rsidR="00B0180D">
        <w:rPr>
          <w:lang w:val="en-GB"/>
        </w:rPr>
        <w:t>situations</w:t>
      </w:r>
      <w:r w:rsidR="00E97048">
        <w:rPr>
          <w:lang w:val="en-GB"/>
        </w:rPr>
        <w:t xml:space="preserve"> of complementary causal wrongful acts is far from being so</w:t>
      </w:r>
      <w:r w:rsidR="00543C18">
        <w:rPr>
          <w:lang w:val="en-GB"/>
        </w:rPr>
        <w:t>… s</w:t>
      </w:r>
      <w:r w:rsidR="00B0180D">
        <w:rPr>
          <w:lang w:val="en-GB"/>
        </w:rPr>
        <w:t>uch a solution can only be implemented on a case by case basis’.</w:t>
      </w:r>
      <w:r w:rsidR="00B0180D" w:rsidRPr="00232FD9">
        <w:rPr>
          <w:rStyle w:val="FootnoteReference"/>
          <w:sz w:val="24"/>
          <w:lang w:val="en-GB"/>
        </w:rPr>
        <w:footnoteReference w:id="266"/>
      </w:r>
      <w:r w:rsidR="00B0180D">
        <w:rPr>
          <w:lang w:val="en-GB"/>
        </w:rPr>
        <w:t xml:space="preserve"> In addition, there are </w:t>
      </w:r>
      <w:r w:rsidR="00DD3BF1">
        <w:rPr>
          <w:lang w:val="en-GB"/>
        </w:rPr>
        <w:t>necessarily shades of grey that</w:t>
      </w:r>
      <w:r w:rsidR="00B0180D">
        <w:rPr>
          <w:lang w:val="en-GB"/>
        </w:rPr>
        <w:t xml:space="preserve"> arise between these two extremes, further exacerbating hurdles to the achievement of an adequate remedy for victims.</w:t>
      </w:r>
    </w:p>
    <w:p w14:paraId="557C99DA" w14:textId="4820D128" w:rsidR="00D6007D" w:rsidRDefault="002E44F3" w:rsidP="00D6007D">
      <w:pPr>
        <w:spacing w:line="276" w:lineRule="auto"/>
        <w:ind w:firstLine="720"/>
        <w:jc w:val="both"/>
        <w:rPr>
          <w:lang w:val="en-GB"/>
        </w:rPr>
      </w:pPr>
      <w:r>
        <w:rPr>
          <w:lang w:val="en-GB"/>
        </w:rPr>
        <w:t xml:space="preserve">A final </w:t>
      </w:r>
      <w:r w:rsidR="00830978">
        <w:rPr>
          <w:lang w:val="en-GB"/>
        </w:rPr>
        <w:t>procedural</w:t>
      </w:r>
      <w:r w:rsidR="00DA5828">
        <w:rPr>
          <w:lang w:val="en-GB"/>
        </w:rPr>
        <w:t xml:space="preserve"> matter relates to</w:t>
      </w:r>
      <w:r w:rsidR="00893A90" w:rsidRPr="00422561">
        <w:rPr>
          <w:lang w:val="en-GB"/>
        </w:rPr>
        <w:t xml:space="preserve"> the e</w:t>
      </w:r>
      <w:r w:rsidR="00422561">
        <w:rPr>
          <w:lang w:val="en-GB"/>
        </w:rPr>
        <w:t xml:space="preserve">nforcement </w:t>
      </w:r>
      <w:r w:rsidR="001C6760">
        <w:rPr>
          <w:lang w:val="en-GB"/>
        </w:rPr>
        <w:t>of the</w:t>
      </w:r>
      <w:r w:rsidR="00B0180D">
        <w:rPr>
          <w:lang w:val="en-GB"/>
        </w:rPr>
        <w:t xml:space="preserve"> remedy</w:t>
      </w:r>
      <w:r w:rsidR="00446B44">
        <w:rPr>
          <w:lang w:val="en-GB"/>
        </w:rPr>
        <w:t xml:space="preserve"> once a ruling</w:t>
      </w:r>
      <w:r w:rsidR="00B0180D">
        <w:rPr>
          <w:lang w:val="en-GB"/>
        </w:rPr>
        <w:t xml:space="preserve"> </w:t>
      </w:r>
      <w:r w:rsidR="00DA5828">
        <w:rPr>
          <w:lang w:val="en-GB"/>
        </w:rPr>
        <w:t xml:space="preserve">has been </w:t>
      </w:r>
      <w:r w:rsidR="0019282A">
        <w:rPr>
          <w:lang w:val="en-GB"/>
        </w:rPr>
        <w:t>issued</w:t>
      </w:r>
      <w:r w:rsidR="00893A90" w:rsidRPr="00422561">
        <w:rPr>
          <w:lang w:val="en-GB"/>
        </w:rPr>
        <w:t>.</w:t>
      </w:r>
      <w:r w:rsidR="00422561">
        <w:rPr>
          <w:lang w:val="en-GB"/>
        </w:rPr>
        <w:t xml:space="preserve"> While it may be argued that there is </w:t>
      </w:r>
      <w:r w:rsidR="00422561">
        <w:rPr>
          <w:i/>
          <w:lang w:val="en-GB"/>
        </w:rPr>
        <w:t>some</w:t>
      </w:r>
      <w:r w:rsidR="00422561">
        <w:rPr>
          <w:lang w:val="en-GB"/>
        </w:rPr>
        <w:t xml:space="preserve"> value in the rendering of a judgment by </w:t>
      </w:r>
      <w:r w:rsidR="005271AD">
        <w:rPr>
          <w:lang w:val="en-GB"/>
        </w:rPr>
        <w:t>a</w:t>
      </w:r>
      <w:r w:rsidR="00422561">
        <w:rPr>
          <w:lang w:val="en-GB"/>
        </w:rPr>
        <w:t xml:space="preserve"> court o</w:t>
      </w:r>
      <w:r w:rsidR="005271AD">
        <w:rPr>
          <w:lang w:val="en-GB"/>
        </w:rPr>
        <w:t>r</w:t>
      </w:r>
      <w:r w:rsidR="00422561">
        <w:rPr>
          <w:lang w:val="en-GB"/>
        </w:rPr>
        <w:t xml:space="preserve"> quasi-judicial body even in the absence of power to enforce the implementation of decisions</w:t>
      </w:r>
      <w:r w:rsidR="00232FD9">
        <w:rPr>
          <w:lang w:val="en-GB"/>
        </w:rPr>
        <w:t>,</w:t>
      </w:r>
      <w:r w:rsidR="0083716B" w:rsidRPr="00422561">
        <w:rPr>
          <w:lang w:val="en-GB"/>
        </w:rPr>
        <w:t xml:space="preserve"> </w:t>
      </w:r>
      <w:r w:rsidR="00422561" w:rsidRPr="00422561">
        <w:rPr>
          <w:lang w:val="en-GB"/>
        </w:rPr>
        <w:t>t</w:t>
      </w:r>
      <w:r w:rsidR="00404168">
        <w:rPr>
          <w:lang w:val="en-GB"/>
        </w:rPr>
        <w:t>he assurance</w:t>
      </w:r>
      <w:r w:rsidR="00422561" w:rsidRPr="00422561">
        <w:rPr>
          <w:lang w:val="en-GB"/>
        </w:rPr>
        <w:t xml:space="preserve"> of </w:t>
      </w:r>
      <w:r w:rsidR="00404168">
        <w:rPr>
          <w:lang w:val="en-GB"/>
        </w:rPr>
        <w:t xml:space="preserve">actual </w:t>
      </w:r>
      <w:r w:rsidR="00422561" w:rsidRPr="00422561">
        <w:rPr>
          <w:lang w:val="en-GB"/>
        </w:rPr>
        <w:t>compliance is</w:t>
      </w:r>
      <w:r w:rsidR="00232FD9">
        <w:rPr>
          <w:lang w:val="en-GB"/>
        </w:rPr>
        <w:t xml:space="preserve"> </w:t>
      </w:r>
      <w:r w:rsidR="00E16B22">
        <w:rPr>
          <w:lang w:val="en-GB"/>
        </w:rPr>
        <w:t xml:space="preserve">also </w:t>
      </w:r>
      <w:r w:rsidR="009E4B8E">
        <w:rPr>
          <w:lang w:val="en-GB"/>
        </w:rPr>
        <w:t xml:space="preserve">desirable. </w:t>
      </w:r>
      <w:r w:rsidR="006263A0">
        <w:rPr>
          <w:lang w:val="en-GB"/>
        </w:rPr>
        <w:t xml:space="preserve">Given that the decisions rendered by a ‘World Court’ are likely to refer to corporate activity occurring within the territory of ‘host’ States, the adoption of appropriate domestic responses will likely fall to </w:t>
      </w:r>
      <w:r w:rsidR="003C25CB">
        <w:rPr>
          <w:lang w:val="en-GB"/>
        </w:rPr>
        <w:t>the very weak governance</w:t>
      </w:r>
      <w:r w:rsidR="006263A0">
        <w:rPr>
          <w:lang w:val="en-GB"/>
        </w:rPr>
        <w:t xml:space="preserve"> States that are unwilling or unable to provide initial safeguards</w:t>
      </w:r>
      <w:r w:rsidR="00801488">
        <w:rPr>
          <w:lang w:val="en-GB"/>
        </w:rPr>
        <w:t>. Poor compliance may also arise in light of the desires of more economically powerful States to protect their corporate nationals.</w:t>
      </w:r>
      <w:r w:rsidR="00801488" w:rsidRPr="00232FD9">
        <w:rPr>
          <w:rStyle w:val="FootnoteReference"/>
          <w:sz w:val="24"/>
          <w:lang w:val="en-GB"/>
        </w:rPr>
        <w:footnoteReference w:id="267"/>
      </w:r>
      <w:r w:rsidR="0083716B" w:rsidRPr="00422561">
        <w:rPr>
          <w:lang w:val="en-GB"/>
        </w:rPr>
        <w:t xml:space="preserve"> </w:t>
      </w:r>
      <w:r w:rsidR="00E2231E">
        <w:rPr>
          <w:lang w:val="en-GB"/>
        </w:rPr>
        <w:t>Significant c</w:t>
      </w:r>
      <w:r w:rsidR="0083716B" w:rsidRPr="00422561">
        <w:rPr>
          <w:lang w:val="en-GB"/>
        </w:rPr>
        <w:t>ooperation</w:t>
      </w:r>
      <w:r w:rsidR="0045429D">
        <w:rPr>
          <w:lang w:val="en-GB"/>
        </w:rPr>
        <w:t xml:space="preserve"> would be required on the part of developing ‘host’ States and Western ‘home’ States in order to curtail corporate abuses</w:t>
      </w:r>
      <w:r w:rsidR="00801488">
        <w:rPr>
          <w:lang w:val="en-GB"/>
        </w:rPr>
        <w:t>,</w:t>
      </w:r>
      <w:r w:rsidR="0083716B" w:rsidRPr="00422561">
        <w:rPr>
          <w:rStyle w:val="FootnoteReference"/>
          <w:sz w:val="24"/>
          <w:lang w:val="en-GB"/>
        </w:rPr>
        <w:footnoteReference w:id="268"/>
      </w:r>
      <w:r w:rsidR="00422561" w:rsidRPr="00422561">
        <w:rPr>
          <w:lang w:val="en-GB"/>
        </w:rPr>
        <w:t xml:space="preserve"> a</w:t>
      </w:r>
      <w:r w:rsidR="0083716B" w:rsidRPr="00422561">
        <w:rPr>
          <w:lang w:val="en-GB"/>
        </w:rPr>
        <w:t xml:space="preserve"> position </w:t>
      </w:r>
      <w:r w:rsidR="00422561" w:rsidRPr="00422561">
        <w:rPr>
          <w:lang w:val="en-GB"/>
        </w:rPr>
        <w:t>that is</w:t>
      </w:r>
      <w:r w:rsidR="0083716B" w:rsidRPr="00422561">
        <w:rPr>
          <w:lang w:val="en-GB"/>
        </w:rPr>
        <w:t xml:space="preserve"> undeniably optimistic.</w:t>
      </w:r>
      <w:r w:rsidR="0083716B" w:rsidRPr="00422561">
        <w:rPr>
          <w:rStyle w:val="FootnoteReference"/>
          <w:sz w:val="24"/>
          <w:lang w:val="en-GB"/>
        </w:rPr>
        <w:footnoteReference w:id="269"/>
      </w:r>
      <w:r w:rsidR="0083716B" w:rsidRPr="0040433A">
        <w:rPr>
          <w:lang w:val="en-GB"/>
        </w:rPr>
        <w:t xml:space="preserve"> </w:t>
      </w:r>
      <w:r w:rsidR="00832805">
        <w:rPr>
          <w:lang w:val="en-GB"/>
        </w:rPr>
        <w:t>Thus, w</w:t>
      </w:r>
      <w:r w:rsidR="00422561">
        <w:rPr>
          <w:lang w:val="en-GB"/>
        </w:rPr>
        <w:t xml:space="preserve">hile the formalist </w:t>
      </w:r>
      <w:r w:rsidR="001C3C41">
        <w:rPr>
          <w:lang w:val="en-GB"/>
        </w:rPr>
        <w:t xml:space="preserve">theoretical </w:t>
      </w:r>
      <w:r w:rsidR="00422561">
        <w:rPr>
          <w:lang w:val="en-GB"/>
        </w:rPr>
        <w:t>approach advanced above</w:t>
      </w:r>
      <w:r w:rsidR="0083716B" w:rsidRPr="0040433A">
        <w:rPr>
          <w:lang w:val="en-GB"/>
        </w:rPr>
        <w:t xml:space="preserve"> </w:t>
      </w:r>
      <w:r w:rsidR="00422561">
        <w:rPr>
          <w:lang w:val="en-GB"/>
        </w:rPr>
        <w:t>permits States to realise a binding treaty and</w:t>
      </w:r>
      <w:r w:rsidR="0083716B" w:rsidRPr="0040433A">
        <w:rPr>
          <w:lang w:val="en-GB"/>
        </w:rPr>
        <w:t xml:space="preserve"> accord ‘supranational comp</w:t>
      </w:r>
      <w:r w:rsidR="00422561">
        <w:rPr>
          <w:lang w:val="en-GB"/>
        </w:rPr>
        <w:t>etences to an overarching body</w:t>
      </w:r>
      <w:r w:rsidR="0083716B" w:rsidRPr="0040433A">
        <w:rPr>
          <w:lang w:val="en-GB"/>
        </w:rPr>
        <w:t>… the growth of international cooperation is a slow process because States would generally be hesitant to reduce the legal freedoms they enjoy.’</w:t>
      </w:r>
      <w:r w:rsidR="0083716B" w:rsidRPr="0040433A">
        <w:rPr>
          <w:rStyle w:val="FootnoteReference"/>
          <w:sz w:val="24"/>
          <w:lang w:val="en-GB"/>
        </w:rPr>
        <w:footnoteReference w:id="270"/>
      </w:r>
      <w:r w:rsidR="0083716B" w:rsidRPr="0040433A">
        <w:rPr>
          <w:lang w:val="en-GB"/>
        </w:rPr>
        <w:t xml:space="preserve"> </w:t>
      </w:r>
      <w:r w:rsidR="00C31FC1">
        <w:rPr>
          <w:lang w:val="en-GB"/>
        </w:rPr>
        <w:t>These are</w:t>
      </w:r>
      <w:r w:rsidR="0083716B" w:rsidRPr="0040433A">
        <w:rPr>
          <w:lang w:val="en-GB"/>
        </w:rPr>
        <w:t xml:space="preserve"> important realist factor</w:t>
      </w:r>
      <w:r w:rsidR="00DD3BF1">
        <w:rPr>
          <w:lang w:val="en-GB"/>
        </w:rPr>
        <w:t>s that</w:t>
      </w:r>
      <w:r w:rsidR="00C31FC1">
        <w:rPr>
          <w:lang w:val="en-GB"/>
        </w:rPr>
        <w:t xml:space="preserve"> hamper</w:t>
      </w:r>
      <w:r w:rsidR="0083716B" w:rsidRPr="0040433A">
        <w:rPr>
          <w:lang w:val="en-GB"/>
        </w:rPr>
        <w:t xml:space="preserve"> the implementation of </w:t>
      </w:r>
      <w:r w:rsidR="0027377B" w:rsidRPr="0040433A">
        <w:rPr>
          <w:lang w:val="en-GB"/>
        </w:rPr>
        <w:t xml:space="preserve">the </w:t>
      </w:r>
      <w:r w:rsidR="009E4B8E">
        <w:rPr>
          <w:lang w:val="en-GB"/>
        </w:rPr>
        <w:t xml:space="preserve">proposed </w:t>
      </w:r>
      <w:r w:rsidR="005C3EE8">
        <w:rPr>
          <w:lang w:val="en-GB"/>
        </w:rPr>
        <w:t xml:space="preserve">treaty </w:t>
      </w:r>
      <w:r w:rsidR="009E4B8E">
        <w:rPr>
          <w:lang w:val="en-GB"/>
        </w:rPr>
        <w:t>regime</w:t>
      </w:r>
      <w:r w:rsidR="0083716B" w:rsidRPr="0040433A">
        <w:rPr>
          <w:lang w:val="en-GB"/>
        </w:rPr>
        <w:t>. While there is nothing</w:t>
      </w:r>
      <w:r w:rsidR="005C3EE8">
        <w:rPr>
          <w:lang w:val="en-GB"/>
        </w:rPr>
        <w:t xml:space="preserve"> theoretically</w:t>
      </w:r>
      <w:r w:rsidR="0083716B" w:rsidRPr="0040433A">
        <w:rPr>
          <w:lang w:val="en-GB"/>
        </w:rPr>
        <w:t xml:space="preserve"> preventing the extension of rights and duties to non-State actors in theory, the </w:t>
      </w:r>
      <w:r w:rsidR="0083716B" w:rsidRPr="0040433A">
        <w:rPr>
          <w:i/>
          <w:lang w:val="en-GB"/>
        </w:rPr>
        <w:t>willingness</w:t>
      </w:r>
      <w:r w:rsidR="0083716B" w:rsidRPr="0040433A">
        <w:rPr>
          <w:lang w:val="en-GB"/>
        </w:rPr>
        <w:t xml:space="preserve"> of States, who remain the primary legislators and are substantial</w:t>
      </w:r>
      <w:r w:rsidR="00613569" w:rsidRPr="0040433A">
        <w:rPr>
          <w:lang w:val="en-GB"/>
        </w:rPr>
        <w:t>ly economically dependent on multinational</w:t>
      </w:r>
      <w:r w:rsidR="0083716B" w:rsidRPr="0040433A">
        <w:rPr>
          <w:lang w:val="en-GB"/>
        </w:rPr>
        <w:t xml:space="preserve">s for employment and capital, is not guaranteed. </w:t>
      </w:r>
      <w:r w:rsidR="00D6007D">
        <w:rPr>
          <w:lang w:val="en-GB"/>
        </w:rPr>
        <w:t>Yet, it is useful to bear in mind Paine’s optimistic retort:</w:t>
      </w:r>
    </w:p>
    <w:p w14:paraId="091C2BB7" w14:textId="059EB629" w:rsidR="00D6007D" w:rsidRDefault="00D6007D" w:rsidP="00CF30D6">
      <w:pPr>
        <w:spacing w:before="240" w:after="240" w:line="276" w:lineRule="auto"/>
        <w:ind w:left="720"/>
        <w:jc w:val="both"/>
      </w:pPr>
      <w:r>
        <w:t xml:space="preserve">True, we need to be cognizant that the powerful will retain the ability to act contrary to existing law, </w:t>
      </w:r>
      <w:r w:rsidRPr="009032A6">
        <w:t>but… legal validity… can offer a useful medium for critiquing the actions of the powerful and should not be given up too quickly, even when confronted with the ability of the pow</w:t>
      </w:r>
      <w:r w:rsidR="001C3C41">
        <w:t>erful to displace existing law.</w:t>
      </w:r>
      <w:r w:rsidRPr="001668CC">
        <w:rPr>
          <w:rStyle w:val="FootnoteReference"/>
          <w:sz w:val="24"/>
        </w:rPr>
        <w:footnoteReference w:id="271"/>
      </w:r>
      <w:r>
        <w:t xml:space="preserve"> </w:t>
      </w:r>
    </w:p>
    <w:p w14:paraId="00D33A87" w14:textId="56A79AA6" w:rsidR="0083716B" w:rsidRPr="00D6007D" w:rsidRDefault="00C73A04" w:rsidP="00D6007D">
      <w:pPr>
        <w:spacing w:line="276" w:lineRule="auto"/>
        <w:jc w:val="both"/>
      </w:pPr>
      <w:r>
        <w:rPr>
          <w:lang w:val="en-GB"/>
        </w:rPr>
        <w:t>I</w:t>
      </w:r>
      <w:r w:rsidR="00B83F9A">
        <w:rPr>
          <w:lang w:val="en-GB"/>
        </w:rPr>
        <w:t xml:space="preserve">t </w:t>
      </w:r>
      <w:r w:rsidR="001668CC">
        <w:rPr>
          <w:lang w:val="en-GB"/>
        </w:rPr>
        <w:t xml:space="preserve">is </w:t>
      </w:r>
      <w:r w:rsidR="00984CC7">
        <w:rPr>
          <w:lang w:val="en-GB"/>
        </w:rPr>
        <w:t>submitted</w:t>
      </w:r>
      <w:r w:rsidR="009961B4" w:rsidRPr="0040433A">
        <w:rPr>
          <w:lang w:val="en-GB"/>
        </w:rPr>
        <w:t xml:space="preserve"> </w:t>
      </w:r>
      <w:r w:rsidR="0027377B" w:rsidRPr="0040433A">
        <w:rPr>
          <w:lang w:val="en-GB"/>
        </w:rPr>
        <w:t>that</w:t>
      </w:r>
      <w:r w:rsidR="0083716B" w:rsidRPr="0040433A">
        <w:rPr>
          <w:lang w:val="en-GB"/>
        </w:rPr>
        <w:t xml:space="preserve"> the manner in which the issue of non-State actor regulation is framed theoretically may have profound consequences on its practical operation. </w:t>
      </w:r>
      <w:r w:rsidR="0027377B" w:rsidRPr="0040433A">
        <w:rPr>
          <w:lang w:val="en-GB"/>
        </w:rPr>
        <w:t xml:space="preserve">This much is evident in the subsisting State-centric operation of public international law. </w:t>
      </w:r>
      <w:r w:rsidR="0083716B" w:rsidRPr="0040433A">
        <w:rPr>
          <w:lang w:val="en-GB"/>
        </w:rPr>
        <w:t>As such, it is argued that there is significant utility in establishing more robust theoretical foundations, even in the absence of an effective enforcement mec</w:t>
      </w:r>
      <w:r w:rsidR="009961B4" w:rsidRPr="0040433A">
        <w:rPr>
          <w:lang w:val="en-GB"/>
        </w:rPr>
        <w:t xml:space="preserve">hanism, </w:t>
      </w:r>
      <w:r w:rsidR="009A2DAB">
        <w:rPr>
          <w:lang w:val="en-GB"/>
        </w:rPr>
        <w:t xml:space="preserve">since this </w:t>
      </w:r>
      <w:r w:rsidR="009961B4" w:rsidRPr="0040433A">
        <w:rPr>
          <w:lang w:val="en-GB"/>
        </w:rPr>
        <w:t>may provide the groundwork for future normative development</w:t>
      </w:r>
      <w:r w:rsidR="0083716B" w:rsidRPr="0040433A">
        <w:rPr>
          <w:lang w:val="en-GB"/>
        </w:rPr>
        <w:t xml:space="preserve">. </w:t>
      </w:r>
    </w:p>
    <w:p w14:paraId="7AD6B1D1" w14:textId="4F0ACC05" w:rsidR="00C22B7A" w:rsidRPr="0040433A" w:rsidRDefault="0065774D" w:rsidP="0040433A">
      <w:pPr>
        <w:pStyle w:val="Heading1"/>
        <w:numPr>
          <w:ilvl w:val="0"/>
          <w:numId w:val="11"/>
        </w:numPr>
        <w:spacing w:after="240" w:line="276" w:lineRule="auto"/>
        <w:ind w:left="851" w:hanging="491"/>
        <w:jc w:val="center"/>
        <w:rPr>
          <w:b w:val="0"/>
          <w:szCs w:val="24"/>
          <w:lang w:val="en-GB"/>
        </w:rPr>
      </w:pPr>
      <w:r w:rsidRPr="0040433A">
        <w:rPr>
          <w:b w:val="0"/>
          <w:szCs w:val="24"/>
          <w:lang w:val="en-GB"/>
        </w:rPr>
        <w:t>CONCLUSIONS</w:t>
      </w:r>
    </w:p>
    <w:p w14:paraId="0C16B8EC" w14:textId="1A7F9029" w:rsidR="002F576C" w:rsidRPr="0040433A" w:rsidRDefault="002F576C" w:rsidP="0040433A">
      <w:pPr>
        <w:spacing w:line="276" w:lineRule="auto"/>
        <w:jc w:val="both"/>
        <w:rPr>
          <w:lang w:val="en-GB"/>
        </w:rPr>
      </w:pPr>
      <w:r w:rsidRPr="0040433A">
        <w:rPr>
          <w:lang w:val="en-GB"/>
        </w:rPr>
        <w:t xml:space="preserve">The forgoing analysis demonstrates the doctrinal complexities </w:t>
      </w:r>
      <w:r w:rsidR="007B159C">
        <w:rPr>
          <w:lang w:val="en-GB"/>
        </w:rPr>
        <w:t xml:space="preserve">that </w:t>
      </w:r>
      <w:r w:rsidRPr="0040433A">
        <w:rPr>
          <w:lang w:val="en-GB"/>
        </w:rPr>
        <w:t>must</w:t>
      </w:r>
      <w:r w:rsidR="009961B4" w:rsidRPr="0040433A">
        <w:rPr>
          <w:lang w:val="en-GB"/>
        </w:rPr>
        <w:t xml:space="preserve"> be</w:t>
      </w:r>
      <w:r w:rsidRPr="0040433A">
        <w:rPr>
          <w:lang w:val="en-GB"/>
        </w:rPr>
        <w:t xml:space="preserve"> contend</w:t>
      </w:r>
      <w:r w:rsidR="009961B4" w:rsidRPr="0040433A">
        <w:rPr>
          <w:lang w:val="en-GB"/>
        </w:rPr>
        <w:t>ed</w:t>
      </w:r>
      <w:r w:rsidRPr="0040433A">
        <w:rPr>
          <w:lang w:val="en-GB"/>
        </w:rPr>
        <w:t xml:space="preserve"> with in order to advance public international law in the direction of direct non-State actor regulation. While there are no simple answers in assessing the feasibility of a business and human rights treaty, some preliminary conclusions may be drawn in at least two of the four substantive areas addressed. It has been demonstrated that some shift is required in the manner in which inter</w:t>
      </w:r>
      <w:r w:rsidR="001B7288" w:rsidRPr="0040433A">
        <w:rPr>
          <w:lang w:val="en-GB"/>
        </w:rPr>
        <w:t>national obligations are theoretically con</w:t>
      </w:r>
      <w:r w:rsidR="00474632" w:rsidRPr="0040433A">
        <w:rPr>
          <w:lang w:val="en-GB"/>
        </w:rPr>
        <w:t>ceptualiz</w:t>
      </w:r>
      <w:r w:rsidR="001B7288" w:rsidRPr="0040433A">
        <w:rPr>
          <w:lang w:val="en-GB"/>
        </w:rPr>
        <w:t xml:space="preserve">ed </w:t>
      </w:r>
      <w:r w:rsidRPr="0040433A">
        <w:rPr>
          <w:lang w:val="en-GB"/>
        </w:rPr>
        <w:t xml:space="preserve">in order to build a convincing case that business actors serve as direct addressees. Classical State-centric </w:t>
      </w:r>
      <w:r w:rsidR="007F4334" w:rsidRPr="0040433A">
        <w:rPr>
          <w:lang w:val="en-GB"/>
        </w:rPr>
        <w:t xml:space="preserve">scholarship </w:t>
      </w:r>
      <w:r w:rsidRPr="0040433A">
        <w:rPr>
          <w:lang w:val="en-GB"/>
        </w:rPr>
        <w:t xml:space="preserve">has relied on a </w:t>
      </w:r>
      <w:r w:rsidR="002227FA">
        <w:rPr>
          <w:lang w:val="en-GB"/>
        </w:rPr>
        <w:t>contractarian underpinning that</w:t>
      </w:r>
      <w:r w:rsidRPr="0040433A">
        <w:rPr>
          <w:lang w:val="en-GB"/>
        </w:rPr>
        <w:t xml:space="preserve"> has proven to be methodologically flawed, </w:t>
      </w:r>
      <w:r w:rsidR="00551294" w:rsidRPr="0040433A">
        <w:rPr>
          <w:lang w:val="en-GB"/>
        </w:rPr>
        <w:t>incapable of responding to</w:t>
      </w:r>
      <w:r w:rsidRPr="0040433A">
        <w:rPr>
          <w:lang w:val="en-GB"/>
        </w:rPr>
        <w:t xml:space="preserve"> shifting power dynamics</w:t>
      </w:r>
      <w:r w:rsidR="000938DB" w:rsidRPr="0040433A">
        <w:rPr>
          <w:lang w:val="en-GB"/>
        </w:rPr>
        <w:t>, and has sustained specious</w:t>
      </w:r>
      <w:r w:rsidR="007F4334" w:rsidRPr="0040433A">
        <w:rPr>
          <w:lang w:val="en-GB"/>
        </w:rPr>
        <w:t xml:space="preserve"> </w:t>
      </w:r>
      <w:r w:rsidRPr="0040433A">
        <w:rPr>
          <w:lang w:val="en-GB"/>
        </w:rPr>
        <w:t>sensitivities</w:t>
      </w:r>
      <w:r w:rsidR="007F4334" w:rsidRPr="0040433A">
        <w:rPr>
          <w:lang w:val="en-GB"/>
        </w:rPr>
        <w:t xml:space="preserve"> in political and legal doctrine</w:t>
      </w:r>
      <w:r w:rsidRPr="0040433A">
        <w:rPr>
          <w:lang w:val="en-GB"/>
        </w:rPr>
        <w:t>.</w:t>
      </w:r>
      <w:r w:rsidR="002835F0" w:rsidRPr="0040433A">
        <w:rPr>
          <w:lang w:val="en-GB"/>
        </w:rPr>
        <w:t xml:space="preserve"> T</w:t>
      </w:r>
      <w:r w:rsidR="007F4334" w:rsidRPr="0040433A">
        <w:rPr>
          <w:lang w:val="en-GB"/>
        </w:rPr>
        <w:t xml:space="preserve">his article has argued that the adoption of a formalist understanding of international legal personality can circumvent </w:t>
      </w:r>
      <w:r w:rsidR="00187968" w:rsidRPr="0040433A">
        <w:rPr>
          <w:lang w:val="en-GB"/>
        </w:rPr>
        <w:t xml:space="preserve">many of </w:t>
      </w:r>
      <w:r w:rsidR="007F4334" w:rsidRPr="0040433A">
        <w:rPr>
          <w:lang w:val="en-GB"/>
        </w:rPr>
        <w:t xml:space="preserve">these anxieties, </w:t>
      </w:r>
      <w:r w:rsidR="00187968" w:rsidRPr="0040433A">
        <w:rPr>
          <w:lang w:val="en-GB"/>
        </w:rPr>
        <w:t>and instead</w:t>
      </w:r>
      <w:r w:rsidR="0049599F" w:rsidRPr="0040433A">
        <w:rPr>
          <w:lang w:val="en-GB"/>
        </w:rPr>
        <w:t xml:space="preserve"> advance</w:t>
      </w:r>
      <w:r w:rsidR="00187968" w:rsidRPr="0040433A">
        <w:rPr>
          <w:lang w:val="en-GB"/>
        </w:rPr>
        <w:t xml:space="preserve"> </w:t>
      </w:r>
      <w:r w:rsidR="00304457" w:rsidRPr="0040433A">
        <w:rPr>
          <w:lang w:val="en-GB"/>
        </w:rPr>
        <w:t xml:space="preserve">a </w:t>
      </w:r>
      <w:r w:rsidR="00A92123" w:rsidRPr="0040433A">
        <w:rPr>
          <w:lang w:val="en-GB"/>
        </w:rPr>
        <w:t xml:space="preserve">more </w:t>
      </w:r>
      <w:r w:rsidR="00187968" w:rsidRPr="0040433A">
        <w:rPr>
          <w:lang w:val="en-GB"/>
        </w:rPr>
        <w:t xml:space="preserve">logical foundation </w:t>
      </w:r>
      <w:r w:rsidR="005E2870">
        <w:rPr>
          <w:lang w:val="en-GB"/>
        </w:rPr>
        <w:t>that</w:t>
      </w:r>
      <w:r w:rsidR="00187968" w:rsidRPr="0040433A">
        <w:rPr>
          <w:lang w:val="en-GB"/>
        </w:rPr>
        <w:t xml:space="preserve"> is receptive </w:t>
      </w:r>
      <w:r w:rsidR="00304457">
        <w:rPr>
          <w:lang w:val="en-GB"/>
        </w:rPr>
        <w:t xml:space="preserve">to </w:t>
      </w:r>
      <w:r w:rsidR="00187968" w:rsidRPr="0040433A">
        <w:rPr>
          <w:lang w:val="en-GB"/>
        </w:rPr>
        <w:t xml:space="preserve">direct </w:t>
      </w:r>
      <w:r w:rsidR="00CB395A" w:rsidRPr="0040433A">
        <w:rPr>
          <w:lang w:val="en-GB"/>
        </w:rPr>
        <w:t>non-State actor</w:t>
      </w:r>
      <w:r w:rsidR="000938DB" w:rsidRPr="0040433A">
        <w:rPr>
          <w:lang w:val="en-GB"/>
        </w:rPr>
        <w:t xml:space="preserve"> </w:t>
      </w:r>
      <w:r w:rsidR="00187968" w:rsidRPr="0040433A">
        <w:rPr>
          <w:lang w:val="en-GB"/>
        </w:rPr>
        <w:t>regulation</w:t>
      </w:r>
      <w:r w:rsidR="000938DB" w:rsidRPr="0040433A">
        <w:rPr>
          <w:lang w:val="en-GB"/>
        </w:rPr>
        <w:t>.</w:t>
      </w:r>
      <w:r w:rsidR="00187968" w:rsidRPr="0040433A">
        <w:rPr>
          <w:lang w:val="en-GB"/>
        </w:rPr>
        <w:t xml:space="preserve"> </w:t>
      </w:r>
    </w:p>
    <w:p w14:paraId="093BF7AF" w14:textId="61C2C808" w:rsidR="00E04AFA" w:rsidRPr="0040433A" w:rsidRDefault="00E04AFA" w:rsidP="0040433A">
      <w:pPr>
        <w:spacing w:line="276" w:lineRule="auto"/>
        <w:ind w:firstLine="720"/>
        <w:jc w:val="both"/>
        <w:rPr>
          <w:lang w:val="en-GB"/>
        </w:rPr>
      </w:pPr>
      <w:r w:rsidRPr="0040433A">
        <w:rPr>
          <w:lang w:val="en-GB"/>
        </w:rPr>
        <w:t xml:space="preserve">A second observation </w:t>
      </w:r>
      <w:r w:rsidR="00AA32F5">
        <w:rPr>
          <w:lang w:val="en-GB"/>
        </w:rPr>
        <w:t>that</w:t>
      </w:r>
      <w:r w:rsidRPr="0040433A">
        <w:rPr>
          <w:lang w:val="en-GB"/>
        </w:rPr>
        <w:t xml:space="preserve"> can be drawn concerns the identification of duty-bearers, and the allocation of responsibility. Given the traditional</w:t>
      </w:r>
      <w:r w:rsidR="00D90C2F" w:rsidRPr="0040433A">
        <w:rPr>
          <w:lang w:val="en-GB"/>
        </w:rPr>
        <w:t>ly</w:t>
      </w:r>
      <w:r w:rsidRPr="0040433A">
        <w:rPr>
          <w:lang w:val="en-GB"/>
        </w:rPr>
        <w:t xml:space="preserve"> bi-lateral scope of international responsibility, </w:t>
      </w:r>
      <w:r w:rsidR="002835F0" w:rsidRPr="0040433A">
        <w:rPr>
          <w:lang w:val="en-GB"/>
        </w:rPr>
        <w:t>its</w:t>
      </w:r>
      <w:r w:rsidRPr="0040433A">
        <w:rPr>
          <w:lang w:val="en-GB"/>
        </w:rPr>
        <w:t xml:space="preserve"> apportionment between multiple parties for</w:t>
      </w:r>
      <w:r w:rsidR="009E02DB">
        <w:rPr>
          <w:lang w:val="en-GB"/>
        </w:rPr>
        <w:t xml:space="preserve"> their</w:t>
      </w:r>
      <w:r w:rsidRPr="0040433A">
        <w:rPr>
          <w:lang w:val="en-GB"/>
        </w:rPr>
        <w:t xml:space="preserve"> contribution</w:t>
      </w:r>
      <w:r w:rsidR="00B8023F">
        <w:rPr>
          <w:lang w:val="en-GB"/>
        </w:rPr>
        <w:t>s</w:t>
      </w:r>
      <w:r w:rsidRPr="0040433A">
        <w:rPr>
          <w:lang w:val="en-GB"/>
        </w:rPr>
        <w:t xml:space="preserve"> to the same harmful outcome has given rise to </w:t>
      </w:r>
      <w:r w:rsidR="006D74CB" w:rsidRPr="0040433A">
        <w:rPr>
          <w:lang w:val="en-GB"/>
        </w:rPr>
        <w:t>significant</w:t>
      </w:r>
      <w:r w:rsidRPr="0040433A">
        <w:rPr>
          <w:lang w:val="en-GB"/>
        </w:rPr>
        <w:t xml:space="preserve"> debate over the last decade. If the proposed treaty is to move beyond the imposition of State-centric obligations, then the attribution model of State responsibility falls short of establishing a robust system of allocation. </w:t>
      </w:r>
      <w:r w:rsidR="006D0C9A" w:rsidRPr="0040433A">
        <w:rPr>
          <w:lang w:val="en-GB"/>
        </w:rPr>
        <w:t xml:space="preserve">The model advanced above suggests that </w:t>
      </w:r>
      <w:r w:rsidR="00B84CB2">
        <w:rPr>
          <w:lang w:val="en-GB"/>
        </w:rPr>
        <w:t xml:space="preserve">the </w:t>
      </w:r>
      <w:r w:rsidR="006D0C9A" w:rsidRPr="0040433A">
        <w:rPr>
          <w:lang w:val="en-GB"/>
        </w:rPr>
        <w:t>attribution of offending conduct to States would need to be supplemented by complicity and due diligence provisions in order that responsibility might be assigned to multiple actors, in appropriate proportions. By viewing complicity provisions as a form of primary rule, it is possible to circ</w:t>
      </w:r>
      <w:r w:rsidR="00757C44" w:rsidRPr="0040433A">
        <w:rPr>
          <w:lang w:val="en-GB"/>
        </w:rPr>
        <w:t xml:space="preserve">umvent the hurdles </w:t>
      </w:r>
      <w:r w:rsidR="006714BF">
        <w:rPr>
          <w:lang w:val="en-GB"/>
        </w:rPr>
        <w:t>that</w:t>
      </w:r>
      <w:r w:rsidR="00757C44" w:rsidRPr="0040433A">
        <w:rPr>
          <w:lang w:val="en-GB"/>
        </w:rPr>
        <w:t xml:space="preserve"> would be encountered in attempting to allocate responsibility for a single wrongful act. </w:t>
      </w:r>
      <w:r w:rsidR="00805418">
        <w:rPr>
          <w:lang w:val="en-GB"/>
        </w:rPr>
        <w:t>State conduct that does not meet the complicity threshold could also be captured by</w:t>
      </w:r>
      <w:r w:rsidR="00757C44" w:rsidRPr="0040433A">
        <w:rPr>
          <w:lang w:val="en-GB"/>
        </w:rPr>
        <w:t xml:space="preserve"> due diligence obligations </w:t>
      </w:r>
      <w:r w:rsidR="00805418">
        <w:rPr>
          <w:lang w:val="en-GB"/>
        </w:rPr>
        <w:t>with</w:t>
      </w:r>
      <w:r w:rsidR="00757C44" w:rsidRPr="0040433A">
        <w:rPr>
          <w:lang w:val="en-GB"/>
        </w:rPr>
        <w:t xml:space="preserve">in </w:t>
      </w:r>
      <w:r w:rsidR="003230CF" w:rsidRPr="0040433A">
        <w:rPr>
          <w:lang w:val="en-GB"/>
        </w:rPr>
        <w:t>existing</w:t>
      </w:r>
      <w:r w:rsidR="00757C44" w:rsidRPr="0040433A">
        <w:rPr>
          <w:lang w:val="en-GB"/>
        </w:rPr>
        <w:t xml:space="preserve"> treaties</w:t>
      </w:r>
      <w:r w:rsidR="00805418">
        <w:rPr>
          <w:lang w:val="en-GB"/>
        </w:rPr>
        <w:t xml:space="preserve">. In adopting </w:t>
      </w:r>
      <w:r w:rsidR="00B21011">
        <w:rPr>
          <w:lang w:val="en-GB"/>
        </w:rPr>
        <w:t>a</w:t>
      </w:r>
      <w:r w:rsidR="00805418">
        <w:rPr>
          <w:lang w:val="en-GB"/>
        </w:rPr>
        <w:t xml:space="preserve"> holistic approach</w:t>
      </w:r>
      <w:r w:rsidR="00B21011">
        <w:rPr>
          <w:lang w:val="en-GB"/>
        </w:rPr>
        <w:t xml:space="preserve"> of this kind that incorporates extant international responsibility regimes</w:t>
      </w:r>
      <w:r w:rsidR="00805418">
        <w:rPr>
          <w:lang w:val="en-GB"/>
        </w:rPr>
        <w:t>, it is possible to draw a conceptual distinction between the distinct wrongfu</w:t>
      </w:r>
      <w:r w:rsidR="00B21011">
        <w:rPr>
          <w:lang w:val="en-GB"/>
        </w:rPr>
        <w:t>l acts of multiple perpetrators. This</w:t>
      </w:r>
      <w:r w:rsidR="00805418">
        <w:rPr>
          <w:lang w:val="en-GB"/>
        </w:rPr>
        <w:t xml:space="preserve"> in turn </w:t>
      </w:r>
      <w:r w:rsidR="00B21011">
        <w:rPr>
          <w:lang w:val="en-GB"/>
        </w:rPr>
        <w:t xml:space="preserve">might </w:t>
      </w:r>
      <w:r w:rsidR="00805418">
        <w:rPr>
          <w:lang w:val="en-GB"/>
        </w:rPr>
        <w:t>aid</w:t>
      </w:r>
      <w:r w:rsidR="00B21011">
        <w:rPr>
          <w:lang w:val="en-GB"/>
        </w:rPr>
        <w:t xml:space="preserve"> assessments of the causal contributions of multiple actors in</w:t>
      </w:r>
      <w:r w:rsidR="00805418">
        <w:rPr>
          <w:lang w:val="en-GB"/>
        </w:rPr>
        <w:t xml:space="preserve"> the implementation of a system of remediation framed in terms of joint and several liability. </w:t>
      </w:r>
      <w:r w:rsidR="00B21011">
        <w:rPr>
          <w:lang w:val="en-GB"/>
        </w:rPr>
        <w:t>The</w:t>
      </w:r>
      <w:r w:rsidR="00871E87">
        <w:rPr>
          <w:lang w:val="en-GB"/>
        </w:rPr>
        <w:t>se</w:t>
      </w:r>
      <w:r w:rsidR="00B21011">
        <w:rPr>
          <w:lang w:val="en-GB"/>
        </w:rPr>
        <w:t xml:space="preserve"> virtues notwithstanding</w:t>
      </w:r>
      <w:r w:rsidR="00805418">
        <w:rPr>
          <w:lang w:val="en-GB"/>
        </w:rPr>
        <w:t>, w</w:t>
      </w:r>
      <w:r w:rsidR="00757C44" w:rsidRPr="0040433A">
        <w:rPr>
          <w:lang w:val="en-GB"/>
        </w:rPr>
        <w:t xml:space="preserve">hether this model would prove too complex to </w:t>
      </w:r>
      <w:r w:rsidR="00805418">
        <w:rPr>
          <w:lang w:val="en-GB"/>
        </w:rPr>
        <w:t>secure practical implementation</w:t>
      </w:r>
      <w:r w:rsidR="00757C44" w:rsidRPr="0040433A">
        <w:rPr>
          <w:lang w:val="en-GB"/>
        </w:rPr>
        <w:t xml:space="preserve"> remains a concern. </w:t>
      </w:r>
    </w:p>
    <w:p w14:paraId="2FC52DBD" w14:textId="4F2997F6" w:rsidR="00187968" w:rsidRPr="0040433A" w:rsidRDefault="00E509EE" w:rsidP="0040433A">
      <w:pPr>
        <w:spacing w:line="276" w:lineRule="auto"/>
        <w:ind w:firstLine="720"/>
        <w:jc w:val="both"/>
        <w:rPr>
          <w:lang w:val="en-GB"/>
        </w:rPr>
      </w:pPr>
      <w:r w:rsidRPr="0040433A">
        <w:rPr>
          <w:lang w:val="en-GB"/>
        </w:rPr>
        <w:t>The path becomes more obscure in relation t</w:t>
      </w:r>
      <w:r w:rsidR="00136950">
        <w:rPr>
          <w:lang w:val="en-GB"/>
        </w:rPr>
        <w:t>o the final two sections of the</w:t>
      </w:r>
      <w:r w:rsidRPr="0040433A">
        <w:rPr>
          <w:lang w:val="en-GB"/>
        </w:rPr>
        <w:t xml:space="preserve"> article, which addressed the delimitation of international obligations addressing business actors, and modes of enforcement. While </w:t>
      </w:r>
      <w:r w:rsidR="009A2DAB">
        <w:rPr>
          <w:lang w:val="en-GB"/>
        </w:rPr>
        <w:t xml:space="preserve">an </w:t>
      </w:r>
      <w:r w:rsidRPr="0040433A">
        <w:rPr>
          <w:lang w:val="en-GB"/>
        </w:rPr>
        <w:t xml:space="preserve">analogy may be drawn </w:t>
      </w:r>
      <w:r w:rsidR="009A2DAB">
        <w:rPr>
          <w:lang w:val="en-GB"/>
        </w:rPr>
        <w:t xml:space="preserve">with </w:t>
      </w:r>
      <w:r w:rsidRPr="0040433A">
        <w:rPr>
          <w:lang w:val="en-GB"/>
        </w:rPr>
        <w:t>principles such as ‘due diligence’, the corporate ‘sphere of</w:t>
      </w:r>
      <w:r w:rsidR="00A34B9D">
        <w:rPr>
          <w:lang w:val="en-GB"/>
        </w:rPr>
        <w:t xml:space="preserve"> influence’ in established soft-</w:t>
      </w:r>
      <w:r w:rsidRPr="0040433A">
        <w:rPr>
          <w:lang w:val="en-GB"/>
        </w:rPr>
        <w:t xml:space="preserve">law initiatives, or the notion of </w:t>
      </w:r>
      <w:r w:rsidR="000333FF" w:rsidRPr="0040433A">
        <w:rPr>
          <w:lang w:val="en-GB"/>
        </w:rPr>
        <w:t>‘</w:t>
      </w:r>
      <w:r w:rsidRPr="0040433A">
        <w:rPr>
          <w:lang w:val="en-GB"/>
        </w:rPr>
        <w:t>control</w:t>
      </w:r>
      <w:r w:rsidR="000333FF" w:rsidRPr="0040433A">
        <w:rPr>
          <w:lang w:val="en-GB"/>
        </w:rPr>
        <w:t>’</w:t>
      </w:r>
      <w:r w:rsidR="00AA32F5">
        <w:rPr>
          <w:lang w:val="en-GB"/>
        </w:rPr>
        <w:t xml:space="preserve"> that</w:t>
      </w:r>
      <w:r w:rsidRPr="0040433A">
        <w:rPr>
          <w:lang w:val="en-GB"/>
        </w:rPr>
        <w:t xml:space="preserve"> has gained traction in jurisprudence relating to the extrate</w:t>
      </w:r>
      <w:r w:rsidR="000F4B7F" w:rsidRPr="0040433A">
        <w:rPr>
          <w:lang w:val="en-GB"/>
        </w:rPr>
        <w:t xml:space="preserve">rritorial obligations of States, the precise way forward is unclear. </w:t>
      </w:r>
      <w:r w:rsidR="000333FF" w:rsidRPr="0040433A">
        <w:rPr>
          <w:lang w:val="en-GB"/>
        </w:rPr>
        <w:t>While the latter approach appear</w:t>
      </w:r>
      <w:r w:rsidR="00935CDB" w:rsidRPr="0040433A">
        <w:rPr>
          <w:lang w:val="en-GB"/>
        </w:rPr>
        <w:t>s</w:t>
      </w:r>
      <w:r w:rsidR="000333FF" w:rsidRPr="0040433A">
        <w:rPr>
          <w:lang w:val="en-GB"/>
        </w:rPr>
        <w:t xml:space="preserve"> to be the most pragmatic,</w:t>
      </w:r>
      <w:r w:rsidR="000F4B7F" w:rsidRPr="0040433A">
        <w:rPr>
          <w:lang w:val="en-GB"/>
        </w:rPr>
        <w:t xml:space="preserve"> practice has not settled in relation to States, let alone non-State entities. This is clearly a matter of fundamental importance to the success of a treaty addressing business actors, and </w:t>
      </w:r>
      <w:r w:rsidR="00935CDB" w:rsidRPr="0040433A">
        <w:rPr>
          <w:lang w:val="en-GB"/>
        </w:rPr>
        <w:t>must</w:t>
      </w:r>
      <w:r w:rsidR="000F4B7F" w:rsidRPr="0040433A">
        <w:rPr>
          <w:lang w:val="en-GB"/>
        </w:rPr>
        <w:t xml:space="preserve"> be subjected to further scrutiny. </w:t>
      </w:r>
      <w:r w:rsidR="000333FF" w:rsidRPr="0040433A">
        <w:rPr>
          <w:lang w:val="en-GB"/>
        </w:rPr>
        <w:t xml:space="preserve">It has been suggested that the determination of the scope of obligations is as much to do with policy as legal doctrine, and as such, arguments relating to the ideology of the free-market are likely to curtail efforts to </w:t>
      </w:r>
      <w:r w:rsidR="00ED4E35">
        <w:rPr>
          <w:lang w:val="en-GB"/>
        </w:rPr>
        <w:t>formulate</w:t>
      </w:r>
      <w:r w:rsidR="000333FF" w:rsidRPr="0040433A">
        <w:rPr>
          <w:lang w:val="en-GB"/>
        </w:rPr>
        <w:t xml:space="preserve"> </w:t>
      </w:r>
      <w:r w:rsidR="00ED4E35">
        <w:rPr>
          <w:lang w:val="en-GB"/>
        </w:rPr>
        <w:t>duties</w:t>
      </w:r>
      <w:r w:rsidR="000333FF" w:rsidRPr="0040433A">
        <w:rPr>
          <w:lang w:val="en-GB"/>
        </w:rPr>
        <w:t xml:space="preserve"> </w:t>
      </w:r>
      <w:r w:rsidR="00ED4E35">
        <w:rPr>
          <w:lang w:val="en-GB"/>
        </w:rPr>
        <w:t>owed by corporations to</w:t>
      </w:r>
      <w:r w:rsidR="000333FF" w:rsidRPr="0040433A">
        <w:rPr>
          <w:lang w:val="en-GB"/>
        </w:rPr>
        <w:t xml:space="preserve"> all individuals their activities touch and concern. </w:t>
      </w:r>
    </w:p>
    <w:p w14:paraId="1555EAC5" w14:textId="764ACF45" w:rsidR="00E509EE" w:rsidRPr="0040433A" w:rsidRDefault="000F4B7F" w:rsidP="0040433A">
      <w:pPr>
        <w:spacing w:line="276" w:lineRule="auto"/>
        <w:ind w:firstLine="720"/>
        <w:jc w:val="both"/>
        <w:rPr>
          <w:lang w:val="en-GB"/>
        </w:rPr>
      </w:pPr>
      <w:r w:rsidRPr="0040433A">
        <w:rPr>
          <w:lang w:val="en-GB"/>
        </w:rPr>
        <w:t xml:space="preserve">With regard to </w:t>
      </w:r>
      <w:r w:rsidR="00BE6D5B">
        <w:rPr>
          <w:lang w:val="en-GB"/>
        </w:rPr>
        <w:t xml:space="preserve">the grant of remedies and their </w:t>
      </w:r>
      <w:r w:rsidRPr="0040433A">
        <w:rPr>
          <w:lang w:val="en-GB"/>
        </w:rPr>
        <w:t xml:space="preserve">enforcement, </w:t>
      </w:r>
      <w:r w:rsidR="000333FF" w:rsidRPr="0040433A">
        <w:rPr>
          <w:lang w:val="en-GB"/>
        </w:rPr>
        <w:t>it is unlikely that</w:t>
      </w:r>
      <w:r w:rsidR="000E3F1C" w:rsidRPr="0040433A">
        <w:rPr>
          <w:lang w:val="en-GB"/>
        </w:rPr>
        <w:t xml:space="preserve"> the domestic courts of weak governance States could provide the pr</w:t>
      </w:r>
      <w:r w:rsidR="00196ED5" w:rsidRPr="0040433A">
        <w:rPr>
          <w:lang w:val="en-GB"/>
        </w:rPr>
        <w:t xml:space="preserve">ocedural guarantees required to </w:t>
      </w:r>
      <w:r w:rsidR="000E3F1C" w:rsidRPr="0040433A">
        <w:rPr>
          <w:lang w:val="en-GB"/>
        </w:rPr>
        <w:t xml:space="preserve">administer decisions, </w:t>
      </w:r>
      <w:r w:rsidR="000333FF" w:rsidRPr="0040433A">
        <w:rPr>
          <w:lang w:val="en-GB"/>
        </w:rPr>
        <w:t>an</w:t>
      </w:r>
      <w:r w:rsidR="000E3F1C" w:rsidRPr="0040433A">
        <w:rPr>
          <w:lang w:val="en-GB"/>
        </w:rPr>
        <w:t>d</w:t>
      </w:r>
      <w:r w:rsidR="000333FF" w:rsidRPr="0040433A">
        <w:rPr>
          <w:lang w:val="en-GB"/>
        </w:rPr>
        <w:t xml:space="preserve"> </w:t>
      </w:r>
      <w:r w:rsidR="000E3F1C" w:rsidRPr="0040433A">
        <w:rPr>
          <w:lang w:val="en-GB"/>
        </w:rPr>
        <w:t xml:space="preserve">short of an amendment to their constituent documents, </w:t>
      </w:r>
      <w:r w:rsidR="000333FF" w:rsidRPr="0040433A">
        <w:rPr>
          <w:lang w:val="en-GB"/>
        </w:rPr>
        <w:t>existing inter</w:t>
      </w:r>
      <w:r w:rsidR="000E3F1C" w:rsidRPr="0040433A">
        <w:rPr>
          <w:lang w:val="en-GB"/>
        </w:rPr>
        <w:t>national court</w:t>
      </w:r>
      <w:r w:rsidR="00FE4F1C" w:rsidRPr="0040433A">
        <w:rPr>
          <w:lang w:val="en-GB"/>
        </w:rPr>
        <w:t>s</w:t>
      </w:r>
      <w:r w:rsidR="000E3F1C" w:rsidRPr="0040433A">
        <w:rPr>
          <w:lang w:val="en-GB"/>
        </w:rPr>
        <w:t xml:space="preserve"> are presently incapable of accommodating claims relating to c</w:t>
      </w:r>
      <w:r w:rsidR="00475A4F" w:rsidRPr="0040433A">
        <w:rPr>
          <w:lang w:val="en-GB"/>
        </w:rPr>
        <w:t>orporate</w:t>
      </w:r>
      <w:r w:rsidR="000E3F1C" w:rsidRPr="0040433A">
        <w:rPr>
          <w:lang w:val="en-GB"/>
        </w:rPr>
        <w:t xml:space="preserve"> non-State actors.</w:t>
      </w:r>
      <w:r w:rsidRPr="0040433A">
        <w:rPr>
          <w:lang w:val="en-GB"/>
        </w:rPr>
        <w:t xml:space="preserve"> </w:t>
      </w:r>
      <w:r w:rsidR="000E3F1C" w:rsidRPr="0040433A">
        <w:rPr>
          <w:lang w:val="en-GB"/>
        </w:rPr>
        <w:t xml:space="preserve">While a court or tribunal </w:t>
      </w:r>
      <w:r w:rsidR="009A2DAB">
        <w:rPr>
          <w:lang w:val="en-GB"/>
        </w:rPr>
        <w:t xml:space="preserve">with </w:t>
      </w:r>
      <w:r w:rsidR="000E3F1C" w:rsidRPr="0040433A">
        <w:rPr>
          <w:lang w:val="en-GB"/>
        </w:rPr>
        <w:t xml:space="preserve">compulsory jurisdiction </w:t>
      </w:r>
      <w:r w:rsidR="009E6A18">
        <w:rPr>
          <w:lang w:val="en-GB"/>
        </w:rPr>
        <w:t>and</w:t>
      </w:r>
      <w:r w:rsidR="00EF579D">
        <w:rPr>
          <w:lang w:val="en-GB"/>
        </w:rPr>
        <w:t xml:space="preserve"> the competence to hear joint and several liability claims </w:t>
      </w:r>
      <w:r w:rsidR="00485C8C">
        <w:rPr>
          <w:lang w:val="en-GB"/>
        </w:rPr>
        <w:t xml:space="preserve">concerning contributions to </w:t>
      </w:r>
      <w:r w:rsidR="00DD2356">
        <w:rPr>
          <w:lang w:val="en-GB"/>
        </w:rPr>
        <w:t xml:space="preserve">the </w:t>
      </w:r>
      <w:r w:rsidR="00485C8C">
        <w:rPr>
          <w:lang w:val="en-GB"/>
        </w:rPr>
        <w:t>‘</w:t>
      </w:r>
      <w:r w:rsidR="00DD2356">
        <w:rPr>
          <w:lang w:val="en-GB"/>
        </w:rPr>
        <w:t>same</w:t>
      </w:r>
      <w:r w:rsidR="00485C8C">
        <w:rPr>
          <w:lang w:val="en-GB"/>
        </w:rPr>
        <w:t xml:space="preserve"> damage’ </w:t>
      </w:r>
      <w:r w:rsidR="000E3F1C" w:rsidRPr="0040433A">
        <w:rPr>
          <w:lang w:val="en-GB"/>
        </w:rPr>
        <w:t xml:space="preserve">is perhaps the preferred option, the complex nature of the </w:t>
      </w:r>
      <w:r w:rsidR="009E6A18">
        <w:rPr>
          <w:lang w:val="en-GB"/>
        </w:rPr>
        <w:t xml:space="preserve">multi-party </w:t>
      </w:r>
      <w:r w:rsidR="000E3F1C" w:rsidRPr="0040433A">
        <w:rPr>
          <w:lang w:val="en-GB"/>
        </w:rPr>
        <w:t>disputes</w:t>
      </w:r>
      <w:r w:rsidR="00D357BE">
        <w:rPr>
          <w:lang w:val="en-GB"/>
        </w:rPr>
        <w:t>,</w:t>
      </w:r>
      <w:r w:rsidR="000E3F1C" w:rsidRPr="0040433A">
        <w:rPr>
          <w:lang w:val="en-GB"/>
        </w:rPr>
        <w:t xml:space="preserve"> which are likely to </w:t>
      </w:r>
      <w:r w:rsidR="009E6A18">
        <w:rPr>
          <w:lang w:val="en-GB"/>
        </w:rPr>
        <w:t>engage</w:t>
      </w:r>
      <w:r w:rsidR="000E3F1C" w:rsidRPr="0040433A">
        <w:rPr>
          <w:lang w:val="en-GB"/>
        </w:rPr>
        <w:t xml:space="preserve"> numerous treaties, will</w:t>
      </w:r>
      <w:r w:rsidR="009E6A18">
        <w:rPr>
          <w:lang w:val="en-GB"/>
        </w:rPr>
        <w:t xml:space="preserve"> doubtless</w:t>
      </w:r>
      <w:r w:rsidR="000E3F1C" w:rsidRPr="0040433A">
        <w:rPr>
          <w:lang w:val="en-GB"/>
        </w:rPr>
        <w:t xml:space="preserve"> prove to be a major impediment. Thus, while there is little </w:t>
      </w:r>
      <w:r w:rsidR="000C419B">
        <w:rPr>
          <w:lang w:val="en-GB"/>
        </w:rPr>
        <w:t>that</w:t>
      </w:r>
      <w:r w:rsidR="000C419B" w:rsidRPr="0040433A">
        <w:rPr>
          <w:lang w:val="en-GB"/>
        </w:rPr>
        <w:t xml:space="preserve"> </w:t>
      </w:r>
      <w:r w:rsidR="000E3F1C" w:rsidRPr="0040433A">
        <w:rPr>
          <w:lang w:val="en-GB"/>
        </w:rPr>
        <w:t>cannot be overcome in term</w:t>
      </w:r>
      <w:r w:rsidR="00962531" w:rsidRPr="0040433A">
        <w:rPr>
          <w:lang w:val="en-GB"/>
        </w:rPr>
        <w:t xml:space="preserve">s of legal theory and doctrine given the requisite political </w:t>
      </w:r>
      <w:r w:rsidR="00127C1B" w:rsidRPr="0040433A">
        <w:rPr>
          <w:lang w:val="en-GB"/>
        </w:rPr>
        <w:t>will, it is the practical realiz</w:t>
      </w:r>
      <w:r w:rsidR="00962531" w:rsidRPr="0040433A">
        <w:rPr>
          <w:lang w:val="en-GB"/>
        </w:rPr>
        <w:t xml:space="preserve">ation of a binding business and human rights regime </w:t>
      </w:r>
      <w:r w:rsidR="00D33F96">
        <w:rPr>
          <w:lang w:val="en-GB"/>
        </w:rPr>
        <w:t>that</w:t>
      </w:r>
      <w:r w:rsidR="00D33F96" w:rsidRPr="0040433A">
        <w:rPr>
          <w:lang w:val="en-GB"/>
        </w:rPr>
        <w:t xml:space="preserve"> </w:t>
      </w:r>
      <w:r w:rsidR="00962531" w:rsidRPr="0040433A">
        <w:rPr>
          <w:lang w:val="en-GB"/>
        </w:rPr>
        <w:t>will likely prove to be the complicating factor. H</w:t>
      </w:r>
      <w:r w:rsidR="00544F06" w:rsidRPr="0040433A">
        <w:rPr>
          <w:lang w:val="en-GB"/>
        </w:rPr>
        <w:t>istory dictates</w:t>
      </w:r>
      <w:r w:rsidR="00962531" w:rsidRPr="0040433A">
        <w:rPr>
          <w:lang w:val="en-GB"/>
        </w:rPr>
        <w:t xml:space="preserve"> that the establishment of treaty regimes can crystallise over time into</w:t>
      </w:r>
      <w:r w:rsidR="000C6751" w:rsidRPr="0040433A">
        <w:rPr>
          <w:lang w:val="en-GB"/>
        </w:rPr>
        <w:t xml:space="preserve"> highly advanced institutionaliz</w:t>
      </w:r>
      <w:r w:rsidR="00962531" w:rsidRPr="0040433A">
        <w:rPr>
          <w:lang w:val="en-GB"/>
        </w:rPr>
        <w:t>ed systems</w:t>
      </w:r>
      <w:r w:rsidR="000D4D3D">
        <w:rPr>
          <w:lang w:val="en-GB"/>
        </w:rPr>
        <w:t>, evidenced by the extant State-centric human rights framework</w:t>
      </w:r>
      <w:r w:rsidR="00962531" w:rsidRPr="0040433A">
        <w:rPr>
          <w:lang w:val="en-GB"/>
        </w:rPr>
        <w:t>.</w:t>
      </w:r>
      <w:r w:rsidR="00187968" w:rsidRPr="0040433A">
        <w:rPr>
          <w:lang w:val="en-GB"/>
        </w:rPr>
        <w:t xml:space="preserve"> </w:t>
      </w:r>
      <w:r w:rsidR="00187968" w:rsidRPr="0040433A">
        <w:rPr>
          <w:rFonts w:cs="Arial"/>
          <w:lang w:val="en-GB"/>
        </w:rPr>
        <w:t>It is submitted that there is inherent value in attempting to solve doctrinal dilemmas surrounding the proposed treaty in the short term, in that this process will fortify legal scholarship as a vehicle for the immanent critique of the abusive acts of both State and non-State actors.</w:t>
      </w:r>
      <w:r w:rsidR="00962531" w:rsidRPr="0040433A">
        <w:rPr>
          <w:lang w:val="en-GB"/>
        </w:rPr>
        <w:t xml:space="preserve"> As we stand at the foothills of a legally binding framework addressing business actors, the task is to </w:t>
      </w:r>
      <w:r w:rsidR="00544F06" w:rsidRPr="0040433A">
        <w:rPr>
          <w:lang w:val="en-GB"/>
        </w:rPr>
        <w:t xml:space="preserve">keep asking the difficult questions, and to </w:t>
      </w:r>
      <w:r w:rsidR="00962531" w:rsidRPr="0040433A">
        <w:rPr>
          <w:lang w:val="en-GB"/>
        </w:rPr>
        <w:t>resist dejection by the terrain which impedes the summit.</w:t>
      </w:r>
    </w:p>
    <w:sectPr w:rsidR="00E509EE" w:rsidRPr="0040433A" w:rsidSect="008A4253">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DACCA" w14:textId="77777777" w:rsidR="00FD777C" w:rsidRDefault="00FD777C" w:rsidP="00C22B7A">
      <w:r>
        <w:separator/>
      </w:r>
    </w:p>
  </w:endnote>
  <w:endnote w:type="continuationSeparator" w:id="0">
    <w:p w14:paraId="6EDAA669" w14:textId="77777777" w:rsidR="00FD777C" w:rsidRDefault="00FD777C" w:rsidP="00C2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wift-Italic">
    <w:panose1 w:val="00000000000000000000"/>
    <w:charset w:val="00"/>
    <w:family w:val="roman"/>
    <w:notTrueType/>
    <w:pitch w:val="default"/>
    <w:sig w:usb0="00000003" w:usb1="00000000" w:usb2="00000000" w:usb3="00000000" w:csb0="00000001" w:csb1="00000000"/>
  </w:font>
  <w:font w:name="Swift-Regular">
    <w:panose1 w:val="00000000000000000000"/>
    <w:charset w:val="00"/>
    <w:family w:val="roman"/>
    <w:notTrueType/>
    <w:pitch w:val="default"/>
    <w:sig w:usb0="00000003" w:usb1="00000000" w:usb2="00000000" w:usb3="00000000" w:csb0="00000001" w:csb1="00000000"/>
  </w:font>
  <w:font w:name="AdvP101883">
    <w:panose1 w:val="00000000000000000000"/>
    <w:charset w:val="00"/>
    <w:family w:val="roman"/>
    <w:notTrueType/>
    <w:pitch w:val="default"/>
    <w:sig w:usb0="00000003" w:usb1="00000000" w:usb2="00000000" w:usb3="00000000" w:csb0="00000001" w:csb1="00000000"/>
  </w:font>
  <w:font w:name="AdvP101884">
    <w:panose1 w:val="00000000000000000000"/>
    <w:charset w:val="00"/>
    <w:family w:val="swiss"/>
    <w:notTrueType/>
    <w:pitch w:val="default"/>
    <w:sig w:usb0="00000003" w:usb1="00000000" w:usb2="00000000" w:usb3="00000000" w:csb0="00000001" w:csb1="00000000"/>
  </w:font>
  <w:font w:name="AdvPS405B7">
    <w:panose1 w:val="00000000000000000000"/>
    <w:charset w:val="00"/>
    <w:family w:val="swiss"/>
    <w:notTrueType/>
    <w:pitch w:val="default"/>
    <w:sig w:usb0="00000003" w:usb1="00000000" w:usb2="00000000" w:usb3="00000000" w:csb0="00000001" w:csb1="00000000"/>
  </w:font>
  <w:font w:name="AdvPS405B6">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548618"/>
      <w:docPartObj>
        <w:docPartGallery w:val="Page Numbers (Bottom of Page)"/>
        <w:docPartUnique/>
      </w:docPartObj>
    </w:sdtPr>
    <w:sdtEndPr>
      <w:rPr>
        <w:noProof/>
      </w:rPr>
    </w:sdtEndPr>
    <w:sdtContent>
      <w:p w14:paraId="7B285088" w14:textId="28BF5E0E" w:rsidR="00FD777C" w:rsidRDefault="00FD777C">
        <w:pPr>
          <w:pStyle w:val="Footer"/>
          <w:jc w:val="center"/>
        </w:pPr>
        <w:r>
          <w:fldChar w:fldCharType="begin"/>
        </w:r>
        <w:r>
          <w:instrText xml:space="preserve"> PAGE   \* MERGEFORMAT </w:instrText>
        </w:r>
        <w:r>
          <w:fldChar w:fldCharType="separate"/>
        </w:r>
        <w:r w:rsidR="00AA7656">
          <w:rPr>
            <w:noProof/>
          </w:rPr>
          <w:t>1</w:t>
        </w:r>
        <w:r>
          <w:rPr>
            <w:noProof/>
          </w:rPr>
          <w:fldChar w:fldCharType="end"/>
        </w:r>
      </w:p>
    </w:sdtContent>
  </w:sdt>
  <w:p w14:paraId="6EBF5C3F" w14:textId="77777777" w:rsidR="00FD777C" w:rsidRDefault="00FD7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45840" w14:textId="77777777" w:rsidR="00FD777C" w:rsidRDefault="00FD777C" w:rsidP="00C22B7A">
      <w:r>
        <w:separator/>
      </w:r>
    </w:p>
  </w:footnote>
  <w:footnote w:type="continuationSeparator" w:id="0">
    <w:p w14:paraId="5DA20BBE" w14:textId="77777777" w:rsidR="00FD777C" w:rsidRDefault="00FD777C" w:rsidP="00C22B7A">
      <w:r>
        <w:continuationSeparator/>
      </w:r>
    </w:p>
  </w:footnote>
  <w:footnote w:id="1">
    <w:p w14:paraId="703B423B" w14:textId="6C732E21" w:rsidR="00FD777C" w:rsidRPr="00CD1284" w:rsidRDefault="00FD777C" w:rsidP="00CD1284">
      <w:pPr>
        <w:pStyle w:val="FootnoteText"/>
        <w:rPr>
          <w:szCs w:val="20"/>
        </w:rPr>
      </w:pPr>
      <w:r w:rsidRPr="00CD1284">
        <w:rPr>
          <w:rStyle w:val="FootnoteReference"/>
          <w:szCs w:val="20"/>
        </w:rPr>
        <w:t>*</w:t>
      </w:r>
      <w:r w:rsidRPr="00CD1284">
        <w:rPr>
          <w:szCs w:val="20"/>
        </w:rPr>
        <w:t xml:space="preserve"> The author would like to express thanks to Rhona Smith, David McGrogan, Rebecca Moosavian, Conall Mallory, Adam Ramshaw, and the participants at the International Law Association (British Branch) Spring Conference 2016 for their constructive comments </w:t>
      </w:r>
      <w:r>
        <w:rPr>
          <w:szCs w:val="20"/>
        </w:rPr>
        <w:t>during</w:t>
      </w:r>
      <w:r w:rsidRPr="00CD1284">
        <w:rPr>
          <w:szCs w:val="20"/>
        </w:rPr>
        <w:t xml:space="preserve"> earlier </w:t>
      </w:r>
      <w:r>
        <w:rPr>
          <w:szCs w:val="20"/>
        </w:rPr>
        <w:t>stages</w:t>
      </w:r>
      <w:r w:rsidRPr="00CD1284">
        <w:rPr>
          <w:szCs w:val="20"/>
        </w:rPr>
        <w:t xml:space="preserve"> of this work.</w:t>
      </w:r>
    </w:p>
  </w:footnote>
  <w:footnote w:id="2">
    <w:p w14:paraId="202060EB" w14:textId="49D45B5D"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UN Guiding Principles on Business and Human Ri</w:t>
      </w:r>
      <w:r>
        <w:rPr>
          <w:szCs w:val="20"/>
          <w:lang w:val="en-GB"/>
        </w:rPr>
        <w:t>ghts (2011) HR/PUB/11/04; S Little &amp; L</w:t>
      </w:r>
      <w:r w:rsidRPr="00CD1284">
        <w:rPr>
          <w:szCs w:val="20"/>
          <w:lang w:val="en-GB"/>
        </w:rPr>
        <w:t xml:space="preserve"> Snider, ‘Examining the Ruggie Report: Can Voluntary Guidelines Tame Global Capitalism?’ (2013) 21 Crit Crim 177-92.</w:t>
      </w:r>
    </w:p>
  </w:footnote>
  <w:footnote w:id="3">
    <w:p w14:paraId="348C4ABB" w14:textId="4FE84963"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P</w:t>
      </w:r>
      <w:r w:rsidRPr="00CD1284">
        <w:rPr>
          <w:szCs w:val="20"/>
          <w:lang w:val="en-GB"/>
        </w:rPr>
        <w:t xml:space="preserve"> Simons, ‘International Law’s Invisible Hand and the Future of Corporate Accountability for Violations of Human Rights’ (2012) 3 J Hum Rts &amp;</w:t>
      </w:r>
      <w:r>
        <w:rPr>
          <w:szCs w:val="20"/>
          <w:lang w:val="en-GB"/>
        </w:rPr>
        <w:t xml:space="preserve"> Environ 5-43; S</w:t>
      </w:r>
      <w:r w:rsidRPr="00CD1284">
        <w:rPr>
          <w:szCs w:val="20"/>
          <w:lang w:val="en-GB"/>
        </w:rPr>
        <w:t xml:space="preserve"> Joseph, ‘Taming the Leviathans: Multinational Enterprises and Human Rights</w:t>
      </w:r>
      <w:r>
        <w:rPr>
          <w:szCs w:val="20"/>
          <w:lang w:val="en-GB"/>
        </w:rPr>
        <w:t xml:space="preserve">’ (1999) 46 Neth Int’l L Rev 174; O De </w:t>
      </w:r>
      <w:r w:rsidRPr="00CD1284">
        <w:rPr>
          <w:szCs w:val="20"/>
          <w:lang w:val="en-GB"/>
        </w:rPr>
        <w:t>Schutter, ‘The Challenge of Imposing Human Rights</w:t>
      </w:r>
      <w:r>
        <w:rPr>
          <w:szCs w:val="20"/>
          <w:lang w:val="en-GB"/>
        </w:rPr>
        <w:t xml:space="preserve"> on Corporate Actors’ in O</w:t>
      </w:r>
      <w:r w:rsidRPr="00CD1284">
        <w:rPr>
          <w:szCs w:val="20"/>
          <w:lang w:val="en-GB"/>
        </w:rPr>
        <w:t xml:space="preserve"> De Schutter (ed), </w:t>
      </w:r>
      <w:r w:rsidRPr="00CD1284">
        <w:rPr>
          <w:i/>
          <w:szCs w:val="20"/>
          <w:lang w:val="en-GB"/>
        </w:rPr>
        <w:t>Transnational Corporations and Human Rights</w:t>
      </w:r>
      <w:r w:rsidRPr="00CD1284">
        <w:rPr>
          <w:szCs w:val="20"/>
          <w:lang w:val="en-GB"/>
        </w:rPr>
        <w:t xml:space="preserve"> (Hart</w:t>
      </w:r>
      <w:r>
        <w:rPr>
          <w:szCs w:val="20"/>
          <w:lang w:val="en-GB"/>
        </w:rPr>
        <w:t xml:space="preserve"> Publishing, 2006) 17-22; A</w:t>
      </w:r>
      <w:r w:rsidRPr="00CD1284">
        <w:rPr>
          <w:szCs w:val="20"/>
          <w:lang w:val="en-GB"/>
        </w:rPr>
        <w:t xml:space="preserve"> Clapham, </w:t>
      </w:r>
      <w:r w:rsidRPr="00CD1284">
        <w:rPr>
          <w:i/>
          <w:szCs w:val="20"/>
          <w:lang w:val="en-GB"/>
        </w:rPr>
        <w:t>Human Rights Obligations of Non-State Actors</w:t>
      </w:r>
      <w:r w:rsidRPr="00CD1284">
        <w:rPr>
          <w:szCs w:val="20"/>
          <w:lang w:val="en-GB"/>
        </w:rPr>
        <w:t xml:space="preserve"> (O</w:t>
      </w:r>
      <w:r>
        <w:rPr>
          <w:szCs w:val="20"/>
          <w:lang w:val="en-GB"/>
        </w:rPr>
        <w:t>UP, 2006) 83; M</w:t>
      </w:r>
      <w:r w:rsidRPr="00CD1284">
        <w:rPr>
          <w:szCs w:val="20"/>
          <w:lang w:val="en-GB"/>
        </w:rPr>
        <w:t xml:space="preserve"> Karavias, </w:t>
      </w:r>
      <w:r w:rsidRPr="00CD1284">
        <w:rPr>
          <w:i/>
          <w:szCs w:val="20"/>
          <w:lang w:val="en-GB"/>
        </w:rPr>
        <w:t xml:space="preserve">Corporate Obligations Under International Law </w:t>
      </w:r>
      <w:r>
        <w:rPr>
          <w:szCs w:val="20"/>
          <w:lang w:val="en-GB"/>
        </w:rPr>
        <w:t>(OUP, 2013); A</w:t>
      </w:r>
      <w:r w:rsidRPr="00CD1284">
        <w:rPr>
          <w:szCs w:val="20"/>
          <w:lang w:val="en-GB"/>
        </w:rPr>
        <w:t xml:space="preserve"> Clapham, ‘Human Rights Obligations of Non-State Actors in Conflict Situations’ (2006) 88 In</w:t>
      </w:r>
      <w:r>
        <w:rPr>
          <w:szCs w:val="20"/>
          <w:lang w:val="en-GB"/>
        </w:rPr>
        <w:t>t’l Rev Red Cross 523; M Noortmann &amp; C</w:t>
      </w:r>
      <w:r w:rsidRPr="00CD1284">
        <w:rPr>
          <w:szCs w:val="20"/>
          <w:lang w:val="en-GB"/>
        </w:rPr>
        <w:t xml:space="preserve"> Ryngaert (eds) </w:t>
      </w:r>
      <w:r w:rsidRPr="00CD1284">
        <w:rPr>
          <w:i/>
          <w:szCs w:val="20"/>
          <w:lang w:val="en-GB"/>
        </w:rPr>
        <w:t>Non-State Actor Dynamics in International Law: From Law-Takers to Law-Makers</w:t>
      </w:r>
      <w:r>
        <w:rPr>
          <w:szCs w:val="20"/>
          <w:lang w:val="en-GB"/>
        </w:rPr>
        <w:t xml:space="preserve"> (Ashgate, 2010); Y</w:t>
      </w:r>
      <w:r w:rsidRPr="00CD1284">
        <w:rPr>
          <w:szCs w:val="20"/>
          <w:lang w:val="en-GB"/>
        </w:rPr>
        <w:t xml:space="preserve"> Ronon, Human Rights Obligations of Territorial Non-State Actors, (20</w:t>
      </w:r>
      <w:r>
        <w:rPr>
          <w:szCs w:val="20"/>
          <w:lang w:val="en-GB"/>
        </w:rPr>
        <w:t>13) 46 Cornell Int’l LJ 22-</w:t>
      </w:r>
      <w:r w:rsidRPr="00CD1284">
        <w:rPr>
          <w:szCs w:val="20"/>
          <w:lang w:val="en-GB"/>
        </w:rPr>
        <w:t>5.</w:t>
      </w:r>
    </w:p>
  </w:footnote>
  <w:footnote w:id="4">
    <w:p w14:paraId="6DE65A7C" w14:textId="6169B8AC"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O</w:t>
      </w:r>
      <w:r w:rsidRPr="00CD1284">
        <w:rPr>
          <w:szCs w:val="20"/>
          <w:lang w:val="en-GB"/>
        </w:rPr>
        <w:t xml:space="preserve"> De Schutter, ‘Towards a New Treaty on Business and Human Rights’ (2015) </w:t>
      </w:r>
      <w:r>
        <w:rPr>
          <w:szCs w:val="20"/>
          <w:lang w:val="en-GB"/>
        </w:rPr>
        <w:t>1 Business &amp; Hum Rts J 41; D</w:t>
      </w:r>
      <w:r w:rsidRPr="00CD1284">
        <w:rPr>
          <w:szCs w:val="20"/>
          <w:lang w:val="en-GB"/>
        </w:rPr>
        <w:t xml:space="preserve"> Bilchitz, ‘The Necessity for a Business and Human Rights Treaty’ (30 November 2014) &lt;</w:t>
      </w:r>
      <w:hyperlink r:id="rId1" w:history="1">
        <w:r w:rsidRPr="00CD1284">
          <w:rPr>
            <w:rStyle w:val="Hyperlink"/>
            <w:szCs w:val="20"/>
            <w:lang w:val="en-GB"/>
          </w:rPr>
          <w:t>http://papers.ssrn.com/sol3/papers.cfm?abstract_id=2562760</w:t>
        </w:r>
      </w:hyperlink>
      <w:r w:rsidRPr="00CD1284">
        <w:rPr>
          <w:szCs w:val="20"/>
          <w:lang w:val="en-GB"/>
        </w:rPr>
        <w:t>&gt; accessed 21 April 2016</w:t>
      </w:r>
      <w:r>
        <w:rPr>
          <w:szCs w:val="20"/>
          <w:lang w:val="en-GB"/>
        </w:rPr>
        <w:t>; F</w:t>
      </w:r>
      <w:r w:rsidRPr="00CD1284">
        <w:rPr>
          <w:szCs w:val="20"/>
          <w:lang w:val="en-GB"/>
        </w:rPr>
        <w:t xml:space="preserve"> Mégret, ‘Would a Treaty be all it is made up to be?’ </w:t>
      </w:r>
      <w:r>
        <w:rPr>
          <w:szCs w:val="20"/>
          <w:lang w:val="en-GB"/>
        </w:rPr>
        <w:t>(</w:t>
      </w:r>
      <w:r w:rsidRPr="00CD1284">
        <w:rPr>
          <w:szCs w:val="20"/>
          <w:lang w:val="en-GB"/>
        </w:rPr>
        <w:t>4 February 2015</w:t>
      </w:r>
      <w:r>
        <w:rPr>
          <w:szCs w:val="20"/>
          <w:lang w:val="en-GB"/>
        </w:rPr>
        <w:t>)</w:t>
      </w:r>
      <w:r w:rsidRPr="00CD1284">
        <w:rPr>
          <w:szCs w:val="20"/>
          <w:lang w:val="en-GB"/>
        </w:rPr>
        <w:t xml:space="preserve"> &lt;</w:t>
      </w:r>
      <w:hyperlink r:id="rId2" w:history="1">
        <w:r w:rsidRPr="00632321">
          <w:rPr>
            <w:rStyle w:val="Hyperlink"/>
            <w:szCs w:val="20"/>
            <w:lang w:val="en-GB"/>
          </w:rPr>
          <w:t>http://jamesgstewart.com/would-a-treaty-be-all-it-is-made-up-to-be/</w:t>
        </w:r>
      </w:hyperlink>
      <w:r w:rsidRPr="00CD1284">
        <w:rPr>
          <w:szCs w:val="20"/>
          <w:lang w:val="en-GB"/>
        </w:rPr>
        <w:t>&gt; accessed 21 April 2016</w:t>
      </w:r>
      <w:r>
        <w:rPr>
          <w:szCs w:val="20"/>
          <w:lang w:val="en-GB"/>
        </w:rPr>
        <w:t>; J</w:t>
      </w:r>
      <w:r w:rsidRPr="00CD1284">
        <w:rPr>
          <w:szCs w:val="20"/>
          <w:lang w:val="en-GB"/>
        </w:rPr>
        <w:t xml:space="preserve"> Ruggie, ‘Get Real or We’ll Get Nothing: Reflections on the First Session of the Intergovernmental Working Group on a Business and Human Rights Treaty’ &lt;</w:t>
      </w:r>
      <w:hyperlink r:id="rId3" w:history="1">
        <w:r w:rsidRPr="00CD1284">
          <w:rPr>
            <w:rStyle w:val="Hyperlink"/>
            <w:szCs w:val="20"/>
            <w:lang w:val="en-GB"/>
          </w:rPr>
          <w:t>http://business-humanrights.org/en/get-real-or-well-get-nothing-reflections-on-the-first-session-of-the-intergovernmental-working-group-on-a-business-and-human-rights-treaty</w:t>
        </w:r>
      </w:hyperlink>
      <w:r w:rsidRPr="00CD1284">
        <w:rPr>
          <w:szCs w:val="20"/>
          <w:lang w:val="en-GB"/>
        </w:rPr>
        <w:t xml:space="preserve">&gt; accessed 21 April 2016; OHCHR, ‘UN </w:t>
      </w:r>
      <w:r>
        <w:rPr>
          <w:szCs w:val="20"/>
          <w:lang w:val="en-GB"/>
        </w:rPr>
        <w:t>E</w:t>
      </w:r>
      <w:r w:rsidRPr="00CD1284">
        <w:rPr>
          <w:szCs w:val="20"/>
          <w:lang w:val="en-GB"/>
        </w:rPr>
        <w:t xml:space="preserve">xpert calls for </w:t>
      </w:r>
      <w:r>
        <w:rPr>
          <w:szCs w:val="20"/>
          <w:lang w:val="en-GB"/>
        </w:rPr>
        <w:t>b</w:t>
      </w:r>
      <w:r w:rsidRPr="00CD1284">
        <w:rPr>
          <w:szCs w:val="20"/>
          <w:lang w:val="en-GB"/>
        </w:rPr>
        <w:t xml:space="preserve">inding </w:t>
      </w:r>
      <w:r>
        <w:rPr>
          <w:szCs w:val="20"/>
          <w:lang w:val="en-GB"/>
        </w:rPr>
        <w:t>H</w:t>
      </w:r>
      <w:r w:rsidRPr="00CD1284">
        <w:rPr>
          <w:szCs w:val="20"/>
          <w:lang w:val="en-GB"/>
        </w:rPr>
        <w:t xml:space="preserve">uman </w:t>
      </w:r>
      <w:r>
        <w:rPr>
          <w:szCs w:val="20"/>
          <w:lang w:val="en-GB"/>
        </w:rPr>
        <w:t>R</w:t>
      </w:r>
      <w:r w:rsidRPr="00CD1284">
        <w:rPr>
          <w:szCs w:val="20"/>
          <w:lang w:val="en-GB"/>
        </w:rPr>
        <w:t xml:space="preserve">ights </w:t>
      </w:r>
      <w:r>
        <w:rPr>
          <w:szCs w:val="20"/>
          <w:lang w:val="en-GB"/>
        </w:rPr>
        <w:t>T</w:t>
      </w:r>
      <w:r w:rsidRPr="00CD1284">
        <w:rPr>
          <w:szCs w:val="20"/>
          <w:lang w:val="en-GB"/>
        </w:rPr>
        <w:t xml:space="preserve">reaty for </w:t>
      </w:r>
      <w:r>
        <w:rPr>
          <w:szCs w:val="20"/>
          <w:lang w:val="en-GB"/>
        </w:rPr>
        <w:t>C</w:t>
      </w:r>
      <w:r w:rsidRPr="00CD1284">
        <w:rPr>
          <w:szCs w:val="20"/>
          <w:lang w:val="en-GB"/>
        </w:rPr>
        <w:t xml:space="preserve">orporations’ </w:t>
      </w:r>
      <w:r>
        <w:rPr>
          <w:szCs w:val="20"/>
          <w:lang w:val="en-GB"/>
        </w:rPr>
        <w:t>(</w:t>
      </w:r>
      <w:r w:rsidRPr="00CD1284">
        <w:rPr>
          <w:szCs w:val="20"/>
          <w:lang w:val="en-GB"/>
        </w:rPr>
        <w:t>18 June 2015</w:t>
      </w:r>
      <w:r>
        <w:rPr>
          <w:szCs w:val="20"/>
          <w:lang w:val="en-GB"/>
        </w:rPr>
        <w:t>)</w:t>
      </w:r>
      <w:r w:rsidRPr="00CD1284">
        <w:rPr>
          <w:szCs w:val="20"/>
          <w:lang w:val="en-GB"/>
        </w:rPr>
        <w:t xml:space="preserve"> &lt;</w:t>
      </w:r>
      <w:hyperlink r:id="rId4" w:history="1">
        <w:r w:rsidRPr="00CD1284">
          <w:rPr>
            <w:rStyle w:val="Hyperlink"/>
            <w:szCs w:val="20"/>
            <w:lang w:val="en-GB"/>
          </w:rPr>
          <w:t>http://www.ohchr.org/EN/NewsEvents/Pages/DisplayNews.aspx?NewsID=16097</w:t>
        </w:r>
      </w:hyperlink>
      <w:r w:rsidRPr="00CD1284">
        <w:rPr>
          <w:szCs w:val="20"/>
          <w:lang w:val="en-GB"/>
        </w:rPr>
        <w:t>&gt; accessed 21 April 2016</w:t>
      </w:r>
      <w:r>
        <w:rPr>
          <w:szCs w:val="20"/>
          <w:lang w:val="en-GB"/>
        </w:rPr>
        <w:t>; S</w:t>
      </w:r>
      <w:r w:rsidRPr="00CD1284">
        <w:rPr>
          <w:szCs w:val="20"/>
          <w:lang w:val="en-GB"/>
        </w:rPr>
        <w:t xml:space="preserve"> Deva, ‘Scope of the Legally Binding Instrument to Address Human Rights Violations Related to Business Activities’ </w:t>
      </w:r>
      <w:r>
        <w:rPr>
          <w:szCs w:val="20"/>
          <w:lang w:val="en-GB"/>
        </w:rPr>
        <w:t>(</w:t>
      </w:r>
      <w:r w:rsidRPr="00CD1284">
        <w:rPr>
          <w:szCs w:val="20"/>
          <w:lang w:val="en-GB"/>
        </w:rPr>
        <w:t>ESCR-Net &amp; FIDH Treaty Initiative</w:t>
      </w:r>
      <w:r>
        <w:rPr>
          <w:szCs w:val="20"/>
          <w:lang w:val="en-GB"/>
        </w:rPr>
        <w:t>)</w:t>
      </w:r>
      <w:r w:rsidRPr="00CD1284">
        <w:rPr>
          <w:szCs w:val="20"/>
          <w:lang w:val="en-GB"/>
        </w:rPr>
        <w:t xml:space="preserve"> &lt;</w:t>
      </w:r>
      <w:hyperlink r:id="rId5" w:history="1">
        <w:r w:rsidRPr="00CD1284">
          <w:rPr>
            <w:rStyle w:val="Hyperlink"/>
            <w:szCs w:val="20"/>
            <w:lang w:val="en-GB"/>
          </w:rPr>
          <w:t>https://www.escr-net.org/sites/default/files/scope_of_treaty.pdf</w:t>
        </w:r>
      </w:hyperlink>
      <w:r>
        <w:rPr>
          <w:szCs w:val="20"/>
          <w:lang w:val="en-GB"/>
        </w:rPr>
        <w:t xml:space="preserve">&gt; </w:t>
      </w:r>
      <w:r w:rsidRPr="00CD1284">
        <w:rPr>
          <w:szCs w:val="20"/>
          <w:lang w:val="en-GB"/>
        </w:rPr>
        <w:t>accessed 21 April 2016.</w:t>
      </w:r>
    </w:p>
  </w:footnote>
  <w:footnote w:id="5">
    <w:p w14:paraId="0EF76ED0" w14:textId="37C4A292"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Human Rights Council ‘Republic of Ecuador: Statement on behalf of a Group of Countries at the 24rd Session of the HRC, Transnational Corporations and Human Rights’ (Geneva, September 2013) &lt;</w:t>
      </w:r>
      <w:hyperlink r:id="rId6" w:history="1">
        <w:r w:rsidRPr="00CD1284">
          <w:rPr>
            <w:rStyle w:val="Hyperlink"/>
            <w:szCs w:val="20"/>
            <w:lang w:val="en-GB"/>
          </w:rPr>
          <w:t>http://business-humanrights.org/media/documents/statement-unhrc-legally-binding.pdf</w:t>
        </w:r>
      </w:hyperlink>
      <w:r w:rsidRPr="00CD1284">
        <w:rPr>
          <w:szCs w:val="20"/>
          <w:lang w:val="en-GB"/>
        </w:rPr>
        <w:t>&gt; accessed 21 April 2016.</w:t>
      </w:r>
    </w:p>
  </w:footnote>
  <w:footnote w:id="6">
    <w:p w14:paraId="2D4E59FC" w14:textId="4AF5BDDE"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w:t>
      </w:r>
      <w:r>
        <w:rPr>
          <w:sz w:val="20"/>
          <w:szCs w:val="20"/>
          <w:lang w:val="en-GB"/>
        </w:rPr>
        <w:t>T</w:t>
      </w:r>
      <w:r w:rsidRPr="00B73410">
        <w:rPr>
          <w:sz w:val="20"/>
          <w:szCs w:val="20"/>
          <w:lang w:val="en-GB"/>
        </w:rPr>
        <w:t>he resolution was adopted by 20 votes in favour, 13 abstentions and 14 against</w:t>
      </w:r>
      <w:r>
        <w:rPr>
          <w:sz w:val="20"/>
          <w:szCs w:val="20"/>
          <w:lang w:val="en-GB"/>
        </w:rPr>
        <w:t xml:space="preserve">: </w:t>
      </w:r>
      <w:r w:rsidRPr="00CD1284">
        <w:rPr>
          <w:sz w:val="20"/>
          <w:szCs w:val="20"/>
          <w:lang w:val="en-GB"/>
        </w:rPr>
        <w:t>Human Rights Council, ‘Elaboration of an International Legally Binding Instrument on Transnational Corporations and other Business Enterprises with Respect to Human Rights’ 26</w:t>
      </w:r>
      <w:r w:rsidRPr="00CD1284">
        <w:rPr>
          <w:sz w:val="20"/>
          <w:szCs w:val="20"/>
          <w:vertAlign w:val="superscript"/>
          <w:lang w:val="en-GB"/>
        </w:rPr>
        <w:t>th</w:t>
      </w:r>
      <w:r w:rsidRPr="00CD1284">
        <w:rPr>
          <w:sz w:val="20"/>
          <w:szCs w:val="20"/>
          <w:lang w:val="en-GB"/>
        </w:rPr>
        <w:t xml:space="preserve"> Session (25th June 2014) UN Doc A/HRC/26/L.22/Rev.1.</w:t>
      </w:r>
    </w:p>
  </w:footnote>
  <w:footnote w:id="7">
    <w:p w14:paraId="310392E8" w14:textId="6C5B92A6"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Human Rights Council, ‘Report of the Open-Ended Intergovernmental Working Group on Transnational Corporations and Other Business Enterprises with Respect to Human Rights’ </w:t>
      </w:r>
      <w:r>
        <w:rPr>
          <w:szCs w:val="20"/>
          <w:lang w:val="en-GB"/>
        </w:rPr>
        <w:t>(</w:t>
      </w:r>
      <w:r w:rsidRPr="00CD1284">
        <w:rPr>
          <w:szCs w:val="20"/>
          <w:lang w:val="en-GB"/>
        </w:rPr>
        <w:t>10 July 2015</w:t>
      </w:r>
      <w:r>
        <w:rPr>
          <w:szCs w:val="20"/>
          <w:lang w:val="en-GB"/>
        </w:rPr>
        <w:t>)</w:t>
      </w:r>
      <w:r w:rsidRPr="00CD1284">
        <w:rPr>
          <w:szCs w:val="20"/>
          <w:lang w:val="en-GB"/>
        </w:rPr>
        <w:t xml:space="preserve"> &lt;</w:t>
      </w:r>
      <w:hyperlink r:id="rId7" w:history="1">
        <w:r w:rsidRPr="00CD1284">
          <w:rPr>
            <w:rStyle w:val="Hyperlink"/>
            <w:szCs w:val="20"/>
            <w:lang w:val="en-GB"/>
          </w:rPr>
          <w:t>http://www.ohchr.org/Documents/HRBodies/HRCouncil/WGTransCorp/Session1/</w:t>
        </w:r>
        <w:r w:rsidRPr="00CD1284">
          <w:rPr>
            <w:rStyle w:val="Hyperlink"/>
            <w:szCs w:val="20"/>
            <w:lang w:val="en-GB"/>
          </w:rPr>
          <w:br/>
          <w:t>Draftreport.pdf</w:t>
        </w:r>
      </w:hyperlink>
      <w:r w:rsidRPr="00CD1284">
        <w:rPr>
          <w:szCs w:val="20"/>
          <w:lang w:val="en-GB"/>
        </w:rPr>
        <w:t>&gt; accessed 21 April 2016.</w:t>
      </w:r>
    </w:p>
  </w:footnote>
  <w:footnote w:id="8">
    <w:p w14:paraId="43335DE2" w14:textId="77777777" w:rsidR="00FD777C" w:rsidRPr="00CD1284" w:rsidRDefault="00FD777C" w:rsidP="00D125BC">
      <w:pPr>
        <w:rPr>
          <w:sz w:val="20"/>
          <w:szCs w:val="20"/>
          <w:lang w:val="en-GB"/>
        </w:rPr>
      </w:pPr>
      <w:r w:rsidRPr="00CD1284">
        <w:rPr>
          <w:rStyle w:val="FootnoteReference"/>
          <w:szCs w:val="20"/>
          <w:lang w:val="en-GB"/>
        </w:rPr>
        <w:footnoteRef/>
      </w:r>
      <w:r>
        <w:rPr>
          <w:sz w:val="20"/>
          <w:szCs w:val="20"/>
          <w:lang w:val="en-GB"/>
        </w:rPr>
        <w:t xml:space="preserve"> N</w:t>
      </w:r>
      <w:r w:rsidRPr="00CD1284">
        <w:rPr>
          <w:sz w:val="20"/>
          <w:szCs w:val="20"/>
          <w:lang w:val="en-GB"/>
        </w:rPr>
        <w:t xml:space="preserve"> Cely, ‘Balancing Profit and Environmental Sustainability in Ecuador: Lessons Learned From the Chevron Case’ (2014) 24 Duke Environ L</w:t>
      </w:r>
      <w:r>
        <w:rPr>
          <w:sz w:val="20"/>
          <w:szCs w:val="20"/>
          <w:lang w:val="en-GB"/>
        </w:rPr>
        <w:t xml:space="preserve"> &amp; Policy Forum 353; C</w:t>
      </w:r>
      <w:r w:rsidRPr="00CD1284">
        <w:rPr>
          <w:sz w:val="20"/>
          <w:szCs w:val="20"/>
          <w:lang w:val="en-GB"/>
        </w:rPr>
        <w:t>A Whytock, ‘Chevron-Ecuador Case: Three Dimensions of Complexity in Transnational Dispute Resolution’ (2012) 106 ASIL Proc 425.</w:t>
      </w:r>
    </w:p>
  </w:footnote>
  <w:footnote w:id="9">
    <w:p w14:paraId="5D003227" w14:textId="314395DD"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w:t>
      </w:r>
      <w:r w:rsidRPr="00CD1284">
        <w:rPr>
          <w:i/>
          <w:sz w:val="20"/>
          <w:szCs w:val="20"/>
          <w:lang w:val="en-GB"/>
        </w:rPr>
        <w:t xml:space="preserve">Aguinda v Chevron-Texaco, </w:t>
      </w:r>
      <w:r w:rsidRPr="00CD1284">
        <w:rPr>
          <w:sz w:val="20"/>
          <w:szCs w:val="20"/>
          <w:lang w:val="en-GB"/>
        </w:rPr>
        <w:t>Case No 11-1150 (3 January 2012) (Appellate Panel, Ecuador) &lt;</w:t>
      </w:r>
      <w:hyperlink r:id="rId8" w:history="1">
        <w:r w:rsidRPr="00CD1284">
          <w:rPr>
            <w:rStyle w:val="Hyperlink"/>
            <w:sz w:val="20"/>
            <w:szCs w:val="20"/>
            <w:lang w:val="en-GB"/>
          </w:rPr>
          <w:t>http://chevrontoxico.com/assets/docs/2012-01-03-appeal-decision-english.pdf</w:t>
        </w:r>
      </w:hyperlink>
      <w:r w:rsidRPr="00CD1284">
        <w:rPr>
          <w:sz w:val="20"/>
          <w:szCs w:val="20"/>
          <w:lang w:val="en-GB"/>
        </w:rPr>
        <w:t>&gt; accessed 21 April 2016; For C</w:t>
      </w:r>
      <w:r>
        <w:rPr>
          <w:sz w:val="20"/>
          <w:szCs w:val="20"/>
          <w:lang w:val="en-GB"/>
        </w:rPr>
        <w:t>hevron’s successful bi-lateral i</w:t>
      </w:r>
      <w:r w:rsidRPr="00CD1284">
        <w:rPr>
          <w:sz w:val="20"/>
          <w:szCs w:val="20"/>
          <w:lang w:val="en-GB"/>
        </w:rPr>
        <w:t xml:space="preserve">nvestment arbitration, see: </w:t>
      </w:r>
      <w:r w:rsidRPr="00CD1284">
        <w:rPr>
          <w:i/>
          <w:sz w:val="20"/>
          <w:szCs w:val="20"/>
          <w:lang w:val="en-GB"/>
        </w:rPr>
        <w:t>Chevron Corporation and Texaco Petroleum Corporation v Republic of Ecuador</w:t>
      </w:r>
      <w:r>
        <w:rPr>
          <w:sz w:val="20"/>
          <w:szCs w:val="20"/>
          <w:lang w:val="en-GB"/>
        </w:rPr>
        <w:t>, (</w:t>
      </w:r>
      <w:r w:rsidRPr="00CD1284">
        <w:rPr>
          <w:sz w:val="20"/>
          <w:szCs w:val="20"/>
          <w:lang w:val="en-GB"/>
        </w:rPr>
        <w:t>First In</w:t>
      </w:r>
      <w:r>
        <w:rPr>
          <w:sz w:val="20"/>
          <w:szCs w:val="20"/>
          <w:lang w:val="en-GB"/>
        </w:rPr>
        <w:t>terim Award, 25 January 2012) PCA Case No 2009-23 (UNCITRAL Rules)</w:t>
      </w:r>
      <w:r w:rsidRPr="00CD1284">
        <w:rPr>
          <w:sz w:val="20"/>
          <w:szCs w:val="20"/>
          <w:lang w:val="en-GB"/>
        </w:rPr>
        <w:t xml:space="preserve"> 16-17; The subsequent 2013 decision upheld the ruling, but lowere</w:t>
      </w:r>
      <w:r>
        <w:rPr>
          <w:sz w:val="20"/>
          <w:szCs w:val="20"/>
          <w:lang w:val="en-GB"/>
        </w:rPr>
        <w:t>d the damages payable: A</w:t>
      </w:r>
      <w:r w:rsidRPr="00CD1284">
        <w:rPr>
          <w:sz w:val="20"/>
          <w:szCs w:val="20"/>
          <w:lang w:val="en-GB"/>
        </w:rPr>
        <w:t xml:space="preserve"> Valencia, ‘Ecuador high court upholds Chevron Verdict, halves fine’ </w:t>
      </w:r>
      <w:r>
        <w:rPr>
          <w:sz w:val="20"/>
          <w:szCs w:val="20"/>
          <w:lang w:val="en-GB"/>
        </w:rPr>
        <w:t>(</w:t>
      </w:r>
      <w:r w:rsidRPr="00354253">
        <w:rPr>
          <w:sz w:val="20"/>
          <w:szCs w:val="20"/>
          <w:lang w:val="en-GB"/>
        </w:rPr>
        <w:t>Reuters,</w:t>
      </w:r>
      <w:r>
        <w:rPr>
          <w:sz w:val="20"/>
          <w:szCs w:val="20"/>
          <w:lang w:val="en-GB"/>
        </w:rPr>
        <w:t xml:space="preserve"> </w:t>
      </w:r>
      <w:r w:rsidRPr="00CD1284">
        <w:rPr>
          <w:sz w:val="20"/>
          <w:szCs w:val="20"/>
          <w:lang w:val="en-GB"/>
        </w:rPr>
        <w:t>13 November 2013) &lt;</w:t>
      </w:r>
      <w:hyperlink r:id="rId9" w:history="1">
        <w:r w:rsidRPr="00CD1284">
          <w:rPr>
            <w:rStyle w:val="Hyperlink"/>
            <w:sz w:val="20"/>
            <w:szCs w:val="20"/>
          </w:rPr>
          <w:t>http://ca.reuters.com/article/businessNews/idCABRE9AC0YY20131113</w:t>
        </w:r>
      </w:hyperlink>
      <w:r w:rsidRPr="00CD1284">
        <w:rPr>
          <w:sz w:val="20"/>
          <w:szCs w:val="20"/>
          <w:lang w:val="en-GB"/>
        </w:rPr>
        <w:t>&gt; accessed 21 April 2016.</w:t>
      </w:r>
    </w:p>
  </w:footnote>
  <w:footnote w:id="10">
    <w:p w14:paraId="6B90E85E" w14:textId="57934A0A"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w:t>
      </w:r>
      <w:r w:rsidRPr="00CD1284">
        <w:rPr>
          <w:i/>
          <w:sz w:val="20"/>
          <w:szCs w:val="20"/>
          <w:lang w:val="en-GB"/>
        </w:rPr>
        <w:t>Chevron Corporation and Texaco Petroleum Corporation v Republic of Ecuador</w:t>
      </w:r>
      <w:r w:rsidRPr="00CD1284">
        <w:rPr>
          <w:sz w:val="20"/>
          <w:szCs w:val="20"/>
          <w:lang w:val="en-GB"/>
        </w:rPr>
        <w:t>,</w:t>
      </w:r>
      <w:r w:rsidRPr="00754FAF">
        <w:rPr>
          <w:sz w:val="20"/>
          <w:szCs w:val="20"/>
          <w:lang w:val="en-GB"/>
        </w:rPr>
        <w:t xml:space="preserve"> </w:t>
      </w:r>
      <w:r w:rsidRPr="00CD1284">
        <w:rPr>
          <w:sz w:val="20"/>
          <w:szCs w:val="20"/>
          <w:lang w:val="en-GB"/>
        </w:rPr>
        <w:t>(Order of the US District Court in the Republic of Ecuador v Strat</w:t>
      </w:r>
      <w:r>
        <w:rPr>
          <w:sz w:val="20"/>
          <w:szCs w:val="20"/>
          <w:lang w:val="en-GB"/>
        </w:rPr>
        <w:t>us Consulting Inc, 29 May 2013)</w:t>
      </w:r>
      <w:r w:rsidRPr="00CD1284">
        <w:rPr>
          <w:sz w:val="20"/>
          <w:szCs w:val="20"/>
          <w:lang w:val="en-GB"/>
        </w:rPr>
        <w:t xml:space="preserve"> </w:t>
      </w:r>
      <w:r>
        <w:rPr>
          <w:sz w:val="20"/>
          <w:szCs w:val="20"/>
          <w:lang w:val="en-GB"/>
        </w:rPr>
        <w:t>PCA Case No 2009-23 (UNCITRAL Rules);</w:t>
      </w:r>
      <w:r w:rsidRPr="00CD1284">
        <w:rPr>
          <w:sz w:val="20"/>
          <w:szCs w:val="20"/>
          <w:lang w:val="en-GB"/>
        </w:rPr>
        <w:t xml:space="preserve"> For US case documentation: I</w:t>
      </w:r>
      <w:r>
        <w:rPr>
          <w:sz w:val="20"/>
          <w:szCs w:val="20"/>
          <w:lang w:val="en-GB"/>
        </w:rPr>
        <w:t xml:space="preserve">nternational Treaty Arbitration </w:t>
      </w:r>
      <w:r w:rsidRPr="00CD1284">
        <w:rPr>
          <w:sz w:val="20"/>
          <w:szCs w:val="20"/>
          <w:lang w:val="en-GB"/>
        </w:rPr>
        <w:t>&lt;</w:t>
      </w:r>
      <w:hyperlink r:id="rId10" w:history="1">
        <w:r w:rsidRPr="00CD1284">
          <w:rPr>
            <w:rStyle w:val="Hyperlink"/>
            <w:sz w:val="20"/>
            <w:szCs w:val="20"/>
            <w:lang w:val="en-GB"/>
          </w:rPr>
          <w:t>http://www.italaw.com/cases/257</w:t>
        </w:r>
      </w:hyperlink>
      <w:r w:rsidRPr="00CD1284">
        <w:rPr>
          <w:sz w:val="20"/>
          <w:szCs w:val="20"/>
          <w:lang w:val="en-GB"/>
        </w:rPr>
        <w:t>&gt; accessed 21 April 2016.</w:t>
      </w:r>
    </w:p>
  </w:footnote>
  <w:footnote w:id="11">
    <w:p w14:paraId="014ECB59" w14:textId="172EE2FC" w:rsidR="00FD777C" w:rsidRPr="00CD1284" w:rsidRDefault="00FD777C" w:rsidP="00CD1284">
      <w:pPr>
        <w:pStyle w:val="FootnoteText"/>
        <w:rPr>
          <w:szCs w:val="20"/>
          <w:lang w:val="fr-FR"/>
        </w:rPr>
      </w:pPr>
      <w:r w:rsidRPr="00CD1284">
        <w:rPr>
          <w:rStyle w:val="FootnoteReference"/>
          <w:szCs w:val="20"/>
        </w:rPr>
        <w:footnoteRef/>
      </w:r>
      <w:r w:rsidRPr="00CD1284">
        <w:rPr>
          <w:szCs w:val="20"/>
          <w:lang w:val="fr-FR"/>
        </w:rPr>
        <w:t xml:space="preserve"> </w:t>
      </w:r>
      <w:r w:rsidRPr="00CD1284">
        <w:rPr>
          <w:i/>
          <w:szCs w:val="20"/>
          <w:lang w:val="fr-FR"/>
        </w:rPr>
        <w:t>Chevron Corp v Yaiguaje</w:t>
      </w:r>
      <w:r w:rsidRPr="00CD1284">
        <w:rPr>
          <w:szCs w:val="20"/>
          <w:lang w:val="fr-FR"/>
        </w:rPr>
        <w:t xml:space="preserve"> (2015) SCC 42.</w:t>
      </w:r>
    </w:p>
  </w:footnote>
  <w:footnote w:id="12">
    <w:p w14:paraId="772253DE" w14:textId="56D66896"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M</w:t>
      </w:r>
      <w:r w:rsidRPr="00CD1284">
        <w:rPr>
          <w:szCs w:val="20"/>
          <w:lang w:val="en-GB"/>
        </w:rPr>
        <w:t xml:space="preserve">D Goldhaber, ‘The Global Lawyer: Will Chevron Lose in the Second Circuit?’ </w:t>
      </w:r>
      <w:r>
        <w:rPr>
          <w:szCs w:val="20"/>
          <w:lang w:val="en-GB"/>
        </w:rPr>
        <w:t xml:space="preserve">(The AmLaw Litigation Daily, </w:t>
      </w:r>
      <w:r w:rsidRPr="00CD1284">
        <w:rPr>
          <w:szCs w:val="20"/>
          <w:lang w:val="en-GB"/>
        </w:rPr>
        <w:t>23 April 2015) &lt;</w:t>
      </w:r>
      <w:hyperlink r:id="rId11" w:history="1">
        <w:r w:rsidRPr="00CD1284">
          <w:rPr>
            <w:rStyle w:val="Hyperlink"/>
            <w:szCs w:val="20"/>
            <w:lang w:val="en-GB"/>
          </w:rPr>
          <w:t>http://www.litigationdaily.com/id=1202724404971/The-Global-Lawyer-Will-Chevron-Lose-in-the-Second-Circuit?slreturn=20150729103702</w:t>
        </w:r>
      </w:hyperlink>
      <w:r w:rsidRPr="00CD1284">
        <w:rPr>
          <w:szCs w:val="20"/>
          <w:lang w:val="en-GB"/>
        </w:rPr>
        <w:t>&gt; accessed 21 April 2016.</w:t>
      </w:r>
    </w:p>
  </w:footnote>
  <w:footnote w:id="13">
    <w:p w14:paraId="2229FA6B" w14:textId="7659FBE6"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JE Noyes &amp; B</w:t>
      </w:r>
      <w:r w:rsidRPr="00CD1284">
        <w:rPr>
          <w:szCs w:val="20"/>
          <w:lang w:val="en-GB"/>
        </w:rPr>
        <w:t>D Smith, ‘State Responsibility and the Principle of Joint and Several Liability</w:t>
      </w:r>
      <w:r>
        <w:rPr>
          <w:szCs w:val="20"/>
          <w:lang w:val="en-GB"/>
        </w:rPr>
        <w:t xml:space="preserve">’ (1988) 13 Yale J Int’l L </w:t>
      </w:r>
      <w:r w:rsidRPr="00CD1284">
        <w:rPr>
          <w:szCs w:val="20"/>
          <w:lang w:val="en-GB"/>
        </w:rPr>
        <w:t>250.</w:t>
      </w:r>
    </w:p>
  </w:footnote>
  <w:footnote w:id="14">
    <w:p w14:paraId="447A3398" w14:textId="4D22ED1B"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R </w:t>
      </w:r>
      <w:r w:rsidRPr="00CD1284">
        <w:rPr>
          <w:szCs w:val="20"/>
          <w:lang w:val="en-GB"/>
        </w:rPr>
        <w:t>McCorquodale, ‘Beyond State Sovereignty: The International Legal System and Non-State Participants’ (2006) 8 Int</w:t>
      </w:r>
      <w:r>
        <w:rPr>
          <w:szCs w:val="20"/>
          <w:lang w:val="en-GB"/>
        </w:rPr>
        <w:t>’l L Rev Colomb 122; R</w:t>
      </w:r>
      <w:r w:rsidRPr="00CD1284">
        <w:rPr>
          <w:szCs w:val="20"/>
          <w:lang w:val="en-GB"/>
        </w:rPr>
        <w:t xml:space="preserve"> McCorquodale, ‘An Inclusive International Legal System’ (2004) 17 Leiden JIL 447; Clapham, </w:t>
      </w:r>
      <w:r w:rsidRPr="00CD1284">
        <w:rPr>
          <w:i/>
          <w:szCs w:val="20"/>
          <w:lang w:val="en-GB"/>
        </w:rPr>
        <w:t xml:space="preserve">Human Rights Obligations </w:t>
      </w:r>
      <w:r w:rsidRPr="00CD1284">
        <w:rPr>
          <w:szCs w:val="20"/>
          <w:lang w:val="en-GB"/>
        </w:rPr>
        <w:t xml:space="preserve">(n 2) </w:t>
      </w:r>
      <w:r>
        <w:rPr>
          <w:szCs w:val="20"/>
          <w:lang w:val="en-GB"/>
        </w:rPr>
        <w:t>61; R</w:t>
      </w:r>
      <w:r w:rsidRPr="00CD1284">
        <w:rPr>
          <w:szCs w:val="20"/>
          <w:lang w:val="en-GB"/>
        </w:rPr>
        <w:t xml:space="preserve"> Higgins, </w:t>
      </w:r>
      <w:r w:rsidRPr="00CD1284">
        <w:rPr>
          <w:i/>
          <w:szCs w:val="20"/>
          <w:lang w:val="en-GB"/>
        </w:rPr>
        <w:t>Problems and Process: International Law and How We Use It</w:t>
      </w:r>
      <w:r w:rsidRPr="00CD1284">
        <w:rPr>
          <w:szCs w:val="20"/>
          <w:lang w:val="en-GB"/>
        </w:rPr>
        <w:t xml:space="preserve"> (Clarendon Press, 1994) 49.</w:t>
      </w:r>
    </w:p>
  </w:footnote>
  <w:footnote w:id="15">
    <w:p w14:paraId="3ECD2B4C" w14:textId="050850C5"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J</w:t>
      </w:r>
      <w:r w:rsidRPr="00CD1284">
        <w:rPr>
          <w:szCs w:val="20"/>
          <w:lang w:val="en-GB"/>
        </w:rPr>
        <w:t xml:space="preserve">E Nijman ‘Non-State Actors and the International Rule of Law: Revisiting the Realist Theory of International Legal Personality’ in Noortmann &amp; Ryngaert (n 2) 93; Clapham, </w:t>
      </w:r>
      <w:r w:rsidRPr="00CD1284">
        <w:rPr>
          <w:i/>
          <w:szCs w:val="20"/>
          <w:lang w:val="en-GB"/>
        </w:rPr>
        <w:t xml:space="preserve">Human Rights Obligations </w:t>
      </w:r>
      <w:r w:rsidRPr="00CD1284">
        <w:rPr>
          <w:szCs w:val="20"/>
          <w:lang w:val="en-GB"/>
        </w:rPr>
        <w:t>(n 2) 3.</w:t>
      </w:r>
    </w:p>
  </w:footnote>
  <w:footnote w:id="16">
    <w:p w14:paraId="476EBBC0" w14:textId="5034D6D9"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R</w:t>
      </w:r>
      <w:r w:rsidRPr="00CD1284">
        <w:rPr>
          <w:szCs w:val="20"/>
          <w:lang w:val="en-GB"/>
        </w:rPr>
        <w:t xml:space="preserve"> Domingo, ‘The Crisis of International Law’ (2009) 42 Vand J Transnat’l L</w:t>
      </w:r>
      <w:r>
        <w:rPr>
          <w:szCs w:val="20"/>
          <w:lang w:val="en-GB"/>
        </w:rPr>
        <w:t xml:space="preserve"> 1551; G</w:t>
      </w:r>
      <w:r w:rsidRPr="00CD1284">
        <w:rPr>
          <w:szCs w:val="20"/>
          <w:lang w:val="en-GB"/>
        </w:rPr>
        <w:t xml:space="preserve"> Acquaviva, ‘Subjects of International Law: A Power-based Analysis’ (2008) 38 Vand J Transna</w:t>
      </w:r>
      <w:r>
        <w:rPr>
          <w:szCs w:val="20"/>
          <w:lang w:val="en-GB"/>
        </w:rPr>
        <w:t>t’l L 345; M</w:t>
      </w:r>
      <w:r w:rsidRPr="00CD1284">
        <w:rPr>
          <w:szCs w:val="20"/>
          <w:lang w:val="en-GB"/>
        </w:rPr>
        <w:t xml:space="preserve"> van Creveld, </w:t>
      </w:r>
      <w:r w:rsidRPr="00CD1284">
        <w:rPr>
          <w:i/>
          <w:szCs w:val="20"/>
          <w:lang w:val="en-GB"/>
        </w:rPr>
        <w:t>The Rise and Decline of the State</w:t>
      </w:r>
      <w:r w:rsidRPr="00CD1284">
        <w:rPr>
          <w:szCs w:val="20"/>
          <w:lang w:val="en-GB"/>
        </w:rPr>
        <w:t xml:space="preserve"> (CUP, 1999) 336-414.</w:t>
      </w:r>
    </w:p>
  </w:footnote>
  <w:footnote w:id="17">
    <w:p w14:paraId="12D574F1" w14:textId="5384CF2B"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D</w:t>
      </w:r>
      <w:r w:rsidRPr="00CD1284">
        <w:rPr>
          <w:szCs w:val="20"/>
          <w:lang w:val="en-GB"/>
        </w:rPr>
        <w:t xml:space="preserve"> Kennedy, ‘International Law and the Nineteenth Century: History of an Illusion’ (1998) 17 QLR 99.</w:t>
      </w:r>
    </w:p>
  </w:footnote>
  <w:footnote w:id="18">
    <w:p w14:paraId="596F9F8A" w14:textId="11EF17D5" w:rsidR="00FD777C" w:rsidRPr="00CD1284" w:rsidRDefault="00FD777C" w:rsidP="00CD1284">
      <w:pPr>
        <w:rPr>
          <w:rFonts w:eastAsia="Times New Roman" w:cs="Times New Roman"/>
          <w:b/>
          <w:sz w:val="20"/>
          <w:szCs w:val="20"/>
          <w:lang w:val="en-GB"/>
        </w:rPr>
      </w:pPr>
      <w:r w:rsidRPr="00CD1284">
        <w:rPr>
          <w:rStyle w:val="FootnoteReference"/>
          <w:szCs w:val="20"/>
          <w:lang w:val="en-GB"/>
        </w:rPr>
        <w:footnoteRef/>
      </w:r>
      <w:r>
        <w:rPr>
          <w:sz w:val="20"/>
          <w:szCs w:val="20"/>
          <w:lang w:val="en-GB"/>
        </w:rPr>
        <w:t xml:space="preserve"> R</w:t>
      </w:r>
      <w:r w:rsidRPr="00CD1284">
        <w:rPr>
          <w:sz w:val="20"/>
          <w:szCs w:val="20"/>
          <w:lang w:val="en-GB"/>
        </w:rPr>
        <w:t xml:space="preserve"> Portmann, </w:t>
      </w:r>
      <w:r w:rsidRPr="00CD1284">
        <w:rPr>
          <w:i/>
          <w:sz w:val="20"/>
          <w:szCs w:val="20"/>
          <w:lang w:val="en-GB"/>
        </w:rPr>
        <w:t>Legal Personality in International Law</w:t>
      </w:r>
      <w:r w:rsidRPr="00CD1284">
        <w:rPr>
          <w:sz w:val="20"/>
          <w:szCs w:val="20"/>
          <w:lang w:val="en-GB"/>
        </w:rPr>
        <w:t xml:space="preserve"> (CUP, </w:t>
      </w:r>
      <w:r>
        <w:rPr>
          <w:sz w:val="20"/>
          <w:szCs w:val="20"/>
          <w:lang w:val="en-GB"/>
        </w:rPr>
        <w:t>2010) 271; J</w:t>
      </w:r>
      <w:r w:rsidRPr="00CD1284">
        <w:rPr>
          <w:sz w:val="20"/>
          <w:szCs w:val="20"/>
          <w:lang w:val="en-GB"/>
        </w:rPr>
        <w:t xml:space="preserve"> Kyriakakis ‘International Legal Personality, Collective Entities and International Crimes’</w:t>
      </w:r>
      <w:r>
        <w:rPr>
          <w:sz w:val="20"/>
          <w:szCs w:val="20"/>
          <w:lang w:val="en-GB"/>
        </w:rPr>
        <w:t xml:space="preserve"> in N Gal-Or, C Ryngaert &amp; M</w:t>
      </w:r>
      <w:r w:rsidRPr="00CD1284">
        <w:rPr>
          <w:sz w:val="20"/>
          <w:szCs w:val="20"/>
          <w:lang w:val="en-GB"/>
        </w:rPr>
        <w:t xml:space="preserve"> Noortmann (eds) </w:t>
      </w:r>
      <w:r w:rsidRPr="00CD1284">
        <w:rPr>
          <w:i/>
          <w:sz w:val="20"/>
          <w:szCs w:val="20"/>
          <w:lang w:val="en-GB"/>
        </w:rPr>
        <w:t xml:space="preserve">Responsibilities of the Non-State Actor in Armed Conflict and the Market Place: Theoretical and Empirical Findings </w:t>
      </w:r>
      <w:r>
        <w:rPr>
          <w:sz w:val="20"/>
          <w:szCs w:val="20"/>
          <w:lang w:val="en-GB"/>
        </w:rPr>
        <w:t xml:space="preserve">(Brill 2015) </w:t>
      </w:r>
      <w:r w:rsidRPr="00CD1284">
        <w:rPr>
          <w:sz w:val="20"/>
          <w:szCs w:val="20"/>
          <w:lang w:val="en-GB"/>
        </w:rPr>
        <w:t>83; J Kammerhofer, ‘Non-State Actors from the Perspective of</w:t>
      </w:r>
      <w:r>
        <w:rPr>
          <w:sz w:val="20"/>
          <w:szCs w:val="20"/>
          <w:lang w:val="en-GB"/>
        </w:rPr>
        <w:t xml:space="preserve"> the Pure Theory of Law’ in J</w:t>
      </w:r>
      <w:r w:rsidRPr="00CD1284">
        <w:rPr>
          <w:sz w:val="20"/>
          <w:szCs w:val="20"/>
          <w:lang w:val="en-GB"/>
        </w:rPr>
        <w:t xml:space="preserve"> d’Aspremont (ed), </w:t>
      </w:r>
      <w:r w:rsidRPr="00CD1284">
        <w:rPr>
          <w:i/>
          <w:sz w:val="20"/>
          <w:szCs w:val="20"/>
          <w:lang w:val="en-GB"/>
        </w:rPr>
        <w:t>Multiple Perspectives on Non-State Actors in International Law</w:t>
      </w:r>
      <w:r w:rsidRPr="00CD1284">
        <w:rPr>
          <w:sz w:val="20"/>
          <w:szCs w:val="20"/>
          <w:lang w:val="en-GB"/>
        </w:rPr>
        <w:t xml:space="preserve"> (Routledge, 2011) 54; J </w:t>
      </w:r>
      <w:r w:rsidRPr="00CD1284">
        <w:rPr>
          <w:rFonts w:eastAsia="Times New Roman" w:cs="Times New Roman"/>
          <w:sz w:val="20"/>
          <w:szCs w:val="20"/>
          <w:lang w:val="en-GB"/>
        </w:rPr>
        <w:t>Kammerhofer, ‘The Benefits of the Pure Theory of Law for International Lawyers, or: What use is Kelsenian Theory’ (2006) 12 Int’l Theory 5</w:t>
      </w:r>
      <w:r w:rsidRPr="00CD1284">
        <w:rPr>
          <w:sz w:val="20"/>
          <w:szCs w:val="20"/>
          <w:lang w:val="en-GB"/>
        </w:rPr>
        <w:t xml:space="preserve">; J Kammerhofer, </w:t>
      </w:r>
      <w:r w:rsidRPr="00CD1284">
        <w:rPr>
          <w:i/>
          <w:sz w:val="20"/>
          <w:szCs w:val="20"/>
          <w:lang w:val="en-GB"/>
        </w:rPr>
        <w:t>Uncertainty in International Law: A Kelsenian Perspective</w:t>
      </w:r>
      <w:r>
        <w:rPr>
          <w:sz w:val="20"/>
          <w:szCs w:val="20"/>
          <w:lang w:val="en-GB"/>
        </w:rPr>
        <w:t xml:space="preserve"> (Routledge, 2011); J</w:t>
      </w:r>
      <w:r w:rsidRPr="00CD1284">
        <w:rPr>
          <w:sz w:val="20"/>
          <w:szCs w:val="20"/>
          <w:lang w:val="en-GB"/>
        </w:rPr>
        <w:t xml:space="preserve"> d’Aspremont, </w:t>
      </w:r>
      <w:r w:rsidRPr="00CD1284">
        <w:rPr>
          <w:i/>
          <w:sz w:val="20"/>
          <w:szCs w:val="20"/>
          <w:lang w:val="en-GB"/>
        </w:rPr>
        <w:t>Formalism and the Sources of International Law: A Theory of the Ascertainment of Legal Rules</w:t>
      </w:r>
      <w:r>
        <w:rPr>
          <w:sz w:val="20"/>
          <w:szCs w:val="20"/>
          <w:lang w:val="en-GB"/>
        </w:rPr>
        <w:t xml:space="preserve"> (OUP, 2012); J d’Aspremont &amp; J</w:t>
      </w:r>
      <w:r w:rsidRPr="00CD1284">
        <w:rPr>
          <w:sz w:val="20"/>
          <w:szCs w:val="20"/>
          <w:lang w:val="en-GB"/>
        </w:rPr>
        <w:t xml:space="preserve"> Kammerho</w:t>
      </w:r>
      <w:r>
        <w:rPr>
          <w:sz w:val="20"/>
          <w:szCs w:val="20"/>
          <w:lang w:val="en-GB"/>
        </w:rPr>
        <w:t>f</w:t>
      </w:r>
      <w:r w:rsidRPr="00CD1284">
        <w:rPr>
          <w:sz w:val="20"/>
          <w:szCs w:val="20"/>
          <w:lang w:val="en-GB"/>
        </w:rPr>
        <w:t xml:space="preserve">er (eds) </w:t>
      </w:r>
      <w:r w:rsidRPr="00CD1284">
        <w:rPr>
          <w:i/>
          <w:sz w:val="20"/>
          <w:szCs w:val="20"/>
          <w:lang w:val="en-GB"/>
        </w:rPr>
        <w:t>International Legal Positivism in a Post-Modern World</w:t>
      </w:r>
      <w:r w:rsidRPr="00CD1284">
        <w:rPr>
          <w:sz w:val="20"/>
          <w:szCs w:val="20"/>
          <w:lang w:val="en-GB"/>
        </w:rPr>
        <w:t xml:space="preserve"> (CUP, 2015).</w:t>
      </w:r>
    </w:p>
  </w:footnote>
  <w:footnote w:id="19">
    <w:p w14:paraId="4E6EA003" w14:textId="77E90086"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P</w:t>
      </w:r>
      <w:r w:rsidRPr="00CD1284">
        <w:rPr>
          <w:szCs w:val="20"/>
          <w:lang w:val="en-GB"/>
        </w:rPr>
        <w:t xml:space="preserve"> Alston, ‘The “Not-a-Cat” Syndrome: Can the International Human Rights Regime Accommo</w:t>
      </w:r>
      <w:r>
        <w:rPr>
          <w:szCs w:val="20"/>
          <w:lang w:val="en-GB"/>
        </w:rPr>
        <w:t>date Non-State Actors?’ in P</w:t>
      </w:r>
      <w:r w:rsidRPr="00CD1284">
        <w:rPr>
          <w:szCs w:val="20"/>
          <w:lang w:val="en-GB"/>
        </w:rPr>
        <w:t xml:space="preserve"> Alston  (ed), </w:t>
      </w:r>
      <w:r w:rsidRPr="00CD1284">
        <w:rPr>
          <w:i/>
          <w:szCs w:val="20"/>
          <w:lang w:val="en-GB"/>
        </w:rPr>
        <w:t>Non State Actors and Human Rights</w:t>
      </w:r>
      <w:r>
        <w:rPr>
          <w:szCs w:val="20"/>
          <w:lang w:val="en-GB"/>
        </w:rPr>
        <w:t xml:space="preserve"> (OUP, 2005) 6; A</w:t>
      </w:r>
      <w:r w:rsidRPr="00CD1284">
        <w:rPr>
          <w:szCs w:val="20"/>
          <w:lang w:val="en-GB"/>
        </w:rPr>
        <w:t xml:space="preserve"> Peters,</w:t>
      </w:r>
      <w:r>
        <w:rPr>
          <w:szCs w:val="20"/>
          <w:lang w:val="en-GB"/>
        </w:rPr>
        <w:t xml:space="preserve"> L Koechlin, T</w:t>
      </w:r>
      <w:r w:rsidRPr="00CD1284">
        <w:rPr>
          <w:szCs w:val="20"/>
          <w:lang w:val="en-GB"/>
        </w:rPr>
        <w:t xml:space="preserve"> Förster &amp; Others (eds), </w:t>
      </w:r>
      <w:r w:rsidRPr="00CD1284">
        <w:rPr>
          <w:i/>
          <w:szCs w:val="20"/>
          <w:lang w:val="en-GB"/>
        </w:rPr>
        <w:t>Non-State Actors as Standard Setters</w:t>
      </w:r>
      <w:r>
        <w:rPr>
          <w:szCs w:val="20"/>
          <w:lang w:val="en-GB"/>
        </w:rPr>
        <w:t xml:space="preserve"> (CUP 2009) 14; D</w:t>
      </w:r>
      <w:r w:rsidRPr="00CD1284">
        <w:rPr>
          <w:szCs w:val="20"/>
          <w:lang w:val="en-GB"/>
        </w:rPr>
        <w:t xml:space="preserve"> Josse</w:t>
      </w:r>
      <w:r>
        <w:rPr>
          <w:szCs w:val="20"/>
          <w:lang w:val="en-GB"/>
        </w:rPr>
        <w:t>lin &amp; W</w:t>
      </w:r>
      <w:r w:rsidRPr="00CD1284">
        <w:rPr>
          <w:szCs w:val="20"/>
          <w:lang w:val="en-GB"/>
        </w:rPr>
        <w:t xml:space="preserve"> Wallace (eds), </w:t>
      </w:r>
      <w:r w:rsidRPr="00CD1284">
        <w:rPr>
          <w:i/>
          <w:szCs w:val="20"/>
          <w:lang w:val="en-GB"/>
        </w:rPr>
        <w:t>Non-State Actors in World Politics</w:t>
      </w:r>
      <w:r w:rsidRPr="00CD1284">
        <w:rPr>
          <w:szCs w:val="20"/>
          <w:lang w:val="en-GB"/>
        </w:rPr>
        <w:t xml:space="preserve"> (Pal</w:t>
      </w:r>
      <w:r>
        <w:rPr>
          <w:szCs w:val="20"/>
          <w:lang w:val="en-GB"/>
        </w:rPr>
        <w:t>grave Macmillan, 2001) 3-4; ME</w:t>
      </w:r>
      <w:r w:rsidRPr="00CD1284">
        <w:rPr>
          <w:szCs w:val="20"/>
          <w:lang w:val="en-GB"/>
        </w:rPr>
        <w:t xml:space="preserve"> O’Connell, ‘Enhancing the Status of Non-State Actors through a Global War on Terror?’ (200</w:t>
      </w:r>
      <w:r>
        <w:rPr>
          <w:szCs w:val="20"/>
          <w:lang w:val="en-GB"/>
        </w:rPr>
        <w:t xml:space="preserve">5) 43 Colum J Transnat’l L </w:t>
      </w:r>
      <w:r w:rsidRPr="00CD1284">
        <w:rPr>
          <w:szCs w:val="20"/>
          <w:lang w:val="en-GB"/>
        </w:rPr>
        <w:t>437.</w:t>
      </w:r>
    </w:p>
  </w:footnote>
  <w:footnote w:id="20">
    <w:p w14:paraId="5E156D3C" w14:textId="25AFBC47"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D</w:t>
      </w:r>
      <w:r w:rsidRPr="00CD1284">
        <w:rPr>
          <w:szCs w:val="20"/>
          <w:lang w:val="en-GB"/>
        </w:rPr>
        <w:t xml:space="preserve"> Steinhoff, ‘Talking to the Enemy: State Legitimacy Concerns with Engaging Non-State Armed Groups’ (2010) 45 Tex Int’l L</w:t>
      </w:r>
      <w:r>
        <w:rPr>
          <w:szCs w:val="20"/>
          <w:lang w:val="en-GB"/>
        </w:rPr>
        <w:t>J 308; S</w:t>
      </w:r>
      <w:r w:rsidRPr="00CD1284">
        <w:rPr>
          <w:szCs w:val="20"/>
          <w:lang w:val="en-GB"/>
        </w:rPr>
        <w:t xml:space="preserve"> Rondeau, ‘Participation of Armed Groups in the Development of the Law Applicable to Armed Conflicts’ (20</w:t>
      </w:r>
      <w:r>
        <w:rPr>
          <w:szCs w:val="20"/>
          <w:lang w:val="en-GB"/>
        </w:rPr>
        <w:t xml:space="preserve">11) 93 Int’l Rev Red Cross </w:t>
      </w:r>
      <w:r w:rsidRPr="00CD1284">
        <w:rPr>
          <w:szCs w:val="20"/>
          <w:lang w:val="en-GB"/>
        </w:rPr>
        <w:t>658.</w:t>
      </w:r>
    </w:p>
  </w:footnote>
  <w:footnote w:id="21">
    <w:p w14:paraId="25C83964" w14:textId="1EDEDA9E"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Legitimacy is defined as a feature of rules which induce complian</w:t>
      </w:r>
      <w:r>
        <w:rPr>
          <w:szCs w:val="20"/>
          <w:lang w:val="en-GB"/>
        </w:rPr>
        <w:t xml:space="preserve">ce from their addressees: T </w:t>
      </w:r>
      <w:r w:rsidRPr="00CD1284">
        <w:rPr>
          <w:szCs w:val="20"/>
          <w:lang w:val="en-GB"/>
        </w:rPr>
        <w:t xml:space="preserve">Franck, </w:t>
      </w:r>
      <w:r w:rsidRPr="00CD1284">
        <w:rPr>
          <w:i/>
          <w:szCs w:val="20"/>
          <w:lang w:val="en-GB"/>
        </w:rPr>
        <w:t>The Power of Legitimacy Among Nations</w:t>
      </w:r>
      <w:r>
        <w:rPr>
          <w:szCs w:val="20"/>
          <w:lang w:val="en-GB"/>
        </w:rPr>
        <w:t xml:space="preserve"> (OUP, 1990) 24; D</w:t>
      </w:r>
      <w:r w:rsidRPr="00CD1284">
        <w:rPr>
          <w:szCs w:val="20"/>
          <w:lang w:val="en-GB"/>
        </w:rPr>
        <w:t xml:space="preserve"> Bodansky, ‘The Concept of Legitimacy </w:t>
      </w:r>
      <w:r>
        <w:rPr>
          <w:szCs w:val="20"/>
          <w:lang w:val="en-GB"/>
        </w:rPr>
        <w:t>in International Law’ in R Wolfrum &amp;</w:t>
      </w:r>
      <w:r w:rsidRPr="00CD1284">
        <w:rPr>
          <w:szCs w:val="20"/>
          <w:lang w:val="en-GB"/>
        </w:rPr>
        <w:t xml:space="preserve"> </w:t>
      </w:r>
      <w:r>
        <w:rPr>
          <w:szCs w:val="20"/>
          <w:lang w:val="en-GB"/>
        </w:rPr>
        <w:t>V</w:t>
      </w:r>
      <w:r w:rsidRPr="00CD1284">
        <w:rPr>
          <w:szCs w:val="20"/>
          <w:lang w:val="en-GB"/>
        </w:rPr>
        <w:t xml:space="preserve"> Röben (eds), </w:t>
      </w:r>
      <w:r w:rsidRPr="00CD1284">
        <w:rPr>
          <w:i/>
          <w:szCs w:val="20"/>
          <w:lang w:val="en-GB"/>
        </w:rPr>
        <w:t>Legitimacy in International Law</w:t>
      </w:r>
      <w:r w:rsidRPr="00CD1284">
        <w:rPr>
          <w:szCs w:val="20"/>
          <w:lang w:val="en-GB"/>
        </w:rPr>
        <w:t xml:space="preserve"> (Springer, 2008) 313-15.</w:t>
      </w:r>
    </w:p>
  </w:footnote>
  <w:footnote w:id="22">
    <w:p w14:paraId="2A5DB37A" w14:textId="599C7D86"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M Koskennie</w:t>
      </w:r>
      <w:r w:rsidRPr="00CD1284">
        <w:rPr>
          <w:szCs w:val="20"/>
          <w:lang w:val="en-GB"/>
        </w:rPr>
        <w:t xml:space="preserve">mi, </w:t>
      </w:r>
      <w:r w:rsidRPr="00CD1284">
        <w:rPr>
          <w:i/>
          <w:szCs w:val="20"/>
          <w:lang w:val="en-GB"/>
        </w:rPr>
        <w:t>The Gentle Civiliser of Nations: The Rise and Fall of International Law 1870-1960</w:t>
      </w:r>
      <w:r>
        <w:rPr>
          <w:szCs w:val="20"/>
          <w:lang w:val="en-GB"/>
        </w:rPr>
        <w:t xml:space="preserve"> (CUP, 2002) 204; T</w:t>
      </w:r>
      <w:r w:rsidRPr="00CD1284">
        <w:rPr>
          <w:szCs w:val="20"/>
          <w:lang w:val="en-GB"/>
        </w:rPr>
        <w:t xml:space="preserve"> Franck, </w:t>
      </w:r>
      <w:r w:rsidRPr="00CD1284">
        <w:rPr>
          <w:i/>
          <w:szCs w:val="20"/>
          <w:lang w:val="en-GB"/>
        </w:rPr>
        <w:t>Fairness in International Law and Institutions</w:t>
      </w:r>
      <w:r w:rsidRPr="00CD1284">
        <w:rPr>
          <w:szCs w:val="20"/>
          <w:lang w:val="en-GB"/>
        </w:rPr>
        <w:t xml:space="preserve"> (OUP, 1998) 28;</w:t>
      </w:r>
      <w:r w:rsidRPr="00CD1284">
        <w:rPr>
          <w:i/>
          <w:szCs w:val="20"/>
          <w:lang w:val="en-GB"/>
        </w:rPr>
        <w:t xml:space="preserve"> The Case of the SS “Lotus”</w:t>
      </w:r>
      <w:r w:rsidRPr="00CD1284">
        <w:rPr>
          <w:szCs w:val="20"/>
          <w:lang w:val="en-GB"/>
        </w:rPr>
        <w:t xml:space="preserve"> (</w:t>
      </w:r>
      <w:r w:rsidRPr="00CD1284">
        <w:rPr>
          <w:i/>
          <w:szCs w:val="20"/>
          <w:lang w:val="en-GB"/>
        </w:rPr>
        <w:t>France v Turkey</w:t>
      </w:r>
      <w:r w:rsidRPr="00CD1284">
        <w:rPr>
          <w:szCs w:val="20"/>
          <w:lang w:val="en-GB"/>
        </w:rPr>
        <w:t>) (1927) PCIJ (ser. A) No 10, 18.</w:t>
      </w:r>
    </w:p>
  </w:footnote>
  <w:footnote w:id="23">
    <w:p w14:paraId="073AE647" w14:textId="3B9F62EC"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P</w:t>
      </w:r>
      <w:r w:rsidRPr="00CD1284">
        <w:rPr>
          <w:szCs w:val="20"/>
          <w:lang w:val="en-GB"/>
        </w:rPr>
        <w:t xml:space="preserve"> Allott, </w:t>
      </w:r>
      <w:r w:rsidRPr="00CD1284">
        <w:rPr>
          <w:i/>
          <w:szCs w:val="20"/>
          <w:lang w:val="en-GB"/>
        </w:rPr>
        <w:t>Health of Nations: Society and Law Beyond the State</w:t>
      </w:r>
      <w:r>
        <w:rPr>
          <w:szCs w:val="20"/>
          <w:lang w:val="en-GB"/>
        </w:rPr>
        <w:t xml:space="preserve"> (CUP, 2002) 406; A</w:t>
      </w:r>
      <w:r w:rsidRPr="00CD1284">
        <w:rPr>
          <w:szCs w:val="20"/>
          <w:lang w:val="en-GB"/>
        </w:rPr>
        <w:t xml:space="preserve"> Orakhelashvili, ‘The Origins of Consensual Positivism - Pufendorf, Wolff, and Vattel’ in </w:t>
      </w:r>
      <w:r>
        <w:rPr>
          <w:szCs w:val="20"/>
          <w:shd w:val="clear" w:color="auto" w:fill="FFFFFF"/>
          <w:lang w:val="en-GB"/>
        </w:rPr>
        <w:t>A</w:t>
      </w:r>
      <w:r w:rsidRPr="00CD1284">
        <w:rPr>
          <w:szCs w:val="20"/>
          <w:shd w:val="clear" w:color="auto" w:fill="FFFFFF"/>
          <w:lang w:val="en-GB"/>
        </w:rPr>
        <w:t xml:space="preserve"> Orakhelashvili (ed), </w:t>
      </w:r>
      <w:r w:rsidRPr="00CD1284">
        <w:rPr>
          <w:i/>
          <w:szCs w:val="20"/>
          <w:shd w:val="clear" w:color="auto" w:fill="FFFFFF"/>
          <w:lang w:val="en-GB"/>
        </w:rPr>
        <w:t>Research Handbook on the Theory and History of International Law</w:t>
      </w:r>
      <w:r w:rsidRPr="00CD1284">
        <w:rPr>
          <w:szCs w:val="20"/>
          <w:shd w:val="clear" w:color="auto" w:fill="FFFFFF"/>
          <w:lang w:val="en-GB"/>
        </w:rPr>
        <w:t xml:space="preserve"> (Edward Elgar Publishing, 2011) </w:t>
      </w:r>
      <w:r>
        <w:rPr>
          <w:szCs w:val="20"/>
          <w:lang w:val="en-GB"/>
        </w:rPr>
        <w:t>93-4; R</w:t>
      </w:r>
      <w:r w:rsidRPr="00CD1284">
        <w:rPr>
          <w:szCs w:val="20"/>
          <w:lang w:val="en-GB"/>
        </w:rPr>
        <w:t xml:space="preserve"> Domingo, ‘Gaius, Vattel, and the New Global Law Paradigm’ (2011) 22 EJIL 627.</w:t>
      </w:r>
    </w:p>
  </w:footnote>
  <w:footnote w:id="24">
    <w:p w14:paraId="2B0D2E89" w14:textId="23D4F990"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J</w:t>
      </w:r>
      <w:r w:rsidRPr="00CD1284">
        <w:rPr>
          <w:szCs w:val="20"/>
          <w:lang w:val="en-GB"/>
        </w:rPr>
        <w:t xml:space="preserve"> von Bernstorff , </w:t>
      </w:r>
      <w:r w:rsidRPr="00CD1284">
        <w:rPr>
          <w:i/>
          <w:szCs w:val="20"/>
          <w:lang w:val="en-GB"/>
        </w:rPr>
        <w:t>The Public International Law Theory of Hans Kelsen</w:t>
      </w:r>
      <w:r>
        <w:rPr>
          <w:szCs w:val="20"/>
          <w:lang w:val="en-GB"/>
        </w:rPr>
        <w:t xml:space="preserve"> (CUP, 2010) 15-43; J</w:t>
      </w:r>
      <w:r w:rsidRPr="00CD1284">
        <w:rPr>
          <w:szCs w:val="20"/>
          <w:lang w:val="en-GB"/>
        </w:rPr>
        <w:t xml:space="preserve">E Nijman, </w:t>
      </w:r>
      <w:r w:rsidRPr="00CD1284">
        <w:rPr>
          <w:i/>
          <w:szCs w:val="20"/>
          <w:lang w:val="en-GB"/>
        </w:rPr>
        <w:t>The Concept of International Legal Personality: An Inquiry into the History and Theory of International Law</w:t>
      </w:r>
      <w:r w:rsidRPr="00CD1284">
        <w:rPr>
          <w:szCs w:val="20"/>
          <w:lang w:val="en-GB"/>
        </w:rPr>
        <w:t xml:space="preserve"> (TMC</w:t>
      </w:r>
      <w:r>
        <w:rPr>
          <w:szCs w:val="20"/>
          <w:lang w:val="en-GB"/>
        </w:rPr>
        <w:t xml:space="preserve"> Asser Press, 2004) 110-15; J</w:t>
      </w:r>
      <w:r w:rsidRPr="00CD1284">
        <w:rPr>
          <w:szCs w:val="20"/>
          <w:lang w:val="en-GB"/>
        </w:rPr>
        <w:t xml:space="preserve">EK Murkens, </w:t>
      </w:r>
      <w:r w:rsidRPr="00CD1284">
        <w:rPr>
          <w:i/>
          <w:szCs w:val="20"/>
          <w:lang w:val="en-GB"/>
        </w:rPr>
        <w:t>From Empire to Union: Conceptions of German Constitutional Law since 1871</w:t>
      </w:r>
      <w:r w:rsidRPr="00CD1284">
        <w:rPr>
          <w:szCs w:val="20"/>
          <w:lang w:val="en-GB"/>
        </w:rPr>
        <w:t xml:space="preserve"> (OUP, 2013) 19; </w:t>
      </w:r>
      <w:r w:rsidRPr="00CF5F25">
        <w:rPr>
          <w:szCs w:val="20"/>
          <w:lang w:val="en-GB"/>
        </w:rPr>
        <w:t>Koskenniemi</w:t>
      </w:r>
      <w:r>
        <w:rPr>
          <w:szCs w:val="20"/>
          <w:lang w:val="en-GB"/>
        </w:rPr>
        <w:t xml:space="preserve"> (n 21) 441-2; RY </w:t>
      </w:r>
      <w:r w:rsidRPr="00CD1284">
        <w:rPr>
          <w:szCs w:val="20"/>
          <w:lang w:val="en-GB"/>
        </w:rPr>
        <w:t xml:space="preserve">Paz, </w:t>
      </w:r>
      <w:r w:rsidRPr="00CD1284">
        <w:rPr>
          <w:i/>
          <w:szCs w:val="20"/>
          <w:lang w:val="en-GB"/>
        </w:rPr>
        <w:t>A Gateway Between a Distant God and a Cruel World: The Contribution of Jewish German-Speaking Scholars to International Law</w:t>
      </w:r>
      <w:r w:rsidRPr="00CD1284">
        <w:rPr>
          <w:szCs w:val="20"/>
          <w:lang w:val="en-GB"/>
        </w:rPr>
        <w:t xml:space="preserve"> (Martinus Nijhoff, 2012) 144-5.</w:t>
      </w:r>
    </w:p>
  </w:footnote>
  <w:footnote w:id="25">
    <w:p w14:paraId="041C83D8" w14:textId="583A01D3" w:rsidR="00FD777C" w:rsidRPr="00CD1284" w:rsidRDefault="00FD777C" w:rsidP="00CD1284">
      <w:pPr>
        <w:rPr>
          <w:rFonts w:eastAsia="Times New Roman" w:cs="Times New Roman"/>
          <w:sz w:val="20"/>
          <w:szCs w:val="20"/>
          <w:lang w:val="en-GB"/>
        </w:rPr>
      </w:pPr>
      <w:r w:rsidRPr="00CD1284">
        <w:rPr>
          <w:rStyle w:val="FootnoteReference"/>
          <w:szCs w:val="20"/>
          <w:lang w:val="en-GB"/>
        </w:rPr>
        <w:footnoteRef/>
      </w:r>
      <w:r>
        <w:rPr>
          <w:sz w:val="20"/>
          <w:szCs w:val="20"/>
          <w:lang w:val="en-GB"/>
        </w:rPr>
        <w:t xml:space="preserve"> Portmann (n 17</w:t>
      </w:r>
      <w:r w:rsidRPr="00CD1284">
        <w:rPr>
          <w:sz w:val="20"/>
          <w:szCs w:val="20"/>
          <w:lang w:val="en-GB"/>
        </w:rPr>
        <w:t xml:space="preserve">) </w:t>
      </w:r>
      <w:r w:rsidRPr="00CD1284">
        <w:rPr>
          <w:rFonts w:eastAsia="Times New Roman" w:cs="Times New Roman"/>
          <w:sz w:val="20"/>
          <w:szCs w:val="20"/>
          <w:lang w:val="en-GB"/>
        </w:rPr>
        <w:t xml:space="preserve">49-50; </w:t>
      </w:r>
      <w:r>
        <w:rPr>
          <w:sz w:val="20"/>
          <w:szCs w:val="20"/>
          <w:lang w:val="en-GB"/>
        </w:rPr>
        <w:t>G</w:t>
      </w:r>
      <w:r w:rsidRPr="00CD1284">
        <w:rPr>
          <w:sz w:val="20"/>
          <w:szCs w:val="20"/>
          <w:lang w:val="en-GB"/>
        </w:rPr>
        <w:t xml:space="preserve"> Gaja, ‘Positivism and Dualism in Dionisio Anzilotti’ (1992) 3 EJIL 127.</w:t>
      </w:r>
    </w:p>
  </w:footnote>
  <w:footnote w:id="26">
    <w:p w14:paraId="40E5F582" w14:textId="42EFD4E4"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Nijman, </w:t>
      </w:r>
      <w:r w:rsidRPr="00CD1284">
        <w:rPr>
          <w:i/>
          <w:szCs w:val="20"/>
          <w:lang w:val="en-GB"/>
        </w:rPr>
        <w:t xml:space="preserve">International Legal Personality </w:t>
      </w:r>
      <w:r>
        <w:rPr>
          <w:szCs w:val="20"/>
          <w:lang w:val="en-GB"/>
        </w:rPr>
        <w:t>(n 23</w:t>
      </w:r>
      <w:r w:rsidRPr="00CD1284">
        <w:rPr>
          <w:szCs w:val="20"/>
          <w:lang w:val="en-GB"/>
        </w:rPr>
        <w:t>) 113.</w:t>
      </w:r>
    </w:p>
  </w:footnote>
  <w:footnote w:id="27">
    <w:p w14:paraId="1B65DA29" w14:textId="6CFD01D2"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Portmann (n 17</w:t>
      </w:r>
      <w:r w:rsidRPr="00CD1284">
        <w:rPr>
          <w:szCs w:val="20"/>
          <w:lang w:val="en-GB"/>
        </w:rPr>
        <w:t>) 70.</w:t>
      </w:r>
    </w:p>
  </w:footnote>
  <w:footnote w:id="28">
    <w:p w14:paraId="4F42F4E3" w14:textId="42A37834"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T</w:t>
      </w:r>
      <w:r w:rsidRPr="00CD1284">
        <w:rPr>
          <w:szCs w:val="20"/>
          <w:lang w:val="en-GB"/>
        </w:rPr>
        <w:t>D Grant, ‘Defining Statehood: The Montevideo Convention and its Discontents’ (1999) 37 Colum J Transnat’l L 413.</w:t>
      </w:r>
    </w:p>
  </w:footnote>
  <w:footnote w:id="29">
    <w:p w14:paraId="288C07CA" w14:textId="2E05C9D7"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C</w:t>
      </w:r>
      <w:r w:rsidRPr="00CD1284">
        <w:rPr>
          <w:szCs w:val="20"/>
          <w:lang w:val="en-GB"/>
        </w:rPr>
        <w:t xml:space="preserve"> Ryngaert, ‘Imposing International Duties on Non-State Actors and the Legitimacy of International Law’ in Noortman</w:t>
      </w:r>
      <w:r>
        <w:rPr>
          <w:szCs w:val="20"/>
          <w:lang w:val="en-GB"/>
        </w:rPr>
        <w:t>n &amp; Ryngaert (n 2) 69-70; S</w:t>
      </w:r>
      <w:r w:rsidRPr="00CD1284">
        <w:rPr>
          <w:szCs w:val="20"/>
          <w:lang w:val="en-GB"/>
        </w:rPr>
        <w:t xml:space="preserve"> Wheatley, ‘Democratic Governance Beyond the State: The Legitimacy of Non-State Actors as Standard Setters’ in Peters, Koechlin</w:t>
      </w:r>
      <w:r>
        <w:rPr>
          <w:szCs w:val="20"/>
          <w:lang w:val="en-GB"/>
        </w:rPr>
        <w:t xml:space="preserve"> &amp; Förster (n 18) 215-40; R</w:t>
      </w:r>
      <w:r w:rsidRPr="00CD1284">
        <w:rPr>
          <w:szCs w:val="20"/>
          <w:lang w:val="en-GB"/>
        </w:rPr>
        <w:t xml:space="preserve"> McCorquodale, ‘Non-State Actors and Internat</w:t>
      </w:r>
      <w:r>
        <w:rPr>
          <w:szCs w:val="20"/>
          <w:lang w:val="en-GB"/>
        </w:rPr>
        <w:t>ional Human Rights Law’ in S Joseph &amp; A</w:t>
      </w:r>
      <w:r w:rsidRPr="00CD1284">
        <w:rPr>
          <w:szCs w:val="20"/>
          <w:lang w:val="en-GB"/>
        </w:rPr>
        <w:t xml:space="preserve"> McBeth (eds), </w:t>
      </w:r>
      <w:r w:rsidRPr="00CD1284">
        <w:rPr>
          <w:i/>
          <w:szCs w:val="20"/>
          <w:lang w:val="en-GB"/>
        </w:rPr>
        <w:t>Research Handbook on International Human Rights Law</w:t>
      </w:r>
      <w:r w:rsidRPr="00CD1284">
        <w:rPr>
          <w:szCs w:val="20"/>
          <w:lang w:val="en-GB"/>
        </w:rPr>
        <w:t xml:space="preserve"> (Edward Elgar Publishing, 2010) 114.</w:t>
      </w:r>
    </w:p>
  </w:footnote>
  <w:footnote w:id="30">
    <w:p w14:paraId="2E177FE9" w14:textId="45E39059"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J</w:t>
      </w:r>
      <w:r w:rsidRPr="00CD1284">
        <w:rPr>
          <w:sz w:val="20"/>
          <w:szCs w:val="20"/>
          <w:lang w:val="en-GB"/>
        </w:rPr>
        <w:t>K Kleffner</w:t>
      </w:r>
      <w:r w:rsidRPr="00CD1284">
        <w:rPr>
          <w:i/>
          <w:sz w:val="20"/>
          <w:szCs w:val="20"/>
          <w:lang w:val="en-GB"/>
        </w:rPr>
        <w:t xml:space="preserve"> </w:t>
      </w:r>
      <w:r w:rsidRPr="00CD1284">
        <w:rPr>
          <w:sz w:val="20"/>
          <w:szCs w:val="20"/>
          <w:lang w:val="en-GB"/>
        </w:rPr>
        <w:t>‘The Applicability of International Humanitarian Law to Organised Armed Groups’ (20</w:t>
      </w:r>
      <w:r>
        <w:rPr>
          <w:sz w:val="20"/>
          <w:szCs w:val="20"/>
          <w:lang w:val="en-GB"/>
        </w:rPr>
        <w:t xml:space="preserve">11) 93 Int’l Rev Red Cross </w:t>
      </w:r>
      <w:r w:rsidRPr="00CD1284">
        <w:rPr>
          <w:sz w:val="20"/>
          <w:szCs w:val="20"/>
          <w:lang w:val="en-GB"/>
        </w:rPr>
        <w:t>455.</w:t>
      </w:r>
    </w:p>
  </w:footnote>
  <w:footnote w:id="31">
    <w:p w14:paraId="58A37242" w14:textId="0A896DC7" w:rsidR="00FD777C" w:rsidRPr="00CD1284" w:rsidRDefault="00FD777C" w:rsidP="00CD1284">
      <w:pPr>
        <w:pStyle w:val="FootnoteText"/>
        <w:rPr>
          <w:szCs w:val="20"/>
          <w:lang w:val="en-GB"/>
        </w:rPr>
      </w:pPr>
      <w:r w:rsidRPr="00CD1284">
        <w:rPr>
          <w:rStyle w:val="FootnoteReference"/>
          <w:szCs w:val="20"/>
        </w:rPr>
        <w:footnoteRef/>
      </w:r>
      <w:r w:rsidRPr="00CD1284">
        <w:rPr>
          <w:szCs w:val="20"/>
        </w:rPr>
        <w:t xml:space="preserve"> </w:t>
      </w:r>
      <w:r w:rsidRPr="00CD1284">
        <w:rPr>
          <w:szCs w:val="20"/>
          <w:lang w:val="en-GB"/>
        </w:rPr>
        <w:t>For a significantly expanded argument on this topic see:</w:t>
      </w:r>
      <w:r>
        <w:rPr>
          <w:szCs w:val="20"/>
          <w:lang w:val="en-GB"/>
        </w:rPr>
        <w:t xml:space="preserve"> LJ</w:t>
      </w:r>
      <w:r w:rsidRPr="00CD1284">
        <w:rPr>
          <w:szCs w:val="20"/>
          <w:lang w:val="en-GB"/>
        </w:rPr>
        <w:t xml:space="preserve"> McConnell, </w:t>
      </w:r>
      <w:r w:rsidRPr="00CD1284">
        <w:rPr>
          <w:i/>
          <w:szCs w:val="20"/>
          <w:lang w:val="en-GB"/>
        </w:rPr>
        <w:t xml:space="preserve">Extracting Accountability from Non-State Actors in International Law </w:t>
      </w:r>
      <w:r w:rsidRPr="00CD1284">
        <w:rPr>
          <w:szCs w:val="20"/>
          <w:lang w:val="en-GB"/>
        </w:rPr>
        <w:t>(Routledge, 2016).</w:t>
      </w:r>
    </w:p>
  </w:footnote>
  <w:footnote w:id="32">
    <w:p w14:paraId="3EE87E16" w14:textId="784CAAA1"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A</w:t>
      </w:r>
      <w:r>
        <w:rPr>
          <w:sz w:val="20"/>
          <w:szCs w:val="20"/>
          <w:lang w:val="en-GB"/>
        </w:rPr>
        <w:t>llott (n 22) 83 para 3.26; D</w:t>
      </w:r>
      <w:r w:rsidRPr="00CD1284">
        <w:rPr>
          <w:sz w:val="20"/>
          <w:szCs w:val="20"/>
          <w:lang w:val="en-GB"/>
        </w:rPr>
        <w:t xml:space="preserve"> Hume, </w:t>
      </w:r>
      <w:r w:rsidRPr="00CD1284">
        <w:rPr>
          <w:i/>
          <w:sz w:val="20"/>
          <w:szCs w:val="20"/>
          <w:lang w:val="en-GB"/>
        </w:rPr>
        <w:t>A Treatise of Human Nature</w:t>
      </w:r>
      <w:r w:rsidRPr="00CD1284">
        <w:rPr>
          <w:sz w:val="20"/>
          <w:szCs w:val="20"/>
          <w:lang w:val="en-GB"/>
        </w:rPr>
        <w:t xml:space="preserve"> (first published 1738, Allman, 1817) Vol II</w:t>
      </w:r>
      <w:r>
        <w:rPr>
          <w:sz w:val="20"/>
          <w:szCs w:val="20"/>
          <w:lang w:val="en-GB"/>
        </w:rPr>
        <w:t>,</w:t>
      </w:r>
      <w:r w:rsidRPr="00CD1284">
        <w:rPr>
          <w:sz w:val="20"/>
          <w:szCs w:val="20"/>
          <w:lang w:val="en-GB"/>
        </w:rPr>
        <w:t xml:space="preserve"> Bk III, Pt</w:t>
      </w:r>
      <w:r>
        <w:rPr>
          <w:sz w:val="20"/>
          <w:szCs w:val="20"/>
          <w:lang w:val="en-GB"/>
        </w:rPr>
        <w:t xml:space="preserve"> I, 154-172; I</w:t>
      </w:r>
      <w:r w:rsidRPr="00CD1284">
        <w:rPr>
          <w:sz w:val="20"/>
          <w:szCs w:val="20"/>
          <w:lang w:val="en-GB"/>
        </w:rPr>
        <w:t xml:space="preserve"> Kant, </w:t>
      </w:r>
      <w:r w:rsidRPr="00CD1284">
        <w:rPr>
          <w:i/>
          <w:sz w:val="20"/>
          <w:szCs w:val="20"/>
          <w:lang w:val="en-GB"/>
        </w:rPr>
        <w:t xml:space="preserve">The Critique of Pure Reason </w:t>
      </w:r>
      <w:r w:rsidRPr="00CD1284">
        <w:rPr>
          <w:sz w:val="20"/>
          <w:szCs w:val="20"/>
          <w:lang w:val="en-GB"/>
        </w:rPr>
        <w:t>(first published 1781, NK</w:t>
      </w:r>
      <w:r>
        <w:rPr>
          <w:sz w:val="20"/>
          <w:szCs w:val="20"/>
          <w:lang w:val="en-GB"/>
        </w:rPr>
        <w:t xml:space="preserve"> </w:t>
      </w:r>
      <w:r w:rsidRPr="00CD1284">
        <w:rPr>
          <w:sz w:val="20"/>
          <w:szCs w:val="20"/>
          <w:lang w:val="en-GB"/>
        </w:rPr>
        <w:t>Smith tr, Macmillan, 1963) 313.</w:t>
      </w:r>
    </w:p>
  </w:footnote>
  <w:footnote w:id="33">
    <w:p w14:paraId="4CE6812B" w14:textId="2556BA52"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H</w:t>
      </w:r>
      <w:r w:rsidRPr="00CD1284">
        <w:rPr>
          <w:szCs w:val="20"/>
          <w:lang w:val="en-GB"/>
        </w:rPr>
        <w:t xml:space="preserve"> Kelsen, </w:t>
      </w:r>
      <w:r w:rsidRPr="00CD1284">
        <w:rPr>
          <w:i/>
          <w:szCs w:val="20"/>
          <w:lang w:val="en-GB"/>
        </w:rPr>
        <w:t>General Theory of Law and State</w:t>
      </w:r>
      <w:r>
        <w:rPr>
          <w:szCs w:val="20"/>
          <w:lang w:val="en-GB"/>
        </w:rPr>
        <w:t xml:space="preserve"> (first published 1945, A</w:t>
      </w:r>
      <w:r w:rsidRPr="00CD1284">
        <w:rPr>
          <w:szCs w:val="20"/>
          <w:lang w:val="en-GB"/>
        </w:rPr>
        <w:t xml:space="preserve"> Wedberg tr, Harvard University Press, 1949) 123-124.</w:t>
      </w:r>
    </w:p>
  </w:footnote>
  <w:footnote w:id="34">
    <w:p w14:paraId="62F1275C" w14:textId="050E229C"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H Kelsen, </w:t>
      </w:r>
      <w:r w:rsidRPr="00CD1284">
        <w:rPr>
          <w:i/>
          <w:sz w:val="20"/>
          <w:szCs w:val="20"/>
          <w:lang w:val="en-GB"/>
        </w:rPr>
        <w:t>The Pure Theory of Law</w:t>
      </w:r>
      <w:r>
        <w:rPr>
          <w:sz w:val="20"/>
          <w:szCs w:val="20"/>
          <w:lang w:val="en-GB"/>
        </w:rPr>
        <w:t xml:space="preserve"> (M</w:t>
      </w:r>
      <w:r w:rsidRPr="00CD1284">
        <w:rPr>
          <w:sz w:val="20"/>
          <w:szCs w:val="20"/>
          <w:lang w:val="en-GB"/>
        </w:rPr>
        <w:t xml:space="preserve"> Knight tr, 2nd edn, University of California Press, 1970) 6.</w:t>
      </w:r>
    </w:p>
  </w:footnote>
  <w:footnote w:id="35">
    <w:p w14:paraId="587FF2D3" w14:textId="6FDBBE36"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Kelsen, </w:t>
      </w:r>
      <w:r w:rsidRPr="00CD1284">
        <w:rPr>
          <w:i/>
          <w:sz w:val="20"/>
          <w:szCs w:val="20"/>
          <w:lang w:val="en-GB"/>
        </w:rPr>
        <w:t xml:space="preserve">General Theory </w:t>
      </w:r>
      <w:r>
        <w:rPr>
          <w:sz w:val="20"/>
          <w:szCs w:val="20"/>
          <w:lang w:val="en-GB"/>
        </w:rPr>
        <w:t>(n 32</w:t>
      </w:r>
      <w:r w:rsidRPr="00CD1284">
        <w:rPr>
          <w:sz w:val="20"/>
          <w:szCs w:val="20"/>
          <w:lang w:val="en-GB"/>
        </w:rPr>
        <w:t>) 45.</w:t>
      </w:r>
    </w:p>
  </w:footnote>
  <w:footnote w:id="36">
    <w:p w14:paraId="7C24D4B8" w14:textId="71C65B00"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ibid. 189.</w:t>
      </w:r>
    </w:p>
  </w:footnote>
  <w:footnote w:id="37">
    <w:p w14:paraId="660A3CA9" w14:textId="2A37F23B" w:rsidR="00FD777C" w:rsidRPr="00CD1284" w:rsidRDefault="00FD777C" w:rsidP="00CD1284">
      <w:pPr>
        <w:pStyle w:val="FootnoteText"/>
        <w:rPr>
          <w:szCs w:val="20"/>
        </w:rPr>
      </w:pPr>
      <w:r w:rsidRPr="00CD1284">
        <w:rPr>
          <w:rStyle w:val="FootnoteReference"/>
          <w:szCs w:val="20"/>
        </w:rPr>
        <w:footnoteRef/>
      </w:r>
      <w:r w:rsidRPr="00CD1284">
        <w:rPr>
          <w:szCs w:val="20"/>
        </w:rPr>
        <w:t xml:space="preserve"> ibid.</w:t>
      </w:r>
      <w:r w:rsidRPr="00CD1284">
        <w:rPr>
          <w:szCs w:val="20"/>
          <w:lang w:val="en-GB"/>
        </w:rPr>
        <w:t xml:space="preserve"> </w:t>
      </w:r>
      <w:r w:rsidRPr="00CD1284">
        <w:rPr>
          <w:szCs w:val="20"/>
        </w:rPr>
        <w:t>95-6.</w:t>
      </w:r>
    </w:p>
  </w:footnote>
  <w:footnote w:id="38">
    <w:p w14:paraId="439ED4F0" w14:textId="3D6080E9"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w:t>
      </w:r>
      <w:r w:rsidRPr="00CD1284">
        <w:rPr>
          <w:i/>
          <w:sz w:val="20"/>
          <w:szCs w:val="20"/>
          <w:lang w:val="en-GB"/>
        </w:rPr>
        <w:t xml:space="preserve">Reparation for injuries suffered in the service of the United Nations </w:t>
      </w:r>
      <w:r w:rsidRPr="00CD1284">
        <w:rPr>
          <w:sz w:val="20"/>
          <w:szCs w:val="20"/>
          <w:lang w:val="en-GB"/>
        </w:rPr>
        <w:t xml:space="preserve">(Advisory Opinion) ICJ Reports [1949] (hereafter </w:t>
      </w:r>
      <w:r w:rsidRPr="00CD1284">
        <w:rPr>
          <w:i/>
          <w:sz w:val="20"/>
          <w:szCs w:val="20"/>
          <w:lang w:val="en-GB"/>
        </w:rPr>
        <w:t>Reparation</w:t>
      </w:r>
      <w:r w:rsidRPr="00CD1284">
        <w:rPr>
          <w:sz w:val="20"/>
          <w:szCs w:val="20"/>
          <w:lang w:val="en-GB"/>
        </w:rPr>
        <w:t>).</w:t>
      </w:r>
    </w:p>
  </w:footnote>
  <w:footnote w:id="39">
    <w:p w14:paraId="3F5BE12A" w14:textId="084BBA41"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ibid. 179.</w:t>
      </w:r>
    </w:p>
  </w:footnote>
  <w:footnote w:id="40">
    <w:p w14:paraId="42D9EA44" w14:textId="01C85193"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Kammerhofer, ‘Benefits’ (n 17</w:t>
      </w:r>
      <w:r w:rsidRPr="00CD1284">
        <w:rPr>
          <w:sz w:val="20"/>
          <w:szCs w:val="20"/>
          <w:lang w:val="en-GB"/>
        </w:rPr>
        <w:t>) 36.</w:t>
      </w:r>
    </w:p>
  </w:footnote>
  <w:footnote w:id="41">
    <w:p w14:paraId="3CFCFCA8" w14:textId="50A277F6"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‘The subjects of law in any legal system are not necessarily identical in their nature or in the extent of their rights’</w:t>
      </w:r>
      <w:r>
        <w:rPr>
          <w:sz w:val="20"/>
          <w:szCs w:val="20"/>
          <w:lang w:val="en-GB"/>
        </w:rPr>
        <w:t>.</w:t>
      </w:r>
      <w:r w:rsidRPr="00CD1284">
        <w:rPr>
          <w:sz w:val="20"/>
          <w:szCs w:val="20"/>
          <w:lang w:val="en-GB"/>
        </w:rPr>
        <w:t xml:space="preserve"> </w:t>
      </w:r>
      <w:r w:rsidRPr="00CD1284">
        <w:rPr>
          <w:i/>
          <w:sz w:val="20"/>
          <w:szCs w:val="20"/>
          <w:lang w:val="en-GB"/>
        </w:rPr>
        <w:t xml:space="preserve">Reparation </w:t>
      </w:r>
      <w:r w:rsidRPr="00CD1284">
        <w:rPr>
          <w:sz w:val="20"/>
          <w:szCs w:val="20"/>
          <w:lang w:val="en-GB"/>
        </w:rPr>
        <w:t>(n</w:t>
      </w:r>
      <w:r>
        <w:rPr>
          <w:sz w:val="20"/>
          <w:szCs w:val="20"/>
          <w:lang w:val="en-GB"/>
        </w:rPr>
        <w:t xml:space="preserve"> 37</w:t>
      </w:r>
      <w:r w:rsidRPr="00CD1284">
        <w:rPr>
          <w:sz w:val="20"/>
          <w:szCs w:val="20"/>
          <w:lang w:val="en-GB"/>
        </w:rPr>
        <w:t>) 178.</w:t>
      </w:r>
    </w:p>
  </w:footnote>
  <w:footnote w:id="42">
    <w:p w14:paraId="5CC437B5" w14:textId="46259201"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S</w:t>
      </w:r>
      <w:r w:rsidRPr="00CD1284">
        <w:rPr>
          <w:sz w:val="20"/>
          <w:szCs w:val="20"/>
          <w:lang w:val="en-GB"/>
        </w:rPr>
        <w:t>L Paulson, ‘Hans Kelsen’s Doctrine of Imputation’ (2001) 14 Ratio Juris 47.</w:t>
      </w:r>
    </w:p>
  </w:footnote>
  <w:footnote w:id="43">
    <w:p w14:paraId="4B2B5431" w14:textId="6D16FCC1"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H</w:t>
      </w:r>
      <w:r w:rsidRPr="00CD1284">
        <w:rPr>
          <w:sz w:val="20"/>
          <w:szCs w:val="20"/>
          <w:lang w:val="en-GB"/>
        </w:rPr>
        <w:t xml:space="preserve"> Kelsen</w:t>
      </w:r>
      <w:r w:rsidRPr="00CD1284">
        <w:rPr>
          <w:i/>
          <w:sz w:val="20"/>
          <w:szCs w:val="20"/>
          <w:lang w:val="en-GB"/>
        </w:rPr>
        <w:t>, Principles of International Law</w:t>
      </w:r>
      <w:r w:rsidRPr="00CD1284">
        <w:rPr>
          <w:sz w:val="20"/>
          <w:szCs w:val="20"/>
          <w:lang w:val="en-GB"/>
        </w:rPr>
        <w:t xml:space="preserve"> (Rinehart &amp; Co, 1952) 98.</w:t>
      </w:r>
    </w:p>
  </w:footnote>
  <w:footnote w:id="44">
    <w:p w14:paraId="4CDB9D35" w14:textId="4089C61E"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Portmann (n 17</w:t>
      </w:r>
      <w:r w:rsidRPr="00CD1284">
        <w:rPr>
          <w:sz w:val="20"/>
          <w:szCs w:val="20"/>
          <w:lang w:val="en-GB"/>
        </w:rPr>
        <w:t>) 175.</w:t>
      </w:r>
    </w:p>
  </w:footnote>
  <w:footnote w:id="45">
    <w:p w14:paraId="202ADEF6" w14:textId="1D4D4F03"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J</w:t>
      </w:r>
      <w:r w:rsidRPr="00CD1284">
        <w:rPr>
          <w:sz w:val="20"/>
          <w:szCs w:val="20"/>
          <w:lang w:val="en-GB"/>
        </w:rPr>
        <w:t xml:space="preserve"> d’Aspremont, ‘The Doctrine of Fundamental Rights of States and the Functions of Anthropomorphic Thinking in International Law’ (2015) 4 CJI</w:t>
      </w:r>
      <w:r>
        <w:rPr>
          <w:sz w:val="20"/>
          <w:szCs w:val="20"/>
          <w:lang w:val="en-GB"/>
        </w:rPr>
        <w:t>CL (forthcoming); Portmann (n 17</w:t>
      </w:r>
      <w:r w:rsidRPr="00CD1284">
        <w:rPr>
          <w:sz w:val="20"/>
          <w:szCs w:val="20"/>
          <w:lang w:val="en-GB"/>
        </w:rPr>
        <w:t>) 177; Kelsen</w:t>
      </w:r>
      <w:r w:rsidRPr="00CD1284">
        <w:rPr>
          <w:i/>
          <w:sz w:val="20"/>
          <w:szCs w:val="20"/>
          <w:lang w:val="en-GB"/>
        </w:rPr>
        <w:t xml:space="preserve">, Principles </w:t>
      </w:r>
      <w:r>
        <w:rPr>
          <w:sz w:val="20"/>
          <w:szCs w:val="20"/>
          <w:lang w:val="en-GB"/>
        </w:rPr>
        <w:t>(n 42</w:t>
      </w:r>
      <w:r w:rsidRPr="00CD1284">
        <w:rPr>
          <w:sz w:val="20"/>
          <w:szCs w:val="20"/>
          <w:lang w:val="en-GB"/>
        </w:rPr>
        <w:t>) 148-9.</w:t>
      </w:r>
    </w:p>
  </w:footnote>
  <w:footnote w:id="46">
    <w:p w14:paraId="091C63F5" w14:textId="0259DDFA"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M</w:t>
      </w:r>
      <w:r w:rsidRPr="00CD1284">
        <w:rPr>
          <w:szCs w:val="20"/>
          <w:lang w:val="en-GB"/>
        </w:rPr>
        <w:t xml:space="preserve"> Jackson, </w:t>
      </w:r>
      <w:r w:rsidRPr="00CD1284">
        <w:rPr>
          <w:i/>
          <w:szCs w:val="20"/>
          <w:lang w:val="en-GB"/>
        </w:rPr>
        <w:t>Complicity in International Law</w:t>
      </w:r>
      <w:r w:rsidRPr="00CD1284">
        <w:rPr>
          <w:szCs w:val="20"/>
          <w:lang w:val="en-GB"/>
        </w:rPr>
        <w:t xml:space="preserve"> (OUP, 2015) 13.</w:t>
      </w:r>
    </w:p>
  </w:footnote>
  <w:footnote w:id="47">
    <w:p w14:paraId="360F1BDD" w14:textId="7649BCE8"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Kelsen</w:t>
      </w:r>
      <w:r w:rsidRPr="00CD1284">
        <w:rPr>
          <w:i/>
          <w:sz w:val="20"/>
          <w:szCs w:val="20"/>
          <w:lang w:val="en-GB"/>
        </w:rPr>
        <w:t xml:space="preserve">, Principles </w:t>
      </w:r>
      <w:r>
        <w:rPr>
          <w:sz w:val="20"/>
          <w:szCs w:val="20"/>
          <w:lang w:val="en-GB"/>
        </w:rPr>
        <w:t>(n 42</w:t>
      </w:r>
      <w:r w:rsidRPr="00CD1284">
        <w:rPr>
          <w:sz w:val="20"/>
          <w:szCs w:val="20"/>
          <w:lang w:val="en-GB"/>
        </w:rPr>
        <w:t>) 314.</w:t>
      </w:r>
    </w:p>
  </w:footnote>
  <w:footnote w:id="48">
    <w:p w14:paraId="40C59639" w14:textId="77CB45DC"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S</w:t>
      </w:r>
      <w:r w:rsidRPr="00CD1284">
        <w:rPr>
          <w:szCs w:val="20"/>
          <w:lang w:val="en-GB"/>
        </w:rPr>
        <w:t xml:space="preserve"> Hall, ‘The Persistent Spectre: Natural Law, International Order and the Limits of Legal Positivism’ (2001) 12 EJIL</w:t>
      </w:r>
      <w:r>
        <w:rPr>
          <w:szCs w:val="20"/>
          <w:lang w:val="en-GB"/>
        </w:rPr>
        <w:t xml:space="preserve"> 300; D</w:t>
      </w:r>
      <w:r w:rsidRPr="00CD1284">
        <w:rPr>
          <w:szCs w:val="20"/>
          <w:lang w:val="en-GB"/>
        </w:rPr>
        <w:t xml:space="preserve"> Lloyd, </w:t>
      </w:r>
      <w:r w:rsidRPr="00CD1284">
        <w:rPr>
          <w:i/>
          <w:szCs w:val="20"/>
          <w:lang w:val="en-GB"/>
        </w:rPr>
        <w:t>The Idea of Law</w:t>
      </w:r>
      <w:r w:rsidRPr="00CD1284">
        <w:rPr>
          <w:szCs w:val="20"/>
          <w:lang w:val="en-GB"/>
        </w:rPr>
        <w:t xml:space="preserve"> (Revised edn, Penguin, 1981) 194.</w:t>
      </w:r>
    </w:p>
  </w:footnote>
  <w:footnote w:id="49">
    <w:p w14:paraId="0CB51BC1" w14:textId="250BC4C3"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Kelsen</w:t>
      </w:r>
      <w:r w:rsidRPr="00CD1284">
        <w:rPr>
          <w:i/>
          <w:sz w:val="20"/>
          <w:szCs w:val="20"/>
          <w:lang w:val="en-GB"/>
        </w:rPr>
        <w:t xml:space="preserve">, Principles </w:t>
      </w:r>
      <w:r>
        <w:rPr>
          <w:sz w:val="20"/>
          <w:szCs w:val="20"/>
          <w:lang w:val="en-GB"/>
        </w:rPr>
        <w:t>(n 42</w:t>
      </w:r>
      <w:r w:rsidRPr="00CD1284">
        <w:rPr>
          <w:sz w:val="20"/>
          <w:szCs w:val="20"/>
          <w:lang w:val="en-GB"/>
        </w:rPr>
        <w:t>) 437-8.</w:t>
      </w:r>
    </w:p>
  </w:footnote>
  <w:footnote w:id="50">
    <w:p w14:paraId="6ED6FE38" w14:textId="7FA19F51"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Bernstorff (n 23</w:t>
      </w:r>
      <w:r w:rsidRPr="00CD1284">
        <w:rPr>
          <w:sz w:val="20"/>
          <w:szCs w:val="20"/>
          <w:lang w:val="en-GB"/>
        </w:rPr>
        <w:t>) 115-16.</w:t>
      </w:r>
    </w:p>
  </w:footnote>
  <w:footnote w:id="51">
    <w:p w14:paraId="48E3A7D9" w14:textId="53EA75D9"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Kammerhofer, </w:t>
      </w:r>
      <w:r w:rsidRPr="00CD1284">
        <w:rPr>
          <w:i/>
          <w:sz w:val="20"/>
          <w:szCs w:val="20"/>
          <w:lang w:val="en-GB"/>
        </w:rPr>
        <w:t xml:space="preserve">Uncertainty </w:t>
      </w:r>
      <w:r w:rsidRPr="00CD1284">
        <w:rPr>
          <w:sz w:val="20"/>
          <w:szCs w:val="20"/>
          <w:lang w:val="en-GB"/>
        </w:rPr>
        <w:t>(n 1</w:t>
      </w:r>
      <w:r>
        <w:rPr>
          <w:sz w:val="20"/>
          <w:szCs w:val="20"/>
          <w:lang w:val="en-GB"/>
        </w:rPr>
        <w:t>7</w:t>
      </w:r>
      <w:r w:rsidRPr="00CD1284">
        <w:rPr>
          <w:sz w:val="20"/>
          <w:szCs w:val="20"/>
          <w:lang w:val="en-GB"/>
        </w:rPr>
        <w:t>) 219.</w:t>
      </w:r>
    </w:p>
  </w:footnote>
  <w:footnote w:id="52">
    <w:p w14:paraId="1E0ECC9B" w14:textId="0F945660"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R</w:t>
      </w:r>
      <w:r w:rsidRPr="00CD1284">
        <w:rPr>
          <w:sz w:val="20"/>
          <w:szCs w:val="20"/>
          <w:lang w:val="en-GB"/>
        </w:rPr>
        <w:t xml:space="preserve"> Tur, ‘The </w:t>
      </w:r>
      <w:r>
        <w:rPr>
          <w:sz w:val="20"/>
          <w:szCs w:val="20"/>
          <w:lang w:val="en-GB"/>
        </w:rPr>
        <w:t>Kelsenian Enterprise’ in R Tur &amp; W</w:t>
      </w:r>
      <w:r w:rsidRPr="00CD1284">
        <w:rPr>
          <w:sz w:val="20"/>
          <w:szCs w:val="20"/>
          <w:lang w:val="en-GB"/>
        </w:rPr>
        <w:t xml:space="preserve"> Twining (eds), </w:t>
      </w:r>
      <w:r w:rsidRPr="00CD1284">
        <w:rPr>
          <w:i/>
          <w:sz w:val="20"/>
          <w:szCs w:val="20"/>
          <w:lang w:val="en-GB"/>
        </w:rPr>
        <w:t>Essays on Kelsen</w:t>
      </w:r>
      <w:r w:rsidRPr="00CD1284">
        <w:rPr>
          <w:sz w:val="20"/>
          <w:szCs w:val="20"/>
          <w:lang w:val="en-GB"/>
        </w:rPr>
        <w:t>, (Cla</w:t>
      </w:r>
      <w:r>
        <w:rPr>
          <w:sz w:val="20"/>
          <w:szCs w:val="20"/>
          <w:lang w:val="en-GB"/>
        </w:rPr>
        <w:t>rendon Press, 1986) 155; W</w:t>
      </w:r>
      <w:r w:rsidRPr="00CD1284">
        <w:rPr>
          <w:sz w:val="20"/>
          <w:szCs w:val="20"/>
          <w:lang w:val="en-GB"/>
        </w:rPr>
        <w:t xml:space="preserve"> Ebenstein, </w:t>
      </w:r>
      <w:r w:rsidRPr="00CD1284">
        <w:rPr>
          <w:i/>
          <w:sz w:val="20"/>
          <w:szCs w:val="20"/>
          <w:lang w:val="en-GB"/>
        </w:rPr>
        <w:t>The Pure Theory of Law</w:t>
      </w:r>
      <w:r w:rsidRPr="00CD1284">
        <w:rPr>
          <w:sz w:val="20"/>
          <w:szCs w:val="20"/>
          <w:lang w:val="en-GB"/>
        </w:rPr>
        <w:t xml:space="preserve"> (AM Kelley, 1969) 32.</w:t>
      </w:r>
    </w:p>
  </w:footnote>
  <w:footnote w:id="53">
    <w:p w14:paraId="50D17EE5" w14:textId="574647DD"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Tur (n 51</w:t>
      </w:r>
      <w:r w:rsidRPr="00CD1284">
        <w:rPr>
          <w:sz w:val="20"/>
          <w:szCs w:val="20"/>
          <w:lang w:val="en-GB"/>
        </w:rPr>
        <w:t>) 169.</w:t>
      </w:r>
    </w:p>
  </w:footnote>
  <w:footnote w:id="54">
    <w:p w14:paraId="351ECDD0" w14:textId="3314FCF9"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S</w:t>
      </w:r>
      <w:r w:rsidRPr="00CD1284">
        <w:rPr>
          <w:sz w:val="20"/>
          <w:szCs w:val="20"/>
          <w:lang w:val="en-GB"/>
        </w:rPr>
        <w:t>L Paulson, ‘The Neo-Kantian Dimension of Kelsen’s Pure Theory of Law’ (1992) 1</w:t>
      </w:r>
      <w:r>
        <w:rPr>
          <w:sz w:val="20"/>
          <w:szCs w:val="20"/>
          <w:lang w:val="en-GB"/>
        </w:rPr>
        <w:t>2 Ox J Leg Stud 322-32; U</w:t>
      </w:r>
      <w:r w:rsidRPr="00CD1284">
        <w:rPr>
          <w:sz w:val="20"/>
          <w:szCs w:val="20"/>
          <w:lang w:val="en-GB"/>
        </w:rPr>
        <w:t xml:space="preserve"> Bindreiter, </w:t>
      </w:r>
      <w:r w:rsidRPr="00CD1284">
        <w:rPr>
          <w:i/>
          <w:sz w:val="20"/>
          <w:szCs w:val="20"/>
          <w:lang w:val="en-GB"/>
        </w:rPr>
        <w:t>Why Grundnorm?: A Treatise on the Implications of Kelsen’s Doctrine</w:t>
      </w:r>
      <w:r>
        <w:rPr>
          <w:sz w:val="20"/>
          <w:szCs w:val="20"/>
          <w:lang w:val="en-GB"/>
        </w:rPr>
        <w:t xml:space="preserve"> (Springer, 2002) 24-8; H</w:t>
      </w:r>
      <w:r w:rsidRPr="00CD1284">
        <w:rPr>
          <w:sz w:val="20"/>
          <w:szCs w:val="20"/>
          <w:lang w:val="en-GB"/>
        </w:rPr>
        <w:t xml:space="preserve"> Kelsen, ‘Causality and Imputation’ (1950) 61 Ethics 1.</w:t>
      </w:r>
    </w:p>
  </w:footnote>
  <w:footnote w:id="55">
    <w:p w14:paraId="379C9FBC" w14:textId="52483019" w:rsidR="00FD777C" w:rsidRPr="00CD1284" w:rsidRDefault="00FD777C" w:rsidP="00891DCC">
      <w:pPr>
        <w:rPr>
          <w:sz w:val="20"/>
          <w:szCs w:val="20"/>
          <w:lang w:val="en-GB"/>
        </w:rPr>
      </w:pPr>
      <w:r w:rsidRPr="00CD1284">
        <w:rPr>
          <w:rStyle w:val="FootnoteReference"/>
          <w:szCs w:val="20"/>
          <w:lang w:val="en-GB"/>
        </w:rPr>
        <w:footnoteRef/>
      </w:r>
      <w:r w:rsidRPr="00CD1284">
        <w:rPr>
          <w:sz w:val="20"/>
          <w:szCs w:val="20"/>
          <w:lang w:val="en-GB"/>
        </w:rPr>
        <w:t xml:space="preserve"> Paulson, ‘The Neo-K</w:t>
      </w:r>
      <w:r>
        <w:rPr>
          <w:sz w:val="20"/>
          <w:szCs w:val="20"/>
          <w:lang w:val="en-GB"/>
        </w:rPr>
        <w:t>antian Dimension’ (n 53); S</w:t>
      </w:r>
      <w:r w:rsidRPr="00CD1284">
        <w:rPr>
          <w:sz w:val="20"/>
          <w:szCs w:val="20"/>
          <w:lang w:val="en-GB"/>
        </w:rPr>
        <w:t xml:space="preserve"> Hammer, ‘A Neo-Kantian Theory of Knowledge in Kelsen’</w:t>
      </w:r>
      <w:r>
        <w:rPr>
          <w:sz w:val="20"/>
          <w:szCs w:val="20"/>
          <w:lang w:val="en-GB"/>
        </w:rPr>
        <w:t>s Pure Theory of Law’ in SL Paulson &amp; B</w:t>
      </w:r>
      <w:r w:rsidRPr="00CD1284">
        <w:rPr>
          <w:sz w:val="20"/>
          <w:szCs w:val="20"/>
          <w:lang w:val="en-GB"/>
        </w:rPr>
        <w:t xml:space="preserve"> Litschewski-Paulson (eds), </w:t>
      </w:r>
      <w:r w:rsidRPr="00CD1284">
        <w:rPr>
          <w:i/>
          <w:sz w:val="20"/>
          <w:szCs w:val="20"/>
          <w:lang w:val="en-GB"/>
        </w:rPr>
        <w:t>Normativity and Norms: Critical Perspectives on Kelsenian Themes</w:t>
      </w:r>
      <w:r w:rsidRPr="00CD1284">
        <w:rPr>
          <w:sz w:val="20"/>
          <w:szCs w:val="20"/>
          <w:lang w:val="en-GB"/>
        </w:rPr>
        <w:t xml:space="preserve"> (OUP, 1999) 177-94.</w:t>
      </w:r>
    </w:p>
  </w:footnote>
  <w:footnote w:id="56">
    <w:p w14:paraId="6903DFB7" w14:textId="1C07C15E"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Paulson, ‘</w:t>
      </w:r>
      <w:r>
        <w:rPr>
          <w:sz w:val="20"/>
          <w:szCs w:val="20"/>
          <w:lang w:val="en-GB"/>
        </w:rPr>
        <w:t>The Neo-Kantian Dimension’ (n 53</w:t>
      </w:r>
      <w:r w:rsidRPr="00CD1284">
        <w:rPr>
          <w:sz w:val="20"/>
          <w:szCs w:val="20"/>
          <w:lang w:val="en-GB"/>
        </w:rPr>
        <w:t>) 332; On Kelsen and t</w:t>
      </w:r>
      <w:r>
        <w:rPr>
          <w:sz w:val="20"/>
          <w:szCs w:val="20"/>
          <w:lang w:val="en-GB"/>
        </w:rPr>
        <w:t>he ‘legal point of view’: J</w:t>
      </w:r>
      <w:r w:rsidRPr="00CD1284">
        <w:rPr>
          <w:sz w:val="20"/>
          <w:szCs w:val="20"/>
          <w:lang w:val="en-GB"/>
        </w:rPr>
        <w:t xml:space="preserve"> Raz, </w:t>
      </w:r>
      <w:r w:rsidRPr="00CD1284">
        <w:rPr>
          <w:i/>
          <w:sz w:val="20"/>
          <w:szCs w:val="20"/>
          <w:lang w:val="en-GB"/>
        </w:rPr>
        <w:t>The Authority of Law</w:t>
      </w:r>
      <w:r w:rsidRPr="00CD1284">
        <w:rPr>
          <w:sz w:val="20"/>
          <w:szCs w:val="20"/>
          <w:lang w:val="en-GB"/>
        </w:rPr>
        <w:t xml:space="preserve"> (first published 1979, 2nd edn, OUP, 2009) 140-5.</w:t>
      </w:r>
    </w:p>
  </w:footnote>
  <w:footnote w:id="57">
    <w:p w14:paraId="12FC55CA" w14:textId="56EC3578" w:rsidR="00FD777C" w:rsidRPr="00CD1284" w:rsidRDefault="00FD777C" w:rsidP="00CD1284">
      <w:pPr>
        <w:pStyle w:val="FootnoteText"/>
        <w:rPr>
          <w:szCs w:val="20"/>
        </w:rPr>
      </w:pPr>
      <w:r w:rsidRPr="00CD1284">
        <w:rPr>
          <w:rStyle w:val="FootnoteReference"/>
          <w:szCs w:val="20"/>
        </w:rPr>
        <w:footnoteRef/>
      </w:r>
      <w:r w:rsidRPr="00CD1284">
        <w:rPr>
          <w:szCs w:val="20"/>
        </w:rPr>
        <w:t xml:space="preserve"> HLA Hart, </w:t>
      </w:r>
      <w:r w:rsidRPr="00CD1284">
        <w:rPr>
          <w:i/>
          <w:szCs w:val="20"/>
        </w:rPr>
        <w:t>The Concept of Law</w:t>
      </w:r>
      <w:r w:rsidRPr="00CD1284">
        <w:rPr>
          <w:szCs w:val="20"/>
        </w:rPr>
        <w:t xml:space="preserve"> (2nd edn, Clarendon Press 1961) 81.</w:t>
      </w:r>
    </w:p>
  </w:footnote>
  <w:footnote w:id="58">
    <w:p w14:paraId="509217F8" w14:textId="568ED1A4" w:rsidR="00FD777C" w:rsidRPr="00CD1284" w:rsidRDefault="00FD777C" w:rsidP="00CD1284">
      <w:pPr>
        <w:pStyle w:val="FootnoteText"/>
        <w:rPr>
          <w:szCs w:val="20"/>
        </w:rPr>
      </w:pPr>
      <w:r w:rsidRPr="00CD1284">
        <w:rPr>
          <w:rStyle w:val="FootnoteReference"/>
          <w:szCs w:val="20"/>
        </w:rPr>
        <w:footnoteRef/>
      </w:r>
      <w:r w:rsidRPr="00CD1284">
        <w:rPr>
          <w:szCs w:val="20"/>
        </w:rPr>
        <w:t xml:space="preserve"> ibid.</w:t>
      </w:r>
    </w:p>
  </w:footnote>
  <w:footnote w:id="59">
    <w:p w14:paraId="51AAA41A" w14:textId="1FA61C49" w:rsidR="00FD777C" w:rsidRPr="00CD1284" w:rsidRDefault="00FD777C" w:rsidP="00CD1284">
      <w:pPr>
        <w:pStyle w:val="FootnoteText"/>
        <w:rPr>
          <w:rStyle w:val="FootnoteReference"/>
          <w:szCs w:val="20"/>
          <w:lang w:val="en-GB"/>
        </w:rPr>
      </w:pPr>
      <w:r w:rsidRPr="00CD1284">
        <w:rPr>
          <w:rStyle w:val="FootnoteReference"/>
          <w:szCs w:val="20"/>
          <w:lang w:val="en-GB"/>
        </w:rPr>
        <w:footnoteRef/>
      </w:r>
      <w:r>
        <w:rPr>
          <w:szCs w:val="20"/>
          <w:lang w:val="en-GB"/>
        </w:rPr>
        <w:t xml:space="preserve"> J</w:t>
      </w:r>
      <w:r w:rsidRPr="00CD1284">
        <w:rPr>
          <w:szCs w:val="20"/>
          <w:lang w:val="en-GB"/>
        </w:rPr>
        <w:t xml:space="preserve"> d’</w:t>
      </w:r>
      <w:r>
        <w:rPr>
          <w:szCs w:val="20"/>
          <w:lang w:val="en-GB"/>
        </w:rPr>
        <w:t>Aspremont, A Nollkaemper, I Plakokefalos &amp; C</w:t>
      </w:r>
      <w:r w:rsidRPr="00CD1284">
        <w:rPr>
          <w:szCs w:val="20"/>
          <w:lang w:val="en-GB"/>
        </w:rPr>
        <w:t xml:space="preserve"> Ryngaert, ‘Sharing Responsibility Between Non-State Actors and States in International Law: Introduction’ (2015) 62 Neth I</w:t>
      </w:r>
      <w:r>
        <w:rPr>
          <w:szCs w:val="20"/>
          <w:lang w:val="en-GB"/>
        </w:rPr>
        <w:t>nt Law Rev 49, 61; Jackson (n 45</w:t>
      </w:r>
      <w:r w:rsidRPr="00CD1284">
        <w:rPr>
          <w:szCs w:val="20"/>
          <w:lang w:val="en-GB"/>
        </w:rPr>
        <w:t>) 127.</w:t>
      </w:r>
    </w:p>
  </w:footnote>
  <w:footnote w:id="60">
    <w:p w14:paraId="78AF48ED" w14:textId="6CE15EAF"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W</w:t>
      </w:r>
      <w:r w:rsidRPr="00CD1284">
        <w:rPr>
          <w:szCs w:val="20"/>
          <w:lang w:val="en-GB"/>
        </w:rPr>
        <w:t xml:space="preserve"> Vandenhole, ‘Shared Responsibility of Non-State Actors: A Human Rights Perspective’ in Gal-Or, </w:t>
      </w:r>
      <w:r>
        <w:rPr>
          <w:szCs w:val="20"/>
          <w:lang w:val="en-GB"/>
        </w:rPr>
        <w:t xml:space="preserve">Ryngaert &amp; Noortmann (n 17) </w:t>
      </w:r>
      <w:r w:rsidRPr="00CD1284">
        <w:rPr>
          <w:szCs w:val="20"/>
          <w:lang w:val="en-GB"/>
        </w:rPr>
        <w:t>56.</w:t>
      </w:r>
    </w:p>
  </w:footnote>
  <w:footnote w:id="61">
    <w:p w14:paraId="3EDEAB36" w14:textId="3FA50871"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P</w:t>
      </w:r>
      <w:r w:rsidRPr="00CD1284">
        <w:rPr>
          <w:szCs w:val="20"/>
          <w:lang w:val="en-GB"/>
        </w:rPr>
        <w:t xml:space="preserve"> Okowa, </w:t>
      </w:r>
      <w:r w:rsidRPr="00CD1284">
        <w:rPr>
          <w:i/>
          <w:szCs w:val="20"/>
          <w:lang w:val="en-GB"/>
        </w:rPr>
        <w:t>State Responsibility for Transboundary Air Pollution in International Law</w:t>
      </w:r>
      <w:r w:rsidRPr="00CD1284">
        <w:rPr>
          <w:szCs w:val="20"/>
          <w:lang w:val="en-GB"/>
        </w:rPr>
        <w:t xml:space="preserve"> (OUP, 2000) 195.</w:t>
      </w:r>
    </w:p>
  </w:footnote>
  <w:footnote w:id="62">
    <w:p w14:paraId="66636A67" w14:textId="6AAC0178"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M</w:t>
      </w:r>
      <w:r w:rsidRPr="00CD1284">
        <w:rPr>
          <w:szCs w:val="20"/>
          <w:lang w:val="en-GB"/>
        </w:rPr>
        <w:t xml:space="preserve"> Karavias, ‘Shared Responsibility and Multinational Enterprises’</w:t>
      </w:r>
      <w:r>
        <w:rPr>
          <w:szCs w:val="20"/>
          <w:lang w:val="en-GB"/>
        </w:rPr>
        <w:t xml:space="preserve"> (2015) 62 Neth Int Law Rev </w:t>
      </w:r>
      <w:r w:rsidRPr="00CD1284">
        <w:rPr>
          <w:szCs w:val="20"/>
          <w:lang w:val="en-GB"/>
        </w:rPr>
        <w:t xml:space="preserve">96. </w:t>
      </w:r>
    </w:p>
  </w:footnote>
  <w:footnote w:id="63">
    <w:p w14:paraId="29FE34DF" w14:textId="622ECCA8"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A Nollkaemper &amp; D</w:t>
      </w:r>
      <w:r w:rsidRPr="00CD1284">
        <w:rPr>
          <w:szCs w:val="20"/>
          <w:lang w:val="en-GB"/>
        </w:rPr>
        <w:t xml:space="preserve"> Jacobs, ‘Shared Responsibility in International Law: A Conceptual Framework’ (2013) 34 Mich J Int’l L 359.</w:t>
      </w:r>
    </w:p>
  </w:footnote>
  <w:footnote w:id="64">
    <w:p w14:paraId="3B5097BC" w14:textId="3389C9F4"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A Nollkaemper &amp; I</w:t>
      </w:r>
      <w:r w:rsidRPr="00CD1284">
        <w:rPr>
          <w:szCs w:val="20"/>
          <w:lang w:val="en-GB"/>
        </w:rPr>
        <w:t xml:space="preserve"> Plakokefalos (eds) </w:t>
      </w:r>
      <w:r w:rsidRPr="00CD1284">
        <w:rPr>
          <w:i/>
          <w:szCs w:val="20"/>
          <w:lang w:val="en-GB"/>
        </w:rPr>
        <w:t>Principles of Shared Responsibility in International Law: An Appraisal of the State of the Art</w:t>
      </w:r>
      <w:r w:rsidRPr="00CD1284">
        <w:rPr>
          <w:szCs w:val="20"/>
          <w:lang w:val="en-GB"/>
        </w:rPr>
        <w:t xml:space="preserve"> (Cambridge University Press, 2014); Karavias, ‘Shared Res</w:t>
      </w:r>
      <w:r>
        <w:rPr>
          <w:szCs w:val="20"/>
          <w:lang w:val="en-GB"/>
        </w:rPr>
        <w:t>ponsibility’ (n 61) 91; V</w:t>
      </w:r>
      <w:r w:rsidRPr="00CD1284">
        <w:rPr>
          <w:szCs w:val="20"/>
          <w:lang w:val="en-GB"/>
        </w:rPr>
        <w:t xml:space="preserve"> Bílková, ‘Armed Opposition Groups and Shared Responsibility’ (2015) 6</w:t>
      </w:r>
      <w:r>
        <w:rPr>
          <w:szCs w:val="20"/>
          <w:lang w:val="en-GB"/>
        </w:rPr>
        <w:t>2 Neth Int Law Rev 69; S</w:t>
      </w:r>
      <w:r w:rsidRPr="00CD1284">
        <w:rPr>
          <w:szCs w:val="20"/>
          <w:lang w:val="en-GB"/>
        </w:rPr>
        <w:t xml:space="preserve"> MacLeod, ‘Private Security Companies and Shared Responsibility: The Turn to Multistakeholder Standard-Setting and Monitoring through Self-Regulation-Plus’ (2015) 62 Ne</w:t>
      </w:r>
      <w:r>
        <w:rPr>
          <w:szCs w:val="20"/>
          <w:lang w:val="en-GB"/>
        </w:rPr>
        <w:t>th Int Law Rev 119; K</w:t>
      </w:r>
      <w:r w:rsidRPr="00CD1284">
        <w:rPr>
          <w:szCs w:val="20"/>
          <w:lang w:val="en-GB"/>
        </w:rPr>
        <w:t>N Trapp, ‘Shared Responsibility and Non-State Terrorist Actors’ (2015) 62 Neth Int Law Rev</w:t>
      </w:r>
      <w:r>
        <w:rPr>
          <w:szCs w:val="20"/>
          <w:lang w:val="en-GB"/>
        </w:rPr>
        <w:t xml:space="preserve"> </w:t>
      </w:r>
      <w:r w:rsidRPr="00CD1284">
        <w:rPr>
          <w:szCs w:val="20"/>
          <w:lang w:val="en-GB"/>
        </w:rPr>
        <w:t>141.</w:t>
      </w:r>
    </w:p>
  </w:footnote>
  <w:footnote w:id="65">
    <w:p w14:paraId="05172CF4" w14:textId="5C2A1AE7"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Convention on the Elimination of All Forms of Discrimination Against Women (18 December 1979) 1249 UNTS 13, art 2(e); Convention on the Rights of Persons with Disabilities (24 January 2007) A/RES/61/106, art 4(e); International Convention on the Elimination of All Forms of Racial Discrimination (21 December 1965) 660 UNTS 195, art 2(1)(d); Convention on the Protection of the Rights of All Migrant Workers and Members of their Families (18 December 1990) A</w:t>
      </w:r>
      <w:r>
        <w:rPr>
          <w:szCs w:val="20"/>
          <w:lang w:val="en-GB"/>
        </w:rPr>
        <w:t>/RES/45/158, art 16(2); J</w:t>
      </w:r>
      <w:r w:rsidRPr="00CD1284">
        <w:rPr>
          <w:szCs w:val="20"/>
          <w:lang w:val="en-GB"/>
        </w:rPr>
        <w:t>A Zerk, Multinationals and Corporate Social Responsibility: Limitations and Opportunities in International Law (CUP, 2006) 81-3.</w:t>
      </w:r>
    </w:p>
  </w:footnote>
  <w:footnote w:id="66">
    <w:p w14:paraId="1B11BFC1" w14:textId="6A4CDC43"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O</w:t>
      </w:r>
      <w:r w:rsidRPr="00CD1284">
        <w:rPr>
          <w:szCs w:val="20"/>
          <w:lang w:val="en-GB"/>
        </w:rPr>
        <w:t xml:space="preserve"> Oluduro, </w:t>
      </w:r>
      <w:r w:rsidRPr="00CD1284">
        <w:rPr>
          <w:i/>
          <w:szCs w:val="20"/>
          <w:lang w:val="en-GB"/>
        </w:rPr>
        <w:t>Oil Exploitation and Human Rights Violations in Nigeria’s Oil Producing Communities</w:t>
      </w:r>
      <w:r w:rsidRPr="00CD1284">
        <w:rPr>
          <w:szCs w:val="20"/>
          <w:lang w:val="en-GB"/>
        </w:rPr>
        <w:t xml:space="preserve"> (Intersentia, 2014) 353.</w:t>
      </w:r>
    </w:p>
  </w:footnote>
  <w:footnote w:id="67">
    <w:p w14:paraId="765FFA18" w14:textId="63AA59F5"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P</w:t>
      </w:r>
      <w:r w:rsidRPr="00CD1284">
        <w:rPr>
          <w:szCs w:val="20"/>
          <w:lang w:val="en-GB"/>
        </w:rPr>
        <w:t xml:space="preserve"> Muchlinski, </w:t>
      </w:r>
      <w:r w:rsidRPr="00CD1284">
        <w:rPr>
          <w:i/>
          <w:szCs w:val="20"/>
          <w:lang w:val="en-GB"/>
        </w:rPr>
        <w:t>Multinational Enterprises and the Law</w:t>
      </w:r>
      <w:r w:rsidRPr="00CD1284">
        <w:rPr>
          <w:szCs w:val="20"/>
          <w:lang w:val="en-GB"/>
        </w:rPr>
        <w:t xml:space="preserve"> (2nd edn, OUP, 2007) 104-9.</w:t>
      </w:r>
    </w:p>
  </w:footnote>
  <w:footnote w:id="68">
    <w:p w14:paraId="288BF056" w14:textId="735064FF"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A</w:t>
      </w:r>
      <w:r w:rsidRPr="00CD1284">
        <w:rPr>
          <w:szCs w:val="20"/>
          <w:lang w:val="en-GB"/>
        </w:rPr>
        <w:t xml:space="preserve"> McBeth, </w:t>
      </w:r>
      <w:r w:rsidRPr="00CD1284">
        <w:rPr>
          <w:i/>
          <w:szCs w:val="20"/>
          <w:lang w:val="en-GB"/>
        </w:rPr>
        <w:t xml:space="preserve">International Economic Actors and Human Rights </w:t>
      </w:r>
      <w:r w:rsidRPr="00CD1284">
        <w:rPr>
          <w:szCs w:val="20"/>
          <w:lang w:val="en-GB"/>
        </w:rPr>
        <w:t>(Routledge, 2010) 2.</w:t>
      </w:r>
    </w:p>
  </w:footnote>
  <w:footnote w:id="69">
    <w:p w14:paraId="65AB0BEE" w14:textId="33F1AA08"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On the historical development of the </w:t>
      </w:r>
      <w:r>
        <w:rPr>
          <w:sz w:val="20"/>
          <w:szCs w:val="20"/>
          <w:lang w:val="en-GB"/>
        </w:rPr>
        <w:t>ASRIWA: J</w:t>
      </w:r>
      <w:r w:rsidRPr="00CD1284">
        <w:rPr>
          <w:sz w:val="20"/>
          <w:szCs w:val="20"/>
          <w:lang w:val="en-GB"/>
        </w:rPr>
        <w:t xml:space="preserve"> Crawford, ‘The ILC’s Articles on the Responsibility of States for Internationally Wrongful Acts: A Retrospect’ (2002) 96 AJIL</w:t>
      </w:r>
      <w:r>
        <w:rPr>
          <w:sz w:val="20"/>
          <w:szCs w:val="20"/>
          <w:lang w:val="en-GB"/>
        </w:rPr>
        <w:t xml:space="preserve"> 874; A </w:t>
      </w:r>
      <w:r w:rsidRPr="00CD1284">
        <w:rPr>
          <w:sz w:val="20"/>
          <w:szCs w:val="20"/>
          <w:lang w:val="en-GB"/>
        </w:rPr>
        <w:t>Pellet, ‘The ILC’s Articles on State Responsibility for Internationally Wrongful Acts and Related Texts</w:t>
      </w:r>
      <w:r>
        <w:rPr>
          <w:sz w:val="20"/>
          <w:szCs w:val="20"/>
          <w:lang w:val="en-GB"/>
        </w:rPr>
        <w:t>’ in J Crawford, A</w:t>
      </w:r>
      <w:r w:rsidRPr="00CD1284">
        <w:rPr>
          <w:sz w:val="20"/>
          <w:szCs w:val="20"/>
          <w:lang w:val="en-GB"/>
        </w:rPr>
        <w:t xml:space="preserve"> Pellet &amp; Others (eds), </w:t>
      </w:r>
      <w:r w:rsidRPr="00CD1284">
        <w:rPr>
          <w:i/>
          <w:sz w:val="20"/>
          <w:szCs w:val="20"/>
          <w:lang w:val="en-GB"/>
        </w:rPr>
        <w:t>The Law of International Responsibility</w:t>
      </w:r>
      <w:r w:rsidRPr="00CD1284">
        <w:rPr>
          <w:sz w:val="20"/>
          <w:szCs w:val="20"/>
          <w:lang w:val="en-GB"/>
        </w:rPr>
        <w:t xml:space="preserve"> (OUP 2010) 75-94.</w:t>
      </w:r>
    </w:p>
  </w:footnote>
  <w:footnote w:id="70">
    <w:p w14:paraId="6DF584B9" w14:textId="12C88BA3"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G</w:t>
      </w:r>
      <w:r w:rsidRPr="00CD1284">
        <w:rPr>
          <w:sz w:val="20"/>
          <w:szCs w:val="20"/>
          <w:lang w:val="en-GB"/>
        </w:rPr>
        <w:t xml:space="preserve"> Cronogue, ‘Rebels, Negligent Support, and State Accountability: Holding States Accountable for the Human Rights Violations of Non-State Actors’ (2013) 23 Duke J Comp &amp; Int’l L 365.</w:t>
      </w:r>
    </w:p>
  </w:footnote>
  <w:footnote w:id="71">
    <w:p w14:paraId="34A44B23" w14:textId="4AF740F2"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ILC, Articles on Responsibility of States for Internationally Wrongful Acts (2001) UN Doc A/56/49(Vol. I)/Corr.4, art 2 (hereafter ASRIWA); A State may not ‘absolve itself from responsibility by delegating its obligations to private bodies.’ </w:t>
      </w:r>
      <w:r w:rsidRPr="00CD1284">
        <w:rPr>
          <w:i/>
          <w:sz w:val="20"/>
          <w:szCs w:val="20"/>
          <w:lang w:val="en-GB"/>
        </w:rPr>
        <w:t>Costello-Roberts v United Kingdom</w:t>
      </w:r>
      <w:r w:rsidRPr="00CD1284">
        <w:rPr>
          <w:sz w:val="20"/>
          <w:szCs w:val="20"/>
          <w:lang w:val="en-GB"/>
        </w:rPr>
        <w:t>, Applicat</w:t>
      </w:r>
      <w:r>
        <w:rPr>
          <w:sz w:val="20"/>
          <w:szCs w:val="20"/>
          <w:lang w:val="en-GB"/>
        </w:rPr>
        <w:t>ion No 13134/87 (ECtHR, 1993)</w:t>
      </w:r>
      <w:r w:rsidRPr="00CD1284">
        <w:rPr>
          <w:sz w:val="20"/>
          <w:szCs w:val="20"/>
          <w:lang w:val="en-GB"/>
        </w:rPr>
        <w:t xml:space="preserve"> [27].</w:t>
      </w:r>
    </w:p>
  </w:footnote>
  <w:footnote w:id="72">
    <w:p w14:paraId="7EF1902F" w14:textId="799B15BD"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ibid. arts 4, 5 &amp; 6.</w:t>
      </w:r>
    </w:p>
  </w:footnote>
  <w:footnote w:id="73">
    <w:p w14:paraId="14355955" w14:textId="68F61A64"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ibid. art 7.</w:t>
      </w:r>
    </w:p>
  </w:footnote>
  <w:footnote w:id="74">
    <w:p w14:paraId="5DB0C7E7" w14:textId="2D532BA1"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w:t>
      </w:r>
      <w:r w:rsidRPr="00CD1284">
        <w:rPr>
          <w:i/>
          <w:sz w:val="20"/>
          <w:szCs w:val="20"/>
          <w:lang w:val="en-GB"/>
        </w:rPr>
        <w:t>Ilaşcu &amp; Others v Moldova and Russia</w:t>
      </w:r>
      <w:r w:rsidRPr="00CD1284">
        <w:rPr>
          <w:sz w:val="20"/>
          <w:szCs w:val="20"/>
          <w:lang w:val="en-GB"/>
        </w:rPr>
        <w:t>, Applica</w:t>
      </w:r>
      <w:r>
        <w:rPr>
          <w:sz w:val="20"/>
          <w:szCs w:val="20"/>
          <w:lang w:val="en-GB"/>
        </w:rPr>
        <w:t>tion No 48787/99 (ECtHR 2004)</w:t>
      </w:r>
      <w:r w:rsidRPr="00CD1284">
        <w:rPr>
          <w:sz w:val="20"/>
          <w:szCs w:val="20"/>
          <w:lang w:val="en-GB"/>
        </w:rPr>
        <w:t xml:space="preserve"> [319].</w:t>
      </w:r>
    </w:p>
  </w:footnote>
  <w:footnote w:id="75">
    <w:p w14:paraId="1292C09C" w14:textId="21979DF9"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I</w:t>
      </w:r>
      <w:r w:rsidRPr="00CD1284">
        <w:rPr>
          <w:sz w:val="20"/>
          <w:szCs w:val="20"/>
          <w:lang w:val="en-GB"/>
        </w:rPr>
        <w:t xml:space="preserve"> Tófalo, ‘Overt and Hidden Accomplices: Transnational Corporations’ Range of Complicity for Human Rights Violations’ in De Schutter, </w:t>
      </w:r>
      <w:r w:rsidRPr="00CD1284">
        <w:rPr>
          <w:i/>
          <w:sz w:val="20"/>
          <w:szCs w:val="20"/>
          <w:lang w:val="en-GB"/>
        </w:rPr>
        <w:t>Transnational Corporations</w:t>
      </w:r>
      <w:r w:rsidRPr="00CD1284">
        <w:rPr>
          <w:sz w:val="20"/>
          <w:szCs w:val="20"/>
          <w:lang w:val="en-GB"/>
        </w:rPr>
        <w:t xml:space="preserve"> (n 2) 336-9; Arts 16-18, which deal with relations between two States have also been used by analogy vis-à-vis States and private entities:</w:t>
      </w:r>
      <w:r>
        <w:rPr>
          <w:sz w:val="20"/>
          <w:szCs w:val="20"/>
          <w:lang w:val="en-GB"/>
        </w:rPr>
        <w:t xml:space="preserve"> S</w:t>
      </w:r>
      <w:r w:rsidRPr="00CD1284">
        <w:rPr>
          <w:sz w:val="20"/>
          <w:szCs w:val="20"/>
          <w:lang w:val="en-GB"/>
        </w:rPr>
        <w:t xml:space="preserve"> Ratner, ‘Corporations and Human Rights: A Theory of Legal Responsi</w:t>
      </w:r>
      <w:r>
        <w:rPr>
          <w:sz w:val="20"/>
          <w:szCs w:val="20"/>
          <w:lang w:val="en-GB"/>
        </w:rPr>
        <w:t xml:space="preserve">bility’ (2001) 111 Yale LJ </w:t>
      </w:r>
      <w:r w:rsidRPr="00CD1284">
        <w:rPr>
          <w:sz w:val="20"/>
          <w:szCs w:val="20"/>
          <w:lang w:val="en-GB"/>
        </w:rPr>
        <w:t>500-6.</w:t>
      </w:r>
    </w:p>
  </w:footnote>
  <w:footnote w:id="76">
    <w:p w14:paraId="22F3D546" w14:textId="0014E1F4"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R</w:t>
      </w:r>
      <w:r w:rsidRPr="00CD1284">
        <w:rPr>
          <w:sz w:val="20"/>
          <w:szCs w:val="20"/>
          <w:lang w:val="en-GB"/>
        </w:rPr>
        <w:t xml:space="preserve"> </w:t>
      </w:r>
      <w:r>
        <w:rPr>
          <w:sz w:val="20"/>
          <w:szCs w:val="20"/>
          <w:lang w:val="en-GB"/>
        </w:rPr>
        <w:t>McCorquodale &amp; P</w:t>
      </w:r>
      <w:r w:rsidRPr="00CD1284">
        <w:rPr>
          <w:sz w:val="20"/>
          <w:szCs w:val="20"/>
          <w:lang w:val="en-GB"/>
        </w:rPr>
        <w:t xml:space="preserve"> Simons, ‘Responsibility Beyond Borders: State Responsibility for Extraterritorial Violations by Corporations of International Human</w:t>
      </w:r>
      <w:r>
        <w:rPr>
          <w:sz w:val="20"/>
          <w:szCs w:val="20"/>
          <w:lang w:val="en-GB"/>
        </w:rPr>
        <w:t xml:space="preserve"> Rights Law’ (2007) 70 MLR </w:t>
      </w:r>
      <w:r w:rsidRPr="00CD1284">
        <w:rPr>
          <w:sz w:val="20"/>
          <w:szCs w:val="20"/>
          <w:lang w:val="en-GB"/>
        </w:rPr>
        <w:t>606.</w:t>
      </w:r>
    </w:p>
  </w:footnote>
  <w:footnote w:id="77">
    <w:p w14:paraId="7F49A588" w14:textId="09F30063"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‘The fact that an entity can be classified as public or private… the existence of a greater or lesser State participation… in the ownership of its assets, the fact that it is not subject to executive control—these are not decisive criteria for the purpose of attribution of the entity’s conduct to the State.’ ILC, ‘Report of the Commission to the General Assembly on the Work of its Fifty-Third Session’ (23 April – 1 June and 2 July – 10 August 2001) YB Int’l L Comm, Vol II, UN Doc A/CN.4/SER.A/2001/Add.1 (2001) 43, 48.</w:t>
      </w:r>
    </w:p>
  </w:footnote>
  <w:footnote w:id="78">
    <w:p w14:paraId="47606112" w14:textId="581710C7"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ASRIWA (n 70</w:t>
      </w:r>
      <w:r w:rsidRPr="00CD1284">
        <w:rPr>
          <w:sz w:val="20"/>
          <w:szCs w:val="20"/>
          <w:lang w:val="en-GB"/>
        </w:rPr>
        <w:t>) art 5.</w:t>
      </w:r>
    </w:p>
  </w:footnote>
  <w:footnote w:id="79">
    <w:p w14:paraId="5778C362" w14:textId="7060FAA9"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The ASRIWA do ‘not attempt to identify precisely the scope of “governmental activity”… what is regarded as “governmental” depends on the particular society, its history and traditions.’ ILC, ‘Report on the Work o</w:t>
      </w:r>
      <w:r>
        <w:rPr>
          <w:sz w:val="20"/>
          <w:szCs w:val="20"/>
          <w:lang w:val="en-GB"/>
        </w:rPr>
        <w:t>f its Fifty-Third Session’ (n 76</w:t>
      </w:r>
      <w:r w:rsidRPr="00CD1284">
        <w:rPr>
          <w:sz w:val="20"/>
          <w:szCs w:val="20"/>
          <w:lang w:val="en-GB"/>
        </w:rPr>
        <w:t>) 43.</w:t>
      </w:r>
    </w:p>
  </w:footnote>
  <w:footnote w:id="80">
    <w:p w14:paraId="4EEC6A41" w14:textId="3E9438CF"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Clapham, </w:t>
      </w:r>
      <w:r w:rsidRPr="00CD1284">
        <w:rPr>
          <w:i/>
          <w:sz w:val="20"/>
          <w:szCs w:val="20"/>
          <w:lang w:val="en-GB"/>
        </w:rPr>
        <w:t>Human Rights Obligations</w:t>
      </w:r>
      <w:r>
        <w:rPr>
          <w:sz w:val="20"/>
          <w:szCs w:val="20"/>
          <w:lang w:val="en-GB"/>
        </w:rPr>
        <w:t xml:space="preserve"> (n 2) 3; Zerk (n 64</w:t>
      </w:r>
      <w:r w:rsidRPr="00CD1284">
        <w:rPr>
          <w:sz w:val="20"/>
          <w:szCs w:val="20"/>
          <w:lang w:val="en-GB"/>
        </w:rPr>
        <w:t>) 77-8; N Rosemann, ‘The Privatisation of Human Rights Violations – Business’ Impunity or Corporate Responsibility? The Case of Human Rights Abuses and Torture in Iraq’ (2005) 5 Non-State Actors &amp; Int’l L 77.</w:t>
      </w:r>
    </w:p>
  </w:footnote>
  <w:footnote w:id="81">
    <w:p w14:paraId="5EB52FC8" w14:textId="31C21EBE"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ASRIWA (n 70</w:t>
      </w:r>
      <w:r w:rsidRPr="00CD1284">
        <w:rPr>
          <w:sz w:val="20"/>
          <w:szCs w:val="20"/>
          <w:lang w:val="en-GB"/>
        </w:rPr>
        <w:t>) art 11.</w:t>
      </w:r>
    </w:p>
  </w:footnote>
  <w:footnote w:id="82">
    <w:p w14:paraId="67F6E245" w14:textId="42DEBC8E"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ibid. art 8.</w:t>
      </w:r>
    </w:p>
  </w:footnote>
  <w:footnote w:id="83">
    <w:p w14:paraId="05537060" w14:textId="02B394C9"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ILC, ‘Report on the Work o</w:t>
      </w:r>
      <w:r>
        <w:rPr>
          <w:sz w:val="20"/>
          <w:szCs w:val="20"/>
          <w:lang w:val="en-GB"/>
        </w:rPr>
        <w:t>f its Fifty-Third Session’ (n 76</w:t>
      </w:r>
      <w:r w:rsidRPr="00CD1284">
        <w:rPr>
          <w:sz w:val="20"/>
          <w:szCs w:val="20"/>
          <w:lang w:val="en-GB"/>
        </w:rPr>
        <w:t>) 47.</w:t>
      </w:r>
    </w:p>
  </w:footnote>
  <w:footnote w:id="84">
    <w:p w14:paraId="6D0AB74A" w14:textId="2F8E590A"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w:t>
      </w:r>
      <w:r w:rsidRPr="00CD1284">
        <w:rPr>
          <w:i/>
          <w:sz w:val="20"/>
          <w:szCs w:val="20"/>
          <w:lang w:val="en-GB"/>
        </w:rPr>
        <w:t>Military and Paramilitary Activities</w:t>
      </w:r>
      <w:r w:rsidRPr="00CD1284">
        <w:rPr>
          <w:sz w:val="20"/>
          <w:szCs w:val="20"/>
          <w:lang w:val="en-GB"/>
        </w:rPr>
        <w:t xml:space="preserve"> (</w:t>
      </w:r>
      <w:r w:rsidRPr="00CD1284">
        <w:rPr>
          <w:i/>
          <w:sz w:val="20"/>
          <w:szCs w:val="20"/>
          <w:lang w:val="en-GB"/>
        </w:rPr>
        <w:t>Nicaragua v United States of America</w:t>
      </w:r>
      <w:r w:rsidRPr="00CD1284">
        <w:rPr>
          <w:sz w:val="20"/>
          <w:szCs w:val="20"/>
          <w:lang w:val="en-GB"/>
        </w:rPr>
        <w:t xml:space="preserve">) </w:t>
      </w:r>
      <w:r>
        <w:rPr>
          <w:sz w:val="20"/>
          <w:szCs w:val="20"/>
          <w:lang w:val="en-GB"/>
        </w:rPr>
        <w:t xml:space="preserve">ICJ Reports [1986] </w:t>
      </w:r>
      <w:r w:rsidRPr="00CD1284">
        <w:rPr>
          <w:sz w:val="20"/>
          <w:szCs w:val="20"/>
          <w:lang w:val="en-GB"/>
        </w:rPr>
        <w:t>[109].</w:t>
      </w:r>
    </w:p>
  </w:footnote>
  <w:footnote w:id="85">
    <w:p w14:paraId="4F26765C" w14:textId="5DA54E4C" w:rsidR="00FD777C" w:rsidRPr="00CD1284" w:rsidRDefault="00FD777C" w:rsidP="00CD1284">
      <w:pPr>
        <w:pStyle w:val="FootnoteText"/>
        <w:rPr>
          <w:szCs w:val="20"/>
        </w:rPr>
      </w:pPr>
      <w:r w:rsidRPr="00CD1284">
        <w:rPr>
          <w:rStyle w:val="FootnoteReference"/>
          <w:szCs w:val="20"/>
          <w:lang w:val="en-GB"/>
        </w:rPr>
        <w:footnoteRef/>
      </w:r>
      <w:r w:rsidRPr="00CD1284">
        <w:rPr>
          <w:szCs w:val="20"/>
          <w:lang w:val="en-GB"/>
        </w:rPr>
        <w:t xml:space="preserve"> In </w:t>
      </w:r>
      <w:r w:rsidRPr="00CD1284">
        <w:rPr>
          <w:i/>
          <w:szCs w:val="20"/>
          <w:lang w:val="en-GB"/>
        </w:rPr>
        <w:t>Tadić</w:t>
      </w:r>
      <w:r w:rsidRPr="00CD1284">
        <w:rPr>
          <w:szCs w:val="20"/>
          <w:lang w:val="en-GB"/>
        </w:rPr>
        <w:t xml:space="preserve">, the acts of an armed group were attributable where it ‘has a role in organizing, coordinating, or planning the military actions,’ rather than controlling particular operations: </w:t>
      </w:r>
      <w:r w:rsidRPr="00CD1284">
        <w:rPr>
          <w:i/>
          <w:szCs w:val="20"/>
          <w:lang w:val="en-GB"/>
        </w:rPr>
        <w:t>Prosecutor v Tadić,</w:t>
      </w:r>
      <w:r w:rsidRPr="00CD1284">
        <w:rPr>
          <w:szCs w:val="20"/>
          <w:lang w:val="en-GB"/>
        </w:rPr>
        <w:t xml:space="preserve"> (Appeals Chamber) I</w:t>
      </w:r>
      <w:r>
        <w:rPr>
          <w:szCs w:val="20"/>
          <w:lang w:val="en-GB"/>
        </w:rPr>
        <w:t>T-94-1-A, (15 July 1999) 1541</w:t>
      </w:r>
      <w:r w:rsidRPr="00CD1284">
        <w:rPr>
          <w:szCs w:val="20"/>
          <w:lang w:val="en-GB"/>
        </w:rPr>
        <w:t xml:space="preserve"> [117], [137]; cf </w:t>
      </w:r>
      <w:r w:rsidRPr="00CD1284">
        <w:rPr>
          <w:i/>
          <w:szCs w:val="20"/>
        </w:rPr>
        <w:t>Bosnian Genocide</w:t>
      </w:r>
      <w:r w:rsidRPr="00CD1284">
        <w:rPr>
          <w:szCs w:val="20"/>
        </w:rPr>
        <w:t xml:space="preserve"> (Bosnia and Herzegovina v Serbia and M</w:t>
      </w:r>
      <w:r>
        <w:rPr>
          <w:szCs w:val="20"/>
        </w:rPr>
        <w:t>ontenegro) ICJ Reports [2007]</w:t>
      </w:r>
      <w:r w:rsidRPr="00CD1284">
        <w:rPr>
          <w:szCs w:val="20"/>
        </w:rPr>
        <w:t xml:space="preserve"> [392] (hereafter, </w:t>
      </w:r>
      <w:r w:rsidRPr="00CD1284">
        <w:rPr>
          <w:i/>
          <w:szCs w:val="20"/>
        </w:rPr>
        <w:t>Bosnian Genocide</w:t>
      </w:r>
      <w:r w:rsidRPr="00CD1284">
        <w:rPr>
          <w:szCs w:val="20"/>
        </w:rPr>
        <w:t>).</w:t>
      </w:r>
    </w:p>
  </w:footnote>
  <w:footnote w:id="86">
    <w:p w14:paraId="11979798" w14:textId="134334B3"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ILC, ‘Report on the Work o</w:t>
      </w:r>
      <w:r>
        <w:rPr>
          <w:sz w:val="20"/>
          <w:szCs w:val="20"/>
          <w:lang w:val="en-GB"/>
        </w:rPr>
        <w:t>f its Fifty-Third Session’ (n 76</w:t>
      </w:r>
      <w:r w:rsidRPr="00CD1284">
        <w:rPr>
          <w:sz w:val="20"/>
          <w:szCs w:val="20"/>
          <w:lang w:val="en-GB"/>
        </w:rPr>
        <w:t>) 48.</w:t>
      </w:r>
    </w:p>
  </w:footnote>
  <w:footnote w:id="87">
    <w:p w14:paraId="7F9F5278" w14:textId="6F0D4457" w:rsidR="00FD777C" w:rsidRPr="00CD1284" w:rsidRDefault="00FD777C" w:rsidP="00CD1284">
      <w:pPr>
        <w:rPr>
          <w:sz w:val="20"/>
          <w:szCs w:val="20"/>
          <w:lang w:val="fr-FR"/>
        </w:rPr>
      </w:pPr>
      <w:r w:rsidRPr="00CD1284">
        <w:rPr>
          <w:rStyle w:val="FootnoteReference"/>
          <w:szCs w:val="20"/>
          <w:lang w:val="en-GB"/>
        </w:rPr>
        <w:footnoteRef/>
      </w:r>
      <w:r>
        <w:rPr>
          <w:sz w:val="20"/>
          <w:szCs w:val="20"/>
          <w:lang w:val="fr-FR"/>
        </w:rPr>
        <w:t xml:space="preserve"> Ratner (n 74</w:t>
      </w:r>
      <w:r w:rsidRPr="00CD1284">
        <w:rPr>
          <w:sz w:val="20"/>
          <w:szCs w:val="20"/>
          <w:lang w:val="fr-FR"/>
        </w:rPr>
        <w:t>) 500.</w:t>
      </w:r>
    </w:p>
  </w:footnote>
  <w:footnote w:id="88">
    <w:p w14:paraId="1E2BC4E6" w14:textId="357B1E30" w:rsidR="00FD777C" w:rsidRPr="00CD1284" w:rsidRDefault="00FD777C" w:rsidP="00CD1284">
      <w:pPr>
        <w:rPr>
          <w:sz w:val="20"/>
          <w:szCs w:val="20"/>
          <w:lang w:val="fr-FR"/>
        </w:rPr>
      </w:pPr>
      <w:r w:rsidRPr="00CD1284">
        <w:rPr>
          <w:rStyle w:val="FootnoteReference"/>
          <w:szCs w:val="20"/>
          <w:lang w:val="en-GB"/>
        </w:rPr>
        <w:footnoteRef/>
      </w:r>
      <w:r>
        <w:rPr>
          <w:sz w:val="20"/>
          <w:szCs w:val="20"/>
          <w:lang w:val="fr-FR"/>
        </w:rPr>
        <w:t xml:space="preserve"> Cronogue (n 69</w:t>
      </w:r>
      <w:r w:rsidRPr="00CD1284">
        <w:rPr>
          <w:sz w:val="20"/>
          <w:szCs w:val="20"/>
          <w:lang w:val="fr-FR"/>
        </w:rPr>
        <w:t>) 365-88.</w:t>
      </w:r>
    </w:p>
  </w:footnote>
  <w:footnote w:id="89">
    <w:p w14:paraId="102D7669" w14:textId="0A56175C" w:rsidR="00FD777C" w:rsidRPr="00CD1284" w:rsidRDefault="00FD777C" w:rsidP="00CD1284">
      <w:pPr>
        <w:rPr>
          <w:sz w:val="20"/>
          <w:szCs w:val="20"/>
          <w:lang w:val="fr-FR"/>
        </w:rPr>
      </w:pPr>
      <w:r w:rsidRPr="00CD1284">
        <w:rPr>
          <w:rStyle w:val="FootnoteReference"/>
          <w:szCs w:val="20"/>
          <w:lang w:val="en-GB"/>
        </w:rPr>
        <w:footnoteRef/>
      </w:r>
      <w:r>
        <w:rPr>
          <w:sz w:val="20"/>
          <w:szCs w:val="20"/>
          <w:lang w:val="fr-FR"/>
        </w:rPr>
        <w:t xml:space="preserve"> Ratner (n 74</w:t>
      </w:r>
      <w:r w:rsidRPr="00CD1284">
        <w:rPr>
          <w:sz w:val="20"/>
          <w:szCs w:val="20"/>
          <w:lang w:val="fr-FR"/>
        </w:rPr>
        <w:t>) 493-4.</w:t>
      </w:r>
    </w:p>
  </w:footnote>
  <w:footnote w:id="90">
    <w:p w14:paraId="3B245F3B" w14:textId="38AF59E2"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w:t>
      </w:r>
      <w:r w:rsidRPr="00CD1284">
        <w:rPr>
          <w:i/>
          <w:sz w:val="20"/>
          <w:szCs w:val="20"/>
          <w:lang w:val="en-GB"/>
        </w:rPr>
        <w:t>Doe v Unocal Corp</w:t>
      </w:r>
      <w:r w:rsidRPr="00CD1284">
        <w:rPr>
          <w:sz w:val="20"/>
          <w:szCs w:val="20"/>
          <w:lang w:val="en-GB"/>
        </w:rPr>
        <w:t>, 395 F. 3d 932 (9th Cir 2002); W Kaleck &amp; M Saage-Maaβ, ‘Corporate Accountability for Human Rights Violations Amounting to Internat</w:t>
      </w:r>
      <w:r>
        <w:rPr>
          <w:sz w:val="20"/>
          <w:szCs w:val="20"/>
          <w:lang w:val="en-GB"/>
        </w:rPr>
        <w:t>ional Crimes’ (2010) 8 JICJ 704; Tófalo (n 74</w:t>
      </w:r>
      <w:r w:rsidRPr="00CD1284">
        <w:rPr>
          <w:sz w:val="20"/>
          <w:szCs w:val="20"/>
          <w:lang w:val="en-GB"/>
        </w:rPr>
        <w:t>) 339-48.</w:t>
      </w:r>
    </w:p>
  </w:footnote>
  <w:footnote w:id="91">
    <w:p w14:paraId="7D66200A" w14:textId="5CA11719"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E</w:t>
      </w:r>
      <w:r w:rsidRPr="00CD1284">
        <w:rPr>
          <w:sz w:val="20"/>
          <w:szCs w:val="20"/>
          <w:lang w:val="en-GB"/>
        </w:rPr>
        <w:t xml:space="preserve"> De Brabandere, ‘Human Rights Obligations and Transnational Corporations: The Limits of Direct Corporate Responsibility’ (2010) 4 Hum </w:t>
      </w:r>
      <w:r>
        <w:rPr>
          <w:sz w:val="20"/>
          <w:szCs w:val="20"/>
          <w:lang w:val="en-GB"/>
        </w:rPr>
        <w:t xml:space="preserve">Rts &amp; Int’l Legal Discourse </w:t>
      </w:r>
      <w:r w:rsidRPr="00CD1284">
        <w:rPr>
          <w:sz w:val="20"/>
          <w:szCs w:val="20"/>
          <w:lang w:val="en-GB"/>
        </w:rPr>
        <w:t>77.</w:t>
      </w:r>
    </w:p>
  </w:footnote>
  <w:footnote w:id="92">
    <w:p w14:paraId="51E81605" w14:textId="57C650D5"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D</w:t>
      </w:r>
      <w:r w:rsidRPr="00CD1284">
        <w:rPr>
          <w:sz w:val="20"/>
          <w:szCs w:val="20"/>
          <w:lang w:val="en-GB"/>
        </w:rPr>
        <w:t xml:space="preserve"> Kinley &amp; J Tadaki, ‘From Talk to Walk: The Emergence of Human Rights Responsibilities for Corporations at International L</w:t>
      </w:r>
      <w:r>
        <w:rPr>
          <w:sz w:val="20"/>
          <w:szCs w:val="20"/>
          <w:lang w:val="en-GB"/>
        </w:rPr>
        <w:t xml:space="preserve">aw’ (2004) 44 Va J Int’l L </w:t>
      </w:r>
      <w:r w:rsidRPr="00CD1284">
        <w:rPr>
          <w:sz w:val="20"/>
          <w:szCs w:val="20"/>
          <w:lang w:val="en-GB"/>
        </w:rPr>
        <w:t>948.</w:t>
      </w:r>
    </w:p>
  </w:footnote>
  <w:footnote w:id="93">
    <w:p w14:paraId="4FA1975B" w14:textId="29072E73"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D Neubert, ‘Local and Regional Non-State Actors on the Margins of Public Policy in Africa’ in Peters</w:t>
      </w:r>
      <w:r>
        <w:rPr>
          <w:sz w:val="20"/>
          <w:szCs w:val="20"/>
          <w:lang w:val="en-GB"/>
        </w:rPr>
        <w:t xml:space="preserve">, Koechlin &amp; Förster (n 18) </w:t>
      </w:r>
      <w:r w:rsidRPr="00CD1284">
        <w:rPr>
          <w:sz w:val="20"/>
          <w:szCs w:val="20"/>
          <w:lang w:val="en-GB"/>
        </w:rPr>
        <w:t>36.</w:t>
      </w:r>
    </w:p>
  </w:footnote>
  <w:footnote w:id="94">
    <w:p w14:paraId="05385A39" w14:textId="1D064674"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R McCorquodale, ‘Overlegalising Silences: Human Rights and Non-State Actors’ (2002) 96 ASIL Proc 384.</w:t>
      </w:r>
    </w:p>
  </w:footnote>
  <w:footnote w:id="95">
    <w:p w14:paraId="3986EB3C" w14:textId="3EFD76AB"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ASRIWA (n 70</w:t>
      </w:r>
      <w:r w:rsidRPr="00CD1284">
        <w:rPr>
          <w:szCs w:val="20"/>
          <w:lang w:val="en-GB"/>
        </w:rPr>
        <w:t>) art 16.</w:t>
      </w:r>
    </w:p>
  </w:footnote>
  <w:footnote w:id="96">
    <w:p w14:paraId="24A0275E" w14:textId="7EE63694"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D Bodansky &amp; JR Crook, ‘Symposium: The ILC’s State Responsibility Articles - Introduction an</w:t>
      </w:r>
      <w:r>
        <w:rPr>
          <w:szCs w:val="20"/>
          <w:lang w:val="en-GB"/>
        </w:rPr>
        <w:t xml:space="preserve">d Overview’ (2002) 96 AJIL </w:t>
      </w:r>
      <w:r w:rsidRPr="00CD1284">
        <w:rPr>
          <w:szCs w:val="20"/>
          <w:lang w:val="en-GB"/>
        </w:rPr>
        <w:t>777-8; B Graefrath, ‘Complicity in the Law of Internatio</w:t>
      </w:r>
      <w:r>
        <w:rPr>
          <w:szCs w:val="20"/>
          <w:lang w:val="en-GB"/>
        </w:rPr>
        <w:t>nal Responsibility’</w:t>
      </w:r>
      <w:r w:rsidRPr="00CD1284">
        <w:rPr>
          <w:szCs w:val="20"/>
          <w:lang w:val="en-GB"/>
        </w:rPr>
        <w:t xml:space="preserve"> (1996) 2 Revue Belge De Droit I</w:t>
      </w:r>
      <w:r>
        <w:rPr>
          <w:szCs w:val="20"/>
          <w:lang w:val="en-GB"/>
        </w:rPr>
        <w:t>nternational 372; C</w:t>
      </w:r>
      <w:r w:rsidRPr="00CD1284">
        <w:rPr>
          <w:szCs w:val="20"/>
          <w:lang w:val="en-GB"/>
        </w:rPr>
        <w:t>J Tams, ‘All’s Well That Ends Well - Comments on the ILC’s Articles on State Resp</w:t>
      </w:r>
      <w:r>
        <w:rPr>
          <w:szCs w:val="20"/>
          <w:lang w:val="en-GB"/>
        </w:rPr>
        <w:t>onsibility’ (2002) 62 ZaӧRV</w:t>
      </w:r>
      <w:r w:rsidRPr="00CD1284">
        <w:rPr>
          <w:szCs w:val="20"/>
          <w:lang w:val="en-GB"/>
        </w:rPr>
        <w:t xml:space="preserve"> 764.</w:t>
      </w:r>
    </w:p>
  </w:footnote>
  <w:footnote w:id="97">
    <w:p w14:paraId="24643B6F" w14:textId="5B256666"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‘Primary rules on complicity… inform their addressees that assistance to a given violation of another obligation is prohibited. Accordingly, they provide for a derivative obligation which differs from other primary obligations which just set forth a rathe</w:t>
      </w:r>
      <w:r>
        <w:rPr>
          <w:szCs w:val="20"/>
          <w:lang w:val="en-GB"/>
        </w:rPr>
        <w:t>r clear command’. HP</w:t>
      </w:r>
      <w:r w:rsidRPr="00CD1284">
        <w:rPr>
          <w:szCs w:val="20"/>
          <w:lang w:val="en-GB"/>
        </w:rPr>
        <w:t xml:space="preserve"> Aust, </w:t>
      </w:r>
      <w:r w:rsidRPr="00CD1284">
        <w:rPr>
          <w:i/>
          <w:szCs w:val="20"/>
          <w:lang w:val="en-GB"/>
        </w:rPr>
        <w:t xml:space="preserve">Complicity and the Law of State Responsibility </w:t>
      </w:r>
      <w:r w:rsidRPr="00CD1284">
        <w:rPr>
          <w:szCs w:val="20"/>
          <w:lang w:val="en-GB"/>
        </w:rPr>
        <w:t>(Cambridge U</w:t>
      </w:r>
      <w:r>
        <w:rPr>
          <w:szCs w:val="20"/>
          <w:lang w:val="en-GB"/>
        </w:rPr>
        <w:t>niversity Press, 2011) 188; G Nolte &amp; H</w:t>
      </w:r>
      <w:r w:rsidRPr="00CD1284">
        <w:rPr>
          <w:szCs w:val="20"/>
          <w:lang w:val="en-GB"/>
        </w:rPr>
        <w:t>P Aust, ‘Equivocal Helpers – Complicit States, Mixed Messages and Internati</w:t>
      </w:r>
      <w:r>
        <w:rPr>
          <w:szCs w:val="20"/>
          <w:lang w:val="en-GB"/>
        </w:rPr>
        <w:t xml:space="preserve">onal Law’(2009) 58 ICLQ 8. </w:t>
      </w:r>
    </w:p>
  </w:footnote>
  <w:footnote w:id="98">
    <w:p w14:paraId="5A726C20" w14:textId="47A884E5"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Jackson (n 45) 148-50; Tams (n 95) 764-5; Graefrath (n 95</w:t>
      </w:r>
      <w:r w:rsidRPr="00CD1284">
        <w:rPr>
          <w:szCs w:val="20"/>
          <w:lang w:val="en-GB"/>
        </w:rPr>
        <w:t>) 371; U Linderfalk, ‘State Responsibility and the Primary-Secondary Rules Terminology -The Role of Language for an Understanding of the International Legal System’</w:t>
      </w:r>
      <w:r>
        <w:rPr>
          <w:szCs w:val="20"/>
          <w:lang w:val="en-GB"/>
        </w:rPr>
        <w:t xml:space="preserve"> (2009) 78 Nordic J Int’l L 58-72; Bodansky &amp; Crook (n 95</w:t>
      </w:r>
      <w:r w:rsidRPr="00CD1284">
        <w:rPr>
          <w:szCs w:val="20"/>
          <w:lang w:val="en-GB"/>
        </w:rPr>
        <w:t>) 779-91.</w:t>
      </w:r>
    </w:p>
  </w:footnote>
  <w:footnote w:id="99">
    <w:p w14:paraId="78EA0B8F" w14:textId="20444B72"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R Ago, Summary Record of the 1519</w:t>
      </w:r>
      <w:r w:rsidRPr="00CD1284">
        <w:rPr>
          <w:szCs w:val="20"/>
          <w:vertAlign w:val="superscript"/>
          <w:lang w:val="en-GB"/>
        </w:rPr>
        <w:t>th</w:t>
      </w:r>
      <w:r w:rsidRPr="00CD1284">
        <w:rPr>
          <w:szCs w:val="20"/>
          <w:lang w:val="en-GB"/>
        </w:rPr>
        <w:t xml:space="preserve"> Meeting, UN Doc A/CN.4/SR1519 reprinted in [1978] 1 YB Int’l L Comm 1, 240; Similarly, the ILC stated: ‘aid or assistance in the commission of a wrongful act by another remains in international law, like complicity in internal law, an act separate from such commission, an act that is classified differently and that does not necessarily produce the same legal consequences.’ Report of the International Law Commission on the Work of its Thirteenth Session, 8 May-28 July 1978, UN Doc A/33/10 reprinted in [1978] 2 YB Int’l L Comm 2, 103 para 16; V Lanovoy, ‘Complicity in an Internationally Wrongful Act’ in </w:t>
      </w:r>
      <w:r>
        <w:rPr>
          <w:szCs w:val="20"/>
          <w:lang w:val="en-GB"/>
        </w:rPr>
        <w:t>Nollkaemper &amp; Plakokefalos (n 63</w:t>
      </w:r>
      <w:r w:rsidRPr="00CD1284">
        <w:rPr>
          <w:szCs w:val="20"/>
          <w:lang w:val="en-GB"/>
        </w:rPr>
        <w:t xml:space="preserve">) 139-40. </w:t>
      </w:r>
    </w:p>
  </w:footnote>
  <w:footnote w:id="100">
    <w:p w14:paraId="13189609" w14:textId="44D7844B"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This situation is captured under ASR</w:t>
      </w:r>
      <w:r>
        <w:rPr>
          <w:szCs w:val="20"/>
          <w:lang w:val="en-GB"/>
        </w:rPr>
        <w:t>IWA (n 70</w:t>
      </w:r>
      <w:r w:rsidRPr="00CD1284">
        <w:rPr>
          <w:szCs w:val="20"/>
          <w:lang w:val="en-GB"/>
        </w:rPr>
        <w:t>) art 47.</w:t>
      </w:r>
    </w:p>
  </w:footnote>
  <w:footnote w:id="101">
    <w:p w14:paraId="2547C2D4" w14:textId="6FCAEEE2"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Nollkaemper &amp; Jacobs (n 62</w:t>
      </w:r>
      <w:r w:rsidRPr="00CD1284">
        <w:rPr>
          <w:szCs w:val="20"/>
          <w:lang w:val="en-GB"/>
        </w:rPr>
        <w:t>) 396-397; Vandenhol</w:t>
      </w:r>
      <w:r>
        <w:rPr>
          <w:szCs w:val="20"/>
          <w:lang w:val="en-GB"/>
        </w:rPr>
        <w:t>e, ‘Shared Responsibility’ (n 59</w:t>
      </w:r>
      <w:r w:rsidRPr="00CD1284">
        <w:rPr>
          <w:szCs w:val="20"/>
          <w:lang w:val="en-GB"/>
        </w:rPr>
        <w:t>) 60-1; JD Fry, ‘Attribution of Responsibility’ in Nollkaemper &amp;</w:t>
      </w:r>
      <w:r>
        <w:rPr>
          <w:szCs w:val="20"/>
          <w:lang w:val="en-GB"/>
        </w:rPr>
        <w:t xml:space="preserve"> Plakokefalos (n 63) </w:t>
      </w:r>
      <w:r w:rsidRPr="00CD1284">
        <w:rPr>
          <w:szCs w:val="20"/>
          <w:lang w:val="en-GB"/>
        </w:rPr>
        <w:t xml:space="preserve">99. </w:t>
      </w:r>
    </w:p>
  </w:footnote>
  <w:footnote w:id="102">
    <w:p w14:paraId="32FA09DD" w14:textId="2C100CB1"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Nolte &amp; Aust (n 97) 7-8; Craw</w:t>
      </w:r>
      <w:r>
        <w:rPr>
          <w:szCs w:val="20"/>
          <w:lang w:val="en-GB"/>
        </w:rPr>
        <w:t>ford, ‘The ILC’s Articles’ (n 68</w:t>
      </w:r>
      <w:r w:rsidRPr="00CD1284">
        <w:rPr>
          <w:szCs w:val="20"/>
          <w:lang w:val="en-GB"/>
        </w:rPr>
        <w:t>) 879.</w:t>
      </w:r>
    </w:p>
  </w:footnote>
  <w:footnote w:id="103">
    <w:p w14:paraId="4A52909E" w14:textId="65334334"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w:t>
      </w:r>
      <w:r w:rsidRPr="00CD1284">
        <w:rPr>
          <w:i/>
          <w:szCs w:val="20"/>
          <w:lang w:val="en-GB"/>
        </w:rPr>
        <w:t>Bosnian Genocide</w:t>
      </w:r>
      <w:r>
        <w:rPr>
          <w:szCs w:val="20"/>
          <w:lang w:val="en-GB"/>
        </w:rPr>
        <w:t xml:space="preserve"> (n 84); Jackson (n 45</w:t>
      </w:r>
      <w:r w:rsidRPr="00CD1284">
        <w:rPr>
          <w:szCs w:val="20"/>
          <w:lang w:val="en-GB"/>
        </w:rPr>
        <w:t>) 202-3.</w:t>
      </w:r>
    </w:p>
  </w:footnote>
  <w:footnote w:id="104">
    <w:p w14:paraId="20B53C36" w14:textId="74AAB4EA"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Convention on the Prevention and Punishment of the Crime of Genocide (9 December 1948) 78 UNTS 277, art 1.</w:t>
      </w:r>
    </w:p>
  </w:footnote>
  <w:footnote w:id="105">
    <w:p w14:paraId="717863A7" w14:textId="4CF08405"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w:t>
      </w:r>
      <w:r w:rsidRPr="00CD1284">
        <w:rPr>
          <w:i/>
          <w:szCs w:val="20"/>
          <w:lang w:val="en-GB"/>
        </w:rPr>
        <w:t>Bosnian Genocide</w:t>
      </w:r>
      <w:r>
        <w:rPr>
          <w:szCs w:val="20"/>
          <w:lang w:val="en-GB"/>
        </w:rPr>
        <w:t xml:space="preserve"> (n 84)</w:t>
      </w:r>
      <w:r w:rsidRPr="00CD1284">
        <w:rPr>
          <w:szCs w:val="20"/>
          <w:lang w:val="en-GB"/>
        </w:rPr>
        <w:t xml:space="preserve"> [167]; The approach was extended to art 3 of the Genocide Convention, which lists other punishable acts such as conspiracy, direct and public incitement, and attempt to commit genocide:</w:t>
      </w:r>
      <w:r w:rsidRPr="00CD1284">
        <w:rPr>
          <w:i/>
          <w:szCs w:val="20"/>
          <w:lang w:val="en-GB"/>
        </w:rPr>
        <w:t xml:space="preserve"> </w:t>
      </w:r>
      <w:r>
        <w:rPr>
          <w:szCs w:val="20"/>
          <w:lang w:val="en-GB"/>
        </w:rPr>
        <w:t>Jackson (n 45</w:t>
      </w:r>
      <w:r w:rsidRPr="00CD1284">
        <w:rPr>
          <w:szCs w:val="20"/>
          <w:lang w:val="en-GB"/>
        </w:rPr>
        <w:t>) 203.</w:t>
      </w:r>
    </w:p>
  </w:footnote>
  <w:footnote w:id="106">
    <w:p w14:paraId="70CD435A" w14:textId="6880AF36"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P</w:t>
      </w:r>
      <w:r w:rsidRPr="00CD1284">
        <w:rPr>
          <w:szCs w:val="20"/>
          <w:lang w:val="en-GB"/>
        </w:rPr>
        <w:t xml:space="preserve"> Gaeta, </w:t>
      </w:r>
      <w:r w:rsidRPr="00CD1284">
        <w:rPr>
          <w:i/>
          <w:szCs w:val="20"/>
          <w:lang w:val="en-GB"/>
        </w:rPr>
        <w:t>The UN Genocide Convention: A Commentary</w:t>
      </w:r>
      <w:r w:rsidRPr="00CD1284">
        <w:rPr>
          <w:szCs w:val="20"/>
          <w:lang w:val="en-GB"/>
        </w:rPr>
        <w:t xml:space="preserve"> (OUP, 2009) 33.</w:t>
      </w:r>
    </w:p>
  </w:footnote>
  <w:footnote w:id="107">
    <w:p w14:paraId="4A40F3F2" w14:textId="1DC0FF03"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P Gaeta, ‘On What Conditions Can a State Be Held Responsible for</w:t>
      </w:r>
      <w:r>
        <w:rPr>
          <w:szCs w:val="20"/>
          <w:lang w:val="en-GB"/>
        </w:rPr>
        <w:t xml:space="preserve"> Genocide?’ (2007) 18 EJIL </w:t>
      </w:r>
      <w:r w:rsidRPr="00CD1284">
        <w:rPr>
          <w:szCs w:val="20"/>
          <w:lang w:val="en-GB"/>
        </w:rPr>
        <w:t>633.</w:t>
      </w:r>
    </w:p>
  </w:footnote>
  <w:footnote w:id="108">
    <w:p w14:paraId="1443B20E" w14:textId="1001B560"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Jackson (n 45</w:t>
      </w:r>
      <w:r w:rsidRPr="00CD1284">
        <w:rPr>
          <w:szCs w:val="20"/>
          <w:lang w:val="en-GB"/>
        </w:rPr>
        <w:t>) 214.</w:t>
      </w:r>
    </w:p>
  </w:footnote>
  <w:footnote w:id="109">
    <w:p w14:paraId="634B0311" w14:textId="7073EC50"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R</w:t>
      </w:r>
      <w:r w:rsidRPr="00CD1284">
        <w:rPr>
          <w:szCs w:val="20"/>
          <w:lang w:val="en-GB"/>
        </w:rPr>
        <w:t xml:space="preserve"> Ago, ‘Seventh report on State Responsibility’ 29 March, 17 April &amp; 4 July 1978, UN Doc A/CN.4/307 1 YB Int’l L Comm 1, 55 para 63.</w:t>
      </w:r>
    </w:p>
  </w:footnote>
  <w:footnote w:id="110">
    <w:p w14:paraId="0204BD16" w14:textId="3F2757F5"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Jackson (n 45</w:t>
      </w:r>
      <w:r w:rsidRPr="00CD1284">
        <w:rPr>
          <w:szCs w:val="20"/>
          <w:lang w:val="en-GB"/>
        </w:rPr>
        <w:t xml:space="preserve">) 210. </w:t>
      </w:r>
    </w:p>
  </w:footnote>
  <w:footnote w:id="111">
    <w:p w14:paraId="71043177" w14:textId="6E9308CF" w:rsidR="00FD777C" w:rsidRPr="00CD1284" w:rsidRDefault="00FD777C" w:rsidP="00CD1284">
      <w:pPr>
        <w:pStyle w:val="FootnoteText"/>
        <w:rPr>
          <w:i/>
          <w:szCs w:val="20"/>
          <w:lang w:val="en-GB"/>
        </w:rPr>
      </w:pPr>
      <w:r w:rsidRPr="00CD1284">
        <w:rPr>
          <w:rStyle w:val="FootnoteReference"/>
          <w:szCs w:val="20"/>
          <w:lang w:val="en-GB"/>
        </w:rPr>
        <w:footnoteRef/>
      </w:r>
      <w:r>
        <w:rPr>
          <w:szCs w:val="20"/>
          <w:lang w:val="en-GB"/>
        </w:rPr>
        <w:t xml:space="preserve"> M</w:t>
      </w:r>
      <w:r w:rsidRPr="00CD1284">
        <w:rPr>
          <w:szCs w:val="20"/>
          <w:lang w:val="en-GB"/>
        </w:rPr>
        <w:t xml:space="preserve"> Gibney, ‘Litigating Transnationa</w:t>
      </w:r>
      <w:r>
        <w:rPr>
          <w:szCs w:val="20"/>
          <w:lang w:val="en-GB"/>
        </w:rPr>
        <w:t>l Human Rights Abuses’ in W</w:t>
      </w:r>
      <w:r w:rsidRPr="00CD1284">
        <w:rPr>
          <w:szCs w:val="20"/>
          <w:lang w:val="en-GB"/>
        </w:rPr>
        <w:t xml:space="preserve"> Vandenhole (ed) </w:t>
      </w:r>
      <w:r w:rsidRPr="00CD1284">
        <w:rPr>
          <w:i/>
          <w:szCs w:val="20"/>
          <w:lang w:val="en-GB"/>
        </w:rPr>
        <w:t xml:space="preserve">Challenging Territoriality in Human Rights Law: Building Blocks for a Plural and Diverse Duty-Bear Regime </w:t>
      </w:r>
      <w:r w:rsidRPr="00CD1284">
        <w:rPr>
          <w:szCs w:val="20"/>
          <w:lang w:val="en-GB"/>
        </w:rPr>
        <w:t>(Routledge, 20</w:t>
      </w:r>
      <w:r>
        <w:rPr>
          <w:szCs w:val="20"/>
          <w:lang w:val="en-GB"/>
        </w:rPr>
        <w:t>15) 93.</w:t>
      </w:r>
    </w:p>
  </w:footnote>
  <w:footnote w:id="112">
    <w:p w14:paraId="6D4FE603" w14:textId="6A9C50E6"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Aust (n 97) 195.</w:t>
      </w:r>
    </w:p>
  </w:footnote>
  <w:footnote w:id="113">
    <w:p w14:paraId="4995E8E4" w14:textId="3EF46DCA"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ILC, ‘Report on the Work of its Fifty-Third Session’ (n </w:t>
      </w:r>
      <w:r>
        <w:rPr>
          <w:szCs w:val="20"/>
          <w:lang w:val="en-GB"/>
        </w:rPr>
        <w:t>76</w:t>
      </w:r>
      <w:r w:rsidRPr="00CD1284">
        <w:rPr>
          <w:szCs w:val="20"/>
          <w:lang w:val="en-GB"/>
        </w:rPr>
        <w:t>) 66 para 5.</w:t>
      </w:r>
    </w:p>
  </w:footnote>
  <w:footnote w:id="114">
    <w:p w14:paraId="5A61589B" w14:textId="50F4A329"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V</w:t>
      </w:r>
      <w:r w:rsidRPr="00CD1284">
        <w:rPr>
          <w:szCs w:val="20"/>
          <w:lang w:val="en-GB"/>
        </w:rPr>
        <w:t xml:space="preserve"> Lowe, ‘Responsibility for the Conduct of other States’ (2002) 101 Japanese J Int’l L 1, 11-12; Nolte &amp; Aust (n 97) 10. </w:t>
      </w:r>
    </w:p>
  </w:footnote>
  <w:footnote w:id="115">
    <w:p w14:paraId="536CD3AC" w14:textId="1DC378B4"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ILC, ‘Report on the Work o</w:t>
      </w:r>
      <w:r>
        <w:rPr>
          <w:szCs w:val="20"/>
          <w:lang w:val="en-GB"/>
        </w:rPr>
        <w:t>f its Fifty-Third Session’ (n 76</w:t>
      </w:r>
      <w:r w:rsidRPr="00CD1284">
        <w:rPr>
          <w:szCs w:val="20"/>
          <w:lang w:val="en-GB"/>
        </w:rPr>
        <w:t>) 67 para 10.</w:t>
      </w:r>
    </w:p>
  </w:footnote>
  <w:footnote w:id="116">
    <w:p w14:paraId="67071DFA" w14:textId="61067694"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Lowe (n 113</w:t>
      </w:r>
      <w:r w:rsidRPr="00CD1284">
        <w:rPr>
          <w:szCs w:val="20"/>
          <w:lang w:val="en-GB"/>
        </w:rPr>
        <w:t>) 6; On the conduct of international organi</w:t>
      </w:r>
      <w:r>
        <w:rPr>
          <w:szCs w:val="20"/>
          <w:lang w:val="en-GB"/>
        </w:rPr>
        <w:t xml:space="preserve">zations such as the IMF: A </w:t>
      </w:r>
      <w:r w:rsidRPr="00CD1284">
        <w:rPr>
          <w:szCs w:val="20"/>
          <w:lang w:val="en-GB"/>
        </w:rPr>
        <w:t xml:space="preserve">Reinisch, ‘Aid or Assistance and Direction and Control between States and International Organizations in the Commission of Internationally </w:t>
      </w:r>
      <w:r>
        <w:rPr>
          <w:szCs w:val="20"/>
          <w:lang w:val="en-GB"/>
        </w:rPr>
        <w:t xml:space="preserve">Wrongful Acts’(2010) 7 IOLR </w:t>
      </w:r>
      <w:r w:rsidRPr="00CD1284">
        <w:rPr>
          <w:szCs w:val="20"/>
          <w:lang w:val="en-GB"/>
        </w:rPr>
        <w:t>67-73.</w:t>
      </w:r>
    </w:p>
  </w:footnote>
  <w:footnote w:id="117">
    <w:p w14:paraId="538432D9" w14:textId="55365369"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For a detailed model engaging home Sta</w:t>
      </w:r>
      <w:r>
        <w:rPr>
          <w:szCs w:val="20"/>
          <w:lang w:val="en-GB"/>
        </w:rPr>
        <w:t>te responsibility, see: P</w:t>
      </w:r>
      <w:r w:rsidRPr="00CD1284">
        <w:rPr>
          <w:szCs w:val="20"/>
          <w:lang w:val="en-GB"/>
        </w:rPr>
        <w:t xml:space="preserve"> Simons &amp; A Macklin, </w:t>
      </w:r>
      <w:r w:rsidRPr="00CD1284">
        <w:rPr>
          <w:i/>
          <w:szCs w:val="20"/>
          <w:lang w:val="en-GB"/>
        </w:rPr>
        <w:t>The Governance Gap: Extractive Industries, Human Rights, and the Home State Advantage</w:t>
      </w:r>
      <w:r w:rsidRPr="00CD1284">
        <w:rPr>
          <w:szCs w:val="20"/>
          <w:lang w:val="en-GB"/>
        </w:rPr>
        <w:t xml:space="preserve"> (Routledge, 2014) 272-355.</w:t>
      </w:r>
    </w:p>
  </w:footnote>
  <w:footnote w:id="118">
    <w:p w14:paraId="48A7F186" w14:textId="68F964A6"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For the UK, assistance would include ‘planning with others… training others… agreeing Rules of Engagement [and] operational plans permitting the use of APM [anti-personnel landmines]… requests to non-State actors to use APM; and providing security or transport for APM.’ Unite</w:t>
      </w:r>
      <w:r>
        <w:rPr>
          <w:szCs w:val="20"/>
          <w:lang w:val="en-GB"/>
        </w:rPr>
        <w:t>d Kingdom Intervention on Article</w:t>
      </w:r>
      <w:r w:rsidRPr="00CD1284">
        <w:rPr>
          <w:szCs w:val="20"/>
          <w:lang w:val="en-GB"/>
        </w:rPr>
        <w:t xml:space="preserve"> 1, Statement in the Standing Committee of 16 May 2003, &lt;</w:t>
      </w:r>
      <w:hyperlink r:id="rId12" w:history="1">
        <w:r w:rsidRPr="00CD1284">
          <w:rPr>
            <w:rStyle w:val="Hyperlink"/>
            <w:szCs w:val="20"/>
            <w:lang w:val="en-GB"/>
          </w:rPr>
          <w:t>http://www.apminebanconvention.org/fileadmin/APMBC/IWP/SC_may03/speeches_gs/UK_Art_1.pdf</w:t>
        </w:r>
      </w:hyperlink>
      <w:r w:rsidRPr="00CD1284">
        <w:rPr>
          <w:szCs w:val="20"/>
          <w:lang w:val="en-GB"/>
        </w:rPr>
        <w:t xml:space="preserve">&gt; accessed 21 April 2016. </w:t>
      </w:r>
    </w:p>
  </w:footnote>
  <w:footnote w:id="119">
    <w:p w14:paraId="3536F26F" w14:textId="284A4D72"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Jackson (n 45</w:t>
      </w:r>
      <w:r w:rsidRPr="00CD1284">
        <w:rPr>
          <w:szCs w:val="20"/>
          <w:lang w:val="en-GB"/>
        </w:rPr>
        <w:t>) 158; Nolte &amp; Aust (n 97) 12.</w:t>
      </w:r>
    </w:p>
  </w:footnote>
  <w:footnote w:id="120">
    <w:p w14:paraId="5A882AEC" w14:textId="7C7A4DF5"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Convention on the Prohibition of the Use, Stockpiling, Production and Transfer of Anti-Personnel Mines and on their Destruction (Ottawa Convention) (18 September 1997) 2056 UNTS 211, art 1(1)(c).</w:t>
      </w:r>
    </w:p>
  </w:footnote>
  <w:footnote w:id="121">
    <w:p w14:paraId="618FB15F" w14:textId="77777777"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Cluster Munitions Convention (30 May 2008) 2688 UNTS 39, art 1(c).</w:t>
      </w:r>
    </w:p>
  </w:footnote>
  <w:footnote w:id="122">
    <w:p w14:paraId="29858AB0" w14:textId="4A47C609"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Proposal by the United Kingdom for the </w:t>
      </w:r>
      <w:r>
        <w:rPr>
          <w:szCs w:val="20"/>
          <w:lang w:val="en-GB"/>
        </w:rPr>
        <w:t>A</w:t>
      </w:r>
      <w:r w:rsidRPr="00CD1284">
        <w:rPr>
          <w:szCs w:val="20"/>
          <w:lang w:val="en-GB"/>
        </w:rPr>
        <w:t xml:space="preserve">mendment of </w:t>
      </w:r>
      <w:r>
        <w:rPr>
          <w:szCs w:val="20"/>
          <w:lang w:val="en-GB"/>
        </w:rPr>
        <w:t>Article 1,</w:t>
      </w:r>
      <w:r w:rsidRPr="00CD1284">
        <w:rPr>
          <w:szCs w:val="20"/>
          <w:lang w:val="en-GB"/>
        </w:rPr>
        <w:t xml:space="preserve"> CCM/14</w:t>
      </w:r>
      <w:r>
        <w:rPr>
          <w:szCs w:val="20"/>
          <w:lang w:val="en-GB"/>
        </w:rPr>
        <w:t xml:space="preserve"> (19 May 2008)</w:t>
      </w:r>
      <w:r w:rsidRPr="00CD1284">
        <w:rPr>
          <w:szCs w:val="20"/>
          <w:lang w:val="en-GB"/>
        </w:rPr>
        <w:t xml:space="preserve"> &lt;</w:t>
      </w:r>
      <w:hyperlink r:id="rId13" w:history="1">
        <w:r w:rsidRPr="00CD1284">
          <w:rPr>
            <w:rStyle w:val="Hyperlink"/>
            <w:szCs w:val="20"/>
            <w:lang w:val="en-GB"/>
          </w:rPr>
          <w:t>http://www.clusterconvention.org/files/2013/01/CCM14_001.pdf</w:t>
        </w:r>
      </w:hyperlink>
      <w:r w:rsidRPr="00CD1284">
        <w:rPr>
          <w:szCs w:val="20"/>
          <w:lang w:val="en-GB"/>
        </w:rPr>
        <w:t>&gt; accessed 21 April 2016.</w:t>
      </w:r>
    </w:p>
  </w:footnote>
  <w:footnote w:id="123">
    <w:p w14:paraId="4F095181" w14:textId="481CB687" w:rsidR="00FD777C" w:rsidRPr="00CD1284" w:rsidRDefault="00FD777C" w:rsidP="00CD1284">
      <w:pPr>
        <w:pStyle w:val="FootnoteText"/>
        <w:rPr>
          <w:i/>
          <w:szCs w:val="20"/>
          <w:lang w:val="en-GB"/>
        </w:rPr>
      </w:pPr>
      <w:r w:rsidRPr="00CD1284">
        <w:rPr>
          <w:rStyle w:val="FootnoteReference"/>
          <w:szCs w:val="20"/>
          <w:lang w:val="en-GB"/>
        </w:rPr>
        <w:footnoteRef/>
      </w:r>
      <w:r w:rsidRPr="00CD1284">
        <w:rPr>
          <w:szCs w:val="20"/>
          <w:lang w:val="en-GB"/>
        </w:rPr>
        <w:t xml:space="preserve"> </w:t>
      </w:r>
      <w:r w:rsidRPr="00CD1284">
        <w:rPr>
          <w:i/>
          <w:szCs w:val="20"/>
          <w:lang w:val="en-GB"/>
        </w:rPr>
        <w:t>Bosnian Genocide</w:t>
      </w:r>
      <w:r w:rsidRPr="00CD1284">
        <w:rPr>
          <w:szCs w:val="20"/>
          <w:lang w:val="en-GB"/>
        </w:rPr>
        <w:t xml:space="preserve"> (</w:t>
      </w:r>
      <w:r>
        <w:rPr>
          <w:szCs w:val="20"/>
          <w:lang w:val="en-GB"/>
        </w:rPr>
        <w:t>n 84)</w:t>
      </w:r>
      <w:r w:rsidRPr="00CD1284">
        <w:rPr>
          <w:szCs w:val="20"/>
          <w:lang w:val="en-GB"/>
        </w:rPr>
        <w:t xml:space="preserve"> [432]</w:t>
      </w:r>
      <w:r w:rsidRPr="00CD1284">
        <w:rPr>
          <w:i/>
          <w:szCs w:val="20"/>
          <w:lang w:val="en-GB"/>
        </w:rPr>
        <w:t>.</w:t>
      </w:r>
    </w:p>
  </w:footnote>
  <w:footnote w:id="124">
    <w:p w14:paraId="33889077" w14:textId="3848DAE7"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Ago, ‘Seventh report</w:t>
      </w:r>
      <w:r>
        <w:rPr>
          <w:szCs w:val="20"/>
          <w:lang w:val="en-GB"/>
        </w:rPr>
        <w:t xml:space="preserve"> on State Responsibility’ (n 108</w:t>
      </w:r>
      <w:r w:rsidRPr="00CD1284">
        <w:rPr>
          <w:szCs w:val="20"/>
          <w:lang w:val="en-GB"/>
        </w:rPr>
        <w:t>) 53 para 57.</w:t>
      </w:r>
    </w:p>
  </w:footnote>
  <w:footnote w:id="125">
    <w:p w14:paraId="191AED77" w14:textId="37AAA3C8" w:rsidR="00FD777C" w:rsidRPr="00CE20A9" w:rsidRDefault="00FD777C" w:rsidP="00CD1284">
      <w:pPr>
        <w:pStyle w:val="FootnoteText"/>
        <w:rPr>
          <w:szCs w:val="20"/>
          <w:lang w:val="en-GB"/>
        </w:rPr>
      </w:pPr>
      <w:r w:rsidRPr="00CD1284">
        <w:rPr>
          <w:rStyle w:val="FootnoteReference"/>
          <w:szCs w:val="20"/>
          <w:lang w:val="en-GB"/>
        </w:rPr>
        <w:footnoteRef/>
      </w:r>
      <w:r w:rsidRPr="00CE20A9">
        <w:rPr>
          <w:szCs w:val="20"/>
          <w:lang w:val="en-GB"/>
        </w:rPr>
        <w:t xml:space="preserve"> Jackson (n 45) 211; Aust (n 97) 230.</w:t>
      </w:r>
    </w:p>
  </w:footnote>
  <w:footnote w:id="126">
    <w:p w14:paraId="4AD8AC78" w14:textId="4A052F19" w:rsidR="00FD777C" w:rsidRDefault="00FD777C">
      <w:pPr>
        <w:pStyle w:val="FootnoteText"/>
      </w:pPr>
      <w:r>
        <w:rPr>
          <w:rStyle w:val="FootnoteReference"/>
        </w:rPr>
        <w:footnoteRef/>
      </w:r>
      <w:r>
        <w:t xml:space="preserve"> ‘</w:t>
      </w:r>
      <w:r>
        <w:rPr>
          <w:iCs/>
          <w:szCs w:val="20"/>
        </w:rPr>
        <w:t>A</w:t>
      </w:r>
      <w:r w:rsidRPr="00A6724D">
        <w:rPr>
          <w:iCs/>
          <w:szCs w:val="20"/>
        </w:rPr>
        <w:t>n illegal act which violates human rights and which is initially not directly imputable to a State… can lead to the international responsibility of the State… because of the lack of due diligence to prevent or respond to it’</w:t>
      </w:r>
      <w:r>
        <w:rPr>
          <w:iCs/>
          <w:szCs w:val="20"/>
        </w:rPr>
        <w:t xml:space="preserve">. </w:t>
      </w:r>
      <w:r w:rsidRPr="00A6724D">
        <w:rPr>
          <w:i/>
          <w:szCs w:val="20"/>
        </w:rPr>
        <w:t>Velasquez Rodriguez</w:t>
      </w:r>
      <w:r>
        <w:rPr>
          <w:i/>
          <w:szCs w:val="20"/>
        </w:rPr>
        <w:t xml:space="preserve"> v Honduras,</w:t>
      </w:r>
      <w:r w:rsidRPr="00A6724D">
        <w:rPr>
          <w:szCs w:val="20"/>
        </w:rPr>
        <w:t xml:space="preserve"> </w:t>
      </w:r>
      <w:r>
        <w:rPr>
          <w:color w:val="000000"/>
          <w:szCs w:val="20"/>
        </w:rPr>
        <w:t xml:space="preserve">Inter-American Court of Human Rights </w:t>
      </w:r>
      <w:r>
        <w:rPr>
          <w:szCs w:val="20"/>
        </w:rPr>
        <w:t>Series</w:t>
      </w:r>
      <w:r w:rsidRPr="00A6724D">
        <w:rPr>
          <w:szCs w:val="20"/>
        </w:rPr>
        <w:t xml:space="preserve"> C</w:t>
      </w:r>
      <w:r>
        <w:rPr>
          <w:szCs w:val="20"/>
        </w:rPr>
        <w:t xml:space="preserve"> No 4 </w:t>
      </w:r>
      <w:r w:rsidRPr="00A6724D">
        <w:rPr>
          <w:szCs w:val="20"/>
        </w:rPr>
        <w:t xml:space="preserve">(29 July 1988) </w:t>
      </w:r>
      <w:r>
        <w:rPr>
          <w:szCs w:val="20"/>
        </w:rPr>
        <w:t>[</w:t>
      </w:r>
      <w:r w:rsidRPr="00A6724D">
        <w:rPr>
          <w:szCs w:val="20"/>
        </w:rPr>
        <w:t>166</w:t>
      </w:r>
      <w:r>
        <w:rPr>
          <w:szCs w:val="20"/>
        </w:rPr>
        <w:t>]</w:t>
      </w:r>
      <w:r w:rsidRPr="00A6724D">
        <w:rPr>
          <w:szCs w:val="20"/>
        </w:rPr>
        <w:t>-</w:t>
      </w:r>
      <w:r>
        <w:rPr>
          <w:szCs w:val="20"/>
        </w:rPr>
        <w:t>[</w:t>
      </w:r>
      <w:r w:rsidRPr="00A6724D">
        <w:rPr>
          <w:szCs w:val="20"/>
        </w:rPr>
        <w:t>174</w:t>
      </w:r>
      <w:r>
        <w:rPr>
          <w:szCs w:val="20"/>
        </w:rPr>
        <w:t>]</w:t>
      </w:r>
      <w:r w:rsidRPr="00A6724D">
        <w:rPr>
          <w:szCs w:val="20"/>
        </w:rPr>
        <w:t xml:space="preserve">; </w:t>
      </w:r>
      <w:r>
        <w:rPr>
          <w:szCs w:val="20"/>
        </w:rPr>
        <w:t>RP</w:t>
      </w:r>
      <w:r w:rsidRPr="00A6724D">
        <w:rPr>
          <w:szCs w:val="20"/>
        </w:rPr>
        <w:t xml:space="preserve"> Barnidge, ‘The Due Diligence Principle Under International Law’ (2006) 8 Int</w:t>
      </w:r>
      <w:r>
        <w:rPr>
          <w:szCs w:val="20"/>
        </w:rPr>
        <w:t>’l C L Rev</w:t>
      </w:r>
      <w:r w:rsidRPr="00A6724D">
        <w:rPr>
          <w:szCs w:val="20"/>
        </w:rPr>
        <w:t xml:space="preserve"> 81.</w:t>
      </w:r>
    </w:p>
  </w:footnote>
  <w:footnote w:id="127">
    <w:p w14:paraId="4E4E4B28" w14:textId="60C29105" w:rsidR="00FD777C" w:rsidRPr="00BC5B23" w:rsidRDefault="00FD777C" w:rsidP="00CD1284">
      <w:pPr>
        <w:pStyle w:val="FootnoteText"/>
        <w:rPr>
          <w:szCs w:val="20"/>
          <w:lang w:val="de-DE"/>
        </w:rPr>
      </w:pPr>
      <w:r w:rsidRPr="00CD1284">
        <w:rPr>
          <w:rStyle w:val="FootnoteReference"/>
          <w:szCs w:val="20"/>
          <w:lang w:val="en-GB"/>
        </w:rPr>
        <w:footnoteRef/>
      </w:r>
      <w:r w:rsidRPr="00BC5B23">
        <w:rPr>
          <w:szCs w:val="20"/>
          <w:lang w:val="de-DE"/>
        </w:rPr>
        <w:t xml:space="preserve"> Aust (n 97) 230; </w:t>
      </w:r>
      <w:r w:rsidRPr="00BC5B23">
        <w:rPr>
          <w:i/>
          <w:szCs w:val="20"/>
          <w:lang w:val="de-DE"/>
        </w:rPr>
        <w:t>Bosnian Genocide</w:t>
      </w:r>
      <w:r>
        <w:rPr>
          <w:szCs w:val="20"/>
          <w:lang w:val="de-DE"/>
        </w:rPr>
        <w:t xml:space="preserve"> (n 84</w:t>
      </w:r>
      <w:r w:rsidRPr="00BC5B23">
        <w:rPr>
          <w:szCs w:val="20"/>
          <w:lang w:val="de-DE"/>
        </w:rPr>
        <w:t>) [430].</w:t>
      </w:r>
    </w:p>
  </w:footnote>
  <w:footnote w:id="128">
    <w:p w14:paraId="7186BC21" w14:textId="14667DF2"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Aust (n 97) 231</w:t>
      </w:r>
      <w:r>
        <w:rPr>
          <w:szCs w:val="20"/>
          <w:lang w:val="en-GB"/>
        </w:rPr>
        <w:t>.</w:t>
      </w:r>
    </w:p>
  </w:footnote>
  <w:footnote w:id="129">
    <w:p w14:paraId="2E3B143E" w14:textId="1D8AA895"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Jackson (n 45</w:t>
      </w:r>
      <w:r w:rsidRPr="00CD1284">
        <w:rPr>
          <w:szCs w:val="20"/>
          <w:lang w:val="en-GB"/>
        </w:rPr>
        <w:t>) 160</w:t>
      </w:r>
      <w:r>
        <w:rPr>
          <w:szCs w:val="20"/>
          <w:lang w:val="en-GB"/>
        </w:rPr>
        <w:t>.</w:t>
      </w:r>
    </w:p>
  </w:footnote>
  <w:footnote w:id="130">
    <w:p w14:paraId="4AEDF5D9" w14:textId="5A49992A"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Lanovoy (n 98</w:t>
      </w:r>
      <w:r w:rsidRPr="00CD1284">
        <w:rPr>
          <w:szCs w:val="20"/>
          <w:lang w:val="en-GB"/>
        </w:rPr>
        <w:t xml:space="preserve">) 140. </w:t>
      </w:r>
    </w:p>
  </w:footnote>
  <w:footnote w:id="131">
    <w:p w14:paraId="0307D58C" w14:textId="08503876"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A</w:t>
      </w:r>
      <w:r w:rsidRPr="00CD1284">
        <w:rPr>
          <w:szCs w:val="20"/>
          <w:lang w:val="en-GB"/>
        </w:rPr>
        <w:t xml:space="preserve"> Bolvin, ‘Complicity and Beyond: International Law and the Transfer of Small Arms and Light Weapons’ 87 (2005) I</w:t>
      </w:r>
      <w:r>
        <w:rPr>
          <w:szCs w:val="20"/>
          <w:lang w:val="en-GB"/>
        </w:rPr>
        <w:t xml:space="preserve">nt’l Rev Red Cross </w:t>
      </w:r>
      <w:r w:rsidRPr="00CD1284">
        <w:rPr>
          <w:szCs w:val="20"/>
          <w:lang w:val="en-GB"/>
        </w:rPr>
        <w:t>471.</w:t>
      </w:r>
    </w:p>
  </w:footnote>
  <w:footnote w:id="132">
    <w:p w14:paraId="5FFD058C" w14:textId="4350CA45"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A State is only responsible if ‘the relevant State organ intended, by the aid or assistance given, to facilitate the occurrence of the wrongful conduct’.</w:t>
      </w:r>
      <w:r>
        <w:rPr>
          <w:szCs w:val="20"/>
          <w:lang w:val="en-GB"/>
        </w:rPr>
        <w:t xml:space="preserve"> J</w:t>
      </w:r>
      <w:r w:rsidRPr="00CD1284">
        <w:rPr>
          <w:szCs w:val="20"/>
          <w:lang w:val="en-GB"/>
        </w:rPr>
        <w:t xml:space="preserve"> Crawford, </w:t>
      </w:r>
      <w:r w:rsidRPr="00CD1284">
        <w:rPr>
          <w:i/>
          <w:szCs w:val="20"/>
          <w:lang w:val="en-GB"/>
        </w:rPr>
        <w:t xml:space="preserve">The International Law Commissions Articles on State Responsibility: Introduction, Text and Commentaries </w:t>
      </w:r>
      <w:r w:rsidRPr="00CD1284">
        <w:rPr>
          <w:szCs w:val="20"/>
          <w:lang w:val="en-GB"/>
        </w:rPr>
        <w:t>(Cambridge University Press, 2002) 149 para 5; Nolte &amp; Aust (n 97) 13-15; ibid.</w:t>
      </w:r>
    </w:p>
  </w:footnote>
  <w:footnote w:id="133">
    <w:p w14:paraId="7A4D0067" w14:textId="5960E30E"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For Lowe, it is ‘unlikely that a tribunal would permit a State to avoid responsibility by deliberately holing back from inquiring into clear indications that its aid would probably be employed in an unlawful manner’</w:t>
      </w:r>
      <w:r>
        <w:rPr>
          <w:szCs w:val="20"/>
          <w:lang w:val="en-GB"/>
        </w:rPr>
        <w:t>. Lowe (n 113) 10; Lanovoy (n 98</w:t>
      </w:r>
      <w:r w:rsidRPr="00CD1284">
        <w:rPr>
          <w:szCs w:val="20"/>
          <w:lang w:val="en-GB"/>
        </w:rPr>
        <w:t>) 153; Gibney, ‘Litigating Tr</w:t>
      </w:r>
      <w:r>
        <w:rPr>
          <w:szCs w:val="20"/>
          <w:lang w:val="en-GB"/>
        </w:rPr>
        <w:t>ansnational Human Rights’ (n 110</w:t>
      </w:r>
      <w:r w:rsidRPr="00CD1284">
        <w:rPr>
          <w:szCs w:val="20"/>
          <w:lang w:val="en-GB"/>
        </w:rPr>
        <w:t>) 98.</w:t>
      </w:r>
    </w:p>
  </w:footnote>
  <w:footnote w:id="134">
    <w:p w14:paraId="2B5BF982" w14:textId="59C2D2AE"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See generally: </w:t>
      </w:r>
      <w:r>
        <w:rPr>
          <w:rFonts w:eastAsia="Times New Roman" w:cs="Times New Roman"/>
          <w:szCs w:val="20"/>
          <w:lang w:val="en-GB"/>
        </w:rPr>
        <w:t>R</w:t>
      </w:r>
      <w:r w:rsidRPr="00CD1284">
        <w:rPr>
          <w:rFonts w:eastAsia="Times New Roman" w:cs="Times New Roman"/>
          <w:szCs w:val="20"/>
          <w:lang w:val="en-GB"/>
        </w:rPr>
        <w:t xml:space="preserve"> Suda, ‘The Effect of Bilateral Investment Treaties on Human Rights Enforcement and Realisation’ in </w:t>
      </w:r>
      <w:r w:rsidRPr="00CD1284">
        <w:rPr>
          <w:szCs w:val="20"/>
          <w:lang w:val="en-GB"/>
        </w:rPr>
        <w:t xml:space="preserve">De Schutter, </w:t>
      </w:r>
      <w:r w:rsidRPr="00CD1284">
        <w:rPr>
          <w:i/>
          <w:szCs w:val="20"/>
          <w:lang w:val="en-GB"/>
        </w:rPr>
        <w:t>Transnational Corporations</w:t>
      </w:r>
      <w:r w:rsidRPr="00CD1284">
        <w:rPr>
          <w:szCs w:val="20"/>
          <w:lang w:val="en-GB"/>
        </w:rPr>
        <w:t xml:space="preserve"> (n 2) </w:t>
      </w:r>
      <w:r w:rsidRPr="00CD1284">
        <w:rPr>
          <w:rFonts w:eastAsia="Times New Roman" w:cs="Times New Roman"/>
          <w:szCs w:val="20"/>
          <w:lang w:val="en-GB"/>
        </w:rPr>
        <w:t>73.</w:t>
      </w:r>
    </w:p>
  </w:footnote>
  <w:footnote w:id="135">
    <w:p w14:paraId="0B64F7E7" w14:textId="1948E139"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Bolvin (n 130) 471-2.</w:t>
      </w:r>
    </w:p>
  </w:footnote>
  <w:footnote w:id="136">
    <w:p w14:paraId="1081225A" w14:textId="206C0AB7"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Crawford, </w:t>
      </w:r>
      <w:r w:rsidRPr="00CD1284">
        <w:rPr>
          <w:i/>
          <w:szCs w:val="20"/>
          <w:lang w:val="en-GB"/>
        </w:rPr>
        <w:t xml:space="preserve">The ILC’s Article on State Responsibility </w:t>
      </w:r>
      <w:r w:rsidRPr="00CD1284">
        <w:rPr>
          <w:szCs w:val="20"/>
          <w:lang w:val="en-GB"/>
        </w:rPr>
        <w:t>(n 131) 13.</w:t>
      </w:r>
    </w:p>
  </w:footnote>
  <w:footnote w:id="137">
    <w:p w14:paraId="519EFD09" w14:textId="467E086F"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It is interesting to note the variance between standards within the ASRIW, art 41(2) providing a similar aid or assistance provision in relation to serious breaches of peremptory norms, without the requirement of intent or knowledge of the principal wron</w:t>
      </w:r>
      <w:r>
        <w:rPr>
          <w:szCs w:val="20"/>
          <w:lang w:val="en-GB"/>
        </w:rPr>
        <w:t>g: ASRIWA (n 70) art 41(2); E Wyler &amp;</w:t>
      </w:r>
      <w:r w:rsidRPr="00CD1284">
        <w:rPr>
          <w:szCs w:val="20"/>
          <w:lang w:val="en-GB"/>
        </w:rPr>
        <w:t xml:space="preserve"> L Castellanos-Jankiewicz, ‘Serious Breaches of Peremptory Norms’ in </w:t>
      </w:r>
      <w:r>
        <w:rPr>
          <w:szCs w:val="20"/>
          <w:lang w:val="en-GB"/>
        </w:rPr>
        <w:t>Nollkaemper &amp; Plakokefalos (n 63</w:t>
      </w:r>
      <w:r w:rsidRPr="00CD1284">
        <w:rPr>
          <w:szCs w:val="20"/>
          <w:lang w:val="en-GB"/>
        </w:rPr>
        <w:t xml:space="preserve">) 284-311. </w:t>
      </w:r>
    </w:p>
  </w:footnote>
  <w:footnote w:id="138">
    <w:p w14:paraId="2861DB61" w14:textId="0F25D29C" w:rsidR="00FD777C" w:rsidRPr="00CD1284" w:rsidRDefault="00FD777C" w:rsidP="00CD1284">
      <w:pPr>
        <w:pStyle w:val="FootnoteText"/>
        <w:rPr>
          <w:szCs w:val="20"/>
          <w:lang w:val="es-ES_tradnl"/>
        </w:rPr>
      </w:pPr>
      <w:r w:rsidRPr="00CD1284">
        <w:rPr>
          <w:rStyle w:val="FootnoteReference"/>
          <w:szCs w:val="20"/>
          <w:lang w:val="en-GB"/>
        </w:rPr>
        <w:footnoteRef/>
      </w:r>
      <w:r w:rsidRPr="00CD1284">
        <w:rPr>
          <w:szCs w:val="20"/>
          <w:lang w:val="es-ES_tradnl"/>
        </w:rPr>
        <w:t xml:space="preserve"> Aust (n 97) 232.</w:t>
      </w:r>
    </w:p>
  </w:footnote>
  <w:footnote w:id="139">
    <w:p w14:paraId="7803C07C" w14:textId="390D524F" w:rsidR="00FD777C" w:rsidRPr="00CD1284" w:rsidRDefault="00FD777C" w:rsidP="00CD1284">
      <w:pPr>
        <w:pStyle w:val="FootnoteText"/>
        <w:rPr>
          <w:szCs w:val="20"/>
          <w:lang w:val="es-ES_tradnl"/>
        </w:rPr>
      </w:pPr>
      <w:r w:rsidRPr="00CD1284">
        <w:rPr>
          <w:rStyle w:val="FootnoteReference"/>
          <w:szCs w:val="20"/>
          <w:lang w:val="en-GB"/>
        </w:rPr>
        <w:footnoteRef/>
      </w:r>
      <w:r w:rsidRPr="00CD1284">
        <w:rPr>
          <w:szCs w:val="20"/>
          <w:lang w:val="es-ES_tradnl"/>
        </w:rPr>
        <w:t xml:space="preserve"> ibid. 246.</w:t>
      </w:r>
    </w:p>
  </w:footnote>
  <w:footnote w:id="140">
    <w:p w14:paraId="34C47E87" w14:textId="4130DE5D" w:rsidR="00FD777C" w:rsidRPr="00CD1284" w:rsidRDefault="00FD777C" w:rsidP="00CD1284">
      <w:pPr>
        <w:pStyle w:val="FootnoteText"/>
        <w:rPr>
          <w:szCs w:val="20"/>
          <w:lang w:val="es-ES_tradnl"/>
        </w:rPr>
      </w:pPr>
      <w:r w:rsidRPr="00CD1284">
        <w:rPr>
          <w:rStyle w:val="FootnoteReference"/>
          <w:szCs w:val="20"/>
          <w:lang w:val="en-GB"/>
        </w:rPr>
        <w:footnoteRef/>
      </w:r>
      <w:r w:rsidRPr="00CD1284">
        <w:rPr>
          <w:rFonts w:cs="Swift-Italic"/>
          <w:i/>
          <w:iCs/>
          <w:szCs w:val="20"/>
          <w:lang w:val="es-ES_tradnl"/>
        </w:rPr>
        <w:t xml:space="preserve"> Velásquez Rodríguez</w:t>
      </w:r>
      <w:r>
        <w:rPr>
          <w:rFonts w:cs="Swift-Italic"/>
          <w:i/>
          <w:iCs/>
          <w:szCs w:val="20"/>
          <w:lang w:val="es-ES_tradnl"/>
        </w:rPr>
        <w:t xml:space="preserve"> </w:t>
      </w:r>
      <w:r>
        <w:rPr>
          <w:rFonts w:cs="Swift-Italic"/>
          <w:iCs/>
          <w:szCs w:val="20"/>
          <w:lang w:val="es-ES_tradnl"/>
        </w:rPr>
        <w:t>(n 125)</w:t>
      </w:r>
      <w:r w:rsidRPr="00CD1284">
        <w:rPr>
          <w:rFonts w:cs="Swift-Regular"/>
          <w:szCs w:val="20"/>
          <w:lang w:val="es-ES_tradnl"/>
        </w:rPr>
        <w:t>.</w:t>
      </w:r>
    </w:p>
  </w:footnote>
  <w:footnote w:id="141">
    <w:p w14:paraId="31DEF86D" w14:textId="7BCB3F09" w:rsidR="00FD777C" w:rsidRPr="00CD1284" w:rsidRDefault="00FD777C" w:rsidP="00CD1284">
      <w:pPr>
        <w:pStyle w:val="FootnoteText"/>
        <w:rPr>
          <w:szCs w:val="20"/>
          <w:lang w:val="en-GB"/>
        </w:rPr>
      </w:pPr>
      <w:r w:rsidRPr="00CD1284">
        <w:rPr>
          <w:rStyle w:val="FootnoteReference"/>
          <w:szCs w:val="20"/>
          <w:lang w:val="en-GB"/>
        </w:rPr>
        <w:footnoteRef/>
      </w:r>
      <w:r w:rsidRPr="00CD1284">
        <w:rPr>
          <w:rFonts w:cs="Swift-Italic"/>
          <w:i/>
          <w:iCs/>
          <w:szCs w:val="20"/>
          <w:lang w:val="en-GB"/>
        </w:rPr>
        <w:t xml:space="preserve"> </w:t>
      </w:r>
      <w:r w:rsidRPr="00CD1284">
        <w:rPr>
          <w:rFonts w:cs="Swift-Italic"/>
          <w:iCs/>
          <w:szCs w:val="20"/>
          <w:lang w:val="en-GB"/>
        </w:rPr>
        <w:t>ibid.</w:t>
      </w:r>
      <w:r w:rsidRPr="00CD1284">
        <w:rPr>
          <w:rFonts w:cs="Swift-Regular"/>
          <w:szCs w:val="20"/>
          <w:lang w:val="en-GB"/>
        </w:rPr>
        <w:t xml:space="preserve"> [1</w:t>
      </w:r>
      <w:r>
        <w:rPr>
          <w:rFonts w:cs="Swift-Regular"/>
          <w:szCs w:val="20"/>
          <w:lang w:val="en-GB"/>
        </w:rPr>
        <w:t>66</w:t>
      </w:r>
      <w:r w:rsidRPr="00CD1284">
        <w:rPr>
          <w:rFonts w:cs="Swift-Regular"/>
          <w:szCs w:val="20"/>
          <w:lang w:val="en-GB"/>
        </w:rPr>
        <w:t>].</w:t>
      </w:r>
    </w:p>
  </w:footnote>
  <w:footnote w:id="142">
    <w:p w14:paraId="2D996F47" w14:textId="3589B0A6"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Aust (n 97) 246.</w:t>
      </w:r>
    </w:p>
  </w:footnote>
  <w:footnote w:id="143">
    <w:p w14:paraId="39C01B7E" w14:textId="0025E4AB"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‘[I]t must be ascertained whether the acts of the individuals implicated in the incident in violating such fundamental rights… are attributable to the State… [I]t is sufficient to show that the infringement… has been supported or tolerate by the government.’ </w:t>
      </w:r>
      <w:r w:rsidRPr="00CD1284">
        <w:rPr>
          <w:i/>
          <w:szCs w:val="20"/>
          <w:lang w:val="en-GB"/>
        </w:rPr>
        <w:t>Riofrío Massacre</w:t>
      </w:r>
      <w:r>
        <w:rPr>
          <w:i/>
          <w:szCs w:val="20"/>
          <w:lang w:val="en-GB"/>
        </w:rPr>
        <w:t>,</w:t>
      </w:r>
      <w:r w:rsidRPr="00CD1284">
        <w:rPr>
          <w:szCs w:val="20"/>
          <w:lang w:val="en-GB"/>
        </w:rPr>
        <w:t xml:space="preserve"> In</w:t>
      </w:r>
      <w:r>
        <w:rPr>
          <w:szCs w:val="20"/>
          <w:lang w:val="en-GB"/>
        </w:rPr>
        <w:t>ter-American Commission on Human Rights Report No 62/01 (6 April 2001)</w:t>
      </w:r>
      <w:r w:rsidRPr="00CD1284">
        <w:rPr>
          <w:szCs w:val="20"/>
          <w:lang w:val="en-GB"/>
        </w:rPr>
        <w:t xml:space="preserve"> [48].</w:t>
      </w:r>
    </w:p>
  </w:footnote>
  <w:footnote w:id="144">
    <w:p w14:paraId="04A9D98E" w14:textId="29DF9E9A"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‘[T]he acts of private individuals involved in said acts can be attributed to the State… for which it is sufficient to prove that there has been support or tolerance by the public authorities in the breach of the rights embodied in the Convention’. </w:t>
      </w:r>
      <w:r w:rsidRPr="00CD1284">
        <w:rPr>
          <w:i/>
          <w:szCs w:val="20"/>
          <w:lang w:val="en-GB"/>
        </w:rPr>
        <w:t xml:space="preserve">Mapiripán Massacre </w:t>
      </w:r>
      <w:r w:rsidRPr="00CD1284">
        <w:rPr>
          <w:szCs w:val="20"/>
          <w:lang w:val="en-GB"/>
        </w:rPr>
        <w:t>(Columbia) I</w:t>
      </w:r>
      <w:r>
        <w:rPr>
          <w:szCs w:val="20"/>
          <w:lang w:val="en-GB"/>
        </w:rPr>
        <w:t>nter-American Court of Human Rights Series C No 134 (15 September 2005)</w:t>
      </w:r>
      <w:r w:rsidRPr="00CD1284">
        <w:rPr>
          <w:szCs w:val="20"/>
          <w:lang w:val="en-GB"/>
        </w:rPr>
        <w:t xml:space="preserve"> [98a].</w:t>
      </w:r>
    </w:p>
  </w:footnote>
  <w:footnote w:id="145">
    <w:p w14:paraId="5C5967CA" w14:textId="46186C45"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Jackson (n 45</w:t>
      </w:r>
      <w:r w:rsidRPr="00CD1284">
        <w:rPr>
          <w:szCs w:val="20"/>
          <w:lang w:val="en-GB"/>
        </w:rPr>
        <w:t>) 195.</w:t>
      </w:r>
    </w:p>
  </w:footnote>
  <w:footnote w:id="146">
    <w:p w14:paraId="1BA6FDB9" w14:textId="72F1E209"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ibid. 196.</w:t>
      </w:r>
    </w:p>
  </w:footnote>
  <w:footnote w:id="147">
    <w:p w14:paraId="08D70359" w14:textId="0E04466F"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For extensive discussion: Aust (n 97) 230-249; ibid. 159-62.</w:t>
      </w:r>
    </w:p>
  </w:footnote>
  <w:footnote w:id="148">
    <w:p w14:paraId="070C0FCA" w14:textId="51EF8CF6"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M</w:t>
      </w:r>
      <w:r w:rsidRPr="00CD1284">
        <w:rPr>
          <w:szCs w:val="20"/>
          <w:lang w:val="en-GB"/>
        </w:rPr>
        <w:t xml:space="preserve"> Gibney</w:t>
      </w:r>
      <w:r w:rsidRPr="00CD1284">
        <w:rPr>
          <w:i/>
          <w:szCs w:val="20"/>
          <w:lang w:val="en-GB"/>
        </w:rPr>
        <w:t xml:space="preserve">, </w:t>
      </w:r>
      <w:r w:rsidRPr="00CD1284">
        <w:rPr>
          <w:szCs w:val="20"/>
          <w:lang w:val="en-GB"/>
        </w:rPr>
        <w:t>‘Genocide and State Responsibility’ (2007) 7 Hum Rts L Rev 760.</w:t>
      </w:r>
    </w:p>
  </w:footnote>
  <w:footnote w:id="149">
    <w:p w14:paraId="74C65C32" w14:textId="05420346"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Gibney, ‘Litigating Tr</w:t>
      </w:r>
      <w:r>
        <w:rPr>
          <w:szCs w:val="20"/>
          <w:lang w:val="en-GB"/>
        </w:rPr>
        <w:t>ansnational Human Rights’ (n 110</w:t>
      </w:r>
      <w:r w:rsidRPr="00CD1284">
        <w:rPr>
          <w:szCs w:val="20"/>
          <w:lang w:val="en-GB"/>
        </w:rPr>
        <w:t>) 110.</w:t>
      </w:r>
    </w:p>
  </w:footnote>
  <w:footnote w:id="150">
    <w:p w14:paraId="72437AB8" w14:textId="1991585B"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International Covenant on Civil and Political Rights (16 December 1966) 999 UNTS 171, art 2(1).</w:t>
      </w:r>
    </w:p>
  </w:footnote>
  <w:footnote w:id="151">
    <w:p w14:paraId="21C7CD85" w14:textId="5CE9B7A7"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w:t>
      </w:r>
      <w:r w:rsidRPr="00CD1284">
        <w:rPr>
          <w:iCs/>
          <w:sz w:val="20"/>
          <w:szCs w:val="20"/>
          <w:lang w:val="en-GB"/>
        </w:rPr>
        <w:t>‘An illegal act which violates human rights and which is initially not directly imputable to a State… can lead to the international responsibility of the State… because of the lack of due diligence to prevent or respond to it’.</w:t>
      </w:r>
      <w:r w:rsidRPr="00CD1284">
        <w:rPr>
          <w:sz w:val="20"/>
          <w:szCs w:val="20"/>
          <w:lang w:val="en-GB"/>
        </w:rPr>
        <w:t xml:space="preserve"> </w:t>
      </w:r>
      <w:r w:rsidRPr="00CD1284">
        <w:rPr>
          <w:rFonts w:cs="Swift-Italic"/>
          <w:i/>
          <w:iCs/>
          <w:sz w:val="20"/>
          <w:szCs w:val="20"/>
          <w:lang w:val="en-GB"/>
        </w:rPr>
        <w:t xml:space="preserve">Velásquez Rodríguez </w:t>
      </w:r>
      <w:r w:rsidRPr="00CD1284">
        <w:rPr>
          <w:sz w:val="20"/>
          <w:szCs w:val="20"/>
          <w:lang w:val="en-GB"/>
        </w:rPr>
        <w:t>(n 139) at [</w:t>
      </w:r>
      <w:r>
        <w:rPr>
          <w:sz w:val="20"/>
          <w:szCs w:val="20"/>
          <w:lang w:val="en-GB"/>
        </w:rPr>
        <w:t>166]-[174]; R</w:t>
      </w:r>
      <w:r w:rsidRPr="00CD1284">
        <w:rPr>
          <w:sz w:val="20"/>
          <w:szCs w:val="20"/>
          <w:lang w:val="en-GB"/>
        </w:rPr>
        <w:t>P Barnidge, ‘The Due Diligence Principle under International Law’ (2006) 8 Int’l Community L Rev 81.</w:t>
      </w:r>
    </w:p>
  </w:footnote>
  <w:footnote w:id="152">
    <w:p w14:paraId="092437B8" w14:textId="36F11C6F"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UN Human Rights Commission, ‘General Comment No 31 [80] - The Nature of the General Legal Obligation Imposed on States Parties to the Covenant’ (26 May 2004) UN Doc CCPR/C/21/Rev.1/Add.13 para 8.</w:t>
      </w:r>
    </w:p>
  </w:footnote>
  <w:footnote w:id="153">
    <w:p w14:paraId="4D7A3D7F" w14:textId="5337746D" w:rsidR="00FD777C" w:rsidRPr="00CD1284" w:rsidRDefault="00FD777C" w:rsidP="00CD1284">
      <w:pPr>
        <w:rPr>
          <w:sz w:val="20"/>
          <w:szCs w:val="20"/>
          <w:lang w:val="fr-FR"/>
        </w:rPr>
      </w:pPr>
      <w:r w:rsidRPr="00CD1284">
        <w:rPr>
          <w:rStyle w:val="FootnoteReference"/>
          <w:szCs w:val="20"/>
          <w:lang w:val="en-GB"/>
        </w:rPr>
        <w:footnoteRef/>
      </w:r>
      <w:r w:rsidRPr="00CD1284">
        <w:rPr>
          <w:sz w:val="20"/>
          <w:szCs w:val="20"/>
          <w:lang w:val="fr-FR"/>
        </w:rPr>
        <w:t xml:space="preserve"> </w:t>
      </w:r>
      <w:r w:rsidRPr="00CD1284">
        <w:rPr>
          <w:i/>
          <w:iCs/>
          <w:sz w:val="20"/>
          <w:szCs w:val="20"/>
          <w:lang w:val="fr-FR"/>
        </w:rPr>
        <w:t xml:space="preserve">Hopu and Bessert v France, </w:t>
      </w:r>
      <w:r w:rsidRPr="00CD1284">
        <w:rPr>
          <w:sz w:val="20"/>
          <w:szCs w:val="20"/>
          <w:lang w:val="fr-FR"/>
        </w:rPr>
        <w:t>Communication 549/1993, UN Doc CPR/C/60/D/549/1993/Rev.1 (1997);</w:t>
      </w:r>
      <w:r w:rsidRPr="00CD1284">
        <w:rPr>
          <w:i/>
          <w:iCs/>
          <w:sz w:val="20"/>
          <w:szCs w:val="20"/>
          <w:lang w:val="fr-FR"/>
        </w:rPr>
        <w:t xml:space="preserve"> Love et al v Australia, </w:t>
      </w:r>
      <w:r w:rsidRPr="00CD1284">
        <w:rPr>
          <w:sz w:val="20"/>
          <w:szCs w:val="20"/>
          <w:lang w:val="fr-FR"/>
        </w:rPr>
        <w:t>Communication 983/2001, UN Doc CCPR/C/77/983/2001 (2003);</w:t>
      </w:r>
      <w:r w:rsidRPr="00CD1284">
        <w:rPr>
          <w:i/>
          <w:iCs/>
          <w:sz w:val="20"/>
          <w:szCs w:val="20"/>
          <w:lang w:val="fr-FR"/>
        </w:rPr>
        <w:t xml:space="preserve"> Ilmari Länsman et al v Finland, </w:t>
      </w:r>
      <w:r w:rsidRPr="00CD1284">
        <w:rPr>
          <w:sz w:val="20"/>
          <w:szCs w:val="20"/>
          <w:lang w:val="fr-FR"/>
        </w:rPr>
        <w:t>Communication 511/1992, UN Doc CCPR/C/52/D/511/1992 (1994).</w:t>
      </w:r>
    </w:p>
  </w:footnote>
  <w:footnote w:id="154">
    <w:p w14:paraId="69578C25" w14:textId="2113898F" w:rsidR="00FD777C" w:rsidRPr="00CD1284" w:rsidRDefault="00FD777C" w:rsidP="00CD1284">
      <w:pPr>
        <w:pStyle w:val="FootnoteText"/>
        <w:rPr>
          <w:szCs w:val="20"/>
        </w:rPr>
      </w:pPr>
      <w:r w:rsidRPr="00CD1284">
        <w:rPr>
          <w:rStyle w:val="FootnoteReference"/>
          <w:szCs w:val="20"/>
        </w:rPr>
        <w:footnoteRef/>
      </w:r>
      <w:r w:rsidRPr="00CD1284">
        <w:rPr>
          <w:szCs w:val="20"/>
        </w:rPr>
        <w:t xml:space="preserve"> </w:t>
      </w:r>
      <w:r w:rsidRPr="00CD1284">
        <w:rPr>
          <w:i/>
          <w:szCs w:val="20"/>
          <w:lang w:val="en-GB"/>
        </w:rPr>
        <w:t>Chief Bernard Ominayak and the Lubicon Lake Band v Canada</w:t>
      </w:r>
      <w:r w:rsidRPr="00CD1284">
        <w:rPr>
          <w:szCs w:val="20"/>
          <w:lang w:val="en-GB"/>
        </w:rPr>
        <w:t>, Communication 167/1984, UN Doc CCPR/C/38/D/167/1984 (1990).</w:t>
      </w:r>
    </w:p>
  </w:footnote>
  <w:footnote w:id="155">
    <w:p w14:paraId="65961F0E" w14:textId="151B1879"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w:t>
      </w:r>
      <w:r w:rsidRPr="00CD1284">
        <w:rPr>
          <w:i/>
          <w:sz w:val="20"/>
          <w:szCs w:val="20"/>
          <w:lang w:val="en-GB"/>
        </w:rPr>
        <w:t xml:space="preserve">Social and Economic Rights Action Centre (SERAC) and Another v Nigeria, </w:t>
      </w:r>
      <w:r w:rsidRPr="00CD1284">
        <w:rPr>
          <w:sz w:val="20"/>
          <w:szCs w:val="20"/>
          <w:lang w:val="en-GB"/>
        </w:rPr>
        <w:t>African Commission on Human and Peoples’ Rights, Communication 155/96 (2001).</w:t>
      </w:r>
    </w:p>
  </w:footnote>
  <w:footnote w:id="156">
    <w:p w14:paraId="4B3247D5" w14:textId="5792ED90" w:rsidR="00FD777C" w:rsidRPr="00271892" w:rsidRDefault="00FD777C" w:rsidP="00CD1284">
      <w:pPr>
        <w:rPr>
          <w:sz w:val="20"/>
          <w:szCs w:val="20"/>
          <w:lang w:val="en-GB"/>
        </w:rPr>
      </w:pPr>
      <w:r w:rsidRPr="00CD1284">
        <w:rPr>
          <w:rStyle w:val="FootnoteReference"/>
          <w:szCs w:val="20"/>
          <w:lang w:val="en-GB"/>
        </w:rPr>
        <w:footnoteRef/>
      </w:r>
      <w:r w:rsidRPr="00271892">
        <w:rPr>
          <w:sz w:val="20"/>
          <w:szCs w:val="20"/>
          <w:lang w:val="en-GB"/>
        </w:rPr>
        <w:t xml:space="preserve"> ibid. at [67].</w:t>
      </w:r>
    </w:p>
  </w:footnote>
  <w:footnote w:id="157">
    <w:p w14:paraId="62FA97DC" w14:textId="13E67D7D" w:rsidR="00FD777C" w:rsidRPr="00271892" w:rsidRDefault="00FD777C" w:rsidP="00CD1284">
      <w:pPr>
        <w:rPr>
          <w:sz w:val="20"/>
          <w:szCs w:val="20"/>
          <w:lang w:val="en-GB"/>
        </w:rPr>
      </w:pPr>
      <w:r w:rsidRPr="00CD1284">
        <w:rPr>
          <w:rStyle w:val="FootnoteReference"/>
          <w:szCs w:val="20"/>
          <w:lang w:val="en-GB"/>
        </w:rPr>
        <w:footnoteRef/>
      </w:r>
      <w:r w:rsidRPr="00271892">
        <w:rPr>
          <w:sz w:val="20"/>
          <w:szCs w:val="20"/>
          <w:lang w:val="en-GB"/>
        </w:rPr>
        <w:t xml:space="preserve"> Karavias, </w:t>
      </w:r>
      <w:r w:rsidRPr="00271892">
        <w:rPr>
          <w:i/>
          <w:sz w:val="20"/>
          <w:szCs w:val="20"/>
          <w:lang w:val="en-GB"/>
        </w:rPr>
        <w:t xml:space="preserve">Corporate Obligations </w:t>
      </w:r>
      <w:r w:rsidRPr="00271892">
        <w:rPr>
          <w:sz w:val="20"/>
          <w:szCs w:val="20"/>
          <w:lang w:val="en-GB"/>
        </w:rPr>
        <w:t>(n 2) 49-52.</w:t>
      </w:r>
    </w:p>
  </w:footnote>
  <w:footnote w:id="158">
    <w:p w14:paraId="42A0B8D3" w14:textId="3498849D"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L</w:t>
      </w:r>
      <w:r w:rsidRPr="00CD1284">
        <w:rPr>
          <w:sz w:val="20"/>
          <w:szCs w:val="20"/>
          <w:lang w:val="en-GB"/>
        </w:rPr>
        <w:t xml:space="preserve"> Zegveld, </w:t>
      </w:r>
      <w:r w:rsidRPr="00CD1284">
        <w:rPr>
          <w:i/>
          <w:sz w:val="20"/>
          <w:szCs w:val="20"/>
          <w:lang w:val="en-GB"/>
        </w:rPr>
        <w:t>Accountability of Armed Opposition Groups in International Law</w:t>
      </w:r>
      <w:r w:rsidRPr="00CD1284">
        <w:rPr>
          <w:sz w:val="20"/>
          <w:szCs w:val="20"/>
          <w:lang w:val="en-GB"/>
        </w:rPr>
        <w:t xml:space="preserve"> (CUP, 2002) 182.</w:t>
      </w:r>
    </w:p>
  </w:footnote>
  <w:footnote w:id="159">
    <w:p w14:paraId="2ADF51B1" w14:textId="1A7F4567"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Karavias, </w:t>
      </w:r>
      <w:r w:rsidRPr="00CD1284">
        <w:rPr>
          <w:i/>
          <w:sz w:val="20"/>
          <w:szCs w:val="20"/>
          <w:lang w:val="en-GB"/>
        </w:rPr>
        <w:t xml:space="preserve">Corporate Obligations </w:t>
      </w:r>
      <w:r w:rsidRPr="00CD1284">
        <w:rPr>
          <w:sz w:val="20"/>
          <w:szCs w:val="20"/>
          <w:lang w:val="en-GB"/>
        </w:rPr>
        <w:t>(n 2) 12.</w:t>
      </w:r>
    </w:p>
  </w:footnote>
  <w:footnote w:id="160">
    <w:p w14:paraId="358E0EA4" w14:textId="4573F4BD"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H</w:t>
      </w:r>
      <w:r w:rsidRPr="00CD1284">
        <w:rPr>
          <w:szCs w:val="20"/>
          <w:lang w:val="en-GB"/>
        </w:rPr>
        <w:t xml:space="preserve"> Lauterpacht, Private Law Analogies in International Law (1926).</w:t>
      </w:r>
    </w:p>
  </w:footnote>
  <w:footnote w:id="161">
    <w:p w14:paraId="7B821311" w14:textId="72EA351E"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Gibney, ‘Litigating Tr</w:t>
      </w:r>
      <w:r>
        <w:rPr>
          <w:szCs w:val="20"/>
          <w:lang w:val="en-GB"/>
        </w:rPr>
        <w:t>ansnational Human Rights’ (n 110</w:t>
      </w:r>
      <w:r w:rsidRPr="00CD1284">
        <w:rPr>
          <w:szCs w:val="20"/>
          <w:lang w:val="en-GB"/>
        </w:rPr>
        <w:t>) 96-7.</w:t>
      </w:r>
    </w:p>
  </w:footnote>
  <w:footnote w:id="162">
    <w:p w14:paraId="7EB7B064" w14:textId="5A37329D"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Vandenhol</w:t>
      </w:r>
      <w:r>
        <w:rPr>
          <w:szCs w:val="20"/>
          <w:lang w:val="en-GB"/>
        </w:rPr>
        <w:t>e, ‘Shared Responsibility’ (n 59</w:t>
      </w:r>
      <w:r w:rsidRPr="00CD1284">
        <w:rPr>
          <w:szCs w:val="20"/>
          <w:lang w:val="en-GB"/>
        </w:rPr>
        <w:t xml:space="preserve">) 68-9; ‘It is a principle of international law that the breach of an engagement involves an obligation to make reparation in adequate form.’ </w:t>
      </w:r>
      <w:r w:rsidRPr="00CD1284">
        <w:rPr>
          <w:i/>
          <w:szCs w:val="20"/>
          <w:lang w:val="en-GB"/>
        </w:rPr>
        <w:t xml:space="preserve">Chorzów Factory Case </w:t>
      </w:r>
      <w:r w:rsidRPr="00CD1284">
        <w:rPr>
          <w:szCs w:val="20"/>
          <w:lang w:val="en-GB"/>
        </w:rPr>
        <w:t>(Claim for Indemnity; jurisdiction) (Germany v Poland), 1927 PCIJ (Ser. A) No 9, 21.</w:t>
      </w:r>
    </w:p>
  </w:footnote>
  <w:footnote w:id="163">
    <w:p w14:paraId="3E3B5E26" w14:textId="66AA3AB5"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I</w:t>
      </w:r>
      <w:r w:rsidRPr="00CD1284">
        <w:rPr>
          <w:szCs w:val="20"/>
          <w:lang w:val="en-GB"/>
        </w:rPr>
        <w:t xml:space="preserve"> Brownlie, </w:t>
      </w:r>
      <w:r w:rsidRPr="00CD1284">
        <w:rPr>
          <w:i/>
          <w:szCs w:val="20"/>
          <w:lang w:val="en-GB"/>
        </w:rPr>
        <w:t>Principles of Public International Law</w:t>
      </w:r>
      <w:r w:rsidRPr="00CD1284">
        <w:rPr>
          <w:szCs w:val="20"/>
          <w:lang w:val="en-GB"/>
        </w:rPr>
        <w:t xml:space="preserve"> (OUP, 2008) 436; Wyler &amp; Castellanos-Jankiewicz (n 136) 303.</w:t>
      </w:r>
    </w:p>
  </w:footnote>
  <w:footnote w:id="164">
    <w:p w14:paraId="400C74A6" w14:textId="3D3833EB"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‘“Public” and “Private” are indistinguishable; the treaty is an undifferentiated instrument, and so is the law of responsibility.’ Craw</w:t>
      </w:r>
      <w:r>
        <w:rPr>
          <w:szCs w:val="20"/>
          <w:lang w:val="en-GB"/>
        </w:rPr>
        <w:t>ford, ‘The ILC’s Articles’ (n 68</w:t>
      </w:r>
      <w:r w:rsidRPr="00CD1284">
        <w:rPr>
          <w:szCs w:val="20"/>
          <w:lang w:val="en-GB"/>
        </w:rPr>
        <w:t>) 878.</w:t>
      </w:r>
    </w:p>
  </w:footnote>
  <w:footnote w:id="165">
    <w:p w14:paraId="2699DF94" w14:textId="32AFC7A5"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Nollkaemper &amp; Jacobs (n 62</w:t>
      </w:r>
      <w:r w:rsidRPr="00CD1284">
        <w:rPr>
          <w:szCs w:val="20"/>
          <w:lang w:val="en-GB"/>
        </w:rPr>
        <w:t>) 398-9.</w:t>
      </w:r>
    </w:p>
  </w:footnote>
  <w:footnote w:id="166">
    <w:p w14:paraId="28FD1511" w14:textId="63F70401"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Noyes &amp; Smith (n 12) 226.</w:t>
      </w:r>
    </w:p>
  </w:footnote>
  <w:footnote w:id="167">
    <w:p w14:paraId="360DD624" w14:textId="6CA4E88A"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w:t>
      </w:r>
      <w:r>
        <w:rPr>
          <w:rFonts w:cs="Times New Roman"/>
          <w:bCs/>
          <w:szCs w:val="20"/>
          <w:lang w:val="en-GB"/>
        </w:rPr>
        <w:t>R</w:t>
      </w:r>
      <w:r w:rsidRPr="00CD1284">
        <w:rPr>
          <w:rFonts w:cs="Times New Roman"/>
          <w:szCs w:val="20"/>
          <w:lang w:val="en-GB"/>
        </w:rPr>
        <w:t>P Alford, ‘</w:t>
      </w:r>
      <w:r w:rsidRPr="00CD1284">
        <w:rPr>
          <w:rFonts w:cs="Times New Roman"/>
          <w:iCs/>
          <w:szCs w:val="20"/>
          <w:lang w:val="en-GB"/>
        </w:rPr>
        <w:t>Apportioning Responsibility Among Joint Tortfeasors for International Law Violations’</w:t>
      </w:r>
      <w:r w:rsidRPr="00CD1284">
        <w:rPr>
          <w:rFonts w:cs="Times New Roman"/>
          <w:szCs w:val="20"/>
          <w:lang w:val="en-GB"/>
        </w:rPr>
        <w:t xml:space="preserve"> (2011) </w:t>
      </w:r>
      <w:r w:rsidRPr="00CD1284">
        <w:rPr>
          <w:rFonts w:cs="Times New Roman"/>
          <w:bCs/>
          <w:szCs w:val="20"/>
          <w:lang w:val="en-GB"/>
        </w:rPr>
        <w:t xml:space="preserve">38 Pepp </w:t>
      </w:r>
      <w:r w:rsidRPr="00CD1284">
        <w:rPr>
          <w:rFonts w:cs="Times New Roman"/>
          <w:szCs w:val="20"/>
          <w:lang w:val="en-GB"/>
        </w:rPr>
        <w:t xml:space="preserve">L </w:t>
      </w:r>
      <w:r w:rsidRPr="00CD1284">
        <w:rPr>
          <w:rFonts w:cs="Times New Roman"/>
          <w:bCs/>
          <w:szCs w:val="20"/>
          <w:lang w:val="en-GB"/>
        </w:rPr>
        <w:t xml:space="preserve">Rev 233, 240-246; </w:t>
      </w:r>
      <w:r w:rsidRPr="00CD1284">
        <w:rPr>
          <w:i/>
          <w:szCs w:val="20"/>
          <w:lang w:val="en-GB"/>
        </w:rPr>
        <w:t>Oil Platforms</w:t>
      </w:r>
      <w:r w:rsidRPr="00CD1284">
        <w:rPr>
          <w:szCs w:val="20"/>
          <w:lang w:val="en-GB"/>
        </w:rPr>
        <w:t xml:space="preserve"> (Iran v US) (Separate opinion of Judge Simma) ICJ Reports [2003] 197-201 at [65]-[76].</w:t>
      </w:r>
    </w:p>
  </w:footnote>
  <w:footnote w:id="168">
    <w:p w14:paraId="1BDE0934" w14:textId="0A9A02B0"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While Brownlie disputed the relevance of this principle in international law, scholars have provided detailed accounts of its prevalence in Western common law and civil jurisdictions, Eastern jurisdictions and Islamic law: I Brownlie, </w:t>
      </w:r>
      <w:r w:rsidRPr="00CD1284">
        <w:rPr>
          <w:i/>
          <w:szCs w:val="20"/>
          <w:lang w:val="en-GB"/>
        </w:rPr>
        <w:t>System of the Law of Nations: State Responsibility</w:t>
      </w:r>
      <w:r w:rsidRPr="00CD1284">
        <w:rPr>
          <w:szCs w:val="20"/>
          <w:lang w:val="en-GB"/>
        </w:rPr>
        <w:t xml:space="preserve"> (Clarendon Press 1983) 189;</w:t>
      </w:r>
      <w:r w:rsidRPr="00CD1284">
        <w:rPr>
          <w:szCs w:val="20"/>
        </w:rPr>
        <w:t xml:space="preserve"> </w:t>
      </w:r>
      <w:r w:rsidRPr="00CD1284">
        <w:rPr>
          <w:szCs w:val="20"/>
          <w:lang w:val="en-GB"/>
        </w:rPr>
        <w:t xml:space="preserve">Noyes &amp; Smith (n 12) 249-58; R Verheyen, </w:t>
      </w:r>
      <w:r w:rsidRPr="00CD1284">
        <w:rPr>
          <w:i/>
          <w:szCs w:val="20"/>
          <w:lang w:val="en-GB"/>
        </w:rPr>
        <w:t>Climate Change Damage and International Law: Prevention Duties and State Responsibility</w:t>
      </w:r>
      <w:r w:rsidRPr="00CD1284">
        <w:rPr>
          <w:szCs w:val="20"/>
          <w:lang w:val="en-GB"/>
        </w:rPr>
        <w:t xml:space="preserve"> (Martinus Nijhoff 2005) 270-2.</w:t>
      </w:r>
    </w:p>
  </w:footnote>
  <w:footnote w:id="169">
    <w:p w14:paraId="353723ED" w14:textId="10117841"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Statute of the International Court of Justice, as annexed to Charter of the United Nations (26 June 1945) 1 UNTS XVI, art 38(1)(c); Noyes &amp; Smith (n 12) 250.</w:t>
      </w:r>
    </w:p>
  </w:footnote>
  <w:footnote w:id="170">
    <w:p w14:paraId="76CCBB0F" w14:textId="21B1A298"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Convention on International Liability for Damage Caused by Space Objects (29 March 1972) 961 UNTS 187.</w:t>
      </w:r>
    </w:p>
  </w:footnote>
  <w:footnote w:id="171">
    <w:p w14:paraId="74AECB4B" w14:textId="512327A2"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ibid. art 5.</w:t>
      </w:r>
    </w:p>
  </w:footnote>
  <w:footnote w:id="172">
    <w:p w14:paraId="7341020E" w14:textId="4CB460D2"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ibid. art 4.</w:t>
      </w:r>
    </w:p>
  </w:footnote>
  <w:footnote w:id="173">
    <w:p w14:paraId="12EFEE60" w14:textId="3EF33281"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ibid. art 4(2).</w:t>
      </w:r>
    </w:p>
  </w:footnote>
  <w:footnote w:id="174">
    <w:p w14:paraId="2C1EDE54" w14:textId="7D46650E"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Noyes &amp; Smith (n 12) 259. </w:t>
      </w:r>
    </w:p>
  </w:footnote>
  <w:footnote w:id="175">
    <w:p w14:paraId="75F5DDB3" w14:textId="28A6E29E"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In </w:t>
      </w:r>
      <w:r w:rsidRPr="00CD1284">
        <w:rPr>
          <w:i/>
          <w:szCs w:val="20"/>
          <w:lang w:val="en-GB"/>
        </w:rPr>
        <w:t>Martini</w:t>
      </w:r>
      <w:r w:rsidRPr="00CD1284">
        <w:rPr>
          <w:szCs w:val="20"/>
          <w:lang w:val="en-GB"/>
        </w:rPr>
        <w:t xml:space="preserve">, a State’s compensation payment was vastly reduced to reflect the independent acts of revolutionaries during the Venezuelan civil war which contributed significantly to the injury incurred: </w:t>
      </w:r>
      <w:r w:rsidRPr="00CD1284">
        <w:rPr>
          <w:i/>
          <w:szCs w:val="20"/>
          <w:lang w:val="en-GB"/>
        </w:rPr>
        <w:t>Martini Case</w:t>
      </w:r>
      <w:r w:rsidRPr="00CD1284">
        <w:rPr>
          <w:szCs w:val="20"/>
          <w:lang w:val="en-GB"/>
        </w:rPr>
        <w:t xml:space="preserve"> (Italy v Venezuela) 10 R Int’l Arb Awards (1930) 664, 666-68.</w:t>
      </w:r>
    </w:p>
  </w:footnote>
  <w:footnote w:id="176">
    <w:p w14:paraId="5C424CF9" w14:textId="24FB8A83"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I Plakokefalos, ‘Shared Responsibility Aspects of the Dispute Settlement Procedures in the Law of the Sea Convention’ (2013) 4 </w:t>
      </w:r>
      <w:r>
        <w:rPr>
          <w:szCs w:val="20"/>
          <w:lang w:val="en-GB"/>
        </w:rPr>
        <w:t xml:space="preserve">J Int’l Dispute Settlement </w:t>
      </w:r>
      <w:r w:rsidRPr="00CD1284">
        <w:rPr>
          <w:szCs w:val="20"/>
          <w:lang w:val="en-GB"/>
        </w:rPr>
        <w:t>396.</w:t>
      </w:r>
    </w:p>
  </w:footnote>
  <w:footnote w:id="177">
    <w:p w14:paraId="7105B1C7" w14:textId="6B7B30E4"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Karavias, </w:t>
      </w:r>
      <w:r w:rsidRPr="00CD1284">
        <w:rPr>
          <w:i/>
          <w:szCs w:val="20"/>
          <w:lang w:val="en-GB"/>
        </w:rPr>
        <w:t xml:space="preserve">Corporate Obligations </w:t>
      </w:r>
      <w:r w:rsidRPr="00CD1284">
        <w:rPr>
          <w:szCs w:val="20"/>
          <w:lang w:val="en-GB"/>
        </w:rPr>
        <w:t>(n 2) 157-63; SL Seck, ‘ITLOS Case No 17 and the Evolving Principles for Corporate Accountability under International Law’ in Gal-Or,</w:t>
      </w:r>
      <w:r>
        <w:rPr>
          <w:szCs w:val="20"/>
          <w:lang w:val="en-GB"/>
        </w:rPr>
        <w:t xml:space="preserve"> Ryngaert &amp; Noortmann (n 17) </w:t>
      </w:r>
      <w:r w:rsidRPr="00CD1284">
        <w:rPr>
          <w:szCs w:val="20"/>
          <w:lang w:val="en-GB"/>
        </w:rPr>
        <w:t>243-5.</w:t>
      </w:r>
    </w:p>
  </w:footnote>
  <w:footnote w:id="178">
    <w:p w14:paraId="79DF3005" w14:textId="77777777"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Convention on the Law of the Sea (10 December 1982) 1833 UNTS 3, art 139(2) (hereafter, UNCLOS).</w:t>
      </w:r>
    </w:p>
  </w:footnote>
  <w:footnote w:id="179">
    <w:p w14:paraId="2E7D44EC" w14:textId="77777777" w:rsidR="00FD777C" w:rsidRPr="00CD1284" w:rsidRDefault="00FD777C" w:rsidP="00CD1284">
      <w:pPr>
        <w:pStyle w:val="FootnoteText"/>
        <w:rPr>
          <w:i/>
          <w:szCs w:val="20"/>
          <w:lang w:val="en-GB"/>
        </w:rPr>
      </w:pPr>
      <w:r w:rsidRPr="00CD1284">
        <w:rPr>
          <w:rStyle w:val="FootnoteReference"/>
          <w:szCs w:val="20"/>
          <w:lang w:val="en-GB"/>
        </w:rPr>
        <w:footnoteRef/>
      </w:r>
      <w:r w:rsidRPr="00CD1284">
        <w:rPr>
          <w:szCs w:val="20"/>
          <w:lang w:val="en-GB"/>
        </w:rPr>
        <w:t xml:space="preserve"> </w:t>
      </w:r>
      <w:r w:rsidRPr="00CD1284">
        <w:rPr>
          <w:i/>
          <w:szCs w:val="20"/>
          <w:lang w:val="en-GB"/>
        </w:rPr>
        <w:t>Responsibilities and Obligations of States Sponsoring Persons and Entities with</w:t>
      </w:r>
    </w:p>
    <w:p w14:paraId="16C9E715" w14:textId="263D8EE0" w:rsidR="00FD777C" w:rsidRPr="00CD1284" w:rsidRDefault="00FD777C" w:rsidP="00CD1284">
      <w:pPr>
        <w:pStyle w:val="FootnoteText"/>
        <w:rPr>
          <w:szCs w:val="20"/>
          <w:lang w:val="en-GB"/>
        </w:rPr>
      </w:pPr>
      <w:r w:rsidRPr="00CD1284">
        <w:rPr>
          <w:i/>
          <w:szCs w:val="20"/>
          <w:lang w:val="en-GB"/>
        </w:rPr>
        <w:t>Respect to Activities in the Area</w:t>
      </w:r>
      <w:r w:rsidRPr="009B3608">
        <w:rPr>
          <w:i/>
          <w:szCs w:val="20"/>
          <w:lang w:val="en-GB"/>
        </w:rPr>
        <w:t xml:space="preserve"> (No 17)</w:t>
      </w:r>
      <w:r w:rsidRPr="00CD1284">
        <w:rPr>
          <w:szCs w:val="20"/>
          <w:lang w:val="en-GB"/>
        </w:rPr>
        <w:t xml:space="preserve"> </w:t>
      </w:r>
      <w:r>
        <w:rPr>
          <w:szCs w:val="20"/>
          <w:lang w:val="en-GB"/>
        </w:rPr>
        <w:t>(</w:t>
      </w:r>
      <w:r w:rsidRPr="00CD1284">
        <w:rPr>
          <w:szCs w:val="20"/>
          <w:lang w:val="en-GB"/>
        </w:rPr>
        <w:t>Advisory Opinion of 01 February 2011</w:t>
      </w:r>
      <w:r>
        <w:rPr>
          <w:szCs w:val="20"/>
          <w:lang w:val="en-GB"/>
        </w:rPr>
        <w:t>)</w:t>
      </w:r>
      <w:r w:rsidRPr="00CD1284">
        <w:rPr>
          <w:szCs w:val="20"/>
          <w:lang w:val="en-GB"/>
        </w:rPr>
        <w:t xml:space="preserve"> 11 ITLOS</w:t>
      </w:r>
    </w:p>
    <w:p w14:paraId="1A85E920" w14:textId="0EE9B6B2" w:rsidR="00FD777C" w:rsidRPr="00CD1284" w:rsidRDefault="00FD777C" w:rsidP="00CD1284">
      <w:pPr>
        <w:pStyle w:val="FootnoteText"/>
        <w:rPr>
          <w:color w:val="0000FF" w:themeColor="hyperlink"/>
          <w:szCs w:val="20"/>
          <w:u w:val="single"/>
          <w:lang w:val="en-GB"/>
        </w:rPr>
      </w:pPr>
      <w:r>
        <w:rPr>
          <w:szCs w:val="20"/>
          <w:lang w:val="en-GB"/>
        </w:rPr>
        <w:t xml:space="preserve">Rep 2011 10, 201 </w:t>
      </w:r>
      <w:r w:rsidRPr="00CD1284">
        <w:rPr>
          <w:szCs w:val="20"/>
          <w:lang w:val="en-GB"/>
        </w:rPr>
        <w:t xml:space="preserve">(hereafter, </w:t>
      </w:r>
      <w:r w:rsidRPr="00CD1284">
        <w:rPr>
          <w:i/>
          <w:szCs w:val="20"/>
          <w:lang w:val="en-GB"/>
        </w:rPr>
        <w:t>ITLOS Case No 17</w:t>
      </w:r>
      <w:r w:rsidRPr="00CD1284">
        <w:rPr>
          <w:szCs w:val="20"/>
          <w:lang w:val="en-GB"/>
        </w:rPr>
        <w:t>).</w:t>
      </w:r>
    </w:p>
  </w:footnote>
  <w:footnote w:id="180">
    <w:p w14:paraId="31130CB2" w14:textId="2DA9F287" w:rsidR="00FD777C" w:rsidRPr="00CD1284" w:rsidRDefault="00FD777C" w:rsidP="00CD1284">
      <w:pPr>
        <w:pStyle w:val="FootnoteText"/>
        <w:tabs>
          <w:tab w:val="left" w:pos="7513"/>
        </w:tabs>
        <w:rPr>
          <w:szCs w:val="20"/>
          <w:lang w:val="en-GB"/>
        </w:rPr>
      </w:pPr>
      <w:r w:rsidRPr="00CD1284">
        <w:rPr>
          <w:rStyle w:val="FootnoteReference"/>
          <w:szCs w:val="20"/>
          <w:lang w:val="en-GB"/>
        </w:rPr>
        <w:footnoteRef/>
      </w:r>
      <w:r>
        <w:rPr>
          <w:szCs w:val="20"/>
          <w:lang w:val="en-GB"/>
        </w:rPr>
        <w:t xml:space="preserve"> ASRIWA (n 70</w:t>
      </w:r>
      <w:r w:rsidRPr="00CD1284">
        <w:rPr>
          <w:szCs w:val="20"/>
          <w:lang w:val="en-GB"/>
        </w:rPr>
        <w:t xml:space="preserve">) </w:t>
      </w:r>
      <w:r w:rsidRPr="00CD1284">
        <w:rPr>
          <w:szCs w:val="20"/>
          <w:shd w:val="clear" w:color="auto" w:fill="FFFFFF"/>
          <w:lang w:val="en-GB"/>
        </w:rPr>
        <w:t xml:space="preserve">art 47; While this provision may appear to mirror the concept of joint and several liability in the ASRIWA, the ILC advises to make such an analogy ‘with care’: </w:t>
      </w:r>
      <w:r w:rsidRPr="00CD1284">
        <w:rPr>
          <w:szCs w:val="20"/>
          <w:lang w:val="en-GB"/>
        </w:rPr>
        <w:t>ILC, ‘Report on the Work o</w:t>
      </w:r>
      <w:r>
        <w:rPr>
          <w:szCs w:val="20"/>
          <w:lang w:val="en-GB"/>
        </w:rPr>
        <w:t>f its Fifty-Third Session’ (n 76</w:t>
      </w:r>
      <w:r w:rsidRPr="00CD1284">
        <w:rPr>
          <w:szCs w:val="20"/>
          <w:lang w:val="en-GB"/>
        </w:rPr>
        <w:t xml:space="preserve">) 124 para 3; Verheyen (n 167) 268-276. </w:t>
      </w:r>
    </w:p>
  </w:footnote>
  <w:footnote w:id="181">
    <w:p w14:paraId="7F9D9A37" w14:textId="3149F273" w:rsidR="00FD777C" w:rsidRPr="00CD1284" w:rsidRDefault="00FD777C" w:rsidP="00CD1284">
      <w:pPr>
        <w:pStyle w:val="FootnoteText"/>
        <w:rPr>
          <w:szCs w:val="20"/>
          <w:lang w:val="en-GB"/>
        </w:rPr>
      </w:pPr>
      <w:r w:rsidRPr="00CD1284">
        <w:rPr>
          <w:rStyle w:val="FootnoteReference"/>
          <w:szCs w:val="20"/>
          <w:lang w:val="en-GB"/>
        </w:rPr>
        <w:footnoteRef/>
      </w:r>
      <w:r w:rsidRPr="00CD1284">
        <w:rPr>
          <w:rFonts w:cs="AdvP101883"/>
          <w:szCs w:val="20"/>
          <w:lang w:val="en-GB"/>
        </w:rPr>
        <w:t xml:space="preserve"> </w:t>
      </w:r>
      <w:r w:rsidRPr="00CD1284">
        <w:rPr>
          <w:i/>
          <w:szCs w:val="20"/>
          <w:lang w:val="en-GB"/>
        </w:rPr>
        <w:t>ITLOS Case No 17</w:t>
      </w:r>
      <w:r w:rsidRPr="00CD1284">
        <w:rPr>
          <w:szCs w:val="20"/>
          <w:lang w:val="en-GB"/>
        </w:rPr>
        <w:t xml:space="preserve"> (n 178)</w:t>
      </w:r>
      <w:r w:rsidRPr="00CD1284">
        <w:rPr>
          <w:rFonts w:cs="AdvP101883"/>
          <w:szCs w:val="20"/>
          <w:lang w:val="en-GB"/>
        </w:rPr>
        <w:t xml:space="preserve"> at [192].</w:t>
      </w:r>
    </w:p>
  </w:footnote>
  <w:footnote w:id="182">
    <w:p w14:paraId="271CA39B" w14:textId="6C7D351B"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Plakoefalos (n 175) 397-8.</w:t>
      </w:r>
    </w:p>
  </w:footnote>
  <w:footnote w:id="183">
    <w:p w14:paraId="2FE9360C" w14:textId="25453684"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Fry (n 100</w:t>
      </w:r>
      <w:r w:rsidRPr="00CD1284">
        <w:rPr>
          <w:szCs w:val="20"/>
          <w:lang w:val="en-GB"/>
        </w:rPr>
        <w:t>) 128-133.</w:t>
      </w:r>
    </w:p>
  </w:footnote>
  <w:footnote w:id="184">
    <w:p w14:paraId="21C3C6A2" w14:textId="09A33A1E"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Plakoefalos (n 175) 397.</w:t>
      </w:r>
    </w:p>
  </w:footnote>
  <w:footnote w:id="185">
    <w:p w14:paraId="47F6A488" w14:textId="35FE89A7" w:rsidR="00FD777C" w:rsidRPr="00CD1284" w:rsidRDefault="00FD777C" w:rsidP="00CD1284">
      <w:pPr>
        <w:autoSpaceDE w:val="0"/>
        <w:autoSpaceDN w:val="0"/>
        <w:adjustRightInd w:val="0"/>
        <w:rPr>
          <w:sz w:val="20"/>
          <w:szCs w:val="20"/>
          <w:lang w:val="en-GB"/>
        </w:rPr>
      </w:pPr>
      <w:r w:rsidRPr="00CD1284">
        <w:rPr>
          <w:rStyle w:val="FootnoteReference"/>
          <w:szCs w:val="20"/>
          <w:lang w:val="en-GB"/>
        </w:rPr>
        <w:footnoteRef/>
      </w:r>
      <w:r w:rsidRPr="00CD1284">
        <w:rPr>
          <w:rFonts w:cs="AdvP101884"/>
          <w:i/>
          <w:sz w:val="20"/>
          <w:szCs w:val="20"/>
          <w:lang w:val="en-GB"/>
        </w:rPr>
        <w:t xml:space="preserve"> </w:t>
      </w:r>
      <w:r w:rsidRPr="00CD1284">
        <w:rPr>
          <w:i/>
          <w:sz w:val="20"/>
          <w:szCs w:val="20"/>
          <w:lang w:val="en-GB"/>
        </w:rPr>
        <w:t>ITLOS Case No 17</w:t>
      </w:r>
      <w:r w:rsidRPr="00CD1284">
        <w:rPr>
          <w:sz w:val="20"/>
          <w:szCs w:val="20"/>
          <w:lang w:val="en-GB"/>
        </w:rPr>
        <w:t xml:space="preserve"> (n 178)</w:t>
      </w:r>
      <w:r w:rsidRPr="00CD1284">
        <w:rPr>
          <w:rFonts w:cs="AdvP101883"/>
          <w:sz w:val="20"/>
          <w:szCs w:val="20"/>
          <w:lang w:val="en-GB"/>
        </w:rPr>
        <w:t xml:space="preserve"> at [204].</w:t>
      </w:r>
    </w:p>
  </w:footnote>
  <w:footnote w:id="186">
    <w:p w14:paraId="4FAE5820" w14:textId="0E9CADFF"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Vandenhol</w:t>
      </w:r>
      <w:r>
        <w:rPr>
          <w:szCs w:val="20"/>
          <w:lang w:val="en-GB"/>
        </w:rPr>
        <w:t>e, ‘Shared Responsibility’ (n 59</w:t>
      </w:r>
      <w:r w:rsidRPr="00CD1284">
        <w:rPr>
          <w:szCs w:val="20"/>
          <w:lang w:val="en-GB"/>
        </w:rPr>
        <w:t>) 70.</w:t>
      </w:r>
    </w:p>
  </w:footnote>
  <w:footnote w:id="187">
    <w:p w14:paraId="7EA6A2AA" w14:textId="0A3C47EE"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UNCLOS (n 177) art 139(2).</w:t>
      </w:r>
    </w:p>
  </w:footnote>
  <w:footnote w:id="188">
    <w:p w14:paraId="407BC0AA" w14:textId="5FD5DA21"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A</w:t>
      </w:r>
      <w:r w:rsidRPr="00CD1284">
        <w:rPr>
          <w:sz w:val="20"/>
          <w:szCs w:val="20"/>
          <w:lang w:val="en-GB"/>
        </w:rPr>
        <w:t xml:space="preserve"> Nollkaemper, ‘The Seabed Disputes Chamber’ </w:t>
      </w:r>
      <w:r>
        <w:rPr>
          <w:sz w:val="20"/>
          <w:szCs w:val="20"/>
          <w:lang w:val="en-GB"/>
        </w:rPr>
        <w:t>(</w:t>
      </w:r>
      <w:r w:rsidRPr="00CD1284">
        <w:rPr>
          <w:sz w:val="20"/>
          <w:szCs w:val="20"/>
          <w:lang w:val="en-GB"/>
        </w:rPr>
        <w:t>SHARES Project</w:t>
      </w:r>
      <w:r>
        <w:rPr>
          <w:sz w:val="20"/>
          <w:szCs w:val="20"/>
          <w:lang w:val="en-GB"/>
        </w:rPr>
        <w:t>, 25 November 2011)</w:t>
      </w:r>
      <w:r w:rsidRPr="00CD1284">
        <w:rPr>
          <w:sz w:val="20"/>
          <w:szCs w:val="20"/>
          <w:lang w:val="en-GB"/>
        </w:rPr>
        <w:t xml:space="preserve"> &lt;</w:t>
      </w:r>
      <w:hyperlink r:id="rId14" w:history="1">
        <w:r w:rsidRPr="00CD1284">
          <w:rPr>
            <w:rStyle w:val="Hyperlink"/>
            <w:sz w:val="20"/>
            <w:szCs w:val="20"/>
            <w:lang w:val="en-GB"/>
          </w:rPr>
          <w:t>http://www.sharesproject.nl/the-seabed-disputes-chamber-clarified-the-meaning-of-joint-and-several-liability-but-also-raised-new-questions/</w:t>
        </w:r>
      </w:hyperlink>
      <w:r w:rsidRPr="00CD1284">
        <w:rPr>
          <w:sz w:val="20"/>
          <w:szCs w:val="20"/>
          <w:lang w:val="en-GB"/>
        </w:rPr>
        <w:t>&gt; accessed 21 April 2016.</w:t>
      </w:r>
    </w:p>
  </w:footnote>
  <w:footnote w:id="189">
    <w:p w14:paraId="57FF9C33" w14:textId="26E31071"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UNCLOS (n 177) art 22 Annexe 3.</w:t>
      </w:r>
    </w:p>
  </w:footnote>
  <w:footnote w:id="190">
    <w:p w14:paraId="52F6D6DE" w14:textId="480084E5"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Nollkaemper, ‘The Seabed Disputes Chamber’ (n 187); ED Brown, </w:t>
      </w:r>
      <w:r w:rsidRPr="00CD1284">
        <w:rPr>
          <w:i/>
          <w:sz w:val="20"/>
          <w:szCs w:val="20"/>
          <w:lang w:val="en-GB"/>
        </w:rPr>
        <w:t>Sea-Bed Energy and Minerals: The International Legal Regime</w:t>
      </w:r>
      <w:r w:rsidRPr="00CD1284">
        <w:rPr>
          <w:sz w:val="20"/>
          <w:szCs w:val="20"/>
          <w:lang w:val="en-GB"/>
        </w:rPr>
        <w:t xml:space="preserve"> (Martinus Nijhoff, 2001) 144.</w:t>
      </w:r>
    </w:p>
  </w:footnote>
  <w:footnote w:id="191">
    <w:p w14:paraId="1D6C0B0D" w14:textId="117DC856"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Noyes &amp; Smith (n 12) 234-5, 258-9; </w:t>
      </w:r>
      <w:r>
        <w:rPr>
          <w:szCs w:val="20"/>
          <w:lang w:val="en-GB"/>
        </w:rPr>
        <w:t>Note the</w:t>
      </w:r>
      <w:r w:rsidRPr="00CD1284">
        <w:rPr>
          <w:szCs w:val="20"/>
          <w:lang w:val="en-GB"/>
        </w:rPr>
        <w:t xml:space="preserve"> compulsory dispute settlement regime</w:t>
      </w:r>
      <w:r>
        <w:rPr>
          <w:szCs w:val="20"/>
          <w:lang w:val="en-GB"/>
        </w:rPr>
        <w:t xml:space="preserve"> under</w:t>
      </w:r>
      <w:r w:rsidRPr="00CD1284">
        <w:rPr>
          <w:szCs w:val="20"/>
          <w:lang w:val="en-GB"/>
        </w:rPr>
        <w:t xml:space="preserve"> UNCLOS (n 177) art 287.</w:t>
      </w:r>
    </w:p>
  </w:footnote>
  <w:footnote w:id="192">
    <w:p w14:paraId="62F8778F" w14:textId="2DA8B91E"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Plakoefalos (n 175) 404.</w:t>
      </w:r>
    </w:p>
  </w:footnote>
  <w:footnote w:id="193">
    <w:p w14:paraId="75C9C7D5" w14:textId="35999888"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ibid. 401.</w:t>
      </w:r>
    </w:p>
  </w:footnote>
  <w:footnote w:id="194">
    <w:p w14:paraId="7464413C" w14:textId="7469C5D6"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Okowa (n 60</w:t>
      </w:r>
      <w:r w:rsidRPr="00CD1284">
        <w:rPr>
          <w:szCs w:val="20"/>
          <w:lang w:val="en-GB"/>
        </w:rPr>
        <w:t>) 196-7; States have ‘diplomatic and other legal means as a substitute’ in the absence of an express regime in international law for joint tortfeasors to recover damages: Verheyen (n 167) 277.</w:t>
      </w:r>
    </w:p>
  </w:footnote>
  <w:footnote w:id="195">
    <w:p w14:paraId="45278858" w14:textId="19BBE23C"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Nollkaemper &amp; Jacobs (n 62</w:t>
      </w:r>
      <w:r w:rsidRPr="00CD1284">
        <w:rPr>
          <w:szCs w:val="20"/>
          <w:lang w:val="en-GB"/>
        </w:rPr>
        <w:t>) 423.</w:t>
      </w:r>
    </w:p>
  </w:footnote>
  <w:footnote w:id="196">
    <w:p w14:paraId="1C34C20A" w14:textId="25A27B35"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w:t>
      </w:r>
      <w:r>
        <w:rPr>
          <w:sz w:val="20"/>
          <w:szCs w:val="20"/>
          <w:lang w:val="en-GB"/>
        </w:rPr>
        <w:t>J</w:t>
      </w:r>
      <w:r w:rsidRPr="00CD1284">
        <w:rPr>
          <w:sz w:val="20"/>
          <w:szCs w:val="20"/>
          <w:lang w:val="en-GB"/>
        </w:rPr>
        <w:t>G Ruggie, ‘A UN Business and Human Rights T</w:t>
      </w:r>
      <w:r>
        <w:rPr>
          <w:sz w:val="20"/>
          <w:szCs w:val="20"/>
          <w:lang w:val="en-GB"/>
        </w:rPr>
        <w:t xml:space="preserve">reaty?’ (Harvard Kennedy School, </w:t>
      </w:r>
      <w:r w:rsidRPr="00CD1284">
        <w:rPr>
          <w:sz w:val="20"/>
          <w:szCs w:val="20"/>
          <w:lang w:val="en-GB"/>
        </w:rPr>
        <w:t>28 January 2014) 3 &lt;</w:t>
      </w:r>
      <w:hyperlink r:id="rId15" w:history="1">
        <w:r w:rsidRPr="00A32AC1">
          <w:rPr>
            <w:rStyle w:val="Hyperlink"/>
            <w:sz w:val="20"/>
            <w:szCs w:val="20"/>
          </w:rPr>
          <w:t>https://www.hks.harvard.edu/m-rcbg/CSRI/UNBusinessandHumanRightsTreaty.pdf</w:t>
        </w:r>
      </w:hyperlink>
      <w:r w:rsidRPr="00CD1284">
        <w:rPr>
          <w:sz w:val="20"/>
          <w:szCs w:val="20"/>
          <w:lang w:val="en-GB"/>
        </w:rPr>
        <w:t>&gt; accessed 21 April 2016</w:t>
      </w:r>
      <w:r>
        <w:rPr>
          <w:sz w:val="20"/>
          <w:szCs w:val="20"/>
          <w:lang w:val="en-GB"/>
        </w:rPr>
        <w:t>; M</w:t>
      </w:r>
      <w:r w:rsidRPr="00CD1284">
        <w:rPr>
          <w:sz w:val="20"/>
          <w:szCs w:val="20"/>
          <w:lang w:val="en-GB"/>
        </w:rPr>
        <w:t xml:space="preserve"> Addo, UN Working Group on Business and Human Rights, ‘Human Rights and Transnational Corporations: Paving the Way for a Legally Binding Instrument’ (Geneva, 11-12 March 2014) 4 &lt;</w:t>
      </w:r>
      <w:hyperlink r:id="rId16" w:history="1">
        <w:r w:rsidRPr="00CD1284">
          <w:rPr>
            <w:rStyle w:val="Hyperlink"/>
            <w:sz w:val="20"/>
            <w:szCs w:val="20"/>
            <w:lang w:val="en-GB"/>
          </w:rPr>
          <w:t>http://www.ohchr.org/Documents/Issues/Business/WGStatementEcuadorWorkshop12Mar2014.pdf</w:t>
        </w:r>
      </w:hyperlink>
      <w:r w:rsidRPr="00CD1284">
        <w:rPr>
          <w:sz w:val="20"/>
          <w:szCs w:val="20"/>
          <w:lang w:val="en-GB"/>
        </w:rPr>
        <w:t>&gt; accessed 21 April 2016.</w:t>
      </w:r>
    </w:p>
  </w:footnote>
  <w:footnote w:id="197">
    <w:p w14:paraId="2F04C9E2" w14:textId="10936AE3"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J</w:t>
      </w:r>
      <w:r w:rsidRPr="00CD1284">
        <w:rPr>
          <w:sz w:val="20"/>
          <w:szCs w:val="20"/>
          <w:lang w:val="en-GB"/>
        </w:rPr>
        <w:t xml:space="preserve">G Ruggie, </w:t>
      </w:r>
      <w:r w:rsidRPr="00CD1284">
        <w:rPr>
          <w:i/>
          <w:sz w:val="20"/>
          <w:szCs w:val="20"/>
          <w:lang w:val="en-GB"/>
        </w:rPr>
        <w:t xml:space="preserve">Just Business: Multinational Corporations and Human Rights </w:t>
      </w:r>
      <w:r w:rsidRPr="00CD1284">
        <w:rPr>
          <w:sz w:val="20"/>
          <w:szCs w:val="20"/>
          <w:lang w:val="en-GB"/>
        </w:rPr>
        <w:t>(WW Norton &amp; Co, 2013) 64.</w:t>
      </w:r>
    </w:p>
  </w:footnote>
  <w:footnote w:id="198">
    <w:p w14:paraId="65C1AB2E" w14:textId="717AD102"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A</w:t>
      </w:r>
      <w:r w:rsidRPr="00CD1284">
        <w:rPr>
          <w:sz w:val="20"/>
          <w:szCs w:val="20"/>
          <w:lang w:val="en-GB"/>
        </w:rPr>
        <w:t xml:space="preserve"> Ramasatry, ‘Closing the Governance Gap in the Business and Human Rights Arena: Lessons from the A</w:t>
      </w:r>
      <w:r>
        <w:rPr>
          <w:sz w:val="20"/>
          <w:szCs w:val="20"/>
          <w:lang w:val="en-GB"/>
        </w:rPr>
        <w:t>nti-Corruption Movement’ in S</w:t>
      </w:r>
      <w:r w:rsidRPr="00CD1284">
        <w:rPr>
          <w:sz w:val="20"/>
          <w:szCs w:val="20"/>
          <w:lang w:val="en-GB"/>
        </w:rPr>
        <w:t xml:space="preserve"> Deva &amp; D Bilchitz (eds), </w:t>
      </w:r>
      <w:r w:rsidRPr="00CD1284">
        <w:rPr>
          <w:i/>
          <w:sz w:val="20"/>
          <w:szCs w:val="20"/>
          <w:lang w:val="en-GB"/>
        </w:rPr>
        <w:t>Human Rights Obligations of Businesses: Beyond the Corporate Responsibility to Protect</w:t>
      </w:r>
      <w:r>
        <w:rPr>
          <w:sz w:val="20"/>
          <w:szCs w:val="20"/>
          <w:lang w:val="en-GB"/>
        </w:rPr>
        <w:t xml:space="preserve"> (CUP, 2013) </w:t>
      </w:r>
      <w:r w:rsidRPr="00CD1284">
        <w:rPr>
          <w:sz w:val="20"/>
          <w:szCs w:val="20"/>
          <w:lang w:val="en-GB"/>
        </w:rPr>
        <w:t xml:space="preserve">162-89; TL Kirkebø, ‘Closing the Gap. A Human Rights Approach to Regulating Corporations’ </w:t>
      </w:r>
      <w:r>
        <w:rPr>
          <w:sz w:val="20"/>
          <w:szCs w:val="20"/>
          <w:lang w:val="en-GB"/>
        </w:rPr>
        <w:t>(2015) PluriCourts Research Paper No 15-16</w:t>
      </w:r>
      <w:r w:rsidRPr="00CD1284">
        <w:rPr>
          <w:sz w:val="20"/>
          <w:szCs w:val="20"/>
          <w:lang w:val="en-GB"/>
        </w:rPr>
        <w:t xml:space="preserve"> &lt;</w:t>
      </w:r>
      <w:hyperlink r:id="rId17" w:history="1">
        <w:r w:rsidRPr="00CD1284">
          <w:rPr>
            <w:rStyle w:val="Hyperlink"/>
            <w:sz w:val="20"/>
            <w:szCs w:val="20"/>
            <w:lang w:val="en-GB"/>
          </w:rPr>
          <w:t>http://papers.ssrn.com/sol3/papers.cfm?abstract_id=2642254</w:t>
        </w:r>
      </w:hyperlink>
      <w:r w:rsidRPr="00CD1284">
        <w:rPr>
          <w:sz w:val="20"/>
          <w:szCs w:val="20"/>
          <w:lang w:val="en-GB"/>
        </w:rPr>
        <w:t>&gt; accessed 21 April 2016.</w:t>
      </w:r>
    </w:p>
  </w:footnote>
  <w:footnote w:id="199">
    <w:p w14:paraId="51D0F9DF" w14:textId="53256728"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United Nations Convention against Corruption (31 October 2003) UN Doc A/58/422, art 26.</w:t>
      </w:r>
    </w:p>
  </w:footnote>
  <w:footnote w:id="200">
    <w:p w14:paraId="590ECB02" w14:textId="0954E26A"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‘Each </w:t>
      </w:r>
      <w:r w:rsidRPr="00CD1284">
        <w:rPr>
          <w:i/>
          <w:sz w:val="20"/>
          <w:szCs w:val="20"/>
          <w:lang w:val="en-GB"/>
        </w:rPr>
        <w:t>State Party</w:t>
      </w:r>
      <w:r w:rsidRPr="00CD1284">
        <w:rPr>
          <w:sz w:val="20"/>
          <w:szCs w:val="20"/>
          <w:lang w:val="en-GB"/>
        </w:rPr>
        <w:t xml:space="preserve"> shall adopt such measures as may be necessary… to establish the liability of legal persons’ (emphasis added) ibid.</w:t>
      </w:r>
    </w:p>
  </w:footnote>
  <w:footnote w:id="201">
    <w:p w14:paraId="00387F5E" w14:textId="0EBF27E8"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A</w:t>
      </w:r>
      <w:r w:rsidRPr="00CD1284">
        <w:rPr>
          <w:sz w:val="20"/>
          <w:szCs w:val="20"/>
          <w:lang w:val="en-GB"/>
        </w:rPr>
        <w:t xml:space="preserve"> Nollkaemper, ‘Responsibility of Transnational Corporations in International Environmental Law: Three Perspectives’ in G Winter (ed), </w:t>
      </w:r>
      <w:r w:rsidRPr="00CD1284">
        <w:rPr>
          <w:i/>
          <w:sz w:val="20"/>
          <w:szCs w:val="20"/>
          <w:lang w:val="en-GB"/>
        </w:rPr>
        <w:t>Multilevel Governance of Global Environmental Change – Perspectives from Science, Sociology and Law</w:t>
      </w:r>
      <w:r>
        <w:rPr>
          <w:sz w:val="20"/>
          <w:szCs w:val="20"/>
          <w:lang w:val="en-GB"/>
        </w:rPr>
        <w:t xml:space="preserve"> (CUP, 2006) </w:t>
      </w:r>
      <w:r w:rsidRPr="00CD1284">
        <w:rPr>
          <w:sz w:val="20"/>
          <w:szCs w:val="20"/>
          <w:lang w:val="en-GB"/>
        </w:rPr>
        <w:t>196.</w:t>
      </w:r>
    </w:p>
  </w:footnote>
  <w:footnote w:id="202">
    <w:p w14:paraId="127AE343" w14:textId="07CF68FF"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Ratner (n 74</w:t>
      </w:r>
      <w:r w:rsidRPr="00CD1284">
        <w:rPr>
          <w:sz w:val="20"/>
          <w:szCs w:val="20"/>
          <w:lang w:val="en-GB"/>
        </w:rPr>
        <w:t>) 517.</w:t>
      </w:r>
    </w:p>
  </w:footnote>
  <w:footnote w:id="203">
    <w:p w14:paraId="7A9F6605" w14:textId="6A8D9BB7"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A Clapham, </w:t>
      </w:r>
      <w:r w:rsidRPr="00CD1284">
        <w:rPr>
          <w:i/>
          <w:szCs w:val="20"/>
          <w:lang w:val="en-GB"/>
        </w:rPr>
        <w:t>Human Rights in the Private Sphere</w:t>
      </w:r>
      <w:r w:rsidRPr="00CD1284">
        <w:rPr>
          <w:szCs w:val="20"/>
          <w:lang w:val="en-GB"/>
        </w:rPr>
        <w:t xml:space="preserve"> (OUP, 1993) 205; ibid.</w:t>
      </w:r>
    </w:p>
  </w:footnote>
  <w:footnote w:id="204">
    <w:p w14:paraId="583B270E" w14:textId="3F173ED9" w:rsidR="00FD777C" w:rsidRPr="00CD1284" w:rsidRDefault="00FD777C" w:rsidP="00CD1284">
      <w:pPr>
        <w:pStyle w:val="FootnoteText"/>
        <w:rPr>
          <w:szCs w:val="20"/>
          <w:lang w:val="en-GB"/>
        </w:rPr>
      </w:pPr>
      <w:r w:rsidRPr="00CD1284">
        <w:rPr>
          <w:rStyle w:val="FootnoteReference"/>
          <w:szCs w:val="20"/>
        </w:rPr>
        <w:footnoteRef/>
      </w:r>
      <w:r w:rsidRPr="00CD1284">
        <w:rPr>
          <w:szCs w:val="20"/>
        </w:rPr>
        <w:t xml:space="preserve"> </w:t>
      </w:r>
      <w:r w:rsidRPr="00CD1284">
        <w:rPr>
          <w:szCs w:val="20"/>
          <w:lang w:val="en-GB"/>
        </w:rPr>
        <w:t xml:space="preserve">Clapham, </w:t>
      </w:r>
      <w:r w:rsidRPr="00CD1284">
        <w:rPr>
          <w:i/>
          <w:szCs w:val="20"/>
          <w:lang w:val="en-GB"/>
        </w:rPr>
        <w:t>Human Rights Obligations</w:t>
      </w:r>
      <w:r w:rsidRPr="00CD1284">
        <w:rPr>
          <w:szCs w:val="20"/>
          <w:lang w:val="en-GB"/>
        </w:rPr>
        <w:t xml:space="preserve"> (n 2) 8-12.</w:t>
      </w:r>
    </w:p>
  </w:footnote>
  <w:footnote w:id="205">
    <w:p w14:paraId="58DBC174" w14:textId="37CD2690"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Karavias, </w:t>
      </w:r>
      <w:r w:rsidRPr="00CD1284">
        <w:rPr>
          <w:i/>
          <w:sz w:val="20"/>
          <w:szCs w:val="20"/>
          <w:lang w:val="en-GB"/>
        </w:rPr>
        <w:t xml:space="preserve">Corporate Obligations </w:t>
      </w:r>
      <w:r w:rsidRPr="00CD1284">
        <w:rPr>
          <w:sz w:val="20"/>
          <w:szCs w:val="20"/>
          <w:lang w:val="en-GB"/>
        </w:rPr>
        <w:t>(n 2) 170.</w:t>
      </w:r>
    </w:p>
  </w:footnote>
  <w:footnote w:id="206">
    <w:p w14:paraId="59EBA863" w14:textId="18D7E664"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S</w:t>
      </w:r>
      <w:r w:rsidRPr="00CD1284">
        <w:rPr>
          <w:szCs w:val="20"/>
          <w:lang w:val="en-GB"/>
        </w:rPr>
        <w:t xml:space="preserve"> Kirsch, ‘Mining and Environmental Human Rights in Papua New Guinea</w:t>
      </w:r>
      <w:r>
        <w:rPr>
          <w:szCs w:val="20"/>
          <w:lang w:val="en-GB"/>
        </w:rPr>
        <w:t>’ in S Pegg &amp; JG</w:t>
      </w:r>
      <w:r w:rsidRPr="00CD1284">
        <w:rPr>
          <w:szCs w:val="20"/>
          <w:lang w:val="en-GB"/>
        </w:rPr>
        <w:t xml:space="preserve"> Frynas (eds), </w:t>
      </w:r>
      <w:r w:rsidRPr="00CD1284">
        <w:rPr>
          <w:i/>
          <w:szCs w:val="20"/>
          <w:lang w:val="en-GB"/>
        </w:rPr>
        <w:t>Transnational Corporations and Human Rights</w:t>
      </w:r>
      <w:r w:rsidRPr="00CD1284">
        <w:rPr>
          <w:szCs w:val="20"/>
          <w:lang w:val="en-GB"/>
        </w:rPr>
        <w:t xml:space="preserve"> (Palgrave Macmillan, 2003) 118-22; B Dinham &amp; S Sarangi, ‘The Bhopal Gas Tragedy 1984 to...? The Evasion of Corporate Responsibility’ (2002) 14 Environment &amp; Urbanisation 89; L Wong, ‘Revisiting Rights and Responsibility: The Case of B</w:t>
      </w:r>
      <w:r>
        <w:rPr>
          <w:szCs w:val="20"/>
          <w:lang w:val="en-GB"/>
        </w:rPr>
        <w:t xml:space="preserve">hopal’ (2008) 4 Soc Resp J </w:t>
      </w:r>
      <w:r w:rsidRPr="00CD1284">
        <w:rPr>
          <w:szCs w:val="20"/>
          <w:lang w:val="en-GB"/>
        </w:rPr>
        <w:t>144.</w:t>
      </w:r>
    </w:p>
  </w:footnote>
  <w:footnote w:id="207">
    <w:p w14:paraId="4876FA88" w14:textId="57AD497B"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B Saul, D</w:t>
      </w:r>
      <w:r>
        <w:rPr>
          <w:szCs w:val="20"/>
          <w:lang w:val="en-GB"/>
        </w:rPr>
        <w:t xml:space="preserve"> Kinley &amp;</w:t>
      </w:r>
      <w:r w:rsidRPr="00CD1284">
        <w:rPr>
          <w:szCs w:val="20"/>
          <w:lang w:val="en-GB"/>
        </w:rPr>
        <w:t xml:space="preserve"> J Mowbray, </w:t>
      </w:r>
      <w:r w:rsidRPr="00CD1284">
        <w:rPr>
          <w:i/>
          <w:szCs w:val="20"/>
          <w:lang w:val="en-GB"/>
        </w:rPr>
        <w:t xml:space="preserve">The International Covenant on Economic, Social and Cultural Rights: Cases, Materials, and Commentary </w:t>
      </w:r>
      <w:r w:rsidRPr="00CD1284">
        <w:rPr>
          <w:szCs w:val="20"/>
          <w:lang w:val="en-GB"/>
        </w:rPr>
        <w:t>(OUP, 2014) 1-2; C</w:t>
      </w:r>
      <w:r>
        <w:rPr>
          <w:szCs w:val="20"/>
          <w:lang w:val="en-GB"/>
        </w:rPr>
        <w:t xml:space="preserve"> Puta-Chekwe &amp;</w:t>
      </w:r>
      <w:r w:rsidRPr="00CD1284">
        <w:rPr>
          <w:szCs w:val="20"/>
          <w:lang w:val="en-GB"/>
        </w:rPr>
        <w:t xml:space="preserve"> N Flood, ‘From Division to Integration: Economic Social and Cultural Rights as Basic Human Rights’ in I Merali</w:t>
      </w:r>
      <w:r>
        <w:rPr>
          <w:szCs w:val="20"/>
          <w:lang w:val="en-GB"/>
        </w:rPr>
        <w:t xml:space="preserve"> &amp;</w:t>
      </w:r>
      <w:r w:rsidRPr="00CD1284">
        <w:rPr>
          <w:szCs w:val="20"/>
          <w:lang w:val="en-GB"/>
        </w:rPr>
        <w:t xml:space="preserve"> V Oosterveld (eds) </w:t>
      </w:r>
      <w:r w:rsidRPr="00CD1284">
        <w:rPr>
          <w:i/>
          <w:szCs w:val="20"/>
          <w:lang w:val="en-GB"/>
        </w:rPr>
        <w:t>Giving Meaning to Economic, Social, and Cultural Rights</w:t>
      </w:r>
      <w:r w:rsidRPr="00CD1284">
        <w:rPr>
          <w:szCs w:val="20"/>
          <w:lang w:val="en-GB"/>
        </w:rPr>
        <w:t xml:space="preserve"> (University of Pennsylvania Press, 2001) 39; R Gavison ‘On the Relationships Between Civil and Political Rights and Social and Economic Rights’ in JM Coicaud, MW Doyle</w:t>
      </w:r>
      <w:r>
        <w:rPr>
          <w:szCs w:val="20"/>
          <w:lang w:val="en-GB"/>
        </w:rPr>
        <w:t xml:space="preserve"> &amp;</w:t>
      </w:r>
      <w:r w:rsidRPr="00CD1284">
        <w:rPr>
          <w:szCs w:val="20"/>
          <w:lang w:val="en-GB"/>
        </w:rPr>
        <w:t xml:space="preserve"> AM Gardner (eds), </w:t>
      </w:r>
      <w:r w:rsidRPr="00CD1284">
        <w:rPr>
          <w:i/>
          <w:szCs w:val="20"/>
          <w:lang w:val="en-GB"/>
        </w:rPr>
        <w:t>The Globalisation of Human Rights</w:t>
      </w:r>
      <w:r w:rsidRPr="00CD1284">
        <w:rPr>
          <w:szCs w:val="20"/>
          <w:lang w:val="en-GB"/>
        </w:rPr>
        <w:t xml:space="preserve"> (UN University Press, 2003) 23.</w:t>
      </w:r>
    </w:p>
  </w:footnote>
  <w:footnote w:id="208">
    <w:p w14:paraId="42975C1E" w14:textId="28403BB7"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‘Because human rights situations are dynamic, assessments of human rights impacts should be undertaken at regular intervals’. UNGPs (n 1) Commentary to Principle 18.</w:t>
      </w:r>
    </w:p>
  </w:footnote>
  <w:footnote w:id="209">
    <w:p w14:paraId="7CFEFE22" w14:textId="1DC109BB"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‘The exercise of jurisdiction is a necessary condition for a Contracting State to be able to be held responsible for acts or omissions imputable to it which would give rise to an allegation of the infringement of rights and freedoms set forth in the Convention.’ </w:t>
      </w:r>
      <w:r w:rsidRPr="00CD1284">
        <w:rPr>
          <w:i/>
          <w:sz w:val="20"/>
          <w:szCs w:val="20"/>
          <w:lang w:val="en-GB"/>
        </w:rPr>
        <w:t>Al-Skeini and Others v United Kingdom</w:t>
      </w:r>
      <w:r w:rsidRPr="00CD1284">
        <w:rPr>
          <w:sz w:val="20"/>
          <w:szCs w:val="20"/>
          <w:lang w:val="en-GB"/>
        </w:rPr>
        <w:t xml:space="preserve">, Application No 55721/07 (ECtHR 2011) at [130] (hereafter, </w:t>
      </w:r>
      <w:r w:rsidRPr="00CD1284">
        <w:rPr>
          <w:i/>
          <w:sz w:val="20"/>
          <w:szCs w:val="20"/>
          <w:lang w:val="en-GB"/>
        </w:rPr>
        <w:t>Al-Skeini</w:t>
      </w:r>
      <w:r w:rsidRPr="00CD1284">
        <w:rPr>
          <w:sz w:val="20"/>
          <w:szCs w:val="20"/>
          <w:lang w:val="en-GB"/>
        </w:rPr>
        <w:t xml:space="preserve">); Karavias, </w:t>
      </w:r>
      <w:r w:rsidRPr="00CD1284">
        <w:rPr>
          <w:i/>
          <w:sz w:val="20"/>
          <w:szCs w:val="20"/>
          <w:lang w:val="en-GB"/>
        </w:rPr>
        <w:t xml:space="preserve">Corporate Obligations </w:t>
      </w:r>
      <w:r w:rsidRPr="00CD1284">
        <w:rPr>
          <w:sz w:val="20"/>
          <w:szCs w:val="20"/>
          <w:lang w:val="en-GB"/>
        </w:rPr>
        <w:t xml:space="preserve">(n 2) 85-9. </w:t>
      </w:r>
    </w:p>
  </w:footnote>
  <w:footnote w:id="210">
    <w:p w14:paraId="4C8DC987" w14:textId="498ADB71"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AL Parrish, ‘Rehabilitating Territoriality in Human Rights</w:t>
      </w:r>
      <w:r>
        <w:rPr>
          <w:szCs w:val="20"/>
          <w:lang w:val="en-GB"/>
        </w:rPr>
        <w:t xml:space="preserve">’ (2011) 32 Cardozo L Rev </w:t>
      </w:r>
      <w:r w:rsidRPr="00CD1284">
        <w:rPr>
          <w:szCs w:val="20"/>
          <w:lang w:val="en-GB"/>
        </w:rPr>
        <w:t>1100-10; W Vandenhole, ‘Extraterritorial Human Rights Obligations: Taking Stock, Look</w:t>
      </w:r>
      <w:r>
        <w:rPr>
          <w:szCs w:val="20"/>
          <w:lang w:val="en-GB"/>
        </w:rPr>
        <w:t xml:space="preserve">ing Forward’ (2013) 5 EJIL </w:t>
      </w:r>
      <w:r w:rsidRPr="00CD1284">
        <w:rPr>
          <w:szCs w:val="20"/>
          <w:lang w:val="en-GB"/>
        </w:rPr>
        <w:t>808.</w:t>
      </w:r>
    </w:p>
  </w:footnote>
  <w:footnote w:id="211">
    <w:p w14:paraId="4B40C67C" w14:textId="1949314B"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Ronon (n 2) 21.</w:t>
      </w:r>
    </w:p>
  </w:footnote>
  <w:footnote w:id="212">
    <w:p w14:paraId="04C08C30" w14:textId="3B7A1F76"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W Vandenhole, ‘Obligations and Responsibility in a Plural and Diverse Duty-Bearer Human Rights Reg</w:t>
      </w:r>
      <w:r>
        <w:rPr>
          <w:szCs w:val="20"/>
          <w:lang w:val="en-GB"/>
        </w:rPr>
        <w:t xml:space="preserve">ime’ in Vandenhole (n 110) </w:t>
      </w:r>
      <w:r w:rsidRPr="00CD1284">
        <w:rPr>
          <w:szCs w:val="20"/>
          <w:lang w:val="en-GB"/>
        </w:rPr>
        <w:t>121.</w:t>
      </w:r>
    </w:p>
  </w:footnote>
  <w:footnote w:id="213">
    <w:p w14:paraId="0D85AFE6" w14:textId="2019E720"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Ratner (n 74</w:t>
      </w:r>
      <w:r w:rsidRPr="00CD1284">
        <w:rPr>
          <w:szCs w:val="20"/>
          <w:lang w:val="en-GB"/>
        </w:rPr>
        <w:t>) 525.</w:t>
      </w:r>
    </w:p>
  </w:footnote>
  <w:footnote w:id="214">
    <w:p w14:paraId="77F89C3A" w14:textId="7F0BA63D"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ibid. 525-6.</w:t>
      </w:r>
    </w:p>
  </w:footnote>
  <w:footnote w:id="215">
    <w:p w14:paraId="1B25FD1B" w14:textId="1BD34BAB"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Human Rights Council, ‘Clarifying the Concepts of “Sphere of influence” and “Complicity”’, Report of the Special Representative of the Secretary-General on the Issue of Human Rights and Transnational Corporations and other Business Enterprises, John Ruggie, UN Doc A/HRC/8/16, 6 para 15.</w:t>
      </w:r>
    </w:p>
  </w:footnote>
  <w:footnote w:id="216">
    <w:p w14:paraId="1D5B0E8C" w14:textId="09F22089"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A McBeth, ‘Crushed by an Anvil: A Case Study on Responsibility for Human Rights in the Extractive Industry’ (2008</w:t>
      </w:r>
      <w:r>
        <w:rPr>
          <w:szCs w:val="20"/>
          <w:lang w:val="en-GB"/>
        </w:rPr>
        <w:t xml:space="preserve">) 11 Yale Hum Rts &amp; Dev LJ </w:t>
      </w:r>
      <w:r w:rsidRPr="00CD1284">
        <w:rPr>
          <w:szCs w:val="20"/>
          <w:lang w:val="en-GB"/>
        </w:rPr>
        <w:t xml:space="preserve">130; LA Mitnick, ‘Multinationals Fight Back with the Doctrine of </w:t>
      </w:r>
      <w:r w:rsidRPr="00CD1284">
        <w:rPr>
          <w:i/>
          <w:szCs w:val="20"/>
          <w:lang w:val="en-GB"/>
        </w:rPr>
        <w:t>Forum Non Conveniens</w:t>
      </w:r>
      <w:r w:rsidRPr="00CD1284">
        <w:rPr>
          <w:szCs w:val="20"/>
          <w:lang w:val="en-GB"/>
        </w:rPr>
        <w:t>’ (</w:t>
      </w:r>
      <w:r>
        <w:rPr>
          <w:szCs w:val="20"/>
          <w:lang w:val="en-GB"/>
        </w:rPr>
        <w:t xml:space="preserve">1989) 56 Defence Counsel J </w:t>
      </w:r>
      <w:r w:rsidRPr="00CD1284">
        <w:rPr>
          <w:szCs w:val="20"/>
          <w:lang w:val="en-GB"/>
        </w:rPr>
        <w:t>400.</w:t>
      </w:r>
    </w:p>
  </w:footnote>
  <w:footnote w:id="217">
    <w:p w14:paraId="7AC7FCBC" w14:textId="7783808E" w:rsidR="00FD777C" w:rsidRPr="00CD1284" w:rsidRDefault="00FD777C" w:rsidP="00CD1284">
      <w:pPr>
        <w:autoSpaceDE w:val="0"/>
        <w:autoSpaceDN w:val="0"/>
        <w:adjustRightInd w:val="0"/>
        <w:rPr>
          <w:sz w:val="20"/>
          <w:szCs w:val="20"/>
          <w:lang w:val="en-GB"/>
        </w:rPr>
      </w:pPr>
      <w:r w:rsidRPr="00CD1284">
        <w:rPr>
          <w:rStyle w:val="FootnoteReference"/>
          <w:szCs w:val="20"/>
          <w:lang w:val="en-GB"/>
        </w:rPr>
        <w:footnoteRef/>
      </w:r>
      <w:r w:rsidRPr="00CD1284">
        <w:rPr>
          <w:sz w:val="20"/>
          <w:szCs w:val="20"/>
          <w:lang w:val="en-GB"/>
        </w:rPr>
        <w:t xml:space="preserve"> </w:t>
      </w:r>
      <w:r w:rsidRPr="00CD1284">
        <w:rPr>
          <w:rFonts w:cs="AdvPS405B7"/>
          <w:i/>
          <w:sz w:val="20"/>
          <w:szCs w:val="20"/>
          <w:lang w:val="en-GB"/>
        </w:rPr>
        <w:t xml:space="preserve">Akpan </w:t>
      </w:r>
      <w:r w:rsidRPr="00CD1284">
        <w:rPr>
          <w:rFonts w:cs="AdvPS405B6"/>
          <w:i/>
          <w:sz w:val="20"/>
          <w:szCs w:val="20"/>
          <w:lang w:val="en-GB"/>
        </w:rPr>
        <w:t xml:space="preserve">v </w:t>
      </w:r>
      <w:r w:rsidRPr="00CD1284">
        <w:rPr>
          <w:rFonts w:cs="AdvPS405B7"/>
          <w:i/>
          <w:sz w:val="20"/>
          <w:szCs w:val="20"/>
          <w:lang w:val="en-GB"/>
        </w:rPr>
        <w:t>Royal Dutch Shell &amp; SPDC</w:t>
      </w:r>
      <w:r w:rsidRPr="00CD1284">
        <w:rPr>
          <w:rFonts w:cs="AdvPS405B7"/>
          <w:sz w:val="20"/>
          <w:szCs w:val="20"/>
          <w:lang w:val="en-GB"/>
        </w:rPr>
        <w:t xml:space="preserve"> (30 January 2013) </w:t>
      </w:r>
      <w:r w:rsidRPr="00CD1284">
        <w:rPr>
          <w:rFonts w:cs="AdvPS405B6"/>
          <w:sz w:val="20"/>
          <w:szCs w:val="20"/>
          <w:lang w:val="en-GB"/>
        </w:rPr>
        <w:t>District Court of the Hague, LJN BY9854, C/09/337050/HAZA 09-1580 para 4.29 &lt;</w:t>
      </w:r>
      <w:hyperlink r:id="rId18" w:history="1">
        <w:r w:rsidRPr="00CD1284">
          <w:rPr>
            <w:rStyle w:val="Hyperlink"/>
            <w:rFonts w:cs="AdvPS405B6"/>
            <w:sz w:val="20"/>
            <w:szCs w:val="20"/>
            <w:lang w:val="en-GB"/>
          </w:rPr>
          <w:t>milieudefensie.nl/publicaties/bezwaren-uitspraken/final-judgment-akpan-vs-shell-oil-spill-ikot-ada-udo</w:t>
        </w:r>
      </w:hyperlink>
      <w:r w:rsidRPr="00CD1284">
        <w:rPr>
          <w:rFonts w:cs="AdvPS405B6"/>
          <w:sz w:val="20"/>
          <w:szCs w:val="20"/>
          <w:lang w:val="en-GB"/>
        </w:rPr>
        <w:t xml:space="preserve">&gt; </w:t>
      </w:r>
      <w:r w:rsidRPr="00CD1284">
        <w:rPr>
          <w:sz w:val="20"/>
          <w:szCs w:val="20"/>
          <w:lang w:val="en-GB"/>
        </w:rPr>
        <w:t>accessed 21 April 2016</w:t>
      </w:r>
      <w:r w:rsidRPr="00CD1284">
        <w:rPr>
          <w:rFonts w:cs="AdvPS405B6"/>
          <w:sz w:val="20"/>
          <w:szCs w:val="20"/>
          <w:lang w:val="en-GB"/>
        </w:rPr>
        <w:t>; LJ McConnell ‘Establishing Liability for Multinational Corporations – Lessons from Akpan (2014) 56 Int’l J L &amp; Management 88.</w:t>
      </w:r>
    </w:p>
  </w:footnote>
  <w:footnote w:id="218">
    <w:p w14:paraId="2329B1CE" w14:textId="72091F9D" w:rsidR="00FD777C" w:rsidRPr="00CD1284" w:rsidRDefault="00FD777C" w:rsidP="00CD1284">
      <w:pPr>
        <w:rPr>
          <w:sz w:val="20"/>
          <w:szCs w:val="20"/>
        </w:rPr>
      </w:pPr>
      <w:r w:rsidRPr="00CD1284">
        <w:rPr>
          <w:rStyle w:val="FootnoteReference"/>
          <w:szCs w:val="20"/>
        </w:rPr>
        <w:footnoteRef/>
      </w:r>
      <w:r w:rsidRPr="00CD1284">
        <w:rPr>
          <w:sz w:val="20"/>
          <w:szCs w:val="20"/>
        </w:rPr>
        <w:t xml:space="preserve"> A</w:t>
      </w:r>
      <w:r w:rsidRPr="00CD1284">
        <w:rPr>
          <w:rFonts w:eastAsia="Times New Roman" w:cs="Times New Roman"/>
          <w:sz w:val="20"/>
          <w:szCs w:val="20"/>
          <w:lang w:val="en-GB"/>
        </w:rPr>
        <w:t xml:space="preserve"> duty of care may be imposed on a parent provided: i) the business of parent/subsidiary is largely identical; ii) the parent company has more knowledge of health and safety in the industry than the subsidiary; iii) the parent knows of unsatisfactory conditions at its subsidiary; and iv) the parent knows that its subsidiary or employees are reliant on the parent company for protection: </w:t>
      </w:r>
      <w:r w:rsidRPr="00CD1284">
        <w:rPr>
          <w:rFonts w:cs="AdvPS405B7"/>
          <w:i/>
          <w:sz w:val="20"/>
          <w:szCs w:val="20"/>
          <w:lang w:val="en-GB"/>
        </w:rPr>
        <w:t xml:space="preserve">Chandler </w:t>
      </w:r>
      <w:r w:rsidRPr="00CD1284">
        <w:rPr>
          <w:rFonts w:cs="AdvPS405B6"/>
          <w:i/>
          <w:sz w:val="20"/>
          <w:szCs w:val="20"/>
          <w:lang w:val="en-GB"/>
        </w:rPr>
        <w:t xml:space="preserve">v </w:t>
      </w:r>
      <w:r w:rsidRPr="00CD1284">
        <w:rPr>
          <w:rFonts w:cs="AdvPS405B7"/>
          <w:i/>
          <w:sz w:val="20"/>
          <w:szCs w:val="20"/>
          <w:lang w:val="en-GB"/>
        </w:rPr>
        <w:t>Cape</w:t>
      </w:r>
      <w:r w:rsidRPr="00CD1284">
        <w:rPr>
          <w:rFonts w:cs="AdvPS405B7"/>
          <w:sz w:val="20"/>
          <w:szCs w:val="20"/>
          <w:lang w:val="en-GB"/>
        </w:rPr>
        <w:t xml:space="preserve"> </w:t>
      </w:r>
      <w:r w:rsidRPr="00CD1284">
        <w:rPr>
          <w:rFonts w:cs="AdvPS405B6"/>
          <w:sz w:val="20"/>
          <w:szCs w:val="20"/>
          <w:lang w:val="en-GB"/>
        </w:rPr>
        <w:t>[2012] EWCA Civ 525 at [80].</w:t>
      </w:r>
    </w:p>
  </w:footnote>
  <w:footnote w:id="219">
    <w:p w14:paraId="2A9ACFBA" w14:textId="7DC4EBC3" w:rsidR="00FD777C" w:rsidRPr="00CD1284" w:rsidRDefault="00FD777C" w:rsidP="00CD1284">
      <w:pPr>
        <w:pStyle w:val="FootnoteText"/>
        <w:rPr>
          <w:szCs w:val="20"/>
        </w:rPr>
      </w:pPr>
      <w:r w:rsidRPr="00CD1284">
        <w:rPr>
          <w:rStyle w:val="FootnoteReference"/>
          <w:szCs w:val="20"/>
        </w:rPr>
        <w:footnoteRef/>
      </w:r>
      <w:r w:rsidRPr="00CD1284">
        <w:rPr>
          <w:szCs w:val="20"/>
        </w:rPr>
        <w:t xml:space="preserve"> Friends of the Earth, ‘Outcome appeal against Shell’ </w:t>
      </w:r>
      <w:r>
        <w:rPr>
          <w:szCs w:val="20"/>
        </w:rPr>
        <w:t>(</w:t>
      </w:r>
      <w:r w:rsidRPr="00CD1284">
        <w:rPr>
          <w:szCs w:val="20"/>
        </w:rPr>
        <w:t>18 December 2015</w:t>
      </w:r>
      <w:r>
        <w:rPr>
          <w:szCs w:val="20"/>
        </w:rPr>
        <w:t>)</w:t>
      </w:r>
      <w:r w:rsidRPr="00CD1284">
        <w:rPr>
          <w:szCs w:val="20"/>
        </w:rPr>
        <w:t xml:space="preserve"> &lt;</w:t>
      </w:r>
      <w:hyperlink r:id="rId19" w:history="1">
        <w:r w:rsidRPr="00CD1284">
          <w:rPr>
            <w:rStyle w:val="Hyperlink"/>
            <w:szCs w:val="20"/>
          </w:rPr>
          <w:t>http://www.foei.org/news/outcome-appeal-shell-victory-environment-nigerian-people-friends-earth-netherlands#</w:t>
        </w:r>
      </w:hyperlink>
      <w:r w:rsidRPr="00CD1284">
        <w:rPr>
          <w:szCs w:val="20"/>
        </w:rPr>
        <w:t>&gt; accessed 21 April 2016.</w:t>
      </w:r>
    </w:p>
  </w:footnote>
  <w:footnote w:id="220">
    <w:p w14:paraId="2BF02EB5" w14:textId="77D6A817"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JG Frynas, ‘Political Instability and Business: Locus on Shell in Nigeria’ (199</w:t>
      </w:r>
      <w:r>
        <w:rPr>
          <w:szCs w:val="20"/>
          <w:lang w:val="en-GB"/>
        </w:rPr>
        <w:t xml:space="preserve">8) 19 Third World Q </w:t>
      </w:r>
      <w:r w:rsidRPr="00CD1284">
        <w:rPr>
          <w:szCs w:val="20"/>
          <w:lang w:val="en-GB"/>
        </w:rPr>
        <w:t>465; JG Frynas, ‘Legal Change in Africa: Evidence from Oil-Related Litigation in Nigeria’ (1999) 43 J Afr L 121; DJ Dorward, ‘</w:t>
      </w:r>
      <w:r w:rsidRPr="00CD1284">
        <w:rPr>
          <w:i/>
          <w:szCs w:val="20"/>
          <w:lang w:val="en-GB"/>
        </w:rPr>
        <w:t>Forum Non Conveniens</w:t>
      </w:r>
      <w:r w:rsidRPr="00CD1284">
        <w:rPr>
          <w:szCs w:val="20"/>
          <w:lang w:val="en-GB"/>
        </w:rPr>
        <w:t xml:space="preserve"> Doctrine and the Judicial Protection of Multinational Corporations from Forum Shopping Plaintiffs’ (1998) 19 U Pa J</w:t>
      </w:r>
      <w:r>
        <w:rPr>
          <w:szCs w:val="20"/>
          <w:lang w:val="en-GB"/>
        </w:rPr>
        <w:t xml:space="preserve"> Int’l Econ L 141; Oluduro (n 65</w:t>
      </w:r>
      <w:r w:rsidRPr="00CD1284">
        <w:rPr>
          <w:szCs w:val="20"/>
          <w:lang w:val="en-GB"/>
        </w:rPr>
        <w:t>) 139.</w:t>
      </w:r>
    </w:p>
  </w:footnote>
  <w:footnote w:id="221">
    <w:p w14:paraId="34ADF07F" w14:textId="1F17CEC3"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S</w:t>
      </w:r>
      <w:r w:rsidRPr="00CD1284">
        <w:rPr>
          <w:szCs w:val="20"/>
          <w:lang w:val="en-GB"/>
        </w:rPr>
        <w:t xml:space="preserve"> Deva, ‘Scope of the Legally Binding Instrument’ (n 3).</w:t>
      </w:r>
    </w:p>
  </w:footnote>
  <w:footnote w:id="222">
    <w:p w14:paraId="146F5CB3" w14:textId="454490C6"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Karavia</w:t>
      </w:r>
      <w:r>
        <w:rPr>
          <w:szCs w:val="20"/>
          <w:lang w:val="en-GB"/>
        </w:rPr>
        <w:t>s, ‘Shared Responsibility’ (n 61</w:t>
      </w:r>
      <w:r w:rsidRPr="00CD1284">
        <w:rPr>
          <w:szCs w:val="20"/>
          <w:lang w:val="en-GB"/>
        </w:rPr>
        <w:t>) 113.</w:t>
      </w:r>
    </w:p>
  </w:footnote>
  <w:footnote w:id="223">
    <w:p w14:paraId="2C74CC21" w14:textId="55FDF728"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UNGPs (n 1) Principle 17(a); S Michalowski, ‘Due Diligence and Complicity: A Relationship in Need of Clarification’ </w:t>
      </w:r>
      <w:r>
        <w:rPr>
          <w:sz w:val="20"/>
          <w:szCs w:val="20"/>
          <w:lang w:val="en-GB"/>
        </w:rPr>
        <w:t xml:space="preserve">in Deva &amp; Bilchitz (n 197) </w:t>
      </w:r>
      <w:r w:rsidRPr="00CD1284">
        <w:rPr>
          <w:sz w:val="20"/>
          <w:szCs w:val="20"/>
          <w:lang w:val="en-GB"/>
        </w:rPr>
        <w:t>218-42; S Deva, ‘Treating Human Rights Lightly: A Critique of the Consensus Rhetoric and Language Employed by the Guiding Principles’</w:t>
      </w:r>
      <w:r>
        <w:rPr>
          <w:sz w:val="20"/>
          <w:szCs w:val="20"/>
          <w:lang w:val="en-GB"/>
        </w:rPr>
        <w:t xml:space="preserve"> in Deva &amp; Bilchitz (n 197) </w:t>
      </w:r>
      <w:r w:rsidRPr="00CD1284">
        <w:rPr>
          <w:sz w:val="20"/>
          <w:szCs w:val="20"/>
          <w:lang w:val="en-GB"/>
        </w:rPr>
        <w:t>98-101.</w:t>
      </w:r>
    </w:p>
  </w:footnote>
  <w:footnote w:id="224">
    <w:p w14:paraId="6F2063F8" w14:textId="10E1FE67"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UNGPs (n 1) Commentary to Principle 17.</w:t>
      </w:r>
    </w:p>
  </w:footnote>
  <w:footnote w:id="225">
    <w:p w14:paraId="5F330DE7" w14:textId="57E5B90A"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Human Rights Council, ‘Clarifying the Concepts’ (n 214) 4. </w:t>
      </w:r>
    </w:p>
  </w:footnote>
  <w:footnote w:id="226">
    <w:p w14:paraId="25DFF303" w14:textId="55273A82"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ibid. 6 paras 10-13.</w:t>
      </w:r>
    </w:p>
  </w:footnote>
  <w:footnote w:id="227">
    <w:p w14:paraId="19B16A82" w14:textId="2804A0F5"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Karavias, </w:t>
      </w:r>
      <w:r w:rsidRPr="00CD1284">
        <w:rPr>
          <w:i/>
          <w:szCs w:val="20"/>
          <w:lang w:val="en-GB"/>
        </w:rPr>
        <w:t xml:space="preserve">Corporate Obligations </w:t>
      </w:r>
      <w:r w:rsidRPr="00CD1284">
        <w:rPr>
          <w:szCs w:val="20"/>
          <w:lang w:val="en-GB"/>
        </w:rPr>
        <w:t>(n 2) 173.</w:t>
      </w:r>
    </w:p>
  </w:footnote>
  <w:footnote w:id="228">
    <w:p w14:paraId="53F5A576" w14:textId="367F75E4" w:rsidR="00FD777C" w:rsidRPr="00CD1284" w:rsidRDefault="00FD777C" w:rsidP="00CD1284">
      <w:pPr>
        <w:pStyle w:val="FootnoteText"/>
        <w:rPr>
          <w:szCs w:val="20"/>
          <w:lang w:val="en-GB"/>
        </w:rPr>
      </w:pPr>
      <w:r w:rsidRPr="00CD1284">
        <w:rPr>
          <w:rStyle w:val="FootnoteReference"/>
          <w:szCs w:val="20"/>
          <w:lang w:val="en-GB"/>
        </w:rPr>
        <w:footnoteRef/>
      </w:r>
      <w:r>
        <w:rPr>
          <w:szCs w:val="20"/>
          <w:lang w:val="en-GB"/>
        </w:rPr>
        <w:t xml:space="preserve"> F</w:t>
      </w:r>
      <w:r w:rsidRPr="00CD1284">
        <w:rPr>
          <w:szCs w:val="20"/>
          <w:lang w:val="en-GB"/>
        </w:rPr>
        <w:t xml:space="preserve"> Mégret &amp; F Hofmann, ‘The UN as a Human Rights Violator? Some Reflections on the United Nations Changing Human Rights Responsibil</w:t>
      </w:r>
      <w:r>
        <w:rPr>
          <w:szCs w:val="20"/>
          <w:lang w:val="en-GB"/>
        </w:rPr>
        <w:t xml:space="preserve">ities’ (2003) 25 Hum Rts Q </w:t>
      </w:r>
      <w:r w:rsidRPr="00CD1284">
        <w:rPr>
          <w:szCs w:val="20"/>
          <w:lang w:val="en-GB"/>
        </w:rPr>
        <w:t>323.</w:t>
      </w:r>
    </w:p>
  </w:footnote>
  <w:footnote w:id="229">
    <w:p w14:paraId="4013CCBB" w14:textId="65662804"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D Augenstein &amp; D</w:t>
      </w:r>
      <w:r>
        <w:rPr>
          <w:szCs w:val="20"/>
          <w:lang w:val="en-GB"/>
        </w:rPr>
        <w:t xml:space="preserve"> Kinley, ‘When Human Rights “</w:t>
      </w:r>
      <w:r w:rsidRPr="00CD1284">
        <w:rPr>
          <w:szCs w:val="20"/>
          <w:lang w:val="en-GB"/>
        </w:rPr>
        <w:t>Responsibilities</w:t>
      </w:r>
      <w:r>
        <w:rPr>
          <w:szCs w:val="20"/>
          <w:lang w:val="en-GB"/>
        </w:rPr>
        <w:t>”</w:t>
      </w:r>
      <w:r w:rsidRPr="00CD1284">
        <w:rPr>
          <w:szCs w:val="20"/>
          <w:lang w:val="en-GB"/>
        </w:rPr>
        <w:t xml:space="preserve"> Become </w:t>
      </w:r>
      <w:r>
        <w:rPr>
          <w:szCs w:val="20"/>
          <w:lang w:val="en-GB"/>
        </w:rPr>
        <w:t>“</w:t>
      </w:r>
      <w:r w:rsidRPr="00CD1284">
        <w:rPr>
          <w:szCs w:val="20"/>
          <w:lang w:val="en-GB"/>
        </w:rPr>
        <w:t>Duties</w:t>
      </w:r>
      <w:r>
        <w:rPr>
          <w:szCs w:val="20"/>
          <w:lang w:val="en-GB"/>
        </w:rPr>
        <w:t>”</w:t>
      </w:r>
      <w:r w:rsidRPr="00CD1284">
        <w:rPr>
          <w:szCs w:val="20"/>
          <w:lang w:val="en-GB"/>
        </w:rPr>
        <w:t xml:space="preserve">: The Extra-Territorial Obligations of States that Bind Corporations’ </w:t>
      </w:r>
      <w:r>
        <w:rPr>
          <w:szCs w:val="20"/>
          <w:lang w:val="en-GB"/>
        </w:rPr>
        <w:t xml:space="preserve">in Deva &amp; Bilchitz (n 197) </w:t>
      </w:r>
      <w:r w:rsidRPr="00CD1284">
        <w:rPr>
          <w:szCs w:val="20"/>
          <w:lang w:val="en-GB"/>
        </w:rPr>
        <w:t>285-6.</w:t>
      </w:r>
    </w:p>
  </w:footnote>
  <w:footnote w:id="230">
    <w:p w14:paraId="74AEEBDE" w14:textId="558E1FE4"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w:t>
      </w:r>
      <w:r w:rsidRPr="00CD1284">
        <w:rPr>
          <w:i/>
          <w:sz w:val="20"/>
          <w:szCs w:val="20"/>
          <w:lang w:val="en-GB"/>
        </w:rPr>
        <w:t>Al-Saadoon &amp; Mufdhi v United Kingdom,</w:t>
      </w:r>
      <w:r w:rsidRPr="00CD1284">
        <w:rPr>
          <w:sz w:val="20"/>
          <w:szCs w:val="20"/>
          <w:lang w:val="en-GB"/>
        </w:rPr>
        <w:t xml:space="preserve"> Application No 61498/08 (ECtHR 2009); </w:t>
      </w:r>
      <w:r w:rsidRPr="00CD1284">
        <w:rPr>
          <w:i/>
          <w:sz w:val="20"/>
          <w:szCs w:val="20"/>
          <w:lang w:val="en-GB"/>
        </w:rPr>
        <w:t xml:space="preserve">Al-Skeini </w:t>
      </w:r>
      <w:r w:rsidRPr="00CD1284">
        <w:rPr>
          <w:sz w:val="20"/>
          <w:szCs w:val="20"/>
          <w:lang w:val="en-GB"/>
        </w:rPr>
        <w:t xml:space="preserve">(n 208); </w:t>
      </w:r>
      <w:r w:rsidRPr="00CD1284">
        <w:rPr>
          <w:i/>
          <w:sz w:val="20"/>
          <w:szCs w:val="20"/>
          <w:lang w:val="en-GB"/>
        </w:rPr>
        <w:t>Medvedyev and Others v France</w:t>
      </w:r>
      <w:r w:rsidRPr="00CD1284">
        <w:rPr>
          <w:sz w:val="20"/>
          <w:szCs w:val="20"/>
          <w:lang w:val="en-GB"/>
        </w:rPr>
        <w:t>, Application No 3394/03 (ECtHR 2010).</w:t>
      </w:r>
    </w:p>
  </w:footnote>
  <w:footnote w:id="231">
    <w:p w14:paraId="40EB23E5" w14:textId="346E469D"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‘The Court does not consider that jurisdiction… arose solely from the control exercised by the contracting state over the buildings, aircraft or ship in which the individuals were held. What is decisive in such cases is the exercise of physical power and </w:t>
      </w:r>
      <w:r w:rsidRPr="00CD1284">
        <w:rPr>
          <w:i/>
          <w:szCs w:val="20"/>
          <w:lang w:val="en-GB"/>
        </w:rPr>
        <w:t>control over the person</w:t>
      </w:r>
      <w:r w:rsidRPr="00CD1284">
        <w:rPr>
          <w:szCs w:val="20"/>
          <w:lang w:val="en-GB"/>
        </w:rPr>
        <w:t xml:space="preserve"> in question.’ </w:t>
      </w:r>
      <w:r w:rsidRPr="00CD1284">
        <w:rPr>
          <w:i/>
          <w:szCs w:val="20"/>
          <w:lang w:val="en-GB"/>
        </w:rPr>
        <w:t xml:space="preserve">Al-Skeini </w:t>
      </w:r>
      <w:r w:rsidRPr="00CD1284">
        <w:rPr>
          <w:szCs w:val="20"/>
          <w:lang w:val="en-GB"/>
        </w:rPr>
        <w:t>(n 208)</w:t>
      </w:r>
      <w:r w:rsidRPr="00CD1284">
        <w:rPr>
          <w:rFonts w:cs="Calibri"/>
          <w:szCs w:val="20"/>
          <w:lang w:val="en-GB"/>
        </w:rPr>
        <w:t xml:space="preserve"> at [136] (emphasis added); </w:t>
      </w:r>
      <w:r w:rsidRPr="00CD1284">
        <w:rPr>
          <w:i/>
          <w:szCs w:val="20"/>
        </w:rPr>
        <w:t xml:space="preserve">Andreou v Turkey, </w:t>
      </w:r>
      <w:r w:rsidRPr="00CD1284">
        <w:rPr>
          <w:szCs w:val="20"/>
        </w:rPr>
        <w:t>Application No 45653/99 (ECtHR 2009) at [25].</w:t>
      </w:r>
    </w:p>
  </w:footnote>
  <w:footnote w:id="232">
    <w:p w14:paraId="3D4A4F24" w14:textId="203B7B7E"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In </w:t>
      </w:r>
      <w:r w:rsidRPr="00CD1284">
        <w:rPr>
          <w:i/>
          <w:szCs w:val="20"/>
          <w:shd w:val="clear" w:color="auto" w:fill="FFFFFF"/>
          <w:lang w:val="en-GB"/>
        </w:rPr>
        <w:t>Jamaa</w:t>
      </w:r>
      <w:r w:rsidRPr="00CD1284">
        <w:rPr>
          <w:szCs w:val="20"/>
          <w:shd w:val="clear" w:color="auto" w:fill="FFFFFF"/>
          <w:lang w:val="en-GB"/>
        </w:rPr>
        <w:t xml:space="preserve"> the ‘custody’ requirement was effectively resurrected: </w:t>
      </w:r>
      <w:r w:rsidRPr="00CD1284">
        <w:rPr>
          <w:i/>
          <w:szCs w:val="20"/>
          <w:shd w:val="clear" w:color="auto" w:fill="FFFFFF"/>
          <w:lang w:val="en-GB"/>
        </w:rPr>
        <w:t>Jamaa and Others v Italy</w:t>
      </w:r>
      <w:r w:rsidRPr="00CD1284">
        <w:rPr>
          <w:szCs w:val="20"/>
          <w:shd w:val="clear" w:color="auto" w:fill="FFFFFF"/>
          <w:lang w:val="en-GB"/>
        </w:rPr>
        <w:t xml:space="preserve">, Application No 22765/09 (ECtHR 2012) at [73]; In </w:t>
      </w:r>
      <w:r w:rsidRPr="00CD1284">
        <w:rPr>
          <w:i/>
          <w:szCs w:val="20"/>
          <w:shd w:val="clear" w:color="auto" w:fill="FFFFFF"/>
          <w:lang w:val="en-GB"/>
        </w:rPr>
        <w:t>Jaloud</w:t>
      </w:r>
      <w:r w:rsidRPr="00CD1284">
        <w:rPr>
          <w:szCs w:val="20"/>
          <w:shd w:val="clear" w:color="auto" w:fill="FFFFFF"/>
          <w:lang w:val="en-GB"/>
        </w:rPr>
        <w:t xml:space="preserve">, jurisdiction was established on the basis of the use of force by State agents, but Dutch control of the checkpoint at which the acts occurred was also critical: </w:t>
      </w:r>
      <w:r w:rsidRPr="00CD1284">
        <w:rPr>
          <w:i/>
          <w:szCs w:val="20"/>
          <w:shd w:val="clear" w:color="auto" w:fill="FFFFFF"/>
          <w:lang w:val="en-GB"/>
        </w:rPr>
        <w:t>Jaloud v The Netherlands</w:t>
      </w:r>
      <w:r w:rsidRPr="00CD1284">
        <w:rPr>
          <w:szCs w:val="20"/>
          <w:shd w:val="clear" w:color="auto" w:fill="FFFFFF"/>
          <w:lang w:val="en-GB"/>
        </w:rPr>
        <w:t>, Application No 47708/08 (ECtHR 2015) at [152].</w:t>
      </w:r>
    </w:p>
  </w:footnote>
  <w:footnote w:id="233">
    <w:p w14:paraId="43523F0A" w14:textId="7282F781"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M Schaefer, ‘Al-Skeini and the Elusive Parameters of Extraterritorial Jurisdiction’ (2011) 5 Eur Hum Rts L Rev 566; Gibney, ‘Litigating Tr</w:t>
      </w:r>
      <w:r>
        <w:rPr>
          <w:szCs w:val="20"/>
          <w:lang w:val="en-GB"/>
        </w:rPr>
        <w:t>ansnational Human Rights’ (n 110</w:t>
      </w:r>
      <w:r w:rsidRPr="00CD1284">
        <w:rPr>
          <w:szCs w:val="20"/>
          <w:lang w:val="en-GB"/>
        </w:rPr>
        <w:t>) 98-100.</w:t>
      </w:r>
    </w:p>
  </w:footnote>
  <w:footnote w:id="234">
    <w:p w14:paraId="726CF72E" w14:textId="0C504BA7"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Karavias, </w:t>
      </w:r>
      <w:r w:rsidRPr="00CD1284">
        <w:rPr>
          <w:i/>
          <w:szCs w:val="20"/>
          <w:lang w:val="en-GB"/>
        </w:rPr>
        <w:t xml:space="preserve">Corporate Obligations </w:t>
      </w:r>
      <w:r w:rsidRPr="00CD1284">
        <w:rPr>
          <w:szCs w:val="20"/>
          <w:lang w:val="en-GB"/>
        </w:rPr>
        <w:t>(n 2) 174.</w:t>
      </w:r>
    </w:p>
  </w:footnote>
  <w:footnote w:id="235">
    <w:p w14:paraId="6353A0A5" w14:textId="7F7D7A03" w:rsidR="00FD777C" w:rsidRPr="00CD1284" w:rsidRDefault="00FD777C" w:rsidP="00CD1284">
      <w:pPr>
        <w:pStyle w:val="FootnoteText"/>
        <w:rPr>
          <w:szCs w:val="20"/>
          <w:lang w:val="en-GB"/>
        </w:rPr>
      </w:pPr>
      <w:r w:rsidRPr="00CD1284">
        <w:rPr>
          <w:rStyle w:val="FootnoteReference"/>
          <w:szCs w:val="20"/>
        </w:rPr>
        <w:footnoteRef/>
      </w:r>
      <w:r w:rsidRPr="00CD1284">
        <w:rPr>
          <w:szCs w:val="20"/>
        </w:rPr>
        <w:t xml:space="preserve"> LA Kornhauser, ‘Incentives, Compensati</w:t>
      </w:r>
      <w:r>
        <w:rPr>
          <w:szCs w:val="20"/>
        </w:rPr>
        <w:t>on and Irreparable Harm’ in A</w:t>
      </w:r>
      <w:r w:rsidRPr="00CD1284">
        <w:rPr>
          <w:szCs w:val="20"/>
        </w:rPr>
        <w:t xml:space="preserve"> Nol</w:t>
      </w:r>
      <w:r>
        <w:rPr>
          <w:szCs w:val="20"/>
        </w:rPr>
        <w:t>lkaemper &amp; D</w:t>
      </w:r>
      <w:r w:rsidRPr="00CD1284">
        <w:rPr>
          <w:szCs w:val="20"/>
        </w:rPr>
        <w:t xml:space="preserve"> Jacobs, </w:t>
      </w:r>
      <w:r w:rsidRPr="00CD1284">
        <w:rPr>
          <w:i/>
          <w:szCs w:val="20"/>
        </w:rPr>
        <w:t>Distribution of Responsibilities in International Law</w:t>
      </w:r>
      <w:r w:rsidRPr="00CD1284">
        <w:rPr>
          <w:szCs w:val="20"/>
        </w:rPr>
        <w:t xml:space="preserve"> (CUP, 2015) 121; It is acknowledged that the roles of international investment treaty tribunals ma</w:t>
      </w:r>
      <w:r>
        <w:rPr>
          <w:szCs w:val="20"/>
        </w:rPr>
        <w:t>y have the reverse effect: M</w:t>
      </w:r>
      <w:r w:rsidRPr="00CD1284">
        <w:rPr>
          <w:szCs w:val="20"/>
        </w:rPr>
        <w:t xml:space="preserve"> Hirsh, ‘Investment Tribunals and Human Rights: Divergent Paths’ in PM Dupuy, EU Petersmann &amp; F Francioni (eds), </w:t>
      </w:r>
      <w:r w:rsidRPr="00CD1284">
        <w:rPr>
          <w:i/>
          <w:szCs w:val="20"/>
        </w:rPr>
        <w:t>Human Rights in International Investment Law and Arbitration</w:t>
      </w:r>
      <w:r w:rsidRPr="00CD1284">
        <w:rPr>
          <w:szCs w:val="20"/>
        </w:rPr>
        <w:t xml:space="preserve"> (OUP, 2009) 98-115.</w:t>
      </w:r>
    </w:p>
  </w:footnote>
  <w:footnote w:id="236">
    <w:p w14:paraId="2EE69471" w14:textId="73346998"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Ruggie, </w:t>
      </w:r>
      <w:r w:rsidRPr="00CD1284">
        <w:rPr>
          <w:i/>
          <w:sz w:val="20"/>
          <w:szCs w:val="20"/>
          <w:lang w:val="en-GB"/>
        </w:rPr>
        <w:t>Just Business</w:t>
      </w:r>
      <w:r w:rsidRPr="00CD1284">
        <w:rPr>
          <w:sz w:val="20"/>
          <w:szCs w:val="20"/>
          <w:lang w:val="en-GB"/>
        </w:rPr>
        <w:t xml:space="preserve"> (n 196) 64.</w:t>
      </w:r>
    </w:p>
  </w:footnote>
  <w:footnote w:id="237">
    <w:p w14:paraId="01FE79E0" w14:textId="09515352" w:rsidR="00FD777C" w:rsidRPr="00CD1284" w:rsidRDefault="00FD777C" w:rsidP="00CD1284">
      <w:pPr>
        <w:pStyle w:val="FootnoteText"/>
        <w:rPr>
          <w:szCs w:val="20"/>
        </w:rPr>
      </w:pPr>
      <w:r w:rsidRPr="00CD1284">
        <w:rPr>
          <w:rStyle w:val="FootnoteReference"/>
          <w:szCs w:val="20"/>
        </w:rPr>
        <w:footnoteRef/>
      </w:r>
      <w:r w:rsidRPr="00CD1284">
        <w:rPr>
          <w:szCs w:val="20"/>
        </w:rPr>
        <w:t xml:space="preserve"> C</w:t>
      </w:r>
      <w:r>
        <w:rPr>
          <w:szCs w:val="20"/>
        </w:rPr>
        <w:t xml:space="preserve"> Heyns &amp; F</w:t>
      </w:r>
      <w:r w:rsidRPr="00CD1284">
        <w:rPr>
          <w:szCs w:val="20"/>
        </w:rPr>
        <w:t xml:space="preserve"> Viljoen, ‘The Impact of the United Nations Human Rights Treaties on the Domestic Level’ (2001) 23 Hum Rts Q 488; Open Society Justice, </w:t>
      </w:r>
      <w:r w:rsidRPr="00CD1284">
        <w:rPr>
          <w:i/>
          <w:szCs w:val="20"/>
        </w:rPr>
        <w:t>From Judgment to Justice: Implementing International and Regional Human Rights Decisions</w:t>
      </w:r>
      <w:r w:rsidRPr="00CD1284">
        <w:rPr>
          <w:szCs w:val="20"/>
        </w:rPr>
        <w:t xml:space="preserve"> (2010) 119-20. </w:t>
      </w:r>
    </w:p>
  </w:footnote>
  <w:footnote w:id="238">
    <w:p w14:paraId="4C15285B" w14:textId="7AE1935F" w:rsidR="00FD777C" w:rsidRDefault="00FD777C">
      <w:pPr>
        <w:pStyle w:val="FootnoteText"/>
      </w:pPr>
      <w:r>
        <w:rPr>
          <w:rStyle w:val="FootnoteReference"/>
        </w:rPr>
        <w:footnoteRef/>
      </w:r>
      <w:r>
        <w:t xml:space="preserve"> </w:t>
      </w:r>
      <w:r w:rsidRPr="00837D46">
        <w:t>Optional Protocol to the Convention against Torture and Other Cruel, Inhuman or Degrading Treatment or Punishment (adopted 18 December 2002) 2375 UNTS 237</w:t>
      </w:r>
      <w:r>
        <w:t>, art 11</w:t>
      </w:r>
      <w:r w:rsidRPr="00837D46">
        <w:t>.</w:t>
      </w:r>
    </w:p>
  </w:footnote>
  <w:footnote w:id="239">
    <w:p w14:paraId="122A421C" w14:textId="038253F9"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A Dolidze, ‘The Arctic Sunrise and NGOs in International Judicial Proceedings’ (American Society of International Law Insight, 2014) &lt;</w:t>
      </w:r>
      <w:hyperlink r:id="rId20" w:history="1">
        <w:r w:rsidRPr="00CD1284">
          <w:rPr>
            <w:rStyle w:val="Hyperlink"/>
            <w:szCs w:val="20"/>
            <w:lang w:val="en-GB"/>
          </w:rPr>
          <w:t>http://www.asil.org/insights/volume/18/issue/1/arctic-sunrise-and-ngos-international-judicial-proceedings</w:t>
        </w:r>
      </w:hyperlink>
      <w:r w:rsidRPr="00CD1284">
        <w:rPr>
          <w:szCs w:val="20"/>
          <w:lang w:val="en-GB"/>
        </w:rPr>
        <w:t xml:space="preserve">&gt; accessed 21 April 2016; </w:t>
      </w:r>
      <w:r w:rsidRPr="00CD1284">
        <w:rPr>
          <w:i/>
          <w:szCs w:val="20"/>
          <w:lang w:val="en-GB"/>
        </w:rPr>
        <w:t>International Status of South West Africa</w:t>
      </w:r>
      <w:r w:rsidRPr="00CD1284">
        <w:rPr>
          <w:szCs w:val="20"/>
          <w:lang w:val="en-GB"/>
        </w:rPr>
        <w:t xml:space="preserve"> (Advisory Opinion, Pleadings) ICJ Reports [1949] 324 is the sole instance in which the ICJ has permitted an </w:t>
      </w:r>
      <w:r w:rsidRPr="00CD1284">
        <w:rPr>
          <w:i/>
          <w:szCs w:val="20"/>
          <w:lang w:val="en-GB"/>
        </w:rPr>
        <w:t xml:space="preserve">amicus </w:t>
      </w:r>
      <w:r w:rsidRPr="00CD1284">
        <w:rPr>
          <w:szCs w:val="20"/>
          <w:lang w:val="en-GB"/>
        </w:rPr>
        <w:t>brief from an NGO (the International League for Human Rights); GI Hernández, ‘Non-State Actors from the Perspective of the Inte</w:t>
      </w:r>
      <w:r>
        <w:rPr>
          <w:szCs w:val="20"/>
          <w:lang w:val="en-GB"/>
        </w:rPr>
        <w:t xml:space="preserve">rnational Court of Justice’ in </w:t>
      </w:r>
      <w:r w:rsidRPr="00CD1284">
        <w:rPr>
          <w:szCs w:val="20"/>
          <w:lang w:val="en-GB"/>
        </w:rPr>
        <w:t xml:space="preserve">d’Aspremont, </w:t>
      </w:r>
      <w:r w:rsidRPr="00CD1284">
        <w:rPr>
          <w:i/>
          <w:szCs w:val="20"/>
          <w:lang w:val="en-GB"/>
        </w:rPr>
        <w:t>Multiple Perspectives</w:t>
      </w:r>
      <w:r>
        <w:rPr>
          <w:szCs w:val="20"/>
          <w:lang w:val="en-GB"/>
        </w:rPr>
        <w:t xml:space="preserve"> (n 17</w:t>
      </w:r>
      <w:r w:rsidRPr="00CD1284">
        <w:rPr>
          <w:szCs w:val="20"/>
          <w:lang w:val="en-GB"/>
        </w:rPr>
        <w:t xml:space="preserve">) 140-63; S Tully, </w:t>
      </w:r>
      <w:r w:rsidRPr="00CD1284">
        <w:rPr>
          <w:i/>
          <w:szCs w:val="20"/>
          <w:lang w:val="en-GB"/>
        </w:rPr>
        <w:t>Corporations and International Lawmaking</w:t>
      </w:r>
      <w:r w:rsidRPr="00CD1284">
        <w:rPr>
          <w:szCs w:val="20"/>
          <w:lang w:val="en-GB"/>
        </w:rPr>
        <w:t xml:space="preserve"> (Martinus Nijhoff, 2007) 242-5.</w:t>
      </w:r>
    </w:p>
  </w:footnote>
  <w:footnote w:id="240">
    <w:p w14:paraId="35A8B06A" w14:textId="263AD323"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Ruggie, ‘A UN Business and Human Rights Treaty?’ (n 195); P Muchlinski, ‘Beyond the Guiding Principles? Examining New Calls for a Legally Binding Instrument on Business and Human Rights’ </w:t>
      </w:r>
      <w:r>
        <w:rPr>
          <w:sz w:val="20"/>
          <w:szCs w:val="20"/>
          <w:lang w:val="en-GB"/>
        </w:rPr>
        <w:t>(</w:t>
      </w:r>
      <w:r w:rsidRPr="00CD1284">
        <w:rPr>
          <w:sz w:val="20"/>
          <w:szCs w:val="20"/>
          <w:lang w:val="en-GB"/>
        </w:rPr>
        <w:t>Institute for Business and Human Rights</w:t>
      </w:r>
      <w:r>
        <w:rPr>
          <w:sz w:val="20"/>
          <w:szCs w:val="20"/>
          <w:lang w:val="en-GB"/>
        </w:rPr>
        <w:t xml:space="preserve">, </w:t>
      </w:r>
      <w:r w:rsidRPr="00CD1284">
        <w:rPr>
          <w:sz w:val="20"/>
          <w:szCs w:val="20"/>
          <w:lang w:val="en-GB"/>
        </w:rPr>
        <w:t>15 October 2013) &lt;</w:t>
      </w:r>
      <w:hyperlink r:id="rId21" w:history="1">
        <w:r w:rsidRPr="00CD1284">
          <w:rPr>
            <w:rStyle w:val="Hyperlink"/>
            <w:sz w:val="20"/>
            <w:szCs w:val="20"/>
            <w:lang w:val="en-GB"/>
          </w:rPr>
          <w:t>http://www.ihrb.org/commentary/guest/beyond-the-guiding-principles.html</w:t>
        </w:r>
      </w:hyperlink>
      <w:r w:rsidRPr="00CD1284">
        <w:rPr>
          <w:sz w:val="20"/>
          <w:szCs w:val="20"/>
          <w:lang w:val="en-GB"/>
        </w:rPr>
        <w:t>&gt; accessed 21 April 2016</w:t>
      </w:r>
      <w:r>
        <w:rPr>
          <w:sz w:val="20"/>
          <w:szCs w:val="20"/>
          <w:lang w:val="en-GB"/>
        </w:rPr>
        <w:t>.</w:t>
      </w:r>
    </w:p>
  </w:footnote>
  <w:footnote w:id="241">
    <w:p w14:paraId="591E63C6" w14:textId="56E5F4B8"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A Kassam, ‘Spain’s campaigning judge seeks change in law to prosecute global corporations’, </w:t>
      </w:r>
      <w:r>
        <w:rPr>
          <w:szCs w:val="20"/>
          <w:lang w:val="en-GB"/>
        </w:rPr>
        <w:t>(</w:t>
      </w:r>
      <w:r w:rsidRPr="00000EAB">
        <w:rPr>
          <w:szCs w:val="20"/>
          <w:lang w:val="en-GB"/>
        </w:rPr>
        <w:t xml:space="preserve">The Guardian, </w:t>
      </w:r>
      <w:r w:rsidRPr="00CD1284">
        <w:rPr>
          <w:szCs w:val="20"/>
          <w:lang w:val="en-GB"/>
        </w:rPr>
        <w:t>20 August 2015</w:t>
      </w:r>
      <w:r>
        <w:rPr>
          <w:szCs w:val="20"/>
          <w:lang w:val="en-GB"/>
        </w:rPr>
        <w:t>)</w:t>
      </w:r>
      <w:r w:rsidRPr="00CD1284">
        <w:rPr>
          <w:szCs w:val="20"/>
          <w:lang w:val="en-GB"/>
        </w:rPr>
        <w:t xml:space="preserve"> &lt;</w:t>
      </w:r>
      <w:hyperlink r:id="rId22" w:history="1">
        <w:r w:rsidRPr="00CD1284">
          <w:rPr>
            <w:rStyle w:val="Hyperlink"/>
            <w:szCs w:val="20"/>
            <w:lang w:val="en-GB"/>
          </w:rPr>
          <w:t>http://www.theguardian.com/world/2015/aug/20/spain-judge-baltasar-garzon-prosecute-global-corporations</w:t>
        </w:r>
      </w:hyperlink>
      <w:r w:rsidRPr="00CD1284">
        <w:rPr>
          <w:szCs w:val="20"/>
          <w:lang w:val="en-GB"/>
        </w:rPr>
        <w:t>&gt; accessed 21 April 2016.</w:t>
      </w:r>
    </w:p>
  </w:footnote>
  <w:footnote w:id="242">
    <w:p w14:paraId="35ED1BCD" w14:textId="0ECD2E67"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Clapham, </w:t>
      </w:r>
      <w:r w:rsidRPr="00CD1284">
        <w:rPr>
          <w:i/>
          <w:sz w:val="20"/>
          <w:szCs w:val="20"/>
          <w:lang w:val="en-GB"/>
        </w:rPr>
        <w:t xml:space="preserve">Human Rights Obligations </w:t>
      </w:r>
      <w:r w:rsidRPr="00CD1284">
        <w:rPr>
          <w:sz w:val="20"/>
          <w:szCs w:val="20"/>
          <w:lang w:val="en-GB"/>
        </w:rPr>
        <w:t xml:space="preserve">(n 2) 245-7; C Chiomenti, ‘Corporations and the International Criminal Court’ in De Schutter, </w:t>
      </w:r>
      <w:r w:rsidRPr="00CD1284">
        <w:rPr>
          <w:i/>
          <w:sz w:val="20"/>
          <w:szCs w:val="20"/>
          <w:lang w:val="en-GB"/>
        </w:rPr>
        <w:t>Transnational Corporations</w:t>
      </w:r>
      <w:r w:rsidRPr="00CD1284">
        <w:rPr>
          <w:sz w:val="20"/>
          <w:szCs w:val="20"/>
          <w:lang w:val="en-GB"/>
        </w:rPr>
        <w:t xml:space="preserve"> (n 2) 306-7.</w:t>
      </w:r>
    </w:p>
  </w:footnote>
  <w:footnote w:id="243">
    <w:p w14:paraId="5A92E9C8" w14:textId="77777777"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Draft Statute for the International Criminal Court and Draft Final Act, UN Doc A/CONF.183/2/Add.1, arts 23, 49 para 5.</w:t>
      </w:r>
    </w:p>
  </w:footnote>
  <w:footnote w:id="244">
    <w:p w14:paraId="768A7B95" w14:textId="3B815620"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Clapham, </w:t>
      </w:r>
      <w:r w:rsidRPr="00CD1284">
        <w:rPr>
          <w:i/>
          <w:sz w:val="20"/>
          <w:szCs w:val="20"/>
          <w:lang w:val="en-GB"/>
        </w:rPr>
        <w:t>Human Rights Obligations</w:t>
      </w:r>
      <w:r w:rsidRPr="00CD1284">
        <w:rPr>
          <w:sz w:val="20"/>
          <w:szCs w:val="20"/>
          <w:lang w:val="en-GB"/>
        </w:rPr>
        <w:t xml:space="preserve"> (n 2) 246.</w:t>
      </w:r>
    </w:p>
  </w:footnote>
  <w:footnote w:id="245">
    <w:p w14:paraId="39B3F924" w14:textId="73213DB1"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O De Schutter, ‘The Accountability of Multinationals for Human Rights Violations in European Law’ in Alston, </w:t>
      </w:r>
      <w:r w:rsidRPr="00CD1284">
        <w:rPr>
          <w:i/>
          <w:sz w:val="20"/>
          <w:szCs w:val="20"/>
          <w:lang w:val="en-GB"/>
        </w:rPr>
        <w:t>Non-State Actors</w:t>
      </w:r>
      <w:r>
        <w:rPr>
          <w:sz w:val="20"/>
          <w:szCs w:val="20"/>
          <w:lang w:val="en-GB"/>
        </w:rPr>
        <w:t xml:space="preserve"> (n 18</w:t>
      </w:r>
      <w:r w:rsidRPr="00CD1284">
        <w:rPr>
          <w:sz w:val="20"/>
          <w:szCs w:val="20"/>
          <w:lang w:val="en-GB"/>
        </w:rPr>
        <w:t>) 232.</w:t>
      </w:r>
    </w:p>
  </w:footnote>
  <w:footnote w:id="246">
    <w:p w14:paraId="1AA68A5B" w14:textId="38FC5D96"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A De Jong, ‘Transnational Corporations and International Law: Bringing TNCs out of the Accountability Vacuum’ (2011) 7 Critical Per</w:t>
      </w:r>
      <w:r>
        <w:rPr>
          <w:sz w:val="20"/>
          <w:szCs w:val="20"/>
          <w:lang w:val="en-GB"/>
        </w:rPr>
        <w:t xml:space="preserve">spectives on Int’l Business </w:t>
      </w:r>
      <w:r w:rsidRPr="00CD1284">
        <w:rPr>
          <w:sz w:val="20"/>
          <w:szCs w:val="20"/>
          <w:lang w:val="en-GB"/>
        </w:rPr>
        <w:t>78.</w:t>
      </w:r>
    </w:p>
  </w:footnote>
  <w:footnote w:id="247">
    <w:p w14:paraId="02168294" w14:textId="0BCA4C9E"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cf </w:t>
      </w:r>
      <w:r>
        <w:rPr>
          <w:sz w:val="20"/>
          <w:szCs w:val="20"/>
          <w:lang w:val="en-GB"/>
        </w:rPr>
        <w:t>A</w:t>
      </w:r>
      <w:r w:rsidRPr="00CD1284">
        <w:rPr>
          <w:sz w:val="20"/>
          <w:szCs w:val="20"/>
          <w:lang w:val="en-GB"/>
        </w:rPr>
        <w:t xml:space="preserve"> Voiculescu, ‘Human Rights and the New Corporate Accountability: Learning from Recent Developments in Corporate Criminal Responsibility’ (</w:t>
      </w:r>
      <w:r>
        <w:rPr>
          <w:sz w:val="20"/>
          <w:szCs w:val="20"/>
          <w:lang w:val="en-GB"/>
        </w:rPr>
        <w:t xml:space="preserve">2009) 87 J Business Ethics </w:t>
      </w:r>
      <w:r w:rsidRPr="00CD1284">
        <w:rPr>
          <w:sz w:val="20"/>
          <w:szCs w:val="20"/>
          <w:lang w:val="en-GB"/>
        </w:rPr>
        <w:t xml:space="preserve">426-7; Karavias, </w:t>
      </w:r>
      <w:r w:rsidRPr="00CD1284">
        <w:rPr>
          <w:i/>
          <w:sz w:val="20"/>
          <w:szCs w:val="20"/>
          <w:lang w:val="en-GB"/>
        </w:rPr>
        <w:t xml:space="preserve">Corporate Obligations </w:t>
      </w:r>
      <w:r>
        <w:rPr>
          <w:sz w:val="20"/>
          <w:szCs w:val="20"/>
          <w:lang w:val="en-GB"/>
        </w:rPr>
        <w:t>(n 2) 103; Chiomenti (n 241</w:t>
      </w:r>
      <w:r w:rsidRPr="00CD1284">
        <w:rPr>
          <w:sz w:val="20"/>
          <w:szCs w:val="20"/>
          <w:lang w:val="en-GB"/>
        </w:rPr>
        <w:t>) 294; J Kyriakakis, ‘Corporations and the International Criminal Court: The Complementarity Objection Stripped Bare’ (2008) 19 Crim L Forum 115.</w:t>
      </w:r>
    </w:p>
  </w:footnote>
  <w:footnote w:id="248">
    <w:p w14:paraId="349C201D" w14:textId="5365496E"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Karavias, </w:t>
      </w:r>
      <w:r w:rsidRPr="00CD1284">
        <w:rPr>
          <w:i/>
          <w:sz w:val="20"/>
          <w:szCs w:val="20"/>
          <w:lang w:val="en-GB"/>
        </w:rPr>
        <w:t xml:space="preserve">Corporate Obligations </w:t>
      </w:r>
      <w:r w:rsidRPr="00CD1284">
        <w:rPr>
          <w:sz w:val="20"/>
          <w:szCs w:val="20"/>
          <w:lang w:val="en-GB"/>
        </w:rPr>
        <w:t>(n 2) 114.</w:t>
      </w:r>
    </w:p>
  </w:footnote>
  <w:footnote w:id="249">
    <w:p w14:paraId="6488C2CA" w14:textId="4932E500"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Chiomenti (n 241</w:t>
      </w:r>
      <w:r w:rsidRPr="00CD1284">
        <w:rPr>
          <w:sz w:val="20"/>
          <w:szCs w:val="20"/>
          <w:lang w:val="en-GB"/>
        </w:rPr>
        <w:t>) 292.</w:t>
      </w:r>
    </w:p>
  </w:footnote>
  <w:footnote w:id="250">
    <w:p w14:paraId="201A1E8D" w14:textId="714EFD53"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Former ICC Chief Prosecutor </w:t>
      </w:r>
      <w:r w:rsidRPr="00CD1284">
        <w:rPr>
          <w:sz w:val="20"/>
          <w:szCs w:val="20"/>
          <w:lang w:val="en-GB"/>
        </w:rPr>
        <w:t>Ocampo, reported in BBC News, ‘Firms Face Blood Diamond Probe’ (23 September 2003) &lt;</w:t>
      </w:r>
      <w:hyperlink r:id="rId23" w:history="1">
        <w:r w:rsidRPr="00CD1284">
          <w:rPr>
            <w:rStyle w:val="Hyperlink"/>
            <w:sz w:val="20"/>
            <w:szCs w:val="20"/>
            <w:lang w:val="en-GB"/>
          </w:rPr>
          <w:t>http://news.bbc.co.uk/1/hi/business/3133108.stm</w:t>
        </w:r>
      </w:hyperlink>
      <w:r w:rsidRPr="00CD1284">
        <w:rPr>
          <w:sz w:val="20"/>
          <w:szCs w:val="20"/>
          <w:lang w:val="en-GB"/>
        </w:rPr>
        <w:t>&gt; accessed 21 April 2016</w:t>
      </w:r>
      <w:r>
        <w:rPr>
          <w:sz w:val="20"/>
          <w:szCs w:val="20"/>
          <w:lang w:val="en-GB"/>
        </w:rPr>
        <w:t>; J</w:t>
      </w:r>
      <w:r w:rsidRPr="00CD1284">
        <w:rPr>
          <w:sz w:val="20"/>
          <w:szCs w:val="20"/>
          <w:lang w:val="en-GB"/>
        </w:rPr>
        <w:t xml:space="preserve"> Podgers, ‘Corporations in the Line Of Fire: International Prosecutor Says Corporate Officials Could Face War Crimes Charges’ (2004) 90 American Bar Association J 13.</w:t>
      </w:r>
    </w:p>
  </w:footnote>
  <w:footnote w:id="251">
    <w:p w14:paraId="2512BAA0" w14:textId="7A621F04"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Rome Statute of the International Criminal Court (17 July 1998) UN Doc </w:t>
      </w:r>
      <w:r w:rsidRPr="00CD1284">
        <w:rPr>
          <w:sz w:val="20"/>
          <w:szCs w:val="20"/>
          <w:shd w:val="clear" w:color="auto" w:fill="FFFFFF"/>
          <w:lang w:val="en-GB"/>
        </w:rPr>
        <w:t>A/CONF.183/9</w:t>
      </w:r>
      <w:r w:rsidRPr="00CD1284">
        <w:rPr>
          <w:sz w:val="20"/>
          <w:szCs w:val="20"/>
          <w:lang w:val="en-GB"/>
        </w:rPr>
        <w:t>, art 28(b) (hereafter, ICC Statute)</w:t>
      </w:r>
    </w:p>
  </w:footnote>
  <w:footnote w:id="252">
    <w:p w14:paraId="5A8E56D4" w14:textId="7E6E58FA"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McBeth (n 67</w:t>
      </w:r>
      <w:r w:rsidRPr="00CD1284">
        <w:rPr>
          <w:sz w:val="20"/>
          <w:szCs w:val="20"/>
          <w:lang w:val="en-GB"/>
        </w:rPr>
        <w:t>) 308; ibid. art 28(b).</w:t>
      </w:r>
    </w:p>
  </w:footnote>
  <w:footnote w:id="253">
    <w:p w14:paraId="73A368E4" w14:textId="093A1D8A"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w:t>
      </w:r>
      <w:r w:rsidRPr="00CD1284">
        <w:rPr>
          <w:i/>
          <w:sz w:val="20"/>
          <w:szCs w:val="20"/>
          <w:lang w:val="en-GB"/>
        </w:rPr>
        <w:t>Prosecutor v Musema</w:t>
      </w:r>
      <w:r w:rsidRPr="00CD1284">
        <w:rPr>
          <w:sz w:val="20"/>
          <w:szCs w:val="20"/>
          <w:lang w:val="en-GB"/>
        </w:rPr>
        <w:t xml:space="preserve"> (Trial Chamber) ICTR-96-13-A (27 January 2000) at [247].</w:t>
      </w:r>
    </w:p>
  </w:footnote>
  <w:footnote w:id="254">
    <w:p w14:paraId="4DB28749" w14:textId="0C28830D"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w:t>
      </w:r>
      <w:r>
        <w:rPr>
          <w:sz w:val="20"/>
          <w:szCs w:val="20"/>
          <w:lang w:val="en-GB"/>
        </w:rPr>
        <w:t>P</w:t>
      </w:r>
      <w:r w:rsidRPr="00CD1284">
        <w:rPr>
          <w:sz w:val="20"/>
          <w:szCs w:val="20"/>
          <w:lang w:val="en-GB"/>
        </w:rPr>
        <w:t xml:space="preserve"> Sharp, ‘Prospects for Environmental Liability in the International Criminal Court’ (1999) 18 Victoria L J 217.</w:t>
      </w:r>
    </w:p>
  </w:footnote>
  <w:footnote w:id="255">
    <w:p w14:paraId="54FCD3DC" w14:textId="5626AC77"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ICC Statute (n 250</w:t>
      </w:r>
      <w:r w:rsidRPr="00CD1284">
        <w:rPr>
          <w:sz w:val="20"/>
          <w:szCs w:val="20"/>
          <w:lang w:val="en-GB"/>
        </w:rPr>
        <w:t>) art 5.</w:t>
      </w:r>
    </w:p>
  </w:footnote>
  <w:footnote w:id="256">
    <w:p w14:paraId="02587EAF" w14:textId="0A587A56"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Chiomenti (n 241</w:t>
      </w:r>
      <w:r w:rsidRPr="00CD1284">
        <w:rPr>
          <w:sz w:val="20"/>
          <w:szCs w:val="20"/>
          <w:lang w:val="en-GB"/>
        </w:rPr>
        <w:t>) 299.</w:t>
      </w:r>
    </w:p>
  </w:footnote>
  <w:footnote w:id="257">
    <w:p w14:paraId="2384A9A7" w14:textId="4C823423"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w:t>
      </w:r>
      <w:r>
        <w:rPr>
          <w:sz w:val="20"/>
          <w:szCs w:val="20"/>
        </w:rPr>
        <w:t>M Nowak &amp; J</w:t>
      </w:r>
      <w:r w:rsidRPr="00D3325D">
        <w:rPr>
          <w:sz w:val="20"/>
          <w:szCs w:val="20"/>
        </w:rPr>
        <w:t xml:space="preserve"> Kozma, ‘Research Project on a World Human Rights Court’ (University of Vienna, June 2009) &lt;</w:t>
      </w:r>
      <w:hyperlink r:id="rId24" w:history="1">
        <w:r w:rsidRPr="00D3325D">
          <w:rPr>
            <w:rStyle w:val="Hyperlink"/>
            <w:sz w:val="20"/>
            <w:szCs w:val="20"/>
          </w:rPr>
          <w:t>http://bim.lbg.ac.at/files/sites/bim/World%20Court%20of%20Human%20Rights_BIM_0.pdf</w:t>
        </w:r>
      </w:hyperlink>
      <w:r w:rsidRPr="00D3325D">
        <w:rPr>
          <w:sz w:val="20"/>
          <w:szCs w:val="20"/>
        </w:rPr>
        <w:t xml:space="preserve">&gt; </w:t>
      </w:r>
      <w:r w:rsidRPr="00CD1284">
        <w:rPr>
          <w:sz w:val="20"/>
          <w:szCs w:val="20"/>
          <w:lang w:val="en-GB"/>
        </w:rPr>
        <w:t xml:space="preserve"> accessed 21 April 2016</w:t>
      </w:r>
      <w:r>
        <w:rPr>
          <w:sz w:val="20"/>
          <w:szCs w:val="20"/>
          <w:lang w:val="en-GB"/>
        </w:rPr>
        <w:t>; M</w:t>
      </w:r>
      <w:r w:rsidRPr="00CD1284">
        <w:rPr>
          <w:sz w:val="20"/>
          <w:szCs w:val="20"/>
          <w:lang w:val="en-GB"/>
        </w:rPr>
        <w:t xml:space="preserve"> Nowak, ‘The Need for a World Court of Human Rights’ (20</w:t>
      </w:r>
      <w:r>
        <w:rPr>
          <w:sz w:val="20"/>
          <w:szCs w:val="20"/>
          <w:lang w:val="en-GB"/>
        </w:rPr>
        <w:t>07) 7 Hum Rts L Rev 251; M</w:t>
      </w:r>
      <w:r w:rsidRPr="00CD1284">
        <w:rPr>
          <w:sz w:val="20"/>
          <w:szCs w:val="20"/>
          <w:lang w:val="en-GB"/>
        </w:rPr>
        <w:t xml:space="preserve"> Nowak, ‘Eight Reasons Why We Need a World Court of Human Rights</w:t>
      </w:r>
      <w:r>
        <w:rPr>
          <w:sz w:val="20"/>
          <w:szCs w:val="20"/>
          <w:lang w:val="en-GB"/>
        </w:rPr>
        <w:t>’ in G Alfredsson, J</w:t>
      </w:r>
      <w:r w:rsidRPr="00CD1284">
        <w:rPr>
          <w:sz w:val="20"/>
          <w:szCs w:val="20"/>
          <w:lang w:val="en-GB"/>
        </w:rPr>
        <w:t xml:space="preserve"> Grimheden &amp; </w:t>
      </w:r>
      <w:r>
        <w:rPr>
          <w:sz w:val="20"/>
          <w:szCs w:val="20"/>
          <w:lang w:val="en-GB"/>
        </w:rPr>
        <w:t>O</w:t>
      </w:r>
      <w:r w:rsidRPr="00CD1284">
        <w:rPr>
          <w:sz w:val="20"/>
          <w:szCs w:val="20"/>
          <w:lang w:val="en-GB"/>
        </w:rPr>
        <w:t xml:space="preserve">thers (eds), </w:t>
      </w:r>
      <w:r w:rsidRPr="00CD1284">
        <w:rPr>
          <w:i/>
          <w:sz w:val="20"/>
          <w:szCs w:val="20"/>
          <w:lang w:val="en-GB"/>
        </w:rPr>
        <w:t>International Human Rights Monitoring Mechanisms, Essays in Honour of Jakob Th. Möller</w:t>
      </w:r>
      <w:r w:rsidRPr="00CD1284">
        <w:rPr>
          <w:sz w:val="20"/>
          <w:szCs w:val="20"/>
          <w:lang w:val="en-GB"/>
        </w:rPr>
        <w:t xml:space="preserve"> (2nd Revised edn, Mar</w:t>
      </w:r>
      <w:r>
        <w:rPr>
          <w:sz w:val="20"/>
          <w:szCs w:val="20"/>
          <w:lang w:val="en-GB"/>
        </w:rPr>
        <w:t>tinus Nijhoff, 2009) 697; M</w:t>
      </w:r>
      <w:r w:rsidRPr="00CD1284">
        <w:rPr>
          <w:sz w:val="20"/>
          <w:szCs w:val="20"/>
          <w:lang w:val="en-GB"/>
        </w:rPr>
        <w:t xml:space="preserve"> Scheinin, ‘International Organizations and Transnational Corporations at a World Court of Human Rights’ (2012) 3 Global Policy 488.</w:t>
      </w:r>
    </w:p>
  </w:footnote>
  <w:footnote w:id="258">
    <w:p w14:paraId="321CE10B" w14:textId="15927989"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C Cronstedt &amp; D</w:t>
      </w:r>
      <w:r w:rsidRPr="00CD1284">
        <w:rPr>
          <w:sz w:val="20"/>
          <w:szCs w:val="20"/>
          <w:lang w:val="en-GB"/>
        </w:rPr>
        <w:t xml:space="preserve"> Ronnegard, ‘International </w:t>
      </w:r>
      <w:r>
        <w:rPr>
          <w:sz w:val="20"/>
          <w:szCs w:val="20"/>
          <w:lang w:val="en-GB"/>
        </w:rPr>
        <w:t>T</w:t>
      </w:r>
      <w:r w:rsidRPr="00CD1284">
        <w:rPr>
          <w:sz w:val="20"/>
          <w:szCs w:val="20"/>
          <w:lang w:val="en-GB"/>
        </w:rPr>
        <w:t xml:space="preserve">ribunal on </w:t>
      </w:r>
      <w:r>
        <w:rPr>
          <w:sz w:val="20"/>
          <w:szCs w:val="20"/>
          <w:lang w:val="en-GB"/>
        </w:rPr>
        <w:t>B</w:t>
      </w:r>
      <w:r w:rsidRPr="00CD1284">
        <w:rPr>
          <w:sz w:val="20"/>
          <w:szCs w:val="20"/>
          <w:lang w:val="en-GB"/>
        </w:rPr>
        <w:t xml:space="preserve">usiness &amp; </w:t>
      </w:r>
      <w:r>
        <w:rPr>
          <w:sz w:val="20"/>
          <w:szCs w:val="20"/>
          <w:lang w:val="en-GB"/>
        </w:rPr>
        <w:t>H</w:t>
      </w:r>
      <w:r w:rsidRPr="00CD1284">
        <w:rPr>
          <w:sz w:val="20"/>
          <w:szCs w:val="20"/>
          <w:lang w:val="en-GB"/>
        </w:rPr>
        <w:t xml:space="preserve">uman </w:t>
      </w:r>
      <w:r>
        <w:rPr>
          <w:sz w:val="20"/>
          <w:szCs w:val="20"/>
          <w:lang w:val="en-GB"/>
        </w:rPr>
        <w:t>R</w:t>
      </w:r>
      <w:r w:rsidRPr="00CD1284">
        <w:rPr>
          <w:sz w:val="20"/>
          <w:szCs w:val="20"/>
          <w:lang w:val="en-GB"/>
        </w:rPr>
        <w:t xml:space="preserve">ights – </w:t>
      </w:r>
      <w:r>
        <w:rPr>
          <w:sz w:val="20"/>
          <w:szCs w:val="20"/>
          <w:lang w:val="en-GB"/>
        </w:rPr>
        <w:t>R</w:t>
      </w:r>
      <w:r w:rsidRPr="00CD1284">
        <w:rPr>
          <w:sz w:val="20"/>
          <w:szCs w:val="20"/>
          <w:lang w:val="en-GB"/>
        </w:rPr>
        <w:t xml:space="preserve">eshaping the </w:t>
      </w:r>
      <w:r>
        <w:rPr>
          <w:sz w:val="20"/>
          <w:szCs w:val="20"/>
          <w:lang w:val="en-GB"/>
        </w:rPr>
        <w:t>J</w:t>
      </w:r>
      <w:r w:rsidRPr="00CD1284">
        <w:rPr>
          <w:sz w:val="20"/>
          <w:szCs w:val="20"/>
          <w:lang w:val="en-GB"/>
        </w:rPr>
        <w:t>udiciary’ (September 2013) &lt;</w:t>
      </w:r>
      <w:hyperlink r:id="rId25" w:history="1">
        <w:r w:rsidRPr="00CD1284">
          <w:rPr>
            <w:rStyle w:val="Hyperlink"/>
            <w:sz w:val="20"/>
            <w:szCs w:val="20"/>
            <w:lang w:val="en-GB"/>
          </w:rPr>
          <w:t>http://www.l4bb.org/news/tribunal.pdf</w:t>
        </w:r>
      </w:hyperlink>
      <w:r w:rsidRPr="00CD1284">
        <w:rPr>
          <w:sz w:val="20"/>
          <w:szCs w:val="20"/>
          <w:lang w:val="en-GB"/>
        </w:rPr>
        <w:t>&gt; accessed 21 April 2016</w:t>
      </w:r>
      <w:r>
        <w:rPr>
          <w:sz w:val="20"/>
          <w:szCs w:val="20"/>
          <w:lang w:val="en-GB"/>
        </w:rPr>
        <w:t>.</w:t>
      </w:r>
    </w:p>
  </w:footnote>
  <w:footnote w:id="259">
    <w:p w14:paraId="18F23EDC" w14:textId="77777777"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ibid.</w:t>
      </w:r>
    </w:p>
  </w:footnote>
  <w:footnote w:id="260">
    <w:p w14:paraId="336D28A9" w14:textId="3063C63B"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‘Any inter-governmental and non-governmental organization, including any business corporation, which has made a specific declaration in accordance with article 37, shall fully cooperate with the Court in any pr</w:t>
      </w:r>
      <w:r>
        <w:rPr>
          <w:sz w:val="20"/>
          <w:szCs w:val="20"/>
          <w:lang w:val="en-GB"/>
        </w:rPr>
        <w:t>oceedings.’ Nowak &amp; Kozma (n 256</w:t>
      </w:r>
      <w:r w:rsidRPr="00CD1284">
        <w:rPr>
          <w:sz w:val="20"/>
          <w:szCs w:val="20"/>
          <w:lang w:val="en-GB"/>
        </w:rPr>
        <w:t>) art 33.</w:t>
      </w:r>
    </w:p>
  </w:footnote>
  <w:footnote w:id="261">
    <w:p w14:paraId="56BD5D45" w14:textId="0ED459AA" w:rsidR="00FD777C" w:rsidRPr="00CD1284" w:rsidRDefault="00FD777C" w:rsidP="00CD1284">
      <w:pPr>
        <w:pStyle w:val="FootnoteText"/>
        <w:rPr>
          <w:szCs w:val="20"/>
          <w:lang w:val="en-GB"/>
        </w:rPr>
      </w:pPr>
      <w:r w:rsidRPr="00CD1284">
        <w:rPr>
          <w:rStyle w:val="FootnoteReference"/>
          <w:szCs w:val="20"/>
          <w:lang w:val="en-GB"/>
        </w:rPr>
        <w:footnoteRef/>
      </w:r>
      <w:r w:rsidRPr="00CD1284">
        <w:rPr>
          <w:szCs w:val="20"/>
          <w:lang w:val="en-GB"/>
        </w:rPr>
        <w:t xml:space="preserve"> Plakoefalos (n 175) 398.</w:t>
      </w:r>
    </w:p>
  </w:footnote>
  <w:footnote w:id="262">
    <w:p w14:paraId="0282EC42" w14:textId="4ECBC6B0" w:rsidR="00FD777C" w:rsidRPr="00CD1284" w:rsidRDefault="00FD777C" w:rsidP="00CD1284">
      <w:pPr>
        <w:rPr>
          <w:sz w:val="20"/>
          <w:szCs w:val="20"/>
          <w:lang w:val="en-GB"/>
        </w:rPr>
      </w:pPr>
      <w:r w:rsidRPr="00CD1284">
        <w:rPr>
          <w:rStyle w:val="FootnoteReference"/>
          <w:szCs w:val="20"/>
          <w:lang w:val="en-GB"/>
        </w:rPr>
        <w:footnoteRef/>
      </w:r>
      <w:r>
        <w:rPr>
          <w:sz w:val="20"/>
          <w:szCs w:val="20"/>
          <w:lang w:val="en-GB"/>
        </w:rPr>
        <w:t xml:space="preserve"> A</w:t>
      </w:r>
      <w:r w:rsidRPr="00CD1284">
        <w:rPr>
          <w:sz w:val="20"/>
          <w:szCs w:val="20"/>
          <w:lang w:val="en-GB"/>
        </w:rPr>
        <w:t xml:space="preserve"> Boyle &amp; J Harrison, ‘Judicial Settlement of International Environmental Disputes: Current Problems’ (2013)</w:t>
      </w:r>
      <w:r>
        <w:rPr>
          <w:sz w:val="20"/>
          <w:szCs w:val="20"/>
          <w:lang w:val="en-GB"/>
        </w:rPr>
        <w:t xml:space="preserve"> 4 J Int’l Disp Settlement</w:t>
      </w:r>
      <w:r w:rsidRPr="00CD1284">
        <w:rPr>
          <w:sz w:val="20"/>
          <w:szCs w:val="20"/>
          <w:lang w:val="en-GB"/>
        </w:rPr>
        <w:t xml:space="preserve"> 274-5.</w:t>
      </w:r>
    </w:p>
  </w:footnote>
  <w:footnote w:id="263">
    <w:p w14:paraId="75E9F46B" w14:textId="12C995A7" w:rsidR="00FD777C" w:rsidRPr="00CD1284" w:rsidRDefault="00FD777C" w:rsidP="00CD1284">
      <w:pPr>
        <w:pStyle w:val="FootnoteText"/>
        <w:rPr>
          <w:szCs w:val="20"/>
          <w:lang w:val="en-GB"/>
        </w:rPr>
      </w:pPr>
      <w:r w:rsidRPr="00CD1284">
        <w:rPr>
          <w:rStyle w:val="FootnoteReference"/>
          <w:szCs w:val="20"/>
        </w:rPr>
        <w:footnoteRef/>
      </w:r>
      <w:r w:rsidRPr="00CD1284">
        <w:rPr>
          <w:szCs w:val="20"/>
        </w:rPr>
        <w:t xml:space="preserve"> </w:t>
      </w:r>
      <w:r>
        <w:rPr>
          <w:szCs w:val="20"/>
          <w:lang w:val="en-GB"/>
        </w:rPr>
        <w:t xml:space="preserve">ASRIWA (n 70) </w:t>
      </w:r>
      <w:r w:rsidRPr="00CD1284">
        <w:rPr>
          <w:szCs w:val="20"/>
          <w:lang w:val="en-GB"/>
        </w:rPr>
        <w:t>art 31.</w:t>
      </w:r>
    </w:p>
  </w:footnote>
  <w:footnote w:id="264">
    <w:p w14:paraId="15A36631" w14:textId="2164E921" w:rsidR="00FD777C" w:rsidRPr="00CD1284" w:rsidRDefault="00FD777C" w:rsidP="00CD1284">
      <w:pPr>
        <w:pStyle w:val="FootnoteText"/>
        <w:rPr>
          <w:szCs w:val="20"/>
        </w:rPr>
      </w:pPr>
      <w:r w:rsidRPr="00CD1284">
        <w:rPr>
          <w:rStyle w:val="FootnoteReference"/>
          <w:szCs w:val="20"/>
        </w:rPr>
        <w:footnoteRef/>
      </w:r>
      <w:r w:rsidRPr="00CD1284">
        <w:rPr>
          <w:szCs w:val="20"/>
        </w:rPr>
        <w:t xml:space="preserve"> P d’Argent, ‘Reparation, Cessation, Assurances and Guarantees of Non-Repetition’ in </w:t>
      </w:r>
      <w:r>
        <w:rPr>
          <w:szCs w:val="20"/>
          <w:lang w:val="en-GB"/>
        </w:rPr>
        <w:t>Nollkaemper &amp; Plakokefalos (n 63</w:t>
      </w:r>
      <w:r w:rsidRPr="00CD1284">
        <w:rPr>
          <w:szCs w:val="20"/>
          <w:lang w:val="en-GB"/>
        </w:rPr>
        <w:t>) 229.</w:t>
      </w:r>
    </w:p>
  </w:footnote>
  <w:footnote w:id="265">
    <w:p w14:paraId="28CFAA1D" w14:textId="66187C09" w:rsidR="00FD777C" w:rsidRPr="00CD1284" w:rsidRDefault="00FD777C" w:rsidP="00CD1284">
      <w:pPr>
        <w:pStyle w:val="FootnoteText"/>
        <w:rPr>
          <w:szCs w:val="20"/>
        </w:rPr>
      </w:pPr>
      <w:r w:rsidRPr="00CD1284">
        <w:rPr>
          <w:rStyle w:val="FootnoteReference"/>
          <w:szCs w:val="20"/>
        </w:rPr>
        <w:footnoteRef/>
      </w:r>
      <w:r w:rsidRPr="00CD1284">
        <w:rPr>
          <w:szCs w:val="20"/>
        </w:rPr>
        <w:t xml:space="preserve"> ibid. 224.</w:t>
      </w:r>
    </w:p>
  </w:footnote>
  <w:footnote w:id="266">
    <w:p w14:paraId="2602DEF9" w14:textId="073A9642" w:rsidR="00FD777C" w:rsidRPr="00CD1284" w:rsidRDefault="00FD777C" w:rsidP="00CD1284">
      <w:pPr>
        <w:pStyle w:val="FootnoteText"/>
        <w:rPr>
          <w:szCs w:val="20"/>
        </w:rPr>
      </w:pPr>
      <w:r w:rsidRPr="00CD1284">
        <w:rPr>
          <w:rStyle w:val="FootnoteReference"/>
          <w:szCs w:val="20"/>
        </w:rPr>
        <w:footnoteRef/>
      </w:r>
      <w:r w:rsidRPr="00CD1284">
        <w:rPr>
          <w:szCs w:val="20"/>
        </w:rPr>
        <w:t xml:space="preserve"> ibid. 227.</w:t>
      </w:r>
    </w:p>
  </w:footnote>
  <w:footnote w:id="267">
    <w:p w14:paraId="5FC39862" w14:textId="53375E57" w:rsidR="00FD777C" w:rsidRPr="00CD1284" w:rsidRDefault="00FD777C" w:rsidP="00CD1284">
      <w:pPr>
        <w:pStyle w:val="FootnoteText"/>
        <w:rPr>
          <w:szCs w:val="20"/>
        </w:rPr>
      </w:pPr>
      <w:r w:rsidRPr="00CD1284">
        <w:rPr>
          <w:rStyle w:val="FootnoteReference"/>
          <w:szCs w:val="20"/>
        </w:rPr>
        <w:footnoteRef/>
      </w:r>
      <w:r>
        <w:rPr>
          <w:szCs w:val="20"/>
        </w:rPr>
        <w:t xml:space="preserve"> Simons &amp; Macklin (n 116</w:t>
      </w:r>
      <w:r w:rsidRPr="00CD1284">
        <w:rPr>
          <w:szCs w:val="20"/>
        </w:rPr>
        <w:t>) 290.</w:t>
      </w:r>
    </w:p>
  </w:footnote>
  <w:footnote w:id="268">
    <w:p w14:paraId="17250740" w14:textId="66516AA6"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H Kelsen, </w:t>
      </w:r>
      <w:r w:rsidRPr="00CD1284">
        <w:rPr>
          <w:i/>
          <w:sz w:val="20"/>
          <w:szCs w:val="20"/>
          <w:lang w:val="en-GB"/>
        </w:rPr>
        <w:t>Peace Through Law</w:t>
      </w:r>
      <w:r w:rsidRPr="00CD1284">
        <w:rPr>
          <w:sz w:val="20"/>
          <w:szCs w:val="20"/>
          <w:lang w:val="en-GB"/>
        </w:rPr>
        <w:t xml:space="preserve"> (University of North Carolina Press, 1944) 66.</w:t>
      </w:r>
    </w:p>
  </w:footnote>
  <w:footnote w:id="269">
    <w:p w14:paraId="0293E05F" w14:textId="2C25CA0A"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D Zolo, ‘Hans Kelsen: International Peace through Intern</w:t>
      </w:r>
      <w:r>
        <w:rPr>
          <w:sz w:val="20"/>
          <w:szCs w:val="20"/>
          <w:lang w:val="en-GB"/>
        </w:rPr>
        <w:t xml:space="preserve">ational Law’ (1998) 9 EJIL </w:t>
      </w:r>
      <w:r w:rsidRPr="00CD1284">
        <w:rPr>
          <w:sz w:val="20"/>
          <w:szCs w:val="20"/>
          <w:lang w:val="en-GB"/>
        </w:rPr>
        <w:t>321.</w:t>
      </w:r>
    </w:p>
  </w:footnote>
  <w:footnote w:id="270">
    <w:p w14:paraId="7E133FE0" w14:textId="4729906D" w:rsidR="00FD777C" w:rsidRPr="00CD1284" w:rsidRDefault="00FD777C" w:rsidP="00CD1284">
      <w:pPr>
        <w:rPr>
          <w:sz w:val="20"/>
          <w:szCs w:val="20"/>
          <w:lang w:val="en-GB"/>
        </w:rPr>
      </w:pPr>
      <w:r w:rsidRPr="00CD1284">
        <w:rPr>
          <w:rStyle w:val="FootnoteReference"/>
          <w:szCs w:val="20"/>
          <w:lang w:val="en-GB"/>
        </w:rPr>
        <w:footnoteRef/>
      </w:r>
      <w:r w:rsidRPr="00CD1284">
        <w:rPr>
          <w:sz w:val="20"/>
          <w:szCs w:val="20"/>
          <w:lang w:val="en-GB"/>
        </w:rPr>
        <w:t xml:space="preserve"> H Suganami, ‘Understanding Sovereignty through Kelsen/Schmitt</w:t>
      </w:r>
      <w:r>
        <w:rPr>
          <w:sz w:val="20"/>
          <w:szCs w:val="20"/>
          <w:lang w:val="en-GB"/>
        </w:rPr>
        <w:t xml:space="preserve">’ (2007) 33 Rev Int’l Stud </w:t>
      </w:r>
      <w:r w:rsidRPr="00CD1284">
        <w:rPr>
          <w:sz w:val="20"/>
          <w:szCs w:val="20"/>
          <w:lang w:val="en-GB"/>
        </w:rPr>
        <w:t>527.</w:t>
      </w:r>
    </w:p>
  </w:footnote>
  <w:footnote w:id="271">
    <w:p w14:paraId="1FBE69AB" w14:textId="2624DF06" w:rsidR="00FD777C" w:rsidRPr="00CD1284" w:rsidRDefault="00FD777C" w:rsidP="00CD1284">
      <w:pPr>
        <w:rPr>
          <w:sz w:val="20"/>
          <w:szCs w:val="20"/>
        </w:rPr>
      </w:pPr>
      <w:r w:rsidRPr="00CD1284">
        <w:rPr>
          <w:rStyle w:val="FootnoteReference"/>
          <w:szCs w:val="20"/>
        </w:rPr>
        <w:footnoteRef/>
      </w:r>
      <w:r w:rsidRPr="00CD1284">
        <w:rPr>
          <w:sz w:val="20"/>
          <w:szCs w:val="20"/>
        </w:rPr>
        <w:t xml:space="preserve"> J Paine, ‘Review Essay: Kelsen, Normativity and Formal Justice in International </w:t>
      </w:r>
      <w:r>
        <w:rPr>
          <w:sz w:val="20"/>
          <w:szCs w:val="20"/>
        </w:rPr>
        <w:t xml:space="preserve">Relations’ (2013) 26 LJIL </w:t>
      </w:r>
      <w:r w:rsidRPr="00CD1284">
        <w:rPr>
          <w:sz w:val="20"/>
          <w:szCs w:val="20"/>
        </w:rPr>
        <w:t>1048.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0EC4"/>
    <w:multiLevelType w:val="hybridMultilevel"/>
    <w:tmpl w:val="30348FB0"/>
    <w:lvl w:ilvl="0" w:tplc="72B89F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0D4B6E"/>
    <w:multiLevelType w:val="hybridMultilevel"/>
    <w:tmpl w:val="8ABE0656"/>
    <w:lvl w:ilvl="0" w:tplc="1076DB9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8620F"/>
    <w:multiLevelType w:val="hybridMultilevel"/>
    <w:tmpl w:val="EFB6C2D4"/>
    <w:lvl w:ilvl="0" w:tplc="08090015">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903803"/>
    <w:multiLevelType w:val="hybridMultilevel"/>
    <w:tmpl w:val="AC04C7FE"/>
    <w:lvl w:ilvl="0" w:tplc="7FCC529C">
      <w:numFmt w:val="bullet"/>
      <w:lvlText w:val="-"/>
      <w:lvlJc w:val="left"/>
      <w:pPr>
        <w:ind w:left="1800" w:hanging="360"/>
      </w:pPr>
      <w:rPr>
        <w:rFonts w:ascii="Cambria" w:eastAsiaTheme="minorEastAsia" w:hAnsi="Cambria" w:cstheme="minorBid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E8221F4"/>
    <w:multiLevelType w:val="hybridMultilevel"/>
    <w:tmpl w:val="9534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42B13"/>
    <w:multiLevelType w:val="hybridMultilevel"/>
    <w:tmpl w:val="C8F86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11EED"/>
    <w:multiLevelType w:val="hybridMultilevel"/>
    <w:tmpl w:val="96A49E70"/>
    <w:lvl w:ilvl="0" w:tplc="9CEEC9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C345830"/>
    <w:multiLevelType w:val="hybridMultilevel"/>
    <w:tmpl w:val="EAD0D248"/>
    <w:lvl w:ilvl="0" w:tplc="08090015">
      <w:start w:val="1"/>
      <w:numFmt w:val="upperLetter"/>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F13034"/>
    <w:multiLevelType w:val="hybridMultilevel"/>
    <w:tmpl w:val="9B6AB502"/>
    <w:lvl w:ilvl="0" w:tplc="236EA0A6">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6D228C"/>
    <w:multiLevelType w:val="hybridMultilevel"/>
    <w:tmpl w:val="FC760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B87810"/>
    <w:multiLevelType w:val="hybridMultilevel"/>
    <w:tmpl w:val="2208D65E"/>
    <w:lvl w:ilvl="0" w:tplc="7A8012B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87282C"/>
    <w:multiLevelType w:val="hybridMultilevel"/>
    <w:tmpl w:val="0BB44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0"/>
  </w:num>
  <w:num w:numId="5">
    <w:abstractNumId w:val="6"/>
  </w:num>
  <w:num w:numId="6">
    <w:abstractNumId w:val="2"/>
  </w:num>
  <w:num w:numId="7">
    <w:abstractNumId w:val="9"/>
  </w:num>
  <w:num w:numId="8">
    <w:abstractNumId w:val="1"/>
  </w:num>
  <w:num w:numId="9">
    <w:abstractNumId w:val="7"/>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59"/>
    <w:rsid w:val="00000EAB"/>
    <w:rsid w:val="00001C25"/>
    <w:rsid w:val="00001D41"/>
    <w:rsid w:val="00001EB7"/>
    <w:rsid w:val="0000213C"/>
    <w:rsid w:val="0000217C"/>
    <w:rsid w:val="0000411D"/>
    <w:rsid w:val="00004D60"/>
    <w:rsid w:val="00006785"/>
    <w:rsid w:val="00006B61"/>
    <w:rsid w:val="00006F39"/>
    <w:rsid w:val="00011DA4"/>
    <w:rsid w:val="0001212B"/>
    <w:rsid w:val="0001306A"/>
    <w:rsid w:val="00013BF9"/>
    <w:rsid w:val="00013D81"/>
    <w:rsid w:val="00013E0D"/>
    <w:rsid w:val="0001410D"/>
    <w:rsid w:val="00014FA4"/>
    <w:rsid w:val="00016206"/>
    <w:rsid w:val="000176FE"/>
    <w:rsid w:val="00020251"/>
    <w:rsid w:val="0002060C"/>
    <w:rsid w:val="00021EF3"/>
    <w:rsid w:val="00022435"/>
    <w:rsid w:val="00022450"/>
    <w:rsid w:val="0002368C"/>
    <w:rsid w:val="00024155"/>
    <w:rsid w:val="00024DC9"/>
    <w:rsid w:val="00025737"/>
    <w:rsid w:val="00025F22"/>
    <w:rsid w:val="00026286"/>
    <w:rsid w:val="0002655A"/>
    <w:rsid w:val="00026678"/>
    <w:rsid w:val="00026DC0"/>
    <w:rsid w:val="00026E97"/>
    <w:rsid w:val="00031054"/>
    <w:rsid w:val="00032ECB"/>
    <w:rsid w:val="000333FF"/>
    <w:rsid w:val="00036105"/>
    <w:rsid w:val="00036640"/>
    <w:rsid w:val="00040FB6"/>
    <w:rsid w:val="0004260C"/>
    <w:rsid w:val="00042E6B"/>
    <w:rsid w:val="000430D9"/>
    <w:rsid w:val="00044E2C"/>
    <w:rsid w:val="00046026"/>
    <w:rsid w:val="000500C9"/>
    <w:rsid w:val="000510F7"/>
    <w:rsid w:val="00052494"/>
    <w:rsid w:val="000524F6"/>
    <w:rsid w:val="00052935"/>
    <w:rsid w:val="00053B65"/>
    <w:rsid w:val="00055418"/>
    <w:rsid w:val="00055FB8"/>
    <w:rsid w:val="0005606B"/>
    <w:rsid w:val="0005621E"/>
    <w:rsid w:val="000573F4"/>
    <w:rsid w:val="00064063"/>
    <w:rsid w:val="0006601B"/>
    <w:rsid w:val="00072E05"/>
    <w:rsid w:val="00072E9B"/>
    <w:rsid w:val="000741C7"/>
    <w:rsid w:val="00076434"/>
    <w:rsid w:val="00080E8F"/>
    <w:rsid w:val="00081E78"/>
    <w:rsid w:val="000822CD"/>
    <w:rsid w:val="0008289A"/>
    <w:rsid w:val="00082913"/>
    <w:rsid w:val="00083508"/>
    <w:rsid w:val="000843D4"/>
    <w:rsid w:val="0008593C"/>
    <w:rsid w:val="0008626A"/>
    <w:rsid w:val="00086C37"/>
    <w:rsid w:val="0008752C"/>
    <w:rsid w:val="00092013"/>
    <w:rsid w:val="0009295C"/>
    <w:rsid w:val="0009372D"/>
    <w:rsid w:val="000938DB"/>
    <w:rsid w:val="0009431D"/>
    <w:rsid w:val="000947B3"/>
    <w:rsid w:val="000968AA"/>
    <w:rsid w:val="0009698C"/>
    <w:rsid w:val="000A03A3"/>
    <w:rsid w:val="000A13D4"/>
    <w:rsid w:val="000A1559"/>
    <w:rsid w:val="000A29C9"/>
    <w:rsid w:val="000A3C54"/>
    <w:rsid w:val="000A4AF0"/>
    <w:rsid w:val="000A52E3"/>
    <w:rsid w:val="000A766C"/>
    <w:rsid w:val="000A7E8C"/>
    <w:rsid w:val="000B023F"/>
    <w:rsid w:val="000B0772"/>
    <w:rsid w:val="000B0870"/>
    <w:rsid w:val="000B2C2E"/>
    <w:rsid w:val="000B2FBF"/>
    <w:rsid w:val="000B4B4C"/>
    <w:rsid w:val="000B4D58"/>
    <w:rsid w:val="000B554A"/>
    <w:rsid w:val="000B64AA"/>
    <w:rsid w:val="000B67AB"/>
    <w:rsid w:val="000B7C6F"/>
    <w:rsid w:val="000B7CC2"/>
    <w:rsid w:val="000C0052"/>
    <w:rsid w:val="000C0A77"/>
    <w:rsid w:val="000C17A7"/>
    <w:rsid w:val="000C3F5B"/>
    <w:rsid w:val="000C419B"/>
    <w:rsid w:val="000C4305"/>
    <w:rsid w:val="000C49F2"/>
    <w:rsid w:val="000C4DDC"/>
    <w:rsid w:val="000C50EC"/>
    <w:rsid w:val="000C6751"/>
    <w:rsid w:val="000C7434"/>
    <w:rsid w:val="000C7A83"/>
    <w:rsid w:val="000D0A9C"/>
    <w:rsid w:val="000D0E1F"/>
    <w:rsid w:val="000D1E8A"/>
    <w:rsid w:val="000D2AD8"/>
    <w:rsid w:val="000D3AEB"/>
    <w:rsid w:val="000D4D3D"/>
    <w:rsid w:val="000D6203"/>
    <w:rsid w:val="000D7971"/>
    <w:rsid w:val="000E0B50"/>
    <w:rsid w:val="000E0F4A"/>
    <w:rsid w:val="000E1D1D"/>
    <w:rsid w:val="000E20C1"/>
    <w:rsid w:val="000E35F9"/>
    <w:rsid w:val="000E3DCA"/>
    <w:rsid w:val="000E3F1C"/>
    <w:rsid w:val="000E4A7B"/>
    <w:rsid w:val="000E5DEC"/>
    <w:rsid w:val="000E5E11"/>
    <w:rsid w:val="000E647F"/>
    <w:rsid w:val="000F10EE"/>
    <w:rsid w:val="000F3721"/>
    <w:rsid w:val="000F4B7F"/>
    <w:rsid w:val="000F5210"/>
    <w:rsid w:val="000F55D1"/>
    <w:rsid w:val="000F61CA"/>
    <w:rsid w:val="000F62D9"/>
    <w:rsid w:val="000F6306"/>
    <w:rsid w:val="000F6628"/>
    <w:rsid w:val="001007F7"/>
    <w:rsid w:val="0010193E"/>
    <w:rsid w:val="00101E2C"/>
    <w:rsid w:val="00103787"/>
    <w:rsid w:val="00112C43"/>
    <w:rsid w:val="00112D00"/>
    <w:rsid w:val="00112D4B"/>
    <w:rsid w:val="00112FA9"/>
    <w:rsid w:val="00115062"/>
    <w:rsid w:val="001158C4"/>
    <w:rsid w:val="00115DB5"/>
    <w:rsid w:val="00116866"/>
    <w:rsid w:val="00120CB1"/>
    <w:rsid w:val="00121B33"/>
    <w:rsid w:val="00121BF6"/>
    <w:rsid w:val="0012284E"/>
    <w:rsid w:val="0012428D"/>
    <w:rsid w:val="00124A77"/>
    <w:rsid w:val="00125C97"/>
    <w:rsid w:val="00126F9F"/>
    <w:rsid w:val="001273E4"/>
    <w:rsid w:val="00127C1B"/>
    <w:rsid w:val="00130FAC"/>
    <w:rsid w:val="001311BC"/>
    <w:rsid w:val="00131DB4"/>
    <w:rsid w:val="001329D4"/>
    <w:rsid w:val="00133A92"/>
    <w:rsid w:val="00134B89"/>
    <w:rsid w:val="0013526A"/>
    <w:rsid w:val="00135BDA"/>
    <w:rsid w:val="00136794"/>
    <w:rsid w:val="00136950"/>
    <w:rsid w:val="001410EE"/>
    <w:rsid w:val="00142F7E"/>
    <w:rsid w:val="001436F7"/>
    <w:rsid w:val="0014683F"/>
    <w:rsid w:val="00146A82"/>
    <w:rsid w:val="00146B42"/>
    <w:rsid w:val="001509A0"/>
    <w:rsid w:val="001509CB"/>
    <w:rsid w:val="00151A28"/>
    <w:rsid w:val="00155099"/>
    <w:rsid w:val="00155BD9"/>
    <w:rsid w:val="00156AA1"/>
    <w:rsid w:val="00156C92"/>
    <w:rsid w:val="00157890"/>
    <w:rsid w:val="00160E5F"/>
    <w:rsid w:val="0016242F"/>
    <w:rsid w:val="001668CC"/>
    <w:rsid w:val="0016765E"/>
    <w:rsid w:val="00170292"/>
    <w:rsid w:val="00170C9E"/>
    <w:rsid w:val="001725FE"/>
    <w:rsid w:val="00172F45"/>
    <w:rsid w:val="0017386D"/>
    <w:rsid w:val="001740C0"/>
    <w:rsid w:val="001762F2"/>
    <w:rsid w:val="00177383"/>
    <w:rsid w:val="001775B8"/>
    <w:rsid w:val="0017778E"/>
    <w:rsid w:val="00177D88"/>
    <w:rsid w:val="001802CD"/>
    <w:rsid w:val="00181C07"/>
    <w:rsid w:val="001821A8"/>
    <w:rsid w:val="0018394E"/>
    <w:rsid w:val="001842E7"/>
    <w:rsid w:val="0018496C"/>
    <w:rsid w:val="00185418"/>
    <w:rsid w:val="00187705"/>
    <w:rsid w:val="00187968"/>
    <w:rsid w:val="001909CA"/>
    <w:rsid w:val="00190ACB"/>
    <w:rsid w:val="00190E11"/>
    <w:rsid w:val="00191347"/>
    <w:rsid w:val="0019282A"/>
    <w:rsid w:val="0019386E"/>
    <w:rsid w:val="0019402E"/>
    <w:rsid w:val="001947D5"/>
    <w:rsid w:val="0019481A"/>
    <w:rsid w:val="00195F75"/>
    <w:rsid w:val="001960D8"/>
    <w:rsid w:val="001966E0"/>
    <w:rsid w:val="00196ED5"/>
    <w:rsid w:val="001974E1"/>
    <w:rsid w:val="001A102A"/>
    <w:rsid w:val="001B06B4"/>
    <w:rsid w:val="001B0D08"/>
    <w:rsid w:val="001B1AE4"/>
    <w:rsid w:val="001B2756"/>
    <w:rsid w:val="001B32CC"/>
    <w:rsid w:val="001B50BA"/>
    <w:rsid w:val="001B56BD"/>
    <w:rsid w:val="001B6E6B"/>
    <w:rsid w:val="001B7288"/>
    <w:rsid w:val="001C1A62"/>
    <w:rsid w:val="001C2228"/>
    <w:rsid w:val="001C3C41"/>
    <w:rsid w:val="001C4D30"/>
    <w:rsid w:val="001C554F"/>
    <w:rsid w:val="001C574C"/>
    <w:rsid w:val="001C6760"/>
    <w:rsid w:val="001C6815"/>
    <w:rsid w:val="001C759D"/>
    <w:rsid w:val="001C7786"/>
    <w:rsid w:val="001D0D16"/>
    <w:rsid w:val="001D113C"/>
    <w:rsid w:val="001D21BE"/>
    <w:rsid w:val="001D40B9"/>
    <w:rsid w:val="001D4214"/>
    <w:rsid w:val="001D4646"/>
    <w:rsid w:val="001D557E"/>
    <w:rsid w:val="001E0538"/>
    <w:rsid w:val="001E0978"/>
    <w:rsid w:val="001E1830"/>
    <w:rsid w:val="001E1AB3"/>
    <w:rsid w:val="001E2E0E"/>
    <w:rsid w:val="001E31E0"/>
    <w:rsid w:val="001E4A9A"/>
    <w:rsid w:val="001E5576"/>
    <w:rsid w:val="001E65B2"/>
    <w:rsid w:val="001E73C3"/>
    <w:rsid w:val="001E78FF"/>
    <w:rsid w:val="001F0948"/>
    <w:rsid w:val="001F19DD"/>
    <w:rsid w:val="001F2AC7"/>
    <w:rsid w:val="001F33C4"/>
    <w:rsid w:val="001F382C"/>
    <w:rsid w:val="001F4EB7"/>
    <w:rsid w:val="001F640F"/>
    <w:rsid w:val="001F69AB"/>
    <w:rsid w:val="001F7151"/>
    <w:rsid w:val="00200086"/>
    <w:rsid w:val="002007A2"/>
    <w:rsid w:val="00201796"/>
    <w:rsid w:val="00201B2B"/>
    <w:rsid w:val="00202627"/>
    <w:rsid w:val="00202FDB"/>
    <w:rsid w:val="002042CF"/>
    <w:rsid w:val="0020465E"/>
    <w:rsid w:val="00204A20"/>
    <w:rsid w:val="00205FD0"/>
    <w:rsid w:val="0020647A"/>
    <w:rsid w:val="00206BFE"/>
    <w:rsid w:val="00207815"/>
    <w:rsid w:val="00210DE7"/>
    <w:rsid w:val="002125EE"/>
    <w:rsid w:val="00213BA7"/>
    <w:rsid w:val="002146FC"/>
    <w:rsid w:val="00214ABC"/>
    <w:rsid w:val="00214E44"/>
    <w:rsid w:val="00214F32"/>
    <w:rsid w:val="00215159"/>
    <w:rsid w:val="0021560B"/>
    <w:rsid w:val="00215FBD"/>
    <w:rsid w:val="002175B7"/>
    <w:rsid w:val="002214FB"/>
    <w:rsid w:val="002227FA"/>
    <w:rsid w:val="00222E8F"/>
    <w:rsid w:val="00223D45"/>
    <w:rsid w:val="00224634"/>
    <w:rsid w:val="00230F87"/>
    <w:rsid w:val="00231307"/>
    <w:rsid w:val="00231D32"/>
    <w:rsid w:val="00232709"/>
    <w:rsid w:val="00232FD9"/>
    <w:rsid w:val="002339BC"/>
    <w:rsid w:val="00234F8C"/>
    <w:rsid w:val="00236C04"/>
    <w:rsid w:val="00237603"/>
    <w:rsid w:val="002377B3"/>
    <w:rsid w:val="0024184C"/>
    <w:rsid w:val="00243C75"/>
    <w:rsid w:val="00244069"/>
    <w:rsid w:val="002449BB"/>
    <w:rsid w:val="00252228"/>
    <w:rsid w:val="00252A68"/>
    <w:rsid w:val="00252BBF"/>
    <w:rsid w:val="00253EA7"/>
    <w:rsid w:val="002545C0"/>
    <w:rsid w:val="00256523"/>
    <w:rsid w:val="002567A5"/>
    <w:rsid w:val="00256A40"/>
    <w:rsid w:val="002611A0"/>
    <w:rsid w:val="00261B19"/>
    <w:rsid w:val="00263FCB"/>
    <w:rsid w:val="00266F94"/>
    <w:rsid w:val="00270732"/>
    <w:rsid w:val="00270F72"/>
    <w:rsid w:val="00271892"/>
    <w:rsid w:val="002733F5"/>
    <w:rsid w:val="0027377B"/>
    <w:rsid w:val="00273A49"/>
    <w:rsid w:val="00274221"/>
    <w:rsid w:val="00274FE8"/>
    <w:rsid w:val="00276458"/>
    <w:rsid w:val="00281FE0"/>
    <w:rsid w:val="002835F0"/>
    <w:rsid w:val="00283E6F"/>
    <w:rsid w:val="00284183"/>
    <w:rsid w:val="00284B26"/>
    <w:rsid w:val="002853A0"/>
    <w:rsid w:val="00285C93"/>
    <w:rsid w:val="002869F2"/>
    <w:rsid w:val="00287B08"/>
    <w:rsid w:val="00290CAD"/>
    <w:rsid w:val="00292943"/>
    <w:rsid w:val="00292A19"/>
    <w:rsid w:val="002938B5"/>
    <w:rsid w:val="002939F4"/>
    <w:rsid w:val="00294288"/>
    <w:rsid w:val="00297674"/>
    <w:rsid w:val="00297F8B"/>
    <w:rsid w:val="002A1247"/>
    <w:rsid w:val="002A4DE8"/>
    <w:rsid w:val="002A7FE1"/>
    <w:rsid w:val="002B14C4"/>
    <w:rsid w:val="002B2C93"/>
    <w:rsid w:val="002B668E"/>
    <w:rsid w:val="002B7069"/>
    <w:rsid w:val="002B7E81"/>
    <w:rsid w:val="002C0678"/>
    <w:rsid w:val="002C165E"/>
    <w:rsid w:val="002C28A7"/>
    <w:rsid w:val="002C461D"/>
    <w:rsid w:val="002C5459"/>
    <w:rsid w:val="002C5623"/>
    <w:rsid w:val="002C5AE0"/>
    <w:rsid w:val="002C5B48"/>
    <w:rsid w:val="002C65AF"/>
    <w:rsid w:val="002D5E91"/>
    <w:rsid w:val="002E1077"/>
    <w:rsid w:val="002E107D"/>
    <w:rsid w:val="002E3A09"/>
    <w:rsid w:val="002E44F3"/>
    <w:rsid w:val="002E4C1A"/>
    <w:rsid w:val="002E58B9"/>
    <w:rsid w:val="002E5A98"/>
    <w:rsid w:val="002E5EFC"/>
    <w:rsid w:val="002E6180"/>
    <w:rsid w:val="002E64D1"/>
    <w:rsid w:val="002E7340"/>
    <w:rsid w:val="002F0117"/>
    <w:rsid w:val="002F2C33"/>
    <w:rsid w:val="002F420D"/>
    <w:rsid w:val="002F428B"/>
    <w:rsid w:val="002F576C"/>
    <w:rsid w:val="00301325"/>
    <w:rsid w:val="003016D8"/>
    <w:rsid w:val="00301B80"/>
    <w:rsid w:val="0030289B"/>
    <w:rsid w:val="00304457"/>
    <w:rsid w:val="0030537E"/>
    <w:rsid w:val="00306BD8"/>
    <w:rsid w:val="003071CF"/>
    <w:rsid w:val="00307CFA"/>
    <w:rsid w:val="0031117E"/>
    <w:rsid w:val="003112C9"/>
    <w:rsid w:val="0031159D"/>
    <w:rsid w:val="003115C0"/>
    <w:rsid w:val="003116DC"/>
    <w:rsid w:val="0031293F"/>
    <w:rsid w:val="00313D4B"/>
    <w:rsid w:val="00315F87"/>
    <w:rsid w:val="00316C3C"/>
    <w:rsid w:val="00317AB2"/>
    <w:rsid w:val="00317B6B"/>
    <w:rsid w:val="003203FE"/>
    <w:rsid w:val="003230CF"/>
    <w:rsid w:val="00323899"/>
    <w:rsid w:val="00323F28"/>
    <w:rsid w:val="00327EB1"/>
    <w:rsid w:val="00330723"/>
    <w:rsid w:val="00330B7A"/>
    <w:rsid w:val="00331112"/>
    <w:rsid w:val="0033118B"/>
    <w:rsid w:val="00331616"/>
    <w:rsid w:val="003317DE"/>
    <w:rsid w:val="00332D4C"/>
    <w:rsid w:val="00333F3F"/>
    <w:rsid w:val="00334596"/>
    <w:rsid w:val="00335B99"/>
    <w:rsid w:val="00335F0C"/>
    <w:rsid w:val="00336536"/>
    <w:rsid w:val="00337C36"/>
    <w:rsid w:val="003403CB"/>
    <w:rsid w:val="00341F3B"/>
    <w:rsid w:val="003429DD"/>
    <w:rsid w:val="003436B8"/>
    <w:rsid w:val="0034536E"/>
    <w:rsid w:val="003460B4"/>
    <w:rsid w:val="00351364"/>
    <w:rsid w:val="00352C03"/>
    <w:rsid w:val="00353E29"/>
    <w:rsid w:val="00354253"/>
    <w:rsid w:val="00355696"/>
    <w:rsid w:val="00355CA2"/>
    <w:rsid w:val="00357776"/>
    <w:rsid w:val="003611C4"/>
    <w:rsid w:val="00361A46"/>
    <w:rsid w:val="0036319A"/>
    <w:rsid w:val="00363789"/>
    <w:rsid w:val="003649A9"/>
    <w:rsid w:val="003655B9"/>
    <w:rsid w:val="00367082"/>
    <w:rsid w:val="00367D2A"/>
    <w:rsid w:val="003722E9"/>
    <w:rsid w:val="003726F0"/>
    <w:rsid w:val="003733CC"/>
    <w:rsid w:val="00374948"/>
    <w:rsid w:val="00375FE3"/>
    <w:rsid w:val="00376972"/>
    <w:rsid w:val="003775D4"/>
    <w:rsid w:val="00380495"/>
    <w:rsid w:val="00382D23"/>
    <w:rsid w:val="003849F4"/>
    <w:rsid w:val="003852E4"/>
    <w:rsid w:val="0038735A"/>
    <w:rsid w:val="00387D9D"/>
    <w:rsid w:val="00390190"/>
    <w:rsid w:val="003914D7"/>
    <w:rsid w:val="00391751"/>
    <w:rsid w:val="003932BC"/>
    <w:rsid w:val="00393EE9"/>
    <w:rsid w:val="00393F15"/>
    <w:rsid w:val="0039480A"/>
    <w:rsid w:val="00394D8B"/>
    <w:rsid w:val="00394FEE"/>
    <w:rsid w:val="00396C1A"/>
    <w:rsid w:val="003978D5"/>
    <w:rsid w:val="00397C0A"/>
    <w:rsid w:val="003A11E4"/>
    <w:rsid w:val="003A143F"/>
    <w:rsid w:val="003A5817"/>
    <w:rsid w:val="003A5F98"/>
    <w:rsid w:val="003A6185"/>
    <w:rsid w:val="003A7C06"/>
    <w:rsid w:val="003B0CB1"/>
    <w:rsid w:val="003B6574"/>
    <w:rsid w:val="003B6DA6"/>
    <w:rsid w:val="003C03A3"/>
    <w:rsid w:val="003C0C75"/>
    <w:rsid w:val="003C18C1"/>
    <w:rsid w:val="003C25CB"/>
    <w:rsid w:val="003C3213"/>
    <w:rsid w:val="003C4DDF"/>
    <w:rsid w:val="003C4E87"/>
    <w:rsid w:val="003C5EED"/>
    <w:rsid w:val="003C6ECA"/>
    <w:rsid w:val="003C72C3"/>
    <w:rsid w:val="003D2A8B"/>
    <w:rsid w:val="003D4B44"/>
    <w:rsid w:val="003D53B8"/>
    <w:rsid w:val="003D550F"/>
    <w:rsid w:val="003D55DC"/>
    <w:rsid w:val="003D7170"/>
    <w:rsid w:val="003D7574"/>
    <w:rsid w:val="003E09F6"/>
    <w:rsid w:val="003E273E"/>
    <w:rsid w:val="003E37AD"/>
    <w:rsid w:val="003E39C8"/>
    <w:rsid w:val="003E41AB"/>
    <w:rsid w:val="003E43A2"/>
    <w:rsid w:val="003E76E7"/>
    <w:rsid w:val="003F3501"/>
    <w:rsid w:val="00401187"/>
    <w:rsid w:val="004025CE"/>
    <w:rsid w:val="00402630"/>
    <w:rsid w:val="00402B21"/>
    <w:rsid w:val="00404168"/>
    <w:rsid w:val="00404242"/>
    <w:rsid w:val="0040433A"/>
    <w:rsid w:val="00404A3C"/>
    <w:rsid w:val="004054DC"/>
    <w:rsid w:val="004055B7"/>
    <w:rsid w:val="00407A85"/>
    <w:rsid w:val="00407BEF"/>
    <w:rsid w:val="004125B5"/>
    <w:rsid w:val="00412677"/>
    <w:rsid w:val="00413A4C"/>
    <w:rsid w:val="00414C54"/>
    <w:rsid w:val="0041608B"/>
    <w:rsid w:val="00417698"/>
    <w:rsid w:val="004177FC"/>
    <w:rsid w:val="00417AB9"/>
    <w:rsid w:val="0042077A"/>
    <w:rsid w:val="00420947"/>
    <w:rsid w:val="00422561"/>
    <w:rsid w:val="00422ABE"/>
    <w:rsid w:val="00423836"/>
    <w:rsid w:val="00423B26"/>
    <w:rsid w:val="00425FBF"/>
    <w:rsid w:val="0042676F"/>
    <w:rsid w:val="00426845"/>
    <w:rsid w:val="00426967"/>
    <w:rsid w:val="00426C1D"/>
    <w:rsid w:val="00426DA0"/>
    <w:rsid w:val="00426E3D"/>
    <w:rsid w:val="00430326"/>
    <w:rsid w:val="004322C9"/>
    <w:rsid w:val="00432D57"/>
    <w:rsid w:val="00435D24"/>
    <w:rsid w:val="00435F39"/>
    <w:rsid w:val="004368AD"/>
    <w:rsid w:val="00436A4D"/>
    <w:rsid w:val="0044067F"/>
    <w:rsid w:val="00441C13"/>
    <w:rsid w:val="0044383C"/>
    <w:rsid w:val="004440F5"/>
    <w:rsid w:val="004450B6"/>
    <w:rsid w:val="0044533D"/>
    <w:rsid w:val="004469DB"/>
    <w:rsid w:val="00446B44"/>
    <w:rsid w:val="00446CA7"/>
    <w:rsid w:val="0044713E"/>
    <w:rsid w:val="00451619"/>
    <w:rsid w:val="0045429D"/>
    <w:rsid w:val="004544BC"/>
    <w:rsid w:val="00454AA4"/>
    <w:rsid w:val="00455936"/>
    <w:rsid w:val="00456D36"/>
    <w:rsid w:val="00456E3C"/>
    <w:rsid w:val="00460AA1"/>
    <w:rsid w:val="00461F0A"/>
    <w:rsid w:val="0046215C"/>
    <w:rsid w:val="00462FE3"/>
    <w:rsid w:val="0046324A"/>
    <w:rsid w:val="0046367A"/>
    <w:rsid w:val="00463D72"/>
    <w:rsid w:val="00464109"/>
    <w:rsid w:val="004654C8"/>
    <w:rsid w:val="00466640"/>
    <w:rsid w:val="00467AF1"/>
    <w:rsid w:val="004713A1"/>
    <w:rsid w:val="00471CDD"/>
    <w:rsid w:val="00472E95"/>
    <w:rsid w:val="00473525"/>
    <w:rsid w:val="00473840"/>
    <w:rsid w:val="00473862"/>
    <w:rsid w:val="004741CA"/>
    <w:rsid w:val="00474632"/>
    <w:rsid w:val="00475A4F"/>
    <w:rsid w:val="004766C4"/>
    <w:rsid w:val="0047789B"/>
    <w:rsid w:val="00477D92"/>
    <w:rsid w:val="0048058D"/>
    <w:rsid w:val="0048131A"/>
    <w:rsid w:val="00481E60"/>
    <w:rsid w:val="004828F7"/>
    <w:rsid w:val="00483B7C"/>
    <w:rsid w:val="00484A1C"/>
    <w:rsid w:val="00484E76"/>
    <w:rsid w:val="00485C8C"/>
    <w:rsid w:val="00486262"/>
    <w:rsid w:val="004879E1"/>
    <w:rsid w:val="00490031"/>
    <w:rsid w:val="00495374"/>
    <w:rsid w:val="00495582"/>
    <w:rsid w:val="00495810"/>
    <w:rsid w:val="0049599F"/>
    <w:rsid w:val="00495D2A"/>
    <w:rsid w:val="00496AD6"/>
    <w:rsid w:val="00496C21"/>
    <w:rsid w:val="004A0BFF"/>
    <w:rsid w:val="004A2567"/>
    <w:rsid w:val="004A2639"/>
    <w:rsid w:val="004A311C"/>
    <w:rsid w:val="004A422F"/>
    <w:rsid w:val="004A43C3"/>
    <w:rsid w:val="004A6271"/>
    <w:rsid w:val="004B0DC0"/>
    <w:rsid w:val="004B2823"/>
    <w:rsid w:val="004B305F"/>
    <w:rsid w:val="004B5020"/>
    <w:rsid w:val="004B75C4"/>
    <w:rsid w:val="004B776A"/>
    <w:rsid w:val="004C21D9"/>
    <w:rsid w:val="004C2547"/>
    <w:rsid w:val="004C28FC"/>
    <w:rsid w:val="004C2EBA"/>
    <w:rsid w:val="004C5C5A"/>
    <w:rsid w:val="004C63AD"/>
    <w:rsid w:val="004C6856"/>
    <w:rsid w:val="004C6D13"/>
    <w:rsid w:val="004C6F49"/>
    <w:rsid w:val="004C7AE3"/>
    <w:rsid w:val="004D11AF"/>
    <w:rsid w:val="004D14B2"/>
    <w:rsid w:val="004D54B3"/>
    <w:rsid w:val="004D6A7A"/>
    <w:rsid w:val="004E0206"/>
    <w:rsid w:val="004E165F"/>
    <w:rsid w:val="004E1DAC"/>
    <w:rsid w:val="004E2F36"/>
    <w:rsid w:val="004E625F"/>
    <w:rsid w:val="004E681A"/>
    <w:rsid w:val="004F1097"/>
    <w:rsid w:val="004F1965"/>
    <w:rsid w:val="004F1FF1"/>
    <w:rsid w:val="004F2490"/>
    <w:rsid w:val="004F2A6A"/>
    <w:rsid w:val="004F2D91"/>
    <w:rsid w:val="004F300C"/>
    <w:rsid w:val="004F3689"/>
    <w:rsid w:val="004F3BCD"/>
    <w:rsid w:val="004F6007"/>
    <w:rsid w:val="004F6D64"/>
    <w:rsid w:val="004F7BBE"/>
    <w:rsid w:val="004F7CE1"/>
    <w:rsid w:val="004F7FD8"/>
    <w:rsid w:val="005011A0"/>
    <w:rsid w:val="00501D49"/>
    <w:rsid w:val="005026D3"/>
    <w:rsid w:val="00505AC8"/>
    <w:rsid w:val="005062E2"/>
    <w:rsid w:val="005075AC"/>
    <w:rsid w:val="005079F2"/>
    <w:rsid w:val="00511491"/>
    <w:rsid w:val="00511C4B"/>
    <w:rsid w:val="00512429"/>
    <w:rsid w:val="005129E9"/>
    <w:rsid w:val="00514CB0"/>
    <w:rsid w:val="0051532D"/>
    <w:rsid w:val="0051593A"/>
    <w:rsid w:val="00516B6B"/>
    <w:rsid w:val="00521ABC"/>
    <w:rsid w:val="00521CC7"/>
    <w:rsid w:val="00523164"/>
    <w:rsid w:val="00523186"/>
    <w:rsid w:val="005255A1"/>
    <w:rsid w:val="005262CF"/>
    <w:rsid w:val="00527101"/>
    <w:rsid w:val="005271AD"/>
    <w:rsid w:val="00527DF3"/>
    <w:rsid w:val="00530779"/>
    <w:rsid w:val="00530E34"/>
    <w:rsid w:val="00531061"/>
    <w:rsid w:val="00533924"/>
    <w:rsid w:val="00533968"/>
    <w:rsid w:val="00535A2C"/>
    <w:rsid w:val="005366D6"/>
    <w:rsid w:val="005429FE"/>
    <w:rsid w:val="00543C18"/>
    <w:rsid w:val="00543C93"/>
    <w:rsid w:val="00544282"/>
    <w:rsid w:val="00544F06"/>
    <w:rsid w:val="00545937"/>
    <w:rsid w:val="00546070"/>
    <w:rsid w:val="00547597"/>
    <w:rsid w:val="00547952"/>
    <w:rsid w:val="00551294"/>
    <w:rsid w:val="005526FC"/>
    <w:rsid w:val="00553BD7"/>
    <w:rsid w:val="00555317"/>
    <w:rsid w:val="00556038"/>
    <w:rsid w:val="005579AD"/>
    <w:rsid w:val="00561993"/>
    <w:rsid w:val="00561A3E"/>
    <w:rsid w:val="00561DB8"/>
    <w:rsid w:val="00562840"/>
    <w:rsid w:val="005648B3"/>
    <w:rsid w:val="00567802"/>
    <w:rsid w:val="005719D9"/>
    <w:rsid w:val="0057264D"/>
    <w:rsid w:val="005730D2"/>
    <w:rsid w:val="00573665"/>
    <w:rsid w:val="00574D0C"/>
    <w:rsid w:val="00575AFE"/>
    <w:rsid w:val="00576616"/>
    <w:rsid w:val="00576E23"/>
    <w:rsid w:val="00577807"/>
    <w:rsid w:val="00577D16"/>
    <w:rsid w:val="005806E3"/>
    <w:rsid w:val="005814AF"/>
    <w:rsid w:val="0058387A"/>
    <w:rsid w:val="00583E9E"/>
    <w:rsid w:val="005842A6"/>
    <w:rsid w:val="005850AA"/>
    <w:rsid w:val="00587473"/>
    <w:rsid w:val="00592E6A"/>
    <w:rsid w:val="00593AE9"/>
    <w:rsid w:val="00593C3F"/>
    <w:rsid w:val="00593EBF"/>
    <w:rsid w:val="00595B06"/>
    <w:rsid w:val="0059614C"/>
    <w:rsid w:val="005963ED"/>
    <w:rsid w:val="00596E98"/>
    <w:rsid w:val="00597C41"/>
    <w:rsid w:val="005A0313"/>
    <w:rsid w:val="005A058D"/>
    <w:rsid w:val="005A45A6"/>
    <w:rsid w:val="005A4BCF"/>
    <w:rsid w:val="005A623B"/>
    <w:rsid w:val="005A6B9E"/>
    <w:rsid w:val="005A7569"/>
    <w:rsid w:val="005A7695"/>
    <w:rsid w:val="005A7A92"/>
    <w:rsid w:val="005A7C47"/>
    <w:rsid w:val="005B1202"/>
    <w:rsid w:val="005B1CDB"/>
    <w:rsid w:val="005B3253"/>
    <w:rsid w:val="005B327D"/>
    <w:rsid w:val="005B3284"/>
    <w:rsid w:val="005B4310"/>
    <w:rsid w:val="005B71AF"/>
    <w:rsid w:val="005B7AB9"/>
    <w:rsid w:val="005B7B6D"/>
    <w:rsid w:val="005B7EA1"/>
    <w:rsid w:val="005C04FF"/>
    <w:rsid w:val="005C122F"/>
    <w:rsid w:val="005C1AAE"/>
    <w:rsid w:val="005C2A87"/>
    <w:rsid w:val="005C2CF0"/>
    <w:rsid w:val="005C3CC1"/>
    <w:rsid w:val="005C3ED5"/>
    <w:rsid w:val="005C3EE8"/>
    <w:rsid w:val="005C4E1F"/>
    <w:rsid w:val="005C4ECC"/>
    <w:rsid w:val="005C6003"/>
    <w:rsid w:val="005C725B"/>
    <w:rsid w:val="005D0A81"/>
    <w:rsid w:val="005D1946"/>
    <w:rsid w:val="005D40AA"/>
    <w:rsid w:val="005D44C7"/>
    <w:rsid w:val="005D50DB"/>
    <w:rsid w:val="005D5BB7"/>
    <w:rsid w:val="005D683F"/>
    <w:rsid w:val="005D6A67"/>
    <w:rsid w:val="005D6E1D"/>
    <w:rsid w:val="005D724B"/>
    <w:rsid w:val="005E049F"/>
    <w:rsid w:val="005E0963"/>
    <w:rsid w:val="005E127A"/>
    <w:rsid w:val="005E1762"/>
    <w:rsid w:val="005E2870"/>
    <w:rsid w:val="005E2DCD"/>
    <w:rsid w:val="005E4CDC"/>
    <w:rsid w:val="005E5118"/>
    <w:rsid w:val="005E5146"/>
    <w:rsid w:val="005E5B24"/>
    <w:rsid w:val="005E6998"/>
    <w:rsid w:val="005E6E92"/>
    <w:rsid w:val="005E78FA"/>
    <w:rsid w:val="005F0BA9"/>
    <w:rsid w:val="005F1C4B"/>
    <w:rsid w:val="005F1DE6"/>
    <w:rsid w:val="005F3179"/>
    <w:rsid w:val="005F33C1"/>
    <w:rsid w:val="005F7035"/>
    <w:rsid w:val="0060011E"/>
    <w:rsid w:val="00600868"/>
    <w:rsid w:val="00600C39"/>
    <w:rsid w:val="006019A9"/>
    <w:rsid w:val="00602E85"/>
    <w:rsid w:val="00603ADA"/>
    <w:rsid w:val="00604BE9"/>
    <w:rsid w:val="0060520B"/>
    <w:rsid w:val="00605817"/>
    <w:rsid w:val="00605C88"/>
    <w:rsid w:val="006069A6"/>
    <w:rsid w:val="006102AB"/>
    <w:rsid w:val="00613569"/>
    <w:rsid w:val="00613A2A"/>
    <w:rsid w:val="006249DC"/>
    <w:rsid w:val="00624A17"/>
    <w:rsid w:val="00624D8E"/>
    <w:rsid w:val="00625140"/>
    <w:rsid w:val="006263A0"/>
    <w:rsid w:val="006301CB"/>
    <w:rsid w:val="006314CB"/>
    <w:rsid w:val="00632152"/>
    <w:rsid w:val="00632321"/>
    <w:rsid w:val="006351A8"/>
    <w:rsid w:val="0063618C"/>
    <w:rsid w:val="006367B3"/>
    <w:rsid w:val="00640CFF"/>
    <w:rsid w:val="00640D3B"/>
    <w:rsid w:val="00641DC9"/>
    <w:rsid w:val="006432D5"/>
    <w:rsid w:val="00646F45"/>
    <w:rsid w:val="0064759A"/>
    <w:rsid w:val="00647D07"/>
    <w:rsid w:val="00647F19"/>
    <w:rsid w:val="006502F6"/>
    <w:rsid w:val="00650485"/>
    <w:rsid w:val="006516DA"/>
    <w:rsid w:val="00652102"/>
    <w:rsid w:val="00654559"/>
    <w:rsid w:val="006545F2"/>
    <w:rsid w:val="0065466B"/>
    <w:rsid w:val="00654BE2"/>
    <w:rsid w:val="006569BC"/>
    <w:rsid w:val="00657065"/>
    <w:rsid w:val="006573BD"/>
    <w:rsid w:val="0065774D"/>
    <w:rsid w:val="00661EF6"/>
    <w:rsid w:val="0066302B"/>
    <w:rsid w:val="006637E6"/>
    <w:rsid w:val="00666D46"/>
    <w:rsid w:val="006671CC"/>
    <w:rsid w:val="006714BF"/>
    <w:rsid w:val="0067293E"/>
    <w:rsid w:val="006730B7"/>
    <w:rsid w:val="006740DC"/>
    <w:rsid w:val="00675321"/>
    <w:rsid w:val="006754C7"/>
    <w:rsid w:val="00676140"/>
    <w:rsid w:val="006771C6"/>
    <w:rsid w:val="006804AC"/>
    <w:rsid w:val="006817A4"/>
    <w:rsid w:val="00681D9B"/>
    <w:rsid w:val="00681DC1"/>
    <w:rsid w:val="006828B9"/>
    <w:rsid w:val="00685406"/>
    <w:rsid w:val="006855D4"/>
    <w:rsid w:val="00685AA4"/>
    <w:rsid w:val="00685F13"/>
    <w:rsid w:val="0069037D"/>
    <w:rsid w:val="0069279C"/>
    <w:rsid w:val="006940CC"/>
    <w:rsid w:val="006947EE"/>
    <w:rsid w:val="00695BFB"/>
    <w:rsid w:val="006A3D1C"/>
    <w:rsid w:val="006A3D79"/>
    <w:rsid w:val="006A6090"/>
    <w:rsid w:val="006A6BE4"/>
    <w:rsid w:val="006B103E"/>
    <w:rsid w:val="006B1359"/>
    <w:rsid w:val="006B1B11"/>
    <w:rsid w:val="006B1B4A"/>
    <w:rsid w:val="006B259B"/>
    <w:rsid w:val="006B397A"/>
    <w:rsid w:val="006B45C7"/>
    <w:rsid w:val="006B4E2C"/>
    <w:rsid w:val="006B52F8"/>
    <w:rsid w:val="006B5724"/>
    <w:rsid w:val="006B6A4F"/>
    <w:rsid w:val="006B6EEA"/>
    <w:rsid w:val="006B73F5"/>
    <w:rsid w:val="006B7780"/>
    <w:rsid w:val="006C033B"/>
    <w:rsid w:val="006C0A7A"/>
    <w:rsid w:val="006C27CD"/>
    <w:rsid w:val="006C2DCD"/>
    <w:rsid w:val="006C3BFD"/>
    <w:rsid w:val="006C49E0"/>
    <w:rsid w:val="006C5261"/>
    <w:rsid w:val="006C76F8"/>
    <w:rsid w:val="006D0C9A"/>
    <w:rsid w:val="006D1B4B"/>
    <w:rsid w:val="006D1F9B"/>
    <w:rsid w:val="006D2EB8"/>
    <w:rsid w:val="006D3128"/>
    <w:rsid w:val="006D3A73"/>
    <w:rsid w:val="006D3D12"/>
    <w:rsid w:val="006D51BD"/>
    <w:rsid w:val="006D5BE4"/>
    <w:rsid w:val="006D74CB"/>
    <w:rsid w:val="006E0A89"/>
    <w:rsid w:val="006E1F98"/>
    <w:rsid w:val="006E2930"/>
    <w:rsid w:val="006E2982"/>
    <w:rsid w:val="006E307E"/>
    <w:rsid w:val="006E32B3"/>
    <w:rsid w:val="006E4DE9"/>
    <w:rsid w:val="006E794C"/>
    <w:rsid w:val="006F041F"/>
    <w:rsid w:val="006F2249"/>
    <w:rsid w:val="006F356C"/>
    <w:rsid w:val="006F41D0"/>
    <w:rsid w:val="006F4E4D"/>
    <w:rsid w:val="006F561C"/>
    <w:rsid w:val="006F57A5"/>
    <w:rsid w:val="006F62B5"/>
    <w:rsid w:val="006F75B3"/>
    <w:rsid w:val="00700222"/>
    <w:rsid w:val="00700BAE"/>
    <w:rsid w:val="007019FF"/>
    <w:rsid w:val="00702547"/>
    <w:rsid w:val="00704691"/>
    <w:rsid w:val="007054D1"/>
    <w:rsid w:val="00706266"/>
    <w:rsid w:val="007064F1"/>
    <w:rsid w:val="007107F5"/>
    <w:rsid w:val="00710CED"/>
    <w:rsid w:val="00711D1F"/>
    <w:rsid w:val="0071266F"/>
    <w:rsid w:val="0071299C"/>
    <w:rsid w:val="00713221"/>
    <w:rsid w:val="0071721C"/>
    <w:rsid w:val="007178C9"/>
    <w:rsid w:val="00717E86"/>
    <w:rsid w:val="00720B05"/>
    <w:rsid w:val="00725332"/>
    <w:rsid w:val="007256F5"/>
    <w:rsid w:val="007269CB"/>
    <w:rsid w:val="00726F56"/>
    <w:rsid w:val="007329FE"/>
    <w:rsid w:val="0073312E"/>
    <w:rsid w:val="007334BB"/>
    <w:rsid w:val="00733A68"/>
    <w:rsid w:val="00733AAB"/>
    <w:rsid w:val="00734FB2"/>
    <w:rsid w:val="00735369"/>
    <w:rsid w:val="00736A79"/>
    <w:rsid w:val="00736CFC"/>
    <w:rsid w:val="00737EDA"/>
    <w:rsid w:val="00741874"/>
    <w:rsid w:val="00741F42"/>
    <w:rsid w:val="00742D8E"/>
    <w:rsid w:val="007433E8"/>
    <w:rsid w:val="00744446"/>
    <w:rsid w:val="00744510"/>
    <w:rsid w:val="00745BAC"/>
    <w:rsid w:val="0074646A"/>
    <w:rsid w:val="007473BF"/>
    <w:rsid w:val="007500BE"/>
    <w:rsid w:val="007500CA"/>
    <w:rsid w:val="0075091E"/>
    <w:rsid w:val="00754FAF"/>
    <w:rsid w:val="007573F6"/>
    <w:rsid w:val="00757C44"/>
    <w:rsid w:val="007617FA"/>
    <w:rsid w:val="007637AB"/>
    <w:rsid w:val="00763D59"/>
    <w:rsid w:val="0076749B"/>
    <w:rsid w:val="00767796"/>
    <w:rsid w:val="00771231"/>
    <w:rsid w:val="00771F0E"/>
    <w:rsid w:val="00773BB2"/>
    <w:rsid w:val="00774697"/>
    <w:rsid w:val="007751F6"/>
    <w:rsid w:val="0077622C"/>
    <w:rsid w:val="007771AB"/>
    <w:rsid w:val="00782858"/>
    <w:rsid w:val="007830ED"/>
    <w:rsid w:val="00783907"/>
    <w:rsid w:val="00785709"/>
    <w:rsid w:val="00786966"/>
    <w:rsid w:val="00786FD1"/>
    <w:rsid w:val="00787CF2"/>
    <w:rsid w:val="00787FA6"/>
    <w:rsid w:val="00791815"/>
    <w:rsid w:val="007918C5"/>
    <w:rsid w:val="007925A8"/>
    <w:rsid w:val="00793C09"/>
    <w:rsid w:val="007946C5"/>
    <w:rsid w:val="0079622C"/>
    <w:rsid w:val="0079731E"/>
    <w:rsid w:val="007A0963"/>
    <w:rsid w:val="007A1166"/>
    <w:rsid w:val="007A253D"/>
    <w:rsid w:val="007A29C7"/>
    <w:rsid w:val="007A2ECF"/>
    <w:rsid w:val="007A4C68"/>
    <w:rsid w:val="007A4FDE"/>
    <w:rsid w:val="007A5998"/>
    <w:rsid w:val="007A6FD2"/>
    <w:rsid w:val="007A7769"/>
    <w:rsid w:val="007B0788"/>
    <w:rsid w:val="007B0870"/>
    <w:rsid w:val="007B159C"/>
    <w:rsid w:val="007B1733"/>
    <w:rsid w:val="007B1E49"/>
    <w:rsid w:val="007B305B"/>
    <w:rsid w:val="007B3128"/>
    <w:rsid w:val="007B388B"/>
    <w:rsid w:val="007B4591"/>
    <w:rsid w:val="007B5B1A"/>
    <w:rsid w:val="007B61E6"/>
    <w:rsid w:val="007B7D67"/>
    <w:rsid w:val="007C089B"/>
    <w:rsid w:val="007C0BAB"/>
    <w:rsid w:val="007C4220"/>
    <w:rsid w:val="007C6397"/>
    <w:rsid w:val="007C6ED2"/>
    <w:rsid w:val="007C7CC2"/>
    <w:rsid w:val="007D09B8"/>
    <w:rsid w:val="007D2E62"/>
    <w:rsid w:val="007D2FD8"/>
    <w:rsid w:val="007D4464"/>
    <w:rsid w:val="007D5754"/>
    <w:rsid w:val="007E1BC1"/>
    <w:rsid w:val="007E2C03"/>
    <w:rsid w:val="007E2E11"/>
    <w:rsid w:val="007E33F5"/>
    <w:rsid w:val="007E3853"/>
    <w:rsid w:val="007E5817"/>
    <w:rsid w:val="007E62F9"/>
    <w:rsid w:val="007E6795"/>
    <w:rsid w:val="007E6C66"/>
    <w:rsid w:val="007F020C"/>
    <w:rsid w:val="007F0425"/>
    <w:rsid w:val="007F10C2"/>
    <w:rsid w:val="007F146A"/>
    <w:rsid w:val="007F3199"/>
    <w:rsid w:val="007F4334"/>
    <w:rsid w:val="007F4534"/>
    <w:rsid w:val="007F577F"/>
    <w:rsid w:val="007F7798"/>
    <w:rsid w:val="00801488"/>
    <w:rsid w:val="0080514C"/>
    <w:rsid w:val="00805418"/>
    <w:rsid w:val="00805D01"/>
    <w:rsid w:val="00805FEC"/>
    <w:rsid w:val="008070BE"/>
    <w:rsid w:val="00807C86"/>
    <w:rsid w:val="00810407"/>
    <w:rsid w:val="008107F9"/>
    <w:rsid w:val="008108D1"/>
    <w:rsid w:val="00812236"/>
    <w:rsid w:val="008123A1"/>
    <w:rsid w:val="00814642"/>
    <w:rsid w:val="00815C68"/>
    <w:rsid w:val="00816942"/>
    <w:rsid w:val="00817838"/>
    <w:rsid w:val="008200CF"/>
    <w:rsid w:val="008203A4"/>
    <w:rsid w:val="00821DD1"/>
    <w:rsid w:val="00822221"/>
    <w:rsid w:val="00822CE9"/>
    <w:rsid w:val="00824DF3"/>
    <w:rsid w:val="00824E2B"/>
    <w:rsid w:val="0082769B"/>
    <w:rsid w:val="00830978"/>
    <w:rsid w:val="00831035"/>
    <w:rsid w:val="008316A4"/>
    <w:rsid w:val="00831EFB"/>
    <w:rsid w:val="00832805"/>
    <w:rsid w:val="00832DC9"/>
    <w:rsid w:val="00833115"/>
    <w:rsid w:val="00833E76"/>
    <w:rsid w:val="00836BC9"/>
    <w:rsid w:val="0083716B"/>
    <w:rsid w:val="008379EB"/>
    <w:rsid w:val="00837C14"/>
    <w:rsid w:val="00837D46"/>
    <w:rsid w:val="00840E78"/>
    <w:rsid w:val="00844211"/>
    <w:rsid w:val="008462FC"/>
    <w:rsid w:val="0084674B"/>
    <w:rsid w:val="008469F9"/>
    <w:rsid w:val="00847899"/>
    <w:rsid w:val="008514C0"/>
    <w:rsid w:val="008515D2"/>
    <w:rsid w:val="00852B00"/>
    <w:rsid w:val="008602B7"/>
    <w:rsid w:val="00860977"/>
    <w:rsid w:val="0086309C"/>
    <w:rsid w:val="008632A7"/>
    <w:rsid w:val="0086370A"/>
    <w:rsid w:val="00864A8D"/>
    <w:rsid w:val="008678A6"/>
    <w:rsid w:val="00867DEC"/>
    <w:rsid w:val="00867E82"/>
    <w:rsid w:val="008702F4"/>
    <w:rsid w:val="00870B6A"/>
    <w:rsid w:val="00871249"/>
    <w:rsid w:val="00871815"/>
    <w:rsid w:val="00871E87"/>
    <w:rsid w:val="008740B1"/>
    <w:rsid w:val="008763B0"/>
    <w:rsid w:val="00876A3B"/>
    <w:rsid w:val="00876A3D"/>
    <w:rsid w:val="00876C45"/>
    <w:rsid w:val="00877628"/>
    <w:rsid w:val="008776AA"/>
    <w:rsid w:val="00880585"/>
    <w:rsid w:val="0088142D"/>
    <w:rsid w:val="00882409"/>
    <w:rsid w:val="00882440"/>
    <w:rsid w:val="008854A5"/>
    <w:rsid w:val="008869E7"/>
    <w:rsid w:val="008876BB"/>
    <w:rsid w:val="008900F9"/>
    <w:rsid w:val="00891DCC"/>
    <w:rsid w:val="00893A90"/>
    <w:rsid w:val="00894CE5"/>
    <w:rsid w:val="00895BAA"/>
    <w:rsid w:val="00896688"/>
    <w:rsid w:val="008972E3"/>
    <w:rsid w:val="008973CF"/>
    <w:rsid w:val="00897D16"/>
    <w:rsid w:val="00897FA7"/>
    <w:rsid w:val="008A1950"/>
    <w:rsid w:val="008A1D4E"/>
    <w:rsid w:val="008A1F24"/>
    <w:rsid w:val="008A333B"/>
    <w:rsid w:val="008A4253"/>
    <w:rsid w:val="008A4FB7"/>
    <w:rsid w:val="008A59B8"/>
    <w:rsid w:val="008A5E55"/>
    <w:rsid w:val="008A6B59"/>
    <w:rsid w:val="008A759A"/>
    <w:rsid w:val="008B114D"/>
    <w:rsid w:val="008B1AD2"/>
    <w:rsid w:val="008B1C41"/>
    <w:rsid w:val="008B2341"/>
    <w:rsid w:val="008B2AF8"/>
    <w:rsid w:val="008B31B0"/>
    <w:rsid w:val="008B3F6D"/>
    <w:rsid w:val="008B458D"/>
    <w:rsid w:val="008B5A35"/>
    <w:rsid w:val="008B6867"/>
    <w:rsid w:val="008B6A7B"/>
    <w:rsid w:val="008B7F22"/>
    <w:rsid w:val="008C0C49"/>
    <w:rsid w:val="008C1CBB"/>
    <w:rsid w:val="008C215D"/>
    <w:rsid w:val="008C2768"/>
    <w:rsid w:val="008C2A18"/>
    <w:rsid w:val="008C4386"/>
    <w:rsid w:val="008C5152"/>
    <w:rsid w:val="008C5B2C"/>
    <w:rsid w:val="008C7265"/>
    <w:rsid w:val="008C72EE"/>
    <w:rsid w:val="008C779C"/>
    <w:rsid w:val="008C7867"/>
    <w:rsid w:val="008C7C23"/>
    <w:rsid w:val="008D01F6"/>
    <w:rsid w:val="008D115E"/>
    <w:rsid w:val="008D1C11"/>
    <w:rsid w:val="008D438C"/>
    <w:rsid w:val="008E0C24"/>
    <w:rsid w:val="008E1003"/>
    <w:rsid w:val="008E1F12"/>
    <w:rsid w:val="008E3819"/>
    <w:rsid w:val="008E3A47"/>
    <w:rsid w:val="008E4342"/>
    <w:rsid w:val="008E54A5"/>
    <w:rsid w:val="008E6ABB"/>
    <w:rsid w:val="008E714E"/>
    <w:rsid w:val="008F0338"/>
    <w:rsid w:val="008F4096"/>
    <w:rsid w:val="008F4BB2"/>
    <w:rsid w:val="008F5EC5"/>
    <w:rsid w:val="008F6678"/>
    <w:rsid w:val="008F7B7C"/>
    <w:rsid w:val="00901035"/>
    <w:rsid w:val="00902A97"/>
    <w:rsid w:val="00903983"/>
    <w:rsid w:val="009103C7"/>
    <w:rsid w:val="009111C1"/>
    <w:rsid w:val="009134BB"/>
    <w:rsid w:val="00915BB0"/>
    <w:rsid w:val="00916009"/>
    <w:rsid w:val="009165E8"/>
    <w:rsid w:val="00917151"/>
    <w:rsid w:val="0091776C"/>
    <w:rsid w:val="0092017B"/>
    <w:rsid w:val="009213B0"/>
    <w:rsid w:val="00921A63"/>
    <w:rsid w:val="0092205F"/>
    <w:rsid w:val="009227E1"/>
    <w:rsid w:val="00922AA5"/>
    <w:rsid w:val="00924221"/>
    <w:rsid w:val="00924E8B"/>
    <w:rsid w:val="00925EB7"/>
    <w:rsid w:val="0092601D"/>
    <w:rsid w:val="00926443"/>
    <w:rsid w:val="00926BB5"/>
    <w:rsid w:val="0093074D"/>
    <w:rsid w:val="009318E7"/>
    <w:rsid w:val="00931F23"/>
    <w:rsid w:val="0093217C"/>
    <w:rsid w:val="00934EA6"/>
    <w:rsid w:val="00935744"/>
    <w:rsid w:val="00935816"/>
    <w:rsid w:val="00935CDB"/>
    <w:rsid w:val="00935D3B"/>
    <w:rsid w:val="009366EE"/>
    <w:rsid w:val="00936C4E"/>
    <w:rsid w:val="009370E1"/>
    <w:rsid w:val="00940035"/>
    <w:rsid w:val="0094054B"/>
    <w:rsid w:val="00942211"/>
    <w:rsid w:val="00942784"/>
    <w:rsid w:val="0094306C"/>
    <w:rsid w:val="00943B5A"/>
    <w:rsid w:val="00945945"/>
    <w:rsid w:val="0094597F"/>
    <w:rsid w:val="009467F5"/>
    <w:rsid w:val="00946EC8"/>
    <w:rsid w:val="00950227"/>
    <w:rsid w:val="00950858"/>
    <w:rsid w:val="00951C68"/>
    <w:rsid w:val="00952133"/>
    <w:rsid w:val="00953801"/>
    <w:rsid w:val="00953BB8"/>
    <w:rsid w:val="00955BBB"/>
    <w:rsid w:val="00957ADA"/>
    <w:rsid w:val="00957FFE"/>
    <w:rsid w:val="00962450"/>
    <w:rsid w:val="00962531"/>
    <w:rsid w:val="00964040"/>
    <w:rsid w:val="009647D7"/>
    <w:rsid w:val="009654E0"/>
    <w:rsid w:val="00967FD4"/>
    <w:rsid w:val="00970643"/>
    <w:rsid w:val="00971CCF"/>
    <w:rsid w:val="0097295C"/>
    <w:rsid w:val="00975195"/>
    <w:rsid w:val="00975604"/>
    <w:rsid w:val="00975B1F"/>
    <w:rsid w:val="00976142"/>
    <w:rsid w:val="00977C3C"/>
    <w:rsid w:val="00983375"/>
    <w:rsid w:val="009833C5"/>
    <w:rsid w:val="00983F50"/>
    <w:rsid w:val="00984CC7"/>
    <w:rsid w:val="00984D73"/>
    <w:rsid w:val="00985955"/>
    <w:rsid w:val="00991CBC"/>
    <w:rsid w:val="009961B4"/>
    <w:rsid w:val="00997009"/>
    <w:rsid w:val="00997CB3"/>
    <w:rsid w:val="009A0F06"/>
    <w:rsid w:val="009A2B3C"/>
    <w:rsid w:val="009A2DAB"/>
    <w:rsid w:val="009A2FC6"/>
    <w:rsid w:val="009A52E1"/>
    <w:rsid w:val="009A5D27"/>
    <w:rsid w:val="009A6024"/>
    <w:rsid w:val="009A792A"/>
    <w:rsid w:val="009B064B"/>
    <w:rsid w:val="009B0F79"/>
    <w:rsid w:val="009B153E"/>
    <w:rsid w:val="009B1D15"/>
    <w:rsid w:val="009B3608"/>
    <w:rsid w:val="009B3F88"/>
    <w:rsid w:val="009B46FA"/>
    <w:rsid w:val="009B4865"/>
    <w:rsid w:val="009B622A"/>
    <w:rsid w:val="009B66C9"/>
    <w:rsid w:val="009C0561"/>
    <w:rsid w:val="009C0593"/>
    <w:rsid w:val="009C1DED"/>
    <w:rsid w:val="009C1F39"/>
    <w:rsid w:val="009C2334"/>
    <w:rsid w:val="009C3B1C"/>
    <w:rsid w:val="009C669D"/>
    <w:rsid w:val="009D2C62"/>
    <w:rsid w:val="009D2F98"/>
    <w:rsid w:val="009D3044"/>
    <w:rsid w:val="009D33E3"/>
    <w:rsid w:val="009D3917"/>
    <w:rsid w:val="009D3B88"/>
    <w:rsid w:val="009D55F8"/>
    <w:rsid w:val="009D56AB"/>
    <w:rsid w:val="009D6A74"/>
    <w:rsid w:val="009D6D65"/>
    <w:rsid w:val="009D74F7"/>
    <w:rsid w:val="009E02DB"/>
    <w:rsid w:val="009E052E"/>
    <w:rsid w:val="009E0FFC"/>
    <w:rsid w:val="009E128D"/>
    <w:rsid w:val="009E2162"/>
    <w:rsid w:val="009E23D8"/>
    <w:rsid w:val="009E30A8"/>
    <w:rsid w:val="009E319D"/>
    <w:rsid w:val="009E4542"/>
    <w:rsid w:val="009E4B8E"/>
    <w:rsid w:val="009E51F7"/>
    <w:rsid w:val="009E593B"/>
    <w:rsid w:val="009E6A18"/>
    <w:rsid w:val="009F27FE"/>
    <w:rsid w:val="009F2D4D"/>
    <w:rsid w:val="009F31EB"/>
    <w:rsid w:val="009F3427"/>
    <w:rsid w:val="009F5273"/>
    <w:rsid w:val="00A006B7"/>
    <w:rsid w:val="00A00AD1"/>
    <w:rsid w:val="00A013A8"/>
    <w:rsid w:val="00A026F5"/>
    <w:rsid w:val="00A02B54"/>
    <w:rsid w:val="00A04B51"/>
    <w:rsid w:val="00A05459"/>
    <w:rsid w:val="00A061F4"/>
    <w:rsid w:val="00A10783"/>
    <w:rsid w:val="00A1493A"/>
    <w:rsid w:val="00A1517D"/>
    <w:rsid w:val="00A20ABB"/>
    <w:rsid w:val="00A21293"/>
    <w:rsid w:val="00A219D4"/>
    <w:rsid w:val="00A23B4F"/>
    <w:rsid w:val="00A24138"/>
    <w:rsid w:val="00A24A77"/>
    <w:rsid w:val="00A31722"/>
    <w:rsid w:val="00A32AC1"/>
    <w:rsid w:val="00A343BA"/>
    <w:rsid w:val="00A34442"/>
    <w:rsid w:val="00A34B9D"/>
    <w:rsid w:val="00A35391"/>
    <w:rsid w:val="00A40ECC"/>
    <w:rsid w:val="00A41745"/>
    <w:rsid w:val="00A418EF"/>
    <w:rsid w:val="00A42ACF"/>
    <w:rsid w:val="00A4314D"/>
    <w:rsid w:val="00A43357"/>
    <w:rsid w:val="00A447DB"/>
    <w:rsid w:val="00A449F4"/>
    <w:rsid w:val="00A465A9"/>
    <w:rsid w:val="00A504BC"/>
    <w:rsid w:val="00A50B73"/>
    <w:rsid w:val="00A50D65"/>
    <w:rsid w:val="00A50E0D"/>
    <w:rsid w:val="00A5152D"/>
    <w:rsid w:val="00A52F2C"/>
    <w:rsid w:val="00A537CB"/>
    <w:rsid w:val="00A54D21"/>
    <w:rsid w:val="00A56C1A"/>
    <w:rsid w:val="00A6077B"/>
    <w:rsid w:val="00A60B0A"/>
    <w:rsid w:val="00A62893"/>
    <w:rsid w:val="00A62944"/>
    <w:rsid w:val="00A62F78"/>
    <w:rsid w:val="00A63DA2"/>
    <w:rsid w:val="00A651FD"/>
    <w:rsid w:val="00A65C04"/>
    <w:rsid w:val="00A6607F"/>
    <w:rsid w:val="00A6664F"/>
    <w:rsid w:val="00A66D4E"/>
    <w:rsid w:val="00A67045"/>
    <w:rsid w:val="00A7019F"/>
    <w:rsid w:val="00A713B9"/>
    <w:rsid w:val="00A73818"/>
    <w:rsid w:val="00A73F9C"/>
    <w:rsid w:val="00A74060"/>
    <w:rsid w:val="00A742F8"/>
    <w:rsid w:val="00A74643"/>
    <w:rsid w:val="00A74E4B"/>
    <w:rsid w:val="00A75909"/>
    <w:rsid w:val="00A8169F"/>
    <w:rsid w:val="00A81D42"/>
    <w:rsid w:val="00A82887"/>
    <w:rsid w:val="00A830A6"/>
    <w:rsid w:val="00A83645"/>
    <w:rsid w:val="00A83C5A"/>
    <w:rsid w:val="00A841E9"/>
    <w:rsid w:val="00A86479"/>
    <w:rsid w:val="00A87BE9"/>
    <w:rsid w:val="00A87DDD"/>
    <w:rsid w:val="00A91E6F"/>
    <w:rsid w:val="00A92123"/>
    <w:rsid w:val="00A92F7C"/>
    <w:rsid w:val="00A9456F"/>
    <w:rsid w:val="00A945EC"/>
    <w:rsid w:val="00A947D8"/>
    <w:rsid w:val="00A95DDE"/>
    <w:rsid w:val="00A97055"/>
    <w:rsid w:val="00A979E1"/>
    <w:rsid w:val="00AA1B84"/>
    <w:rsid w:val="00AA1F06"/>
    <w:rsid w:val="00AA2797"/>
    <w:rsid w:val="00AA32F5"/>
    <w:rsid w:val="00AA3F30"/>
    <w:rsid w:val="00AA58C9"/>
    <w:rsid w:val="00AA6F66"/>
    <w:rsid w:val="00AA7656"/>
    <w:rsid w:val="00AB2279"/>
    <w:rsid w:val="00AB3BF8"/>
    <w:rsid w:val="00AB3DF4"/>
    <w:rsid w:val="00AB5230"/>
    <w:rsid w:val="00AB5FF0"/>
    <w:rsid w:val="00AB6C4E"/>
    <w:rsid w:val="00AC012F"/>
    <w:rsid w:val="00AC0651"/>
    <w:rsid w:val="00AC07C1"/>
    <w:rsid w:val="00AC0F42"/>
    <w:rsid w:val="00AC10CF"/>
    <w:rsid w:val="00AC2954"/>
    <w:rsid w:val="00AC4787"/>
    <w:rsid w:val="00AC5B37"/>
    <w:rsid w:val="00AC62DE"/>
    <w:rsid w:val="00AC7051"/>
    <w:rsid w:val="00AC773E"/>
    <w:rsid w:val="00AD0576"/>
    <w:rsid w:val="00AD270D"/>
    <w:rsid w:val="00AD5FF9"/>
    <w:rsid w:val="00AD6CFB"/>
    <w:rsid w:val="00AE1D5E"/>
    <w:rsid w:val="00AE263E"/>
    <w:rsid w:val="00AE53EA"/>
    <w:rsid w:val="00AE5E9D"/>
    <w:rsid w:val="00AE6785"/>
    <w:rsid w:val="00AE76B4"/>
    <w:rsid w:val="00AE7F03"/>
    <w:rsid w:val="00AF0977"/>
    <w:rsid w:val="00AF1564"/>
    <w:rsid w:val="00AF21FD"/>
    <w:rsid w:val="00AF2920"/>
    <w:rsid w:val="00AF2F9F"/>
    <w:rsid w:val="00AF31D4"/>
    <w:rsid w:val="00AF344C"/>
    <w:rsid w:val="00AF4EC5"/>
    <w:rsid w:val="00AF561D"/>
    <w:rsid w:val="00AF76E2"/>
    <w:rsid w:val="00B00555"/>
    <w:rsid w:val="00B00992"/>
    <w:rsid w:val="00B0180D"/>
    <w:rsid w:val="00B02285"/>
    <w:rsid w:val="00B03304"/>
    <w:rsid w:val="00B04B6B"/>
    <w:rsid w:val="00B04D12"/>
    <w:rsid w:val="00B0579E"/>
    <w:rsid w:val="00B05F5F"/>
    <w:rsid w:val="00B062A8"/>
    <w:rsid w:val="00B11C1E"/>
    <w:rsid w:val="00B123EC"/>
    <w:rsid w:val="00B14726"/>
    <w:rsid w:val="00B1508B"/>
    <w:rsid w:val="00B16D4F"/>
    <w:rsid w:val="00B177EA"/>
    <w:rsid w:val="00B20E0E"/>
    <w:rsid w:val="00B21011"/>
    <w:rsid w:val="00B220E2"/>
    <w:rsid w:val="00B22393"/>
    <w:rsid w:val="00B225A5"/>
    <w:rsid w:val="00B22C00"/>
    <w:rsid w:val="00B231A8"/>
    <w:rsid w:val="00B23FBB"/>
    <w:rsid w:val="00B25190"/>
    <w:rsid w:val="00B25373"/>
    <w:rsid w:val="00B26F19"/>
    <w:rsid w:val="00B3056A"/>
    <w:rsid w:val="00B31207"/>
    <w:rsid w:val="00B320AE"/>
    <w:rsid w:val="00B34683"/>
    <w:rsid w:val="00B36A05"/>
    <w:rsid w:val="00B37ABB"/>
    <w:rsid w:val="00B37B41"/>
    <w:rsid w:val="00B37E2B"/>
    <w:rsid w:val="00B37F11"/>
    <w:rsid w:val="00B40BEB"/>
    <w:rsid w:val="00B4109E"/>
    <w:rsid w:val="00B414B9"/>
    <w:rsid w:val="00B42E80"/>
    <w:rsid w:val="00B432A1"/>
    <w:rsid w:val="00B47FA7"/>
    <w:rsid w:val="00B52E9D"/>
    <w:rsid w:val="00B54035"/>
    <w:rsid w:val="00B5507F"/>
    <w:rsid w:val="00B551F1"/>
    <w:rsid w:val="00B55D73"/>
    <w:rsid w:val="00B56716"/>
    <w:rsid w:val="00B56972"/>
    <w:rsid w:val="00B600EC"/>
    <w:rsid w:val="00B60E7E"/>
    <w:rsid w:val="00B627DF"/>
    <w:rsid w:val="00B6434F"/>
    <w:rsid w:val="00B65828"/>
    <w:rsid w:val="00B73290"/>
    <w:rsid w:val="00B73410"/>
    <w:rsid w:val="00B73E3D"/>
    <w:rsid w:val="00B7548D"/>
    <w:rsid w:val="00B7665C"/>
    <w:rsid w:val="00B77EE0"/>
    <w:rsid w:val="00B8023F"/>
    <w:rsid w:val="00B80E08"/>
    <w:rsid w:val="00B81BF2"/>
    <w:rsid w:val="00B82624"/>
    <w:rsid w:val="00B82DDF"/>
    <w:rsid w:val="00B838A6"/>
    <w:rsid w:val="00B83F9A"/>
    <w:rsid w:val="00B8435D"/>
    <w:rsid w:val="00B84CB2"/>
    <w:rsid w:val="00B862D0"/>
    <w:rsid w:val="00B87840"/>
    <w:rsid w:val="00B878BF"/>
    <w:rsid w:val="00B87D0C"/>
    <w:rsid w:val="00B90991"/>
    <w:rsid w:val="00B9113A"/>
    <w:rsid w:val="00B92F51"/>
    <w:rsid w:val="00B9383B"/>
    <w:rsid w:val="00B96EE3"/>
    <w:rsid w:val="00BA05E3"/>
    <w:rsid w:val="00BA08E5"/>
    <w:rsid w:val="00BA0BAA"/>
    <w:rsid w:val="00BA4A20"/>
    <w:rsid w:val="00BA4C65"/>
    <w:rsid w:val="00BA5581"/>
    <w:rsid w:val="00BA5D95"/>
    <w:rsid w:val="00BA7E83"/>
    <w:rsid w:val="00BB0A9D"/>
    <w:rsid w:val="00BB17D7"/>
    <w:rsid w:val="00BB2830"/>
    <w:rsid w:val="00BB4130"/>
    <w:rsid w:val="00BB42CF"/>
    <w:rsid w:val="00BB4A22"/>
    <w:rsid w:val="00BB5DB6"/>
    <w:rsid w:val="00BB5FD0"/>
    <w:rsid w:val="00BB676D"/>
    <w:rsid w:val="00BB677D"/>
    <w:rsid w:val="00BC139C"/>
    <w:rsid w:val="00BC2D60"/>
    <w:rsid w:val="00BC2E62"/>
    <w:rsid w:val="00BC33EE"/>
    <w:rsid w:val="00BC42B9"/>
    <w:rsid w:val="00BC4E6B"/>
    <w:rsid w:val="00BC54EF"/>
    <w:rsid w:val="00BC5B23"/>
    <w:rsid w:val="00BD1354"/>
    <w:rsid w:val="00BD28D6"/>
    <w:rsid w:val="00BD380A"/>
    <w:rsid w:val="00BD40F2"/>
    <w:rsid w:val="00BD54D9"/>
    <w:rsid w:val="00BD58D1"/>
    <w:rsid w:val="00BD6ED2"/>
    <w:rsid w:val="00BD6F63"/>
    <w:rsid w:val="00BD7DF2"/>
    <w:rsid w:val="00BE043E"/>
    <w:rsid w:val="00BE16A3"/>
    <w:rsid w:val="00BE1BB4"/>
    <w:rsid w:val="00BE2ADE"/>
    <w:rsid w:val="00BE3063"/>
    <w:rsid w:val="00BE3192"/>
    <w:rsid w:val="00BE66DC"/>
    <w:rsid w:val="00BE6D5B"/>
    <w:rsid w:val="00BE6DC3"/>
    <w:rsid w:val="00BE6E4A"/>
    <w:rsid w:val="00BE73B4"/>
    <w:rsid w:val="00BF084F"/>
    <w:rsid w:val="00BF0B07"/>
    <w:rsid w:val="00BF143F"/>
    <w:rsid w:val="00BF1754"/>
    <w:rsid w:val="00BF3838"/>
    <w:rsid w:val="00BF3E40"/>
    <w:rsid w:val="00BF6052"/>
    <w:rsid w:val="00C00EB7"/>
    <w:rsid w:val="00C010E9"/>
    <w:rsid w:val="00C04B72"/>
    <w:rsid w:val="00C053E6"/>
    <w:rsid w:val="00C05FD7"/>
    <w:rsid w:val="00C06397"/>
    <w:rsid w:val="00C1050B"/>
    <w:rsid w:val="00C12898"/>
    <w:rsid w:val="00C1493A"/>
    <w:rsid w:val="00C1545D"/>
    <w:rsid w:val="00C15AF1"/>
    <w:rsid w:val="00C20A96"/>
    <w:rsid w:val="00C20E3F"/>
    <w:rsid w:val="00C22266"/>
    <w:rsid w:val="00C22B7A"/>
    <w:rsid w:val="00C24B08"/>
    <w:rsid w:val="00C24C5F"/>
    <w:rsid w:val="00C26CA4"/>
    <w:rsid w:val="00C27330"/>
    <w:rsid w:val="00C278EF"/>
    <w:rsid w:val="00C302DB"/>
    <w:rsid w:val="00C31FC1"/>
    <w:rsid w:val="00C336C6"/>
    <w:rsid w:val="00C33EB6"/>
    <w:rsid w:val="00C3486D"/>
    <w:rsid w:val="00C356FE"/>
    <w:rsid w:val="00C3761B"/>
    <w:rsid w:val="00C379E2"/>
    <w:rsid w:val="00C409FF"/>
    <w:rsid w:val="00C42112"/>
    <w:rsid w:val="00C423AC"/>
    <w:rsid w:val="00C42673"/>
    <w:rsid w:val="00C44470"/>
    <w:rsid w:val="00C46EC5"/>
    <w:rsid w:val="00C508B9"/>
    <w:rsid w:val="00C52255"/>
    <w:rsid w:val="00C526AE"/>
    <w:rsid w:val="00C52942"/>
    <w:rsid w:val="00C52BDF"/>
    <w:rsid w:val="00C530A5"/>
    <w:rsid w:val="00C53A5D"/>
    <w:rsid w:val="00C543D1"/>
    <w:rsid w:val="00C549ED"/>
    <w:rsid w:val="00C5542C"/>
    <w:rsid w:val="00C57544"/>
    <w:rsid w:val="00C60B89"/>
    <w:rsid w:val="00C62A97"/>
    <w:rsid w:val="00C63A7C"/>
    <w:rsid w:val="00C64343"/>
    <w:rsid w:val="00C649BE"/>
    <w:rsid w:val="00C661BF"/>
    <w:rsid w:val="00C66F54"/>
    <w:rsid w:val="00C67867"/>
    <w:rsid w:val="00C70E0E"/>
    <w:rsid w:val="00C72B84"/>
    <w:rsid w:val="00C73638"/>
    <w:rsid w:val="00C73A04"/>
    <w:rsid w:val="00C7422F"/>
    <w:rsid w:val="00C746BB"/>
    <w:rsid w:val="00C74727"/>
    <w:rsid w:val="00C749D3"/>
    <w:rsid w:val="00C74CB9"/>
    <w:rsid w:val="00C75F16"/>
    <w:rsid w:val="00C76BCB"/>
    <w:rsid w:val="00C8026B"/>
    <w:rsid w:val="00C80353"/>
    <w:rsid w:val="00C839E6"/>
    <w:rsid w:val="00C8440D"/>
    <w:rsid w:val="00C85718"/>
    <w:rsid w:val="00C85D31"/>
    <w:rsid w:val="00C86796"/>
    <w:rsid w:val="00C87C91"/>
    <w:rsid w:val="00C87CE9"/>
    <w:rsid w:val="00C9245C"/>
    <w:rsid w:val="00C93F05"/>
    <w:rsid w:val="00CA556E"/>
    <w:rsid w:val="00CA70A8"/>
    <w:rsid w:val="00CA76B7"/>
    <w:rsid w:val="00CA7D44"/>
    <w:rsid w:val="00CB0317"/>
    <w:rsid w:val="00CB0AD7"/>
    <w:rsid w:val="00CB0FDC"/>
    <w:rsid w:val="00CB11D6"/>
    <w:rsid w:val="00CB2988"/>
    <w:rsid w:val="00CB395A"/>
    <w:rsid w:val="00CB3AD4"/>
    <w:rsid w:val="00CB3EAE"/>
    <w:rsid w:val="00CB5173"/>
    <w:rsid w:val="00CB5641"/>
    <w:rsid w:val="00CB6243"/>
    <w:rsid w:val="00CB65FF"/>
    <w:rsid w:val="00CC0028"/>
    <w:rsid w:val="00CC02BC"/>
    <w:rsid w:val="00CC0877"/>
    <w:rsid w:val="00CC10C1"/>
    <w:rsid w:val="00CC1AFB"/>
    <w:rsid w:val="00CC223C"/>
    <w:rsid w:val="00CC31CC"/>
    <w:rsid w:val="00CC4464"/>
    <w:rsid w:val="00CC449A"/>
    <w:rsid w:val="00CC4B6E"/>
    <w:rsid w:val="00CC4C00"/>
    <w:rsid w:val="00CC510A"/>
    <w:rsid w:val="00CC6480"/>
    <w:rsid w:val="00CD02E6"/>
    <w:rsid w:val="00CD0416"/>
    <w:rsid w:val="00CD1284"/>
    <w:rsid w:val="00CD4009"/>
    <w:rsid w:val="00CD5DBA"/>
    <w:rsid w:val="00CD643D"/>
    <w:rsid w:val="00CD66D9"/>
    <w:rsid w:val="00CD6D84"/>
    <w:rsid w:val="00CD7990"/>
    <w:rsid w:val="00CE11AE"/>
    <w:rsid w:val="00CE20A9"/>
    <w:rsid w:val="00CE6625"/>
    <w:rsid w:val="00CE7128"/>
    <w:rsid w:val="00CE72F1"/>
    <w:rsid w:val="00CE773E"/>
    <w:rsid w:val="00CE7CEA"/>
    <w:rsid w:val="00CE7D07"/>
    <w:rsid w:val="00CF0046"/>
    <w:rsid w:val="00CF05B5"/>
    <w:rsid w:val="00CF2F05"/>
    <w:rsid w:val="00CF30D6"/>
    <w:rsid w:val="00CF42F7"/>
    <w:rsid w:val="00CF4C5E"/>
    <w:rsid w:val="00CF5F25"/>
    <w:rsid w:val="00CF6DC9"/>
    <w:rsid w:val="00CF75BA"/>
    <w:rsid w:val="00CF7F01"/>
    <w:rsid w:val="00D012C5"/>
    <w:rsid w:val="00D01B45"/>
    <w:rsid w:val="00D01D54"/>
    <w:rsid w:val="00D0267B"/>
    <w:rsid w:val="00D028CD"/>
    <w:rsid w:val="00D02ECF"/>
    <w:rsid w:val="00D05A6F"/>
    <w:rsid w:val="00D11344"/>
    <w:rsid w:val="00D1177F"/>
    <w:rsid w:val="00D125BC"/>
    <w:rsid w:val="00D12F1C"/>
    <w:rsid w:val="00D13265"/>
    <w:rsid w:val="00D13EC5"/>
    <w:rsid w:val="00D14883"/>
    <w:rsid w:val="00D14BFE"/>
    <w:rsid w:val="00D16B34"/>
    <w:rsid w:val="00D16B8E"/>
    <w:rsid w:val="00D20405"/>
    <w:rsid w:val="00D2040F"/>
    <w:rsid w:val="00D205C1"/>
    <w:rsid w:val="00D21BB3"/>
    <w:rsid w:val="00D22567"/>
    <w:rsid w:val="00D235AA"/>
    <w:rsid w:val="00D266B7"/>
    <w:rsid w:val="00D26968"/>
    <w:rsid w:val="00D30436"/>
    <w:rsid w:val="00D305CA"/>
    <w:rsid w:val="00D30D33"/>
    <w:rsid w:val="00D316DB"/>
    <w:rsid w:val="00D32316"/>
    <w:rsid w:val="00D328CA"/>
    <w:rsid w:val="00D3329B"/>
    <w:rsid w:val="00D33F96"/>
    <w:rsid w:val="00D3501E"/>
    <w:rsid w:val="00D35290"/>
    <w:rsid w:val="00D354ED"/>
    <w:rsid w:val="00D357BE"/>
    <w:rsid w:val="00D35AC0"/>
    <w:rsid w:val="00D37FB0"/>
    <w:rsid w:val="00D43614"/>
    <w:rsid w:val="00D464EE"/>
    <w:rsid w:val="00D47181"/>
    <w:rsid w:val="00D471F9"/>
    <w:rsid w:val="00D5188F"/>
    <w:rsid w:val="00D51F52"/>
    <w:rsid w:val="00D5244E"/>
    <w:rsid w:val="00D54903"/>
    <w:rsid w:val="00D55E42"/>
    <w:rsid w:val="00D6007D"/>
    <w:rsid w:val="00D607C5"/>
    <w:rsid w:val="00D60972"/>
    <w:rsid w:val="00D611B7"/>
    <w:rsid w:val="00D61E4D"/>
    <w:rsid w:val="00D62855"/>
    <w:rsid w:val="00D62F2F"/>
    <w:rsid w:val="00D67A19"/>
    <w:rsid w:val="00D701E3"/>
    <w:rsid w:val="00D7131E"/>
    <w:rsid w:val="00D716D1"/>
    <w:rsid w:val="00D71A94"/>
    <w:rsid w:val="00D72897"/>
    <w:rsid w:val="00D72D6F"/>
    <w:rsid w:val="00D73A0F"/>
    <w:rsid w:val="00D75B1B"/>
    <w:rsid w:val="00D769AE"/>
    <w:rsid w:val="00D76E0E"/>
    <w:rsid w:val="00D76F1F"/>
    <w:rsid w:val="00D77B3A"/>
    <w:rsid w:val="00D77DBE"/>
    <w:rsid w:val="00D80E83"/>
    <w:rsid w:val="00D81580"/>
    <w:rsid w:val="00D82DBC"/>
    <w:rsid w:val="00D82DCF"/>
    <w:rsid w:val="00D82F3D"/>
    <w:rsid w:val="00D83861"/>
    <w:rsid w:val="00D87C73"/>
    <w:rsid w:val="00D90C2F"/>
    <w:rsid w:val="00D913CC"/>
    <w:rsid w:val="00D93507"/>
    <w:rsid w:val="00D93740"/>
    <w:rsid w:val="00D94C00"/>
    <w:rsid w:val="00D96EF7"/>
    <w:rsid w:val="00D97576"/>
    <w:rsid w:val="00D977FC"/>
    <w:rsid w:val="00DA02AA"/>
    <w:rsid w:val="00DA20C5"/>
    <w:rsid w:val="00DA2538"/>
    <w:rsid w:val="00DA269D"/>
    <w:rsid w:val="00DA2D50"/>
    <w:rsid w:val="00DA3F9F"/>
    <w:rsid w:val="00DA43E6"/>
    <w:rsid w:val="00DA44A6"/>
    <w:rsid w:val="00DA4C23"/>
    <w:rsid w:val="00DA5828"/>
    <w:rsid w:val="00DA67D2"/>
    <w:rsid w:val="00DA7671"/>
    <w:rsid w:val="00DB000E"/>
    <w:rsid w:val="00DB2377"/>
    <w:rsid w:val="00DB26D9"/>
    <w:rsid w:val="00DB2D45"/>
    <w:rsid w:val="00DB32BA"/>
    <w:rsid w:val="00DB3DCF"/>
    <w:rsid w:val="00DB6FBA"/>
    <w:rsid w:val="00DC04DD"/>
    <w:rsid w:val="00DC10BA"/>
    <w:rsid w:val="00DC112D"/>
    <w:rsid w:val="00DC11B6"/>
    <w:rsid w:val="00DC4E54"/>
    <w:rsid w:val="00DC5DE3"/>
    <w:rsid w:val="00DC60AE"/>
    <w:rsid w:val="00DC6B1E"/>
    <w:rsid w:val="00DC6E43"/>
    <w:rsid w:val="00DC778D"/>
    <w:rsid w:val="00DD2356"/>
    <w:rsid w:val="00DD354E"/>
    <w:rsid w:val="00DD3BF1"/>
    <w:rsid w:val="00DD41DF"/>
    <w:rsid w:val="00DD5C02"/>
    <w:rsid w:val="00DD5CAD"/>
    <w:rsid w:val="00DD63BF"/>
    <w:rsid w:val="00DD69B7"/>
    <w:rsid w:val="00DD6DB7"/>
    <w:rsid w:val="00DD6FDF"/>
    <w:rsid w:val="00DE006D"/>
    <w:rsid w:val="00DE034A"/>
    <w:rsid w:val="00DE12A8"/>
    <w:rsid w:val="00DE17E1"/>
    <w:rsid w:val="00DE42CD"/>
    <w:rsid w:val="00DE43FB"/>
    <w:rsid w:val="00DE6C44"/>
    <w:rsid w:val="00DE776C"/>
    <w:rsid w:val="00DF0FDF"/>
    <w:rsid w:val="00DF2322"/>
    <w:rsid w:val="00DF2ED7"/>
    <w:rsid w:val="00DF5FB5"/>
    <w:rsid w:val="00DF6924"/>
    <w:rsid w:val="00DF6ABA"/>
    <w:rsid w:val="00E002AE"/>
    <w:rsid w:val="00E0037A"/>
    <w:rsid w:val="00E0041F"/>
    <w:rsid w:val="00E01706"/>
    <w:rsid w:val="00E01B8B"/>
    <w:rsid w:val="00E039FD"/>
    <w:rsid w:val="00E03BCC"/>
    <w:rsid w:val="00E04AFA"/>
    <w:rsid w:val="00E05649"/>
    <w:rsid w:val="00E06892"/>
    <w:rsid w:val="00E102D8"/>
    <w:rsid w:val="00E10DFE"/>
    <w:rsid w:val="00E153DF"/>
    <w:rsid w:val="00E1570C"/>
    <w:rsid w:val="00E16B22"/>
    <w:rsid w:val="00E2007B"/>
    <w:rsid w:val="00E2231E"/>
    <w:rsid w:val="00E22ABA"/>
    <w:rsid w:val="00E24F9E"/>
    <w:rsid w:val="00E26DF1"/>
    <w:rsid w:val="00E27FA2"/>
    <w:rsid w:val="00E30C71"/>
    <w:rsid w:val="00E326C0"/>
    <w:rsid w:val="00E32B21"/>
    <w:rsid w:val="00E32F14"/>
    <w:rsid w:val="00E34001"/>
    <w:rsid w:val="00E34A9A"/>
    <w:rsid w:val="00E35D06"/>
    <w:rsid w:val="00E36937"/>
    <w:rsid w:val="00E40EAE"/>
    <w:rsid w:val="00E41378"/>
    <w:rsid w:val="00E418D3"/>
    <w:rsid w:val="00E42F31"/>
    <w:rsid w:val="00E44738"/>
    <w:rsid w:val="00E44E24"/>
    <w:rsid w:val="00E456AC"/>
    <w:rsid w:val="00E46B64"/>
    <w:rsid w:val="00E47318"/>
    <w:rsid w:val="00E47FFE"/>
    <w:rsid w:val="00E506C5"/>
    <w:rsid w:val="00E509EE"/>
    <w:rsid w:val="00E556D9"/>
    <w:rsid w:val="00E558BC"/>
    <w:rsid w:val="00E55FB0"/>
    <w:rsid w:val="00E56477"/>
    <w:rsid w:val="00E565A0"/>
    <w:rsid w:val="00E57C68"/>
    <w:rsid w:val="00E60E4C"/>
    <w:rsid w:val="00E62255"/>
    <w:rsid w:val="00E624E1"/>
    <w:rsid w:val="00E62DC1"/>
    <w:rsid w:val="00E62E67"/>
    <w:rsid w:val="00E630F0"/>
    <w:rsid w:val="00E64BF4"/>
    <w:rsid w:val="00E65107"/>
    <w:rsid w:val="00E6662E"/>
    <w:rsid w:val="00E6739A"/>
    <w:rsid w:val="00E705F3"/>
    <w:rsid w:val="00E7140D"/>
    <w:rsid w:val="00E72681"/>
    <w:rsid w:val="00E742E7"/>
    <w:rsid w:val="00E75E25"/>
    <w:rsid w:val="00E80FB2"/>
    <w:rsid w:val="00E81011"/>
    <w:rsid w:val="00E820BB"/>
    <w:rsid w:val="00E93706"/>
    <w:rsid w:val="00E9575E"/>
    <w:rsid w:val="00E97048"/>
    <w:rsid w:val="00EA078C"/>
    <w:rsid w:val="00EA17DE"/>
    <w:rsid w:val="00EA1F03"/>
    <w:rsid w:val="00EA25EE"/>
    <w:rsid w:val="00EA3173"/>
    <w:rsid w:val="00EA4A17"/>
    <w:rsid w:val="00EA59EC"/>
    <w:rsid w:val="00EA6923"/>
    <w:rsid w:val="00EA72A7"/>
    <w:rsid w:val="00EA7400"/>
    <w:rsid w:val="00EA7EA4"/>
    <w:rsid w:val="00EB1507"/>
    <w:rsid w:val="00EB193D"/>
    <w:rsid w:val="00EB1F2B"/>
    <w:rsid w:val="00EB2B88"/>
    <w:rsid w:val="00EB347F"/>
    <w:rsid w:val="00EB48B8"/>
    <w:rsid w:val="00EB589F"/>
    <w:rsid w:val="00EB5ADA"/>
    <w:rsid w:val="00EB5F56"/>
    <w:rsid w:val="00EB60ED"/>
    <w:rsid w:val="00EB6B53"/>
    <w:rsid w:val="00EB70D8"/>
    <w:rsid w:val="00EC0F82"/>
    <w:rsid w:val="00EC2231"/>
    <w:rsid w:val="00EC5F69"/>
    <w:rsid w:val="00EC6C92"/>
    <w:rsid w:val="00EC7A11"/>
    <w:rsid w:val="00EC7B8C"/>
    <w:rsid w:val="00ED089F"/>
    <w:rsid w:val="00ED1463"/>
    <w:rsid w:val="00ED1FDE"/>
    <w:rsid w:val="00ED224A"/>
    <w:rsid w:val="00ED32DA"/>
    <w:rsid w:val="00ED372E"/>
    <w:rsid w:val="00ED4AFA"/>
    <w:rsid w:val="00ED4E35"/>
    <w:rsid w:val="00EE1215"/>
    <w:rsid w:val="00EE1DA7"/>
    <w:rsid w:val="00EE1F92"/>
    <w:rsid w:val="00EE2EE1"/>
    <w:rsid w:val="00EE3394"/>
    <w:rsid w:val="00EE3436"/>
    <w:rsid w:val="00EE3B2E"/>
    <w:rsid w:val="00EE3B96"/>
    <w:rsid w:val="00EE3C8F"/>
    <w:rsid w:val="00EE6FDD"/>
    <w:rsid w:val="00EF1D7B"/>
    <w:rsid w:val="00EF24A9"/>
    <w:rsid w:val="00EF3C82"/>
    <w:rsid w:val="00EF3CCC"/>
    <w:rsid w:val="00EF4E5A"/>
    <w:rsid w:val="00EF5631"/>
    <w:rsid w:val="00EF579D"/>
    <w:rsid w:val="00EF6D41"/>
    <w:rsid w:val="00EF7059"/>
    <w:rsid w:val="00EF7824"/>
    <w:rsid w:val="00EF7EDD"/>
    <w:rsid w:val="00F004D6"/>
    <w:rsid w:val="00F00C98"/>
    <w:rsid w:val="00F014A6"/>
    <w:rsid w:val="00F0460E"/>
    <w:rsid w:val="00F04AE6"/>
    <w:rsid w:val="00F04B97"/>
    <w:rsid w:val="00F05C95"/>
    <w:rsid w:val="00F06C27"/>
    <w:rsid w:val="00F07673"/>
    <w:rsid w:val="00F076C3"/>
    <w:rsid w:val="00F106E5"/>
    <w:rsid w:val="00F1129F"/>
    <w:rsid w:val="00F12D84"/>
    <w:rsid w:val="00F1458B"/>
    <w:rsid w:val="00F15151"/>
    <w:rsid w:val="00F206E2"/>
    <w:rsid w:val="00F2080E"/>
    <w:rsid w:val="00F2097B"/>
    <w:rsid w:val="00F228F1"/>
    <w:rsid w:val="00F229EC"/>
    <w:rsid w:val="00F22CE2"/>
    <w:rsid w:val="00F22D4C"/>
    <w:rsid w:val="00F24404"/>
    <w:rsid w:val="00F247A0"/>
    <w:rsid w:val="00F248BF"/>
    <w:rsid w:val="00F24A2D"/>
    <w:rsid w:val="00F24D31"/>
    <w:rsid w:val="00F25665"/>
    <w:rsid w:val="00F271A4"/>
    <w:rsid w:val="00F30F49"/>
    <w:rsid w:val="00F325FC"/>
    <w:rsid w:val="00F3302F"/>
    <w:rsid w:val="00F35278"/>
    <w:rsid w:val="00F369DC"/>
    <w:rsid w:val="00F40725"/>
    <w:rsid w:val="00F40C32"/>
    <w:rsid w:val="00F42311"/>
    <w:rsid w:val="00F42404"/>
    <w:rsid w:val="00F438A7"/>
    <w:rsid w:val="00F43E6F"/>
    <w:rsid w:val="00F445BE"/>
    <w:rsid w:val="00F449F4"/>
    <w:rsid w:val="00F465D0"/>
    <w:rsid w:val="00F504C3"/>
    <w:rsid w:val="00F504F0"/>
    <w:rsid w:val="00F5076E"/>
    <w:rsid w:val="00F50A9B"/>
    <w:rsid w:val="00F51FD7"/>
    <w:rsid w:val="00F5357D"/>
    <w:rsid w:val="00F53A96"/>
    <w:rsid w:val="00F55D35"/>
    <w:rsid w:val="00F57C20"/>
    <w:rsid w:val="00F60844"/>
    <w:rsid w:val="00F61BE6"/>
    <w:rsid w:val="00F62311"/>
    <w:rsid w:val="00F62CB0"/>
    <w:rsid w:val="00F63497"/>
    <w:rsid w:val="00F6369D"/>
    <w:rsid w:val="00F63CF9"/>
    <w:rsid w:val="00F65007"/>
    <w:rsid w:val="00F65430"/>
    <w:rsid w:val="00F655FF"/>
    <w:rsid w:val="00F656D5"/>
    <w:rsid w:val="00F661FF"/>
    <w:rsid w:val="00F673B1"/>
    <w:rsid w:val="00F67D8C"/>
    <w:rsid w:val="00F70D4E"/>
    <w:rsid w:val="00F729C6"/>
    <w:rsid w:val="00F73D28"/>
    <w:rsid w:val="00F73EB7"/>
    <w:rsid w:val="00F741D6"/>
    <w:rsid w:val="00F7602E"/>
    <w:rsid w:val="00F76E08"/>
    <w:rsid w:val="00F800C2"/>
    <w:rsid w:val="00F80CC6"/>
    <w:rsid w:val="00F80CCD"/>
    <w:rsid w:val="00F86267"/>
    <w:rsid w:val="00F86B89"/>
    <w:rsid w:val="00F87D20"/>
    <w:rsid w:val="00F901B2"/>
    <w:rsid w:val="00F91DCA"/>
    <w:rsid w:val="00F95CA7"/>
    <w:rsid w:val="00F95D1B"/>
    <w:rsid w:val="00FA1E7B"/>
    <w:rsid w:val="00FA2805"/>
    <w:rsid w:val="00FA2C6D"/>
    <w:rsid w:val="00FA4080"/>
    <w:rsid w:val="00FA4CCD"/>
    <w:rsid w:val="00FA4E5B"/>
    <w:rsid w:val="00FA5B02"/>
    <w:rsid w:val="00FA5BE1"/>
    <w:rsid w:val="00FB1132"/>
    <w:rsid w:val="00FB299B"/>
    <w:rsid w:val="00FB39D7"/>
    <w:rsid w:val="00FB5969"/>
    <w:rsid w:val="00FB6779"/>
    <w:rsid w:val="00FB6AE8"/>
    <w:rsid w:val="00FB6F9A"/>
    <w:rsid w:val="00FB7229"/>
    <w:rsid w:val="00FB7CA1"/>
    <w:rsid w:val="00FC26D1"/>
    <w:rsid w:val="00FC5219"/>
    <w:rsid w:val="00FC7819"/>
    <w:rsid w:val="00FD0350"/>
    <w:rsid w:val="00FD0FF0"/>
    <w:rsid w:val="00FD162B"/>
    <w:rsid w:val="00FD1F0B"/>
    <w:rsid w:val="00FD2501"/>
    <w:rsid w:val="00FD2A29"/>
    <w:rsid w:val="00FD2E0C"/>
    <w:rsid w:val="00FD4BD2"/>
    <w:rsid w:val="00FD4CC0"/>
    <w:rsid w:val="00FD5666"/>
    <w:rsid w:val="00FD777C"/>
    <w:rsid w:val="00FE08D8"/>
    <w:rsid w:val="00FE1B6B"/>
    <w:rsid w:val="00FE2F0F"/>
    <w:rsid w:val="00FE39BA"/>
    <w:rsid w:val="00FE3BD3"/>
    <w:rsid w:val="00FE4F1C"/>
    <w:rsid w:val="00FE7A62"/>
    <w:rsid w:val="00FF0396"/>
    <w:rsid w:val="00FF1633"/>
    <w:rsid w:val="00FF3853"/>
    <w:rsid w:val="00FF6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D8F00"/>
  <w14:defaultImageDpi w14:val="300"/>
  <w15:docId w15:val="{D91B09E2-74F4-4B1D-A411-267ED1FD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077A"/>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2077A"/>
    <w:pPr>
      <w:keepNext/>
      <w:keepLines/>
      <w:spacing w:before="20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019F"/>
    <w:rPr>
      <w:b/>
      <w:bCs/>
    </w:rPr>
  </w:style>
  <w:style w:type="paragraph" w:styleId="DocumentMap">
    <w:name w:val="Document Map"/>
    <w:basedOn w:val="Normal"/>
    <w:link w:val="DocumentMapChar"/>
    <w:uiPriority w:val="99"/>
    <w:semiHidden/>
    <w:unhideWhenUsed/>
    <w:rsid w:val="00C22B7A"/>
    <w:rPr>
      <w:rFonts w:ascii="Lucida Grande" w:hAnsi="Lucida Grande" w:cs="Lucida Grande"/>
    </w:rPr>
  </w:style>
  <w:style w:type="character" w:customStyle="1" w:styleId="DocumentMapChar">
    <w:name w:val="Document Map Char"/>
    <w:basedOn w:val="DefaultParagraphFont"/>
    <w:link w:val="DocumentMap"/>
    <w:uiPriority w:val="99"/>
    <w:semiHidden/>
    <w:rsid w:val="00C22B7A"/>
    <w:rPr>
      <w:rFonts w:ascii="Lucida Grande" w:hAnsi="Lucida Grande" w:cs="Lucida Grande"/>
    </w:rPr>
  </w:style>
  <w:style w:type="paragraph" w:styleId="ListParagraph">
    <w:name w:val="List Paragraph"/>
    <w:basedOn w:val="Normal"/>
    <w:uiPriority w:val="34"/>
    <w:qFormat/>
    <w:rsid w:val="00C22B7A"/>
    <w:pPr>
      <w:ind w:left="720"/>
      <w:contextualSpacing/>
    </w:pPr>
  </w:style>
  <w:style w:type="paragraph" w:styleId="FootnoteText">
    <w:name w:val="footnote text"/>
    <w:basedOn w:val="Normal"/>
    <w:link w:val="FootnoteTextChar"/>
    <w:uiPriority w:val="99"/>
    <w:unhideWhenUsed/>
    <w:rsid w:val="008E4342"/>
    <w:rPr>
      <w:sz w:val="20"/>
    </w:rPr>
  </w:style>
  <w:style w:type="character" w:customStyle="1" w:styleId="FootnoteTextChar">
    <w:name w:val="Footnote Text Char"/>
    <w:basedOn w:val="DefaultParagraphFont"/>
    <w:link w:val="FootnoteText"/>
    <w:uiPriority w:val="99"/>
    <w:rsid w:val="008E4342"/>
    <w:rPr>
      <w:sz w:val="20"/>
    </w:rPr>
  </w:style>
  <w:style w:type="character" w:styleId="FootnoteReference">
    <w:name w:val="footnote reference"/>
    <w:basedOn w:val="DefaultParagraphFont"/>
    <w:uiPriority w:val="99"/>
    <w:unhideWhenUsed/>
    <w:rsid w:val="008E4342"/>
    <w:rPr>
      <w:sz w:val="20"/>
      <w:vertAlign w:val="superscript"/>
    </w:rPr>
  </w:style>
  <w:style w:type="character" w:customStyle="1" w:styleId="Heading1Char">
    <w:name w:val="Heading 1 Char"/>
    <w:basedOn w:val="DefaultParagraphFont"/>
    <w:link w:val="Heading1"/>
    <w:uiPriority w:val="9"/>
    <w:rsid w:val="0042077A"/>
    <w:rPr>
      <w:rFonts w:eastAsiaTheme="majorEastAsia" w:cstheme="majorBidi"/>
      <w:b/>
      <w:bCs/>
      <w:szCs w:val="28"/>
    </w:rPr>
  </w:style>
  <w:style w:type="character" w:customStyle="1" w:styleId="Heading2Char">
    <w:name w:val="Heading 2 Char"/>
    <w:basedOn w:val="DefaultParagraphFont"/>
    <w:link w:val="Heading2"/>
    <w:uiPriority w:val="9"/>
    <w:rsid w:val="0042077A"/>
    <w:rPr>
      <w:rFonts w:eastAsiaTheme="majorEastAsia" w:cstheme="majorBidi"/>
      <w:bCs/>
      <w:i/>
      <w:szCs w:val="26"/>
    </w:rPr>
  </w:style>
  <w:style w:type="paragraph" w:styleId="NoSpacing">
    <w:name w:val="No Spacing"/>
    <w:uiPriority w:val="1"/>
    <w:qFormat/>
    <w:rsid w:val="006B259B"/>
  </w:style>
  <w:style w:type="character" w:styleId="Hyperlink">
    <w:name w:val="Hyperlink"/>
    <w:basedOn w:val="DefaultParagraphFont"/>
    <w:uiPriority w:val="99"/>
    <w:unhideWhenUsed/>
    <w:rsid w:val="008678A6"/>
    <w:rPr>
      <w:color w:val="0000FF" w:themeColor="hyperlink"/>
      <w:u w:val="single"/>
    </w:rPr>
  </w:style>
  <w:style w:type="paragraph" w:styleId="Header">
    <w:name w:val="header"/>
    <w:basedOn w:val="Normal"/>
    <w:link w:val="HeaderChar"/>
    <w:uiPriority w:val="99"/>
    <w:unhideWhenUsed/>
    <w:rsid w:val="0005621E"/>
    <w:pPr>
      <w:tabs>
        <w:tab w:val="center" w:pos="4513"/>
        <w:tab w:val="right" w:pos="9026"/>
      </w:tabs>
    </w:pPr>
  </w:style>
  <w:style w:type="character" w:customStyle="1" w:styleId="HeaderChar">
    <w:name w:val="Header Char"/>
    <w:basedOn w:val="DefaultParagraphFont"/>
    <w:link w:val="Header"/>
    <w:uiPriority w:val="99"/>
    <w:rsid w:val="0005621E"/>
  </w:style>
  <w:style w:type="paragraph" w:styleId="Footer">
    <w:name w:val="footer"/>
    <w:basedOn w:val="Normal"/>
    <w:link w:val="FooterChar"/>
    <w:uiPriority w:val="99"/>
    <w:unhideWhenUsed/>
    <w:rsid w:val="0005621E"/>
    <w:pPr>
      <w:tabs>
        <w:tab w:val="center" w:pos="4513"/>
        <w:tab w:val="right" w:pos="9026"/>
      </w:tabs>
    </w:pPr>
  </w:style>
  <w:style w:type="character" w:customStyle="1" w:styleId="FooterChar">
    <w:name w:val="Footer Char"/>
    <w:basedOn w:val="DefaultParagraphFont"/>
    <w:link w:val="Footer"/>
    <w:uiPriority w:val="99"/>
    <w:rsid w:val="0005621E"/>
  </w:style>
  <w:style w:type="character" w:styleId="CommentReference">
    <w:name w:val="annotation reference"/>
    <w:basedOn w:val="DefaultParagraphFont"/>
    <w:uiPriority w:val="99"/>
    <w:semiHidden/>
    <w:unhideWhenUsed/>
    <w:rsid w:val="007A253D"/>
    <w:rPr>
      <w:sz w:val="16"/>
      <w:szCs w:val="16"/>
    </w:rPr>
  </w:style>
  <w:style w:type="paragraph" w:styleId="CommentText">
    <w:name w:val="annotation text"/>
    <w:basedOn w:val="Normal"/>
    <w:link w:val="CommentTextChar"/>
    <w:uiPriority w:val="99"/>
    <w:semiHidden/>
    <w:unhideWhenUsed/>
    <w:rsid w:val="007A253D"/>
    <w:rPr>
      <w:sz w:val="20"/>
      <w:szCs w:val="20"/>
    </w:rPr>
  </w:style>
  <w:style w:type="character" w:customStyle="1" w:styleId="CommentTextChar">
    <w:name w:val="Comment Text Char"/>
    <w:basedOn w:val="DefaultParagraphFont"/>
    <w:link w:val="CommentText"/>
    <w:uiPriority w:val="99"/>
    <w:semiHidden/>
    <w:rsid w:val="007A253D"/>
    <w:rPr>
      <w:sz w:val="20"/>
      <w:szCs w:val="20"/>
    </w:rPr>
  </w:style>
  <w:style w:type="paragraph" w:styleId="CommentSubject">
    <w:name w:val="annotation subject"/>
    <w:basedOn w:val="CommentText"/>
    <w:next w:val="CommentText"/>
    <w:link w:val="CommentSubjectChar"/>
    <w:uiPriority w:val="99"/>
    <w:semiHidden/>
    <w:unhideWhenUsed/>
    <w:rsid w:val="007A253D"/>
    <w:rPr>
      <w:b/>
      <w:bCs/>
    </w:rPr>
  </w:style>
  <w:style w:type="character" w:customStyle="1" w:styleId="CommentSubjectChar">
    <w:name w:val="Comment Subject Char"/>
    <w:basedOn w:val="CommentTextChar"/>
    <w:link w:val="CommentSubject"/>
    <w:uiPriority w:val="99"/>
    <w:semiHidden/>
    <w:rsid w:val="007A253D"/>
    <w:rPr>
      <w:b/>
      <w:bCs/>
      <w:sz w:val="20"/>
      <w:szCs w:val="20"/>
    </w:rPr>
  </w:style>
  <w:style w:type="paragraph" w:styleId="BalloonText">
    <w:name w:val="Balloon Text"/>
    <w:basedOn w:val="Normal"/>
    <w:link w:val="BalloonTextChar"/>
    <w:uiPriority w:val="99"/>
    <w:semiHidden/>
    <w:unhideWhenUsed/>
    <w:rsid w:val="007A253D"/>
    <w:rPr>
      <w:rFonts w:ascii="Tahoma" w:hAnsi="Tahoma" w:cs="Tahoma"/>
      <w:sz w:val="16"/>
      <w:szCs w:val="16"/>
    </w:rPr>
  </w:style>
  <w:style w:type="character" w:customStyle="1" w:styleId="BalloonTextChar">
    <w:name w:val="Balloon Text Char"/>
    <w:basedOn w:val="DefaultParagraphFont"/>
    <w:link w:val="BalloonText"/>
    <w:uiPriority w:val="99"/>
    <w:semiHidden/>
    <w:rsid w:val="007A253D"/>
    <w:rPr>
      <w:rFonts w:ascii="Tahoma" w:hAnsi="Tahoma" w:cs="Tahoma"/>
      <w:sz w:val="16"/>
      <w:szCs w:val="16"/>
    </w:rPr>
  </w:style>
  <w:style w:type="character" w:styleId="FollowedHyperlink">
    <w:name w:val="FollowedHyperlink"/>
    <w:basedOn w:val="DefaultParagraphFont"/>
    <w:uiPriority w:val="99"/>
    <w:semiHidden/>
    <w:unhideWhenUsed/>
    <w:rsid w:val="00C85D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5576">
      <w:bodyDiv w:val="1"/>
      <w:marLeft w:val="0"/>
      <w:marRight w:val="0"/>
      <w:marTop w:val="0"/>
      <w:marBottom w:val="0"/>
      <w:divBdr>
        <w:top w:val="none" w:sz="0" w:space="0" w:color="auto"/>
        <w:left w:val="none" w:sz="0" w:space="0" w:color="auto"/>
        <w:bottom w:val="none" w:sz="0" w:space="0" w:color="auto"/>
        <w:right w:val="none" w:sz="0" w:space="0" w:color="auto"/>
      </w:divBdr>
    </w:div>
    <w:div w:id="825970449">
      <w:bodyDiv w:val="1"/>
      <w:marLeft w:val="0"/>
      <w:marRight w:val="0"/>
      <w:marTop w:val="0"/>
      <w:marBottom w:val="0"/>
      <w:divBdr>
        <w:top w:val="none" w:sz="0" w:space="0" w:color="auto"/>
        <w:left w:val="none" w:sz="0" w:space="0" w:color="auto"/>
        <w:bottom w:val="none" w:sz="0" w:space="0" w:color="auto"/>
        <w:right w:val="none" w:sz="0" w:space="0" w:color="auto"/>
      </w:divBdr>
    </w:div>
    <w:div w:id="1672635742">
      <w:bodyDiv w:val="1"/>
      <w:marLeft w:val="0"/>
      <w:marRight w:val="0"/>
      <w:marTop w:val="0"/>
      <w:marBottom w:val="0"/>
      <w:divBdr>
        <w:top w:val="none" w:sz="0" w:space="0" w:color="auto"/>
        <w:left w:val="none" w:sz="0" w:space="0" w:color="auto"/>
        <w:bottom w:val="none" w:sz="0" w:space="0" w:color="auto"/>
        <w:right w:val="none" w:sz="0" w:space="0" w:color="auto"/>
      </w:divBdr>
    </w:div>
    <w:div w:id="1822771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hevrontoxico.com/assets/docs/2012-01-03-appeal-decision-english.pdf" TargetMode="External"/><Relationship Id="rId13" Type="http://schemas.openxmlformats.org/officeDocument/2006/relationships/hyperlink" Target="http://www.clusterconvention.org/files/2013/01/CCM14_001.pdf" TargetMode="External"/><Relationship Id="rId18" Type="http://schemas.openxmlformats.org/officeDocument/2006/relationships/hyperlink" Target="http://milieudefensie.nl/publicaties/bezwaren-uitspraken/final-judgment-akpan-vs-shell-oil-spill-ikot-ada-udo" TargetMode="External"/><Relationship Id="rId3" Type="http://schemas.openxmlformats.org/officeDocument/2006/relationships/hyperlink" Target="http://business-humanrights.org/en/get-real-or-well-get-nothing-reflections-on-the-first-session-of-the-intergovernmental-working-group-on-a-business-and-human-rights-treaty" TargetMode="External"/><Relationship Id="rId21" Type="http://schemas.openxmlformats.org/officeDocument/2006/relationships/hyperlink" Target="http://www.ihrb.org/commentary/guest/beyond-the-guiding-principles.html" TargetMode="External"/><Relationship Id="rId7" Type="http://schemas.openxmlformats.org/officeDocument/2006/relationships/hyperlink" Target="http://www.ohchr.org/Documents/HRBodies/HRCouncil/WGTransCorp/Session1/Draftreport.pdf" TargetMode="External"/><Relationship Id="rId12" Type="http://schemas.openxmlformats.org/officeDocument/2006/relationships/hyperlink" Target="http://www.apminebanconvention.org/fileadmin/APMBC/IWP/SC_may03/speeches_gs/UK_Art_1.pdf" TargetMode="External"/><Relationship Id="rId17" Type="http://schemas.openxmlformats.org/officeDocument/2006/relationships/hyperlink" Target="http://papers.ssrn.com/sol3/papers.cfm?abstract_id=2642254" TargetMode="External"/><Relationship Id="rId25" Type="http://schemas.openxmlformats.org/officeDocument/2006/relationships/hyperlink" Target="http://www.l4bb.org/news/tribunal.pdf" TargetMode="External"/><Relationship Id="rId2" Type="http://schemas.openxmlformats.org/officeDocument/2006/relationships/hyperlink" Target="http://jamesgstewart.com/would-a-treaty-be-all-it-is-made-up-to-be/" TargetMode="External"/><Relationship Id="rId16" Type="http://schemas.openxmlformats.org/officeDocument/2006/relationships/hyperlink" Target="http://www.ohchr.org/Documents/Issues/Business/WGStatementEcuadorWorkshop12Mar2014.pdf" TargetMode="External"/><Relationship Id="rId20" Type="http://schemas.openxmlformats.org/officeDocument/2006/relationships/hyperlink" Target="http://www.asil.org/insights/volume/18/issue/1/arctic-sunrise-and-ngos-international-judicial-proceedings" TargetMode="External"/><Relationship Id="rId1" Type="http://schemas.openxmlformats.org/officeDocument/2006/relationships/hyperlink" Target="http://papers.ssrn.com/sol3/papers.cfm?abstract_id=2562760" TargetMode="External"/><Relationship Id="rId6" Type="http://schemas.openxmlformats.org/officeDocument/2006/relationships/hyperlink" Target="http://business-humanrights.org/media/documents/statement-unhrc-legally-binding.pdf" TargetMode="External"/><Relationship Id="rId11" Type="http://schemas.openxmlformats.org/officeDocument/2006/relationships/hyperlink" Target="http://www.litigationdaily.com/id=1202724404971/The-Global-Lawyer-Will-Chevron-Lose-in-the-Second-Circuit?slreturn=20150729103702" TargetMode="External"/><Relationship Id="rId24" Type="http://schemas.openxmlformats.org/officeDocument/2006/relationships/hyperlink" Target="http://bim.lbg.ac.at/files/sites/bim/World%20Court%20of%20Human%20Rights_BIM_0.pdf" TargetMode="External"/><Relationship Id="rId5" Type="http://schemas.openxmlformats.org/officeDocument/2006/relationships/hyperlink" Target="https://www.escr-net.org/sites/default/files/scope_of_treaty.pdf" TargetMode="External"/><Relationship Id="rId15" Type="http://schemas.openxmlformats.org/officeDocument/2006/relationships/hyperlink" Target="https://www.hks.harvard.edu/m-rcbg/CSRI/UNBusinessandHumanRightsTreaty.pdf" TargetMode="External"/><Relationship Id="rId23" Type="http://schemas.openxmlformats.org/officeDocument/2006/relationships/hyperlink" Target="http://news.bbc.co.uk/1/hi/business/3133108.stm" TargetMode="External"/><Relationship Id="rId10" Type="http://schemas.openxmlformats.org/officeDocument/2006/relationships/hyperlink" Target="http://www.italaw.com/cases/257" TargetMode="External"/><Relationship Id="rId19" Type="http://schemas.openxmlformats.org/officeDocument/2006/relationships/hyperlink" Target="http://www.foei.org/news/outcome-appeal-shell-victory-environment-nigerian-people-friends-earth-netherlands" TargetMode="External"/><Relationship Id="rId4" Type="http://schemas.openxmlformats.org/officeDocument/2006/relationships/hyperlink" Target="http://www.ohchr.org/EN/NewsEvents/Pages/DisplayNews.aspx?NewsID=16097" TargetMode="External"/><Relationship Id="rId9" Type="http://schemas.openxmlformats.org/officeDocument/2006/relationships/hyperlink" Target="http://ca.reuters.com/article/businessNews/idCABRE9AC0YY20131113" TargetMode="External"/><Relationship Id="rId14" Type="http://schemas.openxmlformats.org/officeDocument/2006/relationships/hyperlink" Target="http://www.sharesproject.nl/the-seabed-disputes-chamber-clarified-the-meaning-of-joint-and-several-liability-but-also-raised-new-questions/" TargetMode="External"/><Relationship Id="rId22" Type="http://schemas.openxmlformats.org/officeDocument/2006/relationships/hyperlink" Target="http://www.theguardian.com/world/2015/aug/20/spain-judge-baltasar-garzon-prosecute-global-corporation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8FAF6-98DA-46EB-B100-84EE2BD6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39</Pages>
  <Words>12123</Words>
  <Characters>69106</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81067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 McConnell</cp:lastModifiedBy>
  <cp:revision>120</cp:revision>
  <dcterms:created xsi:type="dcterms:W3CDTF">2016-08-10T15:09:00Z</dcterms:created>
  <dcterms:modified xsi:type="dcterms:W3CDTF">2017-06-13T19:35:00Z</dcterms:modified>
</cp:coreProperties>
</file>