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5974E" w14:textId="77777777" w:rsidR="00D56D2B" w:rsidRPr="00D56D2B" w:rsidRDefault="00D56D2B" w:rsidP="00D56D2B">
      <w:pPr>
        <w:autoSpaceDE w:val="0"/>
        <w:autoSpaceDN w:val="0"/>
        <w:adjustRightInd w:val="0"/>
        <w:spacing w:after="0" w:line="240" w:lineRule="auto"/>
        <w:jc w:val="center"/>
        <w:rPr>
          <w:rFonts w:ascii="Arial" w:hAnsi="Arial" w:cs="Arial"/>
          <w:b/>
          <w:sz w:val="24"/>
          <w:szCs w:val="24"/>
        </w:rPr>
      </w:pPr>
      <w:r w:rsidRPr="00D56D2B">
        <w:rPr>
          <w:rFonts w:ascii="Arial" w:hAnsi="Arial" w:cs="Arial"/>
          <w:b/>
          <w:sz w:val="24"/>
          <w:szCs w:val="24"/>
        </w:rPr>
        <w:t>SRHE International Conference on Research into Higher Education</w:t>
      </w:r>
    </w:p>
    <w:p w14:paraId="45CA889E" w14:textId="77777777" w:rsidR="00D56D2B" w:rsidRPr="00D56D2B" w:rsidRDefault="00D56D2B" w:rsidP="00D56D2B">
      <w:pPr>
        <w:autoSpaceDE w:val="0"/>
        <w:autoSpaceDN w:val="0"/>
        <w:adjustRightInd w:val="0"/>
        <w:spacing w:after="0" w:line="240" w:lineRule="auto"/>
        <w:jc w:val="center"/>
        <w:rPr>
          <w:rFonts w:ascii="Arial" w:hAnsi="Arial" w:cs="Arial"/>
          <w:b/>
          <w:sz w:val="24"/>
          <w:szCs w:val="24"/>
        </w:rPr>
      </w:pPr>
      <w:r w:rsidRPr="00D56D2B">
        <w:rPr>
          <w:rFonts w:ascii="Arial" w:hAnsi="Arial" w:cs="Arial"/>
          <w:b/>
          <w:sz w:val="24"/>
          <w:szCs w:val="24"/>
        </w:rPr>
        <w:t>December 7-9 2016</w:t>
      </w:r>
    </w:p>
    <w:p w14:paraId="05E7E3DA" w14:textId="77777777" w:rsidR="00D56D2B" w:rsidRPr="00D56D2B" w:rsidRDefault="00D56D2B" w:rsidP="00D56D2B">
      <w:pPr>
        <w:autoSpaceDE w:val="0"/>
        <w:autoSpaceDN w:val="0"/>
        <w:adjustRightInd w:val="0"/>
        <w:spacing w:after="0" w:line="240" w:lineRule="auto"/>
        <w:jc w:val="center"/>
        <w:rPr>
          <w:rFonts w:ascii="Arial" w:hAnsi="Arial" w:cs="Arial"/>
          <w:b/>
          <w:sz w:val="24"/>
          <w:szCs w:val="24"/>
        </w:rPr>
      </w:pPr>
      <w:r w:rsidRPr="00D56D2B">
        <w:rPr>
          <w:rFonts w:ascii="Arial" w:hAnsi="Arial" w:cs="Arial"/>
          <w:b/>
          <w:sz w:val="24"/>
          <w:szCs w:val="24"/>
        </w:rPr>
        <w:t>Celtic Manor, Newport in South Wales, United Kingdom</w:t>
      </w:r>
    </w:p>
    <w:p w14:paraId="2C1CDC7E" w14:textId="77777777" w:rsidR="00D56D2B" w:rsidRPr="00D56D2B" w:rsidRDefault="00D56D2B" w:rsidP="00D56D2B">
      <w:pPr>
        <w:autoSpaceDE w:val="0"/>
        <w:autoSpaceDN w:val="0"/>
        <w:adjustRightInd w:val="0"/>
        <w:spacing w:after="0" w:line="240" w:lineRule="auto"/>
        <w:rPr>
          <w:rFonts w:ascii="Arial" w:hAnsi="Arial" w:cs="Arial"/>
          <w:sz w:val="24"/>
          <w:szCs w:val="24"/>
        </w:rPr>
      </w:pPr>
    </w:p>
    <w:p w14:paraId="6A438D63" w14:textId="77777777" w:rsidR="00D56D2B" w:rsidRPr="00D56D2B" w:rsidRDefault="00D56D2B" w:rsidP="00D56D2B">
      <w:pPr>
        <w:autoSpaceDE w:val="0"/>
        <w:autoSpaceDN w:val="0"/>
        <w:adjustRightInd w:val="0"/>
        <w:spacing w:after="0" w:line="240" w:lineRule="auto"/>
        <w:rPr>
          <w:rFonts w:ascii="Arial" w:hAnsi="Arial" w:cs="Arial"/>
          <w:b/>
          <w:sz w:val="24"/>
          <w:szCs w:val="24"/>
        </w:rPr>
      </w:pPr>
      <w:r w:rsidRPr="00D56D2B">
        <w:rPr>
          <w:rFonts w:ascii="Arial" w:hAnsi="Arial" w:cs="Arial"/>
          <w:b/>
          <w:sz w:val="24"/>
          <w:szCs w:val="24"/>
        </w:rPr>
        <w:t>Conference Theme 2016</w:t>
      </w:r>
    </w:p>
    <w:p w14:paraId="3C93F0F9" w14:textId="77777777" w:rsidR="00D56D2B" w:rsidRPr="00D56D2B" w:rsidRDefault="00D56D2B" w:rsidP="00D56D2B">
      <w:pPr>
        <w:spacing w:line="240" w:lineRule="auto"/>
        <w:rPr>
          <w:rFonts w:ascii="Arial" w:hAnsi="Arial" w:cs="Arial"/>
          <w:sz w:val="24"/>
          <w:szCs w:val="24"/>
        </w:rPr>
      </w:pPr>
      <w:r w:rsidRPr="00D56D2B">
        <w:rPr>
          <w:rFonts w:ascii="Arial" w:hAnsi="Arial" w:cs="Arial"/>
          <w:sz w:val="24"/>
          <w:szCs w:val="24"/>
        </w:rPr>
        <w:t>Exploring Freedom and Control in global higher education</w:t>
      </w:r>
    </w:p>
    <w:p w14:paraId="12904A6A" w14:textId="77777777" w:rsidR="009A501D" w:rsidRDefault="00D56D2B" w:rsidP="00D56D2B">
      <w:pPr>
        <w:spacing w:line="240" w:lineRule="auto"/>
        <w:rPr>
          <w:rFonts w:ascii="Arial" w:hAnsi="Arial" w:cs="Arial"/>
          <w:sz w:val="24"/>
          <w:szCs w:val="24"/>
        </w:rPr>
      </w:pPr>
      <w:r w:rsidRPr="00D56D2B">
        <w:rPr>
          <w:rFonts w:ascii="Arial" w:hAnsi="Arial" w:cs="Arial"/>
          <w:b/>
          <w:sz w:val="24"/>
          <w:szCs w:val="24"/>
        </w:rPr>
        <w:t>Research domain</w:t>
      </w:r>
      <w:r w:rsidRPr="00D56D2B">
        <w:rPr>
          <w:rFonts w:ascii="Arial" w:hAnsi="Arial" w:cs="Arial"/>
          <w:sz w:val="24"/>
          <w:szCs w:val="24"/>
        </w:rPr>
        <w:t>: Employability, enterprise and graduate careers (EE)</w:t>
      </w:r>
    </w:p>
    <w:p w14:paraId="448382B3" w14:textId="77777777" w:rsidR="00EC3260" w:rsidRPr="00EC3260" w:rsidRDefault="0051191B" w:rsidP="00D56D2B">
      <w:pPr>
        <w:spacing w:line="240" w:lineRule="auto"/>
        <w:rPr>
          <w:rFonts w:ascii="Arial" w:hAnsi="Arial" w:cs="Arial"/>
          <w:color w:val="FF0000"/>
          <w:sz w:val="24"/>
          <w:szCs w:val="24"/>
        </w:rPr>
      </w:pPr>
      <w:r>
        <w:rPr>
          <w:rFonts w:ascii="Arial" w:hAnsi="Arial" w:cs="Arial"/>
          <w:sz w:val="24"/>
          <w:szCs w:val="24"/>
        </w:rPr>
        <w:t xml:space="preserve">Individual </w:t>
      </w:r>
      <w:r w:rsidR="00EC3260">
        <w:rPr>
          <w:rFonts w:ascii="Arial" w:hAnsi="Arial" w:cs="Arial"/>
          <w:sz w:val="24"/>
          <w:szCs w:val="24"/>
        </w:rPr>
        <w:t xml:space="preserve">Paper Submission: </w:t>
      </w:r>
      <w:r w:rsidR="002F164C">
        <w:rPr>
          <w:rFonts w:ascii="Arial" w:hAnsi="Arial" w:cs="Arial"/>
          <w:color w:val="FF0000"/>
          <w:sz w:val="24"/>
          <w:szCs w:val="24"/>
        </w:rPr>
        <w:t xml:space="preserve"> </w:t>
      </w:r>
      <w:r w:rsidR="002F164C" w:rsidRPr="00B00E7C">
        <w:rPr>
          <w:rFonts w:ascii="Arial" w:hAnsi="Arial" w:cs="Arial"/>
          <w:sz w:val="24"/>
          <w:szCs w:val="24"/>
        </w:rPr>
        <w:t>Impact of clinical education on employab</w:t>
      </w:r>
      <w:r w:rsidR="00CF31F3">
        <w:rPr>
          <w:rFonts w:ascii="Arial" w:hAnsi="Arial" w:cs="Arial"/>
          <w:sz w:val="24"/>
          <w:szCs w:val="24"/>
        </w:rPr>
        <w:t>i</w:t>
      </w:r>
      <w:r w:rsidR="002F164C" w:rsidRPr="00B00E7C">
        <w:rPr>
          <w:rFonts w:ascii="Arial" w:hAnsi="Arial" w:cs="Arial"/>
          <w:sz w:val="24"/>
          <w:szCs w:val="24"/>
        </w:rPr>
        <w:t>lity</w:t>
      </w:r>
    </w:p>
    <w:p w14:paraId="0439DDBB" w14:textId="77777777" w:rsidR="00D56D2B" w:rsidRDefault="00D56D2B" w:rsidP="00D56D2B">
      <w:pPr>
        <w:spacing w:line="240" w:lineRule="auto"/>
        <w:rPr>
          <w:rFonts w:ascii="Arial" w:hAnsi="Arial" w:cs="Arial"/>
          <w:sz w:val="24"/>
          <w:szCs w:val="24"/>
        </w:rPr>
      </w:pPr>
    </w:p>
    <w:p w14:paraId="3AFBF419" w14:textId="77777777" w:rsidR="00D56D2B" w:rsidRDefault="00D56D2B" w:rsidP="00D56D2B">
      <w:pPr>
        <w:spacing w:line="240" w:lineRule="auto"/>
        <w:rPr>
          <w:rFonts w:ascii="Arial" w:hAnsi="Arial" w:cs="Arial"/>
          <w:sz w:val="24"/>
          <w:szCs w:val="24"/>
        </w:rPr>
      </w:pPr>
      <w:r>
        <w:rPr>
          <w:rFonts w:ascii="Arial" w:hAnsi="Arial" w:cs="Arial"/>
          <w:sz w:val="24"/>
          <w:szCs w:val="24"/>
        </w:rPr>
        <w:t>Jill Alexander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Carol Boothby</w:t>
      </w:r>
    </w:p>
    <w:p w14:paraId="6ED04084" w14:textId="77777777" w:rsidR="00D56D2B" w:rsidRDefault="00D56D2B" w:rsidP="00D56D2B">
      <w:pPr>
        <w:spacing w:line="240" w:lineRule="auto"/>
        <w:rPr>
          <w:rFonts w:ascii="Arial" w:hAnsi="Arial" w:cs="Arial"/>
          <w:sz w:val="24"/>
          <w:szCs w:val="24"/>
        </w:rPr>
      </w:pPr>
      <w:r>
        <w:rPr>
          <w:rFonts w:ascii="Arial" w:hAnsi="Arial" w:cs="Arial"/>
          <w:sz w:val="24"/>
          <w:szCs w:val="24"/>
        </w:rPr>
        <w:t>Principal Lecturer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Associate Professor</w:t>
      </w:r>
    </w:p>
    <w:p w14:paraId="4647F533" w14:textId="77777777" w:rsidR="00D56D2B" w:rsidRDefault="00D56D2B" w:rsidP="00D56D2B">
      <w:pPr>
        <w:spacing w:line="240" w:lineRule="auto"/>
        <w:rPr>
          <w:rFonts w:ascii="Arial" w:hAnsi="Arial" w:cs="Arial"/>
          <w:sz w:val="24"/>
          <w:szCs w:val="24"/>
        </w:rPr>
      </w:pPr>
      <w:r>
        <w:rPr>
          <w:rFonts w:ascii="Arial" w:hAnsi="Arial" w:cs="Arial"/>
          <w:sz w:val="24"/>
          <w:szCs w:val="24"/>
        </w:rPr>
        <w:t>Faculty of Business &amp; Law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Faculty of Business &amp; Law</w:t>
      </w:r>
    </w:p>
    <w:p w14:paraId="51967912" w14:textId="77777777" w:rsidR="00D56D2B" w:rsidRDefault="00D56D2B" w:rsidP="00D56D2B">
      <w:pPr>
        <w:spacing w:line="240" w:lineRule="auto"/>
        <w:rPr>
          <w:rFonts w:ascii="Arial" w:hAnsi="Arial" w:cs="Arial"/>
          <w:sz w:val="24"/>
          <w:szCs w:val="24"/>
        </w:rPr>
      </w:pPr>
      <w:r>
        <w:rPr>
          <w:rFonts w:ascii="Arial" w:hAnsi="Arial" w:cs="Arial"/>
          <w:sz w:val="24"/>
          <w:szCs w:val="24"/>
        </w:rPr>
        <w:t>Northumbria University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Northumbria University</w:t>
      </w:r>
    </w:p>
    <w:p w14:paraId="14AF95B0" w14:textId="77777777" w:rsidR="00D56D2B" w:rsidRDefault="00D56D2B" w:rsidP="00D56D2B">
      <w:pPr>
        <w:spacing w:line="240" w:lineRule="auto"/>
        <w:rPr>
          <w:rFonts w:ascii="Arial" w:hAnsi="Arial" w:cs="Arial"/>
          <w:sz w:val="24"/>
          <w:szCs w:val="24"/>
        </w:rPr>
      </w:pPr>
      <w:r>
        <w:rPr>
          <w:rFonts w:ascii="Arial" w:hAnsi="Arial" w:cs="Arial"/>
          <w:sz w:val="24"/>
          <w:szCs w:val="24"/>
        </w:rPr>
        <w:t>NE1 8ST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NE1 8ST</w:t>
      </w:r>
    </w:p>
    <w:p w14:paraId="2F0E34DD" w14:textId="77777777" w:rsidR="00D56D2B" w:rsidRDefault="00D56D2B" w:rsidP="00D56D2B">
      <w:pPr>
        <w:spacing w:line="240" w:lineRule="auto"/>
        <w:rPr>
          <w:rFonts w:ascii="Arial" w:hAnsi="Arial" w:cs="Arial"/>
          <w:sz w:val="24"/>
          <w:szCs w:val="24"/>
        </w:rPr>
      </w:pPr>
      <w:r>
        <w:rPr>
          <w:rFonts w:ascii="Arial" w:hAnsi="Arial" w:cs="Arial"/>
          <w:sz w:val="24"/>
          <w:szCs w:val="24"/>
        </w:rPr>
        <w:t>0191 227 4333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0191 227 </w:t>
      </w:r>
      <w:r w:rsidR="00665FB1">
        <w:rPr>
          <w:rFonts w:ascii="Arial" w:hAnsi="Arial" w:cs="Arial"/>
          <w:sz w:val="24"/>
          <w:szCs w:val="24"/>
        </w:rPr>
        <w:t>7529</w:t>
      </w:r>
    </w:p>
    <w:p w14:paraId="4F0ED767" w14:textId="77777777" w:rsidR="00D56D2B" w:rsidRDefault="00322D5C" w:rsidP="00D56D2B">
      <w:pPr>
        <w:spacing w:line="240" w:lineRule="auto"/>
        <w:rPr>
          <w:rFonts w:ascii="Arial" w:hAnsi="Arial" w:cs="Arial"/>
          <w:sz w:val="24"/>
          <w:szCs w:val="24"/>
        </w:rPr>
      </w:pPr>
      <w:hyperlink r:id="rId5" w:history="1">
        <w:r w:rsidR="00D56D2B" w:rsidRPr="00F714C4">
          <w:rPr>
            <w:rStyle w:val="Hyperlink"/>
            <w:rFonts w:ascii="Arial" w:hAnsi="Arial" w:cs="Arial"/>
            <w:sz w:val="24"/>
            <w:szCs w:val="24"/>
          </w:rPr>
          <w:t>jill.alexander@northumbria.ac.uk</w:t>
        </w:r>
      </w:hyperlink>
      <w:r w:rsidR="00D56D2B">
        <w:rPr>
          <w:rFonts w:ascii="Arial" w:hAnsi="Arial" w:cs="Arial"/>
          <w:sz w:val="24"/>
          <w:szCs w:val="24"/>
        </w:rPr>
        <w:tab/>
      </w:r>
      <w:r w:rsidR="00D56D2B">
        <w:rPr>
          <w:rFonts w:ascii="Arial" w:hAnsi="Arial" w:cs="Arial"/>
          <w:sz w:val="24"/>
          <w:szCs w:val="24"/>
        </w:rPr>
        <w:tab/>
      </w:r>
      <w:r w:rsidR="00D56D2B">
        <w:rPr>
          <w:rFonts w:ascii="Arial" w:hAnsi="Arial" w:cs="Arial"/>
          <w:sz w:val="24"/>
          <w:szCs w:val="24"/>
        </w:rPr>
        <w:tab/>
      </w:r>
      <w:hyperlink r:id="rId6" w:history="1">
        <w:r w:rsidR="00D56D2B" w:rsidRPr="00F714C4">
          <w:rPr>
            <w:rStyle w:val="Hyperlink"/>
            <w:rFonts w:ascii="Arial" w:hAnsi="Arial" w:cs="Arial"/>
            <w:sz w:val="24"/>
            <w:szCs w:val="24"/>
          </w:rPr>
          <w:t>carol.boothby@northumbria.ac.uk</w:t>
        </w:r>
      </w:hyperlink>
    </w:p>
    <w:p w14:paraId="076A7173" w14:textId="77777777" w:rsidR="00553E3E" w:rsidRDefault="00553E3E" w:rsidP="00D56D2B">
      <w:pPr>
        <w:spacing w:line="240" w:lineRule="auto"/>
        <w:rPr>
          <w:rFonts w:ascii="Arial" w:hAnsi="Arial" w:cs="Arial"/>
          <w:sz w:val="24"/>
          <w:szCs w:val="24"/>
          <w:u w:val="single"/>
        </w:rPr>
      </w:pPr>
    </w:p>
    <w:p w14:paraId="198EF2E4" w14:textId="77777777" w:rsidR="00D56D2B" w:rsidRPr="00D56D2B" w:rsidRDefault="00407711" w:rsidP="00D56D2B">
      <w:pPr>
        <w:spacing w:line="240" w:lineRule="auto"/>
        <w:rPr>
          <w:rFonts w:ascii="Arial" w:hAnsi="Arial" w:cs="Arial"/>
          <w:sz w:val="24"/>
          <w:szCs w:val="24"/>
          <w:u w:val="single"/>
        </w:rPr>
      </w:pPr>
      <w:r>
        <w:rPr>
          <w:rFonts w:ascii="Arial" w:hAnsi="Arial" w:cs="Arial"/>
          <w:sz w:val="24"/>
          <w:szCs w:val="24"/>
          <w:u w:val="single"/>
        </w:rPr>
        <w:t>Part 1: Abstract</w:t>
      </w:r>
    </w:p>
    <w:p w14:paraId="1C08CB74" w14:textId="77777777" w:rsidR="00B64503" w:rsidRPr="00B64503" w:rsidRDefault="00665FB1" w:rsidP="00665FB1">
      <w:pPr>
        <w:pStyle w:val="Default"/>
        <w:spacing w:line="360" w:lineRule="auto"/>
        <w:rPr>
          <w:rFonts w:ascii="Arial" w:hAnsi="Arial" w:cs="Arial"/>
        </w:rPr>
      </w:pPr>
      <w:r w:rsidRPr="00665FB1">
        <w:rPr>
          <w:rFonts w:ascii="Arial" w:hAnsi="Arial" w:cs="Arial"/>
          <w:color w:val="272627"/>
        </w:rPr>
        <w:t xml:space="preserve">The employability imperative in legal education is part of the more general landscape in the UK where Higher Education Institutions </w:t>
      </w:r>
      <w:r w:rsidR="00762461">
        <w:rPr>
          <w:rFonts w:ascii="Arial" w:hAnsi="Arial" w:cs="Arial"/>
          <w:color w:val="272627"/>
        </w:rPr>
        <w:t xml:space="preserve">(HEIs) </w:t>
      </w:r>
      <w:r w:rsidRPr="00665FB1">
        <w:rPr>
          <w:rFonts w:ascii="Arial" w:hAnsi="Arial" w:cs="Arial"/>
          <w:color w:val="272627"/>
        </w:rPr>
        <w:t>are placing increasing emphasis on the employability agenda and the “skills” that can be transferred from degree-level study into the workplace. Certainly, current political and business discourse has very firmly positioned the responsibility for emp</w:t>
      </w:r>
      <w:r w:rsidR="00762461">
        <w:rPr>
          <w:rFonts w:ascii="Arial" w:hAnsi="Arial" w:cs="Arial"/>
          <w:color w:val="272627"/>
        </w:rPr>
        <w:t>loyability with HEIs.</w:t>
      </w:r>
      <w:r w:rsidRPr="00665FB1">
        <w:rPr>
          <w:rFonts w:ascii="Arial" w:hAnsi="Arial" w:cs="Arial"/>
          <w:color w:val="272627"/>
        </w:rPr>
        <w:t xml:space="preserve"> They place great emphasis on “employability” though make no attempt to describe what that might be or how it can be achieved</w:t>
      </w:r>
      <w:r w:rsidRPr="00665FB1">
        <w:rPr>
          <w:rFonts w:ascii="Arial" w:hAnsi="Arial" w:cs="Arial"/>
        </w:rPr>
        <w:t xml:space="preserve">. </w:t>
      </w:r>
      <w:r>
        <w:rPr>
          <w:rFonts w:ascii="Arial" w:hAnsi="Arial" w:cs="Arial"/>
        </w:rPr>
        <w:t>This paper outlines findings from a qualitative study into perceptions of the role clinical education plays in influencing employability. The context of this research is focused on law students</w:t>
      </w:r>
      <w:r w:rsidR="00425012">
        <w:rPr>
          <w:rFonts w:ascii="Arial" w:hAnsi="Arial" w:cs="Arial"/>
        </w:rPr>
        <w:t xml:space="preserve"> operating within a Law Clinic</w:t>
      </w:r>
      <w:r w:rsidR="00B64503">
        <w:rPr>
          <w:rFonts w:ascii="Arial" w:hAnsi="Arial" w:cs="Arial"/>
        </w:rPr>
        <w:t xml:space="preserve"> where</w:t>
      </w:r>
      <w:r w:rsidR="00425012">
        <w:rPr>
          <w:rFonts w:ascii="Arial" w:hAnsi="Arial" w:cs="Arial"/>
        </w:rPr>
        <w:t xml:space="preserve"> </w:t>
      </w:r>
      <w:r w:rsidR="00B64503" w:rsidRPr="00B64503">
        <w:rPr>
          <w:rFonts w:ascii="Arial" w:hAnsi="Arial" w:cs="Arial"/>
        </w:rPr>
        <w:t>we consider how clinic is perceived by employers, alumni, staff and students and whether students are clearly articulating the opportunities and perhaps limitations of clinic when applying for graduate employment</w:t>
      </w:r>
      <w:r w:rsidR="00B64503">
        <w:rPr>
          <w:rFonts w:ascii="Arial" w:hAnsi="Arial" w:cs="Arial"/>
        </w:rPr>
        <w:t>.</w:t>
      </w:r>
    </w:p>
    <w:p w14:paraId="1871E494" w14:textId="77777777" w:rsidR="00D56D2B" w:rsidRDefault="00D56D2B" w:rsidP="00D56D2B">
      <w:pPr>
        <w:spacing w:line="240" w:lineRule="auto"/>
        <w:rPr>
          <w:rFonts w:ascii="Arial" w:hAnsi="Arial" w:cs="Arial"/>
          <w:sz w:val="24"/>
          <w:szCs w:val="24"/>
        </w:rPr>
      </w:pPr>
    </w:p>
    <w:p w14:paraId="645AC786" w14:textId="77777777" w:rsidR="00553E3E" w:rsidRDefault="002F164C">
      <w:pPr>
        <w:rPr>
          <w:rFonts w:ascii="Arial" w:hAnsi="Arial" w:cs="Arial"/>
          <w:sz w:val="24"/>
          <w:szCs w:val="24"/>
        </w:rPr>
      </w:pPr>
      <w:r>
        <w:rPr>
          <w:rFonts w:ascii="Arial" w:hAnsi="Arial" w:cs="Arial"/>
          <w:sz w:val="24"/>
          <w:szCs w:val="24"/>
        </w:rPr>
        <w:br w:type="column"/>
      </w:r>
    </w:p>
    <w:p w14:paraId="09A53DA5" w14:textId="77777777" w:rsidR="00D56D2B" w:rsidRDefault="00553E3E">
      <w:pPr>
        <w:rPr>
          <w:rFonts w:ascii="Arial" w:hAnsi="Arial" w:cs="Arial"/>
          <w:sz w:val="24"/>
          <w:szCs w:val="24"/>
          <w:u w:val="single"/>
        </w:rPr>
      </w:pPr>
      <w:r w:rsidRPr="00553E3E">
        <w:rPr>
          <w:rFonts w:ascii="Arial" w:hAnsi="Arial" w:cs="Arial"/>
          <w:sz w:val="24"/>
          <w:szCs w:val="24"/>
          <w:u w:val="single"/>
        </w:rPr>
        <w:t>P</w:t>
      </w:r>
      <w:r w:rsidR="00407711">
        <w:rPr>
          <w:rFonts w:ascii="Arial" w:hAnsi="Arial" w:cs="Arial"/>
          <w:sz w:val="24"/>
          <w:szCs w:val="24"/>
          <w:u w:val="single"/>
        </w:rPr>
        <w:t>art 2 Paper Outline</w:t>
      </w:r>
    </w:p>
    <w:p w14:paraId="233A8DE1" w14:textId="77777777" w:rsidR="002120EA" w:rsidRDefault="00362B28" w:rsidP="006D65F8">
      <w:pPr>
        <w:spacing w:line="360" w:lineRule="auto"/>
        <w:rPr>
          <w:rFonts w:ascii="Arial" w:hAnsi="Arial" w:cs="Arial"/>
          <w:sz w:val="24"/>
          <w:szCs w:val="24"/>
        </w:rPr>
      </w:pPr>
      <w:r>
        <w:rPr>
          <w:rFonts w:ascii="Arial" w:hAnsi="Arial" w:cs="Arial"/>
          <w:sz w:val="24"/>
          <w:szCs w:val="24"/>
        </w:rPr>
        <w:t>As a result of a combinati</w:t>
      </w:r>
      <w:r w:rsidR="00F574FF">
        <w:rPr>
          <w:rFonts w:ascii="Arial" w:hAnsi="Arial" w:cs="Arial"/>
          <w:sz w:val="24"/>
          <w:szCs w:val="24"/>
        </w:rPr>
        <w:t xml:space="preserve">on of factors which include government and business pressures to help students become “job-ready” </w:t>
      </w:r>
      <w:r w:rsidR="002120EA">
        <w:rPr>
          <w:rFonts w:ascii="Arial" w:hAnsi="Arial" w:cs="Arial"/>
          <w:sz w:val="24"/>
          <w:szCs w:val="24"/>
        </w:rPr>
        <w:t xml:space="preserve">and thus contribute to economic growth </w:t>
      </w:r>
      <w:r w:rsidR="00F574FF">
        <w:rPr>
          <w:rFonts w:ascii="Arial" w:hAnsi="Arial" w:cs="Arial"/>
          <w:sz w:val="24"/>
          <w:szCs w:val="24"/>
        </w:rPr>
        <w:t xml:space="preserve">as well as the </w:t>
      </w:r>
      <w:r>
        <w:rPr>
          <w:rFonts w:ascii="Arial" w:hAnsi="Arial" w:cs="Arial"/>
          <w:sz w:val="24"/>
          <w:szCs w:val="24"/>
        </w:rPr>
        <w:t xml:space="preserve">introduction of </w:t>
      </w:r>
      <w:r w:rsidR="00BB23DD">
        <w:rPr>
          <w:rFonts w:ascii="Arial" w:hAnsi="Arial" w:cs="Arial"/>
          <w:sz w:val="24"/>
          <w:szCs w:val="24"/>
        </w:rPr>
        <w:t>student fees</w:t>
      </w:r>
      <w:r w:rsidR="00F574FF">
        <w:rPr>
          <w:rFonts w:ascii="Arial" w:hAnsi="Arial" w:cs="Arial"/>
          <w:sz w:val="24"/>
          <w:szCs w:val="24"/>
        </w:rPr>
        <w:t>,</w:t>
      </w:r>
      <w:r w:rsidR="00BB23DD">
        <w:rPr>
          <w:rFonts w:ascii="Arial" w:hAnsi="Arial" w:cs="Arial"/>
          <w:sz w:val="24"/>
          <w:szCs w:val="24"/>
        </w:rPr>
        <w:t xml:space="preserve"> </w:t>
      </w:r>
      <w:r w:rsidR="00130674" w:rsidRPr="00130674">
        <w:rPr>
          <w:rFonts w:ascii="Arial" w:hAnsi="Arial" w:cs="Arial"/>
          <w:sz w:val="24"/>
          <w:szCs w:val="24"/>
        </w:rPr>
        <w:t>Higher Education</w:t>
      </w:r>
      <w:r w:rsidR="00130674">
        <w:rPr>
          <w:rFonts w:ascii="Arial" w:hAnsi="Arial" w:cs="Arial"/>
          <w:sz w:val="24"/>
          <w:szCs w:val="24"/>
        </w:rPr>
        <w:t xml:space="preserve"> Institutions (HEIs) have been paying increasing attention to the </w:t>
      </w:r>
      <w:r w:rsidR="002120EA">
        <w:rPr>
          <w:rFonts w:ascii="Arial" w:hAnsi="Arial" w:cs="Arial"/>
          <w:sz w:val="24"/>
          <w:szCs w:val="24"/>
        </w:rPr>
        <w:t>“</w:t>
      </w:r>
      <w:r w:rsidR="00130674">
        <w:rPr>
          <w:rFonts w:ascii="Arial" w:hAnsi="Arial" w:cs="Arial"/>
          <w:sz w:val="24"/>
          <w:szCs w:val="24"/>
        </w:rPr>
        <w:t>empl</w:t>
      </w:r>
      <w:r w:rsidR="00627E04">
        <w:rPr>
          <w:rFonts w:ascii="Arial" w:hAnsi="Arial" w:cs="Arial"/>
          <w:sz w:val="24"/>
          <w:szCs w:val="24"/>
        </w:rPr>
        <w:t>oyability</w:t>
      </w:r>
      <w:r w:rsidR="002120EA">
        <w:rPr>
          <w:rFonts w:ascii="Arial" w:hAnsi="Arial" w:cs="Arial"/>
          <w:sz w:val="24"/>
          <w:szCs w:val="24"/>
        </w:rPr>
        <w:t>”</w:t>
      </w:r>
      <w:r w:rsidR="00627E04">
        <w:rPr>
          <w:rFonts w:ascii="Arial" w:hAnsi="Arial" w:cs="Arial"/>
          <w:sz w:val="24"/>
          <w:szCs w:val="24"/>
        </w:rPr>
        <w:t xml:space="preserve"> of their graduates.</w:t>
      </w:r>
      <w:r w:rsidR="002120EA">
        <w:rPr>
          <w:rFonts w:ascii="Arial" w:hAnsi="Arial" w:cs="Arial"/>
          <w:sz w:val="24"/>
          <w:szCs w:val="24"/>
        </w:rPr>
        <w:t xml:space="preserve"> The introduction of the Teaching Excellence Framework </w:t>
      </w:r>
      <w:r w:rsidR="007B05CA">
        <w:rPr>
          <w:rFonts w:ascii="Arial" w:hAnsi="Arial" w:cs="Arial"/>
          <w:sz w:val="24"/>
          <w:szCs w:val="24"/>
        </w:rPr>
        <w:t xml:space="preserve">(TEF) </w:t>
      </w:r>
      <w:r w:rsidR="002120EA">
        <w:rPr>
          <w:rFonts w:ascii="Arial" w:hAnsi="Arial" w:cs="Arial"/>
          <w:sz w:val="24"/>
          <w:szCs w:val="24"/>
        </w:rPr>
        <w:t xml:space="preserve">will add a further incentive to HEIs to continue to improve their employability offering as </w:t>
      </w:r>
      <w:r w:rsidR="007B05CA">
        <w:rPr>
          <w:rFonts w:ascii="Arial" w:hAnsi="Arial" w:cs="Arial"/>
          <w:sz w:val="24"/>
          <w:szCs w:val="24"/>
        </w:rPr>
        <w:t>the TEF’s proposed</w:t>
      </w:r>
      <w:r w:rsidR="002120EA">
        <w:rPr>
          <w:rFonts w:ascii="Arial" w:hAnsi="Arial" w:cs="Arial"/>
          <w:sz w:val="24"/>
          <w:szCs w:val="24"/>
        </w:rPr>
        <w:t xml:space="preserve"> </w:t>
      </w:r>
      <w:r w:rsidR="007B05CA">
        <w:rPr>
          <w:rFonts w:ascii="Arial" w:hAnsi="Arial" w:cs="Arial"/>
          <w:sz w:val="24"/>
          <w:szCs w:val="24"/>
        </w:rPr>
        <w:t xml:space="preserve">use of DLHE as one of the metrics to judge teaching </w:t>
      </w:r>
      <w:r w:rsidR="00993EF7">
        <w:rPr>
          <w:rFonts w:ascii="Arial" w:hAnsi="Arial" w:cs="Arial"/>
          <w:sz w:val="24"/>
          <w:szCs w:val="24"/>
        </w:rPr>
        <w:t>excellence will forge that</w:t>
      </w:r>
      <w:r w:rsidR="007B05CA">
        <w:rPr>
          <w:rFonts w:ascii="Arial" w:hAnsi="Arial" w:cs="Arial"/>
          <w:sz w:val="24"/>
          <w:szCs w:val="24"/>
        </w:rPr>
        <w:t xml:space="preserve"> link, however imperfect</w:t>
      </w:r>
      <w:r w:rsidR="0059739E">
        <w:rPr>
          <w:rFonts w:ascii="Arial" w:hAnsi="Arial" w:cs="Arial"/>
          <w:sz w:val="24"/>
          <w:szCs w:val="24"/>
        </w:rPr>
        <w:t>ly aligned that link appears to be</w:t>
      </w:r>
      <w:r w:rsidR="007B05CA">
        <w:rPr>
          <w:rFonts w:ascii="Arial" w:hAnsi="Arial" w:cs="Arial"/>
          <w:sz w:val="24"/>
          <w:szCs w:val="24"/>
        </w:rPr>
        <w:t>.</w:t>
      </w:r>
    </w:p>
    <w:p w14:paraId="1861A74A" w14:textId="77777777" w:rsidR="00B00E7C" w:rsidRDefault="00B00E7C" w:rsidP="006D65F8">
      <w:pPr>
        <w:spacing w:line="360" w:lineRule="auto"/>
        <w:rPr>
          <w:rFonts w:ascii="Arial" w:hAnsi="Arial" w:cs="Arial"/>
          <w:sz w:val="24"/>
          <w:szCs w:val="24"/>
        </w:rPr>
      </w:pPr>
    </w:p>
    <w:p w14:paraId="755B7E59" w14:textId="77777777" w:rsidR="004D12A2" w:rsidRDefault="00C27B32" w:rsidP="00A74C5D">
      <w:pPr>
        <w:spacing w:line="360" w:lineRule="auto"/>
        <w:rPr>
          <w:rFonts w:ascii="Arial" w:hAnsi="Arial" w:cs="Arial"/>
          <w:sz w:val="24"/>
          <w:szCs w:val="24"/>
        </w:rPr>
      </w:pPr>
      <w:r w:rsidRPr="00C27B32">
        <w:rPr>
          <w:rFonts w:ascii="Arial" w:hAnsi="Arial" w:cs="Arial"/>
          <w:sz w:val="24"/>
          <w:szCs w:val="24"/>
        </w:rPr>
        <w:t xml:space="preserve">There is a large body of literature around </w:t>
      </w:r>
      <w:r w:rsidR="00D303EE">
        <w:rPr>
          <w:rFonts w:ascii="Arial" w:hAnsi="Arial" w:cs="Arial"/>
          <w:sz w:val="24"/>
          <w:szCs w:val="24"/>
        </w:rPr>
        <w:t>the definition of</w:t>
      </w:r>
      <w:r>
        <w:rPr>
          <w:rFonts w:ascii="Arial" w:hAnsi="Arial" w:cs="Arial"/>
          <w:sz w:val="24"/>
          <w:szCs w:val="24"/>
        </w:rPr>
        <w:t xml:space="preserve"> “</w:t>
      </w:r>
      <w:r w:rsidRPr="00C27B32">
        <w:rPr>
          <w:rFonts w:ascii="Arial" w:hAnsi="Arial" w:cs="Arial"/>
          <w:sz w:val="24"/>
          <w:szCs w:val="24"/>
        </w:rPr>
        <w:t>employability</w:t>
      </w:r>
      <w:r>
        <w:rPr>
          <w:rFonts w:ascii="Arial" w:hAnsi="Arial" w:cs="Arial"/>
          <w:sz w:val="24"/>
          <w:szCs w:val="24"/>
        </w:rPr>
        <w:t>”</w:t>
      </w:r>
      <w:r w:rsidRPr="00C27B32">
        <w:rPr>
          <w:rFonts w:ascii="Arial" w:hAnsi="Arial" w:cs="Arial"/>
          <w:sz w:val="24"/>
          <w:szCs w:val="24"/>
        </w:rPr>
        <w:t xml:space="preserve"> and t</w:t>
      </w:r>
      <w:r>
        <w:rPr>
          <w:rFonts w:ascii="Arial" w:hAnsi="Arial" w:cs="Arial"/>
          <w:sz w:val="24"/>
          <w:szCs w:val="24"/>
        </w:rPr>
        <w:t xml:space="preserve">he role of skills but very little that interrogates the impact of clinical </w:t>
      </w:r>
      <w:r w:rsidR="000E345D">
        <w:rPr>
          <w:rFonts w:ascii="Arial" w:hAnsi="Arial" w:cs="Arial"/>
          <w:sz w:val="24"/>
          <w:szCs w:val="24"/>
        </w:rPr>
        <w:t xml:space="preserve">legal </w:t>
      </w:r>
      <w:r>
        <w:rPr>
          <w:rFonts w:ascii="Arial" w:hAnsi="Arial" w:cs="Arial"/>
          <w:sz w:val="24"/>
          <w:szCs w:val="24"/>
        </w:rPr>
        <w:t xml:space="preserve">education on </w:t>
      </w:r>
      <w:r w:rsidR="000E345D">
        <w:rPr>
          <w:rFonts w:ascii="Arial" w:hAnsi="Arial" w:cs="Arial"/>
          <w:sz w:val="24"/>
          <w:szCs w:val="24"/>
        </w:rPr>
        <w:t xml:space="preserve">graduate </w:t>
      </w:r>
      <w:r>
        <w:rPr>
          <w:rFonts w:ascii="Arial" w:hAnsi="Arial" w:cs="Arial"/>
          <w:sz w:val="24"/>
          <w:szCs w:val="24"/>
        </w:rPr>
        <w:t>employability</w:t>
      </w:r>
      <w:r w:rsidR="000E345D">
        <w:rPr>
          <w:rFonts w:ascii="Arial" w:hAnsi="Arial" w:cs="Arial"/>
          <w:sz w:val="24"/>
          <w:szCs w:val="24"/>
        </w:rPr>
        <w:t>. Research in America (</w:t>
      </w:r>
      <w:proofErr w:type="spellStart"/>
      <w:r w:rsidR="000E345D">
        <w:rPr>
          <w:rFonts w:ascii="Arial" w:hAnsi="Arial" w:cs="Arial"/>
          <w:sz w:val="24"/>
          <w:szCs w:val="24"/>
        </w:rPr>
        <w:t>Yackee</w:t>
      </w:r>
      <w:proofErr w:type="spellEnd"/>
      <w:r w:rsidR="000E345D">
        <w:rPr>
          <w:rFonts w:ascii="Arial" w:hAnsi="Arial" w:cs="Arial"/>
          <w:sz w:val="24"/>
          <w:szCs w:val="24"/>
        </w:rPr>
        <w:t xml:space="preserve"> 2015</w:t>
      </w:r>
      <w:r w:rsidR="00B370EA">
        <w:rPr>
          <w:rFonts w:ascii="Arial" w:hAnsi="Arial" w:cs="Arial"/>
          <w:sz w:val="24"/>
          <w:szCs w:val="24"/>
        </w:rPr>
        <w:t>, Kuehn 2015, Findley 2015</w:t>
      </w:r>
      <w:r w:rsidR="005F12CA">
        <w:rPr>
          <w:rFonts w:ascii="Arial" w:hAnsi="Arial" w:cs="Arial"/>
          <w:sz w:val="24"/>
          <w:szCs w:val="24"/>
        </w:rPr>
        <w:t xml:space="preserve">, </w:t>
      </w:r>
      <w:proofErr w:type="spellStart"/>
      <w:r w:rsidR="005F12CA">
        <w:rPr>
          <w:rFonts w:ascii="Arial" w:hAnsi="Arial" w:cs="Arial"/>
          <w:sz w:val="24"/>
          <w:szCs w:val="24"/>
        </w:rPr>
        <w:t>Condlin</w:t>
      </w:r>
      <w:proofErr w:type="spellEnd"/>
      <w:r w:rsidR="005F12CA">
        <w:rPr>
          <w:rFonts w:ascii="Arial" w:hAnsi="Arial" w:cs="Arial"/>
          <w:sz w:val="24"/>
          <w:szCs w:val="24"/>
        </w:rPr>
        <w:t xml:space="preserve"> 2015</w:t>
      </w:r>
      <w:r w:rsidR="000E345D">
        <w:rPr>
          <w:rFonts w:ascii="Arial" w:hAnsi="Arial" w:cs="Arial"/>
          <w:sz w:val="24"/>
          <w:szCs w:val="24"/>
        </w:rPr>
        <w:t>) on the issue of whether experiential learning improves employment outcomes</w:t>
      </w:r>
      <w:r w:rsidR="00B370EA">
        <w:rPr>
          <w:rFonts w:ascii="Arial" w:hAnsi="Arial" w:cs="Arial"/>
          <w:sz w:val="24"/>
          <w:szCs w:val="24"/>
        </w:rPr>
        <w:t xml:space="preserve"> has sparked much academic debate and highlighted the need to conduct more research in this area before strong conclusions can be drawn. </w:t>
      </w:r>
    </w:p>
    <w:p w14:paraId="520B0C93" w14:textId="77777777" w:rsidR="00B00E7C" w:rsidRDefault="00B00E7C" w:rsidP="00A74C5D">
      <w:pPr>
        <w:spacing w:line="360" w:lineRule="auto"/>
        <w:rPr>
          <w:rFonts w:ascii="Arial" w:hAnsi="Arial" w:cs="Arial"/>
          <w:sz w:val="24"/>
          <w:szCs w:val="24"/>
        </w:rPr>
      </w:pPr>
    </w:p>
    <w:p w14:paraId="0CEE4124" w14:textId="77777777" w:rsidR="0029584B" w:rsidRDefault="00A74C5D" w:rsidP="00B00E7C">
      <w:pPr>
        <w:spacing w:line="360" w:lineRule="auto"/>
        <w:rPr>
          <w:rFonts w:ascii="Arial" w:hAnsi="Arial" w:cs="Arial"/>
          <w:sz w:val="24"/>
          <w:szCs w:val="24"/>
        </w:rPr>
      </w:pPr>
      <w:r>
        <w:rPr>
          <w:rFonts w:ascii="Arial" w:hAnsi="Arial" w:cs="Arial"/>
          <w:sz w:val="24"/>
          <w:szCs w:val="24"/>
        </w:rPr>
        <w:t xml:space="preserve">At Northumbria University, clinical legal education in the form of the award winning Student Law Office has been the capstone of the 4 years integrated qualifying law degree. With an average of around 180 students each year taking part in clinic, supervised by a team of academic staff with current practising certificates, the Student Law Office provides pro bono advice in a range of legal areas.  Without doubt, teaching through a live client clinic is a highly engaging form of pedagogy, and student feedback both at module and NSS level confirms student enthusiasm for this form of experiential learning. However, according to Susskind, we can anticipate </w:t>
      </w:r>
      <w:r w:rsidRPr="001317E8">
        <w:rPr>
          <w:rFonts w:ascii="Arial" w:hAnsi="Arial" w:cs="Arial"/>
          <w:sz w:val="24"/>
          <w:szCs w:val="24"/>
        </w:rPr>
        <w:t>“greater changes in law over the next two decades than we have seen in the last two centuries”</w:t>
      </w:r>
      <w:r>
        <w:rPr>
          <w:rFonts w:ascii="Arial" w:hAnsi="Arial" w:cs="Arial"/>
          <w:sz w:val="24"/>
          <w:szCs w:val="24"/>
        </w:rPr>
        <w:t xml:space="preserve"> (Susskind, 2013).  As the legal environment changes, how far is the law clinic providing what employers are looking for? </w:t>
      </w:r>
    </w:p>
    <w:p w14:paraId="2B45BE79" w14:textId="77777777" w:rsidR="00B00E7C" w:rsidRDefault="00B00E7C" w:rsidP="00B00E7C">
      <w:pPr>
        <w:spacing w:line="360" w:lineRule="auto"/>
        <w:rPr>
          <w:rFonts w:ascii="Arial" w:hAnsi="Arial" w:cs="Arial"/>
          <w:sz w:val="24"/>
          <w:szCs w:val="24"/>
        </w:rPr>
      </w:pPr>
    </w:p>
    <w:p w14:paraId="2DA8EADF" w14:textId="54E5A63A" w:rsidR="00A74C5D" w:rsidRDefault="00D936F3" w:rsidP="00B00E7C">
      <w:pPr>
        <w:autoSpaceDE w:val="0"/>
        <w:autoSpaceDN w:val="0"/>
        <w:adjustRightInd w:val="0"/>
        <w:spacing w:after="0" w:line="360" w:lineRule="auto"/>
        <w:rPr>
          <w:rFonts w:ascii="Arial" w:hAnsi="Arial" w:cs="Arial"/>
          <w:sz w:val="24"/>
          <w:szCs w:val="24"/>
        </w:rPr>
      </w:pPr>
      <w:r w:rsidRPr="00D936F3">
        <w:rPr>
          <w:rFonts w:ascii="Arial" w:hAnsi="Arial" w:cs="Arial"/>
          <w:sz w:val="24"/>
          <w:szCs w:val="24"/>
        </w:rPr>
        <w:lastRenderedPageBreak/>
        <w:t xml:space="preserve">The purpose of this research is to </w:t>
      </w:r>
      <w:r>
        <w:rPr>
          <w:rFonts w:ascii="Arial" w:hAnsi="Arial" w:cs="Arial"/>
          <w:sz w:val="24"/>
          <w:szCs w:val="24"/>
        </w:rPr>
        <w:t xml:space="preserve">get a fuller insight into perceptions of clinical legal education to interrogate participants’ experiences as employers, alumni, students and </w:t>
      </w:r>
      <w:r w:rsidR="0064102B">
        <w:rPr>
          <w:rFonts w:ascii="Arial" w:hAnsi="Arial" w:cs="Arial"/>
          <w:sz w:val="24"/>
          <w:szCs w:val="24"/>
        </w:rPr>
        <w:t>clinic</w:t>
      </w:r>
      <w:r w:rsidR="00A74C5D">
        <w:rPr>
          <w:rFonts w:ascii="Arial" w:hAnsi="Arial" w:cs="Arial"/>
          <w:sz w:val="24"/>
          <w:szCs w:val="24"/>
        </w:rPr>
        <w:t>al</w:t>
      </w:r>
      <w:r w:rsidR="0064102B">
        <w:rPr>
          <w:rFonts w:ascii="Arial" w:hAnsi="Arial" w:cs="Arial"/>
          <w:sz w:val="24"/>
          <w:szCs w:val="24"/>
        </w:rPr>
        <w:t xml:space="preserve"> </w:t>
      </w:r>
      <w:r w:rsidR="00A74C5D">
        <w:rPr>
          <w:rFonts w:ascii="Arial" w:hAnsi="Arial" w:cs="Arial"/>
          <w:sz w:val="24"/>
          <w:szCs w:val="24"/>
        </w:rPr>
        <w:t>teaching staff</w:t>
      </w:r>
      <w:r>
        <w:rPr>
          <w:rFonts w:ascii="Arial" w:hAnsi="Arial" w:cs="Arial"/>
          <w:sz w:val="24"/>
          <w:szCs w:val="24"/>
        </w:rPr>
        <w:t xml:space="preserve"> to gain a better understanding of what employability skills can </w:t>
      </w:r>
      <w:r w:rsidR="0064102B">
        <w:rPr>
          <w:rFonts w:ascii="Arial" w:hAnsi="Arial" w:cs="Arial"/>
          <w:sz w:val="24"/>
          <w:szCs w:val="24"/>
        </w:rPr>
        <w:t xml:space="preserve">and perhaps cannot </w:t>
      </w:r>
      <w:r>
        <w:rPr>
          <w:rFonts w:ascii="Arial" w:hAnsi="Arial" w:cs="Arial"/>
          <w:sz w:val="24"/>
          <w:szCs w:val="24"/>
        </w:rPr>
        <w:t xml:space="preserve">be gained from clinic </w:t>
      </w:r>
      <w:r w:rsidR="00A74C5D">
        <w:rPr>
          <w:rFonts w:ascii="Arial" w:hAnsi="Arial" w:cs="Arial"/>
          <w:sz w:val="24"/>
          <w:szCs w:val="24"/>
        </w:rPr>
        <w:t>in its current form.</w:t>
      </w:r>
      <w:r w:rsidR="0064102B">
        <w:rPr>
          <w:rFonts w:ascii="Arial" w:hAnsi="Arial" w:cs="Arial"/>
          <w:sz w:val="24"/>
          <w:szCs w:val="24"/>
        </w:rPr>
        <w:t xml:space="preserve"> This study follows a</w:t>
      </w:r>
      <w:r w:rsidR="0064102B" w:rsidRPr="0064102B">
        <w:rPr>
          <w:rFonts w:ascii="Arial" w:hAnsi="Arial" w:cs="Arial"/>
          <w:color w:val="000000"/>
          <w:sz w:val="24"/>
          <w:szCs w:val="24"/>
          <w:lang w:val="en"/>
        </w:rPr>
        <w:t xml:space="preserve"> subjectivist approach to studying social phenomena </w:t>
      </w:r>
      <w:r w:rsidR="0064102B">
        <w:rPr>
          <w:rFonts w:ascii="Arial" w:hAnsi="Arial" w:cs="Arial"/>
          <w:color w:val="000000"/>
          <w:sz w:val="24"/>
          <w:szCs w:val="24"/>
          <w:lang w:val="en"/>
        </w:rPr>
        <w:t>and used qualitative analysis from</w:t>
      </w:r>
      <w:r w:rsidR="0064102B" w:rsidRPr="0064102B">
        <w:rPr>
          <w:rFonts w:ascii="Arial" w:hAnsi="Arial" w:cs="Arial"/>
          <w:color w:val="000000"/>
          <w:sz w:val="24"/>
          <w:szCs w:val="24"/>
          <w:lang w:val="en"/>
        </w:rPr>
        <w:t xml:space="preserve"> focus groups and semi-structured interviews. </w:t>
      </w:r>
      <w:r w:rsidR="0064102B" w:rsidRPr="00676D9D">
        <w:rPr>
          <w:rFonts w:ascii="Arial" w:hAnsi="Arial" w:cs="Arial"/>
          <w:color w:val="000000"/>
          <w:sz w:val="24"/>
          <w:szCs w:val="24"/>
          <w:lang w:val="en"/>
        </w:rPr>
        <w:t xml:space="preserve">The research was </w:t>
      </w:r>
      <w:r w:rsidR="0064102B" w:rsidRPr="00676D9D">
        <w:rPr>
          <w:rFonts w:ascii="Arial" w:hAnsi="Arial" w:cs="Arial"/>
          <w:sz w:val="24"/>
          <w:szCs w:val="24"/>
        </w:rPr>
        <w:t>inductive and interpretive and drew out themes from the data collected</w:t>
      </w:r>
      <w:r w:rsidR="0064102B" w:rsidRPr="00676D9D">
        <w:rPr>
          <w:sz w:val="24"/>
          <w:szCs w:val="24"/>
        </w:rPr>
        <w:t xml:space="preserve"> </w:t>
      </w:r>
      <w:r w:rsidR="0064102B" w:rsidRPr="00676D9D">
        <w:rPr>
          <w:rFonts w:ascii="Arial" w:hAnsi="Arial" w:cs="Arial"/>
          <w:sz w:val="24"/>
          <w:szCs w:val="24"/>
        </w:rPr>
        <w:t>(</w:t>
      </w:r>
      <w:r w:rsidR="00A74C5D" w:rsidRPr="00676D9D">
        <w:rPr>
          <w:rFonts w:ascii="Arial" w:hAnsi="Arial" w:cs="Arial"/>
          <w:sz w:val="24"/>
          <w:szCs w:val="24"/>
        </w:rPr>
        <w:t>Dewey 1933</w:t>
      </w:r>
      <w:r w:rsidR="0064102B" w:rsidRPr="00676D9D">
        <w:rPr>
          <w:rFonts w:ascii="Arial" w:hAnsi="Arial" w:cs="Arial"/>
          <w:sz w:val="24"/>
          <w:szCs w:val="24"/>
        </w:rPr>
        <w:t xml:space="preserve">). </w:t>
      </w:r>
      <w:r w:rsidR="006743EF" w:rsidRPr="00322D5C">
        <w:rPr>
          <w:rFonts w:ascii="Arial" w:hAnsi="Arial" w:cs="Arial"/>
          <w:sz w:val="24"/>
          <w:szCs w:val="24"/>
        </w:rPr>
        <w:t xml:space="preserve">In our analysis we were conscious of moving back and forth between a more naïve and </w:t>
      </w:r>
      <w:r w:rsidR="00CA4292" w:rsidRPr="00322D5C">
        <w:rPr>
          <w:rFonts w:ascii="Arial" w:hAnsi="Arial" w:cs="Arial"/>
          <w:sz w:val="24"/>
          <w:szCs w:val="24"/>
        </w:rPr>
        <w:t>inductive</w:t>
      </w:r>
      <w:r w:rsidR="006743EF" w:rsidRPr="00322D5C">
        <w:rPr>
          <w:rFonts w:ascii="Arial" w:hAnsi="Arial" w:cs="Arial"/>
          <w:sz w:val="24"/>
          <w:szCs w:val="24"/>
        </w:rPr>
        <w:t xml:space="preserve"> content analysis and deductive testing of our own preconceived ideas and by using a participatory and open ended data collection tool we were able to collect phenomenological and experiential insights into the participants’ perceptions. To aid this process research associates contributed to the collection</w:t>
      </w:r>
      <w:r w:rsidR="005B3946" w:rsidRPr="00322D5C">
        <w:rPr>
          <w:rFonts w:ascii="Arial" w:hAnsi="Arial" w:cs="Arial"/>
          <w:sz w:val="24"/>
          <w:szCs w:val="24"/>
        </w:rPr>
        <w:t xml:space="preserve"> and inductive analysis</w:t>
      </w:r>
      <w:r w:rsidR="006743EF" w:rsidRPr="00322D5C">
        <w:rPr>
          <w:rFonts w:ascii="Arial" w:hAnsi="Arial" w:cs="Arial"/>
          <w:sz w:val="24"/>
          <w:szCs w:val="24"/>
        </w:rPr>
        <w:t xml:space="preserve"> of this data.</w:t>
      </w:r>
    </w:p>
    <w:p w14:paraId="4447285B" w14:textId="77777777" w:rsidR="00B00E7C" w:rsidRPr="00A74C5D" w:rsidRDefault="00B00E7C" w:rsidP="00B00E7C">
      <w:pPr>
        <w:autoSpaceDE w:val="0"/>
        <w:autoSpaceDN w:val="0"/>
        <w:adjustRightInd w:val="0"/>
        <w:spacing w:after="0" w:line="360" w:lineRule="auto"/>
        <w:rPr>
          <w:rFonts w:ascii="Arial" w:hAnsi="Arial" w:cs="Arial"/>
          <w:sz w:val="24"/>
          <w:szCs w:val="24"/>
        </w:rPr>
      </w:pPr>
    </w:p>
    <w:p w14:paraId="78E3FF80" w14:textId="44B3BCB1" w:rsidR="00A74C5D" w:rsidRDefault="00A74C5D" w:rsidP="00A74C5D">
      <w:pPr>
        <w:pStyle w:val="NormalWeb"/>
        <w:spacing w:before="67" w:beforeAutospacing="0" w:after="0" w:afterAutospacing="0" w:line="360" w:lineRule="auto"/>
        <w:rPr>
          <w:rFonts w:ascii="Arial" w:hAnsi="Arial" w:cs="Arial"/>
        </w:rPr>
      </w:pPr>
      <w:r>
        <w:rPr>
          <w:rFonts w:ascii="Arial" w:hAnsi="Arial" w:cs="Arial"/>
        </w:rPr>
        <w:t xml:space="preserve">In this study, 4 focus groups were used to examine the views of local employers, alumni, current students and clinical teaching staff. </w:t>
      </w:r>
      <w:r w:rsidRPr="00A74C5D">
        <w:rPr>
          <w:rFonts w:ascii="Arial" w:hAnsi="Arial" w:cs="Arial"/>
        </w:rPr>
        <w:t xml:space="preserve">Two sets of competencies were shown to the focus groups, the CBI/NUS model of employability, and the Solicitor Regulation Authority Statement of Competence which defines the standards expected of solicitors at the point of qualification and the steps they need to take to maintain these standards. The focus groups were asked to comment on these in the context of the Student Law Office. </w:t>
      </w:r>
      <w:r w:rsidR="00D7089B" w:rsidRPr="00322D5C">
        <w:rPr>
          <w:rFonts w:ascii="Arial" w:hAnsi="Arial" w:cs="Arial"/>
        </w:rPr>
        <w:t>We were cognis</w:t>
      </w:r>
      <w:r w:rsidR="00676D9D" w:rsidRPr="00322D5C">
        <w:rPr>
          <w:rFonts w:ascii="Arial" w:hAnsi="Arial" w:cs="Arial"/>
        </w:rPr>
        <w:t>ant of our</w:t>
      </w:r>
      <w:r w:rsidR="001C46A2" w:rsidRPr="00322D5C">
        <w:rPr>
          <w:rFonts w:ascii="Arial" w:hAnsi="Arial" w:cs="Arial"/>
        </w:rPr>
        <w:t xml:space="preserve"> “insider” status as lecturers undertaking research using alumni, peers and students as participants and were reflexive in our approach to analysing the data.</w:t>
      </w:r>
      <w:r w:rsidR="00D7089B" w:rsidRPr="00322D5C">
        <w:rPr>
          <w:rFonts w:ascii="Arial" w:hAnsi="Arial" w:cs="Arial"/>
        </w:rPr>
        <w:t xml:space="preserve"> While one of the researchers played a major role in the law clinic, the other did not and that separation along with our recognition of potential bias from the “insider” positioning created an environment which enabled us to consider the data through a critical lens.</w:t>
      </w:r>
      <w:bookmarkStart w:id="0" w:name="_GoBack"/>
      <w:bookmarkEnd w:id="0"/>
      <w:r w:rsidR="00D7089B">
        <w:rPr>
          <w:rFonts w:ascii="Arial" w:hAnsi="Arial" w:cs="Arial"/>
        </w:rPr>
        <w:t xml:space="preserve"> </w:t>
      </w:r>
    </w:p>
    <w:p w14:paraId="5DCDC689" w14:textId="77777777" w:rsidR="00A74C5D" w:rsidRDefault="00A74C5D" w:rsidP="00A74C5D">
      <w:pPr>
        <w:spacing w:line="360" w:lineRule="auto"/>
        <w:rPr>
          <w:rFonts w:ascii="Arial" w:hAnsi="Arial" w:cs="Arial"/>
          <w:sz w:val="24"/>
          <w:szCs w:val="24"/>
        </w:rPr>
      </w:pPr>
    </w:p>
    <w:p w14:paraId="3A466B7C" w14:textId="77777777" w:rsidR="00A74C5D" w:rsidRDefault="00A74C5D" w:rsidP="00A74C5D">
      <w:pPr>
        <w:spacing w:line="360" w:lineRule="auto"/>
        <w:rPr>
          <w:rFonts w:ascii="Arial" w:hAnsi="Arial" w:cs="Arial"/>
          <w:sz w:val="24"/>
          <w:szCs w:val="24"/>
        </w:rPr>
      </w:pPr>
      <w:r w:rsidRPr="00A74C5D">
        <w:rPr>
          <w:rFonts w:ascii="Arial" w:hAnsi="Arial" w:cs="Arial"/>
          <w:sz w:val="24"/>
          <w:szCs w:val="24"/>
        </w:rPr>
        <w:t>Themes arising from these focus group discussions included the differing views of employers and students as regards the value of the law clinic experience on their employability. The impact of the clinical</w:t>
      </w:r>
      <w:r w:rsidR="0012523B">
        <w:rPr>
          <w:rFonts w:ascii="Arial" w:hAnsi="Arial" w:cs="Arial"/>
          <w:sz w:val="24"/>
          <w:szCs w:val="24"/>
        </w:rPr>
        <w:t xml:space="preserve"> experience was clear from the a</w:t>
      </w:r>
      <w:r w:rsidRPr="00A74C5D">
        <w:rPr>
          <w:rFonts w:ascii="Arial" w:hAnsi="Arial" w:cs="Arial"/>
          <w:sz w:val="24"/>
          <w:szCs w:val="24"/>
        </w:rPr>
        <w:t xml:space="preserve">lumni group, who were overwhelmingly positive about their experience in the law clinic and spoke with great affection of this and how they continue to reflect on what they have </w:t>
      </w:r>
      <w:r w:rsidRPr="00A74C5D">
        <w:rPr>
          <w:rFonts w:ascii="Arial" w:hAnsi="Arial" w:cs="Arial"/>
          <w:sz w:val="24"/>
          <w:szCs w:val="24"/>
        </w:rPr>
        <w:lastRenderedPageBreak/>
        <w:t>learned there. The diversity of experiences on entering the legal profession was also highlighted by this group</w:t>
      </w:r>
      <w:r w:rsidR="00265AD8">
        <w:rPr>
          <w:rFonts w:ascii="Arial" w:hAnsi="Arial" w:cs="Arial"/>
          <w:sz w:val="24"/>
          <w:szCs w:val="24"/>
        </w:rPr>
        <w:t>, including differing levels of support and supervision</w:t>
      </w:r>
      <w:r w:rsidRPr="00A74C5D">
        <w:rPr>
          <w:rFonts w:ascii="Arial" w:hAnsi="Arial" w:cs="Arial"/>
          <w:sz w:val="24"/>
          <w:szCs w:val="24"/>
        </w:rPr>
        <w:t xml:space="preserve">. </w:t>
      </w:r>
    </w:p>
    <w:p w14:paraId="3A96353C" w14:textId="77777777" w:rsidR="00B00E7C" w:rsidRPr="00A74C5D" w:rsidRDefault="00B00E7C" w:rsidP="00A74C5D">
      <w:pPr>
        <w:spacing w:line="360" w:lineRule="auto"/>
        <w:rPr>
          <w:rFonts w:ascii="Arial" w:hAnsi="Arial" w:cs="Arial"/>
          <w:sz w:val="24"/>
          <w:szCs w:val="24"/>
        </w:rPr>
      </w:pPr>
    </w:p>
    <w:p w14:paraId="2F8519B0" w14:textId="77777777" w:rsidR="00A74C5D" w:rsidRDefault="00265AD8" w:rsidP="00265AD8">
      <w:pPr>
        <w:spacing w:line="360" w:lineRule="auto"/>
        <w:rPr>
          <w:rFonts w:ascii="Arial" w:hAnsi="Arial" w:cs="Arial"/>
          <w:sz w:val="24"/>
          <w:szCs w:val="24"/>
        </w:rPr>
      </w:pPr>
      <w:r w:rsidRPr="00265AD8">
        <w:rPr>
          <w:rFonts w:ascii="Arial" w:hAnsi="Arial" w:cs="Arial"/>
          <w:sz w:val="24"/>
          <w:szCs w:val="24"/>
        </w:rPr>
        <w:t>For the employers group, perhaps not surprisingly,</w:t>
      </w:r>
      <w:r w:rsidR="004D12A2">
        <w:rPr>
          <w:rFonts w:ascii="Arial" w:hAnsi="Arial" w:cs="Arial"/>
          <w:sz w:val="24"/>
          <w:szCs w:val="24"/>
        </w:rPr>
        <w:t xml:space="preserve"> business awareness figured strongly</w:t>
      </w:r>
      <w:r w:rsidRPr="00265AD8">
        <w:rPr>
          <w:rFonts w:ascii="Arial" w:hAnsi="Arial" w:cs="Arial"/>
          <w:sz w:val="24"/>
          <w:szCs w:val="24"/>
        </w:rPr>
        <w:t>, together with skills</w:t>
      </w:r>
      <w:r w:rsidR="001257B1">
        <w:rPr>
          <w:rFonts w:ascii="Arial" w:hAnsi="Arial" w:cs="Arial"/>
          <w:sz w:val="24"/>
          <w:szCs w:val="24"/>
        </w:rPr>
        <w:t xml:space="preserve"> such as communication and self-</w:t>
      </w:r>
      <w:r w:rsidRPr="00265AD8">
        <w:rPr>
          <w:rFonts w:ascii="Arial" w:hAnsi="Arial" w:cs="Arial"/>
          <w:sz w:val="24"/>
          <w:szCs w:val="24"/>
        </w:rPr>
        <w:t xml:space="preserve">management, although employers emphasised communication beyond conventional written and oral </w:t>
      </w:r>
      <w:r w:rsidR="00D73D75" w:rsidRPr="00265AD8">
        <w:rPr>
          <w:rFonts w:ascii="Arial" w:hAnsi="Arial" w:cs="Arial"/>
          <w:sz w:val="24"/>
          <w:szCs w:val="24"/>
        </w:rPr>
        <w:t>skills,</w:t>
      </w:r>
      <w:r w:rsidRPr="00265AD8">
        <w:rPr>
          <w:rFonts w:ascii="Arial" w:hAnsi="Arial" w:cs="Arial"/>
          <w:sz w:val="24"/>
          <w:szCs w:val="24"/>
        </w:rPr>
        <w:t xml:space="preserve"> to include interpersonal skills as being </w:t>
      </w:r>
      <w:r w:rsidR="004D12A2" w:rsidRPr="00265AD8">
        <w:rPr>
          <w:rFonts w:ascii="Arial" w:hAnsi="Arial" w:cs="Arial"/>
          <w:sz w:val="24"/>
          <w:szCs w:val="24"/>
        </w:rPr>
        <w:t>key.</w:t>
      </w:r>
      <w:r w:rsidRPr="00265AD8">
        <w:rPr>
          <w:rFonts w:ascii="Arial" w:hAnsi="Arial" w:cs="Arial"/>
          <w:sz w:val="24"/>
          <w:szCs w:val="24"/>
        </w:rPr>
        <w:t xml:space="preserve">  Some employers did not feel they could differentiate between those who came to them having had experience in the law clinic, and those who haven’t, although amongst the alumni, this experience was </w:t>
      </w:r>
      <w:r>
        <w:rPr>
          <w:rFonts w:ascii="Arial" w:hAnsi="Arial" w:cs="Arial"/>
          <w:sz w:val="24"/>
          <w:szCs w:val="24"/>
        </w:rPr>
        <w:t xml:space="preserve">clearly </w:t>
      </w:r>
      <w:r w:rsidRPr="00265AD8">
        <w:rPr>
          <w:rFonts w:ascii="Arial" w:hAnsi="Arial" w:cs="Arial"/>
          <w:sz w:val="24"/>
          <w:szCs w:val="24"/>
        </w:rPr>
        <w:t>greatly valued</w:t>
      </w:r>
      <w:r w:rsidR="00D73D75">
        <w:rPr>
          <w:rFonts w:ascii="Arial" w:hAnsi="Arial" w:cs="Arial"/>
          <w:sz w:val="24"/>
          <w:szCs w:val="24"/>
        </w:rPr>
        <w:t>, a finding which merits further consideration.</w:t>
      </w:r>
      <w:r w:rsidR="004D12A2">
        <w:rPr>
          <w:rFonts w:ascii="Arial" w:hAnsi="Arial" w:cs="Arial"/>
          <w:sz w:val="24"/>
          <w:szCs w:val="24"/>
        </w:rPr>
        <w:t xml:space="preserve"> Alumni did, however, highlight the importance of context</w:t>
      </w:r>
      <w:r w:rsidR="00FE0EC1">
        <w:rPr>
          <w:rFonts w:ascii="Arial" w:hAnsi="Arial" w:cs="Arial"/>
          <w:sz w:val="24"/>
          <w:szCs w:val="24"/>
        </w:rPr>
        <w:t>ualising the clinic experience,</w:t>
      </w:r>
      <w:r w:rsidR="004D12A2">
        <w:rPr>
          <w:rFonts w:ascii="Arial" w:hAnsi="Arial" w:cs="Arial"/>
          <w:sz w:val="24"/>
          <w:szCs w:val="24"/>
        </w:rPr>
        <w:t xml:space="preserve"> for example, by showing employers that they had an awareness of the ways in which clinic was not the same as legal practice, in terms of volume, speed, and level of supervision and feedback; it was important to avoid oversell as undersell. </w:t>
      </w:r>
    </w:p>
    <w:p w14:paraId="20373514" w14:textId="77777777" w:rsidR="004D12A2" w:rsidRPr="004D12A2" w:rsidRDefault="00911A82" w:rsidP="004D12A2">
      <w:pPr>
        <w:spacing w:line="360" w:lineRule="auto"/>
        <w:rPr>
          <w:rFonts w:ascii="Arial" w:hAnsi="Arial" w:cs="Arial"/>
          <w:sz w:val="24"/>
          <w:szCs w:val="24"/>
        </w:rPr>
      </w:pPr>
      <w:r w:rsidRPr="004D12A2">
        <w:rPr>
          <w:rFonts w:ascii="Arial" w:hAnsi="Arial" w:cs="Arial"/>
          <w:sz w:val="24"/>
          <w:szCs w:val="24"/>
        </w:rPr>
        <w:t xml:space="preserve"> It was clear </w:t>
      </w:r>
      <w:r w:rsidR="004D12A2" w:rsidRPr="004D12A2">
        <w:rPr>
          <w:rFonts w:ascii="Arial" w:hAnsi="Arial" w:cs="Arial"/>
          <w:sz w:val="24"/>
          <w:szCs w:val="24"/>
        </w:rPr>
        <w:t>that,</w:t>
      </w:r>
      <w:r w:rsidR="00223057" w:rsidRPr="004D12A2">
        <w:rPr>
          <w:rFonts w:ascii="Arial" w:hAnsi="Arial" w:cs="Arial"/>
          <w:sz w:val="24"/>
          <w:szCs w:val="24"/>
        </w:rPr>
        <w:t xml:space="preserve"> for the students</w:t>
      </w:r>
      <w:r w:rsidR="004D12A2">
        <w:rPr>
          <w:rFonts w:ascii="Arial" w:hAnsi="Arial" w:cs="Arial"/>
          <w:sz w:val="24"/>
          <w:szCs w:val="24"/>
        </w:rPr>
        <w:t>’</w:t>
      </w:r>
      <w:r w:rsidR="004D12A2" w:rsidRPr="004D12A2">
        <w:rPr>
          <w:rFonts w:ascii="Arial" w:hAnsi="Arial" w:cs="Arial"/>
          <w:sz w:val="24"/>
          <w:szCs w:val="24"/>
        </w:rPr>
        <w:t xml:space="preserve"> focus group</w:t>
      </w:r>
      <w:r w:rsidR="00223057" w:rsidRPr="004D12A2">
        <w:rPr>
          <w:rFonts w:ascii="Arial" w:hAnsi="Arial" w:cs="Arial"/>
          <w:sz w:val="24"/>
          <w:szCs w:val="24"/>
        </w:rPr>
        <w:t>, in a clinic which is assessed for academic credit,</w:t>
      </w:r>
      <w:r w:rsidRPr="004D12A2">
        <w:rPr>
          <w:rFonts w:ascii="Arial" w:hAnsi="Arial" w:cs="Arial"/>
          <w:sz w:val="24"/>
          <w:szCs w:val="24"/>
        </w:rPr>
        <w:t xml:space="preserve"> </w:t>
      </w:r>
      <w:r w:rsidR="00265AD8" w:rsidRPr="004D12A2">
        <w:rPr>
          <w:rFonts w:ascii="Arial" w:hAnsi="Arial" w:cs="Arial"/>
          <w:sz w:val="24"/>
          <w:szCs w:val="24"/>
        </w:rPr>
        <w:t xml:space="preserve">assessment is the ‘currency’, whereas for employers, time is </w:t>
      </w:r>
      <w:r w:rsidR="004D12A2" w:rsidRPr="004D12A2">
        <w:rPr>
          <w:rFonts w:ascii="Arial" w:hAnsi="Arial" w:cs="Arial"/>
          <w:sz w:val="24"/>
          <w:szCs w:val="24"/>
        </w:rPr>
        <w:t>money,</w:t>
      </w:r>
      <w:r w:rsidR="00223057" w:rsidRPr="004D12A2">
        <w:rPr>
          <w:rFonts w:ascii="Arial" w:hAnsi="Arial" w:cs="Arial"/>
          <w:sz w:val="24"/>
          <w:szCs w:val="24"/>
        </w:rPr>
        <w:t xml:space="preserve"> and </w:t>
      </w:r>
      <w:r w:rsidR="004D12A2" w:rsidRPr="004D12A2">
        <w:rPr>
          <w:rFonts w:ascii="Arial" w:hAnsi="Arial" w:cs="Arial"/>
          <w:sz w:val="24"/>
          <w:szCs w:val="24"/>
        </w:rPr>
        <w:t xml:space="preserve">new recruits </w:t>
      </w:r>
      <w:r w:rsidR="00223057" w:rsidRPr="004D12A2">
        <w:rPr>
          <w:rFonts w:ascii="Arial" w:hAnsi="Arial" w:cs="Arial"/>
          <w:sz w:val="24"/>
          <w:szCs w:val="24"/>
        </w:rPr>
        <w:t>had to make a ra</w:t>
      </w:r>
      <w:r w:rsidR="004D12A2" w:rsidRPr="004D12A2">
        <w:rPr>
          <w:rFonts w:ascii="Arial" w:hAnsi="Arial" w:cs="Arial"/>
          <w:sz w:val="24"/>
          <w:szCs w:val="24"/>
        </w:rPr>
        <w:t xml:space="preserve">pid transition once in practice. Clinical supervisors were well aware of this need for this aspect of business awareness, but also saw the law clinic experience as providing intensive feedback and mentoring that would enable students to be resilient enough to maintain their independence and autonomy. </w:t>
      </w:r>
    </w:p>
    <w:p w14:paraId="00FC0654" w14:textId="77777777" w:rsidR="001257B1" w:rsidRDefault="004D12A2" w:rsidP="009D42D0">
      <w:pPr>
        <w:spacing w:line="360" w:lineRule="auto"/>
        <w:rPr>
          <w:rFonts w:ascii="Arial" w:hAnsi="Arial" w:cs="Arial"/>
          <w:sz w:val="24"/>
          <w:szCs w:val="24"/>
        </w:rPr>
      </w:pPr>
      <w:r w:rsidRPr="004D12A2">
        <w:rPr>
          <w:rFonts w:ascii="Arial" w:hAnsi="Arial" w:cs="Arial"/>
          <w:sz w:val="24"/>
          <w:szCs w:val="24"/>
        </w:rPr>
        <w:t>Francis, in his research on legal work experience, has explored  a view of legal employability as a</w:t>
      </w:r>
      <w:r w:rsidR="00B00E7C">
        <w:rPr>
          <w:rFonts w:ascii="Arial" w:hAnsi="Arial" w:cs="Arial"/>
          <w:sz w:val="24"/>
          <w:szCs w:val="24"/>
        </w:rPr>
        <w:t xml:space="preserve"> ‘negotiated, situated process’</w:t>
      </w:r>
      <w:r w:rsidRPr="004D12A2">
        <w:rPr>
          <w:rFonts w:ascii="Arial" w:hAnsi="Arial" w:cs="Arial"/>
          <w:sz w:val="24"/>
          <w:szCs w:val="24"/>
        </w:rPr>
        <w:t>, highlighting the social and cultural patterns which limit social mobility, and access to appropriate work experience</w:t>
      </w:r>
      <w:r>
        <w:rPr>
          <w:rFonts w:ascii="Arial" w:hAnsi="Arial" w:cs="Arial"/>
          <w:sz w:val="24"/>
          <w:szCs w:val="24"/>
        </w:rPr>
        <w:t xml:space="preserve"> </w:t>
      </w:r>
      <w:sdt>
        <w:sdtPr>
          <w:rPr>
            <w:rFonts w:ascii="Arial" w:hAnsi="Arial" w:cs="Arial"/>
            <w:sz w:val="24"/>
            <w:szCs w:val="24"/>
          </w:rPr>
          <w:id w:val="-1409769163"/>
          <w:citation/>
        </w:sdtPr>
        <w:sdtEndPr/>
        <w:sdtContent>
          <w:r w:rsidRPr="004A6F93">
            <w:rPr>
              <w:rFonts w:ascii="Arial" w:hAnsi="Arial" w:cs="Arial"/>
              <w:sz w:val="24"/>
              <w:szCs w:val="24"/>
            </w:rPr>
            <w:fldChar w:fldCharType="begin"/>
          </w:r>
          <w:r w:rsidRPr="004A6F93">
            <w:rPr>
              <w:rFonts w:ascii="Arial" w:hAnsi="Arial" w:cs="Arial"/>
              <w:sz w:val="24"/>
              <w:szCs w:val="24"/>
            </w:rPr>
            <w:instrText xml:space="preserve"> CITATION AFr15 \l 2057 </w:instrText>
          </w:r>
          <w:r w:rsidRPr="004A6F93">
            <w:rPr>
              <w:rFonts w:ascii="Arial" w:hAnsi="Arial" w:cs="Arial"/>
              <w:sz w:val="24"/>
              <w:szCs w:val="24"/>
            </w:rPr>
            <w:fldChar w:fldCharType="separate"/>
          </w:r>
          <w:r w:rsidRPr="004A6F93">
            <w:rPr>
              <w:rFonts w:ascii="Arial" w:hAnsi="Arial" w:cs="Arial"/>
              <w:noProof/>
              <w:sz w:val="24"/>
              <w:szCs w:val="24"/>
            </w:rPr>
            <w:t>(Francis, 2015)</w:t>
          </w:r>
          <w:r w:rsidRPr="004A6F93">
            <w:rPr>
              <w:rFonts w:ascii="Arial" w:hAnsi="Arial" w:cs="Arial"/>
              <w:sz w:val="24"/>
              <w:szCs w:val="24"/>
            </w:rPr>
            <w:fldChar w:fldCharType="end"/>
          </w:r>
        </w:sdtContent>
      </w:sdt>
      <w:r w:rsidRPr="004D12A2">
        <w:rPr>
          <w:rFonts w:ascii="Arial" w:hAnsi="Arial" w:cs="Arial"/>
          <w:sz w:val="24"/>
          <w:szCs w:val="24"/>
        </w:rPr>
        <w:t xml:space="preserve">. For those students in post-92 universities such as Northumbria, experiences in an in-house law clinic </w:t>
      </w:r>
      <w:r>
        <w:rPr>
          <w:rFonts w:ascii="Arial" w:hAnsi="Arial" w:cs="Arial"/>
          <w:sz w:val="24"/>
          <w:szCs w:val="24"/>
        </w:rPr>
        <w:t xml:space="preserve">may </w:t>
      </w:r>
      <w:r w:rsidRPr="004D12A2">
        <w:rPr>
          <w:rFonts w:ascii="Arial" w:hAnsi="Arial" w:cs="Arial"/>
          <w:sz w:val="24"/>
          <w:szCs w:val="24"/>
        </w:rPr>
        <w:t>have the potential to bridge this gap</w:t>
      </w:r>
      <w:r>
        <w:rPr>
          <w:rFonts w:ascii="Arial" w:hAnsi="Arial" w:cs="Arial"/>
          <w:sz w:val="24"/>
          <w:szCs w:val="24"/>
        </w:rPr>
        <w:t xml:space="preserve"> at least in part </w:t>
      </w:r>
      <w:r w:rsidRPr="004D12A2">
        <w:rPr>
          <w:rFonts w:ascii="Arial" w:hAnsi="Arial" w:cs="Arial"/>
          <w:sz w:val="24"/>
          <w:szCs w:val="24"/>
        </w:rPr>
        <w:t>– but only if students are able to ‘frame</w:t>
      </w:r>
      <w:r>
        <w:rPr>
          <w:rFonts w:ascii="Arial" w:hAnsi="Arial" w:cs="Arial"/>
          <w:sz w:val="24"/>
          <w:szCs w:val="24"/>
        </w:rPr>
        <w:t xml:space="preserve">’ </w:t>
      </w:r>
      <w:r w:rsidRPr="004D12A2">
        <w:rPr>
          <w:rFonts w:ascii="Arial" w:hAnsi="Arial" w:cs="Arial"/>
          <w:sz w:val="24"/>
          <w:szCs w:val="24"/>
        </w:rPr>
        <w:t xml:space="preserve">this experience appropriately. </w:t>
      </w:r>
    </w:p>
    <w:p w14:paraId="5F8B719F" w14:textId="77777777" w:rsidR="00D936F3" w:rsidRPr="004D12A2" w:rsidRDefault="009D42D0" w:rsidP="004D12A2">
      <w:pPr>
        <w:spacing w:line="360" w:lineRule="auto"/>
        <w:rPr>
          <w:rFonts w:ascii="Arial" w:hAnsi="Arial" w:cs="Arial"/>
          <w:sz w:val="24"/>
          <w:szCs w:val="24"/>
        </w:rPr>
      </w:pPr>
      <w:r>
        <w:rPr>
          <w:rFonts w:ascii="Arial" w:hAnsi="Arial" w:cs="Arial"/>
          <w:sz w:val="24"/>
          <w:szCs w:val="24"/>
        </w:rPr>
        <w:t xml:space="preserve">This paper looks at </w:t>
      </w:r>
      <w:r w:rsidR="004D12A2">
        <w:rPr>
          <w:rFonts w:ascii="Arial" w:hAnsi="Arial" w:cs="Arial"/>
          <w:sz w:val="24"/>
          <w:szCs w:val="24"/>
        </w:rPr>
        <w:t xml:space="preserve">the role of clinical legal education in enabling </w:t>
      </w:r>
      <w:r w:rsidR="001257B1">
        <w:rPr>
          <w:rFonts w:ascii="Arial" w:hAnsi="Arial" w:cs="Arial"/>
          <w:sz w:val="24"/>
          <w:szCs w:val="24"/>
        </w:rPr>
        <w:t>students to become ‘work ready’</w:t>
      </w:r>
      <w:r w:rsidR="004D12A2">
        <w:rPr>
          <w:rFonts w:ascii="Arial" w:hAnsi="Arial" w:cs="Arial"/>
          <w:sz w:val="24"/>
          <w:szCs w:val="24"/>
        </w:rPr>
        <w:t xml:space="preserve">, and examines some of the complexities of the employability agenda. </w:t>
      </w:r>
      <w:r>
        <w:rPr>
          <w:rFonts w:ascii="Arial" w:hAnsi="Arial" w:cs="Arial"/>
          <w:sz w:val="24"/>
          <w:szCs w:val="24"/>
        </w:rPr>
        <w:t>This research provides a contribution to a greater understanding of the impact of clinic on employability in the context of law students both in the UK and in other countries, such as America where clinical legal education has a long history</w:t>
      </w:r>
      <w:r w:rsidR="007668F4">
        <w:rPr>
          <w:rFonts w:ascii="Arial" w:hAnsi="Arial" w:cs="Arial"/>
          <w:sz w:val="24"/>
          <w:szCs w:val="24"/>
        </w:rPr>
        <w:t xml:space="preserve"> as well </w:t>
      </w:r>
      <w:r w:rsidR="007668F4">
        <w:rPr>
          <w:rFonts w:ascii="Arial" w:hAnsi="Arial" w:cs="Arial"/>
          <w:sz w:val="24"/>
          <w:szCs w:val="24"/>
        </w:rPr>
        <w:lastRenderedPageBreak/>
        <w:t xml:space="preserve">as Australia, South Africa, Poland, Holland and many others where the concept of clinical education has been more recently embraced. </w:t>
      </w:r>
      <w:r>
        <w:rPr>
          <w:rFonts w:ascii="Arial" w:hAnsi="Arial" w:cs="Arial"/>
          <w:sz w:val="24"/>
          <w:szCs w:val="24"/>
        </w:rPr>
        <w:t xml:space="preserve"> More broadly at a time where there is increasing interest in experiential learning and “clinic” type pedagogy, the link between that approach and employability could provide valuable insights in a variety of contexts.  </w:t>
      </w:r>
    </w:p>
    <w:p w14:paraId="0392C7F1" w14:textId="77777777" w:rsidR="00987011" w:rsidRDefault="00987011">
      <w:pPr>
        <w:rPr>
          <w:rFonts w:ascii="Arial" w:hAnsi="Arial" w:cs="Arial"/>
          <w:sz w:val="24"/>
          <w:szCs w:val="24"/>
          <w:u w:val="single"/>
        </w:rPr>
      </w:pPr>
    </w:p>
    <w:p w14:paraId="310D2C10" w14:textId="77777777" w:rsidR="0029584B" w:rsidRDefault="00987011">
      <w:pPr>
        <w:rPr>
          <w:rFonts w:ascii="Arial" w:hAnsi="Arial" w:cs="Arial"/>
          <w:sz w:val="24"/>
          <w:szCs w:val="24"/>
          <w:u w:val="single"/>
        </w:rPr>
      </w:pPr>
      <w:r>
        <w:rPr>
          <w:rFonts w:ascii="Arial" w:hAnsi="Arial" w:cs="Arial"/>
          <w:sz w:val="24"/>
          <w:szCs w:val="24"/>
          <w:u w:val="single"/>
        </w:rPr>
        <w:br w:type="column"/>
      </w:r>
      <w:r w:rsidR="0029584B">
        <w:rPr>
          <w:rFonts w:ascii="Arial" w:hAnsi="Arial" w:cs="Arial"/>
          <w:sz w:val="24"/>
          <w:szCs w:val="24"/>
          <w:u w:val="single"/>
        </w:rPr>
        <w:lastRenderedPageBreak/>
        <w:t>References</w:t>
      </w:r>
    </w:p>
    <w:p w14:paraId="61602E8A" w14:textId="77777777" w:rsidR="006D17E1" w:rsidRDefault="006D17E1" w:rsidP="006D17E1">
      <w:pPr>
        <w:rPr>
          <w:rFonts w:ascii="Arial" w:hAnsi="Arial" w:cs="Arial"/>
          <w:sz w:val="24"/>
          <w:szCs w:val="24"/>
        </w:rPr>
      </w:pPr>
      <w:proofErr w:type="spellStart"/>
      <w:r w:rsidRPr="005F12CA">
        <w:rPr>
          <w:rFonts w:ascii="Arial" w:hAnsi="Arial" w:cs="Arial"/>
          <w:sz w:val="24"/>
          <w:szCs w:val="24"/>
        </w:rPr>
        <w:t>Condlin</w:t>
      </w:r>
      <w:proofErr w:type="spellEnd"/>
      <w:r w:rsidR="0001681F">
        <w:rPr>
          <w:rFonts w:ascii="Arial" w:hAnsi="Arial" w:cs="Arial"/>
          <w:sz w:val="24"/>
          <w:szCs w:val="24"/>
        </w:rPr>
        <w:t>,</w:t>
      </w:r>
      <w:r>
        <w:rPr>
          <w:rFonts w:ascii="Arial" w:hAnsi="Arial" w:cs="Arial"/>
          <w:sz w:val="24"/>
          <w:szCs w:val="24"/>
        </w:rPr>
        <w:t xml:space="preserve"> R.J.</w:t>
      </w:r>
      <w:r w:rsidR="00987011">
        <w:rPr>
          <w:rFonts w:ascii="Arial" w:hAnsi="Arial" w:cs="Arial"/>
          <w:sz w:val="24"/>
          <w:szCs w:val="24"/>
        </w:rPr>
        <w:t xml:space="preserve"> (2015) </w:t>
      </w:r>
      <w:r w:rsidRPr="005F12CA">
        <w:rPr>
          <w:rFonts w:ascii="Arial" w:hAnsi="Arial" w:cs="Arial"/>
          <w:i/>
          <w:iCs/>
          <w:sz w:val="24"/>
          <w:szCs w:val="24"/>
        </w:rPr>
        <w:t>Assessing Experiential Learning, Jobs and All: A Response to the Three Professors</w:t>
      </w:r>
      <w:r w:rsidRPr="005F12CA">
        <w:rPr>
          <w:rFonts w:ascii="Arial" w:hAnsi="Arial" w:cs="Arial"/>
          <w:sz w:val="24"/>
          <w:szCs w:val="24"/>
        </w:rPr>
        <w:t>, Uni. of Maryland Legal Studies Research Paper No. 2015-24 65</w:t>
      </w:r>
      <w:r w:rsidR="00987011">
        <w:rPr>
          <w:rFonts w:ascii="Arial" w:hAnsi="Arial" w:cs="Arial"/>
          <w:sz w:val="24"/>
          <w:szCs w:val="24"/>
        </w:rPr>
        <w:t>.</w:t>
      </w:r>
      <w:r>
        <w:rPr>
          <w:rFonts w:ascii="Arial" w:hAnsi="Arial" w:cs="Arial"/>
          <w:sz w:val="24"/>
          <w:szCs w:val="24"/>
        </w:rPr>
        <w:t xml:space="preserve"> </w:t>
      </w:r>
    </w:p>
    <w:p w14:paraId="41E63DF9" w14:textId="77777777" w:rsidR="008E5B81" w:rsidRPr="00FA4198" w:rsidRDefault="00FA4198" w:rsidP="006D17E1">
      <w:pPr>
        <w:rPr>
          <w:rFonts w:ascii="Arial" w:hAnsi="Arial" w:cs="Arial"/>
          <w:sz w:val="24"/>
          <w:szCs w:val="24"/>
        </w:rPr>
      </w:pPr>
      <w:r>
        <w:rPr>
          <w:rFonts w:ascii="Arial" w:hAnsi="Arial" w:cs="Arial"/>
          <w:sz w:val="24"/>
          <w:szCs w:val="24"/>
        </w:rPr>
        <w:t>Dewey, J. (1933</w:t>
      </w:r>
      <w:r w:rsidRPr="00FA4198">
        <w:rPr>
          <w:rFonts w:ascii="Arial" w:hAnsi="Arial" w:cs="Arial"/>
          <w:sz w:val="24"/>
          <w:szCs w:val="24"/>
        </w:rPr>
        <w:t xml:space="preserve">) </w:t>
      </w:r>
      <w:r>
        <w:rPr>
          <w:rFonts w:ascii="Arial" w:hAnsi="Arial" w:cs="Arial"/>
          <w:i/>
          <w:iCs/>
          <w:sz w:val="24"/>
          <w:szCs w:val="24"/>
        </w:rPr>
        <w:t>How we think</w:t>
      </w:r>
      <w:r>
        <w:rPr>
          <w:rFonts w:ascii="Arial" w:hAnsi="Arial" w:cs="Arial"/>
          <w:sz w:val="24"/>
          <w:szCs w:val="24"/>
        </w:rPr>
        <w:t>. Buffalo, NY: Prometheus Books.</w:t>
      </w:r>
    </w:p>
    <w:p w14:paraId="38E44B21" w14:textId="77777777" w:rsidR="006D17E1" w:rsidRPr="00987011" w:rsidRDefault="00987011" w:rsidP="006D17E1">
      <w:pPr>
        <w:rPr>
          <w:rFonts w:ascii="Arial" w:hAnsi="Arial" w:cs="Arial"/>
          <w:sz w:val="24"/>
          <w:szCs w:val="24"/>
        </w:rPr>
      </w:pPr>
      <w:r w:rsidRPr="00383696">
        <w:rPr>
          <w:rFonts w:ascii="Arial" w:hAnsi="Arial" w:cs="Arial"/>
          <w:sz w:val="24"/>
          <w:szCs w:val="24"/>
        </w:rPr>
        <w:t>Findley</w:t>
      </w:r>
      <w:r w:rsidR="0001681F">
        <w:rPr>
          <w:rFonts w:ascii="Arial" w:hAnsi="Arial" w:cs="Arial"/>
          <w:sz w:val="24"/>
          <w:szCs w:val="24"/>
        </w:rPr>
        <w:t>,</w:t>
      </w:r>
      <w:r>
        <w:rPr>
          <w:rFonts w:ascii="Arial" w:hAnsi="Arial" w:cs="Arial"/>
          <w:sz w:val="24"/>
          <w:szCs w:val="24"/>
        </w:rPr>
        <w:t xml:space="preserve"> </w:t>
      </w:r>
      <w:r w:rsidRPr="00383696">
        <w:rPr>
          <w:rFonts w:ascii="Arial" w:hAnsi="Arial" w:cs="Arial"/>
          <w:sz w:val="24"/>
          <w:szCs w:val="24"/>
        </w:rPr>
        <w:t>K.A.</w:t>
      </w:r>
      <w:r>
        <w:rPr>
          <w:rFonts w:ascii="Arial" w:hAnsi="Arial" w:cs="Arial"/>
          <w:sz w:val="24"/>
          <w:szCs w:val="24"/>
        </w:rPr>
        <w:t xml:space="preserve"> (2015) </w:t>
      </w:r>
      <w:r w:rsidRPr="00383696">
        <w:rPr>
          <w:rFonts w:ascii="Arial" w:hAnsi="Arial" w:cs="Arial"/>
          <w:i/>
          <w:iCs/>
          <w:sz w:val="24"/>
          <w:szCs w:val="24"/>
        </w:rPr>
        <w:t xml:space="preserve">Assessing Experiential Legal Education: A Response to Professor </w:t>
      </w:r>
      <w:proofErr w:type="spellStart"/>
      <w:r w:rsidRPr="00383696">
        <w:rPr>
          <w:rFonts w:ascii="Arial" w:hAnsi="Arial" w:cs="Arial"/>
          <w:i/>
          <w:iCs/>
          <w:sz w:val="24"/>
          <w:szCs w:val="24"/>
        </w:rPr>
        <w:t>Yackee</w:t>
      </w:r>
      <w:proofErr w:type="spellEnd"/>
      <w:r w:rsidRPr="00383696">
        <w:rPr>
          <w:rFonts w:ascii="Arial" w:hAnsi="Arial" w:cs="Arial"/>
          <w:sz w:val="24"/>
          <w:szCs w:val="24"/>
        </w:rPr>
        <w:t>, Univ. Of Wisconsin Legal Studies Re</w:t>
      </w:r>
      <w:r>
        <w:rPr>
          <w:rFonts w:ascii="Arial" w:hAnsi="Arial" w:cs="Arial"/>
          <w:sz w:val="24"/>
          <w:szCs w:val="24"/>
        </w:rPr>
        <w:t>search Paper No. 1348 627.</w:t>
      </w:r>
    </w:p>
    <w:p w14:paraId="29230A61" w14:textId="77777777" w:rsidR="006D17E1" w:rsidRPr="004A6F93" w:rsidRDefault="006D17E1" w:rsidP="006D17E1">
      <w:pPr>
        <w:rPr>
          <w:rFonts w:ascii="Arial" w:eastAsia="+mn-ea" w:hAnsi="Arial" w:cs="Arial"/>
          <w:color w:val="000000"/>
          <w:kern w:val="24"/>
          <w:sz w:val="24"/>
          <w:szCs w:val="24"/>
        </w:rPr>
      </w:pPr>
      <w:r w:rsidRPr="004A6F93">
        <w:rPr>
          <w:rFonts w:ascii="Arial" w:eastAsia="+mn-ea" w:hAnsi="Arial" w:cs="Arial"/>
          <w:color w:val="000000"/>
          <w:kern w:val="24"/>
          <w:sz w:val="24"/>
          <w:szCs w:val="24"/>
        </w:rPr>
        <w:fldChar w:fldCharType="begin"/>
      </w:r>
      <w:r w:rsidRPr="004A6F93">
        <w:rPr>
          <w:rFonts w:ascii="Arial" w:eastAsia="+mn-ea" w:hAnsi="Arial" w:cs="Arial"/>
          <w:color w:val="000000"/>
          <w:kern w:val="24"/>
          <w:sz w:val="24"/>
          <w:szCs w:val="24"/>
        </w:rPr>
        <w:instrText xml:space="preserve"> BIBLIOGRAPHY  \l 2057 </w:instrText>
      </w:r>
      <w:r w:rsidRPr="004A6F93">
        <w:rPr>
          <w:rFonts w:ascii="Arial" w:eastAsia="+mn-ea" w:hAnsi="Arial" w:cs="Arial"/>
          <w:color w:val="000000"/>
          <w:kern w:val="24"/>
          <w:sz w:val="24"/>
          <w:szCs w:val="24"/>
        </w:rPr>
        <w:fldChar w:fldCharType="separate"/>
      </w:r>
      <w:r w:rsidR="00987011" w:rsidRPr="004A6F93">
        <w:rPr>
          <w:rFonts w:ascii="Arial" w:eastAsia="+mn-ea" w:hAnsi="Arial" w:cs="Arial"/>
          <w:color w:val="000000"/>
          <w:kern w:val="24"/>
          <w:sz w:val="24"/>
          <w:szCs w:val="24"/>
        </w:rPr>
        <w:t xml:space="preserve">Francis, A. (2015) </w:t>
      </w:r>
      <w:r w:rsidRPr="004A6F93">
        <w:rPr>
          <w:rFonts w:ascii="Arial" w:eastAsia="+mn-ea" w:hAnsi="Arial" w:cs="Arial"/>
          <w:color w:val="000000"/>
          <w:kern w:val="24"/>
          <w:sz w:val="24"/>
          <w:szCs w:val="24"/>
        </w:rPr>
        <w:t xml:space="preserve">Legal Education, Social Mobility, and Employability: Possible Selves, Curriculum Intervention, and the Role of Legal Work Experience. </w:t>
      </w:r>
      <w:r w:rsidR="00987011" w:rsidRPr="004A6F93">
        <w:rPr>
          <w:rFonts w:ascii="Arial" w:eastAsia="+mn-ea" w:hAnsi="Arial" w:cs="Arial"/>
          <w:i/>
          <w:color w:val="000000"/>
          <w:kern w:val="24"/>
          <w:sz w:val="24"/>
          <w:szCs w:val="24"/>
        </w:rPr>
        <w:t xml:space="preserve">Journal of Law and Society </w:t>
      </w:r>
      <w:r w:rsidRPr="004A6F93">
        <w:rPr>
          <w:rFonts w:ascii="Arial" w:eastAsia="+mn-ea" w:hAnsi="Arial" w:cs="Arial"/>
          <w:color w:val="000000"/>
          <w:kern w:val="24"/>
          <w:sz w:val="24"/>
          <w:szCs w:val="24"/>
        </w:rPr>
        <w:t>42(2), pp. 173-201.</w:t>
      </w:r>
    </w:p>
    <w:p w14:paraId="4051F977" w14:textId="77777777" w:rsidR="006D17E1" w:rsidRDefault="006D17E1" w:rsidP="006D17E1">
      <w:pPr>
        <w:rPr>
          <w:rFonts w:ascii="Arial" w:hAnsi="Arial" w:cs="Arial"/>
          <w:sz w:val="24"/>
          <w:szCs w:val="24"/>
        </w:rPr>
      </w:pPr>
      <w:r w:rsidRPr="004A6F93">
        <w:rPr>
          <w:rFonts w:ascii="Arial" w:eastAsia="+mn-ea" w:hAnsi="Arial" w:cs="Arial"/>
          <w:color w:val="000000"/>
          <w:kern w:val="24"/>
          <w:sz w:val="24"/>
          <w:szCs w:val="24"/>
        </w:rPr>
        <w:fldChar w:fldCharType="end"/>
      </w:r>
      <w:r w:rsidRPr="00383696">
        <w:rPr>
          <w:rFonts w:ascii="Arial" w:hAnsi="Arial" w:cs="Arial"/>
          <w:i/>
          <w:sz w:val="24"/>
          <w:szCs w:val="24"/>
        </w:rPr>
        <w:t>Fulfilling our potential: Teaching Excellence, Social Mobility and Student Choice</w:t>
      </w:r>
      <w:r>
        <w:rPr>
          <w:rFonts w:ascii="Arial" w:hAnsi="Arial" w:cs="Arial"/>
          <w:sz w:val="24"/>
          <w:szCs w:val="24"/>
        </w:rPr>
        <w:t>, Department for Business, Innovation &amp; Skills November 2015.</w:t>
      </w:r>
    </w:p>
    <w:p w14:paraId="23DC15FC" w14:textId="77777777" w:rsidR="006D17E1" w:rsidRDefault="006D17E1" w:rsidP="006D17E1">
      <w:pPr>
        <w:rPr>
          <w:rFonts w:ascii="Arial" w:hAnsi="Arial" w:cs="Arial"/>
          <w:sz w:val="24"/>
          <w:szCs w:val="24"/>
        </w:rPr>
      </w:pPr>
      <w:r w:rsidRPr="00627E04">
        <w:rPr>
          <w:rFonts w:ascii="Arial" w:hAnsi="Arial" w:cs="Arial"/>
          <w:bCs/>
          <w:i/>
          <w:sz w:val="24"/>
          <w:szCs w:val="24"/>
        </w:rPr>
        <w:t>Inspiring growth</w:t>
      </w:r>
      <w:r w:rsidRPr="00627E04">
        <w:rPr>
          <w:rFonts w:ascii="Arial" w:hAnsi="Arial" w:cs="Arial"/>
          <w:bCs/>
          <w:sz w:val="24"/>
          <w:szCs w:val="24"/>
        </w:rPr>
        <w:t>,</w:t>
      </w:r>
      <w:r>
        <w:rPr>
          <w:rFonts w:ascii="Arial" w:hAnsi="Arial" w:cs="Arial"/>
          <w:bCs/>
          <w:sz w:val="24"/>
          <w:szCs w:val="24"/>
        </w:rPr>
        <w:t xml:space="preserve"> </w:t>
      </w:r>
      <w:r w:rsidRPr="00F574FF">
        <w:rPr>
          <w:rFonts w:ascii="Arial" w:hAnsi="Arial" w:cs="Arial"/>
          <w:sz w:val="24"/>
          <w:szCs w:val="24"/>
        </w:rPr>
        <w:t>C</w:t>
      </w:r>
      <w:r>
        <w:rPr>
          <w:rFonts w:ascii="Arial" w:hAnsi="Arial" w:cs="Arial"/>
          <w:sz w:val="24"/>
          <w:szCs w:val="24"/>
        </w:rPr>
        <w:t xml:space="preserve">onfederation of </w:t>
      </w:r>
      <w:r w:rsidRPr="00F574FF">
        <w:rPr>
          <w:rFonts w:ascii="Arial" w:hAnsi="Arial" w:cs="Arial"/>
          <w:sz w:val="24"/>
          <w:szCs w:val="24"/>
        </w:rPr>
        <w:t>B</w:t>
      </w:r>
      <w:r>
        <w:rPr>
          <w:rFonts w:ascii="Arial" w:hAnsi="Arial" w:cs="Arial"/>
          <w:sz w:val="24"/>
          <w:szCs w:val="24"/>
        </w:rPr>
        <w:t xml:space="preserve">ritish </w:t>
      </w:r>
      <w:r w:rsidRPr="00F574FF">
        <w:rPr>
          <w:rFonts w:ascii="Arial" w:hAnsi="Arial" w:cs="Arial"/>
          <w:sz w:val="24"/>
          <w:szCs w:val="24"/>
        </w:rPr>
        <w:t>I</w:t>
      </w:r>
      <w:r>
        <w:rPr>
          <w:rFonts w:ascii="Arial" w:hAnsi="Arial" w:cs="Arial"/>
          <w:sz w:val="24"/>
          <w:szCs w:val="24"/>
        </w:rPr>
        <w:t>ndustry/Pearson Education and Skills S</w:t>
      </w:r>
      <w:r w:rsidRPr="00F574FF">
        <w:rPr>
          <w:rFonts w:ascii="Arial" w:hAnsi="Arial" w:cs="Arial"/>
          <w:sz w:val="24"/>
          <w:szCs w:val="24"/>
        </w:rPr>
        <w:t>urvey 2015</w:t>
      </w:r>
      <w:r>
        <w:rPr>
          <w:rFonts w:ascii="Arial" w:hAnsi="Arial" w:cs="Arial"/>
          <w:sz w:val="24"/>
          <w:szCs w:val="24"/>
        </w:rPr>
        <w:t>.</w:t>
      </w:r>
    </w:p>
    <w:p w14:paraId="4D443086" w14:textId="77777777" w:rsidR="006D17E1" w:rsidRDefault="006D17E1" w:rsidP="006D17E1">
      <w:pPr>
        <w:rPr>
          <w:rFonts w:ascii="Arial" w:hAnsi="Arial" w:cs="Arial"/>
          <w:sz w:val="24"/>
          <w:szCs w:val="24"/>
        </w:rPr>
      </w:pPr>
      <w:r w:rsidRPr="00383696">
        <w:rPr>
          <w:rFonts w:ascii="Arial" w:hAnsi="Arial" w:cs="Arial"/>
          <w:sz w:val="24"/>
          <w:szCs w:val="24"/>
        </w:rPr>
        <w:t>Kuehn</w:t>
      </w:r>
      <w:r w:rsidR="0001681F">
        <w:rPr>
          <w:rFonts w:ascii="Arial" w:hAnsi="Arial" w:cs="Arial"/>
          <w:sz w:val="24"/>
          <w:szCs w:val="24"/>
        </w:rPr>
        <w:t>,</w:t>
      </w:r>
      <w:r>
        <w:rPr>
          <w:rFonts w:ascii="Arial" w:hAnsi="Arial" w:cs="Arial"/>
          <w:sz w:val="24"/>
          <w:szCs w:val="24"/>
        </w:rPr>
        <w:t xml:space="preserve"> R.R.</w:t>
      </w:r>
      <w:r w:rsidR="00987011">
        <w:rPr>
          <w:rFonts w:ascii="Arial" w:hAnsi="Arial" w:cs="Arial"/>
          <w:sz w:val="24"/>
          <w:szCs w:val="24"/>
        </w:rPr>
        <w:t xml:space="preserve"> (2015) </w:t>
      </w:r>
      <w:r w:rsidRPr="00383696">
        <w:rPr>
          <w:rFonts w:ascii="Arial" w:hAnsi="Arial" w:cs="Arial"/>
          <w:i/>
          <w:iCs/>
          <w:sz w:val="24"/>
          <w:szCs w:val="24"/>
        </w:rPr>
        <w:t>Measuring Clinical Legal Education's Employment Outcomes</w:t>
      </w:r>
      <w:r w:rsidRPr="00383696">
        <w:rPr>
          <w:rFonts w:ascii="Arial" w:hAnsi="Arial" w:cs="Arial"/>
          <w:sz w:val="24"/>
          <w:szCs w:val="24"/>
        </w:rPr>
        <w:t xml:space="preserve">, Legal Studies Research Paper Series Paper No. </w:t>
      </w:r>
      <w:r w:rsidR="00987011">
        <w:rPr>
          <w:rFonts w:ascii="Arial" w:hAnsi="Arial" w:cs="Arial"/>
          <w:sz w:val="24"/>
          <w:szCs w:val="24"/>
        </w:rPr>
        <w:t>15-12-01</w:t>
      </w:r>
      <w:r w:rsidRPr="00383696">
        <w:rPr>
          <w:rFonts w:ascii="Arial" w:hAnsi="Arial" w:cs="Arial"/>
          <w:sz w:val="24"/>
          <w:szCs w:val="24"/>
        </w:rPr>
        <w:t>.</w:t>
      </w:r>
    </w:p>
    <w:p w14:paraId="4C066590" w14:textId="3D2E3335" w:rsidR="00987011" w:rsidRDefault="00987011" w:rsidP="00987011">
      <w:pPr>
        <w:pStyle w:val="FootnoteText"/>
        <w:rPr>
          <w:rFonts w:ascii="Arial" w:hAnsi="Arial" w:cs="Arial"/>
          <w:sz w:val="24"/>
          <w:szCs w:val="24"/>
        </w:rPr>
      </w:pPr>
      <w:proofErr w:type="spellStart"/>
      <w:r w:rsidRPr="00987011">
        <w:rPr>
          <w:rFonts w:ascii="Arial" w:hAnsi="Arial" w:cs="Arial"/>
          <w:sz w:val="24"/>
          <w:szCs w:val="24"/>
        </w:rPr>
        <w:t>Marson</w:t>
      </w:r>
      <w:proofErr w:type="spellEnd"/>
      <w:r w:rsidR="0001681F">
        <w:rPr>
          <w:rFonts w:ascii="Arial" w:hAnsi="Arial" w:cs="Arial"/>
          <w:sz w:val="24"/>
          <w:szCs w:val="24"/>
        </w:rPr>
        <w:t>,</w:t>
      </w:r>
      <w:r w:rsidRPr="00987011">
        <w:rPr>
          <w:rFonts w:ascii="Arial" w:hAnsi="Arial" w:cs="Arial"/>
          <w:sz w:val="24"/>
          <w:szCs w:val="24"/>
        </w:rPr>
        <w:t xml:space="preserve"> J.</w:t>
      </w:r>
      <w:r w:rsidR="0001681F">
        <w:rPr>
          <w:rFonts w:ascii="Arial" w:hAnsi="Arial" w:cs="Arial"/>
          <w:sz w:val="24"/>
          <w:szCs w:val="24"/>
        </w:rPr>
        <w:t xml:space="preserve">, Wilson A. and Van </w:t>
      </w:r>
      <w:proofErr w:type="spellStart"/>
      <w:r w:rsidR="0001681F">
        <w:rPr>
          <w:rFonts w:ascii="Arial" w:hAnsi="Arial" w:cs="Arial"/>
          <w:sz w:val="24"/>
          <w:szCs w:val="24"/>
        </w:rPr>
        <w:t>Hoorebeek</w:t>
      </w:r>
      <w:proofErr w:type="spellEnd"/>
      <w:r w:rsidR="0001681F">
        <w:rPr>
          <w:rFonts w:ascii="Arial" w:hAnsi="Arial" w:cs="Arial"/>
          <w:sz w:val="24"/>
          <w:szCs w:val="24"/>
        </w:rPr>
        <w:t xml:space="preserve"> M. </w:t>
      </w:r>
      <w:r w:rsidRPr="00987011">
        <w:rPr>
          <w:rFonts w:ascii="Arial" w:hAnsi="Arial" w:cs="Arial"/>
          <w:sz w:val="24"/>
          <w:szCs w:val="24"/>
        </w:rPr>
        <w:t xml:space="preserve">(2005) </w:t>
      </w:r>
      <w:r w:rsidRPr="00987011">
        <w:rPr>
          <w:rFonts w:ascii="Arial" w:hAnsi="Arial" w:cs="Arial"/>
          <w:i/>
          <w:iCs/>
          <w:sz w:val="24"/>
          <w:szCs w:val="24"/>
        </w:rPr>
        <w:t>The Necessity of Clinical Legal Education in University Law Schools: A UK Perspective</w:t>
      </w:r>
      <w:r w:rsidRPr="00987011">
        <w:rPr>
          <w:rFonts w:ascii="Arial" w:hAnsi="Arial" w:cs="Arial"/>
          <w:sz w:val="24"/>
          <w:szCs w:val="24"/>
        </w:rPr>
        <w:t>, 7 International Journal of Clinical Legal Education, 29.</w:t>
      </w:r>
    </w:p>
    <w:p w14:paraId="306F425C" w14:textId="77777777" w:rsidR="00C16CB1" w:rsidRDefault="00C16CB1" w:rsidP="00987011">
      <w:pPr>
        <w:pStyle w:val="FootnoteText"/>
        <w:rPr>
          <w:rFonts w:ascii="Arial" w:hAnsi="Arial" w:cs="Arial"/>
          <w:sz w:val="24"/>
          <w:szCs w:val="24"/>
        </w:rPr>
      </w:pPr>
    </w:p>
    <w:p w14:paraId="25C96F42" w14:textId="65C8C235" w:rsidR="00AF6550" w:rsidRDefault="00AF6550" w:rsidP="00CA4292">
      <w:pPr>
        <w:autoSpaceDE w:val="0"/>
        <w:autoSpaceDN w:val="0"/>
        <w:adjustRightInd w:val="0"/>
        <w:spacing w:after="0" w:line="240" w:lineRule="auto"/>
        <w:rPr>
          <w:rFonts w:ascii="Arial" w:hAnsi="Arial" w:cs="Arial"/>
          <w:sz w:val="24"/>
          <w:szCs w:val="24"/>
        </w:rPr>
      </w:pPr>
      <w:r w:rsidRPr="00CA4292">
        <w:rPr>
          <w:rFonts w:ascii="Arial" w:hAnsi="Arial" w:cs="Arial"/>
          <w:sz w:val="24"/>
          <w:szCs w:val="24"/>
        </w:rPr>
        <w:t>Mercer, J. 2007. The challenges of insider research in educa</w:t>
      </w:r>
      <w:r w:rsidRPr="00AF6550">
        <w:rPr>
          <w:rFonts w:ascii="Arial" w:hAnsi="Arial" w:cs="Arial"/>
          <w:sz w:val="24"/>
          <w:szCs w:val="24"/>
        </w:rPr>
        <w:t>tional institutions: Wielding a</w:t>
      </w:r>
      <w:r>
        <w:rPr>
          <w:rFonts w:ascii="Arial" w:hAnsi="Arial" w:cs="Arial"/>
          <w:sz w:val="24"/>
          <w:szCs w:val="24"/>
        </w:rPr>
        <w:t xml:space="preserve"> </w:t>
      </w:r>
      <w:r w:rsidRPr="00CA4292">
        <w:rPr>
          <w:rFonts w:ascii="Arial" w:hAnsi="Arial" w:cs="Arial"/>
          <w:sz w:val="24"/>
          <w:szCs w:val="24"/>
        </w:rPr>
        <w:t>double</w:t>
      </w:r>
      <w:r w:rsidRPr="00CA4292">
        <w:rPr>
          <w:rFonts w:ascii="Cambria Math" w:eastAsia="AdvOT40514f85+20" w:hAnsi="Cambria Math" w:cs="Cambria Math" w:hint="eastAsia"/>
          <w:sz w:val="24"/>
          <w:szCs w:val="24"/>
        </w:rPr>
        <w:t>‐</w:t>
      </w:r>
      <w:r w:rsidRPr="00CA4292">
        <w:rPr>
          <w:rFonts w:ascii="Arial" w:hAnsi="Arial" w:cs="Arial"/>
          <w:sz w:val="24"/>
          <w:szCs w:val="24"/>
        </w:rPr>
        <w:t xml:space="preserve">edged sword and resolving delicate dilemmas. Oxford Review of Education </w:t>
      </w:r>
      <w:proofErr w:type="gramStart"/>
      <w:r w:rsidRPr="00AF6550">
        <w:rPr>
          <w:rFonts w:ascii="Arial" w:hAnsi="Arial" w:cs="Arial"/>
          <w:sz w:val="24"/>
          <w:szCs w:val="24"/>
        </w:rPr>
        <w:t>33,</w:t>
      </w:r>
      <w:r w:rsidRPr="00CA4292">
        <w:rPr>
          <w:rFonts w:ascii="Arial" w:hAnsi="Arial" w:cs="Arial"/>
          <w:sz w:val="24"/>
          <w:szCs w:val="24"/>
        </w:rPr>
        <w:t>no.</w:t>
      </w:r>
      <w:proofErr w:type="gramEnd"/>
      <w:r w:rsidRPr="00CA4292">
        <w:rPr>
          <w:rFonts w:ascii="Arial" w:hAnsi="Arial" w:cs="Arial"/>
          <w:sz w:val="24"/>
          <w:szCs w:val="24"/>
        </w:rPr>
        <w:t xml:space="preserve"> 1: 1</w:t>
      </w:r>
      <w:r w:rsidRPr="00CA4292">
        <w:rPr>
          <w:rFonts w:ascii="Arial" w:eastAsia="AdvOT40514f85+20" w:hAnsi="Arial" w:cs="Arial"/>
          <w:sz w:val="24"/>
          <w:szCs w:val="24"/>
        </w:rPr>
        <w:t>–</w:t>
      </w:r>
      <w:r w:rsidRPr="00CA4292">
        <w:rPr>
          <w:rFonts w:ascii="Arial" w:hAnsi="Arial" w:cs="Arial"/>
          <w:sz w:val="24"/>
          <w:szCs w:val="24"/>
        </w:rPr>
        <w:t>17.</w:t>
      </w:r>
    </w:p>
    <w:p w14:paraId="5820ED60" w14:textId="77777777" w:rsidR="00CA4292" w:rsidRPr="00AF6550" w:rsidRDefault="00CA4292" w:rsidP="00CA4292">
      <w:pPr>
        <w:autoSpaceDE w:val="0"/>
        <w:autoSpaceDN w:val="0"/>
        <w:adjustRightInd w:val="0"/>
        <w:spacing w:after="0" w:line="240" w:lineRule="auto"/>
        <w:rPr>
          <w:rFonts w:ascii="Arial" w:hAnsi="Arial" w:cs="Arial"/>
          <w:sz w:val="24"/>
          <w:szCs w:val="24"/>
        </w:rPr>
      </w:pPr>
    </w:p>
    <w:p w14:paraId="3BBE10F7" w14:textId="77777777" w:rsidR="006D17E1" w:rsidRPr="005F12CA" w:rsidRDefault="006D17E1" w:rsidP="006D17E1">
      <w:pPr>
        <w:rPr>
          <w:rFonts w:ascii="Arial" w:hAnsi="Arial" w:cs="Arial"/>
          <w:sz w:val="24"/>
          <w:szCs w:val="24"/>
        </w:rPr>
      </w:pPr>
      <w:r>
        <w:rPr>
          <w:rFonts w:ascii="Arial" w:hAnsi="Arial" w:cs="Arial"/>
          <w:sz w:val="24"/>
          <w:szCs w:val="24"/>
        </w:rPr>
        <w:t>Russel</w:t>
      </w:r>
      <w:r w:rsidR="0001681F">
        <w:rPr>
          <w:rFonts w:ascii="Arial" w:hAnsi="Arial" w:cs="Arial"/>
          <w:sz w:val="24"/>
          <w:szCs w:val="24"/>
        </w:rPr>
        <w:t>,</w:t>
      </w:r>
      <w:r>
        <w:rPr>
          <w:rFonts w:ascii="Arial" w:hAnsi="Arial" w:cs="Arial"/>
          <w:sz w:val="24"/>
          <w:szCs w:val="24"/>
        </w:rPr>
        <w:t xml:space="preserve"> </w:t>
      </w:r>
      <w:r w:rsidRPr="005F12CA">
        <w:rPr>
          <w:rFonts w:ascii="Arial" w:hAnsi="Arial" w:cs="Arial"/>
          <w:sz w:val="24"/>
          <w:szCs w:val="24"/>
        </w:rPr>
        <w:t>J.</w:t>
      </w:r>
      <w:r w:rsidR="00987011">
        <w:rPr>
          <w:rFonts w:ascii="Arial" w:hAnsi="Arial" w:cs="Arial"/>
          <w:sz w:val="24"/>
          <w:szCs w:val="24"/>
        </w:rPr>
        <w:t xml:space="preserve"> (2011) </w:t>
      </w:r>
      <w:r w:rsidRPr="005F12CA">
        <w:rPr>
          <w:rFonts w:ascii="Arial" w:hAnsi="Arial" w:cs="Arial"/>
          <w:i/>
          <w:iCs/>
          <w:sz w:val="24"/>
          <w:szCs w:val="24"/>
        </w:rPr>
        <w:t>Enhancing employability for LLB law graduates - initiatives with ILEX and Clinic at London South Bank University</w:t>
      </w:r>
      <w:r w:rsidRPr="005F12CA">
        <w:rPr>
          <w:rFonts w:ascii="Arial" w:hAnsi="Arial" w:cs="Arial"/>
          <w:sz w:val="24"/>
          <w:szCs w:val="24"/>
        </w:rPr>
        <w:t>, 45 The Law Teacher 64</w:t>
      </w:r>
      <w:r w:rsidR="00987011">
        <w:rPr>
          <w:rFonts w:ascii="Arial" w:hAnsi="Arial" w:cs="Arial"/>
          <w:sz w:val="24"/>
          <w:szCs w:val="24"/>
        </w:rPr>
        <w:t>.</w:t>
      </w:r>
    </w:p>
    <w:p w14:paraId="059DB358" w14:textId="77777777" w:rsidR="006D17E1" w:rsidRDefault="006D17E1" w:rsidP="006D17E1">
      <w:pPr>
        <w:rPr>
          <w:rFonts w:ascii="Arial" w:eastAsia="+mn-ea" w:hAnsi="Arial" w:cs="Arial"/>
          <w:color w:val="000000"/>
          <w:kern w:val="24"/>
          <w:sz w:val="24"/>
          <w:szCs w:val="24"/>
        </w:rPr>
      </w:pPr>
      <w:r w:rsidRPr="00A74C5D">
        <w:rPr>
          <w:rFonts w:ascii="Arial" w:eastAsia="+mn-ea" w:hAnsi="Arial" w:cs="Arial"/>
          <w:color w:val="000000"/>
          <w:kern w:val="24"/>
          <w:sz w:val="24"/>
          <w:szCs w:val="24"/>
        </w:rPr>
        <w:t>Sussk</w:t>
      </w:r>
      <w:r>
        <w:rPr>
          <w:rFonts w:ascii="Arial" w:eastAsia="+mn-ea" w:hAnsi="Arial" w:cs="Arial"/>
          <w:color w:val="000000"/>
          <w:kern w:val="24"/>
          <w:sz w:val="24"/>
          <w:szCs w:val="24"/>
        </w:rPr>
        <w:t>ind</w:t>
      </w:r>
      <w:r w:rsidR="0001681F">
        <w:rPr>
          <w:rFonts w:ascii="Arial" w:eastAsia="+mn-ea" w:hAnsi="Arial" w:cs="Arial"/>
          <w:color w:val="000000"/>
          <w:kern w:val="24"/>
          <w:sz w:val="24"/>
          <w:szCs w:val="24"/>
        </w:rPr>
        <w:t>,</w:t>
      </w:r>
      <w:r>
        <w:rPr>
          <w:rFonts w:ascii="Arial" w:eastAsia="+mn-ea" w:hAnsi="Arial" w:cs="Arial"/>
          <w:color w:val="000000"/>
          <w:kern w:val="24"/>
          <w:sz w:val="24"/>
          <w:szCs w:val="24"/>
        </w:rPr>
        <w:t xml:space="preserve"> R.</w:t>
      </w:r>
      <w:r w:rsidR="00987011">
        <w:rPr>
          <w:rFonts w:ascii="Arial" w:eastAsia="+mn-ea" w:hAnsi="Arial" w:cs="Arial"/>
          <w:color w:val="000000"/>
          <w:kern w:val="24"/>
          <w:sz w:val="24"/>
          <w:szCs w:val="24"/>
        </w:rPr>
        <w:t xml:space="preserve"> </w:t>
      </w:r>
      <w:r w:rsidR="00987011" w:rsidRPr="005F12CA">
        <w:rPr>
          <w:rFonts w:ascii="Arial" w:hAnsi="Arial" w:cs="Arial"/>
          <w:sz w:val="24"/>
          <w:szCs w:val="24"/>
        </w:rPr>
        <w:t>(2011)</w:t>
      </w:r>
      <w:r w:rsidR="00987011">
        <w:rPr>
          <w:rFonts w:ascii="Arial" w:hAnsi="Arial" w:cs="Arial"/>
          <w:sz w:val="24"/>
          <w:szCs w:val="24"/>
        </w:rPr>
        <w:t xml:space="preserve"> </w:t>
      </w:r>
      <w:r w:rsidRPr="00A74C5D">
        <w:rPr>
          <w:rFonts w:ascii="Arial" w:eastAsia="+mn-ea" w:hAnsi="Arial" w:cs="Arial"/>
          <w:i/>
          <w:iCs/>
          <w:color w:val="000000"/>
          <w:kern w:val="24"/>
          <w:sz w:val="24"/>
          <w:szCs w:val="24"/>
        </w:rPr>
        <w:t>Tomorrow’s Lawyers;</w:t>
      </w:r>
      <w:r>
        <w:rPr>
          <w:rFonts w:ascii="Arial" w:eastAsia="+mn-ea" w:hAnsi="Arial" w:cs="Arial"/>
          <w:i/>
          <w:iCs/>
          <w:color w:val="000000"/>
          <w:kern w:val="24"/>
          <w:sz w:val="24"/>
          <w:szCs w:val="24"/>
        </w:rPr>
        <w:t xml:space="preserve"> An Introduction to Your Future,</w:t>
      </w:r>
      <w:r w:rsidRPr="00A74C5D">
        <w:rPr>
          <w:rFonts w:ascii="Arial" w:eastAsia="+mn-ea" w:hAnsi="Arial" w:cs="Arial"/>
          <w:color w:val="000000"/>
          <w:kern w:val="24"/>
          <w:sz w:val="24"/>
          <w:szCs w:val="24"/>
        </w:rPr>
        <w:t xml:space="preserve"> (2013) Oxford University Press, USA</w:t>
      </w:r>
      <w:r w:rsidR="00987011">
        <w:rPr>
          <w:rFonts w:ascii="Arial" w:eastAsia="+mn-ea" w:hAnsi="Arial" w:cs="Arial"/>
          <w:color w:val="000000"/>
          <w:kern w:val="24"/>
          <w:sz w:val="24"/>
          <w:szCs w:val="24"/>
        </w:rPr>
        <w:t>.</w:t>
      </w:r>
    </w:p>
    <w:p w14:paraId="0DF5E1C2" w14:textId="77777777" w:rsidR="006D17E1" w:rsidRDefault="006D17E1" w:rsidP="006D17E1">
      <w:pPr>
        <w:rPr>
          <w:rFonts w:ascii="Arial" w:hAnsi="Arial" w:cs="Arial"/>
          <w:sz w:val="24"/>
          <w:szCs w:val="24"/>
        </w:rPr>
      </w:pPr>
      <w:r>
        <w:rPr>
          <w:rFonts w:ascii="Arial" w:hAnsi="Arial" w:cs="Arial"/>
          <w:sz w:val="24"/>
          <w:szCs w:val="24"/>
        </w:rPr>
        <w:t>Tymon</w:t>
      </w:r>
      <w:r w:rsidR="0001681F">
        <w:rPr>
          <w:rFonts w:ascii="Arial" w:hAnsi="Arial" w:cs="Arial"/>
          <w:sz w:val="24"/>
          <w:szCs w:val="24"/>
        </w:rPr>
        <w:t>,</w:t>
      </w:r>
      <w:r>
        <w:rPr>
          <w:rFonts w:ascii="Arial" w:hAnsi="Arial" w:cs="Arial"/>
          <w:sz w:val="24"/>
          <w:szCs w:val="24"/>
        </w:rPr>
        <w:t xml:space="preserve"> A</w:t>
      </w:r>
      <w:r w:rsidR="00987011">
        <w:rPr>
          <w:rFonts w:ascii="Arial" w:hAnsi="Arial" w:cs="Arial"/>
          <w:sz w:val="24"/>
          <w:szCs w:val="24"/>
        </w:rPr>
        <w:t>. (</w:t>
      </w:r>
      <w:r>
        <w:rPr>
          <w:rFonts w:ascii="Arial" w:hAnsi="Arial" w:cs="Arial"/>
          <w:sz w:val="24"/>
          <w:szCs w:val="24"/>
        </w:rPr>
        <w:t>2013</w:t>
      </w:r>
      <w:r w:rsidR="00987011">
        <w:rPr>
          <w:rFonts w:ascii="Arial" w:hAnsi="Arial" w:cs="Arial"/>
          <w:sz w:val="24"/>
          <w:szCs w:val="24"/>
        </w:rPr>
        <w:t>)</w:t>
      </w:r>
      <w:r>
        <w:rPr>
          <w:rFonts w:ascii="Arial" w:hAnsi="Arial" w:cs="Arial"/>
          <w:sz w:val="24"/>
          <w:szCs w:val="24"/>
        </w:rPr>
        <w:t xml:space="preserve"> The student perspective on employability, Studies in Higher Education, 38:6, 841-856.</w:t>
      </w:r>
    </w:p>
    <w:p w14:paraId="2CE27817" w14:textId="77777777" w:rsidR="006D17E1" w:rsidRDefault="006D17E1" w:rsidP="006D17E1">
      <w:pPr>
        <w:rPr>
          <w:rFonts w:ascii="Arial" w:hAnsi="Arial" w:cs="Arial"/>
          <w:sz w:val="24"/>
          <w:szCs w:val="24"/>
        </w:rPr>
      </w:pPr>
      <w:r w:rsidRPr="00627E04">
        <w:rPr>
          <w:rFonts w:ascii="Arial" w:hAnsi="Arial" w:cs="Arial"/>
          <w:i/>
          <w:sz w:val="24"/>
          <w:szCs w:val="24"/>
        </w:rPr>
        <w:t>Working Towards your future: making the most of your time in higher education</w:t>
      </w:r>
      <w:r>
        <w:rPr>
          <w:rFonts w:ascii="Arial" w:hAnsi="Arial" w:cs="Arial"/>
          <w:sz w:val="24"/>
          <w:szCs w:val="24"/>
        </w:rPr>
        <w:t xml:space="preserve"> (2011), Confederation of British Industry and national Union of Students.</w:t>
      </w:r>
    </w:p>
    <w:p w14:paraId="0725CF12" w14:textId="77777777" w:rsidR="006D17E1" w:rsidRPr="00383696" w:rsidRDefault="006D17E1" w:rsidP="006D17E1">
      <w:pPr>
        <w:rPr>
          <w:rFonts w:ascii="Arial" w:hAnsi="Arial" w:cs="Arial"/>
          <w:sz w:val="24"/>
          <w:szCs w:val="24"/>
        </w:rPr>
      </w:pPr>
      <w:proofErr w:type="spellStart"/>
      <w:r w:rsidRPr="00383696">
        <w:rPr>
          <w:rFonts w:ascii="Arial" w:hAnsi="Arial" w:cs="Arial"/>
          <w:sz w:val="24"/>
          <w:szCs w:val="24"/>
        </w:rPr>
        <w:t>Yackee</w:t>
      </w:r>
      <w:proofErr w:type="spellEnd"/>
      <w:r w:rsidR="0001681F">
        <w:rPr>
          <w:rFonts w:ascii="Arial" w:hAnsi="Arial" w:cs="Arial"/>
          <w:sz w:val="24"/>
          <w:szCs w:val="24"/>
        </w:rPr>
        <w:t>,</w:t>
      </w:r>
      <w:r>
        <w:rPr>
          <w:rFonts w:ascii="Arial" w:hAnsi="Arial" w:cs="Arial"/>
          <w:sz w:val="24"/>
          <w:szCs w:val="24"/>
        </w:rPr>
        <w:t xml:space="preserve"> J.W.</w:t>
      </w:r>
      <w:r w:rsidR="00987011">
        <w:rPr>
          <w:rFonts w:ascii="Arial" w:hAnsi="Arial" w:cs="Arial"/>
          <w:sz w:val="24"/>
          <w:szCs w:val="24"/>
        </w:rPr>
        <w:t xml:space="preserve"> </w:t>
      </w:r>
      <w:r w:rsidR="00987011" w:rsidRPr="00383696">
        <w:rPr>
          <w:rFonts w:ascii="Arial" w:hAnsi="Arial" w:cs="Arial"/>
          <w:sz w:val="24"/>
          <w:szCs w:val="24"/>
        </w:rPr>
        <w:t>(2015)</w:t>
      </w:r>
      <w:r w:rsidR="00987011">
        <w:rPr>
          <w:rFonts w:ascii="Arial" w:hAnsi="Arial" w:cs="Arial"/>
          <w:sz w:val="24"/>
          <w:szCs w:val="24"/>
        </w:rPr>
        <w:t xml:space="preserve"> </w:t>
      </w:r>
      <w:r w:rsidRPr="00383696">
        <w:rPr>
          <w:rFonts w:ascii="Arial" w:hAnsi="Arial" w:cs="Arial"/>
          <w:i/>
          <w:iCs/>
          <w:sz w:val="24"/>
          <w:szCs w:val="24"/>
        </w:rPr>
        <w:t>Does Experiential Learning Improve JD Employment Outcomes?</w:t>
      </w:r>
      <w:r>
        <w:rPr>
          <w:rFonts w:ascii="Arial" w:hAnsi="Arial" w:cs="Arial"/>
          <w:sz w:val="24"/>
          <w:szCs w:val="24"/>
        </w:rPr>
        <w:t xml:space="preserve"> </w:t>
      </w:r>
      <w:r w:rsidRPr="00383696">
        <w:rPr>
          <w:rFonts w:ascii="Arial" w:hAnsi="Arial" w:cs="Arial"/>
          <w:sz w:val="24"/>
          <w:szCs w:val="24"/>
        </w:rPr>
        <w:t>Univ. Of Wisconsin Legal Studies Research Paper Series Paper No. 1343</w:t>
      </w:r>
      <w:r w:rsidR="00987011">
        <w:rPr>
          <w:rFonts w:ascii="Arial" w:hAnsi="Arial" w:cs="Arial"/>
          <w:sz w:val="24"/>
          <w:szCs w:val="24"/>
        </w:rPr>
        <w:t>.</w:t>
      </w:r>
      <w:r w:rsidRPr="00383696">
        <w:rPr>
          <w:rFonts w:ascii="Arial" w:hAnsi="Arial" w:cs="Arial"/>
          <w:sz w:val="24"/>
          <w:szCs w:val="24"/>
        </w:rPr>
        <w:t xml:space="preserve"> </w:t>
      </w:r>
    </w:p>
    <w:p w14:paraId="5085884E" w14:textId="77777777" w:rsidR="006D17E1" w:rsidRDefault="006D17E1" w:rsidP="006D17E1">
      <w:pPr>
        <w:rPr>
          <w:rFonts w:ascii="Arial" w:hAnsi="Arial" w:cs="Arial"/>
          <w:sz w:val="24"/>
          <w:szCs w:val="24"/>
        </w:rPr>
      </w:pPr>
      <w:proofErr w:type="spellStart"/>
      <w:r>
        <w:rPr>
          <w:rFonts w:ascii="Arial" w:hAnsi="Arial" w:cs="Arial"/>
          <w:sz w:val="24"/>
          <w:szCs w:val="24"/>
        </w:rPr>
        <w:t>Yorke</w:t>
      </w:r>
      <w:proofErr w:type="spellEnd"/>
      <w:r>
        <w:rPr>
          <w:rFonts w:ascii="Arial" w:hAnsi="Arial" w:cs="Arial"/>
          <w:sz w:val="24"/>
          <w:szCs w:val="24"/>
        </w:rPr>
        <w:t xml:space="preserve">, M. </w:t>
      </w:r>
      <w:r w:rsidR="00987011">
        <w:rPr>
          <w:rFonts w:ascii="Arial" w:hAnsi="Arial" w:cs="Arial"/>
          <w:sz w:val="24"/>
          <w:szCs w:val="24"/>
        </w:rPr>
        <w:t>(</w:t>
      </w:r>
      <w:r>
        <w:rPr>
          <w:rFonts w:ascii="Arial" w:hAnsi="Arial" w:cs="Arial"/>
          <w:sz w:val="24"/>
          <w:szCs w:val="24"/>
        </w:rPr>
        <w:t>2006</w:t>
      </w:r>
      <w:r w:rsidR="00987011">
        <w:rPr>
          <w:rFonts w:ascii="Arial" w:hAnsi="Arial" w:cs="Arial"/>
          <w:sz w:val="24"/>
          <w:szCs w:val="24"/>
        </w:rPr>
        <w:t>)</w:t>
      </w:r>
      <w:r>
        <w:rPr>
          <w:rFonts w:ascii="Arial" w:hAnsi="Arial" w:cs="Arial"/>
          <w:sz w:val="24"/>
          <w:szCs w:val="24"/>
        </w:rPr>
        <w:t xml:space="preserve"> Employability in higher education: What it is - what it is not. Learning and Employability Series One, Higher Education Academy.</w:t>
      </w:r>
    </w:p>
    <w:p w14:paraId="37267B76" w14:textId="77777777" w:rsidR="006D17E1" w:rsidRDefault="006D17E1">
      <w:pPr>
        <w:rPr>
          <w:rFonts w:ascii="Arial" w:hAnsi="Arial" w:cs="Arial"/>
          <w:sz w:val="24"/>
          <w:szCs w:val="24"/>
        </w:rPr>
      </w:pPr>
    </w:p>
    <w:p w14:paraId="5A5B3BAD" w14:textId="77777777" w:rsidR="00D56D2B" w:rsidRPr="00D56D2B" w:rsidRDefault="00D56D2B" w:rsidP="00D56D2B">
      <w:pPr>
        <w:rPr>
          <w:rFonts w:ascii="Arial" w:hAnsi="Arial" w:cs="Arial"/>
          <w:sz w:val="24"/>
          <w:szCs w:val="24"/>
        </w:rPr>
      </w:pPr>
    </w:p>
    <w:sectPr w:rsidR="00D56D2B" w:rsidRPr="00D56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dvOT40514f85+20">
    <w:altName w:val="MS Mincho"/>
    <w:panose1 w:val="00000000000000000000"/>
    <w:charset w:val="80"/>
    <w:family w:val="auto"/>
    <w:notTrueType/>
    <w:pitch w:val="default"/>
    <w:sig w:usb0="00000001"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2B"/>
    <w:rsid w:val="0001681F"/>
    <w:rsid w:val="00017C39"/>
    <w:rsid w:val="00076849"/>
    <w:rsid w:val="000E345D"/>
    <w:rsid w:val="000F73FF"/>
    <w:rsid w:val="0012523B"/>
    <w:rsid w:val="001257B1"/>
    <w:rsid w:val="00130674"/>
    <w:rsid w:val="001C46A2"/>
    <w:rsid w:val="002120EA"/>
    <w:rsid w:val="00223057"/>
    <w:rsid w:val="0023491B"/>
    <w:rsid w:val="002650C7"/>
    <w:rsid w:val="00265AD8"/>
    <w:rsid w:val="002932D6"/>
    <w:rsid w:val="0029584B"/>
    <w:rsid w:val="002B7CF2"/>
    <w:rsid w:val="002D4F4E"/>
    <w:rsid w:val="002F164C"/>
    <w:rsid w:val="00322D5C"/>
    <w:rsid w:val="00324637"/>
    <w:rsid w:val="00362B28"/>
    <w:rsid w:val="00383696"/>
    <w:rsid w:val="00397E96"/>
    <w:rsid w:val="003D0CDD"/>
    <w:rsid w:val="003D13D8"/>
    <w:rsid w:val="00407711"/>
    <w:rsid w:val="00414772"/>
    <w:rsid w:val="00425012"/>
    <w:rsid w:val="00476B17"/>
    <w:rsid w:val="004A4138"/>
    <w:rsid w:val="004A6F93"/>
    <w:rsid w:val="004D12A2"/>
    <w:rsid w:val="0051191B"/>
    <w:rsid w:val="00553E3E"/>
    <w:rsid w:val="00576CD9"/>
    <w:rsid w:val="005901C3"/>
    <w:rsid w:val="0059739E"/>
    <w:rsid w:val="005B3946"/>
    <w:rsid w:val="005F12CA"/>
    <w:rsid w:val="00627E04"/>
    <w:rsid w:val="0064102B"/>
    <w:rsid w:val="00665FB1"/>
    <w:rsid w:val="006743EF"/>
    <w:rsid w:val="00675B2C"/>
    <w:rsid w:val="00676D9D"/>
    <w:rsid w:val="00693AF7"/>
    <w:rsid w:val="006D17E1"/>
    <w:rsid w:val="006D65F8"/>
    <w:rsid w:val="006E3BCD"/>
    <w:rsid w:val="00752855"/>
    <w:rsid w:val="00762461"/>
    <w:rsid w:val="007668F4"/>
    <w:rsid w:val="00771CAB"/>
    <w:rsid w:val="0078697E"/>
    <w:rsid w:val="00790560"/>
    <w:rsid w:val="007B05CA"/>
    <w:rsid w:val="00815373"/>
    <w:rsid w:val="008C58F5"/>
    <w:rsid w:val="008D0027"/>
    <w:rsid w:val="008E5B81"/>
    <w:rsid w:val="008E62F9"/>
    <w:rsid w:val="00911A82"/>
    <w:rsid w:val="00987011"/>
    <w:rsid w:val="00993EF7"/>
    <w:rsid w:val="009A4BF5"/>
    <w:rsid w:val="009A501D"/>
    <w:rsid w:val="009C06D9"/>
    <w:rsid w:val="009D42D0"/>
    <w:rsid w:val="009E3D3E"/>
    <w:rsid w:val="00A37230"/>
    <w:rsid w:val="00A74C5D"/>
    <w:rsid w:val="00A920E5"/>
    <w:rsid w:val="00AE2D6E"/>
    <w:rsid w:val="00AF6550"/>
    <w:rsid w:val="00B00E7C"/>
    <w:rsid w:val="00B370EA"/>
    <w:rsid w:val="00B64503"/>
    <w:rsid w:val="00BB23DD"/>
    <w:rsid w:val="00BB577E"/>
    <w:rsid w:val="00BB57A7"/>
    <w:rsid w:val="00BD12DF"/>
    <w:rsid w:val="00C16CB1"/>
    <w:rsid w:val="00C27B32"/>
    <w:rsid w:val="00C43E6C"/>
    <w:rsid w:val="00CA4292"/>
    <w:rsid w:val="00CF31F3"/>
    <w:rsid w:val="00D303EE"/>
    <w:rsid w:val="00D56D2B"/>
    <w:rsid w:val="00D7089B"/>
    <w:rsid w:val="00D73D75"/>
    <w:rsid w:val="00D936F3"/>
    <w:rsid w:val="00EA21A5"/>
    <w:rsid w:val="00EB5826"/>
    <w:rsid w:val="00EC3260"/>
    <w:rsid w:val="00EC5828"/>
    <w:rsid w:val="00F574FF"/>
    <w:rsid w:val="00FA4198"/>
    <w:rsid w:val="00FE0E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2114"/>
  <w15:docId w15:val="{8A95935A-8982-45C6-9EB5-C4040034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D2B"/>
    <w:rPr>
      <w:color w:val="0563C1" w:themeColor="hyperlink"/>
      <w:u w:val="single"/>
    </w:rPr>
  </w:style>
  <w:style w:type="paragraph" w:customStyle="1" w:styleId="Default">
    <w:name w:val="Default"/>
    <w:rsid w:val="00665FB1"/>
    <w:pPr>
      <w:autoSpaceDE w:val="0"/>
      <w:autoSpaceDN w:val="0"/>
      <w:adjustRightInd w:val="0"/>
      <w:spacing w:after="0" w:line="240" w:lineRule="auto"/>
    </w:pPr>
    <w:rPr>
      <w:rFonts w:ascii="Minion Pro" w:hAnsi="Minion Pro" w:cs="Minion Pro"/>
      <w:color w:val="000000"/>
      <w:sz w:val="24"/>
      <w:szCs w:val="24"/>
    </w:rPr>
  </w:style>
  <w:style w:type="paragraph" w:styleId="NormalWeb">
    <w:name w:val="Normal (Web)"/>
    <w:basedOn w:val="Normal"/>
    <w:uiPriority w:val="99"/>
    <w:unhideWhenUsed/>
    <w:rsid w:val="00A74C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1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A2"/>
    <w:rPr>
      <w:rFonts w:ascii="Tahoma" w:hAnsi="Tahoma" w:cs="Tahoma"/>
      <w:sz w:val="16"/>
      <w:szCs w:val="16"/>
    </w:rPr>
  </w:style>
  <w:style w:type="paragraph" w:styleId="Bibliography">
    <w:name w:val="Bibliography"/>
    <w:basedOn w:val="Normal"/>
    <w:next w:val="Normal"/>
    <w:uiPriority w:val="37"/>
    <w:unhideWhenUsed/>
    <w:rsid w:val="004D12A2"/>
  </w:style>
  <w:style w:type="paragraph" w:styleId="FootnoteText">
    <w:name w:val="footnote text"/>
    <w:link w:val="FootnoteTextChar"/>
    <w:rsid w:val="00987011"/>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rPr>
  </w:style>
  <w:style w:type="character" w:customStyle="1" w:styleId="FootnoteTextChar">
    <w:name w:val="Footnote Text Char"/>
    <w:basedOn w:val="DefaultParagraphFont"/>
    <w:link w:val="FootnoteText"/>
    <w:rsid w:val="00987011"/>
    <w:rPr>
      <w:rFonts w:ascii="Calibri" w:eastAsia="Calibri" w:hAnsi="Calibri" w:cs="Calibri"/>
      <w:color w:val="000000"/>
      <w:sz w:val="20"/>
      <w:szCs w:val="20"/>
      <w:u w:color="000000"/>
      <w:bdr w:val="nil"/>
      <w:lang w:val="en-US"/>
    </w:rPr>
  </w:style>
  <w:style w:type="character" w:styleId="CommentReference">
    <w:name w:val="annotation reference"/>
    <w:basedOn w:val="DefaultParagraphFont"/>
    <w:uiPriority w:val="99"/>
    <w:semiHidden/>
    <w:unhideWhenUsed/>
    <w:rsid w:val="00AF6550"/>
    <w:rPr>
      <w:sz w:val="16"/>
      <w:szCs w:val="16"/>
    </w:rPr>
  </w:style>
  <w:style w:type="paragraph" w:styleId="CommentText">
    <w:name w:val="annotation text"/>
    <w:basedOn w:val="Normal"/>
    <w:link w:val="CommentTextChar"/>
    <w:uiPriority w:val="99"/>
    <w:semiHidden/>
    <w:unhideWhenUsed/>
    <w:rsid w:val="00AF6550"/>
    <w:pPr>
      <w:spacing w:line="240" w:lineRule="auto"/>
    </w:pPr>
    <w:rPr>
      <w:sz w:val="20"/>
      <w:szCs w:val="20"/>
    </w:rPr>
  </w:style>
  <w:style w:type="character" w:customStyle="1" w:styleId="CommentTextChar">
    <w:name w:val="Comment Text Char"/>
    <w:basedOn w:val="DefaultParagraphFont"/>
    <w:link w:val="CommentText"/>
    <w:uiPriority w:val="99"/>
    <w:semiHidden/>
    <w:rsid w:val="00AF6550"/>
    <w:rPr>
      <w:sz w:val="20"/>
      <w:szCs w:val="20"/>
    </w:rPr>
  </w:style>
  <w:style w:type="paragraph" w:styleId="CommentSubject">
    <w:name w:val="annotation subject"/>
    <w:basedOn w:val="CommentText"/>
    <w:next w:val="CommentText"/>
    <w:link w:val="CommentSubjectChar"/>
    <w:uiPriority w:val="99"/>
    <w:semiHidden/>
    <w:unhideWhenUsed/>
    <w:rsid w:val="00AF6550"/>
    <w:rPr>
      <w:b/>
      <w:bCs/>
    </w:rPr>
  </w:style>
  <w:style w:type="character" w:customStyle="1" w:styleId="CommentSubjectChar">
    <w:name w:val="Comment Subject Char"/>
    <w:basedOn w:val="CommentTextChar"/>
    <w:link w:val="CommentSubject"/>
    <w:uiPriority w:val="99"/>
    <w:semiHidden/>
    <w:rsid w:val="00AF6550"/>
    <w:rPr>
      <w:b/>
      <w:bCs/>
      <w:sz w:val="20"/>
      <w:szCs w:val="20"/>
    </w:rPr>
  </w:style>
  <w:style w:type="paragraph" w:styleId="Revision">
    <w:name w:val="Revision"/>
    <w:hidden/>
    <w:uiPriority w:val="99"/>
    <w:semiHidden/>
    <w:rsid w:val="00A37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ol.boothby@northumbria.ac.uk" TargetMode="External"/><Relationship Id="rId5" Type="http://schemas.openxmlformats.org/officeDocument/2006/relationships/hyperlink" Target="mailto:jill.alexander@northumbri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AFr15</b:Tag>
    <b:SourceType>JournalArticle</b:SourceType>
    <b:Guid>{010F1224-5B47-407A-9B8A-56F0028D2682}</b:Guid>
    <b:Title>Legal Education, Social Mobility, and Employability: Possible Selves, Curriculum Intervention, and the Role of Legal Work Expereince</b:Title>
    <b:Year>2015</b:Year>
    <b:Author>
      <b:Author>
        <b:NameList>
          <b:Person>
            <b:Last>Francis</b:Last>
            <b:First>A</b:First>
          </b:Person>
        </b:NameList>
      </b:Author>
    </b:Author>
    <b:JournalName>Journal of Law and Society </b:JournalName>
    <b:Pages>173-201</b:Pages>
    <b:Volume>42</b:Volume>
    <b:Issue>2</b:Issue>
    <b:RefOrder>1</b:RefOrder>
  </b:Source>
</b:Sources>
</file>

<file path=customXml/itemProps1.xml><?xml version="1.0" encoding="utf-8"?>
<ds:datastoreItem xmlns:ds="http://schemas.openxmlformats.org/officeDocument/2006/customXml" ds:itemID="{FA2D14CF-827A-4E8F-8FBD-1009DE98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Alexander</dc:creator>
  <cp:lastModifiedBy>Jill Alexander</cp:lastModifiedBy>
  <cp:revision>2</cp:revision>
  <cp:lastPrinted>2016-10-24T13:54:00Z</cp:lastPrinted>
  <dcterms:created xsi:type="dcterms:W3CDTF">2016-10-24T13:55:00Z</dcterms:created>
  <dcterms:modified xsi:type="dcterms:W3CDTF">2016-10-24T13:55:00Z</dcterms:modified>
</cp:coreProperties>
</file>