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CC" w:rsidRDefault="00B110CC" w:rsidP="00B110CC">
      <w:pPr>
        <w:spacing w:line="480" w:lineRule="auto"/>
        <w:jc w:val="center"/>
        <w:rPr>
          <w:rFonts w:ascii="Times New Roman" w:hAnsi="Times New Roman"/>
          <w:b/>
          <w:sz w:val="24"/>
          <w:szCs w:val="24"/>
        </w:rPr>
      </w:pPr>
      <w:r w:rsidRPr="000F1E00">
        <w:rPr>
          <w:rFonts w:ascii="Times New Roman" w:hAnsi="Times New Roman"/>
          <w:b/>
          <w:sz w:val="24"/>
          <w:szCs w:val="24"/>
        </w:rPr>
        <w:t xml:space="preserve">Vocabularies of Motive </w:t>
      </w:r>
      <w:r>
        <w:rPr>
          <w:rFonts w:ascii="Times New Roman" w:hAnsi="Times New Roman"/>
          <w:b/>
          <w:sz w:val="24"/>
          <w:szCs w:val="24"/>
        </w:rPr>
        <w:t xml:space="preserve">and Temporal Perspectives: Examples of Pension Fund Engagement and Disengagement </w:t>
      </w:r>
    </w:p>
    <w:p w:rsidR="006D1025" w:rsidRPr="006D1025" w:rsidRDefault="006D1025" w:rsidP="00B110CC">
      <w:pPr>
        <w:spacing w:line="480" w:lineRule="auto"/>
        <w:jc w:val="center"/>
        <w:rPr>
          <w:rFonts w:ascii="Times New Roman" w:hAnsi="Times New Roman"/>
          <w:i/>
          <w:sz w:val="24"/>
          <w:szCs w:val="24"/>
        </w:rPr>
      </w:pPr>
      <w:r w:rsidRPr="006D1025">
        <w:rPr>
          <w:rFonts w:ascii="Times New Roman" w:hAnsi="Times New Roman"/>
          <w:i/>
          <w:sz w:val="24"/>
          <w:szCs w:val="24"/>
        </w:rPr>
        <w:t xml:space="preserve">Tilba, A. and Wilson, J. F. </w:t>
      </w:r>
    </w:p>
    <w:p w:rsidR="00B110CC" w:rsidRPr="000F1E00" w:rsidRDefault="00B110CC" w:rsidP="00B110CC">
      <w:pPr>
        <w:spacing w:line="480" w:lineRule="auto"/>
        <w:rPr>
          <w:rFonts w:ascii="Times New Roman" w:hAnsi="Times New Roman"/>
          <w:b/>
          <w:sz w:val="24"/>
          <w:szCs w:val="24"/>
          <w:u w:val="single"/>
        </w:rPr>
      </w:pPr>
      <w:r w:rsidRPr="000F1E00">
        <w:rPr>
          <w:rFonts w:ascii="Times New Roman" w:hAnsi="Times New Roman"/>
          <w:b/>
          <w:sz w:val="24"/>
          <w:szCs w:val="24"/>
        </w:rPr>
        <w:t>Abstract</w:t>
      </w:r>
    </w:p>
    <w:p w:rsidR="00B110CC" w:rsidRPr="006A22CC" w:rsidRDefault="00B110CC" w:rsidP="00B110CC">
      <w:pPr>
        <w:pBdr>
          <w:top w:val="single" w:sz="4" w:space="1" w:color="auto"/>
        </w:pBdr>
        <w:jc w:val="both"/>
        <w:rPr>
          <w:rFonts w:ascii="Times New Roman" w:hAnsi="Times New Roman"/>
          <w:sz w:val="24"/>
          <w:szCs w:val="24"/>
        </w:rPr>
      </w:pPr>
      <w:r>
        <w:rPr>
          <w:rFonts w:ascii="Times New Roman" w:hAnsi="Times New Roman"/>
          <w:sz w:val="24"/>
          <w:szCs w:val="24"/>
        </w:rPr>
        <w:t>Prior research on institutional investors’ role in corporate governance draws a distinction between engaged and disengaged pension funds. The aim of this study is to shed more light on h</w:t>
      </w:r>
      <w:r w:rsidRPr="00443171">
        <w:rPr>
          <w:rFonts w:ascii="Times New Roman" w:hAnsi="Times New Roman"/>
          <w:sz w:val="24"/>
          <w:szCs w:val="24"/>
        </w:rPr>
        <w:t xml:space="preserve">ow </w:t>
      </w:r>
      <w:r>
        <w:rPr>
          <w:rFonts w:ascii="Times New Roman" w:hAnsi="Times New Roman"/>
          <w:sz w:val="24"/>
          <w:szCs w:val="24"/>
        </w:rPr>
        <w:t>pension fund practitioners</w:t>
      </w:r>
      <w:r w:rsidRPr="00443171">
        <w:rPr>
          <w:rFonts w:ascii="Times New Roman" w:hAnsi="Times New Roman"/>
          <w:sz w:val="24"/>
          <w:szCs w:val="24"/>
        </w:rPr>
        <w:t xml:space="preserve"> talk about engagement and disengagement.</w:t>
      </w:r>
      <w:r>
        <w:rPr>
          <w:rFonts w:ascii="Times New Roman" w:hAnsi="Times New Roman"/>
          <w:sz w:val="24"/>
          <w:szCs w:val="24"/>
        </w:rPr>
        <w:t xml:space="preserve"> Using insights from </w:t>
      </w:r>
      <w:r w:rsidRPr="000F1E00">
        <w:rPr>
          <w:rFonts w:ascii="Times New Roman" w:hAnsi="Times New Roman"/>
          <w:sz w:val="24"/>
          <w:szCs w:val="24"/>
        </w:rPr>
        <w:t>thirty-five in-depth, semi-structured interviews and round-table discussions with pension fund trustees, executives, investment officers and financial intermediaries</w:t>
      </w:r>
      <w:r>
        <w:rPr>
          <w:rFonts w:ascii="Times New Roman" w:hAnsi="Times New Roman"/>
          <w:sz w:val="24"/>
          <w:szCs w:val="24"/>
        </w:rPr>
        <w:t>, we identify</w:t>
      </w:r>
      <w:r w:rsidRPr="00443171">
        <w:rPr>
          <w:rFonts w:ascii="Times New Roman" w:hAnsi="Times New Roman"/>
          <w:sz w:val="24"/>
          <w:szCs w:val="24"/>
        </w:rPr>
        <w:t xml:space="preserve"> different types of vocabularies</w:t>
      </w:r>
      <w:r>
        <w:rPr>
          <w:rFonts w:ascii="Times New Roman" w:hAnsi="Times New Roman"/>
          <w:sz w:val="24"/>
          <w:szCs w:val="24"/>
        </w:rPr>
        <w:t xml:space="preserve"> and temporal perspectives</w:t>
      </w:r>
      <w:r w:rsidRPr="00443171">
        <w:rPr>
          <w:rFonts w:ascii="Times New Roman" w:hAnsi="Times New Roman"/>
          <w:sz w:val="24"/>
          <w:szCs w:val="24"/>
        </w:rPr>
        <w:t xml:space="preserve"> used to </w:t>
      </w:r>
      <w:r>
        <w:rPr>
          <w:rFonts w:ascii="Times New Roman" w:hAnsi="Times New Roman"/>
          <w:sz w:val="24"/>
          <w:szCs w:val="24"/>
        </w:rPr>
        <w:t xml:space="preserve">account for </w:t>
      </w:r>
      <w:r w:rsidRPr="00443171">
        <w:rPr>
          <w:rFonts w:ascii="Times New Roman" w:hAnsi="Times New Roman"/>
          <w:sz w:val="24"/>
          <w:szCs w:val="24"/>
        </w:rPr>
        <w:t>different stances towards engagement</w:t>
      </w:r>
      <w:r>
        <w:rPr>
          <w:rFonts w:ascii="Times New Roman" w:hAnsi="Times New Roman"/>
          <w:sz w:val="24"/>
          <w:szCs w:val="24"/>
        </w:rPr>
        <w:t>.</w:t>
      </w:r>
      <w:r>
        <w:rPr>
          <w:rFonts w:ascii="Times New Roman" w:hAnsi="Times New Roman"/>
          <w:noProof/>
          <w:sz w:val="24"/>
          <w:szCs w:val="24"/>
        </w:rPr>
        <w:t xml:space="preserve"> </w:t>
      </w:r>
      <w:r>
        <w:rPr>
          <w:rFonts w:ascii="Times New Roman" w:hAnsi="Times New Roman"/>
          <w:sz w:val="24"/>
          <w:szCs w:val="24"/>
        </w:rPr>
        <w:t xml:space="preserve">We highlight a tension between </w:t>
      </w:r>
      <w:r w:rsidRPr="00443171">
        <w:rPr>
          <w:rFonts w:ascii="Times New Roman" w:hAnsi="Times New Roman"/>
          <w:sz w:val="24"/>
          <w:szCs w:val="24"/>
        </w:rPr>
        <w:t>a seeming</w:t>
      </w:r>
      <w:r>
        <w:rPr>
          <w:rFonts w:ascii="Times New Roman" w:hAnsi="Times New Roman"/>
          <w:sz w:val="24"/>
          <w:szCs w:val="24"/>
        </w:rPr>
        <w:t>ly causal</w:t>
      </w:r>
      <w:r w:rsidRPr="00443171">
        <w:rPr>
          <w:rFonts w:ascii="Times New Roman" w:hAnsi="Times New Roman"/>
          <w:sz w:val="24"/>
          <w:szCs w:val="24"/>
        </w:rPr>
        <w:t xml:space="preserve"> relationship between accounts and future behaviour</w:t>
      </w:r>
      <w:r>
        <w:rPr>
          <w:rFonts w:ascii="Times New Roman" w:hAnsi="Times New Roman"/>
          <w:sz w:val="24"/>
          <w:szCs w:val="24"/>
        </w:rPr>
        <w:t xml:space="preserve"> and </w:t>
      </w:r>
      <w:r>
        <w:rPr>
          <w:rFonts w:ascii="Times New Roman" w:hAnsi="Times New Roman"/>
          <w:noProof/>
          <w:sz w:val="24"/>
          <w:szCs w:val="24"/>
        </w:rPr>
        <w:t xml:space="preserve">argue </w:t>
      </w:r>
      <w:r w:rsidRPr="000F1E00">
        <w:rPr>
          <w:rFonts w:ascii="Times New Roman" w:hAnsi="Times New Roman"/>
          <w:noProof/>
          <w:sz w:val="24"/>
          <w:szCs w:val="24"/>
        </w:rPr>
        <w:t xml:space="preserve"> that</w:t>
      </w:r>
      <w:r>
        <w:rPr>
          <w:rFonts w:ascii="Times New Roman" w:hAnsi="Times New Roman"/>
          <w:noProof/>
          <w:sz w:val="24"/>
          <w:szCs w:val="24"/>
        </w:rPr>
        <w:t xml:space="preserve"> these</w:t>
      </w:r>
      <w:r w:rsidRPr="000F1E00">
        <w:rPr>
          <w:rFonts w:ascii="Times New Roman" w:hAnsi="Times New Roman"/>
          <w:noProof/>
          <w:sz w:val="24"/>
          <w:szCs w:val="24"/>
        </w:rPr>
        <w:t xml:space="preserve"> ‘</w:t>
      </w:r>
      <w:r>
        <w:rPr>
          <w:rFonts w:ascii="Times New Roman" w:hAnsi="Times New Roman"/>
          <w:noProof/>
          <w:sz w:val="24"/>
          <w:szCs w:val="24"/>
        </w:rPr>
        <w:t>accounts’, ‘vocabularies’ and ‘uses of the past’</w:t>
      </w:r>
      <w:r w:rsidRPr="000F1E00">
        <w:rPr>
          <w:rFonts w:ascii="Times New Roman" w:hAnsi="Times New Roman"/>
          <w:noProof/>
          <w:sz w:val="24"/>
          <w:szCs w:val="24"/>
        </w:rPr>
        <w:t xml:space="preserve"> in themselves</w:t>
      </w:r>
      <w:r w:rsidRPr="000F1E00">
        <w:rPr>
          <w:rFonts w:ascii="Times New Roman" w:hAnsi="Times New Roman"/>
          <w:sz w:val="24"/>
          <w:szCs w:val="24"/>
        </w:rPr>
        <w:t xml:space="preserve"> need to be treated as an object of study</w:t>
      </w:r>
      <w:r>
        <w:rPr>
          <w:rFonts w:ascii="Times New Roman" w:hAnsi="Times New Roman"/>
          <w:sz w:val="24"/>
          <w:szCs w:val="24"/>
        </w:rPr>
        <w:t xml:space="preserve"> because they may </w:t>
      </w:r>
      <w:r w:rsidRPr="000F1E00">
        <w:rPr>
          <w:rFonts w:ascii="Times New Roman" w:hAnsi="Times New Roman"/>
          <w:sz w:val="24"/>
          <w:szCs w:val="24"/>
        </w:rPr>
        <w:t>represent not simply the individual motivations</w:t>
      </w:r>
      <w:r>
        <w:rPr>
          <w:rFonts w:ascii="Times New Roman" w:hAnsi="Times New Roman"/>
          <w:sz w:val="24"/>
          <w:szCs w:val="24"/>
        </w:rPr>
        <w:t>,</w:t>
      </w:r>
      <w:r w:rsidRPr="000F1E00">
        <w:rPr>
          <w:rFonts w:ascii="Times New Roman" w:hAnsi="Times New Roman"/>
          <w:sz w:val="24"/>
          <w:szCs w:val="24"/>
        </w:rPr>
        <w:t xml:space="preserve"> but rather </w:t>
      </w:r>
      <w:r>
        <w:rPr>
          <w:rFonts w:ascii="Times New Roman" w:hAnsi="Times New Roman"/>
          <w:sz w:val="24"/>
          <w:szCs w:val="24"/>
        </w:rPr>
        <w:t>the</w:t>
      </w:r>
      <w:r w:rsidRPr="000F1E00">
        <w:rPr>
          <w:rFonts w:ascii="Times New Roman" w:hAnsi="Times New Roman"/>
          <w:sz w:val="24"/>
          <w:szCs w:val="24"/>
        </w:rPr>
        <w:t xml:space="preserve"> expressions of extant norms in the broader social context of financial markets. An important policy implication is that perceived realities of investment are unlikely to cause a change in pension fund behaviour because participants seem to decouple their view of the world from their impact on the world.  </w:t>
      </w:r>
    </w:p>
    <w:p w:rsidR="00B110CC" w:rsidRPr="000F1E00" w:rsidRDefault="00B110CC" w:rsidP="00B110CC">
      <w:pPr>
        <w:autoSpaceDE w:val="0"/>
        <w:autoSpaceDN w:val="0"/>
        <w:adjustRightInd w:val="0"/>
        <w:spacing w:after="0" w:line="240" w:lineRule="auto"/>
        <w:jc w:val="both"/>
        <w:rPr>
          <w:rFonts w:ascii="Times New Roman" w:hAnsi="Times New Roman"/>
          <w:sz w:val="24"/>
          <w:szCs w:val="24"/>
        </w:rPr>
      </w:pPr>
    </w:p>
    <w:p w:rsidR="00B110CC" w:rsidRPr="000F1E00" w:rsidRDefault="00B110CC" w:rsidP="00B110CC">
      <w:pPr>
        <w:autoSpaceDE w:val="0"/>
        <w:autoSpaceDN w:val="0"/>
        <w:adjustRightInd w:val="0"/>
        <w:spacing w:after="0" w:line="240" w:lineRule="auto"/>
        <w:jc w:val="both"/>
        <w:rPr>
          <w:rFonts w:ascii="Times New Roman" w:hAnsi="Times New Roman"/>
          <w:sz w:val="24"/>
          <w:szCs w:val="24"/>
        </w:rPr>
      </w:pPr>
      <w:r w:rsidRPr="000F1E00">
        <w:rPr>
          <w:rFonts w:ascii="Times New Roman" w:hAnsi="Times New Roman"/>
          <w:sz w:val="24"/>
          <w:szCs w:val="24"/>
        </w:rPr>
        <w:t xml:space="preserve">Keywords: Corporate Engagement, Pension Fund, </w:t>
      </w:r>
      <w:r>
        <w:rPr>
          <w:rFonts w:ascii="Times New Roman" w:hAnsi="Times New Roman"/>
          <w:sz w:val="24"/>
          <w:szCs w:val="24"/>
        </w:rPr>
        <w:t xml:space="preserve">Vocabularies of Motive. </w:t>
      </w:r>
      <w:r w:rsidRPr="000F1E00">
        <w:rPr>
          <w:rFonts w:ascii="Times New Roman" w:hAnsi="Times New Roman"/>
          <w:sz w:val="24"/>
          <w:szCs w:val="24"/>
        </w:rPr>
        <w:t xml:space="preserve">United Kingdom  </w:t>
      </w:r>
    </w:p>
    <w:p w:rsidR="00B110CC" w:rsidRPr="000F1E00" w:rsidRDefault="00B110CC" w:rsidP="00B110CC">
      <w:pPr>
        <w:spacing w:line="480" w:lineRule="auto"/>
        <w:jc w:val="both"/>
        <w:rPr>
          <w:rFonts w:ascii="Times New Roman" w:hAnsi="Times New Roman"/>
          <w:b/>
          <w:sz w:val="24"/>
        </w:rPr>
      </w:pPr>
    </w:p>
    <w:p w:rsidR="00012BAC" w:rsidRPr="00012BAC" w:rsidRDefault="00012BAC" w:rsidP="00012BAC">
      <w:pPr>
        <w:spacing w:line="240" w:lineRule="auto"/>
        <w:jc w:val="both"/>
        <w:rPr>
          <w:rFonts w:ascii="Times New Roman" w:hAnsi="Times New Roman"/>
          <w:b/>
          <w:sz w:val="24"/>
          <w:szCs w:val="24"/>
        </w:rPr>
      </w:pPr>
      <w:r w:rsidRPr="00012BAC">
        <w:rPr>
          <w:rFonts w:ascii="Times New Roman" w:hAnsi="Times New Roman"/>
          <w:b/>
          <w:sz w:val="24"/>
          <w:szCs w:val="24"/>
        </w:rPr>
        <w:t xml:space="preserve">Please cite as: Tilba, A. and Wilson, J.F. (2017). ‘Vocabularies of Motive and Temporal Perspectives: Examples of Pension Fund Engagement and Disengagement’, </w:t>
      </w:r>
      <w:r w:rsidRPr="00012BAC">
        <w:rPr>
          <w:rFonts w:ascii="Times New Roman" w:hAnsi="Times New Roman"/>
          <w:b/>
          <w:i/>
          <w:sz w:val="24"/>
          <w:szCs w:val="24"/>
        </w:rPr>
        <w:t>British Journal of Management, forthcoming.</w:t>
      </w:r>
      <w:r w:rsidRPr="00012BAC">
        <w:rPr>
          <w:rFonts w:ascii="Times New Roman" w:hAnsi="Times New Roman"/>
          <w:b/>
          <w:sz w:val="24"/>
          <w:szCs w:val="24"/>
        </w:rPr>
        <w:t xml:space="preserve"> </w:t>
      </w:r>
    </w:p>
    <w:p w:rsidR="00B110CC" w:rsidRPr="000F1E00" w:rsidRDefault="00B110CC" w:rsidP="00B110CC">
      <w:pPr>
        <w:spacing w:line="480" w:lineRule="auto"/>
        <w:jc w:val="both"/>
        <w:rPr>
          <w:rFonts w:ascii="Times New Roman" w:hAnsi="Times New Roman"/>
          <w:b/>
          <w:sz w:val="24"/>
        </w:rPr>
      </w:pPr>
    </w:p>
    <w:p w:rsidR="00B110CC" w:rsidRPr="000F1E00" w:rsidRDefault="00B110CC" w:rsidP="00B110CC">
      <w:pPr>
        <w:spacing w:line="480" w:lineRule="auto"/>
        <w:jc w:val="both"/>
        <w:rPr>
          <w:rFonts w:ascii="Times New Roman" w:hAnsi="Times New Roman"/>
          <w:b/>
          <w:sz w:val="24"/>
          <w:szCs w:val="24"/>
        </w:rPr>
      </w:pPr>
    </w:p>
    <w:p w:rsidR="00B110CC" w:rsidRDefault="00B110CC" w:rsidP="00B110CC">
      <w:pPr>
        <w:spacing w:line="480" w:lineRule="auto"/>
        <w:jc w:val="both"/>
        <w:rPr>
          <w:rFonts w:ascii="Times New Roman" w:hAnsi="Times New Roman"/>
          <w:b/>
          <w:sz w:val="24"/>
          <w:szCs w:val="24"/>
        </w:rPr>
      </w:pPr>
    </w:p>
    <w:p w:rsidR="00B110CC" w:rsidRDefault="00B110CC" w:rsidP="00B110CC">
      <w:pPr>
        <w:spacing w:line="480" w:lineRule="auto"/>
        <w:jc w:val="both"/>
        <w:rPr>
          <w:rFonts w:ascii="Times New Roman" w:hAnsi="Times New Roman"/>
          <w:b/>
          <w:sz w:val="24"/>
          <w:szCs w:val="24"/>
        </w:rPr>
      </w:pPr>
    </w:p>
    <w:p w:rsidR="00012BAC" w:rsidRDefault="00012BAC" w:rsidP="00B110CC">
      <w:pPr>
        <w:spacing w:line="480" w:lineRule="auto"/>
        <w:jc w:val="both"/>
        <w:rPr>
          <w:rFonts w:ascii="Times New Roman" w:hAnsi="Times New Roman"/>
          <w:b/>
          <w:sz w:val="24"/>
          <w:szCs w:val="24"/>
        </w:rPr>
      </w:pPr>
    </w:p>
    <w:p w:rsidR="00B110CC" w:rsidRPr="000F1E00" w:rsidRDefault="00B110CC" w:rsidP="00B110CC">
      <w:pPr>
        <w:spacing w:line="480" w:lineRule="auto"/>
        <w:jc w:val="both"/>
        <w:rPr>
          <w:rFonts w:ascii="Times New Roman" w:hAnsi="Times New Roman"/>
          <w:b/>
          <w:sz w:val="24"/>
          <w:szCs w:val="24"/>
        </w:rPr>
      </w:pPr>
      <w:r w:rsidRPr="000F1E00">
        <w:rPr>
          <w:rFonts w:ascii="Times New Roman" w:hAnsi="Times New Roman"/>
          <w:b/>
          <w:sz w:val="24"/>
          <w:szCs w:val="24"/>
        </w:rPr>
        <w:lastRenderedPageBreak/>
        <w:t xml:space="preserve">Introduction </w:t>
      </w:r>
    </w:p>
    <w:p w:rsidR="00B110CC" w:rsidRPr="000F1E00" w:rsidRDefault="00B110CC" w:rsidP="00B110CC">
      <w:pPr>
        <w:spacing w:line="480" w:lineRule="auto"/>
        <w:ind w:firstLine="720"/>
        <w:jc w:val="both"/>
        <w:rPr>
          <w:rFonts w:ascii="Times New Roman" w:hAnsi="Times New Roman"/>
          <w:sz w:val="24"/>
          <w:szCs w:val="24"/>
        </w:rPr>
      </w:pPr>
      <w:r w:rsidRPr="000F1E00">
        <w:rPr>
          <w:rFonts w:ascii="Times New Roman" w:hAnsi="Times New Roman"/>
          <w:sz w:val="24"/>
          <w:szCs w:val="24"/>
        </w:rPr>
        <w:t>There is a general academic and policy concern in the UK about the way the financial system is operating; specifically, that</w:t>
      </w:r>
      <w:r>
        <w:rPr>
          <w:rFonts w:ascii="Times New Roman" w:hAnsi="Times New Roman"/>
          <w:sz w:val="24"/>
          <w:szCs w:val="24"/>
        </w:rPr>
        <w:t xml:space="preserve"> investor disengagement and their </w:t>
      </w:r>
      <w:r w:rsidRPr="000F1E00">
        <w:rPr>
          <w:rFonts w:ascii="Times New Roman" w:hAnsi="Times New Roman"/>
          <w:sz w:val="24"/>
          <w:szCs w:val="24"/>
        </w:rPr>
        <w:t>short-term goals are damaging the economic health of the country (Plender, 2011</w:t>
      </w:r>
      <w:r>
        <w:rPr>
          <w:rFonts w:ascii="Times New Roman" w:hAnsi="Times New Roman"/>
          <w:sz w:val="24"/>
          <w:szCs w:val="24"/>
        </w:rPr>
        <w:t xml:space="preserve">; </w:t>
      </w:r>
      <w:r w:rsidRPr="000F1E00">
        <w:rPr>
          <w:rFonts w:ascii="Times New Roman" w:hAnsi="Times New Roman"/>
          <w:sz w:val="24"/>
          <w:szCs w:val="24"/>
        </w:rPr>
        <w:t>The Kay Review, 2012</w:t>
      </w:r>
      <w:r>
        <w:rPr>
          <w:rFonts w:ascii="Times New Roman" w:hAnsi="Times New Roman"/>
          <w:sz w:val="24"/>
          <w:szCs w:val="24"/>
        </w:rPr>
        <w:t>)</w:t>
      </w:r>
      <w:r w:rsidRPr="000F1E00">
        <w:rPr>
          <w:rFonts w:ascii="Times New Roman" w:hAnsi="Times New Roman"/>
          <w:sz w:val="24"/>
          <w:szCs w:val="24"/>
        </w:rPr>
        <w:t xml:space="preserve">.There is now a formal agreement among policy-makers that both more accountability within the investment chain and more effective investor engagement are needed to remedy the situation (Stewardship Code, 2010, The Kay Review, 2012). Pension funds in particular </w:t>
      </w:r>
      <w:r>
        <w:rPr>
          <w:rFonts w:ascii="Times New Roman" w:hAnsi="Times New Roman"/>
          <w:sz w:val="24"/>
          <w:szCs w:val="24"/>
        </w:rPr>
        <w:t>have been</w:t>
      </w:r>
      <w:r w:rsidRPr="000F1E00">
        <w:rPr>
          <w:rFonts w:ascii="Times New Roman" w:hAnsi="Times New Roman"/>
          <w:sz w:val="24"/>
          <w:szCs w:val="24"/>
        </w:rPr>
        <w:t xml:space="preserve"> regarded</w:t>
      </w:r>
      <w:r>
        <w:rPr>
          <w:rFonts w:ascii="Times New Roman" w:hAnsi="Times New Roman"/>
          <w:sz w:val="24"/>
          <w:szCs w:val="24"/>
        </w:rPr>
        <w:t xml:space="preserve"> for over a decade</w:t>
      </w:r>
      <w:r w:rsidRPr="000F1E00">
        <w:rPr>
          <w:rFonts w:ascii="Times New Roman" w:hAnsi="Times New Roman"/>
          <w:sz w:val="24"/>
          <w:szCs w:val="24"/>
        </w:rPr>
        <w:t xml:space="preserve"> as best suited to act as long-term and engaged investors because they tend to have long-term and predictable investment horizons, and therefore they can provide ‘patient capital’ (</w:t>
      </w:r>
      <w:r>
        <w:rPr>
          <w:rFonts w:ascii="Times New Roman" w:hAnsi="Times New Roman"/>
          <w:sz w:val="24"/>
          <w:szCs w:val="24"/>
        </w:rPr>
        <w:t xml:space="preserve">Haldane, 2010; </w:t>
      </w:r>
      <w:r w:rsidRPr="000F1E00">
        <w:rPr>
          <w:rFonts w:ascii="Times New Roman" w:hAnsi="Times New Roman"/>
          <w:sz w:val="24"/>
          <w:szCs w:val="24"/>
        </w:rPr>
        <w:t xml:space="preserve">Hawley and Williams, 2000; </w:t>
      </w:r>
      <w:r>
        <w:rPr>
          <w:rFonts w:ascii="Times New Roman" w:hAnsi="Times New Roman"/>
          <w:sz w:val="24"/>
          <w:szCs w:val="24"/>
        </w:rPr>
        <w:t xml:space="preserve">Myners, Report, 2001; </w:t>
      </w:r>
      <w:r w:rsidRPr="000F1E00">
        <w:rPr>
          <w:rFonts w:ascii="Times New Roman" w:hAnsi="Times New Roman"/>
          <w:sz w:val="24"/>
          <w:szCs w:val="24"/>
        </w:rPr>
        <w:t>Ryan and Schneider, 2002; Davis, et. al, 2006; Martin, et al, 2007; The Stewardship Code, 2010; The Kay Review, 2012). Yet, the evidence of pension fun</w:t>
      </w:r>
      <w:r>
        <w:rPr>
          <w:rFonts w:ascii="Times New Roman" w:hAnsi="Times New Roman"/>
          <w:sz w:val="24"/>
          <w:szCs w:val="24"/>
        </w:rPr>
        <w:t>d engagement is mixed</w:t>
      </w:r>
      <w:r w:rsidRPr="000F1E00">
        <w:rPr>
          <w:rFonts w:ascii="Times New Roman" w:hAnsi="Times New Roman"/>
          <w:sz w:val="24"/>
          <w:szCs w:val="24"/>
        </w:rPr>
        <w:t xml:space="preserve">. </w:t>
      </w:r>
    </w:p>
    <w:p w:rsidR="00B110CC" w:rsidRPr="000F1E00" w:rsidRDefault="00B110CC" w:rsidP="005F7444">
      <w:pPr>
        <w:spacing w:line="480" w:lineRule="auto"/>
        <w:ind w:firstLine="720"/>
        <w:jc w:val="both"/>
        <w:rPr>
          <w:rFonts w:ascii="Times New Roman" w:hAnsi="Times New Roman"/>
          <w:sz w:val="24"/>
          <w:szCs w:val="24"/>
        </w:rPr>
      </w:pPr>
      <w:r>
        <w:rPr>
          <w:rFonts w:ascii="Times New Roman" w:hAnsi="Times New Roman"/>
          <w:sz w:val="24"/>
          <w:szCs w:val="24"/>
        </w:rPr>
        <w:t>Our research aims to shed more light on what characterises the distinction between engaged and disengaged pension funds. More specifically, h</w:t>
      </w:r>
      <w:r w:rsidRPr="00443171">
        <w:rPr>
          <w:rFonts w:ascii="Times New Roman" w:hAnsi="Times New Roman"/>
          <w:sz w:val="24"/>
          <w:szCs w:val="24"/>
        </w:rPr>
        <w:t xml:space="preserve">ow </w:t>
      </w:r>
      <w:r>
        <w:rPr>
          <w:rFonts w:ascii="Times New Roman" w:hAnsi="Times New Roman"/>
          <w:sz w:val="24"/>
          <w:szCs w:val="24"/>
        </w:rPr>
        <w:t>pension fund practitioners</w:t>
      </w:r>
      <w:r w:rsidRPr="00443171">
        <w:rPr>
          <w:rFonts w:ascii="Times New Roman" w:hAnsi="Times New Roman"/>
          <w:sz w:val="24"/>
          <w:szCs w:val="24"/>
        </w:rPr>
        <w:t xml:space="preserve"> talk abo</w:t>
      </w:r>
      <w:r>
        <w:rPr>
          <w:rFonts w:ascii="Times New Roman" w:hAnsi="Times New Roman"/>
          <w:sz w:val="24"/>
          <w:szCs w:val="24"/>
        </w:rPr>
        <w:t xml:space="preserve">ut engagement and disengagement over time. </w:t>
      </w:r>
      <w:r w:rsidRPr="000F1E00">
        <w:rPr>
          <w:rFonts w:ascii="Times New Roman" w:hAnsi="Times New Roman"/>
          <w:sz w:val="24"/>
          <w:szCs w:val="24"/>
        </w:rPr>
        <w:t xml:space="preserve">We start with a review of the literature, which highlights the paradoxical nature of institutional ownership without a commitment </w:t>
      </w:r>
      <w:r>
        <w:rPr>
          <w:rFonts w:ascii="Times New Roman" w:hAnsi="Times New Roman"/>
          <w:sz w:val="24"/>
          <w:szCs w:val="24"/>
        </w:rPr>
        <w:t>and mixed evidence on pension fund engagement vis-à-vis portfolio companies</w:t>
      </w:r>
      <w:r w:rsidRPr="000F1E00">
        <w:rPr>
          <w:rFonts w:ascii="Times New Roman" w:hAnsi="Times New Roman"/>
          <w:sz w:val="24"/>
          <w:szCs w:val="24"/>
        </w:rPr>
        <w:t xml:space="preserve">. </w:t>
      </w:r>
      <w:r>
        <w:rPr>
          <w:rFonts w:ascii="Times New Roman" w:hAnsi="Times New Roman"/>
          <w:sz w:val="24"/>
          <w:szCs w:val="24"/>
        </w:rPr>
        <w:t>To help explain why such variations in behaviour may exist, w</w:t>
      </w:r>
      <w:r w:rsidRPr="000F1E00">
        <w:rPr>
          <w:rFonts w:ascii="Times New Roman" w:hAnsi="Times New Roman"/>
          <w:sz w:val="24"/>
          <w:szCs w:val="24"/>
        </w:rPr>
        <w:t xml:space="preserve">e </w:t>
      </w:r>
      <w:r>
        <w:rPr>
          <w:rFonts w:ascii="Times New Roman" w:hAnsi="Times New Roman"/>
          <w:sz w:val="24"/>
          <w:szCs w:val="24"/>
        </w:rPr>
        <w:t xml:space="preserve">frame our study </w:t>
      </w:r>
      <w:r w:rsidRPr="000F1E00">
        <w:rPr>
          <w:rFonts w:ascii="Times New Roman" w:hAnsi="Times New Roman"/>
          <w:sz w:val="24"/>
          <w:szCs w:val="24"/>
        </w:rPr>
        <w:t>in the construct of vocabularies of motive</w:t>
      </w:r>
      <w:r>
        <w:rPr>
          <w:rFonts w:ascii="Times New Roman" w:hAnsi="Times New Roman"/>
          <w:sz w:val="24"/>
          <w:szCs w:val="24"/>
        </w:rPr>
        <w:t xml:space="preserve">, sense-making and </w:t>
      </w:r>
      <w:r w:rsidRPr="000F1E00">
        <w:rPr>
          <w:rFonts w:ascii="Times New Roman" w:hAnsi="Times New Roman"/>
          <w:sz w:val="24"/>
          <w:szCs w:val="24"/>
        </w:rPr>
        <w:t xml:space="preserve">organisational </w:t>
      </w:r>
      <w:r w:rsidRPr="000F1E00">
        <w:rPr>
          <w:rFonts w:ascii="Times New Roman" w:hAnsi="Times New Roman"/>
          <w:i/>
          <w:sz w:val="24"/>
          <w:szCs w:val="24"/>
        </w:rPr>
        <w:t>enactment</w:t>
      </w:r>
      <w:r w:rsidRPr="000F1E00">
        <w:rPr>
          <w:rFonts w:ascii="Times New Roman" w:hAnsi="Times New Roman"/>
          <w:sz w:val="24"/>
          <w:szCs w:val="24"/>
        </w:rPr>
        <w:t xml:space="preserve"> (</w:t>
      </w:r>
      <w:r>
        <w:rPr>
          <w:rFonts w:ascii="Times New Roman" w:hAnsi="Times New Roman"/>
          <w:sz w:val="24"/>
          <w:szCs w:val="24"/>
        </w:rPr>
        <w:t xml:space="preserve">Mills, </w:t>
      </w:r>
      <w:r w:rsidRPr="000F1E00">
        <w:rPr>
          <w:rFonts w:ascii="Times New Roman" w:hAnsi="Times New Roman"/>
          <w:sz w:val="24"/>
          <w:szCs w:val="24"/>
        </w:rPr>
        <w:t>1940</w:t>
      </w:r>
      <w:r>
        <w:rPr>
          <w:rFonts w:ascii="Times New Roman" w:hAnsi="Times New Roman"/>
          <w:sz w:val="24"/>
          <w:szCs w:val="24"/>
        </w:rPr>
        <w:t xml:space="preserve">; </w:t>
      </w:r>
      <w:r w:rsidRPr="000F1E00">
        <w:rPr>
          <w:rFonts w:ascii="Times New Roman" w:hAnsi="Times New Roman"/>
          <w:sz w:val="24"/>
          <w:szCs w:val="24"/>
          <w:lang w:val="en"/>
        </w:rPr>
        <w:t>Weick, 1969</w:t>
      </w:r>
      <w:r>
        <w:rPr>
          <w:rFonts w:ascii="Times New Roman" w:hAnsi="Times New Roman"/>
          <w:sz w:val="24"/>
          <w:szCs w:val="24"/>
          <w:lang w:val="en"/>
        </w:rPr>
        <w:t xml:space="preserve">), combining this with the notion of temporality (Bluedorn and Standfier, 2006; Slawinski and Bansal, 2012). </w:t>
      </w:r>
      <w:r>
        <w:rPr>
          <w:rFonts w:ascii="Times New Roman" w:hAnsi="Times New Roman"/>
          <w:sz w:val="24"/>
          <w:szCs w:val="24"/>
          <w:lang w:val="en"/>
        </w:rPr>
        <w:lastRenderedPageBreak/>
        <w:t xml:space="preserve">This novel analytical lens informs our </w:t>
      </w:r>
      <w:r w:rsidRPr="000F1E00">
        <w:rPr>
          <w:rFonts w:ascii="Times New Roman" w:hAnsi="Times New Roman"/>
          <w:sz w:val="24"/>
          <w:szCs w:val="24"/>
        </w:rPr>
        <w:t xml:space="preserve">methodology and </w:t>
      </w:r>
      <w:r>
        <w:rPr>
          <w:rFonts w:ascii="Times New Roman" w:hAnsi="Times New Roman"/>
          <w:sz w:val="24"/>
          <w:szCs w:val="24"/>
        </w:rPr>
        <w:t xml:space="preserve">data analysis, which we </w:t>
      </w:r>
      <w:r w:rsidRPr="000F1E00">
        <w:rPr>
          <w:rFonts w:ascii="Times New Roman" w:hAnsi="Times New Roman"/>
          <w:sz w:val="24"/>
          <w:szCs w:val="24"/>
        </w:rPr>
        <w:t xml:space="preserve">outline </w:t>
      </w:r>
      <w:r>
        <w:rPr>
          <w:rFonts w:ascii="Times New Roman" w:hAnsi="Times New Roman"/>
          <w:sz w:val="24"/>
          <w:szCs w:val="24"/>
        </w:rPr>
        <w:t>in our research design</w:t>
      </w:r>
      <w:r w:rsidRPr="000F1E00">
        <w:rPr>
          <w:rFonts w:ascii="Times New Roman" w:hAnsi="Times New Roman"/>
          <w:sz w:val="24"/>
          <w:szCs w:val="24"/>
        </w:rPr>
        <w:t xml:space="preserve">. </w:t>
      </w:r>
      <w:r w:rsidRPr="009B2033">
        <w:rPr>
          <w:rFonts w:ascii="Times New Roman" w:hAnsi="Times New Roman"/>
          <w:sz w:val="24"/>
          <w:szCs w:val="24"/>
        </w:rPr>
        <w:t>By using the examples of pension fund engagement and disengagement, we reveal the existence of different accounts and vocabularies of motive within pension fund investment practices. These vocabularies of motive are durable and also accompanied with distinctly different temporal perspectives. We term these as ‘engaged’ and ‘disengaged’ vocabularies.</w:t>
      </w:r>
      <w:r>
        <w:rPr>
          <w:rFonts w:ascii="Times New Roman" w:hAnsi="Times New Roman"/>
          <w:b/>
          <w:sz w:val="24"/>
          <w:szCs w:val="24"/>
        </w:rPr>
        <w:t xml:space="preserve"> </w:t>
      </w:r>
      <w:r>
        <w:rPr>
          <w:rFonts w:ascii="Times New Roman" w:hAnsi="Times New Roman"/>
          <w:sz w:val="24"/>
          <w:szCs w:val="24"/>
        </w:rPr>
        <w:t xml:space="preserve">Disengaged </w:t>
      </w:r>
      <w:r>
        <w:rPr>
          <w:rStyle w:val="SubtleEmphasis"/>
          <w:rFonts w:ascii="Times New Roman" w:hAnsi="Times New Roman"/>
          <w:i w:val="0"/>
          <w:color w:val="auto"/>
          <w:sz w:val="24"/>
          <w:szCs w:val="24"/>
        </w:rPr>
        <w:t xml:space="preserve">vocabulary included common internal and external accounts, which were referred to as significant constraints to engagement. </w:t>
      </w:r>
      <w:r>
        <w:rPr>
          <w:rFonts w:ascii="Times New Roman" w:hAnsi="Times New Roman"/>
          <w:sz w:val="24"/>
          <w:szCs w:val="24"/>
        </w:rPr>
        <w:t>In contrast, engaged vocabulary included a range of external and internal accounts described as enablers of engagement. We also found that pension fund practitioners who used a disengaged vocabulary had a more negative perception of the present in comparison to the past, which led them to describe future as more uncertain and short-term. Engaged vocabulary consisted of a narrative of positive gradual changes in the industry over time, which was associated to a longer-term and susta</w:t>
      </w:r>
      <w:r w:rsidRPr="00802F02">
        <w:rPr>
          <w:rFonts w:ascii="Times New Roman" w:hAnsi="Times New Roman"/>
          <w:sz w:val="24"/>
          <w:szCs w:val="24"/>
        </w:rPr>
        <w:t>inable future</w:t>
      </w:r>
      <w:r>
        <w:rPr>
          <w:rFonts w:ascii="Times New Roman" w:hAnsi="Times New Roman"/>
          <w:sz w:val="24"/>
          <w:szCs w:val="24"/>
        </w:rPr>
        <w:t xml:space="preserve">. In so doing, we present rich and novel empirical examples of distinct vocabularies and </w:t>
      </w:r>
      <w:r w:rsidRPr="009B2033">
        <w:rPr>
          <w:rFonts w:ascii="Times New Roman" w:hAnsi="Times New Roman"/>
          <w:sz w:val="24"/>
          <w:szCs w:val="24"/>
        </w:rPr>
        <w:t>propose that they represent an important linchpin for understanding how vocabularies shape institutional behaviour.</w:t>
      </w:r>
      <w:r>
        <w:rPr>
          <w:rFonts w:ascii="Times New Roman" w:hAnsi="Times New Roman"/>
          <w:sz w:val="24"/>
          <w:szCs w:val="24"/>
        </w:rPr>
        <w:t xml:space="preserve"> We highlight the need to develop a more coherent and common understanding of how vocabularies and temporal perspectives work, particularly as our findings highlight</w:t>
      </w:r>
      <w:r w:rsidRPr="00443171">
        <w:rPr>
          <w:rFonts w:ascii="Times New Roman" w:hAnsi="Times New Roman"/>
          <w:sz w:val="24"/>
          <w:szCs w:val="24"/>
        </w:rPr>
        <w:t xml:space="preserve"> a tension between a seeming relationship between</w:t>
      </w:r>
      <w:r>
        <w:rPr>
          <w:rFonts w:ascii="Times New Roman" w:hAnsi="Times New Roman"/>
          <w:sz w:val="24"/>
          <w:szCs w:val="24"/>
        </w:rPr>
        <w:t xml:space="preserve"> vocabularies and</w:t>
      </w:r>
      <w:r w:rsidRPr="00443171">
        <w:rPr>
          <w:rFonts w:ascii="Times New Roman" w:hAnsi="Times New Roman"/>
          <w:sz w:val="24"/>
          <w:szCs w:val="24"/>
        </w:rPr>
        <w:t xml:space="preserve"> accounts and future </w:t>
      </w:r>
      <w:r>
        <w:rPr>
          <w:rFonts w:ascii="Times New Roman" w:hAnsi="Times New Roman"/>
          <w:sz w:val="24"/>
          <w:szCs w:val="24"/>
        </w:rPr>
        <w:t xml:space="preserve">pension fund </w:t>
      </w:r>
      <w:r w:rsidRPr="00443171">
        <w:rPr>
          <w:rFonts w:ascii="Times New Roman" w:hAnsi="Times New Roman"/>
          <w:sz w:val="24"/>
          <w:szCs w:val="24"/>
        </w:rPr>
        <w:t>behaviour</w:t>
      </w:r>
      <w:r>
        <w:rPr>
          <w:rFonts w:ascii="Times New Roman" w:hAnsi="Times New Roman"/>
          <w:sz w:val="24"/>
          <w:szCs w:val="24"/>
        </w:rPr>
        <w:t xml:space="preserve"> vis-à-vis investee corporations.</w:t>
      </w:r>
      <w:r w:rsidR="005F7444">
        <w:rPr>
          <w:rFonts w:ascii="Times New Roman" w:hAnsi="Times New Roman"/>
          <w:sz w:val="24"/>
          <w:szCs w:val="24"/>
        </w:rPr>
        <w:t xml:space="preserve"> </w:t>
      </w:r>
      <w:r w:rsidRPr="000F1E00">
        <w:rPr>
          <w:rFonts w:ascii="Times New Roman" w:hAnsi="Times New Roman"/>
          <w:sz w:val="24"/>
          <w:szCs w:val="24"/>
        </w:rPr>
        <w:t xml:space="preserve">We conclude by considering the significance of our findings with respect to academic and current policy debates, offering some implications for further research. </w:t>
      </w:r>
    </w:p>
    <w:p w:rsidR="00B110CC" w:rsidRPr="000F1E00" w:rsidRDefault="00B110CC" w:rsidP="00B110CC">
      <w:pPr>
        <w:spacing w:line="480" w:lineRule="auto"/>
        <w:jc w:val="both"/>
        <w:rPr>
          <w:rFonts w:ascii="Times New Roman" w:hAnsi="Times New Roman"/>
          <w:b/>
          <w:sz w:val="24"/>
          <w:szCs w:val="24"/>
        </w:rPr>
      </w:pPr>
      <w:r w:rsidRPr="000F1E00">
        <w:rPr>
          <w:rFonts w:ascii="Times New Roman" w:hAnsi="Times New Roman"/>
          <w:b/>
          <w:sz w:val="24"/>
          <w:szCs w:val="24"/>
        </w:rPr>
        <w:t>Ownership without Commitment</w:t>
      </w:r>
      <w:r>
        <w:rPr>
          <w:rFonts w:ascii="Times New Roman" w:hAnsi="Times New Roman"/>
          <w:b/>
          <w:sz w:val="24"/>
          <w:szCs w:val="24"/>
        </w:rPr>
        <w:t xml:space="preserve">: Mixed Evidence of Pension Fund Engagement </w:t>
      </w:r>
      <w:r w:rsidRPr="000F1E00">
        <w:rPr>
          <w:rFonts w:ascii="Times New Roman" w:hAnsi="Times New Roman"/>
          <w:b/>
          <w:sz w:val="24"/>
          <w:szCs w:val="24"/>
        </w:rPr>
        <w:t xml:space="preserve"> </w:t>
      </w:r>
    </w:p>
    <w:p w:rsidR="00B110CC" w:rsidRPr="000F1E00" w:rsidRDefault="00B110CC" w:rsidP="00B110CC">
      <w:pPr>
        <w:spacing w:line="480" w:lineRule="auto"/>
        <w:ind w:firstLine="720"/>
        <w:jc w:val="both"/>
        <w:rPr>
          <w:rFonts w:ascii="Times New Roman" w:hAnsi="Times New Roman"/>
          <w:sz w:val="24"/>
          <w:szCs w:val="24"/>
        </w:rPr>
      </w:pPr>
      <w:r w:rsidRPr="000F1E00">
        <w:rPr>
          <w:rFonts w:ascii="Times New Roman" w:hAnsi="Times New Roman"/>
          <w:sz w:val="24"/>
          <w:szCs w:val="24"/>
        </w:rPr>
        <w:lastRenderedPageBreak/>
        <w:t xml:space="preserve">Since Berle and Means (1932) examined the implications of the separation of ownership and control, the monitoring and disciplining role of institutional investors has been considered </w:t>
      </w:r>
      <w:r>
        <w:rPr>
          <w:rFonts w:ascii="Times New Roman" w:hAnsi="Times New Roman"/>
          <w:sz w:val="24"/>
          <w:szCs w:val="24"/>
        </w:rPr>
        <w:t xml:space="preserve">to be </w:t>
      </w:r>
      <w:r w:rsidRPr="000F1E00">
        <w:rPr>
          <w:rFonts w:ascii="Times New Roman" w:hAnsi="Times New Roman"/>
          <w:sz w:val="24"/>
          <w:szCs w:val="24"/>
        </w:rPr>
        <w:t>an important governance mechanism</w:t>
      </w:r>
      <w:r>
        <w:rPr>
          <w:rFonts w:ascii="Times New Roman" w:hAnsi="Times New Roman"/>
          <w:sz w:val="24"/>
          <w:szCs w:val="24"/>
        </w:rPr>
        <w:t xml:space="preserve"> (Jensen and Meckling, </w:t>
      </w:r>
      <w:r w:rsidRPr="000F1E00">
        <w:rPr>
          <w:rFonts w:ascii="Times New Roman" w:hAnsi="Times New Roman"/>
          <w:sz w:val="24"/>
          <w:szCs w:val="24"/>
        </w:rPr>
        <w:t>1976)</w:t>
      </w:r>
      <w:r>
        <w:rPr>
          <w:rFonts w:ascii="Times New Roman" w:hAnsi="Times New Roman"/>
          <w:sz w:val="24"/>
          <w:szCs w:val="24"/>
        </w:rPr>
        <w:t>.</w:t>
      </w:r>
      <w:r w:rsidRPr="000F1E00">
        <w:rPr>
          <w:rFonts w:ascii="Times New Roman" w:hAnsi="Times New Roman"/>
          <w:sz w:val="24"/>
          <w:szCs w:val="24"/>
        </w:rPr>
        <w:t xml:space="preserve"> In his seminal work, Hirschman (1970) identified the investor/company relationship within the ‘exit’ or ‘voice’ framework, where investors either sell the shares (‘exit’) if they are dissatisfied, or express concerns to management though ‘voice’ or engagement. However, the empirical evidence investigating this relationship is decidedly mixed </w:t>
      </w:r>
      <w:r>
        <w:rPr>
          <w:rFonts w:ascii="Times New Roman" w:hAnsi="Times New Roman"/>
          <w:sz w:val="24"/>
          <w:szCs w:val="24"/>
        </w:rPr>
        <w:t>(Bainbridge, 2003; Dalton, et. al., 2007; Til</w:t>
      </w:r>
      <w:r w:rsidR="00CA225D">
        <w:rPr>
          <w:rFonts w:ascii="Times New Roman" w:hAnsi="Times New Roman"/>
          <w:sz w:val="24"/>
          <w:szCs w:val="24"/>
        </w:rPr>
        <w:t>ba, 2011</w:t>
      </w:r>
      <w:r w:rsidR="00085731">
        <w:rPr>
          <w:rFonts w:ascii="Times New Roman" w:hAnsi="Times New Roman"/>
          <w:sz w:val="24"/>
          <w:szCs w:val="24"/>
        </w:rPr>
        <w:t>).</w:t>
      </w:r>
      <w:r w:rsidRPr="000F1E00">
        <w:rPr>
          <w:b/>
        </w:rPr>
        <w:t xml:space="preserve"> </w:t>
      </w:r>
      <w:r w:rsidRPr="000F1E00">
        <w:rPr>
          <w:rFonts w:ascii="Times New Roman" w:hAnsi="Times New Roman"/>
          <w:sz w:val="24"/>
          <w:szCs w:val="24"/>
        </w:rPr>
        <w:t>Most recent academic reviews of the current state of shareholder activism literature suggest that the research on shareholder</w:t>
      </w:r>
      <w:r>
        <w:rPr>
          <w:rFonts w:ascii="Times New Roman" w:hAnsi="Times New Roman"/>
          <w:sz w:val="24"/>
          <w:szCs w:val="24"/>
        </w:rPr>
        <w:t xml:space="preserve"> engagement</w:t>
      </w:r>
      <w:r w:rsidRPr="000F1E00">
        <w:rPr>
          <w:rFonts w:ascii="Times New Roman" w:hAnsi="Times New Roman"/>
          <w:sz w:val="24"/>
          <w:szCs w:val="24"/>
        </w:rPr>
        <w:t xml:space="preserve"> (both financial and social) offers conflicting perspectives on this topic</w:t>
      </w:r>
      <w:r w:rsidR="00085731">
        <w:rPr>
          <w:rFonts w:ascii="Times New Roman" w:hAnsi="Times New Roman"/>
          <w:sz w:val="24"/>
          <w:szCs w:val="24"/>
        </w:rPr>
        <w:t xml:space="preserve"> (Goranova and Ryan, </w:t>
      </w:r>
      <w:r w:rsidR="00085731" w:rsidRPr="000F1E00">
        <w:rPr>
          <w:rFonts w:ascii="Times New Roman" w:hAnsi="Times New Roman"/>
          <w:sz w:val="24"/>
          <w:szCs w:val="24"/>
        </w:rPr>
        <w:t>2014</w:t>
      </w:r>
      <w:r w:rsidR="00085731">
        <w:rPr>
          <w:rFonts w:ascii="Times New Roman" w:hAnsi="Times New Roman"/>
          <w:sz w:val="24"/>
          <w:szCs w:val="24"/>
        </w:rPr>
        <w:t>;</w:t>
      </w:r>
      <w:r w:rsidR="00085731" w:rsidRPr="00085731">
        <w:rPr>
          <w:rFonts w:ascii="Times New Roman" w:hAnsi="Times New Roman"/>
          <w:sz w:val="24"/>
          <w:szCs w:val="24"/>
        </w:rPr>
        <w:t xml:space="preserve"> </w:t>
      </w:r>
      <w:r w:rsidR="00085731">
        <w:rPr>
          <w:rFonts w:ascii="Times New Roman" w:hAnsi="Times New Roman"/>
          <w:sz w:val="24"/>
          <w:szCs w:val="24"/>
        </w:rPr>
        <w:t>McNulty and Nordberg, 2016</w:t>
      </w:r>
      <w:r w:rsidR="00085731" w:rsidRPr="000F1E00">
        <w:rPr>
          <w:rFonts w:ascii="Times New Roman" w:hAnsi="Times New Roman"/>
          <w:sz w:val="24"/>
          <w:szCs w:val="24"/>
        </w:rPr>
        <w:t>)</w:t>
      </w:r>
      <w:r w:rsidRPr="000F1E00">
        <w:rPr>
          <w:rFonts w:ascii="Times New Roman" w:hAnsi="Times New Roman"/>
          <w:sz w:val="24"/>
          <w:szCs w:val="24"/>
        </w:rPr>
        <w:t xml:space="preserve">. </w:t>
      </w:r>
    </w:p>
    <w:p w:rsidR="00B110CC" w:rsidRPr="005F7444" w:rsidRDefault="00B110CC" w:rsidP="005F7444">
      <w:pPr>
        <w:spacing w:line="480" w:lineRule="auto"/>
        <w:ind w:firstLine="720"/>
        <w:jc w:val="both"/>
        <w:rPr>
          <w:rFonts w:ascii="Times New Roman" w:hAnsi="Times New Roman"/>
          <w:sz w:val="24"/>
          <w:szCs w:val="24"/>
        </w:rPr>
      </w:pPr>
      <w:r w:rsidRPr="000F1E00">
        <w:rPr>
          <w:rFonts w:ascii="Times New Roman" w:hAnsi="Times New Roman"/>
          <w:sz w:val="24"/>
          <w:szCs w:val="24"/>
        </w:rPr>
        <w:t xml:space="preserve">Paradoxically, </w:t>
      </w:r>
      <w:r w:rsidRPr="000F1E00" w:rsidDel="008176FA">
        <w:rPr>
          <w:rFonts w:ascii="Times New Roman" w:hAnsi="Times New Roman"/>
          <w:sz w:val="24"/>
          <w:szCs w:val="24"/>
        </w:rPr>
        <w:t xml:space="preserve">Davis </w:t>
      </w:r>
      <w:r w:rsidRPr="000F1E00">
        <w:rPr>
          <w:rFonts w:ascii="Times New Roman" w:hAnsi="Times New Roman"/>
          <w:sz w:val="24"/>
          <w:szCs w:val="24"/>
        </w:rPr>
        <w:t>(2008) and Jackson (2008)</w:t>
      </w:r>
      <w:r w:rsidRPr="000F1E00" w:rsidDel="008176FA">
        <w:rPr>
          <w:rFonts w:ascii="Times New Roman" w:hAnsi="Times New Roman"/>
          <w:sz w:val="24"/>
          <w:szCs w:val="24"/>
        </w:rPr>
        <w:t xml:space="preserve"> observe that although institutional </w:t>
      </w:r>
      <w:r w:rsidRPr="000F1E00">
        <w:rPr>
          <w:rFonts w:ascii="Times New Roman" w:hAnsi="Times New Roman"/>
          <w:sz w:val="24"/>
          <w:szCs w:val="24"/>
        </w:rPr>
        <w:t>investors seem to be increasing</w:t>
      </w:r>
      <w:r w:rsidRPr="000F1E00" w:rsidDel="008176FA">
        <w:rPr>
          <w:rFonts w:ascii="Times New Roman" w:hAnsi="Times New Roman"/>
          <w:sz w:val="24"/>
          <w:szCs w:val="24"/>
        </w:rPr>
        <w:t xml:space="preserve"> in </w:t>
      </w:r>
      <w:r w:rsidRPr="000F1E00">
        <w:rPr>
          <w:rFonts w:ascii="Times New Roman" w:hAnsi="Times New Roman"/>
          <w:sz w:val="24"/>
          <w:szCs w:val="24"/>
        </w:rPr>
        <w:t xml:space="preserve">both </w:t>
      </w:r>
      <w:r w:rsidRPr="000F1E00" w:rsidDel="008176FA">
        <w:rPr>
          <w:rFonts w:ascii="Times New Roman" w:hAnsi="Times New Roman"/>
          <w:sz w:val="24"/>
          <w:szCs w:val="24"/>
        </w:rPr>
        <w:t>size and the concentration of their stakes, this concentrated ownership is generall</w:t>
      </w:r>
      <w:r w:rsidRPr="000F1E00">
        <w:rPr>
          <w:rFonts w:ascii="Times New Roman" w:hAnsi="Times New Roman"/>
          <w:sz w:val="24"/>
          <w:szCs w:val="24"/>
        </w:rPr>
        <w:t xml:space="preserve">y liquid and without commitment, focusing on generating short-term investment returns. This is reflected in the trend towards increased stock turnover and shorter average stock-holding periods (Tomorrow’s Owners, 2008; Ownership Commission, 2012). For example, </w:t>
      </w:r>
      <w:r w:rsidRPr="000F1E00" w:rsidDel="008176FA">
        <w:rPr>
          <w:rFonts w:ascii="Times New Roman" w:hAnsi="Times New Roman"/>
          <w:sz w:val="24"/>
          <w:szCs w:val="24"/>
        </w:rPr>
        <w:t>in the UK institutional investors’ portfolio turnover reached 56% (Jackson, 2008)</w:t>
      </w:r>
      <w:r>
        <w:rPr>
          <w:rFonts w:ascii="Times New Roman" w:hAnsi="Times New Roman"/>
          <w:sz w:val="24"/>
          <w:szCs w:val="24"/>
        </w:rPr>
        <w:t xml:space="preserve">, </w:t>
      </w:r>
      <w:r w:rsidRPr="00C34F15" w:rsidDel="008176FA">
        <w:rPr>
          <w:rFonts w:ascii="Times New Roman" w:hAnsi="Times New Roman"/>
          <w:sz w:val="24"/>
          <w:szCs w:val="24"/>
        </w:rPr>
        <w:t xml:space="preserve">while the average duration of equity holding has fallen from five years in the 1960s to just over </w:t>
      </w:r>
      <w:r w:rsidRPr="00C34F15">
        <w:rPr>
          <w:rFonts w:ascii="Times New Roman" w:hAnsi="Times New Roman"/>
          <w:sz w:val="24"/>
          <w:szCs w:val="24"/>
        </w:rPr>
        <w:t>seven</w:t>
      </w:r>
      <w:r w:rsidRPr="00C34F15" w:rsidDel="008176FA">
        <w:rPr>
          <w:rFonts w:ascii="Times New Roman" w:hAnsi="Times New Roman"/>
          <w:sz w:val="24"/>
          <w:szCs w:val="24"/>
        </w:rPr>
        <w:t xml:space="preserve"> months in 2009 (Haldane, 2010).</w:t>
      </w:r>
      <w:r w:rsidRPr="000F1E00">
        <w:rPr>
          <w:rFonts w:ascii="Times New Roman" w:hAnsi="Times New Roman"/>
          <w:sz w:val="24"/>
          <w:szCs w:val="24"/>
        </w:rPr>
        <w:t xml:space="preserve"> </w:t>
      </w:r>
      <w:r>
        <w:rPr>
          <w:rFonts w:ascii="Times New Roman" w:hAnsi="Times New Roman"/>
          <w:b/>
          <w:sz w:val="24"/>
          <w:szCs w:val="24"/>
        </w:rPr>
        <w:t xml:space="preserve"> </w:t>
      </w:r>
    </w:p>
    <w:p w:rsidR="00B110CC" w:rsidRPr="000F1E00" w:rsidRDefault="00B110CC" w:rsidP="00B110CC">
      <w:pPr>
        <w:spacing w:line="480" w:lineRule="auto"/>
        <w:ind w:firstLine="720"/>
        <w:jc w:val="both"/>
        <w:rPr>
          <w:rFonts w:ascii="Times New Roman" w:hAnsi="Times New Roman"/>
          <w:sz w:val="24"/>
          <w:szCs w:val="24"/>
        </w:rPr>
      </w:pPr>
      <w:r w:rsidRPr="000F1E00">
        <w:rPr>
          <w:rFonts w:ascii="Times New Roman" w:hAnsi="Times New Roman"/>
          <w:sz w:val="24"/>
          <w:szCs w:val="24"/>
        </w:rPr>
        <w:t xml:space="preserve">Pension funds, it is argued, are best suited to act as long-term and engaged investors because they tend to have long-term and predictable investment horizons (Hawley and Williams, 2000; Ryan and Schneider, 2002; Davis, et. al, 2006; Martin, </w:t>
      </w:r>
      <w:r w:rsidRPr="000F1E00">
        <w:rPr>
          <w:rFonts w:ascii="Times New Roman" w:hAnsi="Times New Roman"/>
          <w:sz w:val="24"/>
          <w:szCs w:val="24"/>
        </w:rPr>
        <w:lastRenderedPageBreak/>
        <w:t>et al, 2007; The Stewardship Code, 2010; The Kay Review, 2012). Yet, there are only a few UK (mostly quantitative) studies that examine pension funds in relation to corporate governance. The evidence is also conflicting.  On the one hand, most prominent (US) studies on shareholder activism have centred around California Public Employees Retirement System’s (CalPERS) activism on target firm governance structure, shareholder wealth and performance (Smith, 1996; Hebb, 2006; Barber, 2007; Choi</w:t>
      </w:r>
      <w:r>
        <w:rPr>
          <w:rFonts w:ascii="Times New Roman" w:hAnsi="Times New Roman"/>
          <w:sz w:val="24"/>
          <w:szCs w:val="24"/>
        </w:rPr>
        <w:t xml:space="preserve"> and Fisch,</w:t>
      </w:r>
      <w:r w:rsidRPr="000F1E00">
        <w:rPr>
          <w:rFonts w:ascii="Times New Roman" w:hAnsi="Times New Roman"/>
          <w:sz w:val="24"/>
          <w:szCs w:val="24"/>
        </w:rPr>
        <w:t xml:space="preserve"> 2008). In the UK, Clark and Hebb (2004) have observed that pension funds use their influence to increase managerial accountability and corporate transparency in order to raise standards of corporate behaviour. A survey of more than 250 pension funds in fifteen European countries by Sievänen, et al (2013) also demonstrates that large and small pension funds are active in responsible investment.</w:t>
      </w:r>
    </w:p>
    <w:p w:rsidR="00B110CC" w:rsidRDefault="00B110CC" w:rsidP="00B110CC">
      <w:pPr>
        <w:spacing w:line="480" w:lineRule="auto"/>
        <w:ind w:firstLine="720"/>
        <w:jc w:val="both"/>
        <w:rPr>
          <w:rFonts w:ascii="Times New Roman" w:hAnsi="Times New Roman"/>
          <w:sz w:val="24"/>
          <w:szCs w:val="24"/>
        </w:rPr>
      </w:pPr>
      <w:r w:rsidRPr="000F1E00">
        <w:rPr>
          <w:rFonts w:ascii="Times New Roman" w:hAnsi="Times New Roman"/>
          <w:sz w:val="24"/>
          <w:szCs w:val="24"/>
        </w:rPr>
        <w:t xml:space="preserve">However, this evidence is contrasted with studies that </w:t>
      </w:r>
      <w:r>
        <w:rPr>
          <w:rFonts w:ascii="Times New Roman" w:hAnsi="Times New Roman"/>
          <w:sz w:val="24"/>
          <w:szCs w:val="24"/>
        </w:rPr>
        <w:t>regard</w:t>
      </w:r>
      <w:r w:rsidRPr="000F1E00">
        <w:rPr>
          <w:rFonts w:ascii="Times New Roman" w:hAnsi="Times New Roman"/>
          <w:sz w:val="24"/>
          <w:szCs w:val="24"/>
        </w:rPr>
        <w:t xml:space="preserve"> pension funds as inefficient monitors (Bushee</w:t>
      </w:r>
      <w:r>
        <w:rPr>
          <w:rFonts w:ascii="Times New Roman" w:hAnsi="Times New Roman"/>
          <w:sz w:val="24"/>
          <w:szCs w:val="24"/>
        </w:rPr>
        <w:t>,</w:t>
      </w:r>
      <w:r w:rsidRPr="000F1E00">
        <w:rPr>
          <w:rFonts w:ascii="Times New Roman" w:hAnsi="Times New Roman"/>
          <w:sz w:val="24"/>
          <w:szCs w:val="24"/>
        </w:rPr>
        <w:t xml:space="preserve"> 1998; Duggal</w:t>
      </w:r>
      <w:r>
        <w:rPr>
          <w:rFonts w:ascii="Times New Roman" w:hAnsi="Times New Roman"/>
          <w:sz w:val="24"/>
          <w:szCs w:val="24"/>
        </w:rPr>
        <w:t>,</w:t>
      </w:r>
      <w:r w:rsidRPr="000F1E00">
        <w:rPr>
          <w:rFonts w:ascii="Times New Roman" w:hAnsi="Times New Roman"/>
          <w:sz w:val="24"/>
          <w:szCs w:val="24"/>
        </w:rPr>
        <w:t xml:space="preserve"> 1999; Karpoff, M</w:t>
      </w:r>
      <w:r>
        <w:rPr>
          <w:rFonts w:ascii="Times New Roman" w:hAnsi="Times New Roman"/>
          <w:sz w:val="24"/>
          <w:szCs w:val="24"/>
        </w:rPr>
        <w:t xml:space="preserve">alatesta and Walkling 1996; </w:t>
      </w:r>
      <w:r w:rsidRPr="000F1E00">
        <w:rPr>
          <w:rFonts w:ascii="Times New Roman" w:hAnsi="Times New Roman"/>
          <w:sz w:val="24"/>
          <w:szCs w:val="24"/>
        </w:rPr>
        <w:t>Romano</w:t>
      </w:r>
      <w:r>
        <w:rPr>
          <w:rFonts w:ascii="Times New Roman" w:hAnsi="Times New Roman"/>
          <w:sz w:val="24"/>
          <w:szCs w:val="24"/>
        </w:rPr>
        <w:t>,</w:t>
      </w:r>
      <w:r w:rsidRPr="000F1E00">
        <w:rPr>
          <w:rFonts w:ascii="Times New Roman" w:hAnsi="Times New Roman"/>
          <w:sz w:val="24"/>
          <w:szCs w:val="24"/>
        </w:rPr>
        <w:t xml:space="preserve"> 2000, Tilba and McNulty, 2013). Bushee (1998) characterises pension funds as ‘quasi-indexers’, arguing that they exacerbate incentives for myopic investment behaviour because their fragmented and passive ownership precludes them from gathering important company information, disincentivizing the monitoring of managers.</w:t>
      </w:r>
      <w:r>
        <w:rPr>
          <w:rFonts w:ascii="Times New Roman" w:hAnsi="Times New Roman"/>
          <w:sz w:val="24"/>
          <w:szCs w:val="24"/>
        </w:rPr>
        <w:t xml:space="preserve"> A</w:t>
      </w:r>
      <w:r w:rsidRPr="000F1E00" w:rsidDel="008176FA">
        <w:rPr>
          <w:rFonts w:ascii="Times New Roman" w:hAnsi="Times New Roman"/>
          <w:sz w:val="24"/>
          <w:szCs w:val="24"/>
        </w:rPr>
        <w:t xml:space="preserve"> number of scholars</w:t>
      </w:r>
      <w:r w:rsidRPr="000F1E00">
        <w:rPr>
          <w:rFonts w:ascii="Times New Roman" w:hAnsi="Times New Roman"/>
          <w:sz w:val="24"/>
          <w:szCs w:val="24"/>
        </w:rPr>
        <w:t xml:space="preserve"> have</w:t>
      </w:r>
      <w:r>
        <w:rPr>
          <w:rFonts w:ascii="Times New Roman" w:hAnsi="Times New Roman"/>
          <w:sz w:val="24"/>
          <w:szCs w:val="24"/>
        </w:rPr>
        <w:t xml:space="preserve"> consistently doubted pension fund ability and inclination </w:t>
      </w:r>
      <w:r w:rsidRPr="000F1E00" w:rsidDel="008176FA">
        <w:rPr>
          <w:rFonts w:ascii="Times New Roman" w:hAnsi="Times New Roman"/>
          <w:sz w:val="24"/>
          <w:szCs w:val="24"/>
        </w:rPr>
        <w:t xml:space="preserve">to </w:t>
      </w:r>
      <w:r w:rsidRPr="000F1E00">
        <w:rPr>
          <w:rFonts w:ascii="Times New Roman" w:hAnsi="Times New Roman"/>
          <w:sz w:val="24"/>
          <w:szCs w:val="24"/>
        </w:rPr>
        <w:t>act as principals and influence investee companies (</w:t>
      </w:r>
      <w:r>
        <w:rPr>
          <w:rFonts w:ascii="Times New Roman" w:hAnsi="Times New Roman"/>
          <w:sz w:val="24"/>
          <w:szCs w:val="24"/>
        </w:rPr>
        <w:t xml:space="preserve">Faccio and Lasfer, 2000; </w:t>
      </w:r>
      <w:r w:rsidRPr="000F1E00">
        <w:rPr>
          <w:rFonts w:ascii="Times New Roman" w:hAnsi="Times New Roman"/>
          <w:sz w:val="24"/>
          <w:szCs w:val="24"/>
        </w:rPr>
        <w:t xml:space="preserve">Webb, et. al. </w:t>
      </w:r>
      <w:r w:rsidRPr="000F1E00" w:rsidDel="008176FA">
        <w:rPr>
          <w:rFonts w:ascii="Times New Roman" w:hAnsi="Times New Roman"/>
          <w:sz w:val="24"/>
          <w:szCs w:val="24"/>
        </w:rPr>
        <w:t>2003</w:t>
      </w:r>
      <w:r w:rsidRPr="000F1E00">
        <w:rPr>
          <w:rFonts w:ascii="Times New Roman" w:hAnsi="Times New Roman"/>
          <w:sz w:val="24"/>
          <w:szCs w:val="24"/>
        </w:rPr>
        <w:t>; Hellman, 2005;</w:t>
      </w:r>
      <w:r w:rsidRPr="000F1E00" w:rsidDel="008176FA">
        <w:rPr>
          <w:rFonts w:ascii="Times New Roman" w:hAnsi="Times New Roman"/>
          <w:sz w:val="24"/>
          <w:szCs w:val="24"/>
        </w:rPr>
        <w:t xml:space="preserve"> </w:t>
      </w:r>
      <w:r w:rsidRPr="000F1E00">
        <w:rPr>
          <w:rFonts w:ascii="Times New Roman" w:hAnsi="Times New Roman"/>
          <w:sz w:val="24"/>
          <w:szCs w:val="24"/>
        </w:rPr>
        <w:t>Kahan and Rock, 2007; Conyon and Sadler, 2010</w:t>
      </w:r>
      <w:r w:rsidRPr="000F1E00" w:rsidDel="008176FA">
        <w:rPr>
          <w:rFonts w:ascii="Times New Roman" w:hAnsi="Times New Roman"/>
          <w:sz w:val="24"/>
          <w:szCs w:val="24"/>
        </w:rPr>
        <w:t>)</w:t>
      </w:r>
      <w:r w:rsidRPr="000F1E00">
        <w:rPr>
          <w:rFonts w:ascii="Times New Roman" w:hAnsi="Times New Roman"/>
          <w:sz w:val="24"/>
          <w:szCs w:val="24"/>
        </w:rPr>
        <w:t>.</w:t>
      </w:r>
      <w:r w:rsidRPr="000F1E00" w:rsidDel="008176FA">
        <w:rPr>
          <w:rFonts w:ascii="Times New Roman" w:hAnsi="Times New Roman"/>
          <w:sz w:val="24"/>
          <w:szCs w:val="24"/>
        </w:rPr>
        <w:t xml:space="preserve"> </w:t>
      </w:r>
      <w:r>
        <w:rPr>
          <w:rFonts w:ascii="Times New Roman" w:hAnsi="Times New Roman"/>
          <w:sz w:val="24"/>
          <w:szCs w:val="24"/>
        </w:rPr>
        <w:t>Similarly, Goergen and Renneboog (2002)</w:t>
      </w:r>
      <w:r w:rsidRPr="000F1E00">
        <w:rPr>
          <w:rFonts w:ascii="Times New Roman" w:hAnsi="Times New Roman"/>
          <w:sz w:val="24"/>
          <w:szCs w:val="24"/>
        </w:rPr>
        <w:t xml:space="preserve"> </w:t>
      </w:r>
      <w:r>
        <w:rPr>
          <w:rFonts w:ascii="Times New Roman" w:hAnsi="Times New Roman"/>
          <w:sz w:val="24"/>
          <w:szCs w:val="24"/>
        </w:rPr>
        <w:t>argued</w:t>
      </w:r>
      <w:r w:rsidRPr="000F1E00">
        <w:rPr>
          <w:rFonts w:ascii="Times New Roman" w:hAnsi="Times New Roman"/>
          <w:sz w:val="24"/>
          <w:szCs w:val="24"/>
        </w:rPr>
        <w:t xml:space="preserve"> that institutional investors in the UK are mostly passive.</w:t>
      </w:r>
      <w:r>
        <w:rPr>
          <w:rFonts w:ascii="Times New Roman" w:hAnsi="Times New Roman"/>
          <w:sz w:val="24"/>
          <w:szCs w:val="24"/>
        </w:rPr>
        <w:t xml:space="preserve"> </w:t>
      </w:r>
    </w:p>
    <w:p w:rsidR="00B110CC" w:rsidRPr="00723FBA" w:rsidRDefault="00B110CC" w:rsidP="00B110CC">
      <w:pPr>
        <w:spacing w:line="480" w:lineRule="auto"/>
        <w:ind w:firstLine="720"/>
        <w:jc w:val="both"/>
        <w:rPr>
          <w:rFonts w:ascii="Times New Roman" w:hAnsi="Times New Roman"/>
          <w:color w:val="231F20"/>
          <w:sz w:val="24"/>
          <w:szCs w:val="24"/>
        </w:rPr>
      </w:pPr>
      <w:r w:rsidRPr="000F1E00">
        <w:rPr>
          <w:rFonts w:ascii="Times New Roman" w:hAnsi="Times New Roman"/>
          <w:sz w:val="24"/>
          <w:szCs w:val="24"/>
        </w:rPr>
        <w:t xml:space="preserve">Pensions industry reports also present contrasting evidence. For example, the latest report by ShareAction on the actual voting practices by asset managers (2015) </w:t>
      </w:r>
      <w:r w:rsidRPr="000F1E00">
        <w:rPr>
          <w:rFonts w:ascii="Times New Roman" w:hAnsi="Times New Roman"/>
          <w:color w:val="231F20"/>
          <w:sz w:val="24"/>
          <w:szCs w:val="24"/>
        </w:rPr>
        <w:lastRenderedPageBreak/>
        <w:t xml:space="preserve">reveals a tendency by some managers to vote in favour of company management’s recommendations even when there was a case to vote against them. </w:t>
      </w:r>
      <w:r>
        <w:rPr>
          <w:rFonts w:ascii="Times New Roman" w:hAnsi="Times New Roman"/>
          <w:sz w:val="24"/>
          <w:szCs w:val="24"/>
        </w:rPr>
        <w:t>The actual uptake of stewardship</w:t>
      </w:r>
      <w:r w:rsidRPr="000F1E00">
        <w:rPr>
          <w:rFonts w:ascii="Times New Roman" w:hAnsi="Times New Roman"/>
          <w:sz w:val="24"/>
          <w:szCs w:val="24"/>
        </w:rPr>
        <w:t xml:space="preserve"> by institutional investors remains scant. This is contrasted with the NAPF Engagement Survey (2014), according to which 94% agreed that institutional investors (including pension funds) have stewardship responsibilities which include engaging with companies and voting shares. </w:t>
      </w:r>
    </w:p>
    <w:p w:rsidR="00B110CC" w:rsidRPr="000F1E00"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rPr>
        <w:t xml:space="preserve">This mixed evidence suggests a gap in our understanding about different qualitative influences that may be at play in informing institutional behaviour. For example, Hendry, et. al. (2004; 2006; 2007) were exploring different motivations behind investor engagement. Similarly, </w:t>
      </w:r>
      <w:r w:rsidRPr="000F1E00">
        <w:rPr>
          <w:rFonts w:ascii="Times New Roman" w:hAnsi="Times New Roman"/>
          <w:sz w:val="24"/>
          <w:szCs w:val="24"/>
        </w:rPr>
        <w:t>Tilba and McNulty (2013)</w:t>
      </w:r>
      <w:r>
        <w:rPr>
          <w:rFonts w:ascii="Times New Roman" w:hAnsi="Times New Roman"/>
          <w:sz w:val="24"/>
          <w:szCs w:val="24"/>
        </w:rPr>
        <w:t xml:space="preserve"> </w:t>
      </w:r>
      <w:r w:rsidRPr="000F1E00">
        <w:rPr>
          <w:rFonts w:ascii="Times New Roman" w:hAnsi="Times New Roman"/>
          <w:sz w:val="24"/>
          <w:szCs w:val="24"/>
        </w:rPr>
        <w:t xml:space="preserve">highlight the need </w:t>
      </w:r>
      <w:r w:rsidRPr="009B2033">
        <w:rPr>
          <w:rFonts w:ascii="Times New Roman" w:hAnsi="Times New Roman"/>
          <w:sz w:val="24"/>
          <w:szCs w:val="24"/>
        </w:rPr>
        <w:t>to attend to the practices, meanings and motives that underpin investment management by institutions</w:t>
      </w:r>
      <w:r>
        <w:rPr>
          <w:rFonts w:ascii="Times New Roman" w:hAnsi="Times New Roman"/>
          <w:sz w:val="24"/>
          <w:szCs w:val="24"/>
        </w:rPr>
        <w:t xml:space="preserve">. </w:t>
      </w:r>
      <w:r w:rsidRPr="000F1E00">
        <w:rPr>
          <w:rFonts w:ascii="Times New Roman" w:hAnsi="Times New Roman"/>
          <w:sz w:val="24"/>
          <w:szCs w:val="24"/>
        </w:rPr>
        <w:t>We argue that there is a need</w:t>
      </w:r>
      <w:r>
        <w:rPr>
          <w:rFonts w:ascii="Times New Roman" w:hAnsi="Times New Roman"/>
          <w:sz w:val="24"/>
          <w:szCs w:val="24"/>
        </w:rPr>
        <w:t xml:space="preserve"> to shed new light on pension fund investment strategies using novel </w:t>
      </w:r>
      <w:r w:rsidRPr="000F1E00">
        <w:rPr>
          <w:rFonts w:ascii="Times New Roman" w:hAnsi="Times New Roman"/>
          <w:sz w:val="24"/>
          <w:szCs w:val="24"/>
        </w:rPr>
        <w:t xml:space="preserve">empirical and qualitative explanations </w:t>
      </w:r>
      <w:r>
        <w:rPr>
          <w:rFonts w:ascii="Times New Roman" w:hAnsi="Times New Roman"/>
          <w:sz w:val="24"/>
          <w:szCs w:val="24"/>
        </w:rPr>
        <w:t>of the distinction between engaged and disengaged pension funds. More specifically, we need to understand h</w:t>
      </w:r>
      <w:r w:rsidRPr="00443171">
        <w:rPr>
          <w:rFonts w:ascii="Times New Roman" w:hAnsi="Times New Roman"/>
          <w:sz w:val="24"/>
          <w:szCs w:val="24"/>
        </w:rPr>
        <w:t xml:space="preserve">ow </w:t>
      </w:r>
      <w:r>
        <w:rPr>
          <w:rFonts w:ascii="Times New Roman" w:hAnsi="Times New Roman"/>
          <w:sz w:val="24"/>
          <w:szCs w:val="24"/>
        </w:rPr>
        <w:t>pension fund practitioners</w:t>
      </w:r>
      <w:r w:rsidRPr="00443171">
        <w:rPr>
          <w:rFonts w:ascii="Times New Roman" w:hAnsi="Times New Roman"/>
          <w:sz w:val="24"/>
          <w:szCs w:val="24"/>
        </w:rPr>
        <w:t xml:space="preserve"> talk about </w:t>
      </w:r>
      <w:r>
        <w:rPr>
          <w:rFonts w:ascii="Times New Roman" w:hAnsi="Times New Roman"/>
          <w:sz w:val="24"/>
          <w:szCs w:val="24"/>
        </w:rPr>
        <w:t xml:space="preserve">their investment practises and what accounts they give about </w:t>
      </w:r>
      <w:r w:rsidRPr="00443171">
        <w:rPr>
          <w:rFonts w:ascii="Times New Roman" w:hAnsi="Times New Roman"/>
          <w:sz w:val="24"/>
          <w:szCs w:val="24"/>
        </w:rPr>
        <w:t>engagement and disengagement</w:t>
      </w:r>
      <w:r>
        <w:rPr>
          <w:rFonts w:ascii="Times New Roman" w:hAnsi="Times New Roman"/>
          <w:sz w:val="24"/>
          <w:szCs w:val="24"/>
        </w:rPr>
        <w:t>.</w:t>
      </w:r>
      <w:r w:rsidRPr="000F1E00">
        <w:rPr>
          <w:rFonts w:ascii="Times New Roman" w:hAnsi="Times New Roman"/>
          <w:sz w:val="24"/>
          <w:szCs w:val="24"/>
        </w:rPr>
        <w:t xml:space="preserve"> </w:t>
      </w:r>
      <w:r>
        <w:rPr>
          <w:rFonts w:ascii="Times New Roman" w:hAnsi="Times New Roman"/>
          <w:sz w:val="24"/>
          <w:szCs w:val="24"/>
        </w:rPr>
        <w:t>W</w:t>
      </w:r>
      <w:r w:rsidRPr="000F1E00">
        <w:rPr>
          <w:rFonts w:ascii="Times New Roman" w:hAnsi="Times New Roman"/>
          <w:sz w:val="24"/>
          <w:szCs w:val="24"/>
        </w:rPr>
        <w:t>e</w:t>
      </w:r>
      <w:r>
        <w:rPr>
          <w:rFonts w:ascii="Times New Roman" w:hAnsi="Times New Roman"/>
          <w:sz w:val="24"/>
          <w:szCs w:val="24"/>
        </w:rPr>
        <w:t xml:space="preserve"> draw on vocabularies </w:t>
      </w:r>
      <w:r w:rsidRPr="000F1E00">
        <w:rPr>
          <w:rFonts w:ascii="Times New Roman" w:hAnsi="Times New Roman"/>
          <w:sz w:val="24"/>
          <w:szCs w:val="24"/>
        </w:rPr>
        <w:t>of motive</w:t>
      </w:r>
      <w:r>
        <w:rPr>
          <w:rFonts w:ascii="Times New Roman" w:hAnsi="Times New Roman"/>
          <w:sz w:val="24"/>
          <w:szCs w:val="24"/>
        </w:rPr>
        <w:t xml:space="preserve">, sense-making and </w:t>
      </w:r>
      <w:r w:rsidRPr="000F1E00">
        <w:rPr>
          <w:rFonts w:ascii="Times New Roman" w:hAnsi="Times New Roman"/>
          <w:sz w:val="24"/>
          <w:szCs w:val="24"/>
        </w:rPr>
        <w:t xml:space="preserve">organisational </w:t>
      </w:r>
      <w:r w:rsidRPr="000F1E00">
        <w:rPr>
          <w:rFonts w:ascii="Times New Roman" w:hAnsi="Times New Roman"/>
          <w:i/>
          <w:sz w:val="24"/>
          <w:szCs w:val="24"/>
        </w:rPr>
        <w:t>enactment</w:t>
      </w:r>
      <w:r w:rsidRPr="000F1E00">
        <w:rPr>
          <w:rFonts w:ascii="Times New Roman" w:hAnsi="Times New Roman"/>
          <w:sz w:val="24"/>
          <w:szCs w:val="24"/>
        </w:rPr>
        <w:t xml:space="preserve"> (</w:t>
      </w:r>
      <w:r>
        <w:rPr>
          <w:rFonts w:ascii="Times New Roman" w:hAnsi="Times New Roman"/>
          <w:sz w:val="24"/>
          <w:szCs w:val="24"/>
        </w:rPr>
        <w:t xml:space="preserve">Mills, </w:t>
      </w:r>
      <w:r w:rsidRPr="000F1E00">
        <w:rPr>
          <w:rFonts w:ascii="Times New Roman" w:hAnsi="Times New Roman"/>
          <w:sz w:val="24"/>
          <w:szCs w:val="24"/>
        </w:rPr>
        <w:t>1940</w:t>
      </w:r>
      <w:r>
        <w:rPr>
          <w:rFonts w:ascii="Times New Roman" w:hAnsi="Times New Roman"/>
          <w:sz w:val="24"/>
          <w:szCs w:val="24"/>
        </w:rPr>
        <w:t xml:space="preserve">; </w:t>
      </w:r>
      <w:r w:rsidRPr="000F1E00">
        <w:rPr>
          <w:rFonts w:ascii="Times New Roman" w:hAnsi="Times New Roman"/>
          <w:sz w:val="24"/>
          <w:szCs w:val="24"/>
          <w:lang w:val="en"/>
        </w:rPr>
        <w:t>Weick, 1969</w:t>
      </w:r>
      <w:r>
        <w:rPr>
          <w:rFonts w:ascii="Times New Roman" w:hAnsi="Times New Roman"/>
          <w:sz w:val="24"/>
          <w:szCs w:val="24"/>
          <w:lang w:val="en"/>
        </w:rPr>
        <w:t>) and</w:t>
      </w:r>
      <w:r w:rsidRPr="000F1E00">
        <w:rPr>
          <w:rFonts w:ascii="Times New Roman" w:hAnsi="Times New Roman"/>
          <w:sz w:val="24"/>
          <w:szCs w:val="24"/>
        </w:rPr>
        <w:t xml:space="preserve"> use this perspective </w:t>
      </w:r>
      <w:r>
        <w:rPr>
          <w:rFonts w:ascii="Times New Roman" w:hAnsi="Times New Roman"/>
          <w:sz w:val="24"/>
          <w:szCs w:val="24"/>
        </w:rPr>
        <w:t xml:space="preserve">with particular attention to temporality </w:t>
      </w:r>
      <w:r w:rsidRPr="000F1E00">
        <w:rPr>
          <w:rFonts w:ascii="Times New Roman" w:hAnsi="Times New Roman"/>
          <w:sz w:val="24"/>
          <w:szCs w:val="24"/>
        </w:rPr>
        <w:t xml:space="preserve">as an analytical lens to explore our research question and interpret the data. </w:t>
      </w:r>
    </w:p>
    <w:p w:rsidR="00B110CC" w:rsidRPr="000F1E00" w:rsidRDefault="00B110CC" w:rsidP="00B110CC">
      <w:pPr>
        <w:pStyle w:val="NormalWeb"/>
        <w:spacing w:line="480" w:lineRule="auto"/>
        <w:jc w:val="both"/>
        <w:rPr>
          <w:b/>
          <w:lang w:val="en"/>
        </w:rPr>
      </w:pPr>
      <w:r w:rsidRPr="000F1E00">
        <w:rPr>
          <w:b/>
          <w:lang w:val="en"/>
        </w:rPr>
        <w:t xml:space="preserve">Practical Reasoning, Vocabularies of Motive and Organizational Enactment  </w:t>
      </w:r>
    </w:p>
    <w:p w:rsidR="00B110CC" w:rsidRPr="009B2033" w:rsidRDefault="00B110CC" w:rsidP="00B110CC">
      <w:pPr>
        <w:pStyle w:val="NormalWeb"/>
        <w:spacing w:line="480" w:lineRule="auto"/>
        <w:ind w:firstLine="720"/>
        <w:jc w:val="both"/>
      </w:pPr>
      <w:r w:rsidRPr="009B2033">
        <w:rPr>
          <w:lang w:val="en"/>
        </w:rPr>
        <w:t xml:space="preserve">Organizational scholars have long researched vocabularies to understand institutional practices and with the rise of research on language, meaning and discourse, these theoretical frameworks have been helping advance the work on institutional logic as novel extension for organizational research and practice. A large part of this </w:t>
      </w:r>
      <w:r w:rsidRPr="009B2033">
        <w:rPr>
          <w:lang w:val="en"/>
        </w:rPr>
        <w:lastRenderedPageBreak/>
        <w:t>work has been done by scholars who propose that vocabularies are instrumental in the social construction of meaning, organizing practices and institutions (Loewenstein, et. al, 2012).</w:t>
      </w:r>
      <w:r w:rsidRPr="009B2033">
        <w:t xml:space="preserve"> </w:t>
      </w:r>
    </w:p>
    <w:p w:rsidR="00B110CC" w:rsidRPr="001E6CA2" w:rsidRDefault="00B110CC" w:rsidP="00B110CC">
      <w:pPr>
        <w:pStyle w:val="NormalWeb"/>
        <w:spacing w:line="480" w:lineRule="auto"/>
        <w:ind w:firstLine="720"/>
        <w:jc w:val="both"/>
        <w:rPr>
          <w:lang w:val="en"/>
        </w:rPr>
      </w:pPr>
      <w:r>
        <w:t xml:space="preserve">An interest in vocabularies is longstanding and has been most influenced by the work of Kenneth Burke and C. Wright Mills who provided an integrated and developed theory of vocabularies. </w:t>
      </w:r>
      <w:r w:rsidRPr="000F1E00">
        <w:rPr>
          <w:lang w:val="en"/>
        </w:rPr>
        <w:t>In his seminal work on ‘</w:t>
      </w:r>
      <w:r w:rsidRPr="000F1E00">
        <w:rPr>
          <w:i/>
          <w:lang w:val="en"/>
        </w:rPr>
        <w:t xml:space="preserve">Situated Actions and Vocabularies of Motive’, </w:t>
      </w:r>
      <w:r w:rsidRPr="000F1E00">
        <w:rPr>
          <w:lang w:val="en"/>
        </w:rPr>
        <w:t xml:space="preserve">Mills (1940) suggests that when an agent is articulating motives, he is not merely describing his experienced social action, but also influencing others and himself. Broadly, Mills suggests that the ways in which people talk about their motives is dependent on social contexts. In other words, the association with a subcultural group can have an impact on an individual’s decisions and behavior (Mills, 1940). Similarly, a prominent American organizational theorist Karl Weick uses the term </w:t>
      </w:r>
      <w:r w:rsidRPr="000F1E00">
        <w:rPr>
          <w:i/>
          <w:iCs/>
          <w:lang w:val="en"/>
        </w:rPr>
        <w:t>enactment</w:t>
      </w:r>
      <w:r w:rsidRPr="000F1E00">
        <w:rPr>
          <w:lang w:val="en"/>
        </w:rPr>
        <w:t xml:space="preserve"> to denote the idea that certain phenomena, for example, organizations or certain behaviors and human actions, are created or enacted by being discussed. Weick theorizes that by constructing, objectifying and enacting their thoughts, people literally create their own reality and constraints (1969). Although </w:t>
      </w:r>
      <w:r w:rsidRPr="000F1E00">
        <w:rPr>
          <w:i/>
          <w:lang w:val="en"/>
        </w:rPr>
        <w:t>talk</w:t>
      </w:r>
      <w:r w:rsidRPr="000F1E00">
        <w:rPr>
          <w:lang w:val="en"/>
        </w:rPr>
        <w:t xml:space="preserve"> is the fundamental material of human relation, the ‘sociology of talk’ (Scott and Lyman, 1968) remains underdeveloped in management and corporate governance research. </w:t>
      </w:r>
    </w:p>
    <w:p w:rsidR="00B110CC" w:rsidRPr="000F1E00" w:rsidRDefault="00B110CC" w:rsidP="00B110CC">
      <w:pPr>
        <w:pStyle w:val="NormalWeb"/>
        <w:spacing w:line="480" w:lineRule="auto"/>
        <w:ind w:firstLine="720"/>
        <w:jc w:val="both"/>
        <w:rPr>
          <w:lang w:val="en"/>
        </w:rPr>
      </w:pPr>
      <w:r w:rsidRPr="000F1E00">
        <w:rPr>
          <w:lang w:val="en"/>
        </w:rPr>
        <w:t xml:space="preserve">According to Scott and Lyman (1968), the central feature of talk is giving and receiving of </w:t>
      </w:r>
      <w:r w:rsidRPr="000F1E00">
        <w:rPr>
          <w:i/>
          <w:lang w:val="en"/>
        </w:rPr>
        <w:t xml:space="preserve">accounts </w:t>
      </w:r>
      <w:r w:rsidRPr="000F1E00">
        <w:rPr>
          <w:lang w:val="en"/>
        </w:rPr>
        <w:t>or statements made to explain untoward behavior, bridg</w:t>
      </w:r>
      <w:r>
        <w:rPr>
          <w:lang w:val="en"/>
        </w:rPr>
        <w:t>ing</w:t>
      </w:r>
      <w:r w:rsidRPr="000F1E00">
        <w:rPr>
          <w:lang w:val="en"/>
        </w:rPr>
        <w:t xml:space="preserve"> the gap between expectations and actions.</w:t>
      </w:r>
      <w:r w:rsidR="008A5F28">
        <w:rPr>
          <w:lang w:val="en"/>
        </w:rPr>
        <w:t xml:space="preserve">  </w:t>
      </w:r>
      <w:r w:rsidRPr="000F1E00">
        <w:rPr>
          <w:lang w:val="en"/>
        </w:rPr>
        <w:t>The explanations of the identification of inten</w:t>
      </w:r>
      <w:r>
        <w:rPr>
          <w:lang w:val="en"/>
        </w:rPr>
        <w:t>t</w:t>
      </w:r>
      <w:r w:rsidRPr="000F1E00">
        <w:rPr>
          <w:lang w:val="en"/>
        </w:rPr>
        <w:t xml:space="preserve">ions, purposes and choices </w:t>
      </w:r>
      <w:r>
        <w:rPr>
          <w:lang w:val="en"/>
        </w:rPr>
        <w:t xml:space="preserve">of actions </w:t>
      </w:r>
      <w:r w:rsidRPr="000F1E00">
        <w:rPr>
          <w:lang w:val="en"/>
        </w:rPr>
        <w:t xml:space="preserve">are revealed to us through the accounts that practitioners give of their daily practices. By an account Scott and Lyman (1968) </w:t>
      </w:r>
      <w:r w:rsidRPr="000F1E00">
        <w:rPr>
          <w:lang w:val="en"/>
        </w:rPr>
        <w:lastRenderedPageBreak/>
        <w:t>mean ‘</w:t>
      </w:r>
      <w:r w:rsidRPr="000F1E00">
        <w:rPr>
          <w:i/>
          <w:lang w:val="en"/>
        </w:rPr>
        <w:t>a statement made by a social actor to explain unanticipated or untoward behavior – whether that behavior is his own or that of others, and whether that proximate cause for the statement arises from the actor himself or form someone else</w:t>
      </w:r>
      <w:r w:rsidRPr="000F1E00">
        <w:rPr>
          <w:lang w:val="en"/>
        </w:rPr>
        <w:t>’ (p. 46).  Accounts thus reflect ‘</w:t>
      </w:r>
      <w:r w:rsidRPr="000F1E00">
        <w:rPr>
          <w:i/>
          <w:lang w:val="en"/>
        </w:rPr>
        <w:t>socially approved vocabularies which neutralize an act or its consequences when one or both are called into question</w:t>
      </w:r>
      <w:r w:rsidRPr="000F1E00">
        <w:rPr>
          <w:lang w:val="en"/>
        </w:rPr>
        <w:t xml:space="preserve">’ (Scott and Lyman, 1968: 46-51). </w:t>
      </w:r>
    </w:p>
    <w:p w:rsidR="00B110CC" w:rsidRDefault="00B110CC" w:rsidP="00B110CC">
      <w:pPr>
        <w:pStyle w:val="NormalWeb"/>
        <w:spacing w:line="480" w:lineRule="auto"/>
        <w:ind w:firstLine="720"/>
        <w:jc w:val="both"/>
        <w:rPr>
          <w:lang w:val="en"/>
        </w:rPr>
      </w:pPr>
      <w:r w:rsidRPr="000F1E00">
        <w:rPr>
          <w:lang w:val="en"/>
        </w:rPr>
        <w:t>As actions contain some ‘mental element’, the accounts of actions (which can be excuses or justifications) will have components of ‘knowledge’ and ‘will’ (Scott and Lyman, 1968). Following from this logic, an individual might excuse himself from responsibility, using claims that certain information was unavailable to him, and if it had been, his behavior would have been different. Both knowledge and will can be impaired under certain conditions, with mitigated responsibility as a direct consequence. Such a pattern of behavior is also referred to as ‘culturally-established sense-making – or “interpretative repertoires”’ (Potter &amp; Wetherell 1987; 149, Wetherell and Potter, 1988; 171). In social interaction an individual will learn a ‘repertoire’ of situations or backgrounds, as well as corresponding appropriate accounts which are acceptable to others.</w:t>
      </w:r>
      <w:r>
        <w:rPr>
          <w:lang w:val="en"/>
        </w:rPr>
        <w:t xml:space="preserve"> In other words, vocabularies help establish a common ground, a shared knowledge among social actors both within and across organizations that is essential for coordinated social action (Bechky, 2003; Cramton, 2001). </w:t>
      </w:r>
      <w:r w:rsidRPr="000F1E00">
        <w:rPr>
          <w:lang w:val="en"/>
        </w:rPr>
        <w:t xml:space="preserve">Following this perspective, a key research objective would be to understand how social actors </w:t>
      </w:r>
      <w:r w:rsidRPr="000F1E00">
        <w:rPr>
          <w:i/>
          <w:lang w:val="en"/>
        </w:rPr>
        <w:t>themselves</w:t>
      </w:r>
      <w:r w:rsidRPr="000F1E00">
        <w:rPr>
          <w:lang w:val="en"/>
        </w:rPr>
        <w:t xml:space="preserve"> handle internal and external </w:t>
      </w:r>
      <w:r>
        <w:rPr>
          <w:lang w:val="en"/>
        </w:rPr>
        <w:t>explanations</w:t>
      </w:r>
      <w:r w:rsidRPr="000F1E00">
        <w:rPr>
          <w:lang w:val="en"/>
        </w:rPr>
        <w:t xml:space="preserve"> of action as part of their discursive practice (Wetherell, 2005). </w:t>
      </w:r>
      <w:r>
        <w:rPr>
          <w:lang w:val="en"/>
        </w:rPr>
        <w:t xml:space="preserve">Furthermore, because meaning is grounded in experience it is important to discuss </w:t>
      </w:r>
      <w:r w:rsidRPr="002F3D14">
        <w:rPr>
          <w:i/>
          <w:lang w:val="en"/>
        </w:rPr>
        <w:t>examples</w:t>
      </w:r>
      <w:r>
        <w:rPr>
          <w:lang w:val="en"/>
        </w:rPr>
        <w:t xml:space="preserve"> of specific practices, activities, events or relationships that are collectively experienced and conventionally referred to (</w:t>
      </w:r>
      <w:r w:rsidRPr="002F3D14">
        <w:rPr>
          <w:lang w:val="en"/>
        </w:rPr>
        <w:t>Loewenstein, et. al, 2012).</w:t>
      </w:r>
    </w:p>
    <w:p w:rsidR="00B110CC" w:rsidRDefault="00B110CC" w:rsidP="00B110CC">
      <w:pPr>
        <w:pStyle w:val="NormalWeb"/>
        <w:spacing w:line="480" w:lineRule="auto"/>
        <w:ind w:firstLine="720"/>
        <w:jc w:val="both"/>
        <w:rPr>
          <w:lang w:val="en"/>
        </w:rPr>
      </w:pPr>
      <w:r>
        <w:rPr>
          <w:lang w:val="en"/>
        </w:rPr>
        <w:lastRenderedPageBreak/>
        <w:t xml:space="preserve">The research drawing on vocabularies is wide ranging from research on rhetoric (Sillince, 2005; Suddaby and Greenwood, 2005); culture (Berger and Luckmann, 1967; Mills, 1939) and institutional theory (Meyer and Rowan, 1977). In corporate governance </w:t>
      </w:r>
      <w:r>
        <w:t>Nordberg and McNulty (2013) observe a shifting discourse in the codification within UK away from board structures, composition and procedures in Cadbury towards ‘behaviour’, as the code seeks to improve board effectiveness as a mechanism of governance.</w:t>
      </w:r>
      <w:r>
        <w:rPr>
          <w:lang w:val="en"/>
        </w:rPr>
        <w:t xml:space="preserve"> Aspara, et. al. (2014) theorized about self-reinforcing processes and biases within organizations when they investigated the causes for corporate short-termism. </w:t>
      </w:r>
      <w:r w:rsidRPr="000F1E00">
        <w:rPr>
          <w:lang w:val="en"/>
        </w:rPr>
        <w:t xml:space="preserve">Most recently, Whittle and Mueller (2015) have </w:t>
      </w:r>
      <w:r>
        <w:rPr>
          <w:lang w:val="en"/>
        </w:rPr>
        <w:t>used similar</w:t>
      </w:r>
      <w:r w:rsidRPr="000F1E00">
        <w:rPr>
          <w:lang w:val="en"/>
        </w:rPr>
        <w:t xml:space="preserve"> ideas when they examined the testimonies of leaders of British banks during a UK public inquiry into the financial crisis. They have identified competing interpretative repertoires of agency and structure that the UK bankers used to handle accountability, and particularly their roles in the events leading up to the collapse of the banks. </w:t>
      </w:r>
    </w:p>
    <w:p w:rsidR="00B110CC" w:rsidRDefault="00B110CC" w:rsidP="00B110CC">
      <w:pPr>
        <w:pStyle w:val="NormalWeb"/>
        <w:spacing w:line="480" w:lineRule="auto"/>
        <w:ind w:firstLine="720"/>
        <w:jc w:val="both"/>
        <w:rPr>
          <w:lang w:val="en"/>
        </w:rPr>
      </w:pPr>
      <w:r>
        <w:rPr>
          <w:lang w:val="en"/>
        </w:rPr>
        <w:t>All in all, scholars who use discourse analysis tend to focus on the delivery of ideas as a form of strategic action but only rarely do they explore actors’ vocabularies and the relations of words to examples (</w:t>
      </w:r>
      <w:r w:rsidRPr="002F3D14">
        <w:rPr>
          <w:lang w:val="en"/>
        </w:rPr>
        <w:t>Loewenstein, et. al, 2012).</w:t>
      </w:r>
      <w:r>
        <w:rPr>
          <w:lang w:val="en"/>
        </w:rPr>
        <w:t xml:space="preserve"> </w:t>
      </w:r>
      <w:r w:rsidRPr="000F1E00">
        <w:rPr>
          <w:lang w:val="en"/>
        </w:rPr>
        <w:t xml:space="preserve">In this paper, we </w:t>
      </w:r>
      <w:r>
        <w:rPr>
          <w:lang w:val="en"/>
        </w:rPr>
        <w:t xml:space="preserve">aim to fill this gap by </w:t>
      </w:r>
      <w:r w:rsidRPr="006C7A38">
        <w:t>using the</w:t>
      </w:r>
      <w:r>
        <w:t xml:space="preserve"> empirical</w:t>
      </w:r>
      <w:r w:rsidRPr="006C7A38">
        <w:t xml:space="preserve"> examples of pension fund engagement and disengagement</w:t>
      </w:r>
      <w:r>
        <w:rPr>
          <w:lang w:val="en"/>
        </w:rPr>
        <w:t xml:space="preserve"> to examine </w:t>
      </w:r>
      <w:r w:rsidRPr="000F1E00">
        <w:rPr>
          <w:lang w:val="en"/>
        </w:rPr>
        <w:t>the</w:t>
      </w:r>
      <w:r w:rsidRPr="000F1E00">
        <w:rPr>
          <w:i/>
          <w:lang w:val="en"/>
        </w:rPr>
        <w:t xml:space="preserve"> accounts</w:t>
      </w:r>
      <w:r>
        <w:rPr>
          <w:i/>
          <w:lang w:val="en"/>
        </w:rPr>
        <w:t xml:space="preserve"> </w:t>
      </w:r>
      <w:r w:rsidRPr="00C721DE">
        <w:rPr>
          <w:lang w:val="en"/>
        </w:rPr>
        <w:t xml:space="preserve">(both historic and present) </w:t>
      </w:r>
      <w:r w:rsidRPr="000F1E00">
        <w:rPr>
          <w:lang w:val="en"/>
        </w:rPr>
        <w:t>used by participants in their daily work practices</w:t>
      </w:r>
      <w:r>
        <w:rPr>
          <w:lang w:val="en"/>
        </w:rPr>
        <w:t xml:space="preserve">, which form vocabularies in relation to these examples. </w:t>
      </w:r>
    </w:p>
    <w:p w:rsidR="00B110CC" w:rsidRDefault="00B110CC" w:rsidP="00B110CC">
      <w:pPr>
        <w:spacing w:line="480" w:lineRule="auto"/>
        <w:jc w:val="both"/>
        <w:rPr>
          <w:rFonts w:ascii="Times New Roman" w:hAnsi="Times New Roman"/>
          <w:b/>
          <w:sz w:val="24"/>
          <w:szCs w:val="24"/>
        </w:rPr>
      </w:pPr>
      <w:r>
        <w:rPr>
          <w:rFonts w:ascii="Times New Roman" w:hAnsi="Times New Roman"/>
          <w:b/>
          <w:sz w:val="24"/>
          <w:szCs w:val="24"/>
        </w:rPr>
        <w:t xml:space="preserve">On </w:t>
      </w:r>
      <w:r w:rsidRPr="005E2606">
        <w:rPr>
          <w:rFonts w:ascii="Times New Roman" w:hAnsi="Times New Roman"/>
          <w:b/>
          <w:sz w:val="24"/>
          <w:szCs w:val="24"/>
        </w:rPr>
        <w:t xml:space="preserve">Temporality </w:t>
      </w:r>
    </w:p>
    <w:p w:rsidR="00B110CC" w:rsidRDefault="00B110CC" w:rsidP="00B110CC">
      <w:pPr>
        <w:spacing w:line="480" w:lineRule="auto"/>
        <w:ind w:firstLine="720"/>
        <w:jc w:val="both"/>
        <w:rPr>
          <w:rFonts w:ascii="Times New Roman" w:hAnsi="Times New Roman"/>
          <w:sz w:val="24"/>
          <w:szCs w:val="24"/>
        </w:rPr>
      </w:pPr>
      <w:r w:rsidRPr="002979F6">
        <w:rPr>
          <w:rFonts w:ascii="Times New Roman" w:hAnsi="Times New Roman"/>
          <w:sz w:val="24"/>
          <w:szCs w:val="24"/>
        </w:rPr>
        <w:t xml:space="preserve">Time </w:t>
      </w:r>
      <w:r>
        <w:rPr>
          <w:rFonts w:ascii="Times New Roman" w:hAnsi="Times New Roman"/>
          <w:sz w:val="24"/>
          <w:szCs w:val="24"/>
        </w:rPr>
        <w:t xml:space="preserve">has played only a supporting role in prior organization and management studies. Understanding temporality or the ‘uses of the past’ by managers, organisations and industries represents an important and very interesting dimension of our </w:t>
      </w:r>
      <w:r>
        <w:rPr>
          <w:rFonts w:ascii="Times New Roman" w:hAnsi="Times New Roman"/>
          <w:sz w:val="24"/>
          <w:szCs w:val="24"/>
        </w:rPr>
        <w:lastRenderedPageBreak/>
        <w:t>study. Previous management research and theory tended to understand history as ‘organisation’s history’ (Nelson and Winter, 1982) or histories of industries or populations of firms as ‘given’ (Hannan and Freeman, 1984). In contrast, the ‘uses of the past’ approach emphasizes the significance of interpretations of the past and their relationship to how organizational actors experience the present and set expectations for the future. Thus, it represents a novel lens from which to understand a range of phenomena related to organization and management (Mads, et al, 2016).</w:t>
      </w:r>
    </w:p>
    <w:p w:rsidR="00B110CC"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rPr>
        <w:t xml:space="preserve"> Time is a basic dimension of organizations and differences in views and assumptions about time shaping organisational culture (Schein, 1983) and norms of organisational behaviour (Doob, 1971). Temporal dimensions of organizations include temporal orientation (i.e. past, present and future), trade-offs related to work pace and awareness of time use (Schriber and Gutek, </w:t>
      </w:r>
      <w:r w:rsidRPr="005022F0">
        <w:rPr>
          <w:rFonts w:ascii="Times New Roman" w:hAnsi="Times New Roman"/>
          <w:sz w:val="24"/>
          <w:szCs w:val="24"/>
        </w:rPr>
        <w:t>1987)</w:t>
      </w:r>
      <w:r>
        <w:rPr>
          <w:rFonts w:ascii="Times New Roman" w:hAnsi="Times New Roman"/>
          <w:sz w:val="24"/>
          <w:szCs w:val="24"/>
        </w:rPr>
        <w:t>. A perception of time that considers time cycles adds temporal depth to organizational image (Schriber, 1985). Using the notion of ‘temporal imagination’, Bluedorn and Standfier (2006) argue that individuals and organizations interpret time and develop their own ‘timescapes’ (namely, practiced approaches to time), which in turn shapes their behaviour. Referring to Cervantes when he wrote ‘</w:t>
      </w:r>
      <w:r w:rsidRPr="006A17EB">
        <w:rPr>
          <w:rFonts w:ascii="Times New Roman" w:hAnsi="Times New Roman"/>
          <w:i/>
          <w:sz w:val="24"/>
          <w:szCs w:val="24"/>
        </w:rPr>
        <w:t>for all times are not the same’</w:t>
      </w:r>
      <w:r>
        <w:rPr>
          <w:rFonts w:ascii="Times New Roman" w:hAnsi="Times New Roman"/>
          <w:sz w:val="24"/>
          <w:szCs w:val="24"/>
        </w:rPr>
        <w:t xml:space="preserve"> (1615/1898: 270) nearly 400 years ago, Bluedorn and Standfier (2006) ask an important question: if time is socially constructed and it differs, how much does it differ? How can variability of interpretation of time explain variances in human and organizational behaviour? More recently, Slawinski and Bansal (2012) began to address these questions and reveal a multi-faceted view of time when they observed two distinct corporate responses to climate change grounded in two different temporal perspectives. Their theorizations about time, as well as the notions of vocabularies of motive offer a novel cross-disciplinary lens to shed new light on pension fund investment strategies. </w:t>
      </w:r>
    </w:p>
    <w:p w:rsidR="00B110CC" w:rsidRPr="000F1E00" w:rsidRDefault="00B110CC" w:rsidP="00B110CC">
      <w:pPr>
        <w:autoSpaceDE w:val="0"/>
        <w:autoSpaceDN w:val="0"/>
        <w:adjustRightInd w:val="0"/>
        <w:spacing w:after="0" w:line="480" w:lineRule="auto"/>
        <w:jc w:val="both"/>
        <w:rPr>
          <w:rFonts w:ascii="Times New Roman" w:hAnsi="Times New Roman"/>
          <w:b/>
          <w:sz w:val="24"/>
          <w:szCs w:val="24"/>
        </w:rPr>
      </w:pPr>
      <w:r w:rsidRPr="000F1E00">
        <w:rPr>
          <w:rFonts w:ascii="Times New Roman" w:hAnsi="Times New Roman"/>
          <w:b/>
          <w:sz w:val="24"/>
          <w:szCs w:val="24"/>
        </w:rPr>
        <w:lastRenderedPageBreak/>
        <w:t xml:space="preserve">Research Design and Methodology </w:t>
      </w:r>
    </w:p>
    <w:p w:rsidR="00B110CC" w:rsidRPr="00BD3504" w:rsidRDefault="00B110CC" w:rsidP="00B110CC">
      <w:pPr>
        <w:pStyle w:val="Subtitle"/>
        <w:spacing w:line="480" w:lineRule="auto"/>
        <w:ind w:firstLine="720"/>
        <w:jc w:val="both"/>
        <w:rPr>
          <w:b w:val="0"/>
          <w:bCs w:val="0"/>
        </w:rPr>
      </w:pPr>
      <w:r w:rsidRPr="00F80B30">
        <w:rPr>
          <w:b w:val="0"/>
        </w:rPr>
        <w:t>This paper has been written as part of a much larger qualitative study into UK pension funds’ investment practices and corporate engagement. This study was based on</w:t>
      </w:r>
      <w:r>
        <w:rPr>
          <w:b w:val="0"/>
        </w:rPr>
        <w:t xml:space="preserve"> 35 interviews with pension fund trustees, executives, investment officers and financial intermediaries, </w:t>
      </w:r>
      <w:r w:rsidRPr="00157058">
        <w:rPr>
          <w:b w:val="0"/>
          <w:bCs w:val="0"/>
        </w:rPr>
        <w:t xml:space="preserve">documentary analysis and </w:t>
      </w:r>
      <w:r>
        <w:rPr>
          <w:b w:val="0"/>
          <w:bCs w:val="0"/>
        </w:rPr>
        <w:t>observations</w:t>
      </w:r>
      <w:r w:rsidRPr="00157058">
        <w:rPr>
          <w:b w:val="0"/>
          <w:bCs w:val="0"/>
        </w:rPr>
        <w:t xml:space="preserve"> of </w:t>
      </w:r>
      <w:r>
        <w:rPr>
          <w:b w:val="0"/>
          <w:bCs w:val="0"/>
        </w:rPr>
        <w:t xml:space="preserve">four pension fund </w:t>
      </w:r>
      <w:r w:rsidRPr="00157058">
        <w:rPr>
          <w:b w:val="0"/>
          <w:bCs w:val="0"/>
        </w:rPr>
        <w:t xml:space="preserve">investment </w:t>
      </w:r>
      <w:r>
        <w:rPr>
          <w:b w:val="0"/>
          <w:bCs w:val="0"/>
        </w:rPr>
        <w:t xml:space="preserve">meetings. </w:t>
      </w:r>
      <w:r w:rsidRPr="00F80B30">
        <w:rPr>
          <w:b w:val="0"/>
        </w:rPr>
        <w:t xml:space="preserve">For this paper, of particular significance were the </w:t>
      </w:r>
      <w:r w:rsidRPr="00F80B30">
        <w:rPr>
          <w:b w:val="0"/>
          <w:bCs w:val="0"/>
        </w:rPr>
        <w:t>meanings and actions that 35</w:t>
      </w:r>
      <w:r>
        <w:rPr>
          <w:b w:val="0"/>
          <w:bCs w:val="0"/>
        </w:rPr>
        <w:t xml:space="preserve"> key decision-makers </w:t>
      </w:r>
      <w:r w:rsidRPr="00F80B30">
        <w:rPr>
          <w:b w:val="0"/>
          <w:bCs w:val="0"/>
        </w:rPr>
        <w:t>assigned to their investment management practice</w:t>
      </w:r>
      <w:r>
        <w:rPr>
          <w:b w:val="0"/>
          <w:bCs w:val="0"/>
        </w:rPr>
        <w:t>s</w:t>
      </w:r>
      <w:r w:rsidRPr="00F80B30">
        <w:rPr>
          <w:b w:val="0"/>
        </w:rPr>
        <w:t xml:space="preserve">. </w:t>
      </w:r>
    </w:p>
    <w:p w:rsidR="00B110CC" w:rsidRPr="000F1E00" w:rsidRDefault="00B110CC" w:rsidP="00B110CC">
      <w:pPr>
        <w:spacing w:line="480" w:lineRule="auto"/>
        <w:jc w:val="both"/>
        <w:rPr>
          <w:rFonts w:ascii="Times New Roman" w:hAnsi="Times New Roman"/>
          <w:b/>
          <w:sz w:val="24"/>
          <w:szCs w:val="24"/>
        </w:rPr>
      </w:pPr>
      <w:r w:rsidRPr="000F1E00">
        <w:rPr>
          <w:rFonts w:ascii="Times New Roman" w:hAnsi="Times New Roman"/>
          <w:b/>
          <w:bCs/>
          <w:sz w:val="24"/>
          <w:szCs w:val="24"/>
        </w:rPr>
        <w:t xml:space="preserve">Sampling </w:t>
      </w:r>
    </w:p>
    <w:p w:rsidR="00B110CC" w:rsidRPr="000F1E00" w:rsidRDefault="00B110CC" w:rsidP="00B110CC">
      <w:pPr>
        <w:spacing w:line="480" w:lineRule="auto"/>
        <w:ind w:firstLine="720"/>
        <w:jc w:val="both"/>
        <w:rPr>
          <w:rFonts w:ascii="Times New Roman" w:hAnsi="Times New Roman"/>
          <w:sz w:val="24"/>
          <w:szCs w:val="24"/>
        </w:rPr>
      </w:pPr>
      <w:r w:rsidRPr="000F1E00">
        <w:rPr>
          <w:rFonts w:ascii="Times New Roman" w:hAnsi="Times New Roman"/>
          <w:sz w:val="24"/>
          <w:szCs w:val="24"/>
        </w:rPr>
        <w:t xml:space="preserve">The UK pension fund industry is remarkably concentrated, with a relatively small proportion of big pension funds and a long ‘tail’ of </w:t>
      </w:r>
      <w:bookmarkStart w:id="0" w:name="_GoBack"/>
      <w:bookmarkEnd w:id="0"/>
      <w:r w:rsidRPr="000F1E00">
        <w:rPr>
          <w:rFonts w:ascii="Times New Roman" w:hAnsi="Times New Roman"/>
          <w:sz w:val="24"/>
          <w:szCs w:val="24"/>
        </w:rPr>
        <w:t xml:space="preserve">small schemes. There are only </w:t>
      </w:r>
      <w:r>
        <w:rPr>
          <w:rFonts w:ascii="Times New Roman" w:hAnsi="Times New Roman"/>
          <w:sz w:val="24"/>
          <w:szCs w:val="24"/>
        </w:rPr>
        <w:t>four</w:t>
      </w:r>
      <w:r w:rsidRPr="000F1E00">
        <w:rPr>
          <w:rFonts w:ascii="Times New Roman" w:hAnsi="Times New Roman"/>
          <w:sz w:val="24"/>
          <w:szCs w:val="24"/>
        </w:rPr>
        <w:t xml:space="preserve"> pension funds in the whole population with assets under management over £20 billion. We categorize pension funds with assets under management between £10 and £20 billion as ‘large’; funds between £5 and £10 billion as ‘medium’; and funds with assets under management between £2 and £5 billion as ‘small’ funds within the UK Top 100 listing. We used theoretical sampling (Shah and Corley, 2006) to identify the funds to study and whom to interview.</w:t>
      </w:r>
      <w:r w:rsidRPr="000F1E00">
        <w:t xml:space="preserve"> </w:t>
      </w:r>
      <w:r w:rsidRPr="000F1E00">
        <w:rPr>
          <w:rFonts w:ascii="Times New Roman" w:hAnsi="Times New Roman"/>
          <w:sz w:val="24"/>
          <w:szCs w:val="24"/>
        </w:rPr>
        <w:t xml:space="preserve">The literature on pension fund governance suggests that pension fund context, size of assets, maturity, internal investment management capabilities, liquidity requirements, as well as pension fund type (e.g., occupational or local authority fund), are </w:t>
      </w:r>
      <w:r>
        <w:rPr>
          <w:rFonts w:ascii="Times New Roman" w:hAnsi="Times New Roman"/>
          <w:sz w:val="24"/>
          <w:szCs w:val="24"/>
        </w:rPr>
        <w:t xml:space="preserve">all </w:t>
      </w:r>
      <w:r w:rsidRPr="000F1E00">
        <w:rPr>
          <w:rFonts w:ascii="Times New Roman" w:hAnsi="Times New Roman"/>
          <w:sz w:val="24"/>
          <w:szCs w:val="24"/>
        </w:rPr>
        <w:t xml:space="preserve">relevant when determining the approach to investment management, and ultimately the fund’s relationship with investee corporations. These pension fund characteristics served as initial sample criteria which informed the identification of the pension funds in two phases (detailed in Appendix A). </w:t>
      </w:r>
      <w:r>
        <w:rPr>
          <w:rFonts w:ascii="Times New Roman" w:hAnsi="Times New Roman"/>
          <w:sz w:val="24"/>
          <w:szCs w:val="24"/>
        </w:rPr>
        <w:t xml:space="preserve">Apart from these fund characteristics, we were also guided </w:t>
      </w:r>
      <w:r w:rsidRPr="000F1E00">
        <w:rPr>
          <w:rFonts w:ascii="Times New Roman" w:hAnsi="Times New Roman"/>
          <w:bCs/>
          <w:sz w:val="24"/>
          <w:szCs w:val="24"/>
        </w:rPr>
        <w:t xml:space="preserve">by the assumption that larger (and more internally resourced) pension funds would be better positioned to </w:t>
      </w:r>
      <w:r w:rsidRPr="000F1E00">
        <w:rPr>
          <w:rFonts w:ascii="Times New Roman" w:hAnsi="Times New Roman"/>
          <w:bCs/>
          <w:sz w:val="24"/>
          <w:szCs w:val="24"/>
        </w:rPr>
        <w:lastRenderedPageBreak/>
        <w:t>engage with portfolio companies (Faccio and Lasfer, 2000; Tilba and McNulty, 2013</w:t>
      </w:r>
      <w:r w:rsidRPr="000F1E00">
        <w:rPr>
          <w:rStyle w:val="CommentReference"/>
          <w:rFonts w:ascii="Times New Roman" w:hAnsi="Times New Roman"/>
          <w:sz w:val="24"/>
          <w:szCs w:val="24"/>
        </w:rPr>
        <w:t>)</w:t>
      </w:r>
      <w:r w:rsidRPr="000F1E00">
        <w:rPr>
          <w:rFonts w:ascii="Times New Roman" w:hAnsi="Times New Roman"/>
          <w:bCs/>
          <w:sz w:val="24"/>
          <w:szCs w:val="24"/>
        </w:rPr>
        <w:t xml:space="preserve">. We also considered that </w:t>
      </w:r>
      <w:r w:rsidRPr="000F1E00">
        <w:rPr>
          <w:rFonts w:ascii="Times New Roman" w:hAnsi="Times New Roman"/>
          <w:sz w:val="24"/>
          <w:szCs w:val="24"/>
        </w:rPr>
        <w:t>the dominant arrangement of pension fund investment management is delegation through investment experts (Clark, 2000; Tilba and McNulty, 2013). However, given the examples of collective engagement of smaller local authority funds through the Local Authority Pension Fund Forum (LAPFF),</w:t>
      </w:r>
      <w:r>
        <w:rPr>
          <w:rFonts w:ascii="Times New Roman" w:hAnsi="Times New Roman"/>
          <w:sz w:val="24"/>
          <w:szCs w:val="24"/>
        </w:rPr>
        <w:t xml:space="preserve"> we allowed</w:t>
      </w:r>
      <w:r w:rsidRPr="000F1E00">
        <w:rPr>
          <w:rFonts w:ascii="Times New Roman" w:hAnsi="Times New Roman"/>
          <w:sz w:val="24"/>
          <w:szCs w:val="24"/>
        </w:rPr>
        <w:t xml:space="preserve"> that medium and small size pension funds with delegated investment management might also be in a position to exert influence. </w:t>
      </w:r>
      <w:r>
        <w:rPr>
          <w:rFonts w:ascii="Times New Roman" w:hAnsi="Times New Roman"/>
          <w:sz w:val="24"/>
          <w:szCs w:val="24"/>
        </w:rPr>
        <w:t xml:space="preserve">As a result, our sample was diverse enough to represent all of these characteristics.  </w:t>
      </w:r>
    </w:p>
    <w:p w:rsidR="00B110CC" w:rsidRPr="000F1E00" w:rsidRDefault="00B110CC" w:rsidP="00B110CC">
      <w:pPr>
        <w:spacing w:line="480" w:lineRule="auto"/>
        <w:jc w:val="both"/>
        <w:rPr>
          <w:rFonts w:ascii="Times New Roman" w:hAnsi="Times New Roman"/>
          <w:b/>
          <w:sz w:val="24"/>
          <w:szCs w:val="24"/>
        </w:rPr>
      </w:pPr>
      <w:r w:rsidRPr="000F1E00">
        <w:rPr>
          <w:rFonts w:ascii="Times New Roman" w:hAnsi="Times New Roman"/>
          <w:b/>
          <w:sz w:val="24"/>
          <w:szCs w:val="24"/>
        </w:rPr>
        <w:t xml:space="preserve">Data Collection </w:t>
      </w:r>
    </w:p>
    <w:p w:rsidR="00B110CC" w:rsidRPr="000F1E00" w:rsidRDefault="00B110CC" w:rsidP="00B110CC">
      <w:pPr>
        <w:spacing w:line="480" w:lineRule="auto"/>
        <w:ind w:firstLine="720"/>
        <w:jc w:val="both"/>
        <w:rPr>
          <w:rFonts w:ascii="Times New Roman" w:hAnsi="Times New Roman"/>
          <w:sz w:val="24"/>
          <w:szCs w:val="24"/>
        </w:rPr>
      </w:pPr>
      <w:r w:rsidRPr="000F1E00">
        <w:rPr>
          <w:rFonts w:ascii="Times New Roman" w:hAnsi="Times New Roman"/>
          <w:bCs/>
          <w:sz w:val="24"/>
          <w:szCs w:val="24"/>
        </w:rPr>
        <w:t>Data collection and analysis occurred in two stages. The first stage was completed in 2010 and resulted in</w:t>
      </w:r>
      <w:r w:rsidRPr="000F1E00">
        <w:rPr>
          <w:rFonts w:ascii="Times New Roman" w:hAnsi="Times New Roman"/>
          <w:b/>
          <w:bCs/>
          <w:sz w:val="24"/>
          <w:szCs w:val="24"/>
        </w:rPr>
        <w:t xml:space="preserve"> </w:t>
      </w:r>
      <w:r w:rsidRPr="000F1E00">
        <w:rPr>
          <w:rFonts w:ascii="Times New Roman" w:hAnsi="Times New Roman"/>
          <w:sz w:val="24"/>
          <w:szCs w:val="24"/>
        </w:rPr>
        <w:t>35 in-de</w:t>
      </w:r>
      <w:r>
        <w:rPr>
          <w:rFonts w:ascii="Times New Roman" w:hAnsi="Times New Roman"/>
          <w:sz w:val="24"/>
          <w:szCs w:val="24"/>
        </w:rPr>
        <w:t xml:space="preserve">pth, semi-structured interviews. </w:t>
      </w:r>
      <w:r w:rsidRPr="000F1E00">
        <w:rPr>
          <w:rFonts w:ascii="Times New Roman" w:hAnsi="Times New Roman"/>
          <w:sz w:val="24"/>
          <w:szCs w:val="24"/>
        </w:rPr>
        <w:t>The interviewees were asked about (i) their role and main responsibilities within the organisation; (ii) their reflection on the key issues/drivers within broad pension fund context and their particular organisation, particularly relating to shaping pension fund investment and their direct responsibilities; (iii) their interest in relation to being influencin</w:t>
      </w:r>
      <w:r>
        <w:rPr>
          <w:rFonts w:ascii="Times New Roman" w:hAnsi="Times New Roman"/>
          <w:sz w:val="24"/>
          <w:szCs w:val="24"/>
        </w:rPr>
        <w:t>g</w:t>
      </w:r>
      <w:r w:rsidRPr="000F1E00">
        <w:rPr>
          <w:rFonts w:ascii="Times New Roman" w:hAnsi="Times New Roman"/>
          <w:sz w:val="24"/>
          <w:szCs w:val="24"/>
        </w:rPr>
        <w:t xml:space="preserve">/engaged owner; and (iv) their perception of ‘good’ and ‘poor’ governance. All interviews were digitally recorded and transcribed, resulting in approximately 42 hours of recordings and 548 pages of transcriptions. Appendix B provides the list of respondents. </w:t>
      </w:r>
    </w:p>
    <w:p w:rsidR="00B110CC" w:rsidRPr="000F1E00" w:rsidRDefault="00B110CC" w:rsidP="00B110CC">
      <w:pPr>
        <w:spacing w:line="480" w:lineRule="auto"/>
        <w:ind w:firstLine="720"/>
        <w:jc w:val="both"/>
        <w:rPr>
          <w:rFonts w:ascii="Times New Roman" w:hAnsi="Times New Roman"/>
          <w:bCs/>
          <w:sz w:val="24"/>
          <w:szCs w:val="24"/>
        </w:rPr>
      </w:pPr>
      <w:r w:rsidRPr="000F1E00">
        <w:rPr>
          <w:rFonts w:ascii="Times New Roman" w:hAnsi="Times New Roman"/>
          <w:sz w:val="24"/>
          <w:szCs w:val="24"/>
        </w:rPr>
        <w:t xml:space="preserve">These interviews were </w:t>
      </w:r>
      <w:r w:rsidR="002643E5">
        <w:rPr>
          <w:rFonts w:ascii="Times New Roman" w:hAnsi="Times New Roman"/>
          <w:sz w:val="24"/>
          <w:szCs w:val="24"/>
        </w:rPr>
        <w:t>supplemented</w:t>
      </w:r>
      <w:r w:rsidRPr="000F1E00">
        <w:rPr>
          <w:rFonts w:ascii="Times New Roman" w:hAnsi="Times New Roman"/>
          <w:sz w:val="24"/>
          <w:szCs w:val="24"/>
        </w:rPr>
        <w:t xml:space="preserve"> </w:t>
      </w:r>
      <w:r w:rsidRPr="000F1E00">
        <w:rPr>
          <w:rFonts w:ascii="Times New Roman" w:hAnsi="Times New Roman"/>
          <w:bCs/>
          <w:sz w:val="24"/>
          <w:szCs w:val="24"/>
        </w:rPr>
        <w:t xml:space="preserve">with </w:t>
      </w:r>
      <w:r w:rsidRPr="000F1E00">
        <w:rPr>
          <w:rFonts w:ascii="Times New Roman" w:hAnsi="Times New Roman"/>
          <w:sz w:val="24"/>
          <w:szCs w:val="24"/>
        </w:rPr>
        <w:t>a series of meetings and round-table discussions between June 2013 and February 2014 with pension</w:t>
      </w:r>
      <w:r>
        <w:rPr>
          <w:rFonts w:ascii="Times New Roman" w:hAnsi="Times New Roman"/>
          <w:sz w:val="24"/>
          <w:szCs w:val="24"/>
        </w:rPr>
        <w:t xml:space="preserve"> fund</w:t>
      </w:r>
      <w:r w:rsidRPr="000F1E00">
        <w:rPr>
          <w:rFonts w:ascii="Times New Roman" w:hAnsi="Times New Roman"/>
          <w:sz w:val="24"/>
          <w:szCs w:val="24"/>
        </w:rPr>
        <w:t xml:space="preserve">s, legal, investment and policy experts, as part of the Law Commission’s Consultation on Fiduciary Duties of Investment Intermediaries to which one of the authors contributed extensively as a member of the Advisory Board. We had a unique opportunity to </w:t>
      </w:r>
      <w:r w:rsidRPr="000F1E00">
        <w:rPr>
          <w:rFonts w:ascii="Times New Roman" w:hAnsi="Times New Roman"/>
          <w:sz w:val="24"/>
          <w:szCs w:val="24"/>
        </w:rPr>
        <w:lastRenderedPageBreak/>
        <w:t>return to the initial</w:t>
      </w:r>
      <w:r w:rsidR="002643E5">
        <w:rPr>
          <w:rFonts w:ascii="Times New Roman" w:hAnsi="Times New Roman"/>
          <w:sz w:val="24"/>
          <w:szCs w:val="24"/>
        </w:rPr>
        <w:t xml:space="preserve"> key</w:t>
      </w:r>
      <w:r w:rsidRPr="000F1E00">
        <w:rPr>
          <w:rFonts w:ascii="Times New Roman" w:hAnsi="Times New Roman"/>
          <w:sz w:val="24"/>
          <w:szCs w:val="24"/>
        </w:rPr>
        <w:t xml:space="preserve"> interview questions and informally ‘validate’ the interviewees’ </w:t>
      </w:r>
      <w:r w:rsidR="002643E5">
        <w:rPr>
          <w:rFonts w:ascii="Times New Roman" w:hAnsi="Times New Roman"/>
          <w:sz w:val="24"/>
          <w:szCs w:val="24"/>
        </w:rPr>
        <w:t xml:space="preserve">insights </w:t>
      </w:r>
      <w:r w:rsidRPr="000F1E00">
        <w:rPr>
          <w:rFonts w:ascii="Times New Roman" w:hAnsi="Times New Roman"/>
          <w:sz w:val="24"/>
          <w:szCs w:val="24"/>
        </w:rPr>
        <w:t>with pension practitioners</w:t>
      </w:r>
      <w:r w:rsidRPr="000F1E00">
        <w:rPr>
          <w:b/>
        </w:rPr>
        <w:t xml:space="preserve">. </w:t>
      </w:r>
      <w:r w:rsidRPr="000F1E00">
        <w:rPr>
          <w:rFonts w:ascii="Times New Roman" w:hAnsi="Times New Roman"/>
          <w:sz w:val="24"/>
          <w:szCs w:val="24"/>
        </w:rPr>
        <w:t>The series of meetings took place primarily in London and were organized by the UK Law Commission as part of the Consultation</w:t>
      </w:r>
      <w:r>
        <w:rPr>
          <w:rFonts w:ascii="Times New Roman" w:hAnsi="Times New Roman"/>
          <w:sz w:val="24"/>
          <w:szCs w:val="24"/>
        </w:rPr>
        <w:t>.</w:t>
      </w:r>
      <w:r w:rsidRPr="000F1E00">
        <w:rPr>
          <w:rStyle w:val="FootnoteReference"/>
          <w:rFonts w:ascii="Times New Roman" w:hAnsi="Times New Roman"/>
          <w:sz w:val="24"/>
          <w:szCs w:val="24"/>
        </w:rPr>
        <w:footnoteReference w:id="1"/>
      </w:r>
      <w:r w:rsidRPr="000F1E00">
        <w:rPr>
          <w:rFonts w:ascii="Times New Roman" w:hAnsi="Times New Roman"/>
          <w:sz w:val="24"/>
          <w:szCs w:val="24"/>
        </w:rPr>
        <w:t xml:space="preserve">  </w:t>
      </w:r>
    </w:p>
    <w:p w:rsidR="00B110CC" w:rsidRPr="00697F27" w:rsidRDefault="00B110CC" w:rsidP="00B110CC">
      <w:pPr>
        <w:pStyle w:val="BodyTextIndent"/>
        <w:tabs>
          <w:tab w:val="left" w:pos="540"/>
        </w:tabs>
        <w:spacing w:line="480" w:lineRule="auto"/>
        <w:ind w:left="0"/>
        <w:jc w:val="both"/>
        <w:rPr>
          <w:rFonts w:ascii="Times New Roman" w:hAnsi="Times New Roman"/>
          <w:b/>
          <w:sz w:val="24"/>
          <w:szCs w:val="24"/>
        </w:rPr>
      </w:pPr>
      <w:r w:rsidRPr="00697F27">
        <w:rPr>
          <w:rFonts w:ascii="Times New Roman" w:hAnsi="Times New Roman"/>
          <w:b/>
          <w:sz w:val="24"/>
          <w:szCs w:val="24"/>
        </w:rPr>
        <w:t xml:space="preserve">Data Analysis </w:t>
      </w:r>
    </w:p>
    <w:p w:rsidR="00B110CC" w:rsidRPr="000F1E00" w:rsidRDefault="00B110CC" w:rsidP="00B110CC">
      <w:pPr>
        <w:spacing w:line="480" w:lineRule="auto"/>
        <w:ind w:firstLine="709"/>
        <w:jc w:val="both"/>
        <w:rPr>
          <w:rFonts w:ascii="Times New Roman" w:hAnsi="Times New Roman"/>
          <w:b/>
          <w:bCs/>
          <w:sz w:val="24"/>
          <w:szCs w:val="24"/>
        </w:rPr>
      </w:pPr>
      <w:r w:rsidRPr="000F1E00">
        <w:rPr>
          <w:rFonts w:ascii="Times New Roman" w:hAnsi="Times New Roman"/>
          <w:bCs/>
          <w:sz w:val="24"/>
          <w:szCs w:val="24"/>
        </w:rPr>
        <w:t>We used</w:t>
      </w:r>
      <w:r>
        <w:rPr>
          <w:rFonts w:ascii="Times New Roman" w:hAnsi="Times New Roman"/>
          <w:bCs/>
          <w:sz w:val="24"/>
          <w:szCs w:val="24"/>
        </w:rPr>
        <w:t xml:space="preserve"> a grounded theory approach (Glasser and Strauss, 1960) where we iteratively aimed to build theory by looking into how meanings and</w:t>
      </w:r>
      <w:r w:rsidRPr="000F1E00">
        <w:rPr>
          <w:rFonts w:ascii="Times New Roman" w:hAnsi="Times New Roman"/>
          <w:bCs/>
          <w:sz w:val="24"/>
          <w:szCs w:val="24"/>
        </w:rPr>
        <w:t xml:space="preserve"> concepts are</w:t>
      </w:r>
      <w:r>
        <w:rPr>
          <w:rFonts w:ascii="Times New Roman" w:hAnsi="Times New Roman"/>
          <w:bCs/>
          <w:sz w:val="24"/>
          <w:szCs w:val="24"/>
        </w:rPr>
        <w:t xml:space="preserve"> constructed</w:t>
      </w:r>
      <w:r w:rsidRPr="000F1E00">
        <w:rPr>
          <w:rFonts w:ascii="Times New Roman" w:hAnsi="Times New Roman"/>
          <w:bCs/>
          <w:sz w:val="24"/>
          <w:szCs w:val="24"/>
        </w:rPr>
        <w:t xml:space="preserve">.  </w:t>
      </w:r>
      <w:r>
        <w:rPr>
          <w:rFonts w:ascii="Times New Roman" w:hAnsi="Times New Roman"/>
          <w:sz w:val="24"/>
          <w:szCs w:val="24"/>
        </w:rPr>
        <w:t>Grounded in</w:t>
      </w:r>
      <w:r w:rsidRPr="000F1E00">
        <w:rPr>
          <w:rFonts w:ascii="Times New Roman" w:hAnsi="Times New Roman"/>
          <w:sz w:val="24"/>
          <w:szCs w:val="24"/>
        </w:rPr>
        <w:t xml:space="preserve"> Mills’ (1940) logic, w</w:t>
      </w:r>
      <w:r>
        <w:rPr>
          <w:rFonts w:ascii="Times New Roman" w:hAnsi="Times New Roman"/>
          <w:sz w:val="24"/>
          <w:szCs w:val="24"/>
        </w:rPr>
        <w:t>e aimed to understand ‘</w:t>
      </w:r>
      <w:r w:rsidRPr="000F1E00">
        <w:rPr>
          <w:rFonts w:ascii="Times New Roman" w:hAnsi="Times New Roman"/>
          <w:sz w:val="24"/>
          <w:szCs w:val="24"/>
        </w:rPr>
        <w:t>vocabularies of motives’ of pensions practitioners</w:t>
      </w:r>
      <w:r>
        <w:rPr>
          <w:rFonts w:ascii="Times New Roman" w:hAnsi="Times New Roman"/>
          <w:sz w:val="24"/>
          <w:szCs w:val="24"/>
        </w:rPr>
        <w:t xml:space="preserve"> as situated in time</w:t>
      </w:r>
      <w:r w:rsidRPr="000F1E00">
        <w:rPr>
          <w:rFonts w:ascii="Times New Roman" w:hAnsi="Times New Roman"/>
          <w:sz w:val="24"/>
          <w:szCs w:val="24"/>
        </w:rPr>
        <w:t>. Although</w:t>
      </w:r>
      <w:r>
        <w:rPr>
          <w:rFonts w:ascii="Times New Roman" w:hAnsi="Times New Roman"/>
          <w:sz w:val="24"/>
          <w:szCs w:val="24"/>
        </w:rPr>
        <w:t xml:space="preserve"> we might not know </w:t>
      </w:r>
      <w:r w:rsidRPr="000F1E00">
        <w:rPr>
          <w:rFonts w:ascii="Times New Roman" w:hAnsi="Times New Roman"/>
          <w:sz w:val="24"/>
          <w:szCs w:val="24"/>
        </w:rPr>
        <w:t>the true mot</w:t>
      </w:r>
      <w:r>
        <w:rPr>
          <w:rFonts w:ascii="Times New Roman" w:hAnsi="Times New Roman"/>
          <w:sz w:val="24"/>
          <w:szCs w:val="24"/>
        </w:rPr>
        <w:t>ivations of the respondents</w:t>
      </w:r>
      <w:r w:rsidRPr="000F1E00">
        <w:rPr>
          <w:rFonts w:ascii="Times New Roman" w:hAnsi="Times New Roman"/>
          <w:sz w:val="24"/>
          <w:szCs w:val="24"/>
        </w:rPr>
        <w:t xml:space="preserve">, we could learn more about interviewees’ subjective perceptions of their internal world and detect clues </w:t>
      </w:r>
      <w:r w:rsidRPr="000F1E00">
        <w:rPr>
          <w:rFonts w:ascii="Times New Roman" w:hAnsi="Times New Roman"/>
          <w:bCs/>
          <w:sz w:val="24"/>
          <w:szCs w:val="24"/>
        </w:rPr>
        <w:t>into the way they think about how their</w:t>
      </w:r>
      <w:r w:rsidRPr="000F1E00">
        <w:rPr>
          <w:rFonts w:ascii="Times New Roman" w:hAnsi="Times New Roman"/>
          <w:b/>
          <w:bCs/>
          <w:sz w:val="24"/>
          <w:szCs w:val="24"/>
        </w:rPr>
        <w:t xml:space="preserve"> </w:t>
      </w:r>
      <w:r w:rsidRPr="000F1E00">
        <w:rPr>
          <w:rFonts w:ascii="Times New Roman" w:hAnsi="Times New Roman"/>
          <w:bCs/>
          <w:sz w:val="24"/>
          <w:szCs w:val="24"/>
        </w:rPr>
        <w:t>world works</w:t>
      </w:r>
      <w:r w:rsidRPr="000F1E00">
        <w:rPr>
          <w:rFonts w:ascii="Times New Roman" w:hAnsi="Times New Roman"/>
          <w:sz w:val="24"/>
          <w:szCs w:val="24"/>
        </w:rPr>
        <w:t>. We take a sociological view here that it is the internal subjective reality that</w:t>
      </w:r>
      <w:r>
        <w:rPr>
          <w:rFonts w:ascii="Times New Roman" w:hAnsi="Times New Roman"/>
          <w:sz w:val="24"/>
          <w:szCs w:val="24"/>
        </w:rPr>
        <w:t xml:space="preserve"> can determine</w:t>
      </w:r>
      <w:r w:rsidRPr="000F1E00">
        <w:rPr>
          <w:rFonts w:ascii="Times New Roman" w:hAnsi="Times New Roman"/>
          <w:sz w:val="24"/>
          <w:szCs w:val="24"/>
        </w:rPr>
        <w:t xml:space="preserve"> how interviewees act in their external world. As the intent was to capture the rhetoric around investment, we </w:t>
      </w:r>
      <w:r w:rsidR="008A5F28">
        <w:rPr>
          <w:rFonts w:ascii="Times New Roman" w:hAnsi="Times New Roman"/>
          <w:sz w:val="24"/>
          <w:szCs w:val="24"/>
        </w:rPr>
        <w:t xml:space="preserve">interviewed </w:t>
      </w:r>
      <w:r w:rsidRPr="000F1E00">
        <w:rPr>
          <w:rFonts w:ascii="Times New Roman" w:hAnsi="Times New Roman"/>
          <w:sz w:val="24"/>
          <w:szCs w:val="24"/>
        </w:rPr>
        <w:t xml:space="preserve">respondents who were involved in pension fund management and making strategic investment decisions. </w:t>
      </w:r>
    </w:p>
    <w:p w:rsidR="00B110CC" w:rsidRPr="000F1E00" w:rsidRDefault="00B110CC" w:rsidP="00B110CC">
      <w:pPr>
        <w:pStyle w:val="BodyTextIndent"/>
        <w:tabs>
          <w:tab w:val="left" w:pos="540"/>
        </w:tabs>
        <w:spacing w:line="480" w:lineRule="auto"/>
        <w:ind w:left="0"/>
        <w:jc w:val="both"/>
        <w:rPr>
          <w:rFonts w:ascii="Times New Roman" w:hAnsi="Times New Roman"/>
          <w:sz w:val="24"/>
          <w:szCs w:val="24"/>
        </w:rPr>
      </w:pPr>
      <w:r w:rsidRPr="000F1E00">
        <w:rPr>
          <w:rFonts w:ascii="Times New Roman" w:hAnsi="Times New Roman"/>
          <w:sz w:val="24"/>
          <w:szCs w:val="24"/>
        </w:rPr>
        <w:tab/>
        <w:t xml:space="preserve">During the first stage of data analysis (completed in 2010), a distinct and novel theme emerged: all interviewees referred to a number of factors such as their organisational roles and changing context, which they considered to have shaped their approach to investment strategy. This prompted a second round of data analysis between June 2013 and February 2014. </w:t>
      </w:r>
      <w:r>
        <w:rPr>
          <w:rFonts w:ascii="Times New Roman" w:hAnsi="Times New Roman"/>
          <w:sz w:val="24"/>
          <w:szCs w:val="24"/>
        </w:rPr>
        <w:t>As part of the peer review process, we revisited the data again to take a more nuanced view of time. Data analysis</w:t>
      </w:r>
      <w:r w:rsidRPr="000F1E00">
        <w:rPr>
          <w:rFonts w:ascii="Times New Roman" w:hAnsi="Times New Roman"/>
          <w:sz w:val="24"/>
          <w:szCs w:val="24"/>
        </w:rPr>
        <w:t xml:space="preserve"> was inductive and </w:t>
      </w:r>
      <w:r w:rsidRPr="000F1E00">
        <w:rPr>
          <w:rFonts w:ascii="Times New Roman" w:hAnsi="Times New Roman"/>
          <w:sz w:val="24"/>
          <w:szCs w:val="24"/>
        </w:rPr>
        <w:lastRenderedPageBreak/>
        <w:t xml:space="preserve">interpretative, using content analysis to analyse the interview transcripts. To </w:t>
      </w:r>
      <w:r>
        <w:rPr>
          <w:rFonts w:ascii="Times New Roman" w:hAnsi="Times New Roman"/>
          <w:sz w:val="24"/>
          <w:szCs w:val="24"/>
        </w:rPr>
        <w:t>warrant the robustness of this</w:t>
      </w:r>
      <w:r w:rsidRPr="000F1E00">
        <w:rPr>
          <w:rFonts w:ascii="Times New Roman" w:hAnsi="Times New Roman"/>
          <w:sz w:val="24"/>
          <w:szCs w:val="24"/>
        </w:rPr>
        <w:t xml:space="preserve"> analysis, we used the techniques similar to those used by Eisenhardt, (1989), Dacin, et. al. (2010); Creed, et. al. (2010) and Tilba and McNulty (2013), which consisted of four steps. </w:t>
      </w:r>
    </w:p>
    <w:p w:rsidR="00B110CC" w:rsidRPr="000F1E00" w:rsidRDefault="00B110CC" w:rsidP="00B110CC">
      <w:pPr>
        <w:pStyle w:val="NormalWeb"/>
        <w:spacing w:before="0" w:beforeAutospacing="0" w:after="0" w:afterAutospacing="0" w:line="480" w:lineRule="auto"/>
        <w:ind w:firstLine="720"/>
        <w:jc w:val="both"/>
      </w:pPr>
      <w:r w:rsidRPr="000F1E00">
        <w:t xml:space="preserve">In the </w:t>
      </w:r>
      <w:r w:rsidRPr="000F1E00">
        <w:rPr>
          <w:i/>
          <w:iCs/>
        </w:rPr>
        <w:t>first step</w:t>
      </w:r>
      <w:r w:rsidRPr="000F1E00">
        <w:t xml:space="preserve"> of the analysis, interview transcripts were entered in NVivo as text files and coded on the basis of ‘in vivo’ words. These comprised descriptions offered by interviewees, all revolving around pension fund investment practices and </w:t>
      </w:r>
      <w:r>
        <w:t>examples of engagement and disengagement</w:t>
      </w:r>
      <w:r w:rsidRPr="000F1E00">
        <w:t>. Distinct themes relating to organisational roles and changing context were identified</w:t>
      </w:r>
      <w:r>
        <w:t xml:space="preserve"> and also grouped based on the engaged or disengaged stance</w:t>
      </w:r>
      <w:r w:rsidRPr="000F1E00">
        <w:t xml:space="preserve">, forming the first-order codes.  </w:t>
      </w:r>
    </w:p>
    <w:p w:rsidR="00B110CC" w:rsidRPr="000F1E00" w:rsidRDefault="00B110CC" w:rsidP="00B110CC">
      <w:pPr>
        <w:pStyle w:val="Caption"/>
        <w:spacing w:line="480" w:lineRule="auto"/>
        <w:jc w:val="both"/>
        <w:rPr>
          <w:b w:val="0"/>
          <w:bCs w:val="0"/>
          <w:sz w:val="24"/>
          <w:szCs w:val="24"/>
        </w:rPr>
      </w:pPr>
      <w:r w:rsidRPr="000F1E00">
        <w:rPr>
          <w:b w:val="0"/>
          <w:bCs w:val="0"/>
          <w:sz w:val="24"/>
          <w:szCs w:val="24"/>
        </w:rPr>
        <w:tab/>
        <w:t xml:space="preserve">In the </w:t>
      </w:r>
      <w:r w:rsidRPr="000F1E00">
        <w:rPr>
          <w:b w:val="0"/>
          <w:bCs w:val="0"/>
          <w:i/>
          <w:iCs/>
          <w:sz w:val="24"/>
          <w:szCs w:val="24"/>
        </w:rPr>
        <w:t>second step,</w:t>
      </w:r>
      <w:r w:rsidRPr="000F1E00">
        <w:rPr>
          <w:b w:val="0"/>
          <w:bCs w:val="0"/>
          <w:sz w:val="24"/>
          <w:szCs w:val="24"/>
        </w:rPr>
        <w:t xml:space="preserve"> second-order codes were identified. For example, comments on the first order code such as ‘organisational roles’ could be distinguished into ‘tree nodes’ with statements about fiduciary responsibilities of trustees and their expertise. Trustees’ statements about contextual factors were</w:t>
      </w:r>
      <w:r w:rsidRPr="000F1E00">
        <w:rPr>
          <w:b w:val="0"/>
          <w:sz w:val="24"/>
          <w:szCs w:val="24"/>
        </w:rPr>
        <w:t xml:space="preserve"> grouped into nodes such as ‘economic recession and unstable financial markets’, ‘increased employer involvement’, ‘increased human longevity’ and ‘progressing pension fund maturity’.</w:t>
      </w:r>
      <w:r w:rsidRPr="000F1E00">
        <w:t xml:space="preserve"> </w:t>
      </w:r>
      <w:r w:rsidRPr="000F1E00">
        <w:rPr>
          <w:b w:val="0"/>
          <w:bCs w:val="0"/>
          <w:sz w:val="24"/>
          <w:szCs w:val="24"/>
        </w:rPr>
        <w:t xml:space="preserve"> The second-order codes were then refined through triangulation of interviews, with the notes taken during round-table discussions during the consultation (Lincoln and Guba, 1985). </w:t>
      </w:r>
      <w:r w:rsidRPr="000F1E00">
        <w:rPr>
          <w:b w:val="0"/>
          <w:sz w:val="24"/>
          <w:szCs w:val="24"/>
        </w:rPr>
        <w:t>This was a recursive rather than a linear process, with analysis moving iteratively between the first- and second-order codes, and patterns in the data emerging into conceptual themes (Eisenhardt, 1989; Dacin, et. al., 2010).</w:t>
      </w:r>
      <w:r w:rsidRPr="000F1E00">
        <w:rPr>
          <w:b w:val="0"/>
        </w:rPr>
        <w:t xml:space="preserve"> </w:t>
      </w:r>
      <w:r>
        <w:rPr>
          <w:b w:val="0"/>
          <w:sz w:val="24"/>
          <w:szCs w:val="24"/>
        </w:rPr>
        <w:t xml:space="preserve">This data was then revisited with a more nuanced view of time. For example, the node ‘changing context’ was further grouped into two distinct temporal perspectives associated with ‘engaged’ and ‘disengaged’ examples.  </w:t>
      </w:r>
      <w:r w:rsidRPr="006949D4">
        <w:rPr>
          <w:b w:val="0"/>
          <w:sz w:val="24"/>
          <w:szCs w:val="24"/>
        </w:rPr>
        <w:t xml:space="preserve"> </w:t>
      </w:r>
    </w:p>
    <w:p w:rsidR="00B110CC" w:rsidRDefault="00B110CC" w:rsidP="00B110CC">
      <w:pPr>
        <w:pStyle w:val="NormalWeb"/>
        <w:spacing w:before="0" w:beforeAutospacing="0" w:after="0" w:afterAutospacing="0" w:line="480" w:lineRule="auto"/>
        <w:ind w:firstLine="720"/>
        <w:jc w:val="both"/>
      </w:pPr>
      <w:r w:rsidRPr="000F1E00">
        <w:lastRenderedPageBreak/>
        <w:t xml:space="preserve">In the </w:t>
      </w:r>
      <w:r w:rsidRPr="000F1E00">
        <w:rPr>
          <w:i/>
          <w:iCs/>
        </w:rPr>
        <w:t>third step</w:t>
      </w:r>
      <w:r w:rsidRPr="000F1E00">
        <w:t xml:space="preserve">, the emerging conceptual themes were organized into the overarching themes that inform our main findings and theoretical reflections. To ensure the credibility of our analysis (Shah and Corley, 2006), throughout the process the authors discussed coding, cross-referencing and emerging themes. NVivo also allowed the interview content to be analysed more systematically. This data analysis enabled us to develop two broad </w:t>
      </w:r>
      <w:r>
        <w:t xml:space="preserve">vocabularies </w:t>
      </w:r>
      <w:r w:rsidRPr="000F1E00">
        <w:t xml:space="preserve">of </w:t>
      </w:r>
      <w:r>
        <w:t>motive</w:t>
      </w:r>
      <w:r w:rsidRPr="000F1E00">
        <w:t>s that pension fund trustees and managers use to explain their own investment practice</w:t>
      </w:r>
      <w:r>
        <w:t xml:space="preserve">, alongside temporal perspectives. </w:t>
      </w:r>
      <w:r w:rsidRPr="004C780B">
        <w:t>We term these</w:t>
      </w:r>
      <w:r>
        <w:t xml:space="preserve"> </w:t>
      </w:r>
      <w:r w:rsidRPr="004C780B">
        <w:t>as ‘engaged’ and ‘disengaged’ vocabularies and</w:t>
      </w:r>
      <w:r>
        <w:t xml:space="preserve"> map them as examples A and B illustrated in Figure 1.  </w:t>
      </w:r>
    </w:p>
    <w:p w:rsidR="005F7444" w:rsidRPr="00903244" w:rsidRDefault="005F7444" w:rsidP="008A5F28">
      <w:pPr>
        <w:pStyle w:val="NormalWeb"/>
        <w:spacing w:before="0" w:beforeAutospacing="0" w:after="0" w:afterAutospacing="0" w:line="480" w:lineRule="auto"/>
        <w:jc w:val="both"/>
      </w:pPr>
    </w:p>
    <w:p w:rsidR="00B110CC" w:rsidRPr="008B5E81" w:rsidRDefault="00B110CC" w:rsidP="00B110CC">
      <w:pPr>
        <w:rPr>
          <w:rFonts w:ascii="Times New Roman" w:hAnsi="Times New Roman"/>
          <w:b/>
          <w:sz w:val="24"/>
          <w:szCs w:val="24"/>
        </w:rPr>
      </w:pPr>
      <w:r w:rsidRPr="008B5E81">
        <w:rPr>
          <w:rFonts w:ascii="Times New Roman" w:hAnsi="Times New Roman"/>
          <w:b/>
          <w:sz w:val="24"/>
          <w:szCs w:val="24"/>
        </w:rPr>
        <w:t xml:space="preserve">Research Findings </w:t>
      </w:r>
    </w:p>
    <w:p w:rsidR="00B110CC" w:rsidRDefault="00FB23FC" w:rsidP="00B110CC">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3685540</wp:posOffset>
                </wp:positionH>
                <wp:positionV relativeFrom="paragraph">
                  <wp:posOffset>1831975</wp:posOffset>
                </wp:positionV>
                <wp:extent cx="701675" cy="2540"/>
                <wp:effectExtent l="0" t="76200" r="0" b="939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2540"/>
                        </a:xfrm>
                        <a:prstGeom prst="line">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46CE40BA"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144.25pt" to="345.45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V3+wEAAOEDAAAOAAAAZHJzL2Uyb0RvYy54bWysU8tu2zAQvBfoPxC815KNOmkEyznYTS9p&#10;a8DpB2xISiLKF7isZf99l5TtJO2tqA7Ech/Dnd3R6v5oDTuoiNq7ls9nNWfKCS+161v+4+nhwyfO&#10;MIGTYLxTLT8p5Pfr9+9WY2jUwg/eSBUZgThsxtDyIaXQVBWKQVnAmQ/KUbDz0UKia+wrGWEkdGuq&#10;RV3fVKOPMkQvFCJ5t1OQrwt+1ymRvncdqsRMy6m3VM5Yzud8VusVNH2EMGhxbgP+oQsL2tGjV6gt&#10;JGC/ov4LymoRPfouzYS3le86LVThQGzm9R9s9gMEVbjQcDBcx4T/D1Z8O+wi05J2t+DMgaUd7VME&#10;3Q+JbbxzNEEfGQVpUmPAhgo2bhczV3F0+/DoxU+kWPUmmC8YprRjF21OJ7LsWCZ/uk5eHRMT5Lyt&#10;5ze3S84EhRbLj2UvFTSX0hAxfVHesmy03GiXxwINHB4x5cehuaRkt/MP2piyWuPY2PK75SKDAwms&#10;M5DItIEoo+s5A9OTckWKBRG90TJXZxw84cZEdgASD2lO+vGJGubMACYKEIvyTYUDSDWl3i3JPSkL&#10;IX31cnLP64uf2p2gS+dvnsw0toDDVCLJmoASaPPZSZZOgTYEMfoxBwjJuNyqKlo/T+Nl+tl69vK0&#10;i5cVkY5K2VnzWaiv72S//jPXvwEAAP//AwBQSwMEFAAGAAgAAAAhAKKwknThAAAACwEAAA8AAABk&#10;cnMvZG93bnJldi54bWxMj8FOwzAMhu9IvENkJG4sYWKlLU0nQEKgHdDokLi6jZdWNEnVZF339gQu&#10;42j70+/vL9az6dlEo++clXC7EMDINk51Vkv43L3cpMB8QKuwd5YknMjDury8KDBX7mg/aKqCZjHE&#10;+hwltCEMOee+acmgX7iBbLzt3WgwxHHUXI14jOGm50shEm6ws/FDiwM9t9R8VwcjIXnD96dqr+vN&#10;pE/3268m2W1fEymvr+bHB2CB5nCG4Vc/qkMZnWp3sMqzXsIqFXcRlbBM0xWwSCSZyIDVf5sMeFnw&#10;/x3KHwAAAP//AwBQSwECLQAUAAYACAAAACEAtoM4kv4AAADhAQAAEwAAAAAAAAAAAAAAAAAAAAAA&#10;W0NvbnRlbnRfVHlwZXNdLnhtbFBLAQItABQABgAIAAAAIQA4/SH/1gAAAJQBAAALAAAAAAAAAAAA&#10;AAAAAC8BAABfcmVscy8ucmVsc1BLAQItABQABgAIAAAAIQAOVGV3+wEAAOEDAAAOAAAAAAAAAAAA&#10;AAAAAC4CAABkcnMvZTJvRG9jLnhtbFBLAQItABQABgAIAAAAIQCisJJ04QAAAAsBAAAPAAAAAAAA&#10;AAAAAAAAAFUEAABkcnMvZG93bnJldi54bWxQSwUGAAAAAAQABADzAAAAYwUAAAAA&#10;">
                <v:stroke dashstyle="dash" endarrow="open"/>
                <o:lock v:ext="edit" shapetype="f"/>
              </v:line>
            </w:pict>
          </mc:Fallback>
        </mc:AlternateContent>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3686810</wp:posOffset>
                </wp:positionH>
                <wp:positionV relativeFrom="paragraph">
                  <wp:posOffset>795020</wp:posOffset>
                </wp:positionV>
                <wp:extent cx="701675" cy="2540"/>
                <wp:effectExtent l="0" t="76200" r="0" b="939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2540"/>
                        </a:xfrm>
                        <a:prstGeom prst="line">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67263FFD"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pt,62.6pt" to="345.5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hX+wEAAOEDAAAOAAAAZHJzL2Uyb0RvYy54bWysU01v2zAMvQ/YfxB0X+wES7sacXpI1l26&#10;LUC6H8BKsi1MXxC1OPn3o+QkbbfbMB8EihQfycfn1f3RGnZQEbV3LZ/Pas6UE15q17f8x9PDh0+c&#10;YQInwXinWn5SyO/X79+txtCohR+8kSoyAnHYjKHlQ0qhqSoUg7KAMx+Uo2Dno4VE19hXMsJI6NZU&#10;i7q+qUYfZYheKETybqcgXxf8rlMife86VImZllNvqZyxnM/5rNYraPoIYdDi3Ab8QxcWtKOiV6gt&#10;JGC/ov4LymoRPfouzYS3le86LVSZgaaZ139Msx8gqDILkYPhShP+P1jx7bCLTEvaHdHjwNKO9imC&#10;7ofENt45YtBHRkFiagzYUMLG7WKeVRzdPjx68RMpVr0J5guG6dmxizY/p2HZsTB/ujKvjokJct7W&#10;85vbJWeCQovlx1KtguaSGiKmL8pblo2WG+0yLdDA4RFTLg7N5Ul2O/+gjSmrNY6NLb9bLjI4kMA6&#10;A4lMG2hkdD1nYHpSrkixIKI3WubsjIMn3JjIDkDiIc1JPz5Rw5wZwEQBmqJ8U+IAUk1P75bknpSF&#10;kL56Obnn9cVP7U7QpfM3JfMYW8BhSpFkTUAJtPnsJEunQBuCGP2YA4RkXG5VFa2f2XhhP1vPXp52&#10;8bIi0lFJO2s+C/X1nezXf+b6NwAAAP//AwBQSwMEFAAGAAgAAAAhANHgNxPgAAAACwEAAA8AAABk&#10;cnMvZG93bnJldi54bWxMj8FOwzAMhu9IvENkJG4sbaWF0TWdAAmBOKDRIe3qNlla0SRVk3Xd22O4&#10;jKP9f/r9udjMtmeTHkPnnYR0kQDTrvGqc0bC1+7lbgUsRHQKe++0hLMOsCmvrwrMlT+5Tz1V0TAq&#10;cSFHCW2MQ855aFptMSz8oB1lBz9ajDSOhqsRT1Rue54lieAWO0cXWhz0c6ub7+poJYg3/HiqDqZ+&#10;n8z5frtvxG77KqS8vZkf18CinuMFhl99UoeSnGp/dCqwXsJylQhCKciWGTAixEOaAqv/NgJ4WfD/&#10;P5Q/AAAA//8DAFBLAQItABQABgAIAAAAIQC2gziS/gAAAOEBAAATAAAAAAAAAAAAAAAAAAAAAABb&#10;Q29udGVudF9UeXBlc10ueG1sUEsBAi0AFAAGAAgAAAAhADj9If/WAAAAlAEAAAsAAAAAAAAAAAAA&#10;AAAALwEAAF9yZWxzLy5yZWxzUEsBAi0AFAAGAAgAAAAhABiwuFf7AQAA4QMAAA4AAAAAAAAAAAAA&#10;AAAALgIAAGRycy9lMm9Eb2MueG1sUEsBAi0AFAAGAAgAAAAhANHgNxPgAAAACwEAAA8AAAAAAAAA&#10;AAAAAAAAVQQAAGRycy9kb3ducmV2LnhtbFBLBQYAAAAABAAEAPMAAABiBQAAAAA=&#10;">
                <v:stroke dashstyle="dash" endarrow="open"/>
                <o:lock v:ext="edit" shapetype="f"/>
              </v:line>
            </w:pict>
          </mc:Fallback>
        </mc:AlternateContent>
      </w:r>
      <w:r>
        <w:rPr>
          <w:noProof/>
          <w:lang w:eastAsia="zh-CN"/>
        </w:rPr>
        <mc:AlternateContent>
          <mc:Choice Requires="wps">
            <w:drawing>
              <wp:anchor distT="0" distB="0" distL="114300" distR="114300" simplePos="0" relativeHeight="251662848" behindDoc="0" locked="0" layoutInCell="1" allowOverlap="1">
                <wp:simplePos x="0" y="0"/>
                <wp:positionH relativeFrom="column">
                  <wp:posOffset>769620</wp:posOffset>
                </wp:positionH>
                <wp:positionV relativeFrom="paragraph">
                  <wp:posOffset>163195</wp:posOffset>
                </wp:positionV>
                <wp:extent cx="2896235" cy="1847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235" cy="184785"/>
                        </a:xfrm>
                        <a:prstGeom prst="rect">
                          <a:avLst/>
                        </a:prstGeom>
                        <a:solidFill>
                          <a:sysClr val="window" lastClr="FFFFFF"/>
                        </a:solidFill>
                        <a:ln w="6350">
                          <a:noFill/>
                        </a:ln>
                        <a:effectLst/>
                      </wps:spPr>
                      <wps:txbx>
                        <w:txbxContent>
                          <w:p w:rsidR="008A5F28" w:rsidRPr="006D3D98" w:rsidRDefault="008A5F28" w:rsidP="00B110CC">
                            <w:pPr>
                              <w:jc w:val="center"/>
                              <w:rPr>
                                <w:rFonts w:ascii="Times New Roman" w:hAnsi="Times New Roman"/>
                                <w:b/>
                                <w:sz w:val="20"/>
                              </w:rPr>
                            </w:pPr>
                            <w:r w:rsidRPr="006D3D98">
                              <w:rPr>
                                <w:rFonts w:ascii="Times New Roman" w:hAnsi="Times New Roman"/>
                                <w:b/>
                                <w:sz w:val="20"/>
                              </w:rPr>
                              <w:t>Figure 1 Vocabularies of Motive and Temporal Perspectives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0.6pt;margin-top:12.85pt;width:228.05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CRWwIAALMEAAAOAAAAZHJzL2Uyb0RvYy54bWysVE1vGjEQvVfqf7B8bxYIJARliWgiqkoo&#10;iUSqnI3XG1b1elzbsEt/fZ+9S0LTnqpyMPPxPOOZebPXN22t2V45X5HJ+fBswJkykorKvOT829Py&#10;05QzH4QphCajcn5Qnt/MP364buxMjWhLulCOIYjxs8bmfBuCnWWZl1tVC39GVhk4S3K1CFDdS1Y4&#10;0SB6rbPRYHCRNeQK60gq72G965x8nuKXpZLhoSy9CkznHG8L6XTp3MQzm1+L2YsTdlvJ/hniH15R&#10;i8og6WuoOxEE27nqj1B1JR15KsOZpDqjsqykSjWgmuHgXTXrrbAq1YLmePvaJv//wsr7/aNjVYHZ&#10;XXJmRI0ZPak2sM/UMpjQn8b6GWBrC2BoYQc21ertiuR3D0h2gukueKBjP9rS1fEflTJcxAgOr22P&#10;aSSMo+nVxeh8wpmEbzgdX04nMW/2dts6H74oqlkUcu4w1vQCsV/50EGPkJjMk66KZaV1Ug7+Vju2&#10;F2AAiFNQw5kWPsCY82X69dl+u6YNa3J+cT4ZpEyGYrwulTYxrkrs6vPH+ruSoxTaTQtoFDdUHNA3&#10;Rx3zvJXLCjWs8IBH4UA1dATrEx5wlJqQknqJsy25n3+zRzwYAC9nDaibc/9jJ5xCXV8NuHE1HI8j&#10;15MynlyOoLhTz+bUY3b1LaE3QyyqlUmM+KCPYumofsaWLWJWuISRyJ3zcBRvQ7dQ2FKpFosEArut&#10;CCuztvJIlzihp/ZZONuPMYAA93QkuZi9m2aHja02tNgFKqs06reu9rzDZiSy9FscV+9UT6i3b838&#10;FwAAAP//AwBQSwMEFAAGAAgAAAAhAHYRQSLfAAAACQEAAA8AAABkcnMvZG93bnJldi54bWxMj8tO&#10;wzAQRfdI/IM1SOyo82hJFeJUUNEVm2JAsHTiIY6I7Sh22vD3DCvYzdUc3TlT7RY7sBNOofdOQLpK&#10;gKFrve5dJ+D15XCzBRaicloN3qGAbwywqy8vKlVqf3bPeJKxY1TiQqkEmBjHkvPQGrQqrPyIjnaf&#10;frIqUpw6rid1pnI78CxJbrlVvaMLRo24N9h+ydkKeDMfUqZN/jg8HPP3w/FJ+vW8F+L6arm/AxZx&#10;iX8w/OqTOtTk1PjZ6cAGylmaESog2xTACNgURQ6soWG9BV5X/P8H9Q8AAAD//wMAUEsBAi0AFAAG&#10;AAgAAAAhALaDOJL+AAAA4QEAABMAAAAAAAAAAAAAAAAAAAAAAFtDb250ZW50X1R5cGVzXS54bWxQ&#10;SwECLQAUAAYACAAAACEAOP0h/9YAAACUAQAACwAAAAAAAAAAAAAAAAAvAQAAX3JlbHMvLnJlbHNQ&#10;SwECLQAUAAYACAAAACEA47uQkVsCAACzBAAADgAAAAAAAAAAAAAAAAAuAgAAZHJzL2Uyb0RvYy54&#10;bWxQSwECLQAUAAYACAAAACEAdhFBIt8AAAAJAQAADwAAAAAAAAAAAAAAAAC1BAAAZHJzL2Rvd25y&#10;ZXYueG1sUEsFBgAAAAAEAAQA8wAAAMEFAAAAAA==&#10;" fillcolor="window" stroked="f" strokeweight=".5pt">
                <v:path arrowok="t"/>
                <v:textbox>
                  <w:txbxContent>
                    <w:p w:rsidR="008A5F28" w:rsidRPr="006D3D98" w:rsidRDefault="008A5F28" w:rsidP="00B110CC">
                      <w:pPr>
                        <w:jc w:val="center"/>
                        <w:rPr>
                          <w:rFonts w:ascii="Times New Roman" w:hAnsi="Times New Roman"/>
                          <w:b/>
                          <w:sz w:val="20"/>
                        </w:rPr>
                      </w:pPr>
                      <w:r w:rsidRPr="006D3D98">
                        <w:rPr>
                          <w:rFonts w:ascii="Times New Roman" w:hAnsi="Times New Roman"/>
                          <w:b/>
                          <w:sz w:val="20"/>
                        </w:rPr>
                        <w:t>Figure 1 Vocabularies of Motive and Temporal Perspectives</w:t>
                      </w:r>
                    </w:p>
                  </w:txbxContent>
                </v:textbox>
              </v:shape>
            </w:pict>
          </mc:Fallback>
        </mc:AlternateContent>
      </w:r>
      <w:r>
        <w:rPr>
          <w:noProof/>
          <w:lang w:eastAsia="zh-CN"/>
        </w:rPr>
        <mc:AlternateContent>
          <mc:Choice Requires="wps">
            <w:drawing>
              <wp:anchor distT="0" distB="0" distL="114300" distR="114300" simplePos="0" relativeHeight="251661824" behindDoc="0" locked="0" layoutInCell="1" allowOverlap="1">
                <wp:simplePos x="0" y="0"/>
                <wp:positionH relativeFrom="column">
                  <wp:posOffset>120015</wp:posOffset>
                </wp:positionH>
                <wp:positionV relativeFrom="paragraph">
                  <wp:posOffset>2002155</wp:posOffset>
                </wp:positionV>
                <wp:extent cx="162560" cy="1809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 cy="180975"/>
                        </a:xfrm>
                        <a:prstGeom prst="rect">
                          <a:avLst/>
                        </a:prstGeom>
                        <a:solidFill>
                          <a:sysClr val="window" lastClr="FFFFFF"/>
                        </a:solidFill>
                        <a:ln w="6350">
                          <a:noFill/>
                        </a:ln>
                        <a:effectLst/>
                      </wps:spPr>
                      <wps:txbx>
                        <w:txbxContent>
                          <w:p w:rsidR="008A5F28" w:rsidRDefault="008A5F28" w:rsidP="00B110C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9.45pt;margin-top:157.65pt;width:12.8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PWwIAALkEAAAOAAAAZHJzL2Uyb0RvYy54bWysVMFuGjEQvVfqP1i+NwsUSIKyRJSIqhJK&#10;IiVRzsbrDat6Pa5t2KVf32fvktC0p6oczNjzPON582avrttas71yviKT8+HZgDNlJBWVecn50+Pq&#10;0wVnPghTCE1G5fygPL+ef/xw1diZGtGWdKEcQxDjZ43N+TYEO8syL7eqFv6MrDJwluRqEbB1L1nh&#10;RIPotc5Gg8E0a8gV1pFU3uP0pnPyeYpflkqGu7L0KjCdc7wtpNWldRPXbH4lZi9O2G0l+2eIf3hF&#10;LSqDpK+hbkQQbOeqP0LVlXTkqQxnkuqMyrKSKtWAaoaDd9U8bIVVqRaQ4+0rTf7/hZW3+3vHqgK9&#10;m3JmRI0ePao2sC/UMhyBn8b6GWAPFsDQ4hzYVKu3a5LfPSDZCaa74IGOfLSlq+M/KmW4iBYcXmmP&#10;aWSMNh1NpvBIuIYXg8vzSUybvV22zoevimoWjZw7dDU9QOzXPnTQIyTm8qSrYlVpnTYHv9SO7QUE&#10;AN0U1HCmhQ84zPkq/fpsv13ThjU5n36eDFImQzFel0qbGFclcfX5Y/ldxdEK7abtKD3St6HiAPYc&#10;dfrzVq4qlLLGO+6Fg+BQPYYo3GEpNSEz9RZnW3I//3Ye8dABvJw1EHDO/Y+dcArlfTNQyOVwPI6K&#10;T5vx5HyEjTv1bE49ZlcvCRQNMa5WJjPigz6apaP6GbO2iFnhEkYid87D0VyGbqwwq1ItFgkEjVsR&#10;1ubByqNoYqMe22fhbN/NABnc0lHqYvauqR02Mm5osQtUVqnjkeeO1V59mI+kmX6W4wCe7hPq7Ysz&#10;/wUAAP//AwBQSwMEFAAGAAgAAAAhAEiYqO7eAAAACQEAAA8AAABkcnMvZG93bnJldi54bWxMj8tO&#10;wzAQRfdI/IM1SOyoE5yiNMSpoKIrNsWAytKJTRzhRxQ7bfh7hhUs78zRnTP1dnGWnPQUh+A55KsM&#10;iPZdUIPvOby97m9KIDFJr6QNXnP41hG2zeVFLSsVzv5Fn0TqCZb4WEkOJqWxojR2RjsZV2HUHnef&#10;YXIyYZx6qiZ5xnJn6W2W3VEnB48XjBz1zujuS8yOw7v5ECJv2ZN9PLDj/vAsQjHvOL++Wh7ugSS9&#10;pD8YfvVRHRp0asPsVSQWc7lBkgPL1wwIAkWxBtLioGAl0Kam/z9ofgAAAP//AwBQSwECLQAUAAYA&#10;CAAAACEAtoM4kv4AAADhAQAAEwAAAAAAAAAAAAAAAAAAAAAAW0NvbnRlbnRfVHlwZXNdLnhtbFBL&#10;AQItABQABgAIAAAAIQA4/SH/1gAAAJQBAAALAAAAAAAAAAAAAAAAAC8BAABfcmVscy8ucmVsc1BL&#10;AQItABQABgAIAAAAIQA/XxKPWwIAALkEAAAOAAAAAAAAAAAAAAAAAC4CAABkcnMvZTJvRG9jLnht&#10;bFBLAQItABQABgAIAAAAIQBImKju3gAAAAkBAAAPAAAAAAAAAAAAAAAAALUEAABkcnMvZG93bnJl&#10;di54bWxQSwUGAAAAAAQABADzAAAAwAUAAAAA&#10;" fillcolor="window" stroked="f" strokeweight=".5pt">
                <v:path arrowok="t"/>
                <v:textbox>
                  <w:txbxContent>
                    <w:p w:rsidR="008A5F28" w:rsidRDefault="008A5F28" w:rsidP="00B110CC">
                      <w:r>
                        <w:t>B</w:t>
                      </w:r>
                    </w:p>
                  </w:txbxContent>
                </v:textbox>
              </v:shape>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90805</wp:posOffset>
                </wp:positionH>
                <wp:positionV relativeFrom="paragraph">
                  <wp:posOffset>1000125</wp:posOffset>
                </wp:positionV>
                <wp:extent cx="163195" cy="1816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195" cy="181610"/>
                        </a:xfrm>
                        <a:prstGeom prst="rect">
                          <a:avLst/>
                        </a:prstGeom>
                        <a:solidFill>
                          <a:sysClr val="window" lastClr="FFFFFF"/>
                        </a:solidFill>
                        <a:ln w="6350">
                          <a:noFill/>
                        </a:ln>
                        <a:effectLst/>
                      </wps:spPr>
                      <wps:txbx>
                        <w:txbxContent>
                          <w:p w:rsidR="008A5F28" w:rsidRDefault="008A5F28" w:rsidP="00B110C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7.15pt;margin-top:78.75pt;width:12.85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VbXwIAALkEAAAOAAAAZHJzL2Uyb0RvYy54bWysVFFP2zAQfp+0/2D5faQppYOIFHWgTpMq&#10;QALEs+s4NJrj82y3Sffr99lpoWN7mtYH9+z7fOf77rtcXvWtZlvlfEOm5PnJiDNlJFWNeSn50+Pi&#10;0zlnPghTCU1GlXynPL+affxw2dlCjWlNulKOIYjxRWdLvg7BFlnm5Vq1wp+QVQbOmlwrArbuJauc&#10;6BC91dl4NJpmHbnKOpLKe5zeDE4+S/HrWslwV9deBaZLjreFtLq0ruKazS5F8eKEXTdy/wzxD69o&#10;RWOQ9DXUjQiCbVzzR6i2kY481eFEUptRXTdSpRpQTT56V83DWliVagE53r7S5P9fWHm7vXesqdC7&#10;CWdGtOjRo+oD+0I9wxH46awvAHuwAIYe58CmWr1dkvzuAcmOMMMFD3Tko69dG/9RKcNFtGD3SntM&#10;I2O06Wl+ccaZhCs/z6d5akv2dtk6H74qalk0Su7Q1fQAsV36ENOL4gCJuTzpplo0WqfNzl9rx7YC&#10;AoBuKuo408IHHJZ8kX6xSIT47Zo2rCv59PRslDIZivEGnDYxrkri2ueP5Q8VRyv0qz5ROj7Qt6Jq&#10;B/YcDfrzVi4alLLEO+6Fg+DAC4Yo3GGpNSEz7S3O1uR+/u084qEDeDnrIOCS+x8b4RTK+2agkIt8&#10;MomKT5vJ2ecxNu7Yszr2mE17TaAox7hamcyID/pg1o7aZ8zaPGaFSxiJ3CUPB/M6DGOFWZVqPk8g&#10;aNyKsDQPVh5EExv12D8LZ/fdDJDBLR2kLop3TR2wkXFD802gukkdjzwPrO7Vh/lIXdzPchzA431C&#10;vX1xZr8AAAD//wMAUEsDBBQABgAIAAAAIQCM8Idr3gAAAAkBAAAPAAAAZHJzL2Rvd25yZXYueG1s&#10;TI/BTsMwEETvSPyDtUjcqBOSlirEqaCiJy6toSpHJzZxRLyOYqcNf89ygtNqdkezb8rN7Hp2NmPo&#10;PApIFwkwg43XHbYC3t92d2tgISrUqvdoBHybAJvq+qpUhfYXPJizjC2jEAyFEmBjHArOQ2ONU2Hh&#10;B4N0+/SjU5Hk2HI9qguFu57fJ8mKO9UhfbBqMFtrmi85OQFH+yFlWmcv/fM+O+32r9Ln01aI25v5&#10;6RFYNHP8M8MvPqFDRUy1n1AH1pPOM3LSXD4sgZEhT6hbTYv1KgVelfx/g+oHAAD//wMAUEsBAi0A&#10;FAAGAAgAAAAhALaDOJL+AAAA4QEAABMAAAAAAAAAAAAAAAAAAAAAAFtDb250ZW50X1R5cGVzXS54&#10;bWxQSwECLQAUAAYACAAAACEAOP0h/9YAAACUAQAACwAAAAAAAAAAAAAAAAAvAQAAX3JlbHMvLnJl&#10;bHNQSwECLQAUAAYACAAAACEArbuVW18CAAC5BAAADgAAAAAAAAAAAAAAAAAuAgAAZHJzL2Uyb0Rv&#10;Yy54bWxQSwECLQAUAAYACAAAACEAjPCHa94AAAAJAQAADwAAAAAAAAAAAAAAAAC5BAAAZHJzL2Rv&#10;d25yZXYueG1sUEsFBgAAAAAEAAQA8wAAAMQFAAAAAA==&#10;" fillcolor="window" stroked="f" strokeweight=".5pt">
                <v:path arrowok="t"/>
                <v:textbox>
                  <w:txbxContent>
                    <w:p w:rsidR="008A5F28" w:rsidRDefault="008A5F28" w:rsidP="00B110CC">
                      <w:r>
                        <w:t>A</w:t>
                      </w:r>
                    </w:p>
                  </w:txbxContent>
                </v:textbox>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1364615</wp:posOffset>
                </wp:positionH>
                <wp:positionV relativeFrom="paragraph">
                  <wp:posOffset>1821815</wp:posOffset>
                </wp:positionV>
                <wp:extent cx="701675" cy="2540"/>
                <wp:effectExtent l="38100" t="76200" r="0" b="939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2540"/>
                        </a:xfrm>
                        <a:prstGeom prst="line">
                          <a:avLst/>
                        </a:prstGeom>
                        <a:noFill/>
                        <a:ln w="9525" cap="flat" cmpd="sng" algn="ctr">
                          <a:solidFill>
                            <a:sysClr val="windowText" lastClr="000000">
                              <a:shade val="95000"/>
                              <a:satMod val="105000"/>
                            </a:sysClr>
                          </a:solidFill>
                          <a:prstDash val="dash"/>
                          <a:headEnd type="arrow"/>
                        </a:ln>
                        <a:effectLst/>
                      </wps:spPr>
                      <wps:bodyPr/>
                    </wps:wsp>
                  </a:graphicData>
                </a:graphic>
                <wp14:sizeRelH relativeFrom="page">
                  <wp14:pctWidth>0</wp14:pctWidth>
                </wp14:sizeRelH>
                <wp14:sizeRelV relativeFrom="page">
                  <wp14:pctHeight>0</wp14:pctHeight>
                </wp14:sizeRelV>
              </wp:anchor>
            </w:drawing>
          </mc:Choice>
          <mc:Fallback>
            <w:pict>
              <v:line w14:anchorId="5425655F"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5pt,143.45pt" to="162.7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HU+wEAAOEDAAAOAAAAZHJzL2Uyb0RvYy54bWysU8tu2zAQvBfoPxC815KNOmkEyznYTS9p&#10;a8DpB2xISiLKF7isZf99l5TtJO2tqA7Ech/Dnd3R6v5oDTuoiNq7ls9nNWfKCS+161v+4+nhwyfO&#10;MIGTYLxTLT8p5Pfr9+9WY2jUwg/eSBUZgThsxtDyIaXQVBWKQVnAmQ/KUbDz0UKia+wrGWEkdGuq&#10;RV3fVKOPMkQvFCJ5t1OQrwt+1ymRvncdqsRMy6m3VM5Yzud8VusVNH2EMGhxbgP+oQsL2tGjV6gt&#10;JGC/ov4LymoRPfouzYS3le86LVThQGzm9R9s9gMEVbjQcDBcx4T/D1Z8O+wi05J2N+fMgaUd7VME&#10;3Q+JbbxzNEEfGQVpUmPAhgo2bhczV3F0+/DoxU+kWPUmmC8YprRjF21OJ7LsWCZ/uk5eHRMT5Lyt&#10;5ze3S84EhRbLj2UvFTSX0hAxfVHesmy03GiXxwINHB4x5cehuaRkt/MP2piyWuPY2PK75SKDAwms&#10;M5DItIEoo+s5A9OTckWKBRG90TJXZxw84cZEdgASD2lO+vGJGubMACYKEIvyTYUDSDWl3i3JPSkL&#10;IX31cnLP64uf2p2gS+dvnsw0toDDVCLJmoAGBfKzkyydAm0IYvRjDhCScblVVbR+nsbL9LP17OVp&#10;Fy8rIh2VsrPms1Bf38l+/WeufwMAAP//AwBQSwMEFAAGAAgAAAAhAG8tDxreAAAACwEAAA8AAABk&#10;cnMvZG93bnJldi54bWxMj0FOwzAQRfdI3MEaJDYVdZq0aQlxKoToAdpyADcekgh7HMVOk96e6Qp2&#10;f+Z//XlT7mdnxRWH0HlSsFomIJBqbzpqFHydDy87ECFqMtp6QgU3DLCvHh9KXRg/0RGvp9gILqFQ&#10;aAVtjH0hZahbdDosfY/E3rcfnI48Do00g5643FmZJkkune6IL7S6x48W65/T6BQsPqf+tg2bbjYu&#10;axb5aI/zwSr1/DS/v4GIOMe/MNzxGR0qZrr4kUwQVkG6Wr9ylMUuZ8GJLN2sQVzum20Gsirl/x+q&#10;XwAAAP//AwBQSwECLQAUAAYACAAAACEAtoM4kv4AAADhAQAAEwAAAAAAAAAAAAAAAAAAAAAAW0Nv&#10;bnRlbnRfVHlwZXNdLnhtbFBLAQItABQABgAIAAAAIQA4/SH/1gAAAJQBAAALAAAAAAAAAAAAAAAA&#10;AC8BAABfcmVscy8ucmVsc1BLAQItABQABgAIAAAAIQBRbOHU+wEAAOEDAAAOAAAAAAAAAAAAAAAA&#10;AC4CAABkcnMvZTJvRG9jLnhtbFBLAQItABQABgAIAAAAIQBvLQ8a3gAAAAsBAAAPAAAAAAAAAAAA&#10;AAAAAFUEAABkcnMvZG93bnJldi54bWxQSwUGAAAAAAQABADzAAAAYAUAAAAA&#10;">
                <v:stroke dashstyle="dash" startarrow="open"/>
                <o:lock v:ext="edit" shapetype="f"/>
              </v:lin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1390015</wp:posOffset>
                </wp:positionH>
                <wp:positionV relativeFrom="paragraph">
                  <wp:posOffset>792480</wp:posOffset>
                </wp:positionV>
                <wp:extent cx="701675" cy="2540"/>
                <wp:effectExtent l="38100" t="76200" r="0" b="939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2540"/>
                        </a:xfrm>
                        <a:prstGeom prst="line">
                          <a:avLst/>
                        </a:prstGeom>
                        <a:noFill/>
                        <a:ln w="9525" cap="flat" cmpd="sng" algn="ctr">
                          <a:solidFill>
                            <a:sysClr val="windowText" lastClr="000000">
                              <a:shade val="95000"/>
                              <a:satMod val="105000"/>
                            </a:sysClr>
                          </a:solidFill>
                          <a:prstDash val="dash"/>
                          <a:headEnd type="arrow"/>
                        </a:ln>
                        <a:effectLst/>
                      </wps:spPr>
                      <wps:bodyPr/>
                    </wps:wsp>
                  </a:graphicData>
                </a:graphic>
                <wp14:sizeRelH relativeFrom="page">
                  <wp14:pctWidth>0</wp14:pctWidth>
                </wp14:sizeRelH>
                <wp14:sizeRelV relativeFrom="page">
                  <wp14:pctHeight>0</wp14:pctHeight>
                </wp14:sizeRelV>
              </wp:anchor>
            </w:drawing>
          </mc:Choice>
          <mc:Fallback>
            <w:pict>
              <v:line w14:anchorId="5BF48BE1"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62.4pt" to="164.7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9Y+gEAAN8DAAAOAAAAZHJzL2Uyb0RvYy54bWysU9uO0zAQfUfiHyy/06QV3UvUdB9alpcF&#10;KnX5gFnbSSx8k8c07d8zdtqyC2+IPFjjuRzPmTlZPRytYQcVUXvX8vms5kw54aV2fcu/Pz9+uOMM&#10;EzgJxjvV8pNC/rB+/241hkYt/OCNVJERiMNmDC0fUgpNVaEYlAWc+aAcBTsfLSS6xr6SEUZCt6Za&#10;1PVNNfooQ/RCIZJ3OwX5uuB3nRLpW9ehSsy0nHpL5YzlfMlntV5B00cIgxbnNuAfurCgHT16hdpC&#10;AvYz6r+grBbRo+/STHhb+a7TQhUOxGZe/8FmP0BQhQsNB8N1TPj/YMXXwy4yLVtOi3JgaUX7FEH3&#10;Q2Ib7xwN0Ed2l+c0BmwofeN2MTMVR7cPT178QIpVb4L5gmFKO3bR5nSiyo5l7qfr3NUxMUHO23p+&#10;c7vkTFBosfxYtlJBcykNEdNn5S3LRsuNdnko0MDhCVN+HJpLSnY7/6iNKYs1jo0tv18uMjiQvDoD&#10;iUwbiDC6njMwPelWpFgQ0Rstc3XGwRNuTGQHIOmQ4qQfn6lhzgxgogCxKN9UOIBUU+r9ktyTrhDS&#10;Fy8n97y++KndCbp0/ubJTGMLOEwlkqwJaFAgPznJ0inQgiBGP+YAIRmXW1VF6edp/J5+tl68PO3i&#10;ZUWkolJ2VnyW6es72a//y/UvAAAA//8DAFBLAwQUAAYACAAAACEAN7+Fa90AAAALAQAADwAAAGRy&#10;cy9kb3ducmV2LnhtbEyPzU7DMBCE70i8g7VIXCrqNP2hDXEqhOgDtOUB3HhJIux1FDuN+/ZsT3Dc&#10;mU+zM+U+OSuuOITOk4LFPAOBVHvTUaPg63x42YIIUZPR1hMquGGAffX4UOrC+ImOeD3FRnAIhUIr&#10;aGPsCylD3aLTYe57JPa+/eB05HNopBn0xOHOyjzLNtLpjvhDq3v8aLH+OY1Owexz6m+vYd0l45bN&#10;bDPaYzpYpZ6f0vsbiIgp/sFwr8/VoeJOFz+SCcIqyBfbHaNs5CvewMQy361AXO7KOgdZlfL/huoX&#10;AAD//wMAUEsBAi0AFAAGAAgAAAAhALaDOJL+AAAA4QEAABMAAAAAAAAAAAAAAAAAAAAAAFtDb250&#10;ZW50X1R5cGVzXS54bWxQSwECLQAUAAYACAAAACEAOP0h/9YAAACUAQAACwAAAAAAAAAAAAAAAAAv&#10;AQAAX3JlbHMvLnJlbHNQSwECLQAUAAYACAAAACEAWj5PWPoBAADfAwAADgAAAAAAAAAAAAAAAAAu&#10;AgAAZHJzL2Uyb0RvYy54bWxQSwECLQAUAAYACAAAACEAN7+Fa90AAAALAQAADwAAAAAAAAAAAAAA&#10;AABUBAAAZHJzL2Rvd25yZXYueG1sUEsFBgAAAAAEAAQA8wAAAF4FAAAAAA==&#10;">
                <v:stroke dashstyle="dash" startarrow="open"/>
                <o:lock v:ext="edit" shapetype="f"/>
              </v:line>
            </w:pict>
          </mc:Fallback>
        </mc:AlternateContent>
      </w:r>
      <w:r>
        <w:rPr>
          <w:noProof/>
          <w:lang w:eastAsia="zh-CN"/>
        </w:rPr>
        <mc:AlternateContent>
          <mc:Choice Requires="wps">
            <w:drawing>
              <wp:anchor distT="0" distB="0" distL="114300" distR="114300" simplePos="0" relativeHeight="251653632" behindDoc="0" locked="0" layoutInCell="1" allowOverlap="1">
                <wp:simplePos x="0" y="0"/>
                <wp:positionH relativeFrom="column">
                  <wp:posOffset>332105</wp:posOffset>
                </wp:positionH>
                <wp:positionV relativeFrom="paragraph">
                  <wp:posOffset>2831465</wp:posOffset>
                </wp:positionV>
                <wp:extent cx="610870" cy="175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 cy="175260"/>
                        </a:xfrm>
                        <a:prstGeom prst="rect">
                          <a:avLst/>
                        </a:prstGeom>
                        <a:solidFill>
                          <a:sysClr val="window" lastClr="FFFFFF"/>
                        </a:solidFill>
                        <a:ln w="6350">
                          <a:noFill/>
                        </a:ln>
                        <a:effectLst/>
                      </wps:spPr>
                      <wps:txbx>
                        <w:txbxContent>
                          <w:p w:rsidR="008A5F28" w:rsidRDefault="008A5F28" w:rsidP="00B110CC">
                            <w:r>
                              <w:t xml:space="preserve">Past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9" type="#_x0000_t202" style="position:absolute;margin-left:26.15pt;margin-top:222.95pt;width:48.1pt;height:1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rgXAIAALcEAAAOAAAAZHJzL2Uyb0RvYy54bWysVE1v2zAMvQ/YfxB0X52Pfhp1iqxFhgFB&#10;W6AdelZkOTEmi5qkxM5+/Z5kp826nYbloFAkRfKRj76+6RrNdsr5mkzBxycjzpSRVNZmXfBvz4tP&#10;l5z5IEwpNBlV8L3y/Gb28cN1a3M1oQ3pUjmGIMbnrS34JgSbZ5mXG9UIf0JWGRgrco0IuLp1VjrR&#10;Inqjs8lodJ615ErrSCrvob3rjXyW4leVkuGhqrwKTBcctYV0unSu4pnNrkW+dsJuajmUIf6hikbU&#10;BklfQ92JINjW1X+EamrpyFMVTiQ1GVVVLVXCADTj0Ts0TxthVcKC5nj72ib//8LK+92jY3VZ8Cln&#10;RjQY0bPqAvtMHZvG7rTW53B6snALHdSYckLq7ZLkdw+X7Minf+DhHbvRVa6J/8DJ8BAD2L82PWaR&#10;UJ6PR5cXsEiYxhdnk/M0lOztsXU+fFHUsCgU3GGmqQCxW/oQ04v84BJzedJ1uai1Tpe9v9WO7QTG&#10;D9aU1HKmhQ9QFnyRfhEkQvz2TBvWorLp2ShlMhTj9X7axLgqUWvIH+H3iKMUulU3NBQvomZF5R7d&#10;c9Szz1u5qAFliToehQPdgB4rFB5wVJqQmQaJsw25n3/TR3+wAFbOWtC34P7HVjgFeF8N+HE1Pj2N&#10;fE+X07OLCS7u2LI6tphtc0to0RjLamUSo3/QB7Fy1Lxg0+YxK0zCSOQueDiIt6FfKmyqVPN5cgLD&#10;rQhL82TlgTRxUM/di3B2mGYADe7pQHSRvxtq7xs7bmi+DVTVaeJvXR3Yh+1IUxw2Oa7f8T15vX1v&#10;Zr8AAAD//wMAUEsDBBQABgAIAAAAIQCcB0743wAAAAoBAAAPAAAAZHJzL2Rvd25yZXYueG1sTI/B&#10;TsMwDIbvSLxDZCRuLN3awihNJ5jYicsWQHBMW9NUJE7VpFt5e7ITHG1/+v395Wa2hh1x9L0jActF&#10;AgypcW1PnYC3193NGpgPilplHKGAH/SwqS4vSlW07kQHPMrQsRhCvlACdAhDwblvNFrlF25Aircv&#10;N1oV4jh2vB3VKYZbw1dJcsut6il+0GrArcbmW05WwLv+lHJZp8/maZ9+7PYv0mXTVojrq/nxAVjA&#10;OfzBcNaP6lBFp9pN1HpmBOSrNJICsiy/B3YGsnUOrI6buzQHXpX8f4XqFwAA//8DAFBLAQItABQA&#10;BgAIAAAAIQC2gziS/gAAAOEBAAATAAAAAAAAAAAAAAAAAAAAAABbQ29udGVudF9UeXBlc10ueG1s&#10;UEsBAi0AFAAGAAgAAAAhADj9If/WAAAAlAEAAAsAAAAAAAAAAAAAAAAALwEAAF9yZWxzLy5yZWxz&#10;UEsBAi0AFAAGAAgAAAAhAJ9wmuBcAgAAtwQAAA4AAAAAAAAAAAAAAAAALgIAAGRycy9lMm9Eb2Mu&#10;eG1sUEsBAi0AFAAGAAgAAAAhAJwHTvjfAAAACgEAAA8AAAAAAAAAAAAAAAAAtgQAAGRycy9kb3du&#10;cmV2LnhtbFBLBQYAAAAABAAEAPMAAADCBQAAAAA=&#10;" fillcolor="window" stroked="f" strokeweight=".5pt">
                <v:path arrowok="t"/>
                <v:textbox>
                  <w:txbxContent>
                    <w:p w:rsidR="008A5F28" w:rsidRDefault="008A5F28" w:rsidP="00B110CC">
                      <w:r>
                        <w:t xml:space="preserve">Past </w:t>
                      </w:r>
                    </w:p>
                  </w:txbxContent>
                </v:textbox>
              </v:shape>
            </w:pict>
          </mc:Fallback>
        </mc:AlternateContent>
      </w: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4373880</wp:posOffset>
                </wp:positionH>
                <wp:positionV relativeFrom="paragraph">
                  <wp:posOffset>2835275</wp:posOffset>
                </wp:positionV>
                <wp:extent cx="610870" cy="1752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 cy="175260"/>
                        </a:xfrm>
                        <a:prstGeom prst="rect">
                          <a:avLst/>
                        </a:prstGeom>
                        <a:solidFill>
                          <a:sysClr val="window" lastClr="FFFFFF"/>
                        </a:solidFill>
                        <a:ln w="6350">
                          <a:noFill/>
                        </a:ln>
                        <a:effectLst/>
                      </wps:spPr>
                      <wps:txbx>
                        <w:txbxContent>
                          <w:p w:rsidR="008A5F28" w:rsidRDefault="008A5F28" w:rsidP="00B110CC">
                            <w:r>
                              <w:t xml:space="preserve">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44.4pt;margin-top:223.25pt;width:48.1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CgXgIAALcEAAAOAAAAZHJzL2Uyb0RvYy54bWysVMFuGjEQvVfqP1i+lwUKSbrKElEiqkoo&#10;iUSqnI3XG1b1elzbsEu/vs9eSGjaU1UOxvY8z8ybebPXN12j2V45X5Mp+Ggw5EwZSWVtngv+7XH5&#10;4YozH4QphSajCn5Qnt/M3r+7bm2uxrQlXSrH4MT4vLUF34Zg8yzzcqsa4QdklYGxIteIgKN7zkon&#10;WnhvdDYeDi+yllxpHUnlPW5veyOfJf9VpWS4ryqvAtMFR24hrS6tm7hms2uRPztht7U8piH+IYtG&#10;1AZBX1zdiiDYztV/uGpq6chTFQaSmoyqqpYqcQCb0fANm/VWWJW4oDjevpTJ/z+38m7/4FhdFnzK&#10;mRENWvSousA+U8emsTqt9TlAawtY6HCNLiem3q5IfveAZGeY/oEHOlajq1wT/8GT4SEacHgpeowi&#10;cXkxGl5dwiJhGl1OxxepKdnrY+t8+KKoYXFTcIeepgTEfuVDDC/yEyTG8qTrcllrnQ4Hv9CO7QXa&#10;D9WU1HKmhQ+4LPgy/SJJuPjtmTasRWYfp8MUyVD01+O0iX5VktYxfqTfM4670G26VNDJqXwbKg+o&#10;nqNefd7KZQ0qK+TxIBzkBvYYoXCPpdKEyHTccbYl9/Nv9xEPFcDKWQv5Ftz/2AmnQO+rgT4+jSaT&#10;qPd0mEwvxzi4c8vm3GJ2zYJQohGG1cq0jfigT9vKUfOESZvHqDAJIxG74OG0XYR+qDCpUs3nCQSF&#10;WxFWZm3lSTSxUY/dk3D22M0AGdzRSegif9PUHhsrbmi+C1TVqeOxzn1Vj+rDdKQuHic5jt/5OaFe&#10;vzezXwAAAP//AwBQSwMEFAAGAAgAAAAhAA9+OJPgAAAACwEAAA8AAABkcnMvZG93bnJldi54bWxM&#10;j8FOwzAQRO9I/IO1SNyoE5qmUYhTQUVPXIoBwdGJTRwRr6PYacPfs5zgODuj2TfVbnEDO5kp9B4F&#10;pKsEmMHW6x47Aa8vh5sCWIgKtRo8GgHfJsCuvryoVKn9GZ/NScaOUQmGUgmwMY4l56G1xqmw8qNB&#10;8j795FQkOXVcT+pM5W7gt0mSc6d6pA9WjWZvTfslZyfgzX5ImTbrx+HhuH4/HJ+kz+a9ENdXy/0d&#10;sGiW+BeGX3xCh5qYGj+jDmwQkBcFoUcBWZZvgFFiW2xoXUOXbZYCryv+f0P9AwAA//8DAFBLAQIt&#10;ABQABgAIAAAAIQC2gziS/gAAAOEBAAATAAAAAAAAAAAAAAAAAAAAAABbQ29udGVudF9UeXBlc10u&#10;eG1sUEsBAi0AFAAGAAgAAAAhADj9If/WAAAAlAEAAAsAAAAAAAAAAAAAAAAALwEAAF9yZWxzLy5y&#10;ZWxzUEsBAi0AFAAGAAgAAAAhAM2ToKBeAgAAtwQAAA4AAAAAAAAAAAAAAAAALgIAAGRycy9lMm9E&#10;b2MueG1sUEsBAi0AFAAGAAgAAAAhAA9+OJPgAAAACwEAAA8AAAAAAAAAAAAAAAAAuAQAAGRycy9k&#10;b3ducmV2LnhtbFBLBQYAAAAABAAEAPMAAADFBQAAAAA=&#10;" fillcolor="window" stroked="f" strokeweight=".5pt">
                <v:path arrowok="t"/>
                <v:textbox>
                  <w:txbxContent>
                    <w:p w:rsidR="008A5F28" w:rsidRDefault="008A5F28" w:rsidP="00B110CC">
                      <w:r>
                        <w:t xml:space="preserve">Future </w:t>
                      </w:r>
                    </w:p>
                  </w:txbxContent>
                </v:textbox>
              </v:shape>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2508885</wp:posOffset>
                </wp:positionH>
                <wp:positionV relativeFrom="paragraph">
                  <wp:posOffset>2845435</wp:posOffset>
                </wp:positionV>
                <wp:extent cx="610870" cy="1752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 cy="175260"/>
                        </a:xfrm>
                        <a:prstGeom prst="rect">
                          <a:avLst/>
                        </a:prstGeom>
                        <a:solidFill>
                          <a:sysClr val="window" lastClr="FFFFFF"/>
                        </a:solidFill>
                        <a:ln w="6350">
                          <a:noFill/>
                        </a:ln>
                        <a:effectLst/>
                      </wps:spPr>
                      <wps:txbx>
                        <w:txbxContent>
                          <w:p w:rsidR="008A5F28" w:rsidRDefault="008A5F28" w:rsidP="00B110CC">
                            <w:r>
                              <w:t xml:space="preserve">Present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1" type="#_x0000_t202" style="position:absolute;margin-left:197.55pt;margin-top:224.05pt;width:48.1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50XgIAALcEAAAOAAAAZHJzL2Uyb0RvYy54bWysVMFuGjEQvVfqP1i+lwUKSbrKElEiqkoo&#10;iUSqnI3XG1b1elzbsEu/vs9eSGjaU1UOxvY8z8ybebPXN12j2V45X5Mp+Ggw5EwZSWVtngv+7XH5&#10;4YozH4QphSajCn5Qnt/M3r+7bm2uxrQlXSrH4MT4vLUF34Zg8yzzcqsa4QdklYGxIteIgKN7zkon&#10;WnhvdDYeDi+yllxpHUnlPW5veyOfJf9VpWS4ryqvAtMFR24hrS6tm7hms2uRPztht7U8piH+IYtG&#10;1AZBX1zdiiDYztV/uGpq6chTFQaSmoyqqpYqcQCb0fANm/VWWJW4oDjevpTJ/z+38m7/4FhdFnzC&#10;mRENWvSousA+U8cmsTqt9TlAawtY6HCNLiem3q5IfveAZGeY/oEHOlajq1wT/8GT4SEacHgpeowi&#10;cXkxGl5dwiJhGl1OxxepKdnrY+t8+KKoYXFTcIeepgTEfuVDDC/yEyTG8qTrcllrnQ4Hv9CO7QXa&#10;D9WU1HKmhQ+4LPgy/SJJuPjtmTasRWYfp8MUyVD01+O0iX5VktYxfqTfM4670G26VNDpqXwbKg+o&#10;nqNefd7KZQ0qK+TxIBzkBvYYoXCPpdKEyHTccbYl9/Nv9xEPFcDKWQv5Ftz/2AmnQO+rgT4+jSaT&#10;qPd0mEwvxzi4c8vm3GJ2zYJQohGG1cq0jfigT9vKUfOESZvHqDAJIxG74OG0XYR+qDCpUs3nCQSF&#10;WxFWZm3lSTSxUY/dk3D22M0AGdzRSegif9PUHhsrbmi+C1TVqeOxzn1Vj+rDdKQuHic5jt/5OaFe&#10;vzezXwAAAP//AwBQSwMEFAAGAAgAAAAhAOMUImzgAAAACwEAAA8AAABkcnMvZG93bnJldi54bWxM&#10;j8FOwzAMhu9IvENkJG4sLe3YVppOMLETlxFAcEzb0FQkTtWkW3l7vBPcfsuffn8ut7Oz7KjH0HsU&#10;kC4SYBob3/bYCXh73d+sgYWosFXWoxbwowNsq8uLUhWtP+GLPsrYMSrBUCgBJsah4Dw0RjsVFn7Q&#10;SLsvPzoVaRw73o7qROXO8tskueNO9UgXjBr0zujmW05OwLv5lDKtsyf7eMg+9odn6fNpJ8T11fxw&#10;DyzqOf7BcNYndajIqfYTtoFZAdlmmRIqIM/XFIjIN2kGrKawWq6AVyX//0P1CwAA//8DAFBLAQIt&#10;ABQABgAIAAAAIQC2gziS/gAAAOEBAAATAAAAAAAAAAAAAAAAAAAAAABbQ29udGVudF9UeXBlc10u&#10;eG1sUEsBAi0AFAAGAAgAAAAhADj9If/WAAAAlAEAAAsAAAAAAAAAAAAAAAAALwEAAF9yZWxzLy5y&#10;ZWxzUEsBAi0AFAAGAAgAAAAhAGB3jnReAgAAtwQAAA4AAAAAAAAAAAAAAAAALgIAAGRycy9lMm9E&#10;b2MueG1sUEsBAi0AFAAGAAgAAAAhAOMUImzgAAAACwEAAA8AAAAAAAAAAAAAAAAAuAQAAGRycy9k&#10;b3ducmV2LnhtbFBLBQYAAAAABAAEAPMAAADFBQAAAAA=&#10;" fillcolor="window" stroked="f" strokeweight=".5pt">
                <v:path arrowok="t"/>
                <v:textbox>
                  <w:txbxContent>
                    <w:p w:rsidR="008A5F28" w:rsidRDefault="008A5F28" w:rsidP="00B110CC">
                      <w:r>
                        <w:t xml:space="preserve">Present  </w:t>
                      </w:r>
                    </w:p>
                  </w:txbxContent>
                </v:textbox>
              </v:shape>
            </w:pict>
          </mc:Fallback>
        </mc:AlternateContent>
      </w:r>
      <w:r>
        <w:rPr>
          <w:noProof/>
          <w:lang w:eastAsia="zh-CN"/>
        </w:rPr>
        <mc:AlternateContent>
          <mc:Choice Requires="wps">
            <w:drawing>
              <wp:anchor distT="0" distB="0" distL="114300" distR="114300" simplePos="0" relativeHeight="251652608" behindDoc="0" locked="0" layoutInCell="1" allowOverlap="1">
                <wp:simplePos x="0" y="0"/>
                <wp:positionH relativeFrom="column">
                  <wp:posOffset>254000</wp:posOffset>
                </wp:positionH>
                <wp:positionV relativeFrom="paragraph">
                  <wp:posOffset>2732405</wp:posOffset>
                </wp:positionV>
                <wp:extent cx="3486150" cy="71120"/>
                <wp:effectExtent l="0" t="19050" r="10795" b="2794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71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5DC1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0pt;margin-top:215.15pt;width:274.5pt;height: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idewIAABsFAAAOAAAAZHJzL2Uyb0RvYy54bWysVMlu2zAQvRfoPxC8N7JcO0kFy4Ebw0UB&#10;IwmaFDmPKWpBKZId0pbTr++QkmNnORXVgeBo9jdvOLvat4rtJLrG6JynZyPOpBamaHSV858Pq0+X&#10;nDkPugBltMz5k3T8av7xw6yzmRyb2qhCIqMg2mWdzXntvc2SxIlatuDOjJWalKXBFjyJWCUFQkfR&#10;W5WMR6PzpDNYWDRCOkd/l72Sz2P8spTC35alk56pnFNtPp4Yz004k/kMsgrB1o0YyoB/qKKFRlPS&#10;51BL8MC22LwJ1TYCjTOlPxOmTUxZNkLGHqibdPSqm/sarIy9EDjOPsPk/l9YcbO7Q9YUOR9zpqGl&#10;Ef1oqtqzBaLp2DgA1FmXkd29vcPQorNrI345UiQvNEFwg82+xDbYUoNsH9F+ekZb7j0T9PPz5PI8&#10;ndJQBOku0nQcp5FAdnC26Pw3aVoWLjnHUFcsKyINu7XzoQjIDoaxOqOaYtUoFQWsNtcK2Q5o/JPV&#10;Zfp1GRoiF3dqpjTrCIDpZBSqAaJhqcDTtbUEjNMVZ6Aq4rfwGHO/8HbvJInJayhkn3o6ou+QuTd/&#10;W0XoYgmu7l1iisFF6RBPRjoPTR/BDreNKZ5ojGh6fjsrVg1FW4Pzd4BEaOqLltTf0lEqQ82a4cZZ&#10;bfDPe/+DPfGMtJx1tCAExO8toORMfdfEwC/pZBI2KgqT6QWNj+GpZnOq0dv22tAQUnoOrIjXYO/V&#10;4VqiaR9plxchK6lAC8rdQz4I175fXHoNhFwsohltkQW/1vdWhOABp4Djw/4R0A7E8cS4G3NYJshe&#10;Mae3DZ7aLLbelE2k1RHXgei0gXFow2sRVvxUjlbHN23+FwAA//8DAFBLAwQUAAYACAAAACEA7KeA&#10;M+AAAAAKAQAADwAAAGRycy9kb3ducmV2LnhtbEyPwU7DMBBE70j8g7VIXFBrp01QCXEqhIQQBypR&#10;+gFOvCSBeB1ipw18PcsJTqudHc2+Kbaz68URx9B50pAsFQik2tuOGg2H14fFBkSIhqzpPaGGLwyw&#10;Lc/PCpNbf6IXPO5jIziEQm40tDEOuZShbtGZsPQDEt/e/OhM5HVspB3NicNdL1dKXUtnOuIPrRnw&#10;vsX6Yz85Dc/+++rJVqvP3XuWqMe0wWzKUOvLi/nuFkTEOf6Z4Ref0aFkpspPZIPoNaSKq0Sea7UG&#10;wYZsc8NKxUqaZCDLQv6vUP4AAAD//wMAUEsBAi0AFAAGAAgAAAAhALaDOJL+AAAA4QEAABMAAAAA&#10;AAAAAAAAAAAAAAAAAFtDb250ZW50X1R5cGVzXS54bWxQSwECLQAUAAYACAAAACEAOP0h/9YAAACU&#10;AQAACwAAAAAAAAAAAAAAAAAvAQAAX3JlbHMvLnJlbHNQSwECLQAUAAYACAAAACEAO4JYnXsCAAAb&#10;BQAADgAAAAAAAAAAAAAAAAAuAgAAZHJzL2Uyb0RvYy54bWxQSwECLQAUAAYACAAAACEA7KeAM+AA&#10;AAAKAQAADwAAAAAAAAAAAAAAAADVBAAAZHJzL2Rvd25yZXYueG1sUEsFBgAAAAAEAAQA8wAAAOIF&#10;AAAAAA==&#10;" adj="21380" fillcolor="#4f81bd" strokecolor="#385d8a" strokeweight="2pt">
                <v:path arrowok="t"/>
              </v:shape>
            </w:pict>
          </mc:Fallback>
        </mc:AlternateContent>
      </w:r>
      <w:r w:rsidRPr="009B565F">
        <w:rPr>
          <w:noProof/>
          <w:lang w:eastAsia="zh-CN"/>
        </w:rPr>
        <w:drawing>
          <wp:inline distT="0" distB="0" distL="0" distR="0">
            <wp:extent cx="5488940" cy="3209925"/>
            <wp:effectExtent l="9525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110CC" w:rsidRPr="00913C28" w:rsidRDefault="00B110CC" w:rsidP="00B110CC">
      <w:pPr>
        <w:spacing w:line="480" w:lineRule="auto"/>
        <w:jc w:val="both"/>
        <w:rPr>
          <w:rFonts w:ascii="Times New Roman" w:hAnsi="Times New Roman"/>
          <w:iCs/>
          <w:sz w:val="24"/>
          <w:szCs w:val="24"/>
        </w:rPr>
      </w:pPr>
      <w:r w:rsidRPr="00AB2BB1">
        <w:rPr>
          <w:rStyle w:val="SubtleEmphasis"/>
          <w:rFonts w:ascii="Times New Roman" w:hAnsi="Times New Roman"/>
          <w:i w:val="0"/>
          <w:color w:val="auto"/>
          <w:sz w:val="24"/>
          <w:szCs w:val="24"/>
        </w:rPr>
        <w:t xml:space="preserve">Empirically, </w:t>
      </w:r>
      <w:r w:rsidRPr="00B110CC">
        <w:rPr>
          <w:rFonts w:ascii="Times New Roman" w:hAnsi="Times New Roman"/>
          <w:sz w:val="24"/>
          <w:szCs w:val="24"/>
        </w:rPr>
        <w:t>we reveal the existence of different accounts and vocabularies of motive within pension fund investment practices. These vocabularies of motive are durable and also accompanied with distinctly different temporal</w:t>
      </w:r>
      <w:r w:rsidRPr="00000D82">
        <w:rPr>
          <w:rFonts w:ascii="Times New Roman" w:hAnsi="Times New Roman"/>
          <w:b/>
          <w:sz w:val="24"/>
          <w:szCs w:val="24"/>
        </w:rPr>
        <w:t xml:space="preserve"> </w:t>
      </w:r>
      <w:r w:rsidRPr="00AB2BB1">
        <w:rPr>
          <w:rStyle w:val="SubtleEmphasis"/>
          <w:rFonts w:ascii="Times New Roman" w:hAnsi="Times New Roman"/>
          <w:i w:val="0"/>
          <w:color w:val="auto"/>
          <w:sz w:val="24"/>
          <w:szCs w:val="24"/>
        </w:rPr>
        <w:t>perspectives</w:t>
      </w:r>
      <w:r w:rsidRPr="00AB2BB1">
        <w:rPr>
          <w:rStyle w:val="FootnoteReference"/>
          <w:rFonts w:ascii="Times New Roman" w:hAnsi="Times New Roman"/>
          <w:i/>
          <w:iCs/>
          <w:sz w:val="24"/>
          <w:szCs w:val="24"/>
        </w:rPr>
        <w:footnoteReference w:id="2"/>
      </w:r>
      <w:r w:rsidRPr="00AB2BB1">
        <w:rPr>
          <w:rStyle w:val="SubtleEmphasis"/>
          <w:rFonts w:ascii="Times New Roman" w:hAnsi="Times New Roman"/>
          <w:i w:val="0"/>
          <w:color w:val="auto"/>
          <w:sz w:val="24"/>
          <w:szCs w:val="24"/>
        </w:rPr>
        <w:t xml:space="preserve"> (as indicated </w:t>
      </w:r>
      <w:r w:rsidRPr="00AB2BB1">
        <w:rPr>
          <w:rStyle w:val="SubtleEmphasis"/>
          <w:rFonts w:ascii="Times New Roman" w:hAnsi="Times New Roman"/>
          <w:i w:val="0"/>
          <w:color w:val="auto"/>
          <w:sz w:val="24"/>
          <w:szCs w:val="24"/>
        </w:rPr>
        <w:lastRenderedPageBreak/>
        <w:t xml:space="preserve">by group A and B </w:t>
      </w:r>
      <w:r>
        <w:rPr>
          <w:rStyle w:val="SubtleEmphasis"/>
          <w:rFonts w:ascii="Times New Roman" w:hAnsi="Times New Roman"/>
          <w:i w:val="0"/>
          <w:color w:val="auto"/>
          <w:sz w:val="24"/>
          <w:szCs w:val="24"/>
        </w:rPr>
        <w:t>along a time continuum in</w:t>
      </w:r>
      <w:r w:rsidRPr="00AB2BB1">
        <w:rPr>
          <w:rStyle w:val="SubtleEmphasis"/>
          <w:rFonts w:ascii="Times New Roman" w:hAnsi="Times New Roman"/>
          <w:i w:val="0"/>
          <w:color w:val="auto"/>
          <w:sz w:val="24"/>
          <w:szCs w:val="24"/>
        </w:rPr>
        <w:t xml:space="preserve"> Figure 1). </w:t>
      </w:r>
      <w:r>
        <w:rPr>
          <w:rStyle w:val="SubtleEmphasis"/>
          <w:rFonts w:ascii="Times New Roman" w:hAnsi="Times New Roman"/>
          <w:i w:val="0"/>
          <w:color w:val="auto"/>
          <w:sz w:val="24"/>
          <w:szCs w:val="24"/>
        </w:rPr>
        <w:t>Within disengaged vocabulary</w:t>
      </w:r>
      <w:r w:rsidRPr="00AB2BB1">
        <w:rPr>
          <w:rStyle w:val="SubtleEmphasis"/>
          <w:rFonts w:ascii="Times New Roman" w:hAnsi="Times New Roman"/>
          <w:i w:val="0"/>
          <w:color w:val="auto"/>
          <w:sz w:val="24"/>
          <w:szCs w:val="24"/>
        </w:rPr>
        <w:t xml:space="preserve"> (group A),</w:t>
      </w:r>
      <w:r w:rsidRPr="00AB2BB1">
        <w:rPr>
          <w:rStyle w:val="SubtleEmphasis"/>
          <w:rFonts w:ascii="Times New Roman" w:hAnsi="Times New Roman"/>
          <w:color w:val="auto"/>
          <w:sz w:val="24"/>
          <w:szCs w:val="24"/>
        </w:rPr>
        <w:t xml:space="preserve"> </w:t>
      </w:r>
      <w:r>
        <w:rPr>
          <w:rFonts w:ascii="Times New Roman" w:hAnsi="Times New Roman"/>
          <w:sz w:val="24"/>
          <w:szCs w:val="24"/>
        </w:rPr>
        <w:t>t</w:t>
      </w:r>
      <w:r w:rsidRPr="000B5E64">
        <w:rPr>
          <w:rFonts w:ascii="Times New Roman" w:hAnsi="Times New Roman"/>
          <w:sz w:val="24"/>
          <w:szCs w:val="24"/>
        </w:rPr>
        <w:t xml:space="preserve">rustees </w:t>
      </w:r>
      <w:r>
        <w:rPr>
          <w:rFonts w:ascii="Times New Roman" w:hAnsi="Times New Roman"/>
          <w:sz w:val="24"/>
          <w:szCs w:val="24"/>
        </w:rPr>
        <w:t xml:space="preserve">and pension fund executives </w:t>
      </w:r>
      <w:r w:rsidRPr="000B5E64">
        <w:rPr>
          <w:rFonts w:ascii="Times New Roman" w:hAnsi="Times New Roman"/>
          <w:sz w:val="24"/>
          <w:szCs w:val="24"/>
        </w:rPr>
        <w:t>referr</w:t>
      </w:r>
      <w:r>
        <w:rPr>
          <w:rFonts w:ascii="Times New Roman" w:hAnsi="Times New Roman"/>
          <w:sz w:val="24"/>
          <w:szCs w:val="24"/>
        </w:rPr>
        <w:t>ed</w:t>
      </w:r>
      <w:r w:rsidRPr="000B5E64">
        <w:rPr>
          <w:rFonts w:ascii="Times New Roman" w:hAnsi="Times New Roman"/>
          <w:sz w:val="24"/>
          <w:szCs w:val="24"/>
        </w:rPr>
        <w:t xml:space="preserve"> to a number of internal and external </w:t>
      </w:r>
      <w:r>
        <w:rPr>
          <w:rFonts w:ascii="Times New Roman" w:hAnsi="Times New Roman"/>
          <w:sz w:val="24"/>
          <w:szCs w:val="24"/>
        </w:rPr>
        <w:t xml:space="preserve">justifications to account for the </w:t>
      </w:r>
      <w:r w:rsidRPr="00AB23EE">
        <w:rPr>
          <w:rFonts w:ascii="Times New Roman" w:hAnsi="Times New Roman"/>
          <w:sz w:val="24"/>
          <w:szCs w:val="24"/>
        </w:rPr>
        <w:t>disengaged</w:t>
      </w:r>
      <w:r>
        <w:rPr>
          <w:rFonts w:ascii="Times New Roman" w:hAnsi="Times New Roman"/>
          <w:sz w:val="24"/>
          <w:szCs w:val="24"/>
        </w:rPr>
        <w:t xml:space="preserve"> and </w:t>
      </w:r>
      <w:r w:rsidRPr="00AB23EE">
        <w:rPr>
          <w:rFonts w:ascii="Times New Roman" w:hAnsi="Times New Roman"/>
          <w:sz w:val="24"/>
          <w:szCs w:val="24"/>
        </w:rPr>
        <w:t xml:space="preserve">investment performance oriented </w:t>
      </w:r>
      <w:r>
        <w:rPr>
          <w:rFonts w:ascii="Times New Roman" w:hAnsi="Times New Roman"/>
          <w:sz w:val="24"/>
          <w:szCs w:val="24"/>
        </w:rPr>
        <w:t>behaviour</w:t>
      </w:r>
      <w:r w:rsidRPr="00AB23EE">
        <w:rPr>
          <w:rFonts w:ascii="Times New Roman" w:hAnsi="Times New Roman"/>
          <w:sz w:val="24"/>
          <w:szCs w:val="24"/>
        </w:rPr>
        <w:t>. The internal</w:t>
      </w:r>
      <w:r>
        <w:rPr>
          <w:rFonts w:ascii="Times New Roman" w:hAnsi="Times New Roman"/>
          <w:sz w:val="24"/>
          <w:szCs w:val="24"/>
        </w:rPr>
        <w:t xml:space="preserve"> accounts </w:t>
      </w:r>
      <w:r w:rsidRPr="00AB23EE">
        <w:rPr>
          <w:rFonts w:ascii="Times New Roman" w:hAnsi="Times New Roman"/>
          <w:sz w:val="24"/>
          <w:szCs w:val="24"/>
        </w:rPr>
        <w:t>are associated with trustees’ interpretations of their fiduciary duties; the levels of expertise on the trustee board</w:t>
      </w:r>
      <w:r>
        <w:rPr>
          <w:rFonts w:ascii="Times New Roman" w:hAnsi="Times New Roman"/>
          <w:sz w:val="24"/>
          <w:szCs w:val="24"/>
        </w:rPr>
        <w:t xml:space="preserve"> and employer relationship</w:t>
      </w:r>
      <w:r w:rsidRPr="00AB23EE">
        <w:rPr>
          <w:rFonts w:ascii="Times New Roman" w:hAnsi="Times New Roman"/>
          <w:sz w:val="24"/>
          <w:szCs w:val="24"/>
        </w:rPr>
        <w:t xml:space="preserve">. External </w:t>
      </w:r>
      <w:r>
        <w:rPr>
          <w:rFonts w:ascii="Times New Roman" w:hAnsi="Times New Roman"/>
          <w:sz w:val="24"/>
          <w:szCs w:val="24"/>
        </w:rPr>
        <w:t>accounts</w:t>
      </w:r>
      <w:r w:rsidRPr="00AB23EE">
        <w:rPr>
          <w:rFonts w:ascii="Times New Roman" w:hAnsi="Times New Roman"/>
          <w:sz w:val="24"/>
          <w:szCs w:val="24"/>
        </w:rPr>
        <w:t xml:space="preserve"> include</w:t>
      </w:r>
      <w:r>
        <w:rPr>
          <w:rFonts w:ascii="Times New Roman" w:hAnsi="Times New Roman"/>
          <w:sz w:val="24"/>
          <w:szCs w:val="24"/>
        </w:rPr>
        <w:t>d:</w:t>
      </w:r>
      <w:r w:rsidRPr="00AB23EE">
        <w:rPr>
          <w:rFonts w:ascii="Times New Roman" w:hAnsi="Times New Roman"/>
          <w:sz w:val="24"/>
          <w:szCs w:val="24"/>
        </w:rPr>
        <w:t xml:space="preserve"> unstable financial markets, increasing human longevity and pr</w:t>
      </w:r>
      <w:r>
        <w:rPr>
          <w:rFonts w:ascii="Times New Roman" w:hAnsi="Times New Roman"/>
          <w:sz w:val="24"/>
          <w:szCs w:val="24"/>
        </w:rPr>
        <w:t>ogressing pension fund maturity – all considered being significant constraints to engagement. In contrast, interviewees who used engaged vocabulary (group B) used more positive accounts of their investment behaviour. There were also references to internal accounts such as trustee fiduciary duty, internal resources and expertise. However, these were considered as enablers of engagement, alongside external public pressure for more accountability and engagement.</w:t>
      </w:r>
    </w:p>
    <w:p w:rsidR="00B110CC"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rPr>
        <w:t xml:space="preserve">We also found that distinct temporal perspectives accompanies engaged and disengaged vocabularies. Group A created a distinct narrative of stable funding and pension fund’s environment being </w:t>
      </w:r>
      <w:r w:rsidRPr="008C2A79">
        <w:rPr>
          <w:rFonts w:ascii="Times New Roman" w:hAnsi="Times New Roman"/>
          <w:i/>
          <w:sz w:val="24"/>
          <w:szCs w:val="24"/>
        </w:rPr>
        <w:t>‘simple’</w:t>
      </w:r>
      <w:r>
        <w:rPr>
          <w:rFonts w:ascii="Times New Roman" w:hAnsi="Times New Roman"/>
          <w:sz w:val="24"/>
          <w:szCs w:val="24"/>
        </w:rPr>
        <w:t xml:space="preserve"> and </w:t>
      </w:r>
      <w:r w:rsidRPr="008C2A79">
        <w:rPr>
          <w:rFonts w:ascii="Times New Roman" w:hAnsi="Times New Roman"/>
          <w:i/>
          <w:sz w:val="24"/>
          <w:szCs w:val="24"/>
        </w:rPr>
        <w:t>‘uncomplicated’</w:t>
      </w:r>
      <w:r w:rsidRPr="008C2A79">
        <w:rPr>
          <w:rFonts w:ascii="Times New Roman" w:hAnsi="Times New Roman"/>
          <w:sz w:val="24"/>
          <w:szCs w:val="24"/>
        </w:rPr>
        <w:t xml:space="preserve"> in the past</w:t>
      </w:r>
      <w:r>
        <w:rPr>
          <w:rFonts w:ascii="Times New Roman" w:hAnsi="Times New Roman"/>
          <w:sz w:val="24"/>
          <w:szCs w:val="24"/>
        </w:rPr>
        <w:t>,</w:t>
      </w:r>
      <w:r w:rsidRPr="008C2A79">
        <w:rPr>
          <w:rFonts w:ascii="Times New Roman" w:hAnsi="Times New Roman"/>
          <w:sz w:val="24"/>
          <w:szCs w:val="24"/>
        </w:rPr>
        <w:t xml:space="preserve"> </w:t>
      </w:r>
      <w:r>
        <w:rPr>
          <w:rFonts w:ascii="Times New Roman" w:hAnsi="Times New Roman"/>
          <w:sz w:val="24"/>
          <w:szCs w:val="24"/>
        </w:rPr>
        <w:t xml:space="preserve">but becoming </w:t>
      </w:r>
      <w:r w:rsidRPr="008C2A79">
        <w:rPr>
          <w:rFonts w:ascii="Times New Roman" w:hAnsi="Times New Roman"/>
          <w:i/>
          <w:sz w:val="24"/>
          <w:szCs w:val="24"/>
        </w:rPr>
        <w:t>‘volatile’</w:t>
      </w:r>
      <w:r>
        <w:rPr>
          <w:rFonts w:ascii="Times New Roman" w:hAnsi="Times New Roman"/>
          <w:sz w:val="24"/>
          <w:szCs w:val="24"/>
        </w:rPr>
        <w:t xml:space="preserve"> and </w:t>
      </w:r>
      <w:r w:rsidRPr="008C2A79">
        <w:rPr>
          <w:rFonts w:ascii="Times New Roman" w:hAnsi="Times New Roman"/>
          <w:i/>
          <w:sz w:val="24"/>
          <w:szCs w:val="24"/>
        </w:rPr>
        <w:t>‘overly complex’</w:t>
      </w:r>
      <w:r>
        <w:rPr>
          <w:rFonts w:ascii="Times New Roman" w:hAnsi="Times New Roman"/>
          <w:sz w:val="24"/>
          <w:szCs w:val="24"/>
        </w:rPr>
        <w:t xml:space="preserve"> </w:t>
      </w:r>
      <w:r w:rsidRPr="008C2A79">
        <w:rPr>
          <w:rFonts w:ascii="Times New Roman" w:hAnsi="Times New Roman"/>
          <w:sz w:val="24"/>
          <w:szCs w:val="24"/>
        </w:rPr>
        <w:t>in the present</w:t>
      </w:r>
      <w:r>
        <w:rPr>
          <w:rFonts w:ascii="Times New Roman" w:hAnsi="Times New Roman"/>
          <w:sz w:val="24"/>
          <w:szCs w:val="24"/>
        </w:rPr>
        <w:t xml:space="preserve">, leading to an </w:t>
      </w:r>
      <w:r w:rsidRPr="008C2A79">
        <w:rPr>
          <w:rFonts w:ascii="Times New Roman" w:hAnsi="Times New Roman"/>
          <w:i/>
          <w:sz w:val="24"/>
          <w:szCs w:val="24"/>
        </w:rPr>
        <w:t>‘uncertain’</w:t>
      </w:r>
      <w:r w:rsidRPr="008C2A79">
        <w:rPr>
          <w:rFonts w:ascii="Times New Roman" w:hAnsi="Times New Roman"/>
          <w:sz w:val="24"/>
          <w:szCs w:val="24"/>
        </w:rPr>
        <w:t xml:space="preserve"> future. </w:t>
      </w:r>
      <w:r>
        <w:rPr>
          <w:rFonts w:ascii="Times New Roman" w:hAnsi="Times New Roman"/>
          <w:sz w:val="24"/>
          <w:szCs w:val="24"/>
        </w:rPr>
        <w:t>In contrast, group B used a more positive narrative, describing gradual pension industry changes from non-engagement in the past to more active engagement by some pension funds in the present, and ultimately connecting this to a more susta</w:t>
      </w:r>
      <w:r w:rsidRPr="00802F02">
        <w:rPr>
          <w:rFonts w:ascii="Times New Roman" w:hAnsi="Times New Roman"/>
          <w:sz w:val="24"/>
          <w:szCs w:val="24"/>
        </w:rPr>
        <w:t xml:space="preserve">inable future. We elaborate on these findings in more detail next, starting with </w:t>
      </w:r>
      <w:r>
        <w:rPr>
          <w:rFonts w:ascii="Times New Roman" w:hAnsi="Times New Roman"/>
          <w:sz w:val="24"/>
          <w:szCs w:val="24"/>
        </w:rPr>
        <w:t>interviewees accounts in the Disengaged Vocabulary</w:t>
      </w:r>
      <w:r w:rsidRPr="00802F02">
        <w:rPr>
          <w:rFonts w:ascii="Times New Roman" w:hAnsi="Times New Roman"/>
          <w:sz w:val="24"/>
          <w:szCs w:val="24"/>
        </w:rPr>
        <w:t xml:space="preserve">. </w:t>
      </w:r>
    </w:p>
    <w:p w:rsidR="00B110CC" w:rsidRPr="003B688F" w:rsidRDefault="00B110CC" w:rsidP="00B110CC">
      <w:pPr>
        <w:jc w:val="both"/>
        <w:rPr>
          <w:rFonts w:ascii="Times New Roman" w:hAnsi="Times New Roman"/>
          <w:b/>
          <w:sz w:val="24"/>
          <w:szCs w:val="24"/>
        </w:rPr>
      </w:pPr>
      <w:r>
        <w:rPr>
          <w:rFonts w:ascii="Times New Roman" w:hAnsi="Times New Roman"/>
          <w:b/>
          <w:sz w:val="24"/>
          <w:szCs w:val="24"/>
        </w:rPr>
        <w:t xml:space="preserve">Group A Disengaged Vocabulary </w:t>
      </w:r>
    </w:p>
    <w:p w:rsidR="00B110CC" w:rsidRDefault="00B110CC" w:rsidP="00B110CC">
      <w:pPr>
        <w:jc w:val="both"/>
        <w:rPr>
          <w:rFonts w:ascii="Times New Roman" w:hAnsi="Times New Roman"/>
          <w:b/>
          <w:i/>
          <w:sz w:val="24"/>
          <w:szCs w:val="24"/>
        </w:rPr>
      </w:pPr>
      <w:r>
        <w:rPr>
          <w:rFonts w:ascii="Times New Roman" w:hAnsi="Times New Roman"/>
          <w:b/>
          <w:i/>
          <w:sz w:val="24"/>
          <w:szCs w:val="24"/>
        </w:rPr>
        <w:t>Internal Accounts</w:t>
      </w:r>
    </w:p>
    <w:p w:rsidR="00B110CC" w:rsidRPr="000C026A" w:rsidRDefault="00B110CC" w:rsidP="00B110CC">
      <w:pPr>
        <w:spacing w:line="480" w:lineRule="auto"/>
        <w:jc w:val="both"/>
        <w:rPr>
          <w:rFonts w:ascii="Times New Roman" w:hAnsi="Times New Roman"/>
          <w:bCs/>
          <w:i/>
          <w:iCs/>
          <w:sz w:val="24"/>
          <w:szCs w:val="24"/>
        </w:rPr>
      </w:pPr>
      <w:r w:rsidRPr="00712A9B">
        <w:rPr>
          <w:rFonts w:ascii="Times New Roman" w:hAnsi="Times New Roman"/>
          <w:i/>
          <w:sz w:val="24"/>
          <w:szCs w:val="24"/>
          <w:u w:val="single"/>
        </w:rPr>
        <w:lastRenderedPageBreak/>
        <w:t>Trustees Fiduciary Duty.</w:t>
      </w:r>
      <w:r>
        <w:rPr>
          <w:rFonts w:ascii="Times New Roman" w:hAnsi="Times New Roman"/>
          <w:sz w:val="24"/>
          <w:szCs w:val="24"/>
        </w:rPr>
        <w:t xml:space="preserve"> </w:t>
      </w:r>
      <w:r w:rsidRPr="000F1E00">
        <w:rPr>
          <w:rFonts w:ascii="Times New Roman" w:hAnsi="Times New Roman"/>
          <w:sz w:val="24"/>
          <w:szCs w:val="24"/>
        </w:rPr>
        <w:t>All interviewees referred to ‘Fiduciary Duties</w:t>
      </w:r>
      <w:r>
        <w:rPr>
          <w:rFonts w:ascii="Times New Roman" w:hAnsi="Times New Roman"/>
          <w:sz w:val="24"/>
          <w:szCs w:val="24"/>
        </w:rPr>
        <w:t>’</w:t>
      </w:r>
      <w:r>
        <w:rPr>
          <w:rStyle w:val="FootnoteReference"/>
          <w:rFonts w:ascii="Times New Roman" w:hAnsi="Times New Roman"/>
          <w:sz w:val="24"/>
          <w:szCs w:val="24"/>
        </w:rPr>
        <w:footnoteReference w:id="3"/>
      </w:r>
      <w:r w:rsidRPr="000F1E00">
        <w:rPr>
          <w:rFonts w:ascii="Times New Roman" w:hAnsi="Times New Roman"/>
          <w:sz w:val="24"/>
          <w:szCs w:val="24"/>
        </w:rPr>
        <w:t xml:space="preserve"> as the most important aspect shaping trustee approaches to investment.</w:t>
      </w:r>
      <w:r w:rsidRPr="007E27B3">
        <w:rPr>
          <w:rFonts w:ascii="Times New Roman" w:hAnsi="Times New Roman"/>
          <w:sz w:val="24"/>
          <w:szCs w:val="24"/>
        </w:rPr>
        <w:t xml:space="preserve"> </w:t>
      </w:r>
      <w:r>
        <w:rPr>
          <w:rFonts w:ascii="Times New Roman" w:hAnsi="Times New Roman"/>
          <w:sz w:val="24"/>
          <w:szCs w:val="24"/>
        </w:rPr>
        <w:t>We</w:t>
      </w:r>
      <w:r w:rsidRPr="007E27B3">
        <w:rPr>
          <w:rFonts w:ascii="Times New Roman" w:hAnsi="Times New Roman"/>
          <w:sz w:val="24"/>
          <w:szCs w:val="24"/>
        </w:rPr>
        <w:t xml:space="preserve"> find that the majority of trustees interpret their fiduciary duty as the duty to act in the best</w:t>
      </w:r>
      <w:r w:rsidRPr="007E27B3">
        <w:rPr>
          <w:rFonts w:ascii="Times New Roman" w:hAnsi="Times New Roman"/>
          <w:i/>
          <w:sz w:val="24"/>
          <w:szCs w:val="24"/>
        </w:rPr>
        <w:t xml:space="preserve"> financial</w:t>
      </w:r>
      <w:r w:rsidRPr="007E27B3">
        <w:rPr>
          <w:rFonts w:ascii="Times New Roman" w:hAnsi="Times New Roman"/>
          <w:sz w:val="24"/>
          <w:szCs w:val="24"/>
        </w:rPr>
        <w:t xml:space="preserve"> interest of beneficiaries. Out of 35 interviews, 28 local authority and occupational pension fund respondents highlighted that ‘</w:t>
      </w:r>
      <w:r w:rsidRPr="007E27B3">
        <w:rPr>
          <w:rFonts w:ascii="Times New Roman" w:hAnsi="Times New Roman"/>
          <w:i/>
          <w:iCs/>
          <w:sz w:val="24"/>
          <w:szCs w:val="24"/>
        </w:rPr>
        <w:t>one single objective is to manage the money in the best possible way</w:t>
      </w:r>
      <w:r w:rsidRPr="007E27B3">
        <w:rPr>
          <w:rFonts w:ascii="Times New Roman" w:hAnsi="Times New Roman"/>
          <w:sz w:val="24"/>
          <w:szCs w:val="24"/>
        </w:rPr>
        <w:t xml:space="preserve">’, and that means making a return on invested capital. Trustees’ perception of their duty to act in the best </w:t>
      </w:r>
      <w:r w:rsidRPr="007E27B3">
        <w:rPr>
          <w:rFonts w:ascii="Times New Roman" w:hAnsi="Times New Roman"/>
          <w:i/>
          <w:sz w:val="24"/>
          <w:szCs w:val="24"/>
        </w:rPr>
        <w:t xml:space="preserve">financial </w:t>
      </w:r>
      <w:r w:rsidRPr="007E27B3">
        <w:rPr>
          <w:rFonts w:ascii="Times New Roman" w:hAnsi="Times New Roman"/>
          <w:sz w:val="24"/>
          <w:szCs w:val="24"/>
        </w:rPr>
        <w:t>interest of the pension fund members mean</w:t>
      </w:r>
      <w:r>
        <w:rPr>
          <w:rFonts w:ascii="Times New Roman" w:hAnsi="Times New Roman"/>
          <w:sz w:val="24"/>
          <w:szCs w:val="24"/>
        </w:rPr>
        <w:t>t</w:t>
      </w:r>
      <w:r w:rsidRPr="007E27B3">
        <w:rPr>
          <w:rFonts w:ascii="Times New Roman" w:hAnsi="Times New Roman"/>
          <w:sz w:val="24"/>
          <w:szCs w:val="24"/>
        </w:rPr>
        <w:t xml:space="preserve"> that </w:t>
      </w:r>
      <w:r>
        <w:rPr>
          <w:rFonts w:ascii="Times New Roman" w:hAnsi="Times New Roman"/>
          <w:sz w:val="24"/>
          <w:szCs w:val="24"/>
        </w:rPr>
        <w:t>in-house investment officers were</w:t>
      </w:r>
      <w:r w:rsidRPr="007E27B3">
        <w:rPr>
          <w:rFonts w:ascii="Times New Roman" w:hAnsi="Times New Roman"/>
          <w:sz w:val="24"/>
          <w:szCs w:val="24"/>
        </w:rPr>
        <w:t xml:space="preserve"> more focused on generating investment performance at the expense of anything else. While reflecting on their roles, trustees and pension fund managers perceived that pension funds are there ‘</w:t>
      </w:r>
      <w:r w:rsidRPr="007E27B3">
        <w:rPr>
          <w:rFonts w:ascii="Times New Roman" w:hAnsi="Times New Roman"/>
          <w:i/>
          <w:sz w:val="24"/>
          <w:szCs w:val="24"/>
        </w:rPr>
        <w:t>to provide financial security to members’</w:t>
      </w:r>
      <w:r>
        <w:rPr>
          <w:rFonts w:ascii="Times New Roman" w:hAnsi="Times New Roman"/>
          <w:sz w:val="24"/>
          <w:szCs w:val="24"/>
        </w:rPr>
        <w:t>. Thus, trustees saw</w:t>
      </w:r>
      <w:r w:rsidRPr="007E27B3">
        <w:rPr>
          <w:rFonts w:ascii="Times New Roman" w:hAnsi="Times New Roman"/>
          <w:sz w:val="24"/>
          <w:szCs w:val="24"/>
        </w:rPr>
        <w:t xml:space="preserve"> it as their duty in relation to the trust</w:t>
      </w:r>
      <w:r>
        <w:rPr>
          <w:rFonts w:ascii="Times New Roman" w:hAnsi="Times New Roman"/>
          <w:sz w:val="24"/>
          <w:szCs w:val="24"/>
        </w:rPr>
        <w:t xml:space="preserve"> to fulfil what the law required</w:t>
      </w:r>
      <w:r w:rsidRPr="007E27B3">
        <w:rPr>
          <w:rFonts w:ascii="Times New Roman" w:hAnsi="Times New Roman"/>
          <w:sz w:val="24"/>
          <w:szCs w:val="24"/>
        </w:rPr>
        <w:t xml:space="preserve"> and ensure that pension fund assets are invested in a profitable way.</w:t>
      </w:r>
      <w:r>
        <w:rPr>
          <w:rFonts w:ascii="Times New Roman" w:hAnsi="Times New Roman"/>
          <w:sz w:val="24"/>
          <w:szCs w:val="24"/>
        </w:rPr>
        <w:t xml:space="preserve"> Spending money on engagement was</w:t>
      </w:r>
      <w:r w:rsidRPr="007E27B3">
        <w:rPr>
          <w:rFonts w:ascii="Times New Roman" w:hAnsi="Times New Roman"/>
          <w:sz w:val="24"/>
          <w:szCs w:val="24"/>
        </w:rPr>
        <w:t xml:space="preserve"> considered to be an </w:t>
      </w:r>
      <w:r w:rsidRPr="007E27B3">
        <w:rPr>
          <w:rFonts w:ascii="Times New Roman" w:hAnsi="Times New Roman"/>
          <w:i/>
          <w:sz w:val="24"/>
          <w:szCs w:val="24"/>
        </w:rPr>
        <w:t xml:space="preserve">‘unjustified’ </w:t>
      </w:r>
      <w:r w:rsidRPr="007E27B3">
        <w:rPr>
          <w:rFonts w:ascii="Times New Roman" w:hAnsi="Times New Roman"/>
          <w:sz w:val="24"/>
          <w:szCs w:val="24"/>
        </w:rPr>
        <w:t xml:space="preserve">use of pension fund resources. Trustee accounts (Quotes 1, 2, 3 and 4 in Table 2, Appendix C) </w:t>
      </w:r>
      <w:r>
        <w:rPr>
          <w:rFonts w:ascii="Times New Roman" w:hAnsi="Times New Roman"/>
          <w:sz w:val="24"/>
          <w:szCs w:val="24"/>
        </w:rPr>
        <w:t>illustrate how trustees made</w:t>
      </w:r>
      <w:r w:rsidRPr="007E27B3">
        <w:rPr>
          <w:rFonts w:ascii="Times New Roman" w:hAnsi="Times New Roman"/>
          <w:sz w:val="24"/>
          <w:szCs w:val="24"/>
        </w:rPr>
        <w:t xml:space="preserve"> sense of this issue. </w:t>
      </w:r>
      <w:r>
        <w:rPr>
          <w:rFonts w:ascii="Times New Roman" w:hAnsi="Times New Roman"/>
          <w:sz w:val="24"/>
          <w:szCs w:val="24"/>
        </w:rPr>
        <w:t>When it came</w:t>
      </w:r>
      <w:r w:rsidRPr="000F1E00">
        <w:rPr>
          <w:rFonts w:ascii="Times New Roman" w:hAnsi="Times New Roman"/>
          <w:sz w:val="24"/>
          <w:szCs w:val="24"/>
        </w:rPr>
        <w:t xml:space="preserve"> to pension fund governance and compliance, the CEO of a large occupational pension fund (over </w:t>
      </w:r>
      <w:r w:rsidRPr="000F1E00">
        <w:rPr>
          <w:rFonts w:ascii="Times New Roman" w:hAnsi="Times New Roman"/>
          <w:bCs/>
          <w:sz w:val="24"/>
          <w:szCs w:val="24"/>
        </w:rPr>
        <w:t xml:space="preserve">£22 billion) </w:t>
      </w:r>
      <w:r>
        <w:rPr>
          <w:rFonts w:ascii="Times New Roman" w:hAnsi="Times New Roman"/>
          <w:bCs/>
          <w:sz w:val="24"/>
          <w:szCs w:val="24"/>
        </w:rPr>
        <w:t xml:space="preserve">discussed </w:t>
      </w:r>
      <w:r w:rsidRPr="000F1E00">
        <w:rPr>
          <w:rFonts w:ascii="Times New Roman" w:hAnsi="Times New Roman"/>
          <w:bCs/>
          <w:sz w:val="24"/>
          <w:szCs w:val="24"/>
        </w:rPr>
        <w:t xml:space="preserve">a variety of </w:t>
      </w:r>
      <w:r>
        <w:rPr>
          <w:rFonts w:ascii="Times New Roman" w:hAnsi="Times New Roman"/>
          <w:bCs/>
          <w:sz w:val="24"/>
          <w:szCs w:val="24"/>
        </w:rPr>
        <w:t>factors</w:t>
      </w:r>
      <w:r w:rsidRPr="000F1E00">
        <w:rPr>
          <w:rFonts w:ascii="Times New Roman" w:hAnsi="Times New Roman"/>
          <w:bCs/>
          <w:sz w:val="24"/>
          <w:szCs w:val="24"/>
        </w:rPr>
        <w:t xml:space="preserve"> that shift</w:t>
      </w:r>
      <w:r>
        <w:rPr>
          <w:rFonts w:ascii="Times New Roman" w:hAnsi="Times New Roman"/>
          <w:bCs/>
          <w:sz w:val="24"/>
          <w:szCs w:val="24"/>
        </w:rPr>
        <w:t>ed</w:t>
      </w:r>
      <w:r w:rsidRPr="000F1E00">
        <w:rPr>
          <w:rFonts w:ascii="Times New Roman" w:hAnsi="Times New Roman"/>
          <w:bCs/>
          <w:sz w:val="24"/>
          <w:szCs w:val="24"/>
        </w:rPr>
        <w:t xml:space="preserve"> focus away from corporate engagement towards other </w:t>
      </w:r>
      <w:r>
        <w:rPr>
          <w:rFonts w:ascii="Times New Roman" w:hAnsi="Times New Roman"/>
          <w:bCs/>
          <w:sz w:val="24"/>
          <w:szCs w:val="24"/>
        </w:rPr>
        <w:t xml:space="preserve">‘more important’ issues such as </w:t>
      </w:r>
      <w:r w:rsidRPr="000F1E00">
        <w:rPr>
          <w:rFonts w:ascii="Times New Roman" w:hAnsi="Times New Roman"/>
          <w:bCs/>
          <w:sz w:val="24"/>
          <w:szCs w:val="24"/>
        </w:rPr>
        <w:t>‘</w:t>
      </w:r>
      <w:r w:rsidRPr="000F1E00">
        <w:rPr>
          <w:rFonts w:ascii="Times New Roman" w:hAnsi="Times New Roman"/>
          <w:bCs/>
          <w:i/>
          <w:iCs/>
          <w:sz w:val="24"/>
          <w:szCs w:val="24"/>
        </w:rPr>
        <w:t>sound standards of administration, sensible standards of investment rather than corporate governance’.</w:t>
      </w:r>
      <w:r>
        <w:rPr>
          <w:rFonts w:ascii="Times New Roman" w:hAnsi="Times New Roman"/>
          <w:bCs/>
          <w:i/>
          <w:iCs/>
          <w:sz w:val="24"/>
          <w:szCs w:val="24"/>
        </w:rPr>
        <w:t xml:space="preserve"> </w:t>
      </w:r>
      <w:r>
        <w:rPr>
          <w:rFonts w:ascii="Times New Roman" w:hAnsi="Times New Roman"/>
          <w:sz w:val="24"/>
          <w:szCs w:val="24"/>
        </w:rPr>
        <w:t>Engagement was</w:t>
      </w:r>
      <w:r w:rsidRPr="000F1E00">
        <w:rPr>
          <w:rFonts w:ascii="Times New Roman" w:hAnsi="Times New Roman"/>
          <w:sz w:val="24"/>
          <w:szCs w:val="24"/>
        </w:rPr>
        <w:t xml:space="preserve"> seen as an unjustified use of pension fund resources, </w:t>
      </w:r>
      <w:r>
        <w:rPr>
          <w:rFonts w:ascii="Times New Roman" w:hAnsi="Times New Roman"/>
          <w:sz w:val="24"/>
          <w:szCs w:val="24"/>
        </w:rPr>
        <w:t>therefore it was</w:t>
      </w:r>
      <w:r w:rsidRPr="000F1E00">
        <w:rPr>
          <w:rFonts w:ascii="Times New Roman" w:hAnsi="Times New Roman"/>
          <w:sz w:val="24"/>
          <w:szCs w:val="24"/>
        </w:rPr>
        <w:t xml:space="preserve"> not seen as a prudent way of fulfilling a trustee’s duty to grow a </w:t>
      </w:r>
      <w:r w:rsidRPr="000F1E00">
        <w:rPr>
          <w:rFonts w:ascii="Times New Roman" w:hAnsi="Times New Roman"/>
          <w:sz w:val="24"/>
          <w:szCs w:val="24"/>
        </w:rPr>
        <w:lastRenderedPageBreak/>
        <w:t xml:space="preserve">pension fund. </w:t>
      </w:r>
      <w:r>
        <w:rPr>
          <w:rFonts w:ascii="Times New Roman" w:hAnsi="Times New Roman"/>
          <w:sz w:val="24"/>
          <w:szCs w:val="24"/>
        </w:rPr>
        <w:t>T</w:t>
      </w:r>
      <w:r w:rsidRPr="000F1E00">
        <w:rPr>
          <w:rFonts w:ascii="Times New Roman" w:hAnsi="Times New Roman"/>
          <w:sz w:val="24"/>
          <w:szCs w:val="24"/>
        </w:rPr>
        <w:t xml:space="preserve">he fund managers </w:t>
      </w:r>
      <w:r>
        <w:rPr>
          <w:rFonts w:ascii="Times New Roman" w:hAnsi="Times New Roman"/>
          <w:sz w:val="24"/>
          <w:szCs w:val="24"/>
        </w:rPr>
        <w:t xml:space="preserve">said that they </w:t>
      </w:r>
      <w:r w:rsidRPr="000F1E00">
        <w:rPr>
          <w:rFonts w:ascii="Times New Roman" w:hAnsi="Times New Roman"/>
          <w:sz w:val="24"/>
          <w:szCs w:val="24"/>
        </w:rPr>
        <w:t>exercise</w:t>
      </w:r>
      <w:r>
        <w:rPr>
          <w:rFonts w:ascii="Times New Roman" w:hAnsi="Times New Roman"/>
          <w:sz w:val="24"/>
          <w:szCs w:val="24"/>
        </w:rPr>
        <w:t>d</w:t>
      </w:r>
      <w:r w:rsidRPr="000F1E00">
        <w:rPr>
          <w:rFonts w:ascii="Times New Roman" w:hAnsi="Times New Roman"/>
          <w:sz w:val="24"/>
          <w:szCs w:val="24"/>
        </w:rPr>
        <w:t xml:space="preserve"> discipline over the management of the investee companies by exiting or selling the shares, rather than engaging.</w:t>
      </w:r>
    </w:p>
    <w:p w:rsidR="00B110CC" w:rsidRDefault="00B110CC" w:rsidP="00B110CC">
      <w:pPr>
        <w:spacing w:line="480" w:lineRule="auto"/>
        <w:jc w:val="both"/>
        <w:rPr>
          <w:rFonts w:ascii="Times New Roman" w:hAnsi="Times New Roman"/>
          <w:bCs/>
          <w:iCs/>
          <w:sz w:val="24"/>
          <w:szCs w:val="24"/>
        </w:rPr>
      </w:pPr>
      <w:r w:rsidRPr="00712A9B">
        <w:rPr>
          <w:rFonts w:ascii="Times New Roman" w:hAnsi="Times New Roman"/>
          <w:i/>
          <w:sz w:val="24"/>
          <w:szCs w:val="24"/>
          <w:u w:val="single"/>
        </w:rPr>
        <w:t>Expertise within trustee boards.</w:t>
      </w:r>
      <w:r>
        <w:rPr>
          <w:rFonts w:ascii="Times New Roman" w:hAnsi="Times New Roman"/>
          <w:i/>
          <w:sz w:val="24"/>
          <w:szCs w:val="24"/>
        </w:rPr>
        <w:t xml:space="preserve"> </w:t>
      </w:r>
      <w:r w:rsidRPr="000F1E00">
        <w:rPr>
          <w:rFonts w:ascii="Times New Roman" w:hAnsi="Times New Roman"/>
          <w:bCs/>
          <w:iCs/>
          <w:sz w:val="24"/>
          <w:szCs w:val="24"/>
        </w:rPr>
        <w:t>A majority of trustees and pension fund managers also referred to a lack of invest</w:t>
      </w:r>
      <w:r>
        <w:rPr>
          <w:rFonts w:ascii="Times New Roman" w:hAnsi="Times New Roman"/>
          <w:bCs/>
          <w:iCs/>
          <w:sz w:val="24"/>
          <w:szCs w:val="24"/>
        </w:rPr>
        <w:t>ment expertise on their boards and the subsequent outsourcing from</w:t>
      </w:r>
      <w:r w:rsidRPr="000F1E00">
        <w:rPr>
          <w:rFonts w:ascii="Times New Roman" w:hAnsi="Times New Roman"/>
          <w:bCs/>
          <w:iCs/>
          <w:sz w:val="24"/>
          <w:szCs w:val="24"/>
        </w:rPr>
        <w:t xml:space="preserve"> </w:t>
      </w:r>
      <w:r>
        <w:rPr>
          <w:rFonts w:ascii="Times New Roman" w:hAnsi="Times New Roman"/>
          <w:bCs/>
          <w:iCs/>
          <w:sz w:val="24"/>
          <w:szCs w:val="24"/>
        </w:rPr>
        <w:t>an</w:t>
      </w:r>
      <w:r w:rsidRPr="000F1E00">
        <w:rPr>
          <w:rFonts w:ascii="Times New Roman" w:hAnsi="Times New Roman"/>
          <w:bCs/>
          <w:iCs/>
          <w:sz w:val="24"/>
          <w:szCs w:val="24"/>
        </w:rPr>
        <w:t xml:space="preserve"> increasing</w:t>
      </w:r>
      <w:r>
        <w:rPr>
          <w:rFonts w:ascii="Times New Roman" w:hAnsi="Times New Roman"/>
          <w:bCs/>
          <w:iCs/>
          <w:sz w:val="24"/>
          <w:szCs w:val="24"/>
        </w:rPr>
        <w:t xml:space="preserve">ly complex pensions environment </w:t>
      </w:r>
      <w:r w:rsidRPr="000F1E00">
        <w:rPr>
          <w:rFonts w:ascii="Times New Roman" w:hAnsi="Times New Roman"/>
          <w:bCs/>
          <w:iCs/>
          <w:sz w:val="24"/>
          <w:szCs w:val="24"/>
        </w:rPr>
        <w:t xml:space="preserve">as </w:t>
      </w:r>
      <w:r>
        <w:rPr>
          <w:rFonts w:ascii="Times New Roman" w:hAnsi="Times New Roman"/>
          <w:bCs/>
          <w:iCs/>
          <w:sz w:val="24"/>
          <w:szCs w:val="24"/>
        </w:rPr>
        <w:t>another reason why they did</w:t>
      </w:r>
      <w:r w:rsidRPr="000F1E00">
        <w:rPr>
          <w:rFonts w:ascii="Times New Roman" w:hAnsi="Times New Roman"/>
          <w:bCs/>
          <w:iCs/>
          <w:sz w:val="24"/>
          <w:szCs w:val="24"/>
        </w:rPr>
        <w:t xml:space="preserve"> not engage with their investee companies.</w:t>
      </w:r>
      <w:r w:rsidRPr="00BB5AAE">
        <w:rPr>
          <w:rFonts w:ascii="Times New Roman" w:hAnsi="Times New Roman"/>
          <w:bCs/>
          <w:iCs/>
          <w:sz w:val="24"/>
          <w:szCs w:val="24"/>
        </w:rPr>
        <w:t xml:space="preserve"> </w:t>
      </w:r>
      <w:r>
        <w:rPr>
          <w:rFonts w:ascii="Times New Roman" w:hAnsi="Times New Roman"/>
          <w:sz w:val="24"/>
          <w:szCs w:val="24"/>
        </w:rPr>
        <w:t>Many explained</w:t>
      </w:r>
      <w:r w:rsidRPr="000F1E00">
        <w:rPr>
          <w:rFonts w:ascii="Times New Roman" w:hAnsi="Times New Roman"/>
          <w:sz w:val="24"/>
          <w:szCs w:val="24"/>
        </w:rPr>
        <w:t xml:space="preserve"> that although trustees are responsible for investment strategy, by law they are not required to be investment experts. Instead, they are required to take appropriate investment advice to help formulate and implement that strategy.</w:t>
      </w:r>
      <w:r>
        <w:rPr>
          <w:rFonts w:ascii="Times New Roman" w:hAnsi="Times New Roman"/>
          <w:bCs/>
          <w:iCs/>
          <w:sz w:val="24"/>
          <w:szCs w:val="24"/>
        </w:rPr>
        <w:t xml:space="preserve"> Therefore, r</w:t>
      </w:r>
      <w:r w:rsidRPr="000F1E00">
        <w:rPr>
          <w:rFonts w:ascii="Times New Roman" w:hAnsi="Times New Roman"/>
          <w:bCs/>
          <w:iCs/>
          <w:sz w:val="24"/>
          <w:szCs w:val="24"/>
        </w:rPr>
        <w:t xml:space="preserve">espondents also shifted their individual responsibility for (dis)engagement by attributing it to an increase in the availability of financial intermediation in a form of investment consultants and other experts.   </w:t>
      </w:r>
    </w:p>
    <w:p w:rsidR="00B110CC" w:rsidRPr="00F77E92" w:rsidRDefault="00B110CC" w:rsidP="00B110CC">
      <w:pPr>
        <w:tabs>
          <w:tab w:val="left" w:pos="180"/>
          <w:tab w:val="left" w:pos="720"/>
          <w:tab w:val="left" w:pos="1440"/>
          <w:tab w:val="left" w:pos="2160"/>
          <w:tab w:val="left" w:pos="2880"/>
          <w:tab w:val="left" w:pos="3600"/>
          <w:tab w:val="left" w:pos="4320"/>
          <w:tab w:val="left" w:pos="5040"/>
          <w:tab w:val="left" w:pos="5760"/>
          <w:tab w:val="left" w:pos="6480"/>
          <w:tab w:val="left" w:pos="7920"/>
          <w:tab w:val="left" w:pos="8280"/>
          <w:tab w:val="left" w:pos="8640"/>
          <w:tab w:val="left" w:pos="9360"/>
          <w:tab w:val="left" w:pos="10080"/>
        </w:tabs>
        <w:spacing w:line="480" w:lineRule="auto"/>
        <w:ind w:right="32"/>
        <w:jc w:val="both"/>
        <w:rPr>
          <w:rFonts w:ascii="Times New Roman" w:hAnsi="Times New Roman"/>
          <w:i/>
          <w:sz w:val="24"/>
          <w:szCs w:val="24"/>
        </w:rPr>
      </w:pPr>
      <w:r w:rsidRPr="00712A9B">
        <w:rPr>
          <w:rFonts w:ascii="Times New Roman" w:hAnsi="Times New Roman"/>
          <w:i/>
          <w:sz w:val="24"/>
          <w:szCs w:val="24"/>
          <w:u w:val="single"/>
        </w:rPr>
        <w:t>Relationship with the Employer.</w:t>
      </w:r>
      <w:r>
        <w:rPr>
          <w:rFonts w:ascii="Times New Roman" w:hAnsi="Times New Roman"/>
          <w:b/>
          <w:i/>
          <w:sz w:val="24"/>
          <w:szCs w:val="24"/>
        </w:rPr>
        <w:t xml:space="preserve"> </w:t>
      </w:r>
      <w:r w:rsidRPr="000F1E00">
        <w:rPr>
          <w:rFonts w:ascii="Times New Roman" w:hAnsi="Times New Roman"/>
          <w:sz w:val="24"/>
          <w:szCs w:val="24"/>
        </w:rPr>
        <w:t xml:space="preserve">In conversations about the challenges and barriers towards investor engagement, interviewees also </w:t>
      </w:r>
      <w:r>
        <w:rPr>
          <w:rFonts w:ascii="Times New Roman" w:hAnsi="Times New Roman"/>
          <w:sz w:val="24"/>
          <w:szCs w:val="24"/>
        </w:rPr>
        <w:t xml:space="preserve">described </w:t>
      </w:r>
      <w:r w:rsidRPr="000F1E00">
        <w:rPr>
          <w:rFonts w:ascii="Times New Roman" w:hAnsi="Times New Roman"/>
          <w:sz w:val="24"/>
          <w:szCs w:val="24"/>
        </w:rPr>
        <w:t>the need to maintain a good relationship with the employer as a constraint. Nearly all interviewees of occupational pension funds related financial well-being of a pension fund to</w:t>
      </w:r>
      <w:r>
        <w:rPr>
          <w:rFonts w:ascii="Times New Roman" w:hAnsi="Times New Roman"/>
          <w:sz w:val="24"/>
          <w:szCs w:val="24"/>
        </w:rPr>
        <w:t xml:space="preserve"> the financial health of their employer. </w:t>
      </w:r>
      <w:r w:rsidRPr="000F1E00">
        <w:rPr>
          <w:rFonts w:ascii="Times New Roman" w:hAnsi="Times New Roman"/>
          <w:sz w:val="24"/>
          <w:szCs w:val="24"/>
        </w:rPr>
        <w:t>Trustees suggested that it is part of their responsibility to maintain a healthy relation</w:t>
      </w:r>
      <w:r>
        <w:rPr>
          <w:rFonts w:ascii="Times New Roman" w:hAnsi="Times New Roman"/>
          <w:sz w:val="24"/>
          <w:szCs w:val="24"/>
        </w:rPr>
        <w:t xml:space="preserve">ship with the employer and </w:t>
      </w:r>
      <w:r w:rsidRPr="000F1E00">
        <w:rPr>
          <w:rFonts w:ascii="Times New Roman" w:hAnsi="Times New Roman"/>
          <w:sz w:val="24"/>
          <w:szCs w:val="24"/>
        </w:rPr>
        <w:t>expressed the view that</w:t>
      </w:r>
      <w:r>
        <w:rPr>
          <w:rFonts w:ascii="Times New Roman" w:hAnsi="Times New Roman"/>
          <w:sz w:val="24"/>
          <w:szCs w:val="24"/>
        </w:rPr>
        <w:t xml:space="preserve"> they did not want to engage on any particular corporate governance issue because that might damage the reputation of their employer</w:t>
      </w:r>
      <w:r w:rsidRPr="000F1E00">
        <w:rPr>
          <w:rFonts w:ascii="Times New Roman" w:hAnsi="Times New Roman"/>
          <w:sz w:val="24"/>
          <w:szCs w:val="24"/>
        </w:rPr>
        <w:t xml:space="preserve">. </w:t>
      </w:r>
      <w:r w:rsidRPr="000F1E00">
        <w:rPr>
          <w:rFonts w:ascii="Times New Roman" w:hAnsi="Times New Roman"/>
          <w:bCs/>
          <w:color w:val="000000"/>
          <w:sz w:val="24"/>
          <w:szCs w:val="24"/>
        </w:rPr>
        <w:t>Quote</w:t>
      </w:r>
      <w:r>
        <w:rPr>
          <w:rFonts w:ascii="Times New Roman" w:hAnsi="Times New Roman"/>
          <w:bCs/>
          <w:color w:val="000000"/>
          <w:sz w:val="24"/>
          <w:szCs w:val="24"/>
        </w:rPr>
        <w:t>s</w:t>
      </w:r>
      <w:r w:rsidRPr="000F1E00">
        <w:rPr>
          <w:rFonts w:ascii="Times New Roman" w:hAnsi="Times New Roman"/>
          <w:bCs/>
          <w:color w:val="000000"/>
          <w:sz w:val="24"/>
          <w:szCs w:val="24"/>
        </w:rPr>
        <w:t xml:space="preserve"> </w:t>
      </w:r>
      <w:r>
        <w:rPr>
          <w:rFonts w:ascii="Times New Roman" w:hAnsi="Times New Roman"/>
          <w:bCs/>
          <w:color w:val="000000"/>
          <w:sz w:val="24"/>
          <w:szCs w:val="24"/>
        </w:rPr>
        <w:t>5</w:t>
      </w:r>
      <w:r w:rsidRPr="000F1E00">
        <w:rPr>
          <w:rFonts w:ascii="Times New Roman" w:hAnsi="Times New Roman"/>
          <w:bCs/>
          <w:color w:val="000000"/>
          <w:sz w:val="24"/>
          <w:szCs w:val="24"/>
        </w:rPr>
        <w:t xml:space="preserve">, </w:t>
      </w:r>
      <w:r>
        <w:rPr>
          <w:rFonts w:ascii="Times New Roman" w:hAnsi="Times New Roman"/>
          <w:bCs/>
          <w:color w:val="000000"/>
          <w:sz w:val="24"/>
          <w:szCs w:val="24"/>
        </w:rPr>
        <w:t>6</w:t>
      </w:r>
      <w:r w:rsidRPr="000F1E00">
        <w:rPr>
          <w:rFonts w:ascii="Times New Roman" w:hAnsi="Times New Roman"/>
          <w:bCs/>
          <w:color w:val="000000"/>
          <w:sz w:val="24"/>
          <w:szCs w:val="24"/>
        </w:rPr>
        <w:t xml:space="preserve"> and </w:t>
      </w:r>
      <w:r>
        <w:rPr>
          <w:rFonts w:ascii="Times New Roman" w:hAnsi="Times New Roman"/>
          <w:bCs/>
          <w:color w:val="000000"/>
          <w:sz w:val="24"/>
          <w:szCs w:val="24"/>
        </w:rPr>
        <w:t>7</w:t>
      </w:r>
      <w:r w:rsidRPr="000F1E00">
        <w:rPr>
          <w:rFonts w:ascii="Times New Roman" w:hAnsi="Times New Roman"/>
          <w:bCs/>
          <w:color w:val="000000"/>
          <w:sz w:val="24"/>
          <w:szCs w:val="24"/>
        </w:rPr>
        <w:t xml:space="preserve"> </w:t>
      </w:r>
      <w:r>
        <w:rPr>
          <w:rFonts w:ascii="Times New Roman" w:hAnsi="Times New Roman"/>
          <w:bCs/>
          <w:color w:val="000000"/>
          <w:sz w:val="24"/>
          <w:szCs w:val="24"/>
        </w:rPr>
        <w:t>exemplify</w:t>
      </w:r>
      <w:r w:rsidRPr="000F1E00">
        <w:rPr>
          <w:rFonts w:ascii="Times New Roman" w:hAnsi="Times New Roman"/>
          <w:bCs/>
          <w:color w:val="000000"/>
          <w:sz w:val="24"/>
          <w:szCs w:val="24"/>
        </w:rPr>
        <w:t xml:space="preserve"> this perception.</w:t>
      </w:r>
      <w:r>
        <w:rPr>
          <w:rFonts w:ascii="Times New Roman" w:hAnsi="Times New Roman"/>
          <w:bCs/>
          <w:color w:val="000000"/>
          <w:sz w:val="24"/>
          <w:szCs w:val="24"/>
        </w:rPr>
        <w:t xml:space="preserve"> </w:t>
      </w:r>
      <w:r w:rsidRPr="000F1E00">
        <w:rPr>
          <w:rFonts w:ascii="Times New Roman" w:hAnsi="Times New Roman"/>
          <w:bCs/>
          <w:sz w:val="24"/>
          <w:szCs w:val="24"/>
        </w:rPr>
        <w:t xml:space="preserve">We find that in handling the questions of engagement trustees of large and potentially powerful pension funds seem to make a rational choice and </w:t>
      </w:r>
      <w:r w:rsidRPr="000F1E00">
        <w:rPr>
          <w:rFonts w:ascii="Times New Roman" w:hAnsi="Times New Roman"/>
          <w:bCs/>
          <w:i/>
          <w:sz w:val="24"/>
          <w:szCs w:val="24"/>
        </w:rPr>
        <w:t xml:space="preserve">deliberately </w:t>
      </w:r>
      <w:r w:rsidRPr="000F1E00">
        <w:rPr>
          <w:rFonts w:ascii="Times New Roman" w:hAnsi="Times New Roman"/>
          <w:bCs/>
          <w:sz w:val="24"/>
          <w:szCs w:val="24"/>
        </w:rPr>
        <w:t xml:space="preserve">remain distant because it </w:t>
      </w:r>
      <w:r w:rsidRPr="000F1E00">
        <w:rPr>
          <w:rFonts w:ascii="Times New Roman" w:hAnsi="Times New Roman"/>
          <w:bCs/>
          <w:i/>
          <w:sz w:val="24"/>
          <w:szCs w:val="24"/>
        </w:rPr>
        <w:t>‘makes more sense’</w:t>
      </w:r>
      <w:r w:rsidRPr="000F1E00">
        <w:rPr>
          <w:rFonts w:ascii="Times New Roman" w:hAnsi="Times New Roman"/>
          <w:bCs/>
          <w:sz w:val="24"/>
          <w:szCs w:val="24"/>
        </w:rPr>
        <w:t xml:space="preserve"> for them to do so. Close ties with </w:t>
      </w:r>
      <w:r w:rsidRPr="000F1E00">
        <w:rPr>
          <w:rFonts w:ascii="Times New Roman" w:hAnsi="Times New Roman"/>
          <w:bCs/>
          <w:sz w:val="24"/>
          <w:szCs w:val="24"/>
        </w:rPr>
        <w:lastRenderedPageBreak/>
        <w:t xml:space="preserve">the sponsor are said to put pressure on trustees and managers to maintain the status quo with the company and </w:t>
      </w:r>
      <w:r w:rsidRPr="000F1E00">
        <w:rPr>
          <w:rFonts w:ascii="Times New Roman" w:hAnsi="Times New Roman"/>
          <w:bCs/>
          <w:i/>
          <w:iCs/>
          <w:sz w:val="24"/>
          <w:szCs w:val="24"/>
        </w:rPr>
        <w:t>‘not rock the boat’</w:t>
      </w:r>
      <w:r w:rsidRPr="000F1E00">
        <w:rPr>
          <w:rFonts w:ascii="Times New Roman" w:hAnsi="Times New Roman"/>
          <w:bCs/>
          <w:sz w:val="24"/>
          <w:szCs w:val="24"/>
        </w:rPr>
        <w:t xml:space="preserve">. </w:t>
      </w:r>
      <w:r>
        <w:rPr>
          <w:rFonts w:ascii="Times New Roman" w:hAnsi="Times New Roman"/>
          <w:bCs/>
          <w:sz w:val="24"/>
          <w:szCs w:val="24"/>
        </w:rPr>
        <w:t>Accordingly,</w:t>
      </w:r>
      <w:r w:rsidRPr="000F1E00">
        <w:rPr>
          <w:rFonts w:ascii="Times New Roman" w:hAnsi="Times New Roman"/>
          <w:bCs/>
          <w:sz w:val="24"/>
          <w:szCs w:val="24"/>
        </w:rPr>
        <w:t xml:space="preserve"> the involve</w:t>
      </w:r>
      <w:r>
        <w:rPr>
          <w:rFonts w:ascii="Times New Roman" w:hAnsi="Times New Roman"/>
          <w:bCs/>
          <w:sz w:val="24"/>
          <w:szCs w:val="24"/>
        </w:rPr>
        <w:t xml:space="preserve">ment with investee companies was said to be </w:t>
      </w:r>
      <w:r w:rsidRPr="000F1E00">
        <w:rPr>
          <w:rFonts w:ascii="Times New Roman" w:hAnsi="Times New Roman"/>
          <w:bCs/>
          <w:sz w:val="24"/>
          <w:szCs w:val="24"/>
        </w:rPr>
        <w:t>minimal.</w:t>
      </w:r>
    </w:p>
    <w:p w:rsidR="00B110CC" w:rsidRDefault="00B110CC" w:rsidP="00B110CC">
      <w:pPr>
        <w:spacing w:line="480" w:lineRule="auto"/>
        <w:jc w:val="both"/>
        <w:rPr>
          <w:rFonts w:ascii="Times New Roman" w:hAnsi="Times New Roman"/>
          <w:b/>
          <w:i/>
          <w:sz w:val="24"/>
          <w:szCs w:val="24"/>
        </w:rPr>
      </w:pPr>
      <w:r w:rsidRPr="003B688F">
        <w:rPr>
          <w:rFonts w:ascii="Times New Roman" w:hAnsi="Times New Roman"/>
          <w:b/>
          <w:i/>
          <w:sz w:val="24"/>
          <w:szCs w:val="24"/>
        </w:rPr>
        <w:t xml:space="preserve">External </w:t>
      </w:r>
      <w:r>
        <w:rPr>
          <w:rFonts w:ascii="Times New Roman" w:hAnsi="Times New Roman"/>
          <w:b/>
          <w:i/>
          <w:sz w:val="24"/>
          <w:szCs w:val="24"/>
        </w:rPr>
        <w:t>Accounts</w:t>
      </w:r>
    </w:p>
    <w:p w:rsidR="00B110CC" w:rsidRDefault="00B110CC" w:rsidP="00B110CC">
      <w:pPr>
        <w:spacing w:line="480" w:lineRule="auto"/>
        <w:jc w:val="both"/>
        <w:rPr>
          <w:rFonts w:ascii="Times New Roman" w:hAnsi="Times New Roman"/>
          <w:sz w:val="24"/>
          <w:szCs w:val="24"/>
        </w:rPr>
      </w:pPr>
      <w:r w:rsidRPr="00712A9B">
        <w:rPr>
          <w:rFonts w:ascii="Times New Roman" w:hAnsi="Times New Roman"/>
          <w:bCs/>
          <w:i/>
          <w:sz w:val="24"/>
          <w:szCs w:val="24"/>
          <w:u w:val="single"/>
        </w:rPr>
        <w:t>Unstable financial markets.</w:t>
      </w:r>
      <w:r w:rsidRPr="004521C8">
        <w:rPr>
          <w:rFonts w:ascii="Times New Roman" w:hAnsi="Times New Roman"/>
          <w:bCs/>
          <w:i/>
          <w:sz w:val="24"/>
          <w:szCs w:val="24"/>
        </w:rPr>
        <w:t xml:space="preserve"> </w:t>
      </w:r>
      <w:r w:rsidRPr="000F1E00">
        <w:rPr>
          <w:rFonts w:ascii="Times New Roman" w:hAnsi="Times New Roman"/>
          <w:sz w:val="24"/>
          <w:szCs w:val="24"/>
        </w:rPr>
        <w:t>All interviewees perceived that they were operating in an environment characterized by unstable and complex financial markets, a situation which made it difficult for them to engage with investee corporations because they were more preoccupied with generating investment returns from their investment portfolios. Respondents expressed views that economic and financial instability have further worsened pension schemes’ funding and increased the financial vulnerability of pension funds, putting more pressure on schemes to look for other means and investment tools to improve funding</w:t>
      </w:r>
      <w:r>
        <w:rPr>
          <w:rFonts w:ascii="Times New Roman" w:hAnsi="Times New Roman"/>
          <w:sz w:val="24"/>
          <w:szCs w:val="24"/>
        </w:rPr>
        <w:t>.</w:t>
      </w:r>
      <w:r w:rsidRPr="004521C8">
        <w:rPr>
          <w:rFonts w:ascii="Times New Roman" w:hAnsi="Times New Roman"/>
          <w:sz w:val="24"/>
          <w:szCs w:val="24"/>
        </w:rPr>
        <w:t xml:space="preserve"> </w:t>
      </w:r>
      <w:r w:rsidRPr="000F1E00">
        <w:rPr>
          <w:rFonts w:ascii="Times New Roman" w:hAnsi="Times New Roman"/>
          <w:sz w:val="24"/>
          <w:szCs w:val="24"/>
        </w:rPr>
        <w:t>Most interviewees referred to the falls in productivity, corporate insolvency risk</w:t>
      </w:r>
      <w:r>
        <w:rPr>
          <w:rFonts w:ascii="Times New Roman" w:hAnsi="Times New Roman"/>
          <w:sz w:val="24"/>
          <w:szCs w:val="24"/>
        </w:rPr>
        <w:t xml:space="preserve">s and reduced levels of </w:t>
      </w:r>
      <w:r w:rsidRPr="000F1E00">
        <w:rPr>
          <w:rFonts w:ascii="Times New Roman" w:hAnsi="Times New Roman"/>
          <w:sz w:val="24"/>
          <w:szCs w:val="24"/>
        </w:rPr>
        <w:t>employer contributions as key external drivers shaping their investment strategy. In the context of local authority pension funds, there was a common perception that the worsening economic climate had put pension funds in a huge financial strain, precluding trustees from focusing on stewardship and engagement. Quotes 12 and 13 highlight this common perception.</w:t>
      </w:r>
    </w:p>
    <w:p w:rsidR="00B110CC" w:rsidRDefault="00B110CC" w:rsidP="00B11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sz w:val="24"/>
          <w:szCs w:val="24"/>
        </w:rPr>
      </w:pPr>
      <w:r w:rsidRPr="00712A9B">
        <w:rPr>
          <w:rFonts w:ascii="Times New Roman" w:hAnsi="Times New Roman"/>
          <w:i/>
          <w:sz w:val="24"/>
          <w:szCs w:val="24"/>
          <w:u w:val="single"/>
        </w:rPr>
        <w:t>Increasing human longevity</w:t>
      </w:r>
      <w:r>
        <w:rPr>
          <w:rFonts w:ascii="Times New Roman" w:hAnsi="Times New Roman"/>
          <w:sz w:val="24"/>
          <w:szCs w:val="24"/>
        </w:rPr>
        <w:t xml:space="preserve"> </w:t>
      </w:r>
      <w:r w:rsidRPr="000F1E00">
        <w:rPr>
          <w:rFonts w:ascii="Times New Roman" w:hAnsi="Times New Roman"/>
          <w:sz w:val="24"/>
          <w:szCs w:val="24"/>
        </w:rPr>
        <w:t xml:space="preserve">was another factor that interviewees commonly referred to when they reflected on their investment practices. </w:t>
      </w:r>
      <w:r w:rsidRPr="000F1E00">
        <w:rPr>
          <w:rFonts w:ascii="Times New Roman" w:hAnsi="Times New Roman"/>
          <w:bCs/>
          <w:sz w:val="24"/>
          <w:szCs w:val="24"/>
        </w:rPr>
        <w:t xml:space="preserve">Scientific data show that increasing life expectancy rose both in men and women: a 65-year-old man retiring today will, on average, live to 89 (The Economist, February 23-29, 2008). </w:t>
      </w:r>
      <w:r w:rsidRPr="000F1E00">
        <w:rPr>
          <w:rFonts w:ascii="Times New Roman" w:hAnsi="Times New Roman"/>
          <w:sz w:val="24"/>
          <w:szCs w:val="24"/>
        </w:rPr>
        <w:t>Over a third of interviewees perceived longevity as one of the largest pension risks, after the investment risk impacting on their investment strategy. According to most responde</w:t>
      </w:r>
      <w:r>
        <w:rPr>
          <w:rFonts w:ascii="Times New Roman" w:hAnsi="Times New Roman"/>
          <w:sz w:val="24"/>
          <w:szCs w:val="24"/>
        </w:rPr>
        <w:t xml:space="preserve">nts, </w:t>
      </w:r>
      <w:r w:rsidRPr="000F1E00">
        <w:rPr>
          <w:rFonts w:ascii="Times New Roman" w:hAnsi="Times New Roman"/>
          <w:sz w:val="24"/>
          <w:szCs w:val="24"/>
        </w:rPr>
        <w:t>operating in a world where people live longer would mean</w:t>
      </w:r>
      <w:r>
        <w:rPr>
          <w:rFonts w:ascii="Times New Roman" w:hAnsi="Times New Roman"/>
          <w:sz w:val="24"/>
          <w:szCs w:val="24"/>
        </w:rPr>
        <w:t>t</w:t>
      </w:r>
      <w:r w:rsidRPr="000F1E00">
        <w:rPr>
          <w:rFonts w:ascii="Times New Roman" w:hAnsi="Times New Roman"/>
          <w:sz w:val="24"/>
          <w:szCs w:val="24"/>
        </w:rPr>
        <w:t xml:space="preserve"> that pensions have </w:t>
      </w:r>
      <w:r w:rsidRPr="000F1E00">
        <w:rPr>
          <w:rFonts w:ascii="Times New Roman" w:hAnsi="Times New Roman"/>
          <w:sz w:val="24"/>
          <w:szCs w:val="24"/>
        </w:rPr>
        <w:lastRenderedPageBreak/>
        <w:t>to be paid out over longer periods of time, but at similar pension contribution levels. According to The Purple Book (2009), an increase in human longevity by two years had increased schemes’ liabilities by around £51.4 billion, or 5.2% of liabilities. While reflecting on the current conditions, the respondents emphasized that the main challenge of increased longevity relates to</w:t>
      </w:r>
      <w:r>
        <w:rPr>
          <w:rFonts w:ascii="Times New Roman" w:hAnsi="Times New Roman"/>
          <w:sz w:val="24"/>
          <w:szCs w:val="24"/>
        </w:rPr>
        <w:t xml:space="preserve"> maintaining</w:t>
      </w:r>
      <w:r w:rsidRPr="000F1E00">
        <w:rPr>
          <w:rFonts w:ascii="Times New Roman" w:hAnsi="Times New Roman"/>
          <w:sz w:val="24"/>
          <w:szCs w:val="24"/>
        </w:rPr>
        <w:t xml:space="preserve"> scheme funding and making pensions affordable</w:t>
      </w:r>
      <w:r>
        <w:rPr>
          <w:rFonts w:ascii="Times New Roman" w:hAnsi="Times New Roman"/>
          <w:sz w:val="24"/>
          <w:szCs w:val="24"/>
        </w:rPr>
        <w:t xml:space="preserve"> (Quote 10</w:t>
      </w:r>
      <w:r w:rsidRPr="000F1E00">
        <w:rPr>
          <w:rFonts w:ascii="Times New Roman" w:hAnsi="Times New Roman"/>
          <w:sz w:val="24"/>
          <w:szCs w:val="24"/>
        </w:rPr>
        <w:t>).</w:t>
      </w:r>
      <w:r>
        <w:rPr>
          <w:rFonts w:ascii="Times New Roman" w:hAnsi="Times New Roman"/>
          <w:sz w:val="24"/>
          <w:szCs w:val="24"/>
        </w:rPr>
        <w:t xml:space="preserve"> </w:t>
      </w:r>
      <w:r w:rsidRPr="000F1E00">
        <w:rPr>
          <w:rFonts w:ascii="Times New Roman" w:hAnsi="Times New Roman"/>
          <w:sz w:val="24"/>
          <w:szCs w:val="24"/>
        </w:rPr>
        <w:t>Crucially, interviewees perce</w:t>
      </w:r>
      <w:r>
        <w:rPr>
          <w:rFonts w:ascii="Times New Roman" w:hAnsi="Times New Roman"/>
          <w:sz w:val="24"/>
          <w:szCs w:val="24"/>
        </w:rPr>
        <w:t>ived</w:t>
      </w:r>
      <w:r w:rsidRPr="000F1E00">
        <w:rPr>
          <w:rFonts w:ascii="Times New Roman" w:hAnsi="Times New Roman"/>
          <w:sz w:val="24"/>
          <w:szCs w:val="24"/>
        </w:rPr>
        <w:t xml:space="preserve"> that increased longevity and the associated increase in pension liabilities put pressure on trustees to focus more on generating investment returns within their investment fund manager mandates</w:t>
      </w:r>
      <w:r>
        <w:rPr>
          <w:rFonts w:ascii="Times New Roman" w:hAnsi="Times New Roman"/>
          <w:sz w:val="24"/>
          <w:szCs w:val="24"/>
        </w:rPr>
        <w:t xml:space="preserve">, rather than </w:t>
      </w:r>
      <w:r w:rsidRPr="000F1E00">
        <w:rPr>
          <w:rFonts w:ascii="Times New Roman" w:hAnsi="Times New Roman"/>
          <w:sz w:val="24"/>
          <w:szCs w:val="24"/>
        </w:rPr>
        <w:t>corporate governance matters.</w:t>
      </w:r>
    </w:p>
    <w:p w:rsidR="00B110CC" w:rsidRPr="00AB2BB1" w:rsidRDefault="00B110CC" w:rsidP="00B110CC">
      <w:pPr>
        <w:pStyle w:val="BodyTextIndent"/>
        <w:spacing w:line="480" w:lineRule="auto"/>
        <w:ind w:left="0"/>
        <w:jc w:val="both"/>
        <w:rPr>
          <w:rFonts w:ascii="Times New Roman" w:hAnsi="Times New Roman"/>
          <w:sz w:val="24"/>
          <w:szCs w:val="24"/>
        </w:rPr>
      </w:pPr>
      <w:r w:rsidRPr="00712A9B">
        <w:rPr>
          <w:rFonts w:ascii="Times New Roman" w:hAnsi="Times New Roman"/>
          <w:i/>
          <w:sz w:val="24"/>
          <w:szCs w:val="24"/>
          <w:u w:val="single"/>
        </w:rPr>
        <w:t>Pension fund maturity</w:t>
      </w:r>
      <w:r w:rsidRPr="00712A9B">
        <w:rPr>
          <w:rFonts w:ascii="Times New Roman" w:hAnsi="Times New Roman"/>
          <w:sz w:val="24"/>
          <w:szCs w:val="24"/>
          <w:u w:val="single"/>
        </w:rPr>
        <w:t>.</w:t>
      </w:r>
      <w:r>
        <w:rPr>
          <w:rFonts w:ascii="Times New Roman" w:hAnsi="Times New Roman"/>
          <w:sz w:val="24"/>
          <w:szCs w:val="24"/>
        </w:rPr>
        <w:t xml:space="preserve"> </w:t>
      </w:r>
      <w:r w:rsidRPr="000F1E00">
        <w:rPr>
          <w:rFonts w:ascii="Times New Roman" w:hAnsi="Times New Roman"/>
          <w:sz w:val="24"/>
          <w:szCs w:val="24"/>
        </w:rPr>
        <w:t>The more mature a fund is, the less contribution</w:t>
      </w:r>
      <w:r>
        <w:rPr>
          <w:rFonts w:ascii="Times New Roman" w:hAnsi="Times New Roman"/>
          <w:sz w:val="24"/>
          <w:szCs w:val="24"/>
        </w:rPr>
        <w:t>s it receives from its</w:t>
      </w:r>
      <w:r w:rsidRPr="000F1E00">
        <w:rPr>
          <w:rFonts w:ascii="Times New Roman" w:hAnsi="Times New Roman"/>
          <w:sz w:val="24"/>
          <w:szCs w:val="24"/>
        </w:rPr>
        <w:t xml:space="preserve"> working members and the more benefits it needs to pay out to the retired members. The common understanding amongst practitioners was that the more mature pension funds face more pressing liquidity demands and financial needs. Over 80% of pension funds in the sample were mature or maturing pension funds. Subsequently, trustees and pensions managers explained that because they run maturing fun</w:t>
      </w:r>
      <w:r>
        <w:rPr>
          <w:rFonts w:ascii="Times New Roman" w:hAnsi="Times New Roman"/>
          <w:sz w:val="24"/>
          <w:szCs w:val="24"/>
        </w:rPr>
        <w:t>ds, their investment priority was</w:t>
      </w:r>
      <w:r w:rsidRPr="000F1E00">
        <w:rPr>
          <w:rFonts w:ascii="Times New Roman" w:hAnsi="Times New Roman"/>
          <w:sz w:val="24"/>
          <w:szCs w:val="24"/>
        </w:rPr>
        <w:t xml:space="preserve"> to generate more returns on their investments and diversify their investment portfolio to match pension liability profiles more closely. (Quote </w:t>
      </w:r>
      <w:r>
        <w:rPr>
          <w:rFonts w:ascii="Times New Roman" w:hAnsi="Times New Roman"/>
          <w:sz w:val="24"/>
          <w:szCs w:val="24"/>
        </w:rPr>
        <w:t xml:space="preserve">11). </w:t>
      </w:r>
      <w:r w:rsidRPr="000F1E00">
        <w:rPr>
          <w:rFonts w:ascii="Times New Roman" w:hAnsi="Times New Roman"/>
          <w:sz w:val="24"/>
          <w:szCs w:val="24"/>
        </w:rPr>
        <w:t>The language of ‘</w:t>
      </w:r>
      <w:r w:rsidRPr="000F1E00">
        <w:rPr>
          <w:rFonts w:ascii="Times New Roman" w:hAnsi="Times New Roman"/>
          <w:i/>
          <w:sz w:val="24"/>
          <w:szCs w:val="24"/>
        </w:rPr>
        <w:t>generating investment returns’</w:t>
      </w:r>
      <w:r w:rsidRPr="000F1E00">
        <w:rPr>
          <w:rFonts w:ascii="Times New Roman" w:hAnsi="Times New Roman"/>
          <w:sz w:val="24"/>
          <w:szCs w:val="24"/>
        </w:rPr>
        <w:t xml:space="preserve"> in order to ‘</w:t>
      </w:r>
      <w:r w:rsidRPr="000F1E00">
        <w:rPr>
          <w:rFonts w:ascii="Times New Roman" w:hAnsi="Times New Roman"/>
          <w:i/>
          <w:sz w:val="24"/>
          <w:szCs w:val="24"/>
        </w:rPr>
        <w:t>pay out pensions now as opposed to later’</w:t>
      </w:r>
      <w:r w:rsidRPr="000F1E00">
        <w:rPr>
          <w:rFonts w:ascii="Times New Roman" w:hAnsi="Times New Roman"/>
          <w:sz w:val="24"/>
          <w:szCs w:val="24"/>
        </w:rPr>
        <w:t xml:space="preserve"> was used throughout all discussions, particularly when practitioners accounted for their reasons behind disengagement. </w:t>
      </w:r>
      <w:r>
        <w:rPr>
          <w:rFonts w:ascii="Times New Roman" w:hAnsi="Times New Roman"/>
          <w:sz w:val="24"/>
          <w:szCs w:val="24"/>
        </w:rPr>
        <w:t xml:space="preserve"> </w:t>
      </w:r>
    </w:p>
    <w:p w:rsidR="00B110CC" w:rsidRDefault="00B110CC" w:rsidP="00B110CC">
      <w:pPr>
        <w:jc w:val="both"/>
        <w:rPr>
          <w:rFonts w:ascii="Times New Roman" w:hAnsi="Times New Roman"/>
          <w:b/>
          <w:sz w:val="24"/>
          <w:szCs w:val="24"/>
        </w:rPr>
      </w:pPr>
      <w:r w:rsidRPr="003B688F">
        <w:rPr>
          <w:rFonts w:ascii="Times New Roman" w:hAnsi="Times New Roman"/>
          <w:b/>
          <w:sz w:val="24"/>
          <w:szCs w:val="24"/>
        </w:rPr>
        <w:t xml:space="preserve">Temporal Perspective </w:t>
      </w:r>
    </w:p>
    <w:p w:rsidR="00B110CC" w:rsidRDefault="00B110CC" w:rsidP="00B110CC">
      <w:pPr>
        <w:spacing w:line="480" w:lineRule="auto"/>
        <w:jc w:val="both"/>
        <w:rPr>
          <w:rFonts w:ascii="Times New Roman" w:hAnsi="Times New Roman"/>
          <w:sz w:val="24"/>
          <w:szCs w:val="24"/>
        </w:rPr>
      </w:pPr>
      <w:r>
        <w:rPr>
          <w:rFonts w:ascii="Times New Roman" w:hAnsi="Times New Roman"/>
          <w:sz w:val="24"/>
          <w:szCs w:val="24"/>
        </w:rPr>
        <w:t>In our data, we found that trustees and pension fund managers who broadly used disengaged vocabulary shared a similar temporal perspective of the pension fund in</w:t>
      </w:r>
      <w:r>
        <w:rPr>
          <w:rFonts w:ascii="Times New Roman" w:hAnsi="Times New Roman"/>
          <w:sz w:val="24"/>
          <w:szCs w:val="24"/>
        </w:rPr>
        <w:lastRenderedPageBreak/>
        <w:t xml:space="preserve">dustry being </w:t>
      </w:r>
      <w:r>
        <w:rPr>
          <w:rFonts w:ascii="Times New Roman" w:hAnsi="Times New Roman"/>
          <w:i/>
          <w:sz w:val="24"/>
          <w:szCs w:val="24"/>
        </w:rPr>
        <w:t>‘secure</w:t>
      </w:r>
      <w:r w:rsidRPr="00E83378">
        <w:rPr>
          <w:rFonts w:ascii="Times New Roman" w:hAnsi="Times New Roman"/>
          <w:i/>
          <w:sz w:val="24"/>
          <w:szCs w:val="24"/>
        </w:rPr>
        <w:t xml:space="preserve">’ </w:t>
      </w:r>
      <w:r>
        <w:rPr>
          <w:rFonts w:ascii="Times New Roman" w:hAnsi="Times New Roman"/>
          <w:sz w:val="24"/>
          <w:szCs w:val="24"/>
        </w:rPr>
        <w:t xml:space="preserve">in the past, but then becoming increasingly </w:t>
      </w:r>
      <w:r w:rsidRPr="008F5E8D">
        <w:rPr>
          <w:rFonts w:ascii="Times New Roman" w:hAnsi="Times New Roman"/>
          <w:i/>
          <w:sz w:val="24"/>
          <w:szCs w:val="24"/>
        </w:rPr>
        <w:t xml:space="preserve">‘complex’ </w:t>
      </w:r>
      <w:r>
        <w:rPr>
          <w:rFonts w:ascii="Times New Roman" w:hAnsi="Times New Roman"/>
          <w:sz w:val="24"/>
          <w:szCs w:val="24"/>
        </w:rPr>
        <w:t xml:space="preserve">and </w:t>
      </w:r>
      <w:r w:rsidRPr="008F5E8D">
        <w:rPr>
          <w:rFonts w:ascii="Times New Roman" w:hAnsi="Times New Roman"/>
          <w:i/>
          <w:sz w:val="24"/>
          <w:szCs w:val="24"/>
        </w:rPr>
        <w:t>‘pressured’</w:t>
      </w:r>
      <w:r>
        <w:rPr>
          <w:rFonts w:ascii="Times New Roman" w:hAnsi="Times New Roman"/>
          <w:sz w:val="24"/>
          <w:szCs w:val="24"/>
        </w:rPr>
        <w:t xml:space="preserve"> in the present. Such use of the past seems to have created a narrow vision of the uncertain future, where trustees ought to be thinking of </w:t>
      </w:r>
      <w:r w:rsidRPr="008F5E8D">
        <w:rPr>
          <w:rFonts w:ascii="Times New Roman" w:hAnsi="Times New Roman"/>
          <w:i/>
          <w:sz w:val="24"/>
          <w:szCs w:val="24"/>
        </w:rPr>
        <w:t>‘the bottom</w:t>
      </w:r>
      <w:r>
        <w:rPr>
          <w:rFonts w:ascii="Times New Roman" w:hAnsi="Times New Roman"/>
          <w:i/>
          <w:sz w:val="24"/>
          <w:szCs w:val="24"/>
        </w:rPr>
        <w:t xml:space="preserve"> line’</w:t>
      </w:r>
      <w:r>
        <w:rPr>
          <w:rFonts w:ascii="Times New Roman" w:hAnsi="Times New Roman"/>
          <w:sz w:val="24"/>
          <w:szCs w:val="24"/>
        </w:rPr>
        <w:t xml:space="preserve">. </w:t>
      </w:r>
    </w:p>
    <w:p w:rsidR="00B110CC" w:rsidRPr="00A437D8" w:rsidRDefault="00B110CC" w:rsidP="00B110CC">
      <w:pPr>
        <w:spacing w:line="480" w:lineRule="auto"/>
        <w:jc w:val="both"/>
        <w:rPr>
          <w:rFonts w:ascii="Times New Roman" w:hAnsi="Times New Roman"/>
          <w:sz w:val="24"/>
          <w:szCs w:val="24"/>
        </w:rPr>
      </w:pPr>
      <w:r w:rsidRPr="00712A9B">
        <w:rPr>
          <w:rFonts w:ascii="Times New Roman" w:hAnsi="Times New Roman"/>
          <w:i/>
          <w:sz w:val="24"/>
          <w:szCs w:val="24"/>
          <w:u w:val="single"/>
        </w:rPr>
        <w:t>From surpluses to deficits</w:t>
      </w:r>
      <w:r w:rsidRPr="00712A9B">
        <w:rPr>
          <w:rFonts w:ascii="Times New Roman" w:hAnsi="Times New Roman"/>
          <w:sz w:val="24"/>
          <w:szCs w:val="24"/>
          <w:u w:val="single"/>
        </w:rPr>
        <w:t>.</w:t>
      </w:r>
      <w:r>
        <w:rPr>
          <w:rFonts w:ascii="Times New Roman" w:hAnsi="Times New Roman"/>
          <w:sz w:val="24"/>
          <w:szCs w:val="24"/>
        </w:rPr>
        <w:t xml:space="preserve"> Alongside t</w:t>
      </w:r>
      <w:r w:rsidRPr="000F1E00">
        <w:rPr>
          <w:rFonts w:ascii="Times New Roman" w:hAnsi="Times New Roman"/>
          <w:sz w:val="24"/>
          <w:szCs w:val="24"/>
        </w:rPr>
        <w:t xml:space="preserve">he interviewees’ references to </w:t>
      </w:r>
      <w:r>
        <w:rPr>
          <w:rFonts w:ascii="Times New Roman" w:hAnsi="Times New Roman"/>
          <w:sz w:val="24"/>
          <w:szCs w:val="24"/>
        </w:rPr>
        <w:t>external socio-</w:t>
      </w:r>
      <w:r w:rsidRPr="000F1E00">
        <w:rPr>
          <w:rFonts w:ascii="Times New Roman" w:hAnsi="Times New Roman"/>
          <w:sz w:val="24"/>
          <w:szCs w:val="24"/>
        </w:rPr>
        <w:t xml:space="preserve">economic </w:t>
      </w:r>
      <w:r w:rsidRPr="000F30A2">
        <w:rPr>
          <w:rFonts w:ascii="Times New Roman" w:hAnsi="Times New Roman"/>
          <w:i/>
          <w:sz w:val="24"/>
          <w:szCs w:val="24"/>
        </w:rPr>
        <w:t>‘reasons’</w:t>
      </w:r>
      <w:r>
        <w:rPr>
          <w:rFonts w:ascii="Times New Roman" w:hAnsi="Times New Roman"/>
          <w:sz w:val="24"/>
          <w:szCs w:val="24"/>
        </w:rPr>
        <w:t xml:space="preserve"> , they have also contextualised it using </w:t>
      </w:r>
      <w:r w:rsidRPr="000F1E00">
        <w:rPr>
          <w:rFonts w:ascii="Times New Roman" w:hAnsi="Times New Roman"/>
          <w:sz w:val="24"/>
          <w:szCs w:val="24"/>
        </w:rPr>
        <w:t xml:space="preserve">a rhetoric of pension fund finances suffering a </w:t>
      </w:r>
      <w:r w:rsidRPr="00C52DB1">
        <w:rPr>
          <w:rFonts w:ascii="Times New Roman" w:hAnsi="Times New Roman"/>
          <w:sz w:val="24"/>
          <w:szCs w:val="24"/>
        </w:rPr>
        <w:t>double blow:</w:t>
      </w:r>
      <w:r w:rsidRPr="000F1E00">
        <w:rPr>
          <w:rFonts w:ascii="Times New Roman" w:hAnsi="Times New Roman"/>
          <w:sz w:val="24"/>
          <w:szCs w:val="24"/>
        </w:rPr>
        <w:t xml:space="preserve"> one from falls in stock markets and another dealt </w:t>
      </w:r>
      <w:r>
        <w:rPr>
          <w:rFonts w:ascii="Times New Roman" w:hAnsi="Times New Roman"/>
          <w:sz w:val="24"/>
          <w:szCs w:val="24"/>
        </w:rPr>
        <w:t>by increasing longevity. This ultimately is said to have transformed the pensions industry from being in surplus in the past to being in deficit in the present and putting more financial pressure on trustees to be more short-term in future. Quotes 12 and 13 are suggestive of this narrative. Interviewees suggest that pension fund deficits have contributed significantly to the shrinkage of pension fund investment horizons. Ultimately, m</w:t>
      </w:r>
      <w:r w:rsidRPr="000F1E00">
        <w:rPr>
          <w:rFonts w:ascii="Times New Roman" w:hAnsi="Times New Roman"/>
          <w:sz w:val="24"/>
          <w:szCs w:val="24"/>
        </w:rPr>
        <w:t>ost trustees and pension fund managers</w:t>
      </w:r>
      <w:r>
        <w:rPr>
          <w:rFonts w:ascii="Times New Roman" w:hAnsi="Times New Roman"/>
          <w:sz w:val="24"/>
          <w:szCs w:val="24"/>
        </w:rPr>
        <w:t xml:space="preserve"> were </w:t>
      </w:r>
      <w:r>
        <w:rPr>
          <w:rFonts w:ascii="Times New Roman" w:hAnsi="Times New Roman"/>
          <w:i/>
          <w:sz w:val="24"/>
          <w:szCs w:val="24"/>
        </w:rPr>
        <w:t>‘</w:t>
      </w:r>
      <w:r w:rsidRPr="000F30A2">
        <w:rPr>
          <w:rFonts w:ascii="Times New Roman" w:hAnsi="Times New Roman"/>
          <w:i/>
          <w:sz w:val="24"/>
          <w:szCs w:val="24"/>
        </w:rPr>
        <w:t>worried about what is going to happen to pensions in the next three months</w:t>
      </w:r>
      <w:r>
        <w:rPr>
          <w:rFonts w:ascii="Times New Roman" w:hAnsi="Times New Roman"/>
          <w:sz w:val="24"/>
          <w:szCs w:val="24"/>
        </w:rPr>
        <w:t>’. As a consequence, they said they had to</w:t>
      </w:r>
      <w:r w:rsidRPr="000F1E00">
        <w:rPr>
          <w:rFonts w:ascii="Times New Roman" w:hAnsi="Times New Roman"/>
          <w:sz w:val="24"/>
          <w:szCs w:val="24"/>
        </w:rPr>
        <w:t xml:space="preserve"> focus </w:t>
      </w:r>
      <w:r>
        <w:rPr>
          <w:rFonts w:ascii="Times New Roman" w:hAnsi="Times New Roman"/>
          <w:sz w:val="24"/>
          <w:szCs w:val="24"/>
        </w:rPr>
        <w:t xml:space="preserve">more </w:t>
      </w:r>
      <w:r w:rsidRPr="000F1E00">
        <w:rPr>
          <w:rFonts w:ascii="Times New Roman" w:hAnsi="Times New Roman"/>
          <w:sz w:val="24"/>
          <w:szCs w:val="24"/>
        </w:rPr>
        <w:t>on investment performance of their asset portfolio over the short term, rather than long-term engagement with equity investments.</w:t>
      </w:r>
      <w:r>
        <w:rPr>
          <w:rFonts w:ascii="Times New Roman" w:hAnsi="Times New Roman"/>
          <w:sz w:val="24"/>
          <w:szCs w:val="24"/>
        </w:rPr>
        <w:t xml:space="preserve"> </w:t>
      </w:r>
    </w:p>
    <w:p w:rsidR="00B110CC" w:rsidRDefault="00B110CC" w:rsidP="00B110CC">
      <w:pPr>
        <w:spacing w:line="480" w:lineRule="auto"/>
        <w:jc w:val="both"/>
        <w:rPr>
          <w:rFonts w:ascii="Times New Roman" w:hAnsi="Times New Roman"/>
          <w:sz w:val="24"/>
          <w:szCs w:val="24"/>
        </w:rPr>
      </w:pPr>
      <w:r w:rsidRPr="00712A9B">
        <w:rPr>
          <w:rFonts w:ascii="Times New Roman" w:hAnsi="Times New Roman"/>
          <w:i/>
          <w:sz w:val="24"/>
          <w:szCs w:val="24"/>
          <w:u w:val="single"/>
        </w:rPr>
        <w:t>Increasing trend towards outsourcing.</w:t>
      </w:r>
      <w:r>
        <w:rPr>
          <w:rFonts w:ascii="Times New Roman" w:hAnsi="Times New Roman"/>
          <w:sz w:val="24"/>
          <w:szCs w:val="24"/>
        </w:rPr>
        <w:t xml:space="preserve"> </w:t>
      </w:r>
      <w:r w:rsidRPr="000F1E00">
        <w:rPr>
          <w:rFonts w:ascii="Times New Roman" w:hAnsi="Times New Roman"/>
          <w:iCs/>
          <w:sz w:val="24"/>
          <w:szCs w:val="24"/>
        </w:rPr>
        <w:t>When reflecting on the nature of their job, interviewees conjure</w:t>
      </w:r>
      <w:r>
        <w:rPr>
          <w:rFonts w:ascii="Times New Roman" w:hAnsi="Times New Roman"/>
          <w:iCs/>
          <w:sz w:val="24"/>
          <w:szCs w:val="24"/>
        </w:rPr>
        <w:t>d</w:t>
      </w:r>
      <w:r w:rsidRPr="000F1E00">
        <w:rPr>
          <w:rFonts w:ascii="Times New Roman" w:hAnsi="Times New Roman"/>
          <w:iCs/>
          <w:sz w:val="24"/>
          <w:szCs w:val="24"/>
        </w:rPr>
        <w:t xml:space="preserve"> </w:t>
      </w:r>
      <w:r>
        <w:rPr>
          <w:rFonts w:ascii="Times New Roman" w:hAnsi="Times New Roman"/>
          <w:iCs/>
          <w:sz w:val="24"/>
          <w:szCs w:val="24"/>
        </w:rPr>
        <w:t xml:space="preserve">up </w:t>
      </w:r>
      <w:r w:rsidRPr="000F1E00">
        <w:rPr>
          <w:rFonts w:ascii="Times New Roman" w:hAnsi="Times New Roman"/>
          <w:iCs/>
          <w:sz w:val="24"/>
          <w:szCs w:val="24"/>
        </w:rPr>
        <w:t>a vocabulary of a ‘</w:t>
      </w:r>
      <w:r w:rsidRPr="000F1E00">
        <w:rPr>
          <w:rFonts w:ascii="Times New Roman" w:hAnsi="Times New Roman"/>
          <w:i/>
          <w:iCs/>
          <w:sz w:val="24"/>
          <w:szCs w:val="24"/>
        </w:rPr>
        <w:t>different world’</w:t>
      </w:r>
      <w:r w:rsidRPr="000F1E00">
        <w:rPr>
          <w:rFonts w:ascii="Times New Roman" w:hAnsi="Times New Roman"/>
          <w:iCs/>
          <w:sz w:val="24"/>
          <w:szCs w:val="24"/>
        </w:rPr>
        <w:t xml:space="preserve"> when they talked about the pension fund industry,</w:t>
      </w:r>
      <w:r w:rsidRPr="000F1E00">
        <w:rPr>
          <w:rFonts w:ascii="Times New Roman" w:hAnsi="Times New Roman"/>
          <w:sz w:val="24"/>
          <w:szCs w:val="24"/>
        </w:rPr>
        <w:t xml:space="preserve"> particularly the investment arena. A CEO of a pension fund with assets under management exceeding £20 billion made sense of his 30 years of experience within the pension fund industry in terms of having more problems because of the multiplicity of advisers they have to deal with (Quote</w:t>
      </w:r>
      <w:r>
        <w:rPr>
          <w:rFonts w:ascii="Times New Roman" w:hAnsi="Times New Roman"/>
          <w:sz w:val="24"/>
          <w:szCs w:val="24"/>
        </w:rPr>
        <w:t xml:space="preserve"> 14 and 15</w:t>
      </w:r>
      <w:r w:rsidRPr="000F1E00">
        <w:rPr>
          <w:rFonts w:ascii="Times New Roman" w:hAnsi="Times New Roman"/>
          <w:sz w:val="24"/>
          <w:szCs w:val="24"/>
        </w:rPr>
        <w:t>).</w:t>
      </w:r>
      <w:r w:rsidRPr="00416E42">
        <w:rPr>
          <w:rFonts w:ascii="Times New Roman" w:hAnsi="Times New Roman"/>
          <w:sz w:val="24"/>
          <w:szCs w:val="24"/>
        </w:rPr>
        <w:t xml:space="preserve"> </w:t>
      </w:r>
      <w:r>
        <w:rPr>
          <w:rFonts w:ascii="Times New Roman" w:hAnsi="Times New Roman"/>
          <w:sz w:val="24"/>
          <w:szCs w:val="24"/>
        </w:rPr>
        <w:t>Pension fund trustees and executives with decades of experience working in the pen</w:t>
      </w:r>
      <w:r>
        <w:rPr>
          <w:rFonts w:ascii="Times New Roman" w:hAnsi="Times New Roman"/>
          <w:sz w:val="24"/>
          <w:szCs w:val="24"/>
        </w:rPr>
        <w:lastRenderedPageBreak/>
        <w:t xml:space="preserve">sions industry have all noted that in the past fifteen years there has been a move towards outsourcing of investment management to external specialist managers and other experts. </w:t>
      </w:r>
    </w:p>
    <w:p w:rsidR="00B110CC" w:rsidRDefault="00B110CC" w:rsidP="00B110CC">
      <w:pPr>
        <w:spacing w:line="480" w:lineRule="auto"/>
        <w:jc w:val="both"/>
        <w:rPr>
          <w:rFonts w:ascii="Times New Roman" w:hAnsi="Times New Roman"/>
          <w:sz w:val="24"/>
          <w:szCs w:val="24"/>
        </w:rPr>
      </w:pPr>
      <w:r w:rsidRPr="00712A9B">
        <w:rPr>
          <w:rFonts w:ascii="Times New Roman" w:hAnsi="Times New Roman"/>
          <w:i/>
          <w:sz w:val="24"/>
          <w:szCs w:val="24"/>
          <w:u w:val="single"/>
        </w:rPr>
        <w:t>Increasing complexity of financial products and structures.</w:t>
      </w:r>
      <w:r>
        <w:rPr>
          <w:rFonts w:ascii="Times New Roman" w:hAnsi="Times New Roman"/>
          <w:i/>
          <w:sz w:val="24"/>
          <w:szCs w:val="24"/>
        </w:rPr>
        <w:t xml:space="preserve"> </w:t>
      </w:r>
      <w:r>
        <w:rPr>
          <w:rFonts w:ascii="Times New Roman" w:hAnsi="Times New Roman"/>
          <w:sz w:val="24"/>
          <w:szCs w:val="24"/>
        </w:rPr>
        <w:t>Interviewees’</w:t>
      </w:r>
      <w:r w:rsidRPr="000F1E00">
        <w:rPr>
          <w:rFonts w:ascii="Times New Roman" w:hAnsi="Times New Roman"/>
          <w:sz w:val="24"/>
          <w:szCs w:val="24"/>
        </w:rPr>
        <w:t xml:space="preserve"> </w:t>
      </w:r>
      <w:r>
        <w:rPr>
          <w:rFonts w:ascii="Times New Roman" w:hAnsi="Times New Roman"/>
          <w:sz w:val="24"/>
          <w:szCs w:val="24"/>
        </w:rPr>
        <w:t>accounts</w:t>
      </w:r>
      <w:r w:rsidRPr="000F1E00">
        <w:rPr>
          <w:rFonts w:ascii="Times New Roman" w:hAnsi="Times New Roman"/>
          <w:sz w:val="24"/>
          <w:szCs w:val="24"/>
        </w:rPr>
        <w:t xml:space="preserve"> </w:t>
      </w:r>
      <w:r>
        <w:rPr>
          <w:rFonts w:ascii="Times New Roman" w:hAnsi="Times New Roman"/>
          <w:sz w:val="24"/>
          <w:szCs w:val="24"/>
        </w:rPr>
        <w:t xml:space="preserve">also </w:t>
      </w:r>
      <w:r w:rsidRPr="000F1E00">
        <w:rPr>
          <w:rFonts w:ascii="Times New Roman" w:hAnsi="Times New Roman"/>
          <w:sz w:val="24"/>
          <w:szCs w:val="24"/>
        </w:rPr>
        <w:t xml:space="preserve">evoked an impression of </w:t>
      </w:r>
      <w:r>
        <w:rPr>
          <w:rFonts w:ascii="Times New Roman" w:hAnsi="Times New Roman"/>
          <w:sz w:val="24"/>
          <w:szCs w:val="24"/>
        </w:rPr>
        <w:t>increasing</w:t>
      </w:r>
      <w:r w:rsidRPr="000F1E00">
        <w:rPr>
          <w:rFonts w:ascii="Times New Roman" w:hAnsi="Times New Roman"/>
          <w:sz w:val="24"/>
          <w:szCs w:val="24"/>
        </w:rPr>
        <w:t xml:space="preserve"> complexity</w:t>
      </w:r>
      <w:r>
        <w:rPr>
          <w:rFonts w:ascii="Times New Roman" w:hAnsi="Times New Roman"/>
          <w:sz w:val="24"/>
          <w:szCs w:val="24"/>
        </w:rPr>
        <w:t xml:space="preserve"> and volatility</w:t>
      </w:r>
      <w:r w:rsidRPr="000F1E00">
        <w:rPr>
          <w:rFonts w:ascii="Times New Roman" w:hAnsi="Times New Roman"/>
          <w:sz w:val="24"/>
          <w:szCs w:val="24"/>
        </w:rPr>
        <w:t xml:space="preserve"> in the pensions industry: an increasing range of investment products available, larger number of managers to offer and manage these products, and the associated multip</w:t>
      </w:r>
      <w:r>
        <w:rPr>
          <w:rFonts w:ascii="Times New Roman" w:hAnsi="Times New Roman"/>
          <w:sz w:val="24"/>
          <w:szCs w:val="24"/>
        </w:rPr>
        <w:t xml:space="preserve">licity of fund manager mandates. All of these were said to </w:t>
      </w:r>
      <w:r w:rsidRPr="000F1E00">
        <w:rPr>
          <w:rFonts w:ascii="Times New Roman" w:hAnsi="Times New Roman"/>
          <w:sz w:val="24"/>
          <w:szCs w:val="24"/>
        </w:rPr>
        <w:t>further detach</w:t>
      </w:r>
      <w:r>
        <w:rPr>
          <w:rFonts w:ascii="Times New Roman" w:hAnsi="Times New Roman"/>
          <w:sz w:val="24"/>
          <w:szCs w:val="24"/>
        </w:rPr>
        <w:t xml:space="preserve"> pension fuds </w:t>
      </w:r>
      <w:r w:rsidRPr="000F1E00">
        <w:rPr>
          <w:rFonts w:ascii="Times New Roman" w:hAnsi="Times New Roman"/>
          <w:sz w:val="24"/>
          <w:szCs w:val="24"/>
        </w:rPr>
        <w:t xml:space="preserve">from their investee corporations. Quotes </w:t>
      </w:r>
      <w:r>
        <w:rPr>
          <w:rFonts w:ascii="Times New Roman" w:hAnsi="Times New Roman"/>
          <w:sz w:val="24"/>
          <w:szCs w:val="24"/>
        </w:rPr>
        <w:t>1</w:t>
      </w:r>
      <w:r w:rsidRPr="000F1E00">
        <w:rPr>
          <w:rFonts w:ascii="Times New Roman" w:hAnsi="Times New Roman"/>
          <w:sz w:val="24"/>
          <w:szCs w:val="24"/>
        </w:rPr>
        <w:t>6</w:t>
      </w:r>
      <w:r>
        <w:rPr>
          <w:rFonts w:ascii="Times New Roman" w:hAnsi="Times New Roman"/>
          <w:sz w:val="24"/>
          <w:szCs w:val="24"/>
        </w:rPr>
        <w:t>, 17</w:t>
      </w:r>
      <w:r w:rsidRPr="000F1E00">
        <w:rPr>
          <w:rFonts w:ascii="Times New Roman" w:hAnsi="Times New Roman"/>
          <w:sz w:val="24"/>
          <w:szCs w:val="24"/>
        </w:rPr>
        <w:t xml:space="preserve"> and </w:t>
      </w:r>
      <w:r>
        <w:rPr>
          <w:rFonts w:ascii="Times New Roman" w:hAnsi="Times New Roman"/>
          <w:sz w:val="24"/>
          <w:szCs w:val="24"/>
        </w:rPr>
        <w:t>18</w:t>
      </w:r>
      <w:r w:rsidRPr="000F1E00">
        <w:rPr>
          <w:rFonts w:ascii="Times New Roman" w:hAnsi="Times New Roman"/>
          <w:sz w:val="24"/>
          <w:szCs w:val="24"/>
        </w:rPr>
        <w:t xml:space="preserve"> illustrate </w:t>
      </w:r>
      <w:r>
        <w:rPr>
          <w:rFonts w:ascii="Times New Roman" w:hAnsi="Times New Roman"/>
          <w:sz w:val="24"/>
          <w:szCs w:val="24"/>
        </w:rPr>
        <w:t>these accounts</w:t>
      </w:r>
      <w:r w:rsidRPr="000F1E00">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Many pension funds in this group had over 40 investment mandates, sometimes over a hundred. Over time, these increases in mandates is said to become too much for the existing governance structures of pension funds, which makes it difficult to monitor what the fund managers deliver. </w:t>
      </w:r>
    </w:p>
    <w:p w:rsidR="00B110CC" w:rsidRDefault="00B110CC" w:rsidP="00B110CC">
      <w:pPr>
        <w:spacing w:line="480" w:lineRule="auto"/>
        <w:jc w:val="both"/>
        <w:rPr>
          <w:rFonts w:ascii="Times New Roman" w:hAnsi="Times New Roman"/>
          <w:i/>
          <w:sz w:val="24"/>
          <w:szCs w:val="24"/>
        </w:rPr>
      </w:pPr>
      <w:r>
        <w:rPr>
          <w:rFonts w:ascii="Times New Roman" w:hAnsi="Times New Roman"/>
          <w:sz w:val="24"/>
          <w:szCs w:val="24"/>
        </w:rPr>
        <w:t xml:space="preserve">The complexity of investment products is also accompanied with the complexity of investment contracts attached to those products and a sophisticated jargon, which trustees often did not understand as it </w:t>
      </w:r>
      <w:r w:rsidRPr="00D72202">
        <w:rPr>
          <w:rFonts w:ascii="Times New Roman" w:hAnsi="Times New Roman"/>
          <w:i/>
          <w:sz w:val="24"/>
          <w:szCs w:val="24"/>
        </w:rPr>
        <w:t>‘wasn’t in the discussions that trustees had years ago’</w:t>
      </w:r>
      <w:r>
        <w:rPr>
          <w:rFonts w:ascii="Times New Roman" w:hAnsi="Times New Roman"/>
          <w:sz w:val="24"/>
          <w:szCs w:val="24"/>
        </w:rPr>
        <w:t>. Such</w:t>
      </w:r>
      <w:r w:rsidRPr="000F1E00">
        <w:rPr>
          <w:rFonts w:ascii="Times New Roman" w:hAnsi="Times New Roman"/>
          <w:sz w:val="24"/>
          <w:szCs w:val="24"/>
        </w:rPr>
        <w:t xml:space="preserve"> complexity of pension fund investment is </w:t>
      </w:r>
      <w:r>
        <w:rPr>
          <w:rFonts w:ascii="Times New Roman" w:hAnsi="Times New Roman"/>
          <w:sz w:val="24"/>
          <w:szCs w:val="24"/>
        </w:rPr>
        <w:t>said</w:t>
      </w:r>
      <w:r w:rsidRPr="000F1E00">
        <w:rPr>
          <w:rFonts w:ascii="Times New Roman" w:hAnsi="Times New Roman"/>
          <w:sz w:val="24"/>
          <w:szCs w:val="24"/>
        </w:rPr>
        <w:t xml:space="preserve"> to have had </w:t>
      </w:r>
      <w:r w:rsidRPr="000F1E00">
        <w:rPr>
          <w:rFonts w:ascii="Times New Roman" w:hAnsi="Times New Roman"/>
          <w:iCs/>
          <w:sz w:val="24"/>
          <w:szCs w:val="24"/>
        </w:rPr>
        <w:t>huge implications for p</w:t>
      </w:r>
      <w:r>
        <w:rPr>
          <w:rFonts w:ascii="Times New Roman" w:hAnsi="Times New Roman"/>
          <w:iCs/>
          <w:sz w:val="24"/>
          <w:szCs w:val="24"/>
        </w:rPr>
        <w:t>ension fund investment strategy, causing trustees to focus on short-term investment returns within investment</w:t>
      </w:r>
      <w:r w:rsidRPr="000F1E00">
        <w:rPr>
          <w:rFonts w:ascii="Times New Roman" w:hAnsi="Times New Roman"/>
          <w:iCs/>
          <w:sz w:val="24"/>
          <w:szCs w:val="24"/>
        </w:rPr>
        <w:t xml:space="preserve"> mandates. The focus on investment performance and funds’ ‘exit’ strategy is best summarised in Quote </w:t>
      </w:r>
      <w:r>
        <w:rPr>
          <w:rFonts w:ascii="Times New Roman" w:hAnsi="Times New Roman"/>
          <w:iCs/>
          <w:sz w:val="24"/>
          <w:szCs w:val="24"/>
        </w:rPr>
        <w:t>19</w:t>
      </w:r>
      <w:r w:rsidRPr="000F1E00">
        <w:rPr>
          <w:rFonts w:ascii="Times New Roman" w:hAnsi="Times New Roman"/>
          <w:iCs/>
          <w:sz w:val="24"/>
          <w:szCs w:val="24"/>
        </w:rPr>
        <w:t xml:space="preserve">. </w:t>
      </w:r>
    </w:p>
    <w:p w:rsidR="00B110CC" w:rsidRDefault="00B110CC" w:rsidP="00B110CC">
      <w:pPr>
        <w:spacing w:line="480" w:lineRule="auto"/>
        <w:jc w:val="both"/>
        <w:rPr>
          <w:rFonts w:ascii="Times New Roman" w:hAnsi="Times New Roman"/>
          <w:sz w:val="24"/>
          <w:szCs w:val="24"/>
        </w:rPr>
      </w:pPr>
      <w:r w:rsidRPr="00712A9B">
        <w:rPr>
          <w:rFonts w:ascii="Times New Roman" w:hAnsi="Times New Roman"/>
          <w:i/>
          <w:sz w:val="24"/>
          <w:szCs w:val="24"/>
          <w:u w:val="single"/>
        </w:rPr>
        <w:t>Increasing complexity in regulation.</w:t>
      </w:r>
      <w:r>
        <w:rPr>
          <w:rFonts w:ascii="Times New Roman" w:hAnsi="Times New Roman"/>
          <w:i/>
          <w:sz w:val="24"/>
          <w:szCs w:val="24"/>
        </w:rPr>
        <w:t xml:space="preserve"> </w:t>
      </w:r>
      <w:r w:rsidRPr="00A26FDB">
        <w:rPr>
          <w:rFonts w:ascii="Times New Roman" w:hAnsi="Times New Roman"/>
          <w:sz w:val="24"/>
          <w:szCs w:val="24"/>
        </w:rPr>
        <w:t>Interviewees</w:t>
      </w:r>
      <w:r>
        <w:rPr>
          <w:rFonts w:ascii="Times New Roman" w:hAnsi="Times New Roman"/>
          <w:sz w:val="24"/>
          <w:szCs w:val="24"/>
        </w:rPr>
        <w:t xml:space="preserve"> also highlighted an increasing burden of regulation over time, which has put more responsibilities on trustees, creating ‘</w:t>
      </w:r>
      <w:r w:rsidRPr="00D04D70">
        <w:rPr>
          <w:rFonts w:ascii="Times New Roman" w:hAnsi="Times New Roman"/>
          <w:i/>
          <w:sz w:val="24"/>
          <w:szCs w:val="24"/>
        </w:rPr>
        <w:t>a culture of box-ticking’</w:t>
      </w:r>
      <w:r>
        <w:rPr>
          <w:rFonts w:ascii="Times New Roman" w:hAnsi="Times New Roman"/>
          <w:sz w:val="24"/>
          <w:szCs w:val="24"/>
        </w:rPr>
        <w:t xml:space="preserve"> that was </w:t>
      </w:r>
      <w:r w:rsidRPr="00D04D70">
        <w:rPr>
          <w:rFonts w:ascii="Times New Roman" w:hAnsi="Times New Roman"/>
          <w:i/>
          <w:sz w:val="24"/>
          <w:szCs w:val="24"/>
        </w:rPr>
        <w:t>‘gradually replacing professionalism’</w:t>
      </w:r>
      <w:r>
        <w:rPr>
          <w:rFonts w:ascii="Times New Roman" w:hAnsi="Times New Roman"/>
          <w:sz w:val="24"/>
          <w:szCs w:val="24"/>
        </w:rPr>
        <w:t>.  According to pensions practitioners, ‘</w:t>
      </w:r>
      <w:r w:rsidRPr="002F7E0C">
        <w:rPr>
          <w:rFonts w:ascii="Times New Roman" w:hAnsi="Times New Roman"/>
          <w:i/>
          <w:sz w:val="24"/>
          <w:szCs w:val="24"/>
        </w:rPr>
        <w:t xml:space="preserve">every time there is a crisis, people say that the answer is </w:t>
      </w:r>
      <w:r w:rsidRPr="002F7E0C">
        <w:rPr>
          <w:rFonts w:ascii="Times New Roman" w:hAnsi="Times New Roman"/>
          <w:i/>
          <w:sz w:val="24"/>
          <w:szCs w:val="24"/>
        </w:rPr>
        <w:lastRenderedPageBreak/>
        <w:t>more regulation, more detail and more boxes to tick’</w:t>
      </w:r>
      <w:r>
        <w:rPr>
          <w:rFonts w:ascii="Times New Roman" w:hAnsi="Times New Roman"/>
          <w:i/>
          <w:sz w:val="24"/>
          <w:szCs w:val="24"/>
        </w:rPr>
        <w:t>;</w:t>
      </w:r>
      <w:r>
        <w:rPr>
          <w:rFonts w:ascii="Times New Roman" w:hAnsi="Times New Roman"/>
          <w:sz w:val="24"/>
          <w:szCs w:val="24"/>
        </w:rPr>
        <w:t xml:space="preserve"> this type of mentality meant that trustees found it </w:t>
      </w:r>
      <w:r w:rsidRPr="003C726D">
        <w:rPr>
          <w:rFonts w:ascii="Times New Roman" w:hAnsi="Times New Roman"/>
          <w:i/>
          <w:sz w:val="24"/>
          <w:szCs w:val="24"/>
        </w:rPr>
        <w:t>‘difficult to see the big picture because they are overwhelmed by all the detail’</w:t>
      </w:r>
      <w:r>
        <w:rPr>
          <w:rFonts w:ascii="Times New Roman" w:hAnsi="Times New Roman"/>
          <w:sz w:val="24"/>
          <w:szCs w:val="24"/>
        </w:rPr>
        <w:t xml:space="preserve">. Quotes 20, 21 and 22 illustrate this perspective. </w:t>
      </w:r>
    </w:p>
    <w:p w:rsidR="00B110CC" w:rsidRDefault="00B110CC" w:rsidP="00B110CC">
      <w:pPr>
        <w:spacing w:line="480" w:lineRule="auto"/>
        <w:jc w:val="both"/>
        <w:rPr>
          <w:rFonts w:ascii="Times New Roman" w:hAnsi="Times New Roman"/>
          <w:b/>
          <w:sz w:val="24"/>
          <w:szCs w:val="24"/>
        </w:rPr>
      </w:pPr>
      <w:r w:rsidRPr="00712A9B">
        <w:rPr>
          <w:rFonts w:ascii="Times New Roman" w:hAnsi="Times New Roman"/>
          <w:b/>
          <w:sz w:val="24"/>
          <w:szCs w:val="24"/>
        </w:rPr>
        <w:t>Group B</w:t>
      </w:r>
      <w:r>
        <w:rPr>
          <w:rFonts w:ascii="Times New Roman" w:hAnsi="Times New Roman"/>
          <w:b/>
          <w:sz w:val="24"/>
          <w:szCs w:val="24"/>
        </w:rPr>
        <w:t xml:space="preserve"> Engagement Vocabulary</w:t>
      </w:r>
      <w:r w:rsidRPr="003B688F">
        <w:rPr>
          <w:rFonts w:ascii="Times New Roman" w:hAnsi="Times New Roman"/>
          <w:b/>
          <w:sz w:val="24"/>
          <w:szCs w:val="24"/>
        </w:rPr>
        <w:t xml:space="preserve"> </w:t>
      </w:r>
    </w:p>
    <w:p w:rsidR="00B110CC" w:rsidRPr="006640C4" w:rsidRDefault="00B110CC" w:rsidP="00B110CC">
      <w:pPr>
        <w:pStyle w:val="BodyTextIndent"/>
        <w:spacing w:line="480" w:lineRule="auto"/>
        <w:ind w:left="0"/>
        <w:jc w:val="both"/>
        <w:rPr>
          <w:rFonts w:ascii="Times New Roman" w:hAnsi="Times New Roman"/>
          <w:sz w:val="24"/>
          <w:szCs w:val="24"/>
        </w:rPr>
      </w:pPr>
      <w:r>
        <w:rPr>
          <w:rFonts w:ascii="Times New Roman" w:hAnsi="Times New Roman"/>
          <w:sz w:val="24"/>
          <w:szCs w:val="24"/>
        </w:rPr>
        <w:t xml:space="preserve">In contrast to group A, very few interviewees (represented only by </w:t>
      </w:r>
      <w:r w:rsidRPr="000F1E00">
        <w:rPr>
          <w:rFonts w:ascii="Times New Roman" w:hAnsi="Times New Roman"/>
          <w:sz w:val="24"/>
          <w:szCs w:val="24"/>
        </w:rPr>
        <w:t xml:space="preserve">two large occupational pension funds and </w:t>
      </w:r>
      <w:r>
        <w:rPr>
          <w:rFonts w:ascii="Times New Roman" w:hAnsi="Times New Roman"/>
          <w:sz w:val="24"/>
          <w:szCs w:val="24"/>
        </w:rPr>
        <w:t>pension funds within</w:t>
      </w:r>
      <w:r w:rsidRPr="000F1E00">
        <w:rPr>
          <w:rFonts w:ascii="Times New Roman" w:hAnsi="Times New Roman"/>
          <w:sz w:val="24"/>
          <w:szCs w:val="24"/>
        </w:rPr>
        <w:t xml:space="preserve"> the Local Authority Pension Fund Fo</w:t>
      </w:r>
      <w:r>
        <w:rPr>
          <w:rFonts w:ascii="Times New Roman" w:hAnsi="Times New Roman"/>
          <w:sz w:val="24"/>
          <w:szCs w:val="24"/>
        </w:rPr>
        <w:t xml:space="preserve">rum) used a more positive vocabulary about engagement. </w:t>
      </w:r>
    </w:p>
    <w:p w:rsidR="00B110CC" w:rsidRDefault="00B110CC" w:rsidP="00B110CC">
      <w:pPr>
        <w:spacing w:line="480" w:lineRule="auto"/>
        <w:jc w:val="both"/>
        <w:rPr>
          <w:rFonts w:ascii="Times New Roman" w:hAnsi="Times New Roman"/>
          <w:b/>
          <w:i/>
          <w:sz w:val="24"/>
          <w:szCs w:val="24"/>
        </w:rPr>
      </w:pPr>
      <w:r>
        <w:rPr>
          <w:rFonts w:ascii="Times New Roman" w:hAnsi="Times New Roman"/>
          <w:b/>
          <w:i/>
          <w:sz w:val="24"/>
          <w:szCs w:val="24"/>
        </w:rPr>
        <w:t>Internal Accounts</w:t>
      </w:r>
    </w:p>
    <w:p w:rsidR="00B110CC" w:rsidRPr="00FB5F28" w:rsidRDefault="00B110CC" w:rsidP="00B110CC">
      <w:pPr>
        <w:pStyle w:val="BodyTextIndent"/>
        <w:spacing w:line="480" w:lineRule="auto"/>
        <w:ind w:left="0"/>
        <w:jc w:val="both"/>
        <w:rPr>
          <w:rFonts w:ascii="Times New Roman" w:hAnsi="Times New Roman"/>
          <w:sz w:val="24"/>
          <w:szCs w:val="24"/>
        </w:rPr>
      </w:pPr>
      <w:r w:rsidRPr="00712A9B">
        <w:rPr>
          <w:rFonts w:ascii="Times New Roman" w:hAnsi="Times New Roman"/>
          <w:i/>
          <w:sz w:val="24"/>
          <w:szCs w:val="24"/>
          <w:u w:val="single"/>
        </w:rPr>
        <w:t>Trustees’ Fiduciary Duties.</w:t>
      </w:r>
      <w:r w:rsidRPr="003B688F">
        <w:rPr>
          <w:rFonts w:ascii="Times New Roman" w:hAnsi="Times New Roman"/>
          <w:b/>
          <w:i/>
          <w:sz w:val="24"/>
          <w:szCs w:val="24"/>
        </w:rPr>
        <w:t xml:space="preserve"> </w:t>
      </w:r>
      <w:r w:rsidRPr="000F1E00">
        <w:rPr>
          <w:rFonts w:ascii="Times New Roman" w:hAnsi="Times New Roman"/>
          <w:sz w:val="24"/>
          <w:szCs w:val="24"/>
        </w:rPr>
        <w:t xml:space="preserve">Several respondents within </w:t>
      </w:r>
      <w:r>
        <w:rPr>
          <w:rFonts w:ascii="Times New Roman" w:hAnsi="Times New Roman"/>
          <w:sz w:val="24"/>
          <w:szCs w:val="24"/>
        </w:rPr>
        <w:t>this group</w:t>
      </w:r>
      <w:r w:rsidRPr="000F1E00">
        <w:rPr>
          <w:rFonts w:ascii="Times New Roman" w:hAnsi="Times New Roman"/>
          <w:sz w:val="24"/>
          <w:szCs w:val="24"/>
        </w:rPr>
        <w:t xml:space="preserve"> </w:t>
      </w:r>
      <w:r w:rsidRPr="000F1E00">
        <w:rPr>
          <w:rFonts w:ascii="Times New Roman" w:hAnsi="Times New Roman"/>
          <w:i/>
          <w:iCs/>
          <w:sz w:val="24"/>
          <w:szCs w:val="24"/>
        </w:rPr>
        <w:t>‘made sense’</w:t>
      </w:r>
      <w:r w:rsidRPr="000F1E00">
        <w:rPr>
          <w:rFonts w:ascii="Times New Roman" w:hAnsi="Times New Roman"/>
          <w:sz w:val="24"/>
          <w:szCs w:val="24"/>
        </w:rPr>
        <w:t xml:space="preserve"> of engagement by relating it to their fiduciary duty.</w:t>
      </w:r>
      <w:r>
        <w:rPr>
          <w:rFonts w:ascii="Times New Roman" w:hAnsi="Times New Roman"/>
          <w:sz w:val="24"/>
          <w:szCs w:val="24"/>
        </w:rPr>
        <w:t xml:space="preserve"> However,</w:t>
      </w:r>
      <w:r w:rsidRPr="000F1E00">
        <w:rPr>
          <w:rFonts w:ascii="Times New Roman" w:hAnsi="Times New Roman"/>
          <w:sz w:val="24"/>
          <w:szCs w:val="24"/>
        </w:rPr>
        <w:t xml:space="preserve"> </w:t>
      </w:r>
      <w:r>
        <w:rPr>
          <w:rFonts w:ascii="Times New Roman" w:hAnsi="Times New Roman"/>
          <w:sz w:val="24"/>
          <w:szCs w:val="24"/>
        </w:rPr>
        <w:t>unlike the narrative within disengaged vocabulary, tr</w:t>
      </w:r>
      <w:r w:rsidRPr="000F1E00">
        <w:rPr>
          <w:rFonts w:ascii="Times New Roman" w:hAnsi="Times New Roman"/>
          <w:sz w:val="24"/>
          <w:szCs w:val="24"/>
        </w:rPr>
        <w:t>ustees and pension fund managers interprete</w:t>
      </w:r>
      <w:r>
        <w:rPr>
          <w:rFonts w:ascii="Times New Roman" w:hAnsi="Times New Roman"/>
          <w:sz w:val="24"/>
          <w:szCs w:val="24"/>
        </w:rPr>
        <w:t>d their fiduciary duty of loyalty</w:t>
      </w:r>
      <w:r w:rsidRPr="000F1E00">
        <w:rPr>
          <w:rFonts w:ascii="Times New Roman" w:hAnsi="Times New Roman"/>
          <w:sz w:val="24"/>
          <w:szCs w:val="24"/>
        </w:rPr>
        <w:t xml:space="preserve"> as securing </w:t>
      </w:r>
      <w:r>
        <w:rPr>
          <w:rFonts w:ascii="Times New Roman" w:hAnsi="Times New Roman"/>
          <w:sz w:val="24"/>
          <w:szCs w:val="24"/>
        </w:rPr>
        <w:t xml:space="preserve">not only </w:t>
      </w:r>
      <w:r w:rsidRPr="000F1E00">
        <w:rPr>
          <w:rFonts w:ascii="Times New Roman" w:hAnsi="Times New Roman"/>
          <w:sz w:val="24"/>
          <w:szCs w:val="24"/>
        </w:rPr>
        <w:t>the best</w:t>
      </w:r>
      <w:r>
        <w:rPr>
          <w:rFonts w:ascii="Times New Roman" w:hAnsi="Times New Roman"/>
          <w:sz w:val="24"/>
          <w:szCs w:val="24"/>
        </w:rPr>
        <w:t xml:space="preserve"> financial interests of members by focusing on investment (out)performance, but also by making sure that investments are sustainable over time through engagement</w:t>
      </w:r>
      <w:r w:rsidRPr="000F1E00">
        <w:rPr>
          <w:rFonts w:ascii="Times New Roman" w:hAnsi="Times New Roman"/>
          <w:sz w:val="24"/>
          <w:szCs w:val="24"/>
        </w:rPr>
        <w:t xml:space="preserve">. One Trustee explained that engagement is </w:t>
      </w:r>
      <w:r>
        <w:rPr>
          <w:rFonts w:ascii="Times New Roman" w:hAnsi="Times New Roman"/>
          <w:sz w:val="24"/>
          <w:szCs w:val="24"/>
        </w:rPr>
        <w:t xml:space="preserve">actually </w:t>
      </w:r>
      <w:r w:rsidRPr="000F1E00">
        <w:rPr>
          <w:rFonts w:ascii="Times New Roman" w:hAnsi="Times New Roman"/>
          <w:sz w:val="24"/>
          <w:szCs w:val="24"/>
        </w:rPr>
        <w:t xml:space="preserve">good business (Quote </w:t>
      </w:r>
      <w:r>
        <w:rPr>
          <w:rFonts w:ascii="Times New Roman" w:hAnsi="Times New Roman"/>
          <w:sz w:val="24"/>
          <w:szCs w:val="24"/>
        </w:rPr>
        <w:t>23</w:t>
      </w:r>
      <w:r w:rsidRPr="000F1E00">
        <w:rPr>
          <w:rFonts w:ascii="Times New Roman" w:hAnsi="Times New Roman"/>
          <w:sz w:val="24"/>
          <w:szCs w:val="24"/>
        </w:rPr>
        <w:t>). Interestingly, a CEO of one industry-wide pension fund also noted that ‘</w:t>
      </w:r>
      <w:r w:rsidRPr="000F1E00">
        <w:rPr>
          <w:rFonts w:ascii="Times New Roman" w:hAnsi="Times New Roman"/>
          <w:i/>
          <w:sz w:val="24"/>
          <w:szCs w:val="24"/>
        </w:rPr>
        <w:t>there are differences in the drivers of investment strategy between local authority and private sector pension funds’</w:t>
      </w:r>
      <w:r w:rsidRPr="000F1E00">
        <w:rPr>
          <w:rFonts w:ascii="Times New Roman" w:hAnsi="Times New Roman"/>
          <w:sz w:val="24"/>
          <w:szCs w:val="24"/>
        </w:rPr>
        <w:t xml:space="preserve">, where public sector funds have a </w:t>
      </w:r>
      <w:r w:rsidRPr="000F1E00">
        <w:rPr>
          <w:rFonts w:ascii="Times New Roman" w:hAnsi="Times New Roman"/>
          <w:i/>
          <w:iCs/>
          <w:sz w:val="24"/>
          <w:szCs w:val="24"/>
        </w:rPr>
        <w:t>‘more moral view of things’</w:t>
      </w:r>
      <w:r w:rsidRPr="000F1E00">
        <w:rPr>
          <w:rFonts w:ascii="Times New Roman" w:hAnsi="Times New Roman"/>
          <w:sz w:val="24"/>
          <w:szCs w:val="24"/>
        </w:rPr>
        <w:t xml:space="preserve"> running through their investments. This view is echoed by five respondents from LAPFF who associated their fiduciary duty with being a responsible owner of shares, providing not only capital but also being concerned with environmental, social and governance (ESG) issues for </w:t>
      </w:r>
      <w:r w:rsidRPr="000F1E00">
        <w:rPr>
          <w:rFonts w:ascii="Times New Roman" w:hAnsi="Times New Roman"/>
          <w:color w:val="000000"/>
          <w:sz w:val="24"/>
          <w:szCs w:val="24"/>
        </w:rPr>
        <w:t>the g</w:t>
      </w:r>
      <w:r>
        <w:rPr>
          <w:rFonts w:ascii="Times New Roman" w:hAnsi="Times New Roman"/>
          <w:color w:val="000000"/>
          <w:sz w:val="24"/>
          <w:szCs w:val="24"/>
        </w:rPr>
        <w:t>reater good of society (Quotes 24</w:t>
      </w:r>
      <w:r w:rsidRPr="000F1E00">
        <w:rPr>
          <w:rFonts w:ascii="Times New Roman" w:hAnsi="Times New Roman"/>
          <w:color w:val="000000"/>
          <w:sz w:val="24"/>
          <w:szCs w:val="24"/>
        </w:rPr>
        <w:t>).</w:t>
      </w:r>
    </w:p>
    <w:p w:rsidR="00B110CC" w:rsidRDefault="00B110CC" w:rsidP="00B110CC">
      <w:pPr>
        <w:spacing w:line="480" w:lineRule="auto"/>
        <w:jc w:val="both"/>
        <w:rPr>
          <w:rFonts w:ascii="Times New Roman" w:hAnsi="Times New Roman"/>
          <w:sz w:val="24"/>
          <w:szCs w:val="24"/>
        </w:rPr>
      </w:pPr>
      <w:r w:rsidRPr="00712A9B">
        <w:rPr>
          <w:rFonts w:ascii="Times New Roman" w:hAnsi="Times New Roman"/>
          <w:i/>
          <w:sz w:val="24"/>
          <w:szCs w:val="24"/>
          <w:u w:val="single"/>
        </w:rPr>
        <w:t>Resources and Expertise</w:t>
      </w:r>
      <w:r>
        <w:rPr>
          <w:rFonts w:ascii="Times New Roman" w:hAnsi="Times New Roman"/>
          <w:i/>
          <w:sz w:val="24"/>
          <w:szCs w:val="24"/>
        </w:rPr>
        <w:t xml:space="preserve">. </w:t>
      </w:r>
      <w:r>
        <w:rPr>
          <w:rFonts w:ascii="Times New Roman" w:hAnsi="Times New Roman"/>
          <w:sz w:val="24"/>
          <w:szCs w:val="24"/>
        </w:rPr>
        <w:t xml:space="preserve">Interviewees also suggested that the size of a fund, its internal resources and the level of expertise on the trustee board play a crucial role in </w:t>
      </w:r>
      <w:r>
        <w:rPr>
          <w:rFonts w:ascii="Times New Roman" w:hAnsi="Times New Roman"/>
          <w:sz w:val="24"/>
          <w:szCs w:val="24"/>
        </w:rPr>
        <w:lastRenderedPageBreak/>
        <w:t xml:space="preserve">enabling engagement activities. The more resources and expertise a fund has in-house, the more control it has over the formulation and implementation of its investment strategies. Coupled with the internal ‘ethos’ of stewardship, these characteristics were said to have allowed trustees to exercise their fiduciary duty and act in the best long-term interests of their members in a more ‘responsible’ way. Quote 25 captures this perception. We also note here that smaller and less resourced local authority schemes </w:t>
      </w:r>
      <w:r w:rsidRPr="00E2593A">
        <w:rPr>
          <w:rFonts w:ascii="Times New Roman" w:hAnsi="Times New Roman"/>
          <w:i/>
          <w:sz w:val="24"/>
          <w:szCs w:val="24"/>
        </w:rPr>
        <w:t>‘pulled their resources together’</w:t>
      </w:r>
      <w:r>
        <w:rPr>
          <w:rFonts w:ascii="Times New Roman" w:hAnsi="Times New Roman"/>
          <w:sz w:val="24"/>
          <w:szCs w:val="24"/>
        </w:rPr>
        <w:t xml:space="preserve"> and engaged via LAPFF. </w:t>
      </w:r>
    </w:p>
    <w:p w:rsidR="00B110CC" w:rsidRDefault="00B110CC" w:rsidP="00B110CC">
      <w:pPr>
        <w:pStyle w:val="BodyTextIndent"/>
        <w:spacing w:line="480" w:lineRule="auto"/>
        <w:ind w:left="0"/>
        <w:jc w:val="both"/>
        <w:rPr>
          <w:rFonts w:ascii="Times New Roman" w:hAnsi="Times New Roman"/>
          <w:b/>
          <w:sz w:val="24"/>
          <w:szCs w:val="24"/>
        </w:rPr>
      </w:pPr>
      <w:r w:rsidRPr="003B688F">
        <w:rPr>
          <w:rFonts w:ascii="Times New Roman" w:hAnsi="Times New Roman"/>
          <w:b/>
          <w:i/>
          <w:sz w:val="24"/>
          <w:szCs w:val="24"/>
        </w:rPr>
        <w:t xml:space="preserve">External </w:t>
      </w:r>
      <w:r>
        <w:rPr>
          <w:rFonts w:ascii="Times New Roman" w:hAnsi="Times New Roman"/>
          <w:b/>
          <w:i/>
          <w:sz w:val="24"/>
          <w:szCs w:val="24"/>
        </w:rPr>
        <w:t>Accounts</w:t>
      </w:r>
    </w:p>
    <w:p w:rsidR="00B110CC" w:rsidRPr="00DD1B55" w:rsidRDefault="00B110CC" w:rsidP="00B110CC">
      <w:pPr>
        <w:pStyle w:val="BodyTextIndent"/>
        <w:spacing w:line="480" w:lineRule="auto"/>
        <w:ind w:left="0"/>
        <w:jc w:val="both"/>
        <w:rPr>
          <w:rFonts w:ascii="Times New Roman" w:hAnsi="Times New Roman"/>
          <w:i/>
          <w:iCs/>
          <w:color w:val="000000"/>
        </w:rPr>
      </w:pPr>
      <w:r w:rsidRPr="00712A9B">
        <w:rPr>
          <w:rFonts w:ascii="Times New Roman" w:hAnsi="Times New Roman"/>
          <w:i/>
          <w:sz w:val="24"/>
          <w:szCs w:val="24"/>
          <w:u w:val="single"/>
        </w:rPr>
        <w:t>Public Pressure for Accountability and Engagement.</w:t>
      </w:r>
      <w:r w:rsidRPr="003B688F">
        <w:rPr>
          <w:rFonts w:ascii="Times New Roman" w:hAnsi="Times New Roman"/>
          <w:b/>
          <w:i/>
          <w:sz w:val="24"/>
          <w:szCs w:val="24"/>
        </w:rPr>
        <w:t xml:space="preserve"> </w:t>
      </w:r>
      <w:r>
        <w:rPr>
          <w:rFonts w:ascii="Times New Roman" w:hAnsi="Times New Roman"/>
          <w:sz w:val="24"/>
          <w:szCs w:val="24"/>
        </w:rPr>
        <w:t>Interviewees noted that the increasing public pressure for accountability was one of</w:t>
      </w:r>
      <w:r w:rsidRPr="000F1E00">
        <w:rPr>
          <w:rFonts w:ascii="Times New Roman" w:hAnsi="Times New Roman"/>
          <w:sz w:val="24"/>
          <w:szCs w:val="24"/>
        </w:rPr>
        <w:t xml:space="preserve"> the reasons for such a ‘concentration’ of responsible investment interests within the public sector pension funds</w:t>
      </w:r>
      <w:r>
        <w:rPr>
          <w:rFonts w:ascii="Times New Roman" w:hAnsi="Times New Roman"/>
          <w:sz w:val="24"/>
          <w:szCs w:val="24"/>
        </w:rPr>
        <w:t>.</w:t>
      </w:r>
      <w:r w:rsidRPr="000F1E00">
        <w:rPr>
          <w:rFonts w:ascii="Times New Roman" w:hAnsi="Times New Roman"/>
          <w:sz w:val="24"/>
          <w:szCs w:val="24"/>
        </w:rPr>
        <w:t xml:space="preserve"> </w:t>
      </w:r>
      <w:r>
        <w:rPr>
          <w:rFonts w:ascii="Times New Roman" w:hAnsi="Times New Roman"/>
          <w:sz w:val="24"/>
          <w:szCs w:val="24"/>
        </w:rPr>
        <w:t xml:space="preserve">Local authorities were said to have </w:t>
      </w:r>
      <w:r w:rsidRPr="000F1E00">
        <w:rPr>
          <w:rFonts w:ascii="Times New Roman" w:hAnsi="Times New Roman"/>
          <w:sz w:val="24"/>
          <w:szCs w:val="24"/>
        </w:rPr>
        <w:t>more pressure to have higher standards of public accountability and more is expe</w:t>
      </w:r>
      <w:r>
        <w:rPr>
          <w:rFonts w:ascii="Times New Roman" w:hAnsi="Times New Roman"/>
          <w:sz w:val="24"/>
          <w:szCs w:val="24"/>
        </w:rPr>
        <w:t xml:space="preserve">cted of these funds in terms of dealing with </w:t>
      </w:r>
      <w:r w:rsidRPr="000F1E00">
        <w:rPr>
          <w:rFonts w:ascii="Times New Roman" w:hAnsi="Times New Roman"/>
          <w:sz w:val="24"/>
          <w:szCs w:val="24"/>
        </w:rPr>
        <w:t>ESG issues</w:t>
      </w:r>
      <w:r>
        <w:rPr>
          <w:rFonts w:ascii="Times New Roman" w:hAnsi="Times New Roman"/>
          <w:sz w:val="24"/>
          <w:szCs w:val="24"/>
        </w:rPr>
        <w:t>.</w:t>
      </w:r>
      <w:r w:rsidRPr="000F1E00">
        <w:rPr>
          <w:rFonts w:ascii="Times New Roman" w:hAnsi="Times New Roman"/>
          <w:sz w:val="24"/>
          <w:szCs w:val="24"/>
        </w:rPr>
        <w:t xml:space="preserve"> (Quote </w:t>
      </w:r>
      <w:r>
        <w:rPr>
          <w:rFonts w:ascii="Times New Roman" w:hAnsi="Times New Roman"/>
          <w:sz w:val="24"/>
          <w:szCs w:val="24"/>
        </w:rPr>
        <w:t>26</w:t>
      </w:r>
      <w:r w:rsidRPr="000F1E00">
        <w:rPr>
          <w:rFonts w:ascii="Times New Roman" w:hAnsi="Times New Roman"/>
          <w:sz w:val="24"/>
          <w:szCs w:val="24"/>
        </w:rPr>
        <w:t xml:space="preserve"> </w:t>
      </w:r>
      <w:r>
        <w:rPr>
          <w:rFonts w:ascii="Times New Roman" w:hAnsi="Times New Roman"/>
          <w:sz w:val="24"/>
          <w:szCs w:val="24"/>
        </w:rPr>
        <w:t>exemplifies</w:t>
      </w:r>
      <w:r w:rsidRPr="000F1E00">
        <w:rPr>
          <w:rFonts w:ascii="Times New Roman" w:hAnsi="Times New Roman"/>
          <w:sz w:val="24"/>
          <w:szCs w:val="24"/>
        </w:rPr>
        <w:t xml:space="preserve"> this account</w:t>
      </w:r>
      <w:r>
        <w:rPr>
          <w:rFonts w:ascii="Times New Roman" w:hAnsi="Times New Roman"/>
          <w:sz w:val="24"/>
          <w:szCs w:val="24"/>
        </w:rPr>
        <w:t>.</w:t>
      </w:r>
      <w:r w:rsidRPr="000F1E00">
        <w:rPr>
          <w:rFonts w:ascii="Times New Roman" w:hAnsi="Times New Roman"/>
          <w:sz w:val="24"/>
          <w:szCs w:val="24"/>
        </w:rPr>
        <w:t>)</w:t>
      </w:r>
      <w:r>
        <w:rPr>
          <w:rFonts w:ascii="Times New Roman" w:hAnsi="Times New Roman"/>
          <w:i/>
          <w:iCs/>
          <w:color w:val="000000"/>
        </w:rPr>
        <w:t xml:space="preserve"> </w:t>
      </w:r>
      <w:r w:rsidRPr="000F1E00">
        <w:rPr>
          <w:rFonts w:ascii="Times New Roman" w:hAnsi="Times New Roman"/>
          <w:sz w:val="24"/>
          <w:szCs w:val="24"/>
        </w:rPr>
        <w:t xml:space="preserve">In short, engagement </w:t>
      </w:r>
      <w:r>
        <w:rPr>
          <w:rFonts w:ascii="Times New Roman" w:hAnsi="Times New Roman"/>
          <w:i/>
          <w:sz w:val="24"/>
          <w:szCs w:val="24"/>
        </w:rPr>
        <w:t>‘made</w:t>
      </w:r>
      <w:r w:rsidRPr="000F1E00">
        <w:rPr>
          <w:rFonts w:ascii="Times New Roman" w:hAnsi="Times New Roman"/>
          <w:i/>
          <w:sz w:val="24"/>
          <w:szCs w:val="24"/>
        </w:rPr>
        <w:t xml:space="preserve"> sense’</w:t>
      </w:r>
      <w:r>
        <w:rPr>
          <w:rFonts w:ascii="Times New Roman" w:hAnsi="Times New Roman"/>
          <w:sz w:val="24"/>
          <w:szCs w:val="24"/>
        </w:rPr>
        <w:t xml:space="preserve"> and was</w:t>
      </w:r>
      <w:r w:rsidRPr="000F1E00">
        <w:rPr>
          <w:rFonts w:ascii="Times New Roman" w:hAnsi="Times New Roman"/>
          <w:sz w:val="24"/>
          <w:szCs w:val="24"/>
        </w:rPr>
        <w:t xml:space="preserve"> embedded in the investment philosophy and connected to the overall inv</w:t>
      </w:r>
      <w:r>
        <w:rPr>
          <w:rFonts w:ascii="Times New Roman" w:hAnsi="Times New Roman"/>
          <w:sz w:val="24"/>
          <w:szCs w:val="24"/>
        </w:rPr>
        <w:t>estment decision-making process</w:t>
      </w:r>
      <w:r w:rsidRPr="000F1E00">
        <w:rPr>
          <w:rFonts w:ascii="Times New Roman" w:hAnsi="Times New Roman"/>
          <w:sz w:val="24"/>
          <w:szCs w:val="24"/>
        </w:rPr>
        <w:t xml:space="preserve">. </w:t>
      </w:r>
    </w:p>
    <w:p w:rsidR="00B110CC" w:rsidRDefault="00B110CC" w:rsidP="00B110CC">
      <w:pPr>
        <w:spacing w:line="480" w:lineRule="auto"/>
        <w:jc w:val="both"/>
        <w:rPr>
          <w:rFonts w:ascii="Times New Roman" w:hAnsi="Times New Roman"/>
          <w:b/>
          <w:sz w:val="24"/>
          <w:szCs w:val="24"/>
        </w:rPr>
      </w:pPr>
      <w:r w:rsidRPr="003B688F">
        <w:rPr>
          <w:rFonts w:ascii="Times New Roman" w:hAnsi="Times New Roman"/>
          <w:b/>
          <w:sz w:val="24"/>
          <w:szCs w:val="24"/>
        </w:rPr>
        <w:t xml:space="preserve">Temporal Perspective </w:t>
      </w:r>
    </w:p>
    <w:p w:rsidR="00B110CC" w:rsidRDefault="00B110CC" w:rsidP="00B110CC">
      <w:pPr>
        <w:spacing w:line="480" w:lineRule="auto"/>
        <w:jc w:val="both"/>
        <w:rPr>
          <w:rFonts w:ascii="Times New Roman" w:hAnsi="Times New Roman"/>
          <w:sz w:val="24"/>
          <w:szCs w:val="24"/>
        </w:rPr>
      </w:pPr>
      <w:r w:rsidRPr="0054694F">
        <w:rPr>
          <w:rFonts w:ascii="Times New Roman" w:hAnsi="Times New Roman"/>
          <w:sz w:val="24"/>
          <w:szCs w:val="24"/>
        </w:rPr>
        <w:t xml:space="preserve">In contrast to disengaged </w:t>
      </w:r>
      <w:r>
        <w:rPr>
          <w:rFonts w:ascii="Times New Roman" w:hAnsi="Times New Roman"/>
          <w:sz w:val="24"/>
          <w:szCs w:val="24"/>
        </w:rPr>
        <w:t>vocabulary we find that trustees and pensions executives within this group talk about past, present and future in a more positive way. Respondents described gradual pension industry changes from non-engagement in the past to more active and meaningful engagement by some pension funds in the present and ultimately connecting this to a more susta</w:t>
      </w:r>
      <w:r w:rsidRPr="00802F02">
        <w:rPr>
          <w:rFonts w:ascii="Times New Roman" w:hAnsi="Times New Roman"/>
          <w:sz w:val="24"/>
          <w:szCs w:val="24"/>
        </w:rPr>
        <w:t>inable future</w:t>
      </w:r>
      <w:r>
        <w:rPr>
          <w:rFonts w:ascii="Times New Roman" w:hAnsi="Times New Roman"/>
          <w:sz w:val="24"/>
          <w:szCs w:val="24"/>
        </w:rPr>
        <w:t xml:space="preserve">. Interviewees suggested that there is more attention not only to pension fund governance within the industry, but </w:t>
      </w:r>
      <w:r>
        <w:rPr>
          <w:rFonts w:ascii="Times New Roman" w:hAnsi="Times New Roman"/>
          <w:sz w:val="24"/>
          <w:szCs w:val="24"/>
        </w:rPr>
        <w:lastRenderedPageBreak/>
        <w:t xml:space="preserve">also more responsibility around investment stewardship, which was a result of increased public pressure to take ESG issues more seriously (Quotes 27, 28 and 29). Trustees and pensions executives also reflected on the positive changes in the pension fund industry, by saying that the Pensions’ Regulator provided a wealth of information which allowed trustees to become </w:t>
      </w:r>
      <w:r w:rsidRPr="006E7948">
        <w:rPr>
          <w:rFonts w:ascii="Times New Roman" w:hAnsi="Times New Roman"/>
          <w:i/>
          <w:sz w:val="24"/>
          <w:szCs w:val="24"/>
        </w:rPr>
        <w:t>‘more professional’</w:t>
      </w:r>
      <w:r>
        <w:rPr>
          <w:rFonts w:ascii="Times New Roman" w:hAnsi="Times New Roman"/>
          <w:sz w:val="24"/>
          <w:szCs w:val="24"/>
        </w:rPr>
        <w:t xml:space="preserve"> and </w:t>
      </w:r>
      <w:r w:rsidRPr="006E7948">
        <w:rPr>
          <w:rFonts w:ascii="Times New Roman" w:hAnsi="Times New Roman"/>
          <w:i/>
          <w:sz w:val="24"/>
          <w:szCs w:val="24"/>
        </w:rPr>
        <w:t xml:space="preserve">‘more knowledgeable’ </w:t>
      </w:r>
      <w:r>
        <w:rPr>
          <w:rFonts w:ascii="Times New Roman" w:hAnsi="Times New Roman"/>
          <w:sz w:val="24"/>
          <w:szCs w:val="24"/>
        </w:rPr>
        <w:t xml:space="preserve">about investment and stewardship.  </w:t>
      </w:r>
    </w:p>
    <w:p w:rsidR="00B110CC" w:rsidRPr="00712A9B" w:rsidRDefault="00B110CC" w:rsidP="00B110CC">
      <w:pPr>
        <w:spacing w:line="480" w:lineRule="auto"/>
        <w:jc w:val="both"/>
        <w:rPr>
          <w:rStyle w:val="SubtleEmphasis"/>
          <w:rFonts w:ascii="Times New Roman" w:hAnsi="Times New Roman"/>
          <w:i w:val="0"/>
          <w:iCs w:val="0"/>
          <w:color w:val="auto"/>
          <w:sz w:val="24"/>
          <w:szCs w:val="24"/>
        </w:rPr>
      </w:pPr>
      <w:r w:rsidRPr="00712A9B">
        <w:rPr>
          <w:rFonts w:ascii="Times New Roman" w:hAnsi="Times New Roman"/>
          <w:i/>
          <w:sz w:val="24"/>
          <w:szCs w:val="24"/>
          <w:u w:val="single"/>
        </w:rPr>
        <w:t>Longer investment time horizons</w:t>
      </w:r>
      <w:r w:rsidRPr="00115163">
        <w:rPr>
          <w:rFonts w:ascii="Times New Roman" w:hAnsi="Times New Roman"/>
          <w:i/>
          <w:sz w:val="24"/>
          <w:szCs w:val="24"/>
        </w:rPr>
        <w:t xml:space="preserve">. </w:t>
      </w:r>
      <w:r w:rsidRPr="00115163">
        <w:rPr>
          <w:rFonts w:ascii="Times New Roman" w:hAnsi="Times New Roman"/>
          <w:sz w:val="24"/>
          <w:szCs w:val="24"/>
        </w:rPr>
        <w:t>Interestingly,</w:t>
      </w:r>
      <w:r w:rsidRPr="00F3690B">
        <w:rPr>
          <w:rFonts w:ascii="Times New Roman" w:hAnsi="Times New Roman"/>
          <w:sz w:val="24"/>
          <w:szCs w:val="24"/>
        </w:rPr>
        <w:t xml:space="preserve"> </w:t>
      </w:r>
      <w:r>
        <w:rPr>
          <w:rFonts w:ascii="Times New Roman" w:hAnsi="Times New Roman"/>
          <w:sz w:val="24"/>
          <w:szCs w:val="24"/>
        </w:rPr>
        <w:t xml:space="preserve">pension funds within group B talked more positively about the past, which appears to have increased their tolerance towards future uncertainty, allowing them to focus more on investment sustainability, partly through stewardship and engagement. This was evident from longer investment performance evaluation cycles. In contrast to group A, where predominantly quarterly fund manager performance evaluations prevailed, group B looked three to five years ahead. Respondents also recognised a tension between fund managers having to report on investment performance on a quarterly, even monthly, basis and a more long-term investment horizon than pension funds can have. A CIO of a multi-billion bound pension fund articulated this comparison in Quote 30. Local governance pension schemes (LGPS) had the longest outlook into the future because they did not have the yearly appraisals of pension fund liabilities </w:t>
      </w:r>
      <w:r w:rsidRPr="00E03587">
        <w:rPr>
          <w:rFonts w:ascii="Times New Roman" w:hAnsi="Times New Roman"/>
          <w:i/>
          <w:sz w:val="24"/>
          <w:szCs w:val="24"/>
        </w:rPr>
        <w:t>‘on the balance sheet of the corporate sponsor’</w:t>
      </w:r>
      <w:r>
        <w:rPr>
          <w:rFonts w:ascii="Times New Roman" w:hAnsi="Times New Roman"/>
          <w:sz w:val="24"/>
          <w:szCs w:val="24"/>
        </w:rPr>
        <w:t xml:space="preserve">.  When setting up the investment strategy, a number of schemes were looking as far ahead as fifteen-twenty years. </w:t>
      </w:r>
    </w:p>
    <w:p w:rsidR="00B110CC" w:rsidRPr="005C19C5" w:rsidRDefault="00B110CC" w:rsidP="00B110CC">
      <w:pPr>
        <w:spacing w:line="480" w:lineRule="auto"/>
        <w:jc w:val="both"/>
        <w:rPr>
          <w:rFonts w:ascii="Times New Roman" w:hAnsi="Times New Roman"/>
          <w:b/>
          <w:sz w:val="24"/>
          <w:szCs w:val="24"/>
        </w:rPr>
      </w:pPr>
      <w:r w:rsidRPr="00F15970">
        <w:rPr>
          <w:rFonts w:ascii="Times New Roman" w:hAnsi="Times New Roman"/>
          <w:b/>
          <w:sz w:val="24"/>
          <w:szCs w:val="24"/>
        </w:rPr>
        <w:t xml:space="preserve">Discussion </w:t>
      </w:r>
    </w:p>
    <w:p w:rsidR="00B110CC"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rPr>
        <w:t>The aim of this research was to shed new light on pension fund investment strategies and the approaches to equity ownership. More specifically, h</w:t>
      </w:r>
      <w:r w:rsidRPr="00443171">
        <w:rPr>
          <w:rFonts w:ascii="Times New Roman" w:hAnsi="Times New Roman"/>
          <w:sz w:val="24"/>
          <w:szCs w:val="24"/>
        </w:rPr>
        <w:t xml:space="preserve">ow </w:t>
      </w:r>
      <w:r>
        <w:rPr>
          <w:rFonts w:ascii="Times New Roman" w:hAnsi="Times New Roman"/>
          <w:sz w:val="24"/>
          <w:szCs w:val="24"/>
        </w:rPr>
        <w:t xml:space="preserve">pension </w:t>
      </w:r>
      <w:r>
        <w:rPr>
          <w:rFonts w:ascii="Times New Roman" w:hAnsi="Times New Roman"/>
          <w:sz w:val="24"/>
          <w:szCs w:val="24"/>
        </w:rPr>
        <w:lastRenderedPageBreak/>
        <w:t>fund practitioners</w:t>
      </w:r>
      <w:r w:rsidRPr="00443171">
        <w:rPr>
          <w:rFonts w:ascii="Times New Roman" w:hAnsi="Times New Roman"/>
          <w:sz w:val="24"/>
          <w:szCs w:val="24"/>
        </w:rPr>
        <w:t xml:space="preserve"> talk abo</w:t>
      </w:r>
      <w:r>
        <w:rPr>
          <w:rFonts w:ascii="Times New Roman" w:hAnsi="Times New Roman"/>
          <w:sz w:val="24"/>
          <w:szCs w:val="24"/>
        </w:rPr>
        <w:t xml:space="preserve">ut engagement and disengagement vis-à-vis investee corporations over time. We used theorizations about time </w:t>
      </w:r>
      <w:r>
        <w:rPr>
          <w:rFonts w:ascii="Times New Roman" w:hAnsi="Times New Roman"/>
          <w:sz w:val="24"/>
          <w:szCs w:val="24"/>
          <w:lang w:val="en"/>
        </w:rPr>
        <w:t>(Bluedorn and Standfier, 2006; Slawinski and Bansal, 2012)</w:t>
      </w:r>
      <w:r>
        <w:rPr>
          <w:rFonts w:ascii="Times New Roman" w:hAnsi="Times New Roman"/>
          <w:sz w:val="24"/>
          <w:szCs w:val="24"/>
        </w:rPr>
        <w:t xml:space="preserve"> and the notions of vocabularies of motive </w:t>
      </w:r>
      <w:r w:rsidRPr="000F1E00">
        <w:rPr>
          <w:rFonts w:ascii="Times New Roman" w:hAnsi="Times New Roman"/>
          <w:sz w:val="24"/>
          <w:szCs w:val="24"/>
        </w:rPr>
        <w:t>(</w:t>
      </w:r>
      <w:r>
        <w:rPr>
          <w:rFonts w:ascii="Times New Roman" w:hAnsi="Times New Roman"/>
          <w:sz w:val="24"/>
          <w:szCs w:val="24"/>
        </w:rPr>
        <w:t xml:space="preserve">Mills, </w:t>
      </w:r>
      <w:r w:rsidRPr="000F1E00">
        <w:rPr>
          <w:rFonts w:ascii="Times New Roman" w:hAnsi="Times New Roman"/>
          <w:sz w:val="24"/>
          <w:szCs w:val="24"/>
        </w:rPr>
        <w:t>1940</w:t>
      </w:r>
      <w:r>
        <w:rPr>
          <w:rFonts w:ascii="Times New Roman" w:hAnsi="Times New Roman"/>
          <w:sz w:val="24"/>
          <w:szCs w:val="24"/>
        </w:rPr>
        <w:t xml:space="preserve">; </w:t>
      </w:r>
      <w:r w:rsidRPr="000F1E00">
        <w:rPr>
          <w:rFonts w:ascii="Times New Roman" w:hAnsi="Times New Roman"/>
          <w:sz w:val="24"/>
          <w:szCs w:val="24"/>
          <w:lang w:val="en"/>
        </w:rPr>
        <w:t>Weick, 1969</w:t>
      </w:r>
      <w:r>
        <w:rPr>
          <w:rFonts w:ascii="Times New Roman" w:hAnsi="Times New Roman"/>
          <w:sz w:val="24"/>
          <w:szCs w:val="24"/>
          <w:lang w:val="en"/>
        </w:rPr>
        <w:t xml:space="preserve">; Whittle and Mueller, 2015), </w:t>
      </w:r>
      <w:r>
        <w:rPr>
          <w:rFonts w:ascii="Times New Roman" w:hAnsi="Times New Roman"/>
          <w:sz w:val="24"/>
          <w:szCs w:val="24"/>
        </w:rPr>
        <w:t xml:space="preserve">as a novel cross-disciplinary lens to shed light on pension fund investment strategies. Methodologically </w:t>
      </w:r>
      <w:r w:rsidRPr="000F1E00">
        <w:rPr>
          <w:rFonts w:ascii="Times New Roman" w:hAnsi="Times New Roman"/>
          <w:sz w:val="24"/>
          <w:szCs w:val="24"/>
        </w:rPr>
        <w:t>we move</w:t>
      </w:r>
      <w:r>
        <w:rPr>
          <w:rFonts w:ascii="Times New Roman" w:hAnsi="Times New Roman"/>
          <w:sz w:val="24"/>
          <w:szCs w:val="24"/>
        </w:rPr>
        <w:t>d</w:t>
      </w:r>
      <w:r w:rsidRPr="000F1E00">
        <w:rPr>
          <w:rFonts w:ascii="Times New Roman" w:hAnsi="Times New Roman"/>
          <w:sz w:val="24"/>
          <w:szCs w:val="24"/>
        </w:rPr>
        <w:t xml:space="preserve"> away from the hard laws of economic behaviour and the dichotomous principal/agent view of investor/company relationship </w:t>
      </w:r>
      <w:r>
        <w:rPr>
          <w:rFonts w:ascii="Times New Roman" w:hAnsi="Times New Roman"/>
          <w:sz w:val="24"/>
          <w:szCs w:val="24"/>
        </w:rPr>
        <w:t>towards more soft and qualitative assumptions which take into account the often messy, fluid and complex view of social organization. W</w:t>
      </w:r>
      <w:r w:rsidRPr="000F1E00">
        <w:rPr>
          <w:rFonts w:ascii="Times New Roman" w:hAnsi="Times New Roman"/>
          <w:sz w:val="24"/>
          <w:szCs w:val="24"/>
        </w:rPr>
        <w:t>e also viewed pension funds as one distinct type of investor to account for investor heterogeneity (Ryan &amp; Schneider, 2003; Koh, 2007; Connelly, et. al. 2010)</w:t>
      </w:r>
      <w:r>
        <w:rPr>
          <w:rFonts w:ascii="Times New Roman" w:hAnsi="Times New Roman"/>
          <w:sz w:val="24"/>
          <w:szCs w:val="24"/>
        </w:rPr>
        <w:t xml:space="preserve">. </w:t>
      </w:r>
    </w:p>
    <w:p w:rsidR="00B110CC" w:rsidRDefault="00B110CC" w:rsidP="00B110CC">
      <w:pPr>
        <w:spacing w:line="480" w:lineRule="auto"/>
        <w:ind w:firstLine="720"/>
        <w:jc w:val="both"/>
        <w:rPr>
          <w:rFonts w:ascii="Times New Roman" w:hAnsi="Times New Roman"/>
          <w:sz w:val="24"/>
          <w:szCs w:val="24"/>
        </w:rPr>
      </w:pPr>
      <w:r w:rsidRPr="000F1E00">
        <w:rPr>
          <w:rFonts w:ascii="Times New Roman" w:hAnsi="Times New Roman"/>
          <w:sz w:val="24"/>
          <w:szCs w:val="24"/>
        </w:rPr>
        <w:t xml:space="preserve">Empirically, our findings offer </w:t>
      </w:r>
      <w:r>
        <w:rPr>
          <w:rFonts w:ascii="Times New Roman" w:hAnsi="Times New Roman"/>
          <w:sz w:val="24"/>
          <w:szCs w:val="24"/>
        </w:rPr>
        <w:t xml:space="preserve">novel </w:t>
      </w:r>
      <w:r w:rsidRPr="000F1E00">
        <w:rPr>
          <w:rFonts w:ascii="Times New Roman" w:hAnsi="Times New Roman"/>
          <w:sz w:val="24"/>
          <w:szCs w:val="24"/>
        </w:rPr>
        <w:t>qualitative insights into the vocabularies</w:t>
      </w:r>
      <w:r>
        <w:rPr>
          <w:rFonts w:ascii="Times New Roman" w:hAnsi="Times New Roman"/>
          <w:sz w:val="24"/>
          <w:szCs w:val="24"/>
        </w:rPr>
        <w:t xml:space="preserve"> and temporal perspectives</w:t>
      </w:r>
      <w:r w:rsidRPr="000F1E00">
        <w:rPr>
          <w:rFonts w:ascii="Times New Roman" w:hAnsi="Times New Roman"/>
          <w:sz w:val="24"/>
          <w:szCs w:val="24"/>
        </w:rPr>
        <w:t xml:space="preserve"> that trustees and pension fund managers use to </w:t>
      </w:r>
      <w:r>
        <w:rPr>
          <w:rFonts w:ascii="Times New Roman" w:hAnsi="Times New Roman"/>
          <w:sz w:val="24"/>
          <w:szCs w:val="24"/>
        </w:rPr>
        <w:t xml:space="preserve">account for </w:t>
      </w:r>
      <w:r w:rsidRPr="000F1E00">
        <w:rPr>
          <w:rFonts w:ascii="Times New Roman" w:hAnsi="Times New Roman"/>
          <w:sz w:val="24"/>
          <w:szCs w:val="24"/>
        </w:rPr>
        <w:t>their investment behaviour</w:t>
      </w:r>
      <w:r>
        <w:rPr>
          <w:rFonts w:ascii="Times New Roman" w:hAnsi="Times New Roman"/>
          <w:sz w:val="24"/>
          <w:szCs w:val="24"/>
        </w:rPr>
        <w:t xml:space="preserve">. We extend the very few and mostly quantitative studies on pension funds in relation to corporate governance. </w:t>
      </w:r>
      <w:r w:rsidRPr="000F1E00">
        <w:rPr>
          <w:rFonts w:ascii="Times New Roman" w:hAnsi="Times New Roman"/>
          <w:sz w:val="24"/>
          <w:szCs w:val="24"/>
        </w:rPr>
        <w:t>Looking at what economic sociologists would call ‘the blind spot’</w:t>
      </w:r>
      <w:r>
        <w:rPr>
          <w:rFonts w:ascii="Times New Roman" w:hAnsi="Times New Roman"/>
          <w:sz w:val="24"/>
          <w:szCs w:val="24"/>
        </w:rPr>
        <w:t>, we particularly provide further evidence to support ongoing scholarly concerns about pension fund willingness and ability to act as engaged owners (</w:t>
      </w:r>
      <w:r w:rsidRPr="000F1E00">
        <w:rPr>
          <w:rFonts w:ascii="Times New Roman" w:hAnsi="Times New Roman"/>
          <w:sz w:val="24"/>
          <w:szCs w:val="24"/>
        </w:rPr>
        <w:t xml:space="preserve">Webb, et. al. </w:t>
      </w:r>
      <w:r w:rsidRPr="000F1E00" w:rsidDel="008176FA">
        <w:rPr>
          <w:rFonts w:ascii="Times New Roman" w:hAnsi="Times New Roman"/>
          <w:sz w:val="24"/>
          <w:szCs w:val="24"/>
        </w:rPr>
        <w:t>2003</w:t>
      </w:r>
      <w:r w:rsidRPr="000F1E00">
        <w:rPr>
          <w:rFonts w:ascii="Times New Roman" w:hAnsi="Times New Roman"/>
          <w:sz w:val="24"/>
          <w:szCs w:val="24"/>
        </w:rPr>
        <w:t>; Hellman, 2005;</w:t>
      </w:r>
      <w:r w:rsidRPr="000F1E00" w:rsidDel="008176FA">
        <w:rPr>
          <w:rFonts w:ascii="Times New Roman" w:hAnsi="Times New Roman"/>
          <w:sz w:val="24"/>
          <w:szCs w:val="24"/>
        </w:rPr>
        <w:t xml:space="preserve"> </w:t>
      </w:r>
      <w:r w:rsidRPr="000F1E00">
        <w:rPr>
          <w:rFonts w:ascii="Times New Roman" w:hAnsi="Times New Roman"/>
          <w:sz w:val="24"/>
          <w:szCs w:val="24"/>
        </w:rPr>
        <w:t>Kahan and Rock, 2007; Conyon and Sadler, 2010</w:t>
      </w:r>
      <w:r>
        <w:rPr>
          <w:rFonts w:ascii="Times New Roman" w:hAnsi="Times New Roman"/>
          <w:sz w:val="24"/>
          <w:szCs w:val="24"/>
        </w:rPr>
        <w:t xml:space="preserve">).  </w:t>
      </w:r>
    </w:p>
    <w:p w:rsidR="00B110CC" w:rsidRPr="004F5636" w:rsidRDefault="00B110CC" w:rsidP="00B110CC">
      <w:pPr>
        <w:spacing w:line="480" w:lineRule="auto"/>
        <w:ind w:firstLine="720"/>
        <w:jc w:val="both"/>
        <w:rPr>
          <w:rFonts w:ascii="Times New Roman" w:hAnsi="Times New Roman"/>
          <w:sz w:val="24"/>
          <w:szCs w:val="24"/>
          <w:lang w:val="en"/>
        </w:rPr>
      </w:pPr>
      <w:r>
        <w:rPr>
          <w:rFonts w:ascii="Times New Roman" w:hAnsi="Times New Roman"/>
          <w:sz w:val="24"/>
          <w:szCs w:val="24"/>
        </w:rPr>
        <w:t>More specifically, while the most recent qualitative study by Tilba and McNulty (2013) associate UK pension fund disengagement with the complexity within the investment chain and a subsequent disconnect in accountability relationships alongside it, we find that this picture is much more complex.</w:t>
      </w:r>
      <w:r w:rsidRPr="001D09FB">
        <w:rPr>
          <w:rFonts w:ascii="Times New Roman" w:hAnsi="Times New Roman"/>
          <w:sz w:val="24"/>
          <w:szCs w:val="24"/>
        </w:rPr>
        <w:t xml:space="preserve"> By using the examples of pension fund engagement and disengagement, we reveal the existence of </w:t>
      </w:r>
      <w:r w:rsidRPr="001D09FB">
        <w:rPr>
          <w:rFonts w:ascii="Times New Roman" w:hAnsi="Times New Roman"/>
          <w:sz w:val="24"/>
          <w:szCs w:val="24"/>
        </w:rPr>
        <w:lastRenderedPageBreak/>
        <w:t xml:space="preserve">different accounts and vocabularies of motive within pension fund investment practices. These vocabularies of motive are durable and also accompanied with distinctly different temporal perspectives. We term these as ‘engaged’ and ‘disengaged’ vocabulary, which included </w:t>
      </w:r>
      <w:r>
        <w:rPr>
          <w:rFonts w:ascii="Times New Roman" w:hAnsi="Times New Roman"/>
          <w:sz w:val="24"/>
          <w:szCs w:val="24"/>
        </w:rPr>
        <w:t>a range of external and internal accounts described as enablers of or barriers to engagement. Our findings highlight</w:t>
      </w:r>
      <w:r w:rsidRPr="00443171">
        <w:rPr>
          <w:rFonts w:ascii="Times New Roman" w:hAnsi="Times New Roman"/>
          <w:sz w:val="24"/>
          <w:szCs w:val="24"/>
        </w:rPr>
        <w:t xml:space="preserve"> a tension between a seeming relationship between</w:t>
      </w:r>
      <w:r>
        <w:rPr>
          <w:rFonts w:ascii="Times New Roman" w:hAnsi="Times New Roman"/>
          <w:sz w:val="24"/>
          <w:szCs w:val="24"/>
        </w:rPr>
        <w:t xml:space="preserve"> vocabularies and</w:t>
      </w:r>
      <w:r w:rsidRPr="00443171">
        <w:rPr>
          <w:rFonts w:ascii="Times New Roman" w:hAnsi="Times New Roman"/>
          <w:sz w:val="24"/>
          <w:szCs w:val="24"/>
        </w:rPr>
        <w:t xml:space="preserve"> accounts and future </w:t>
      </w:r>
      <w:r>
        <w:rPr>
          <w:rFonts w:ascii="Times New Roman" w:hAnsi="Times New Roman"/>
          <w:sz w:val="24"/>
          <w:szCs w:val="24"/>
        </w:rPr>
        <w:t xml:space="preserve">pension fund </w:t>
      </w:r>
      <w:r w:rsidRPr="00443171">
        <w:rPr>
          <w:rFonts w:ascii="Times New Roman" w:hAnsi="Times New Roman"/>
          <w:sz w:val="24"/>
          <w:szCs w:val="24"/>
        </w:rPr>
        <w:t>behaviour</w:t>
      </w:r>
      <w:r>
        <w:rPr>
          <w:rFonts w:ascii="Times New Roman" w:hAnsi="Times New Roman"/>
          <w:sz w:val="24"/>
          <w:szCs w:val="24"/>
        </w:rPr>
        <w:t xml:space="preserve"> vis-à-vis investee corporations. During the interview discussions and often implicitly interviewees linked their accounts with their pension fund investment strategies and engagement. </w:t>
      </w:r>
      <w:r>
        <w:rPr>
          <w:rFonts w:ascii="Times New Roman" w:hAnsi="Times New Roman"/>
          <w:sz w:val="24"/>
          <w:szCs w:val="24"/>
          <w:lang w:val="en"/>
        </w:rPr>
        <w:t xml:space="preserve">For example, </w:t>
      </w:r>
      <w:r w:rsidRPr="000F1E00">
        <w:rPr>
          <w:rFonts w:ascii="Times New Roman" w:hAnsi="Times New Roman"/>
          <w:sz w:val="24"/>
          <w:szCs w:val="24"/>
        </w:rPr>
        <w:t>when reflecting on their organisational roles, trustees</w:t>
      </w:r>
      <w:r>
        <w:rPr>
          <w:rFonts w:ascii="Times New Roman" w:hAnsi="Times New Roman"/>
          <w:sz w:val="24"/>
          <w:szCs w:val="24"/>
        </w:rPr>
        <w:t xml:space="preserve"> and executives</w:t>
      </w:r>
      <w:r w:rsidRPr="000F1E00">
        <w:rPr>
          <w:rFonts w:ascii="Times New Roman" w:hAnsi="Times New Roman"/>
          <w:sz w:val="24"/>
          <w:szCs w:val="24"/>
        </w:rPr>
        <w:t xml:space="preserve"> </w:t>
      </w:r>
      <w:r>
        <w:rPr>
          <w:rFonts w:ascii="Times New Roman" w:hAnsi="Times New Roman"/>
          <w:sz w:val="24"/>
          <w:szCs w:val="24"/>
        </w:rPr>
        <w:t xml:space="preserve">who used disengaged vocabulary (Group A) </w:t>
      </w:r>
      <w:r w:rsidRPr="000F1E00">
        <w:rPr>
          <w:rFonts w:ascii="Times New Roman" w:hAnsi="Times New Roman"/>
          <w:sz w:val="24"/>
          <w:szCs w:val="24"/>
        </w:rPr>
        <w:t xml:space="preserve">interpreted their </w:t>
      </w:r>
      <w:r>
        <w:rPr>
          <w:rFonts w:ascii="Times New Roman" w:hAnsi="Times New Roman"/>
          <w:sz w:val="24"/>
          <w:szCs w:val="24"/>
        </w:rPr>
        <w:t xml:space="preserve">fiduciary </w:t>
      </w:r>
      <w:r w:rsidRPr="000F1E00">
        <w:rPr>
          <w:rFonts w:ascii="Times New Roman" w:hAnsi="Times New Roman"/>
          <w:sz w:val="24"/>
          <w:szCs w:val="24"/>
        </w:rPr>
        <w:t xml:space="preserve">responsibility to act in the best interests of beneficiaries as the duty to act in the best </w:t>
      </w:r>
      <w:r w:rsidRPr="000F1E00">
        <w:rPr>
          <w:rFonts w:ascii="Times New Roman" w:hAnsi="Times New Roman"/>
          <w:i/>
          <w:sz w:val="24"/>
          <w:szCs w:val="24"/>
        </w:rPr>
        <w:t>financial</w:t>
      </w:r>
      <w:r w:rsidRPr="000F1E00">
        <w:rPr>
          <w:rFonts w:ascii="Times New Roman" w:hAnsi="Times New Roman"/>
          <w:sz w:val="24"/>
          <w:szCs w:val="24"/>
        </w:rPr>
        <w:t xml:space="preserve"> interests, which they said precluded them from engagement.</w:t>
      </w:r>
      <w:r>
        <w:rPr>
          <w:rFonts w:ascii="Times New Roman" w:hAnsi="Times New Roman"/>
          <w:sz w:val="24"/>
          <w:szCs w:val="24"/>
        </w:rPr>
        <w:t xml:space="preserve"> In contrast, trustees and executives in (Group B), have linked the same notion of fiduciary duty to their engagement actions.  </w:t>
      </w:r>
      <w:r w:rsidRPr="000F1E00">
        <w:rPr>
          <w:rFonts w:ascii="Times New Roman" w:hAnsi="Times New Roman"/>
          <w:sz w:val="24"/>
          <w:szCs w:val="24"/>
        </w:rPr>
        <w:t>Similarly, in giving an account of the relationship with the employer, trustees</w:t>
      </w:r>
      <w:r>
        <w:rPr>
          <w:rFonts w:ascii="Times New Roman" w:hAnsi="Times New Roman"/>
          <w:sz w:val="24"/>
          <w:szCs w:val="24"/>
        </w:rPr>
        <w:t xml:space="preserve"> in group A</w:t>
      </w:r>
      <w:r w:rsidRPr="000F1E00">
        <w:rPr>
          <w:rFonts w:ascii="Times New Roman" w:hAnsi="Times New Roman"/>
          <w:sz w:val="24"/>
          <w:szCs w:val="24"/>
        </w:rPr>
        <w:t xml:space="preserve"> have emphasised their dependency on employer contributions</w:t>
      </w:r>
      <w:r>
        <w:rPr>
          <w:rFonts w:ascii="Times New Roman" w:hAnsi="Times New Roman"/>
          <w:sz w:val="24"/>
          <w:szCs w:val="24"/>
        </w:rPr>
        <w:t xml:space="preserve">, </w:t>
      </w:r>
      <w:r w:rsidRPr="000F1E00">
        <w:rPr>
          <w:rFonts w:ascii="Times New Roman" w:hAnsi="Times New Roman"/>
          <w:sz w:val="24"/>
          <w:szCs w:val="24"/>
        </w:rPr>
        <w:t xml:space="preserve">linking this dependency with their unwillingness to engage with corporations. </w:t>
      </w:r>
      <w:r>
        <w:rPr>
          <w:rFonts w:ascii="Times New Roman" w:hAnsi="Times New Roman"/>
          <w:sz w:val="24"/>
          <w:szCs w:val="24"/>
        </w:rPr>
        <w:t>In contrast, t</w:t>
      </w:r>
      <w:r w:rsidRPr="000F1E00">
        <w:rPr>
          <w:rFonts w:ascii="Times New Roman" w:hAnsi="Times New Roman"/>
          <w:sz w:val="24"/>
          <w:szCs w:val="24"/>
        </w:rPr>
        <w:t>hese accounts were absent from the accounts of the interviewees in the engaging pension funds</w:t>
      </w:r>
      <w:r>
        <w:rPr>
          <w:rFonts w:ascii="Times New Roman" w:hAnsi="Times New Roman"/>
          <w:sz w:val="24"/>
          <w:szCs w:val="24"/>
        </w:rPr>
        <w:t xml:space="preserve"> in group B</w:t>
      </w:r>
      <w:r w:rsidRPr="000F1E00">
        <w:rPr>
          <w:rFonts w:ascii="Times New Roman" w:hAnsi="Times New Roman"/>
          <w:sz w:val="24"/>
          <w:szCs w:val="24"/>
        </w:rPr>
        <w:t xml:space="preserve">. </w:t>
      </w:r>
    </w:p>
    <w:p w:rsidR="00B110CC"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rPr>
        <w:t>Similarly, t</w:t>
      </w:r>
      <w:r w:rsidRPr="000F1E00">
        <w:rPr>
          <w:rFonts w:ascii="Times New Roman" w:hAnsi="Times New Roman"/>
          <w:sz w:val="24"/>
          <w:szCs w:val="24"/>
        </w:rPr>
        <w:t xml:space="preserve">rustees </w:t>
      </w:r>
      <w:r>
        <w:rPr>
          <w:rFonts w:ascii="Times New Roman" w:hAnsi="Times New Roman"/>
          <w:sz w:val="24"/>
          <w:szCs w:val="24"/>
        </w:rPr>
        <w:t xml:space="preserve"> in group A</w:t>
      </w:r>
      <w:r w:rsidRPr="000F1E00">
        <w:rPr>
          <w:rFonts w:ascii="Times New Roman" w:hAnsi="Times New Roman"/>
          <w:sz w:val="24"/>
          <w:szCs w:val="24"/>
        </w:rPr>
        <w:t xml:space="preserve"> </w:t>
      </w:r>
      <w:r>
        <w:rPr>
          <w:rFonts w:ascii="Times New Roman" w:hAnsi="Times New Roman"/>
          <w:sz w:val="24"/>
          <w:szCs w:val="24"/>
        </w:rPr>
        <w:t xml:space="preserve">linked </w:t>
      </w:r>
      <w:r w:rsidRPr="000F1E00">
        <w:rPr>
          <w:rFonts w:ascii="Times New Roman" w:hAnsi="Times New Roman"/>
          <w:sz w:val="24"/>
          <w:szCs w:val="24"/>
        </w:rPr>
        <w:t xml:space="preserve">external socio-economic </w:t>
      </w:r>
      <w:r>
        <w:rPr>
          <w:rFonts w:ascii="Times New Roman" w:hAnsi="Times New Roman"/>
          <w:sz w:val="24"/>
          <w:szCs w:val="24"/>
        </w:rPr>
        <w:t>factors</w:t>
      </w:r>
      <w:r w:rsidRPr="000F1E00">
        <w:rPr>
          <w:rFonts w:ascii="Times New Roman" w:hAnsi="Times New Roman"/>
          <w:sz w:val="24"/>
          <w:szCs w:val="24"/>
        </w:rPr>
        <w:t xml:space="preserve"> such as unstable financial markets, increasing longevity and progressing pension fund maturity with increased pension fund deficits and lia</w:t>
      </w:r>
      <w:r>
        <w:rPr>
          <w:rFonts w:ascii="Times New Roman" w:hAnsi="Times New Roman"/>
          <w:sz w:val="24"/>
          <w:szCs w:val="24"/>
        </w:rPr>
        <w:t xml:space="preserve">bilities – all factors which respondents claim </w:t>
      </w:r>
      <w:r w:rsidRPr="000F1E00">
        <w:rPr>
          <w:rFonts w:ascii="Times New Roman" w:hAnsi="Times New Roman"/>
          <w:sz w:val="24"/>
          <w:szCs w:val="24"/>
        </w:rPr>
        <w:t xml:space="preserve">to have diminished pension fund capacity to engage with investee corporations. </w:t>
      </w:r>
      <w:r>
        <w:rPr>
          <w:rFonts w:ascii="Times New Roman" w:hAnsi="Times New Roman"/>
          <w:sz w:val="24"/>
          <w:szCs w:val="24"/>
        </w:rPr>
        <w:t>A</w:t>
      </w:r>
      <w:r w:rsidRPr="000F1E00">
        <w:rPr>
          <w:rFonts w:ascii="Times New Roman" w:hAnsi="Times New Roman"/>
          <w:sz w:val="24"/>
          <w:szCs w:val="24"/>
        </w:rPr>
        <w:t>lthough engaging pension funds’ respondents all mentioned these factors, they did not consider them to be a barrier to engagement</w:t>
      </w:r>
      <w:r>
        <w:rPr>
          <w:rFonts w:ascii="Times New Roman" w:hAnsi="Times New Roman"/>
          <w:sz w:val="24"/>
          <w:szCs w:val="24"/>
        </w:rPr>
        <w:t xml:space="preserve">. Instead, they were talking </w:t>
      </w:r>
      <w:r>
        <w:rPr>
          <w:rFonts w:ascii="Times New Roman" w:hAnsi="Times New Roman"/>
          <w:sz w:val="24"/>
          <w:szCs w:val="24"/>
        </w:rPr>
        <w:lastRenderedPageBreak/>
        <w:t xml:space="preserve">about increasing public pressure on accountability, which has often prompted more engagement actions.  </w:t>
      </w:r>
    </w:p>
    <w:p w:rsidR="00B110CC"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lang w:val="en"/>
        </w:rPr>
        <w:t>We also find that disengaged and engaged vocabularies or ‘scripts’ are contextualized within different temporal perspectives.</w:t>
      </w:r>
      <w:r w:rsidRPr="00C731F5">
        <w:rPr>
          <w:rFonts w:ascii="Times New Roman" w:hAnsi="Times New Roman"/>
          <w:sz w:val="24"/>
          <w:szCs w:val="24"/>
        </w:rPr>
        <w:t xml:space="preserve"> </w:t>
      </w:r>
      <w:r>
        <w:rPr>
          <w:rFonts w:ascii="Times New Roman" w:hAnsi="Times New Roman"/>
          <w:sz w:val="24"/>
          <w:szCs w:val="24"/>
        </w:rPr>
        <w:t>Pension fund practitioners who used a disengaged vocabulary had a more negative perception of the present in comparison to the past, which was connected to short-term future uncertainty. Trustees and executives were describing a transition from pension’s surpluses into deficits, an increasing trend towards outsourcing, and increased complexity of financial products and structures, which was detaching trustees too far from investee companies. Furthermore, a burden of over-regulation was said to create a culture of box-ticking rather than meaningful engagement.</w:t>
      </w:r>
    </w:p>
    <w:p w:rsidR="00B110CC"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rPr>
        <w:t>In contrast, engaged vocabulary consisted of a narrative of positive gradual changes in the industry over time, which was associated to a longer-term and susta</w:t>
      </w:r>
      <w:r w:rsidRPr="00802F02">
        <w:rPr>
          <w:rFonts w:ascii="Times New Roman" w:hAnsi="Times New Roman"/>
          <w:sz w:val="24"/>
          <w:szCs w:val="24"/>
        </w:rPr>
        <w:t>inable future</w:t>
      </w:r>
      <w:r>
        <w:rPr>
          <w:rFonts w:ascii="Times New Roman" w:hAnsi="Times New Roman"/>
          <w:sz w:val="24"/>
          <w:szCs w:val="24"/>
        </w:rPr>
        <w:t xml:space="preserve">.  Interestingly, the temporal perspective within disengaged vocabulary suggests a discord between the long-term investment horizon of pension funds and the need to provide a pension which is sustainable in future on the one hand and a short-term and more ‘immediate’ financial pressures in the present. Within such a temporal perspective, engagement was also often described as a trend in time.  </w:t>
      </w:r>
    </w:p>
    <w:p w:rsidR="00B110CC"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rPr>
        <w:t xml:space="preserve">Theoretically, our findings support the growing body of qualitative governance research, which highlight the need to </w:t>
      </w:r>
      <w:r w:rsidRPr="000F1E00">
        <w:rPr>
          <w:rFonts w:ascii="Times New Roman" w:hAnsi="Times New Roman"/>
          <w:sz w:val="24"/>
          <w:szCs w:val="24"/>
        </w:rPr>
        <w:t>attend to the practices, meanings and motives that underpin investment management by institutions</w:t>
      </w:r>
      <w:r>
        <w:rPr>
          <w:rFonts w:ascii="Times New Roman" w:hAnsi="Times New Roman"/>
          <w:sz w:val="24"/>
          <w:szCs w:val="24"/>
        </w:rPr>
        <w:t xml:space="preserve">  (Hendry, et. al.’s, </w:t>
      </w:r>
      <w:r w:rsidRPr="000F1E00">
        <w:rPr>
          <w:rFonts w:ascii="Times New Roman" w:hAnsi="Times New Roman"/>
          <w:sz w:val="24"/>
          <w:szCs w:val="24"/>
        </w:rPr>
        <w:t>2004; 2006; 2007</w:t>
      </w:r>
      <w:r>
        <w:rPr>
          <w:rFonts w:ascii="Times New Roman" w:hAnsi="Times New Roman"/>
          <w:sz w:val="24"/>
          <w:szCs w:val="24"/>
        </w:rPr>
        <w:t>, Tilba and McNulty, 2013</w:t>
      </w:r>
      <w:r w:rsidRPr="000F1E00">
        <w:rPr>
          <w:rFonts w:ascii="Times New Roman" w:hAnsi="Times New Roman"/>
          <w:sz w:val="24"/>
          <w:szCs w:val="24"/>
        </w:rPr>
        <w:t>)</w:t>
      </w:r>
      <w:r>
        <w:rPr>
          <w:rFonts w:ascii="Times New Roman" w:hAnsi="Times New Roman"/>
          <w:sz w:val="24"/>
          <w:szCs w:val="24"/>
        </w:rPr>
        <w:t>. Our empirical insights into pension fund vocabularies</w:t>
      </w:r>
      <w:r w:rsidR="000940F8">
        <w:rPr>
          <w:rFonts w:ascii="Times New Roman" w:hAnsi="Times New Roman"/>
          <w:sz w:val="24"/>
          <w:szCs w:val="24"/>
        </w:rPr>
        <w:t xml:space="preserve"> highlight</w:t>
      </w:r>
      <w:r w:rsidR="00C41A0B">
        <w:rPr>
          <w:rFonts w:ascii="Times New Roman" w:hAnsi="Times New Roman"/>
          <w:sz w:val="24"/>
          <w:szCs w:val="24"/>
        </w:rPr>
        <w:t xml:space="preserve"> </w:t>
      </w:r>
      <w:r w:rsidR="000940F8">
        <w:rPr>
          <w:rFonts w:ascii="Times New Roman" w:hAnsi="Times New Roman"/>
          <w:sz w:val="24"/>
          <w:szCs w:val="24"/>
        </w:rPr>
        <w:t xml:space="preserve">the significance of </w:t>
      </w:r>
      <w:r w:rsidR="00C41A0B">
        <w:rPr>
          <w:rFonts w:ascii="Times New Roman" w:hAnsi="Times New Roman"/>
          <w:sz w:val="24"/>
          <w:szCs w:val="24"/>
        </w:rPr>
        <w:t>different</w:t>
      </w:r>
      <w:r w:rsidR="000940F8">
        <w:rPr>
          <w:rFonts w:ascii="Times New Roman" w:hAnsi="Times New Roman"/>
          <w:sz w:val="24"/>
          <w:szCs w:val="24"/>
        </w:rPr>
        <w:t xml:space="preserve"> narratives and</w:t>
      </w:r>
      <w:r>
        <w:rPr>
          <w:rFonts w:ascii="Times New Roman" w:hAnsi="Times New Roman"/>
          <w:sz w:val="24"/>
          <w:szCs w:val="24"/>
        </w:rPr>
        <w:t xml:space="preserve"> also help develop a more coherent understanding of how vocabularies </w:t>
      </w:r>
      <w:r w:rsidRPr="00732387">
        <w:rPr>
          <w:rFonts w:ascii="Times New Roman" w:hAnsi="Times New Roman"/>
          <w:sz w:val="24"/>
          <w:szCs w:val="24"/>
        </w:rPr>
        <w:t xml:space="preserve">work </w:t>
      </w:r>
      <w:r w:rsidRPr="00732387">
        <w:rPr>
          <w:rFonts w:ascii="Times New Roman" w:hAnsi="Times New Roman"/>
          <w:sz w:val="24"/>
          <w:szCs w:val="24"/>
          <w:lang w:val="en"/>
        </w:rPr>
        <w:t>(Loewenstein, et. al, 2012).</w:t>
      </w:r>
      <w:r w:rsidRPr="00BF1B61">
        <w:rPr>
          <w:rFonts w:ascii="Times New Roman" w:hAnsi="Times New Roman"/>
          <w:sz w:val="24"/>
          <w:szCs w:val="24"/>
        </w:rPr>
        <w:t xml:space="preserve"> </w:t>
      </w:r>
      <w:r>
        <w:rPr>
          <w:rFonts w:ascii="Times New Roman" w:hAnsi="Times New Roman"/>
          <w:sz w:val="24"/>
          <w:szCs w:val="24"/>
        </w:rPr>
        <w:lastRenderedPageBreak/>
        <w:t xml:space="preserve">Furthermore, our analysis of temporal perspectives adds to an embryonic stream within corporate governance research which examines a multi-faceted view of time in relation to ESG issues like climate change (Slawinski and Bansal, 2012).Our findings also support their claim that variability of interpretation of time can shed more light on the variance in organizational behaviour. </w:t>
      </w:r>
    </w:p>
    <w:p w:rsidR="00B110CC" w:rsidRDefault="00B110CC" w:rsidP="00B110CC">
      <w:pPr>
        <w:spacing w:line="480" w:lineRule="auto"/>
        <w:ind w:firstLine="720"/>
        <w:jc w:val="both"/>
        <w:rPr>
          <w:rFonts w:ascii="Times New Roman" w:hAnsi="Times New Roman"/>
          <w:sz w:val="24"/>
          <w:szCs w:val="24"/>
          <w:lang w:val="en"/>
        </w:rPr>
      </w:pPr>
      <w:r>
        <w:rPr>
          <w:rFonts w:ascii="Times New Roman" w:hAnsi="Times New Roman"/>
          <w:sz w:val="24"/>
          <w:szCs w:val="24"/>
        </w:rPr>
        <w:t>Significantly, we suggest that the tension between discourse and action in this study may</w:t>
      </w:r>
      <w:r w:rsidRPr="000F1E00">
        <w:rPr>
          <w:rFonts w:ascii="Times New Roman" w:hAnsi="Times New Roman"/>
          <w:sz w:val="24"/>
          <w:szCs w:val="24"/>
        </w:rPr>
        <w:t xml:space="preserve"> represent not simply the individual motivations of fund managers, but rather are expressions of extant norms in the broader social context of financial markets. We </w:t>
      </w:r>
      <w:r>
        <w:rPr>
          <w:rFonts w:ascii="Times New Roman" w:hAnsi="Times New Roman"/>
          <w:sz w:val="24"/>
          <w:szCs w:val="24"/>
        </w:rPr>
        <w:t xml:space="preserve">believe </w:t>
      </w:r>
      <w:r w:rsidRPr="000F1E00">
        <w:rPr>
          <w:rFonts w:ascii="Times New Roman" w:hAnsi="Times New Roman"/>
          <w:sz w:val="24"/>
          <w:szCs w:val="24"/>
        </w:rPr>
        <w:t xml:space="preserve">that these contrasting accounts </w:t>
      </w:r>
      <w:r>
        <w:rPr>
          <w:rFonts w:ascii="Times New Roman" w:hAnsi="Times New Roman"/>
          <w:sz w:val="24"/>
          <w:szCs w:val="24"/>
        </w:rPr>
        <w:t xml:space="preserve">and the associated engagement or disengagement actions may be an </w:t>
      </w:r>
      <w:r w:rsidRPr="000F1E00">
        <w:rPr>
          <w:rFonts w:ascii="Times New Roman" w:hAnsi="Times New Roman"/>
          <w:sz w:val="24"/>
          <w:szCs w:val="24"/>
        </w:rPr>
        <w:t xml:space="preserve">example of organisational </w:t>
      </w:r>
      <w:r w:rsidRPr="000F1E00">
        <w:rPr>
          <w:rFonts w:ascii="Times New Roman" w:hAnsi="Times New Roman"/>
          <w:i/>
          <w:sz w:val="24"/>
          <w:szCs w:val="24"/>
        </w:rPr>
        <w:t>enactment</w:t>
      </w:r>
      <w:r w:rsidRPr="000F1E00">
        <w:rPr>
          <w:rFonts w:ascii="Times New Roman" w:hAnsi="Times New Roman"/>
          <w:sz w:val="24"/>
          <w:szCs w:val="24"/>
        </w:rPr>
        <w:t xml:space="preserve"> through co-produc</w:t>
      </w:r>
      <w:r>
        <w:rPr>
          <w:rFonts w:ascii="Times New Roman" w:hAnsi="Times New Roman"/>
          <w:sz w:val="24"/>
          <w:szCs w:val="24"/>
        </w:rPr>
        <w:t xml:space="preserve">tion of vocabularies of motive, which is consistent with </w:t>
      </w:r>
      <w:r w:rsidRPr="000F1E00">
        <w:rPr>
          <w:rFonts w:ascii="Times New Roman" w:hAnsi="Times New Roman"/>
          <w:sz w:val="24"/>
          <w:szCs w:val="24"/>
        </w:rPr>
        <w:t>Weick’s (1969) th</w:t>
      </w:r>
      <w:r>
        <w:rPr>
          <w:rFonts w:ascii="Times New Roman" w:hAnsi="Times New Roman"/>
          <w:sz w:val="24"/>
          <w:szCs w:val="24"/>
        </w:rPr>
        <w:t xml:space="preserve">eory. </w:t>
      </w:r>
      <w:r>
        <w:rPr>
          <w:rFonts w:ascii="Times New Roman" w:hAnsi="Times New Roman"/>
          <w:sz w:val="24"/>
          <w:szCs w:val="24"/>
          <w:lang w:val="en"/>
        </w:rPr>
        <w:t xml:space="preserve">The systematic and self-reinforcing processes are something that Aspara, et. al. (2014) and Whittle and Mueller (2015) have been recently investigating in relation to investors, the media and the banks. </w:t>
      </w:r>
    </w:p>
    <w:p w:rsidR="00B110CC" w:rsidRDefault="00B110CC" w:rsidP="00B110CC">
      <w:pPr>
        <w:spacing w:line="480" w:lineRule="auto"/>
        <w:ind w:firstLine="720"/>
        <w:jc w:val="both"/>
        <w:rPr>
          <w:rFonts w:ascii="Times New Roman" w:hAnsi="Times New Roman"/>
          <w:sz w:val="24"/>
          <w:szCs w:val="24"/>
        </w:rPr>
      </w:pPr>
      <w:r>
        <w:rPr>
          <w:rFonts w:ascii="Times New Roman" w:hAnsi="Times New Roman"/>
          <w:sz w:val="24"/>
          <w:szCs w:val="24"/>
        </w:rPr>
        <w:t xml:space="preserve">Our study provides some initial evidence to suggest that </w:t>
      </w:r>
      <w:r w:rsidRPr="000F1E00">
        <w:rPr>
          <w:rFonts w:ascii="Times New Roman" w:hAnsi="Times New Roman"/>
          <w:sz w:val="24"/>
          <w:szCs w:val="24"/>
          <w:lang w:val="en"/>
        </w:rPr>
        <w:t xml:space="preserve">engagement or disengagement actions </w:t>
      </w:r>
      <w:r>
        <w:rPr>
          <w:rFonts w:ascii="Times New Roman" w:hAnsi="Times New Roman"/>
          <w:sz w:val="24"/>
          <w:szCs w:val="24"/>
          <w:lang w:val="en"/>
        </w:rPr>
        <w:t>may be a</w:t>
      </w:r>
      <w:r w:rsidRPr="000F1E00">
        <w:rPr>
          <w:rFonts w:ascii="Times New Roman" w:hAnsi="Times New Roman"/>
          <w:sz w:val="24"/>
          <w:szCs w:val="24"/>
          <w:lang w:val="en"/>
        </w:rPr>
        <w:t xml:space="preserve"> </w:t>
      </w:r>
      <w:r w:rsidRPr="000F1E00">
        <w:rPr>
          <w:rFonts w:ascii="Times New Roman" w:hAnsi="Times New Roman"/>
          <w:i/>
          <w:sz w:val="24"/>
          <w:szCs w:val="24"/>
          <w:lang w:val="en"/>
        </w:rPr>
        <w:t>product</w:t>
      </w:r>
      <w:r w:rsidRPr="000F1E00">
        <w:rPr>
          <w:rFonts w:ascii="Times New Roman" w:hAnsi="Times New Roman"/>
          <w:sz w:val="24"/>
          <w:szCs w:val="24"/>
          <w:lang w:val="en"/>
        </w:rPr>
        <w:t xml:space="preserve"> of accounts, </w:t>
      </w:r>
      <w:r>
        <w:rPr>
          <w:rFonts w:ascii="Times New Roman" w:hAnsi="Times New Roman"/>
          <w:sz w:val="24"/>
          <w:szCs w:val="24"/>
          <w:lang w:val="en"/>
        </w:rPr>
        <w:t xml:space="preserve">often </w:t>
      </w:r>
      <w:r w:rsidRPr="000F1E00">
        <w:rPr>
          <w:rFonts w:ascii="Times New Roman" w:hAnsi="Times New Roman"/>
          <w:sz w:val="24"/>
          <w:szCs w:val="24"/>
          <w:lang w:val="en"/>
        </w:rPr>
        <w:t>constructed in unnoticed ways through the choice of internal and external, rational or irrational, explanations and justifications of behavior.</w:t>
      </w:r>
      <w:r>
        <w:rPr>
          <w:rFonts w:ascii="Times New Roman" w:hAnsi="Times New Roman"/>
          <w:sz w:val="24"/>
          <w:szCs w:val="24"/>
          <w:lang w:val="en"/>
        </w:rPr>
        <w:t xml:space="preserve">  </w:t>
      </w:r>
      <w:r w:rsidRPr="000F1E00">
        <w:rPr>
          <w:rFonts w:ascii="Times New Roman" w:hAnsi="Times New Roman"/>
          <w:sz w:val="24"/>
          <w:szCs w:val="24"/>
          <w:lang w:val="en"/>
        </w:rPr>
        <w:t>What is clear from our study is that a great deal rests on which accounts of action become embedded in the ‘repertoire of legitimate stories’ (Czarniawaska, 1997; 16).</w:t>
      </w:r>
      <w:r>
        <w:rPr>
          <w:rFonts w:ascii="Times New Roman" w:hAnsi="Times New Roman"/>
          <w:sz w:val="24"/>
          <w:szCs w:val="24"/>
          <w:lang w:val="en"/>
        </w:rPr>
        <w:t xml:space="preserve"> </w:t>
      </w:r>
      <w:r w:rsidRPr="000F1E00">
        <w:rPr>
          <w:rFonts w:ascii="Times New Roman" w:hAnsi="Times New Roman"/>
          <w:sz w:val="24"/>
          <w:szCs w:val="24"/>
        </w:rPr>
        <w:t xml:space="preserve">In other words, </w:t>
      </w:r>
      <w:r w:rsidRPr="000F1E00">
        <w:rPr>
          <w:rFonts w:ascii="Times New Roman" w:hAnsi="Times New Roman"/>
          <w:noProof/>
          <w:sz w:val="24"/>
          <w:szCs w:val="24"/>
        </w:rPr>
        <w:t xml:space="preserve">the dominant repertoires/vocabularies </w:t>
      </w:r>
      <w:r>
        <w:rPr>
          <w:rFonts w:ascii="Times New Roman" w:hAnsi="Times New Roman"/>
          <w:noProof/>
          <w:sz w:val="24"/>
          <w:szCs w:val="24"/>
        </w:rPr>
        <w:t xml:space="preserve">can </w:t>
      </w:r>
      <w:r w:rsidRPr="000F1E00">
        <w:rPr>
          <w:rFonts w:ascii="Times New Roman" w:hAnsi="Times New Roman"/>
          <w:noProof/>
          <w:sz w:val="24"/>
          <w:szCs w:val="24"/>
        </w:rPr>
        <w:t>provide the dominant patterns of sense-making and reasoning that</w:t>
      </w:r>
      <w:r>
        <w:rPr>
          <w:rFonts w:ascii="Times New Roman" w:hAnsi="Times New Roman"/>
          <w:noProof/>
          <w:sz w:val="24"/>
          <w:szCs w:val="24"/>
        </w:rPr>
        <w:t xml:space="preserve"> may</w:t>
      </w:r>
      <w:r w:rsidRPr="000F1E00">
        <w:rPr>
          <w:rFonts w:ascii="Times New Roman" w:hAnsi="Times New Roman"/>
          <w:noProof/>
          <w:sz w:val="24"/>
          <w:szCs w:val="24"/>
        </w:rPr>
        <w:t xml:space="preserve"> inform action, creat</w:t>
      </w:r>
      <w:r>
        <w:rPr>
          <w:rFonts w:ascii="Times New Roman" w:hAnsi="Times New Roman"/>
          <w:noProof/>
          <w:sz w:val="24"/>
          <w:szCs w:val="24"/>
        </w:rPr>
        <w:t>ing</w:t>
      </w:r>
      <w:r w:rsidRPr="000F1E00">
        <w:rPr>
          <w:rFonts w:ascii="Times New Roman" w:hAnsi="Times New Roman"/>
          <w:noProof/>
          <w:sz w:val="24"/>
          <w:szCs w:val="24"/>
        </w:rPr>
        <w:t xml:space="preserve"> the very conditions they describe</w:t>
      </w:r>
      <w:r w:rsidRPr="000F1E00">
        <w:rPr>
          <w:rFonts w:ascii="Times New Roman" w:hAnsi="Times New Roman"/>
          <w:sz w:val="24"/>
          <w:szCs w:val="24"/>
        </w:rPr>
        <w:t xml:space="preserve">. </w:t>
      </w:r>
    </w:p>
    <w:p w:rsidR="00B110CC" w:rsidRDefault="00B110CC" w:rsidP="00B110CC">
      <w:pPr>
        <w:spacing w:line="480" w:lineRule="auto"/>
        <w:ind w:firstLine="720"/>
        <w:jc w:val="both"/>
        <w:rPr>
          <w:rFonts w:ascii="Times New Roman" w:hAnsi="Times New Roman"/>
          <w:sz w:val="24"/>
          <w:szCs w:val="24"/>
        </w:rPr>
      </w:pPr>
      <w:r w:rsidRPr="000F1E00">
        <w:rPr>
          <w:rFonts w:ascii="Times New Roman" w:hAnsi="Times New Roman"/>
          <w:sz w:val="24"/>
          <w:szCs w:val="24"/>
        </w:rPr>
        <w:t xml:space="preserve">Our findings support the view that ‘vocabulary of motives’ are rooted </w:t>
      </w:r>
      <w:r w:rsidRPr="000F1E00">
        <w:rPr>
          <w:rFonts w:ascii="Times New Roman" w:hAnsi="Times New Roman"/>
          <w:noProof/>
          <w:sz w:val="24"/>
          <w:szCs w:val="24"/>
        </w:rPr>
        <w:t xml:space="preserve">in the culturally and situationally approriate 'scripts' that are available in a particular social </w:t>
      </w:r>
      <w:r w:rsidRPr="000F1E00">
        <w:rPr>
          <w:rFonts w:ascii="Times New Roman" w:hAnsi="Times New Roman"/>
          <w:noProof/>
          <w:sz w:val="24"/>
          <w:szCs w:val="24"/>
        </w:rPr>
        <w:lastRenderedPageBreak/>
        <w:t>group in a particular historical period of time.</w:t>
      </w:r>
      <w:r>
        <w:rPr>
          <w:rFonts w:ascii="Times New Roman" w:hAnsi="Times New Roman"/>
          <w:noProof/>
          <w:sz w:val="24"/>
          <w:szCs w:val="24"/>
        </w:rPr>
        <w:t xml:space="preserve"> We find tha</w:t>
      </w:r>
      <w:r>
        <w:rPr>
          <w:rFonts w:ascii="Times New Roman" w:hAnsi="Times New Roman"/>
          <w:sz w:val="24"/>
          <w:szCs w:val="24"/>
        </w:rPr>
        <w:t xml:space="preserve">t these repertoires of stories are embedded within different temporal perspectives, which support the Bluedorn and Standfier’s (2006) view of time as socially constructed. Significantly, our findings provide some indication that disengaged vocabulary </w:t>
      </w:r>
      <w:r w:rsidRPr="000F1E00">
        <w:rPr>
          <w:rFonts w:ascii="Times New Roman" w:hAnsi="Times New Roman"/>
          <w:sz w:val="24"/>
          <w:szCs w:val="24"/>
        </w:rPr>
        <w:t xml:space="preserve">appears to be if not a conduit that drives action, but certainly a conduit that </w:t>
      </w:r>
      <w:r>
        <w:rPr>
          <w:rFonts w:ascii="Times New Roman" w:hAnsi="Times New Roman"/>
          <w:sz w:val="24"/>
          <w:szCs w:val="24"/>
        </w:rPr>
        <w:t>can permit</w:t>
      </w:r>
      <w:r w:rsidRPr="000F1E00">
        <w:rPr>
          <w:rFonts w:ascii="Times New Roman" w:hAnsi="Times New Roman"/>
          <w:sz w:val="24"/>
          <w:szCs w:val="24"/>
        </w:rPr>
        <w:t xml:space="preserve"> disengagement and short-term behaviour.</w:t>
      </w:r>
      <w:r w:rsidRPr="000F1E00">
        <w:rPr>
          <w:rFonts w:ascii="Times New Roman" w:hAnsi="Times New Roman"/>
          <w:sz w:val="24"/>
          <w:szCs w:val="24"/>
          <w:lang w:val="en"/>
        </w:rPr>
        <w:t xml:space="preserve"> </w:t>
      </w:r>
      <w:r>
        <w:rPr>
          <w:rFonts w:ascii="Times New Roman" w:hAnsi="Times New Roman"/>
          <w:sz w:val="24"/>
          <w:szCs w:val="24"/>
          <w:lang w:val="en"/>
        </w:rPr>
        <w:t xml:space="preserve">Therefore, a fresh research agenda should focus on establishing </w:t>
      </w:r>
      <w:r w:rsidRPr="00443171">
        <w:rPr>
          <w:rFonts w:ascii="Times New Roman" w:hAnsi="Times New Roman"/>
          <w:sz w:val="24"/>
          <w:szCs w:val="24"/>
        </w:rPr>
        <w:t>whether this causal relationship exists</w:t>
      </w:r>
      <w:r>
        <w:rPr>
          <w:rFonts w:ascii="Times New Roman" w:hAnsi="Times New Roman"/>
          <w:sz w:val="24"/>
          <w:szCs w:val="24"/>
        </w:rPr>
        <w:t>. This agenda is of particular importance given the UK policymakers’ interest in understanding pension fund trustee behavioural dynamics (FCA, 2016</w:t>
      </w:r>
      <w:r w:rsidR="008A5F28">
        <w:rPr>
          <w:rFonts w:ascii="Times New Roman" w:hAnsi="Times New Roman"/>
          <w:sz w:val="24"/>
          <w:szCs w:val="24"/>
        </w:rPr>
        <w:t>; Tilba, et. al. 2016</w:t>
      </w:r>
      <w:r>
        <w:rPr>
          <w:rFonts w:ascii="Times New Roman" w:hAnsi="Times New Roman"/>
          <w:sz w:val="24"/>
          <w:szCs w:val="24"/>
        </w:rPr>
        <w:t xml:space="preserve">).   </w:t>
      </w:r>
    </w:p>
    <w:p w:rsidR="00B110CC" w:rsidRDefault="00B110CC" w:rsidP="00B110CC">
      <w:pPr>
        <w:spacing w:line="480" w:lineRule="auto"/>
        <w:jc w:val="both"/>
        <w:rPr>
          <w:rFonts w:ascii="Times New Roman" w:hAnsi="Times New Roman"/>
          <w:b/>
          <w:sz w:val="24"/>
          <w:szCs w:val="24"/>
        </w:rPr>
      </w:pPr>
      <w:r w:rsidRPr="00F15970">
        <w:rPr>
          <w:rFonts w:ascii="Times New Roman" w:hAnsi="Times New Roman"/>
          <w:b/>
          <w:sz w:val="24"/>
          <w:szCs w:val="24"/>
        </w:rPr>
        <w:t xml:space="preserve">Policy Implications </w:t>
      </w:r>
    </w:p>
    <w:p w:rsidR="00B110CC" w:rsidRPr="003E22BD" w:rsidRDefault="00B110CC" w:rsidP="00B110CC">
      <w:pPr>
        <w:spacing w:line="480" w:lineRule="auto"/>
        <w:jc w:val="both"/>
        <w:rPr>
          <w:rFonts w:ascii="Times New Roman" w:hAnsi="Times New Roman"/>
          <w:b/>
          <w:sz w:val="24"/>
          <w:szCs w:val="24"/>
        </w:rPr>
      </w:pPr>
      <w:r w:rsidRPr="003E22BD">
        <w:rPr>
          <w:rFonts w:ascii="Times New Roman" w:hAnsi="Times New Roman"/>
          <w:sz w:val="24"/>
          <w:szCs w:val="24"/>
        </w:rPr>
        <w:t xml:space="preserve">Both academics and policy makers have focused on shareholder value and the role of shareholders, with many attempts made to facilitate further engagement and stewardship between shareholders and management. We find this focus to be misconceived, preferring to claim that trustees’ accounts of their fiduciary role within the trust relationship contradict in practice the logic of engagement because many trustees equate beneficiaries’ interests to </w:t>
      </w:r>
      <w:r w:rsidRPr="003E22BD">
        <w:rPr>
          <w:rFonts w:ascii="Times New Roman" w:hAnsi="Times New Roman"/>
          <w:i/>
          <w:sz w:val="24"/>
          <w:szCs w:val="24"/>
        </w:rPr>
        <w:t>financial</w:t>
      </w:r>
      <w:r w:rsidRPr="003E22BD">
        <w:rPr>
          <w:rFonts w:ascii="Times New Roman" w:hAnsi="Times New Roman"/>
          <w:sz w:val="24"/>
          <w:szCs w:val="24"/>
        </w:rPr>
        <w:t xml:space="preserve"> interests and maximizing investment returns. This is also reflected in the contractual relationships with their investment fund managers and their mandates, which we argue actually discourages the investment fund managers from conducting stewardship activities. An important policy implication is that perceived realities of investment are unlikely to cause a change in pension fund behaviour because participants’ accounts of their investment practice seem to decouple their view of the world from their impact on the world. </w:t>
      </w:r>
    </w:p>
    <w:p w:rsidR="00B110CC" w:rsidRDefault="00B110CC" w:rsidP="00B110CC">
      <w:pPr>
        <w:spacing w:line="480" w:lineRule="auto"/>
        <w:jc w:val="both"/>
        <w:rPr>
          <w:rFonts w:ascii="Times New Roman" w:hAnsi="Times New Roman"/>
          <w:b/>
          <w:sz w:val="24"/>
          <w:szCs w:val="24"/>
        </w:rPr>
      </w:pPr>
      <w:r w:rsidRPr="00A47975">
        <w:rPr>
          <w:rFonts w:ascii="Times New Roman" w:hAnsi="Times New Roman"/>
          <w:b/>
          <w:sz w:val="24"/>
          <w:szCs w:val="24"/>
        </w:rPr>
        <w:t xml:space="preserve">Limitations and Future Research </w:t>
      </w:r>
    </w:p>
    <w:p w:rsidR="00B110CC" w:rsidRDefault="00B110CC" w:rsidP="00B110CC">
      <w:pPr>
        <w:spacing w:line="480" w:lineRule="auto"/>
        <w:jc w:val="both"/>
        <w:rPr>
          <w:rFonts w:ascii="Times New Roman" w:hAnsi="Times New Roman"/>
          <w:sz w:val="24"/>
          <w:szCs w:val="24"/>
        </w:rPr>
      </w:pPr>
      <w:r>
        <w:rPr>
          <w:rFonts w:ascii="Times New Roman" w:hAnsi="Times New Roman"/>
          <w:sz w:val="24"/>
          <w:szCs w:val="24"/>
          <w:lang w:val="en"/>
        </w:rPr>
        <w:lastRenderedPageBreak/>
        <w:t>Our study has limitations. The qualitative character of this research means that</w:t>
      </w:r>
      <w:r w:rsidRPr="000F1E00">
        <w:rPr>
          <w:rFonts w:ascii="Times New Roman" w:hAnsi="Times New Roman"/>
          <w:sz w:val="24"/>
          <w:szCs w:val="24"/>
          <w:lang w:val="en"/>
        </w:rPr>
        <w:t xml:space="preserve"> we m</w:t>
      </w:r>
      <w:r>
        <w:rPr>
          <w:rFonts w:ascii="Times New Roman" w:hAnsi="Times New Roman"/>
          <w:sz w:val="24"/>
          <w:szCs w:val="24"/>
          <w:lang w:val="en"/>
        </w:rPr>
        <w:t>ight</w:t>
      </w:r>
      <w:r w:rsidRPr="000F1E00">
        <w:rPr>
          <w:rFonts w:ascii="Times New Roman" w:hAnsi="Times New Roman"/>
          <w:sz w:val="24"/>
          <w:szCs w:val="24"/>
          <w:lang w:val="en"/>
        </w:rPr>
        <w:t xml:space="preserve"> never move beyond</w:t>
      </w:r>
      <w:r>
        <w:rPr>
          <w:rFonts w:ascii="Times New Roman" w:hAnsi="Times New Roman"/>
          <w:sz w:val="24"/>
          <w:szCs w:val="24"/>
          <w:lang w:val="en"/>
        </w:rPr>
        <w:t xml:space="preserve"> subjective</w:t>
      </w:r>
      <w:r w:rsidRPr="000F1E00">
        <w:rPr>
          <w:rFonts w:ascii="Times New Roman" w:hAnsi="Times New Roman"/>
          <w:sz w:val="24"/>
          <w:szCs w:val="24"/>
          <w:lang w:val="en"/>
        </w:rPr>
        <w:t xml:space="preserve"> ‘mere rati</w:t>
      </w:r>
      <w:r>
        <w:rPr>
          <w:rFonts w:ascii="Times New Roman" w:hAnsi="Times New Roman"/>
          <w:sz w:val="24"/>
          <w:szCs w:val="24"/>
          <w:lang w:val="en"/>
        </w:rPr>
        <w:t xml:space="preserve">onalizations’ to ‘real motives’ and ‘uses of time’; multiple others factors may also play a part in self-reinforcing behaviors.   We also did not specifically set out to investigate the </w:t>
      </w:r>
      <w:r>
        <w:rPr>
          <w:rFonts w:ascii="Times New Roman" w:hAnsi="Times New Roman"/>
          <w:sz w:val="24"/>
          <w:szCs w:val="24"/>
        </w:rPr>
        <w:t xml:space="preserve">human perception of time. </w:t>
      </w:r>
      <w:r>
        <w:rPr>
          <w:rFonts w:ascii="Times New Roman" w:hAnsi="Times New Roman"/>
          <w:sz w:val="24"/>
          <w:szCs w:val="24"/>
          <w:lang w:val="en"/>
        </w:rPr>
        <w:t xml:space="preserve">However, we believe that </w:t>
      </w:r>
      <w:r w:rsidRPr="000F1E00">
        <w:rPr>
          <w:rFonts w:ascii="Times New Roman" w:hAnsi="Times New Roman"/>
          <w:sz w:val="24"/>
          <w:szCs w:val="24"/>
          <w:lang w:val="en"/>
        </w:rPr>
        <w:t xml:space="preserve">understanding the espoused vocabularies of motives and their </w:t>
      </w:r>
      <w:r w:rsidRPr="000F1E00">
        <w:rPr>
          <w:rFonts w:ascii="Times New Roman" w:hAnsi="Times New Roman"/>
          <w:i/>
          <w:sz w:val="24"/>
          <w:szCs w:val="24"/>
          <w:lang w:val="en"/>
        </w:rPr>
        <w:t>enactment</w:t>
      </w:r>
      <w:r w:rsidRPr="000F1E00">
        <w:rPr>
          <w:rFonts w:ascii="Times New Roman" w:hAnsi="Times New Roman"/>
          <w:sz w:val="24"/>
          <w:szCs w:val="24"/>
          <w:lang w:val="en"/>
        </w:rPr>
        <w:t xml:space="preserve"> </w:t>
      </w:r>
      <w:r>
        <w:rPr>
          <w:rFonts w:ascii="Times New Roman" w:hAnsi="Times New Roman"/>
          <w:sz w:val="24"/>
          <w:szCs w:val="24"/>
          <w:lang w:val="en"/>
        </w:rPr>
        <w:t xml:space="preserve">through time </w:t>
      </w:r>
      <w:r w:rsidRPr="000F1E00">
        <w:rPr>
          <w:rFonts w:ascii="Times New Roman" w:hAnsi="Times New Roman"/>
          <w:sz w:val="24"/>
          <w:szCs w:val="24"/>
          <w:lang w:val="en"/>
        </w:rPr>
        <w:t xml:space="preserve">is important because it </w:t>
      </w:r>
      <w:r w:rsidRPr="000F1E00">
        <w:rPr>
          <w:rFonts w:ascii="Times New Roman" w:hAnsi="Times New Roman"/>
          <w:sz w:val="24"/>
          <w:szCs w:val="24"/>
        </w:rPr>
        <w:t>can be transferred to other contexts and organisations</w:t>
      </w:r>
      <w:r w:rsidRPr="00D67AD1">
        <w:rPr>
          <w:rFonts w:ascii="Times New Roman" w:hAnsi="Times New Roman"/>
          <w:sz w:val="24"/>
          <w:szCs w:val="24"/>
          <w:lang w:val="en"/>
        </w:rPr>
        <w:t>. For example, how do</w:t>
      </w:r>
      <w:r>
        <w:rPr>
          <w:rFonts w:ascii="Times New Roman" w:hAnsi="Times New Roman"/>
          <w:sz w:val="24"/>
          <w:szCs w:val="24"/>
          <w:lang w:val="en"/>
        </w:rPr>
        <w:t xml:space="preserve"> investment consultants make sense and</w:t>
      </w:r>
      <w:r w:rsidRPr="00D67AD1">
        <w:rPr>
          <w:rFonts w:ascii="Times New Roman" w:hAnsi="Times New Roman"/>
          <w:sz w:val="24"/>
          <w:szCs w:val="24"/>
          <w:lang w:val="en"/>
        </w:rPr>
        <w:t xml:space="preserve"> account for their practices?</w:t>
      </w:r>
      <w:r>
        <w:rPr>
          <w:rFonts w:ascii="Times New Roman" w:hAnsi="Times New Roman"/>
          <w:noProof/>
          <w:sz w:val="24"/>
          <w:szCs w:val="24"/>
        </w:rPr>
        <w:t xml:space="preserve"> </w:t>
      </w:r>
      <w:r w:rsidRPr="000F1E00">
        <w:rPr>
          <w:rFonts w:ascii="Times New Roman" w:hAnsi="Times New Roman"/>
          <w:noProof/>
          <w:sz w:val="24"/>
          <w:szCs w:val="24"/>
        </w:rPr>
        <w:t>We argue that these ‘</w:t>
      </w:r>
      <w:r>
        <w:rPr>
          <w:rFonts w:ascii="Times New Roman" w:hAnsi="Times New Roman"/>
          <w:noProof/>
          <w:sz w:val="24"/>
          <w:szCs w:val="24"/>
        </w:rPr>
        <w:t>vocabularies</w:t>
      </w:r>
      <w:r w:rsidRPr="000F1E00">
        <w:rPr>
          <w:rFonts w:ascii="Times New Roman" w:hAnsi="Times New Roman"/>
          <w:noProof/>
          <w:sz w:val="24"/>
          <w:szCs w:val="24"/>
        </w:rPr>
        <w:t>’</w:t>
      </w:r>
      <w:r>
        <w:rPr>
          <w:rFonts w:ascii="Times New Roman" w:hAnsi="Times New Roman"/>
          <w:noProof/>
          <w:sz w:val="24"/>
          <w:szCs w:val="24"/>
        </w:rPr>
        <w:t xml:space="preserve"> and ‘time perspectives’</w:t>
      </w:r>
      <w:r w:rsidRPr="000F1E00">
        <w:rPr>
          <w:rFonts w:ascii="Times New Roman" w:hAnsi="Times New Roman"/>
          <w:noProof/>
          <w:sz w:val="24"/>
          <w:szCs w:val="24"/>
        </w:rPr>
        <w:t xml:space="preserve"> in themselves</w:t>
      </w:r>
      <w:r w:rsidRPr="000F1E00">
        <w:rPr>
          <w:rFonts w:ascii="Times New Roman" w:hAnsi="Times New Roman"/>
          <w:sz w:val="24"/>
          <w:szCs w:val="24"/>
        </w:rPr>
        <w:t xml:space="preserve"> need to be treated as an object of study within management and </w:t>
      </w:r>
      <w:r>
        <w:rPr>
          <w:rFonts w:ascii="Times New Roman" w:hAnsi="Times New Roman"/>
          <w:sz w:val="24"/>
          <w:szCs w:val="24"/>
        </w:rPr>
        <w:t>corporate governance research.</w:t>
      </w:r>
      <w:r>
        <w:rPr>
          <w:rFonts w:ascii="Times New Roman" w:hAnsi="Times New Roman"/>
          <w:sz w:val="24"/>
          <w:szCs w:val="24"/>
          <w:lang w:val="en"/>
        </w:rPr>
        <w:t xml:space="preserve"> </w:t>
      </w:r>
      <w:r>
        <w:rPr>
          <w:rFonts w:ascii="Times New Roman" w:hAnsi="Times New Roman"/>
          <w:sz w:val="24"/>
          <w:szCs w:val="24"/>
        </w:rPr>
        <w:t>It would be intersecting to explore this in more detail in future, as well as the linguistic behaviour of interviewees using Mills’ (1940) theory of language and sociological psychology. In this study we had access to what we consider to be ‘key informants’ in the pensions field who have allowed us to theorize about pension fund behaviour vis-à-vis equity investments. Future inquiry should test the wider representativeness of these assumptions.</w:t>
      </w:r>
      <w:r w:rsidRPr="00D67AD1">
        <w:rPr>
          <w:rFonts w:ascii="Times New Roman" w:hAnsi="Times New Roman"/>
          <w:sz w:val="24"/>
          <w:szCs w:val="24"/>
        </w:rPr>
        <w:t xml:space="preserve"> </w:t>
      </w:r>
    </w:p>
    <w:p w:rsidR="00697F27" w:rsidRDefault="00697F27" w:rsidP="009E5B70">
      <w:pPr>
        <w:spacing w:line="240" w:lineRule="auto"/>
        <w:jc w:val="both"/>
        <w:rPr>
          <w:rFonts w:ascii="Times New Roman" w:hAnsi="Times New Roman"/>
          <w:b/>
          <w:sz w:val="24"/>
          <w:szCs w:val="24"/>
        </w:rPr>
      </w:pPr>
    </w:p>
    <w:p w:rsidR="00697F27" w:rsidRDefault="00697F27" w:rsidP="009E5B70">
      <w:pPr>
        <w:spacing w:line="240" w:lineRule="auto"/>
        <w:jc w:val="both"/>
        <w:rPr>
          <w:rFonts w:ascii="Times New Roman" w:hAnsi="Times New Roman"/>
          <w:b/>
          <w:sz w:val="24"/>
          <w:szCs w:val="24"/>
        </w:rPr>
      </w:pPr>
    </w:p>
    <w:p w:rsidR="00697F27" w:rsidRDefault="00697F27" w:rsidP="009E5B70">
      <w:pPr>
        <w:spacing w:line="240" w:lineRule="auto"/>
        <w:jc w:val="both"/>
        <w:rPr>
          <w:rFonts w:ascii="Times New Roman" w:hAnsi="Times New Roman"/>
          <w:b/>
          <w:sz w:val="24"/>
          <w:szCs w:val="24"/>
        </w:rPr>
      </w:pPr>
    </w:p>
    <w:p w:rsidR="00697F27" w:rsidRDefault="00697F27" w:rsidP="009E5B70">
      <w:pPr>
        <w:spacing w:line="240" w:lineRule="auto"/>
        <w:jc w:val="both"/>
        <w:rPr>
          <w:rFonts w:ascii="Times New Roman" w:hAnsi="Times New Roman"/>
          <w:b/>
          <w:sz w:val="24"/>
          <w:szCs w:val="24"/>
        </w:rPr>
      </w:pPr>
    </w:p>
    <w:p w:rsidR="00697F27" w:rsidRDefault="00697F27" w:rsidP="009E5B70">
      <w:pPr>
        <w:spacing w:line="240" w:lineRule="auto"/>
        <w:jc w:val="both"/>
        <w:rPr>
          <w:rFonts w:ascii="Times New Roman" w:hAnsi="Times New Roman"/>
          <w:b/>
          <w:sz w:val="24"/>
          <w:szCs w:val="24"/>
        </w:rPr>
      </w:pPr>
    </w:p>
    <w:p w:rsidR="00D67AD1" w:rsidRDefault="00D67AD1" w:rsidP="009E5B70">
      <w:pPr>
        <w:spacing w:line="240" w:lineRule="auto"/>
        <w:jc w:val="both"/>
        <w:rPr>
          <w:rFonts w:ascii="Times New Roman" w:hAnsi="Times New Roman"/>
          <w:b/>
          <w:sz w:val="24"/>
          <w:szCs w:val="24"/>
        </w:rPr>
      </w:pPr>
    </w:p>
    <w:p w:rsidR="00B110CC" w:rsidRDefault="00B110CC" w:rsidP="009E5B70">
      <w:pPr>
        <w:spacing w:line="240" w:lineRule="auto"/>
        <w:jc w:val="both"/>
        <w:rPr>
          <w:rFonts w:ascii="Times New Roman" w:hAnsi="Times New Roman"/>
          <w:b/>
          <w:sz w:val="24"/>
          <w:szCs w:val="24"/>
        </w:rPr>
      </w:pPr>
    </w:p>
    <w:p w:rsidR="009E5B70" w:rsidRDefault="009E5B70" w:rsidP="009E5B70">
      <w:pPr>
        <w:spacing w:line="240" w:lineRule="auto"/>
        <w:jc w:val="both"/>
        <w:rPr>
          <w:rFonts w:ascii="Times New Roman" w:hAnsi="Times New Roman"/>
          <w:b/>
          <w:sz w:val="24"/>
          <w:szCs w:val="24"/>
        </w:rPr>
      </w:pPr>
      <w:r>
        <w:rPr>
          <w:rFonts w:ascii="Times New Roman" w:hAnsi="Times New Roman"/>
          <w:b/>
          <w:sz w:val="24"/>
          <w:szCs w:val="24"/>
        </w:rPr>
        <w:t>References:</w:t>
      </w:r>
    </w:p>
    <w:p w:rsidR="00E93E99" w:rsidRPr="008A0DE7" w:rsidRDefault="00E93E99" w:rsidP="00E93E99">
      <w:pPr>
        <w:rPr>
          <w:rFonts w:ascii="Times New Roman" w:hAnsi="Times New Roman"/>
          <w:sz w:val="24"/>
          <w:szCs w:val="24"/>
          <w:lang w:val="en"/>
        </w:rPr>
      </w:pPr>
      <w:r w:rsidRPr="008A0DE7">
        <w:rPr>
          <w:rFonts w:ascii="Times New Roman" w:hAnsi="Times New Roman"/>
          <w:sz w:val="24"/>
          <w:szCs w:val="24"/>
          <w:lang w:val="en"/>
        </w:rPr>
        <w:t xml:space="preserve">Ahearn, L. M. (2001). ‘Language and Agency’. </w:t>
      </w:r>
      <w:r w:rsidRPr="008A0DE7">
        <w:rPr>
          <w:rStyle w:val="HTMLCite"/>
          <w:rFonts w:ascii="Times New Roman" w:hAnsi="Times New Roman"/>
          <w:sz w:val="24"/>
          <w:szCs w:val="24"/>
          <w:lang w:val="en"/>
        </w:rPr>
        <w:t>Annual Review of Anthropology</w:t>
      </w:r>
      <w:r w:rsidRPr="008A0DE7">
        <w:rPr>
          <w:rFonts w:ascii="Times New Roman" w:hAnsi="Times New Roman"/>
          <w:sz w:val="24"/>
          <w:szCs w:val="24"/>
          <w:lang w:val="en"/>
        </w:rPr>
        <w:t>,</w:t>
      </w:r>
      <w:r w:rsidRPr="008A0DE7">
        <w:rPr>
          <w:rFonts w:ascii="Times New Roman" w:hAnsi="Times New Roman"/>
          <w:b/>
          <w:sz w:val="24"/>
          <w:szCs w:val="24"/>
          <w:lang w:val="en"/>
        </w:rPr>
        <w:t xml:space="preserve"> 30</w:t>
      </w:r>
      <w:r w:rsidRPr="008A0DE7">
        <w:rPr>
          <w:rFonts w:ascii="Times New Roman" w:hAnsi="Times New Roman"/>
          <w:sz w:val="24"/>
          <w:szCs w:val="24"/>
          <w:lang w:val="en"/>
        </w:rPr>
        <w:t xml:space="preserve"> pp. 109 137</w:t>
      </w:r>
    </w:p>
    <w:p w:rsidR="00F506A6" w:rsidRPr="00B47B9D" w:rsidRDefault="00F506A6" w:rsidP="00F506A6">
      <w:pPr>
        <w:autoSpaceDE w:val="0"/>
        <w:autoSpaceDN w:val="0"/>
        <w:adjustRightInd w:val="0"/>
        <w:spacing w:after="0" w:line="240" w:lineRule="auto"/>
        <w:jc w:val="both"/>
        <w:rPr>
          <w:rFonts w:ascii="Times New Roman" w:hAnsi="Times New Roman"/>
          <w:sz w:val="24"/>
          <w:szCs w:val="24"/>
        </w:rPr>
      </w:pPr>
      <w:r w:rsidRPr="00B47B9D">
        <w:rPr>
          <w:rFonts w:ascii="Times New Roman" w:hAnsi="Times New Roman"/>
          <w:sz w:val="24"/>
          <w:szCs w:val="24"/>
        </w:rPr>
        <w:t>Aspara,</w:t>
      </w:r>
      <w:r w:rsidR="005F7444">
        <w:rPr>
          <w:rFonts w:ascii="Times New Roman" w:hAnsi="Times New Roman"/>
          <w:sz w:val="24"/>
          <w:szCs w:val="24"/>
        </w:rPr>
        <w:t xml:space="preserve"> J., Pajunen, K., Tainio, R. </w:t>
      </w:r>
      <w:r w:rsidRPr="00B47B9D">
        <w:rPr>
          <w:rFonts w:ascii="Times New Roman" w:hAnsi="Times New Roman"/>
          <w:sz w:val="24"/>
          <w:szCs w:val="24"/>
        </w:rPr>
        <w:t>and Tikkanen, H. (2014). "Explaining</w:t>
      </w:r>
    </w:p>
    <w:p w:rsidR="00F506A6" w:rsidRDefault="00F506A6" w:rsidP="00F506A6">
      <w:pPr>
        <w:autoSpaceDE w:val="0"/>
        <w:autoSpaceDN w:val="0"/>
        <w:adjustRightInd w:val="0"/>
        <w:spacing w:after="0" w:line="240" w:lineRule="auto"/>
        <w:jc w:val="both"/>
        <w:rPr>
          <w:rFonts w:ascii="Times New Roman" w:hAnsi="Times New Roman"/>
          <w:sz w:val="24"/>
          <w:szCs w:val="24"/>
        </w:rPr>
      </w:pPr>
      <w:r w:rsidRPr="00B47B9D">
        <w:rPr>
          <w:rFonts w:ascii="Times New Roman" w:hAnsi="Times New Roman"/>
          <w:sz w:val="24"/>
          <w:szCs w:val="24"/>
        </w:rPr>
        <w:lastRenderedPageBreak/>
        <w:t>corporate short-termism: self-reinforcing processes and biases among investors, media,</w:t>
      </w:r>
      <w:r>
        <w:rPr>
          <w:rFonts w:ascii="Times New Roman" w:hAnsi="Times New Roman"/>
          <w:sz w:val="24"/>
          <w:szCs w:val="24"/>
        </w:rPr>
        <w:t xml:space="preserve"> </w:t>
      </w:r>
      <w:r w:rsidRPr="00B47B9D">
        <w:rPr>
          <w:rFonts w:ascii="Times New Roman" w:hAnsi="Times New Roman"/>
          <w:sz w:val="24"/>
          <w:szCs w:val="24"/>
        </w:rPr>
        <w:t xml:space="preserve">and corporate managers" </w:t>
      </w:r>
      <w:r w:rsidRPr="00B47B9D">
        <w:rPr>
          <w:rFonts w:ascii="Times New Roman" w:hAnsi="Times New Roman"/>
          <w:i/>
          <w:iCs/>
          <w:sz w:val="24"/>
          <w:szCs w:val="24"/>
        </w:rPr>
        <w:t>Socio-Economic Review</w:t>
      </w:r>
      <w:r w:rsidRPr="00B47B9D">
        <w:rPr>
          <w:rFonts w:ascii="Times New Roman" w:hAnsi="Times New Roman"/>
          <w:sz w:val="24"/>
          <w:szCs w:val="24"/>
        </w:rPr>
        <w:t xml:space="preserve">, </w:t>
      </w:r>
      <w:r w:rsidRPr="00F506A6">
        <w:rPr>
          <w:rFonts w:ascii="Times New Roman" w:hAnsi="Times New Roman"/>
          <w:b/>
          <w:sz w:val="24"/>
          <w:szCs w:val="24"/>
        </w:rPr>
        <w:t>12</w:t>
      </w:r>
      <w:r>
        <w:rPr>
          <w:rFonts w:ascii="Times New Roman" w:hAnsi="Times New Roman"/>
          <w:sz w:val="24"/>
          <w:szCs w:val="24"/>
        </w:rPr>
        <w:t>,4</w:t>
      </w:r>
      <w:r w:rsidRPr="00B47B9D">
        <w:rPr>
          <w:rFonts w:ascii="Times New Roman" w:hAnsi="Times New Roman"/>
          <w:sz w:val="24"/>
          <w:szCs w:val="24"/>
        </w:rPr>
        <w:t xml:space="preserve">, </w:t>
      </w:r>
      <w:r>
        <w:rPr>
          <w:rFonts w:ascii="Times New Roman" w:hAnsi="Times New Roman"/>
          <w:sz w:val="24"/>
          <w:szCs w:val="24"/>
        </w:rPr>
        <w:t xml:space="preserve">pp. </w:t>
      </w:r>
      <w:r w:rsidRPr="00B47B9D">
        <w:rPr>
          <w:rFonts w:ascii="Times New Roman" w:hAnsi="Times New Roman"/>
          <w:sz w:val="24"/>
          <w:szCs w:val="24"/>
        </w:rPr>
        <w:t>667-693</w:t>
      </w:r>
    </w:p>
    <w:p w:rsidR="00F506A6" w:rsidRPr="008A0DE7" w:rsidRDefault="00F506A6" w:rsidP="00F506A6">
      <w:pPr>
        <w:autoSpaceDE w:val="0"/>
        <w:autoSpaceDN w:val="0"/>
        <w:adjustRightInd w:val="0"/>
        <w:spacing w:after="0" w:line="240" w:lineRule="auto"/>
        <w:jc w:val="both"/>
        <w:rPr>
          <w:rFonts w:ascii="Times New Roman" w:hAnsi="Times New Roman"/>
          <w:sz w:val="24"/>
          <w:szCs w:val="24"/>
        </w:rPr>
      </w:pP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Bainbridge, S. M. 2003. Director Primacy: The Means and Ends of Corporate Governance. </w:t>
      </w:r>
      <w:r w:rsidRPr="008A0DE7">
        <w:rPr>
          <w:rFonts w:ascii="Times New Roman" w:hAnsi="Times New Roman"/>
          <w:i/>
          <w:sz w:val="24"/>
          <w:szCs w:val="24"/>
        </w:rPr>
        <w:t xml:space="preserve">Northwestern University Law Review, </w:t>
      </w:r>
      <w:r w:rsidRPr="008A0DE7">
        <w:rPr>
          <w:rFonts w:ascii="Times New Roman" w:hAnsi="Times New Roman"/>
          <w:b/>
          <w:sz w:val="24"/>
          <w:szCs w:val="24"/>
        </w:rPr>
        <w:t>97</w:t>
      </w:r>
      <w:r w:rsidRPr="008A0DE7">
        <w:rPr>
          <w:rFonts w:ascii="Times New Roman" w:hAnsi="Times New Roman"/>
          <w:sz w:val="24"/>
          <w:szCs w:val="24"/>
        </w:rPr>
        <w:t>: 547-601.</w:t>
      </w:r>
      <w:r w:rsidRPr="008A0DE7">
        <w:rPr>
          <w:rFonts w:ascii="Times New Roman" w:hAnsi="Times New Roman"/>
          <w:i/>
          <w:sz w:val="24"/>
          <w:szCs w:val="24"/>
        </w:rPr>
        <w:t xml:space="preserve"> </w:t>
      </w:r>
      <w:r w:rsidRPr="008A0DE7">
        <w:rPr>
          <w:rFonts w:ascii="Times New Roman" w:hAnsi="Times New Roman"/>
          <w:sz w:val="24"/>
          <w:szCs w:val="24"/>
        </w:rPr>
        <w:t xml:space="preserve"> </w:t>
      </w:r>
    </w:p>
    <w:p w:rsidR="00E93E99" w:rsidRPr="008A0DE7" w:rsidRDefault="00E93E99" w:rsidP="00E93E99">
      <w:pPr>
        <w:pStyle w:val="Default"/>
        <w:rPr>
          <w:rFonts w:ascii="Times New Roman" w:hAnsi="Times New Roman" w:cs="Times New Roman"/>
          <w:color w:val="auto"/>
          <w:lang w:eastAsia="zh-CN"/>
        </w:rPr>
      </w:pPr>
      <w:r w:rsidRPr="008A0DE7">
        <w:rPr>
          <w:rFonts w:ascii="Times New Roman" w:hAnsi="Times New Roman" w:cs="Times New Roman"/>
          <w:color w:val="auto"/>
        </w:rPr>
        <w:t>Bamberger, P</w:t>
      </w:r>
      <w:r w:rsidRPr="008A0DE7">
        <w:rPr>
          <w:rFonts w:ascii="Times New Roman" w:hAnsi="Times New Roman" w:cs="Times New Roman"/>
          <w:color w:val="auto"/>
          <w:lang w:eastAsia="zh-CN"/>
        </w:rPr>
        <w:t xml:space="preserve">. (2008). ‘Beyond Contextualization: Using Context Theories to Narrow the Micro-Macro Gap in Management Research’, </w:t>
      </w:r>
      <w:r w:rsidRPr="008A0DE7">
        <w:rPr>
          <w:rFonts w:ascii="Times New Roman" w:hAnsi="Times New Roman" w:cs="Times New Roman"/>
          <w:i/>
          <w:color w:val="auto"/>
          <w:lang w:eastAsia="zh-CN"/>
        </w:rPr>
        <w:t>Academy of Management Journal</w:t>
      </w:r>
      <w:r w:rsidRPr="008A0DE7">
        <w:rPr>
          <w:rFonts w:ascii="Times New Roman" w:hAnsi="Times New Roman" w:cs="Times New Roman"/>
          <w:color w:val="auto"/>
          <w:lang w:eastAsia="zh-CN"/>
        </w:rPr>
        <w:t xml:space="preserve">, </w:t>
      </w:r>
      <w:r w:rsidRPr="008A0DE7">
        <w:rPr>
          <w:rFonts w:ascii="Times New Roman" w:hAnsi="Times New Roman" w:cs="Times New Roman"/>
          <w:b/>
          <w:color w:val="auto"/>
          <w:lang w:eastAsia="zh-CN"/>
        </w:rPr>
        <w:t>51</w:t>
      </w:r>
      <w:r w:rsidRPr="008A0DE7">
        <w:rPr>
          <w:rFonts w:ascii="Times New Roman" w:hAnsi="Times New Roman" w:cs="Times New Roman"/>
          <w:color w:val="auto"/>
          <w:lang w:eastAsia="zh-CN"/>
        </w:rPr>
        <w:t xml:space="preserve">, pp. 839-846.  </w:t>
      </w:r>
    </w:p>
    <w:p w:rsidR="00E93E99" w:rsidRPr="008A0DE7" w:rsidRDefault="00E93E99" w:rsidP="00E93E99">
      <w:pPr>
        <w:pStyle w:val="Default"/>
        <w:rPr>
          <w:rFonts w:ascii="Times New Roman" w:hAnsi="Times New Roman" w:cs="Times New Roman"/>
          <w:color w:val="auto"/>
          <w:lang w:eastAsia="zh-CN"/>
        </w:rPr>
      </w:pPr>
    </w:p>
    <w:p w:rsidR="00E93E99" w:rsidRDefault="00E93E99" w:rsidP="00E93E99">
      <w:pPr>
        <w:autoSpaceDE w:val="0"/>
        <w:autoSpaceDN w:val="0"/>
        <w:adjustRightInd w:val="0"/>
        <w:jc w:val="both"/>
        <w:rPr>
          <w:rFonts w:ascii="Times New Roman" w:hAnsi="Times New Roman"/>
          <w:sz w:val="24"/>
          <w:szCs w:val="24"/>
        </w:rPr>
      </w:pPr>
      <w:r w:rsidRPr="008A0DE7">
        <w:rPr>
          <w:rFonts w:ascii="Times New Roman" w:hAnsi="Times New Roman"/>
          <w:sz w:val="24"/>
          <w:szCs w:val="24"/>
        </w:rPr>
        <w:t xml:space="preserve">Barber, B., (2007). ‘Monitoring the Monitor: Evaluating CalPERS’ Shareholder Activism’. </w:t>
      </w:r>
      <w:r w:rsidRPr="008A0DE7">
        <w:rPr>
          <w:rFonts w:ascii="Times New Roman" w:hAnsi="Times New Roman"/>
          <w:i/>
          <w:iCs/>
          <w:sz w:val="24"/>
          <w:szCs w:val="24"/>
        </w:rPr>
        <w:t>Journal of Investing</w:t>
      </w:r>
      <w:r w:rsidRPr="008A0DE7">
        <w:rPr>
          <w:rFonts w:ascii="Times New Roman" w:hAnsi="Times New Roman"/>
          <w:sz w:val="24"/>
          <w:szCs w:val="24"/>
        </w:rPr>
        <w:t>, Winter, pp. 66-80.</w:t>
      </w:r>
    </w:p>
    <w:p w:rsidR="00912A7B" w:rsidRPr="008A0DE7" w:rsidRDefault="00912A7B" w:rsidP="00E93E99">
      <w:pPr>
        <w:autoSpaceDE w:val="0"/>
        <w:autoSpaceDN w:val="0"/>
        <w:adjustRightInd w:val="0"/>
        <w:jc w:val="both"/>
        <w:rPr>
          <w:rFonts w:ascii="Times New Roman" w:hAnsi="Times New Roman"/>
          <w:sz w:val="24"/>
          <w:szCs w:val="24"/>
        </w:rPr>
      </w:pPr>
      <w:r>
        <w:rPr>
          <w:rFonts w:ascii="Times New Roman" w:hAnsi="Times New Roman"/>
          <w:sz w:val="24"/>
          <w:szCs w:val="24"/>
        </w:rPr>
        <w:t xml:space="preserve">Berger, P. L. and Luckmann, T. (1967). ‘The Social Construction of Reality: A Treatise in the Sociology of Knowledge’, New York, Anchor. </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Berle, A</w:t>
      </w:r>
      <w:r w:rsidRPr="008A0DE7">
        <w:rPr>
          <w:rFonts w:ascii="Times New Roman" w:hAnsi="Times New Roman"/>
          <w:sz w:val="24"/>
          <w:szCs w:val="24"/>
        </w:rPr>
        <w:t xml:space="preserve">. and </w:t>
      </w:r>
      <w:r w:rsidRPr="008A0DE7">
        <w:rPr>
          <w:rFonts w:ascii="Times New Roman" w:hAnsi="Times New Roman"/>
          <w:bCs/>
          <w:sz w:val="24"/>
          <w:szCs w:val="24"/>
        </w:rPr>
        <w:t>Means, G</w:t>
      </w:r>
      <w:r w:rsidRPr="008A0DE7">
        <w:rPr>
          <w:rFonts w:ascii="Times New Roman" w:hAnsi="Times New Roman"/>
          <w:sz w:val="24"/>
          <w:szCs w:val="24"/>
        </w:rPr>
        <w:t xml:space="preserve">. (1932). </w:t>
      </w:r>
      <w:r w:rsidRPr="008A0DE7">
        <w:rPr>
          <w:rFonts w:ascii="Times New Roman" w:hAnsi="Times New Roman"/>
          <w:i/>
          <w:iCs/>
          <w:sz w:val="24"/>
          <w:szCs w:val="24"/>
        </w:rPr>
        <w:t>The Modern Corporation and Private Property</w:t>
      </w:r>
      <w:r w:rsidRPr="008A0DE7">
        <w:rPr>
          <w:rFonts w:ascii="Times New Roman" w:hAnsi="Times New Roman"/>
          <w:sz w:val="24"/>
          <w:szCs w:val="24"/>
        </w:rPr>
        <w:t>.  New York: Macmillan.</w:t>
      </w:r>
    </w:p>
    <w:p w:rsidR="00E93E99" w:rsidRDefault="00E93E99" w:rsidP="00E93E99">
      <w:pPr>
        <w:spacing w:line="240" w:lineRule="auto"/>
        <w:jc w:val="both"/>
        <w:rPr>
          <w:rFonts w:ascii="Times New Roman" w:hAnsi="Times New Roman"/>
          <w:bCs/>
          <w:sz w:val="24"/>
          <w:szCs w:val="24"/>
          <w:lang w:val="en-US"/>
        </w:rPr>
      </w:pPr>
      <w:r w:rsidRPr="008A0DE7">
        <w:rPr>
          <w:rFonts w:ascii="Times New Roman" w:hAnsi="Times New Roman"/>
          <w:bCs/>
          <w:sz w:val="24"/>
          <w:szCs w:val="24"/>
          <w:lang w:val="en-US"/>
        </w:rPr>
        <w:t xml:space="preserve">Blake, D. (1995). </w:t>
      </w:r>
      <w:r w:rsidRPr="008A0DE7">
        <w:rPr>
          <w:rFonts w:ascii="Times New Roman" w:hAnsi="Times New Roman"/>
          <w:bCs/>
          <w:i/>
          <w:sz w:val="24"/>
          <w:szCs w:val="24"/>
          <w:lang w:val="en-US"/>
        </w:rPr>
        <w:t xml:space="preserve">Pension Schemes and Pension Funds in the United Kingdom. </w:t>
      </w:r>
      <w:r w:rsidRPr="008A0DE7">
        <w:rPr>
          <w:rFonts w:ascii="Times New Roman" w:hAnsi="Times New Roman"/>
          <w:bCs/>
          <w:sz w:val="24"/>
          <w:szCs w:val="24"/>
          <w:lang w:val="en-US"/>
        </w:rPr>
        <w:t>Oxford: Clarendon Press.</w:t>
      </w:r>
    </w:p>
    <w:p w:rsidR="00856FAD" w:rsidRPr="008A0DE7" w:rsidRDefault="00856FAD" w:rsidP="00E93E99">
      <w:pPr>
        <w:spacing w:line="240" w:lineRule="auto"/>
        <w:jc w:val="both"/>
        <w:rPr>
          <w:rFonts w:ascii="Times New Roman" w:hAnsi="Times New Roman"/>
          <w:bCs/>
          <w:sz w:val="24"/>
          <w:szCs w:val="24"/>
          <w:lang w:val="en-US"/>
        </w:rPr>
      </w:pPr>
      <w:r>
        <w:rPr>
          <w:rFonts w:ascii="Times New Roman" w:hAnsi="Times New Roman"/>
          <w:bCs/>
          <w:sz w:val="24"/>
          <w:szCs w:val="24"/>
          <w:lang w:val="en-US"/>
        </w:rPr>
        <w:t xml:space="preserve">Bluedorn, A. C. and Standifer, R. L. (2006). ‘Time and the Temporal Imagination’, </w:t>
      </w:r>
      <w:r w:rsidRPr="00856FAD">
        <w:rPr>
          <w:rFonts w:ascii="Times New Roman" w:hAnsi="Times New Roman"/>
          <w:bCs/>
          <w:i/>
          <w:sz w:val="24"/>
          <w:szCs w:val="24"/>
          <w:lang w:val="en-US"/>
        </w:rPr>
        <w:t>Academy of Management Learning &amp; Education,</w:t>
      </w:r>
      <w:r>
        <w:rPr>
          <w:rFonts w:ascii="Times New Roman" w:hAnsi="Times New Roman"/>
          <w:bCs/>
          <w:sz w:val="24"/>
          <w:szCs w:val="24"/>
          <w:lang w:val="en-US"/>
        </w:rPr>
        <w:t xml:space="preserve"> </w:t>
      </w:r>
      <w:r w:rsidRPr="00F506A6">
        <w:rPr>
          <w:rFonts w:ascii="Times New Roman" w:hAnsi="Times New Roman"/>
          <w:b/>
          <w:bCs/>
          <w:sz w:val="24"/>
          <w:szCs w:val="24"/>
          <w:lang w:val="en-US"/>
        </w:rPr>
        <w:t>5</w:t>
      </w:r>
      <w:r>
        <w:rPr>
          <w:rFonts w:ascii="Times New Roman" w:hAnsi="Times New Roman"/>
          <w:bCs/>
          <w:sz w:val="24"/>
          <w:szCs w:val="24"/>
          <w:lang w:val="en-US"/>
        </w:rPr>
        <w:t xml:space="preserve">, 2, pp. </w:t>
      </w:r>
      <w:r w:rsidR="009A2A14">
        <w:rPr>
          <w:rFonts w:ascii="Times New Roman" w:hAnsi="Times New Roman"/>
          <w:bCs/>
          <w:sz w:val="24"/>
          <w:szCs w:val="24"/>
          <w:lang w:val="en-US"/>
        </w:rPr>
        <w:t xml:space="preserve">196-206. </w:t>
      </w:r>
    </w:p>
    <w:p w:rsidR="00E93E99" w:rsidRPr="008A0DE7" w:rsidRDefault="00E93E99" w:rsidP="00E93E99">
      <w:pPr>
        <w:pStyle w:val="PlainText"/>
        <w:rPr>
          <w:rFonts w:ascii="Times New Roman" w:hAnsi="Times New Roman"/>
          <w:sz w:val="24"/>
          <w:szCs w:val="24"/>
        </w:rPr>
      </w:pPr>
      <w:r w:rsidRPr="008A0DE7">
        <w:rPr>
          <w:rFonts w:ascii="Times New Roman" w:hAnsi="Times New Roman"/>
          <w:sz w:val="24"/>
          <w:szCs w:val="24"/>
        </w:rPr>
        <w:t xml:space="preserve">Bushee, B. (1998). “Institutional Investors, Long Term Investment, and Earnings Management.” </w:t>
      </w:r>
      <w:r w:rsidRPr="008A0DE7">
        <w:rPr>
          <w:rFonts w:ascii="Times New Roman" w:hAnsi="Times New Roman"/>
          <w:i/>
          <w:sz w:val="24"/>
          <w:szCs w:val="24"/>
        </w:rPr>
        <w:t>Harvard Business School Working Paper</w:t>
      </w:r>
      <w:r w:rsidRPr="008A0DE7">
        <w:rPr>
          <w:rFonts w:ascii="Times New Roman" w:hAnsi="Times New Roman"/>
          <w:sz w:val="24"/>
          <w:szCs w:val="24"/>
        </w:rPr>
        <w:t>, No. 98–069.</w:t>
      </w:r>
    </w:p>
    <w:p w:rsidR="00E93E99" w:rsidRPr="008A0DE7" w:rsidRDefault="00E93E99" w:rsidP="00E93E99">
      <w:pPr>
        <w:pStyle w:val="PlainText"/>
        <w:rPr>
          <w:rFonts w:ascii="Times New Roman" w:hAnsi="Times New Roman"/>
          <w:sz w:val="24"/>
          <w:szCs w:val="24"/>
        </w:rPr>
      </w:pPr>
    </w:p>
    <w:p w:rsidR="00E93E99" w:rsidRPr="008A0DE7" w:rsidRDefault="00E93E99" w:rsidP="00E93E99">
      <w:pPr>
        <w:autoSpaceDE w:val="0"/>
        <w:autoSpaceDN w:val="0"/>
        <w:adjustRightInd w:val="0"/>
        <w:spacing w:after="0" w:line="240" w:lineRule="auto"/>
        <w:rPr>
          <w:rFonts w:ascii="Times New Roman" w:hAnsi="Times New Roman"/>
          <w:sz w:val="24"/>
          <w:szCs w:val="24"/>
        </w:rPr>
      </w:pPr>
      <w:r w:rsidRPr="008A0DE7">
        <w:rPr>
          <w:rFonts w:ascii="Times New Roman" w:hAnsi="Times New Roman"/>
          <w:sz w:val="24"/>
          <w:szCs w:val="24"/>
        </w:rPr>
        <w:t>Choi, S and Fisch, J. (2008). ‘On Beyond CalPERS: Survey Evidence on the</w:t>
      </w:r>
    </w:p>
    <w:p w:rsidR="00E93E99" w:rsidRPr="008A0DE7" w:rsidRDefault="00E93E99" w:rsidP="00E93E99">
      <w:pPr>
        <w:autoSpaceDE w:val="0"/>
        <w:autoSpaceDN w:val="0"/>
        <w:adjustRightInd w:val="0"/>
        <w:spacing w:after="0" w:line="240" w:lineRule="auto"/>
        <w:rPr>
          <w:rFonts w:ascii="Times New Roman" w:hAnsi="Times New Roman"/>
          <w:sz w:val="24"/>
          <w:szCs w:val="24"/>
        </w:rPr>
      </w:pPr>
      <w:r w:rsidRPr="008A0DE7">
        <w:rPr>
          <w:rFonts w:ascii="Times New Roman" w:hAnsi="Times New Roman"/>
          <w:sz w:val="24"/>
          <w:szCs w:val="24"/>
        </w:rPr>
        <w:t xml:space="preserve">Developing Role of Public Pension Funds in Corporate Governance’, </w:t>
      </w:r>
      <w:r w:rsidRPr="008A0DE7">
        <w:rPr>
          <w:rFonts w:ascii="Times New Roman" w:hAnsi="Times New Roman"/>
          <w:i/>
          <w:iCs/>
          <w:sz w:val="24"/>
          <w:szCs w:val="24"/>
        </w:rPr>
        <w:t xml:space="preserve">Faculty Scholarship. </w:t>
      </w:r>
      <w:r w:rsidRPr="008A0DE7">
        <w:rPr>
          <w:rFonts w:ascii="Times New Roman" w:hAnsi="Times New Roman"/>
          <w:sz w:val="24"/>
          <w:szCs w:val="24"/>
        </w:rPr>
        <w:t>Paper 1044.</w:t>
      </w:r>
    </w:p>
    <w:p w:rsidR="00E93E99" w:rsidRPr="008A0DE7" w:rsidRDefault="00E93E99" w:rsidP="00E93E99">
      <w:pPr>
        <w:pStyle w:val="PlainText"/>
        <w:rPr>
          <w:rFonts w:ascii="Times New Roman" w:hAnsi="Times New Roman"/>
          <w:sz w:val="24"/>
          <w:szCs w:val="24"/>
        </w:rPr>
      </w:pP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Clark, G. (2000). ‘The Functional and Spatial Structure of Investment Management Industry’, </w:t>
      </w:r>
      <w:r w:rsidRPr="008A0DE7">
        <w:rPr>
          <w:rFonts w:ascii="Times New Roman" w:hAnsi="Times New Roman"/>
          <w:i/>
          <w:iCs/>
          <w:sz w:val="24"/>
          <w:szCs w:val="24"/>
        </w:rPr>
        <w:t>Geoforum</w:t>
      </w:r>
      <w:r w:rsidRPr="008A0DE7">
        <w:rPr>
          <w:rFonts w:ascii="Times New Roman" w:hAnsi="Times New Roman"/>
          <w:sz w:val="24"/>
          <w:szCs w:val="24"/>
        </w:rPr>
        <w:t>,</w:t>
      </w:r>
      <w:r w:rsidRPr="008A0DE7">
        <w:rPr>
          <w:rFonts w:ascii="Times New Roman" w:hAnsi="Times New Roman"/>
          <w:b/>
          <w:sz w:val="24"/>
          <w:szCs w:val="24"/>
        </w:rPr>
        <w:t xml:space="preserve"> 31</w:t>
      </w:r>
      <w:r w:rsidRPr="008A0DE7">
        <w:rPr>
          <w:rFonts w:ascii="Times New Roman" w:hAnsi="Times New Roman"/>
          <w:sz w:val="24"/>
          <w:szCs w:val="24"/>
        </w:rPr>
        <w:t xml:space="preserve">, pp. 71-86. </w:t>
      </w:r>
    </w:p>
    <w:p w:rsidR="00E93E99" w:rsidRPr="008A0DE7" w:rsidRDefault="00E93E99" w:rsidP="00E93E99">
      <w:pPr>
        <w:spacing w:line="240" w:lineRule="auto"/>
        <w:jc w:val="both"/>
        <w:rPr>
          <w:rStyle w:val="Strong"/>
          <w:rFonts w:ascii="Times New Roman" w:eastAsia="Arial Unicode MS" w:hAnsi="Times New Roman"/>
          <w:b w:val="0"/>
          <w:sz w:val="24"/>
          <w:szCs w:val="24"/>
        </w:rPr>
      </w:pPr>
      <w:r w:rsidRPr="008A0DE7">
        <w:rPr>
          <w:rStyle w:val="Strong"/>
          <w:rFonts w:ascii="Times New Roman" w:eastAsia="Arial Unicode MS" w:hAnsi="Times New Roman"/>
          <w:b w:val="0"/>
          <w:sz w:val="24"/>
          <w:szCs w:val="24"/>
        </w:rPr>
        <w:t>Clark, G</w:t>
      </w:r>
      <w:r w:rsidRPr="008A0DE7">
        <w:rPr>
          <w:rStyle w:val="Strong"/>
          <w:rFonts w:ascii="Times New Roman" w:eastAsia="Arial Unicode MS" w:hAnsi="Times New Roman"/>
          <w:sz w:val="24"/>
          <w:szCs w:val="24"/>
        </w:rPr>
        <w:t xml:space="preserve">. </w:t>
      </w:r>
      <w:r w:rsidRPr="008A0DE7">
        <w:rPr>
          <w:rFonts w:ascii="Times New Roman" w:hAnsi="Times New Roman"/>
          <w:sz w:val="24"/>
          <w:szCs w:val="24"/>
          <w:lang w:val="en-US"/>
        </w:rPr>
        <w:t>and</w:t>
      </w:r>
      <w:r w:rsidRPr="008A0DE7">
        <w:rPr>
          <w:rFonts w:ascii="Times New Roman" w:hAnsi="Times New Roman"/>
          <w:b/>
          <w:sz w:val="24"/>
          <w:szCs w:val="24"/>
          <w:lang w:val="en-US"/>
        </w:rPr>
        <w:t xml:space="preserve"> </w:t>
      </w:r>
      <w:r w:rsidRPr="008A0DE7">
        <w:rPr>
          <w:rStyle w:val="Strong"/>
          <w:rFonts w:ascii="Times New Roman" w:eastAsia="Arial Unicode MS" w:hAnsi="Times New Roman"/>
          <w:b w:val="0"/>
          <w:sz w:val="24"/>
          <w:szCs w:val="24"/>
        </w:rPr>
        <w:t>Hebb, T. (2004). Pension Fund Corporate Engagement: The Fifth Stage of Capitalism.</w:t>
      </w:r>
      <w:r w:rsidRPr="008A0DE7">
        <w:rPr>
          <w:rFonts w:ascii="Times New Roman" w:hAnsi="Times New Roman"/>
          <w:b/>
          <w:sz w:val="24"/>
          <w:szCs w:val="24"/>
        </w:rPr>
        <w:t xml:space="preserve"> </w:t>
      </w:r>
      <w:r w:rsidRPr="008A0DE7">
        <w:rPr>
          <w:rStyle w:val="Strong"/>
          <w:rFonts w:ascii="Times New Roman" w:eastAsia="Arial Unicode MS" w:hAnsi="Times New Roman"/>
          <w:b w:val="0"/>
          <w:i/>
          <w:iCs/>
          <w:sz w:val="24"/>
          <w:szCs w:val="24"/>
        </w:rPr>
        <w:t>Industrial Relations,</w:t>
      </w:r>
      <w:r w:rsidRPr="008A0DE7">
        <w:rPr>
          <w:rStyle w:val="Strong"/>
          <w:rFonts w:ascii="Times New Roman" w:eastAsia="Arial Unicode MS" w:hAnsi="Times New Roman"/>
          <w:sz w:val="24"/>
          <w:szCs w:val="24"/>
        </w:rPr>
        <w:t xml:space="preserve"> 59, </w:t>
      </w:r>
      <w:r w:rsidRPr="008A0DE7">
        <w:rPr>
          <w:rStyle w:val="Strong"/>
          <w:rFonts w:ascii="Times New Roman" w:eastAsia="Arial Unicode MS" w:hAnsi="Times New Roman"/>
          <w:b w:val="0"/>
          <w:sz w:val="24"/>
          <w:szCs w:val="24"/>
        </w:rPr>
        <w:t>pp</w:t>
      </w:r>
      <w:r w:rsidRPr="008A0DE7">
        <w:rPr>
          <w:rStyle w:val="Strong"/>
          <w:rFonts w:ascii="Times New Roman" w:eastAsia="Arial Unicode MS" w:hAnsi="Times New Roman"/>
          <w:sz w:val="24"/>
          <w:szCs w:val="24"/>
        </w:rPr>
        <w:t xml:space="preserve">. </w:t>
      </w:r>
      <w:r w:rsidRPr="008A0DE7">
        <w:rPr>
          <w:rStyle w:val="Strong"/>
          <w:rFonts w:ascii="Times New Roman" w:eastAsia="Arial Unicode MS" w:hAnsi="Times New Roman"/>
          <w:b w:val="0"/>
          <w:sz w:val="24"/>
          <w:szCs w:val="24"/>
        </w:rPr>
        <w:t>142-171.</w:t>
      </w:r>
    </w:p>
    <w:p w:rsidR="00E93E99" w:rsidRPr="008A0DE7" w:rsidRDefault="00E93E99" w:rsidP="00E93E99">
      <w:pPr>
        <w:rPr>
          <w:rFonts w:ascii="Times New Roman" w:hAnsi="Times New Roman"/>
          <w:sz w:val="24"/>
          <w:szCs w:val="24"/>
        </w:rPr>
      </w:pPr>
      <w:r w:rsidRPr="008A0DE7">
        <w:rPr>
          <w:rFonts w:ascii="Times New Roman" w:hAnsi="Times New Roman"/>
          <w:sz w:val="24"/>
          <w:szCs w:val="24"/>
        </w:rPr>
        <w:t xml:space="preserve">Clark, G. and Urwin, R. (2008). ‘Leadership, Collective Decision-Making, and Pension Fund Governance’, </w:t>
      </w:r>
      <w:r w:rsidRPr="008A0DE7">
        <w:rPr>
          <w:rFonts w:ascii="Times New Roman" w:hAnsi="Times New Roman"/>
          <w:i/>
          <w:sz w:val="24"/>
          <w:szCs w:val="24"/>
        </w:rPr>
        <w:t>SSRN Papers</w:t>
      </w:r>
      <w:r w:rsidRPr="008A0DE7">
        <w:rPr>
          <w:rFonts w:ascii="Times New Roman" w:hAnsi="Times New Roman"/>
          <w:sz w:val="24"/>
          <w:szCs w:val="24"/>
        </w:rPr>
        <w:t xml:space="preserve">, </w:t>
      </w:r>
      <w:hyperlink r:id="rId13" w:history="1">
        <w:r w:rsidRPr="008A0DE7">
          <w:rPr>
            <w:rStyle w:val="Hyperlink"/>
            <w:rFonts w:ascii="Times New Roman" w:hAnsi="Times New Roman"/>
            <w:sz w:val="24"/>
            <w:szCs w:val="24"/>
          </w:rPr>
          <w:t>http://papers.ssrn.com/sol3/papers.cfm?abstract_id=1133015</w:t>
        </w:r>
      </w:hyperlink>
      <w:r w:rsidRPr="008A0DE7">
        <w:rPr>
          <w:rFonts w:ascii="Times New Roman" w:hAnsi="Times New Roman"/>
          <w:sz w:val="24"/>
          <w:szCs w:val="24"/>
        </w:rPr>
        <w:t xml:space="preserve"> </w:t>
      </w:r>
      <w:r w:rsidRPr="008A0DE7">
        <w:rPr>
          <w:rFonts w:ascii="Times New Roman" w:hAnsi="Times New Roman"/>
          <w:i/>
          <w:sz w:val="24"/>
          <w:szCs w:val="24"/>
        </w:rPr>
        <w:t xml:space="preserve">  </w:t>
      </w:r>
      <w:r w:rsidRPr="008A0DE7">
        <w:rPr>
          <w:rFonts w:ascii="Times New Roman" w:hAnsi="Times New Roman"/>
          <w:sz w:val="24"/>
          <w:szCs w:val="24"/>
        </w:rPr>
        <w:t xml:space="preserve">[accessed: 20 March 2009]. </w:t>
      </w:r>
    </w:p>
    <w:p w:rsidR="00E93E99" w:rsidRPr="008A0DE7" w:rsidRDefault="00E93E99" w:rsidP="00E93E99">
      <w:pPr>
        <w:rPr>
          <w:rFonts w:ascii="Times New Roman" w:hAnsi="Times New Roman"/>
          <w:sz w:val="24"/>
          <w:szCs w:val="24"/>
        </w:rPr>
      </w:pPr>
      <w:r w:rsidRPr="008A0DE7">
        <w:rPr>
          <w:rFonts w:ascii="Times New Roman" w:hAnsi="Times New Roman"/>
          <w:sz w:val="24"/>
          <w:szCs w:val="24"/>
        </w:rPr>
        <w:t xml:space="preserve">Conyon, M. Judge, W. Q. and Useem, M. (2011). ‘Corporate Governance and the 2008-9 Financial Crisis’. </w:t>
      </w:r>
      <w:r w:rsidRPr="008A0DE7">
        <w:rPr>
          <w:rFonts w:ascii="Times New Roman" w:hAnsi="Times New Roman"/>
          <w:i/>
          <w:sz w:val="24"/>
          <w:szCs w:val="24"/>
        </w:rPr>
        <w:t>Corporate Governance: An International Review</w:t>
      </w:r>
      <w:r w:rsidRPr="008A0DE7">
        <w:rPr>
          <w:rFonts w:ascii="Times New Roman" w:hAnsi="Times New Roman"/>
          <w:sz w:val="24"/>
          <w:szCs w:val="24"/>
        </w:rPr>
        <w:t xml:space="preserve">, </w:t>
      </w:r>
      <w:r w:rsidRPr="00F506A6">
        <w:rPr>
          <w:rFonts w:ascii="Times New Roman" w:hAnsi="Times New Roman"/>
          <w:b/>
          <w:sz w:val="24"/>
          <w:szCs w:val="24"/>
        </w:rPr>
        <w:t>19</w:t>
      </w:r>
      <w:r w:rsidR="00F506A6">
        <w:rPr>
          <w:rFonts w:ascii="Times New Roman" w:hAnsi="Times New Roman"/>
          <w:sz w:val="24"/>
          <w:szCs w:val="24"/>
        </w:rPr>
        <w:t>,5</w:t>
      </w:r>
      <w:r w:rsidRPr="008A0DE7">
        <w:rPr>
          <w:rFonts w:ascii="Times New Roman" w:hAnsi="Times New Roman"/>
          <w:sz w:val="24"/>
          <w:szCs w:val="24"/>
        </w:rPr>
        <w:t>, pp.</w:t>
      </w:r>
      <w:r w:rsidR="00F506A6">
        <w:rPr>
          <w:rFonts w:ascii="Times New Roman" w:hAnsi="Times New Roman"/>
          <w:sz w:val="24"/>
          <w:szCs w:val="24"/>
        </w:rPr>
        <w:t xml:space="preserve"> </w:t>
      </w:r>
      <w:r w:rsidRPr="008A0DE7">
        <w:rPr>
          <w:rFonts w:ascii="Times New Roman" w:hAnsi="Times New Roman"/>
          <w:sz w:val="24"/>
          <w:szCs w:val="24"/>
        </w:rPr>
        <w:t>399-404.</w:t>
      </w:r>
    </w:p>
    <w:p w:rsidR="00E93E99" w:rsidRPr="008A0DE7" w:rsidRDefault="00E93E99" w:rsidP="00E93E99">
      <w:pPr>
        <w:spacing w:line="240" w:lineRule="auto"/>
        <w:jc w:val="both"/>
        <w:rPr>
          <w:rFonts w:ascii="Times New Roman" w:hAnsi="Times New Roman"/>
          <w:i/>
          <w:iCs/>
          <w:sz w:val="24"/>
          <w:szCs w:val="24"/>
          <w:lang w:val="en-US"/>
        </w:rPr>
      </w:pPr>
      <w:r w:rsidRPr="008A0DE7">
        <w:rPr>
          <w:rFonts w:ascii="Times New Roman" w:hAnsi="Times New Roman"/>
          <w:bCs/>
          <w:sz w:val="24"/>
          <w:szCs w:val="24"/>
        </w:rPr>
        <w:t>Conyon, M. J.</w:t>
      </w:r>
      <w:r w:rsidRPr="008A0DE7">
        <w:rPr>
          <w:rFonts w:ascii="Times New Roman" w:hAnsi="Times New Roman"/>
          <w:sz w:val="24"/>
          <w:szCs w:val="24"/>
        </w:rPr>
        <w:t xml:space="preserve"> and </w:t>
      </w:r>
      <w:r w:rsidRPr="008A0DE7">
        <w:rPr>
          <w:rFonts w:ascii="Times New Roman" w:hAnsi="Times New Roman"/>
          <w:bCs/>
          <w:sz w:val="24"/>
          <w:szCs w:val="24"/>
        </w:rPr>
        <w:t>Sadler, G.</w:t>
      </w:r>
      <w:r w:rsidRPr="008A0DE7">
        <w:rPr>
          <w:rFonts w:ascii="Times New Roman" w:hAnsi="Times New Roman"/>
          <w:sz w:val="24"/>
          <w:szCs w:val="24"/>
        </w:rPr>
        <w:t xml:space="preserve"> (2010). ‘Shareholder Voting and Directors’ Remuneration Report Legislation: Say on Pay in the UK’,</w:t>
      </w:r>
      <w:r w:rsidRPr="008A0DE7">
        <w:rPr>
          <w:rFonts w:ascii="Times New Roman" w:hAnsi="Times New Roman"/>
          <w:i/>
          <w:iCs/>
          <w:sz w:val="24"/>
          <w:szCs w:val="24"/>
        </w:rPr>
        <w:t xml:space="preserve"> </w:t>
      </w:r>
      <w:r w:rsidRPr="008A0DE7">
        <w:rPr>
          <w:rFonts w:ascii="Times New Roman" w:hAnsi="Times New Roman"/>
          <w:i/>
          <w:iCs/>
          <w:sz w:val="24"/>
          <w:szCs w:val="24"/>
          <w:lang w:val="en-US"/>
        </w:rPr>
        <w:t>Corporate Governance: An International Review,</w:t>
      </w:r>
      <w:r w:rsidRPr="008A0DE7">
        <w:rPr>
          <w:rFonts w:ascii="Times New Roman" w:hAnsi="Times New Roman"/>
          <w:sz w:val="24"/>
          <w:szCs w:val="24"/>
          <w:lang w:val="en-US"/>
        </w:rPr>
        <w:t xml:space="preserve"> </w:t>
      </w:r>
      <w:r w:rsidRPr="008A0DE7">
        <w:rPr>
          <w:rFonts w:ascii="Times New Roman" w:hAnsi="Times New Roman"/>
          <w:b/>
          <w:bCs/>
          <w:sz w:val="24"/>
          <w:szCs w:val="24"/>
          <w:lang w:val="en-US"/>
        </w:rPr>
        <w:t>18</w:t>
      </w:r>
      <w:r w:rsidRPr="008A0DE7">
        <w:rPr>
          <w:rFonts w:ascii="Times New Roman" w:hAnsi="Times New Roman"/>
          <w:sz w:val="24"/>
          <w:szCs w:val="24"/>
          <w:lang w:val="en-US"/>
        </w:rPr>
        <w:t>, pp. 296-312.</w:t>
      </w:r>
    </w:p>
    <w:p w:rsidR="00E93E99" w:rsidRPr="008A0DE7" w:rsidRDefault="00E93E99" w:rsidP="00E93E99">
      <w:pPr>
        <w:rPr>
          <w:rFonts w:ascii="Times New Roman" w:hAnsi="Times New Roman"/>
          <w:bCs/>
          <w:smallCaps/>
          <w:sz w:val="24"/>
          <w:szCs w:val="24"/>
          <w:lang w:eastAsia="en-GB"/>
        </w:rPr>
      </w:pPr>
      <w:r w:rsidRPr="008A0DE7">
        <w:rPr>
          <w:rFonts w:ascii="Times New Roman" w:hAnsi="Times New Roman"/>
          <w:sz w:val="24"/>
          <w:szCs w:val="24"/>
          <w:lang w:eastAsia="en-GB"/>
        </w:rPr>
        <w:lastRenderedPageBreak/>
        <w:t xml:space="preserve">Creed, D., DeJordy, R. and Lok, J. (2010). ‘Being the change: Resolving institutional contradiction through identity work’,  </w:t>
      </w:r>
      <w:r w:rsidRPr="008A0DE7">
        <w:rPr>
          <w:rFonts w:ascii="Times New Roman" w:hAnsi="Times New Roman"/>
          <w:i/>
          <w:iCs/>
          <w:sz w:val="24"/>
          <w:szCs w:val="24"/>
          <w:lang w:eastAsia="en-GB"/>
        </w:rPr>
        <w:t>Academy of Management Journal,</w:t>
      </w:r>
      <w:r w:rsidRPr="008A0DE7">
        <w:rPr>
          <w:rFonts w:ascii="Times New Roman" w:hAnsi="Times New Roman"/>
          <w:sz w:val="24"/>
          <w:szCs w:val="24"/>
          <w:lang w:eastAsia="en-GB"/>
        </w:rPr>
        <w:t xml:space="preserve"> </w:t>
      </w:r>
      <w:r w:rsidRPr="008A0DE7">
        <w:rPr>
          <w:rFonts w:ascii="Times New Roman" w:hAnsi="Times New Roman"/>
          <w:b/>
          <w:sz w:val="24"/>
          <w:szCs w:val="24"/>
          <w:lang w:eastAsia="en-GB"/>
        </w:rPr>
        <w:t>53</w:t>
      </w:r>
      <w:r w:rsidRPr="008A0DE7">
        <w:rPr>
          <w:rFonts w:ascii="Times New Roman" w:hAnsi="Times New Roman"/>
          <w:sz w:val="24"/>
          <w:szCs w:val="24"/>
          <w:lang w:eastAsia="en-GB"/>
        </w:rPr>
        <w:t xml:space="preserve">, pp. 1336-1364. </w:t>
      </w:r>
    </w:p>
    <w:p w:rsidR="00E93E99" w:rsidRPr="008A0DE7" w:rsidRDefault="00E93E99" w:rsidP="00E93E99">
      <w:pPr>
        <w:rPr>
          <w:rFonts w:ascii="Times New Roman" w:hAnsi="Times New Roman"/>
          <w:sz w:val="24"/>
          <w:szCs w:val="24"/>
          <w:lang w:eastAsia="en-GB"/>
        </w:rPr>
      </w:pPr>
      <w:r w:rsidRPr="008A0DE7">
        <w:rPr>
          <w:rFonts w:ascii="Times New Roman" w:hAnsi="Times New Roman"/>
          <w:sz w:val="24"/>
          <w:szCs w:val="24"/>
          <w:lang w:eastAsia="en-GB"/>
        </w:rPr>
        <w:t xml:space="preserve">Dacin, T., Munir, K. and Tracey, P. (2010). ‘Formal Dining at Cambridge Colleges: Linking ritual performance and institutional maintenance’, </w:t>
      </w:r>
      <w:r w:rsidRPr="008A0DE7">
        <w:rPr>
          <w:rFonts w:ascii="Times New Roman" w:hAnsi="Times New Roman"/>
          <w:i/>
          <w:iCs/>
          <w:sz w:val="24"/>
          <w:szCs w:val="24"/>
          <w:lang w:eastAsia="en-GB"/>
        </w:rPr>
        <w:t>Academy of Management Journal,</w:t>
      </w:r>
      <w:r w:rsidRPr="008A0DE7">
        <w:rPr>
          <w:rFonts w:ascii="Times New Roman" w:hAnsi="Times New Roman"/>
          <w:sz w:val="24"/>
          <w:szCs w:val="24"/>
          <w:lang w:eastAsia="en-GB"/>
        </w:rPr>
        <w:t xml:space="preserve"> </w:t>
      </w:r>
      <w:r w:rsidRPr="008A0DE7">
        <w:rPr>
          <w:rFonts w:ascii="Times New Roman" w:hAnsi="Times New Roman"/>
          <w:b/>
          <w:sz w:val="24"/>
          <w:szCs w:val="24"/>
          <w:lang w:eastAsia="en-GB"/>
        </w:rPr>
        <w:t>53</w:t>
      </w:r>
      <w:r w:rsidRPr="008A0DE7">
        <w:rPr>
          <w:rFonts w:ascii="Times New Roman" w:hAnsi="Times New Roman"/>
          <w:sz w:val="24"/>
          <w:szCs w:val="24"/>
          <w:lang w:eastAsia="en-GB"/>
        </w:rPr>
        <w:t>, pp. 1393-1418.</w:t>
      </w:r>
    </w:p>
    <w:p w:rsidR="00E93E99" w:rsidRPr="008A0DE7" w:rsidRDefault="00E93E99" w:rsidP="00E93E99">
      <w:pPr>
        <w:spacing w:line="240" w:lineRule="auto"/>
        <w:rPr>
          <w:rFonts w:ascii="Times New Roman" w:hAnsi="Times New Roman"/>
          <w:bCs/>
          <w:smallCaps/>
          <w:sz w:val="24"/>
          <w:szCs w:val="24"/>
          <w:lang w:eastAsia="en-GB"/>
        </w:rPr>
      </w:pPr>
      <w:r w:rsidRPr="008A0DE7">
        <w:rPr>
          <w:rFonts w:ascii="Times New Roman" w:hAnsi="Times New Roman"/>
          <w:sz w:val="24"/>
          <w:szCs w:val="24"/>
          <w:lang w:eastAsia="en-GB"/>
        </w:rPr>
        <w:t xml:space="preserve">Dalton, D. R., Hitt, M. A., Certo, T. S. and Dalton, C. M. (2007). ‘The Fundamental Agency Problem and Its Mitigation: Independence, Equity, and the Market for Corporate Control’, </w:t>
      </w:r>
      <w:r w:rsidRPr="008A0DE7">
        <w:rPr>
          <w:rFonts w:ascii="Times New Roman" w:hAnsi="Times New Roman"/>
          <w:i/>
          <w:sz w:val="24"/>
          <w:szCs w:val="24"/>
          <w:lang w:eastAsia="en-GB"/>
        </w:rPr>
        <w:t xml:space="preserve">The Academy of Management Annals, </w:t>
      </w:r>
      <w:r w:rsidRPr="008A0DE7">
        <w:rPr>
          <w:rFonts w:ascii="Times New Roman" w:hAnsi="Times New Roman"/>
          <w:b/>
          <w:sz w:val="24"/>
          <w:szCs w:val="24"/>
          <w:lang w:eastAsia="en-GB"/>
        </w:rPr>
        <w:t>1</w:t>
      </w:r>
      <w:r w:rsidRPr="008A0DE7">
        <w:rPr>
          <w:rFonts w:ascii="Times New Roman" w:hAnsi="Times New Roman"/>
          <w:sz w:val="24"/>
          <w:szCs w:val="24"/>
          <w:lang w:eastAsia="en-GB"/>
        </w:rPr>
        <w:t>, pp. 1-64.</w:t>
      </w:r>
    </w:p>
    <w:p w:rsidR="00E93E99" w:rsidRPr="008A0DE7" w:rsidRDefault="00E93E99" w:rsidP="00E93E99">
      <w:pPr>
        <w:spacing w:line="240" w:lineRule="auto"/>
        <w:jc w:val="both"/>
        <w:rPr>
          <w:rFonts w:ascii="Times New Roman" w:hAnsi="Times New Roman"/>
          <w:iCs/>
          <w:sz w:val="24"/>
          <w:szCs w:val="24"/>
        </w:rPr>
      </w:pPr>
      <w:r w:rsidRPr="008A0DE7">
        <w:rPr>
          <w:rFonts w:ascii="Times New Roman" w:hAnsi="Times New Roman"/>
          <w:iCs/>
          <w:sz w:val="24"/>
          <w:szCs w:val="24"/>
        </w:rPr>
        <w:t xml:space="preserve">Davidson, D. (1971). ‘Agency’ in </w:t>
      </w:r>
      <w:r w:rsidRPr="008A0DE7">
        <w:rPr>
          <w:rFonts w:ascii="Times New Roman" w:hAnsi="Times New Roman"/>
          <w:i/>
          <w:iCs/>
          <w:sz w:val="24"/>
          <w:szCs w:val="24"/>
        </w:rPr>
        <w:t>Essays on Actions and Events</w:t>
      </w:r>
      <w:r w:rsidRPr="008A0DE7">
        <w:rPr>
          <w:rFonts w:ascii="Times New Roman" w:hAnsi="Times New Roman"/>
          <w:iCs/>
          <w:sz w:val="24"/>
          <w:szCs w:val="24"/>
        </w:rPr>
        <w:t xml:space="preserve">, ed. D. Davidson, pp. 43-61. Oxford. </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lang w:val="en-US"/>
        </w:rPr>
        <w:t>Davis, G. (2008). ‘</w:t>
      </w:r>
      <w:r w:rsidRPr="008A0DE7">
        <w:rPr>
          <w:rFonts w:ascii="Times New Roman" w:hAnsi="Times New Roman"/>
          <w:spacing w:val="-15"/>
          <w:kern w:val="36"/>
          <w:sz w:val="24"/>
          <w:szCs w:val="24"/>
        </w:rPr>
        <w:t>A New Finance Capitalism? Mutual Funds and Ownership Re-Concentration in the United States’,</w:t>
      </w:r>
      <w:r w:rsidRPr="008A0DE7">
        <w:rPr>
          <w:rFonts w:ascii="Times New Roman" w:hAnsi="Times New Roman"/>
          <w:sz w:val="24"/>
          <w:szCs w:val="24"/>
        </w:rPr>
        <w:t xml:space="preserve"> </w:t>
      </w:r>
      <w:r w:rsidRPr="008A0DE7">
        <w:rPr>
          <w:rFonts w:ascii="Times New Roman" w:hAnsi="Times New Roman"/>
          <w:i/>
          <w:iCs/>
          <w:sz w:val="24"/>
          <w:szCs w:val="24"/>
        </w:rPr>
        <w:t>European Management Review,</w:t>
      </w:r>
      <w:r w:rsidRPr="008A0DE7">
        <w:rPr>
          <w:rFonts w:ascii="Times New Roman" w:hAnsi="Times New Roman"/>
          <w:b/>
          <w:i/>
          <w:iCs/>
          <w:sz w:val="24"/>
          <w:szCs w:val="24"/>
        </w:rPr>
        <w:t xml:space="preserve"> </w:t>
      </w:r>
      <w:r w:rsidRPr="008A0DE7">
        <w:rPr>
          <w:rFonts w:ascii="Times New Roman" w:hAnsi="Times New Roman"/>
          <w:b/>
          <w:sz w:val="24"/>
          <w:szCs w:val="24"/>
        </w:rPr>
        <w:t>5</w:t>
      </w:r>
      <w:r w:rsidRPr="008A0DE7">
        <w:rPr>
          <w:rFonts w:ascii="Times New Roman" w:hAnsi="Times New Roman"/>
          <w:sz w:val="24"/>
          <w:szCs w:val="24"/>
        </w:rPr>
        <w:t>, pp. 11-21.</w:t>
      </w:r>
    </w:p>
    <w:p w:rsidR="00E93E99" w:rsidRDefault="00E93E99" w:rsidP="00E93E99">
      <w:pPr>
        <w:jc w:val="both"/>
        <w:rPr>
          <w:rFonts w:ascii="Times New Roman" w:hAnsi="Times New Roman"/>
          <w:bCs/>
          <w:sz w:val="24"/>
          <w:szCs w:val="24"/>
        </w:rPr>
      </w:pPr>
      <w:r w:rsidRPr="008A0DE7">
        <w:rPr>
          <w:rFonts w:ascii="Times New Roman" w:hAnsi="Times New Roman"/>
          <w:bCs/>
          <w:sz w:val="24"/>
          <w:szCs w:val="24"/>
          <w:lang w:val="en-US"/>
        </w:rPr>
        <w:t xml:space="preserve">Davis, S., Lukomnik, J. and Pitt-Watson, D. (2006). </w:t>
      </w:r>
      <w:r w:rsidRPr="008A0DE7">
        <w:rPr>
          <w:rFonts w:ascii="Times New Roman" w:hAnsi="Times New Roman"/>
          <w:sz w:val="24"/>
          <w:szCs w:val="24"/>
        </w:rPr>
        <w:t>‘</w:t>
      </w:r>
      <w:r w:rsidRPr="008A0DE7">
        <w:rPr>
          <w:rFonts w:ascii="Times New Roman" w:hAnsi="Times New Roman"/>
          <w:bCs/>
          <w:i/>
          <w:iCs/>
          <w:sz w:val="24"/>
          <w:szCs w:val="24"/>
          <w:lang w:val="en-US"/>
        </w:rPr>
        <w:t>The New Capitalists: How Citizen Investors are Reshaping the Corporate Agenda.</w:t>
      </w:r>
      <w:r w:rsidRPr="008A0DE7">
        <w:rPr>
          <w:rFonts w:ascii="Times New Roman" w:hAnsi="Times New Roman"/>
          <w:sz w:val="24"/>
          <w:szCs w:val="24"/>
        </w:rPr>
        <w:t>’</w:t>
      </w:r>
      <w:r w:rsidRPr="008A0DE7">
        <w:rPr>
          <w:rFonts w:ascii="Times New Roman" w:hAnsi="Times New Roman"/>
          <w:bCs/>
          <w:i/>
          <w:iCs/>
          <w:sz w:val="24"/>
          <w:szCs w:val="24"/>
          <w:lang w:val="en-US"/>
        </w:rPr>
        <w:t xml:space="preserve"> </w:t>
      </w:r>
      <w:r w:rsidRPr="008A0DE7">
        <w:rPr>
          <w:rFonts w:ascii="Times New Roman" w:hAnsi="Times New Roman"/>
          <w:bCs/>
          <w:sz w:val="24"/>
          <w:szCs w:val="24"/>
        </w:rPr>
        <w:t>Boston, Mass.: Harvard Business School Press.</w:t>
      </w:r>
    </w:p>
    <w:p w:rsidR="004E1442" w:rsidRPr="008A0DE7" w:rsidRDefault="004E1442" w:rsidP="00E93E99">
      <w:pPr>
        <w:jc w:val="both"/>
        <w:rPr>
          <w:rFonts w:ascii="Times New Roman" w:hAnsi="Times New Roman"/>
          <w:bCs/>
          <w:sz w:val="24"/>
          <w:szCs w:val="24"/>
        </w:rPr>
      </w:pPr>
      <w:r>
        <w:rPr>
          <w:rFonts w:ascii="Times New Roman" w:hAnsi="Times New Roman"/>
          <w:bCs/>
          <w:sz w:val="24"/>
          <w:szCs w:val="24"/>
        </w:rPr>
        <w:t>Doob, L.W. (</w:t>
      </w:r>
      <w:r w:rsidR="00014D99">
        <w:rPr>
          <w:rFonts w:ascii="Times New Roman" w:hAnsi="Times New Roman"/>
          <w:bCs/>
          <w:sz w:val="24"/>
          <w:szCs w:val="24"/>
        </w:rPr>
        <w:t xml:space="preserve">1971). ‘Patterning of Time’, New Heaven, CT: Yale University Press. </w:t>
      </w:r>
    </w:p>
    <w:p w:rsidR="00E93E99" w:rsidRPr="008A0DE7" w:rsidRDefault="00E93E99" w:rsidP="00E93E99">
      <w:pPr>
        <w:pStyle w:val="PlainText"/>
        <w:rPr>
          <w:rFonts w:ascii="Times New Roman" w:hAnsi="Times New Roman"/>
          <w:sz w:val="24"/>
          <w:szCs w:val="24"/>
        </w:rPr>
      </w:pPr>
      <w:r w:rsidRPr="008A0DE7">
        <w:rPr>
          <w:rFonts w:ascii="Times New Roman" w:hAnsi="Times New Roman"/>
          <w:sz w:val="24"/>
          <w:szCs w:val="24"/>
        </w:rPr>
        <w:t xml:space="preserve">Duggal, R, and James A. Millar. (1999). “Institutional Ownership and Firm Performance: The Case of Bidder Returns.” </w:t>
      </w:r>
      <w:r w:rsidRPr="008A0DE7">
        <w:rPr>
          <w:rFonts w:ascii="Times New Roman" w:hAnsi="Times New Roman"/>
          <w:i/>
          <w:sz w:val="24"/>
          <w:szCs w:val="24"/>
        </w:rPr>
        <w:t>Journal of Corporate Finance</w:t>
      </w:r>
      <w:r w:rsidRPr="008A0DE7">
        <w:rPr>
          <w:rFonts w:ascii="Times New Roman" w:hAnsi="Times New Roman"/>
          <w:sz w:val="24"/>
          <w:szCs w:val="24"/>
        </w:rPr>
        <w:t>,</w:t>
      </w:r>
      <w:r w:rsidRPr="008A0DE7">
        <w:rPr>
          <w:rFonts w:ascii="Times New Roman" w:hAnsi="Times New Roman"/>
          <w:b/>
          <w:sz w:val="24"/>
          <w:szCs w:val="24"/>
        </w:rPr>
        <w:t xml:space="preserve"> 5</w:t>
      </w:r>
      <w:r w:rsidRPr="008A0DE7">
        <w:rPr>
          <w:rFonts w:ascii="Times New Roman" w:hAnsi="Times New Roman"/>
          <w:sz w:val="24"/>
          <w:szCs w:val="24"/>
        </w:rPr>
        <w:t xml:space="preserve"> (2), pp. 103–117.</w:t>
      </w:r>
    </w:p>
    <w:p w:rsidR="00E93E99" w:rsidRPr="008A0DE7" w:rsidRDefault="00E93E99" w:rsidP="00E93E99">
      <w:pPr>
        <w:pStyle w:val="NormalWeb"/>
        <w:jc w:val="both"/>
      </w:pPr>
      <w:r w:rsidRPr="008A0DE7">
        <w:t xml:space="preserve">Eisenhardt, K.M. (1989). ‘Building Theories from Case Study Research’, </w:t>
      </w:r>
      <w:r w:rsidRPr="008A0DE7">
        <w:rPr>
          <w:bCs/>
          <w:i/>
          <w:iCs/>
        </w:rPr>
        <w:t>Academy of Management Review</w:t>
      </w:r>
      <w:r w:rsidRPr="008A0DE7">
        <w:t xml:space="preserve">, </w:t>
      </w:r>
      <w:r w:rsidRPr="008A0DE7">
        <w:rPr>
          <w:b/>
        </w:rPr>
        <w:t>14</w:t>
      </w:r>
      <w:r w:rsidRPr="008A0DE7">
        <w:t xml:space="preserve">, pp. 532-550. </w:t>
      </w:r>
    </w:p>
    <w:p w:rsidR="00E93E99" w:rsidRPr="008A0DE7" w:rsidRDefault="00E93E99" w:rsidP="00E93E99">
      <w:pPr>
        <w:jc w:val="both"/>
        <w:rPr>
          <w:rFonts w:ascii="Times New Roman" w:hAnsi="Times New Roman"/>
          <w:sz w:val="24"/>
          <w:szCs w:val="24"/>
        </w:rPr>
      </w:pPr>
      <w:r w:rsidRPr="008A0DE7">
        <w:rPr>
          <w:rFonts w:ascii="Times New Roman" w:hAnsi="Times New Roman"/>
          <w:bCs/>
          <w:sz w:val="24"/>
          <w:szCs w:val="24"/>
        </w:rPr>
        <w:t xml:space="preserve">Faccio, M. and Lasfer, A. (2000). </w:t>
      </w:r>
      <w:r w:rsidRPr="008A0DE7">
        <w:rPr>
          <w:rFonts w:ascii="Times New Roman" w:hAnsi="Times New Roman"/>
          <w:sz w:val="24"/>
          <w:szCs w:val="24"/>
        </w:rPr>
        <w:t xml:space="preserve">'Do Occupational Pension Funds Monitor companies in Which They Hold Large Stakes’. </w:t>
      </w:r>
      <w:r w:rsidRPr="008A0DE7">
        <w:rPr>
          <w:rFonts w:ascii="Times New Roman" w:hAnsi="Times New Roman"/>
          <w:i/>
          <w:sz w:val="24"/>
          <w:szCs w:val="24"/>
        </w:rPr>
        <w:t xml:space="preserve">Journal of Corporate Finance </w:t>
      </w:r>
      <w:r w:rsidRPr="00F506A6">
        <w:rPr>
          <w:rFonts w:ascii="Times New Roman" w:hAnsi="Times New Roman"/>
          <w:b/>
          <w:sz w:val="24"/>
          <w:szCs w:val="24"/>
        </w:rPr>
        <w:t>6</w:t>
      </w:r>
      <w:r w:rsidRPr="008A0DE7">
        <w:rPr>
          <w:rFonts w:ascii="Times New Roman" w:hAnsi="Times New Roman"/>
          <w:sz w:val="24"/>
          <w:szCs w:val="24"/>
        </w:rPr>
        <w:t>, pp. 71-110.</w:t>
      </w:r>
    </w:p>
    <w:p w:rsidR="00E93E99"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Fama, E.</w:t>
      </w:r>
      <w:r w:rsidRPr="008A0DE7">
        <w:rPr>
          <w:rFonts w:ascii="Times New Roman" w:hAnsi="Times New Roman"/>
          <w:sz w:val="24"/>
          <w:szCs w:val="24"/>
        </w:rPr>
        <w:t xml:space="preserve"> and </w:t>
      </w:r>
      <w:r w:rsidRPr="008A0DE7">
        <w:rPr>
          <w:rFonts w:ascii="Times New Roman" w:hAnsi="Times New Roman"/>
          <w:bCs/>
          <w:sz w:val="24"/>
          <w:szCs w:val="24"/>
        </w:rPr>
        <w:t>Jensen, M.</w:t>
      </w:r>
      <w:r w:rsidRPr="008A0DE7">
        <w:rPr>
          <w:rFonts w:ascii="Times New Roman" w:hAnsi="Times New Roman"/>
          <w:sz w:val="24"/>
          <w:szCs w:val="24"/>
        </w:rPr>
        <w:t xml:space="preserve"> (1983). ‘Separation of Ownership and Control’, </w:t>
      </w:r>
      <w:r w:rsidRPr="008A0DE7">
        <w:rPr>
          <w:rFonts w:ascii="Times New Roman" w:hAnsi="Times New Roman"/>
          <w:i/>
          <w:iCs/>
          <w:sz w:val="24"/>
          <w:szCs w:val="24"/>
        </w:rPr>
        <w:t>Journal of Law and Economics,</w:t>
      </w:r>
      <w:r w:rsidRPr="008A0DE7">
        <w:rPr>
          <w:rFonts w:ascii="Times New Roman" w:hAnsi="Times New Roman"/>
          <w:bCs/>
          <w:i/>
          <w:iCs/>
          <w:sz w:val="24"/>
          <w:szCs w:val="24"/>
        </w:rPr>
        <w:t xml:space="preserve"> </w:t>
      </w:r>
      <w:r w:rsidRPr="008A0DE7">
        <w:rPr>
          <w:rFonts w:ascii="Times New Roman" w:hAnsi="Times New Roman"/>
          <w:b/>
          <w:bCs/>
          <w:sz w:val="24"/>
          <w:szCs w:val="24"/>
        </w:rPr>
        <w:t>26</w:t>
      </w:r>
      <w:r w:rsidRPr="008A0DE7">
        <w:rPr>
          <w:rFonts w:ascii="Times New Roman" w:hAnsi="Times New Roman"/>
          <w:sz w:val="24"/>
          <w:szCs w:val="24"/>
        </w:rPr>
        <w:t>, pp. 301-325.</w:t>
      </w:r>
    </w:p>
    <w:p w:rsidR="00AB0333" w:rsidRPr="008A0DE7" w:rsidRDefault="00AB0333" w:rsidP="00E93E99">
      <w:pPr>
        <w:spacing w:line="240" w:lineRule="auto"/>
        <w:jc w:val="both"/>
        <w:rPr>
          <w:rFonts w:ascii="Times New Roman" w:hAnsi="Times New Roman"/>
          <w:sz w:val="24"/>
          <w:szCs w:val="24"/>
        </w:rPr>
      </w:pPr>
      <w:r>
        <w:rPr>
          <w:rFonts w:ascii="Times New Roman" w:hAnsi="Times New Roman"/>
          <w:sz w:val="24"/>
          <w:szCs w:val="24"/>
        </w:rPr>
        <w:t xml:space="preserve">Financial Conduct Authority (2016). ‘Asset Management Market Study’ [available at: </w:t>
      </w:r>
      <w:hyperlink r:id="rId14" w:history="1">
        <w:r w:rsidRPr="000F5CD4">
          <w:rPr>
            <w:rStyle w:val="Hyperlink"/>
            <w:rFonts w:ascii="Times New Roman" w:hAnsi="Times New Roman"/>
            <w:sz w:val="24"/>
            <w:szCs w:val="24"/>
          </w:rPr>
          <w:t>https://www.fca.org.uk/publications/market-studies/asset-management-market-study</w:t>
        </w:r>
      </w:hyperlink>
      <w:r>
        <w:rPr>
          <w:rFonts w:ascii="Times New Roman" w:hAnsi="Times New Roman"/>
          <w:sz w:val="24"/>
          <w:szCs w:val="24"/>
        </w:rPr>
        <w:t xml:space="preserve"> ] </w:t>
      </w:r>
    </w:p>
    <w:p w:rsidR="00E93E99" w:rsidRPr="008A0DE7" w:rsidRDefault="00E93E99" w:rsidP="00E93E99">
      <w:pPr>
        <w:jc w:val="both"/>
        <w:rPr>
          <w:rFonts w:ascii="Times New Roman" w:hAnsi="Times New Roman"/>
          <w:bCs/>
          <w:sz w:val="24"/>
          <w:szCs w:val="24"/>
        </w:rPr>
      </w:pPr>
      <w:r w:rsidRPr="008A0DE7">
        <w:rPr>
          <w:rFonts w:ascii="Times New Roman" w:hAnsi="Times New Roman"/>
          <w:bCs/>
          <w:sz w:val="24"/>
          <w:szCs w:val="24"/>
        </w:rPr>
        <w:t xml:space="preserve">Goergen, M. and L. Renneboog (2002). ‘10. Strong Managers and Passive Institutional Investors in the UK.’ </w:t>
      </w:r>
      <w:r w:rsidRPr="008A0DE7">
        <w:rPr>
          <w:rFonts w:ascii="Times New Roman" w:hAnsi="Times New Roman"/>
          <w:bCs/>
          <w:i/>
          <w:sz w:val="24"/>
          <w:szCs w:val="24"/>
        </w:rPr>
        <w:t>The Control of Corporate Europe</w:t>
      </w:r>
      <w:r w:rsidRPr="008A0DE7">
        <w:rPr>
          <w:rFonts w:ascii="Times New Roman" w:hAnsi="Times New Roman"/>
          <w:bCs/>
          <w:sz w:val="24"/>
          <w:szCs w:val="24"/>
        </w:rPr>
        <w:t xml:space="preserve"> </w:t>
      </w:r>
      <w:r w:rsidRPr="00F506A6">
        <w:rPr>
          <w:rFonts w:ascii="Times New Roman" w:hAnsi="Times New Roman"/>
          <w:b/>
          <w:bCs/>
          <w:sz w:val="24"/>
          <w:szCs w:val="24"/>
        </w:rPr>
        <w:t>1</w:t>
      </w:r>
      <w:r w:rsidRPr="008A0DE7">
        <w:rPr>
          <w:rFonts w:ascii="Times New Roman" w:hAnsi="Times New Roman"/>
          <w:bCs/>
          <w:sz w:val="24"/>
          <w:szCs w:val="24"/>
        </w:rPr>
        <w:t>, pp. 259-285.</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Goranova, M. and Ryan, L. V. (2014). ‘Shareholder Activism: A Multidisciplinary Review’. Journal of Management, </w:t>
      </w:r>
      <w:r w:rsidRPr="00F506A6">
        <w:rPr>
          <w:rFonts w:ascii="Times New Roman" w:hAnsi="Times New Roman"/>
          <w:b/>
          <w:sz w:val="24"/>
          <w:szCs w:val="24"/>
        </w:rPr>
        <w:t>40</w:t>
      </w:r>
      <w:r w:rsidRPr="008A0DE7">
        <w:rPr>
          <w:rFonts w:ascii="Times New Roman" w:hAnsi="Times New Roman"/>
          <w:sz w:val="24"/>
          <w:szCs w:val="24"/>
        </w:rPr>
        <w:t xml:space="preserve">, 5, pp. 1230-1268. </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Haldane, A.</w:t>
      </w:r>
      <w:r w:rsidRPr="008A0DE7">
        <w:rPr>
          <w:rFonts w:ascii="Times New Roman" w:hAnsi="Times New Roman"/>
          <w:sz w:val="24"/>
          <w:szCs w:val="24"/>
        </w:rPr>
        <w:t xml:space="preserve"> (2010). </w:t>
      </w:r>
      <w:r w:rsidRPr="008A0DE7">
        <w:rPr>
          <w:rFonts w:ascii="Times New Roman" w:hAnsi="Times New Roman"/>
          <w:i/>
          <w:iCs/>
          <w:sz w:val="24"/>
          <w:szCs w:val="24"/>
        </w:rPr>
        <w:t>Patience and Finance</w:t>
      </w:r>
      <w:r w:rsidRPr="008A0DE7">
        <w:rPr>
          <w:rFonts w:ascii="Times New Roman" w:hAnsi="Times New Roman"/>
          <w:sz w:val="24"/>
          <w:szCs w:val="24"/>
        </w:rPr>
        <w:t xml:space="preserve">. Oxford China Business Forum, Beijing.  </w:t>
      </w:r>
    </w:p>
    <w:p w:rsidR="00E93E99"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lastRenderedPageBreak/>
        <w:t xml:space="preserve">Haldane, A. and Davies, R. (2011), ‘The Short Long’, </w:t>
      </w:r>
      <w:r w:rsidRPr="008A0DE7">
        <w:rPr>
          <w:rFonts w:ascii="Times New Roman" w:hAnsi="Times New Roman"/>
          <w:i/>
          <w:sz w:val="24"/>
          <w:szCs w:val="24"/>
        </w:rPr>
        <w:t>29</w:t>
      </w:r>
      <w:r w:rsidRPr="008A0DE7">
        <w:rPr>
          <w:rFonts w:ascii="Times New Roman" w:hAnsi="Times New Roman"/>
          <w:i/>
          <w:sz w:val="24"/>
          <w:szCs w:val="24"/>
          <w:vertAlign w:val="superscript"/>
        </w:rPr>
        <w:t>th</w:t>
      </w:r>
      <w:r w:rsidRPr="008A0DE7">
        <w:rPr>
          <w:rFonts w:ascii="Times New Roman" w:hAnsi="Times New Roman"/>
          <w:i/>
          <w:sz w:val="24"/>
          <w:szCs w:val="24"/>
        </w:rPr>
        <w:t xml:space="preserve"> Société Universitaire Européene de Recherches Financiéres Colloquium: New Paradigms in Money and Finance?</w:t>
      </w:r>
      <w:r w:rsidRPr="008A0DE7">
        <w:rPr>
          <w:rFonts w:ascii="Times New Roman" w:hAnsi="Times New Roman"/>
          <w:sz w:val="24"/>
          <w:szCs w:val="24"/>
        </w:rPr>
        <w:t xml:space="preserve"> Brussels.  </w:t>
      </w:r>
    </w:p>
    <w:p w:rsidR="004E1442" w:rsidRPr="008A0DE7" w:rsidRDefault="004E1442" w:rsidP="00E93E99">
      <w:pPr>
        <w:spacing w:line="240" w:lineRule="auto"/>
        <w:jc w:val="both"/>
        <w:rPr>
          <w:rFonts w:ascii="Times New Roman" w:hAnsi="Times New Roman"/>
          <w:sz w:val="24"/>
          <w:szCs w:val="24"/>
        </w:rPr>
      </w:pPr>
      <w:r>
        <w:rPr>
          <w:rFonts w:ascii="Times New Roman" w:hAnsi="Times New Roman"/>
          <w:sz w:val="24"/>
          <w:szCs w:val="24"/>
        </w:rPr>
        <w:t xml:space="preserve">Hannan, M. T. and Freeman, J. (1984). ‘Structural Inertia and Organizational Change’, American Sociological Review, 149-154. </w:t>
      </w:r>
    </w:p>
    <w:p w:rsidR="00E93E99" w:rsidRPr="008A0DE7" w:rsidRDefault="00E93E99" w:rsidP="00E93E99">
      <w:pPr>
        <w:jc w:val="both"/>
        <w:rPr>
          <w:rFonts w:ascii="Times New Roman" w:hAnsi="Times New Roman"/>
          <w:bCs/>
          <w:sz w:val="24"/>
          <w:szCs w:val="24"/>
        </w:rPr>
      </w:pPr>
      <w:r w:rsidRPr="008A0DE7">
        <w:rPr>
          <w:rFonts w:ascii="Times New Roman" w:hAnsi="Times New Roman"/>
          <w:bCs/>
          <w:sz w:val="24"/>
          <w:szCs w:val="24"/>
        </w:rPr>
        <w:t xml:space="preserve">Hawley, J. and A. Williams (2000). "The Emergence of Universal Owners: Some Implications of Institutional Equity Ownership." </w:t>
      </w:r>
      <w:r w:rsidRPr="008A0DE7">
        <w:rPr>
          <w:rFonts w:ascii="Times New Roman" w:hAnsi="Times New Roman"/>
          <w:bCs/>
          <w:i/>
          <w:sz w:val="24"/>
          <w:szCs w:val="24"/>
        </w:rPr>
        <w:t>Challenge (05775132)</w:t>
      </w:r>
      <w:r w:rsidR="00F506A6">
        <w:rPr>
          <w:rFonts w:ascii="Times New Roman" w:hAnsi="Times New Roman"/>
          <w:bCs/>
          <w:i/>
          <w:sz w:val="24"/>
          <w:szCs w:val="24"/>
        </w:rPr>
        <w:t>,</w:t>
      </w:r>
      <w:r w:rsidRPr="008A0DE7">
        <w:rPr>
          <w:rFonts w:ascii="Times New Roman" w:hAnsi="Times New Roman"/>
          <w:bCs/>
          <w:sz w:val="24"/>
          <w:szCs w:val="24"/>
        </w:rPr>
        <w:t xml:space="preserve"> </w:t>
      </w:r>
      <w:r w:rsidRPr="00F506A6">
        <w:rPr>
          <w:rFonts w:ascii="Times New Roman" w:hAnsi="Times New Roman"/>
          <w:b/>
          <w:bCs/>
          <w:sz w:val="24"/>
          <w:szCs w:val="24"/>
        </w:rPr>
        <w:t>43</w:t>
      </w:r>
      <w:r w:rsidR="00F506A6">
        <w:rPr>
          <w:rFonts w:ascii="Times New Roman" w:hAnsi="Times New Roman"/>
          <w:bCs/>
          <w:sz w:val="24"/>
          <w:szCs w:val="24"/>
        </w:rPr>
        <w:t>,4,</w:t>
      </w:r>
      <w:r w:rsidRPr="008A0DE7">
        <w:rPr>
          <w:rFonts w:ascii="Times New Roman" w:hAnsi="Times New Roman"/>
          <w:bCs/>
          <w:sz w:val="24"/>
          <w:szCs w:val="24"/>
        </w:rPr>
        <w:t xml:space="preserve"> pp. 43-61.</w:t>
      </w:r>
    </w:p>
    <w:p w:rsidR="00E93E99" w:rsidRPr="008A0DE7" w:rsidRDefault="00E93E99" w:rsidP="00E93E99">
      <w:pPr>
        <w:jc w:val="both"/>
        <w:rPr>
          <w:rFonts w:ascii="Times New Roman" w:hAnsi="Times New Roman"/>
          <w:bCs/>
          <w:sz w:val="24"/>
          <w:szCs w:val="24"/>
        </w:rPr>
      </w:pPr>
      <w:r w:rsidRPr="008A0DE7">
        <w:rPr>
          <w:rFonts w:ascii="Times New Roman" w:hAnsi="Times New Roman"/>
          <w:bCs/>
          <w:sz w:val="24"/>
          <w:szCs w:val="24"/>
        </w:rPr>
        <w:t xml:space="preserve">Hebb, T. (2006). ‘The Economic Inefficiency of Secrecy: Pension Fund Investors’ Corporate Transparency Concerns.’ </w:t>
      </w:r>
      <w:r w:rsidRPr="008A0DE7">
        <w:rPr>
          <w:rFonts w:ascii="Times New Roman" w:hAnsi="Times New Roman"/>
          <w:bCs/>
          <w:i/>
          <w:sz w:val="24"/>
          <w:szCs w:val="24"/>
        </w:rPr>
        <w:t>Journal of Business Ethics</w:t>
      </w:r>
      <w:r w:rsidR="00F506A6">
        <w:rPr>
          <w:rFonts w:ascii="Times New Roman" w:hAnsi="Times New Roman"/>
          <w:bCs/>
          <w:i/>
          <w:sz w:val="24"/>
          <w:szCs w:val="24"/>
        </w:rPr>
        <w:t>,</w:t>
      </w:r>
      <w:r w:rsidRPr="008A0DE7">
        <w:rPr>
          <w:rFonts w:ascii="Times New Roman" w:hAnsi="Times New Roman"/>
          <w:bCs/>
          <w:sz w:val="24"/>
          <w:szCs w:val="24"/>
        </w:rPr>
        <w:t xml:space="preserve"> </w:t>
      </w:r>
      <w:r w:rsidRPr="00F506A6">
        <w:rPr>
          <w:rFonts w:ascii="Times New Roman" w:hAnsi="Times New Roman"/>
          <w:b/>
          <w:bCs/>
          <w:sz w:val="24"/>
          <w:szCs w:val="24"/>
        </w:rPr>
        <w:t>63</w:t>
      </w:r>
      <w:r w:rsidR="00F506A6">
        <w:rPr>
          <w:rFonts w:ascii="Times New Roman" w:hAnsi="Times New Roman"/>
          <w:bCs/>
          <w:sz w:val="24"/>
          <w:szCs w:val="24"/>
        </w:rPr>
        <w:t>,4</w:t>
      </w:r>
      <w:r w:rsidRPr="008A0DE7">
        <w:rPr>
          <w:rFonts w:ascii="Times New Roman" w:hAnsi="Times New Roman"/>
          <w:bCs/>
          <w:sz w:val="24"/>
          <w:szCs w:val="24"/>
        </w:rPr>
        <w:t>, pp. 385-405.</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Hellman, N. (2005). ‘Can We Expect Institutional Investors to Improve Corporate Governance?’,</w:t>
      </w:r>
      <w:r w:rsidRPr="008A0DE7">
        <w:rPr>
          <w:rFonts w:ascii="Times New Roman" w:hAnsi="Times New Roman"/>
          <w:i/>
          <w:iCs/>
          <w:sz w:val="24"/>
          <w:szCs w:val="24"/>
        </w:rPr>
        <w:t xml:space="preserve"> Scandinavian Journal of Management, </w:t>
      </w:r>
      <w:r w:rsidRPr="008A0DE7">
        <w:rPr>
          <w:rFonts w:ascii="Times New Roman" w:hAnsi="Times New Roman"/>
          <w:b/>
          <w:sz w:val="24"/>
          <w:szCs w:val="24"/>
        </w:rPr>
        <w:t>21</w:t>
      </w:r>
      <w:r w:rsidRPr="008A0DE7">
        <w:rPr>
          <w:rFonts w:ascii="Times New Roman" w:hAnsi="Times New Roman"/>
          <w:sz w:val="24"/>
          <w:szCs w:val="24"/>
        </w:rPr>
        <w:t>, pp. 293-327.</w:t>
      </w:r>
    </w:p>
    <w:p w:rsidR="00E93E99" w:rsidRPr="008A0DE7" w:rsidRDefault="00E93E99" w:rsidP="00E93E99">
      <w:pPr>
        <w:jc w:val="both"/>
        <w:rPr>
          <w:rFonts w:ascii="Times New Roman" w:hAnsi="Times New Roman"/>
          <w:bCs/>
          <w:sz w:val="24"/>
          <w:szCs w:val="24"/>
          <w:lang w:val="en-US"/>
        </w:rPr>
      </w:pPr>
      <w:r w:rsidRPr="008A0DE7">
        <w:rPr>
          <w:rFonts w:ascii="Times New Roman" w:hAnsi="Times New Roman"/>
          <w:bCs/>
          <w:sz w:val="24"/>
          <w:szCs w:val="24"/>
          <w:lang w:val="en-US"/>
        </w:rPr>
        <w:t xml:space="preserve">Hendry, J. Sanderson, P. Barker, R. and Roberts, J. (2004). </w:t>
      </w:r>
      <w:r w:rsidRPr="008A0DE7">
        <w:rPr>
          <w:rFonts w:ascii="Times New Roman" w:hAnsi="Times New Roman"/>
          <w:sz w:val="24"/>
          <w:szCs w:val="24"/>
        </w:rPr>
        <w:t>‘</w:t>
      </w:r>
      <w:r w:rsidRPr="008A0DE7">
        <w:rPr>
          <w:rFonts w:ascii="Times New Roman" w:hAnsi="Times New Roman"/>
          <w:bCs/>
          <w:sz w:val="24"/>
          <w:szCs w:val="24"/>
          <w:lang w:val="en-US"/>
        </w:rPr>
        <w:t>Responsible ownership, shareholder value and the new shareholder activism.</w:t>
      </w:r>
      <w:r w:rsidRPr="008A0DE7">
        <w:rPr>
          <w:rFonts w:ascii="Times New Roman" w:hAnsi="Times New Roman"/>
          <w:sz w:val="24"/>
          <w:szCs w:val="24"/>
        </w:rPr>
        <w:t>’</w:t>
      </w:r>
      <w:r w:rsidRPr="008A0DE7">
        <w:rPr>
          <w:rFonts w:ascii="Times New Roman" w:hAnsi="Times New Roman"/>
          <w:bCs/>
          <w:sz w:val="24"/>
          <w:szCs w:val="24"/>
          <w:lang w:val="en-US"/>
        </w:rPr>
        <w:t xml:space="preserve"> </w:t>
      </w:r>
      <w:r w:rsidRPr="008A0DE7">
        <w:rPr>
          <w:rFonts w:ascii="Times New Roman" w:hAnsi="Times New Roman"/>
          <w:bCs/>
          <w:i/>
          <w:iCs/>
          <w:sz w:val="24"/>
          <w:szCs w:val="24"/>
          <w:lang w:val="en-US"/>
        </w:rPr>
        <w:t xml:space="preserve">ESRC Centre for Business Research, </w:t>
      </w:r>
      <w:r w:rsidRPr="008A0DE7">
        <w:rPr>
          <w:rFonts w:ascii="Times New Roman" w:hAnsi="Times New Roman"/>
          <w:bCs/>
          <w:sz w:val="24"/>
          <w:szCs w:val="24"/>
          <w:lang w:val="en-US"/>
        </w:rPr>
        <w:t xml:space="preserve">University of Cambridge Working Paper No. 297. </w:t>
      </w:r>
    </w:p>
    <w:p w:rsidR="00E93E99" w:rsidRPr="008A0DE7" w:rsidRDefault="00E93E99" w:rsidP="00E93E99">
      <w:pPr>
        <w:spacing w:line="240" w:lineRule="auto"/>
        <w:jc w:val="both"/>
        <w:rPr>
          <w:rFonts w:ascii="Times New Roman" w:hAnsi="Times New Roman"/>
          <w:sz w:val="24"/>
          <w:szCs w:val="24"/>
          <w:lang w:val="en-US"/>
        </w:rPr>
      </w:pPr>
      <w:r w:rsidRPr="008A0DE7">
        <w:rPr>
          <w:rFonts w:ascii="Times New Roman" w:hAnsi="Times New Roman"/>
          <w:bCs/>
          <w:sz w:val="24"/>
          <w:szCs w:val="24"/>
          <w:lang w:val="en-US"/>
        </w:rPr>
        <w:t>Hendry, J. Sanderson, P. Barker, R.</w:t>
      </w:r>
      <w:r w:rsidRPr="008A0DE7">
        <w:rPr>
          <w:rFonts w:ascii="Times New Roman" w:hAnsi="Times New Roman"/>
          <w:sz w:val="24"/>
          <w:szCs w:val="24"/>
          <w:lang w:val="en-US"/>
        </w:rPr>
        <w:t xml:space="preserve"> and </w:t>
      </w:r>
      <w:r w:rsidRPr="008A0DE7">
        <w:rPr>
          <w:rFonts w:ascii="Times New Roman" w:hAnsi="Times New Roman"/>
          <w:bCs/>
          <w:sz w:val="24"/>
          <w:szCs w:val="24"/>
          <w:lang w:val="en-US"/>
        </w:rPr>
        <w:t>Roberts, J.</w:t>
      </w:r>
      <w:r w:rsidRPr="008A0DE7">
        <w:rPr>
          <w:rFonts w:ascii="Times New Roman" w:hAnsi="Times New Roman"/>
          <w:sz w:val="24"/>
          <w:szCs w:val="24"/>
          <w:lang w:val="en-US"/>
        </w:rPr>
        <w:t xml:space="preserve"> (2006). ‘Owners or Traders? Conceptualizations of Institutional Investors and Their Relationship With Corporate Managers’, </w:t>
      </w:r>
      <w:r w:rsidRPr="008A0DE7">
        <w:rPr>
          <w:rFonts w:ascii="Times New Roman" w:hAnsi="Times New Roman"/>
          <w:i/>
          <w:iCs/>
          <w:sz w:val="24"/>
          <w:szCs w:val="24"/>
          <w:lang w:val="en-US"/>
        </w:rPr>
        <w:t xml:space="preserve">Human Relations, </w:t>
      </w:r>
      <w:r w:rsidRPr="008A0DE7">
        <w:rPr>
          <w:rFonts w:ascii="Times New Roman" w:hAnsi="Times New Roman"/>
          <w:b/>
          <w:bCs/>
          <w:sz w:val="24"/>
          <w:szCs w:val="24"/>
          <w:lang w:val="en-US"/>
        </w:rPr>
        <w:t>59</w:t>
      </w:r>
      <w:r w:rsidRPr="008A0DE7">
        <w:rPr>
          <w:rFonts w:ascii="Times New Roman" w:hAnsi="Times New Roman"/>
          <w:sz w:val="24"/>
          <w:szCs w:val="24"/>
          <w:lang w:val="en-US"/>
        </w:rPr>
        <w:t>, pp. 1101-1132.</w:t>
      </w:r>
    </w:p>
    <w:p w:rsidR="00E93E99" w:rsidRPr="008A0DE7" w:rsidRDefault="00E93E99" w:rsidP="00E93E99">
      <w:pPr>
        <w:autoSpaceDE w:val="0"/>
        <w:autoSpaceDN w:val="0"/>
        <w:adjustRightInd w:val="0"/>
        <w:spacing w:line="240" w:lineRule="auto"/>
        <w:jc w:val="both"/>
        <w:rPr>
          <w:rFonts w:ascii="Times New Roman" w:hAnsi="Times New Roman"/>
          <w:smallCaps/>
          <w:sz w:val="24"/>
          <w:szCs w:val="24"/>
        </w:rPr>
      </w:pPr>
      <w:r w:rsidRPr="008A0DE7">
        <w:rPr>
          <w:rFonts w:ascii="Times New Roman" w:hAnsi="Times New Roman"/>
          <w:sz w:val="24"/>
          <w:szCs w:val="24"/>
        </w:rPr>
        <w:t xml:space="preserve">Hendry, J., Sanderson, P., Barker, R. and Roberts, J. (2007). ‘Responsible Ownership, Shareholder Value and the New Shareholder Activism’, </w:t>
      </w:r>
      <w:r w:rsidRPr="008A0DE7">
        <w:rPr>
          <w:rFonts w:ascii="Times New Roman" w:hAnsi="Times New Roman"/>
          <w:i/>
          <w:sz w:val="24"/>
          <w:szCs w:val="24"/>
        </w:rPr>
        <w:t>Competition and Change,</w:t>
      </w:r>
      <w:r w:rsidRPr="008A0DE7">
        <w:rPr>
          <w:rFonts w:ascii="Times New Roman" w:hAnsi="Times New Roman"/>
          <w:sz w:val="24"/>
          <w:szCs w:val="24"/>
        </w:rPr>
        <w:t xml:space="preserve"> </w:t>
      </w:r>
      <w:r w:rsidRPr="008A0DE7">
        <w:rPr>
          <w:rFonts w:ascii="Times New Roman" w:hAnsi="Times New Roman"/>
          <w:b/>
          <w:sz w:val="24"/>
          <w:szCs w:val="24"/>
        </w:rPr>
        <w:t>11</w:t>
      </w:r>
      <w:r w:rsidRPr="008A0DE7">
        <w:rPr>
          <w:rFonts w:ascii="Times New Roman" w:hAnsi="Times New Roman"/>
          <w:sz w:val="24"/>
          <w:szCs w:val="24"/>
        </w:rPr>
        <w:t>, pp. 223-240.</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Hirschman, A. O.</w:t>
      </w:r>
      <w:r w:rsidRPr="008A0DE7">
        <w:rPr>
          <w:rFonts w:ascii="Times New Roman" w:hAnsi="Times New Roman"/>
          <w:sz w:val="24"/>
          <w:szCs w:val="24"/>
        </w:rPr>
        <w:t xml:space="preserve"> (1970). </w:t>
      </w:r>
      <w:r w:rsidRPr="008A0DE7">
        <w:rPr>
          <w:rFonts w:ascii="Times New Roman" w:hAnsi="Times New Roman"/>
          <w:i/>
          <w:iCs/>
          <w:sz w:val="24"/>
          <w:szCs w:val="24"/>
        </w:rPr>
        <w:t>Exit, voice and loyalty: Responses to decline in firms, organizations, and states.</w:t>
      </w:r>
      <w:r w:rsidRPr="008A0DE7">
        <w:rPr>
          <w:rFonts w:ascii="Times New Roman" w:hAnsi="Times New Roman"/>
          <w:sz w:val="24"/>
          <w:szCs w:val="24"/>
        </w:rPr>
        <w:t xml:space="preserve"> Cambridge, Mass.: Harvard University Press.</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Jackson, G</w:t>
      </w:r>
      <w:r w:rsidRPr="008A0DE7">
        <w:rPr>
          <w:rFonts w:ascii="Times New Roman" w:hAnsi="Times New Roman"/>
          <w:sz w:val="24"/>
          <w:szCs w:val="24"/>
        </w:rPr>
        <w:t xml:space="preserve">. (2008). ‘A New Financial Capitalism? Explaining the Persistence of Exit over Voice in Contemporary Corporate Governance’,  </w:t>
      </w:r>
      <w:r w:rsidRPr="008A0DE7">
        <w:rPr>
          <w:rFonts w:ascii="Times New Roman" w:hAnsi="Times New Roman"/>
          <w:i/>
          <w:iCs/>
          <w:sz w:val="24"/>
          <w:szCs w:val="24"/>
        </w:rPr>
        <w:t xml:space="preserve">European Management Review, </w:t>
      </w:r>
      <w:r w:rsidRPr="008A0DE7">
        <w:rPr>
          <w:rFonts w:ascii="Times New Roman" w:hAnsi="Times New Roman"/>
          <w:b/>
          <w:bCs/>
          <w:sz w:val="24"/>
          <w:szCs w:val="24"/>
        </w:rPr>
        <w:t>5</w:t>
      </w:r>
      <w:r w:rsidRPr="008A0DE7">
        <w:rPr>
          <w:rFonts w:ascii="Times New Roman" w:hAnsi="Times New Roman"/>
          <w:sz w:val="24"/>
          <w:szCs w:val="24"/>
        </w:rPr>
        <w:t>, pp. 23-26.</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Jensen, M. C.</w:t>
      </w:r>
      <w:r w:rsidRPr="008A0DE7">
        <w:rPr>
          <w:rFonts w:ascii="Times New Roman" w:hAnsi="Times New Roman"/>
          <w:sz w:val="24"/>
          <w:szCs w:val="24"/>
        </w:rPr>
        <w:t xml:space="preserve"> and </w:t>
      </w:r>
      <w:r w:rsidRPr="008A0DE7">
        <w:rPr>
          <w:rFonts w:ascii="Times New Roman" w:hAnsi="Times New Roman"/>
          <w:bCs/>
          <w:sz w:val="24"/>
          <w:szCs w:val="24"/>
        </w:rPr>
        <w:t>Meckling, W. H.</w:t>
      </w:r>
      <w:r w:rsidRPr="008A0DE7">
        <w:rPr>
          <w:rFonts w:ascii="Times New Roman" w:hAnsi="Times New Roman"/>
          <w:sz w:val="24"/>
          <w:szCs w:val="24"/>
        </w:rPr>
        <w:t xml:space="preserve"> (1976). ‘Theory of the Firm: Managerial Behaviour, Agency Costs and Ownership Structure’,  </w:t>
      </w:r>
      <w:r w:rsidRPr="008A0DE7">
        <w:rPr>
          <w:rFonts w:ascii="Times New Roman" w:hAnsi="Times New Roman"/>
          <w:i/>
          <w:iCs/>
          <w:sz w:val="24"/>
          <w:szCs w:val="24"/>
        </w:rPr>
        <w:t>Journal of Financial Economics,</w:t>
      </w:r>
      <w:r w:rsidRPr="008A0DE7">
        <w:rPr>
          <w:rFonts w:ascii="Times New Roman" w:hAnsi="Times New Roman"/>
          <w:b/>
          <w:i/>
          <w:iCs/>
          <w:sz w:val="24"/>
          <w:szCs w:val="24"/>
        </w:rPr>
        <w:t xml:space="preserve"> </w:t>
      </w:r>
      <w:r w:rsidRPr="008A0DE7">
        <w:rPr>
          <w:rFonts w:ascii="Times New Roman" w:hAnsi="Times New Roman"/>
          <w:b/>
          <w:bCs/>
          <w:sz w:val="24"/>
          <w:szCs w:val="24"/>
        </w:rPr>
        <w:t>3</w:t>
      </w:r>
      <w:r w:rsidRPr="008A0DE7">
        <w:rPr>
          <w:rFonts w:ascii="Times New Roman" w:hAnsi="Times New Roman"/>
          <w:sz w:val="24"/>
          <w:szCs w:val="24"/>
        </w:rPr>
        <w:t>, pp. 305-360.</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Kahan, M. and Rock, E.</w:t>
      </w:r>
      <w:r w:rsidRPr="008A0DE7">
        <w:rPr>
          <w:rFonts w:ascii="Times New Roman" w:hAnsi="Times New Roman"/>
          <w:sz w:val="24"/>
          <w:szCs w:val="24"/>
        </w:rPr>
        <w:t xml:space="preserve"> (2007). ‘Hedge Funds in Corporate Governance and Corporate Control’, </w:t>
      </w:r>
      <w:r w:rsidRPr="008A0DE7">
        <w:rPr>
          <w:rFonts w:ascii="Times New Roman" w:hAnsi="Times New Roman"/>
          <w:i/>
          <w:iCs/>
          <w:sz w:val="24"/>
          <w:szCs w:val="24"/>
        </w:rPr>
        <w:t>University of Pennsylvania Law Review,</w:t>
      </w:r>
      <w:r w:rsidRPr="008A0DE7">
        <w:rPr>
          <w:rFonts w:ascii="Times New Roman" w:hAnsi="Times New Roman"/>
          <w:sz w:val="24"/>
          <w:szCs w:val="24"/>
        </w:rPr>
        <w:t xml:space="preserve"> </w:t>
      </w:r>
      <w:r w:rsidRPr="008A0DE7">
        <w:rPr>
          <w:rFonts w:ascii="Times New Roman" w:hAnsi="Times New Roman"/>
          <w:b/>
          <w:bCs/>
          <w:sz w:val="24"/>
          <w:szCs w:val="24"/>
        </w:rPr>
        <w:t>155</w:t>
      </w:r>
      <w:r w:rsidRPr="008A0DE7">
        <w:rPr>
          <w:rFonts w:ascii="Times New Roman" w:hAnsi="Times New Roman"/>
          <w:sz w:val="24"/>
          <w:szCs w:val="24"/>
        </w:rPr>
        <w:t>, pp. 1021-2007.</w:t>
      </w:r>
    </w:p>
    <w:p w:rsidR="00E93E99" w:rsidRPr="008A0DE7" w:rsidRDefault="00E93E99" w:rsidP="00E93E99">
      <w:pPr>
        <w:pStyle w:val="PlainText"/>
        <w:rPr>
          <w:rFonts w:ascii="Times New Roman" w:hAnsi="Times New Roman"/>
          <w:sz w:val="24"/>
          <w:szCs w:val="24"/>
        </w:rPr>
      </w:pPr>
      <w:r w:rsidRPr="008A0DE7">
        <w:rPr>
          <w:rFonts w:ascii="Times New Roman" w:hAnsi="Times New Roman"/>
          <w:sz w:val="24"/>
          <w:szCs w:val="24"/>
        </w:rPr>
        <w:t xml:space="preserve">Karpoff, J. M., Paul H. Malatesta, and Ralph A. Walking. (1996). “Corporate Governance and Shareholder Initiatives: Empirical Evidence.” </w:t>
      </w:r>
      <w:r w:rsidRPr="008A0DE7">
        <w:rPr>
          <w:rFonts w:ascii="Times New Roman" w:hAnsi="Times New Roman"/>
          <w:i/>
          <w:sz w:val="24"/>
          <w:szCs w:val="24"/>
        </w:rPr>
        <w:t>Journal of Financial Economics</w:t>
      </w:r>
      <w:r w:rsidRPr="008A0DE7">
        <w:rPr>
          <w:rFonts w:ascii="Times New Roman" w:hAnsi="Times New Roman"/>
          <w:sz w:val="24"/>
          <w:szCs w:val="24"/>
        </w:rPr>
        <w:t xml:space="preserve">, </w:t>
      </w:r>
      <w:r w:rsidRPr="008A0DE7">
        <w:rPr>
          <w:rFonts w:ascii="Times New Roman" w:hAnsi="Times New Roman"/>
          <w:b/>
          <w:sz w:val="24"/>
          <w:szCs w:val="24"/>
        </w:rPr>
        <w:t>42</w:t>
      </w:r>
      <w:r w:rsidRPr="008A0DE7">
        <w:rPr>
          <w:rFonts w:ascii="Times New Roman" w:hAnsi="Times New Roman"/>
          <w:sz w:val="24"/>
          <w:szCs w:val="24"/>
        </w:rPr>
        <w:t>(3), pp. 365–395.</w:t>
      </w:r>
    </w:p>
    <w:p w:rsidR="00E93E99" w:rsidRPr="008A0DE7" w:rsidRDefault="00E93E99" w:rsidP="00E93E99">
      <w:pPr>
        <w:pStyle w:val="PlainText"/>
        <w:rPr>
          <w:rFonts w:ascii="Times New Roman" w:hAnsi="Times New Roman"/>
          <w:sz w:val="24"/>
          <w:szCs w:val="24"/>
        </w:rPr>
      </w:pPr>
    </w:p>
    <w:p w:rsidR="00E93E99"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Lincoln, Y.S. and Guba, E.G. (1985). ‘</w:t>
      </w:r>
      <w:r w:rsidRPr="008A0DE7">
        <w:rPr>
          <w:rFonts w:ascii="Times New Roman" w:hAnsi="Times New Roman"/>
          <w:i/>
          <w:iCs/>
          <w:sz w:val="24"/>
          <w:szCs w:val="24"/>
        </w:rPr>
        <w:t xml:space="preserve">Naturalistic Inquiry’. </w:t>
      </w:r>
      <w:r w:rsidRPr="008A0DE7">
        <w:rPr>
          <w:rFonts w:ascii="Times New Roman" w:hAnsi="Times New Roman"/>
          <w:sz w:val="24"/>
          <w:szCs w:val="24"/>
        </w:rPr>
        <w:t>Beverly Hills, Ca: Sage.</w:t>
      </w:r>
    </w:p>
    <w:p w:rsidR="006A3F5D" w:rsidRDefault="006A3F5D" w:rsidP="00E93E99">
      <w:pPr>
        <w:spacing w:line="240" w:lineRule="auto"/>
        <w:jc w:val="both"/>
        <w:rPr>
          <w:rFonts w:ascii="Times New Roman" w:hAnsi="Times New Roman"/>
          <w:sz w:val="24"/>
          <w:szCs w:val="24"/>
        </w:rPr>
      </w:pPr>
      <w:r>
        <w:rPr>
          <w:rFonts w:ascii="Times New Roman" w:hAnsi="Times New Roman"/>
          <w:sz w:val="24"/>
          <w:szCs w:val="24"/>
        </w:rPr>
        <w:t xml:space="preserve">Loewenstein, J., Ocasio, W. and Jones, C. (2012). ‘Vocabularies and Vocabulary Structure: A New Approach to Linking Categories, Practices and Institutions’, The Academy of Management Annals, </w:t>
      </w:r>
      <w:r w:rsidRPr="006A3F5D">
        <w:rPr>
          <w:rFonts w:ascii="Times New Roman" w:hAnsi="Times New Roman"/>
          <w:b/>
          <w:sz w:val="24"/>
          <w:szCs w:val="24"/>
        </w:rPr>
        <w:t>1</w:t>
      </w:r>
      <w:r>
        <w:rPr>
          <w:rFonts w:ascii="Times New Roman" w:hAnsi="Times New Roman"/>
          <w:sz w:val="24"/>
          <w:szCs w:val="24"/>
        </w:rPr>
        <w:t xml:space="preserve">, pp.41-86. </w:t>
      </w:r>
    </w:p>
    <w:p w:rsidR="000A7337" w:rsidRPr="008A0DE7" w:rsidRDefault="000A7337" w:rsidP="00E93E99">
      <w:pPr>
        <w:spacing w:line="240" w:lineRule="auto"/>
        <w:jc w:val="both"/>
        <w:rPr>
          <w:rFonts w:ascii="Times New Roman" w:hAnsi="Times New Roman"/>
          <w:sz w:val="24"/>
          <w:szCs w:val="24"/>
        </w:rPr>
      </w:pPr>
      <w:r>
        <w:rPr>
          <w:rFonts w:ascii="Times New Roman" w:hAnsi="Times New Roman"/>
          <w:sz w:val="24"/>
          <w:szCs w:val="24"/>
        </w:rPr>
        <w:lastRenderedPageBreak/>
        <w:t xml:space="preserve">Mads, M., Popp, A., Suddaby, R and Wadhwani, D. (2015). ‘Special Issue on Uses of the Past: History and Memory in Organisations and Organizing’ </w:t>
      </w:r>
      <w:r w:rsidRPr="000A7337">
        <w:rPr>
          <w:rFonts w:ascii="Times New Roman" w:hAnsi="Times New Roman"/>
          <w:i/>
          <w:sz w:val="24"/>
          <w:szCs w:val="24"/>
        </w:rPr>
        <w:t>Organization Studies.</w:t>
      </w:r>
    </w:p>
    <w:p w:rsidR="00E93E99" w:rsidRDefault="00E93E99" w:rsidP="00E93E99">
      <w:pPr>
        <w:jc w:val="both"/>
        <w:rPr>
          <w:rFonts w:ascii="Times New Roman" w:hAnsi="Times New Roman"/>
          <w:bCs/>
          <w:sz w:val="24"/>
          <w:szCs w:val="24"/>
        </w:rPr>
      </w:pPr>
      <w:r w:rsidRPr="008A0DE7">
        <w:rPr>
          <w:rFonts w:ascii="Times New Roman" w:hAnsi="Times New Roman"/>
          <w:bCs/>
          <w:sz w:val="24"/>
          <w:szCs w:val="24"/>
        </w:rPr>
        <w:t>Martin, R., Casson, P. D. and Nisar, T. M. (2007). ‘</w:t>
      </w:r>
      <w:r w:rsidRPr="008A0DE7">
        <w:rPr>
          <w:rFonts w:ascii="Times New Roman" w:hAnsi="Times New Roman"/>
          <w:bCs/>
          <w:i/>
          <w:iCs/>
          <w:sz w:val="24"/>
          <w:szCs w:val="24"/>
        </w:rPr>
        <w:t xml:space="preserve">Investor Engagement: Investors and Management Practice Under Shareholder Value’. </w:t>
      </w:r>
      <w:r w:rsidRPr="008A0DE7">
        <w:rPr>
          <w:rFonts w:ascii="Times New Roman" w:hAnsi="Times New Roman"/>
          <w:bCs/>
          <w:sz w:val="24"/>
          <w:szCs w:val="24"/>
        </w:rPr>
        <w:t xml:space="preserve">Oxford University Press.  </w:t>
      </w:r>
    </w:p>
    <w:p w:rsidR="008E5173" w:rsidRDefault="00CA225D" w:rsidP="00E93E99">
      <w:pPr>
        <w:jc w:val="both"/>
        <w:rPr>
          <w:rFonts w:ascii="Times New Roman" w:hAnsi="Times New Roman"/>
          <w:i/>
          <w:color w:val="000000"/>
          <w:sz w:val="24"/>
          <w:szCs w:val="24"/>
        </w:rPr>
      </w:pPr>
      <w:r>
        <w:rPr>
          <w:rStyle w:val="journaltitle3"/>
          <w:rFonts w:ascii="Times New Roman" w:hAnsi="Times New Roman"/>
          <w:i w:val="0"/>
          <w:color w:val="000000"/>
          <w:sz w:val="24"/>
          <w:szCs w:val="24"/>
        </w:rPr>
        <w:t>McNulty, T. and Nordberg, D. (2016</w:t>
      </w:r>
      <w:r w:rsidR="008E5173" w:rsidRPr="008E5173">
        <w:rPr>
          <w:rStyle w:val="journaltitle3"/>
          <w:rFonts w:ascii="Times New Roman" w:hAnsi="Times New Roman"/>
          <w:i w:val="0"/>
          <w:color w:val="000000"/>
          <w:sz w:val="24"/>
          <w:szCs w:val="24"/>
        </w:rPr>
        <w:t>), ‘</w:t>
      </w:r>
      <w:r w:rsidR="008E5173" w:rsidRPr="008E5173">
        <w:rPr>
          <w:rStyle w:val="Emphasis"/>
          <w:rFonts w:ascii="Times New Roman" w:hAnsi="Times New Roman"/>
          <w:i w:val="0"/>
          <w:color w:val="000000"/>
          <w:sz w:val="24"/>
          <w:szCs w:val="24"/>
        </w:rPr>
        <w:t>Ownership, activism and engagement: Institutional investors as active owners’</w:t>
      </w:r>
      <w:r w:rsidR="008E5173" w:rsidRPr="008E5173">
        <w:rPr>
          <w:rStyle w:val="Emphasis"/>
          <w:rFonts w:ascii="Times New Roman" w:hAnsi="Times New Roman"/>
          <w:color w:val="000000"/>
          <w:sz w:val="24"/>
          <w:szCs w:val="24"/>
        </w:rPr>
        <w:t>.</w:t>
      </w:r>
      <w:r w:rsidR="008E5173" w:rsidRPr="008E5173">
        <w:rPr>
          <w:rFonts w:ascii="Times New Roman" w:hAnsi="Times New Roman"/>
          <w:color w:val="000000"/>
          <w:sz w:val="24"/>
          <w:szCs w:val="24"/>
        </w:rPr>
        <w:t xml:space="preserve"> </w:t>
      </w:r>
      <w:r w:rsidR="008E5173" w:rsidRPr="008E5173">
        <w:rPr>
          <w:rFonts w:ascii="Times New Roman" w:hAnsi="Times New Roman"/>
          <w:i/>
          <w:color w:val="000000"/>
          <w:sz w:val="24"/>
          <w:szCs w:val="24"/>
        </w:rPr>
        <w:t>Corporate Governance: An International Review</w:t>
      </w:r>
      <w:r w:rsidR="008E5173" w:rsidRPr="00CA225D">
        <w:rPr>
          <w:rFonts w:ascii="Times New Roman" w:hAnsi="Times New Roman"/>
          <w:i/>
          <w:sz w:val="24"/>
          <w:szCs w:val="24"/>
        </w:rPr>
        <w:t xml:space="preserve">, </w:t>
      </w:r>
      <w:r w:rsidRPr="00CA225D">
        <w:rPr>
          <w:rStyle w:val="HTMLCite"/>
          <w:rFonts w:ascii="Times New Roman" w:hAnsi="Times New Roman"/>
          <w:sz w:val="24"/>
          <w:szCs w:val="24"/>
          <w:lang w:val="en"/>
        </w:rPr>
        <w:t>24, 3 pp. 346-358.</w:t>
      </w:r>
    </w:p>
    <w:p w:rsidR="006A3F5D" w:rsidRPr="006A3F5D" w:rsidRDefault="006A3F5D" w:rsidP="00E93E99">
      <w:pPr>
        <w:jc w:val="both"/>
        <w:rPr>
          <w:rFonts w:ascii="Times New Roman" w:hAnsi="Times New Roman"/>
          <w:iCs/>
          <w:color w:val="000000"/>
          <w:sz w:val="24"/>
          <w:szCs w:val="24"/>
        </w:rPr>
      </w:pPr>
      <w:r w:rsidRPr="006A3F5D">
        <w:rPr>
          <w:rFonts w:ascii="Times New Roman" w:hAnsi="Times New Roman"/>
          <w:color w:val="000000"/>
          <w:sz w:val="24"/>
          <w:szCs w:val="24"/>
        </w:rPr>
        <w:t>Meyer, J.W.</w:t>
      </w:r>
      <w:r>
        <w:rPr>
          <w:rFonts w:ascii="Times New Roman" w:hAnsi="Times New Roman"/>
          <w:color w:val="000000"/>
          <w:sz w:val="24"/>
          <w:szCs w:val="24"/>
        </w:rPr>
        <w:t xml:space="preserve"> and Rowan, B. (1977). ‘Institutional Organisations: Formal Structure as Myth and Ceremony’, American Journal of Sociology, 83, pp. 340-364. </w:t>
      </w:r>
    </w:p>
    <w:p w:rsidR="006A3F5D" w:rsidRDefault="006A3F5D" w:rsidP="00E93E99">
      <w:pPr>
        <w:spacing w:line="240" w:lineRule="auto"/>
        <w:jc w:val="both"/>
        <w:rPr>
          <w:rFonts w:ascii="Times New Roman" w:hAnsi="Times New Roman"/>
          <w:sz w:val="24"/>
          <w:szCs w:val="24"/>
        </w:rPr>
      </w:pPr>
      <w:r w:rsidRPr="008A0DE7">
        <w:rPr>
          <w:rFonts w:ascii="Times New Roman" w:hAnsi="Times New Roman"/>
          <w:sz w:val="24"/>
          <w:szCs w:val="24"/>
        </w:rPr>
        <w:t>Mills, W. C</w:t>
      </w:r>
      <w:r>
        <w:rPr>
          <w:rFonts w:ascii="Times New Roman" w:hAnsi="Times New Roman"/>
          <w:sz w:val="24"/>
          <w:szCs w:val="24"/>
        </w:rPr>
        <w:t xml:space="preserve">. (1939). ‘Language, Logic and Culture’, American Sociological Review, </w:t>
      </w:r>
      <w:r w:rsidRPr="006A3F5D">
        <w:rPr>
          <w:rFonts w:ascii="Times New Roman" w:hAnsi="Times New Roman"/>
          <w:b/>
          <w:sz w:val="24"/>
          <w:szCs w:val="24"/>
        </w:rPr>
        <w:t>5</w:t>
      </w:r>
      <w:r>
        <w:rPr>
          <w:rFonts w:ascii="Times New Roman" w:hAnsi="Times New Roman"/>
          <w:sz w:val="24"/>
          <w:szCs w:val="24"/>
        </w:rPr>
        <w:t>, pp. 670-680.</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Mills, W. C. (1940). ‘Situated Actions and Vocabularies of Motive’, </w:t>
      </w:r>
      <w:r w:rsidRPr="008A0DE7">
        <w:rPr>
          <w:rFonts w:ascii="Times New Roman" w:hAnsi="Times New Roman"/>
          <w:i/>
          <w:sz w:val="24"/>
          <w:szCs w:val="24"/>
        </w:rPr>
        <w:t>American Sociological Review</w:t>
      </w:r>
      <w:r w:rsidRPr="008A0DE7">
        <w:rPr>
          <w:rFonts w:ascii="Times New Roman" w:hAnsi="Times New Roman"/>
          <w:sz w:val="24"/>
          <w:szCs w:val="24"/>
        </w:rPr>
        <w:t xml:space="preserve">, </w:t>
      </w:r>
      <w:r w:rsidRPr="00F506A6">
        <w:rPr>
          <w:rFonts w:ascii="Times New Roman" w:hAnsi="Times New Roman"/>
          <w:b/>
          <w:sz w:val="24"/>
          <w:szCs w:val="24"/>
        </w:rPr>
        <w:t>5</w:t>
      </w:r>
      <w:r w:rsidR="00F506A6">
        <w:rPr>
          <w:rFonts w:ascii="Times New Roman" w:hAnsi="Times New Roman"/>
          <w:sz w:val="24"/>
          <w:szCs w:val="24"/>
        </w:rPr>
        <w:t>, 6</w:t>
      </w:r>
      <w:r w:rsidRPr="008A0DE7">
        <w:rPr>
          <w:rFonts w:ascii="Times New Roman" w:hAnsi="Times New Roman"/>
          <w:sz w:val="24"/>
          <w:szCs w:val="24"/>
        </w:rPr>
        <w:t xml:space="preserve">, pp, 904-913. </w:t>
      </w:r>
    </w:p>
    <w:p w:rsidR="00E93E99" w:rsidRPr="008A0DE7" w:rsidRDefault="00E93E99" w:rsidP="00E93E99">
      <w:pPr>
        <w:spacing w:line="240" w:lineRule="auto"/>
        <w:jc w:val="both"/>
        <w:rPr>
          <w:rFonts w:ascii="Times New Roman" w:hAnsi="Times New Roman"/>
          <w:sz w:val="24"/>
          <w:szCs w:val="24"/>
          <w:lang w:val="en-US"/>
        </w:rPr>
      </w:pPr>
      <w:r w:rsidRPr="008A0DE7">
        <w:rPr>
          <w:rFonts w:ascii="Times New Roman" w:hAnsi="Times New Roman"/>
          <w:bCs/>
          <w:sz w:val="24"/>
          <w:szCs w:val="24"/>
          <w:lang w:val="en-US"/>
        </w:rPr>
        <w:t>Myners Report</w:t>
      </w:r>
      <w:r w:rsidRPr="008A0DE7">
        <w:rPr>
          <w:rFonts w:ascii="Times New Roman" w:hAnsi="Times New Roman"/>
          <w:sz w:val="24"/>
          <w:szCs w:val="24"/>
          <w:lang w:val="en-US"/>
        </w:rPr>
        <w:t xml:space="preserve"> (2001). </w:t>
      </w:r>
      <w:r w:rsidRPr="008A0DE7">
        <w:rPr>
          <w:rFonts w:ascii="Times New Roman" w:hAnsi="Times New Roman"/>
          <w:i/>
          <w:iCs/>
          <w:sz w:val="24"/>
          <w:szCs w:val="24"/>
          <w:lang w:val="en-US"/>
        </w:rPr>
        <w:t>Institutional Investment in the United Kingdom: A Review.</w:t>
      </w:r>
      <w:r w:rsidRPr="008A0DE7">
        <w:rPr>
          <w:rFonts w:ascii="Times New Roman" w:hAnsi="Times New Roman"/>
          <w:sz w:val="24"/>
          <w:szCs w:val="24"/>
          <w:lang w:val="en-US"/>
        </w:rPr>
        <w:t xml:space="preserve"> London: HM Treasury, United Kingdom.</w:t>
      </w:r>
    </w:p>
    <w:p w:rsidR="00E93E99" w:rsidRDefault="00E93E99" w:rsidP="00E93E99">
      <w:pPr>
        <w:spacing w:line="240" w:lineRule="auto"/>
        <w:jc w:val="both"/>
        <w:rPr>
          <w:rFonts w:ascii="Times New Roman" w:hAnsi="Times New Roman"/>
          <w:sz w:val="24"/>
          <w:szCs w:val="24"/>
          <w:lang w:val="en-US"/>
        </w:rPr>
      </w:pPr>
      <w:r w:rsidRPr="008A0DE7">
        <w:rPr>
          <w:rFonts w:ascii="Times New Roman" w:hAnsi="Times New Roman"/>
          <w:sz w:val="24"/>
          <w:szCs w:val="24"/>
          <w:lang w:val="en-US"/>
        </w:rPr>
        <w:t xml:space="preserve">NAPF (2014). ‘NAPF Engagement Survey: Pension Fund Engagement with Investee Companies’, [available at: </w:t>
      </w:r>
      <w:hyperlink r:id="rId15" w:history="1">
        <w:r w:rsidRPr="008A0DE7">
          <w:rPr>
            <w:rStyle w:val="Hyperlink"/>
            <w:rFonts w:ascii="Times New Roman" w:hAnsi="Times New Roman"/>
            <w:sz w:val="24"/>
            <w:szCs w:val="24"/>
            <w:lang w:val="en-US"/>
          </w:rPr>
          <w:t>http://www.plsa.co.uk/PolicyandResearch/DocumentLibrary/~/media/Policy/Documents/0412_NAPF_engagement_survey_2014.pdf</w:t>
        </w:r>
      </w:hyperlink>
      <w:r w:rsidRPr="008A0DE7">
        <w:rPr>
          <w:rFonts w:ascii="Times New Roman" w:hAnsi="Times New Roman"/>
          <w:sz w:val="24"/>
          <w:szCs w:val="24"/>
          <w:lang w:val="en-US"/>
        </w:rPr>
        <w:t xml:space="preserve">] </w:t>
      </w:r>
    </w:p>
    <w:p w:rsidR="000A7337" w:rsidRDefault="0028514C" w:rsidP="00E93E99">
      <w:pPr>
        <w:spacing w:line="240" w:lineRule="auto"/>
        <w:jc w:val="both"/>
        <w:rPr>
          <w:rFonts w:ascii="Times New Roman" w:hAnsi="Times New Roman"/>
          <w:sz w:val="24"/>
          <w:szCs w:val="24"/>
          <w:lang w:val="en-US"/>
        </w:rPr>
      </w:pPr>
      <w:r>
        <w:rPr>
          <w:rFonts w:ascii="Times New Roman" w:hAnsi="Times New Roman"/>
          <w:sz w:val="24"/>
          <w:szCs w:val="24"/>
          <w:lang w:val="en-US"/>
        </w:rPr>
        <w:t>Nelson, R.R. and Winter, S. (1982). ‘</w:t>
      </w:r>
      <w:r w:rsidRPr="0028514C">
        <w:rPr>
          <w:rFonts w:ascii="Times New Roman" w:hAnsi="Times New Roman"/>
          <w:i/>
          <w:sz w:val="24"/>
          <w:szCs w:val="24"/>
          <w:lang w:val="en-US"/>
        </w:rPr>
        <w:t>Evolutionary Theory of Economic Change’</w:t>
      </w:r>
      <w:r>
        <w:rPr>
          <w:rFonts w:ascii="Times New Roman" w:hAnsi="Times New Roman"/>
          <w:sz w:val="24"/>
          <w:szCs w:val="24"/>
          <w:lang w:val="en-US"/>
        </w:rPr>
        <w:t xml:space="preserve">. Harvard University Press. </w:t>
      </w:r>
    </w:p>
    <w:p w:rsidR="002A4F34" w:rsidRDefault="002A4F34" w:rsidP="002A4F34">
      <w:pPr>
        <w:spacing w:after="0" w:line="240" w:lineRule="auto"/>
        <w:jc w:val="both"/>
        <w:rPr>
          <w:rFonts w:ascii="Times New Roman" w:hAnsi="Times New Roman"/>
          <w:iCs/>
          <w:sz w:val="24"/>
          <w:szCs w:val="24"/>
          <w:lang w:val="en" w:eastAsia="zh-CN"/>
        </w:rPr>
      </w:pPr>
      <w:r w:rsidRPr="003542EA">
        <w:rPr>
          <w:rFonts w:ascii="Times New Roman" w:hAnsi="Times New Roman"/>
          <w:iCs/>
          <w:sz w:val="24"/>
          <w:szCs w:val="24"/>
          <w:lang w:val="en" w:eastAsia="zh-CN"/>
        </w:rPr>
        <w:t xml:space="preserve">Nordberg, D and McNulty, T (2013), ‘Creating better boards through codification: Possibilities and limitations in UK corporate governance 1992-2010’, Business History, </w:t>
      </w:r>
      <w:r w:rsidRPr="002A4F34">
        <w:rPr>
          <w:rFonts w:ascii="Times New Roman" w:hAnsi="Times New Roman"/>
          <w:b/>
          <w:iCs/>
          <w:sz w:val="24"/>
          <w:szCs w:val="24"/>
          <w:lang w:val="en" w:eastAsia="zh-CN"/>
        </w:rPr>
        <w:t>55</w:t>
      </w:r>
      <w:r w:rsidRPr="003542EA">
        <w:rPr>
          <w:rFonts w:ascii="Times New Roman" w:hAnsi="Times New Roman"/>
          <w:iCs/>
          <w:sz w:val="24"/>
          <w:szCs w:val="24"/>
          <w:lang w:val="en" w:eastAsia="zh-CN"/>
        </w:rPr>
        <w:t xml:space="preserve"> (3). pp. 348-374.</w:t>
      </w:r>
    </w:p>
    <w:p w:rsidR="002A4F34" w:rsidRPr="002A4F34" w:rsidRDefault="002A4F34" w:rsidP="002A4F34">
      <w:pPr>
        <w:spacing w:after="0" w:line="240" w:lineRule="auto"/>
        <w:jc w:val="both"/>
        <w:rPr>
          <w:rFonts w:ascii="Times New Roman" w:hAnsi="Times New Roman"/>
          <w:iCs/>
          <w:sz w:val="24"/>
          <w:szCs w:val="24"/>
          <w:lang w:val="en" w:eastAsia="zh-CN"/>
        </w:rPr>
      </w:pPr>
    </w:p>
    <w:p w:rsidR="00E93E99" w:rsidRPr="008A0DE7" w:rsidRDefault="00E93E99" w:rsidP="00E93E99">
      <w:pPr>
        <w:jc w:val="both"/>
        <w:rPr>
          <w:rFonts w:ascii="Times New Roman" w:hAnsi="Times New Roman"/>
          <w:sz w:val="24"/>
          <w:szCs w:val="24"/>
          <w:lang w:val="en-US"/>
        </w:rPr>
      </w:pPr>
      <w:r w:rsidRPr="008A0DE7">
        <w:rPr>
          <w:rFonts w:ascii="Times New Roman" w:hAnsi="Times New Roman"/>
          <w:sz w:val="24"/>
          <w:szCs w:val="24"/>
          <w:lang w:val="en-US"/>
        </w:rPr>
        <w:t xml:space="preserve">Pension Funds Online </w:t>
      </w:r>
      <w:hyperlink r:id="rId16" w:history="1">
        <w:r w:rsidRPr="008A0DE7">
          <w:rPr>
            <w:rStyle w:val="Hyperlink"/>
            <w:rFonts w:ascii="Times New Roman" w:hAnsi="Times New Roman"/>
            <w:sz w:val="24"/>
            <w:szCs w:val="24"/>
            <w:lang w:val="en-US"/>
          </w:rPr>
          <w:t>http://www.pensionfundsonline.co.uk/</w:t>
        </w:r>
      </w:hyperlink>
      <w:r w:rsidRPr="008A0DE7">
        <w:rPr>
          <w:rFonts w:ascii="Times New Roman" w:hAnsi="Times New Roman"/>
          <w:sz w:val="24"/>
          <w:szCs w:val="24"/>
          <w:lang w:val="en-US"/>
        </w:rPr>
        <w:t xml:space="preserve">  [accessed November, 2007/ June 2010].</w:t>
      </w:r>
    </w:p>
    <w:p w:rsidR="00E93E99" w:rsidRPr="008A0DE7" w:rsidRDefault="00E93E99" w:rsidP="00E93E99">
      <w:pPr>
        <w:spacing w:line="240" w:lineRule="auto"/>
        <w:jc w:val="both"/>
        <w:rPr>
          <w:rFonts w:ascii="Times New Roman" w:hAnsi="Times New Roman"/>
          <w:color w:val="000000"/>
          <w:sz w:val="24"/>
          <w:szCs w:val="24"/>
        </w:rPr>
      </w:pPr>
      <w:r w:rsidRPr="008A0DE7">
        <w:rPr>
          <w:rFonts w:ascii="Times New Roman" w:hAnsi="Times New Roman"/>
          <w:color w:val="000000"/>
          <w:sz w:val="24"/>
          <w:szCs w:val="24"/>
        </w:rPr>
        <w:t xml:space="preserve">Pension Protection Fund Index 7800 (2012) </w:t>
      </w:r>
    </w:p>
    <w:p w:rsidR="00E93E99" w:rsidRPr="008A0DE7" w:rsidRDefault="00E93E99" w:rsidP="00E93E99">
      <w:pPr>
        <w:spacing w:line="240" w:lineRule="auto"/>
        <w:jc w:val="both"/>
        <w:rPr>
          <w:rFonts w:ascii="Times New Roman" w:hAnsi="Times New Roman"/>
          <w:sz w:val="24"/>
          <w:szCs w:val="24"/>
          <w:lang w:val="en-US"/>
        </w:rPr>
      </w:pPr>
      <w:r w:rsidRPr="008A0DE7">
        <w:rPr>
          <w:rFonts w:ascii="Times New Roman" w:hAnsi="Times New Roman"/>
          <w:color w:val="000000"/>
          <w:sz w:val="24"/>
          <w:szCs w:val="24"/>
        </w:rPr>
        <w:t xml:space="preserve">[available at: </w:t>
      </w:r>
      <w:hyperlink r:id="rId17" w:tgtFrame="_blank" w:history="1">
        <w:r w:rsidRPr="008A0DE7">
          <w:rPr>
            <w:rStyle w:val="Hyperlink"/>
            <w:rFonts w:ascii="Times New Roman" w:hAnsi="Times New Roman"/>
            <w:sz w:val="24"/>
            <w:szCs w:val="24"/>
          </w:rPr>
          <w:t>http://www.pensionprotectionfund.org.uk/DocumentLibrary/Documents/PPF_7800_January_13.pdf</w:t>
        </w:r>
      </w:hyperlink>
      <w:r w:rsidRPr="008A0DE7">
        <w:rPr>
          <w:rFonts w:ascii="Times New Roman" w:hAnsi="Times New Roman"/>
          <w:color w:val="000000"/>
          <w:sz w:val="24"/>
          <w:szCs w:val="24"/>
        </w:rPr>
        <w:t xml:space="preserve">] </w:t>
      </w:r>
    </w:p>
    <w:p w:rsidR="00E93E99" w:rsidRPr="008A0DE7" w:rsidRDefault="00E93E99" w:rsidP="00E93E99">
      <w:pPr>
        <w:spacing w:line="240" w:lineRule="auto"/>
        <w:rPr>
          <w:rFonts w:ascii="Times New Roman" w:hAnsi="Times New Roman"/>
          <w:color w:val="000000"/>
          <w:sz w:val="24"/>
          <w:szCs w:val="24"/>
        </w:rPr>
      </w:pPr>
      <w:r w:rsidRPr="008A0DE7">
        <w:rPr>
          <w:rFonts w:ascii="Times New Roman" w:hAnsi="Times New Roman"/>
          <w:color w:val="000000"/>
          <w:sz w:val="24"/>
          <w:szCs w:val="24"/>
        </w:rPr>
        <w:t>Plender, J. (2011). ‘</w:t>
      </w:r>
      <w:r w:rsidRPr="008A0DE7">
        <w:rPr>
          <w:rFonts w:ascii="Times New Roman" w:hAnsi="Times New Roman"/>
          <w:color w:val="000000"/>
          <w:sz w:val="24"/>
          <w:szCs w:val="24"/>
          <w:lang w:val="en"/>
        </w:rPr>
        <w:t xml:space="preserve">A Long History of Myopic Investing’, </w:t>
      </w:r>
      <w:r w:rsidRPr="008A0DE7">
        <w:rPr>
          <w:rFonts w:ascii="Times New Roman" w:hAnsi="Times New Roman"/>
          <w:i/>
          <w:color w:val="000000"/>
          <w:sz w:val="24"/>
          <w:szCs w:val="24"/>
          <w:lang w:val="en"/>
        </w:rPr>
        <w:t>Financial Times, 15 May</w:t>
      </w:r>
      <w:r w:rsidRPr="008A0DE7">
        <w:rPr>
          <w:rFonts w:ascii="Times New Roman" w:hAnsi="Times New Roman"/>
          <w:color w:val="000000"/>
          <w:sz w:val="24"/>
          <w:szCs w:val="24"/>
          <w:lang w:val="en"/>
        </w:rPr>
        <w:t xml:space="preserve"> [available at:  </w:t>
      </w:r>
      <w:hyperlink r:id="rId18" w:anchor="axzz3dEsRSSxi" w:history="1">
        <w:r w:rsidRPr="008A0DE7">
          <w:rPr>
            <w:rStyle w:val="Hyperlink"/>
            <w:rFonts w:ascii="Times New Roman" w:hAnsi="Times New Roman"/>
            <w:sz w:val="24"/>
            <w:szCs w:val="24"/>
          </w:rPr>
          <w:t>http://www.ft.com/cms/s/0/2d5a7732-7d8d-11e0-b418-00144feabdc0.html#axzz3dEsRSSxi</w:t>
        </w:r>
      </w:hyperlink>
      <w:r w:rsidRPr="008A0DE7">
        <w:rPr>
          <w:rFonts w:ascii="Times New Roman" w:hAnsi="Times New Roman"/>
          <w:color w:val="000000"/>
          <w:sz w:val="24"/>
          <w:szCs w:val="24"/>
        </w:rPr>
        <w:t>]</w:t>
      </w:r>
    </w:p>
    <w:p w:rsidR="00E93E99" w:rsidRPr="008A0DE7" w:rsidRDefault="00E93E99" w:rsidP="00E93E99">
      <w:pPr>
        <w:jc w:val="both"/>
        <w:rPr>
          <w:rFonts w:ascii="Times New Roman" w:hAnsi="Times New Roman"/>
          <w:sz w:val="24"/>
          <w:szCs w:val="24"/>
          <w:lang w:val="en-US"/>
        </w:rPr>
      </w:pPr>
      <w:r w:rsidRPr="008A0DE7">
        <w:rPr>
          <w:rFonts w:ascii="Times New Roman" w:hAnsi="Times New Roman"/>
          <w:sz w:val="24"/>
          <w:szCs w:val="24"/>
          <w:lang w:val="en-US"/>
        </w:rPr>
        <w:t>Potter, J. and Wetherell, M. (1987). ‘</w:t>
      </w:r>
      <w:r w:rsidRPr="008A0DE7">
        <w:rPr>
          <w:rFonts w:ascii="Times New Roman" w:hAnsi="Times New Roman"/>
          <w:i/>
          <w:sz w:val="24"/>
          <w:szCs w:val="24"/>
          <w:lang w:val="en-US"/>
        </w:rPr>
        <w:t>Discourse and Social Phycology: Beyond Attitudes and Behavior’</w:t>
      </w:r>
      <w:r w:rsidRPr="008A0DE7">
        <w:rPr>
          <w:rFonts w:ascii="Times New Roman" w:hAnsi="Times New Roman"/>
          <w:sz w:val="24"/>
          <w:szCs w:val="24"/>
          <w:lang w:val="en-US"/>
        </w:rPr>
        <w:t xml:space="preserve">, London, Sage. </w:t>
      </w:r>
    </w:p>
    <w:p w:rsidR="00E93E99" w:rsidRPr="008A0DE7" w:rsidRDefault="00E93E99" w:rsidP="00E93E99">
      <w:pPr>
        <w:pStyle w:val="PlainText"/>
        <w:rPr>
          <w:rFonts w:ascii="Times New Roman" w:hAnsi="Times New Roman"/>
          <w:sz w:val="24"/>
          <w:szCs w:val="24"/>
        </w:rPr>
      </w:pPr>
      <w:r w:rsidRPr="008A0DE7">
        <w:rPr>
          <w:rFonts w:ascii="Times New Roman" w:hAnsi="Times New Roman"/>
          <w:sz w:val="24"/>
          <w:szCs w:val="24"/>
        </w:rPr>
        <w:t xml:space="preserve">Romano, Roberta. (2000). </w:t>
      </w:r>
      <w:r w:rsidRPr="008A0DE7">
        <w:rPr>
          <w:rFonts w:ascii="Times New Roman" w:hAnsi="Times New Roman"/>
          <w:i/>
          <w:sz w:val="24"/>
          <w:szCs w:val="24"/>
        </w:rPr>
        <w:t>Less is More: Making Shareholder Activism a Valued Mechanism of Corporate Governance</w:t>
      </w:r>
      <w:r w:rsidRPr="008A0DE7">
        <w:rPr>
          <w:rFonts w:ascii="Times New Roman" w:hAnsi="Times New Roman"/>
          <w:sz w:val="24"/>
          <w:szCs w:val="24"/>
        </w:rPr>
        <w:t>. New Haven: Yale Law School, Yale International Centre for Finance and NBER.</w:t>
      </w:r>
    </w:p>
    <w:p w:rsidR="00E93E99" w:rsidRPr="008A0DE7" w:rsidRDefault="00E93E99" w:rsidP="00E93E99">
      <w:pPr>
        <w:pStyle w:val="PlainText"/>
        <w:rPr>
          <w:rFonts w:ascii="Times New Roman" w:hAnsi="Times New Roman"/>
          <w:sz w:val="24"/>
          <w:szCs w:val="24"/>
        </w:rPr>
      </w:pPr>
    </w:p>
    <w:p w:rsidR="00E93E99" w:rsidRPr="008A0DE7" w:rsidRDefault="00E93E99" w:rsidP="00E93E99">
      <w:pPr>
        <w:jc w:val="both"/>
        <w:rPr>
          <w:rFonts w:ascii="Times New Roman" w:hAnsi="Times New Roman"/>
          <w:sz w:val="24"/>
          <w:szCs w:val="24"/>
        </w:rPr>
      </w:pPr>
      <w:r w:rsidRPr="008A0DE7">
        <w:rPr>
          <w:rFonts w:ascii="Times New Roman" w:hAnsi="Times New Roman"/>
          <w:bCs/>
          <w:sz w:val="24"/>
          <w:szCs w:val="24"/>
          <w:lang w:val="en-US"/>
        </w:rPr>
        <w:t>Ryan, L.V. and Schneider, M. (2002). ‘</w:t>
      </w:r>
      <w:r w:rsidRPr="008A0DE7">
        <w:rPr>
          <w:rFonts w:ascii="Times New Roman" w:hAnsi="Times New Roman"/>
          <w:sz w:val="24"/>
          <w:szCs w:val="24"/>
        </w:rPr>
        <w:t xml:space="preserve">The Antecedents of Institutional Investor Activism’, </w:t>
      </w:r>
      <w:r w:rsidRPr="008A0DE7">
        <w:rPr>
          <w:rFonts w:ascii="Times New Roman" w:hAnsi="Times New Roman"/>
          <w:i/>
          <w:sz w:val="24"/>
          <w:szCs w:val="24"/>
        </w:rPr>
        <w:t xml:space="preserve">Academy of Management, </w:t>
      </w:r>
      <w:r w:rsidRPr="008A0DE7">
        <w:rPr>
          <w:rFonts w:ascii="Times New Roman" w:hAnsi="Times New Roman"/>
          <w:b/>
          <w:sz w:val="24"/>
          <w:szCs w:val="24"/>
        </w:rPr>
        <w:t>27</w:t>
      </w:r>
      <w:r w:rsidRPr="008A0DE7">
        <w:rPr>
          <w:rFonts w:ascii="Times New Roman" w:hAnsi="Times New Roman"/>
          <w:sz w:val="24"/>
          <w:szCs w:val="24"/>
        </w:rPr>
        <w:t xml:space="preserve">, pp. 554-573. </w:t>
      </w:r>
    </w:p>
    <w:p w:rsidR="00E93E99" w:rsidRDefault="00E93E99" w:rsidP="00E93E99">
      <w:pPr>
        <w:jc w:val="both"/>
        <w:rPr>
          <w:rFonts w:ascii="Times New Roman" w:hAnsi="Times New Roman"/>
          <w:sz w:val="24"/>
          <w:szCs w:val="24"/>
        </w:rPr>
      </w:pPr>
      <w:r w:rsidRPr="008A0DE7">
        <w:rPr>
          <w:rFonts w:ascii="Times New Roman" w:hAnsi="Times New Roman"/>
          <w:sz w:val="24"/>
          <w:szCs w:val="24"/>
        </w:rPr>
        <w:t xml:space="preserve">Scott, M. B. and Lyman, S. M. (1968). ‘Accounts’. </w:t>
      </w:r>
      <w:r w:rsidRPr="008A0DE7">
        <w:rPr>
          <w:rFonts w:ascii="Times New Roman" w:hAnsi="Times New Roman"/>
          <w:i/>
          <w:sz w:val="24"/>
          <w:szCs w:val="24"/>
        </w:rPr>
        <w:t>American Sociological Review</w:t>
      </w:r>
      <w:r w:rsidRPr="008A0DE7">
        <w:rPr>
          <w:rFonts w:ascii="Times New Roman" w:hAnsi="Times New Roman"/>
          <w:sz w:val="24"/>
          <w:szCs w:val="24"/>
        </w:rPr>
        <w:t xml:space="preserve">, </w:t>
      </w:r>
      <w:r w:rsidRPr="00F506A6">
        <w:rPr>
          <w:rFonts w:ascii="Times New Roman" w:hAnsi="Times New Roman"/>
          <w:b/>
          <w:sz w:val="24"/>
          <w:szCs w:val="24"/>
        </w:rPr>
        <w:t>23</w:t>
      </w:r>
      <w:r w:rsidRPr="008A0DE7">
        <w:rPr>
          <w:rFonts w:ascii="Times New Roman" w:hAnsi="Times New Roman"/>
          <w:sz w:val="24"/>
          <w:szCs w:val="24"/>
        </w:rPr>
        <w:t xml:space="preserve">, pp. 46-62. </w:t>
      </w:r>
    </w:p>
    <w:p w:rsidR="008A0442" w:rsidRDefault="008A0442" w:rsidP="00E93E99">
      <w:pPr>
        <w:jc w:val="both"/>
        <w:rPr>
          <w:rFonts w:ascii="Times New Roman" w:hAnsi="Times New Roman"/>
          <w:sz w:val="24"/>
          <w:szCs w:val="24"/>
        </w:rPr>
      </w:pPr>
      <w:r>
        <w:rPr>
          <w:rFonts w:ascii="Times New Roman" w:hAnsi="Times New Roman"/>
          <w:sz w:val="24"/>
          <w:szCs w:val="24"/>
        </w:rPr>
        <w:t xml:space="preserve">Schriber, J.B. (1985). ‘An exploratory study of the temporal dimensions of work organizations. Unpublished Doctoral Dissertation, The Claremont Graduate School, Claremont, CA. </w:t>
      </w:r>
    </w:p>
    <w:p w:rsidR="008A0442" w:rsidRPr="008A0DE7" w:rsidRDefault="008A0442" w:rsidP="008A0442">
      <w:pPr>
        <w:spacing w:before="240"/>
        <w:jc w:val="both"/>
        <w:rPr>
          <w:rFonts w:ascii="Times New Roman" w:hAnsi="Times New Roman"/>
          <w:sz w:val="24"/>
          <w:szCs w:val="24"/>
        </w:rPr>
      </w:pPr>
      <w:r>
        <w:rPr>
          <w:rFonts w:ascii="Times New Roman" w:hAnsi="Times New Roman"/>
          <w:sz w:val="24"/>
          <w:szCs w:val="24"/>
        </w:rPr>
        <w:t xml:space="preserve">Schriber, J. B. and Gutek, B. (1987). ‘Some Time Dimensions of Work: Measurement of an Underlying Aspect of Organization Culture’, </w:t>
      </w:r>
      <w:r w:rsidRPr="008A0442">
        <w:rPr>
          <w:rFonts w:ascii="Times New Roman" w:hAnsi="Times New Roman"/>
          <w:i/>
          <w:sz w:val="24"/>
          <w:szCs w:val="24"/>
        </w:rPr>
        <w:t>Journal of Applied Psychology</w:t>
      </w:r>
      <w:r>
        <w:rPr>
          <w:rFonts w:ascii="Times New Roman" w:hAnsi="Times New Roman"/>
          <w:sz w:val="24"/>
          <w:szCs w:val="24"/>
        </w:rPr>
        <w:t xml:space="preserve">, </w:t>
      </w:r>
      <w:r w:rsidRPr="00F506A6">
        <w:rPr>
          <w:rFonts w:ascii="Times New Roman" w:hAnsi="Times New Roman"/>
          <w:b/>
          <w:sz w:val="24"/>
          <w:szCs w:val="24"/>
        </w:rPr>
        <w:t>72</w:t>
      </w:r>
      <w:r>
        <w:rPr>
          <w:rFonts w:ascii="Times New Roman" w:hAnsi="Times New Roman"/>
          <w:sz w:val="24"/>
          <w:szCs w:val="24"/>
        </w:rPr>
        <w:t xml:space="preserve">, 4, pp. 642-650.  </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Shah, S.K.</w:t>
      </w:r>
      <w:r w:rsidRPr="008A0DE7">
        <w:rPr>
          <w:rFonts w:ascii="Times New Roman" w:hAnsi="Times New Roman"/>
          <w:sz w:val="24"/>
          <w:szCs w:val="24"/>
        </w:rPr>
        <w:t xml:space="preserve"> and </w:t>
      </w:r>
      <w:r w:rsidRPr="008A0DE7">
        <w:rPr>
          <w:rFonts w:ascii="Times New Roman" w:hAnsi="Times New Roman"/>
          <w:bCs/>
          <w:sz w:val="24"/>
          <w:szCs w:val="24"/>
        </w:rPr>
        <w:t>Corley, K. G.</w:t>
      </w:r>
      <w:r w:rsidRPr="008A0DE7">
        <w:rPr>
          <w:rFonts w:ascii="Times New Roman" w:hAnsi="Times New Roman"/>
          <w:sz w:val="24"/>
          <w:szCs w:val="24"/>
        </w:rPr>
        <w:t xml:space="preserve"> (2006). ‘Building Better Theory by Bridging the Quantitative-Qualitative Divide’, </w:t>
      </w:r>
      <w:r w:rsidRPr="008A0DE7">
        <w:rPr>
          <w:rFonts w:ascii="Times New Roman" w:hAnsi="Times New Roman"/>
          <w:i/>
          <w:iCs/>
          <w:sz w:val="24"/>
          <w:szCs w:val="24"/>
        </w:rPr>
        <w:t>Journal of Management Studies</w:t>
      </w:r>
      <w:r w:rsidRPr="008A0DE7">
        <w:rPr>
          <w:rFonts w:ascii="Times New Roman" w:hAnsi="Times New Roman"/>
          <w:sz w:val="24"/>
          <w:szCs w:val="24"/>
        </w:rPr>
        <w:t xml:space="preserve">, </w:t>
      </w:r>
      <w:r w:rsidRPr="008A0DE7">
        <w:rPr>
          <w:rFonts w:ascii="Times New Roman" w:hAnsi="Times New Roman"/>
          <w:b/>
          <w:bCs/>
          <w:sz w:val="24"/>
          <w:szCs w:val="24"/>
        </w:rPr>
        <w:t>48</w:t>
      </w:r>
      <w:r w:rsidRPr="008A0DE7">
        <w:rPr>
          <w:rFonts w:ascii="Times New Roman" w:hAnsi="Times New Roman"/>
          <w:sz w:val="24"/>
          <w:szCs w:val="24"/>
        </w:rPr>
        <w:t xml:space="preserve">, pp. 1821-1835. </w:t>
      </w:r>
    </w:p>
    <w:p w:rsidR="00E93E99"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ShareAction. (2015). </w:t>
      </w:r>
      <w:r w:rsidRPr="008A0DE7">
        <w:rPr>
          <w:rFonts w:ascii="Times New Roman" w:hAnsi="Times New Roman"/>
          <w:i/>
          <w:sz w:val="24"/>
          <w:szCs w:val="24"/>
        </w:rPr>
        <w:t>‘Asset Manager Voting Practices: In Whose Interests?’</w:t>
      </w:r>
      <w:r w:rsidRPr="008A0DE7">
        <w:rPr>
          <w:rFonts w:ascii="Times New Roman" w:hAnsi="Times New Roman"/>
          <w:sz w:val="24"/>
          <w:szCs w:val="24"/>
        </w:rPr>
        <w:t xml:space="preserve"> Survey of 2014’s AGM Season. [available at: </w:t>
      </w:r>
      <w:hyperlink r:id="rId19" w:history="1">
        <w:r w:rsidRPr="008A0DE7">
          <w:rPr>
            <w:rStyle w:val="Hyperlink"/>
            <w:rFonts w:ascii="Times New Roman" w:hAnsi="Times New Roman"/>
            <w:sz w:val="24"/>
            <w:szCs w:val="24"/>
          </w:rPr>
          <w:t>http://action.shareaction.org/page/-/AssetManagerVotingPracticesFinal.pdf?nocdn=1</w:t>
        </w:r>
      </w:hyperlink>
      <w:r w:rsidRPr="008A0DE7">
        <w:rPr>
          <w:rFonts w:ascii="Times New Roman" w:hAnsi="Times New Roman"/>
          <w:sz w:val="24"/>
          <w:szCs w:val="24"/>
        </w:rPr>
        <w:t xml:space="preserve">] </w:t>
      </w:r>
    </w:p>
    <w:p w:rsidR="004E1442" w:rsidRPr="008A0DE7" w:rsidRDefault="004E1442" w:rsidP="00E93E99">
      <w:pPr>
        <w:spacing w:line="240" w:lineRule="auto"/>
        <w:jc w:val="both"/>
        <w:rPr>
          <w:rFonts w:ascii="Times New Roman" w:hAnsi="Times New Roman"/>
          <w:sz w:val="24"/>
          <w:szCs w:val="24"/>
        </w:rPr>
      </w:pPr>
      <w:r>
        <w:rPr>
          <w:rFonts w:ascii="Times New Roman" w:hAnsi="Times New Roman"/>
          <w:sz w:val="24"/>
          <w:szCs w:val="24"/>
        </w:rPr>
        <w:t xml:space="preserve">Schein, E. H. (1983). ‘The role of the founder in creating organisational culture’, Organizational Dynamics, </w:t>
      </w:r>
      <w:r w:rsidRPr="00F506A6">
        <w:rPr>
          <w:rFonts w:ascii="Times New Roman" w:hAnsi="Times New Roman"/>
          <w:b/>
          <w:sz w:val="24"/>
          <w:szCs w:val="24"/>
        </w:rPr>
        <w:t>12</w:t>
      </w:r>
      <w:r>
        <w:rPr>
          <w:rFonts w:ascii="Times New Roman" w:hAnsi="Times New Roman"/>
          <w:sz w:val="24"/>
          <w:szCs w:val="24"/>
        </w:rPr>
        <w:t xml:space="preserve">, pp.13-28. </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rPr>
        <w:t>Shleifer, A.</w:t>
      </w:r>
      <w:r w:rsidRPr="008A0DE7">
        <w:rPr>
          <w:rFonts w:ascii="Times New Roman" w:hAnsi="Times New Roman"/>
          <w:sz w:val="24"/>
          <w:szCs w:val="24"/>
        </w:rPr>
        <w:t xml:space="preserve"> and </w:t>
      </w:r>
      <w:r w:rsidRPr="008A0DE7">
        <w:rPr>
          <w:rFonts w:ascii="Times New Roman" w:hAnsi="Times New Roman"/>
          <w:bCs/>
          <w:sz w:val="24"/>
          <w:szCs w:val="24"/>
        </w:rPr>
        <w:t>Vishny, R. W.</w:t>
      </w:r>
      <w:r w:rsidRPr="008A0DE7">
        <w:rPr>
          <w:rFonts w:ascii="Times New Roman" w:hAnsi="Times New Roman"/>
          <w:sz w:val="24"/>
          <w:szCs w:val="24"/>
        </w:rPr>
        <w:t xml:space="preserve"> (1986). ‘Large Shareholders and Corporate Control’, </w:t>
      </w:r>
      <w:r w:rsidRPr="008A0DE7">
        <w:rPr>
          <w:rFonts w:ascii="Times New Roman" w:hAnsi="Times New Roman"/>
          <w:i/>
          <w:iCs/>
          <w:sz w:val="24"/>
          <w:szCs w:val="24"/>
        </w:rPr>
        <w:t>Journal of Political Economy,</w:t>
      </w:r>
      <w:r w:rsidRPr="008A0DE7">
        <w:rPr>
          <w:rFonts w:ascii="Times New Roman" w:hAnsi="Times New Roman"/>
          <w:b/>
          <w:i/>
          <w:iCs/>
          <w:sz w:val="24"/>
          <w:szCs w:val="24"/>
        </w:rPr>
        <w:t xml:space="preserve"> </w:t>
      </w:r>
      <w:r w:rsidRPr="008A0DE7">
        <w:rPr>
          <w:rFonts w:ascii="Times New Roman" w:hAnsi="Times New Roman"/>
          <w:b/>
          <w:bCs/>
          <w:sz w:val="24"/>
          <w:szCs w:val="24"/>
        </w:rPr>
        <w:t>94</w:t>
      </w:r>
      <w:r w:rsidRPr="008A0DE7">
        <w:rPr>
          <w:rFonts w:ascii="Times New Roman" w:hAnsi="Times New Roman"/>
          <w:sz w:val="24"/>
          <w:szCs w:val="24"/>
        </w:rPr>
        <w:t>, pp. 461-488.</w:t>
      </w:r>
    </w:p>
    <w:p w:rsidR="00E93E99" w:rsidRPr="008A0DE7" w:rsidRDefault="00E93E99" w:rsidP="00E93E99">
      <w:pPr>
        <w:pStyle w:val="PlainText"/>
        <w:rPr>
          <w:rFonts w:ascii="Times New Roman" w:hAnsi="Times New Roman"/>
          <w:sz w:val="24"/>
          <w:szCs w:val="24"/>
        </w:rPr>
      </w:pPr>
      <w:r w:rsidRPr="008A0DE7">
        <w:rPr>
          <w:rFonts w:ascii="Times New Roman" w:hAnsi="Times New Roman"/>
          <w:sz w:val="24"/>
          <w:szCs w:val="24"/>
        </w:rPr>
        <w:t xml:space="preserve">Shleifer, Andrei, and Robert W. Vishny. (1988). “Value Maximization and the Acquisition Process.” </w:t>
      </w:r>
      <w:r w:rsidRPr="008A0DE7">
        <w:rPr>
          <w:rFonts w:ascii="Times New Roman" w:hAnsi="Times New Roman"/>
          <w:i/>
          <w:sz w:val="24"/>
          <w:szCs w:val="24"/>
        </w:rPr>
        <w:t>Journal of Economic Perspectives</w:t>
      </w:r>
      <w:r w:rsidRPr="008A0DE7">
        <w:rPr>
          <w:rFonts w:ascii="Times New Roman" w:hAnsi="Times New Roman"/>
          <w:sz w:val="24"/>
          <w:szCs w:val="24"/>
        </w:rPr>
        <w:t xml:space="preserve">, </w:t>
      </w:r>
      <w:r w:rsidRPr="008A0DE7">
        <w:rPr>
          <w:rFonts w:ascii="Times New Roman" w:hAnsi="Times New Roman"/>
          <w:b/>
          <w:sz w:val="24"/>
          <w:szCs w:val="24"/>
        </w:rPr>
        <w:t>2</w:t>
      </w:r>
      <w:r w:rsidR="00F506A6">
        <w:rPr>
          <w:rFonts w:ascii="Times New Roman" w:hAnsi="Times New Roman"/>
          <w:sz w:val="24"/>
          <w:szCs w:val="24"/>
        </w:rPr>
        <w:t>,1</w:t>
      </w:r>
      <w:r w:rsidRPr="008A0DE7">
        <w:rPr>
          <w:rFonts w:ascii="Times New Roman" w:hAnsi="Times New Roman"/>
          <w:sz w:val="24"/>
          <w:szCs w:val="24"/>
        </w:rPr>
        <w:t>, pp. 7–20.</w:t>
      </w:r>
    </w:p>
    <w:p w:rsidR="00E93E99" w:rsidRPr="008A0DE7" w:rsidRDefault="00E93E99" w:rsidP="00E93E99">
      <w:pPr>
        <w:pStyle w:val="PlainText"/>
        <w:rPr>
          <w:rFonts w:ascii="Times New Roman" w:hAnsi="Times New Roman"/>
          <w:sz w:val="24"/>
          <w:szCs w:val="24"/>
        </w:rPr>
      </w:pPr>
    </w:p>
    <w:p w:rsidR="00E93E99" w:rsidRDefault="00E93E99" w:rsidP="00E93E99">
      <w:pPr>
        <w:spacing w:after="0" w:line="240" w:lineRule="auto"/>
        <w:rPr>
          <w:rFonts w:ascii="Times New Roman" w:eastAsia="Times New Roman" w:hAnsi="Times New Roman"/>
          <w:sz w:val="24"/>
          <w:szCs w:val="24"/>
          <w:lang w:eastAsia="en-GB"/>
        </w:rPr>
      </w:pPr>
      <w:r w:rsidRPr="00DF48AD">
        <w:rPr>
          <w:rFonts w:ascii="Times New Roman" w:eastAsia="Times New Roman" w:hAnsi="Times New Roman"/>
          <w:sz w:val="24"/>
          <w:szCs w:val="24"/>
          <w:lang w:eastAsia="en-GB"/>
        </w:rPr>
        <w:t xml:space="preserve">Sievänen, R., Rita, H., &amp; Scholtens, B. (2013). </w:t>
      </w:r>
      <w:r w:rsidRPr="008A0DE7">
        <w:rPr>
          <w:rFonts w:ascii="Times New Roman" w:eastAsia="Times New Roman" w:hAnsi="Times New Roman"/>
          <w:sz w:val="24"/>
          <w:szCs w:val="24"/>
          <w:lang w:eastAsia="en-GB"/>
        </w:rPr>
        <w:t>‘</w:t>
      </w:r>
      <w:r w:rsidRPr="00DF48AD">
        <w:rPr>
          <w:rFonts w:ascii="Times New Roman" w:eastAsia="Times New Roman" w:hAnsi="Times New Roman"/>
          <w:sz w:val="24"/>
          <w:szCs w:val="24"/>
          <w:lang w:eastAsia="en-GB"/>
        </w:rPr>
        <w:t>The drivers of responsible investment: The case of European pension funds</w:t>
      </w:r>
      <w:r w:rsidRPr="008A0DE7">
        <w:rPr>
          <w:rFonts w:ascii="Times New Roman" w:eastAsia="Times New Roman" w:hAnsi="Times New Roman"/>
          <w:sz w:val="24"/>
          <w:szCs w:val="24"/>
          <w:lang w:eastAsia="en-GB"/>
        </w:rPr>
        <w:t>’</w:t>
      </w:r>
      <w:r w:rsidRPr="00DF48AD">
        <w:rPr>
          <w:rFonts w:ascii="Times New Roman" w:eastAsia="Times New Roman" w:hAnsi="Times New Roman"/>
          <w:sz w:val="24"/>
          <w:szCs w:val="24"/>
          <w:lang w:eastAsia="en-GB"/>
        </w:rPr>
        <w:t xml:space="preserve">. </w:t>
      </w:r>
      <w:r w:rsidRPr="00DF48AD">
        <w:rPr>
          <w:rFonts w:ascii="Times New Roman" w:eastAsia="Times New Roman" w:hAnsi="Times New Roman"/>
          <w:i/>
          <w:iCs/>
          <w:sz w:val="24"/>
          <w:szCs w:val="24"/>
          <w:lang w:eastAsia="en-GB"/>
        </w:rPr>
        <w:t>Journal of business ethics</w:t>
      </w:r>
      <w:r w:rsidRPr="00DF48AD">
        <w:rPr>
          <w:rFonts w:ascii="Times New Roman" w:eastAsia="Times New Roman" w:hAnsi="Times New Roman"/>
          <w:sz w:val="24"/>
          <w:szCs w:val="24"/>
          <w:lang w:eastAsia="en-GB"/>
        </w:rPr>
        <w:t xml:space="preserve">, </w:t>
      </w:r>
      <w:r w:rsidRPr="00F506A6">
        <w:rPr>
          <w:rFonts w:ascii="Times New Roman" w:eastAsia="Times New Roman" w:hAnsi="Times New Roman"/>
          <w:b/>
          <w:iCs/>
          <w:sz w:val="24"/>
          <w:szCs w:val="24"/>
          <w:lang w:eastAsia="en-GB"/>
        </w:rPr>
        <w:t>117</w:t>
      </w:r>
      <w:r w:rsidR="00F506A6">
        <w:rPr>
          <w:rFonts w:ascii="Times New Roman" w:eastAsia="Times New Roman" w:hAnsi="Times New Roman"/>
          <w:sz w:val="24"/>
          <w:szCs w:val="24"/>
          <w:lang w:eastAsia="en-GB"/>
        </w:rPr>
        <w:t>,1</w:t>
      </w:r>
      <w:r w:rsidRPr="00DF48AD">
        <w:rPr>
          <w:rFonts w:ascii="Times New Roman" w:eastAsia="Times New Roman" w:hAnsi="Times New Roman"/>
          <w:sz w:val="24"/>
          <w:szCs w:val="24"/>
          <w:lang w:eastAsia="en-GB"/>
        </w:rPr>
        <w:t>,</w:t>
      </w:r>
      <w:r w:rsidRPr="008A0DE7">
        <w:rPr>
          <w:rFonts w:ascii="Times New Roman" w:eastAsia="Times New Roman" w:hAnsi="Times New Roman"/>
          <w:sz w:val="24"/>
          <w:szCs w:val="24"/>
          <w:lang w:eastAsia="en-GB"/>
        </w:rPr>
        <w:t xml:space="preserve"> pp.</w:t>
      </w:r>
      <w:r w:rsidRPr="00DF48AD">
        <w:rPr>
          <w:rFonts w:ascii="Times New Roman" w:eastAsia="Times New Roman" w:hAnsi="Times New Roman"/>
          <w:sz w:val="24"/>
          <w:szCs w:val="24"/>
          <w:lang w:eastAsia="en-GB"/>
        </w:rPr>
        <w:t xml:space="preserve"> 137-151.</w:t>
      </w:r>
    </w:p>
    <w:p w:rsidR="00912A7B" w:rsidRDefault="00912A7B" w:rsidP="00E93E99">
      <w:pPr>
        <w:spacing w:after="0" w:line="240" w:lineRule="auto"/>
        <w:rPr>
          <w:rFonts w:ascii="Times New Roman" w:eastAsia="Times New Roman" w:hAnsi="Times New Roman"/>
          <w:sz w:val="24"/>
          <w:szCs w:val="24"/>
          <w:lang w:eastAsia="en-GB"/>
        </w:rPr>
      </w:pPr>
    </w:p>
    <w:p w:rsidR="00912A7B" w:rsidRDefault="00912A7B" w:rsidP="00E93E99">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Sillince, J. A. A. (2005). ‘A Contingency Theory of Rhetorical Congruence’, Academy of Management Review, 30, pp. 608-621.   </w:t>
      </w:r>
    </w:p>
    <w:p w:rsidR="001F01DA" w:rsidRDefault="001F01DA" w:rsidP="00E93E99">
      <w:pPr>
        <w:spacing w:after="0" w:line="240" w:lineRule="auto"/>
        <w:rPr>
          <w:rFonts w:ascii="Times New Roman" w:eastAsia="Times New Roman" w:hAnsi="Times New Roman"/>
          <w:sz w:val="24"/>
          <w:szCs w:val="24"/>
          <w:lang w:eastAsia="en-GB"/>
        </w:rPr>
      </w:pPr>
    </w:p>
    <w:p w:rsidR="001F01DA" w:rsidRPr="008A0DE7" w:rsidRDefault="001F01DA" w:rsidP="00E93E99">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Slawinski, N. and Bansal, P. (2012). ‘A Matter of Time: The Temporal Perspectives of Organizational Responses to Climate Change’, </w:t>
      </w:r>
      <w:r w:rsidRPr="001F01DA">
        <w:rPr>
          <w:rFonts w:ascii="Times New Roman" w:eastAsia="Times New Roman" w:hAnsi="Times New Roman"/>
          <w:i/>
          <w:sz w:val="24"/>
          <w:szCs w:val="24"/>
          <w:lang w:eastAsia="en-GB"/>
        </w:rPr>
        <w:t>Organization Studies</w:t>
      </w:r>
      <w:r>
        <w:rPr>
          <w:rFonts w:ascii="Times New Roman" w:eastAsia="Times New Roman" w:hAnsi="Times New Roman"/>
          <w:sz w:val="24"/>
          <w:szCs w:val="24"/>
          <w:lang w:eastAsia="en-GB"/>
        </w:rPr>
        <w:t xml:space="preserve">, </w:t>
      </w:r>
      <w:r w:rsidRPr="00F506A6">
        <w:rPr>
          <w:rFonts w:ascii="Times New Roman" w:eastAsia="Times New Roman" w:hAnsi="Times New Roman"/>
          <w:b/>
          <w:sz w:val="24"/>
          <w:szCs w:val="24"/>
          <w:lang w:eastAsia="en-GB"/>
        </w:rPr>
        <w:t>33</w:t>
      </w:r>
      <w:r>
        <w:rPr>
          <w:rFonts w:ascii="Times New Roman" w:eastAsia="Times New Roman" w:hAnsi="Times New Roman"/>
          <w:sz w:val="24"/>
          <w:szCs w:val="24"/>
          <w:lang w:eastAsia="en-GB"/>
        </w:rPr>
        <w:t xml:space="preserve">, 11, pp. 1537-15-63. </w:t>
      </w:r>
    </w:p>
    <w:p w:rsidR="00E93E99" w:rsidRPr="008A0DE7" w:rsidRDefault="00E93E99" w:rsidP="00E93E99">
      <w:pPr>
        <w:pStyle w:val="PlainText"/>
        <w:rPr>
          <w:rFonts w:ascii="Times New Roman" w:hAnsi="Times New Roman"/>
          <w:sz w:val="24"/>
          <w:szCs w:val="24"/>
        </w:rPr>
      </w:pPr>
    </w:p>
    <w:p w:rsidR="00E93E99" w:rsidRDefault="00E93E99" w:rsidP="00E93E99">
      <w:pPr>
        <w:jc w:val="both"/>
        <w:rPr>
          <w:rFonts w:ascii="Times New Roman" w:hAnsi="Times New Roman"/>
          <w:bCs/>
          <w:sz w:val="24"/>
          <w:szCs w:val="24"/>
          <w:lang w:val="en-US"/>
        </w:rPr>
      </w:pPr>
      <w:r w:rsidRPr="008A0DE7">
        <w:rPr>
          <w:rFonts w:ascii="Times New Roman" w:hAnsi="Times New Roman"/>
          <w:bCs/>
          <w:sz w:val="24"/>
          <w:szCs w:val="24"/>
          <w:lang w:val="en-US"/>
        </w:rPr>
        <w:t xml:space="preserve">Smith, M. (1996). ‘Shareholder Activism by Institutional Investors: Evidence from CalPers.’ </w:t>
      </w:r>
      <w:r w:rsidRPr="008A0DE7">
        <w:rPr>
          <w:rFonts w:ascii="Times New Roman" w:hAnsi="Times New Roman"/>
          <w:bCs/>
          <w:i/>
          <w:iCs/>
          <w:sz w:val="24"/>
          <w:szCs w:val="24"/>
          <w:lang w:val="en-US"/>
        </w:rPr>
        <w:t xml:space="preserve">Journal of Finance </w:t>
      </w:r>
      <w:r w:rsidRPr="00F506A6">
        <w:rPr>
          <w:rFonts w:ascii="Times New Roman" w:hAnsi="Times New Roman"/>
          <w:b/>
          <w:bCs/>
          <w:sz w:val="24"/>
          <w:szCs w:val="24"/>
          <w:lang w:val="en-US"/>
        </w:rPr>
        <w:t>51</w:t>
      </w:r>
      <w:r w:rsidRPr="008A0DE7">
        <w:rPr>
          <w:rFonts w:ascii="Times New Roman" w:hAnsi="Times New Roman"/>
          <w:bCs/>
          <w:sz w:val="24"/>
          <w:szCs w:val="24"/>
          <w:lang w:val="en-US"/>
        </w:rPr>
        <w:t>, pp. 227-52.</w:t>
      </w:r>
    </w:p>
    <w:p w:rsidR="00912A7B" w:rsidRPr="008A0DE7" w:rsidRDefault="00912A7B" w:rsidP="00E93E99">
      <w:pPr>
        <w:jc w:val="both"/>
        <w:rPr>
          <w:rFonts w:ascii="Times New Roman" w:hAnsi="Times New Roman"/>
          <w:bCs/>
          <w:sz w:val="24"/>
          <w:szCs w:val="24"/>
          <w:lang w:val="en-US"/>
        </w:rPr>
      </w:pPr>
      <w:r>
        <w:rPr>
          <w:rFonts w:ascii="Times New Roman" w:hAnsi="Times New Roman"/>
          <w:bCs/>
          <w:sz w:val="24"/>
          <w:szCs w:val="24"/>
          <w:lang w:val="en-US"/>
        </w:rPr>
        <w:t xml:space="preserve">Suddaby, R. and Greenwood, R. (2005). ‘Rhetorical Strategies of Legitimacy’, Administrative Science Quarterly, </w:t>
      </w:r>
      <w:r w:rsidRPr="00912A7B">
        <w:rPr>
          <w:rFonts w:ascii="Times New Roman" w:hAnsi="Times New Roman"/>
          <w:b/>
          <w:bCs/>
          <w:sz w:val="24"/>
          <w:szCs w:val="24"/>
          <w:lang w:val="en-US"/>
        </w:rPr>
        <w:t>50</w:t>
      </w:r>
      <w:r>
        <w:rPr>
          <w:rFonts w:ascii="Times New Roman" w:hAnsi="Times New Roman"/>
          <w:bCs/>
          <w:sz w:val="24"/>
          <w:szCs w:val="24"/>
          <w:lang w:val="en-US"/>
        </w:rPr>
        <w:t xml:space="preserve">, pp. 35-67. </w:t>
      </w:r>
    </w:p>
    <w:p w:rsidR="00E93E99" w:rsidRPr="008A0DE7" w:rsidRDefault="00E93E99" w:rsidP="00E93E99">
      <w:pPr>
        <w:jc w:val="both"/>
        <w:rPr>
          <w:rFonts w:ascii="Times New Roman" w:hAnsi="Times New Roman"/>
          <w:bCs/>
          <w:sz w:val="24"/>
          <w:szCs w:val="24"/>
        </w:rPr>
      </w:pPr>
      <w:r w:rsidRPr="008A0DE7">
        <w:rPr>
          <w:rFonts w:ascii="Times New Roman" w:hAnsi="Times New Roman"/>
          <w:bCs/>
          <w:sz w:val="24"/>
          <w:szCs w:val="24"/>
        </w:rPr>
        <w:t>The Economist (2008). February 23 – 29,</w:t>
      </w:r>
      <w:r w:rsidRPr="008A0DE7">
        <w:rPr>
          <w:rFonts w:ascii="Times New Roman" w:hAnsi="Times New Roman"/>
          <w:sz w:val="24"/>
          <w:szCs w:val="24"/>
        </w:rPr>
        <w:t xml:space="preserve"> </w:t>
      </w:r>
      <w:hyperlink r:id="rId20" w:history="1">
        <w:r w:rsidRPr="008A0DE7">
          <w:rPr>
            <w:rStyle w:val="Hyperlink"/>
            <w:rFonts w:ascii="Times New Roman" w:hAnsi="Times New Roman"/>
            <w:bCs/>
            <w:sz w:val="24"/>
            <w:szCs w:val="24"/>
          </w:rPr>
          <w:t>http://www.economist.com</w:t>
        </w:r>
      </w:hyperlink>
      <w:r w:rsidRPr="008A0DE7">
        <w:rPr>
          <w:rFonts w:ascii="Times New Roman" w:hAnsi="Times New Roman"/>
          <w:bCs/>
          <w:sz w:val="24"/>
          <w:szCs w:val="24"/>
        </w:rPr>
        <w:t xml:space="preserve"> </w:t>
      </w:r>
    </w:p>
    <w:p w:rsidR="00E93E99" w:rsidRPr="008A0DE7" w:rsidRDefault="00E93E99" w:rsidP="00E93E99">
      <w:pPr>
        <w:tabs>
          <w:tab w:val="left" w:pos="2940"/>
        </w:tabs>
        <w:spacing w:line="240" w:lineRule="auto"/>
        <w:jc w:val="both"/>
        <w:rPr>
          <w:rFonts w:ascii="Times New Roman" w:hAnsi="Times New Roman"/>
          <w:sz w:val="24"/>
          <w:szCs w:val="24"/>
          <w:lang w:val="en-US"/>
        </w:rPr>
      </w:pPr>
      <w:r w:rsidRPr="008A0DE7">
        <w:rPr>
          <w:rFonts w:ascii="Times New Roman" w:hAnsi="Times New Roman"/>
          <w:sz w:val="24"/>
          <w:szCs w:val="24"/>
          <w:lang w:val="en-US"/>
        </w:rPr>
        <w:lastRenderedPageBreak/>
        <w:t xml:space="preserve">The Kay Review (2012). </w:t>
      </w:r>
      <w:r w:rsidRPr="008A0DE7">
        <w:rPr>
          <w:rFonts w:ascii="Times New Roman" w:hAnsi="Times New Roman"/>
          <w:i/>
          <w:sz w:val="24"/>
          <w:szCs w:val="24"/>
          <w:lang w:val="en-US"/>
        </w:rPr>
        <w:t>The Kay Review of UK Equity Markets and Long-Term Decision Making.</w:t>
      </w:r>
      <w:r w:rsidRPr="008A0DE7">
        <w:rPr>
          <w:rFonts w:ascii="Times New Roman" w:hAnsi="Times New Roman"/>
          <w:sz w:val="24"/>
          <w:szCs w:val="24"/>
          <w:lang w:val="en-US"/>
        </w:rPr>
        <w:t xml:space="preserve"> [available at: </w:t>
      </w:r>
      <w:hyperlink r:id="rId21" w:history="1">
        <w:r w:rsidRPr="008A0DE7">
          <w:rPr>
            <w:rStyle w:val="Hyperlink"/>
            <w:rFonts w:ascii="Times New Roman" w:hAnsi="Times New Roman"/>
            <w:sz w:val="24"/>
            <w:szCs w:val="24"/>
            <w:lang w:val="en-US"/>
          </w:rPr>
          <w:t>http://www.bis.gov.uk/assets/biscore/business-law/docs/k/12-631-kay-review-of-equity-markets-interim-report.pdf</w:t>
        </w:r>
      </w:hyperlink>
      <w:r w:rsidRPr="008A0DE7">
        <w:rPr>
          <w:rFonts w:ascii="Times New Roman" w:hAnsi="Times New Roman"/>
          <w:sz w:val="24"/>
          <w:szCs w:val="24"/>
          <w:lang w:val="en-US"/>
        </w:rPr>
        <w:t xml:space="preserve"> ] </w:t>
      </w:r>
    </w:p>
    <w:p w:rsidR="00E93E99" w:rsidRPr="008A0DE7" w:rsidRDefault="00E93E99" w:rsidP="00E93E99">
      <w:pPr>
        <w:jc w:val="both"/>
        <w:rPr>
          <w:rFonts w:ascii="Times New Roman" w:hAnsi="Times New Roman"/>
          <w:sz w:val="24"/>
          <w:szCs w:val="24"/>
        </w:rPr>
      </w:pPr>
      <w:r w:rsidRPr="008A0DE7">
        <w:rPr>
          <w:rFonts w:ascii="Times New Roman" w:hAnsi="Times New Roman"/>
          <w:sz w:val="24"/>
          <w:szCs w:val="24"/>
        </w:rPr>
        <w:t xml:space="preserve">The Law Commission (2013). </w:t>
      </w:r>
      <w:r w:rsidRPr="008A0DE7">
        <w:rPr>
          <w:rFonts w:ascii="Times New Roman" w:hAnsi="Times New Roman"/>
          <w:i/>
          <w:sz w:val="24"/>
          <w:szCs w:val="24"/>
        </w:rPr>
        <w:t>Fiduciary Duties of Investment Intermediaries: Initial Questions</w:t>
      </w:r>
      <w:r w:rsidRPr="008A0DE7">
        <w:rPr>
          <w:rFonts w:ascii="Times New Roman" w:hAnsi="Times New Roman"/>
          <w:sz w:val="24"/>
          <w:szCs w:val="24"/>
        </w:rPr>
        <w:t xml:space="preserve"> [available at: </w:t>
      </w:r>
      <w:hyperlink r:id="rId22" w:history="1">
        <w:r w:rsidRPr="008A0DE7">
          <w:rPr>
            <w:rStyle w:val="Hyperlink"/>
            <w:rFonts w:ascii="Times New Roman" w:hAnsi="Times New Roman"/>
            <w:sz w:val="24"/>
            <w:szCs w:val="24"/>
          </w:rPr>
          <w:t>http://lawcommission.justice.gov.uk/docs/fiduciary_duties_short_May2013.pdf</w:t>
        </w:r>
      </w:hyperlink>
      <w:r w:rsidRPr="008A0DE7">
        <w:rPr>
          <w:rFonts w:ascii="Times New Roman" w:hAnsi="Times New Roman"/>
          <w:sz w:val="24"/>
          <w:szCs w:val="24"/>
        </w:rPr>
        <w:t xml:space="preserve">] </w:t>
      </w:r>
    </w:p>
    <w:p w:rsidR="00E93E99" w:rsidRPr="008A0DE7" w:rsidRDefault="00E93E99" w:rsidP="00E93E99">
      <w:pPr>
        <w:tabs>
          <w:tab w:val="left" w:pos="2940"/>
        </w:tabs>
        <w:spacing w:line="240" w:lineRule="auto"/>
        <w:jc w:val="both"/>
        <w:rPr>
          <w:rFonts w:ascii="Times New Roman" w:hAnsi="Times New Roman"/>
          <w:bCs/>
          <w:smallCaps/>
          <w:sz w:val="24"/>
          <w:szCs w:val="24"/>
          <w:lang w:val="en-US"/>
        </w:rPr>
      </w:pPr>
      <w:r w:rsidRPr="008A0DE7">
        <w:rPr>
          <w:rFonts w:ascii="Times New Roman" w:hAnsi="Times New Roman"/>
          <w:sz w:val="24"/>
          <w:szCs w:val="24"/>
          <w:lang w:val="en-US"/>
        </w:rPr>
        <w:t xml:space="preserve">The Ownership Commission Report (2012). </w:t>
      </w:r>
      <w:r w:rsidRPr="008A0DE7">
        <w:rPr>
          <w:rFonts w:ascii="Times New Roman" w:hAnsi="Times New Roman"/>
          <w:i/>
          <w:sz w:val="24"/>
          <w:szCs w:val="24"/>
          <w:lang w:val="en-US"/>
        </w:rPr>
        <w:t>Plurality, Stewardship and Engagement. The Ownership Commission</w:t>
      </w:r>
      <w:r w:rsidRPr="008A0DE7">
        <w:rPr>
          <w:rFonts w:ascii="Times New Roman" w:hAnsi="Times New Roman"/>
          <w:sz w:val="24"/>
          <w:szCs w:val="24"/>
          <w:lang w:val="en-US"/>
        </w:rPr>
        <w:t>. [available at: http://www.ownershipcomm.org/files/ownership_commission_2012.pdf]</w:t>
      </w:r>
    </w:p>
    <w:p w:rsidR="00E93E99" w:rsidRPr="008A0DE7" w:rsidRDefault="00E93E99" w:rsidP="00E93E99">
      <w:pPr>
        <w:tabs>
          <w:tab w:val="left" w:pos="0"/>
        </w:tabs>
        <w:jc w:val="both"/>
        <w:rPr>
          <w:rFonts w:ascii="Times New Roman" w:hAnsi="Times New Roman"/>
          <w:bCs/>
          <w:sz w:val="24"/>
          <w:szCs w:val="24"/>
          <w:lang w:val="en-US"/>
        </w:rPr>
      </w:pPr>
      <w:r w:rsidRPr="008A0DE7">
        <w:rPr>
          <w:rFonts w:ascii="Times New Roman" w:hAnsi="Times New Roman"/>
          <w:bCs/>
          <w:sz w:val="24"/>
          <w:szCs w:val="24"/>
          <w:lang w:val="en-US"/>
        </w:rPr>
        <w:t xml:space="preserve">The Pensions Regulator (2010). </w:t>
      </w:r>
      <w:r w:rsidRPr="008A0DE7">
        <w:rPr>
          <w:rFonts w:ascii="Times New Roman" w:hAnsi="Times New Roman"/>
          <w:bCs/>
          <w:i/>
          <w:sz w:val="24"/>
          <w:szCs w:val="24"/>
          <w:lang w:val="en-US"/>
        </w:rPr>
        <w:t xml:space="preserve">The Trustee Toolkit </w:t>
      </w:r>
      <w:r w:rsidRPr="008A0DE7">
        <w:rPr>
          <w:rFonts w:ascii="Times New Roman" w:hAnsi="Times New Roman"/>
          <w:bCs/>
          <w:sz w:val="24"/>
          <w:szCs w:val="24"/>
          <w:lang w:val="en-US"/>
        </w:rPr>
        <w:t xml:space="preserve">[available at: </w:t>
      </w:r>
      <w:hyperlink r:id="rId23" w:history="1">
        <w:r w:rsidRPr="008A0DE7">
          <w:rPr>
            <w:rStyle w:val="Hyperlink"/>
            <w:rFonts w:ascii="Times New Roman" w:hAnsi="Times New Roman"/>
            <w:bCs/>
            <w:sz w:val="24"/>
            <w:szCs w:val="24"/>
            <w:lang w:val="en-US"/>
          </w:rPr>
          <w:t>http://www.thepensionsregulator.gov.uk/trustees.aspx</w:t>
        </w:r>
      </w:hyperlink>
      <w:r w:rsidRPr="008A0DE7">
        <w:rPr>
          <w:rFonts w:ascii="Times New Roman" w:hAnsi="Times New Roman"/>
          <w:bCs/>
          <w:sz w:val="24"/>
          <w:szCs w:val="24"/>
          <w:lang w:val="en-US"/>
        </w:rPr>
        <w:t xml:space="preserve">] </w:t>
      </w:r>
    </w:p>
    <w:p w:rsidR="00E93E99" w:rsidRPr="008A0DE7" w:rsidRDefault="00E93E99" w:rsidP="00E93E99">
      <w:pPr>
        <w:spacing w:line="240" w:lineRule="auto"/>
        <w:rPr>
          <w:rFonts w:ascii="Times New Roman" w:hAnsi="Times New Roman"/>
          <w:sz w:val="24"/>
          <w:szCs w:val="24"/>
          <w:lang w:val="en-US"/>
        </w:rPr>
      </w:pPr>
      <w:r w:rsidRPr="008A0DE7">
        <w:rPr>
          <w:rFonts w:ascii="Times New Roman" w:hAnsi="Times New Roman"/>
          <w:bCs/>
          <w:sz w:val="24"/>
          <w:szCs w:val="24"/>
          <w:lang w:val="en-US"/>
        </w:rPr>
        <w:t>The Purple Book</w:t>
      </w:r>
      <w:r w:rsidRPr="008A0DE7">
        <w:rPr>
          <w:rFonts w:ascii="Times New Roman" w:hAnsi="Times New Roman"/>
          <w:sz w:val="24"/>
          <w:szCs w:val="24"/>
          <w:lang w:val="en-US"/>
        </w:rPr>
        <w:t xml:space="preserve"> (2009). </w:t>
      </w:r>
      <w:r w:rsidRPr="008A0DE7">
        <w:rPr>
          <w:rFonts w:ascii="Times New Roman" w:hAnsi="Times New Roman"/>
          <w:i/>
          <w:sz w:val="24"/>
          <w:szCs w:val="24"/>
          <w:lang w:val="en-US"/>
        </w:rPr>
        <w:t>Pensions Protection Fund.</w:t>
      </w:r>
      <w:r w:rsidRPr="008A0DE7">
        <w:rPr>
          <w:rFonts w:ascii="Times New Roman" w:hAnsi="Times New Roman"/>
          <w:sz w:val="24"/>
          <w:szCs w:val="24"/>
          <w:lang w:val="en-US"/>
        </w:rPr>
        <w:t xml:space="preserve"> [available at:</w:t>
      </w:r>
    </w:p>
    <w:p w:rsidR="00E93E99" w:rsidRPr="008A0DE7" w:rsidRDefault="00AB1891" w:rsidP="00E93E99">
      <w:pPr>
        <w:spacing w:line="240" w:lineRule="auto"/>
        <w:rPr>
          <w:rFonts w:ascii="Times New Roman" w:hAnsi="Times New Roman"/>
          <w:sz w:val="24"/>
          <w:szCs w:val="24"/>
          <w:lang w:val="en-US"/>
        </w:rPr>
      </w:pPr>
      <w:hyperlink r:id="rId24" w:history="1">
        <w:r w:rsidR="00E93E99" w:rsidRPr="008A0DE7">
          <w:rPr>
            <w:rStyle w:val="Hyperlink"/>
            <w:rFonts w:ascii="Times New Roman" w:hAnsi="Times New Roman"/>
            <w:sz w:val="24"/>
            <w:szCs w:val="24"/>
            <w:lang w:val="en-US"/>
          </w:rPr>
          <w:t>http://www.pensionprotectionfund.org.uk/Pages/ThePurpleBook.aspx</w:t>
        </w:r>
      </w:hyperlink>
      <w:r w:rsidR="00E93E99" w:rsidRPr="008A0DE7">
        <w:rPr>
          <w:rFonts w:ascii="Times New Roman" w:hAnsi="Times New Roman"/>
          <w:sz w:val="24"/>
          <w:szCs w:val="24"/>
          <w:lang w:val="en-US"/>
        </w:rPr>
        <w:t xml:space="preserve">] </w:t>
      </w:r>
    </w:p>
    <w:p w:rsidR="00E93E99" w:rsidRPr="008A0DE7" w:rsidRDefault="00E93E99" w:rsidP="00E93E99">
      <w:pPr>
        <w:spacing w:line="240" w:lineRule="auto"/>
        <w:rPr>
          <w:rFonts w:ascii="Times New Roman" w:hAnsi="Times New Roman"/>
          <w:sz w:val="24"/>
          <w:szCs w:val="24"/>
        </w:rPr>
      </w:pPr>
      <w:r w:rsidRPr="008A0DE7">
        <w:rPr>
          <w:rFonts w:ascii="Times New Roman" w:hAnsi="Times New Roman"/>
          <w:bCs/>
          <w:sz w:val="24"/>
          <w:szCs w:val="24"/>
        </w:rPr>
        <w:t>The Stewardship Code</w:t>
      </w:r>
      <w:r w:rsidRPr="008A0DE7">
        <w:rPr>
          <w:rFonts w:ascii="Times New Roman" w:hAnsi="Times New Roman"/>
          <w:sz w:val="24"/>
          <w:szCs w:val="24"/>
        </w:rPr>
        <w:t xml:space="preserve"> (2010). </w:t>
      </w:r>
      <w:r w:rsidRPr="008A0DE7">
        <w:rPr>
          <w:rFonts w:ascii="Times New Roman" w:hAnsi="Times New Roman"/>
          <w:i/>
          <w:sz w:val="24"/>
          <w:szCs w:val="24"/>
        </w:rPr>
        <w:t>Financial Reporting Council</w:t>
      </w:r>
      <w:r w:rsidRPr="008A0DE7">
        <w:rPr>
          <w:rFonts w:ascii="Times New Roman" w:hAnsi="Times New Roman"/>
          <w:sz w:val="24"/>
          <w:szCs w:val="24"/>
        </w:rPr>
        <w:t xml:space="preserve">. </w:t>
      </w:r>
      <w:r w:rsidRPr="008A0DE7">
        <w:rPr>
          <w:rFonts w:ascii="Times New Roman" w:hAnsi="Times New Roman"/>
          <w:sz w:val="24"/>
          <w:szCs w:val="24"/>
          <w:lang w:val="en-US"/>
        </w:rPr>
        <w:t>London: Financial Reporting Council.</w:t>
      </w:r>
    </w:p>
    <w:p w:rsidR="00E93E99" w:rsidRPr="008A0DE7" w:rsidRDefault="00E93E99" w:rsidP="00E93E99">
      <w:pPr>
        <w:spacing w:line="240" w:lineRule="auto"/>
        <w:jc w:val="both"/>
        <w:rPr>
          <w:rFonts w:ascii="Times New Roman" w:hAnsi="Times New Roman"/>
          <w:bCs/>
          <w:sz w:val="24"/>
          <w:szCs w:val="24"/>
          <w:lang w:val="en-US"/>
        </w:rPr>
      </w:pPr>
      <w:r w:rsidRPr="008A0DE7">
        <w:rPr>
          <w:rFonts w:ascii="Times New Roman" w:hAnsi="Times New Roman"/>
          <w:bCs/>
          <w:sz w:val="24"/>
          <w:szCs w:val="24"/>
          <w:lang w:val="en-US"/>
        </w:rPr>
        <w:t xml:space="preserve">Tilba, A. (2011). </w:t>
      </w:r>
      <w:r w:rsidRPr="008A0DE7">
        <w:rPr>
          <w:rFonts w:ascii="Times New Roman" w:hAnsi="Times New Roman"/>
          <w:bCs/>
          <w:i/>
          <w:sz w:val="24"/>
          <w:szCs w:val="24"/>
          <w:lang w:val="en-US"/>
        </w:rPr>
        <w:t>Pension Fund’s Investment Practice and Corporate Engagement.</w:t>
      </w:r>
      <w:r w:rsidRPr="008A0DE7">
        <w:rPr>
          <w:rFonts w:ascii="Times New Roman" w:hAnsi="Times New Roman"/>
          <w:bCs/>
          <w:sz w:val="24"/>
          <w:szCs w:val="24"/>
          <w:lang w:val="en-US"/>
        </w:rPr>
        <w:t xml:space="preserve"> </w:t>
      </w:r>
      <w:r w:rsidRPr="008A0DE7">
        <w:rPr>
          <w:rFonts w:ascii="Times New Roman" w:hAnsi="Times New Roman"/>
          <w:bCs/>
          <w:i/>
          <w:sz w:val="24"/>
          <w:szCs w:val="24"/>
          <w:lang w:val="en-US"/>
        </w:rPr>
        <w:t>PhD Thesis</w:t>
      </w:r>
      <w:r w:rsidRPr="008A0DE7">
        <w:rPr>
          <w:rFonts w:ascii="Times New Roman" w:hAnsi="Times New Roman"/>
          <w:bCs/>
          <w:sz w:val="24"/>
          <w:szCs w:val="24"/>
          <w:lang w:val="en-US"/>
        </w:rPr>
        <w:t xml:space="preserve">, University of Liverpool Management School, 126. </w:t>
      </w:r>
    </w:p>
    <w:p w:rsidR="00E93E99" w:rsidRDefault="00E93E99" w:rsidP="00E93E99">
      <w:pPr>
        <w:spacing w:line="240" w:lineRule="auto"/>
        <w:jc w:val="both"/>
        <w:rPr>
          <w:rFonts w:ascii="Times New Roman" w:hAnsi="Times New Roman"/>
          <w:sz w:val="24"/>
          <w:szCs w:val="24"/>
        </w:rPr>
      </w:pPr>
      <w:r w:rsidRPr="008A0DE7">
        <w:rPr>
          <w:rFonts w:ascii="Times New Roman" w:hAnsi="Times New Roman"/>
          <w:bCs/>
          <w:sz w:val="24"/>
          <w:szCs w:val="24"/>
          <w:lang w:val="en-US"/>
        </w:rPr>
        <w:t xml:space="preserve">Tilba, A and McNulty, T. (2013). ‘Engaged versus Disengaged Ownership: The Case of Pension Funds in the UK’, </w:t>
      </w:r>
      <w:r w:rsidRPr="008A0DE7">
        <w:rPr>
          <w:rFonts w:ascii="Times New Roman" w:hAnsi="Times New Roman"/>
          <w:bCs/>
          <w:i/>
          <w:sz w:val="24"/>
          <w:szCs w:val="24"/>
          <w:lang w:val="en-US"/>
        </w:rPr>
        <w:t>Corporate Governance: An International Review,</w:t>
      </w:r>
      <w:r w:rsidRPr="008A0DE7">
        <w:rPr>
          <w:rFonts w:ascii="Times New Roman" w:hAnsi="Times New Roman"/>
          <w:bCs/>
          <w:sz w:val="24"/>
          <w:szCs w:val="24"/>
          <w:lang w:val="en-US"/>
        </w:rPr>
        <w:t xml:space="preserve"> </w:t>
      </w:r>
      <w:r w:rsidRPr="008A0DE7">
        <w:rPr>
          <w:rFonts w:ascii="Times New Roman" w:hAnsi="Times New Roman"/>
          <w:b/>
          <w:sz w:val="24"/>
          <w:szCs w:val="24"/>
        </w:rPr>
        <w:t>21</w:t>
      </w:r>
      <w:r w:rsidRPr="008A0DE7">
        <w:rPr>
          <w:rFonts w:ascii="Times New Roman" w:hAnsi="Times New Roman"/>
          <w:sz w:val="24"/>
          <w:szCs w:val="24"/>
        </w:rPr>
        <w:t>, pp. 165–182</w:t>
      </w:r>
      <w:r w:rsidR="00085731">
        <w:rPr>
          <w:rFonts w:ascii="Times New Roman" w:hAnsi="Times New Roman"/>
          <w:sz w:val="24"/>
          <w:szCs w:val="24"/>
        </w:rPr>
        <w:t>.</w:t>
      </w:r>
    </w:p>
    <w:p w:rsidR="00085731" w:rsidRPr="00085731" w:rsidRDefault="00085731" w:rsidP="00085731">
      <w:r>
        <w:rPr>
          <w:rFonts w:ascii="Times New Roman" w:hAnsi="Times New Roman"/>
          <w:sz w:val="24"/>
          <w:szCs w:val="24"/>
        </w:rPr>
        <w:t>Tilba, A. Baddeley, M. and Liao, Y. (2016). ‘</w:t>
      </w:r>
      <w:r w:rsidRPr="000B4039">
        <w:rPr>
          <w:rFonts w:ascii="Times New Roman" w:hAnsi="Times New Roman"/>
          <w:sz w:val="24"/>
          <w:szCs w:val="24"/>
        </w:rPr>
        <w:t>Research Report on the Effectiveness of Oversight Committees: Decision-Making, Governance, Costs and Charges</w:t>
      </w:r>
      <w:r>
        <w:rPr>
          <w:rFonts w:ascii="Times New Roman" w:hAnsi="Times New Roman"/>
          <w:sz w:val="24"/>
          <w:szCs w:val="24"/>
        </w:rPr>
        <w:t xml:space="preserve">’, </w:t>
      </w:r>
      <w:r w:rsidRPr="00085731">
        <w:rPr>
          <w:rFonts w:ascii="Times New Roman" w:hAnsi="Times New Roman"/>
          <w:i/>
          <w:sz w:val="24"/>
          <w:szCs w:val="24"/>
        </w:rPr>
        <w:t>Research Report for the UK Financial Conduct Authority</w:t>
      </w:r>
      <w:r>
        <w:rPr>
          <w:rFonts w:ascii="Times New Roman" w:hAnsi="Times New Roman"/>
          <w:sz w:val="24"/>
          <w:szCs w:val="24"/>
        </w:rPr>
        <w:t xml:space="preserve">, [available at: </w:t>
      </w:r>
      <w:hyperlink r:id="rId25" w:history="1">
        <w:r w:rsidRPr="00523F21">
          <w:rPr>
            <w:rStyle w:val="Hyperlink"/>
            <w:rFonts w:ascii="Times New Roman" w:hAnsi="Times New Roman"/>
            <w:sz w:val="24"/>
            <w:szCs w:val="24"/>
          </w:rPr>
          <w:t>https://www.fca.org.uk/publication/research/tilba-baddeley-liao.pdf</w:t>
        </w:r>
      </w:hyperlink>
      <w:r>
        <w:rPr>
          <w:rFonts w:ascii="Times New Roman" w:hAnsi="Times New Roman"/>
          <w:sz w:val="24"/>
          <w:szCs w:val="24"/>
        </w:rPr>
        <w:t xml:space="preserve"> ] </w:t>
      </w:r>
    </w:p>
    <w:p w:rsidR="00E93E99" w:rsidRPr="008A0DE7" w:rsidRDefault="00E93E99" w:rsidP="00E93E99">
      <w:pPr>
        <w:spacing w:line="240" w:lineRule="auto"/>
        <w:jc w:val="both"/>
        <w:rPr>
          <w:rFonts w:ascii="Times New Roman" w:hAnsi="Times New Roman"/>
          <w:i/>
          <w:iCs/>
          <w:sz w:val="24"/>
          <w:szCs w:val="24"/>
        </w:rPr>
      </w:pPr>
      <w:r w:rsidRPr="008A0DE7">
        <w:rPr>
          <w:rFonts w:ascii="Times New Roman" w:hAnsi="Times New Roman"/>
          <w:bCs/>
          <w:sz w:val="24"/>
          <w:szCs w:val="24"/>
        </w:rPr>
        <w:t>Tomorrow’s Owners</w:t>
      </w:r>
      <w:r w:rsidRPr="008A0DE7">
        <w:rPr>
          <w:rFonts w:ascii="Times New Roman" w:hAnsi="Times New Roman"/>
          <w:sz w:val="24"/>
          <w:szCs w:val="24"/>
        </w:rPr>
        <w:t xml:space="preserve"> (2008). Stewardship of Tomorrow’s Company. </w:t>
      </w:r>
      <w:r w:rsidRPr="008A0DE7">
        <w:rPr>
          <w:rFonts w:ascii="Times New Roman" w:hAnsi="Times New Roman"/>
          <w:i/>
          <w:iCs/>
          <w:sz w:val="24"/>
          <w:szCs w:val="24"/>
        </w:rPr>
        <w:t>Tomorrow’s Company Report.</w:t>
      </w:r>
    </w:p>
    <w:p w:rsidR="00E93E99"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Trustee Act (2000). </w:t>
      </w:r>
      <w:r w:rsidRPr="008A0DE7">
        <w:rPr>
          <w:rFonts w:ascii="Times New Roman" w:hAnsi="Times New Roman"/>
          <w:i/>
          <w:sz w:val="24"/>
          <w:szCs w:val="24"/>
        </w:rPr>
        <w:t>Act of Parliament, United Kingdom.</w:t>
      </w:r>
      <w:r w:rsidRPr="008A0DE7">
        <w:rPr>
          <w:rFonts w:ascii="Times New Roman" w:hAnsi="Times New Roman"/>
          <w:sz w:val="24"/>
          <w:szCs w:val="24"/>
        </w:rPr>
        <w:t xml:space="preserve"> [available at: </w:t>
      </w:r>
      <w:hyperlink r:id="rId26" w:history="1">
        <w:r w:rsidRPr="008A0DE7">
          <w:rPr>
            <w:rStyle w:val="Hyperlink"/>
            <w:rFonts w:ascii="Times New Roman" w:hAnsi="Times New Roman"/>
            <w:sz w:val="24"/>
            <w:szCs w:val="24"/>
          </w:rPr>
          <w:t>http://www.legislation.gov.uk/ukpga/2000/29/contents</w:t>
        </w:r>
      </w:hyperlink>
      <w:r w:rsidRPr="008A0DE7">
        <w:rPr>
          <w:rFonts w:ascii="Times New Roman" w:hAnsi="Times New Roman"/>
          <w:sz w:val="24"/>
          <w:szCs w:val="24"/>
        </w:rPr>
        <w:t>].</w:t>
      </w:r>
    </w:p>
    <w:p w:rsidR="00180FCC" w:rsidRPr="008A0DE7" w:rsidRDefault="00180FCC" w:rsidP="00E93E99">
      <w:pPr>
        <w:spacing w:line="240" w:lineRule="auto"/>
        <w:jc w:val="both"/>
        <w:rPr>
          <w:rFonts w:ascii="Times New Roman" w:hAnsi="Times New Roman"/>
          <w:bCs/>
          <w:i/>
          <w:iCs/>
          <w:smallCaps/>
          <w:sz w:val="24"/>
          <w:szCs w:val="24"/>
        </w:rPr>
      </w:pPr>
      <w:r>
        <w:rPr>
          <w:rFonts w:ascii="Times New Roman" w:hAnsi="Times New Roman"/>
          <w:sz w:val="24"/>
          <w:szCs w:val="24"/>
        </w:rPr>
        <w:t xml:space="preserve">Wadhwani, R. D. and Bucheli, M. (2014). The Future of Management and Organization Studies. </w:t>
      </w:r>
      <w:r w:rsidRPr="00180FCC">
        <w:rPr>
          <w:rFonts w:ascii="Times New Roman" w:hAnsi="Times New Roman"/>
          <w:i/>
          <w:sz w:val="24"/>
          <w:szCs w:val="24"/>
        </w:rPr>
        <w:t>Organizations in Time: History, Theory, Methods</w:t>
      </w:r>
      <w:r>
        <w:rPr>
          <w:rFonts w:ascii="Times New Roman" w:hAnsi="Times New Roman"/>
          <w:sz w:val="24"/>
          <w:szCs w:val="24"/>
        </w:rPr>
        <w:t>. New York: Oxford University Press.</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Webb, R., M. Beck, and McKinnon, R. (2003). ‘Problems and Limitations of Institutional Investor Participation in Corporate Governance’, </w:t>
      </w:r>
      <w:r w:rsidRPr="008A0DE7">
        <w:rPr>
          <w:rFonts w:ascii="Times New Roman" w:hAnsi="Times New Roman"/>
          <w:i/>
          <w:iCs/>
          <w:sz w:val="24"/>
          <w:szCs w:val="24"/>
        </w:rPr>
        <w:t xml:space="preserve">Corporate Governance-an International Review, </w:t>
      </w:r>
      <w:r w:rsidRPr="008A0DE7">
        <w:rPr>
          <w:rFonts w:ascii="Times New Roman" w:hAnsi="Times New Roman"/>
          <w:b/>
          <w:sz w:val="24"/>
          <w:szCs w:val="24"/>
        </w:rPr>
        <w:t>11</w:t>
      </w:r>
      <w:r w:rsidRPr="008A0DE7">
        <w:rPr>
          <w:rFonts w:ascii="Times New Roman" w:hAnsi="Times New Roman"/>
          <w:sz w:val="24"/>
          <w:szCs w:val="24"/>
        </w:rPr>
        <w:t>, pp. 65-73.</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Weick </w:t>
      </w:r>
      <w:r w:rsidRPr="008A0DE7">
        <w:rPr>
          <w:rStyle w:val="nlmgiven-names"/>
          <w:rFonts w:ascii="Times New Roman" w:hAnsi="Times New Roman"/>
          <w:sz w:val="24"/>
          <w:szCs w:val="24"/>
        </w:rPr>
        <w:t xml:space="preserve">K. (1969). </w:t>
      </w:r>
      <w:r w:rsidRPr="008A0DE7">
        <w:rPr>
          <w:rFonts w:ascii="Times New Roman" w:hAnsi="Times New Roman"/>
          <w:i/>
          <w:iCs/>
          <w:sz w:val="24"/>
          <w:szCs w:val="24"/>
        </w:rPr>
        <w:t>The Social Psychology of Organizing</w:t>
      </w:r>
      <w:r w:rsidRPr="008A0DE7">
        <w:rPr>
          <w:rFonts w:ascii="Times New Roman" w:hAnsi="Times New Roman"/>
          <w:sz w:val="24"/>
          <w:szCs w:val="24"/>
        </w:rPr>
        <w:t xml:space="preserve">, </w:t>
      </w:r>
      <w:r w:rsidRPr="008A0DE7">
        <w:rPr>
          <w:rStyle w:val="nlmpublisher-name"/>
          <w:rFonts w:ascii="Times New Roman" w:hAnsi="Times New Roman"/>
          <w:sz w:val="24"/>
          <w:szCs w:val="24"/>
        </w:rPr>
        <w:t>Addison-Wesley</w:t>
      </w:r>
      <w:r w:rsidRPr="008A0DE7">
        <w:rPr>
          <w:rFonts w:ascii="Times New Roman" w:hAnsi="Times New Roman"/>
          <w:sz w:val="24"/>
          <w:szCs w:val="24"/>
        </w:rPr>
        <w:t xml:space="preserve">, </w:t>
      </w:r>
      <w:r w:rsidRPr="008A0DE7">
        <w:rPr>
          <w:rStyle w:val="nlmpublisher-loc"/>
          <w:rFonts w:ascii="Times New Roman" w:hAnsi="Times New Roman"/>
          <w:sz w:val="24"/>
          <w:szCs w:val="24"/>
        </w:rPr>
        <w:t>Reading, MA</w:t>
      </w:r>
      <w:r w:rsidRPr="008A0DE7">
        <w:rPr>
          <w:rFonts w:ascii="Times New Roman" w:hAnsi="Times New Roman"/>
          <w:sz w:val="24"/>
          <w:szCs w:val="24"/>
        </w:rPr>
        <w:t>.</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lastRenderedPageBreak/>
        <w:t xml:space="preserve">Wetherell, M. (2005) ‘Unconscious Conflict or Everyday Accountability? </w:t>
      </w:r>
      <w:r w:rsidRPr="008A0DE7">
        <w:rPr>
          <w:rFonts w:ascii="Times New Roman" w:hAnsi="Times New Roman"/>
          <w:i/>
          <w:sz w:val="24"/>
          <w:szCs w:val="24"/>
        </w:rPr>
        <w:t>British Journal of Social Psychology</w:t>
      </w:r>
      <w:r w:rsidRPr="008A0DE7">
        <w:rPr>
          <w:rFonts w:ascii="Times New Roman" w:hAnsi="Times New Roman"/>
          <w:sz w:val="24"/>
          <w:szCs w:val="24"/>
        </w:rPr>
        <w:t xml:space="preserve">, </w:t>
      </w:r>
      <w:r w:rsidRPr="00F506A6">
        <w:rPr>
          <w:rFonts w:ascii="Times New Roman" w:hAnsi="Times New Roman"/>
          <w:b/>
          <w:sz w:val="24"/>
          <w:szCs w:val="24"/>
        </w:rPr>
        <w:t>44</w:t>
      </w:r>
      <w:r w:rsidRPr="008A0DE7">
        <w:rPr>
          <w:rFonts w:ascii="Times New Roman" w:hAnsi="Times New Roman"/>
          <w:sz w:val="24"/>
          <w:szCs w:val="24"/>
        </w:rPr>
        <w:t xml:space="preserve">, pp. 169-173.   </w:t>
      </w:r>
    </w:p>
    <w:p w:rsidR="00E93E99" w:rsidRPr="008A0DE7"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Wetherell, M. and Potter, J. (1988). ‘Discourse analysis and the identification of interpretive repertoires’. In C. Antaki (Ed.), </w:t>
      </w:r>
      <w:r w:rsidRPr="008A0DE7">
        <w:rPr>
          <w:rFonts w:ascii="Times New Roman" w:hAnsi="Times New Roman"/>
          <w:i/>
          <w:sz w:val="24"/>
          <w:szCs w:val="24"/>
        </w:rPr>
        <w:t xml:space="preserve">Analysing everyday explanation: A casebook of methods </w:t>
      </w:r>
      <w:r w:rsidRPr="008A0DE7">
        <w:rPr>
          <w:rFonts w:ascii="Times New Roman" w:hAnsi="Times New Roman"/>
          <w:sz w:val="24"/>
          <w:szCs w:val="24"/>
        </w:rPr>
        <w:t xml:space="preserve">(pp.168-183). Newbury Park, Ca: Sage. </w:t>
      </w:r>
    </w:p>
    <w:p w:rsidR="00E93E99" w:rsidRPr="00B70AF0" w:rsidRDefault="00E93E99" w:rsidP="00E93E99">
      <w:pPr>
        <w:spacing w:line="240" w:lineRule="auto"/>
        <w:jc w:val="both"/>
        <w:rPr>
          <w:rFonts w:ascii="Times New Roman" w:hAnsi="Times New Roman"/>
          <w:sz w:val="24"/>
          <w:szCs w:val="24"/>
        </w:rPr>
      </w:pPr>
      <w:r w:rsidRPr="008A0DE7">
        <w:rPr>
          <w:rFonts w:ascii="Times New Roman" w:hAnsi="Times New Roman"/>
          <w:sz w:val="24"/>
          <w:szCs w:val="24"/>
        </w:rPr>
        <w:t xml:space="preserve">Whittle, A. and Mueller, F. (2015). ‘Accounting for the Banking Crisis: Repertoires of Agency and Structure’. Forthcoming in </w:t>
      </w:r>
      <w:r w:rsidRPr="008A0DE7">
        <w:rPr>
          <w:rFonts w:ascii="Times New Roman" w:hAnsi="Times New Roman"/>
          <w:i/>
          <w:sz w:val="24"/>
          <w:szCs w:val="24"/>
        </w:rPr>
        <w:t>Critical Discourse Studies</w:t>
      </w:r>
      <w:r w:rsidRPr="008A0DE7">
        <w:rPr>
          <w:rFonts w:ascii="Times New Roman" w:hAnsi="Times New Roman"/>
          <w:sz w:val="24"/>
          <w:szCs w:val="24"/>
        </w:rPr>
        <w:t xml:space="preserve"> (Special Issue on ‘The Discourse of Austerity’).</w:t>
      </w:r>
      <w:r>
        <w:rPr>
          <w:rFonts w:ascii="Times New Roman" w:hAnsi="Times New Roman"/>
          <w:sz w:val="24"/>
          <w:szCs w:val="24"/>
        </w:rPr>
        <w:t xml:space="preserve">  </w:t>
      </w:r>
    </w:p>
    <w:p w:rsidR="00CB04F2" w:rsidRDefault="00CB04F2" w:rsidP="009E5B70">
      <w:pPr>
        <w:rPr>
          <w:rFonts w:ascii="Times New Roman" w:hAnsi="Times New Roman"/>
          <w:b/>
          <w:sz w:val="24"/>
          <w:szCs w:val="24"/>
        </w:rPr>
      </w:pPr>
    </w:p>
    <w:p w:rsidR="00B110CC" w:rsidRDefault="00B110CC" w:rsidP="009E5B70">
      <w:pPr>
        <w:rPr>
          <w:rFonts w:ascii="Times New Roman" w:hAnsi="Times New Roman"/>
          <w:b/>
          <w:sz w:val="24"/>
          <w:szCs w:val="24"/>
        </w:rPr>
      </w:pPr>
    </w:p>
    <w:p w:rsidR="00B110CC" w:rsidRDefault="00B110CC" w:rsidP="009E5B70">
      <w:pPr>
        <w:rPr>
          <w:rFonts w:ascii="Times New Roman" w:hAnsi="Times New Roman"/>
          <w:b/>
          <w:sz w:val="24"/>
          <w:szCs w:val="24"/>
        </w:rPr>
      </w:pPr>
    </w:p>
    <w:p w:rsidR="00B110CC" w:rsidRDefault="00B110CC" w:rsidP="009E5B70">
      <w:pPr>
        <w:rPr>
          <w:rFonts w:ascii="Times New Roman" w:hAnsi="Times New Roman"/>
          <w:b/>
          <w:sz w:val="24"/>
          <w:szCs w:val="24"/>
        </w:rPr>
      </w:pPr>
    </w:p>
    <w:p w:rsidR="00711F30" w:rsidRDefault="00711F30"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3C40DB" w:rsidRDefault="003C40DB" w:rsidP="009E5B70">
      <w:pPr>
        <w:rPr>
          <w:rFonts w:ascii="Times New Roman" w:hAnsi="Times New Roman"/>
          <w:b/>
          <w:sz w:val="24"/>
          <w:szCs w:val="24"/>
        </w:rPr>
      </w:pPr>
    </w:p>
    <w:p w:rsidR="009E5B70" w:rsidRPr="009E5B70" w:rsidRDefault="009E5B70" w:rsidP="009E5B70">
      <w:pPr>
        <w:rPr>
          <w:rFonts w:ascii="Times New Roman" w:hAnsi="Times New Roman"/>
          <w:b/>
          <w:sz w:val="24"/>
          <w:szCs w:val="24"/>
        </w:rPr>
      </w:pPr>
      <w:r w:rsidRPr="00230956">
        <w:rPr>
          <w:rFonts w:ascii="Times New Roman" w:hAnsi="Times New Roman"/>
          <w:b/>
          <w:sz w:val="24"/>
          <w:szCs w:val="24"/>
        </w:rPr>
        <w:t xml:space="preserve">Appendix A Data Collection </w:t>
      </w:r>
    </w:p>
    <w:tbl>
      <w:tblPr>
        <w:tblW w:w="0" w:type="auto"/>
        <w:tblBorders>
          <w:top w:val="single" w:sz="4" w:space="0" w:color="auto"/>
        </w:tblBorders>
        <w:tblLook w:val="04A0" w:firstRow="1" w:lastRow="0" w:firstColumn="1" w:lastColumn="0" w:noHBand="0" w:noVBand="1"/>
      </w:tblPr>
      <w:tblGrid>
        <w:gridCol w:w="1526"/>
        <w:gridCol w:w="6996"/>
      </w:tblGrid>
      <w:tr w:rsidR="009E5B70" w:rsidRPr="003A6860" w:rsidTr="003A6860">
        <w:tc>
          <w:tcPr>
            <w:tcW w:w="1526" w:type="dxa"/>
            <w:tcBorders>
              <w:bottom w:val="single" w:sz="4" w:space="0" w:color="auto"/>
            </w:tcBorders>
            <w:shd w:val="clear" w:color="auto" w:fill="auto"/>
          </w:tcPr>
          <w:p w:rsidR="009E5B70" w:rsidRPr="003A6860" w:rsidRDefault="009E5B70" w:rsidP="009E5B70">
            <w:pPr>
              <w:rPr>
                <w:rFonts w:ascii="Times New Roman" w:hAnsi="Times New Roman"/>
              </w:rPr>
            </w:pPr>
            <w:r w:rsidRPr="003A6860">
              <w:rPr>
                <w:rFonts w:ascii="Times New Roman" w:hAnsi="Times New Roman"/>
              </w:rPr>
              <w:lastRenderedPageBreak/>
              <w:t xml:space="preserve">Phase 1 </w:t>
            </w:r>
          </w:p>
          <w:p w:rsidR="009E5B70" w:rsidRPr="003A6860" w:rsidRDefault="009E5B70" w:rsidP="009E5B70"/>
        </w:tc>
        <w:tc>
          <w:tcPr>
            <w:tcW w:w="6996" w:type="dxa"/>
            <w:tcBorders>
              <w:bottom w:val="single" w:sz="4" w:space="0" w:color="auto"/>
            </w:tcBorders>
            <w:shd w:val="clear" w:color="auto" w:fill="auto"/>
          </w:tcPr>
          <w:p w:rsidR="009E5B70" w:rsidRPr="003A6860" w:rsidRDefault="009E5B70" w:rsidP="003A6860">
            <w:pPr>
              <w:pStyle w:val="BodyTextIndent"/>
              <w:spacing w:line="240" w:lineRule="auto"/>
              <w:ind w:left="0"/>
              <w:jc w:val="both"/>
              <w:rPr>
                <w:rFonts w:ascii="Times New Roman" w:hAnsi="Times New Roman"/>
                <w:sz w:val="24"/>
                <w:szCs w:val="24"/>
              </w:rPr>
            </w:pPr>
            <w:r w:rsidRPr="003A6860">
              <w:rPr>
                <w:rFonts w:ascii="Times New Roman" w:hAnsi="Times New Roman"/>
                <w:sz w:val="24"/>
                <w:szCs w:val="24"/>
              </w:rPr>
              <w:t xml:space="preserve">Using the sorting tools in the Pension Funds Online database, 2,866 UK pension funds were identified by their share of UK ownership, starting from the minimum value of £1 million + ∞. </w:t>
            </w:r>
          </w:p>
          <w:p w:rsidR="009E5B70" w:rsidRPr="003A6860" w:rsidRDefault="009E5B70" w:rsidP="003A6860">
            <w:pPr>
              <w:pStyle w:val="BodyTextIndent"/>
              <w:spacing w:line="240" w:lineRule="auto"/>
              <w:ind w:left="0"/>
              <w:jc w:val="both"/>
              <w:rPr>
                <w:rFonts w:ascii="Times New Roman" w:hAnsi="Times New Roman"/>
                <w:sz w:val="24"/>
                <w:szCs w:val="24"/>
              </w:rPr>
            </w:pPr>
            <w:r w:rsidRPr="003A6860">
              <w:rPr>
                <w:rFonts w:ascii="Times New Roman" w:hAnsi="Times New Roman"/>
                <w:sz w:val="24"/>
                <w:szCs w:val="24"/>
              </w:rPr>
              <w:t>The population range is generated according to fund size in terms of capital value, the highest being over £37 billion and the lowest being just over £2 million. From this list, Top 100 occupational and local authority pension funds were then selected for the second screening phase.</w:t>
            </w:r>
          </w:p>
          <w:p w:rsidR="009E5B70" w:rsidRPr="003A6860" w:rsidRDefault="009E5B70" w:rsidP="009E5B70"/>
        </w:tc>
      </w:tr>
      <w:tr w:rsidR="009E5B70" w:rsidRPr="003A6860" w:rsidTr="003A6860">
        <w:tc>
          <w:tcPr>
            <w:tcW w:w="1526" w:type="dxa"/>
            <w:tcBorders>
              <w:top w:val="single" w:sz="4" w:space="0" w:color="auto"/>
              <w:bottom w:val="single" w:sz="4" w:space="0" w:color="auto"/>
            </w:tcBorders>
            <w:shd w:val="clear" w:color="auto" w:fill="auto"/>
          </w:tcPr>
          <w:p w:rsidR="009E5B70" w:rsidRPr="003A6860" w:rsidRDefault="009E5B70" w:rsidP="009E5B70">
            <w:pPr>
              <w:rPr>
                <w:rFonts w:ascii="Times New Roman" w:hAnsi="Times New Roman"/>
              </w:rPr>
            </w:pPr>
            <w:r w:rsidRPr="003A6860">
              <w:rPr>
                <w:rFonts w:ascii="Times New Roman" w:hAnsi="Times New Roman"/>
              </w:rPr>
              <w:t xml:space="preserve">Phase  2 </w:t>
            </w:r>
          </w:p>
        </w:tc>
        <w:tc>
          <w:tcPr>
            <w:tcW w:w="6996" w:type="dxa"/>
            <w:tcBorders>
              <w:top w:val="single" w:sz="4" w:space="0" w:color="auto"/>
              <w:bottom w:val="single" w:sz="4" w:space="0" w:color="auto"/>
            </w:tcBorders>
            <w:shd w:val="clear" w:color="auto" w:fill="auto"/>
          </w:tcPr>
          <w:p w:rsidR="009E5B70" w:rsidRPr="003A6860" w:rsidRDefault="009E5B70" w:rsidP="003A6860">
            <w:pPr>
              <w:pStyle w:val="Subtitle"/>
              <w:jc w:val="both"/>
              <w:rPr>
                <w:b w:val="0"/>
                <w:bCs w:val="0"/>
              </w:rPr>
            </w:pPr>
            <w:r w:rsidRPr="003A6860">
              <w:rPr>
                <w:b w:val="0"/>
                <w:bCs w:val="0"/>
              </w:rPr>
              <w:t xml:space="preserve">The Top 100 pension funds were analyzed and cross-compared, to establish the characteristics such as pension fund type, amount of assets under management, allocation to equity, mode of investment management, and maturity. </w:t>
            </w:r>
          </w:p>
          <w:p w:rsidR="009E5B70" w:rsidRPr="003A6860" w:rsidRDefault="009E5B70" w:rsidP="003A6860">
            <w:pPr>
              <w:pStyle w:val="Subtitle"/>
              <w:jc w:val="both"/>
              <w:rPr>
                <w:b w:val="0"/>
                <w:bCs w:val="0"/>
              </w:rPr>
            </w:pPr>
          </w:p>
          <w:p w:rsidR="009E5B70" w:rsidRPr="003A6860" w:rsidRDefault="009E5B70" w:rsidP="003A6860">
            <w:pPr>
              <w:pStyle w:val="Subtitle"/>
              <w:jc w:val="both"/>
              <w:rPr>
                <w:b w:val="0"/>
                <w:bCs w:val="0"/>
              </w:rPr>
            </w:pPr>
            <w:r w:rsidRPr="003A6860">
              <w:rPr>
                <w:b w:val="0"/>
                <w:bCs w:val="0"/>
              </w:rPr>
              <w:t xml:space="preserve">After examining these characteristics it became evident that there was enough diversity within these funds to reflect the different characteristics and the completeness of the range of the responses. The sample represents both local authority and occupational pension funds, with assets under management ranging from £30 billion to just under £1 billion, and total membership ranging from 239,144 to just over 10,000. </w:t>
            </w:r>
          </w:p>
          <w:p w:rsidR="009E5B70" w:rsidRPr="003A6860" w:rsidRDefault="009E5B70" w:rsidP="009E5B70"/>
        </w:tc>
      </w:tr>
    </w:tbl>
    <w:p w:rsidR="009E5B70" w:rsidRPr="003A6860" w:rsidRDefault="009E5B70" w:rsidP="009E5B70">
      <w:pPr>
        <w:pStyle w:val="Caption"/>
        <w:rPr>
          <w:rFonts w:eastAsia="MS Mincho"/>
          <w:b w:val="0"/>
          <w:bCs w:val="0"/>
          <w:sz w:val="24"/>
          <w:szCs w:val="24"/>
          <w:lang w:val="en"/>
        </w:rPr>
      </w:pPr>
    </w:p>
    <w:p w:rsidR="009E5B70" w:rsidRDefault="009E5B70" w:rsidP="009E5B70">
      <w:pPr>
        <w:pStyle w:val="Caption"/>
        <w:rPr>
          <w:sz w:val="24"/>
          <w:szCs w:val="24"/>
        </w:rPr>
      </w:pPr>
    </w:p>
    <w:p w:rsidR="009E5B70" w:rsidRDefault="009E5B70" w:rsidP="009E5B70">
      <w:pPr>
        <w:pStyle w:val="Caption"/>
        <w:rPr>
          <w:sz w:val="24"/>
          <w:szCs w:val="24"/>
        </w:rPr>
      </w:pPr>
    </w:p>
    <w:p w:rsidR="009E5B70" w:rsidRDefault="009E5B70" w:rsidP="009E5B70">
      <w:pPr>
        <w:pStyle w:val="Caption"/>
        <w:rPr>
          <w:sz w:val="24"/>
          <w:szCs w:val="24"/>
        </w:rPr>
      </w:pPr>
    </w:p>
    <w:p w:rsidR="009E5B70" w:rsidRDefault="009E5B70" w:rsidP="009E5B70">
      <w:pPr>
        <w:pStyle w:val="Caption"/>
        <w:rPr>
          <w:sz w:val="24"/>
          <w:szCs w:val="24"/>
        </w:rPr>
      </w:pPr>
    </w:p>
    <w:p w:rsidR="009E5B70" w:rsidRDefault="009E5B70" w:rsidP="009E5B70">
      <w:pPr>
        <w:rPr>
          <w:lang w:eastAsia="en-GB"/>
        </w:rPr>
      </w:pPr>
    </w:p>
    <w:p w:rsidR="009E5B70" w:rsidRDefault="009E5B70" w:rsidP="009E5B70">
      <w:pPr>
        <w:rPr>
          <w:lang w:eastAsia="en-GB"/>
        </w:rPr>
      </w:pPr>
    </w:p>
    <w:p w:rsidR="009E5B70" w:rsidRDefault="009E5B70" w:rsidP="009E5B70">
      <w:pPr>
        <w:rPr>
          <w:lang w:eastAsia="en-GB"/>
        </w:rPr>
      </w:pPr>
    </w:p>
    <w:p w:rsidR="009E5B70" w:rsidRDefault="009E5B70" w:rsidP="009E5B70">
      <w:pPr>
        <w:rPr>
          <w:lang w:eastAsia="en-GB"/>
        </w:rPr>
      </w:pPr>
    </w:p>
    <w:p w:rsidR="00E93E99" w:rsidRDefault="00E93E99" w:rsidP="009E5B70">
      <w:pPr>
        <w:rPr>
          <w:lang w:eastAsia="en-GB"/>
        </w:rPr>
      </w:pPr>
    </w:p>
    <w:p w:rsidR="00E93E99" w:rsidRDefault="00E93E99" w:rsidP="009E5B70">
      <w:pPr>
        <w:rPr>
          <w:lang w:eastAsia="en-GB"/>
        </w:rPr>
      </w:pPr>
    </w:p>
    <w:p w:rsidR="00F506A6" w:rsidRPr="003A6860" w:rsidRDefault="00F506A6" w:rsidP="009E5B70">
      <w:pPr>
        <w:pStyle w:val="Caption"/>
        <w:rPr>
          <w:rFonts w:ascii="Calibri" w:eastAsia="Calibri" w:hAnsi="Calibri"/>
          <w:b w:val="0"/>
          <w:bCs w:val="0"/>
          <w:sz w:val="22"/>
          <w:szCs w:val="22"/>
        </w:rPr>
      </w:pPr>
    </w:p>
    <w:p w:rsidR="008A2596" w:rsidRDefault="008A2596" w:rsidP="008A2596">
      <w:pPr>
        <w:rPr>
          <w:lang w:eastAsia="en-GB"/>
        </w:rPr>
      </w:pPr>
    </w:p>
    <w:p w:rsidR="008A2596" w:rsidRDefault="008A2596" w:rsidP="008A2596">
      <w:pPr>
        <w:rPr>
          <w:lang w:eastAsia="en-GB"/>
        </w:rPr>
      </w:pPr>
    </w:p>
    <w:p w:rsidR="008A2596" w:rsidRPr="008A2596" w:rsidRDefault="008A2596" w:rsidP="008A2596">
      <w:pPr>
        <w:rPr>
          <w:lang w:eastAsia="en-GB"/>
        </w:rPr>
      </w:pPr>
    </w:p>
    <w:p w:rsidR="00F506A6" w:rsidRPr="003A6860" w:rsidRDefault="00F506A6" w:rsidP="009E5B70">
      <w:pPr>
        <w:pStyle w:val="Caption"/>
        <w:rPr>
          <w:rFonts w:ascii="Calibri" w:eastAsia="Calibri" w:hAnsi="Calibri"/>
          <w:b w:val="0"/>
          <w:bCs w:val="0"/>
          <w:sz w:val="22"/>
          <w:szCs w:val="22"/>
        </w:rPr>
      </w:pPr>
    </w:p>
    <w:p w:rsidR="009E5B70" w:rsidRDefault="009E5B70" w:rsidP="009E5B70">
      <w:pPr>
        <w:pStyle w:val="Caption"/>
        <w:rPr>
          <w:iCs/>
          <w:sz w:val="24"/>
          <w:szCs w:val="24"/>
        </w:rPr>
      </w:pPr>
      <w:r>
        <w:rPr>
          <w:sz w:val="24"/>
          <w:szCs w:val="24"/>
        </w:rPr>
        <w:t xml:space="preserve">Appendix B  </w:t>
      </w:r>
      <w:r w:rsidRPr="009E5B70">
        <w:rPr>
          <w:iCs/>
          <w:sz w:val="24"/>
          <w:szCs w:val="24"/>
        </w:rPr>
        <w:t xml:space="preserve">List of Respondents </w:t>
      </w:r>
    </w:p>
    <w:p w:rsidR="009E5B70" w:rsidRPr="009E5B70" w:rsidRDefault="009E5B70" w:rsidP="009E5B70">
      <w:pPr>
        <w:rPr>
          <w:lang w:eastAsia="en-GB"/>
        </w:rPr>
      </w:pP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2394"/>
        <w:gridCol w:w="2048"/>
        <w:gridCol w:w="1423"/>
        <w:gridCol w:w="2549"/>
      </w:tblGrid>
      <w:tr w:rsidR="009E5B70" w:rsidRPr="003A6860" w:rsidTr="009E5B70">
        <w:trPr>
          <w:cantSplit/>
        </w:trPr>
        <w:tc>
          <w:tcPr>
            <w:tcW w:w="2394" w:type="dxa"/>
            <w:tcBorders>
              <w:top w:val="single" w:sz="4" w:space="0" w:color="auto"/>
              <w:bottom w:val="single" w:sz="4" w:space="0" w:color="auto"/>
            </w:tcBorders>
          </w:tcPr>
          <w:p w:rsidR="009E5B70" w:rsidRPr="00F53BEF" w:rsidRDefault="009E5B70" w:rsidP="009E5B70">
            <w:pPr>
              <w:pStyle w:val="Subtitle"/>
              <w:rPr>
                <w:sz w:val="20"/>
                <w:szCs w:val="20"/>
                <w:lang w:val="en-GB"/>
              </w:rPr>
            </w:pPr>
            <w:r w:rsidRPr="00F53BEF">
              <w:rPr>
                <w:sz w:val="20"/>
                <w:szCs w:val="20"/>
                <w:lang w:val="en-GB"/>
              </w:rPr>
              <w:t>Position</w:t>
            </w:r>
          </w:p>
        </w:tc>
        <w:tc>
          <w:tcPr>
            <w:tcW w:w="2100" w:type="dxa"/>
            <w:tcBorders>
              <w:top w:val="single" w:sz="4" w:space="0" w:color="auto"/>
              <w:bottom w:val="single" w:sz="4" w:space="0" w:color="auto"/>
            </w:tcBorders>
          </w:tcPr>
          <w:p w:rsidR="009E5B70" w:rsidRPr="00F53BEF" w:rsidRDefault="009E5B70" w:rsidP="009E5B70">
            <w:pPr>
              <w:pStyle w:val="Subtitle"/>
              <w:rPr>
                <w:sz w:val="20"/>
                <w:szCs w:val="20"/>
                <w:lang w:val="en-GB"/>
              </w:rPr>
            </w:pPr>
            <w:r w:rsidRPr="00F53BEF">
              <w:rPr>
                <w:sz w:val="20"/>
                <w:szCs w:val="20"/>
                <w:lang w:val="en-GB"/>
              </w:rPr>
              <w:t>Type of Organization</w:t>
            </w:r>
          </w:p>
        </w:tc>
        <w:tc>
          <w:tcPr>
            <w:tcW w:w="1431" w:type="dxa"/>
            <w:tcBorders>
              <w:top w:val="single" w:sz="4" w:space="0" w:color="auto"/>
              <w:bottom w:val="single" w:sz="4" w:space="0" w:color="auto"/>
            </w:tcBorders>
          </w:tcPr>
          <w:p w:rsidR="009E5B70" w:rsidRPr="00F53BEF" w:rsidRDefault="009E5B70" w:rsidP="009E5B70">
            <w:pPr>
              <w:pStyle w:val="Subtitle"/>
              <w:rPr>
                <w:sz w:val="20"/>
                <w:szCs w:val="20"/>
                <w:lang w:val="en-GB"/>
              </w:rPr>
            </w:pPr>
            <w:r w:rsidRPr="00F53BEF">
              <w:rPr>
                <w:sz w:val="20"/>
                <w:szCs w:val="20"/>
                <w:lang w:val="en-GB"/>
              </w:rPr>
              <w:t>Assets under management</w:t>
            </w:r>
          </w:p>
          <w:p w:rsidR="009E5B70" w:rsidRPr="00F53BEF" w:rsidRDefault="009E5B70" w:rsidP="009E5B70">
            <w:pPr>
              <w:pStyle w:val="Subtitle"/>
              <w:rPr>
                <w:sz w:val="20"/>
                <w:szCs w:val="20"/>
                <w:lang w:val="en-GB"/>
              </w:rPr>
            </w:pPr>
            <w:r w:rsidRPr="00F53BEF">
              <w:rPr>
                <w:sz w:val="20"/>
                <w:szCs w:val="20"/>
                <w:lang w:val="en-GB"/>
              </w:rPr>
              <w:t>(£bn)</w:t>
            </w:r>
          </w:p>
        </w:tc>
        <w:tc>
          <w:tcPr>
            <w:tcW w:w="2597" w:type="dxa"/>
            <w:tcBorders>
              <w:top w:val="single" w:sz="4" w:space="0" w:color="auto"/>
              <w:bottom w:val="single" w:sz="4" w:space="0" w:color="auto"/>
            </w:tcBorders>
          </w:tcPr>
          <w:p w:rsidR="009E5B70" w:rsidRPr="00F53BEF" w:rsidRDefault="009E5B70" w:rsidP="009E5B70">
            <w:pPr>
              <w:pStyle w:val="Subtitle"/>
              <w:rPr>
                <w:sz w:val="20"/>
                <w:szCs w:val="20"/>
                <w:lang w:val="en-GB"/>
              </w:rPr>
            </w:pPr>
            <w:r w:rsidRPr="00F53BEF">
              <w:rPr>
                <w:sz w:val="20"/>
                <w:szCs w:val="20"/>
                <w:lang w:val="en-GB"/>
              </w:rPr>
              <w:t>Industry sector</w:t>
            </w:r>
          </w:p>
        </w:tc>
      </w:tr>
      <w:tr w:rsidR="009E5B70" w:rsidRPr="003A6860" w:rsidTr="009E5B70">
        <w:tc>
          <w:tcPr>
            <w:tcW w:w="2394" w:type="dxa"/>
            <w:tcBorders>
              <w:top w:val="single" w:sz="4" w:space="0" w:color="auto"/>
            </w:tcBorders>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Executive member of LAPFF/Trustee</w:t>
            </w:r>
          </w:p>
        </w:tc>
        <w:tc>
          <w:tcPr>
            <w:tcW w:w="2100" w:type="dxa"/>
            <w:tcBorders>
              <w:top w:val="single" w:sz="4" w:space="0" w:color="auto"/>
            </w:tcBorders>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authority fund </w:t>
            </w:r>
          </w:p>
          <w:p w:rsidR="009E5B70" w:rsidRPr="00F53BEF" w:rsidRDefault="009E5B70" w:rsidP="009E5B70">
            <w:pPr>
              <w:pStyle w:val="Subtitle"/>
              <w:jc w:val="left"/>
              <w:rPr>
                <w:b w:val="0"/>
                <w:bCs w:val="0"/>
                <w:sz w:val="20"/>
                <w:szCs w:val="20"/>
                <w:lang w:val="en-GB"/>
              </w:rPr>
            </w:pPr>
            <w:r w:rsidRPr="00F53BEF">
              <w:rPr>
                <w:b w:val="0"/>
                <w:bCs w:val="0"/>
                <w:sz w:val="20"/>
                <w:szCs w:val="20"/>
                <w:lang w:val="en-GB"/>
              </w:rPr>
              <w:t>LAPFF</w:t>
            </w:r>
          </w:p>
        </w:tc>
        <w:tc>
          <w:tcPr>
            <w:tcW w:w="1431" w:type="dxa"/>
            <w:tcBorders>
              <w:top w:val="single" w:sz="4" w:space="0" w:color="auto"/>
            </w:tcBorders>
          </w:tcPr>
          <w:p w:rsidR="009E5B70" w:rsidRPr="00F53BEF" w:rsidRDefault="009E5B70" w:rsidP="009E5B70">
            <w:pPr>
              <w:pStyle w:val="Subtitle"/>
              <w:rPr>
                <w:b w:val="0"/>
                <w:bCs w:val="0"/>
                <w:smallCaps/>
                <w:sz w:val="20"/>
                <w:szCs w:val="20"/>
                <w:lang w:val="en-GB"/>
              </w:rPr>
            </w:pPr>
            <w:r w:rsidRPr="00F53BEF">
              <w:rPr>
                <w:b w:val="0"/>
                <w:bCs w:val="0"/>
                <w:smallCaps/>
                <w:sz w:val="20"/>
                <w:szCs w:val="20"/>
                <w:lang w:val="en-GB"/>
              </w:rPr>
              <w:t>£3.9</w:t>
            </w:r>
          </w:p>
          <w:p w:rsidR="009E5B70" w:rsidRPr="00F53BEF" w:rsidRDefault="009E5B70" w:rsidP="009E5B70">
            <w:pPr>
              <w:pStyle w:val="Subtitle"/>
              <w:rPr>
                <w:b w:val="0"/>
                <w:bCs w:val="0"/>
                <w:sz w:val="20"/>
                <w:szCs w:val="20"/>
                <w:lang w:val="en-GB"/>
              </w:rPr>
            </w:pPr>
            <w:r w:rsidRPr="00F53BEF">
              <w:rPr>
                <w:b w:val="0"/>
                <w:bCs w:val="0"/>
                <w:smallCaps/>
                <w:sz w:val="20"/>
                <w:szCs w:val="20"/>
                <w:lang w:val="en-GB"/>
              </w:rPr>
              <w:t>£95</w:t>
            </w:r>
          </w:p>
        </w:tc>
        <w:tc>
          <w:tcPr>
            <w:tcW w:w="2597" w:type="dxa"/>
            <w:tcBorders>
              <w:top w:val="single" w:sz="4" w:space="0" w:color="auto"/>
            </w:tcBorders>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Government </w:t>
            </w:r>
          </w:p>
        </w:tc>
      </w:tr>
      <w:tr w:rsidR="009E5B70" w:rsidRPr="003A6860" w:rsidTr="009E5B70">
        <w:trPr>
          <w:cantSplit/>
        </w:trPr>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Chief Executive Officer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fund </w:t>
            </w:r>
          </w:p>
        </w:tc>
        <w:tc>
          <w:tcPr>
            <w:tcW w:w="1431" w:type="dxa"/>
          </w:tcPr>
          <w:p w:rsidR="009E5B70" w:rsidRPr="00F53BEF" w:rsidRDefault="009E5B70" w:rsidP="009E5B70">
            <w:pPr>
              <w:pStyle w:val="Subtitle"/>
              <w:rPr>
                <w:b w:val="0"/>
                <w:bCs w:val="0"/>
                <w:smallCaps/>
                <w:sz w:val="20"/>
                <w:szCs w:val="20"/>
                <w:lang w:val="en-GB"/>
              </w:rPr>
            </w:pPr>
            <w:r w:rsidRPr="00F53BEF">
              <w:rPr>
                <w:b w:val="0"/>
                <w:bCs w:val="0"/>
                <w:smallCaps/>
                <w:sz w:val="20"/>
                <w:szCs w:val="20"/>
                <w:lang w:val="en-GB"/>
              </w:rPr>
              <w:t>£7.0</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Chemicals and Allied Products </w:t>
            </w:r>
          </w:p>
        </w:tc>
      </w:tr>
      <w:tr w:rsidR="009E5B70" w:rsidRPr="003A6860" w:rsidTr="009E5B70">
        <w:trPr>
          <w:cantSplit/>
        </w:trPr>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Trustee</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Local authority fund</w:t>
            </w:r>
          </w:p>
        </w:tc>
        <w:tc>
          <w:tcPr>
            <w:tcW w:w="1431" w:type="dxa"/>
          </w:tcPr>
          <w:p w:rsidR="009E5B70" w:rsidRPr="00F53BEF" w:rsidRDefault="009E5B70" w:rsidP="009E5B70">
            <w:pPr>
              <w:pStyle w:val="Subtitle"/>
              <w:rPr>
                <w:b w:val="0"/>
                <w:bCs w:val="0"/>
                <w:smallCaps/>
                <w:sz w:val="20"/>
                <w:szCs w:val="20"/>
                <w:lang w:val="en-GB"/>
              </w:rPr>
            </w:pPr>
            <w:r w:rsidRPr="00F53BEF">
              <w:rPr>
                <w:b w:val="0"/>
                <w:bCs w:val="0"/>
                <w:smallCaps/>
                <w:sz w:val="20"/>
                <w:szCs w:val="20"/>
                <w:lang w:val="en-GB"/>
              </w:rPr>
              <w:t>£3.9</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Government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Chief Executive Officer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Occupational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£22.6</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Energy and Utilities</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Chief Executive Officer/ Trustee</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£13.8</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Energy and Utilities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lastRenderedPageBreak/>
              <w:t>Trustee</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Energy and Utilities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Chief Executive Officer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£5.1</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Retail and Wholesale Trade</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Treasurer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authority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£3.9</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Government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Corporate Governance Counsel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£15.9</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Tourism and Travel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Trustee</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Energy and Utilities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Chief Executive Officer</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Occupational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Telecommunications</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Trustee/Executive Director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Occupational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£3.4</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Industry-wide</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Manager, Pensions Investment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Corporate</w:t>
            </w:r>
          </w:p>
        </w:tc>
        <w:tc>
          <w:tcPr>
            <w:tcW w:w="1431" w:type="dxa"/>
          </w:tcPr>
          <w:p w:rsidR="009E5B70" w:rsidRPr="00F53BEF" w:rsidRDefault="009E5B70" w:rsidP="009E5B70">
            <w:pPr>
              <w:pStyle w:val="Subtitle"/>
              <w:rPr>
                <w:b w:val="0"/>
                <w:bCs w:val="0"/>
                <w:sz w:val="20"/>
                <w:szCs w:val="20"/>
                <w:lang w:val="en-GB"/>
              </w:rPr>
            </w:pPr>
            <w:r w:rsidRPr="00F53BEF">
              <w:rPr>
                <w:b w:val="0"/>
                <w:bCs w:val="0"/>
                <w:sz w:val="20"/>
                <w:szCs w:val="20"/>
                <w:lang w:val="en-GB"/>
              </w:rPr>
              <w:t>N/A</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Energy and Utilities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Chief Executive Officer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£2.4</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Media</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 Executive Officer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Occupational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£11.9</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Energy and Utilities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Chief Investment Officer</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Occupational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£30.1</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Education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Pensions Policy Manager</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Occupational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£30.1</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Education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Chief Executive Officer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Occupational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£3.4</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Industry-wide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Trustee</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Local authority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£4.3</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Government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Chairman of Trustees</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Occupational fund</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£12.7</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Energy and Utilities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Pensions Secretary</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£2.3</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Energy and Utilities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Co-Head of Responsible Investment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£30.1</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Education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Chief Investment Officer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authority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£7.9</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Government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Chief Executive Officer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authority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£4.3</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Government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Trustee</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Occupational </w:t>
            </w:r>
          </w:p>
        </w:tc>
        <w:tc>
          <w:tcPr>
            <w:tcW w:w="1431" w:type="dxa"/>
          </w:tcPr>
          <w:p w:rsidR="009E5B70" w:rsidRPr="00F53BEF" w:rsidRDefault="009E5B70" w:rsidP="009E5B70">
            <w:pPr>
              <w:pStyle w:val="Subtitle"/>
              <w:rPr>
                <w:b w:val="0"/>
                <w:bCs w:val="0"/>
                <w:sz w:val="20"/>
                <w:szCs w:val="20"/>
                <w:lang w:val="en-GB"/>
              </w:rPr>
            </w:pPr>
            <w:r w:rsidRPr="00F53BEF">
              <w:rPr>
                <w:b w:val="0"/>
                <w:bCs w:val="0"/>
                <w:sz w:val="20"/>
                <w:szCs w:val="20"/>
                <w:lang w:val="en-GB"/>
              </w:rPr>
              <w:t>N/A</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Education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Pension Fund Manager</w:t>
            </w:r>
          </w:p>
          <w:p w:rsidR="009E5B70" w:rsidRPr="00F53BEF" w:rsidRDefault="009E5B70" w:rsidP="009E5B70">
            <w:pPr>
              <w:pStyle w:val="Subtitle"/>
              <w:jc w:val="left"/>
              <w:rPr>
                <w:b w:val="0"/>
                <w:bCs w:val="0"/>
                <w:sz w:val="20"/>
                <w:szCs w:val="20"/>
                <w:lang w:val="en-GB"/>
              </w:rPr>
            </w:pP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authority fund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£2.3</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Local Government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Investment Director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Asset management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£12.1</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Finance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Actuary/Retirement Consultant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Investment consulting</w:t>
            </w:r>
          </w:p>
        </w:tc>
        <w:tc>
          <w:tcPr>
            <w:tcW w:w="1431" w:type="dxa"/>
          </w:tcPr>
          <w:p w:rsidR="009E5B70" w:rsidRPr="00F53BEF" w:rsidRDefault="009E5B70" w:rsidP="009E5B70">
            <w:pPr>
              <w:pStyle w:val="Subtitle"/>
              <w:rPr>
                <w:b w:val="0"/>
                <w:bCs w:val="0"/>
                <w:sz w:val="20"/>
                <w:szCs w:val="20"/>
                <w:lang w:val="en-GB"/>
              </w:rPr>
            </w:pPr>
            <w:r w:rsidRPr="00F53BEF">
              <w:rPr>
                <w:b w:val="0"/>
                <w:bCs w:val="0"/>
                <w:sz w:val="20"/>
                <w:szCs w:val="20"/>
                <w:lang w:val="en-GB"/>
              </w:rPr>
              <w:t>N/A</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Investment Consulting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Chief Investment Manager/Former CIO of local authority fund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Asset management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£1.5</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Finance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Investment Manager</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Asset management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£37</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Finance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Actuary</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Investment Consulting</w:t>
            </w:r>
          </w:p>
        </w:tc>
        <w:tc>
          <w:tcPr>
            <w:tcW w:w="1431" w:type="dxa"/>
          </w:tcPr>
          <w:p w:rsidR="009E5B70" w:rsidRPr="00F53BEF" w:rsidRDefault="009E5B70" w:rsidP="009E5B70">
            <w:pPr>
              <w:pStyle w:val="Subtitle"/>
              <w:rPr>
                <w:b w:val="0"/>
                <w:bCs w:val="0"/>
                <w:sz w:val="20"/>
                <w:szCs w:val="20"/>
                <w:lang w:val="en-GB"/>
              </w:rPr>
            </w:pPr>
            <w:r w:rsidRPr="00F53BEF">
              <w:rPr>
                <w:b w:val="0"/>
                <w:bCs w:val="0"/>
                <w:sz w:val="20"/>
                <w:szCs w:val="20"/>
                <w:lang w:val="en-GB"/>
              </w:rPr>
              <w:t>N/A</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Investment Consulting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Client Relationship Executive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Asset management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£300</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Finance </w:t>
            </w: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Senior Consultant/Chairman/Non-Executive Director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Investment Consulting</w:t>
            </w:r>
          </w:p>
          <w:p w:rsidR="009E5B70" w:rsidRPr="00F53BEF" w:rsidRDefault="009E5B70" w:rsidP="009E5B70">
            <w:pPr>
              <w:pStyle w:val="Subtitle"/>
              <w:jc w:val="left"/>
              <w:rPr>
                <w:b w:val="0"/>
                <w:bCs w:val="0"/>
                <w:sz w:val="20"/>
                <w:szCs w:val="20"/>
                <w:lang w:val="en-GB"/>
              </w:rPr>
            </w:pPr>
            <w:r w:rsidRPr="00F53BEF">
              <w:rPr>
                <w:b w:val="0"/>
                <w:bCs w:val="0"/>
                <w:sz w:val="20"/>
                <w:szCs w:val="20"/>
                <w:lang w:val="en-GB"/>
              </w:rPr>
              <w:t>NAPF</w:t>
            </w:r>
          </w:p>
          <w:p w:rsidR="009E5B70" w:rsidRPr="00F53BEF" w:rsidRDefault="009E5B70" w:rsidP="009E5B70">
            <w:pPr>
              <w:pStyle w:val="Subtitle"/>
              <w:jc w:val="left"/>
              <w:rPr>
                <w:b w:val="0"/>
                <w:bCs w:val="0"/>
                <w:sz w:val="20"/>
                <w:szCs w:val="20"/>
                <w:lang w:val="en-GB"/>
              </w:rPr>
            </w:pPr>
            <w:r w:rsidRPr="00F53BEF">
              <w:rPr>
                <w:b w:val="0"/>
                <w:bCs w:val="0"/>
                <w:sz w:val="20"/>
                <w:szCs w:val="20"/>
                <w:lang w:val="en-GB"/>
              </w:rPr>
              <w:t>BESTrustees</w:t>
            </w:r>
          </w:p>
          <w:p w:rsidR="009E5B70" w:rsidRPr="00F53BEF" w:rsidRDefault="009E5B70" w:rsidP="009E5B70">
            <w:pPr>
              <w:pStyle w:val="Subtitle"/>
              <w:jc w:val="left"/>
              <w:rPr>
                <w:b w:val="0"/>
                <w:bCs w:val="0"/>
                <w:sz w:val="20"/>
                <w:szCs w:val="20"/>
                <w:lang w:val="en-GB"/>
              </w:rPr>
            </w:pPr>
            <w:r w:rsidRPr="00F53BEF">
              <w:rPr>
                <w:b w:val="0"/>
                <w:bCs w:val="0"/>
                <w:sz w:val="20"/>
                <w:szCs w:val="20"/>
                <w:lang w:val="en-GB"/>
              </w:rPr>
              <w:t>The Pensions Regulator</w:t>
            </w:r>
          </w:p>
        </w:tc>
        <w:tc>
          <w:tcPr>
            <w:tcW w:w="1431" w:type="dxa"/>
          </w:tcPr>
          <w:p w:rsidR="009E5B70" w:rsidRPr="00F53BEF" w:rsidRDefault="009E5B70" w:rsidP="009E5B70">
            <w:pPr>
              <w:pStyle w:val="Subtitle"/>
              <w:rPr>
                <w:b w:val="0"/>
                <w:bCs w:val="0"/>
                <w:sz w:val="20"/>
                <w:szCs w:val="20"/>
                <w:lang w:val="en-GB"/>
              </w:rPr>
            </w:pPr>
            <w:r w:rsidRPr="00F53BEF">
              <w:rPr>
                <w:b w:val="0"/>
                <w:bCs w:val="0"/>
                <w:sz w:val="20"/>
                <w:szCs w:val="20"/>
                <w:lang w:val="en-GB"/>
              </w:rPr>
              <w:t>N/A</w:t>
            </w:r>
          </w:p>
        </w:tc>
        <w:tc>
          <w:tcPr>
            <w:tcW w:w="2597" w:type="dxa"/>
          </w:tcPr>
          <w:p w:rsidR="009E5B70" w:rsidRPr="00F53BEF" w:rsidRDefault="009E5B70" w:rsidP="009E5B70">
            <w:pPr>
              <w:pStyle w:val="Subtitle"/>
              <w:jc w:val="left"/>
              <w:rPr>
                <w:b w:val="0"/>
                <w:bCs w:val="0"/>
                <w:sz w:val="20"/>
                <w:szCs w:val="20"/>
                <w:lang w:val="en-GB"/>
              </w:rPr>
            </w:pPr>
          </w:p>
        </w:tc>
      </w:tr>
      <w:tr w:rsidR="009E5B70" w:rsidRPr="003A6860" w:rsidTr="009E5B70">
        <w:tc>
          <w:tcPr>
            <w:tcW w:w="2394"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Fund Manager </w:t>
            </w:r>
          </w:p>
        </w:tc>
        <w:tc>
          <w:tcPr>
            <w:tcW w:w="2100"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Asset Management </w:t>
            </w:r>
          </w:p>
        </w:tc>
        <w:tc>
          <w:tcPr>
            <w:tcW w:w="1431" w:type="dxa"/>
          </w:tcPr>
          <w:p w:rsidR="009E5B70" w:rsidRPr="00F53BEF" w:rsidRDefault="009E5B70" w:rsidP="009E5B70">
            <w:pPr>
              <w:pStyle w:val="Subtitle"/>
              <w:rPr>
                <w:b w:val="0"/>
                <w:bCs w:val="0"/>
                <w:sz w:val="20"/>
                <w:szCs w:val="20"/>
                <w:lang w:val="en-GB"/>
              </w:rPr>
            </w:pPr>
            <w:r w:rsidRPr="00F53BEF">
              <w:rPr>
                <w:b w:val="0"/>
                <w:bCs w:val="0"/>
                <w:smallCaps/>
                <w:sz w:val="20"/>
                <w:szCs w:val="20"/>
                <w:lang w:val="en-GB"/>
              </w:rPr>
              <w:t>£4</w:t>
            </w:r>
          </w:p>
        </w:tc>
        <w:tc>
          <w:tcPr>
            <w:tcW w:w="2597" w:type="dxa"/>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Finance </w:t>
            </w:r>
          </w:p>
        </w:tc>
      </w:tr>
      <w:tr w:rsidR="009E5B70" w:rsidRPr="003A6860" w:rsidTr="009E5B70">
        <w:tc>
          <w:tcPr>
            <w:tcW w:w="2394" w:type="dxa"/>
            <w:tcBorders>
              <w:bottom w:val="single" w:sz="4" w:space="0" w:color="auto"/>
            </w:tcBorders>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Partner </w:t>
            </w:r>
          </w:p>
        </w:tc>
        <w:tc>
          <w:tcPr>
            <w:tcW w:w="2100" w:type="dxa"/>
            <w:tcBorders>
              <w:bottom w:val="single" w:sz="4" w:space="0" w:color="auto"/>
            </w:tcBorders>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Law firm </w:t>
            </w:r>
          </w:p>
        </w:tc>
        <w:tc>
          <w:tcPr>
            <w:tcW w:w="1431" w:type="dxa"/>
            <w:tcBorders>
              <w:bottom w:val="single" w:sz="4" w:space="0" w:color="auto"/>
            </w:tcBorders>
          </w:tcPr>
          <w:p w:rsidR="009E5B70" w:rsidRPr="00F53BEF" w:rsidRDefault="009E5B70" w:rsidP="009E5B70">
            <w:pPr>
              <w:pStyle w:val="Subtitle"/>
              <w:rPr>
                <w:b w:val="0"/>
                <w:bCs w:val="0"/>
                <w:sz w:val="20"/>
                <w:szCs w:val="20"/>
                <w:lang w:val="en-GB"/>
              </w:rPr>
            </w:pPr>
            <w:r w:rsidRPr="00F53BEF">
              <w:rPr>
                <w:b w:val="0"/>
                <w:bCs w:val="0"/>
                <w:sz w:val="20"/>
                <w:szCs w:val="20"/>
                <w:lang w:val="en-GB"/>
              </w:rPr>
              <w:t>N/A</w:t>
            </w:r>
          </w:p>
        </w:tc>
        <w:tc>
          <w:tcPr>
            <w:tcW w:w="2597" w:type="dxa"/>
            <w:tcBorders>
              <w:bottom w:val="single" w:sz="4" w:space="0" w:color="auto"/>
            </w:tcBorders>
          </w:tcPr>
          <w:p w:rsidR="009E5B70" w:rsidRPr="00F53BEF" w:rsidRDefault="009E5B70" w:rsidP="009E5B70">
            <w:pPr>
              <w:pStyle w:val="Subtitle"/>
              <w:jc w:val="left"/>
              <w:rPr>
                <w:b w:val="0"/>
                <w:bCs w:val="0"/>
                <w:sz w:val="20"/>
                <w:szCs w:val="20"/>
                <w:lang w:val="en-GB"/>
              </w:rPr>
            </w:pPr>
            <w:r w:rsidRPr="00F53BEF">
              <w:rPr>
                <w:b w:val="0"/>
                <w:bCs w:val="0"/>
                <w:sz w:val="20"/>
                <w:szCs w:val="20"/>
                <w:lang w:val="en-GB"/>
              </w:rPr>
              <w:t xml:space="preserve">Legal </w:t>
            </w:r>
          </w:p>
        </w:tc>
      </w:tr>
    </w:tbl>
    <w:p w:rsidR="009E5B70" w:rsidRDefault="009E5B70" w:rsidP="00F506A6">
      <w:pPr>
        <w:pStyle w:val="NormalWeb"/>
        <w:spacing w:line="480" w:lineRule="auto"/>
        <w:jc w:val="both"/>
        <w:rPr>
          <w:lang w:val="en"/>
        </w:rPr>
        <w:sectPr w:rsidR="009E5B70">
          <w:footerReference w:type="default" r:id="rId27"/>
          <w:pgSz w:w="11906" w:h="16838"/>
          <w:pgMar w:top="1440" w:right="1800" w:bottom="1440" w:left="1800" w:header="708" w:footer="708" w:gutter="0"/>
          <w:cols w:space="708"/>
          <w:docGrid w:linePitch="360"/>
        </w:sectPr>
      </w:pPr>
    </w:p>
    <w:p w:rsidR="009E5B70" w:rsidRPr="009C0C34" w:rsidRDefault="009E5B70" w:rsidP="009E5B70">
      <w:pPr>
        <w:pStyle w:val="NormalWeb"/>
        <w:spacing w:line="480" w:lineRule="auto"/>
        <w:ind w:firstLine="720"/>
        <w:jc w:val="both"/>
        <w:rPr>
          <w:b/>
          <w:lang w:val="en"/>
        </w:rPr>
      </w:pPr>
      <w:r w:rsidRPr="009C0C34">
        <w:rPr>
          <w:b/>
          <w:lang w:val="en"/>
        </w:rPr>
        <w:lastRenderedPageBreak/>
        <w:t xml:space="preserve">Appendix C Table 2 </w:t>
      </w:r>
      <w:r w:rsidR="00E13ACC">
        <w:rPr>
          <w:b/>
          <w:lang w:val="en"/>
        </w:rPr>
        <w:t xml:space="preserve">Selected Supporting Quotations </w:t>
      </w:r>
    </w:p>
    <w:tbl>
      <w:tblPr>
        <w:tblW w:w="0" w:type="auto"/>
        <w:tblLook w:val="04A0" w:firstRow="1" w:lastRow="0" w:firstColumn="1" w:lastColumn="0" w:noHBand="0" w:noVBand="1"/>
      </w:tblPr>
      <w:tblGrid>
        <w:gridCol w:w="1134"/>
        <w:gridCol w:w="2122"/>
        <w:gridCol w:w="7938"/>
        <w:gridCol w:w="2750"/>
      </w:tblGrid>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b/>
                <w:i/>
                <w:color w:val="000000"/>
              </w:rPr>
            </w:pPr>
            <w:r w:rsidRPr="003A6860">
              <w:rPr>
                <w:rFonts w:ascii="Times New Roman" w:hAnsi="Times New Roman"/>
                <w:b/>
                <w:i/>
                <w:color w:val="000000"/>
              </w:rPr>
              <w:t>Nr.</w:t>
            </w:r>
          </w:p>
        </w:tc>
        <w:tc>
          <w:tcPr>
            <w:tcW w:w="2122"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b/>
                <w:i/>
                <w:color w:val="000000"/>
              </w:rPr>
            </w:pPr>
            <w:r w:rsidRPr="003A6860">
              <w:rPr>
                <w:rFonts w:ascii="Times New Roman" w:hAnsi="Times New Roman"/>
                <w:b/>
                <w:i/>
                <w:color w:val="000000"/>
              </w:rPr>
              <w:t xml:space="preserve">Role </w:t>
            </w:r>
          </w:p>
        </w:tc>
        <w:tc>
          <w:tcPr>
            <w:tcW w:w="7938"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b/>
                <w:i/>
                <w:color w:val="000000"/>
              </w:rPr>
            </w:pPr>
            <w:r w:rsidRPr="003A6860">
              <w:rPr>
                <w:rFonts w:ascii="Times New Roman" w:hAnsi="Times New Roman"/>
                <w:b/>
                <w:i/>
                <w:color w:val="000000"/>
              </w:rPr>
              <w:t xml:space="preserve">Quotation </w:t>
            </w: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6"/>
              <w:rPr>
                <w:rFonts w:ascii="Times New Roman" w:hAnsi="Times New Roman"/>
                <w:b/>
                <w:i/>
                <w:color w:val="000000"/>
              </w:rPr>
            </w:pPr>
            <w:r w:rsidRPr="003A6860">
              <w:rPr>
                <w:rFonts w:ascii="Times New Roman" w:hAnsi="Times New Roman"/>
                <w:b/>
                <w:i/>
                <w:color w:val="000000"/>
              </w:rPr>
              <w:t>Pension Fund Size/Type</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p>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w:t>
            </w:r>
          </w:p>
        </w:tc>
        <w:tc>
          <w:tcPr>
            <w:tcW w:w="2122"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iCs/>
              </w:rPr>
            </w:pPr>
          </w:p>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iCs/>
              </w:rPr>
              <w:t>Trustee</w:t>
            </w:r>
          </w:p>
        </w:tc>
        <w:tc>
          <w:tcPr>
            <w:tcW w:w="7938" w:type="dxa"/>
            <w:tcBorders>
              <w:top w:val="single" w:sz="4" w:space="0" w:color="auto"/>
              <w:bottom w:val="single" w:sz="4" w:space="0" w:color="auto"/>
            </w:tcBorders>
            <w:shd w:val="clear" w:color="auto" w:fill="auto"/>
          </w:tcPr>
          <w:p w:rsidR="009E5B70" w:rsidRPr="003A6860" w:rsidRDefault="00AE3B65" w:rsidP="003A6860">
            <w:pPr>
              <w:jc w:val="both"/>
              <w:rPr>
                <w:rFonts w:ascii="Times New Roman" w:hAnsi="Times New Roman"/>
                <w:i/>
                <w:iCs/>
              </w:rPr>
            </w:pPr>
            <w:r w:rsidRPr="003A6860">
              <w:rPr>
                <w:rFonts w:ascii="Times New Roman" w:hAnsi="Times New Roman"/>
                <w:i/>
                <w:iCs/>
              </w:rPr>
              <w:t>‘…The responsibility of each member of the pension fund committee is quite clear…they are there to get the best return into the fund. The primary fiduciary responsibility is to maximise return – that’s what they are there for’</w:t>
            </w: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iCs/>
              </w:rPr>
            </w:pPr>
          </w:p>
          <w:p w:rsidR="009E5B70" w:rsidRPr="003A6860" w:rsidRDefault="009D41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iCs/>
              </w:rPr>
              <w:t>O</w:t>
            </w:r>
            <w:r w:rsidR="009E5B70" w:rsidRPr="003A6860">
              <w:rPr>
                <w:rFonts w:ascii="Times New Roman" w:hAnsi="Times New Roman"/>
                <w:i/>
                <w:iCs/>
              </w:rPr>
              <w:t>ver £3 billion / Occupational</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w:t>
            </w:r>
          </w:p>
        </w:tc>
        <w:tc>
          <w:tcPr>
            <w:tcW w:w="2122"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iCs/>
              </w:rPr>
              <w:t>Trustee</w:t>
            </w:r>
          </w:p>
        </w:tc>
        <w:tc>
          <w:tcPr>
            <w:tcW w:w="7938" w:type="dxa"/>
            <w:tcBorders>
              <w:top w:val="single" w:sz="4" w:space="0" w:color="auto"/>
              <w:bottom w:val="single" w:sz="4" w:space="0" w:color="auto"/>
            </w:tcBorders>
            <w:shd w:val="clear" w:color="auto" w:fill="auto"/>
          </w:tcPr>
          <w:p w:rsidR="009E5B70" w:rsidRPr="003A6860" w:rsidRDefault="00AE3B65" w:rsidP="003A6860">
            <w:pPr>
              <w:spacing w:line="240" w:lineRule="auto"/>
              <w:ind w:right="32" w:firstLine="540"/>
              <w:jc w:val="both"/>
              <w:rPr>
                <w:rFonts w:ascii="Times New Roman" w:hAnsi="Times New Roman"/>
                <w:i/>
              </w:rPr>
            </w:pPr>
            <w:r w:rsidRPr="003A6860">
              <w:rPr>
                <w:rFonts w:ascii="Times New Roman" w:hAnsi="Times New Roman"/>
                <w:i/>
              </w:rPr>
              <w:t>‘I don’t see that we have any agenda to influence or change the direction of policies of any of the companies that we invest in, so it is a paradox, isn’t it? On the one hand we declare that we have an active, activism policy because that means that we can tick the box as far as reviewing our Myners performance is concerned and on the other hand, although we  say have that policy, in terms of where it is taking us, and what is going to achieve [emphasis added] for us…. I am struggling to see that we’ve got any goals for it to change the behaviour of the target company in any way’</w:t>
            </w:r>
          </w:p>
        </w:tc>
        <w:tc>
          <w:tcPr>
            <w:tcW w:w="2750" w:type="dxa"/>
            <w:tcBorders>
              <w:top w:val="single" w:sz="4" w:space="0" w:color="auto"/>
              <w:bottom w:val="single" w:sz="4" w:space="0" w:color="auto"/>
            </w:tcBorders>
            <w:shd w:val="clear" w:color="auto" w:fill="auto"/>
          </w:tcPr>
          <w:p w:rsidR="009E5B70" w:rsidRPr="003A6860" w:rsidRDefault="009D41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iCs/>
              </w:rPr>
            </w:pPr>
            <w:r w:rsidRPr="003A6860">
              <w:rPr>
                <w:rFonts w:ascii="Times New Roman" w:hAnsi="Times New Roman"/>
                <w:i/>
                <w:iCs/>
              </w:rPr>
              <w:t>O</w:t>
            </w:r>
            <w:r w:rsidR="009E5B70" w:rsidRPr="003A6860">
              <w:rPr>
                <w:rFonts w:ascii="Times New Roman" w:hAnsi="Times New Roman"/>
                <w:i/>
                <w:iCs/>
              </w:rPr>
              <w:t>ver £1 billion/</w:t>
            </w:r>
          </w:p>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iCs/>
              </w:rPr>
              <w:t xml:space="preserve">Occupational </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3</w:t>
            </w:r>
          </w:p>
        </w:tc>
        <w:tc>
          <w:tcPr>
            <w:tcW w:w="2122"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CIO</w:t>
            </w:r>
          </w:p>
        </w:tc>
        <w:tc>
          <w:tcPr>
            <w:tcW w:w="7938" w:type="dxa"/>
            <w:tcBorders>
              <w:top w:val="single" w:sz="4" w:space="0" w:color="auto"/>
              <w:bottom w:val="single" w:sz="4" w:space="0" w:color="auto"/>
            </w:tcBorders>
            <w:shd w:val="clear" w:color="auto" w:fill="auto"/>
          </w:tcPr>
          <w:p w:rsidR="009E5B70"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i/>
                <w:color w:val="000000"/>
              </w:rPr>
            </w:pPr>
            <w:r w:rsidRPr="003A6860">
              <w:rPr>
                <w:rFonts w:ascii="Times New Roman" w:hAnsi="Times New Roman"/>
                <w:bCs/>
                <w:i/>
              </w:rPr>
              <w:t>‘</w:t>
            </w:r>
            <w:r w:rsidRPr="003A6860">
              <w:rPr>
                <w:rFonts w:ascii="Times New Roman" w:hAnsi="Times New Roman"/>
                <w:bCs/>
                <w:i/>
                <w:color w:val="000000"/>
              </w:rPr>
              <w:t>The bottom line is, the most important feature for a pension fund – that is my job – is to make as high a return as possible…</w:t>
            </w:r>
            <w:r w:rsidRPr="003A6860">
              <w:rPr>
                <w:rFonts w:ascii="Times New Roman" w:hAnsi="Times New Roman"/>
                <w:bCs/>
                <w:i/>
              </w:rPr>
              <w:t xml:space="preserve"> </w:t>
            </w:r>
            <w:r w:rsidRPr="003A6860">
              <w:rPr>
                <w:rFonts w:ascii="Times New Roman" w:hAnsi="Times New Roman"/>
                <w:bCs/>
                <w:i/>
                <w:color w:val="000000"/>
              </w:rPr>
              <w:t>we are not an ethical fund, so I am not going to make a social judgement about what we should and should not be investing in…</w:t>
            </w:r>
            <w:r w:rsidRPr="003A6860">
              <w:rPr>
                <w:rFonts w:ascii="Times New Roman" w:hAnsi="Times New Roman"/>
                <w:bCs/>
                <w:i/>
              </w:rPr>
              <w:t xml:space="preserve"> </w:t>
            </w:r>
            <w:r w:rsidRPr="003A6860">
              <w:rPr>
                <w:rFonts w:ascii="Times New Roman" w:hAnsi="Times New Roman"/>
                <w:bCs/>
                <w:i/>
                <w:color w:val="000000"/>
              </w:rPr>
              <w:t>if I find an extremely good commodity manager who doesn’t give a toss about how you vote – I would still invest with that manager…</w:t>
            </w:r>
            <w:r w:rsidRPr="003A6860">
              <w:rPr>
                <w:rFonts w:ascii="Times New Roman" w:hAnsi="Times New Roman"/>
                <w:bCs/>
                <w:i/>
              </w:rPr>
              <w:t xml:space="preserve"> </w:t>
            </w:r>
            <w:r w:rsidRPr="003A6860">
              <w:rPr>
                <w:rFonts w:ascii="Times New Roman" w:hAnsi="Times New Roman"/>
                <w:bCs/>
                <w:i/>
                <w:color w:val="000000"/>
              </w:rPr>
              <w:t>I get on with investing in areas that are going to give me good return.</w:t>
            </w:r>
            <w:r w:rsidRPr="003A6860">
              <w:rPr>
                <w:rFonts w:ascii="Times New Roman" w:hAnsi="Times New Roman"/>
                <w:i/>
                <w:color w:val="000000"/>
              </w:rPr>
              <w:t>’</w:t>
            </w: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£8 billion/</w:t>
            </w:r>
          </w:p>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Local Authority </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4</w:t>
            </w:r>
          </w:p>
        </w:tc>
        <w:tc>
          <w:tcPr>
            <w:tcW w:w="2122"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Chairman of Trustees</w:t>
            </w:r>
          </w:p>
        </w:tc>
        <w:tc>
          <w:tcPr>
            <w:tcW w:w="7938" w:type="dxa"/>
            <w:tcBorders>
              <w:top w:val="single" w:sz="4" w:space="0" w:color="auto"/>
              <w:bottom w:val="single" w:sz="4" w:space="0" w:color="auto"/>
            </w:tcBorders>
            <w:shd w:val="clear" w:color="auto" w:fill="auto"/>
          </w:tcPr>
          <w:p w:rsidR="009E5B70"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iCs/>
              </w:rPr>
              <w:t>‘We are very much passive financial owners- that is how we would see ourselves. It is about getting a benchmark return’.</w:t>
            </w: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£12 billion/</w:t>
            </w:r>
          </w:p>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Occupational </w:t>
            </w:r>
          </w:p>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Times New Roman" w:hAnsi="Times New Roman"/>
                <w:i/>
                <w:color w:val="000000"/>
              </w:rPr>
            </w:pPr>
          </w:p>
        </w:tc>
      </w:tr>
      <w:tr w:rsidR="00AE3B65" w:rsidRPr="003A6860" w:rsidTr="003A6860">
        <w:tc>
          <w:tcPr>
            <w:tcW w:w="1134"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5</w:t>
            </w:r>
          </w:p>
        </w:tc>
        <w:tc>
          <w:tcPr>
            <w:tcW w:w="2122"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iCs/>
              </w:rPr>
            </w:pPr>
            <w:r w:rsidRPr="003A6860">
              <w:rPr>
                <w:rFonts w:ascii="Times New Roman" w:hAnsi="Times New Roman"/>
                <w:i/>
                <w:color w:val="000000"/>
              </w:rPr>
              <w:t>Yes we are a big pension fund, but the sponsor is even bigger, so the security of our sponsor, the good will of the sponsor is very important…because the resources are in-house, it would require the company to be 100% happy with what we are doing, so what we are doing would not in any way impinge on [name] reputation …it’s quite a deterrent for us…because we don’t want the risk of pension fund requiring of other people to do things that we know we can’t do as a company ourselves…I think that there is a serious issue here in making progress with corporate governance</w:t>
            </w:r>
            <w:r w:rsidRPr="003A6860">
              <w:rPr>
                <w:rFonts w:ascii="Times New Roman" w:hAnsi="Times New Roman"/>
                <w:bCs/>
                <w:i/>
                <w:iCs/>
              </w:rPr>
              <w:t>…We are very careful, we have to be clear about what we are not doing and why we are not doing it</w:t>
            </w:r>
            <w:r w:rsidRPr="003A6860">
              <w:rPr>
                <w:rFonts w:ascii="Times New Roman" w:hAnsi="Times New Roman"/>
                <w:i/>
                <w:color w:val="000000"/>
              </w:rPr>
              <w:t>.’</w:t>
            </w:r>
          </w:p>
        </w:tc>
        <w:tc>
          <w:tcPr>
            <w:tcW w:w="2750"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£13 billion/</w:t>
            </w:r>
          </w:p>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AE3B65" w:rsidRPr="003A6860" w:rsidTr="003A6860">
        <w:tc>
          <w:tcPr>
            <w:tcW w:w="1134"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6</w:t>
            </w:r>
          </w:p>
        </w:tc>
        <w:tc>
          <w:tcPr>
            <w:tcW w:w="2122"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iCs/>
              </w:rPr>
              <w:t>‘[Corporate reputation] is definitely important and having the good will of the company…the money is important …there is an interdependence there, which [the pension fund] has to respect’</w:t>
            </w:r>
          </w:p>
        </w:tc>
        <w:tc>
          <w:tcPr>
            <w:tcW w:w="2750"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£13 billion/</w:t>
            </w:r>
          </w:p>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b/>
                <w:i/>
                <w:color w:val="000000"/>
              </w:rPr>
            </w:pPr>
            <w:r w:rsidRPr="003A6860">
              <w:rPr>
                <w:rFonts w:ascii="Times New Roman" w:hAnsi="Times New Roman"/>
                <w:i/>
                <w:color w:val="000000"/>
              </w:rPr>
              <w:t>Occupational</w:t>
            </w:r>
          </w:p>
        </w:tc>
      </w:tr>
      <w:tr w:rsidR="00AE3B65" w:rsidRPr="003A6860" w:rsidTr="003A6860">
        <w:tc>
          <w:tcPr>
            <w:tcW w:w="1134"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7</w:t>
            </w:r>
          </w:p>
        </w:tc>
        <w:tc>
          <w:tcPr>
            <w:tcW w:w="2122"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Pensions Secretary </w:t>
            </w:r>
          </w:p>
        </w:tc>
        <w:tc>
          <w:tcPr>
            <w:tcW w:w="7938"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bCs/>
                <w:i/>
                <w:iCs/>
                <w:color w:val="000000"/>
              </w:rPr>
              <w:t>‘…it would be very embarrassing to come out and do something completely different from the company’</w:t>
            </w:r>
          </w:p>
        </w:tc>
        <w:tc>
          <w:tcPr>
            <w:tcW w:w="2750"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£2 billion/</w:t>
            </w:r>
          </w:p>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AE3B65" w:rsidRPr="003A6860" w:rsidTr="003A6860">
        <w:tc>
          <w:tcPr>
            <w:tcW w:w="1134"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8</w:t>
            </w:r>
          </w:p>
        </w:tc>
        <w:tc>
          <w:tcPr>
            <w:tcW w:w="2122"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bCs/>
                <w:i/>
                <w:iCs/>
                <w:color w:val="000000"/>
              </w:rPr>
            </w:pPr>
            <w:r w:rsidRPr="003A6860">
              <w:rPr>
                <w:rFonts w:ascii="Times New Roman" w:hAnsi="Times New Roman"/>
                <w:i/>
                <w:iCs/>
              </w:rPr>
              <w:t>‘</w:t>
            </w:r>
            <w:r w:rsidRPr="003A6860">
              <w:rPr>
                <w:rFonts w:ascii="Times New Roman" w:hAnsi="Times New Roman"/>
                <w:bCs/>
                <w:i/>
                <w:iCs/>
              </w:rPr>
              <w:t>…is that most people have grown up in a world in which you could be reasonably confident that the company, which originally founded a pension fund will be around to support it through the years...What we are seeing now is…significantly declining longevity of corporate sponsors…</w:t>
            </w:r>
            <w:r w:rsidRPr="003A6860">
              <w:rPr>
                <w:rFonts w:ascii="Times New Roman" w:hAnsi="Times New Roman"/>
                <w:i/>
                <w:iCs/>
              </w:rPr>
              <w:t>Most trustees and pension fund members who’d grown up in era of relative certainty find it difficult to adjust to the fact that the biggest issue that faces trustees isn’t the investments it’s the covenant.</w:t>
            </w:r>
            <w:r w:rsidRPr="003A6860">
              <w:rPr>
                <w:rFonts w:ascii="Times New Roman" w:hAnsi="Times New Roman"/>
                <w:bCs/>
                <w:i/>
                <w:iCs/>
              </w:rPr>
              <w:t>’</w:t>
            </w:r>
          </w:p>
        </w:tc>
        <w:tc>
          <w:tcPr>
            <w:tcW w:w="2750"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£7 billion/</w:t>
            </w:r>
          </w:p>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AE3B65" w:rsidRPr="003A6860" w:rsidTr="003A6860">
        <w:tc>
          <w:tcPr>
            <w:tcW w:w="1134"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9</w:t>
            </w:r>
          </w:p>
        </w:tc>
        <w:tc>
          <w:tcPr>
            <w:tcW w:w="2122"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Chairman of Trustees </w:t>
            </w:r>
          </w:p>
        </w:tc>
        <w:tc>
          <w:tcPr>
            <w:tcW w:w="7938"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bCs/>
                <w:i/>
                <w:iCs/>
                <w:color w:val="000000"/>
              </w:rPr>
            </w:pPr>
            <w:r w:rsidRPr="003A6860">
              <w:rPr>
                <w:rFonts w:ascii="Times New Roman" w:hAnsi="Times New Roman"/>
                <w:i/>
                <w:color w:val="000000"/>
              </w:rPr>
              <w:t>‘</w:t>
            </w:r>
            <w:r w:rsidRPr="003A6860">
              <w:rPr>
                <w:rFonts w:ascii="Times New Roman" w:hAnsi="Times New Roman"/>
                <w:i/>
                <w:iCs/>
              </w:rPr>
              <w:t>T</w:t>
            </w:r>
            <w:r w:rsidRPr="003A6860">
              <w:rPr>
                <w:rFonts w:ascii="Times New Roman" w:hAnsi="Times New Roman"/>
                <w:i/>
                <w:iCs/>
                <w:color w:val="000000"/>
              </w:rPr>
              <w:t>here has to be a relationship between the trustees and the sponsoring company and in the world where everything is in surplus that is not an issue. When there is a deficit there is obviously a strain on your valuation…so that provides a certain amount of tension between the companies that are not exactly flowing over with money these days’</w:t>
            </w:r>
          </w:p>
        </w:tc>
        <w:tc>
          <w:tcPr>
            <w:tcW w:w="2750" w:type="dxa"/>
            <w:tcBorders>
              <w:top w:val="single" w:sz="4" w:space="0" w:color="auto"/>
              <w:bottom w:val="single" w:sz="4" w:space="0" w:color="auto"/>
            </w:tcBorders>
            <w:shd w:val="clear" w:color="auto" w:fill="auto"/>
          </w:tcPr>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£12 billion/</w:t>
            </w:r>
          </w:p>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Industry-wide</w:t>
            </w:r>
          </w:p>
        </w:tc>
      </w:tr>
      <w:tr w:rsidR="00AE3B65" w:rsidRPr="003A6860" w:rsidTr="003A6860">
        <w:tc>
          <w:tcPr>
            <w:tcW w:w="1134" w:type="dxa"/>
            <w:tcBorders>
              <w:top w:val="single" w:sz="4" w:space="0" w:color="auto"/>
              <w:bottom w:val="single" w:sz="4" w:space="0" w:color="auto"/>
            </w:tcBorders>
            <w:shd w:val="clear" w:color="auto" w:fill="auto"/>
          </w:tcPr>
          <w:p w:rsidR="00AE3B65"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10</w:t>
            </w:r>
          </w:p>
        </w:tc>
        <w:tc>
          <w:tcPr>
            <w:tcW w:w="2122" w:type="dxa"/>
            <w:tcBorders>
              <w:top w:val="single" w:sz="4" w:space="0" w:color="auto"/>
              <w:bottom w:val="single" w:sz="4" w:space="0" w:color="auto"/>
            </w:tcBorders>
            <w:shd w:val="clear" w:color="auto" w:fill="auto"/>
          </w:tcPr>
          <w:p w:rsidR="00AE3B65"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DE2D1F" w:rsidRPr="003A6860" w:rsidRDefault="00DE2D1F" w:rsidP="003A6860">
            <w:pPr>
              <w:jc w:val="both"/>
              <w:rPr>
                <w:rFonts w:ascii="Times New Roman" w:hAnsi="Times New Roman"/>
                <w:i/>
              </w:rPr>
            </w:pPr>
            <w:r w:rsidRPr="003A6860">
              <w:rPr>
                <w:rFonts w:ascii="Times New Roman" w:hAnsi="Times New Roman"/>
                <w:i/>
              </w:rPr>
              <w:t>‘Despite the fact that we now live considerably longer than in 1969, the total level of contributions is significantly less than it was in 1969 so we are now trying to produce pensions for people who are going to live longer by paying less money – now you don’t need to be a genius to see that you are not going to get the same kind of pensions.’</w:t>
            </w:r>
          </w:p>
          <w:p w:rsidR="00AE3B65" w:rsidRPr="003A6860" w:rsidRDefault="00AE3B65"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bCs/>
                <w:i/>
                <w:iCs/>
                <w:color w:val="000000"/>
              </w:rPr>
            </w:pPr>
          </w:p>
        </w:tc>
        <w:tc>
          <w:tcPr>
            <w:tcW w:w="2750" w:type="dxa"/>
            <w:tcBorders>
              <w:top w:val="single" w:sz="4" w:space="0" w:color="auto"/>
              <w:bottom w:val="single" w:sz="4" w:space="0" w:color="auto"/>
            </w:tcBorders>
            <w:shd w:val="clear" w:color="auto" w:fill="auto"/>
          </w:tcPr>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£20 billion/</w:t>
            </w:r>
          </w:p>
          <w:p w:rsidR="00AE3B65"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DE2D1F" w:rsidRPr="003A6860" w:rsidTr="003A6860">
        <w:tc>
          <w:tcPr>
            <w:tcW w:w="1134" w:type="dxa"/>
            <w:tcBorders>
              <w:top w:val="single" w:sz="4" w:space="0" w:color="auto"/>
              <w:bottom w:val="single" w:sz="4" w:space="0" w:color="auto"/>
            </w:tcBorders>
            <w:shd w:val="clear" w:color="auto" w:fill="auto"/>
          </w:tcPr>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11</w:t>
            </w:r>
          </w:p>
        </w:tc>
        <w:tc>
          <w:tcPr>
            <w:tcW w:w="2122" w:type="dxa"/>
            <w:tcBorders>
              <w:top w:val="single" w:sz="4" w:space="0" w:color="auto"/>
              <w:bottom w:val="single" w:sz="4" w:space="0" w:color="auto"/>
            </w:tcBorders>
            <w:shd w:val="clear" w:color="auto" w:fill="auto"/>
          </w:tcPr>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Trustee </w:t>
            </w:r>
          </w:p>
        </w:tc>
        <w:tc>
          <w:tcPr>
            <w:tcW w:w="7938" w:type="dxa"/>
            <w:tcBorders>
              <w:top w:val="single" w:sz="4" w:space="0" w:color="auto"/>
              <w:bottom w:val="single" w:sz="4" w:space="0" w:color="auto"/>
            </w:tcBorders>
            <w:shd w:val="clear" w:color="auto" w:fill="auto"/>
          </w:tcPr>
          <w:p w:rsidR="00DE2D1F" w:rsidRPr="003A6860" w:rsidRDefault="00DE2D1F" w:rsidP="003A6860">
            <w:pPr>
              <w:jc w:val="both"/>
              <w:rPr>
                <w:rFonts w:ascii="Times New Roman" w:hAnsi="Times New Roman"/>
                <w:i/>
              </w:rPr>
            </w:pPr>
            <w:r w:rsidRPr="003A6860">
              <w:rPr>
                <w:rFonts w:ascii="Times New Roman" w:hAnsi="Times New Roman"/>
                <w:i/>
                <w:iCs/>
                <w:color w:val="000000"/>
              </w:rPr>
              <w:t>‘Although we are a maturing pension fund, because we sit within the sponsor where the covenant is exceptionally strong...</w:t>
            </w:r>
            <w:r w:rsidRPr="003A6860">
              <w:rPr>
                <w:rFonts w:ascii="Times New Roman" w:hAnsi="Times New Roman"/>
                <w:i/>
              </w:rPr>
              <w:t xml:space="preserve"> we can afford to take risks and we expect to be rewarded for these risks in the longer- term’</w:t>
            </w:r>
          </w:p>
        </w:tc>
        <w:tc>
          <w:tcPr>
            <w:tcW w:w="2750" w:type="dxa"/>
            <w:tcBorders>
              <w:top w:val="single" w:sz="4" w:space="0" w:color="auto"/>
              <w:bottom w:val="single" w:sz="4" w:space="0" w:color="auto"/>
            </w:tcBorders>
            <w:shd w:val="clear" w:color="auto" w:fill="auto"/>
          </w:tcPr>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13 billion/</w:t>
            </w:r>
          </w:p>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Occupational  </w:t>
            </w:r>
          </w:p>
        </w:tc>
      </w:tr>
      <w:tr w:rsidR="00DE2D1F" w:rsidRPr="003A6860" w:rsidTr="003A6860">
        <w:tc>
          <w:tcPr>
            <w:tcW w:w="1134" w:type="dxa"/>
            <w:tcBorders>
              <w:top w:val="single" w:sz="4" w:space="0" w:color="auto"/>
              <w:bottom w:val="single" w:sz="4" w:space="0" w:color="auto"/>
            </w:tcBorders>
            <w:shd w:val="clear" w:color="auto" w:fill="auto"/>
          </w:tcPr>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12</w:t>
            </w:r>
          </w:p>
        </w:tc>
        <w:tc>
          <w:tcPr>
            <w:tcW w:w="2122" w:type="dxa"/>
            <w:tcBorders>
              <w:top w:val="single" w:sz="4" w:space="0" w:color="auto"/>
              <w:bottom w:val="single" w:sz="4" w:space="0" w:color="auto"/>
            </w:tcBorders>
            <w:shd w:val="clear" w:color="auto" w:fill="auto"/>
          </w:tcPr>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Trustee </w:t>
            </w:r>
          </w:p>
        </w:tc>
        <w:tc>
          <w:tcPr>
            <w:tcW w:w="7938" w:type="dxa"/>
            <w:tcBorders>
              <w:top w:val="single" w:sz="4" w:space="0" w:color="auto"/>
              <w:bottom w:val="single" w:sz="4" w:space="0" w:color="auto"/>
            </w:tcBorders>
            <w:shd w:val="clear" w:color="auto" w:fill="auto"/>
          </w:tcPr>
          <w:p w:rsidR="00DE2D1F" w:rsidRPr="003A6860" w:rsidRDefault="00DE2D1F" w:rsidP="003A6860">
            <w:pPr>
              <w:jc w:val="both"/>
              <w:rPr>
                <w:rFonts w:ascii="Times New Roman" w:hAnsi="Times New Roman"/>
                <w:i/>
              </w:rPr>
            </w:pPr>
            <w:r w:rsidRPr="003A6860">
              <w:rPr>
                <w:rFonts w:ascii="Times New Roman" w:hAnsi="Times New Roman"/>
                <w:i/>
              </w:rPr>
              <w:t xml:space="preserve">‘During the years that I have been serving as a trustee, this is the first time that the group had to cope with managing a deficit. Prior to that, year after year, the trustees had the task of dealing with the surplus’. </w:t>
            </w:r>
          </w:p>
        </w:tc>
        <w:tc>
          <w:tcPr>
            <w:tcW w:w="2750" w:type="dxa"/>
            <w:tcBorders>
              <w:top w:val="single" w:sz="4" w:space="0" w:color="auto"/>
              <w:bottom w:val="single" w:sz="4" w:space="0" w:color="auto"/>
            </w:tcBorders>
            <w:shd w:val="clear" w:color="auto" w:fill="auto"/>
          </w:tcPr>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10  billion/</w:t>
            </w:r>
          </w:p>
          <w:p w:rsidR="00DE2D1F" w:rsidRPr="003A6860" w:rsidRDefault="00DE2D1F"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Industry-wide </w:t>
            </w:r>
          </w:p>
        </w:tc>
      </w:tr>
      <w:tr w:rsidR="00DE2D1F" w:rsidRPr="003A6860" w:rsidTr="003A6860">
        <w:tc>
          <w:tcPr>
            <w:tcW w:w="1134" w:type="dxa"/>
            <w:tcBorders>
              <w:top w:val="single" w:sz="4" w:space="0" w:color="auto"/>
              <w:bottom w:val="single" w:sz="4" w:space="0" w:color="auto"/>
            </w:tcBorders>
            <w:shd w:val="clear" w:color="auto" w:fill="auto"/>
          </w:tcPr>
          <w:p w:rsidR="00DE2D1F"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13</w:t>
            </w:r>
          </w:p>
        </w:tc>
        <w:tc>
          <w:tcPr>
            <w:tcW w:w="2122" w:type="dxa"/>
            <w:tcBorders>
              <w:top w:val="single" w:sz="4" w:space="0" w:color="auto"/>
              <w:bottom w:val="single" w:sz="4" w:space="0" w:color="auto"/>
            </w:tcBorders>
            <w:shd w:val="clear" w:color="auto" w:fill="auto"/>
          </w:tcPr>
          <w:p w:rsidR="00DE2D1F"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Chairman of Trustees </w:t>
            </w:r>
          </w:p>
        </w:tc>
        <w:tc>
          <w:tcPr>
            <w:tcW w:w="7938" w:type="dxa"/>
            <w:tcBorders>
              <w:top w:val="single" w:sz="4" w:space="0" w:color="auto"/>
              <w:bottom w:val="single" w:sz="4" w:space="0" w:color="auto"/>
            </w:tcBorders>
            <w:shd w:val="clear" w:color="auto" w:fill="auto"/>
          </w:tcPr>
          <w:p w:rsidR="00DE2D1F" w:rsidRPr="003A6860" w:rsidRDefault="006D36D7" w:rsidP="003A6860">
            <w:pPr>
              <w:jc w:val="both"/>
              <w:rPr>
                <w:rFonts w:ascii="Times New Roman" w:hAnsi="Times New Roman"/>
                <w:i/>
              </w:rPr>
            </w:pPr>
            <w:r w:rsidRPr="003A6860">
              <w:rPr>
                <w:rFonts w:ascii="Times New Roman" w:hAnsi="Times New Roman"/>
                <w:i/>
              </w:rPr>
              <w:t>‘Pensions having been for many years a rather boring subject because they were in surplus and the only thing you had to do is to turn up for meetings once per quarter, make sure that the pensions were being paid. Of course that all turned completely on its head as we are now in huge deficits’.</w:t>
            </w:r>
          </w:p>
        </w:tc>
        <w:tc>
          <w:tcPr>
            <w:tcW w:w="2750" w:type="dxa"/>
            <w:tcBorders>
              <w:top w:val="single" w:sz="4" w:space="0" w:color="auto"/>
              <w:bottom w:val="single" w:sz="4" w:space="0" w:color="auto"/>
            </w:tcBorders>
            <w:shd w:val="clear" w:color="auto" w:fill="auto"/>
          </w:tcPr>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10  billion/</w:t>
            </w:r>
          </w:p>
          <w:p w:rsidR="00DE2D1F"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Industry-wide</w:t>
            </w:r>
          </w:p>
        </w:tc>
      </w:tr>
      <w:tr w:rsidR="006D36D7" w:rsidRPr="003A6860" w:rsidTr="003A6860">
        <w:tc>
          <w:tcPr>
            <w:tcW w:w="1134" w:type="dxa"/>
            <w:tcBorders>
              <w:top w:val="single" w:sz="4" w:space="0" w:color="auto"/>
              <w:bottom w:val="single" w:sz="4" w:space="0" w:color="auto"/>
            </w:tcBorders>
            <w:shd w:val="clear" w:color="auto" w:fill="auto"/>
          </w:tcPr>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14</w:t>
            </w:r>
          </w:p>
        </w:tc>
        <w:tc>
          <w:tcPr>
            <w:tcW w:w="2122" w:type="dxa"/>
            <w:tcBorders>
              <w:top w:val="single" w:sz="4" w:space="0" w:color="auto"/>
              <w:bottom w:val="single" w:sz="4" w:space="0" w:color="auto"/>
            </w:tcBorders>
            <w:shd w:val="clear" w:color="auto" w:fill="auto"/>
          </w:tcPr>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6D36D7" w:rsidRPr="003A6860" w:rsidRDefault="006D36D7" w:rsidP="003A6860">
            <w:pPr>
              <w:jc w:val="both"/>
              <w:rPr>
                <w:rFonts w:ascii="Times New Roman" w:hAnsi="Times New Roman"/>
                <w:i/>
              </w:rPr>
            </w:pPr>
            <w:r w:rsidRPr="003A6860">
              <w:rPr>
                <w:rFonts w:ascii="Times New Roman" w:hAnsi="Times New Roman"/>
                <w:i/>
              </w:rPr>
              <w:t>‘People who are running pensions investments have got more problems to face…you have got a battery of people to advise you on everything - you got investment advisers, you’ve got fund managers, you’ve got actuaries, you’ve got performance measurers, you’ve got lawyers, accountants, auditors – so whatever is that you need to know as a chief executive of a pension scheme, you know there is somebody to tell you’.</w:t>
            </w:r>
          </w:p>
        </w:tc>
        <w:tc>
          <w:tcPr>
            <w:tcW w:w="2750" w:type="dxa"/>
            <w:tcBorders>
              <w:top w:val="single" w:sz="4" w:space="0" w:color="auto"/>
              <w:bottom w:val="single" w:sz="4" w:space="0" w:color="auto"/>
            </w:tcBorders>
            <w:shd w:val="clear" w:color="auto" w:fill="auto"/>
          </w:tcPr>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£30 billion/</w:t>
            </w:r>
          </w:p>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6D36D7" w:rsidRPr="003A6860" w:rsidTr="003A6860">
        <w:tc>
          <w:tcPr>
            <w:tcW w:w="1134" w:type="dxa"/>
            <w:tcBorders>
              <w:top w:val="single" w:sz="4" w:space="0" w:color="auto"/>
              <w:bottom w:val="single" w:sz="4" w:space="0" w:color="auto"/>
            </w:tcBorders>
            <w:shd w:val="clear" w:color="auto" w:fill="auto"/>
          </w:tcPr>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15</w:t>
            </w:r>
          </w:p>
        </w:tc>
        <w:tc>
          <w:tcPr>
            <w:tcW w:w="2122" w:type="dxa"/>
            <w:tcBorders>
              <w:top w:val="single" w:sz="4" w:space="0" w:color="auto"/>
              <w:bottom w:val="single" w:sz="4" w:space="0" w:color="auto"/>
            </w:tcBorders>
            <w:shd w:val="clear" w:color="auto" w:fill="auto"/>
          </w:tcPr>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p>
        </w:tc>
        <w:tc>
          <w:tcPr>
            <w:tcW w:w="7938" w:type="dxa"/>
            <w:tcBorders>
              <w:top w:val="single" w:sz="4" w:space="0" w:color="auto"/>
              <w:bottom w:val="single" w:sz="4" w:space="0" w:color="auto"/>
            </w:tcBorders>
            <w:shd w:val="clear" w:color="auto" w:fill="auto"/>
          </w:tcPr>
          <w:p w:rsidR="006D36D7" w:rsidRPr="003A6860" w:rsidRDefault="006D36D7" w:rsidP="003A6860">
            <w:pPr>
              <w:jc w:val="both"/>
              <w:rPr>
                <w:rFonts w:ascii="Times New Roman" w:hAnsi="Times New Roman"/>
                <w:i/>
              </w:rPr>
            </w:pPr>
            <w:r w:rsidRPr="003A6860">
              <w:rPr>
                <w:rFonts w:ascii="Times New Roman" w:hAnsi="Times New Roman"/>
                <w:i/>
              </w:rPr>
              <w:t>‘As the environment in which pensions operate becomes more complicated, then people who are running it have got more problems to face and therefore they are likely to need more advice from more, a wider range of experts, so it probably is the case that there is more parties. There is certainly, for example, there is wider range of investment products, which probably why there are range of fund managers. I mean there are more people involved in the process’.</w:t>
            </w:r>
          </w:p>
        </w:tc>
        <w:tc>
          <w:tcPr>
            <w:tcW w:w="2750" w:type="dxa"/>
            <w:tcBorders>
              <w:top w:val="single" w:sz="4" w:space="0" w:color="auto"/>
              <w:bottom w:val="single" w:sz="4" w:space="0" w:color="auto"/>
            </w:tcBorders>
            <w:shd w:val="clear" w:color="auto" w:fill="auto"/>
          </w:tcPr>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£30 billion/</w:t>
            </w:r>
          </w:p>
          <w:p w:rsidR="006D36D7" w:rsidRPr="003A6860" w:rsidRDefault="006D36D7"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16</w:t>
            </w:r>
          </w:p>
        </w:tc>
        <w:tc>
          <w:tcPr>
            <w:tcW w:w="2122" w:type="dxa"/>
            <w:tcBorders>
              <w:top w:val="single" w:sz="4" w:space="0" w:color="auto"/>
              <w:bottom w:val="single" w:sz="4" w:space="0" w:color="auto"/>
            </w:tcBorders>
            <w:shd w:val="clear" w:color="auto" w:fill="auto"/>
          </w:tcPr>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9E5B70" w:rsidRPr="003A6860" w:rsidRDefault="00DE77E1" w:rsidP="003A6860">
            <w:pPr>
              <w:jc w:val="both"/>
              <w:rPr>
                <w:rFonts w:ascii="Times New Roman" w:hAnsi="Times New Roman"/>
                <w:bCs/>
                <w:i/>
              </w:rPr>
            </w:pPr>
            <w:r w:rsidRPr="003A6860">
              <w:rPr>
                <w:rFonts w:ascii="Times New Roman" w:hAnsi="Times New Roman"/>
                <w:bCs/>
                <w:i/>
              </w:rPr>
              <w:t xml:space="preserve">‘20 years ago there were more in-house managers. I think one thing that has changed in the last ten years that a pension fund would typically give its money to one manager to manage the whole pot of investments. In the old days the trustees could connect much easier with corporations because they had one manager to deal with. Now they’ve got sets of consultants, they probably got ten different managers, and each of those </w:t>
            </w:r>
            <w:r w:rsidRPr="003A6860">
              <w:rPr>
                <w:rFonts w:ascii="Times New Roman" w:hAnsi="Times New Roman"/>
                <w:bCs/>
                <w:i/>
              </w:rPr>
              <w:lastRenderedPageBreak/>
              <w:t>managers has got a different mandate and a different benchmark in some cases and so the trustees are a bit more detached from the corporations’.</w:t>
            </w:r>
          </w:p>
        </w:tc>
        <w:tc>
          <w:tcPr>
            <w:tcW w:w="2750" w:type="dxa"/>
            <w:tcBorders>
              <w:top w:val="single" w:sz="4" w:space="0" w:color="auto"/>
              <w:bottom w:val="single" w:sz="4" w:space="0" w:color="auto"/>
            </w:tcBorders>
            <w:shd w:val="clear" w:color="auto" w:fill="auto"/>
          </w:tcPr>
          <w:p w:rsidR="00DE77E1"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lastRenderedPageBreak/>
              <w:t xml:space="preserve"> </w:t>
            </w:r>
            <w:r w:rsidR="00DE77E1" w:rsidRPr="003A6860">
              <w:rPr>
                <w:rFonts w:ascii="Times New Roman" w:hAnsi="Times New Roman"/>
                <w:i/>
                <w:color w:val="000000"/>
              </w:rPr>
              <w:t>Over £20 billion/</w:t>
            </w:r>
          </w:p>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6D36D7" w:rsidRPr="003A6860" w:rsidTr="003A6860">
        <w:tc>
          <w:tcPr>
            <w:tcW w:w="1134" w:type="dxa"/>
            <w:tcBorders>
              <w:top w:val="single" w:sz="4" w:space="0" w:color="auto"/>
              <w:bottom w:val="single" w:sz="4" w:space="0" w:color="auto"/>
            </w:tcBorders>
            <w:shd w:val="clear" w:color="auto" w:fill="auto"/>
          </w:tcPr>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17</w:t>
            </w:r>
          </w:p>
        </w:tc>
        <w:tc>
          <w:tcPr>
            <w:tcW w:w="2122" w:type="dxa"/>
            <w:tcBorders>
              <w:top w:val="single" w:sz="4" w:space="0" w:color="auto"/>
              <w:bottom w:val="single" w:sz="4" w:space="0" w:color="auto"/>
            </w:tcBorders>
            <w:shd w:val="clear" w:color="auto" w:fill="auto"/>
          </w:tcPr>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CIO</w:t>
            </w:r>
          </w:p>
        </w:tc>
        <w:tc>
          <w:tcPr>
            <w:tcW w:w="7938" w:type="dxa"/>
            <w:tcBorders>
              <w:top w:val="single" w:sz="4" w:space="0" w:color="auto"/>
              <w:bottom w:val="single" w:sz="4" w:space="0" w:color="auto"/>
            </w:tcBorders>
            <w:shd w:val="clear" w:color="auto" w:fill="auto"/>
          </w:tcPr>
          <w:p w:rsidR="006D36D7" w:rsidRPr="003A6860" w:rsidRDefault="00DE77E1" w:rsidP="003A6860">
            <w:pPr>
              <w:jc w:val="both"/>
              <w:rPr>
                <w:rFonts w:ascii="Times New Roman" w:hAnsi="Times New Roman"/>
                <w:i/>
              </w:rPr>
            </w:pPr>
            <w:r w:rsidRPr="003A6860">
              <w:rPr>
                <w:rFonts w:ascii="Times New Roman" w:hAnsi="Times New Roman"/>
                <w:i/>
              </w:rPr>
              <w:t>‘If you roll back 15 years people would just have been in balanced fund management and they would have had one or two managers and it is challenging because there is all these new products coming along all the time that trustees do not really understand’.</w:t>
            </w:r>
          </w:p>
        </w:tc>
        <w:tc>
          <w:tcPr>
            <w:tcW w:w="2750" w:type="dxa"/>
            <w:tcBorders>
              <w:top w:val="single" w:sz="4" w:space="0" w:color="auto"/>
              <w:bottom w:val="single" w:sz="4" w:space="0" w:color="auto"/>
            </w:tcBorders>
            <w:shd w:val="clear" w:color="auto" w:fill="auto"/>
          </w:tcPr>
          <w:p w:rsidR="00DE77E1"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£3 billion/</w:t>
            </w:r>
          </w:p>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6D36D7" w:rsidRPr="003A6860" w:rsidTr="003A6860">
        <w:tc>
          <w:tcPr>
            <w:tcW w:w="1134" w:type="dxa"/>
            <w:tcBorders>
              <w:top w:val="single" w:sz="4" w:space="0" w:color="auto"/>
              <w:bottom w:val="single" w:sz="4" w:space="0" w:color="auto"/>
            </w:tcBorders>
            <w:shd w:val="clear" w:color="auto" w:fill="auto"/>
          </w:tcPr>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18</w:t>
            </w:r>
          </w:p>
        </w:tc>
        <w:tc>
          <w:tcPr>
            <w:tcW w:w="2122" w:type="dxa"/>
            <w:tcBorders>
              <w:top w:val="single" w:sz="4" w:space="0" w:color="auto"/>
              <w:bottom w:val="single" w:sz="4" w:space="0" w:color="auto"/>
            </w:tcBorders>
            <w:shd w:val="clear" w:color="auto" w:fill="auto"/>
          </w:tcPr>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6D36D7" w:rsidRPr="003A6860" w:rsidRDefault="00DE77E1" w:rsidP="003A6860">
            <w:pPr>
              <w:jc w:val="both"/>
              <w:rPr>
                <w:rFonts w:ascii="Times New Roman" w:hAnsi="Times New Roman"/>
                <w:i/>
              </w:rPr>
            </w:pPr>
            <w:r w:rsidRPr="003A6860">
              <w:rPr>
                <w:rFonts w:ascii="Times New Roman" w:hAnsi="Times New Roman"/>
                <w:i/>
                <w:iCs/>
              </w:rPr>
              <w:t>‘…in the old days the trustees could connect much easier with the company because they had one manager to deal with. Now, if it is a big pension fund, the trustees got ten different managers and each of these managers has got a different mandate and a different benchmark and so the trustees are more detached from the corporations –that is particularly so for big pension funds’</w:t>
            </w:r>
          </w:p>
        </w:tc>
        <w:tc>
          <w:tcPr>
            <w:tcW w:w="2750" w:type="dxa"/>
            <w:tcBorders>
              <w:top w:val="single" w:sz="4" w:space="0" w:color="auto"/>
              <w:bottom w:val="single" w:sz="4" w:space="0" w:color="auto"/>
            </w:tcBorders>
            <w:shd w:val="clear" w:color="auto" w:fill="auto"/>
          </w:tcPr>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iCs/>
              </w:rPr>
              <w:t>Investment Fund Management House</w:t>
            </w:r>
          </w:p>
        </w:tc>
      </w:tr>
      <w:tr w:rsidR="006D36D7" w:rsidRPr="003A6860" w:rsidTr="003A6860">
        <w:tc>
          <w:tcPr>
            <w:tcW w:w="1134" w:type="dxa"/>
            <w:tcBorders>
              <w:top w:val="single" w:sz="4" w:space="0" w:color="auto"/>
              <w:bottom w:val="single" w:sz="4" w:space="0" w:color="auto"/>
            </w:tcBorders>
            <w:shd w:val="clear" w:color="auto" w:fill="auto"/>
          </w:tcPr>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19</w:t>
            </w:r>
          </w:p>
        </w:tc>
        <w:tc>
          <w:tcPr>
            <w:tcW w:w="2122" w:type="dxa"/>
            <w:tcBorders>
              <w:top w:val="single" w:sz="4" w:space="0" w:color="auto"/>
              <w:bottom w:val="single" w:sz="4" w:space="0" w:color="auto"/>
            </w:tcBorders>
            <w:shd w:val="clear" w:color="auto" w:fill="auto"/>
          </w:tcPr>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6D36D7" w:rsidRPr="003A6860" w:rsidRDefault="00DE77E1" w:rsidP="003A6860">
            <w:pPr>
              <w:jc w:val="both"/>
              <w:rPr>
                <w:rFonts w:ascii="Times New Roman" w:hAnsi="Times New Roman"/>
                <w:i/>
              </w:rPr>
            </w:pPr>
            <w:r w:rsidRPr="003A6860">
              <w:rPr>
                <w:rFonts w:ascii="Times New Roman" w:hAnsi="Times New Roman"/>
                <w:i/>
                <w:iCs/>
              </w:rPr>
              <w:t>‘What we delegate to our fund managers is ‘make us money, provide good returns’ and what we select our fund managers on are people who can pick the right stocks…we ask them to vote and they vote and that means they can tick the corporate governance box, but it is box ticking…And if they don’t like the way the company is being run, they will do what we all can do, which is sell it’</w:t>
            </w:r>
          </w:p>
        </w:tc>
        <w:tc>
          <w:tcPr>
            <w:tcW w:w="2750" w:type="dxa"/>
            <w:tcBorders>
              <w:top w:val="single" w:sz="4" w:space="0" w:color="auto"/>
              <w:bottom w:val="single" w:sz="4" w:space="0" w:color="auto"/>
            </w:tcBorders>
            <w:shd w:val="clear" w:color="auto" w:fill="auto"/>
          </w:tcPr>
          <w:p w:rsidR="00DE77E1"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£11 billion/</w:t>
            </w:r>
          </w:p>
          <w:p w:rsidR="006D36D7"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Occupational</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20</w:t>
            </w:r>
          </w:p>
        </w:tc>
        <w:tc>
          <w:tcPr>
            <w:tcW w:w="2122" w:type="dxa"/>
            <w:tcBorders>
              <w:top w:val="single" w:sz="4" w:space="0" w:color="auto"/>
              <w:bottom w:val="single" w:sz="4" w:space="0" w:color="auto"/>
            </w:tcBorders>
            <w:shd w:val="clear" w:color="auto" w:fill="auto"/>
          </w:tcPr>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Pensions Lawyer </w:t>
            </w:r>
          </w:p>
        </w:tc>
        <w:tc>
          <w:tcPr>
            <w:tcW w:w="7938" w:type="dxa"/>
            <w:tcBorders>
              <w:top w:val="single" w:sz="4" w:space="0" w:color="auto"/>
              <w:bottom w:val="single" w:sz="4" w:space="0" w:color="auto"/>
            </w:tcBorders>
            <w:shd w:val="clear" w:color="auto" w:fill="auto"/>
          </w:tcPr>
          <w:p w:rsidR="00DE77E1" w:rsidRPr="003A6860" w:rsidRDefault="009E5B70" w:rsidP="003A6860">
            <w:pPr>
              <w:jc w:val="both"/>
              <w:rPr>
                <w:rFonts w:ascii="Times New Roman" w:hAnsi="Times New Roman"/>
                <w:i/>
                <w:lang w:val="en-US"/>
              </w:rPr>
            </w:pPr>
            <w:r w:rsidRPr="003A6860">
              <w:rPr>
                <w:rFonts w:ascii="Times New Roman" w:hAnsi="Times New Roman"/>
                <w:bCs/>
                <w:i/>
              </w:rPr>
              <w:t xml:space="preserve"> </w:t>
            </w:r>
            <w:r w:rsidR="00DE77E1" w:rsidRPr="003A6860">
              <w:rPr>
                <w:rFonts w:ascii="Times New Roman" w:hAnsi="Times New Roman"/>
                <w:i/>
              </w:rPr>
              <w:t>‘</w:t>
            </w:r>
            <w:r w:rsidR="00DE77E1" w:rsidRPr="003A6860">
              <w:rPr>
                <w:rFonts w:ascii="Times New Roman" w:hAnsi="Times New Roman"/>
                <w:i/>
                <w:lang w:val="en-US"/>
              </w:rPr>
              <w:t xml:space="preserve">I think there is a huge burden of over-regulation. There was supposed to be this process of simplification in pensions law. The Finance Act 2004, which is probably the biggest change since 1972 has done anything but simplified it because there is a whole raft of regulation which is very difficult for a lay person to understand - things you have to do to fund the scheme and invest in the assets and therefore we are paying a lot more, particularly to consultants’. </w:t>
            </w:r>
          </w:p>
          <w:p w:rsidR="009E5B70" w:rsidRPr="003A6860" w:rsidRDefault="009E5B70" w:rsidP="003A6860">
            <w:pPr>
              <w:tabs>
                <w:tab w:val="left" w:pos="180"/>
                <w:tab w:val="left" w:pos="720"/>
                <w:tab w:val="left" w:pos="1440"/>
                <w:tab w:val="left" w:pos="2160"/>
                <w:tab w:val="left" w:pos="2880"/>
                <w:tab w:val="left" w:pos="3600"/>
                <w:tab w:val="left" w:pos="4320"/>
                <w:tab w:val="left" w:pos="5040"/>
                <w:tab w:val="left" w:pos="5760"/>
                <w:tab w:val="left" w:pos="6480"/>
                <w:tab w:val="left" w:pos="7088"/>
                <w:tab w:val="left" w:pos="7920"/>
                <w:tab w:val="left" w:pos="8640"/>
                <w:tab w:val="left" w:pos="9360"/>
                <w:tab w:val="left" w:pos="10080"/>
              </w:tabs>
              <w:jc w:val="both"/>
              <w:rPr>
                <w:rFonts w:ascii="Times New Roman" w:hAnsi="Times New Roman"/>
                <w:bCs/>
                <w:i/>
              </w:rPr>
            </w:pP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DE77E1" w:rsidRPr="003A6860">
              <w:rPr>
                <w:rFonts w:ascii="Times New Roman" w:hAnsi="Times New Roman"/>
                <w:i/>
                <w:color w:val="000000"/>
              </w:rPr>
              <w:t xml:space="preserve">Law Firm </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21</w:t>
            </w:r>
          </w:p>
        </w:tc>
        <w:tc>
          <w:tcPr>
            <w:tcW w:w="2122" w:type="dxa"/>
            <w:tcBorders>
              <w:top w:val="single" w:sz="4" w:space="0" w:color="auto"/>
              <w:bottom w:val="single" w:sz="4" w:space="0" w:color="auto"/>
            </w:tcBorders>
            <w:shd w:val="clear" w:color="auto" w:fill="auto"/>
          </w:tcPr>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Pensions Policy Manager </w:t>
            </w:r>
          </w:p>
        </w:tc>
        <w:tc>
          <w:tcPr>
            <w:tcW w:w="7938" w:type="dxa"/>
            <w:tcBorders>
              <w:top w:val="single" w:sz="4" w:space="0" w:color="auto"/>
              <w:bottom w:val="single" w:sz="4" w:space="0" w:color="auto"/>
            </w:tcBorders>
            <w:shd w:val="clear" w:color="auto" w:fill="auto"/>
          </w:tcPr>
          <w:p w:rsidR="00DE77E1" w:rsidRPr="003A6860" w:rsidRDefault="00DE77E1" w:rsidP="003A6860">
            <w:pPr>
              <w:jc w:val="both"/>
              <w:rPr>
                <w:rFonts w:ascii="Times New Roman" w:hAnsi="Times New Roman"/>
                <w:i/>
                <w:smallCaps/>
              </w:rPr>
            </w:pPr>
            <w:r w:rsidRPr="003A6860">
              <w:rPr>
                <w:rFonts w:ascii="Times New Roman" w:hAnsi="Times New Roman"/>
                <w:i/>
                <w:lang w:val="en-US"/>
              </w:rPr>
              <w:t>‘It’s very much like tick-box, because the trustees under the Statement of the Investment Principles are required to say what their attitude is in general…</w:t>
            </w:r>
            <w:r w:rsidRPr="003A6860">
              <w:rPr>
                <w:rFonts w:ascii="Times New Roman" w:hAnsi="Times New Roman"/>
                <w:i/>
              </w:rPr>
              <w:t xml:space="preserve"> but the financial crisis has exposed a deeper problem, which is that you can’t do corporate governance though tick-boxing, it is very superficial’. </w:t>
            </w:r>
          </w:p>
          <w:p w:rsidR="009E5B70" w:rsidRPr="003A6860" w:rsidRDefault="009E5B70" w:rsidP="003A6860">
            <w:pPr>
              <w:tabs>
                <w:tab w:val="left" w:pos="540"/>
              </w:tabs>
              <w:jc w:val="both"/>
              <w:rPr>
                <w:rFonts w:ascii="Times New Roman" w:hAnsi="Times New Roman"/>
                <w:i/>
                <w:iCs/>
              </w:rPr>
            </w:pPr>
          </w:p>
        </w:tc>
        <w:tc>
          <w:tcPr>
            <w:tcW w:w="2750" w:type="dxa"/>
            <w:tcBorders>
              <w:top w:val="single" w:sz="4" w:space="0" w:color="auto"/>
              <w:bottom w:val="single" w:sz="4" w:space="0" w:color="auto"/>
            </w:tcBorders>
            <w:shd w:val="clear" w:color="auto" w:fill="auto"/>
          </w:tcPr>
          <w:p w:rsidR="00DE77E1"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Over £30 billion/</w:t>
            </w:r>
          </w:p>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Industry- wide </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22</w:t>
            </w:r>
          </w:p>
        </w:tc>
        <w:tc>
          <w:tcPr>
            <w:tcW w:w="2122" w:type="dxa"/>
            <w:tcBorders>
              <w:top w:val="single" w:sz="4" w:space="0" w:color="auto"/>
              <w:bottom w:val="single" w:sz="4" w:space="0" w:color="auto"/>
            </w:tcBorders>
            <w:shd w:val="clear" w:color="auto" w:fill="auto"/>
          </w:tcPr>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Pensions Policy Manager</w:t>
            </w:r>
          </w:p>
        </w:tc>
        <w:tc>
          <w:tcPr>
            <w:tcW w:w="7938" w:type="dxa"/>
            <w:tcBorders>
              <w:top w:val="single" w:sz="4" w:space="0" w:color="auto"/>
              <w:bottom w:val="single" w:sz="4" w:space="0" w:color="auto"/>
            </w:tcBorders>
            <w:shd w:val="clear" w:color="auto" w:fill="auto"/>
          </w:tcPr>
          <w:p w:rsidR="009E5B70" w:rsidRPr="003A6860" w:rsidRDefault="00DE77E1" w:rsidP="00DE77E1">
            <w:pPr>
              <w:rPr>
                <w:rFonts w:ascii="Times New Roman" w:hAnsi="Times New Roman"/>
                <w:i/>
                <w:color w:val="000000"/>
              </w:rPr>
            </w:pPr>
            <w:r w:rsidRPr="003A6860">
              <w:rPr>
                <w:rFonts w:ascii="Times New Roman" w:hAnsi="Times New Roman"/>
                <w:i/>
                <w:lang w:val="en-US"/>
              </w:rPr>
              <w:t>‘The Pension’s Act 2004 has created the Pensions Regulator, who has created a whole host of regulations about the way schemes should behave, mainly to control risk, trying to improve the overall governance of pension schemes, that has come as quite significant cost in terms of resources….for many pensions that was a bridge too far’.</w:t>
            </w:r>
          </w:p>
        </w:tc>
        <w:tc>
          <w:tcPr>
            <w:tcW w:w="2750" w:type="dxa"/>
            <w:tcBorders>
              <w:top w:val="single" w:sz="4" w:space="0" w:color="auto"/>
              <w:bottom w:val="single" w:sz="4" w:space="0" w:color="auto"/>
            </w:tcBorders>
            <w:shd w:val="clear" w:color="auto" w:fill="auto"/>
          </w:tcPr>
          <w:p w:rsidR="00DE77E1"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DE77E1" w:rsidRPr="003A6860">
              <w:rPr>
                <w:rFonts w:ascii="Times New Roman" w:hAnsi="Times New Roman"/>
                <w:i/>
                <w:color w:val="000000"/>
              </w:rPr>
              <w:t>Over £30 billion/</w:t>
            </w:r>
          </w:p>
          <w:p w:rsidR="009E5B70" w:rsidRPr="003A6860" w:rsidRDefault="00DE77E1"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Industry- wide</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602DE9"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23</w:t>
            </w:r>
          </w:p>
        </w:tc>
        <w:tc>
          <w:tcPr>
            <w:tcW w:w="2122" w:type="dxa"/>
            <w:tcBorders>
              <w:top w:val="single" w:sz="4" w:space="0" w:color="auto"/>
              <w:bottom w:val="single" w:sz="4" w:space="0" w:color="auto"/>
            </w:tcBorders>
            <w:shd w:val="clear" w:color="auto" w:fill="auto"/>
          </w:tcPr>
          <w:p w:rsidR="009E5B70" w:rsidRPr="003A6860" w:rsidRDefault="00602DE9"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Trustee </w:t>
            </w:r>
          </w:p>
        </w:tc>
        <w:tc>
          <w:tcPr>
            <w:tcW w:w="7938" w:type="dxa"/>
            <w:tcBorders>
              <w:top w:val="single" w:sz="4" w:space="0" w:color="auto"/>
              <w:bottom w:val="single" w:sz="4" w:space="0" w:color="auto"/>
            </w:tcBorders>
            <w:shd w:val="clear" w:color="auto" w:fill="auto"/>
          </w:tcPr>
          <w:p w:rsidR="009E5B70" w:rsidRPr="003A6860" w:rsidRDefault="00602DE9" w:rsidP="003A6860">
            <w:pPr>
              <w:tabs>
                <w:tab w:val="left" w:pos="54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 w:val="left" w:pos="10080"/>
              </w:tabs>
              <w:jc w:val="both"/>
              <w:rPr>
                <w:rFonts w:ascii="Times New Roman" w:hAnsi="Times New Roman"/>
                <w:bCs/>
                <w:i/>
                <w:color w:val="000000"/>
              </w:rPr>
            </w:pPr>
            <w:r w:rsidRPr="003A6860">
              <w:rPr>
                <w:rFonts w:ascii="Times New Roman" w:hAnsi="Times New Roman"/>
                <w:i/>
                <w:iCs/>
              </w:rPr>
              <w:t>‘[Engagement] is actually good business…there is evidence that it does add value to your shares…</w:t>
            </w:r>
            <w:r w:rsidRPr="003A6860">
              <w:rPr>
                <w:rFonts w:ascii="Times New Roman" w:hAnsi="Times New Roman"/>
                <w:bCs/>
                <w:i/>
                <w:iCs/>
              </w:rPr>
              <w:t xml:space="preserve"> </w:t>
            </w:r>
            <w:r w:rsidRPr="003A6860">
              <w:rPr>
                <w:rFonts w:ascii="Times New Roman" w:hAnsi="Times New Roman"/>
                <w:bCs/>
                <w:i/>
                <w:iCs/>
                <w:color w:val="000000"/>
              </w:rPr>
              <w:t>as much as 8% to the company value...</w:t>
            </w:r>
            <w:r w:rsidRPr="003A6860">
              <w:rPr>
                <w:rFonts w:ascii="Times New Roman" w:hAnsi="Times New Roman"/>
                <w:i/>
                <w:iCs/>
                <w:color w:val="000000"/>
              </w:rPr>
              <w:t>It probably adds 20%, which is a lot</w:t>
            </w:r>
            <w:r w:rsidRPr="003A6860">
              <w:rPr>
                <w:rFonts w:ascii="Times New Roman" w:hAnsi="Times New Roman"/>
                <w:i/>
                <w:iCs/>
              </w:rPr>
              <w:t xml:space="preserve">’.  </w:t>
            </w:r>
          </w:p>
        </w:tc>
        <w:tc>
          <w:tcPr>
            <w:tcW w:w="2750" w:type="dxa"/>
            <w:tcBorders>
              <w:top w:val="single" w:sz="4" w:space="0" w:color="auto"/>
              <w:bottom w:val="single" w:sz="4" w:space="0" w:color="auto"/>
            </w:tcBorders>
            <w:shd w:val="clear" w:color="auto" w:fill="auto"/>
          </w:tcPr>
          <w:p w:rsidR="00602DE9"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602DE9" w:rsidRPr="003A6860">
              <w:rPr>
                <w:rFonts w:ascii="Times New Roman" w:hAnsi="Times New Roman"/>
                <w:i/>
                <w:color w:val="000000"/>
              </w:rPr>
              <w:t>Over 7 billion/</w:t>
            </w:r>
          </w:p>
          <w:p w:rsidR="009E5B70" w:rsidRPr="003A6860" w:rsidRDefault="00602DE9"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Local Authority</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602DE9"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24</w:t>
            </w:r>
          </w:p>
        </w:tc>
        <w:tc>
          <w:tcPr>
            <w:tcW w:w="2122"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Chairman of Trustees </w:t>
            </w:r>
          </w:p>
        </w:tc>
        <w:tc>
          <w:tcPr>
            <w:tcW w:w="7938" w:type="dxa"/>
            <w:tcBorders>
              <w:top w:val="single" w:sz="4" w:space="0" w:color="auto"/>
              <w:bottom w:val="single" w:sz="4" w:space="0" w:color="auto"/>
            </w:tcBorders>
            <w:shd w:val="clear" w:color="auto" w:fill="auto"/>
          </w:tcPr>
          <w:p w:rsidR="009E5B70" w:rsidRPr="003A6860" w:rsidRDefault="00602DE9"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bCs/>
                <w:i/>
                <w:iCs/>
              </w:rPr>
            </w:pPr>
            <w:r w:rsidRPr="003A6860">
              <w:rPr>
                <w:rFonts w:ascii="Times New Roman" w:hAnsi="Times New Roman"/>
                <w:i/>
                <w:iCs/>
              </w:rPr>
              <w:t>‘…</w:t>
            </w:r>
            <w:r w:rsidRPr="003A6860">
              <w:rPr>
                <w:rFonts w:ascii="Times New Roman" w:hAnsi="Times New Roman"/>
                <w:i/>
                <w:iCs/>
                <w:color w:val="000000"/>
              </w:rPr>
              <w:t>to me it is part of my socialist principles….</w:t>
            </w:r>
            <w:r w:rsidR="00B039CE" w:rsidRPr="003A6860">
              <w:rPr>
                <w:rFonts w:ascii="Times New Roman" w:hAnsi="Times New Roman"/>
                <w:i/>
                <w:iCs/>
                <w:color w:val="000000"/>
              </w:rPr>
              <w:t>that</w:t>
            </w:r>
            <w:r w:rsidRPr="003A6860">
              <w:rPr>
                <w:rFonts w:ascii="Times New Roman" w:hAnsi="Times New Roman"/>
                <w:i/>
                <w:iCs/>
                <w:color w:val="000000"/>
              </w:rPr>
              <w:t xml:space="preserve"> </w:t>
            </w:r>
            <w:r w:rsidR="00B039CE" w:rsidRPr="003A6860">
              <w:rPr>
                <w:rFonts w:ascii="Times New Roman" w:hAnsi="Times New Roman"/>
                <w:i/>
                <w:iCs/>
                <w:color w:val="000000"/>
              </w:rPr>
              <w:t xml:space="preserve">is </w:t>
            </w:r>
            <w:r w:rsidRPr="003A6860">
              <w:rPr>
                <w:rFonts w:ascii="Times New Roman" w:hAnsi="Times New Roman"/>
                <w:i/>
                <w:iCs/>
                <w:color w:val="000000"/>
              </w:rPr>
              <w:t>where I come from, it is for the greater good. I think that is why I got involved in politics, I always believed in social justice.’</w:t>
            </w:r>
          </w:p>
        </w:tc>
        <w:tc>
          <w:tcPr>
            <w:tcW w:w="2750" w:type="dxa"/>
            <w:tcBorders>
              <w:top w:val="single" w:sz="4" w:space="0" w:color="auto"/>
              <w:bottom w:val="single" w:sz="4" w:space="0" w:color="auto"/>
            </w:tcBorders>
            <w:shd w:val="clear" w:color="auto" w:fill="auto"/>
          </w:tcPr>
          <w:p w:rsidR="00B039CE"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B039CE" w:rsidRPr="003A6860">
              <w:rPr>
                <w:rFonts w:ascii="Times New Roman" w:hAnsi="Times New Roman"/>
                <w:i/>
                <w:color w:val="000000"/>
              </w:rPr>
              <w:t>Over £3 billion/</w:t>
            </w:r>
          </w:p>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Local Authority</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25</w:t>
            </w:r>
          </w:p>
        </w:tc>
        <w:tc>
          <w:tcPr>
            <w:tcW w:w="2122"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CIO </w:t>
            </w:r>
          </w:p>
        </w:tc>
        <w:tc>
          <w:tcPr>
            <w:tcW w:w="7938"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bCs/>
                <w:i/>
                <w:iCs/>
                <w:color w:val="000000"/>
              </w:rPr>
            </w:pPr>
            <w:r w:rsidRPr="003A6860">
              <w:rPr>
                <w:rFonts w:ascii="Times New Roman" w:hAnsi="Times New Roman"/>
                <w:i/>
              </w:rPr>
              <w:t>‘As an organization we have a good history of trying to do these things [engagement] well as a company itself. Indeed, the pensions team sits within our corporate governance department which includes the legal team and senior remuneration and so on. I think we have got the resources and we have set out to operate at a high standard in the engagement area’.</w:t>
            </w: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B039CE" w:rsidRPr="003A6860">
              <w:rPr>
                <w:rFonts w:ascii="Times New Roman" w:hAnsi="Times New Roman"/>
                <w:i/>
                <w:color w:val="000000"/>
              </w:rPr>
              <w:t xml:space="preserve">£ 4 billion/ </w:t>
            </w:r>
          </w:p>
          <w:p w:rsidR="00B039CE"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Occupational </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26</w:t>
            </w:r>
          </w:p>
        </w:tc>
        <w:tc>
          <w:tcPr>
            <w:tcW w:w="2122"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Cs/>
                <w:i/>
                <w:iCs/>
                <w:highlight w:val="yellow"/>
              </w:rPr>
            </w:pPr>
            <w:r w:rsidRPr="003A6860">
              <w:rPr>
                <w:rFonts w:ascii="Times New Roman" w:hAnsi="Times New Roman"/>
                <w:i/>
                <w:iCs/>
              </w:rPr>
              <w:t>‘…we are heavily in a public domain and everything we do is funded through the council tax, we have real high standards of public accountability and we believe that it should run through our investments…so we make our managers vote, we make them report back to us on how they voted and the number of times they voted…it tends to be the appointment of the chief executive, the appointment of various executive directors to the board, the remuneration packages, the mergers, the rights issues…’</w:t>
            </w:r>
          </w:p>
        </w:tc>
        <w:tc>
          <w:tcPr>
            <w:tcW w:w="2750" w:type="dxa"/>
            <w:tcBorders>
              <w:top w:val="single" w:sz="4" w:space="0" w:color="auto"/>
              <w:bottom w:val="single" w:sz="4" w:space="0" w:color="auto"/>
            </w:tcBorders>
            <w:shd w:val="clear" w:color="auto" w:fill="auto"/>
          </w:tcPr>
          <w:p w:rsidR="00B039CE"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B039CE" w:rsidRPr="003A6860">
              <w:rPr>
                <w:rFonts w:ascii="Times New Roman" w:hAnsi="Times New Roman"/>
                <w:i/>
                <w:color w:val="000000"/>
              </w:rPr>
              <w:t>Over £2 billion/</w:t>
            </w:r>
          </w:p>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Local Authority</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27</w:t>
            </w:r>
          </w:p>
        </w:tc>
        <w:tc>
          <w:tcPr>
            <w:tcW w:w="2122"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Investment Manager/</w:t>
            </w:r>
          </w:p>
          <w:p w:rsidR="00B039CE"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 xml:space="preserve">Former Pension Fund Executive </w:t>
            </w:r>
          </w:p>
        </w:tc>
        <w:tc>
          <w:tcPr>
            <w:tcW w:w="7938"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iCs/>
                <w:color w:val="000000"/>
              </w:rPr>
            </w:pPr>
            <w:r w:rsidRPr="003A6860">
              <w:rPr>
                <w:rFonts w:ascii="Times New Roman" w:hAnsi="Times New Roman"/>
                <w:i/>
              </w:rPr>
              <w:t>‘The industry is getting more interested in engagement. If you looked back 10 or 20 years – most fund managers, most pensions trustees weren’t really that bothered, they were just looking at the investment performance. I think there is much more awareness, there is more pressure, more responsibility, there is more governance and I think pension funds generally understand and take their responsibilities more seriously in this area’</w:t>
            </w: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B039CE" w:rsidRPr="003A6860">
              <w:rPr>
                <w:rFonts w:ascii="Times New Roman" w:hAnsi="Times New Roman"/>
                <w:i/>
                <w:color w:val="000000"/>
              </w:rPr>
              <w:t xml:space="preserve">Investment management </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28</w:t>
            </w:r>
          </w:p>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p>
        </w:tc>
        <w:tc>
          <w:tcPr>
            <w:tcW w:w="2122"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CEO</w:t>
            </w:r>
          </w:p>
        </w:tc>
        <w:tc>
          <w:tcPr>
            <w:tcW w:w="7938" w:type="dxa"/>
            <w:tcBorders>
              <w:top w:val="single" w:sz="4" w:space="0" w:color="auto"/>
              <w:bottom w:val="single" w:sz="4" w:space="0" w:color="auto"/>
            </w:tcBorders>
            <w:shd w:val="clear" w:color="auto" w:fill="auto"/>
          </w:tcPr>
          <w:p w:rsidR="009E5B70" w:rsidRPr="003A6860" w:rsidRDefault="00B039CE" w:rsidP="003A6860">
            <w:pPr>
              <w:jc w:val="both"/>
              <w:rPr>
                <w:rFonts w:ascii="Times New Roman" w:hAnsi="Times New Roman"/>
                <w:i/>
                <w:highlight w:val="yellow"/>
              </w:rPr>
            </w:pPr>
            <w:r w:rsidRPr="003A6860">
              <w:rPr>
                <w:rFonts w:ascii="Times New Roman" w:hAnsi="Times New Roman"/>
                <w:i/>
              </w:rPr>
              <w:t>‘The whole industry has moved so much in the past ten years. Stewardship is on the consultants’ radar screen now, they are beginning to provide tools and ways of people to come together, it is coming into fund manager research a bit more, there are things like RI metrics where fund managers can get themselves benchmarked against other norms - that simply would not exist ten years ago.’</w:t>
            </w: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B039CE" w:rsidRPr="003A6860">
              <w:rPr>
                <w:rFonts w:ascii="Times New Roman" w:hAnsi="Times New Roman"/>
                <w:i/>
                <w:color w:val="000000"/>
              </w:rPr>
              <w:t>Over £14 billion/</w:t>
            </w:r>
          </w:p>
          <w:p w:rsidR="00B039CE"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Occupational </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29</w:t>
            </w:r>
          </w:p>
        </w:tc>
        <w:tc>
          <w:tcPr>
            <w:tcW w:w="2122"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CIO</w:t>
            </w:r>
          </w:p>
        </w:tc>
        <w:tc>
          <w:tcPr>
            <w:tcW w:w="7938"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rPr>
            </w:pPr>
            <w:r w:rsidRPr="003A6860">
              <w:rPr>
                <w:rFonts w:ascii="Times New Roman" w:hAnsi="Times New Roman"/>
                <w:i/>
              </w:rPr>
              <w:t>‘Over time our view of responsible investment and corporate governance has changed beyond all recognition. We are now one of the leaders in the field of responsible investment and activism on governance. We also tend to lead the way and are regarded as a sounding board in terms of the way people approach the debates about responsible investments, sustainability and corporate governance’.</w:t>
            </w: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B039CE" w:rsidRPr="003A6860">
              <w:rPr>
                <w:rFonts w:ascii="Times New Roman" w:hAnsi="Times New Roman"/>
                <w:i/>
                <w:color w:val="000000"/>
              </w:rPr>
              <w:t>Over £4 billion/</w:t>
            </w:r>
          </w:p>
          <w:p w:rsidR="00B039CE"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Local Authority </w:t>
            </w:r>
          </w:p>
        </w:tc>
      </w:tr>
      <w:tr w:rsidR="009E5B70" w:rsidRPr="003A6860" w:rsidTr="003A6860">
        <w:tc>
          <w:tcPr>
            <w:tcW w:w="1134"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30</w:t>
            </w:r>
          </w:p>
        </w:tc>
        <w:tc>
          <w:tcPr>
            <w:tcW w:w="2122" w:type="dxa"/>
            <w:tcBorders>
              <w:top w:val="single" w:sz="4" w:space="0" w:color="auto"/>
              <w:bottom w:val="single" w:sz="4" w:space="0" w:color="auto"/>
            </w:tcBorders>
            <w:shd w:val="clear" w:color="auto" w:fill="auto"/>
          </w:tcPr>
          <w:p w:rsidR="009E5B70"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i/>
                <w:color w:val="000000"/>
              </w:rPr>
            </w:pPr>
            <w:r w:rsidRPr="003A6860">
              <w:rPr>
                <w:rFonts w:ascii="Times New Roman" w:hAnsi="Times New Roman"/>
                <w:i/>
                <w:color w:val="000000"/>
              </w:rPr>
              <w:t>CIO</w:t>
            </w:r>
          </w:p>
        </w:tc>
        <w:tc>
          <w:tcPr>
            <w:tcW w:w="7938" w:type="dxa"/>
            <w:tcBorders>
              <w:top w:val="single" w:sz="4" w:space="0" w:color="auto"/>
              <w:bottom w:val="single" w:sz="4" w:space="0" w:color="auto"/>
            </w:tcBorders>
            <w:shd w:val="clear" w:color="auto" w:fill="auto"/>
          </w:tcPr>
          <w:p w:rsidR="00B039CE" w:rsidRPr="003A6860" w:rsidRDefault="00B039CE" w:rsidP="003A6860">
            <w:pPr>
              <w:spacing w:line="240" w:lineRule="auto"/>
              <w:jc w:val="both"/>
              <w:rPr>
                <w:rFonts w:ascii="Times New Roman" w:hAnsi="Times New Roman"/>
                <w:i/>
              </w:rPr>
            </w:pPr>
            <w:r w:rsidRPr="003A6860">
              <w:rPr>
                <w:rFonts w:ascii="Times New Roman" w:hAnsi="Times New Roman"/>
                <w:i/>
              </w:rPr>
              <w:t xml:space="preserve">‘We actually have a five year performance cycle. But there are always pressures on people to perform on a yearly basis and most people I’ve seen in the City are on the three-monthly basis, so even if I say to our fund manager: ‘don’t worry we won’t judge you in less than 5 years’, they would get quite concerned if they had a bad year and they need to do something about it and that sometimes creates unnecessary activity but activity is no guarantee of out-performance. It is simple for me because I can’t see any shorter term than 5 years – it gives me longer time to get things right’. </w:t>
            </w:r>
          </w:p>
          <w:p w:rsidR="009E5B70" w:rsidRPr="003A6860" w:rsidRDefault="009E5B70" w:rsidP="003A686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Cs/>
                <w:i/>
                <w:iCs/>
              </w:rPr>
            </w:pPr>
          </w:p>
        </w:tc>
        <w:tc>
          <w:tcPr>
            <w:tcW w:w="2750" w:type="dxa"/>
            <w:tcBorders>
              <w:top w:val="single" w:sz="4" w:space="0" w:color="auto"/>
              <w:bottom w:val="single" w:sz="4" w:space="0" w:color="auto"/>
            </w:tcBorders>
            <w:shd w:val="clear" w:color="auto" w:fill="auto"/>
          </w:tcPr>
          <w:p w:rsidR="009E5B70" w:rsidRPr="003A6860" w:rsidRDefault="009E5B70"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 </w:t>
            </w:r>
            <w:r w:rsidR="00B039CE" w:rsidRPr="003A6860">
              <w:rPr>
                <w:rFonts w:ascii="Times New Roman" w:hAnsi="Times New Roman"/>
                <w:i/>
                <w:color w:val="000000"/>
              </w:rPr>
              <w:t>Over £30 billion/</w:t>
            </w:r>
          </w:p>
          <w:p w:rsidR="00B039CE" w:rsidRPr="003A6860" w:rsidRDefault="00B039CE" w:rsidP="003A6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46"/>
              <w:rPr>
                <w:rFonts w:ascii="Times New Roman" w:hAnsi="Times New Roman"/>
                <w:i/>
                <w:color w:val="000000"/>
              </w:rPr>
            </w:pPr>
            <w:r w:rsidRPr="003A6860">
              <w:rPr>
                <w:rFonts w:ascii="Times New Roman" w:hAnsi="Times New Roman"/>
                <w:i/>
                <w:color w:val="000000"/>
              </w:rPr>
              <w:t xml:space="preserve">Industry-wide </w:t>
            </w:r>
          </w:p>
        </w:tc>
      </w:tr>
    </w:tbl>
    <w:p w:rsidR="009E5B70" w:rsidRPr="00D41605" w:rsidRDefault="009E5B70" w:rsidP="009E5B70">
      <w:pPr>
        <w:pStyle w:val="NormalWeb"/>
        <w:spacing w:line="480" w:lineRule="auto"/>
        <w:ind w:firstLine="720"/>
        <w:jc w:val="both"/>
        <w:rPr>
          <w:lang w:val="en"/>
        </w:rPr>
      </w:pPr>
    </w:p>
    <w:sectPr w:rsidR="009E5B70" w:rsidRPr="00D41605" w:rsidSect="009E5B7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0D" w:rsidRDefault="00234F0D" w:rsidP="000522CB">
      <w:pPr>
        <w:spacing w:after="0" w:line="240" w:lineRule="auto"/>
      </w:pPr>
      <w:r>
        <w:separator/>
      </w:r>
    </w:p>
  </w:endnote>
  <w:endnote w:type="continuationSeparator" w:id="0">
    <w:p w:rsidR="00234F0D" w:rsidRDefault="00234F0D" w:rsidP="0005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owan Old Style Roman">
    <w:altName w:val="Georgia"/>
    <w:charset w:val="00"/>
    <w:family w:val="auto"/>
    <w:pitch w:val="variable"/>
    <w:sig w:usb0="00000001" w:usb1="400020CB"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28" w:rsidRDefault="008A5F28">
    <w:pPr>
      <w:pStyle w:val="Footer"/>
      <w:jc w:val="right"/>
    </w:pPr>
    <w:r>
      <w:fldChar w:fldCharType="begin"/>
    </w:r>
    <w:r>
      <w:instrText xml:space="preserve"> PAGE   \* MERGEFORMAT </w:instrText>
    </w:r>
    <w:r>
      <w:fldChar w:fldCharType="separate"/>
    </w:r>
    <w:r w:rsidR="00FB23FC">
      <w:rPr>
        <w:noProof/>
      </w:rPr>
      <w:t>1</w:t>
    </w:r>
    <w:r>
      <w:rPr>
        <w:noProof/>
      </w:rPr>
      <w:fldChar w:fldCharType="end"/>
    </w:r>
  </w:p>
  <w:p w:rsidR="008A5F28" w:rsidRDefault="008A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0D" w:rsidRDefault="00234F0D" w:rsidP="000522CB">
      <w:pPr>
        <w:spacing w:after="0" w:line="240" w:lineRule="auto"/>
      </w:pPr>
      <w:r>
        <w:separator/>
      </w:r>
    </w:p>
  </w:footnote>
  <w:footnote w:type="continuationSeparator" w:id="0">
    <w:p w:rsidR="00234F0D" w:rsidRDefault="00234F0D" w:rsidP="000522CB">
      <w:pPr>
        <w:spacing w:after="0" w:line="240" w:lineRule="auto"/>
      </w:pPr>
      <w:r>
        <w:continuationSeparator/>
      </w:r>
    </w:p>
  </w:footnote>
  <w:footnote w:id="1">
    <w:p w:rsidR="008A5F28" w:rsidRDefault="008A5F28" w:rsidP="00B110CC">
      <w:pPr>
        <w:pStyle w:val="FootnoteText"/>
      </w:pPr>
      <w:r>
        <w:rPr>
          <w:rStyle w:val="FootnoteReference"/>
        </w:rPr>
        <w:footnoteRef/>
      </w:r>
      <w:r w:rsidRPr="006E1396">
        <w:rPr>
          <w:i/>
        </w:rPr>
        <w:t xml:space="preserve"> The Law Commission Consultation (2013) and the Final Report (2014) contain the list of names and responses of individuals and organisations that took part in this consultation.</w:t>
      </w:r>
    </w:p>
  </w:footnote>
  <w:footnote w:id="2">
    <w:p w:rsidR="008A5F28" w:rsidRPr="00C47F10" w:rsidRDefault="008A5F28" w:rsidP="00B110CC">
      <w:pPr>
        <w:pStyle w:val="FootnoteText"/>
      </w:pPr>
      <w:r w:rsidRPr="00C47F10">
        <w:rPr>
          <w:rStyle w:val="FootnoteReference"/>
        </w:rPr>
        <w:footnoteRef/>
      </w:r>
      <w:r w:rsidRPr="00C47F10">
        <w:t xml:space="preserve"> As significant number of respondents have been working in pensions industry on the average </w:t>
      </w:r>
      <w:r>
        <w:t>between 15-20 years, it was</w:t>
      </w:r>
      <w:r w:rsidRPr="00C47F10">
        <w:t xml:space="preserve"> possible to get their longitudinal insights on the research topic.</w:t>
      </w:r>
    </w:p>
  </w:footnote>
  <w:footnote w:id="3">
    <w:p w:rsidR="008A5F28" w:rsidRPr="007E27B3" w:rsidRDefault="008A5F28" w:rsidP="00B110CC">
      <w:pPr>
        <w:spacing w:line="240" w:lineRule="auto"/>
        <w:jc w:val="both"/>
        <w:rPr>
          <w:rFonts w:ascii="Times New Roman" w:hAnsi="Times New Roman"/>
          <w:sz w:val="20"/>
          <w:szCs w:val="20"/>
        </w:rPr>
      </w:pPr>
      <w:r w:rsidRPr="007E27B3">
        <w:rPr>
          <w:rStyle w:val="FootnoteReference"/>
          <w:rFonts w:ascii="Times New Roman" w:hAnsi="Times New Roman"/>
          <w:sz w:val="20"/>
          <w:szCs w:val="20"/>
        </w:rPr>
        <w:footnoteRef/>
      </w:r>
      <w:r w:rsidRPr="007E27B3">
        <w:rPr>
          <w:rFonts w:ascii="Times New Roman" w:hAnsi="Times New Roman"/>
          <w:sz w:val="20"/>
          <w:szCs w:val="20"/>
        </w:rPr>
        <w:t xml:space="preserve"> The Trustee Act 2000 specifies that trustees have a fiduciary duty of care, which means that in determining investment strategy, trustees must consider the suitability of different asset classes in meeting the scheme’s liabilities, account for the risks and returns associated with different investment products and ensure appropriate diversification of the scheme’s investment portfolio (The Pensions Regulator, 2010). According to the Trustee Act 2000, trustees are also given power to invest assets in a way that produces an income or return on capital. </w:t>
      </w:r>
    </w:p>
    <w:p w:rsidR="008A5F28" w:rsidRDefault="008A5F28" w:rsidP="00B110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55FE"/>
    <w:multiLevelType w:val="hybridMultilevel"/>
    <w:tmpl w:val="F498F8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BD"/>
    <w:rsid w:val="00005B24"/>
    <w:rsid w:val="00007076"/>
    <w:rsid w:val="00007DA6"/>
    <w:rsid w:val="00012BAC"/>
    <w:rsid w:val="00014546"/>
    <w:rsid w:val="00014D99"/>
    <w:rsid w:val="00015A2D"/>
    <w:rsid w:val="0002112C"/>
    <w:rsid w:val="00025976"/>
    <w:rsid w:val="00025BD0"/>
    <w:rsid w:val="000305C6"/>
    <w:rsid w:val="000326B4"/>
    <w:rsid w:val="0003758D"/>
    <w:rsid w:val="00042C08"/>
    <w:rsid w:val="00043D49"/>
    <w:rsid w:val="000508C4"/>
    <w:rsid w:val="000522CB"/>
    <w:rsid w:val="0005351A"/>
    <w:rsid w:val="00060B37"/>
    <w:rsid w:val="00060F04"/>
    <w:rsid w:val="000732D3"/>
    <w:rsid w:val="00080F9D"/>
    <w:rsid w:val="000832DC"/>
    <w:rsid w:val="00083417"/>
    <w:rsid w:val="00083510"/>
    <w:rsid w:val="00084F8E"/>
    <w:rsid w:val="000850A8"/>
    <w:rsid w:val="00085731"/>
    <w:rsid w:val="000924C7"/>
    <w:rsid w:val="00092769"/>
    <w:rsid w:val="000940F8"/>
    <w:rsid w:val="000949A5"/>
    <w:rsid w:val="000950D2"/>
    <w:rsid w:val="00095E2C"/>
    <w:rsid w:val="000960DD"/>
    <w:rsid w:val="000A7337"/>
    <w:rsid w:val="000A7BFC"/>
    <w:rsid w:val="000B38EF"/>
    <w:rsid w:val="000B5400"/>
    <w:rsid w:val="000B56B9"/>
    <w:rsid w:val="000C026A"/>
    <w:rsid w:val="000C2D2E"/>
    <w:rsid w:val="000D170C"/>
    <w:rsid w:val="000D2E93"/>
    <w:rsid w:val="000D5FDC"/>
    <w:rsid w:val="000E23F5"/>
    <w:rsid w:val="000E3A60"/>
    <w:rsid w:val="000E7D21"/>
    <w:rsid w:val="000F1E00"/>
    <w:rsid w:val="000F26F8"/>
    <w:rsid w:val="000F45D4"/>
    <w:rsid w:val="000F710E"/>
    <w:rsid w:val="00100F30"/>
    <w:rsid w:val="001010FA"/>
    <w:rsid w:val="001027A3"/>
    <w:rsid w:val="001044F8"/>
    <w:rsid w:val="00106054"/>
    <w:rsid w:val="00110B26"/>
    <w:rsid w:val="001136DD"/>
    <w:rsid w:val="00114D5C"/>
    <w:rsid w:val="00116A7A"/>
    <w:rsid w:val="0012583B"/>
    <w:rsid w:val="001340F9"/>
    <w:rsid w:val="00135B56"/>
    <w:rsid w:val="0015098C"/>
    <w:rsid w:val="00156390"/>
    <w:rsid w:val="001614A4"/>
    <w:rsid w:val="00172C45"/>
    <w:rsid w:val="00173071"/>
    <w:rsid w:val="00175069"/>
    <w:rsid w:val="00180FCC"/>
    <w:rsid w:val="00181720"/>
    <w:rsid w:val="0018225F"/>
    <w:rsid w:val="00192154"/>
    <w:rsid w:val="001925AB"/>
    <w:rsid w:val="00193161"/>
    <w:rsid w:val="001A3B53"/>
    <w:rsid w:val="001A61F4"/>
    <w:rsid w:val="001A6FDF"/>
    <w:rsid w:val="001A6FE0"/>
    <w:rsid w:val="001B0408"/>
    <w:rsid w:val="001B344F"/>
    <w:rsid w:val="001B38F5"/>
    <w:rsid w:val="001B60D9"/>
    <w:rsid w:val="001B6C60"/>
    <w:rsid w:val="001C3AF8"/>
    <w:rsid w:val="001C550F"/>
    <w:rsid w:val="001E6CA2"/>
    <w:rsid w:val="001F01DA"/>
    <w:rsid w:val="001F0EE9"/>
    <w:rsid w:val="001F1518"/>
    <w:rsid w:val="001F1A80"/>
    <w:rsid w:val="001F1D0C"/>
    <w:rsid w:val="002029E5"/>
    <w:rsid w:val="00204BDD"/>
    <w:rsid w:val="002065A1"/>
    <w:rsid w:val="0021314B"/>
    <w:rsid w:val="00216FB7"/>
    <w:rsid w:val="002215A9"/>
    <w:rsid w:val="00221B9D"/>
    <w:rsid w:val="00225F2B"/>
    <w:rsid w:val="002278F8"/>
    <w:rsid w:val="00230956"/>
    <w:rsid w:val="00234F0D"/>
    <w:rsid w:val="00242E4D"/>
    <w:rsid w:val="002447A3"/>
    <w:rsid w:val="00260372"/>
    <w:rsid w:val="002643E5"/>
    <w:rsid w:val="0026694C"/>
    <w:rsid w:val="00273D32"/>
    <w:rsid w:val="00274943"/>
    <w:rsid w:val="00274D33"/>
    <w:rsid w:val="002777F3"/>
    <w:rsid w:val="00277EB0"/>
    <w:rsid w:val="00280489"/>
    <w:rsid w:val="0028514C"/>
    <w:rsid w:val="002A0C06"/>
    <w:rsid w:val="002A32B5"/>
    <w:rsid w:val="002A3D2E"/>
    <w:rsid w:val="002A4F34"/>
    <w:rsid w:val="002B49A4"/>
    <w:rsid w:val="002B649A"/>
    <w:rsid w:val="002C0EE6"/>
    <w:rsid w:val="002C10C4"/>
    <w:rsid w:val="002C14DB"/>
    <w:rsid w:val="002C78E9"/>
    <w:rsid w:val="002D073E"/>
    <w:rsid w:val="002D6EC8"/>
    <w:rsid w:val="002E048F"/>
    <w:rsid w:val="002E153A"/>
    <w:rsid w:val="002E3768"/>
    <w:rsid w:val="002E528D"/>
    <w:rsid w:val="002E5891"/>
    <w:rsid w:val="002F3D14"/>
    <w:rsid w:val="00302AC3"/>
    <w:rsid w:val="00304204"/>
    <w:rsid w:val="00320AD4"/>
    <w:rsid w:val="00330600"/>
    <w:rsid w:val="00334A7E"/>
    <w:rsid w:val="00336DDD"/>
    <w:rsid w:val="003500F1"/>
    <w:rsid w:val="003528C1"/>
    <w:rsid w:val="0035387D"/>
    <w:rsid w:val="00353E8B"/>
    <w:rsid w:val="00360C95"/>
    <w:rsid w:val="00363D17"/>
    <w:rsid w:val="00364A8D"/>
    <w:rsid w:val="003656AA"/>
    <w:rsid w:val="003676BB"/>
    <w:rsid w:val="00375087"/>
    <w:rsid w:val="00383EAB"/>
    <w:rsid w:val="00387F7B"/>
    <w:rsid w:val="00396318"/>
    <w:rsid w:val="003A6860"/>
    <w:rsid w:val="003A7E7D"/>
    <w:rsid w:val="003B5ACB"/>
    <w:rsid w:val="003C40DB"/>
    <w:rsid w:val="003C7811"/>
    <w:rsid w:val="003D1608"/>
    <w:rsid w:val="003D53E3"/>
    <w:rsid w:val="003D73EC"/>
    <w:rsid w:val="003E5A72"/>
    <w:rsid w:val="003F0A25"/>
    <w:rsid w:val="0040569D"/>
    <w:rsid w:val="00407449"/>
    <w:rsid w:val="00425E99"/>
    <w:rsid w:val="00441290"/>
    <w:rsid w:val="004431B7"/>
    <w:rsid w:val="00443415"/>
    <w:rsid w:val="00443ACE"/>
    <w:rsid w:val="00456846"/>
    <w:rsid w:val="00464A02"/>
    <w:rsid w:val="004666FD"/>
    <w:rsid w:val="00471AD4"/>
    <w:rsid w:val="004832B5"/>
    <w:rsid w:val="004868D2"/>
    <w:rsid w:val="00496F29"/>
    <w:rsid w:val="004A01AF"/>
    <w:rsid w:val="004A220B"/>
    <w:rsid w:val="004B5A06"/>
    <w:rsid w:val="004B724E"/>
    <w:rsid w:val="004C780B"/>
    <w:rsid w:val="004E1442"/>
    <w:rsid w:val="004E2BC2"/>
    <w:rsid w:val="004E457F"/>
    <w:rsid w:val="004F763B"/>
    <w:rsid w:val="0050143B"/>
    <w:rsid w:val="0050190D"/>
    <w:rsid w:val="005059E8"/>
    <w:rsid w:val="005124E6"/>
    <w:rsid w:val="005131EC"/>
    <w:rsid w:val="005140BD"/>
    <w:rsid w:val="00527701"/>
    <w:rsid w:val="00530396"/>
    <w:rsid w:val="00532369"/>
    <w:rsid w:val="00541B1E"/>
    <w:rsid w:val="005432FB"/>
    <w:rsid w:val="00547ECC"/>
    <w:rsid w:val="00557CE5"/>
    <w:rsid w:val="00561EFA"/>
    <w:rsid w:val="00562486"/>
    <w:rsid w:val="005630A9"/>
    <w:rsid w:val="005636E9"/>
    <w:rsid w:val="00566D2D"/>
    <w:rsid w:val="00572DB9"/>
    <w:rsid w:val="00574185"/>
    <w:rsid w:val="00577FB5"/>
    <w:rsid w:val="005873FE"/>
    <w:rsid w:val="005906E3"/>
    <w:rsid w:val="005927D2"/>
    <w:rsid w:val="005941AC"/>
    <w:rsid w:val="005A09D6"/>
    <w:rsid w:val="005A63E3"/>
    <w:rsid w:val="005A65BA"/>
    <w:rsid w:val="005B0DEA"/>
    <w:rsid w:val="005C2FFB"/>
    <w:rsid w:val="005C3DBB"/>
    <w:rsid w:val="005C4639"/>
    <w:rsid w:val="005C7077"/>
    <w:rsid w:val="005D0063"/>
    <w:rsid w:val="005D09A6"/>
    <w:rsid w:val="005D5A7B"/>
    <w:rsid w:val="005D5CC8"/>
    <w:rsid w:val="005E0EC5"/>
    <w:rsid w:val="005F27E5"/>
    <w:rsid w:val="005F7444"/>
    <w:rsid w:val="005F7E69"/>
    <w:rsid w:val="00601257"/>
    <w:rsid w:val="00602DE9"/>
    <w:rsid w:val="00603822"/>
    <w:rsid w:val="00604ABD"/>
    <w:rsid w:val="0060767C"/>
    <w:rsid w:val="00611E99"/>
    <w:rsid w:val="00613095"/>
    <w:rsid w:val="006131A0"/>
    <w:rsid w:val="00620393"/>
    <w:rsid w:val="00622426"/>
    <w:rsid w:val="006227E6"/>
    <w:rsid w:val="00622A44"/>
    <w:rsid w:val="006246C7"/>
    <w:rsid w:val="0062580D"/>
    <w:rsid w:val="00627D20"/>
    <w:rsid w:val="006406FE"/>
    <w:rsid w:val="00645BFB"/>
    <w:rsid w:val="00651865"/>
    <w:rsid w:val="00655207"/>
    <w:rsid w:val="006613AB"/>
    <w:rsid w:val="00661C6E"/>
    <w:rsid w:val="00671134"/>
    <w:rsid w:val="0067435C"/>
    <w:rsid w:val="00675747"/>
    <w:rsid w:val="00681080"/>
    <w:rsid w:val="00683639"/>
    <w:rsid w:val="006842F8"/>
    <w:rsid w:val="006863BC"/>
    <w:rsid w:val="00693188"/>
    <w:rsid w:val="006949D4"/>
    <w:rsid w:val="00696EE1"/>
    <w:rsid w:val="00697F27"/>
    <w:rsid w:val="006A22CC"/>
    <w:rsid w:val="006A3F5D"/>
    <w:rsid w:val="006A6E52"/>
    <w:rsid w:val="006B41AD"/>
    <w:rsid w:val="006C0C19"/>
    <w:rsid w:val="006C0D1B"/>
    <w:rsid w:val="006C1759"/>
    <w:rsid w:val="006C589D"/>
    <w:rsid w:val="006C7A38"/>
    <w:rsid w:val="006D1025"/>
    <w:rsid w:val="006D177F"/>
    <w:rsid w:val="006D2638"/>
    <w:rsid w:val="006D36D7"/>
    <w:rsid w:val="006D4654"/>
    <w:rsid w:val="006D4CB3"/>
    <w:rsid w:val="006D6A1B"/>
    <w:rsid w:val="006E1396"/>
    <w:rsid w:val="006E7948"/>
    <w:rsid w:val="006F3274"/>
    <w:rsid w:val="006F3E65"/>
    <w:rsid w:val="006F55BF"/>
    <w:rsid w:val="006F5B5D"/>
    <w:rsid w:val="006F74D9"/>
    <w:rsid w:val="00702A35"/>
    <w:rsid w:val="00710F3D"/>
    <w:rsid w:val="00710F6C"/>
    <w:rsid w:val="00711F30"/>
    <w:rsid w:val="00712A9B"/>
    <w:rsid w:val="0071327C"/>
    <w:rsid w:val="0071739F"/>
    <w:rsid w:val="00724D0A"/>
    <w:rsid w:val="00735C5A"/>
    <w:rsid w:val="00737C46"/>
    <w:rsid w:val="007421D4"/>
    <w:rsid w:val="007436E6"/>
    <w:rsid w:val="00743AF5"/>
    <w:rsid w:val="007459B5"/>
    <w:rsid w:val="007466B8"/>
    <w:rsid w:val="00753BE6"/>
    <w:rsid w:val="0076216B"/>
    <w:rsid w:val="007648B0"/>
    <w:rsid w:val="00765634"/>
    <w:rsid w:val="00766B1F"/>
    <w:rsid w:val="00770009"/>
    <w:rsid w:val="00775AD6"/>
    <w:rsid w:val="00776957"/>
    <w:rsid w:val="0078250C"/>
    <w:rsid w:val="007913E1"/>
    <w:rsid w:val="007930A8"/>
    <w:rsid w:val="007950D7"/>
    <w:rsid w:val="007A04C2"/>
    <w:rsid w:val="007A5C35"/>
    <w:rsid w:val="007B16E4"/>
    <w:rsid w:val="007B4A57"/>
    <w:rsid w:val="007B6132"/>
    <w:rsid w:val="007D717F"/>
    <w:rsid w:val="007D792D"/>
    <w:rsid w:val="007E11A9"/>
    <w:rsid w:val="007E27B3"/>
    <w:rsid w:val="007E2EC7"/>
    <w:rsid w:val="007E5E0B"/>
    <w:rsid w:val="007F16D2"/>
    <w:rsid w:val="007F1B48"/>
    <w:rsid w:val="007F29F3"/>
    <w:rsid w:val="007F7B53"/>
    <w:rsid w:val="00803841"/>
    <w:rsid w:val="00804F85"/>
    <w:rsid w:val="00814627"/>
    <w:rsid w:val="00820838"/>
    <w:rsid w:val="008313A5"/>
    <w:rsid w:val="0084042B"/>
    <w:rsid w:val="00840E08"/>
    <w:rsid w:val="00843310"/>
    <w:rsid w:val="0085279C"/>
    <w:rsid w:val="00852B6A"/>
    <w:rsid w:val="00852ECC"/>
    <w:rsid w:val="00856947"/>
    <w:rsid w:val="00856FAD"/>
    <w:rsid w:val="0086553B"/>
    <w:rsid w:val="00870F1F"/>
    <w:rsid w:val="00875053"/>
    <w:rsid w:val="00877072"/>
    <w:rsid w:val="00880C48"/>
    <w:rsid w:val="0088180E"/>
    <w:rsid w:val="008862B5"/>
    <w:rsid w:val="00886ADB"/>
    <w:rsid w:val="008873BB"/>
    <w:rsid w:val="008A02E3"/>
    <w:rsid w:val="008A0442"/>
    <w:rsid w:val="008A2596"/>
    <w:rsid w:val="008A5F28"/>
    <w:rsid w:val="008A608A"/>
    <w:rsid w:val="008B2182"/>
    <w:rsid w:val="008C2A79"/>
    <w:rsid w:val="008C3B3B"/>
    <w:rsid w:val="008D38CF"/>
    <w:rsid w:val="008E5173"/>
    <w:rsid w:val="008E7295"/>
    <w:rsid w:val="008F1116"/>
    <w:rsid w:val="008F47D9"/>
    <w:rsid w:val="008F5014"/>
    <w:rsid w:val="009001B6"/>
    <w:rsid w:val="00903244"/>
    <w:rsid w:val="00912A7B"/>
    <w:rsid w:val="00913C28"/>
    <w:rsid w:val="00915772"/>
    <w:rsid w:val="00915CCE"/>
    <w:rsid w:val="00921125"/>
    <w:rsid w:val="009327AA"/>
    <w:rsid w:val="00944B38"/>
    <w:rsid w:val="009450CE"/>
    <w:rsid w:val="00961031"/>
    <w:rsid w:val="00963C81"/>
    <w:rsid w:val="00964317"/>
    <w:rsid w:val="00964F0A"/>
    <w:rsid w:val="00973AE1"/>
    <w:rsid w:val="00976487"/>
    <w:rsid w:val="00977011"/>
    <w:rsid w:val="00977B74"/>
    <w:rsid w:val="00980C71"/>
    <w:rsid w:val="009846E6"/>
    <w:rsid w:val="00984CBF"/>
    <w:rsid w:val="009972B5"/>
    <w:rsid w:val="009A2A14"/>
    <w:rsid w:val="009A3A64"/>
    <w:rsid w:val="009A7402"/>
    <w:rsid w:val="009B27F2"/>
    <w:rsid w:val="009B6FB3"/>
    <w:rsid w:val="009C0C34"/>
    <w:rsid w:val="009C3B9F"/>
    <w:rsid w:val="009C748B"/>
    <w:rsid w:val="009D045F"/>
    <w:rsid w:val="009D2E13"/>
    <w:rsid w:val="009D406D"/>
    <w:rsid w:val="009D4165"/>
    <w:rsid w:val="009D7ACF"/>
    <w:rsid w:val="009E590C"/>
    <w:rsid w:val="009E5B70"/>
    <w:rsid w:val="009E6FF4"/>
    <w:rsid w:val="009E71B8"/>
    <w:rsid w:val="009F0A31"/>
    <w:rsid w:val="009F7815"/>
    <w:rsid w:val="00A003D2"/>
    <w:rsid w:val="00A003EC"/>
    <w:rsid w:val="00A02D42"/>
    <w:rsid w:val="00A04AB2"/>
    <w:rsid w:val="00A20CCB"/>
    <w:rsid w:val="00A21537"/>
    <w:rsid w:val="00A224D9"/>
    <w:rsid w:val="00A24D3D"/>
    <w:rsid w:val="00A27B76"/>
    <w:rsid w:val="00A30085"/>
    <w:rsid w:val="00A3194B"/>
    <w:rsid w:val="00A33306"/>
    <w:rsid w:val="00A36332"/>
    <w:rsid w:val="00A36770"/>
    <w:rsid w:val="00A428FF"/>
    <w:rsid w:val="00A467E3"/>
    <w:rsid w:val="00A51502"/>
    <w:rsid w:val="00A52F44"/>
    <w:rsid w:val="00A5619C"/>
    <w:rsid w:val="00A576E1"/>
    <w:rsid w:val="00A60407"/>
    <w:rsid w:val="00A672E4"/>
    <w:rsid w:val="00A721CA"/>
    <w:rsid w:val="00A73E5E"/>
    <w:rsid w:val="00A740E1"/>
    <w:rsid w:val="00A743FC"/>
    <w:rsid w:val="00A74A64"/>
    <w:rsid w:val="00A77586"/>
    <w:rsid w:val="00A802F8"/>
    <w:rsid w:val="00A94EF9"/>
    <w:rsid w:val="00AA5AFC"/>
    <w:rsid w:val="00AB0132"/>
    <w:rsid w:val="00AB02B2"/>
    <w:rsid w:val="00AB0333"/>
    <w:rsid w:val="00AB1891"/>
    <w:rsid w:val="00AB242C"/>
    <w:rsid w:val="00AB2BB1"/>
    <w:rsid w:val="00AB2F66"/>
    <w:rsid w:val="00AB484C"/>
    <w:rsid w:val="00AC2A4B"/>
    <w:rsid w:val="00AC761F"/>
    <w:rsid w:val="00AC7F09"/>
    <w:rsid w:val="00AD7520"/>
    <w:rsid w:val="00AE16A2"/>
    <w:rsid w:val="00AE3B65"/>
    <w:rsid w:val="00AE7B49"/>
    <w:rsid w:val="00AF0C22"/>
    <w:rsid w:val="00AF3DD0"/>
    <w:rsid w:val="00AF739B"/>
    <w:rsid w:val="00AF7B1D"/>
    <w:rsid w:val="00B01C23"/>
    <w:rsid w:val="00B039CE"/>
    <w:rsid w:val="00B110CC"/>
    <w:rsid w:val="00B14F84"/>
    <w:rsid w:val="00B16450"/>
    <w:rsid w:val="00B1722C"/>
    <w:rsid w:val="00B216B6"/>
    <w:rsid w:val="00B2259B"/>
    <w:rsid w:val="00B23A8E"/>
    <w:rsid w:val="00B23F25"/>
    <w:rsid w:val="00B24FBA"/>
    <w:rsid w:val="00B263DB"/>
    <w:rsid w:val="00B37B3F"/>
    <w:rsid w:val="00B402DA"/>
    <w:rsid w:val="00B42111"/>
    <w:rsid w:val="00B46F9F"/>
    <w:rsid w:val="00B70AF0"/>
    <w:rsid w:val="00B765C1"/>
    <w:rsid w:val="00B77110"/>
    <w:rsid w:val="00B77370"/>
    <w:rsid w:val="00B9368B"/>
    <w:rsid w:val="00B954F2"/>
    <w:rsid w:val="00BA0D37"/>
    <w:rsid w:val="00BA1338"/>
    <w:rsid w:val="00BA6105"/>
    <w:rsid w:val="00BA72F5"/>
    <w:rsid w:val="00BB0A9E"/>
    <w:rsid w:val="00BB2F27"/>
    <w:rsid w:val="00BB40FF"/>
    <w:rsid w:val="00BB43F2"/>
    <w:rsid w:val="00BB698D"/>
    <w:rsid w:val="00BC1DFC"/>
    <w:rsid w:val="00BC34A8"/>
    <w:rsid w:val="00BC37FD"/>
    <w:rsid w:val="00BC705C"/>
    <w:rsid w:val="00BD1165"/>
    <w:rsid w:val="00BD3504"/>
    <w:rsid w:val="00BE019C"/>
    <w:rsid w:val="00BE68AC"/>
    <w:rsid w:val="00BF2F05"/>
    <w:rsid w:val="00BF3BB1"/>
    <w:rsid w:val="00BF43DC"/>
    <w:rsid w:val="00BF6C2B"/>
    <w:rsid w:val="00C04027"/>
    <w:rsid w:val="00C06794"/>
    <w:rsid w:val="00C0778D"/>
    <w:rsid w:val="00C10E5B"/>
    <w:rsid w:val="00C21229"/>
    <w:rsid w:val="00C23134"/>
    <w:rsid w:val="00C23482"/>
    <w:rsid w:val="00C25F08"/>
    <w:rsid w:val="00C31DB9"/>
    <w:rsid w:val="00C35C66"/>
    <w:rsid w:val="00C35CA2"/>
    <w:rsid w:val="00C41111"/>
    <w:rsid w:val="00C41A0B"/>
    <w:rsid w:val="00C41CEB"/>
    <w:rsid w:val="00C44403"/>
    <w:rsid w:val="00C44554"/>
    <w:rsid w:val="00C44F53"/>
    <w:rsid w:val="00C52B1A"/>
    <w:rsid w:val="00C545B2"/>
    <w:rsid w:val="00C56F54"/>
    <w:rsid w:val="00C63064"/>
    <w:rsid w:val="00C630D7"/>
    <w:rsid w:val="00C6325A"/>
    <w:rsid w:val="00C639E4"/>
    <w:rsid w:val="00C72106"/>
    <w:rsid w:val="00C721DE"/>
    <w:rsid w:val="00C7295B"/>
    <w:rsid w:val="00C72CA5"/>
    <w:rsid w:val="00C7449F"/>
    <w:rsid w:val="00C754C9"/>
    <w:rsid w:val="00C76FE4"/>
    <w:rsid w:val="00C8007B"/>
    <w:rsid w:val="00C857A1"/>
    <w:rsid w:val="00C91D09"/>
    <w:rsid w:val="00C96867"/>
    <w:rsid w:val="00C97413"/>
    <w:rsid w:val="00CA161C"/>
    <w:rsid w:val="00CA225D"/>
    <w:rsid w:val="00CA69FF"/>
    <w:rsid w:val="00CB04F2"/>
    <w:rsid w:val="00CB4E91"/>
    <w:rsid w:val="00CB5E6F"/>
    <w:rsid w:val="00CC0228"/>
    <w:rsid w:val="00CC3D7B"/>
    <w:rsid w:val="00CC75BB"/>
    <w:rsid w:val="00CD40F0"/>
    <w:rsid w:val="00CD593A"/>
    <w:rsid w:val="00CD5D0C"/>
    <w:rsid w:val="00CD6782"/>
    <w:rsid w:val="00CD7D24"/>
    <w:rsid w:val="00CE7F04"/>
    <w:rsid w:val="00CF6746"/>
    <w:rsid w:val="00D01293"/>
    <w:rsid w:val="00D04D70"/>
    <w:rsid w:val="00D05A68"/>
    <w:rsid w:val="00D06439"/>
    <w:rsid w:val="00D13BF2"/>
    <w:rsid w:val="00D238C9"/>
    <w:rsid w:val="00D24D3F"/>
    <w:rsid w:val="00D30E95"/>
    <w:rsid w:val="00D4067B"/>
    <w:rsid w:val="00D41605"/>
    <w:rsid w:val="00D42541"/>
    <w:rsid w:val="00D452B7"/>
    <w:rsid w:val="00D47925"/>
    <w:rsid w:val="00D50280"/>
    <w:rsid w:val="00D52887"/>
    <w:rsid w:val="00D563C6"/>
    <w:rsid w:val="00D64CF1"/>
    <w:rsid w:val="00D6751E"/>
    <w:rsid w:val="00D67AD1"/>
    <w:rsid w:val="00D7280A"/>
    <w:rsid w:val="00D73E83"/>
    <w:rsid w:val="00D7417F"/>
    <w:rsid w:val="00D75B46"/>
    <w:rsid w:val="00D76C35"/>
    <w:rsid w:val="00D86D66"/>
    <w:rsid w:val="00D91A3B"/>
    <w:rsid w:val="00D929A1"/>
    <w:rsid w:val="00D9377A"/>
    <w:rsid w:val="00DA0E8D"/>
    <w:rsid w:val="00DA59AB"/>
    <w:rsid w:val="00DB2F3D"/>
    <w:rsid w:val="00DB325E"/>
    <w:rsid w:val="00DB32F4"/>
    <w:rsid w:val="00DB6ED2"/>
    <w:rsid w:val="00DB7487"/>
    <w:rsid w:val="00DC20A7"/>
    <w:rsid w:val="00DC3103"/>
    <w:rsid w:val="00DC5C9F"/>
    <w:rsid w:val="00DC7905"/>
    <w:rsid w:val="00DD1285"/>
    <w:rsid w:val="00DD2B9A"/>
    <w:rsid w:val="00DD3DAC"/>
    <w:rsid w:val="00DD43ED"/>
    <w:rsid w:val="00DE2D1F"/>
    <w:rsid w:val="00DE4B1C"/>
    <w:rsid w:val="00DE77E1"/>
    <w:rsid w:val="00DF03AA"/>
    <w:rsid w:val="00DF1B37"/>
    <w:rsid w:val="00DF42B4"/>
    <w:rsid w:val="00E02369"/>
    <w:rsid w:val="00E047E4"/>
    <w:rsid w:val="00E06465"/>
    <w:rsid w:val="00E13ACC"/>
    <w:rsid w:val="00E166F3"/>
    <w:rsid w:val="00E16F55"/>
    <w:rsid w:val="00E2566E"/>
    <w:rsid w:val="00E2593A"/>
    <w:rsid w:val="00E26AC5"/>
    <w:rsid w:val="00E31727"/>
    <w:rsid w:val="00E375FE"/>
    <w:rsid w:val="00E43180"/>
    <w:rsid w:val="00E61690"/>
    <w:rsid w:val="00E65B2F"/>
    <w:rsid w:val="00E675AA"/>
    <w:rsid w:val="00E76E53"/>
    <w:rsid w:val="00E93E99"/>
    <w:rsid w:val="00E9455A"/>
    <w:rsid w:val="00E96AFF"/>
    <w:rsid w:val="00E96C7C"/>
    <w:rsid w:val="00E979FB"/>
    <w:rsid w:val="00EA0554"/>
    <w:rsid w:val="00EB3FC6"/>
    <w:rsid w:val="00EB5B4E"/>
    <w:rsid w:val="00EC1943"/>
    <w:rsid w:val="00EC212F"/>
    <w:rsid w:val="00EC6286"/>
    <w:rsid w:val="00ED1268"/>
    <w:rsid w:val="00EE08A0"/>
    <w:rsid w:val="00EE0996"/>
    <w:rsid w:val="00EE186C"/>
    <w:rsid w:val="00EF4A5C"/>
    <w:rsid w:val="00EF4C0F"/>
    <w:rsid w:val="00EF7A12"/>
    <w:rsid w:val="00F00475"/>
    <w:rsid w:val="00F06398"/>
    <w:rsid w:val="00F06D9B"/>
    <w:rsid w:val="00F1293A"/>
    <w:rsid w:val="00F2069D"/>
    <w:rsid w:val="00F228D2"/>
    <w:rsid w:val="00F24C53"/>
    <w:rsid w:val="00F252C9"/>
    <w:rsid w:val="00F269F9"/>
    <w:rsid w:val="00F26FC0"/>
    <w:rsid w:val="00F2722E"/>
    <w:rsid w:val="00F31301"/>
    <w:rsid w:val="00F3690B"/>
    <w:rsid w:val="00F41C3A"/>
    <w:rsid w:val="00F506A6"/>
    <w:rsid w:val="00F51E39"/>
    <w:rsid w:val="00F51F4D"/>
    <w:rsid w:val="00F56F32"/>
    <w:rsid w:val="00F63599"/>
    <w:rsid w:val="00F647B7"/>
    <w:rsid w:val="00F77E92"/>
    <w:rsid w:val="00F80B30"/>
    <w:rsid w:val="00F80EC6"/>
    <w:rsid w:val="00F814A9"/>
    <w:rsid w:val="00F81FFE"/>
    <w:rsid w:val="00F93677"/>
    <w:rsid w:val="00F94FE1"/>
    <w:rsid w:val="00FA6ECC"/>
    <w:rsid w:val="00FB23FC"/>
    <w:rsid w:val="00FB2F87"/>
    <w:rsid w:val="00FB7A2E"/>
    <w:rsid w:val="00FB7F9A"/>
    <w:rsid w:val="00FC26AF"/>
    <w:rsid w:val="00FC274F"/>
    <w:rsid w:val="00FC290F"/>
    <w:rsid w:val="00FC5F09"/>
    <w:rsid w:val="00FC73BE"/>
    <w:rsid w:val="00FD1191"/>
    <w:rsid w:val="00FD4910"/>
    <w:rsid w:val="00FD5B0A"/>
    <w:rsid w:val="00FE7C4F"/>
    <w:rsid w:val="00FF2736"/>
    <w:rsid w:val="00FF42F7"/>
    <w:rsid w:val="00FF6F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03D5A65-1987-4156-96D3-CF3BC6B1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0BD"/>
    <w:pPr>
      <w:spacing w:after="200" w:line="276" w:lineRule="auto"/>
    </w:pPr>
    <w:rPr>
      <w:rFonts w:ascii="Calibri" w:hAnsi="Calibri"/>
      <w:sz w:val="22"/>
      <w:szCs w:val="22"/>
      <w:lang w:eastAsia="en-US"/>
    </w:rPr>
  </w:style>
  <w:style w:type="paragraph" w:styleId="Heading2">
    <w:name w:val="heading 2"/>
    <w:basedOn w:val="Normal"/>
    <w:next w:val="Normal"/>
    <w:link w:val="Heading2Char"/>
    <w:uiPriority w:val="9"/>
    <w:unhideWhenUsed/>
    <w:qFormat/>
    <w:rsid w:val="00627D20"/>
    <w:pPr>
      <w:keepNext/>
      <w:keepLines/>
      <w:spacing w:before="200" w:after="0" w:line="240" w:lineRule="auto"/>
      <w:outlineLvl w:val="1"/>
    </w:pPr>
    <w:rPr>
      <w:rFonts w:ascii="Cambria" w:eastAsia="MS Gothic" w:hAnsi="Cambria"/>
      <w:smallCap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rsid w:val="00BA0D37"/>
    <w:rPr>
      <w:rFonts w:ascii="Calibri" w:eastAsia="Calibri" w:hAnsi="Calibri" w:cs="Calibri"/>
    </w:rPr>
  </w:style>
  <w:style w:type="paragraph" w:styleId="BodyText">
    <w:name w:val="Body Text"/>
    <w:basedOn w:val="Normal"/>
    <w:link w:val="BodyTextChar"/>
    <w:uiPriority w:val="99"/>
    <w:rsid w:val="00BA0D37"/>
    <w:pPr>
      <w:spacing w:after="120"/>
    </w:pPr>
    <w:rPr>
      <w:rFonts w:cs="Calibri"/>
      <w:sz w:val="20"/>
      <w:szCs w:val="20"/>
    </w:rPr>
  </w:style>
  <w:style w:type="character" w:customStyle="1" w:styleId="BodyTextChar1">
    <w:name w:val="Body Text Char1"/>
    <w:uiPriority w:val="99"/>
    <w:semiHidden/>
    <w:rsid w:val="00BA0D37"/>
    <w:rPr>
      <w:rFonts w:ascii="Calibri" w:hAnsi="Calibri" w:cs="Times New Roman"/>
      <w:sz w:val="22"/>
      <w:szCs w:val="22"/>
    </w:rPr>
  </w:style>
  <w:style w:type="character" w:customStyle="1" w:styleId="SubtitleChar">
    <w:name w:val="Subtitle Char"/>
    <w:link w:val="Subtitle"/>
    <w:rsid w:val="00BA0D37"/>
    <w:rPr>
      <w:rFonts w:eastAsia="Times New Roman"/>
      <w:b/>
      <w:bCs/>
      <w:sz w:val="24"/>
      <w:szCs w:val="24"/>
      <w:lang w:val="en-US"/>
    </w:rPr>
  </w:style>
  <w:style w:type="paragraph" w:styleId="Subtitle">
    <w:name w:val="Subtitle"/>
    <w:basedOn w:val="Normal"/>
    <w:link w:val="SubtitleChar"/>
    <w:qFormat/>
    <w:rsid w:val="00BA0D37"/>
    <w:pPr>
      <w:spacing w:after="0" w:line="240" w:lineRule="auto"/>
      <w:jc w:val="center"/>
    </w:pPr>
    <w:rPr>
      <w:rFonts w:ascii="Times New Roman" w:eastAsia="Times New Roman" w:hAnsi="Times New Roman"/>
      <w:b/>
      <w:bCs/>
      <w:sz w:val="24"/>
      <w:szCs w:val="24"/>
      <w:lang w:val="en-US"/>
    </w:rPr>
  </w:style>
  <w:style w:type="character" w:customStyle="1" w:styleId="SubtitleChar1">
    <w:name w:val="Subtitle Char1"/>
    <w:uiPriority w:val="11"/>
    <w:rsid w:val="00BA0D37"/>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BA0D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D37"/>
    <w:rPr>
      <w:rFonts w:ascii="Tahoma" w:hAnsi="Tahoma" w:cs="Tahoma"/>
      <w:sz w:val="16"/>
      <w:szCs w:val="16"/>
    </w:rPr>
  </w:style>
  <w:style w:type="paragraph" w:styleId="BodyTextIndent">
    <w:name w:val="Body Text Indent"/>
    <w:basedOn w:val="Normal"/>
    <w:link w:val="BodyTextIndentChar"/>
    <w:uiPriority w:val="99"/>
    <w:unhideWhenUsed/>
    <w:rsid w:val="00B37B3F"/>
    <w:pPr>
      <w:spacing w:after="120"/>
      <w:ind w:left="283"/>
    </w:pPr>
  </w:style>
  <w:style w:type="character" w:customStyle="1" w:styleId="BodyTextIndentChar">
    <w:name w:val="Body Text Indent Char"/>
    <w:link w:val="BodyTextIndent"/>
    <w:uiPriority w:val="99"/>
    <w:rsid w:val="00B37B3F"/>
    <w:rPr>
      <w:rFonts w:ascii="Calibri" w:hAnsi="Calibri" w:cs="Times New Roman"/>
      <w:sz w:val="22"/>
      <w:szCs w:val="22"/>
    </w:rPr>
  </w:style>
  <w:style w:type="paragraph" w:styleId="Caption">
    <w:name w:val="caption"/>
    <w:basedOn w:val="Normal"/>
    <w:next w:val="Normal"/>
    <w:uiPriority w:val="99"/>
    <w:qFormat/>
    <w:rsid w:val="006131A0"/>
    <w:pPr>
      <w:spacing w:after="0" w:line="240" w:lineRule="auto"/>
    </w:pPr>
    <w:rPr>
      <w:rFonts w:ascii="Times New Roman" w:eastAsia="Times New Roman" w:hAnsi="Times New Roman"/>
      <w:b/>
      <w:bCs/>
      <w:sz w:val="20"/>
      <w:szCs w:val="20"/>
      <w:lang w:eastAsia="en-GB"/>
    </w:rPr>
  </w:style>
  <w:style w:type="paragraph" w:styleId="NormalWeb">
    <w:name w:val="Normal (Web)"/>
    <w:basedOn w:val="Normal"/>
    <w:uiPriority w:val="99"/>
    <w:unhideWhenUsed/>
    <w:rsid w:val="006131A0"/>
    <w:pPr>
      <w:spacing w:before="100" w:beforeAutospacing="1" w:after="100" w:afterAutospacing="1" w:line="240" w:lineRule="auto"/>
    </w:pPr>
    <w:rPr>
      <w:rFonts w:ascii="Times New Roman" w:eastAsia="MS Mincho" w:hAnsi="Times New Roman"/>
      <w:sz w:val="24"/>
      <w:szCs w:val="24"/>
      <w:lang w:eastAsia="en-GB"/>
    </w:rPr>
  </w:style>
  <w:style w:type="character" w:styleId="CommentReference">
    <w:name w:val="annotation reference"/>
    <w:semiHidden/>
    <w:unhideWhenUsed/>
    <w:rsid w:val="00D4067B"/>
    <w:rPr>
      <w:sz w:val="16"/>
      <w:szCs w:val="16"/>
    </w:rPr>
  </w:style>
  <w:style w:type="paragraph" w:styleId="CommentText">
    <w:name w:val="annotation text"/>
    <w:basedOn w:val="Normal"/>
    <w:link w:val="CommentTextChar"/>
    <w:uiPriority w:val="99"/>
    <w:unhideWhenUsed/>
    <w:rsid w:val="00D4067B"/>
    <w:pPr>
      <w:spacing w:line="240" w:lineRule="auto"/>
    </w:pPr>
    <w:rPr>
      <w:rFonts w:eastAsia="MS Mincho"/>
      <w:sz w:val="20"/>
      <w:szCs w:val="20"/>
      <w:lang w:eastAsia="en-GB"/>
    </w:rPr>
  </w:style>
  <w:style w:type="character" w:customStyle="1" w:styleId="CommentTextChar">
    <w:name w:val="Comment Text Char"/>
    <w:link w:val="CommentText"/>
    <w:uiPriority w:val="99"/>
    <w:rsid w:val="00D4067B"/>
    <w:rPr>
      <w:rFonts w:ascii="Calibri" w:eastAsia="MS Mincho" w:hAnsi="Calibri" w:cs="Times New Roman"/>
      <w:lang w:eastAsia="en-GB"/>
    </w:rPr>
  </w:style>
  <w:style w:type="character" w:styleId="FootnoteReference">
    <w:name w:val="footnote reference"/>
    <w:uiPriority w:val="99"/>
    <w:semiHidden/>
    <w:rsid w:val="000522CB"/>
    <w:rPr>
      <w:vertAlign w:val="superscript"/>
    </w:rPr>
  </w:style>
  <w:style w:type="paragraph" w:styleId="FootnoteText">
    <w:name w:val="footnote text"/>
    <w:basedOn w:val="Normal"/>
    <w:link w:val="FootnoteTextChar"/>
    <w:uiPriority w:val="99"/>
    <w:semiHidden/>
    <w:rsid w:val="000522CB"/>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0522CB"/>
    <w:rPr>
      <w:rFonts w:eastAsia="Times New Roman"/>
      <w:lang w:eastAsia="en-GB"/>
    </w:rPr>
  </w:style>
  <w:style w:type="paragraph" w:styleId="Header">
    <w:name w:val="header"/>
    <w:basedOn w:val="Normal"/>
    <w:link w:val="HeaderChar"/>
    <w:uiPriority w:val="99"/>
    <w:unhideWhenUsed/>
    <w:rsid w:val="003E5A72"/>
    <w:pPr>
      <w:tabs>
        <w:tab w:val="center" w:pos="4513"/>
        <w:tab w:val="right" w:pos="9026"/>
      </w:tabs>
      <w:spacing w:after="0" w:line="240" w:lineRule="auto"/>
    </w:pPr>
  </w:style>
  <w:style w:type="character" w:customStyle="1" w:styleId="HeaderChar">
    <w:name w:val="Header Char"/>
    <w:link w:val="Header"/>
    <w:uiPriority w:val="99"/>
    <w:rsid w:val="003E5A72"/>
    <w:rPr>
      <w:rFonts w:ascii="Calibri" w:hAnsi="Calibri" w:cs="Times New Roman"/>
      <w:sz w:val="22"/>
      <w:szCs w:val="22"/>
    </w:rPr>
  </w:style>
  <w:style w:type="paragraph" w:styleId="Footer">
    <w:name w:val="footer"/>
    <w:basedOn w:val="Normal"/>
    <w:link w:val="FooterChar"/>
    <w:uiPriority w:val="99"/>
    <w:unhideWhenUsed/>
    <w:rsid w:val="003E5A72"/>
    <w:pPr>
      <w:tabs>
        <w:tab w:val="center" w:pos="4513"/>
        <w:tab w:val="right" w:pos="9026"/>
      </w:tabs>
      <w:spacing w:after="0" w:line="240" w:lineRule="auto"/>
    </w:pPr>
  </w:style>
  <w:style w:type="character" w:customStyle="1" w:styleId="FooterChar">
    <w:name w:val="Footer Char"/>
    <w:link w:val="Footer"/>
    <w:uiPriority w:val="99"/>
    <w:rsid w:val="003E5A72"/>
    <w:rPr>
      <w:rFonts w:ascii="Calibri" w:hAnsi="Calibri" w:cs="Times New Roman"/>
      <w:sz w:val="22"/>
      <w:szCs w:val="22"/>
    </w:rPr>
  </w:style>
  <w:style w:type="character" w:styleId="Emphasis">
    <w:name w:val="Emphasis"/>
    <w:uiPriority w:val="20"/>
    <w:qFormat/>
    <w:rsid w:val="00274943"/>
    <w:rPr>
      <w:i/>
      <w:iCs/>
    </w:rPr>
  </w:style>
  <w:style w:type="paragraph" w:customStyle="1" w:styleId="Default">
    <w:name w:val="Default"/>
    <w:rsid w:val="005E0EC5"/>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uiPriority w:val="9"/>
    <w:rsid w:val="00627D20"/>
    <w:rPr>
      <w:rFonts w:ascii="Cambria" w:eastAsia="MS Gothic" w:hAnsi="Cambria" w:cs="Times New Roman"/>
      <w:smallCaps/>
      <w:color w:val="4F81BD"/>
      <w:sz w:val="26"/>
      <w:szCs w:val="26"/>
    </w:rPr>
  </w:style>
  <w:style w:type="table" w:styleId="TableGrid">
    <w:name w:val="Table Grid"/>
    <w:basedOn w:val="TableNormal"/>
    <w:uiPriority w:val="39"/>
    <w:rsid w:val="00BA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30956"/>
    <w:rPr>
      <w:color w:val="0000FF"/>
      <w:u w:val="single"/>
    </w:rPr>
  </w:style>
  <w:style w:type="character" w:customStyle="1" w:styleId="author">
    <w:name w:val="author"/>
    <w:basedOn w:val="DefaultParagraphFont"/>
    <w:uiPriority w:val="99"/>
    <w:rsid w:val="00230956"/>
  </w:style>
  <w:style w:type="character" w:styleId="HTMLCite">
    <w:name w:val="HTML Cite"/>
    <w:uiPriority w:val="99"/>
    <w:rsid w:val="00230956"/>
    <w:rPr>
      <w:i/>
      <w:iCs/>
    </w:rPr>
  </w:style>
  <w:style w:type="character" w:customStyle="1" w:styleId="pubyear">
    <w:name w:val="pubyear"/>
    <w:basedOn w:val="DefaultParagraphFont"/>
    <w:uiPriority w:val="99"/>
    <w:rsid w:val="00230956"/>
  </w:style>
  <w:style w:type="character" w:customStyle="1" w:styleId="articletitle">
    <w:name w:val="articletitle"/>
    <w:basedOn w:val="DefaultParagraphFont"/>
    <w:uiPriority w:val="99"/>
    <w:rsid w:val="00230956"/>
  </w:style>
  <w:style w:type="character" w:customStyle="1" w:styleId="journaltitle">
    <w:name w:val="journaltitle"/>
    <w:basedOn w:val="DefaultParagraphFont"/>
    <w:uiPriority w:val="99"/>
    <w:rsid w:val="00230956"/>
  </w:style>
  <w:style w:type="character" w:customStyle="1" w:styleId="vol">
    <w:name w:val="vol"/>
    <w:basedOn w:val="DefaultParagraphFont"/>
    <w:uiPriority w:val="99"/>
    <w:rsid w:val="00230956"/>
  </w:style>
  <w:style w:type="character" w:customStyle="1" w:styleId="pagefirst">
    <w:name w:val="pagefirst"/>
    <w:basedOn w:val="DefaultParagraphFont"/>
    <w:uiPriority w:val="99"/>
    <w:rsid w:val="00230956"/>
  </w:style>
  <w:style w:type="character" w:customStyle="1" w:styleId="pagelast">
    <w:name w:val="pagelast"/>
    <w:basedOn w:val="DefaultParagraphFont"/>
    <w:uiPriority w:val="99"/>
    <w:rsid w:val="00230956"/>
  </w:style>
  <w:style w:type="character" w:styleId="Strong">
    <w:name w:val="Strong"/>
    <w:uiPriority w:val="99"/>
    <w:qFormat/>
    <w:rsid w:val="00230956"/>
    <w:rPr>
      <w:b/>
      <w:bCs/>
    </w:rPr>
  </w:style>
  <w:style w:type="paragraph" w:styleId="PlainText">
    <w:name w:val="Plain Text"/>
    <w:basedOn w:val="Normal"/>
    <w:link w:val="PlainTextChar"/>
    <w:uiPriority w:val="99"/>
    <w:unhideWhenUsed/>
    <w:rsid w:val="00CD40F0"/>
    <w:pPr>
      <w:spacing w:after="0" w:line="240" w:lineRule="auto"/>
    </w:pPr>
    <w:rPr>
      <w:szCs w:val="21"/>
    </w:rPr>
  </w:style>
  <w:style w:type="character" w:customStyle="1" w:styleId="PlainTextChar">
    <w:name w:val="Plain Text Char"/>
    <w:link w:val="PlainText"/>
    <w:uiPriority w:val="99"/>
    <w:rsid w:val="00CD40F0"/>
    <w:rPr>
      <w:rFonts w:ascii="Calibri" w:hAnsi="Calibri" w:cs="Times New Roman"/>
      <w:sz w:val="22"/>
      <w:szCs w:val="21"/>
    </w:rPr>
  </w:style>
  <w:style w:type="character" w:customStyle="1" w:styleId="nlmgiven-names">
    <w:name w:val="nlm_given-names"/>
    <w:basedOn w:val="DefaultParagraphFont"/>
    <w:rsid w:val="00B70AF0"/>
  </w:style>
  <w:style w:type="character" w:customStyle="1" w:styleId="nlmyear">
    <w:name w:val="nlm_year"/>
    <w:basedOn w:val="DefaultParagraphFont"/>
    <w:rsid w:val="00B70AF0"/>
  </w:style>
  <w:style w:type="character" w:customStyle="1" w:styleId="nlmpublisher-name">
    <w:name w:val="nlm_publisher-name"/>
    <w:basedOn w:val="DefaultParagraphFont"/>
    <w:rsid w:val="00B70AF0"/>
  </w:style>
  <w:style w:type="character" w:customStyle="1" w:styleId="nlmpublisher-loc">
    <w:name w:val="nlm_publisher-loc"/>
    <w:basedOn w:val="DefaultParagraphFont"/>
    <w:rsid w:val="00B70AF0"/>
  </w:style>
  <w:style w:type="paragraph" w:styleId="CommentSubject">
    <w:name w:val="annotation subject"/>
    <w:basedOn w:val="CommentText"/>
    <w:next w:val="CommentText"/>
    <w:link w:val="CommentSubjectChar"/>
    <w:uiPriority w:val="99"/>
    <w:semiHidden/>
    <w:unhideWhenUsed/>
    <w:rsid w:val="008F1116"/>
    <w:rPr>
      <w:rFonts w:eastAsia="Calibri"/>
      <w:b/>
      <w:bCs/>
      <w:lang w:eastAsia="en-US"/>
    </w:rPr>
  </w:style>
  <w:style w:type="character" w:customStyle="1" w:styleId="CommentSubjectChar">
    <w:name w:val="Comment Subject Char"/>
    <w:link w:val="CommentSubject"/>
    <w:uiPriority w:val="99"/>
    <w:semiHidden/>
    <w:rsid w:val="008F1116"/>
    <w:rPr>
      <w:rFonts w:ascii="Calibri" w:eastAsia="MS Mincho" w:hAnsi="Calibri" w:cs="Times New Roman"/>
      <w:b/>
      <w:bCs/>
      <w:lang w:eastAsia="en-GB"/>
    </w:rPr>
  </w:style>
  <w:style w:type="paragraph" w:styleId="Revision">
    <w:name w:val="Revision"/>
    <w:hidden/>
    <w:uiPriority w:val="99"/>
    <w:semiHidden/>
    <w:rsid w:val="008F1116"/>
    <w:rPr>
      <w:rFonts w:ascii="Calibri" w:hAnsi="Calibri"/>
      <w:sz w:val="22"/>
      <w:szCs w:val="22"/>
      <w:lang w:eastAsia="en-US"/>
    </w:rPr>
  </w:style>
  <w:style w:type="character" w:styleId="HTMLTypewriter">
    <w:name w:val="HTML Typewriter"/>
    <w:semiHidden/>
    <w:rsid w:val="003D53E3"/>
    <w:rPr>
      <w:rFonts w:ascii="Arial Unicode MS" w:eastAsia="Arial Unicode MS" w:hAnsi="Arial Unicode MS" w:cs="Arial Unicode MS"/>
      <w:sz w:val="20"/>
      <w:szCs w:val="20"/>
    </w:rPr>
  </w:style>
  <w:style w:type="paragraph" w:styleId="ListParagraph">
    <w:name w:val="List Paragraph"/>
    <w:basedOn w:val="Normal"/>
    <w:uiPriority w:val="34"/>
    <w:qFormat/>
    <w:rsid w:val="005124E6"/>
    <w:pPr>
      <w:spacing w:after="0" w:line="240" w:lineRule="auto"/>
      <w:ind w:left="720"/>
      <w:contextualSpacing/>
    </w:pPr>
    <w:rPr>
      <w:rFonts w:ascii="Iowan Old Style Roman" w:eastAsia="MS Mincho" w:hAnsi="Iowan Old Style Roman"/>
      <w:sz w:val="24"/>
      <w:szCs w:val="24"/>
      <w:lang w:val="en-CA"/>
    </w:rPr>
  </w:style>
  <w:style w:type="character" w:styleId="SubtleEmphasis">
    <w:name w:val="Subtle Emphasis"/>
    <w:uiPriority w:val="19"/>
    <w:qFormat/>
    <w:rsid w:val="00172C45"/>
    <w:rPr>
      <w:i/>
      <w:iCs/>
      <w:color w:val="808080"/>
    </w:rPr>
  </w:style>
  <w:style w:type="character" w:customStyle="1" w:styleId="journaltitle3">
    <w:name w:val="journal_title3"/>
    <w:rsid w:val="008E5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7144">
      <w:bodyDiv w:val="1"/>
      <w:marLeft w:val="0"/>
      <w:marRight w:val="0"/>
      <w:marTop w:val="0"/>
      <w:marBottom w:val="0"/>
      <w:divBdr>
        <w:top w:val="none" w:sz="0" w:space="0" w:color="auto"/>
        <w:left w:val="none" w:sz="0" w:space="0" w:color="auto"/>
        <w:bottom w:val="none" w:sz="0" w:space="0" w:color="auto"/>
        <w:right w:val="none" w:sz="0" w:space="0" w:color="auto"/>
      </w:divBdr>
      <w:divsChild>
        <w:div w:id="1995067021">
          <w:marLeft w:val="0"/>
          <w:marRight w:val="0"/>
          <w:marTop w:val="0"/>
          <w:marBottom w:val="0"/>
          <w:divBdr>
            <w:top w:val="none" w:sz="0" w:space="0" w:color="auto"/>
            <w:left w:val="none" w:sz="0" w:space="0" w:color="auto"/>
            <w:bottom w:val="none" w:sz="0" w:space="0" w:color="auto"/>
            <w:right w:val="none" w:sz="0" w:space="0" w:color="auto"/>
          </w:divBdr>
          <w:divsChild>
            <w:div w:id="14431195">
              <w:marLeft w:val="0"/>
              <w:marRight w:val="0"/>
              <w:marTop w:val="0"/>
              <w:marBottom w:val="0"/>
              <w:divBdr>
                <w:top w:val="none" w:sz="0" w:space="0" w:color="auto"/>
                <w:left w:val="none" w:sz="0" w:space="0" w:color="auto"/>
                <w:bottom w:val="none" w:sz="0" w:space="0" w:color="auto"/>
                <w:right w:val="none" w:sz="0" w:space="0" w:color="auto"/>
              </w:divBdr>
              <w:divsChild>
                <w:div w:id="1340815057">
                  <w:marLeft w:val="0"/>
                  <w:marRight w:val="0"/>
                  <w:marTop w:val="0"/>
                  <w:marBottom w:val="0"/>
                  <w:divBdr>
                    <w:top w:val="none" w:sz="0" w:space="0" w:color="auto"/>
                    <w:left w:val="none" w:sz="0" w:space="0" w:color="auto"/>
                    <w:bottom w:val="none" w:sz="0" w:space="0" w:color="auto"/>
                    <w:right w:val="none" w:sz="0" w:space="0" w:color="auto"/>
                  </w:divBdr>
                  <w:divsChild>
                    <w:div w:id="1117876124">
                      <w:marLeft w:val="0"/>
                      <w:marRight w:val="0"/>
                      <w:marTop w:val="0"/>
                      <w:marBottom w:val="0"/>
                      <w:divBdr>
                        <w:top w:val="none" w:sz="0" w:space="0" w:color="auto"/>
                        <w:left w:val="none" w:sz="0" w:space="0" w:color="auto"/>
                        <w:bottom w:val="none" w:sz="0" w:space="0" w:color="auto"/>
                        <w:right w:val="none" w:sz="0" w:space="0" w:color="auto"/>
                      </w:divBdr>
                      <w:divsChild>
                        <w:div w:id="16733925">
                          <w:marLeft w:val="0"/>
                          <w:marRight w:val="0"/>
                          <w:marTop w:val="0"/>
                          <w:marBottom w:val="0"/>
                          <w:divBdr>
                            <w:top w:val="none" w:sz="0" w:space="0" w:color="auto"/>
                            <w:left w:val="none" w:sz="0" w:space="0" w:color="auto"/>
                            <w:bottom w:val="none" w:sz="0" w:space="0" w:color="auto"/>
                            <w:right w:val="none" w:sz="0" w:space="0" w:color="auto"/>
                          </w:divBdr>
                          <w:divsChild>
                            <w:div w:id="406153423">
                              <w:marLeft w:val="0"/>
                              <w:marRight w:val="0"/>
                              <w:marTop w:val="0"/>
                              <w:marBottom w:val="0"/>
                              <w:divBdr>
                                <w:top w:val="none" w:sz="0" w:space="0" w:color="auto"/>
                                <w:left w:val="none" w:sz="0" w:space="0" w:color="auto"/>
                                <w:bottom w:val="none" w:sz="0" w:space="0" w:color="auto"/>
                                <w:right w:val="none" w:sz="0" w:space="0" w:color="auto"/>
                              </w:divBdr>
                              <w:divsChild>
                                <w:div w:id="252056061">
                                  <w:marLeft w:val="0"/>
                                  <w:marRight w:val="0"/>
                                  <w:marTop w:val="0"/>
                                  <w:marBottom w:val="0"/>
                                  <w:divBdr>
                                    <w:top w:val="none" w:sz="0" w:space="0" w:color="auto"/>
                                    <w:left w:val="none" w:sz="0" w:space="0" w:color="auto"/>
                                    <w:bottom w:val="none" w:sz="0" w:space="0" w:color="auto"/>
                                    <w:right w:val="none" w:sz="0" w:space="0" w:color="auto"/>
                                  </w:divBdr>
                                  <w:divsChild>
                                    <w:div w:id="16124776">
                                      <w:marLeft w:val="0"/>
                                      <w:marRight w:val="0"/>
                                      <w:marTop w:val="0"/>
                                      <w:marBottom w:val="0"/>
                                      <w:divBdr>
                                        <w:top w:val="none" w:sz="0" w:space="0" w:color="auto"/>
                                        <w:left w:val="none" w:sz="0" w:space="0" w:color="auto"/>
                                        <w:bottom w:val="none" w:sz="0" w:space="0" w:color="auto"/>
                                        <w:right w:val="none" w:sz="0" w:space="0" w:color="auto"/>
                                      </w:divBdr>
                                      <w:divsChild>
                                        <w:div w:id="587618837">
                                          <w:marLeft w:val="0"/>
                                          <w:marRight w:val="0"/>
                                          <w:marTop w:val="0"/>
                                          <w:marBottom w:val="0"/>
                                          <w:divBdr>
                                            <w:top w:val="none" w:sz="0" w:space="0" w:color="auto"/>
                                            <w:left w:val="none" w:sz="0" w:space="0" w:color="auto"/>
                                            <w:bottom w:val="none" w:sz="0" w:space="0" w:color="auto"/>
                                            <w:right w:val="none" w:sz="0" w:space="0" w:color="auto"/>
                                          </w:divBdr>
                                          <w:divsChild>
                                            <w:div w:id="1477066554">
                                              <w:marLeft w:val="0"/>
                                              <w:marRight w:val="0"/>
                                              <w:marTop w:val="0"/>
                                              <w:marBottom w:val="0"/>
                                              <w:divBdr>
                                                <w:top w:val="none" w:sz="0" w:space="0" w:color="auto"/>
                                                <w:left w:val="none" w:sz="0" w:space="0" w:color="auto"/>
                                                <w:bottom w:val="none" w:sz="0" w:space="0" w:color="auto"/>
                                                <w:right w:val="none" w:sz="0" w:space="0" w:color="auto"/>
                                              </w:divBdr>
                                              <w:divsChild>
                                                <w:div w:id="408581731">
                                                  <w:marLeft w:val="0"/>
                                                  <w:marRight w:val="0"/>
                                                  <w:marTop w:val="0"/>
                                                  <w:marBottom w:val="0"/>
                                                  <w:divBdr>
                                                    <w:top w:val="none" w:sz="0" w:space="0" w:color="auto"/>
                                                    <w:left w:val="none" w:sz="0" w:space="0" w:color="auto"/>
                                                    <w:bottom w:val="none" w:sz="0" w:space="0" w:color="auto"/>
                                                    <w:right w:val="none" w:sz="0" w:space="0" w:color="auto"/>
                                                  </w:divBdr>
                                                  <w:divsChild>
                                                    <w:div w:id="356737558">
                                                      <w:marLeft w:val="0"/>
                                                      <w:marRight w:val="0"/>
                                                      <w:marTop w:val="0"/>
                                                      <w:marBottom w:val="0"/>
                                                      <w:divBdr>
                                                        <w:top w:val="none" w:sz="0" w:space="0" w:color="auto"/>
                                                        <w:left w:val="none" w:sz="0" w:space="0" w:color="auto"/>
                                                        <w:bottom w:val="none" w:sz="0" w:space="0" w:color="auto"/>
                                                        <w:right w:val="none" w:sz="0" w:space="0" w:color="auto"/>
                                                      </w:divBdr>
                                                      <w:divsChild>
                                                        <w:div w:id="229384068">
                                                          <w:marLeft w:val="0"/>
                                                          <w:marRight w:val="0"/>
                                                          <w:marTop w:val="0"/>
                                                          <w:marBottom w:val="0"/>
                                                          <w:divBdr>
                                                            <w:top w:val="none" w:sz="0" w:space="0" w:color="auto"/>
                                                            <w:left w:val="none" w:sz="0" w:space="0" w:color="auto"/>
                                                            <w:bottom w:val="none" w:sz="0" w:space="0" w:color="auto"/>
                                                            <w:right w:val="none" w:sz="0" w:space="0" w:color="auto"/>
                                                          </w:divBdr>
                                                          <w:divsChild>
                                                            <w:div w:id="413164871">
                                                              <w:marLeft w:val="0"/>
                                                              <w:marRight w:val="150"/>
                                                              <w:marTop w:val="0"/>
                                                              <w:marBottom w:val="150"/>
                                                              <w:divBdr>
                                                                <w:top w:val="none" w:sz="0" w:space="0" w:color="auto"/>
                                                                <w:left w:val="none" w:sz="0" w:space="0" w:color="auto"/>
                                                                <w:bottom w:val="none" w:sz="0" w:space="0" w:color="auto"/>
                                                                <w:right w:val="none" w:sz="0" w:space="0" w:color="auto"/>
                                                              </w:divBdr>
                                                              <w:divsChild>
                                                                <w:div w:id="387414298">
                                                                  <w:marLeft w:val="0"/>
                                                                  <w:marRight w:val="0"/>
                                                                  <w:marTop w:val="0"/>
                                                                  <w:marBottom w:val="0"/>
                                                                  <w:divBdr>
                                                                    <w:top w:val="none" w:sz="0" w:space="0" w:color="auto"/>
                                                                    <w:left w:val="none" w:sz="0" w:space="0" w:color="auto"/>
                                                                    <w:bottom w:val="none" w:sz="0" w:space="0" w:color="auto"/>
                                                                    <w:right w:val="none" w:sz="0" w:space="0" w:color="auto"/>
                                                                  </w:divBdr>
                                                                  <w:divsChild>
                                                                    <w:div w:id="107966769">
                                                                      <w:marLeft w:val="0"/>
                                                                      <w:marRight w:val="0"/>
                                                                      <w:marTop w:val="0"/>
                                                                      <w:marBottom w:val="0"/>
                                                                      <w:divBdr>
                                                                        <w:top w:val="none" w:sz="0" w:space="0" w:color="auto"/>
                                                                        <w:left w:val="none" w:sz="0" w:space="0" w:color="auto"/>
                                                                        <w:bottom w:val="none" w:sz="0" w:space="0" w:color="auto"/>
                                                                        <w:right w:val="none" w:sz="0" w:space="0" w:color="auto"/>
                                                                      </w:divBdr>
                                                                      <w:divsChild>
                                                                        <w:div w:id="1509755865">
                                                                          <w:marLeft w:val="0"/>
                                                                          <w:marRight w:val="0"/>
                                                                          <w:marTop w:val="0"/>
                                                                          <w:marBottom w:val="0"/>
                                                                          <w:divBdr>
                                                                            <w:top w:val="none" w:sz="0" w:space="0" w:color="auto"/>
                                                                            <w:left w:val="none" w:sz="0" w:space="0" w:color="auto"/>
                                                                            <w:bottom w:val="none" w:sz="0" w:space="0" w:color="auto"/>
                                                                            <w:right w:val="none" w:sz="0" w:space="0" w:color="auto"/>
                                                                          </w:divBdr>
                                                                          <w:divsChild>
                                                                            <w:div w:id="2052336745">
                                                                              <w:marLeft w:val="0"/>
                                                                              <w:marRight w:val="0"/>
                                                                              <w:marTop w:val="0"/>
                                                                              <w:marBottom w:val="0"/>
                                                                              <w:divBdr>
                                                                                <w:top w:val="none" w:sz="0" w:space="0" w:color="auto"/>
                                                                                <w:left w:val="none" w:sz="0" w:space="0" w:color="auto"/>
                                                                                <w:bottom w:val="none" w:sz="0" w:space="0" w:color="auto"/>
                                                                                <w:right w:val="none" w:sz="0" w:space="0" w:color="auto"/>
                                                                              </w:divBdr>
                                                                              <w:divsChild>
                                                                                <w:div w:id="1462652700">
                                                                                  <w:marLeft w:val="0"/>
                                                                                  <w:marRight w:val="0"/>
                                                                                  <w:marTop w:val="0"/>
                                                                                  <w:marBottom w:val="0"/>
                                                                                  <w:divBdr>
                                                                                    <w:top w:val="none" w:sz="0" w:space="0" w:color="auto"/>
                                                                                    <w:left w:val="none" w:sz="0" w:space="0" w:color="auto"/>
                                                                                    <w:bottom w:val="none" w:sz="0" w:space="0" w:color="auto"/>
                                                                                    <w:right w:val="none" w:sz="0" w:space="0" w:color="auto"/>
                                                                                  </w:divBdr>
                                                                                  <w:divsChild>
                                                                                    <w:div w:id="1731344363">
                                                                                      <w:marLeft w:val="0"/>
                                                                                      <w:marRight w:val="0"/>
                                                                                      <w:marTop w:val="0"/>
                                                                                      <w:marBottom w:val="0"/>
                                                                                      <w:divBdr>
                                                                                        <w:top w:val="none" w:sz="0" w:space="0" w:color="auto"/>
                                                                                        <w:left w:val="none" w:sz="0" w:space="0" w:color="auto"/>
                                                                                        <w:bottom w:val="none" w:sz="0" w:space="0" w:color="auto"/>
                                                                                        <w:right w:val="none" w:sz="0" w:space="0" w:color="auto"/>
                                                                                      </w:divBdr>
                                                                                      <w:divsChild>
                                                                                        <w:div w:id="561336474">
                                                                                          <w:marLeft w:val="0"/>
                                                                                          <w:marRight w:val="0"/>
                                                                                          <w:marTop w:val="0"/>
                                                                                          <w:marBottom w:val="200"/>
                                                                                          <w:divBdr>
                                                                                            <w:top w:val="none" w:sz="0" w:space="0" w:color="auto"/>
                                                                                            <w:left w:val="none" w:sz="0" w:space="0" w:color="auto"/>
                                                                                            <w:bottom w:val="none" w:sz="0" w:space="0" w:color="auto"/>
                                                                                            <w:right w:val="none" w:sz="0" w:space="0" w:color="auto"/>
                                                                                          </w:divBdr>
                                                                                        </w:div>
                                                                                        <w:div w:id="10936653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522782">
      <w:bodyDiv w:val="1"/>
      <w:marLeft w:val="0"/>
      <w:marRight w:val="0"/>
      <w:marTop w:val="0"/>
      <w:marBottom w:val="0"/>
      <w:divBdr>
        <w:top w:val="none" w:sz="0" w:space="0" w:color="auto"/>
        <w:left w:val="none" w:sz="0" w:space="0" w:color="auto"/>
        <w:bottom w:val="none" w:sz="0" w:space="0" w:color="auto"/>
        <w:right w:val="none" w:sz="0" w:space="0" w:color="auto"/>
      </w:divBdr>
    </w:div>
    <w:div w:id="1140197183">
      <w:bodyDiv w:val="1"/>
      <w:marLeft w:val="0"/>
      <w:marRight w:val="0"/>
      <w:marTop w:val="0"/>
      <w:marBottom w:val="0"/>
      <w:divBdr>
        <w:top w:val="none" w:sz="0" w:space="0" w:color="auto"/>
        <w:left w:val="none" w:sz="0" w:space="0" w:color="auto"/>
        <w:bottom w:val="none" w:sz="0" w:space="0" w:color="auto"/>
        <w:right w:val="none" w:sz="0" w:space="0" w:color="auto"/>
      </w:divBdr>
      <w:divsChild>
        <w:div w:id="1521973732">
          <w:marLeft w:val="0"/>
          <w:marRight w:val="0"/>
          <w:marTop w:val="0"/>
          <w:marBottom w:val="0"/>
          <w:divBdr>
            <w:top w:val="none" w:sz="0" w:space="0" w:color="auto"/>
            <w:left w:val="none" w:sz="0" w:space="0" w:color="auto"/>
            <w:bottom w:val="none" w:sz="0" w:space="0" w:color="auto"/>
            <w:right w:val="none" w:sz="0" w:space="0" w:color="auto"/>
          </w:divBdr>
          <w:divsChild>
            <w:div w:id="732702325">
              <w:marLeft w:val="0"/>
              <w:marRight w:val="0"/>
              <w:marTop w:val="0"/>
              <w:marBottom w:val="0"/>
              <w:divBdr>
                <w:top w:val="none" w:sz="0" w:space="0" w:color="auto"/>
                <w:left w:val="none" w:sz="0" w:space="0" w:color="auto"/>
                <w:bottom w:val="none" w:sz="0" w:space="0" w:color="auto"/>
                <w:right w:val="none" w:sz="0" w:space="0" w:color="auto"/>
              </w:divBdr>
              <w:divsChild>
                <w:div w:id="706755222">
                  <w:marLeft w:val="0"/>
                  <w:marRight w:val="0"/>
                  <w:marTop w:val="0"/>
                  <w:marBottom w:val="0"/>
                  <w:divBdr>
                    <w:top w:val="none" w:sz="0" w:space="0" w:color="auto"/>
                    <w:left w:val="none" w:sz="0" w:space="0" w:color="auto"/>
                    <w:bottom w:val="none" w:sz="0" w:space="0" w:color="auto"/>
                    <w:right w:val="none" w:sz="0" w:space="0" w:color="auto"/>
                  </w:divBdr>
                  <w:divsChild>
                    <w:div w:id="1056972056">
                      <w:marLeft w:val="0"/>
                      <w:marRight w:val="0"/>
                      <w:marTop w:val="0"/>
                      <w:marBottom w:val="0"/>
                      <w:divBdr>
                        <w:top w:val="none" w:sz="0" w:space="0" w:color="auto"/>
                        <w:left w:val="none" w:sz="0" w:space="0" w:color="auto"/>
                        <w:bottom w:val="none" w:sz="0" w:space="0" w:color="auto"/>
                        <w:right w:val="none" w:sz="0" w:space="0" w:color="auto"/>
                      </w:divBdr>
                      <w:divsChild>
                        <w:div w:id="1509324400">
                          <w:marLeft w:val="0"/>
                          <w:marRight w:val="0"/>
                          <w:marTop w:val="0"/>
                          <w:marBottom w:val="0"/>
                          <w:divBdr>
                            <w:top w:val="none" w:sz="0" w:space="0" w:color="auto"/>
                            <w:left w:val="none" w:sz="0" w:space="0" w:color="auto"/>
                            <w:bottom w:val="none" w:sz="0" w:space="0" w:color="auto"/>
                            <w:right w:val="none" w:sz="0" w:space="0" w:color="auto"/>
                          </w:divBdr>
                          <w:divsChild>
                            <w:div w:id="1431244500">
                              <w:marLeft w:val="0"/>
                              <w:marRight w:val="0"/>
                              <w:marTop w:val="0"/>
                              <w:marBottom w:val="0"/>
                              <w:divBdr>
                                <w:top w:val="none" w:sz="0" w:space="0" w:color="auto"/>
                                <w:left w:val="none" w:sz="0" w:space="0" w:color="auto"/>
                                <w:bottom w:val="none" w:sz="0" w:space="0" w:color="auto"/>
                                <w:right w:val="none" w:sz="0" w:space="0" w:color="auto"/>
                              </w:divBdr>
                              <w:divsChild>
                                <w:div w:id="1241521850">
                                  <w:marLeft w:val="0"/>
                                  <w:marRight w:val="0"/>
                                  <w:marTop w:val="0"/>
                                  <w:marBottom w:val="0"/>
                                  <w:divBdr>
                                    <w:top w:val="none" w:sz="0" w:space="0" w:color="auto"/>
                                    <w:left w:val="none" w:sz="0" w:space="0" w:color="auto"/>
                                    <w:bottom w:val="none" w:sz="0" w:space="0" w:color="auto"/>
                                    <w:right w:val="none" w:sz="0" w:space="0" w:color="auto"/>
                                  </w:divBdr>
                                  <w:divsChild>
                                    <w:div w:id="1228691030">
                                      <w:marLeft w:val="0"/>
                                      <w:marRight w:val="0"/>
                                      <w:marTop w:val="0"/>
                                      <w:marBottom w:val="0"/>
                                      <w:divBdr>
                                        <w:top w:val="none" w:sz="0" w:space="0" w:color="auto"/>
                                        <w:left w:val="none" w:sz="0" w:space="0" w:color="auto"/>
                                        <w:bottom w:val="none" w:sz="0" w:space="0" w:color="auto"/>
                                        <w:right w:val="none" w:sz="0" w:space="0" w:color="auto"/>
                                      </w:divBdr>
                                      <w:divsChild>
                                        <w:div w:id="639726005">
                                          <w:marLeft w:val="0"/>
                                          <w:marRight w:val="0"/>
                                          <w:marTop w:val="0"/>
                                          <w:marBottom w:val="0"/>
                                          <w:divBdr>
                                            <w:top w:val="none" w:sz="0" w:space="0" w:color="auto"/>
                                            <w:left w:val="none" w:sz="0" w:space="0" w:color="auto"/>
                                            <w:bottom w:val="none" w:sz="0" w:space="0" w:color="auto"/>
                                            <w:right w:val="none" w:sz="0" w:space="0" w:color="auto"/>
                                          </w:divBdr>
                                          <w:divsChild>
                                            <w:div w:id="1534615766">
                                              <w:marLeft w:val="0"/>
                                              <w:marRight w:val="0"/>
                                              <w:marTop w:val="0"/>
                                              <w:marBottom w:val="0"/>
                                              <w:divBdr>
                                                <w:top w:val="none" w:sz="0" w:space="0" w:color="auto"/>
                                                <w:left w:val="none" w:sz="0" w:space="0" w:color="auto"/>
                                                <w:bottom w:val="none" w:sz="0" w:space="0" w:color="auto"/>
                                                <w:right w:val="none" w:sz="0" w:space="0" w:color="auto"/>
                                              </w:divBdr>
                                              <w:divsChild>
                                                <w:div w:id="31614725">
                                                  <w:marLeft w:val="0"/>
                                                  <w:marRight w:val="0"/>
                                                  <w:marTop w:val="0"/>
                                                  <w:marBottom w:val="0"/>
                                                  <w:divBdr>
                                                    <w:top w:val="none" w:sz="0" w:space="0" w:color="auto"/>
                                                    <w:left w:val="none" w:sz="0" w:space="0" w:color="auto"/>
                                                    <w:bottom w:val="none" w:sz="0" w:space="0" w:color="auto"/>
                                                    <w:right w:val="none" w:sz="0" w:space="0" w:color="auto"/>
                                                  </w:divBdr>
                                                  <w:divsChild>
                                                    <w:div w:id="1417365846">
                                                      <w:marLeft w:val="0"/>
                                                      <w:marRight w:val="0"/>
                                                      <w:marTop w:val="0"/>
                                                      <w:marBottom w:val="0"/>
                                                      <w:divBdr>
                                                        <w:top w:val="none" w:sz="0" w:space="0" w:color="auto"/>
                                                        <w:left w:val="none" w:sz="0" w:space="0" w:color="auto"/>
                                                        <w:bottom w:val="none" w:sz="0" w:space="0" w:color="auto"/>
                                                        <w:right w:val="none" w:sz="0" w:space="0" w:color="auto"/>
                                                      </w:divBdr>
                                                      <w:divsChild>
                                                        <w:div w:id="1684161469">
                                                          <w:marLeft w:val="0"/>
                                                          <w:marRight w:val="0"/>
                                                          <w:marTop w:val="0"/>
                                                          <w:marBottom w:val="0"/>
                                                          <w:divBdr>
                                                            <w:top w:val="none" w:sz="0" w:space="0" w:color="auto"/>
                                                            <w:left w:val="none" w:sz="0" w:space="0" w:color="auto"/>
                                                            <w:bottom w:val="none" w:sz="0" w:space="0" w:color="auto"/>
                                                            <w:right w:val="none" w:sz="0" w:space="0" w:color="auto"/>
                                                          </w:divBdr>
                                                          <w:divsChild>
                                                            <w:div w:id="548684157">
                                                              <w:marLeft w:val="0"/>
                                                              <w:marRight w:val="150"/>
                                                              <w:marTop w:val="0"/>
                                                              <w:marBottom w:val="150"/>
                                                              <w:divBdr>
                                                                <w:top w:val="none" w:sz="0" w:space="0" w:color="auto"/>
                                                                <w:left w:val="none" w:sz="0" w:space="0" w:color="auto"/>
                                                                <w:bottom w:val="none" w:sz="0" w:space="0" w:color="auto"/>
                                                                <w:right w:val="none" w:sz="0" w:space="0" w:color="auto"/>
                                                              </w:divBdr>
                                                              <w:divsChild>
                                                                <w:div w:id="1729762580">
                                                                  <w:marLeft w:val="0"/>
                                                                  <w:marRight w:val="0"/>
                                                                  <w:marTop w:val="0"/>
                                                                  <w:marBottom w:val="0"/>
                                                                  <w:divBdr>
                                                                    <w:top w:val="none" w:sz="0" w:space="0" w:color="auto"/>
                                                                    <w:left w:val="none" w:sz="0" w:space="0" w:color="auto"/>
                                                                    <w:bottom w:val="none" w:sz="0" w:space="0" w:color="auto"/>
                                                                    <w:right w:val="none" w:sz="0" w:space="0" w:color="auto"/>
                                                                  </w:divBdr>
                                                                  <w:divsChild>
                                                                    <w:div w:id="475024889">
                                                                      <w:marLeft w:val="0"/>
                                                                      <w:marRight w:val="0"/>
                                                                      <w:marTop w:val="0"/>
                                                                      <w:marBottom w:val="0"/>
                                                                      <w:divBdr>
                                                                        <w:top w:val="none" w:sz="0" w:space="0" w:color="auto"/>
                                                                        <w:left w:val="none" w:sz="0" w:space="0" w:color="auto"/>
                                                                        <w:bottom w:val="none" w:sz="0" w:space="0" w:color="auto"/>
                                                                        <w:right w:val="none" w:sz="0" w:space="0" w:color="auto"/>
                                                                      </w:divBdr>
                                                                      <w:divsChild>
                                                                        <w:div w:id="521014987">
                                                                          <w:marLeft w:val="0"/>
                                                                          <w:marRight w:val="0"/>
                                                                          <w:marTop w:val="0"/>
                                                                          <w:marBottom w:val="0"/>
                                                                          <w:divBdr>
                                                                            <w:top w:val="none" w:sz="0" w:space="0" w:color="auto"/>
                                                                            <w:left w:val="none" w:sz="0" w:space="0" w:color="auto"/>
                                                                            <w:bottom w:val="none" w:sz="0" w:space="0" w:color="auto"/>
                                                                            <w:right w:val="none" w:sz="0" w:space="0" w:color="auto"/>
                                                                          </w:divBdr>
                                                                          <w:divsChild>
                                                                            <w:div w:id="1183127691">
                                                                              <w:marLeft w:val="0"/>
                                                                              <w:marRight w:val="0"/>
                                                                              <w:marTop w:val="0"/>
                                                                              <w:marBottom w:val="0"/>
                                                                              <w:divBdr>
                                                                                <w:top w:val="none" w:sz="0" w:space="0" w:color="auto"/>
                                                                                <w:left w:val="none" w:sz="0" w:space="0" w:color="auto"/>
                                                                                <w:bottom w:val="none" w:sz="0" w:space="0" w:color="auto"/>
                                                                                <w:right w:val="none" w:sz="0" w:space="0" w:color="auto"/>
                                                                              </w:divBdr>
                                                                              <w:divsChild>
                                                                                <w:div w:id="536044966">
                                                                                  <w:marLeft w:val="0"/>
                                                                                  <w:marRight w:val="0"/>
                                                                                  <w:marTop w:val="0"/>
                                                                                  <w:marBottom w:val="0"/>
                                                                                  <w:divBdr>
                                                                                    <w:top w:val="none" w:sz="0" w:space="0" w:color="auto"/>
                                                                                    <w:left w:val="none" w:sz="0" w:space="0" w:color="auto"/>
                                                                                    <w:bottom w:val="none" w:sz="0" w:space="0" w:color="auto"/>
                                                                                    <w:right w:val="none" w:sz="0" w:space="0" w:color="auto"/>
                                                                                  </w:divBdr>
                                                                                  <w:divsChild>
                                                                                    <w:div w:id="121730003">
                                                                                      <w:marLeft w:val="0"/>
                                                                                      <w:marRight w:val="0"/>
                                                                                      <w:marTop w:val="0"/>
                                                                                      <w:marBottom w:val="0"/>
                                                                                      <w:divBdr>
                                                                                        <w:top w:val="none" w:sz="0" w:space="0" w:color="auto"/>
                                                                                        <w:left w:val="none" w:sz="0" w:space="0" w:color="auto"/>
                                                                                        <w:bottom w:val="none" w:sz="0" w:space="0" w:color="auto"/>
                                                                                        <w:right w:val="none" w:sz="0" w:space="0" w:color="auto"/>
                                                                                      </w:divBdr>
                                                                                      <w:divsChild>
                                                                                        <w:div w:id="1275401867">
                                                                                          <w:marLeft w:val="0"/>
                                                                                          <w:marRight w:val="0"/>
                                                                                          <w:marTop w:val="0"/>
                                                                                          <w:marBottom w:val="200"/>
                                                                                          <w:divBdr>
                                                                                            <w:top w:val="none" w:sz="0" w:space="0" w:color="auto"/>
                                                                                            <w:left w:val="none" w:sz="0" w:space="0" w:color="auto"/>
                                                                                            <w:bottom w:val="none" w:sz="0" w:space="0" w:color="auto"/>
                                                                                            <w:right w:val="none" w:sz="0" w:space="0" w:color="auto"/>
                                                                                          </w:divBdr>
                                                                                        </w:div>
                                                                                        <w:div w:id="1415739627">
                                                                                          <w:marLeft w:val="0"/>
                                                                                          <w:marRight w:val="0"/>
                                                                                          <w:marTop w:val="0"/>
                                                                                          <w:marBottom w:val="200"/>
                                                                                          <w:divBdr>
                                                                                            <w:top w:val="none" w:sz="0" w:space="0" w:color="auto"/>
                                                                                            <w:left w:val="none" w:sz="0" w:space="0" w:color="auto"/>
                                                                                            <w:bottom w:val="none" w:sz="0" w:space="0" w:color="auto"/>
                                                                                            <w:right w:val="none" w:sz="0" w:space="0" w:color="auto"/>
                                                                                          </w:divBdr>
                                                                                        </w:div>
                                                                                        <w:div w:id="18000307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apers.ssrn.com/sol3/papers.cfm?abstract_id=1133015" TargetMode="External"/><Relationship Id="rId18" Type="http://schemas.openxmlformats.org/officeDocument/2006/relationships/hyperlink" Target="http://www.ft.com/cms/s/0/2d5a7732-7d8d-11e0-b418-00144feabdc0.html" TargetMode="External"/><Relationship Id="rId26" Type="http://schemas.openxmlformats.org/officeDocument/2006/relationships/hyperlink" Target="http://www.legislation.gov.uk/ukpga/2000/29/contents" TargetMode="External"/><Relationship Id="rId3" Type="http://schemas.openxmlformats.org/officeDocument/2006/relationships/styles" Target="styles.xml"/><Relationship Id="rId21" Type="http://schemas.openxmlformats.org/officeDocument/2006/relationships/hyperlink" Target="http://www.bis.gov.uk/assets/biscore/business-law/docs/k/12-631-kay-review-of-equity-markets-interim-report.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owa.ncl.ac.uk/owa/redir.aspx?C=qH8CzieWL0yI_LXnOw2k9fu1qwdagNII7yb-J4uCOuh8a1Pb0zU8R1caKErSj5JmTtRb5soW-hQ.&amp;URL=http%3a%2f%2fwww.pensionprotectionfund.org.uk%2fDocumentLibrary%2fDocuments%2fPPF_7800_January_13.pdf" TargetMode="External"/><Relationship Id="rId25" Type="http://schemas.openxmlformats.org/officeDocument/2006/relationships/hyperlink" Target="https://www.fca.org.uk/publication/research/tilba-baddeley-liao.pdf" TargetMode="External"/><Relationship Id="rId2" Type="http://schemas.openxmlformats.org/officeDocument/2006/relationships/numbering" Target="numbering.xml"/><Relationship Id="rId16" Type="http://schemas.openxmlformats.org/officeDocument/2006/relationships/hyperlink" Target="http://www.pensionfundsonline.co.uk/" TargetMode="External"/><Relationship Id="rId20" Type="http://schemas.openxmlformats.org/officeDocument/2006/relationships/hyperlink" Target="http://www.economis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pensionprotectionfund.org.uk/Pages/ThePurpleBook.aspx" TargetMode="External"/><Relationship Id="rId5" Type="http://schemas.openxmlformats.org/officeDocument/2006/relationships/webSettings" Target="webSettings.xml"/><Relationship Id="rId15" Type="http://schemas.openxmlformats.org/officeDocument/2006/relationships/hyperlink" Target="http://www.plsa.co.uk/PolicyandResearch/DocumentLibrary/~/media/Policy/Documents/0412_NAPF_engagement_survey_2014.pdf" TargetMode="External"/><Relationship Id="rId23" Type="http://schemas.openxmlformats.org/officeDocument/2006/relationships/hyperlink" Target="http://www.thepensionsregulator.gov.uk/trustees.aspx"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action.shareaction.org/page/-/AssetManagerVotingPracticesFinal.pdf?nocdn=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fca.org.uk/publications/market-studies/asset-management-market-study" TargetMode="External"/><Relationship Id="rId22" Type="http://schemas.openxmlformats.org/officeDocument/2006/relationships/hyperlink" Target="http://lawcommission.justice.gov.uk/docs/fiduciary_duties_short_May2013.pdf"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7744EC-23EC-4214-B472-93309FF3CD23}" type="doc">
      <dgm:prSet loTypeId="urn:microsoft.com/office/officeart/2005/8/layout/lProcess3" loCatId="process" qsTypeId="urn:microsoft.com/office/officeart/2005/8/quickstyle/simple2" qsCatId="simple" csTypeId="urn:microsoft.com/office/officeart/2005/8/colors/accent1_2" csCatId="accent1" phldr="1"/>
      <dgm:spPr/>
      <dgm:t>
        <a:bodyPr/>
        <a:lstStyle/>
        <a:p>
          <a:endParaRPr lang="en-GB"/>
        </a:p>
      </dgm:t>
    </dgm:pt>
    <dgm:pt modelId="{B932C300-3D77-445B-B672-41816306F18C}">
      <dgm:prSet phldrT="[Text]" custT="1"/>
      <dgm:spPr>
        <a:xfrm>
          <a:off x="1285" y="680589"/>
          <a:ext cx="2159198" cy="863679"/>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n-GB" sz="900">
            <a:noFill/>
            <a:latin typeface="Calibri"/>
            <a:ea typeface="+mn-ea"/>
            <a:cs typeface="+mn-cs"/>
          </a:endParaRPr>
        </a:p>
        <a:p>
          <a:r>
            <a:rPr lang="en-GB" sz="800" b="1">
              <a:solidFill>
                <a:sysClr val="window" lastClr="FFFFFF"/>
              </a:solidFill>
              <a:latin typeface="Calibri"/>
              <a:ea typeface="+mn-ea"/>
              <a:cs typeface="+mn-cs"/>
            </a:rPr>
            <a:t>Temporal</a:t>
          </a:r>
          <a:r>
            <a:rPr lang="en-GB" sz="900" b="1">
              <a:solidFill>
                <a:sysClr val="window" lastClr="FFFFFF"/>
              </a:solidFill>
              <a:latin typeface="Calibri"/>
              <a:ea typeface="+mn-ea"/>
              <a:cs typeface="+mn-cs"/>
            </a:rPr>
            <a:t> Perspective</a:t>
          </a:r>
        </a:p>
        <a:p>
          <a:r>
            <a:rPr lang="en-GB" sz="900">
              <a:solidFill>
                <a:sysClr val="window" lastClr="FFFFFF"/>
              </a:solidFill>
              <a:latin typeface="Calibri"/>
              <a:ea typeface="+mn-ea"/>
              <a:cs typeface="+mn-cs"/>
            </a:rPr>
            <a:t>Secure/Uncomplicated  </a:t>
          </a:r>
        </a:p>
      </dgm:t>
    </dgm:pt>
    <dgm:pt modelId="{7A2CF6E3-421E-493D-86CC-1513E1DC17CE}" type="parTrans" cxnId="{5E9EB66A-2BAB-4501-911A-9010994991F6}">
      <dgm:prSet/>
      <dgm:spPr/>
      <dgm:t>
        <a:bodyPr/>
        <a:lstStyle/>
        <a:p>
          <a:endParaRPr lang="en-GB"/>
        </a:p>
      </dgm:t>
    </dgm:pt>
    <dgm:pt modelId="{3B1BB1CD-9A58-4450-AD7C-FF51D67FABE4}" type="sibTrans" cxnId="{5E9EB66A-2BAB-4501-911A-9010994991F6}">
      <dgm:prSet/>
      <dgm:spPr/>
      <dgm:t>
        <a:bodyPr/>
        <a:lstStyle/>
        <a:p>
          <a:endParaRPr lang="en-GB"/>
        </a:p>
      </dgm:t>
    </dgm:pt>
    <dgm:pt modelId="{B1AFB9F7-90E5-45EF-A5D3-ECCF79EA9855}">
      <dgm:prSet phldrT="[Text]" custT="1"/>
      <dgm:spPr>
        <a:xfrm>
          <a:off x="1879787" y="754002"/>
          <a:ext cx="2064091" cy="71685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endParaRPr lang="en-GB" sz="500" b="1">
            <a:solidFill>
              <a:sysClr val="windowText" lastClr="000000">
                <a:hueOff val="0"/>
                <a:satOff val="0"/>
                <a:lumOff val="0"/>
                <a:alphaOff val="0"/>
              </a:sysClr>
            </a:solidFill>
            <a:latin typeface="Calibri"/>
            <a:ea typeface="+mn-ea"/>
            <a:cs typeface="+mn-cs"/>
          </a:endParaRPr>
        </a:p>
        <a:p>
          <a:pPr algn="ctr"/>
          <a:endParaRPr lang="en-GB" sz="500" b="1">
            <a:solidFill>
              <a:sysClr val="windowText" lastClr="000000">
                <a:hueOff val="0"/>
                <a:satOff val="0"/>
                <a:lumOff val="0"/>
                <a:alphaOff val="0"/>
              </a:sysClr>
            </a:solidFill>
            <a:latin typeface="Calibri"/>
            <a:ea typeface="+mn-ea"/>
            <a:cs typeface="+mn-cs"/>
          </a:endParaRPr>
        </a:p>
        <a:p>
          <a:pPr algn="ctr"/>
          <a:endParaRPr lang="en-GB" sz="500" b="1">
            <a:solidFill>
              <a:sysClr val="windowText" lastClr="000000">
                <a:hueOff val="0"/>
                <a:satOff val="0"/>
                <a:lumOff val="0"/>
                <a:alphaOff val="0"/>
              </a:sysClr>
            </a:solidFill>
            <a:latin typeface="Calibri"/>
            <a:ea typeface="+mn-ea"/>
            <a:cs typeface="+mn-cs"/>
          </a:endParaRPr>
        </a:p>
        <a:p>
          <a:pPr algn="ctr"/>
          <a:endParaRPr lang="en-GB" sz="500" b="1">
            <a:solidFill>
              <a:sysClr val="windowText" lastClr="000000">
                <a:hueOff val="0"/>
                <a:satOff val="0"/>
                <a:lumOff val="0"/>
                <a:alphaOff val="0"/>
              </a:sysClr>
            </a:solidFill>
            <a:latin typeface="Calibri"/>
            <a:ea typeface="+mn-ea"/>
            <a:cs typeface="+mn-cs"/>
          </a:endParaRPr>
        </a:p>
        <a:p>
          <a:pPr algn="ctr"/>
          <a:r>
            <a:rPr lang="en-GB" sz="800" b="1">
              <a:solidFill>
                <a:sysClr val="windowText" lastClr="000000">
                  <a:hueOff val="0"/>
                  <a:satOff val="0"/>
                  <a:lumOff val="0"/>
                  <a:alphaOff val="0"/>
                </a:sysClr>
              </a:solidFill>
              <a:latin typeface="Calibri"/>
              <a:ea typeface="+mn-ea"/>
              <a:cs typeface="+mn-cs"/>
            </a:rPr>
            <a:t>Vocabulary of Disngagement</a:t>
          </a:r>
        </a:p>
        <a:p>
          <a:pPr algn="l"/>
          <a:r>
            <a:rPr lang="en-GB" sz="500">
              <a:solidFill>
                <a:sysClr val="windowText" lastClr="000000">
                  <a:hueOff val="0"/>
                  <a:satOff val="0"/>
                  <a:lumOff val="0"/>
                  <a:alphaOff val="0"/>
                </a:sysClr>
              </a:solidFill>
              <a:latin typeface="Calibri"/>
              <a:ea typeface="+mn-ea"/>
              <a:cs typeface="+mn-cs"/>
            </a:rPr>
            <a:t>Internal  Accounts:   	Fiduciary  duty 		 	                              Expertise/ Employer links</a:t>
          </a:r>
        </a:p>
        <a:p>
          <a:pPr algn="l"/>
          <a:r>
            <a:rPr lang="en-GB" sz="500">
              <a:solidFill>
                <a:sysClr val="windowText" lastClr="000000">
                  <a:hueOff val="0"/>
                  <a:satOff val="0"/>
                  <a:lumOff val="0"/>
                  <a:alphaOff val="0"/>
                </a:sysClr>
              </a:solidFill>
              <a:latin typeface="Calibri"/>
              <a:ea typeface="+mn-ea"/>
              <a:cs typeface="+mn-cs"/>
            </a:rPr>
            <a:t>External Accounts:            Unstable Fin. Markets        		                             Longevity  and Maturity </a:t>
          </a:r>
        </a:p>
        <a:p>
          <a:pPr algn="ctr"/>
          <a:r>
            <a:rPr lang="en-GB" sz="700" b="1">
              <a:solidFill>
                <a:sysClr val="windowText" lastClr="000000">
                  <a:hueOff val="0"/>
                  <a:satOff val="0"/>
                  <a:lumOff val="0"/>
                  <a:alphaOff val="0"/>
                </a:sysClr>
              </a:solidFill>
              <a:latin typeface="Calibri"/>
              <a:ea typeface="+mn-ea"/>
              <a:cs typeface="+mn-cs"/>
            </a:rPr>
            <a:t>Temporal Perspective </a:t>
          </a:r>
          <a:endParaRPr lang="en-GB" sz="700" b="0">
            <a:solidFill>
              <a:sysClr val="windowText" lastClr="000000">
                <a:hueOff val="0"/>
                <a:satOff val="0"/>
                <a:lumOff val="0"/>
                <a:alphaOff val="0"/>
              </a:sysClr>
            </a:solidFill>
            <a:latin typeface="Calibri"/>
            <a:ea typeface="+mn-ea"/>
            <a:cs typeface="+mn-cs"/>
          </a:endParaRPr>
        </a:p>
        <a:p>
          <a:pPr algn="ctr"/>
          <a:r>
            <a:rPr lang="en-GB" sz="700" b="0">
              <a:solidFill>
                <a:sysClr val="windowText" lastClr="000000">
                  <a:hueOff val="0"/>
                  <a:satOff val="0"/>
                  <a:lumOff val="0"/>
                  <a:alphaOff val="0"/>
                </a:sysClr>
              </a:solidFill>
              <a:latin typeface="Calibri"/>
              <a:ea typeface="+mn-ea"/>
              <a:cs typeface="+mn-cs"/>
            </a:rPr>
            <a:t>Volatile / Complex </a:t>
          </a:r>
        </a:p>
        <a:p>
          <a:pPr algn="l"/>
          <a:endParaRPr lang="en-GB" sz="500">
            <a:solidFill>
              <a:sysClr val="windowText" lastClr="000000">
                <a:hueOff val="0"/>
                <a:satOff val="0"/>
                <a:lumOff val="0"/>
                <a:alphaOff val="0"/>
              </a:sysClr>
            </a:solidFill>
            <a:latin typeface="Calibri"/>
            <a:ea typeface="+mn-ea"/>
            <a:cs typeface="+mn-cs"/>
          </a:endParaRPr>
        </a:p>
        <a:p>
          <a:pPr algn="ctr"/>
          <a:endParaRPr lang="en-GB" sz="500">
            <a:solidFill>
              <a:sysClr val="windowText" lastClr="000000">
                <a:hueOff val="0"/>
                <a:satOff val="0"/>
                <a:lumOff val="0"/>
                <a:alphaOff val="0"/>
              </a:sysClr>
            </a:solidFill>
            <a:latin typeface="Calibri"/>
            <a:ea typeface="+mn-ea"/>
            <a:cs typeface="+mn-cs"/>
          </a:endParaRPr>
        </a:p>
        <a:p>
          <a:pPr algn="ctr"/>
          <a:endParaRPr lang="en-GB" sz="500">
            <a:solidFill>
              <a:sysClr val="windowText" lastClr="000000">
                <a:hueOff val="0"/>
                <a:satOff val="0"/>
                <a:lumOff val="0"/>
                <a:alphaOff val="0"/>
              </a:sysClr>
            </a:solidFill>
            <a:latin typeface="Calibri"/>
            <a:ea typeface="+mn-ea"/>
            <a:cs typeface="+mn-cs"/>
          </a:endParaRPr>
        </a:p>
        <a:p>
          <a:pPr algn="ctr"/>
          <a:r>
            <a:rPr lang="en-GB" sz="500">
              <a:solidFill>
                <a:sysClr val="windowText" lastClr="000000">
                  <a:hueOff val="0"/>
                  <a:satOff val="0"/>
                  <a:lumOff val="0"/>
                  <a:alphaOff val="0"/>
                </a:sysClr>
              </a:solidFill>
              <a:latin typeface="Calibri"/>
              <a:ea typeface="+mn-ea"/>
              <a:cs typeface="+mn-cs"/>
            </a:rPr>
            <a:t> </a:t>
          </a:r>
        </a:p>
      </dgm:t>
    </dgm:pt>
    <dgm:pt modelId="{3AE86D30-A4C7-4D4D-ADAB-D399AC957897}" type="parTrans" cxnId="{CB8783CC-E503-4F17-B148-C6B491EDF557}">
      <dgm:prSet/>
      <dgm:spPr/>
      <dgm:t>
        <a:bodyPr/>
        <a:lstStyle/>
        <a:p>
          <a:endParaRPr lang="en-GB"/>
        </a:p>
      </dgm:t>
    </dgm:pt>
    <dgm:pt modelId="{5B91FAF2-D8AB-4760-A216-7C92365B3B32}" type="sibTrans" cxnId="{CB8783CC-E503-4F17-B148-C6B491EDF557}">
      <dgm:prSet/>
      <dgm:spPr/>
      <dgm:t>
        <a:bodyPr/>
        <a:lstStyle/>
        <a:p>
          <a:endParaRPr lang="en-GB"/>
        </a:p>
      </dgm:t>
    </dgm:pt>
    <dgm:pt modelId="{A88D6C2D-2AB4-4222-B335-BE0DA3F8C58B}">
      <dgm:prSet phldrT="[Text]" custT="1"/>
      <dgm:spPr>
        <a:xfrm>
          <a:off x="3692980" y="754002"/>
          <a:ext cx="1792134" cy="71685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600" b="1">
            <a:solidFill>
              <a:sysClr val="windowText" lastClr="000000">
                <a:hueOff val="0"/>
                <a:satOff val="0"/>
                <a:lumOff val="0"/>
                <a:alphaOff val="0"/>
              </a:sysClr>
            </a:solidFill>
            <a:latin typeface="Calibri"/>
            <a:ea typeface="+mn-ea"/>
            <a:cs typeface="+mn-cs"/>
          </a:endParaRPr>
        </a:p>
        <a:p>
          <a:r>
            <a:rPr lang="en-GB" sz="800" b="1">
              <a:solidFill>
                <a:sysClr val="windowText" lastClr="000000">
                  <a:hueOff val="0"/>
                  <a:satOff val="0"/>
                  <a:lumOff val="0"/>
                  <a:alphaOff val="0"/>
                </a:sysClr>
              </a:solidFill>
              <a:latin typeface="Calibri"/>
              <a:ea typeface="+mn-ea"/>
              <a:cs typeface="+mn-cs"/>
            </a:rPr>
            <a:t>Temporal Perspective</a:t>
          </a:r>
        </a:p>
        <a:p>
          <a:r>
            <a:rPr lang="en-GB" sz="800" b="0">
              <a:solidFill>
                <a:sysClr val="windowText" lastClr="000000">
                  <a:hueOff val="0"/>
                  <a:satOff val="0"/>
                  <a:lumOff val="0"/>
                  <a:alphaOff val="0"/>
                </a:sysClr>
              </a:solidFill>
              <a:latin typeface="Calibri"/>
              <a:ea typeface="+mn-ea"/>
              <a:cs typeface="+mn-cs"/>
            </a:rPr>
            <a:t>Uncertainly </a:t>
          </a:r>
        </a:p>
      </dgm:t>
    </dgm:pt>
    <dgm:pt modelId="{4450538C-79E2-4955-B6AE-081894037A64}" type="parTrans" cxnId="{D9780604-198A-4A67-A1A6-7E364C688526}">
      <dgm:prSet/>
      <dgm:spPr/>
      <dgm:t>
        <a:bodyPr/>
        <a:lstStyle/>
        <a:p>
          <a:endParaRPr lang="en-GB"/>
        </a:p>
      </dgm:t>
    </dgm:pt>
    <dgm:pt modelId="{612F7FD1-36EB-4713-ADAC-BB86C2AE37A6}" type="sibTrans" cxnId="{D9780604-198A-4A67-A1A6-7E364C688526}">
      <dgm:prSet/>
      <dgm:spPr/>
      <dgm:t>
        <a:bodyPr/>
        <a:lstStyle/>
        <a:p>
          <a:endParaRPr lang="en-GB"/>
        </a:p>
      </dgm:t>
    </dgm:pt>
    <dgm:pt modelId="{17B40598-D873-48A4-B3E0-AD47EEAE385E}">
      <dgm:prSet phldrT="[Text]" custT="1"/>
      <dgm:spPr>
        <a:xfrm>
          <a:off x="1285" y="1665184"/>
          <a:ext cx="2159198" cy="863679"/>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n-GB" sz="700" b="1">
            <a:solidFill>
              <a:sysClr val="window" lastClr="FFFFFF"/>
            </a:solidFill>
            <a:latin typeface="Calibri"/>
            <a:ea typeface="+mn-ea"/>
            <a:cs typeface="+mn-cs"/>
          </a:endParaRPr>
        </a:p>
        <a:p>
          <a:endParaRPr lang="en-GB" sz="700" b="1">
            <a:solidFill>
              <a:sysClr val="window" lastClr="FFFFFF"/>
            </a:solidFill>
            <a:latin typeface="Calibri"/>
            <a:ea typeface="+mn-ea"/>
            <a:cs typeface="+mn-cs"/>
          </a:endParaRPr>
        </a:p>
        <a:p>
          <a:endParaRPr lang="en-GB" sz="700" b="1">
            <a:solidFill>
              <a:sysClr val="window" lastClr="FFFFFF"/>
            </a:solidFill>
            <a:latin typeface="Calibri"/>
            <a:ea typeface="+mn-ea"/>
            <a:cs typeface="+mn-cs"/>
          </a:endParaRPr>
        </a:p>
        <a:p>
          <a:r>
            <a:rPr lang="en-GB" sz="700" b="1">
              <a:solidFill>
                <a:sysClr val="window" lastClr="FFFFFF"/>
              </a:solidFill>
              <a:latin typeface="Calibri"/>
              <a:ea typeface="+mn-ea"/>
              <a:cs typeface="+mn-cs"/>
            </a:rPr>
            <a:t>Temporal Perspective</a:t>
          </a:r>
        </a:p>
        <a:p>
          <a:r>
            <a:rPr lang="en-GB" sz="700" b="1">
              <a:solidFill>
                <a:sysClr val="window" lastClr="FFFFFF"/>
              </a:solidFill>
              <a:latin typeface="Calibri"/>
              <a:ea typeface="+mn-ea"/>
              <a:cs typeface="+mn-cs"/>
            </a:rPr>
            <a:t>Positive  Industry Changes</a:t>
          </a:r>
          <a:endParaRPr lang="en-GB" sz="800" b="1">
            <a:solidFill>
              <a:sysClr val="window" lastClr="FFFFFF"/>
            </a:solidFill>
            <a:latin typeface="Calibri"/>
            <a:ea typeface="+mn-ea"/>
            <a:cs typeface="+mn-cs"/>
          </a:endParaRPr>
        </a:p>
      </dgm:t>
    </dgm:pt>
    <dgm:pt modelId="{493682FF-93F3-4A59-AC71-CAF09BC44BFF}" type="parTrans" cxnId="{17FCE692-A9C4-452E-9478-C7760A316756}">
      <dgm:prSet/>
      <dgm:spPr/>
      <dgm:t>
        <a:bodyPr/>
        <a:lstStyle/>
        <a:p>
          <a:endParaRPr lang="en-GB"/>
        </a:p>
      </dgm:t>
    </dgm:pt>
    <dgm:pt modelId="{EF76AC78-FA6F-49CB-B780-2CF850F73130}" type="sibTrans" cxnId="{17FCE692-A9C4-452E-9478-C7760A316756}">
      <dgm:prSet/>
      <dgm:spPr/>
      <dgm:t>
        <a:bodyPr/>
        <a:lstStyle/>
        <a:p>
          <a:endParaRPr lang="en-GB"/>
        </a:p>
      </dgm:t>
    </dgm:pt>
    <dgm:pt modelId="{8D54D5DF-CE8F-4EF4-86C9-638207019405}">
      <dgm:prSet phldrT="[Text]" custT="1"/>
      <dgm:spPr>
        <a:xfrm>
          <a:off x="3625806" y="1708997"/>
          <a:ext cx="1792134" cy="785843"/>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500">
            <a:solidFill>
              <a:sysClr val="windowText" lastClr="000000">
                <a:hueOff val="0"/>
                <a:satOff val="0"/>
                <a:lumOff val="0"/>
                <a:alphaOff val="0"/>
              </a:sysClr>
            </a:solidFill>
            <a:latin typeface="Calibri"/>
            <a:ea typeface="+mn-ea"/>
            <a:cs typeface="+mn-cs"/>
          </a:endParaRPr>
        </a:p>
        <a:p>
          <a:endParaRPr lang="en-GB" sz="700">
            <a:solidFill>
              <a:sysClr val="windowText" lastClr="000000">
                <a:hueOff val="0"/>
                <a:satOff val="0"/>
                <a:lumOff val="0"/>
                <a:alphaOff val="0"/>
              </a:sysClr>
            </a:solidFill>
            <a:latin typeface="Calibri"/>
            <a:ea typeface="+mn-ea"/>
            <a:cs typeface="+mn-cs"/>
          </a:endParaRPr>
        </a:p>
        <a:p>
          <a:endParaRPr lang="en-GB" sz="700">
            <a:solidFill>
              <a:sysClr val="windowText" lastClr="000000">
                <a:hueOff val="0"/>
                <a:satOff val="0"/>
                <a:lumOff val="0"/>
                <a:alphaOff val="0"/>
              </a:sysClr>
            </a:solidFill>
            <a:latin typeface="Calibri"/>
            <a:ea typeface="+mn-ea"/>
            <a:cs typeface="+mn-cs"/>
          </a:endParaRPr>
        </a:p>
        <a:p>
          <a:endParaRPr lang="en-GB" sz="700">
            <a:solidFill>
              <a:sysClr val="windowText" lastClr="000000">
                <a:hueOff val="0"/>
                <a:satOff val="0"/>
                <a:lumOff val="0"/>
                <a:alphaOff val="0"/>
              </a:sysClr>
            </a:solidFill>
            <a:latin typeface="Calibri"/>
            <a:ea typeface="+mn-ea"/>
            <a:cs typeface="+mn-cs"/>
          </a:endParaRPr>
        </a:p>
        <a:p>
          <a:r>
            <a:rPr lang="en-GB" sz="700" b="1">
              <a:solidFill>
                <a:sysClr val="windowText" lastClr="000000">
                  <a:hueOff val="0"/>
                  <a:satOff val="0"/>
                  <a:lumOff val="0"/>
                  <a:alphaOff val="0"/>
                </a:sysClr>
              </a:solidFill>
              <a:latin typeface="Calibri"/>
              <a:ea typeface="+mn-ea"/>
              <a:cs typeface="+mn-cs"/>
            </a:rPr>
            <a:t>Temporal Perspective  </a:t>
          </a:r>
        </a:p>
        <a:p>
          <a:r>
            <a:rPr lang="en-GB" sz="700" b="0">
              <a:solidFill>
                <a:sysClr val="windowText" lastClr="000000">
                  <a:hueOff val="0"/>
                  <a:satOff val="0"/>
                  <a:lumOff val="0"/>
                  <a:alphaOff val="0"/>
                </a:sysClr>
              </a:solidFill>
              <a:latin typeface="Calibri"/>
              <a:ea typeface="+mn-ea"/>
              <a:cs typeface="+mn-cs"/>
            </a:rPr>
            <a:t>Sustainability </a:t>
          </a:r>
          <a:r>
            <a:rPr lang="en-GB" sz="700" b="1">
              <a:solidFill>
                <a:sysClr val="windowText" lastClr="000000">
                  <a:hueOff val="0"/>
                  <a:satOff val="0"/>
                  <a:lumOff val="0"/>
                  <a:alphaOff val="0"/>
                </a:sysClr>
              </a:solidFill>
              <a:latin typeface="Calibri"/>
              <a:ea typeface="+mn-ea"/>
              <a:cs typeface="+mn-cs"/>
            </a:rPr>
            <a:t> </a:t>
          </a:r>
        </a:p>
        <a:p>
          <a:endParaRPr lang="en-GB" sz="500">
            <a:solidFill>
              <a:sysClr val="windowText" lastClr="000000">
                <a:hueOff val="0"/>
                <a:satOff val="0"/>
                <a:lumOff val="0"/>
                <a:alphaOff val="0"/>
              </a:sysClr>
            </a:solidFill>
            <a:latin typeface="Calibri"/>
            <a:ea typeface="+mn-ea"/>
            <a:cs typeface="+mn-cs"/>
          </a:endParaRPr>
        </a:p>
        <a:p>
          <a:endParaRPr lang="en-GB" sz="500">
            <a:solidFill>
              <a:sysClr val="windowText" lastClr="000000">
                <a:hueOff val="0"/>
                <a:satOff val="0"/>
                <a:lumOff val="0"/>
                <a:alphaOff val="0"/>
              </a:sysClr>
            </a:solidFill>
            <a:latin typeface="Calibri"/>
            <a:ea typeface="+mn-ea"/>
            <a:cs typeface="+mn-cs"/>
          </a:endParaRPr>
        </a:p>
        <a:p>
          <a:endParaRPr lang="en-GB" sz="500">
            <a:solidFill>
              <a:sysClr val="windowText" lastClr="000000">
                <a:hueOff val="0"/>
                <a:satOff val="0"/>
                <a:lumOff val="0"/>
                <a:alphaOff val="0"/>
              </a:sysClr>
            </a:solidFill>
            <a:latin typeface="Calibri"/>
            <a:ea typeface="+mn-ea"/>
            <a:cs typeface="+mn-cs"/>
          </a:endParaRPr>
        </a:p>
      </dgm:t>
    </dgm:pt>
    <dgm:pt modelId="{A89270E3-6AE6-4D27-9DE1-22DD97A1D137}" type="parTrans" cxnId="{AA6DF897-D487-49E0-9A60-2247A0610F5F}">
      <dgm:prSet/>
      <dgm:spPr/>
      <dgm:t>
        <a:bodyPr/>
        <a:lstStyle/>
        <a:p>
          <a:endParaRPr lang="en-GB"/>
        </a:p>
      </dgm:t>
    </dgm:pt>
    <dgm:pt modelId="{A099418D-0E79-4BB2-BE83-8C4559C6F2AE}" type="sibTrans" cxnId="{AA6DF897-D487-49E0-9A60-2247A0610F5F}">
      <dgm:prSet/>
      <dgm:spPr/>
      <dgm:t>
        <a:bodyPr/>
        <a:lstStyle/>
        <a:p>
          <a:endParaRPr lang="en-GB"/>
        </a:p>
      </dgm:t>
    </dgm:pt>
    <dgm:pt modelId="{11F51B93-A02E-4FE6-931B-5E86C0CF72DD}">
      <dgm:prSet phldrT="[Text]" custT="1"/>
      <dgm:spPr>
        <a:xfrm>
          <a:off x="1879095" y="1712926"/>
          <a:ext cx="2038338" cy="772137"/>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endParaRPr lang="en-GB" sz="500" b="1">
            <a:solidFill>
              <a:sysClr val="windowText" lastClr="000000">
                <a:hueOff val="0"/>
                <a:satOff val="0"/>
                <a:lumOff val="0"/>
                <a:alphaOff val="0"/>
              </a:sysClr>
            </a:solidFill>
            <a:latin typeface="Calibri"/>
            <a:ea typeface="+mn-ea"/>
            <a:cs typeface="+mn-cs"/>
          </a:endParaRPr>
        </a:p>
        <a:p>
          <a:pPr algn="ctr"/>
          <a:endParaRPr lang="en-GB" sz="800" b="1">
            <a:solidFill>
              <a:sysClr val="windowText" lastClr="000000">
                <a:hueOff val="0"/>
                <a:satOff val="0"/>
                <a:lumOff val="0"/>
                <a:alphaOff val="0"/>
              </a:sysClr>
            </a:solidFill>
            <a:latin typeface="Calibri"/>
            <a:ea typeface="+mn-ea"/>
            <a:cs typeface="+mn-cs"/>
          </a:endParaRPr>
        </a:p>
        <a:p>
          <a:pPr algn="ctr"/>
          <a:r>
            <a:rPr lang="en-GB" sz="800" b="1">
              <a:solidFill>
                <a:sysClr val="windowText" lastClr="000000">
                  <a:hueOff val="0"/>
                  <a:satOff val="0"/>
                  <a:lumOff val="0"/>
                  <a:alphaOff val="0"/>
                </a:sysClr>
              </a:solidFill>
              <a:latin typeface="Calibri"/>
              <a:ea typeface="+mn-ea"/>
              <a:cs typeface="+mn-cs"/>
            </a:rPr>
            <a:t>Vocabulary of Engagement</a:t>
          </a:r>
        </a:p>
        <a:p>
          <a:pPr algn="l"/>
          <a:r>
            <a:rPr lang="en-GB" sz="500" b="0">
              <a:solidFill>
                <a:sysClr val="windowText" lastClr="000000">
                  <a:hueOff val="0"/>
                  <a:satOff val="0"/>
                  <a:lumOff val="0"/>
                  <a:alphaOff val="0"/>
                </a:sysClr>
              </a:solidFill>
              <a:latin typeface="Calibri"/>
              <a:ea typeface="+mn-ea"/>
              <a:cs typeface="+mn-cs"/>
            </a:rPr>
            <a:t>Internal  Accounts:      Fiduciary Duty</a:t>
          </a:r>
          <a:r>
            <a:rPr lang="en-GB" sz="500" b="1">
              <a:solidFill>
                <a:sysClr val="windowText" lastClr="000000">
                  <a:hueOff val="0"/>
                  <a:satOff val="0"/>
                  <a:lumOff val="0"/>
                  <a:alphaOff val="0"/>
                </a:sysClr>
              </a:solidFill>
              <a:latin typeface="Calibri"/>
              <a:ea typeface="+mn-ea"/>
              <a:cs typeface="+mn-cs"/>
            </a:rPr>
            <a:t>    	    	                        </a:t>
          </a:r>
          <a:r>
            <a:rPr lang="en-GB" sz="500" b="0">
              <a:solidFill>
                <a:sysClr val="windowText" lastClr="000000">
                  <a:hueOff val="0"/>
                  <a:satOff val="0"/>
                  <a:lumOff val="0"/>
                  <a:alphaOff val="0"/>
                </a:sysClr>
              </a:solidFill>
              <a:latin typeface="Calibri"/>
              <a:ea typeface="+mn-ea"/>
              <a:cs typeface="+mn-cs"/>
            </a:rPr>
            <a:t>Resources/Expertise</a:t>
          </a:r>
        </a:p>
        <a:p>
          <a:pPr algn="l"/>
          <a:r>
            <a:rPr lang="en-GB" sz="500" b="0">
              <a:solidFill>
                <a:sysClr val="windowText" lastClr="000000">
                  <a:hueOff val="0"/>
                  <a:satOff val="0"/>
                  <a:lumOff val="0"/>
                  <a:alphaOff val="0"/>
                </a:sysClr>
              </a:solidFill>
              <a:latin typeface="Calibri"/>
              <a:ea typeface="+mn-ea"/>
              <a:cs typeface="+mn-cs"/>
            </a:rPr>
            <a:t>Expternl Accounts:   Public pressure on 	                                      		     accountability </a:t>
          </a:r>
        </a:p>
        <a:p>
          <a:pPr algn="ctr"/>
          <a:r>
            <a:rPr lang="en-GB" sz="600" b="1">
              <a:solidFill>
                <a:sysClr val="windowText" lastClr="000000">
                  <a:hueOff val="0"/>
                  <a:satOff val="0"/>
                  <a:lumOff val="0"/>
                  <a:alphaOff val="0"/>
                </a:sysClr>
              </a:solidFill>
              <a:latin typeface="Calibri"/>
              <a:ea typeface="+mn-ea"/>
              <a:cs typeface="+mn-cs"/>
            </a:rPr>
            <a:t>Temporal Perspective</a:t>
          </a:r>
        </a:p>
        <a:p>
          <a:pPr algn="ctr"/>
          <a:r>
            <a:rPr lang="en-GB" sz="600" b="0">
              <a:solidFill>
                <a:sysClr val="windowText" lastClr="000000">
                  <a:hueOff val="0"/>
                  <a:satOff val="0"/>
                  <a:lumOff val="0"/>
                  <a:alphaOff val="0"/>
                </a:sysClr>
              </a:solidFill>
              <a:latin typeface="Calibri"/>
              <a:ea typeface="+mn-ea"/>
              <a:cs typeface="+mn-cs"/>
            </a:rPr>
            <a:t>Positive Industry Changes </a:t>
          </a:r>
        </a:p>
        <a:p>
          <a:pPr algn="ctr"/>
          <a:endParaRPr lang="en-GB" sz="500">
            <a:solidFill>
              <a:sysClr val="windowText" lastClr="000000">
                <a:hueOff val="0"/>
                <a:satOff val="0"/>
                <a:lumOff val="0"/>
                <a:alphaOff val="0"/>
              </a:sysClr>
            </a:solidFill>
            <a:latin typeface="Calibri"/>
            <a:ea typeface="+mn-ea"/>
            <a:cs typeface="+mn-cs"/>
          </a:endParaRPr>
        </a:p>
        <a:p>
          <a:pPr algn="ctr"/>
          <a:endParaRPr lang="en-GB" sz="500">
            <a:solidFill>
              <a:sysClr val="windowText" lastClr="000000">
                <a:hueOff val="0"/>
                <a:satOff val="0"/>
                <a:lumOff val="0"/>
                <a:alphaOff val="0"/>
              </a:sysClr>
            </a:solidFill>
            <a:latin typeface="Calibri"/>
            <a:ea typeface="+mn-ea"/>
            <a:cs typeface="+mn-cs"/>
          </a:endParaRPr>
        </a:p>
      </dgm:t>
    </dgm:pt>
    <dgm:pt modelId="{6C1079CE-94A9-4F98-A8BA-1F05ADF5A06D}" type="sibTrans" cxnId="{EC568B19-3DD5-4687-9B5C-F06C948AEAC9}">
      <dgm:prSet/>
      <dgm:spPr/>
      <dgm:t>
        <a:bodyPr/>
        <a:lstStyle/>
        <a:p>
          <a:endParaRPr lang="en-GB"/>
        </a:p>
      </dgm:t>
    </dgm:pt>
    <dgm:pt modelId="{5B6D0075-6FB6-403B-954B-789E29137679}" type="parTrans" cxnId="{EC568B19-3DD5-4687-9B5C-F06C948AEAC9}">
      <dgm:prSet/>
      <dgm:spPr/>
      <dgm:t>
        <a:bodyPr/>
        <a:lstStyle/>
        <a:p>
          <a:endParaRPr lang="en-GB"/>
        </a:p>
      </dgm:t>
    </dgm:pt>
    <dgm:pt modelId="{B2BB01C0-CEFE-44A3-8EC6-C115CCC8E4C3}" type="pres">
      <dgm:prSet presAssocID="{117744EC-23EC-4214-B472-93309FF3CD23}" presName="Name0" presStyleCnt="0">
        <dgm:presLayoutVars>
          <dgm:chPref val="3"/>
          <dgm:dir/>
          <dgm:animLvl val="lvl"/>
          <dgm:resizeHandles/>
        </dgm:presLayoutVars>
      </dgm:prSet>
      <dgm:spPr/>
      <dgm:t>
        <a:bodyPr/>
        <a:lstStyle/>
        <a:p>
          <a:endParaRPr lang="en-GB"/>
        </a:p>
      </dgm:t>
    </dgm:pt>
    <dgm:pt modelId="{856A8B70-DA3A-4DF8-A64E-E5CD97456ED9}" type="pres">
      <dgm:prSet presAssocID="{B932C300-3D77-445B-B672-41816306F18C}" presName="horFlow" presStyleCnt="0"/>
      <dgm:spPr/>
    </dgm:pt>
    <dgm:pt modelId="{D538313E-630B-431D-80F4-3A54FCA57E59}" type="pres">
      <dgm:prSet presAssocID="{B932C300-3D77-445B-B672-41816306F18C}" presName="bigChev" presStyleLbl="node1" presStyleIdx="0" presStyleCnt="2"/>
      <dgm:spPr/>
      <dgm:t>
        <a:bodyPr/>
        <a:lstStyle/>
        <a:p>
          <a:endParaRPr lang="en-GB"/>
        </a:p>
      </dgm:t>
    </dgm:pt>
    <dgm:pt modelId="{E32EF63B-8E30-45F5-BD40-A13676D4B6CF}" type="pres">
      <dgm:prSet presAssocID="{3AE86D30-A4C7-4D4D-ADAB-D399AC957897}" presName="parTrans" presStyleCnt="0"/>
      <dgm:spPr/>
    </dgm:pt>
    <dgm:pt modelId="{BCBD0D26-63E8-4CD3-B861-F54FD22FDE90}" type="pres">
      <dgm:prSet presAssocID="{B1AFB9F7-90E5-45EF-A5D3-ECCF79EA9855}" presName="node" presStyleLbl="alignAccFollowNode1" presStyleIdx="0" presStyleCnt="4" custScaleX="115175">
        <dgm:presLayoutVars>
          <dgm:bulletEnabled val="1"/>
        </dgm:presLayoutVars>
      </dgm:prSet>
      <dgm:spPr/>
      <dgm:t>
        <a:bodyPr/>
        <a:lstStyle/>
        <a:p>
          <a:endParaRPr lang="en-GB"/>
        </a:p>
      </dgm:t>
    </dgm:pt>
    <dgm:pt modelId="{C12D7CE1-1B4D-4B21-88FD-BE8A92D4CB58}" type="pres">
      <dgm:prSet presAssocID="{5B91FAF2-D8AB-4760-A216-7C92365B3B32}" presName="sibTrans" presStyleCnt="0"/>
      <dgm:spPr/>
    </dgm:pt>
    <dgm:pt modelId="{56FA45BD-98EF-447F-A10C-C580922C33DD}" type="pres">
      <dgm:prSet presAssocID="{A88D6C2D-2AB4-4222-B335-BE0DA3F8C58B}" presName="node" presStyleLbl="alignAccFollowNode1" presStyleIdx="1" presStyleCnt="4">
        <dgm:presLayoutVars>
          <dgm:bulletEnabled val="1"/>
        </dgm:presLayoutVars>
      </dgm:prSet>
      <dgm:spPr/>
      <dgm:t>
        <a:bodyPr/>
        <a:lstStyle/>
        <a:p>
          <a:endParaRPr lang="en-GB"/>
        </a:p>
      </dgm:t>
    </dgm:pt>
    <dgm:pt modelId="{0841310E-62C5-4B6D-9C5F-9A969E472619}" type="pres">
      <dgm:prSet presAssocID="{B932C300-3D77-445B-B672-41816306F18C}" presName="vSp" presStyleCnt="0"/>
      <dgm:spPr/>
    </dgm:pt>
    <dgm:pt modelId="{20D969B4-F57C-4FDD-A452-86E10AC8B4F0}" type="pres">
      <dgm:prSet presAssocID="{17B40598-D873-48A4-B3E0-AD47EEAE385E}" presName="horFlow" presStyleCnt="0"/>
      <dgm:spPr/>
    </dgm:pt>
    <dgm:pt modelId="{BF7E4BC8-1CB9-47BA-8776-BE2D29C567AF}" type="pres">
      <dgm:prSet presAssocID="{17B40598-D873-48A4-B3E0-AD47EEAE385E}" presName="bigChev" presStyleLbl="node1" presStyleIdx="1" presStyleCnt="2"/>
      <dgm:spPr/>
      <dgm:t>
        <a:bodyPr/>
        <a:lstStyle/>
        <a:p>
          <a:endParaRPr lang="en-GB"/>
        </a:p>
      </dgm:t>
    </dgm:pt>
    <dgm:pt modelId="{ADE04B78-B6A1-4130-98B4-4FF1EEFD00DB}" type="pres">
      <dgm:prSet presAssocID="{5B6D0075-6FB6-403B-954B-789E29137679}" presName="parTrans" presStyleCnt="0"/>
      <dgm:spPr/>
    </dgm:pt>
    <dgm:pt modelId="{D9DB95C1-C7CF-4E5C-BA97-EE282D07711E}" type="pres">
      <dgm:prSet presAssocID="{11F51B93-A02E-4FE6-931B-5E86C0CF72DD}" presName="node" presStyleLbl="alignAccFollowNode1" presStyleIdx="2" presStyleCnt="4" custScaleX="113738" custScaleY="107712" custLinFactNeighborX="-276" custLinFactNeighborY="275">
        <dgm:presLayoutVars>
          <dgm:bulletEnabled val="1"/>
        </dgm:presLayoutVars>
      </dgm:prSet>
      <dgm:spPr/>
      <dgm:t>
        <a:bodyPr/>
        <a:lstStyle/>
        <a:p>
          <a:endParaRPr lang="en-GB"/>
        </a:p>
      </dgm:t>
    </dgm:pt>
    <dgm:pt modelId="{69480677-D06D-4EEB-A74D-BBA541ED5DA1}" type="pres">
      <dgm:prSet presAssocID="{6C1079CE-94A9-4F98-A8BA-1F05ADF5A06D}" presName="sibTrans" presStyleCnt="0"/>
      <dgm:spPr/>
    </dgm:pt>
    <dgm:pt modelId="{CF6FC60A-33F5-4F0A-98CE-FEB84CE1E114}" type="pres">
      <dgm:prSet presAssocID="{8D54D5DF-CE8F-4EF4-86C9-638207019405}" presName="node" presStyleLbl="alignAccFollowNode1" presStyleIdx="3" presStyleCnt="4" custScaleY="109624" custLinFactNeighborX="-16509" custLinFactNeighborY="683">
        <dgm:presLayoutVars>
          <dgm:bulletEnabled val="1"/>
        </dgm:presLayoutVars>
      </dgm:prSet>
      <dgm:spPr/>
      <dgm:t>
        <a:bodyPr/>
        <a:lstStyle/>
        <a:p>
          <a:endParaRPr lang="en-GB"/>
        </a:p>
      </dgm:t>
    </dgm:pt>
  </dgm:ptLst>
  <dgm:cxnLst>
    <dgm:cxn modelId="{5E9EB66A-2BAB-4501-911A-9010994991F6}" srcId="{117744EC-23EC-4214-B472-93309FF3CD23}" destId="{B932C300-3D77-445B-B672-41816306F18C}" srcOrd="0" destOrd="0" parTransId="{7A2CF6E3-421E-493D-86CC-1513E1DC17CE}" sibTransId="{3B1BB1CD-9A58-4450-AD7C-FF51D67FABE4}"/>
    <dgm:cxn modelId="{59A6D6B8-4397-4A32-9094-790A5F074BDA}" type="presOf" srcId="{8D54D5DF-CE8F-4EF4-86C9-638207019405}" destId="{CF6FC60A-33F5-4F0A-98CE-FEB84CE1E114}" srcOrd="0" destOrd="0" presId="urn:microsoft.com/office/officeart/2005/8/layout/lProcess3"/>
    <dgm:cxn modelId="{EC568B19-3DD5-4687-9B5C-F06C948AEAC9}" srcId="{17B40598-D873-48A4-B3E0-AD47EEAE385E}" destId="{11F51B93-A02E-4FE6-931B-5E86C0CF72DD}" srcOrd="0" destOrd="0" parTransId="{5B6D0075-6FB6-403B-954B-789E29137679}" sibTransId="{6C1079CE-94A9-4F98-A8BA-1F05ADF5A06D}"/>
    <dgm:cxn modelId="{CB8783CC-E503-4F17-B148-C6B491EDF557}" srcId="{B932C300-3D77-445B-B672-41816306F18C}" destId="{B1AFB9F7-90E5-45EF-A5D3-ECCF79EA9855}" srcOrd="0" destOrd="0" parTransId="{3AE86D30-A4C7-4D4D-ADAB-D399AC957897}" sibTransId="{5B91FAF2-D8AB-4760-A216-7C92365B3B32}"/>
    <dgm:cxn modelId="{DE9C29DF-852A-40AB-BA26-01E4C07E2AC5}" type="presOf" srcId="{17B40598-D873-48A4-B3E0-AD47EEAE385E}" destId="{BF7E4BC8-1CB9-47BA-8776-BE2D29C567AF}" srcOrd="0" destOrd="0" presId="urn:microsoft.com/office/officeart/2005/8/layout/lProcess3"/>
    <dgm:cxn modelId="{AA6DF897-D487-49E0-9A60-2247A0610F5F}" srcId="{17B40598-D873-48A4-B3E0-AD47EEAE385E}" destId="{8D54D5DF-CE8F-4EF4-86C9-638207019405}" srcOrd="1" destOrd="0" parTransId="{A89270E3-6AE6-4D27-9DE1-22DD97A1D137}" sibTransId="{A099418D-0E79-4BB2-BE83-8C4559C6F2AE}"/>
    <dgm:cxn modelId="{9C51664D-4601-4A6E-BF6E-3A0599F0EEB9}" type="presOf" srcId="{A88D6C2D-2AB4-4222-B335-BE0DA3F8C58B}" destId="{56FA45BD-98EF-447F-A10C-C580922C33DD}" srcOrd="0" destOrd="0" presId="urn:microsoft.com/office/officeart/2005/8/layout/lProcess3"/>
    <dgm:cxn modelId="{D9780604-198A-4A67-A1A6-7E364C688526}" srcId="{B932C300-3D77-445B-B672-41816306F18C}" destId="{A88D6C2D-2AB4-4222-B335-BE0DA3F8C58B}" srcOrd="1" destOrd="0" parTransId="{4450538C-79E2-4955-B6AE-081894037A64}" sibTransId="{612F7FD1-36EB-4713-ADAC-BB86C2AE37A6}"/>
    <dgm:cxn modelId="{77AA17B3-6E97-442B-8F95-C83AE381396F}" type="presOf" srcId="{11F51B93-A02E-4FE6-931B-5E86C0CF72DD}" destId="{D9DB95C1-C7CF-4E5C-BA97-EE282D07711E}" srcOrd="0" destOrd="0" presId="urn:microsoft.com/office/officeart/2005/8/layout/lProcess3"/>
    <dgm:cxn modelId="{5114172E-A665-487A-8351-299A04E250D5}" type="presOf" srcId="{B1AFB9F7-90E5-45EF-A5D3-ECCF79EA9855}" destId="{BCBD0D26-63E8-4CD3-B861-F54FD22FDE90}" srcOrd="0" destOrd="0" presId="urn:microsoft.com/office/officeart/2005/8/layout/lProcess3"/>
    <dgm:cxn modelId="{17FCE692-A9C4-452E-9478-C7760A316756}" srcId="{117744EC-23EC-4214-B472-93309FF3CD23}" destId="{17B40598-D873-48A4-B3E0-AD47EEAE385E}" srcOrd="1" destOrd="0" parTransId="{493682FF-93F3-4A59-AC71-CAF09BC44BFF}" sibTransId="{EF76AC78-FA6F-49CB-B780-2CF850F73130}"/>
    <dgm:cxn modelId="{76815523-F92F-4595-9812-3B4A262AB6A3}" type="presOf" srcId="{117744EC-23EC-4214-B472-93309FF3CD23}" destId="{B2BB01C0-CEFE-44A3-8EC6-C115CCC8E4C3}" srcOrd="0" destOrd="0" presId="urn:microsoft.com/office/officeart/2005/8/layout/lProcess3"/>
    <dgm:cxn modelId="{3893D3C2-FA8B-4AFB-939F-8BE345DAEC11}" type="presOf" srcId="{B932C300-3D77-445B-B672-41816306F18C}" destId="{D538313E-630B-431D-80F4-3A54FCA57E59}" srcOrd="0" destOrd="0" presId="urn:microsoft.com/office/officeart/2005/8/layout/lProcess3"/>
    <dgm:cxn modelId="{4042C736-F0D7-4845-96F8-83E6361CB96B}" type="presParOf" srcId="{B2BB01C0-CEFE-44A3-8EC6-C115CCC8E4C3}" destId="{856A8B70-DA3A-4DF8-A64E-E5CD97456ED9}" srcOrd="0" destOrd="0" presId="urn:microsoft.com/office/officeart/2005/8/layout/lProcess3"/>
    <dgm:cxn modelId="{252BE63E-E412-4313-A5B9-799C081E3F0E}" type="presParOf" srcId="{856A8B70-DA3A-4DF8-A64E-E5CD97456ED9}" destId="{D538313E-630B-431D-80F4-3A54FCA57E59}" srcOrd="0" destOrd="0" presId="urn:microsoft.com/office/officeart/2005/8/layout/lProcess3"/>
    <dgm:cxn modelId="{2A973026-383D-4674-9AAE-3D7EEBE86E72}" type="presParOf" srcId="{856A8B70-DA3A-4DF8-A64E-E5CD97456ED9}" destId="{E32EF63B-8E30-45F5-BD40-A13676D4B6CF}" srcOrd="1" destOrd="0" presId="urn:microsoft.com/office/officeart/2005/8/layout/lProcess3"/>
    <dgm:cxn modelId="{48FB8094-55EB-4A41-95AF-431A0E1FC1A3}" type="presParOf" srcId="{856A8B70-DA3A-4DF8-A64E-E5CD97456ED9}" destId="{BCBD0D26-63E8-4CD3-B861-F54FD22FDE90}" srcOrd="2" destOrd="0" presId="urn:microsoft.com/office/officeart/2005/8/layout/lProcess3"/>
    <dgm:cxn modelId="{BBF2C7C7-7982-45A9-B1C4-C81A05060B36}" type="presParOf" srcId="{856A8B70-DA3A-4DF8-A64E-E5CD97456ED9}" destId="{C12D7CE1-1B4D-4B21-88FD-BE8A92D4CB58}" srcOrd="3" destOrd="0" presId="urn:microsoft.com/office/officeart/2005/8/layout/lProcess3"/>
    <dgm:cxn modelId="{39C04BF5-C140-4124-8C2D-937A0A8E3B04}" type="presParOf" srcId="{856A8B70-DA3A-4DF8-A64E-E5CD97456ED9}" destId="{56FA45BD-98EF-447F-A10C-C580922C33DD}" srcOrd="4" destOrd="0" presId="urn:microsoft.com/office/officeart/2005/8/layout/lProcess3"/>
    <dgm:cxn modelId="{48ECB203-A96B-403D-9E8F-55FA3271BEAC}" type="presParOf" srcId="{B2BB01C0-CEFE-44A3-8EC6-C115CCC8E4C3}" destId="{0841310E-62C5-4B6D-9C5F-9A969E472619}" srcOrd="1" destOrd="0" presId="urn:microsoft.com/office/officeart/2005/8/layout/lProcess3"/>
    <dgm:cxn modelId="{43A58776-0A02-4E61-9F83-76B324E89FDE}" type="presParOf" srcId="{B2BB01C0-CEFE-44A3-8EC6-C115CCC8E4C3}" destId="{20D969B4-F57C-4FDD-A452-86E10AC8B4F0}" srcOrd="2" destOrd="0" presId="urn:microsoft.com/office/officeart/2005/8/layout/lProcess3"/>
    <dgm:cxn modelId="{9D2B40A7-3091-4D53-BCF3-6F79673EEBFE}" type="presParOf" srcId="{20D969B4-F57C-4FDD-A452-86E10AC8B4F0}" destId="{BF7E4BC8-1CB9-47BA-8776-BE2D29C567AF}" srcOrd="0" destOrd="0" presId="urn:microsoft.com/office/officeart/2005/8/layout/lProcess3"/>
    <dgm:cxn modelId="{09BB6C67-E359-42FD-9C6D-059E63B1BC86}" type="presParOf" srcId="{20D969B4-F57C-4FDD-A452-86E10AC8B4F0}" destId="{ADE04B78-B6A1-4130-98B4-4FF1EEFD00DB}" srcOrd="1" destOrd="0" presId="urn:microsoft.com/office/officeart/2005/8/layout/lProcess3"/>
    <dgm:cxn modelId="{DC9C3D50-52BE-49A0-8CA5-940EEC8D3ED1}" type="presParOf" srcId="{20D969B4-F57C-4FDD-A452-86E10AC8B4F0}" destId="{D9DB95C1-C7CF-4E5C-BA97-EE282D07711E}" srcOrd="2" destOrd="0" presId="urn:microsoft.com/office/officeart/2005/8/layout/lProcess3"/>
    <dgm:cxn modelId="{B4E2BCA3-94CB-44B6-8C5F-373A593F89FA}" type="presParOf" srcId="{20D969B4-F57C-4FDD-A452-86E10AC8B4F0}" destId="{69480677-D06D-4EEB-A74D-BBA541ED5DA1}" srcOrd="3" destOrd="0" presId="urn:microsoft.com/office/officeart/2005/8/layout/lProcess3"/>
    <dgm:cxn modelId="{2A600DA6-9F57-4E28-A405-DC13B14E1A19}" type="presParOf" srcId="{20D969B4-F57C-4FDD-A452-86E10AC8B4F0}" destId="{CF6FC60A-33F5-4F0A-98CE-FEB84CE1E114}" srcOrd="4"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38313E-630B-431D-80F4-3A54FCA57E59}">
      <dsp:nvSpPr>
        <dsp:cNvPr id="0" name=""/>
        <dsp:cNvSpPr/>
      </dsp:nvSpPr>
      <dsp:spPr>
        <a:xfrm>
          <a:off x="1285" y="680397"/>
          <a:ext cx="2160198" cy="864079"/>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endParaRPr lang="en-GB" sz="900" kern="1200">
            <a:noFill/>
            <a:latin typeface="Calibri"/>
            <a:ea typeface="+mn-ea"/>
            <a:cs typeface="+mn-cs"/>
          </a:endParaRPr>
        </a:p>
        <a:p>
          <a:pPr lvl="0" algn="ctr" defTabSz="400050">
            <a:lnSpc>
              <a:spcPct val="90000"/>
            </a:lnSpc>
            <a:spcBef>
              <a:spcPct val="0"/>
            </a:spcBef>
            <a:spcAft>
              <a:spcPct val="35000"/>
            </a:spcAft>
          </a:pPr>
          <a:r>
            <a:rPr lang="en-GB" sz="800" b="1" kern="1200">
              <a:solidFill>
                <a:sysClr val="window" lastClr="FFFFFF"/>
              </a:solidFill>
              <a:latin typeface="Calibri"/>
              <a:ea typeface="+mn-ea"/>
              <a:cs typeface="+mn-cs"/>
            </a:rPr>
            <a:t>Temporal</a:t>
          </a:r>
          <a:r>
            <a:rPr lang="en-GB" sz="900" b="1" kern="1200">
              <a:solidFill>
                <a:sysClr val="window" lastClr="FFFFFF"/>
              </a:solidFill>
              <a:latin typeface="Calibri"/>
              <a:ea typeface="+mn-ea"/>
              <a:cs typeface="+mn-cs"/>
            </a:rPr>
            <a:t> Perspective</a:t>
          </a:r>
        </a:p>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Secure/Uncomplicated  </a:t>
          </a:r>
        </a:p>
      </dsp:txBody>
      <dsp:txXfrm>
        <a:off x="433325" y="680397"/>
        <a:ext cx="1296119" cy="864079"/>
      </dsp:txXfrm>
    </dsp:sp>
    <dsp:sp modelId="{BCBD0D26-63E8-4CD3-B861-F54FD22FDE90}">
      <dsp:nvSpPr>
        <dsp:cNvPr id="0" name=""/>
        <dsp:cNvSpPr/>
      </dsp:nvSpPr>
      <dsp:spPr>
        <a:xfrm>
          <a:off x="1880658" y="753844"/>
          <a:ext cx="2065046" cy="71718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endParaRPr lang="en-GB" sz="500" b="1"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500" b="1"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500" b="1"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500" b="1"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r>
            <a:rPr lang="en-GB" sz="800" b="1" kern="1200">
              <a:solidFill>
                <a:sysClr val="windowText" lastClr="000000">
                  <a:hueOff val="0"/>
                  <a:satOff val="0"/>
                  <a:lumOff val="0"/>
                  <a:alphaOff val="0"/>
                </a:sysClr>
              </a:solidFill>
              <a:latin typeface="Calibri"/>
              <a:ea typeface="+mn-ea"/>
              <a:cs typeface="+mn-cs"/>
            </a:rPr>
            <a:t>Vocabulary of Disngagement</a:t>
          </a:r>
        </a:p>
        <a:p>
          <a:pPr lvl="0" algn="l"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Internal  Accounts:   	Fiduciary  duty 		 	                              Expertise/ Employer links</a:t>
          </a:r>
        </a:p>
        <a:p>
          <a:pPr lvl="0" algn="l"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External Accounts:            Unstable Fin. Markets        		                             Longevity  and Maturity </a:t>
          </a:r>
        </a:p>
        <a:p>
          <a:pPr lvl="0" algn="ctr" defTabSz="222250">
            <a:lnSpc>
              <a:spcPct val="90000"/>
            </a:lnSpc>
            <a:spcBef>
              <a:spcPct val="0"/>
            </a:spcBef>
            <a:spcAft>
              <a:spcPct val="35000"/>
            </a:spcAft>
          </a:pPr>
          <a:r>
            <a:rPr lang="en-GB" sz="700" b="1" kern="1200">
              <a:solidFill>
                <a:sysClr val="windowText" lastClr="000000">
                  <a:hueOff val="0"/>
                  <a:satOff val="0"/>
                  <a:lumOff val="0"/>
                  <a:alphaOff val="0"/>
                </a:sysClr>
              </a:solidFill>
              <a:latin typeface="Calibri"/>
              <a:ea typeface="+mn-ea"/>
              <a:cs typeface="+mn-cs"/>
            </a:rPr>
            <a:t>Temporal Perspective </a:t>
          </a:r>
          <a:endParaRPr lang="en-GB" sz="700" b="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r>
            <a:rPr lang="en-GB" sz="700" b="0" kern="1200">
              <a:solidFill>
                <a:sysClr val="windowText" lastClr="000000">
                  <a:hueOff val="0"/>
                  <a:satOff val="0"/>
                  <a:lumOff val="0"/>
                  <a:alphaOff val="0"/>
                </a:sysClr>
              </a:solidFill>
              <a:latin typeface="Calibri"/>
              <a:ea typeface="+mn-ea"/>
              <a:cs typeface="+mn-cs"/>
            </a:rPr>
            <a:t>Volatile / Complex </a:t>
          </a:r>
        </a:p>
        <a:p>
          <a:pPr lvl="0" algn="l"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r>
            <a:rPr lang="en-GB" sz="500" kern="1200">
              <a:solidFill>
                <a:sysClr val="windowText" lastClr="000000">
                  <a:hueOff val="0"/>
                  <a:satOff val="0"/>
                  <a:lumOff val="0"/>
                  <a:alphaOff val="0"/>
                </a:sysClr>
              </a:solidFill>
              <a:latin typeface="Calibri"/>
              <a:ea typeface="+mn-ea"/>
              <a:cs typeface="+mn-cs"/>
            </a:rPr>
            <a:t> </a:t>
          </a:r>
        </a:p>
      </dsp:txBody>
      <dsp:txXfrm>
        <a:off x="2239251" y="753844"/>
        <a:ext cx="1347861" cy="717185"/>
      </dsp:txXfrm>
    </dsp:sp>
    <dsp:sp modelId="{56FA45BD-98EF-447F-A10C-C580922C33DD}">
      <dsp:nvSpPr>
        <dsp:cNvPr id="0" name=""/>
        <dsp:cNvSpPr/>
      </dsp:nvSpPr>
      <dsp:spPr>
        <a:xfrm>
          <a:off x="3694689" y="753844"/>
          <a:ext cx="1792964" cy="71718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endParaRPr lang="en-GB" sz="600" b="1" kern="1200">
            <a:solidFill>
              <a:sysClr val="windowText" lastClr="000000">
                <a:hueOff val="0"/>
                <a:satOff val="0"/>
                <a:lumOff val="0"/>
                <a:alphaOff val="0"/>
              </a:sysClr>
            </a:solidFill>
            <a:latin typeface="Calibri"/>
            <a:ea typeface="+mn-ea"/>
            <a:cs typeface="+mn-cs"/>
          </a:endParaRPr>
        </a:p>
        <a:p>
          <a:pPr lvl="0" algn="ctr" defTabSz="266700">
            <a:lnSpc>
              <a:spcPct val="90000"/>
            </a:lnSpc>
            <a:spcBef>
              <a:spcPct val="0"/>
            </a:spcBef>
            <a:spcAft>
              <a:spcPct val="35000"/>
            </a:spcAft>
          </a:pPr>
          <a:r>
            <a:rPr lang="en-GB" sz="800" b="1" kern="1200">
              <a:solidFill>
                <a:sysClr val="windowText" lastClr="000000">
                  <a:hueOff val="0"/>
                  <a:satOff val="0"/>
                  <a:lumOff val="0"/>
                  <a:alphaOff val="0"/>
                </a:sysClr>
              </a:solidFill>
              <a:latin typeface="Calibri"/>
              <a:ea typeface="+mn-ea"/>
              <a:cs typeface="+mn-cs"/>
            </a:rPr>
            <a:t>Temporal Perspective</a:t>
          </a:r>
        </a:p>
        <a:p>
          <a:pPr lvl="0" algn="ctr" defTabSz="266700">
            <a:lnSpc>
              <a:spcPct val="90000"/>
            </a:lnSpc>
            <a:spcBef>
              <a:spcPct val="0"/>
            </a:spcBef>
            <a:spcAft>
              <a:spcPct val="35000"/>
            </a:spcAft>
          </a:pPr>
          <a:r>
            <a:rPr lang="en-GB" sz="800" b="0" kern="1200">
              <a:solidFill>
                <a:sysClr val="windowText" lastClr="000000">
                  <a:hueOff val="0"/>
                  <a:satOff val="0"/>
                  <a:lumOff val="0"/>
                  <a:alphaOff val="0"/>
                </a:sysClr>
              </a:solidFill>
              <a:latin typeface="Calibri"/>
              <a:ea typeface="+mn-ea"/>
              <a:cs typeface="+mn-cs"/>
            </a:rPr>
            <a:t>Uncertainly </a:t>
          </a:r>
        </a:p>
      </dsp:txBody>
      <dsp:txXfrm>
        <a:off x="4053282" y="753844"/>
        <a:ext cx="1075779" cy="717185"/>
      </dsp:txXfrm>
    </dsp:sp>
    <dsp:sp modelId="{BF7E4BC8-1CB9-47BA-8776-BE2D29C567AF}">
      <dsp:nvSpPr>
        <dsp:cNvPr id="0" name=""/>
        <dsp:cNvSpPr/>
      </dsp:nvSpPr>
      <dsp:spPr>
        <a:xfrm>
          <a:off x="1285" y="1665448"/>
          <a:ext cx="2160198" cy="864079"/>
        </a:xfrm>
        <a:prstGeom prst="chevron">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endParaRPr lang="en-GB" sz="700" b="1" kern="1200">
            <a:solidFill>
              <a:sysClr val="window" lastClr="FFFFFF"/>
            </a:solidFill>
            <a:latin typeface="Calibri"/>
            <a:ea typeface="+mn-ea"/>
            <a:cs typeface="+mn-cs"/>
          </a:endParaRPr>
        </a:p>
        <a:p>
          <a:pPr lvl="0" algn="ctr" defTabSz="311150">
            <a:lnSpc>
              <a:spcPct val="90000"/>
            </a:lnSpc>
            <a:spcBef>
              <a:spcPct val="0"/>
            </a:spcBef>
            <a:spcAft>
              <a:spcPct val="35000"/>
            </a:spcAft>
          </a:pPr>
          <a:endParaRPr lang="en-GB" sz="700" b="1" kern="1200">
            <a:solidFill>
              <a:sysClr val="window" lastClr="FFFFFF"/>
            </a:solidFill>
            <a:latin typeface="Calibri"/>
            <a:ea typeface="+mn-ea"/>
            <a:cs typeface="+mn-cs"/>
          </a:endParaRPr>
        </a:p>
        <a:p>
          <a:pPr lvl="0" algn="ctr" defTabSz="311150">
            <a:lnSpc>
              <a:spcPct val="90000"/>
            </a:lnSpc>
            <a:spcBef>
              <a:spcPct val="0"/>
            </a:spcBef>
            <a:spcAft>
              <a:spcPct val="35000"/>
            </a:spcAft>
          </a:pPr>
          <a:endParaRPr lang="en-GB" sz="700" b="1" kern="1200">
            <a:solidFill>
              <a:sysClr val="window" lastClr="FFFFFF"/>
            </a:solidFill>
            <a:latin typeface="Calibri"/>
            <a:ea typeface="+mn-ea"/>
            <a:cs typeface="+mn-cs"/>
          </a:endParaRPr>
        </a:p>
        <a:p>
          <a:pPr lvl="0" algn="ctr" defTabSz="311150">
            <a:lnSpc>
              <a:spcPct val="90000"/>
            </a:lnSpc>
            <a:spcBef>
              <a:spcPct val="0"/>
            </a:spcBef>
            <a:spcAft>
              <a:spcPct val="35000"/>
            </a:spcAft>
          </a:pPr>
          <a:r>
            <a:rPr lang="en-GB" sz="700" b="1" kern="1200">
              <a:solidFill>
                <a:sysClr val="window" lastClr="FFFFFF"/>
              </a:solidFill>
              <a:latin typeface="Calibri"/>
              <a:ea typeface="+mn-ea"/>
              <a:cs typeface="+mn-cs"/>
            </a:rPr>
            <a:t>Temporal Perspective</a:t>
          </a:r>
        </a:p>
        <a:p>
          <a:pPr lvl="0" algn="ctr" defTabSz="311150">
            <a:lnSpc>
              <a:spcPct val="90000"/>
            </a:lnSpc>
            <a:spcBef>
              <a:spcPct val="0"/>
            </a:spcBef>
            <a:spcAft>
              <a:spcPct val="35000"/>
            </a:spcAft>
          </a:pPr>
          <a:r>
            <a:rPr lang="en-GB" sz="700" b="1" kern="1200">
              <a:solidFill>
                <a:sysClr val="window" lastClr="FFFFFF"/>
              </a:solidFill>
              <a:latin typeface="Calibri"/>
              <a:ea typeface="+mn-ea"/>
              <a:cs typeface="+mn-cs"/>
            </a:rPr>
            <a:t>Positive  Industry Changes</a:t>
          </a:r>
          <a:endParaRPr lang="en-GB" sz="800" b="1" kern="1200">
            <a:solidFill>
              <a:sysClr val="window" lastClr="FFFFFF"/>
            </a:solidFill>
            <a:latin typeface="Calibri"/>
            <a:ea typeface="+mn-ea"/>
            <a:cs typeface="+mn-cs"/>
          </a:endParaRPr>
        </a:p>
      </dsp:txBody>
      <dsp:txXfrm>
        <a:off x="433325" y="1665448"/>
        <a:ext cx="1296119" cy="864079"/>
      </dsp:txXfrm>
    </dsp:sp>
    <dsp:sp modelId="{D9DB95C1-C7CF-4E5C-BA97-EE282D07711E}">
      <dsp:nvSpPr>
        <dsp:cNvPr id="0" name=""/>
        <dsp:cNvSpPr/>
      </dsp:nvSpPr>
      <dsp:spPr>
        <a:xfrm>
          <a:off x="1879965" y="1713212"/>
          <a:ext cx="2039281" cy="772495"/>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endParaRPr lang="en-GB" sz="500" b="1"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800" b="1"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r>
            <a:rPr lang="en-GB" sz="800" b="1" kern="1200">
              <a:solidFill>
                <a:sysClr val="windowText" lastClr="000000">
                  <a:hueOff val="0"/>
                  <a:satOff val="0"/>
                  <a:lumOff val="0"/>
                  <a:alphaOff val="0"/>
                </a:sysClr>
              </a:solidFill>
              <a:latin typeface="Calibri"/>
              <a:ea typeface="+mn-ea"/>
              <a:cs typeface="+mn-cs"/>
            </a:rPr>
            <a:t>Vocabulary of Engagement</a:t>
          </a:r>
        </a:p>
        <a:p>
          <a:pPr lvl="0" algn="l" defTabSz="222250">
            <a:lnSpc>
              <a:spcPct val="90000"/>
            </a:lnSpc>
            <a:spcBef>
              <a:spcPct val="0"/>
            </a:spcBef>
            <a:spcAft>
              <a:spcPct val="35000"/>
            </a:spcAft>
          </a:pPr>
          <a:r>
            <a:rPr lang="en-GB" sz="500" b="0" kern="1200">
              <a:solidFill>
                <a:sysClr val="windowText" lastClr="000000">
                  <a:hueOff val="0"/>
                  <a:satOff val="0"/>
                  <a:lumOff val="0"/>
                  <a:alphaOff val="0"/>
                </a:sysClr>
              </a:solidFill>
              <a:latin typeface="Calibri"/>
              <a:ea typeface="+mn-ea"/>
              <a:cs typeface="+mn-cs"/>
            </a:rPr>
            <a:t>Internal  Accounts:      Fiduciary Duty</a:t>
          </a:r>
          <a:r>
            <a:rPr lang="en-GB" sz="500" b="1" kern="1200">
              <a:solidFill>
                <a:sysClr val="windowText" lastClr="000000">
                  <a:hueOff val="0"/>
                  <a:satOff val="0"/>
                  <a:lumOff val="0"/>
                  <a:alphaOff val="0"/>
                </a:sysClr>
              </a:solidFill>
              <a:latin typeface="Calibri"/>
              <a:ea typeface="+mn-ea"/>
              <a:cs typeface="+mn-cs"/>
            </a:rPr>
            <a:t>    	    	                        </a:t>
          </a:r>
          <a:r>
            <a:rPr lang="en-GB" sz="500" b="0" kern="1200">
              <a:solidFill>
                <a:sysClr val="windowText" lastClr="000000">
                  <a:hueOff val="0"/>
                  <a:satOff val="0"/>
                  <a:lumOff val="0"/>
                  <a:alphaOff val="0"/>
                </a:sysClr>
              </a:solidFill>
              <a:latin typeface="Calibri"/>
              <a:ea typeface="+mn-ea"/>
              <a:cs typeface="+mn-cs"/>
            </a:rPr>
            <a:t>Resources/Expertise</a:t>
          </a:r>
        </a:p>
        <a:p>
          <a:pPr lvl="0" algn="l" defTabSz="222250">
            <a:lnSpc>
              <a:spcPct val="90000"/>
            </a:lnSpc>
            <a:spcBef>
              <a:spcPct val="0"/>
            </a:spcBef>
            <a:spcAft>
              <a:spcPct val="35000"/>
            </a:spcAft>
          </a:pPr>
          <a:r>
            <a:rPr lang="en-GB" sz="500" b="0" kern="1200">
              <a:solidFill>
                <a:sysClr val="windowText" lastClr="000000">
                  <a:hueOff val="0"/>
                  <a:satOff val="0"/>
                  <a:lumOff val="0"/>
                  <a:alphaOff val="0"/>
                </a:sysClr>
              </a:solidFill>
              <a:latin typeface="Calibri"/>
              <a:ea typeface="+mn-ea"/>
              <a:cs typeface="+mn-cs"/>
            </a:rPr>
            <a:t>Expternl Accounts:   Public pressure on 	                                      		     accountability </a:t>
          </a:r>
        </a:p>
        <a:p>
          <a:pPr lvl="0" algn="ctr" defTabSz="222250">
            <a:lnSpc>
              <a:spcPct val="90000"/>
            </a:lnSpc>
            <a:spcBef>
              <a:spcPct val="0"/>
            </a:spcBef>
            <a:spcAft>
              <a:spcPct val="35000"/>
            </a:spcAft>
          </a:pPr>
          <a:r>
            <a:rPr lang="en-GB" sz="600" b="1" kern="1200">
              <a:solidFill>
                <a:sysClr val="windowText" lastClr="000000">
                  <a:hueOff val="0"/>
                  <a:satOff val="0"/>
                  <a:lumOff val="0"/>
                  <a:alphaOff val="0"/>
                </a:sysClr>
              </a:solidFill>
              <a:latin typeface="Calibri"/>
              <a:ea typeface="+mn-ea"/>
              <a:cs typeface="+mn-cs"/>
            </a:rPr>
            <a:t>Temporal Perspective</a:t>
          </a:r>
        </a:p>
        <a:p>
          <a:pPr lvl="0" algn="ctr" defTabSz="222250">
            <a:lnSpc>
              <a:spcPct val="90000"/>
            </a:lnSpc>
            <a:spcBef>
              <a:spcPct val="0"/>
            </a:spcBef>
            <a:spcAft>
              <a:spcPct val="35000"/>
            </a:spcAft>
          </a:pPr>
          <a:r>
            <a:rPr lang="en-GB" sz="600" b="0" kern="1200">
              <a:solidFill>
                <a:sysClr val="windowText" lastClr="000000">
                  <a:hueOff val="0"/>
                  <a:satOff val="0"/>
                  <a:lumOff val="0"/>
                  <a:alphaOff val="0"/>
                </a:sysClr>
              </a:solidFill>
              <a:latin typeface="Calibri"/>
              <a:ea typeface="+mn-ea"/>
              <a:cs typeface="+mn-cs"/>
            </a:rPr>
            <a:t>Positive Industry Changes </a:t>
          </a:r>
        </a:p>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266213" y="1713212"/>
        <a:ext cx="1266786" cy="772495"/>
      </dsp:txXfrm>
    </dsp:sp>
    <dsp:sp modelId="{CF6FC60A-33F5-4F0A-98CE-FEB84CE1E114}">
      <dsp:nvSpPr>
        <dsp:cNvPr id="0" name=""/>
        <dsp:cNvSpPr/>
      </dsp:nvSpPr>
      <dsp:spPr>
        <a:xfrm>
          <a:off x="3627484" y="1709282"/>
          <a:ext cx="1792964" cy="786207"/>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r>
            <a:rPr lang="en-GB" sz="700" b="1" kern="1200">
              <a:solidFill>
                <a:sysClr val="windowText" lastClr="000000">
                  <a:hueOff val="0"/>
                  <a:satOff val="0"/>
                  <a:lumOff val="0"/>
                  <a:alphaOff val="0"/>
                </a:sysClr>
              </a:solidFill>
              <a:latin typeface="Calibri"/>
              <a:ea typeface="+mn-ea"/>
              <a:cs typeface="+mn-cs"/>
            </a:rPr>
            <a:t>Temporal Perspective  </a:t>
          </a:r>
        </a:p>
        <a:p>
          <a:pPr lvl="0" algn="ctr" defTabSz="222250">
            <a:lnSpc>
              <a:spcPct val="90000"/>
            </a:lnSpc>
            <a:spcBef>
              <a:spcPct val="0"/>
            </a:spcBef>
            <a:spcAft>
              <a:spcPct val="35000"/>
            </a:spcAft>
          </a:pPr>
          <a:r>
            <a:rPr lang="en-GB" sz="700" b="0" kern="1200">
              <a:solidFill>
                <a:sysClr val="windowText" lastClr="000000">
                  <a:hueOff val="0"/>
                  <a:satOff val="0"/>
                  <a:lumOff val="0"/>
                  <a:alphaOff val="0"/>
                </a:sysClr>
              </a:solidFill>
              <a:latin typeface="Calibri"/>
              <a:ea typeface="+mn-ea"/>
              <a:cs typeface="+mn-cs"/>
            </a:rPr>
            <a:t>Sustainability </a:t>
          </a:r>
          <a:r>
            <a:rPr lang="en-GB" sz="700" b="1" kern="1200">
              <a:solidFill>
                <a:sysClr val="windowText" lastClr="000000">
                  <a:hueOff val="0"/>
                  <a:satOff val="0"/>
                  <a:lumOff val="0"/>
                  <a:alphaOff val="0"/>
                </a:sysClr>
              </a:solidFill>
              <a:latin typeface="Calibri"/>
              <a:ea typeface="+mn-ea"/>
              <a:cs typeface="+mn-cs"/>
            </a:rPr>
            <a:t> </a:t>
          </a:r>
        </a:p>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4020588" y="1709282"/>
        <a:ext cx="1006757" cy="78620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A0BC-60D8-467F-9F1D-5EFDC062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12960</Words>
  <Characters>73876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86663</CharactersWithSpaces>
  <SharedDoc>false</SharedDoc>
  <HLinks>
    <vt:vector size="84" baseType="variant">
      <vt:variant>
        <vt:i4>4587587</vt:i4>
      </vt:variant>
      <vt:variant>
        <vt:i4>39</vt:i4>
      </vt:variant>
      <vt:variant>
        <vt:i4>0</vt:i4>
      </vt:variant>
      <vt:variant>
        <vt:i4>5</vt:i4>
      </vt:variant>
      <vt:variant>
        <vt:lpwstr>http://www.legislation.gov.uk/ukpga/2000/29/contents</vt:lpwstr>
      </vt:variant>
      <vt:variant>
        <vt:lpwstr/>
      </vt:variant>
      <vt:variant>
        <vt:i4>7471205</vt:i4>
      </vt:variant>
      <vt:variant>
        <vt:i4>36</vt:i4>
      </vt:variant>
      <vt:variant>
        <vt:i4>0</vt:i4>
      </vt:variant>
      <vt:variant>
        <vt:i4>5</vt:i4>
      </vt:variant>
      <vt:variant>
        <vt:lpwstr>https://www.fca.org.uk/publication/research/tilba-baddeley-liao.pdf</vt:lpwstr>
      </vt:variant>
      <vt:variant>
        <vt:lpwstr/>
      </vt:variant>
      <vt:variant>
        <vt:i4>1441881</vt:i4>
      </vt:variant>
      <vt:variant>
        <vt:i4>33</vt:i4>
      </vt:variant>
      <vt:variant>
        <vt:i4>0</vt:i4>
      </vt:variant>
      <vt:variant>
        <vt:i4>5</vt:i4>
      </vt:variant>
      <vt:variant>
        <vt:lpwstr>http://www.pensionprotectionfund.org.uk/Pages/ThePurpleBook.aspx</vt:lpwstr>
      </vt:variant>
      <vt:variant>
        <vt:lpwstr/>
      </vt:variant>
      <vt:variant>
        <vt:i4>2031635</vt:i4>
      </vt:variant>
      <vt:variant>
        <vt:i4>30</vt:i4>
      </vt:variant>
      <vt:variant>
        <vt:i4>0</vt:i4>
      </vt:variant>
      <vt:variant>
        <vt:i4>5</vt:i4>
      </vt:variant>
      <vt:variant>
        <vt:lpwstr>http://www.thepensionsregulator.gov.uk/trustees.aspx</vt:lpwstr>
      </vt:variant>
      <vt:variant>
        <vt:lpwstr/>
      </vt:variant>
      <vt:variant>
        <vt:i4>3801163</vt:i4>
      </vt:variant>
      <vt:variant>
        <vt:i4>27</vt:i4>
      </vt:variant>
      <vt:variant>
        <vt:i4>0</vt:i4>
      </vt:variant>
      <vt:variant>
        <vt:i4>5</vt:i4>
      </vt:variant>
      <vt:variant>
        <vt:lpwstr>http://lawcommission.justice.gov.uk/docs/fiduciary_duties_short_May2013.pdf</vt:lpwstr>
      </vt:variant>
      <vt:variant>
        <vt:lpwstr/>
      </vt:variant>
      <vt:variant>
        <vt:i4>3145827</vt:i4>
      </vt:variant>
      <vt:variant>
        <vt:i4>24</vt:i4>
      </vt:variant>
      <vt:variant>
        <vt:i4>0</vt:i4>
      </vt:variant>
      <vt:variant>
        <vt:i4>5</vt:i4>
      </vt:variant>
      <vt:variant>
        <vt:lpwstr>http://www.bis.gov.uk/assets/biscore/business-law/docs/k/12-631-kay-review-of-equity-markets-interim-report.pdf</vt:lpwstr>
      </vt:variant>
      <vt:variant>
        <vt:lpwstr/>
      </vt:variant>
      <vt:variant>
        <vt:i4>6094850</vt:i4>
      </vt:variant>
      <vt:variant>
        <vt:i4>21</vt:i4>
      </vt:variant>
      <vt:variant>
        <vt:i4>0</vt:i4>
      </vt:variant>
      <vt:variant>
        <vt:i4>5</vt:i4>
      </vt:variant>
      <vt:variant>
        <vt:lpwstr>http://www.economist.com/</vt:lpwstr>
      </vt:variant>
      <vt:variant>
        <vt:lpwstr/>
      </vt:variant>
      <vt:variant>
        <vt:i4>1310732</vt:i4>
      </vt:variant>
      <vt:variant>
        <vt:i4>18</vt:i4>
      </vt:variant>
      <vt:variant>
        <vt:i4>0</vt:i4>
      </vt:variant>
      <vt:variant>
        <vt:i4>5</vt:i4>
      </vt:variant>
      <vt:variant>
        <vt:lpwstr>http://action.shareaction.org/page/-/AssetManagerVotingPracticesFinal.pdf?nocdn=1</vt:lpwstr>
      </vt:variant>
      <vt:variant>
        <vt:lpwstr/>
      </vt:variant>
      <vt:variant>
        <vt:i4>7340133</vt:i4>
      </vt:variant>
      <vt:variant>
        <vt:i4>15</vt:i4>
      </vt:variant>
      <vt:variant>
        <vt:i4>0</vt:i4>
      </vt:variant>
      <vt:variant>
        <vt:i4>5</vt:i4>
      </vt:variant>
      <vt:variant>
        <vt:lpwstr>http://www.ft.com/cms/s/0/2d5a7732-7d8d-11e0-b418-00144feabdc0.html</vt:lpwstr>
      </vt:variant>
      <vt:variant>
        <vt:lpwstr>axzz3dEsRSSxi</vt:lpwstr>
      </vt:variant>
      <vt:variant>
        <vt:i4>196627</vt:i4>
      </vt:variant>
      <vt:variant>
        <vt:i4>12</vt:i4>
      </vt:variant>
      <vt:variant>
        <vt:i4>0</vt:i4>
      </vt:variant>
      <vt:variant>
        <vt:i4>5</vt:i4>
      </vt:variant>
      <vt:variant>
        <vt:lpwstr>https://owa.ncl.ac.uk/owa/redir.aspx?C=qH8CzieWL0yI_LXnOw2k9fu1qwdagNII7yb-J4uCOuh8a1Pb0zU8R1caKErSj5JmTtRb5soW-hQ.&amp;URL=http%3a%2f%2fwww.pensionprotectionfund.org.uk%2fDocumentLibrary%2fDocuments%2fPPF_7800_January_13.pdf</vt:lpwstr>
      </vt:variant>
      <vt:variant>
        <vt:lpwstr/>
      </vt:variant>
      <vt:variant>
        <vt:i4>5570582</vt:i4>
      </vt:variant>
      <vt:variant>
        <vt:i4>9</vt:i4>
      </vt:variant>
      <vt:variant>
        <vt:i4>0</vt:i4>
      </vt:variant>
      <vt:variant>
        <vt:i4>5</vt:i4>
      </vt:variant>
      <vt:variant>
        <vt:lpwstr>http://www.pensionfundsonline.co.uk/</vt:lpwstr>
      </vt:variant>
      <vt:variant>
        <vt:lpwstr/>
      </vt:variant>
      <vt:variant>
        <vt:i4>1310744</vt:i4>
      </vt:variant>
      <vt:variant>
        <vt:i4>6</vt:i4>
      </vt:variant>
      <vt:variant>
        <vt:i4>0</vt:i4>
      </vt:variant>
      <vt:variant>
        <vt:i4>5</vt:i4>
      </vt:variant>
      <vt:variant>
        <vt:lpwstr>http://www.plsa.co.uk/PolicyandResearch/DocumentLibrary/~/media/Policy/Documents/0412_NAPF_engagement_survey_2014.pdf</vt:lpwstr>
      </vt:variant>
      <vt:variant>
        <vt:lpwstr/>
      </vt:variant>
      <vt:variant>
        <vt:i4>5177346</vt:i4>
      </vt:variant>
      <vt:variant>
        <vt:i4>3</vt:i4>
      </vt:variant>
      <vt:variant>
        <vt:i4>0</vt:i4>
      </vt:variant>
      <vt:variant>
        <vt:i4>5</vt:i4>
      </vt:variant>
      <vt:variant>
        <vt:lpwstr>https://www.fca.org.uk/publications/market-studies/asset-management-market-study</vt:lpwstr>
      </vt:variant>
      <vt:variant>
        <vt:lpwstr/>
      </vt:variant>
      <vt:variant>
        <vt:i4>1179692</vt:i4>
      </vt:variant>
      <vt:variant>
        <vt:i4>0</vt:i4>
      </vt:variant>
      <vt:variant>
        <vt:i4>0</vt:i4>
      </vt:variant>
      <vt:variant>
        <vt:i4>5</vt:i4>
      </vt:variant>
      <vt:variant>
        <vt:lpwstr>http://papers.ssrn.com/sol3/papers.cfm?abstract_id=1133015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Ay Okpokam</cp:lastModifiedBy>
  <cp:revision>2</cp:revision>
  <cp:lastPrinted>2017-01-18T13:29:00Z</cp:lastPrinted>
  <dcterms:created xsi:type="dcterms:W3CDTF">2017-06-01T10:08:00Z</dcterms:created>
  <dcterms:modified xsi:type="dcterms:W3CDTF">2017-06-01T10:08:00Z</dcterms:modified>
</cp:coreProperties>
</file>