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1F16B"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Application of feedback principles to marking </w:t>
      </w:r>
      <w:proofErr w:type="spellStart"/>
      <w:r>
        <w:rPr>
          <w:rFonts w:ascii="Times New Roman" w:eastAsia="Times New Roman" w:hAnsi="Times New Roman" w:cs="Times New Roman"/>
        </w:rPr>
        <w:t>proformas</w:t>
      </w:r>
      <w:proofErr w:type="spellEnd"/>
      <w:r>
        <w:rPr>
          <w:rFonts w:ascii="Times New Roman" w:eastAsia="Times New Roman" w:hAnsi="Times New Roman" w:cs="Times New Roman"/>
        </w:rPr>
        <w:t xml:space="preserve"> increases student efficacy, perceived utility of feedback, and likelihood of use.</w:t>
      </w:r>
    </w:p>
    <w:p w14:paraId="3EE753C3" w14:textId="77777777" w:rsidR="00E964B6" w:rsidRDefault="00E964B6" w:rsidP="00E964B6">
      <w:pPr>
        <w:pStyle w:val="Normal1"/>
        <w:spacing w:line="48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Thomas, L. B.,</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&amp; Oliver, E. J.</w:t>
      </w:r>
      <w:r>
        <w:rPr>
          <w:rFonts w:ascii="Times New Roman" w:eastAsia="Times New Roman" w:hAnsi="Times New Roman" w:cs="Times New Roman"/>
          <w:vertAlign w:val="superscript"/>
        </w:rPr>
        <w:t>2</w:t>
      </w:r>
    </w:p>
    <w:p w14:paraId="4B853B07"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5136578E"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Department of Sport, Exercise and Rehabilitation, </w:t>
      </w:r>
      <w:proofErr w:type="spellStart"/>
      <w:r>
        <w:rPr>
          <w:rFonts w:ascii="Times New Roman" w:eastAsia="Times New Roman" w:hAnsi="Times New Roman" w:cs="Times New Roman"/>
        </w:rPr>
        <w:t>Northumbria</w:t>
      </w:r>
      <w:proofErr w:type="spellEnd"/>
      <w:r>
        <w:rPr>
          <w:rFonts w:ascii="Times New Roman" w:eastAsia="Times New Roman" w:hAnsi="Times New Roman" w:cs="Times New Roman"/>
        </w:rPr>
        <w:t xml:space="preserve"> University</w:t>
      </w:r>
    </w:p>
    <w:p w14:paraId="2CC9BE86"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School of Applied Social Sciences, Durham University</w:t>
      </w:r>
    </w:p>
    <w:p w14:paraId="529EEFA6"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365C8C65" w14:textId="77777777" w:rsidR="00E964B6" w:rsidRDefault="00E964B6" w:rsidP="00E964B6">
      <w:pPr>
        <w:pStyle w:val="Normal1"/>
        <w:spacing w:line="480" w:lineRule="auto"/>
        <w:jc w:val="center"/>
        <w:rPr>
          <w:rFonts w:ascii="Times New Roman" w:eastAsia="Times New Roman" w:hAnsi="Times New Roman" w:cs="Times New Roman"/>
        </w:rPr>
      </w:pPr>
    </w:p>
    <w:p w14:paraId="1782D769" w14:textId="77777777" w:rsidR="00E964B6" w:rsidRDefault="00E964B6" w:rsidP="00E964B6">
      <w:pPr>
        <w:pStyle w:val="Normal1"/>
        <w:spacing w:line="480" w:lineRule="auto"/>
        <w:jc w:val="center"/>
        <w:rPr>
          <w:rFonts w:ascii="Times New Roman" w:eastAsia="Times New Roman" w:hAnsi="Times New Roman" w:cs="Times New Roman"/>
        </w:rPr>
      </w:pPr>
    </w:p>
    <w:p w14:paraId="118E8D05" w14:textId="77777777" w:rsidR="00E964B6" w:rsidRDefault="00E964B6" w:rsidP="00E964B6">
      <w:pPr>
        <w:pStyle w:val="Normal1"/>
        <w:spacing w:line="480" w:lineRule="auto"/>
        <w:jc w:val="center"/>
        <w:rPr>
          <w:rFonts w:ascii="Times New Roman" w:eastAsia="Times New Roman" w:hAnsi="Times New Roman" w:cs="Times New Roman"/>
        </w:rPr>
      </w:pPr>
    </w:p>
    <w:p w14:paraId="24C4C34C" w14:textId="77777777" w:rsidR="00E964B6" w:rsidRDefault="00E964B6" w:rsidP="00E964B6">
      <w:pPr>
        <w:pStyle w:val="Normal1"/>
        <w:spacing w:line="480" w:lineRule="auto"/>
        <w:jc w:val="center"/>
        <w:rPr>
          <w:rFonts w:ascii="Times New Roman" w:eastAsia="Times New Roman" w:hAnsi="Times New Roman" w:cs="Times New Roman"/>
        </w:rPr>
      </w:pPr>
    </w:p>
    <w:p w14:paraId="2B850337"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8D92F32"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EF45F51"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Address for correspondence: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L. B. Thomas, </w:t>
      </w:r>
      <w:proofErr w:type="spellStart"/>
      <w:r>
        <w:rPr>
          <w:rFonts w:ascii="Times New Roman" w:eastAsia="Times New Roman" w:hAnsi="Times New Roman" w:cs="Times New Roman"/>
        </w:rPr>
        <w:t>Northumbria</w:t>
      </w:r>
      <w:proofErr w:type="spellEnd"/>
      <w:r>
        <w:rPr>
          <w:rFonts w:ascii="Times New Roman" w:eastAsia="Times New Roman" w:hAnsi="Times New Roman" w:cs="Times New Roman"/>
        </w:rPr>
        <w:t xml:space="preserve"> University, UK.</w:t>
      </w:r>
    </w:p>
    <w:p w14:paraId="6FF96B35"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laura.thomas@northumbria.ac.uk</w:t>
      </w:r>
    </w:p>
    <w:p w14:paraId="4E92C6B7" w14:textId="77777777" w:rsidR="00E964B6" w:rsidRDefault="00E964B6" w:rsidP="00E964B6">
      <w:pPr>
        <w:pStyle w:val="Normal1"/>
        <w:spacing w:line="480" w:lineRule="auto"/>
        <w:jc w:val="center"/>
        <w:rPr>
          <w:rFonts w:ascii="Times New Roman" w:eastAsia="Times New Roman" w:hAnsi="Times New Roman" w:cs="Times New Roman"/>
        </w:rPr>
      </w:pPr>
    </w:p>
    <w:p w14:paraId="6FDE3B0F" w14:textId="77777777" w:rsidR="00E964B6" w:rsidRDefault="00E964B6" w:rsidP="00E964B6">
      <w:pPr>
        <w:pStyle w:val="Normal1"/>
        <w:spacing w:line="480" w:lineRule="auto"/>
        <w:jc w:val="center"/>
        <w:rPr>
          <w:rFonts w:ascii="Times New Roman" w:eastAsia="Times New Roman" w:hAnsi="Times New Roman" w:cs="Times New Roman"/>
        </w:rPr>
      </w:pPr>
    </w:p>
    <w:p w14:paraId="3B8CB3D2" w14:textId="77777777" w:rsidR="00E964B6" w:rsidRDefault="00E964B6" w:rsidP="00E964B6">
      <w:pPr>
        <w:pStyle w:val="Normal1"/>
        <w:spacing w:line="480" w:lineRule="auto"/>
        <w:jc w:val="center"/>
        <w:rPr>
          <w:rFonts w:ascii="Times New Roman" w:eastAsia="Times New Roman" w:hAnsi="Times New Roman" w:cs="Times New Roman"/>
        </w:rPr>
      </w:pPr>
    </w:p>
    <w:p w14:paraId="1FDB656B" w14:textId="77777777" w:rsidR="00E964B6" w:rsidRDefault="00E964B6" w:rsidP="00E964B6">
      <w:pPr>
        <w:pStyle w:val="Normal1"/>
        <w:spacing w:line="480" w:lineRule="auto"/>
        <w:jc w:val="center"/>
        <w:rPr>
          <w:rFonts w:ascii="Times New Roman" w:eastAsia="Times New Roman" w:hAnsi="Times New Roman" w:cs="Times New Roman"/>
        </w:rPr>
      </w:pPr>
    </w:p>
    <w:p w14:paraId="3ECE8373" w14:textId="77777777" w:rsidR="00E964B6" w:rsidRDefault="00E964B6" w:rsidP="00E964B6">
      <w:pPr>
        <w:pStyle w:val="Normal1"/>
        <w:spacing w:line="480" w:lineRule="auto"/>
        <w:jc w:val="center"/>
        <w:rPr>
          <w:rFonts w:ascii="Times New Roman" w:eastAsia="Times New Roman" w:hAnsi="Times New Roman" w:cs="Times New Roman"/>
        </w:rPr>
      </w:pPr>
    </w:p>
    <w:p w14:paraId="1395BADB" w14:textId="77777777" w:rsidR="00E964B6" w:rsidRDefault="00E964B6" w:rsidP="00E964B6">
      <w:pPr>
        <w:pStyle w:val="Normal1"/>
        <w:spacing w:line="480" w:lineRule="auto"/>
        <w:jc w:val="center"/>
        <w:rPr>
          <w:rFonts w:ascii="Times New Roman" w:eastAsia="Times New Roman" w:hAnsi="Times New Roman" w:cs="Times New Roman"/>
        </w:rPr>
      </w:pPr>
    </w:p>
    <w:p w14:paraId="722E227F" w14:textId="77777777" w:rsidR="00E964B6" w:rsidRDefault="00E964B6" w:rsidP="00E964B6">
      <w:pPr>
        <w:pStyle w:val="Normal1"/>
        <w:spacing w:line="480" w:lineRule="auto"/>
        <w:rPr>
          <w:rFonts w:ascii="Times New Roman" w:eastAsia="Times New Roman" w:hAnsi="Times New Roman" w:cs="Times New Roman"/>
        </w:rPr>
      </w:pPr>
    </w:p>
    <w:p w14:paraId="6EEE5227" w14:textId="77777777" w:rsidR="00E964B6" w:rsidRDefault="00E964B6" w:rsidP="00E964B6">
      <w:pPr>
        <w:pStyle w:val="Normal1"/>
        <w:spacing w:line="480" w:lineRule="auto"/>
        <w:jc w:val="center"/>
        <w:rPr>
          <w:rFonts w:ascii="Times New Roman" w:eastAsia="Times New Roman" w:hAnsi="Times New Roman" w:cs="Times New Roman"/>
        </w:rPr>
      </w:pPr>
    </w:p>
    <w:p w14:paraId="47D29149" w14:textId="77777777" w:rsidR="00E964B6" w:rsidRDefault="00E964B6" w:rsidP="00E964B6">
      <w:pPr>
        <w:pStyle w:val="Normal1"/>
        <w:spacing w:line="480" w:lineRule="auto"/>
        <w:jc w:val="center"/>
        <w:rPr>
          <w:rFonts w:ascii="Times New Roman" w:eastAsia="Times New Roman" w:hAnsi="Times New Roman" w:cs="Times New Roman"/>
        </w:rPr>
      </w:pPr>
    </w:p>
    <w:p w14:paraId="741C85BE" w14:textId="77777777" w:rsidR="00E964B6" w:rsidRDefault="00E964B6" w:rsidP="00E964B6">
      <w:pPr>
        <w:pStyle w:val="Normal1"/>
        <w:spacing w:line="480" w:lineRule="auto"/>
        <w:jc w:val="center"/>
        <w:rPr>
          <w:rFonts w:ascii="Times New Roman" w:eastAsia="Times New Roman" w:hAnsi="Times New Roman" w:cs="Times New Roman"/>
        </w:rPr>
      </w:pPr>
    </w:p>
    <w:p w14:paraId="0543BD44"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Abstract</w:t>
      </w:r>
    </w:p>
    <w:p w14:paraId="12C09B45"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Pedagogical and psychological literature identifies numerous factors contributing to feedback effectiveness, including type, frequency, and specificity (e.g., Gibbs &amp; Simpson, 2004). Despite this wealth of research, feedback practice at universities is often reported as problematic or poor by students (NSS; Williams &amp; Kane, 2008; 2009) despite lecturers perceiving their feedback as useful (Carless, 2006; </w:t>
      </w:r>
      <w:proofErr w:type="spellStart"/>
      <w:r>
        <w:rPr>
          <w:rFonts w:ascii="Times New Roman" w:eastAsia="Times New Roman" w:hAnsi="Times New Roman" w:cs="Times New Roman"/>
        </w:rPr>
        <w:t>Maclellan</w:t>
      </w:r>
      <w:proofErr w:type="spellEnd"/>
      <w:r>
        <w:rPr>
          <w:rFonts w:ascii="Times New Roman" w:eastAsia="Times New Roman" w:hAnsi="Times New Roman" w:cs="Times New Roman"/>
        </w:rPr>
        <w:t xml:space="preserve">, 2001). The present research employed a quantitative counterbalanced experimental design to compare the perceived utility of a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designed to provide detailed, timely, and constructive feedback, to standard practice. Results suggest that the presentation of feedback is important to students; more functional and comprehensible feedback increases the likelihood of students using the feedback provided, and can reduce likely marking time per script without compromising perceived feedback quality. Further to this, post-submission feedback </w:t>
      </w:r>
      <w:proofErr w:type="spellStart"/>
      <w:r>
        <w:rPr>
          <w:rFonts w:ascii="Times New Roman" w:eastAsia="Times New Roman" w:hAnsi="Times New Roman" w:cs="Times New Roman"/>
        </w:rPr>
        <w:t>proformas</w:t>
      </w:r>
      <w:proofErr w:type="spellEnd"/>
      <w:r>
        <w:rPr>
          <w:rFonts w:ascii="Times New Roman" w:eastAsia="Times New Roman" w:hAnsi="Times New Roman" w:cs="Times New Roman"/>
        </w:rPr>
        <w:t xml:space="preserve"> increase students’ confidence in their ability to complete the assignment when provided alongside the assignment title. In summary, the research supports the application of principles of feedback in the provision of summative feedback to enhance students’ likelihood of use, perceived value of the feedback received, and confidence.</w:t>
      </w:r>
    </w:p>
    <w:p w14:paraId="02115713"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E461F6F"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1330D3A0" w14:textId="77777777" w:rsidR="00E964B6" w:rsidRDefault="00E964B6" w:rsidP="00E964B6">
      <w:pPr>
        <w:pStyle w:val="Normal1"/>
        <w:spacing w:line="480" w:lineRule="auto"/>
        <w:jc w:val="center"/>
        <w:rPr>
          <w:rFonts w:ascii="Times New Roman" w:eastAsia="Times New Roman" w:hAnsi="Times New Roman" w:cs="Times New Roman"/>
          <w:i/>
        </w:rPr>
      </w:pPr>
      <w:r>
        <w:rPr>
          <w:rFonts w:ascii="Times New Roman" w:eastAsia="Times New Roman" w:hAnsi="Times New Roman" w:cs="Times New Roman"/>
          <w:i/>
        </w:rPr>
        <w:t>Key words: feedback, student motivation, student satisfaction, student confidence.</w:t>
      </w:r>
    </w:p>
    <w:p w14:paraId="533353B3"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731EEB2B"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430B51B"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BA07040"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34FF1DDE"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3A29A697" w14:textId="77777777" w:rsidR="00E964B6" w:rsidRDefault="00E964B6" w:rsidP="00E964B6">
      <w:pPr>
        <w:pStyle w:val="Normal1"/>
        <w:spacing w:line="480" w:lineRule="auto"/>
        <w:jc w:val="both"/>
        <w:rPr>
          <w:rFonts w:ascii="Times New Roman" w:eastAsia="Times New Roman" w:hAnsi="Times New Roman" w:cs="Times New Roman"/>
          <w:b/>
        </w:rPr>
      </w:pPr>
    </w:p>
    <w:p w14:paraId="6AE8B9A2"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7D266054"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Feedback is a critical part of a student’s learning process (Hattie, 1987; Merry, Price, Carless, &amp; </w:t>
      </w:r>
      <w:proofErr w:type="spellStart"/>
      <w:r>
        <w:rPr>
          <w:rFonts w:ascii="Times New Roman" w:eastAsia="Times New Roman" w:hAnsi="Times New Roman" w:cs="Times New Roman"/>
        </w:rPr>
        <w:t>Taras</w:t>
      </w:r>
      <w:proofErr w:type="spellEnd"/>
      <w:r>
        <w:rPr>
          <w:rFonts w:ascii="Times New Roman" w:eastAsia="Times New Roman" w:hAnsi="Times New Roman" w:cs="Times New Roman"/>
        </w:rPr>
        <w:t xml:space="preserve">, 2013), and as such the process of providing students with effective feedback has been widely researched within pedagogical literature (e.g., </w:t>
      </w:r>
      <w:proofErr w:type="spellStart"/>
      <w:r>
        <w:rPr>
          <w:rFonts w:ascii="Times New Roman" w:eastAsia="Times New Roman" w:hAnsi="Times New Roman" w:cs="Times New Roman"/>
        </w:rPr>
        <w:t>Kluger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DeNisi</w:t>
      </w:r>
      <w:proofErr w:type="spellEnd"/>
      <w:r>
        <w:rPr>
          <w:rFonts w:ascii="Times New Roman" w:eastAsia="Times New Roman" w:hAnsi="Times New Roman" w:cs="Times New Roman"/>
        </w:rPr>
        <w:t xml:space="preserve">, 1996; Hattie &amp; Timperley, 2007; Shute, 2008). Students similarly regard feedback as an important aspect of their learning, one that is currently not being satisfied as highlighted through low satisfaction scores for “assessment and feedback” in the National Student Survey (NSS; Williams &amp; Kane, 2009; </w:t>
      </w:r>
      <w:proofErr w:type="spellStart"/>
      <w:r>
        <w:rPr>
          <w:rFonts w:ascii="Times New Roman" w:eastAsia="Times New Roman" w:hAnsi="Times New Roman" w:cs="Times New Roman"/>
        </w:rPr>
        <w:t>Maggs</w:t>
      </w:r>
      <w:proofErr w:type="spellEnd"/>
      <w:r>
        <w:rPr>
          <w:rFonts w:ascii="Times New Roman" w:eastAsia="Times New Roman" w:hAnsi="Times New Roman" w:cs="Times New Roman"/>
        </w:rPr>
        <w:t>, 2012; Neves &amp; Hillman, 2017). Other evidence also suggests that feedback practices in higher education are often not to an adequate standard (</w:t>
      </w:r>
      <w:proofErr w:type="spellStart"/>
      <w:r>
        <w:rPr>
          <w:rFonts w:ascii="Times New Roman" w:eastAsia="Times New Roman" w:hAnsi="Times New Roman" w:cs="Times New Roman"/>
        </w:rPr>
        <w:t>Osney</w:t>
      </w:r>
      <w:proofErr w:type="spellEnd"/>
      <w:r>
        <w:rPr>
          <w:rFonts w:ascii="Times New Roman" w:eastAsia="Times New Roman" w:hAnsi="Times New Roman" w:cs="Times New Roman"/>
        </w:rPr>
        <w:t xml:space="preserve"> Grange Group; OGG, 2009).</w:t>
      </w:r>
    </w:p>
    <w:p w14:paraId="444A66AF"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Providing students with more effective feedback (e.g., helpful, timely and focused on improvements) has been highlighted as an important area for higher education institutions to focus on (Nicol &amp; MacFarlane-Dick, 2006; Brown, 2015). Many higher education institutions have taken a proactive approach to improving this aspect of a student’s learning experience by designing principles of effective feedback. For example, feedback should: be transparent, easy to understand and related to assessment criteria, identify areas of strength and where improvements can be made, and be appropriate for the assessment (e.g., </w:t>
      </w:r>
      <w:proofErr w:type="spellStart"/>
      <w:r>
        <w:rPr>
          <w:rFonts w:ascii="Times New Roman" w:eastAsia="Times New Roman" w:hAnsi="Times New Roman" w:cs="Times New Roman"/>
        </w:rPr>
        <w:t>Aberystwyth</w:t>
      </w:r>
      <w:proofErr w:type="spellEnd"/>
      <w:r>
        <w:rPr>
          <w:rFonts w:ascii="Times New Roman" w:eastAsia="Times New Roman" w:hAnsi="Times New Roman" w:cs="Times New Roman"/>
        </w:rPr>
        <w:t xml:space="preserve"> University, 2016; </w:t>
      </w:r>
      <w:proofErr w:type="spellStart"/>
      <w:r>
        <w:rPr>
          <w:rFonts w:ascii="Times New Roman" w:eastAsia="Times New Roman" w:hAnsi="Times New Roman" w:cs="Times New Roman"/>
        </w:rPr>
        <w:t>Northumbria</w:t>
      </w:r>
      <w:proofErr w:type="spellEnd"/>
      <w:r>
        <w:rPr>
          <w:rFonts w:ascii="Times New Roman" w:eastAsia="Times New Roman" w:hAnsi="Times New Roman" w:cs="Times New Roman"/>
        </w:rPr>
        <w:t xml:space="preserve"> University, 2013; University of Strathclyde Glasgow, 2014). These principles are consistent with theoretical and empirically-developed models of effective feedback. For example, Gibbs and Simpson (2004) highlighted seven key conditions in which feedback supports learning; five relating to the </w:t>
      </w:r>
      <w:proofErr w:type="gramStart"/>
      <w:r>
        <w:rPr>
          <w:rFonts w:ascii="Times New Roman" w:eastAsia="Times New Roman" w:hAnsi="Times New Roman" w:cs="Times New Roman"/>
        </w:rPr>
        <w:t>manner in which</w:t>
      </w:r>
      <w:proofErr w:type="gramEnd"/>
      <w:r>
        <w:rPr>
          <w:rFonts w:ascii="Times New Roman" w:eastAsia="Times New Roman" w:hAnsi="Times New Roman" w:cs="Times New Roman"/>
        </w:rPr>
        <w:t xml:space="preserve"> external feedback is delivered (sufficient detail, timely manner, learning focused, linked to the purpose of the assignment, and understandable), and two related to how the feedback is used (received and attended to by students, and acted upon to improve work and learning). It is particularly important that educators’ feedback satisfies Gibbs and Simpson’s first five conditions as these are within the educators’ control and may increase the likelihood of the latter two conditions occurring (i.e., students attending to and acting upon the feedback given).</w:t>
      </w:r>
    </w:p>
    <w:p w14:paraId="75521E43"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Providing students with feedback that is of sufficient detail, linked to the assessment, and is learning focused, are important considerations. To achieve these criteria, feedback must be specific and provide the learner with information regarding strengths, weaknesses, and ways to reduce discrepancy between current and expected level (Shute 2008; Hattie &amp; Timperley, 2007).  For example, “the introduction lacked depth” or “the introduction was strong” is not sufficient. Effective feedback should be constructive, informing the learner specifically what was good (e.g., concisely written, critical discussion of the literature, creative applied implications) or poor (e.g., structure does not follow that required for a lab report, missing key definitions of the theory and key research by…). To aid this process, </w:t>
      </w:r>
      <w:proofErr w:type="spellStart"/>
      <w:r>
        <w:rPr>
          <w:rFonts w:ascii="Times New Roman" w:eastAsia="Times New Roman" w:hAnsi="Times New Roman" w:cs="Times New Roman"/>
        </w:rPr>
        <w:t>Voerman</w:t>
      </w:r>
      <w:proofErr w:type="spellEnd"/>
      <w:r>
        <w:rPr>
          <w:rFonts w:ascii="Times New Roman" w:eastAsia="Times New Roman" w:hAnsi="Times New Roman" w:cs="Times New Roman"/>
        </w:rPr>
        <w:t xml:space="preserve">, Meijer, Korthagen, and Simons (2012) suggest </w:t>
      </w:r>
      <w:proofErr w:type="spellStart"/>
      <w:r>
        <w:rPr>
          <w:rFonts w:ascii="Times New Roman" w:eastAsia="Times New Roman" w:hAnsi="Times New Roman" w:cs="Times New Roman"/>
        </w:rPr>
        <w:t>utilising</w:t>
      </w:r>
      <w:proofErr w:type="spellEnd"/>
      <w:r>
        <w:rPr>
          <w:rFonts w:ascii="Times New Roman" w:eastAsia="Times New Roman" w:hAnsi="Times New Roman" w:cs="Times New Roman"/>
        </w:rPr>
        <w:t xml:space="preserve"> progress feedback; </w:t>
      </w:r>
      <w:proofErr w:type="spellStart"/>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what has already been achieved, and discrepancy feedback; </w:t>
      </w:r>
      <w:proofErr w:type="spellStart"/>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what is still to be achieved. The use of progress and discrepancy feedback provides the opportunity for students to close the gap between the current and desired performance, which is an important aspect of the learning cycle (Nicol &amp; Macfarlane-Dick, 2006).</w:t>
      </w:r>
    </w:p>
    <w:p w14:paraId="6A5FF69C"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 key aspect of providing effective feedback is the frequency and volume of feedback given. It is generally assumed within pedagogical literature that more feedback enhances learning through providing more information that students can use and learn from (</w:t>
      </w:r>
      <w:proofErr w:type="spellStart"/>
      <w:r>
        <w:rPr>
          <w:rFonts w:ascii="Times New Roman" w:eastAsia="Times New Roman" w:hAnsi="Times New Roman" w:cs="Times New Roman"/>
        </w:rPr>
        <w:t>Salmoni</w:t>
      </w:r>
      <w:proofErr w:type="spellEnd"/>
      <w:r>
        <w:rPr>
          <w:rFonts w:ascii="Times New Roman" w:eastAsia="Times New Roman" w:hAnsi="Times New Roman" w:cs="Times New Roman"/>
        </w:rPr>
        <w:t xml:space="preserve">, Schmidt, &amp; Walter, 1984; </w:t>
      </w:r>
      <w:proofErr w:type="spellStart"/>
      <w:r>
        <w:rPr>
          <w:rFonts w:ascii="Times New Roman" w:eastAsia="Times New Roman" w:hAnsi="Times New Roman" w:cs="Times New Roman"/>
        </w:rPr>
        <w:t>Bilodeau</w:t>
      </w:r>
      <w:proofErr w:type="spellEnd"/>
      <w:r>
        <w:rPr>
          <w:rFonts w:ascii="Times New Roman" w:eastAsia="Times New Roman" w:hAnsi="Times New Roman" w:cs="Times New Roman"/>
        </w:rPr>
        <w:t xml:space="preserve">, 1966). However, more recently, research has shown that feedback frequency and learning have an inverted-U relationship. Specifically, there is an optimum amount of feedback that can be used by students, after this point the cognitive demand on the student to process and respond to feedback becomes overwhelming and can result in reduced task effort, feelings of debilitation, and increased anxiety (Lam, </w:t>
      </w:r>
      <w:proofErr w:type="spellStart"/>
      <w:r>
        <w:rPr>
          <w:rFonts w:ascii="Times New Roman" w:eastAsia="Times New Roman" w:hAnsi="Times New Roman" w:cs="Times New Roman"/>
        </w:rPr>
        <w:t>DeRue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Karam</w:t>
      </w:r>
      <w:proofErr w:type="spellEnd"/>
      <w:r>
        <w:rPr>
          <w:rFonts w:ascii="Times New Roman" w:eastAsia="Times New Roman" w:hAnsi="Times New Roman" w:cs="Times New Roman"/>
        </w:rPr>
        <w:t>, &amp; Hollenbeck, 2011; Scott, Hughes, Evans, Burke, Walter, &amp; Watson, 2013).</w:t>
      </w:r>
    </w:p>
    <w:p w14:paraId="7E84ABB0"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Gibbs and Simpson (2004) also state that it is essential that feedback is provided in a timely manner thus allowing students to use the feedback received to aid performance in future assessments. Feedback that is received weeks after submission is often ignored by students as they might not remember what the piece of work was assessing, how they felt they had performed, or believe that the feedback has little relevance to their current needs (Race, 2010).</w:t>
      </w:r>
    </w:p>
    <w:p w14:paraId="42BB8A28" w14:textId="77777777" w:rsidR="00E964B6" w:rsidRPr="00745AB6" w:rsidRDefault="00E964B6" w:rsidP="00745A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final two conditions for effective feedback, as discussed by Gibbs and Simpson (2004), are reliant on the student to be willing to read/listen to, attend to, and act upon the feedback. An issue that consistently occurs in higher education is that students report concern only about their assessment marks, as opposed to the accompanying feedback (Crooks, 1988; Sambell, 2016). This is especially problematic for final year students believing that feedback will not be of any benefit as they have no similar future assessments. Research has shown some effective methods that can be employed by educators to ensure learners read and attend to feedback, for example, two stage submission (stage one providing formative feedback with no mark and stage two providing a summative mark without feedback; Cooper, 2000; Carless, Salter, Yang &amp; Lam, 2011), and, providing the assessment grade after students have self-assessed their work and received tutor feedback (</w:t>
      </w:r>
      <w:proofErr w:type="spellStart"/>
      <w:r>
        <w:rPr>
          <w:rFonts w:ascii="Times New Roman" w:eastAsia="Times New Roman" w:hAnsi="Times New Roman" w:cs="Times New Roman"/>
        </w:rPr>
        <w:t>Taras</w:t>
      </w:r>
      <w:proofErr w:type="spellEnd"/>
      <w:r>
        <w:rPr>
          <w:rFonts w:ascii="Times New Roman" w:eastAsia="Times New Roman" w:hAnsi="Times New Roman" w:cs="Times New Roman"/>
        </w:rPr>
        <w:t xml:space="preserve">, 2001). However, these methods can place extra time demands on lecturing staff, and may not </w:t>
      </w:r>
      <w:r w:rsidRPr="00745AB6">
        <w:rPr>
          <w:rFonts w:ascii="Times New Roman" w:eastAsia="Times New Roman" w:hAnsi="Times New Roman" w:cs="Times New Roman"/>
        </w:rPr>
        <w:t>be suitable for all assessment formats.</w:t>
      </w:r>
    </w:p>
    <w:p w14:paraId="0A437B00" w14:textId="77777777" w:rsidR="00745AB6" w:rsidRPr="00745AB6" w:rsidRDefault="00E964B6" w:rsidP="00745AB6">
      <w:pPr>
        <w:pBdr>
          <w:top w:val="none" w:sz="0" w:space="0" w:color="auto"/>
          <w:left w:val="none" w:sz="0" w:space="0" w:color="auto"/>
          <w:bottom w:val="none" w:sz="0" w:space="0" w:color="auto"/>
          <w:right w:val="none" w:sz="0" w:space="0" w:color="auto"/>
          <w:between w:val="none" w:sz="0" w:space="0" w:color="auto"/>
        </w:pBdr>
        <w:spacing w:line="480" w:lineRule="auto"/>
        <w:ind w:firstLine="720"/>
        <w:jc w:val="both"/>
        <w:rPr>
          <w:rFonts w:ascii="Times New Roman" w:eastAsia="Times New Roman" w:hAnsi="Times New Roman" w:cs="Times New Roman"/>
          <w:color w:val="auto"/>
          <w:lang w:val="en-GB" w:eastAsia="en-GB"/>
        </w:rPr>
      </w:pPr>
      <w:r w:rsidRPr="00745AB6">
        <w:rPr>
          <w:rFonts w:ascii="Times New Roman" w:eastAsia="Times New Roman" w:hAnsi="Times New Roman" w:cs="Times New Roman"/>
        </w:rPr>
        <w:t xml:space="preserve">One approach to improving likelihood of using feedback is to increase students’ confidence in their ability to </w:t>
      </w:r>
      <w:proofErr w:type="spellStart"/>
      <w:r w:rsidRPr="00745AB6">
        <w:rPr>
          <w:rFonts w:ascii="Times New Roman" w:eastAsia="Times New Roman" w:hAnsi="Times New Roman" w:cs="Times New Roman"/>
        </w:rPr>
        <w:t>utilise</w:t>
      </w:r>
      <w:proofErr w:type="spellEnd"/>
      <w:r w:rsidRPr="00745AB6">
        <w:rPr>
          <w:rFonts w:ascii="Times New Roman" w:eastAsia="Times New Roman" w:hAnsi="Times New Roman" w:cs="Times New Roman"/>
        </w:rPr>
        <w:t xml:space="preserve"> the information provided. Educators and the learning environment they create play an important role in developing students’ confidence (Patrick, Turner, &amp; Strati, 2016), for example, considering task difficulty </w:t>
      </w:r>
      <w:bookmarkStart w:id="0" w:name="_GoBack"/>
      <w:bookmarkEnd w:id="0"/>
      <w:r w:rsidRPr="00745AB6">
        <w:rPr>
          <w:rFonts w:ascii="Times New Roman" w:eastAsia="Times New Roman" w:hAnsi="Times New Roman" w:cs="Times New Roman"/>
        </w:rPr>
        <w:t>(</w:t>
      </w:r>
      <w:proofErr w:type="spellStart"/>
      <w:r w:rsidRPr="00745AB6">
        <w:rPr>
          <w:rFonts w:ascii="Times New Roman" w:eastAsia="Times New Roman" w:hAnsi="Times New Roman" w:cs="Times New Roman"/>
        </w:rPr>
        <w:t>Csikszentmihayli</w:t>
      </w:r>
      <w:proofErr w:type="spellEnd"/>
      <w:r w:rsidRPr="00745AB6">
        <w:rPr>
          <w:rFonts w:ascii="Times New Roman" w:eastAsia="Times New Roman" w:hAnsi="Times New Roman" w:cs="Times New Roman"/>
        </w:rPr>
        <w:t>, 1990), using comments to provide competence support, providing structure to scaffold development, praising effort/personal improvement, and providing informational feedback (</w:t>
      </w:r>
      <w:proofErr w:type="spellStart"/>
      <w:r w:rsidRPr="00745AB6">
        <w:rPr>
          <w:rFonts w:ascii="Times New Roman" w:eastAsia="Times New Roman" w:hAnsi="Times New Roman" w:cs="Times New Roman"/>
        </w:rPr>
        <w:t>self determination</w:t>
      </w:r>
      <w:proofErr w:type="spellEnd"/>
      <w:r w:rsidRPr="00745AB6">
        <w:rPr>
          <w:rFonts w:ascii="Times New Roman" w:eastAsia="Times New Roman" w:hAnsi="Times New Roman" w:cs="Times New Roman"/>
        </w:rPr>
        <w:t xml:space="preserve"> theory; SDT; Deci &amp; Ryan, 1985, 2000; Niemiec &amp; Ryan, 2009). </w:t>
      </w:r>
      <w:r w:rsidR="00745AB6" w:rsidRPr="00745AB6">
        <w:rPr>
          <w:rFonts w:ascii="Times New Roman" w:eastAsia="Times New Roman" w:hAnsi="Times New Roman" w:cs="Times New Roman"/>
          <w:lang w:val="en-GB" w:eastAsia="en-GB"/>
        </w:rPr>
        <w:t>The need for competence is central to self-determination theory, the satisfaction of which is associated with more self-determined behaviours, well-being and interest (Deci &amp; Ryan, 1985; 2000).</w:t>
      </w:r>
    </w:p>
    <w:p w14:paraId="2FAFE6E4" w14:textId="59D254B0" w:rsidR="00E964B6" w:rsidRDefault="00E964B6" w:rsidP="00745AB6">
      <w:pPr>
        <w:pStyle w:val="Normal1"/>
        <w:spacing w:line="480" w:lineRule="auto"/>
        <w:ind w:firstLine="720"/>
        <w:jc w:val="both"/>
        <w:rPr>
          <w:rFonts w:ascii="Times New Roman" w:eastAsia="Times New Roman" w:hAnsi="Times New Roman" w:cs="Times New Roman"/>
        </w:rPr>
      </w:pPr>
      <w:r w:rsidRPr="00745AB6">
        <w:rPr>
          <w:rFonts w:ascii="Times New Roman" w:eastAsia="Times New Roman" w:hAnsi="Times New Roman" w:cs="Times New Roman"/>
        </w:rPr>
        <w:t>An often-overlooked</w:t>
      </w:r>
      <w:r>
        <w:rPr>
          <w:rFonts w:ascii="Times New Roman" w:eastAsia="Times New Roman" w:hAnsi="Times New Roman" w:cs="Times New Roman"/>
        </w:rPr>
        <w:t xml:space="preserve"> aspect of developing competence is the impact of structure. Students’ competence can be supported by structure, providing a sense of predictability and order, allowing students to focus on learning (e.g., clear goals, attainable and coherent expectations, providing scaffolding and conveying informational feedback; Jang, Reeve, &amp; Deci, 2010; Reeve &amp; </w:t>
      </w:r>
      <w:proofErr w:type="spellStart"/>
      <w:r>
        <w:rPr>
          <w:rFonts w:ascii="Times New Roman" w:eastAsia="Times New Roman" w:hAnsi="Times New Roman" w:cs="Times New Roman"/>
        </w:rPr>
        <w:t>Cheon</w:t>
      </w:r>
      <w:proofErr w:type="spellEnd"/>
      <w:r>
        <w:rPr>
          <w:rFonts w:ascii="Times New Roman" w:eastAsia="Times New Roman" w:hAnsi="Times New Roman" w:cs="Times New Roman"/>
        </w:rPr>
        <w:t xml:space="preserve">, 2014). These practices of promoting structure are often considered in the design and delivery of the learning environment, but perhaps not as considered in the provision of written summative feedback. </w:t>
      </w:r>
    </w:p>
    <w:p w14:paraId="0A3981D0"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As such, academics are faced with a daunting task: how to provide detailed, timely, learning focused feedback during a period of increasing student numbers with higher demands and expectations, putting value under increasing scrutiny (UCAS, 2016, Neves &amp; Hillman, 2016). The Student Academic Experience Survey suggests that students typically wait three weeks to receive feedback, but believe they should have work returned more quickly (within two weeks), whilst only 35% of students believe that staff put time into commenting on student work (Neves &amp; Hillman, 2016). Addressing this challenge is especially problematic for universities with high staff to student ratios (staff student ratios range from 11.1 to 26.2 across UK institutions; The Guardian, 2017) due to the relationship between increasing work demands and student expectation and academics’ experience of stress, anxiety and reduced job satisfaction (</w:t>
      </w:r>
      <w:proofErr w:type="spellStart"/>
      <w:r>
        <w:rPr>
          <w:rFonts w:ascii="Times New Roman" w:eastAsia="Times New Roman" w:hAnsi="Times New Roman" w:cs="Times New Roman"/>
        </w:rPr>
        <w:t>Kinman</w:t>
      </w:r>
      <w:proofErr w:type="spellEnd"/>
      <w:r>
        <w:rPr>
          <w:rFonts w:ascii="Times New Roman" w:eastAsia="Times New Roman" w:hAnsi="Times New Roman" w:cs="Times New Roman"/>
        </w:rPr>
        <w:t xml:space="preserve"> &amp; Jones, 2003).</w:t>
      </w:r>
    </w:p>
    <w:p w14:paraId="5B35B8E4"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It is in such a context that learning from sport and exercise psychology can provide additional direction. Sport and exercise psychologists have useful knowledge regarding, for example, how best to tailor feedback across stages of learning (e.g., </w:t>
      </w:r>
      <w:proofErr w:type="spellStart"/>
      <w:r>
        <w:rPr>
          <w:rFonts w:ascii="Times New Roman" w:eastAsia="Times New Roman" w:hAnsi="Times New Roman" w:cs="Times New Roman"/>
        </w:rPr>
        <w:t>Wulf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Matschiner</w:t>
      </w:r>
      <w:proofErr w:type="spellEnd"/>
      <w:r>
        <w:rPr>
          <w:rFonts w:ascii="Times New Roman" w:eastAsia="Times New Roman" w:hAnsi="Times New Roman" w:cs="Times New Roman"/>
        </w:rPr>
        <w:t xml:space="preserve">, 1998), the impact of feedback frequency (e.g., Anderson, Magill, Sekiya, &amp;, Ryan, 2005), style (e.g., positive or controlling: </w:t>
      </w:r>
      <w:proofErr w:type="spellStart"/>
      <w:r>
        <w:rPr>
          <w:rFonts w:ascii="Times New Roman" w:eastAsia="Times New Roman" w:hAnsi="Times New Roman" w:cs="Times New Roman"/>
        </w:rPr>
        <w:t>Viciane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Cervello</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Raminez-Lechuga</w:t>
      </w:r>
      <w:proofErr w:type="spellEnd"/>
      <w:r>
        <w:rPr>
          <w:rFonts w:ascii="Times New Roman" w:eastAsia="Times New Roman" w:hAnsi="Times New Roman" w:cs="Times New Roman"/>
        </w:rPr>
        <w:t>, 2007) and its nature (e.g., contingent or controlling: cf. Deci &amp; Ryan, 2000). Despite this wealth of knowledge, application of principles across performance and training into educational contexts can be implicit, sporadic, or non-existent. We argue here that explicitly designing feedback resources using available psychological and pedagogical knowledge is likely to improve students’ responses to the feedback, their likelihood of using it, and their resultant confidence in their ability to use it.</w:t>
      </w:r>
    </w:p>
    <w:p w14:paraId="3702E2BD"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sum, providing students with effective feedback in a timely manner is an important topic within pedagogical literature, to universities and, most importantly, to students’ learning and satisfaction (OGG, 2009; Williams &amp; Kane, 2008; 2009). The aim of the present research was to assess if a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explicitly incorporating principles of effective feedback, can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be perceived as more functional, easier to use, and increase the likelihood of students using the feedback ii) reduce perceived marking time while improving/maintaining quality of feedback, and iii) increase students’ confidence in their ability to complete the assignment.  It was hypothesised that improving the areas of feedback that are in control of the educator will increase the likelihood of students attending to and acting upon the feedback provided. Specifically, improved functionality and ease of use of feedback will improve the utility of feedback which can thus increase likelihood of use.</w:t>
      </w:r>
    </w:p>
    <w:p w14:paraId="04C13352"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Method</w:t>
      </w:r>
    </w:p>
    <w:p w14:paraId="02DA8F49"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Development of Assessment </w:t>
      </w:r>
      <w:proofErr w:type="spellStart"/>
      <w:r>
        <w:rPr>
          <w:rFonts w:ascii="Times New Roman" w:eastAsia="Times New Roman" w:hAnsi="Times New Roman" w:cs="Times New Roman"/>
          <w:b/>
        </w:rPr>
        <w:t>Proforma</w:t>
      </w:r>
      <w:proofErr w:type="spellEnd"/>
    </w:p>
    <w:p w14:paraId="15B7835E"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standard non-principle driven feedback template used as a control condition consisted of five open-ended section titles: general comments, content, use of literature, presentation and structure, and referencing. Several limitations are associated with this structure, for example: time consuming to complete, feedback is often repetitive in nature (e.g., lab report; failed to discuss the reliability of measures used, poster; limited consideration of design), and potentially overwhelming for the student (i.e., paragraphs of information about the assessment </w:t>
      </w:r>
      <w:proofErr w:type="gramStart"/>
      <w:r>
        <w:rPr>
          <w:rFonts w:ascii="Times New Roman" w:eastAsia="Times New Roman" w:hAnsi="Times New Roman" w:cs="Times New Roman"/>
        </w:rPr>
        <w:t>as a whole)</w:t>
      </w:r>
      <w:proofErr w:type="gramEnd"/>
      <w:r>
        <w:rPr>
          <w:rFonts w:ascii="Times New Roman" w:eastAsia="Times New Roman" w:hAnsi="Times New Roman" w:cs="Times New Roman"/>
        </w:rPr>
        <w:t xml:space="preserve">. Further to this, the assessment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failed to link the expected assessment components to the learning outcomes, as such, constructive alignment was low which impacts several principles of effective feedback (e.g., not learning focused, not linked to purpose of the assignment, impacts on coherency of expectations, and ultimately may reduce students’ understanding).</w:t>
      </w:r>
    </w:p>
    <w:p w14:paraId="3C376832" w14:textId="77777777" w:rsidR="00E964B6" w:rsidRDefault="00E964B6" w:rsidP="00E964B6">
      <w:pPr>
        <w:pStyle w:val="Normal1"/>
        <w:spacing w:line="48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Three key adaptions were made to create the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which was designed for a laboratory report assignment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the content section was separated into four sections (introduction, method, results, and discussion) thus aligning the structure to a laboratory report, and with the marking criteria (Shute, 2008; Hattie &amp; Timperley, 2009); ii) a Likert scale was used to indicate performance in relation to all aspects of writing a scientific laboratory report. This increased the speed of providing feedback and providing a manageable and comprehensible volume of feedback to all students (Lam et al., 2011); finally, iii) each section contained three stems: “continue to”, “start to” and “stop” to ensure feedback was specific and constructive (a method effective at producing more constructive student-provided feedback; George &amp; Cowan, 1999; </w:t>
      </w:r>
      <w:proofErr w:type="spellStart"/>
      <w:r>
        <w:rPr>
          <w:rFonts w:ascii="Times New Roman" w:eastAsia="Times New Roman" w:hAnsi="Times New Roman" w:cs="Times New Roman"/>
        </w:rPr>
        <w:t>Hoon</w:t>
      </w:r>
      <w:proofErr w:type="spellEnd"/>
      <w:r>
        <w:rPr>
          <w:rFonts w:ascii="Times New Roman" w:eastAsia="Times New Roman" w:hAnsi="Times New Roman" w:cs="Times New Roman"/>
        </w:rPr>
        <w:t xml:space="preserve">, Oliver, </w:t>
      </w:r>
      <w:proofErr w:type="spellStart"/>
      <w:r>
        <w:rPr>
          <w:rFonts w:ascii="Times New Roman" w:eastAsia="Times New Roman" w:hAnsi="Times New Roman" w:cs="Times New Roman"/>
        </w:rPr>
        <w:t>Szpakowska</w:t>
      </w:r>
      <w:proofErr w:type="spellEnd"/>
      <w:r>
        <w:rPr>
          <w:rFonts w:ascii="Times New Roman" w:eastAsia="Times New Roman" w:hAnsi="Times New Roman" w:cs="Times New Roman"/>
        </w:rPr>
        <w:t>, &amp; Newton, 2015). The use of the Likert scale and ‘traffic light system’ provides students with progress and discrepancy feedback in a manageable volume (</w:t>
      </w:r>
      <w:proofErr w:type="spellStart"/>
      <w:r>
        <w:rPr>
          <w:rFonts w:ascii="Times New Roman" w:eastAsia="Times New Roman" w:hAnsi="Times New Roman" w:cs="Times New Roman"/>
        </w:rPr>
        <w:t>Voerman</w:t>
      </w:r>
      <w:proofErr w:type="spellEnd"/>
      <w:r>
        <w:rPr>
          <w:rFonts w:ascii="Times New Roman" w:eastAsia="Times New Roman" w:hAnsi="Times New Roman" w:cs="Times New Roman"/>
        </w:rPr>
        <w:t xml:space="preserve"> et al., 2012).</w:t>
      </w:r>
    </w:p>
    <w:p w14:paraId="34A515BD" w14:textId="77777777" w:rsidR="00E964B6" w:rsidRDefault="00E964B6" w:rsidP="00E964B6">
      <w:pPr>
        <w:pStyle w:val="Normal1"/>
        <w:spacing w:line="48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reviewed by three peer academics within a Sport and Exercise Department. The reviewers ranged in lecturing experience (one to over 10 years), all had experience in providing feedback to students and interests in teaching and learning (HEA Fellows or working towards Fellowship). Reviewer comments supported the adaptations, endorsing that the content covered the key aspects of a laboratory report whilst the structure allowed for breadth and depth of feedback to highlight areas for development.</w:t>
      </w:r>
    </w:p>
    <w:p w14:paraId="3C3FC9C1"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62BBFA3"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Participants</w:t>
      </w:r>
    </w:p>
    <w:p w14:paraId="0763B7D8"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Following departmental level ethical approval, an opportunistic sample of forty-five Sport and Exercise Science undergraduate students were recruited during a seminar session in the second semester of the academic year (first year = 38, second year = 7). No course credit was given for participation, and students could elect not to participate.</w:t>
      </w:r>
    </w:p>
    <w:p w14:paraId="1790950A"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0B2639F"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Measures and Materials</w:t>
      </w:r>
    </w:p>
    <w:p w14:paraId="76A48D12"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i/>
        </w:rPr>
        <w:t xml:space="preserve">Assessment Feedback </w:t>
      </w:r>
      <w:proofErr w:type="spellStart"/>
      <w:r>
        <w:rPr>
          <w:rFonts w:ascii="Times New Roman" w:eastAsia="Times New Roman" w:hAnsi="Times New Roman" w:cs="Times New Roman"/>
          <w:i/>
        </w:rPr>
        <w:t>Proforma</w:t>
      </w:r>
      <w:proofErr w:type="spellEnd"/>
      <w:r>
        <w:rPr>
          <w:rFonts w:ascii="Times New Roman" w:eastAsia="Times New Roman" w:hAnsi="Times New Roman" w:cs="Times New Roman"/>
          <w:i/>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The standard (five open-ended section titles: general comments, content, use of literature, presentation and structure, and referencing) and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were populated with identical, fictional feedback. For example, the standard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contained a short paragraph, around six sentences, discussing the presentation and structure of the lab report. The pedagogically informed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contained seven stems (e.g., clarity of writing, use of scientific language, appropriate use of headings) rated on a 1 (poor) to 4 (very good) Likert scale. A short statement to provide examples of the ‘continue to’ ‘start to’ and ‘stop’ stems was also included (e.g., ‘Continue to: format your tables following APA guidelines’, ‘Start to: consider your use of scientific language, for example, “the literature supported” rather than “the literature backed up”’ and ‘Stop: including gridlines on figures. Consult APA guidelines’).</w:t>
      </w:r>
    </w:p>
    <w:p w14:paraId="21C4E23A" w14:textId="77777777" w:rsidR="00E964B6" w:rsidRDefault="00E964B6" w:rsidP="00E964B6">
      <w:pPr>
        <w:pStyle w:val="Normal1"/>
        <w:spacing w:line="480"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19279A1F"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i/>
        </w:rPr>
        <w:t>Functionality.</w:t>
      </w:r>
      <w:r>
        <w:rPr>
          <w:rFonts w:ascii="Times New Roman" w:eastAsia="Times New Roman" w:hAnsi="Times New Roman" w:cs="Times New Roman"/>
        </w:rPr>
        <w:t xml:space="preserve">  Consists of five items assessing the functionality of the feedback received. The items were developed in line with Gibbs and Simpson’s (2004) effective feedback principles (e.g., “provided sufficient detail of performance”, “provided areas to improve” and “was understandable”). Each item was rated on a 1 (</w:t>
      </w:r>
      <w:r>
        <w:rPr>
          <w:rFonts w:ascii="Times New Roman" w:eastAsia="Times New Roman" w:hAnsi="Times New Roman" w:cs="Times New Roman"/>
          <w:i/>
        </w:rPr>
        <w:t>not at all)</w:t>
      </w:r>
      <w:r>
        <w:rPr>
          <w:rFonts w:ascii="Times New Roman" w:eastAsia="Times New Roman" w:hAnsi="Times New Roman" w:cs="Times New Roman"/>
        </w:rPr>
        <w:t xml:space="preserve"> to 5 (</w:t>
      </w:r>
      <w:r>
        <w:rPr>
          <w:rFonts w:ascii="Times New Roman" w:eastAsia="Times New Roman" w:hAnsi="Times New Roman" w:cs="Times New Roman"/>
          <w:i/>
        </w:rPr>
        <w:t>very much</w:t>
      </w:r>
      <w:r>
        <w:rPr>
          <w:rFonts w:ascii="Times New Roman" w:eastAsia="Times New Roman" w:hAnsi="Times New Roman" w:cs="Times New Roman"/>
        </w:rPr>
        <w:t>) point Likert scale.</w:t>
      </w:r>
    </w:p>
    <w:p w14:paraId="1F5062F1" w14:textId="77777777" w:rsidR="00E964B6" w:rsidRDefault="00E964B6" w:rsidP="00E964B6">
      <w:pPr>
        <w:pStyle w:val="Normal1"/>
        <w:spacing w:line="480"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69F07C8F"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i/>
        </w:rPr>
        <w:t>Ease and Likelihood of Use.</w:t>
      </w:r>
      <w:r>
        <w:rPr>
          <w:rFonts w:ascii="Times New Roman" w:eastAsia="Times New Roman" w:hAnsi="Times New Roman" w:cs="Times New Roman"/>
        </w:rPr>
        <w:t xml:space="preserve"> Participants were required to respond to two items assessing the likelihood of using the feedback provided and how easy it was to focus on areas to improve. Each item was rated on a 1 (</w:t>
      </w:r>
      <w:r>
        <w:rPr>
          <w:rFonts w:ascii="Times New Roman" w:eastAsia="Times New Roman" w:hAnsi="Times New Roman" w:cs="Times New Roman"/>
          <w:i/>
        </w:rPr>
        <w:t>not at all</w:t>
      </w:r>
      <w:r>
        <w:rPr>
          <w:rFonts w:ascii="Times New Roman" w:eastAsia="Times New Roman" w:hAnsi="Times New Roman" w:cs="Times New Roman"/>
        </w:rPr>
        <w:t>) to 10 (</w:t>
      </w:r>
      <w:r>
        <w:rPr>
          <w:rFonts w:ascii="Times New Roman" w:eastAsia="Times New Roman" w:hAnsi="Times New Roman" w:cs="Times New Roman"/>
          <w:i/>
        </w:rPr>
        <w:t>very much</w:t>
      </w:r>
      <w:r>
        <w:rPr>
          <w:rFonts w:ascii="Times New Roman" w:eastAsia="Times New Roman" w:hAnsi="Times New Roman" w:cs="Times New Roman"/>
        </w:rPr>
        <w:t>) scale.</w:t>
      </w:r>
    </w:p>
    <w:p w14:paraId="49E75EF4"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C328AC9"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 xml:space="preserve">Biology Self-Efficacy Scale (BSES; Baldwin, Ebert-May &amp; Burns, 1998) </w:t>
      </w:r>
      <w:r>
        <w:rPr>
          <w:rFonts w:ascii="Times New Roman" w:eastAsia="Times New Roman" w:hAnsi="Times New Roman" w:cs="Times New Roman"/>
        </w:rPr>
        <w:t>was adapted to assess students’ confidence to write and critique a laboratory report. The measure consists of four items assessing confidence to write each main section of a laboratory report (i.e., introduction, methods, results, and conclusion) and three items relating to confidence to critique/tutor other students (e.g., “critique a laboratory report written by another student” and “tutor another student to write a laboratory report”). Participants responded to each item on a 1 (</w:t>
      </w:r>
      <w:r>
        <w:rPr>
          <w:rFonts w:ascii="Times New Roman" w:eastAsia="Times New Roman" w:hAnsi="Times New Roman" w:cs="Times New Roman"/>
          <w:i/>
        </w:rPr>
        <w:t>not at all confident</w:t>
      </w:r>
      <w:r>
        <w:rPr>
          <w:rFonts w:ascii="Times New Roman" w:eastAsia="Times New Roman" w:hAnsi="Times New Roman" w:cs="Times New Roman"/>
        </w:rPr>
        <w:t>) to 5 (</w:t>
      </w:r>
      <w:r>
        <w:rPr>
          <w:rFonts w:ascii="Times New Roman" w:eastAsia="Times New Roman" w:hAnsi="Times New Roman" w:cs="Times New Roman"/>
          <w:i/>
        </w:rPr>
        <w:t>totally confident</w:t>
      </w:r>
      <w:r>
        <w:rPr>
          <w:rFonts w:ascii="Times New Roman" w:eastAsia="Times New Roman" w:hAnsi="Times New Roman" w:cs="Times New Roman"/>
        </w:rPr>
        <w:t>) point Likert scale. The scale has demonstrated satisfactory internal reliability in its measure development phase (a = .88; Baldwin et al., 1998).</w:t>
      </w:r>
    </w:p>
    <w:p w14:paraId="4A031A2F"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4105CC1"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Procedure</w:t>
      </w:r>
    </w:p>
    <w:p w14:paraId="32C35698" w14:textId="77777777" w:rsidR="00E964B6" w:rsidRDefault="00E964B6" w:rsidP="00E964B6">
      <w:pPr>
        <w:pStyle w:val="Normal1"/>
        <w:spacing w:after="24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research was conducted during a seminar at a mid-point of the second semester of the academic year, prior to any assessment focused sessions. Participants read the fictional feedback presented on the standard and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in a </w:t>
      </w:r>
      <w:proofErr w:type="spellStart"/>
      <w:r>
        <w:rPr>
          <w:rFonts w:ascii="Times New Roman" w:eastAsia="Times New Roman" w:hAnsi="Times New Roman" w:cs="Times New Roman"/>
        </w:rPr>
        <w:t>randomised</w:t>
      </w:r>
      <w:proofErr w:type="spellEnd"/>
      <w:r>
        <w:rPr>
          <w:rFonts w:ascii="Times New Roman" w:eastAsia="Times New Roman" w:hAnsi="Times New Roman" w:cs="Times New Roman"/>
        </w:rPr>
        <w:t xml:space="preserve"> and counterbalanced order. After reading each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students completed the BSES, Functionality, and Ease and Likelihood of Use Scales in a non-</w:t>
      </w:r>
      <w:proofErr w:type="spellStart"/>
      <w:r>
        <w:rPr>
          <w:rFonts w:ascii="Times New Roman" w:eastAsia="Times New Roman" w:hAnsi="Times New Roman" w:cs="Times New Roman"/>
        </w:rPr>
        <w:t>randomised</w:t>
      </w:r>
      <w:proofErr w:type="spellEnd"/>
      <w:r>
        <w:rPr>
          <w:rFonts w:ascii="Times New Roman" w:eastAsia="Times New Roman" w:hAnsi="Times New Roman" w:cs="Times New Roman"/>
        </w:rPr>
        <w:t xml:space="preserve"> order.</w:t>
      </w:r>
    </w:p>
    <w:p w14:paraId="0ADDD013"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Design and Data Analysis</w:t>
      </w:r>
    </w:p>
    <w:p w14:paraId="7A842DFC" w14:textId="77777777" w:rsidR="00E964B6" w:rsidRDefault="00E964B6" w:rsidP="00E964B6">
      <w:pPr>
        <w:pStyle w:val="Normal1"/>
        <w:spacing w:after="24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data were collected using a quantitative counterbalanced experimental design. To examine if students’ confidence, perceived functionality, ease, and likelihood of use differed between the standard and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paired samples t-tests were performed. Bivariate correlation analyses examined the relationship between feedback perceptions and likelihood of use. A significance level of .05 was used. Staff experiences of using the pedagogically informed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were collected qualitatively through informal, written reflections.</w:t>
      </w:r>
    </w:p>
    <w:p w14:paraId="3BE50885"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Results: Students</w:t>
      </w:r>
    </w:p>
    <w:p w14:paraId="5C84A66A" w14:textId="77777777" w:rsidR="00E964B6" w:rsidRDefault="00E964B6" w:rsidP="00E964B6">
      <w:pPr>
        <w:pStyle w:val="Normal1"/>
        <w:spacing w:after="240" w:line="480" w:lineRule="auto"/>
        <w:jc w:val="both"/>
        <w:rPr>
          <w:rFonts w:ascii="Times New Roman" w:eastAsia="Times New Roman" w:hAnsi="Times New Roman" w:cs="Times New Roman"/>
        </w:rPr>
      </w:pPr>
      <w:r>
        <w:rPr>
          <w:rFonts w:ascii="Times New Roman" w:eastAsia="Times New Roman" w:hAnsi="Times New Roman" w:cs="Times New Roman"/>
        </w:rPr>
        <w:t xml:space="preserve">T-tests revealed that the pedagogically informed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associated with significantly increased perception in functionality in use (</w:t>
      </w:r>
      <w:proofErr w:type="gramStart"/>
      <w:r>
        <w:rPr>
          <w:rFonts w:ascii="Times New Roman" w:eastAsia="Times New Roman" w:hAnsi="Times New Roman" w:cs="Times New Roman"/>
          <w:i/>
        </w:rPr>
        <w:t>t</w:t>
      </w:r>
      <w:r>
        <w:rPr>
          <w:rFonts w:ascii="Times New Roman" w:eastAsia="Times New Roman" w:hAnsi="Times New Roman" w:cs="Times New Roman"/>
        </w:rPr>
        <w:t>(</w:t>
      </w:r>
      <w:proofErr w:type="gramEnd"/>
      <w:r>
        <w:rPr>
          <w:rFonts w:ascii="Times New Roman" w:eastAsia="Times New Roman" w:hAnsi="Times New Roman" w:cs="Times New Roman"/>
        </w:rPr>
        <w:t xml:space="preserve">43) = 7.89, </w:t>
      </w:r>
      <w:r>
        <w:rPr>
          <w:rFonts w:ascii="Times New Roman" w:eastAsia="Times New Roman" w:hAnsi="Times New Roman" w:cs="Times New Roman"/>
          <w:i/>
        </w:rPr>
        <w:t>p</w:t>
      </w:r>
      <w:r>
        <w:rPr>
          <w:rFonts w:ascii="Times New Roman" w:eastAsia="Times New Roman" w:hAnsi="Times New Roman" w:cs="Times New Roman"/>
        </w:rPr>
        <w:t xml:space="preserve"> &lt; .001), likelihood of use (</w:t>
      </w:r>
      <w:r>
        <w:rPr>
          <w:rFonts w:ascii="Times New Roman" w:eastAsia="Times New Roman" w:hAnsi="Times New Roman" w:cs="Times New Roman"/>
          <w:i/>
        </w:rPr>
        <w:t>t</w:t>
      </w:r>
      <w:r>
        <w:rPr>
          <w:rFonts w:ascii="Times New Roman" w:eastAsia="Times New Roman" w:hAnsi="Times New Roman" w:cs="Times New Roman"/>
        </w:rPr>
        <w:t xml:space="preserve">(44) = 7.02, </w:t>
      </w:r>
      <w:r>
        <w:rPr>
          <w:rFonts w:ascii="Times New Roman" w:eastAsia="Times New Roman" w:hAnsi="Times New Roman" w:cs="Times New Roman"/>
          <w:i/>
        </w:rPr>
        <w:t>p</w:t>
      </w:r>
      <w:r>
        <w:rPr>
          <w:rFonts w:ascii="Times New Roman" w:eastAsia="Times New Roman" w:hAnsi="Times New Roman" w:cs="Times New Roman"/>
        </w:rPr>
        <w:t xml:space="preserve"> &lt; .001), ease of use (</w:t>
      </w:r>
      <w:r>
        <w:rPr>
          <w:rFonts w:ascii="Times New Roman" w:eastAsia="Times New Roman" w:hAnsi="Times New Roman" w:cs="Times New Roman"/>
          <w:i/>
        </w:rPr>
        <w:t>t</w:t>
      </w:r>
      <w:r>
        <w:rPr>
          <w:rFonts w:ascii="Times New Roman" w:eastAsia="Times New Roman" w:hAnsi="Times New Roman" w:cs="Times New Roman"/>
        </w:rPr>
        <w:t xml:space="preserve">(44) = 7.75, </w:t>
      </w:r>
      <w:r>
        <w:rPr>
          <w:rFonts w:ascii="Times New Roman" w:eastAsia="Times New Roman" w:hAnsi="Times New Roman" w:cs="Times New Roman"/>
          <w:i/>
        </w:rPr>
        <w:t>p</w:t>
      </w:r>
      <w:r>
        <w:rPr>
          <w:rFonts w:ascii="Times New Roman" w:eastAsia="Times New Roman" w:hAnsi="Times New Roman" w:cs="Times New Roman"/>
        </w:rPr>
        <w:t xml:space="preserve"> &lt; .001), and confidence to write laboratory reports (</w:t>
      </w:r>
      <w:r>
        <w:rPr>
          <w:rFonts w:ascii="Times New Roman" w:eastAsia="Times New Roman" w:hAnsi="Times New Roman" w:cs="Times New Roman"/>
          <w:i/>
        </w:rPr>
        <w:t>t</w:t>
      </w:r>
      <w:r>
        <w:rPr>
          <w:rFonts w:ascii="Times New Roman" w:eastAsia="Times New Roman" w:hAnsi="Times New Roman" w:cs="Times New Roman"/>
        </w:rPr>
        <w:t xml:space="preserve">(43) = 6.75, </w:t>
      </w:r>
      <w:r>
        <w:rPr>
          <w:rFonts w:ascii="Times New Roman" w:eastAsia="Times New Roman" w:hAnsi="Times New Roman" w:cs="Times New Roman"/>
          <w:i/>
        </w:rPr>
        <w:t>p</w:t>
      </w:r>
      <w:r>
        <w:rPr>
          <w:rFonts w:ascii="Times New Roman" w:eastAsia="Times New Roman" w:hAnsi="Times New Roman" w:cs="Times New Roman"/>
        </w:rPr>
        <w:t xml:space="preserve"> &lt; .001), in comparison to the standard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w:t>
      </w:r>
    </w:p>
    <w:p w14:paraId="67F11103" w14:textId="77777777" w:rsidR="00E964B6" w:rsidRDefault="00E964B6" w:rsidP="00E964B6">
      <w:pPr>
        <w:pStyle w:val="Normal1"/>
        <w:spacing w:after="240" w:line="480" w:lineRule="auto"/>
        <w:jc w:val="center"/>
        <w:rPr>
          <w:rFonts w:ascii="Times New Roman" w:eastAsia="Times New Roman" w:hAnsi="Times New Roman" w:cs="Times New Roman"/>
        </w:rPr>
      </w:pPr>
      <w:r>
        <w:rPr>
          <w:rFonts w:ascii="Times New Roman" w:eastAsia="Times New Roman" w:hAnsi="Times New Roman" w:cs="Times New Roman"/>
        </w:rPr>
        <w:t>INSERT TABLE 1 HERE</w:t>
      </w:r>
    </w:p>
    <w:p w14:paraId="26269E7F" w14:textId="77777777" w:rsidR="00E964B6" w:rsidRDefault="00E964B6" w:rsidP="00E964B6">
      <w:pPr>
        <w:pStyle w:val="Normal1"/>
        <w:spacing w:after="240" w:line="48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Results revealed a significant moderate positive correlation between the perceived functionality of the assessment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and likelihood of use of feedback (</w:t>
      </w:r>
      <w:r>
        <w:rPr>
          <w:rFonts w:ascii="Times New Roman" w:eastAsia="Times New Roman" w:hAnsi="Times New Roman" w:cs="Times New Roman"/>
          <w:i/>
        </w:rPr>
        <w:t>r</w:t>
      </w:r>
      <w:r>
        <w:rPr>
          <w:rFonts w:ascii="Times New Roman" w:eastAsia="Times New Roman" w:hAnsi="Times New Roman" w:cs="Times New Roman"/>
        </w:rPr>
        <w:t xml:space="preserve"> = .467, </w:t>
      </w:r>
      <w:r>
        <w:rPr>
          <w:rFonts w:ascii="Times New Roman" w:eastAsia="Times New Roman" w:hAnsi="Times New Roman" w:cs="Times New Roman"/>
          <w:i/>
        </w:rPr>
        <w:t>n</w:t>
      </w:r>
      <w:r>
        <w:rPr>
          <w:rFonts w:ascii="Times New Roman" w:eastAsia="Times New Roman" w:hAnsi="Times New Roman" w:cs="Times New Roman"/>
        </w:rPr>
        <w:t xml:space="preserve"> = 45, </w:t>
      </w:r>
      <w:r>
        <w:rPr>
          <w:rFonts w:ascii="Times New Roman" w:eastAsia="Times New Roman" w:hAnsi="Times New Roman" w:cs="Times New Roman"/>
          <w:i/>
        </w:rPr>
        <w:t>p</w:t>
      </w:r>
      <w:r>
        <w:rPr>
          <w:rFonts w:ascii="Times New Roman" w:eastAsia="Times New Roman" w:hAnsi="Times New Roman" w:cs="Times New Roman"/>
        </w:rPr>
        <w:t xml:space="preserve"> = .001) and a significant large positive correlation between ease of feedback use and likelihood of use of feedback (</w:t>
      </w:r>
      <w:r>
        <w:rPr>
          <w:rFonts w:ascii="Times New Roman" w:eastAsia="Times New Roman" w:hAnsi="Times New Roman" w:cs="Times New Roman"/>
          <w:i/>
        </w:rPr>
        <w:t>r</w:t>
      </w:r>
      <w:r>
        <w:rPr>
          <w:rFonts w:ascii="Times New Roman" w:eastAsia="Times New Roman" w:hAnsi="Times New Roman" w:cs="Times New Roman"/>
        </w:rPr>
        <w:t xml:space="preserve"> = .816, </w:t>
      </w:r>
      <w:r>
        <w:rPr>
          <w:rFonts w:ascii="Times New Roman" w:eastAsia="Times New Roman" w:hAnsi="Times New Roman" w:cs="Times New Roman"/>
          <w:i/>
        </w:rPr>
        <w:t>n</w:t>
      </w:r>
      <w:r>
        <w:rPr>
          <w:rFonts w:ascii="Times New Roman" w:eastAsia="Times New Roman" w:hAnsi="Times New Roman" w:cs="Times New Roman"/>
        </w:rPr>
        <w:t xml:space="preserve"> = 45 </w:t>
      </w:r>
      <w:r>
        <w:rPr>
          <w:rFonts w:ascii="Times New Roman" w:eastAsia="Times New Roman" w:hAnsi="Times New Roman" w:cs="Times New Roman"/>
          <w:i/>
        </w:rPr>
        <w:t>p</w:t>
      </w:r>
      <w:r>
        <w:rPr>
          <w:rFonts w:ascii="Times New Roman" w:eastAsia="Times New Roman" w:hAnsi="Times New Roman" w:cs="Times New Roman"/>
        </w:rPr>
        <w:t xml:space="preserve"> &lt; .001). There was a nonsignificant small positive correlation between students’ confidence and likelihood of use of feedback (</w:t>
      </w:r>
      <w:r>
        <w:rPr>
          <w:rFonts w:ascii="Times New Roman" w:eastAsia="Times New Roman" w:hAnsi="Times New Roman" w:cs="Times New Roman"/>
          <w:i/>
        </w:rPr>
        <w:t>r</w:t>
      </w:r>
      <w:r>
        <w:rPr>
          <w:rFonts w:ascii="Times New Roman" w:eastAsia="Times New Roman" w:hAnsi="Times New Roman" w:cs="Times New Roman"/>
        </w:rPr>
        <w:t xml:space="preserve"> = .265, </w:t>
      </w:r>
      <w:r>
        <w:rPr>
          <w:rFonts w:ascii="Times New Roman" w:eastAsia="Times New Roman" w:hAnsi="Times New Roman" w:cs="Times New Roman"/>
          <w:i/>
        </w:rPr>
        <w:t>n</w:t>
      </w:r>
      <w:r>
        <w:rPr>
          <w:rFonts w:ascii="Times New Roman" w:eastAsia="Times New Roman" w:hAnsi="Times New Roman" w:cs="Times New Roman"/>
        </w:rPr>
        <w:t xml:space="preserve"> = 45, </w:t>
      </w:r>
      <w:r>
        <w:rPr>
          <w:rFonts w:ascii="Times New Roman" w:eastAsia="Times New Roman" w:hAnsi="Times New Roman" w:cs="Times New Roman"/>
          <w:i/>
        </w:rPr>
        <w:t>p</w:t>
      </w:r>
      <w:r>
        <w:rPr>
          <w:rFonts w:ascii="Times New Roman" w:eastAsia="Times New Roman" w:hAnsi="Times New Roman" w:cs="Times New Roman"/>
        </w:rPr>
        <w:t xml:space="preserve"> = .083).</w:t>
      </w:r>
    </w:p>
    <w:p w14:paraId="329B3206"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Experiences of Use: Staff</w:t>
      </w:r>
    </w:p>
    <w:p w14:paraId="06DAD963"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Staff perceptions of the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were assessed in two ways: first, to pilot ease of use in practice the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administered by two staff within a Sport and Exercise Psychology module, and second, to evaluate potential adaptability across assessments and modules, the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circulated to all lecturing staff within the department (nine full time academics raging from one to over 10 years teaching experience; all staff are or working towards or have achieved Fellowship of the HEA).</w:t>
      </w:r>
    </w:p>
    <w:p w14:paraId="14D27034"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Both module markers using the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in practice reported finding the adapted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beneficial, and perceived that the Likert scale increased the speed of marking relative to previous years. The “stop”, “continue to”, and “start to” headers were perceived to provide more constructive feedback generation and reduce the number of vague comments (e.g., more detail needed). This is consistent with previous work demonstrating that ‘stop, ‘continue’ ‘start’ structures generate more detailed and constructive student-provided feedback when compared to unstructured open-text response options (</w:t>
      </w:r>
      <w:proofErr w:type="spellStart"/>
      <w:r>
        <w:rPr>
          <w:rFonts w:ascii="Times New Roman" w:eastAsia="Times New Roman" w:hAnsi="Times New Roman" w:cs="Times New Roman"/>
        </w:rPr>
        <w:t>Hoon</w:t>
      </w:r>
      <w:proofErr w:type="spellEnd"/>
      <w:r>
        <w:rPr>
          <w:rFonts w:ascii="Times New Roman" w:eastAsia="Times New Roman" w:hAnsi="Times New Roman" w:cs="Times New Roman"/>
        </w:rPr>
        <w:t xml:space="preserve">, Oliver, </w:t>
      </w:r>
      <w:proofErr w:type="spellStart"/>
      <w:r>
        <w:rPr>
          <w:rFonts w:ascii="Times New Roman" w:eastAsia="Times New Roman" w:hAnsi="Times New Roman" w:cs="Times New Roman"/>
        </w:rPr>
        <w:t>Szpakowska</w:t>
      </w:r>
      <w:proofErr w:type="spellEnd"/>
      <w:r>
        <w:rPr>
          <w:rFonts w:ascii="Times New Roman" w:eastAsia="Times New Roman" w:hAnsi="Times New Roman" w:cs="Times New Roman"/>
        </w:rPr>
        <w:t>, &amp; Newton, 2015).</w:t>
      </w:r>
    </w:p>
    <w:p w14:paraId="68272812" w14:textId="77777777" w:rsidR="00E964B6" w:rsidRDefault="00E964B6" w:rsidP="00E964B6">
      <w:pPr>
        <w:pStyle w:val="Normal1"/>
        <w:spacing w:line="48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wider staff feedback was also positive, with staff using the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with no/small amendments (e.g., physiology focus as opposed to psychological). One member of staff raised concerns regarding the use of the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across levels of study. Specifically, while it was perceived as being appropriate for first year students, who may need to learn the structure of laboratory reports, they would have been hesitant to use the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with second and third year students believing that the structure should by then have become an 'ingrained' skill. This point is expanded on in the discussion below.</w:t>
      </w:r>
    </w:p>
    <w:p w14:paraId="413928AF" w14:textId="77777777" w:rsidR="00E964B6" w:rsidRDefault="00E964B6" w:rsidP="00E964B6">
      <w:pPr>
        <w:pStyle w:val="Normal1"/>
        <w:spacing w:line="480" w:lineRule="auto"/>
        <w:jc w:val="both"/>
        <w:rPr>
          <w:rFonts w:ascii="Times New Roman" w:eastAsia="Times New Roman" w:hAnsi="Times New Roman" w:cs="Times New Roman"/>
          <w:b/>
        </w:rPr>
      </w:pPr>
      <w:r>
        <w:rPr>
          <w:rFonts w:ascii="Times New Roman" w:eastAsia="Times New Roman" w:hAnsi="Times New Roman" w:cs="Times New Roman"/>
          <w:b/>
        </w:rPr>
        <w:t>Discussion</w:t>
      </w:r>
    </w:p>
    <w:p w14:paraId="48DA9BDD"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research provides support for the research hypotheses. The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generated more functional and useable feedback, which increased students’ ratings of their likelihood of using it. Students were also more confident about their ability to use feedback provided in this way. The ease of use of the structured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also rated positively by academics. Taken together, the results suggest that students show a preference for a more structured, concise, and ‘user friendly’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in comparison to more open ended structures. It is posited that the minimalistic presentation of feedback does not overwhelm the students with blocks of texts (Lam, </w:t>
      </w:r>
      <w:proofErr w:type="spellStart"/>
      <w:r>
        <w:rPr>
          <w:rFonts w:ascii="Times New Roman" w:eastAsia="Times New Roman" w:hAnsi="Times New Roman" w:cs="Times New Roman"/>
        </w:rPr>
        <w:t>DeRue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Karam</w:t>
      </w:r>
      <w:proofErr w:type="spellEnd"/>
      <w:r>
        <w:rPr>
          <w:rFonts w:ascii="Times New Roman" w:eastAsia="Times New Roman" w:hAnsi="Times New Roman" w:cs="Times New Roman"/>
        </w:rPr>
        <w:t xml:space="preserve">, &amp; Hollenbeck, 2011). Much like producing an effective flyer, brochure, or media campaign (e.g., Information Design; Black, Luna, &amp; Walker, 2017), the feedback assessment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needs to immediately capture the students’ attention, as opposed to being a daunting task to read. This is also aligned with theoretical models </w:t>
      </w:r>
      <w:proofErr w:type="spellStart"/>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the positive impact of structure on feelings of competence (Deci &amp; Ryan, 2000), and work demonstrating that irrespective of the learning theory applied (i.e., </w:t>
      </w:r>
      <w:proofErr w:type="spellStart"/>
      <w:r>
        <w:rPr>
          <w:rFonts w:ascii="Times New Roman" w:eastAsia="Times New Roman" w:hAnsi="Times New Roman" w:cs="Times New Roman"/>
        </w:rPr>
        <w:t>behaviourism</w:t>
      </w:r>
      <w:proofErr w:type="spellEnd"/>
      <w:r>
        <w:rPr>
          <w:rFonts w:ascii="Times New Roman" w:eastAsia="Times New Roman" w:hAnsi="Times New Roman" w:cs="Times New Roman"/>
        </w:rPr>
        <w:t>, cognitivism, social cultural theory, meta cognitivism and social constructivism) effective feedback is task-directed and specific (</w:t>
      </w:r>
      <w:proofErr w:type="spellStart"/>
      <w:r>
        <w:rPr>
          <w:rFonts w:ascii="Times New Roman" w:eastAsia="Times New Roman" w:hAnsi="Times New Roman" w:cs="Times New Roman"/>
        </w:rPr>
        <w:t>Thurlings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Vermeulen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Bastianens</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Stijnen</w:t>
      </w:r>
      <w:proofErr w:type="spellEnd"/>
      <w:r>
        <w:rPr>
          <w:rFonts w:ascii="Times New Roman" w:eastAsia="Times New Roman" w:hAnsi="Times New Roman" w:cs="Times New Roman"/>
        </w:rPr>
        <w:t>, 2013).</w:t>
      </w:r>
    </w:p>
    <w:p w14:paraId="059A4268"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One academic raised the issue of providing students with ‘too much help’, arguing that a laboratory report structure should become an ingrained skill for second and third year students. However, this belief contrasts with pedagogical research that supports the benefits of increasing the constructive alignment within the module, increasing the likelihood of students using the feedback provided, and increasing students’ confidence in their ability to complete the assignment.</w:t>
      </w:r>
    </w:p>
    <w:p w14:paraId="09F25073"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limitation of the current research is that the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was presented in a hardcopy format, therefore, the functionality of the electronic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from the view of the marker and student has not yet been assessed. The structure could be easily incorporated into electronic systems that are now widely used in UK institutions. Future research should consider students’ perceptions of the functionality and ease of use when reading feedback electronically and the presentation of feedback when producing hardcopy documents from the electronic system.  The present research assessed perceived likelihood of use, and so it is unclear if these </w:t>
      </w:r>
      <w:proofErr w:type="spellStart"/>
      <w:r>
        <w:rPr>
          <w:rFonts w:ascii="Times New Roman" w:eastAsia="Times New Roman" w:hAnsi="Times New Roman" w:cs="Times New Roman"/>
        </w:rPr>
        <w:t>behavioural</w:t>
      </w:r>
      <w:proofErr w:type="spellEnd"/>
      <w:r>
        <w:rPr>
          <w:rFonts w:ascii="Times New Roman" w:eastAsia="Times New Roman" w:hAnsi="Times New Roman" w:cs="Times New Roman"/>
        </w:rPr>
        <w:t xml:space="preserve"> intentions would result in the actual behaviour (referred to as the intention-behaviour gap), however the increased confidence, evidenced when using the pedagogically informed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might mediate this relationship (</w:t>
      </w:r>
      <w:proofErr w:type="spellStart"/>
      <w:r>
        <w:rPr>
          <w:rFonts w:ascii="Times New Roman" w:eastAsia="Times New Roman" w:hAnsi="Times New Roman" w:cs="Times New Roman"/>
        </w:rPr>
        <w:t>Sniehotta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Scholz</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Schwarzer</w:t>
      </w:r>
      <w:proofErr w:type="spellEnd"/>
      <w:r>
        <w:rPr>
          <w:rFonts w:ascii="Times New Roman" w:eastAsia="Times New Roman" w:hAnsi="Times New Roman" w:cs="Times New Roman"/>
        </w:rPr>
        <w:t xml:space="preserve">, 2005). Of importance for future pedagogical research would be to examine if the structured feedback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facilitated learning, or if feedback presented in this manner discouraged independent analysis and reflection by the student.</w:t>
      </w:r>
    </w:p>
    <w:p w14:paraId="3004F5E3"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use of an opportunistic sample of students who attended a seminar session at a mid-point of the second semester is a limitation. It is likely that these students are more engaged and potentially intrinsically motivated, thus more likely to engage with the feedback they receive, in comparison to students who do not attend their timetabled taught sessions. Using </w:t>
      </w:r>
      <w:proofErr w:type="gramStart"/>
      <w:r>
        <w:rPr>
          <w:rFonts w:ascii="Times New Roman" w:eastAsia="Times New Roman" w:hAnsi="Times New Roman" w:cs="Times New Roman"/>
        </w:rPr>
        <w:t>a repeated measures</w:t>
      </w:r>
      <w:proofErr w:type="gramEnd"/>
      <w:r>
        <w:rPr>
          <w:rFonts w:ascii="Times New Roman" w:eastAsia="Times New Roman" w:hAnsi="Times New Roman" w:cs="Times New Roman"/>
        </w:rPr>
        <w:t xml:space="preserve"> counterbalanced design attempted to mitigate for this. The number of students in attendance also resulted in a relatively small sample size, as such, results should be interpreted with caution.</w:t>
      </w:r>
    </w:p>
    <w:p w14:paraId="4959E273" w14:textId="77777777" w:rsidR="00E964B6" w:rsidRDefault="00E964B6" w:rsidP="00E964B6">
      <w:pPr>
        <w:pStyle w:val="Normal1"/>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conclusion, the findings reported here support </w:t>
      </w:r>
      <w:proofErr w:type="spellStart"/>
      <w:r>
        <w:rPr>
          <w:rFonts w:ascii="Times New Roman" w:eastAsia="Times New Roman" w:hAnsi="Times New Roman" w:cs="Times New Roman"/>
        </w:rPr>
        <w:t>utilising</w:t>
      </w:r>
      <w:proofErr w:type="spellEnd"/>
      <w:r>
        <w:rPr>
          <w:rFonts w:ascii="Times New Roman" w:eastAsia="Times New Roman" w:hAnsi="Times New Roman" w:cs="Times New Roman"/>
        </w:rPr>
        <w:t xml:space="preserve"> principles of feedback in the provision of summative feedback to enhance students’ likelihood of use, perceived value of the feedback received, and confidence. Whilst structure is often considered in the design and delivery of the learning environment, the present research demonstrates that providing structured summative feedback might also be important in </w:t>
      </w:r>
      <w:proofErr w:type="spellStart"/>
      <w:r>
        <w:rPr>
          <w:rFonts w:ascii="Times New Roman" w:eastAsia="Times New Roman" w:hAnsi="Times New Roman" w:cs="Times New Roman"/>
        </w:rPr>
        <w:t>maximising</w:t>
      </w:r>
      <w:proofErr w:type="spellEnd"/>
      <w:r>
        <w:rPr>
          <w:rFonts w:ascii="Times New Roman" w:eastAsia="Times New Roman" w:hAnsi="Times New Roman" w:cs="Times New Roman"/>
        </w:rPr>
        <w:t xml:space="preserve"> students’ understanding of their actual and required competencies, their perceptions of the utility of feedback they receive, and most importantly their likelihood of using the feedback in subsequent academic practice.</w:t>
      </w:r>
    </w:p>
    <w:p w14:paraId="18513F94" w14:textId="77777777" w:rsidR="00E964B6" w:rsidRDefault="00E964B6" w:rsidP="00E964B6">
      <w:pPr>
        <w:pStyle w:val="Normal1"/>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D687" w14:textId="77777777" w:rsidR="00E964B6" w:rsidRDefault="00E964B6" w:rsidP="00E964B6">
      <w:pPr>
        <w:pStyle w:val="Normal1"/>
        <w:spacing w:line="48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14:paraId="3B32B0A4" w14:textId="77777777" w:rsidR="00E964B6" w:rsidRDefault="00E964B6" w:rsidP="00E964B6">
      <w:pPr>
        <w:pStyle w:val="Normal1"/>
        <w:spacing w:line="480" w:lineRule="auto"/>
        <w:ind w:left="1260" w:hanging="620"/>
        <w:rPr>
          <w:rFonts w:ascii="Times New Roman" w:eastAsia="Times New Roman" w:hAnsi="Times New Roman" w:cs="Times New Roman"/>
        </w:rPr>
      </w:pPr>
      <w:proofErr w:type="spellStart"/>
      <w:r>
        <w:rPr>
          <w:rFonts w:ascii="Times New Roman" w:eastAsia="Times New Roman" w:hAnsi="Times New Roman" w:cs="Times New Roman"/>
        </w:rPr>
        <w:t>Aberystwyth</w:t>
      </w:r>
      <w:proofErr w:type="spellEnd"/>
      <w:r>
        <w:rPr>
          <w:rFonts w:ascii="Times New Roman" w:eastAsia="Times New Roman" w:hAnsi="Times New Roman" w:cs="Times New Roman"/>
        </w:rPr>
        <w:t xml:space="preserve"> University. (2016). </w:t>
      </w:r>
      <w:r>
        <w:rPr>
          <w:rFonts w:ascii="Times New Roman" w:eastAsia="Times New Roman" w:hAnsi="Times New Roman" w:cs="Times New Roman"/>
          <w:i/>
        </w:rPr>
        <w:t>Undergraduate student examination handbook</w:t>
      </w:r>
      <w:r>
        <w:rPr>
          <w:rFonts w:ascii="Times New Roman" w:eastAsia="Times New Roman" w:hAnsi="Times New Roman" w:cs="Times New Roman"/>
        </w:rPr>
        <w:t>. Retrieved from https://www.aber.ac.uk/en/aqro/students/ug-issues/exam-assess/exam-handbook/name-192378-en.html</w:t>
      </w:r>
    </w:p>
    <w:p w14:paraId="22AF54E1"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Anderson, D. I., Magill, R. A., </w:t>
      </w:r>
      <w:proofErr w:type="spellStart"/>
      <w:r>
        <w:rPr>
          <w:rFonts w:ascii="Times New Roman" w:eastAsia="Times New Roman" w:hAnsi="Times New Roman" w:cs="Times New Roman"/>
        </w:rPr>
        <w:t>Seklya</w:t>
      </w:r>
      <w:proofErr w:type="spellEnd"/>
      <w:r>
        <w:rPr>
          <w:rFonts w:ascii="Times New Roman" w:eastAsia="Times New Roman" w:hAnsi="Times New Roman" w:cs="Times New Roman"/>
        </w:rPr>
        <w:t xml:space="preserve">, H., &amp; Ryan, G. (2005). Support for an explanation of the guidance effect in motor skill learning. </w:t>
      </w:r>
      <w:r>
        <w:rPr>
          <w:rFonts w:ascii="Times New Roman" w:eastAsia="Times New Roman" w:hAnsi="Times New Roman" w:cs="Times New Roman"/>
          <w:i/>
        </w:rPr>
        <w:t>Journal of Motor Behaviour, 37,</w:t>
      </w:r>
      <w:r>
        <w:rPr>
          <w:rFonts w:ascii="Times New Roman" w:eastAsia="Times New Roman" w:hAnsi="Times New Roman" w:cs="Times New Roman"/>
        </w:rPr>
        <w:t xml:space="preserve"> 231-238.</w:t>
      </w:r>
    </w:p>
    <w:p w14:paraId="3B580013"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Baldwin, J. A., Ebert-May, D., &amp; Burns, D. J. (1998). The development of a college biology self-efficacy instrument for </w:t>
      </w:r>
      <w:proofErr w:type="spellStart"/>
      <w:r>
        <w:rPr>
          <w:rFonts w:ascii="Times New Roman" w:eastAsia="Times New Roman" w:hAnsi="Times New Roman" w:cs="Times New Roman"/>
        </w:rPr>
        <w:t>nonmajors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Science Education, 83,</w:t>
      </w:r>
      <w:r>
        <w:rPr>
          <w:rFonts w:ascii="Times New Roman" w:eastAsia="Times New Roman" w:hAnsi="Times New Roman" w:cs="Times New Roman"/>
        </w:rPr>
        <w:t xml:space="preserve"> 397-408.</w:t>
      </w:r>
    </w:p>
    <w:p w14:paraId="3A07A58E" w14:textId="77777777" w:rsidR="00E964B6" w:rsidRDefault="00E964B6" w:rsidP="00E964B6">
      <w:pPr>
        <w:pStyle w:val="Normal1"/>
        <w:spacing w:line="480" w:lineRule="auto"/>
        <w:ind w:left="1260" w:hanging="620"/>
        <w:rPr>
          <w:rFonts w:ascii="Times New Roman" w:eastAsia="Times New Roman" w:hAnsi="Times New Roman" w:cs="Times New Roman"/>
        </w:rPr>
      </w:pPr>
      <w:proofErr w:type="spellStart"/>
      <w:r>
        <w:rPr>
          <w:rFonts w:ascii="Times New Roman" w:eastAsia="Times New Roman" w:hAnsi="Times New Roman" w:cs="Times New Roman"/>
        </w:rPr>
        <w:t>Bilodeau</w:t>
      </w:r>
      <w:proofErr w:type="spellEnd"/>
      <w:r>
        <w:rPr>
          <w:rFonts w:ascii="Times New Roman" w:eastAsia="Times New Roman" w:hAnsi="Times New Roman" w:cs="Times New Roman"/>
        </w:rPr>
        <w:t xml:space="preserve">, I. M. (1966). Information feedback. In </w:t>
      </w:r>
      <w:proofErr w:type="spellStart"/>
      <w:r>
        <w:rPr>
          <w:rFonts w:ascii="Times New Roman" w:eastAsia="Times New Roman" w:hAnsi="Times New Roman" w:cs="Times New Roman"/>
        </w:rPr>
        <w:t>Bilodeau</w:t>
      </w:r>
      <w:proofErr w:type="spellEnd"/>
      <w:r>
        <w:rPr>
          <w:rFonts w:ascii="Times New Roman" w:eastAsia="Times New Roman" w:hAnsi="Times New Roman" w:cs="Times New Roman"/>
        </w:rPr>
        <w:t xml:space="preserve">, E. A. (Ed.). </w:t>
      </w:r>
      <w:r>
        <w:rPr>
          <w:rFonts w:ascii="Times New Roman" w:eastAsia="Times New Roman" w:hAnsi="Times New Roman" w:cs="Times New Roman"/>
          <w:i/>
        </w:rPr>
        <w:t>The acquisition of skill</w:t>
      </w:r>
      <w:r>
        <w:rPr>
          <w:rFonts w:ascii="Times New Roman" w:eastAsia="Times New Roman" w:hAnsi="Times New Roman" w:cs="Times New Roman"/>
        </w:rPr>
        <w:t xml:space="preserve"> (pp. 255-296). New York: Academic Press.</w:t>
      </w:r>
    </w:p>
    <w:p w14:paraId="52670B75"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Black, A., Luna, P., Lund, O., &amp; Walker, S. (2017). </w:t>
      </w:r>
      <w:r>
        <w:rPr>
          <w:rFonts w:ascii="Times New Roman" w:eastAsia="Times New Roman" w:hAnsi="Times New Roman" w:cs="Times New Roman"/>
          <w:i/>
        </w:rPr>
        <w:t>Information design: research and practice</w:t>
      </w:r>
      <w:r>
        <w:rPr>
          <w:rFonts w:ascii="Times New Roman" w:eastAsia="Times New Roman" w:hAnsi="Times New Roman" w:cs="Times New Roman"/>
        </w:rPr>
        <w:t>. London: Routledge.</w:t>
      </w:r>
    </w:p>
    <w:p w14:paraId="562F5D4C"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Brown, S. (2015). </w:t>
      </w:r>
      <w:r>
        <w:rPr>
          <w:rFonts w:ascii="Times New Roman" w:eastAsia="Times New Roman" w:hAnsi="Times New Roman" w:cs="Times New Roman"/>
          <w:i/>
        </w:rPr>
        <w:t>Learning, teaching and assessment in higher education: global perspectives</w:t>
      </w:r>
      <w:r>
        <w:rPr>
          <w:rFonts w:ascii="Times New Roman" w:eastAsia="Times New Roman" w:hAnsi="Times New Roman" w:cs="Times New Roman"/>
        </w:rPr>
        <w:t>. Basingstoke: Palgrave Macmillan.</w:t>
      </w:r>
    </w:p>
    <w:p w14:paraId="721B059F"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Carless, D. (2006). Differing perceptions in the feedback process. </w:t>
      </w:r>
      <w:r>
        <w:rPr>
          <w:rFonts w:ascii="Times New Roman" w:eastAsia="Times New Roman" w:hAnsi="Times New Roman" w:cs="Times New Roman"/>
          <w:i/>
        </w:rPr>
        <w:t>Studies in Higher Education, 31</w:t>
      </w:r>
      <w:r>
        <w:rPr>
          <w:rFonts w:ascii="Times New Roman" w:eastAsia="Times New Roman" w:hAnsi="Times New Roman" w:cs="Times New Roman"/>
        </w:rPr>
        <w:t>, 219-233.</w:t>
      </w:r>
    </w:p>
    <w:p w14:paraId="11B39CE0"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Carless, D., Salter, D., Yang, M., &amp; Lam, J. (2011). Developing sustainable feedback practices. </w:t>
      </w:r>
      <w:r>
        <w:rPr>
          <w:rFonts w:ascii="Times New Roman" w:eastAsia="Times New Roman" w:hAnsi="Times New Roman" w:cs="Times New Roman"/>
          <w:i/>
        </w:rPr>
        <w:t>Studies in Higher Education, 36 (4)</w:t>
      </w:r>
      <w:r>
        <w:rPr>
          <w:rFonts w:ascii="Times New Roman" w:eastAsia="Times New Roman" w:hAnsi="Times New Roman" w:cs="Times New Roman"/>
        </w:rPr>
        <w:t>, 395-407.</w:t>
      </w:r>
    </w:p>
    <w:p w14:paraId="3295F772"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Cooper, N. J. (2000). Facilitating learning from formative feedback in level 3 assessment. </w:t>
      </w:r>
      <w:r>
        <w:rPr>
          <w:rFonts w:ascii="Times New Roman" w:eastAsia="Times New Roman" w:hAnsi="Times New Roman" w:cs="Times New Roman"/>
          <w:i/>
        </w:rPr>
        <w:t>Assessment and Evaluation in Higher Education, 25,</w:t>
      </w:r>
      <w:r>
        <w:rPr>
          <w:rFonts w:ascii="Times New Roman" w:eastAsia="Times New Roman" w:hAnsi="Times New Roman" w:cs="Times New Roman"/>
        </w:rPr>
        <w:t xml:space="preserve"> 279-291.</w:t>
      </w:r>
    </w:p>
    <w:p w14:paraId="3E42A17D"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Crooks, T. J. (1988). The impact of classroom evaluation practices in students. </w:t>
      </w:r>
      <w:r>
        <w:rPr>
          <w:rFonts w:ascii="Times New Roman" w:eastAsia="Times New Roman" w:hAnsi="Times New Roman" w:cs="Times New Roman"/>
          <w:i/>
        </w:rPr>
        <w:t>Review of Educational Research, 58</w:t>
      </w:r>
      <w:r>
        <w:rPr>
          <w:rFonts w:ascii="Times New Roman" w:eastAsia="Times New Roman" w:hAnsi="Times New Roman" w:cs="Times New Roman"/>
        </w:rPr>
        <w:t>, 438-481.</w:t>
      </w:r>
    </w:p>
    <w:p w14:paraId="1D3A006B" w14:textId="77777777" w:rsidR="00E964B6" w:rsidRDefault="00E964B6" w:rsidP="00E964B6">
      <w:pPr>
        <w:pStyle w:val="Normal1"/>
        <w:spacing w:line="480" w:lineRule="auto"/>
        <w:ind w:left="1260" w:hanging="620"/>
        <w:rPr>
          <w:rFonts w:ascii="Times New Roman" w:eastAsia="Times New Roman" w:hAnsi="Times New Roman" w:cs="Times New Roman"/>
        </w:rPr>
      </w:pPr>
      <w:proofErr w:type="spellStart"/>
      <w:r>
        <w:rPr>
          <w:rFonts w:ascii="Times New Roman" w:eastAsia="Times New Roman" w:hAnsi="Times New Roman" w:cs="Times New Roman"/>
        </w:rPr>
        <w:t>Csikszentmihalyi</w:t>
      </w:r>
      <w:proofErr w:type="spellEnd"/>
      <w:r>
        <w:rPr>
          <w:rFonts w:ascii="Times New Roman" w:eastAsia="Times New Roman" w:hAnsi="Times New Roman" w:cs="Times New Roman"/>
        </w:rPr>
        <w:t xml:space="preserve">, M. (1990). </w:t>
      </w:r>
      <w:r>
        <w:rPr>
          <w:rFonts w:ascii="Times New Roman" w:eastAsia="Times New Roman" w:hAnsi="Times New Roman" w:cs="Times New Roman"/>
          <w:i/>
        </w:rPr>
        <w:t>Flow: the psychology of optimal experience</w:t>
      </w:r>
      <w:r>
        <w:rPr>
          <w:rFonts w:ascii="Times New Roman" w:eastAsia="Times New Roman" w:hAnsi="Times New Roman" w:cs="Times New Roman"/>
        </w:rPr>
        <w:t>. New York: Harper and Row.</w:t>
      </w:r>
    </w:p>
    <w:p w14:paraId="552ED1B3"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Deci, E. L., &amp; Ryan, R. M. (1985). The general causality orientation scale: </w:t>
      </w:r>
      <w:proofErr w:type="spellStart"/>
      <w:r>
        <w:rPr>
          <w:rFonts w:ascii="Times New Roman" w:eastAsia="Times New Roman" w:hAnsi="Times New Roman" w:cs="Times New Roman"/>
        </w:rPr>
        <w:t>Self determination</w:t>
      </w:r>
      <w:proofErr w:type="spellEnd"/>
      <w:r>
        <w:rPr>
          <w:rFonts w:ascii="Times New Roman" w:eastAsia="Times New Roman" w:hAnsi="Times New Roman" w:cs="Times New Roman"/>
        </w:rPr>
        <w:t xml:space="preserve"> in personality. </w:t>
      </w:r>
      <w:r>
        <w:rPr>
          <w:rFonts w:ascii="Times New Roman" w:eastAsia="Times New Roman" w:hAnsi="Times New Roman" w:cs="Times New Roman"/>
          <w:i/>
        </w:rPr>
        <w:t>Journal of Research in Personality, 19</w:t>
      </w:r>
      <w:r>
        <w:rPr>
          <w:rFonts w:ascii="Times New Roman" w:eastAsia="Times New Roman" w:hAnsi="Times New Roman" w:cs="Times New Roman"/>
        </w:rPr>
        <w:t>, 109-134.</w:t>
      </w:r>
    </w:p>
    <w:p w14:paraId="002FAF26"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Deci, E. L., &amp; Ryan, R. M. (2000). The ‘what’ and ‘why’ of goal pursuits: Human needs and the self determination of behaviour. </w:t>
      </w:r>
      <w:r>
        <w:rPr>
          <w:rFonts w:ascii="Times New Roman" w:eastAsia="Times New Roman" w:hAnsi="Times New Roman" w:cs="Times New Roman"/>
          <w:i/>
        </w:rPr>
        <w:t>Psychological Inquiry, 11(4)</w:t>
      </w:r>
      <w:r>
        <w:rPr>
          <w:rFonts w:ascii="Times New Roman" w:eastAsia="Times New Roman" w:hAnsi="Times New Roman" w:cs="Times New Roman"/>
        </w:rPr>
        <w:t>, 227-268.</w:t>
      </w:r>
    </w:p>
    <w:p w14:paraId="405F0698" w14:textId="77777777" w:rsidR="00E964B6" w:rsidRDefault="00E964B6" w:rsidP="00E964B6">
      <w:pPr>
        <w:pStyle w:val="Normal1"/>
        <w:spacing w:line="480" w:lineRule="auto"/>
        <w:ind w:left="1260" w:hanging="620"/>
        <w:rPr>
          <w:rFonts w:ascii="MS Mincho" w:eastAsia="MS Mincho" w:hAnsi="MS Mincho" w:cs="MS Mincho"/>
        </w:rPr>
      </w:pPr>
      <w:r>
        <w:rPr>
          <w:rFonts w:ascii="Times New Roman" w:eastAsia="Times New Roman" w:hAnsi="Times New Roman" w:cs="Times New Roman"/>
        </w:rPr>
        <w:t xml:space="preserve">George, J. W., &amp; Cowan, J. (1999). </w:t>
      </w:r>
      <w:r>
        <w:rPr>
          <w:rFonts w:ascii="Times New Roman" w:eastAsia="Times New Roman" w:hAnsi="Times New Roman" w:cs="Times New Roman"/>
          <w:i/>
        </w:rPr>
        <w:t>A handbook of techniques for formative evaluation: Mapping the student’s learning experience</w:t>
      </w:r>
      <w:r>
        <w:rPr>
          <w:rFonts w:ascii="Times New Roman" w:eastAsia="Times New Roman" w:hAnsi="Times New Roman" w:cs="Times New Roman"/>
        </w:rPr>
        <w:t xml:space="preserve">. London: Routledge </w:t>
      </w:r>
      <w:proofErr w:type="spellStart"/>
      <w:r>
        <w:rPr>
          <w:rFonts w:ascii="Times New Roman" w:eastAsia="Times New Roman" w:hAnsi="Times New Roman" w:cs="Times New Roman"/>
        </w:rPr>
        <w:t>Falmer</w:t>
      </w:r>
      <w:proofErr w:type="spellEnd"/>
      <w:r>
        <w:rPr>
          <w:rFonts w:ascii="Times New Roman" w:eastAsia="Times New Roman" w:hAnsi="Times New Roman" w:cs="Times New Roman"/>
        </w:rPr>
        <w:t>.</w:t>
      </w:r>
      <w:r>
        <w:rPr>
          <w:rFonts w:ascii="MS Mincho" w:eastAsia="MS Mincho" w:hAnsi="MS Mincho" w:cs="MS Mincho"/>
        </w:rPr>
        <w:t> </w:t>
      </w:r>
    </w:p>
    <w:p w14:paraId="188CBB22" w14:textId="77777777" w:rsidR="00E964B6" w:rsidRDefault="00E964B6" w:rsidP="00E964B6">
      <w:pPr>
        <w:pStyle w:val="Normal1"/>
        <w:spacing w:line="480" w:lineRule="auto"/>
        <w:ind w:left="1260" w:hanging="620"/>
        <w:rPr>
          <w:rFonts w:ascii="Times New Roman" w:eastAsia="Times New Roman" w:hAnsi="Times New Roman" w:cs="Times New Roman"/>
        </w:rPr>
      </w:pPr>
      <w:r>
        <w:rPr>
          <w:rFonts w:ascii="Times New Roman" w:eastAsia="Times New Roman" w:hAnsi="Times New Roman" w:cs="Times New Roman"/>
        </w:rPr>
        <w:t xml:space="preserve">Gibbs, G., &amp; Simpson, C. (2004). Conditions under which assessment supports students’ learning. </w:t>
      </w:r>
      <w:r>
        <w:rPr>
          <w:rFonts w:ascii="Times New Roman" w:eastAsia="Times New Roman" w:hAnsi="Times New Roman" w:cs="Times New Roman"/>
          <w:i/>
        </w:rPr>
        <w:t>Learning and Teaching in Higher Education, 1,</w:t>
      </w:r>
      <w:r>
        <w:rPr>
          <w:rFonts w:ascii="Times New Roman" w:eastAsia="Times New Roman" w:hAnsi="Times New Roman" w:cs="Times New Roman"/>
        </w:rPr>
        <w:t xml:space="preserve"> 3-31.</w:t>
      </w:r>
    </w:p>
    <w:p w14:paraId="69F3B4E8"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Hattie, J. A. (1987). Identifying the salient facets of a model of student learning: a synthesis and meta-analysis. </w:t>
      </w:r>
      <w:r>
        <w:rPr>
          <w:rFonts w:ascii="Times New Roman" w:eastAsia="Times New Roman" w:hAnsi="Times New Roman" w:cs="Times New Roman"/>
          <w:i/>
        </w:rPr>
        <w:t>International Journal of Educational Research, 11,</w:t>
      </w:r>
      <w:r>
        <w:rPr>
          <w:rFonts w:ascii="Times New Roman" w:eastAsia="Times New Roman" w:hAnsi="Times New Roman" w:cs="Times New Roman"/>
        </w:rPr>
        <w:t xml:space="preserve"> 187-212.</w:t>
      </w:r>
    </w:p>
    <w:p w14:paraId="457012E7"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Hattie, J., &amp; Timperley, H. (2007). The power of feedback. </w:t>
      </w:r>
      <w:r>
        <w:rPr>
          <w:rFonts w:ascii="Times New Roman" w:eastAsia="Times New Roman" w:hAnsi="Times New Roman" w:cs="Times New Roman"/>
          <w:i/>
        </w:rPr>
        <w:t>Review of Educational Research,</w:t>
      </w:r>
      <w:r>
        <w:rPr>
          <w:rFonts w:ascii="Times New Roman" w:eastAsia="Times New Roman" w:hAnsi="Times New Roman" w:cs="Times New Roman"/>
        </w:rPr>
        <w:t xml:space="preserve"> </w:t>
      </w:r>
      <w:r>
        <w:rPr>
          <w:rFonts w:ascii="Times New Roman" w:eastAsia="Times New Roman" w:hAnsi="Times New Roman" w:cs="Times New Roman"/>
          <w:i/>
        </w:rPr>
        <w:t>77,</w:t>
      </w:r>
      <w:r>
        <w:rPr>
          <w:rFonts w:ascii="Times New Roman" w:eastAsia="Times New Roman" w:hAnsi="Times New Roman" w:cs="Times New Roman"/>
        </w:rPr>
        <w:t xml:space="preserve"> 81-112.</w:t>
      </w:r>
    </w:p>
    <w:p w14:paraId="779213F6"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Hoon</w:t>
      </w:r>
      <w:proofErr w:type="spellEnd"/>
      <w:r>
        <w:rPr>
          <w:rFonts w:ascii="Times New Roman" w:eastAsia="Times New Roman" w:hAnsi="Times New Roman" w:cs="Times New Roman"/>
        </w:rPr>
        <w:t xml:space="preserve">, A., Oliver, E., </w:t>
      </w:r>
      <w:proofErr w:type="spellStart"/>
      <w:r>
        <w:rPr>
          <w:rFonts w:ascii="Times New Roman" w:eastAsia="Times New Roman" w:hAnsi="Times New Roman" w:cs="Times New Roman"/>
        </w:rPr>
        <w:t>Szpakowska</w:t>
      </w:r>
      <w:proofErr w:type="spellEnd"/>
      <w:r>
        <w:rPr>
          <w:rFonts w:ascii="Times New Roman" w:eastAsia="Times New Roman" w:hAnsi="Times New Roman" w:cs="Times New Roman"/>
        </w:rPr>
        <w:t xml:space="preserve">, &amp; Newton, P. (2015). Use of the ‘stop, start, continue’ method is associated with the production of constructive qualitative feedback by students in higher education. </w:t>
      </w:r>
      <w:r>
        <w:rPr>
          <w:rFonts w:ascii="Times New Roman" w:eastAsia="Times New Roman" w:hAnsi="Times New Roman" w:cs="Times New Roman"/>
          <w:i/>
        </w:rPr>
        <w:t>Assessment &amp; Evaluation in Higher Education, 40,</w:t>
      </w:r>
      <w:r>
        <w:rPr>
          <w:rFonts w:ascii="Times New Roman" w:eastAsia="Times New Roman" w:hAnsi="Times New Roman" w:cs="Times New Roman"/>
        </w:rPr>
        <w:t xml:space="preserve"> 755-767.</w:t>
      </w:r>
    </w:p>
    <w:p w14:paraId="3A14C1B9"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Jang, H., Reeve, J., &amp; Deci, E. (2010). Engaging students in learning activities: it is not autonomy support or structure but autonomy support and structure. </w:t>
      </w:r>
      <w:r>
        <w:rPr>
          <w:rFonts w:ascii="Times New Roman" w:eastAsia="Times New Roman" w:hAnsi="Times New Roman" w:cs="Times New Roman"/>
          <w:i/>
        </w:rPr>
        <w:t>Journal of Educational Psychology, 102</w:t>
      </w:r>
      <w:r>
        <w:rPr>
          <w:rFonts w:ascii="Times New Roman" w:eastAsia="Times New Roman" w:hAnsi="Times New Roman" w:cs="Times New Roman"/>
        </w:rPr>
        <w:t>, 588-600.</w:t>
      </w:r>
    </w:p>
    <w:p w14:paraId="4958ABB3"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Kinman</w:t>
      </w:r>
      <w:proofErr w:type="spellEnd"/>
      <w:r>
        <w:rPr>
          <w:rFonts w:ascii="Times New Roman" w:eastAsia="Times New Roman" w:hAnsi="Times New Roman" w:cs="Times New Roman"/>
        </w:rPr>
        <w:t xml:space="preserve">, G., &amp; Jones, F. (2003). ‘Running up the down escalator’: Stressors and strains in UK academics. </w:t>
      </w:r>
      <w:r>
        <w:rPr>
          <w:rFonts w:ascii="Times New Roman" w:eastAsia="Times New Roman" w:hAnsi="Times New Roman" w:cs="Times New Roman"/>
          <w:i/>
        </w:rPr>
        <w:t>Quality in Higher Education, 9,</w:t>
      </w:r>
      <w:r>
        <w:rPr>
          <w:rFonts w:ascii="Times New Roman" w:eastAsia="Times New Roman" w:hAnsi="Times New Roman" w:cs="Times New Roman"/>
        </w:rPr>
        <w:t xml:space="preserve"> 22-38.</w:t>
      </w:r>
    </w:p>
    <w:p w14:paraId="69BFD588"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Kluger</w:t>
      </w:r>
      <w:proofErr w:type="spellEnd"/>
      <w:r>
        <w:rPr>
          <w:rFonts w:ascii="Times New Roman" w:eastAsia="Times New Roman" w:hAnsi="Times New Roman" w:cs="Times New Roman"/>
        </w:rPr>
        <w:t xml:space="preserve">, A. N., &amp; </w:t>
      </w:r>
      <w:proofErr w:type="spellStart"/>
      <w:r>
        <w:rPr>
          <w:rFonts w:ascii="Times New Roman" w:eastAsia="Times New Roman" w:hAnsi="Times New Roman" w:cs="Times New Roman"/>
        </w:rPr>
        <w:t>DeNisi</w:t>
      </w:r>
      <w:proofErr w:type="spellEnd"/>
      <w:r>
        <w:rPr>
          <w:rFonts w:ascii="Times New Roman" w:eastAsia="Times New Roman" w:hAnsi="Times New Roman" w:cs="Times New Roman"/>
        </w:rPr>
        <w:t xml:space="preserve">, A. (1996). The effects of feedback interventions on performance: a historical review, a </w:t>
      </w:r>
      <w:proofErr w:type="spellStart"/>
      <w:r>
        <w:rPr>
          <w:rFonts w:ascii="Times New Roman" w:eastAsia="Times New Roman" w:hAnsi="Times New Roman" w:cs="Times New Roman"/>
        </w:rPr>
        <w:t>meta analysis</w:t>
      </w:r>
      <w:proofErr w:type="spellEnd"/>
      <w:r>
        <w:rPr>
          <w:rFonts w:ascii="Times New Roman" w:eastAsia="Times New Roman" w:hAnsi="Times New Roman" w:cs="Times New Roman"/>
        </w:rPr>
        <w:t xml:space="preserve">, and a preliminary feedback intervention theory. </w:t>
      </w:r>
      <w:r>
        <w:rPr>
          <w:rFonts w:ascii="Times New Roman" w:eastAsia="Times New Roman" w:hAnsi="Times New Roman" w:cs="Times New Roman"/>
          <w:i/>
        </w:rPr>
        <w:t>Psychological Bulletin, 119,</w:t>
      </w:r>
      <w:r>
        <w:rPr>
          <w:rFonts w:ascii="Times New Roman" w:eastAsia="Times New Roman" w:hAnsi="Times New Roman" w:cs="Times New Roman"/>
        </w:rPr>
        <w:t xml:space="preserve"> 254-284.</w:t>
      </w:r>
    </w:p>
    <w:p w14:paraId="7F6FA4A2"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Lam, C. K., </w:t>
      </w:r>
      <w:proofErr w:type="spellStart"/>
      <w:r>
        <w:rPr>
          <w:rFonts w:ascii="Times New Roman" w:eastAsia="Times New Roman" w:hAnsi="Times New Roman" w:cs="Times New Roman"/>
        </w:rPr>
        <w:t>DeRue</w:t>
      </w:r>
      <w:proofErr w:type="spellEnd"/>
      <w:r>
        <w:rPr>
          <w:rFonts w:ascii="Times New Roman" w:eastAsia="Times New Roman" w:hAnsi="Times New Roman" w:cs="Times New Roman"/>
        </w:rPr>
        <w:t xml:space="preserve">, D. S., </w:t>
      </w:r>
      <w:proofErr w:type="spellStart"/>
      <w:r>
        <w:rPr>
          <w:rFonts w:ascii="Times New Roman" w:eastAsia="Times New Roman" w:hAnsi="Times New Roman" w:cs="Times New Roman"/>
        </w:rPr>
        <w:t>Karam</w:t>
      </w:r>
      <w:proofErr w:type="spellEnd"/>
      <w:r>
        <w:rPr>
          <w:rFonts w:ascii="Times New Roman" w:eastAsia="Times New Roman" w:hAnsi="Times New Roman" w:cs="Times New Roman"/>
        </w:rPr>
        <w:t xml:space="preserve">, E. P., &amp; Hollenbeck, J. R. (2011). The impact of feedback frequency on learning and task performance: Challenging the “more is better” assumption. </w:t>
      </w:r>
      <w:r>
        <w:rPr>
          <w:rFonts w:ascii="Times New Roman" w:eastAsia="Times New Roman" w:hAnsi="Times New Roman" w:cs="Times New Roman"/>
          <w:i/>
        </w:rPr>
        <w:t>Organizational Behaviour and Human Decision Processes, 116,</w:t>
      </w:r>
      <w:r>
        <w:rPr>
          <w:rFonts w:ascii="Times New Roman" w:eastAsia="Times New Roman" w:hAnsi="Times New Roman" w:cs="Times New Roman"/>
        </w:rPr>
        <w:t xml:space="preserve"> 217-228.</w:t>
      </w:r>
    </w:p>
    <w:p w14:paraId="790BE012"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Maclellan</w:t>
      </w:r>
      <w:proofErr w:type="spellEnd"/>
      <w:r>
        <w:rPr>
          <w:rFonts w:ascii="Times New Roman" w:eastAsia="Times New Roman" w:hAnsi="Times New Roman" w:cs="Times New Roman"/>
        </w:rPr>
        <w:t xml:space="preserve">, E. (2001). Assessment for learning: the differing perception of tutors and students. </w:t>
      </w:r>
      <w:r>
        <w:rPr>
          <w:rFonts w:ascii="Times New Roman" w:eastAsia="Times New Roman" w:hAnsi="Times New Roman" w:cs="Times New Roman"/>
          <w:i/>
        </w:rPr>
        <w:t>Assessment and Evaluation in Higher Education, 26,</w:t>
      </w:r>
      <w:r>
        <w:rPr>
          <w:rFonts w:ascii="Times New Roman" w:eastAsia="Times New Roman" w:hAnsi="Times New Roman" w:cs="Times New Roman"/>
        </w:rPr>
        <w:t xml:space="preserve"> 307-318.</w:t>
      </w:r>
    </w:p>
    <w:p w14:paraId="57A0113E"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Maggs</w:t>
      </w:r>
      <w:proofErr w:type="spellEnd"/>
      <w:r>
        <w:rPr>
          <w:rFonts w:ascii="Times New Roman" w:eastAsia="Times New Roman" w:hAnsi="Times New Roman" w:cs="Times New Roman"/>
        </w:rPr>
        <w:t xml:space="preserve">, L. A. (2012). A case study of staff and student satisfaction with assessment feedback at a small </w:t>
      </w:r>
      <w:proofErr w:type="spellStart"/>
      <w:r>
        <w:rPr>
          <w:rFonts w:ascii="Times New Roman" w:eastAsia="Times New Roman" w:hAnsi="Times New Roman" w:cs="Times New Roman"/>
        </w:rPr>
        <w:t>specialised</w:t>
      </w:r>
      <w:proofErr w:type="spellEnd"/>
      <w:r>
        <w:rPr>
          <w:rFonts w:ascii="Times New Roman" w:eastAsia="Times New Roman" w:hAnsi="Times New Roman" w:cs="Times New Roman"/>
        </w:rPr>
        <w:t xml:space="preserve"> higher education institution. </w:t>
      </w:r>
      <w:r>
        <w:rPr>
          <w:rFonts w:ascii="Times New Roman" w:eastAsia="Times New Roman" w:hAnsi="Times New Roman" w:cs="Times New Roman"/>
          <w:i/>
        </w:rPr>
        <w:t>Journal of Further and Higher Education, 38,</w:t>
      </w:r>
      <w:r>
        <w:rPr>
          <w:rFonts w:ascii="Times New Roman" w:eastAsia="Times New Roman" w:hAnsi="Times New Roman" w:cs="Times New Roman"/>
        </w:rPr>
        <w:t xml:space="preserve"> 1-18.</w:t>
      </w:r>
    </w:p>
    <w:p w14:paraId="36564ED4" w14:textId="767B0787" w:rsidR="00745AB6" w:rsidRPr="00745AB6" w:rsidRDefault="00745AB6" w:rsidP="00745AB6">
      <w:pPr>
        <w:pBdr>
          <w:top w:val="none" w:sz="0" w:space="0" w:color="auto"/>
          <w:left w:val="none" w:sz="0" w:space="0" w:color="auto"/>
          <w:bottom w:val="none" w:sz="0" w:space="0" w:color="auto"/>
          <w:right w:val="none" w:sz="0" w:space="0" w:color="auto"/>
          <w:between w:val="none" w:sz="0" w:space="0" w:color="auto"/>
        </w:pBdr>
        <w:spacing w:line="480" w:lineRule="auto"/>
        <w:ind w:left="1080" w:hanging="540"/>
        <w:rPr>
          <w:rFonts w:ascii="Times New Roman" w:eastAsia="Times New Roman" w:hAnsi="Times New Roman" w:cs="Times New Roman"/>
          <w:color w:val="000000" w:themeColor="text1"/>
          <w:lang w:val="en-GB" w:eastAsia="en-GB"/>
        </w:rPr>
      </w:pPr>
      <w:r w:rsidRPr="00745AB6">
        <w:rPr>
          <w:rFonts w:ascii="Times New Roman" w:eastAsia="Times New Roman" w:hAnsi="Times New Roman" w:cs="Times New Roman"/>
          <w:color w:val="000000" w:themeColor="text1"/>
          <w:shd w:val="clear" w:color="auto" w:fill="FFFFFF"/>
          <w:lang w:val="en-GB" w:eastAsia="en-GB"/>
        </w:rPr>
        <w:t xml:space="preserve">Merry, S., Price, M., Carless, D., &amp; </w:t>
      </w:r>
      <w:proofErr w:type="spellStart"/>
      <w:r w:rsidRPr="00745AB6">
        <w:rPr>
          <w:rFonts w:ascii="Times New Roman" w:eastAsia="Times New Roman" w:hAnsi="Times New Roman" w:cs="Times New Roman"/>
          <w:color w:val="000000" w:themeColor="text1"/>
          <w:shd w:val="clear" w:color="auto" w:fill="FFFFFF"/>
          <w:lang w:val="en-GB" w:eastAsia="en-GB"/>
        </w:rPr>
        <w:t>Taras</w:t>
      </w:r>
      <w:proofErr w:type="spellEnd"/>
      <w:r w:rsidRPr="00745AB6">
        <w:rPr>
          <w:rFonts w:ascii="Times New Roman" w:eastAsia="Times New Roman" w:hAnsi="Times New Roman" w:cs="Times New Roman"/>
          <w:color w:val="000000" w:themeColor="text1"/>
          <w:shd w:val="clear" w:color="auto" w:fill="FFFFFF"/>
          <w:lang w:val="en-GB" w:eastAsia="en-GB"/>
        </w:rPr>
        <w:t xml:space="preserve">, M. (Eds.). (2013). </w:t>
      </w:r>
      <w:r w:rsidRPr="00745AB6">
        <w:rPr>
          <w:rFonts w:ascii="Times New Roman" w:eastAsia="Times New Roman" w:hAnsi="Times New Roman" w:cs="Times New Roman"/>
          <w:i/>
          <w:color w:val="000000" w:themeColor="text1"/>
          <w:shd w:val="clear" w:color="auto" w:fill="FFFFFF"/>
          <w:lang w:val="en-GB" w:eastAsia="en-GB"/>
        </w:rPr>
        <w:t>Reconceptualising feedback in higher education: Developing dialogue with students</w:t>
      </w:r>
      <w:r w:rsidRPr="00745AB6">
        <w:rPr>
          <w:rFonts w:ascii="Times New Roman" w:eastAsia="Times New Roman" w:hAnsi="Times New Roman" w:cs="Times New Roman"/>
          <w:color w:val="000000" w:themeColor="text1"/>
          <w:shd w:val="clear" w:color="auto" w:fill="FFFFFF"/>
          <w:lang w:val="en-GB" w:eastAsia="en-GB"/>
        </w:rPr>
        <w:t>. Abingdon: Routledge.</w:t>
      </w:r>
    </w:p>
    <w:p w14:paraId="32C2575C" w14:textId="77777777" w:rsidR="00E964B6" w:rsidRDefault="00E964B6" w:rsidP="00E964B6">
      <w:pPr>
        <w:pStyle w:val="Normal1"/>
        <w:spacing w:line="480" w:lineRule="auto"/>
        <w:ind w:left="1080" w:hanging="540"/>
        <w:rPr>
          <w:rFonts w:ascii="Times New Roman" w:eastAsia="Times New Roman" w:hAnsi="Times New Roman" w:cs="Times New Roman"/>
          <w:color w:val="1155CC"/>
          <w:u w:val="single"/>
        </w:rPr>
      </w:pPr>
      <w:r>
        <w:rPr>
          <w:rFonts w:ascii="Times New Roman" w:eastAsia="Times New Roman" w:hAnsi="Times New Roman" w:cs="Times New Roman"/>
        </w:rPr>
        <w:t xml:space="preserve">Neves, J., &amp; Hillman, N. (2016). </w:t>
      </w:r>
      <w:r>
        <w:rPr>
          <w:rFonts w:ascii="Times New Roman" w:eastAsia="Times New Roman" w:hAnsi="Times New Roman" w:cs="Times New Roman"/>
          <w:i/>
        </w:rPr>
        <w:t>The 2016 Student Academic Experience Survey</w:t>
      </w:r>
      <w:r>
        <w:rPr>
          <w:rFonts w:ascii="Times New Roman" w:eastAsia="Times New Roman" w:hAnsi="Times New Roman" w:cs="Times New Roman"/>
        </w:rPr>
        <w:t>. Higher Education Policy Institute. Retrieved from</w:t>
      </w:r>
      <w:hyperlink r:id="rId4">
        <w:r>
          <w:rPr>
            <w:rFonts w:ascii="Times New Roman" w:eastAsia="Times New Roman" w:hAnsi="Times New Roman" w:cs="Times New Roman"/>
          </w:rPr>
          <w:t xml:space="preserve"> </w:t>
        </w:r>
      </w:hyperlink>
      <w:hyperlink r:id="rId5">
        <w:r>
          <w:rPr>
            <w:rFonts w:ascii="Times New Roman" w:eastAsia="Times New Roman" w:hAnsi="Times New Roman" w:cs="Times New Roman"/>
            <w:color w:val="1155CC"/>
            <w:u w:val="single"/>
          </w:rPr>
          <w:t>http://www.hepi.ac.uk/wp-content/uploads/2016/06/Student-Academic-Experience-Survey-2016.pdf</w:t>
        </w:r>
      </w:hyperlink>
    </w:p>
    <w:p w14:paraId="649E241C"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Neves, J., &amp; Hillman, N. (2017). </w:t>
      </w:r>
      <w:r>
        <w:rPr>
          <w:rFonts w:ascii="Times New Roman" w:eastAsia="Times New Roman" w:hAnsi="Times New Roman" w:cs="Times New Roman"/>
          <w:i/>
        </w:rPr>
        <w:t xml:space="preserve">The 2017 Student Academic Experience Survey. </w:t>
      </w:r>
      <w:r>
        <w:rPr>
          <w:rFonts w:ascii="Times New Roman" w:eastAsia="Times New Roman" w:hAnsi="Times New Roman" w:cs="Times New Roman"/>
        </w:rPr>
        <w:t>Higher Education Policy Institute. Retrieved from http://www.hepi.ac.uk/wp-content/uploads/2017/06/2017-Student-Academic-Experience-Survey-Final-Report.pdf</w:t>
      </w:r>
    </w:p>
    <w:p w14:paraId="21DC2F26"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Nicol, D., &amp; Macfarlane-Dick, D. (2006). Formative assessment and </w:t>
      </w:r>
      <w:proofErr w:type="spellStart"/>
      <w:r>
        <w:rPr>
          <w:rFonts w:ascii="Times New Roman" w:eastAsia="Times New Roman" w:hAnsi="Times New Roman" w:cs="Times New Roman"/>
        </w:rPr>
        <w:t>self regulated</w:t>
      </w:r>
      <w:proofErr w:type="spellEnd"/>
      <w:r>
        <w:rPr>
          <w:rFonts w:ascii="Times New Roman" w:eastAsia="Times New Roman" w:hAnsi="Times New Roman" w:cs="Times New Roman"/>
        </w:rPr>
        <w:t xml:space="preserve"> learning: a model and seven principles of good feedback. </w:t>
      </w:r>
      <w:r>
        <w:rPr>
          <w:rFonts w:ascii="Times New Roman" w:eastAsia="Times New Roman" w:hAnsi="Times New Roman" w:cs="Times New Roman"/>
          <w:i/>
        </w:rPr>
        <w:t>Studies in Higher Education, 31,</w:t>
      </w:r>
      <w:r>
        <w:rPr>
          <w:rFonts w:ascii="Times New Roman" w:eastAsia="Times New Roman" w:hAnsi="Times New Roman" w:cs="Times New Roman"/>
        </w:rPr>
        <w:t xml:space="preserve"> 199-218.</w:t>
      </w:r>
    </w:p>
    <w:p w14:paraId="17098AA4"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Niemiec, C. P., &amp; Ryan, R. M. (2009). Autonomy, competence, and relatedness in the classroom. Applying </w:t>
      </w:r>
      <w:proofErr w:type="spellStart"/>
      <w:r>
        <w:rPr>
          <w:rFonts w:ascii="Times New Roman" w:eastAsia="Times New Roman" w:hAnsi="Times New Roman" w:cs="Times New Roman"/>
        </w:rPr>
        <w:t>self determination</w:t>
      </w:r>
      <w:proofErr w:type="spellEnd"/>
      <w:r>
        <w:rPr>
          <w:rFonts w:ascii="Times New Roman" w:eastAsia="Times New Roman" w:hAnsi="Times New Roman" w:cs="Times New Roman"/>
        </w:rPr>
        <w:t xml:space="preserve"> theory to educational practice. </w:t>
      </w:r>
      <w:r>
        <w:rPr>
          <w:rFonts w:ascii="Times New Roman" w:eastAsia="Times New Roman" w:hAnsi="Times New Roman" w:cs="Times New Roman"/>
          <w:i/>
        </w:rPr>
        <w:t>Theory and Research in Education, 7,</w:t>
      </w:r>
      <w:r>
        <w:rPr>
          <w:rFonts w:ascii="Times New Roman" w:eastAsia="Times New Roman" w:hAnsi="Times New Roman" w:cs="Times New Roman"/>
        </w:rPr>
        <w:t xml:space="preserve"> 133-144.</w:t>
      </w:r>
    </w:p>
    <w:p w14:paraId="64187424"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Northumbria</w:t>
      </w:r>
      <w:proofErr w:type="spellEnd"/>
      <w:r>
        <w:rPr>
          <w:rFonts w:ascii="Times New Roman" w:eastAsia="Times New Roman" w:hAnsi="Times New Roman" w:cs="Times New Roman"/>
        </w:rPr>
        <w:t xml:space="preserve"> University. (2013). </w:t>
      </w:r>
      <w:proofErr w:type="spellStart"/>
      <w:r>
        <w:rPr>
          <w:rFonts w:ascii="Times New Roman" w:eastAsia="Times New Roman" w:hAnsi="Times New Roman" w:cs="Times New Roman"/>
          <w:i/>
        </w:rPr>
        <w:t>Northumbria</w:t>
      </w:r>
      <w:proofErr w:type="spellEnd"/>
      <w:r>
        <w:rPr>
          <w:rFonts w:ascii="Times New Roman" w:eastAsia="Times New Roman" w:hAnsi="Times New Roman" w:cs="Times New Roman"/>
          <w:i/>
        </w:rPr>
        <w:t xml:space="preserve"> University assessment policy and practice</w:t>
      </w:r>
      <w:r>
        <w:rPr>
          <w:rFonts w:ascii="Times New Roman" w:eastAsia="Times New Roman" w:hAnsi="Times New Roman" w:cs="Times New Roman"/>
        </w:rPr>
        <w:t xml:space="preserve"> (</w:t>
      </w:r>
      <w:proofErr w:type="gramStart"/>
      <w:r>
        <w:rPr>
          <w:rFonts w:ascii="Times New Roman" w:eastAsia="Times New Roman" w:hAnsi="Times New Roman" w:cs="Times New Roman"/>
        </w:rPr>
        <w:t>June,</w:t>
      </w:r>
      <w:proofErr w:type="gramEnd"/>
      <w:r>
        <w:rPr>
          <w:rFonts w:ascii="Times New Roman" w:eastAsia="Times New Roman" w:hAnsi="Times New Roman" w:cs="Times New Roman"/>
        </w:rPr>
        <w:t xml:space="preserve"> 2013). Retrieved from https://www.northumbria.ac.uk/static/5007/arpdf/aq/afpolicy.pdf</w:t>
      </w:r>
    </w:p>
    <w:p w14:paraId="192C7C9F"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Osney</w:t>
      </w:r>
      <w:proofErr w:type="spellEnd"/>
      <w:r>
        <w:rPr>
          <w:rFonts w:ascii="Times New Roman" w:eastAsia="Times New Roman" w:hAnsi="Times New Roman" w:cs="Times New Roman"/>
        </w:rPr>
        <w:t xml:space="preserve"> Grange Group. (2009). </w:t>
      </w:r>
      <w:r>
        <w:rPr>
          <w:rFonts w:ascii="Times New Roman" w:eastAsia="Times New Roman" w:hAnsi="Times New Roman" w:cs="Times New Roman"/>
          <w:i/>
        </w:rPr>
        <w:t>Feedback: an agenda for change</w:t>
      </w:r>
      <w:r>
        <w:rPr>
          <w:rFonts w:ascii="Times New Roman" w:eastAsia="Times New Roman" w:hAnsi="Times New Roman" w:cs="Times New Roman"/>
        </w:rPr>
        <w:t>. Oxford: Centre for Excellence in Teaching and Learning at Oxford Brookes University.</w:t>
      </w:r>
    </w:p>
    <w:p w14:paraId="5AB596AF"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Patrick, H., Turner, J. C., &amp; Strati, A. D. (2016). Classroom and school influences on student motivation. In K. R. </w:t>
      </w:r>
      <w:proofErr w:type="spellStart"/>
      <w:r>
        <w:rPr>
          <w:rFonts w:ascii="Times New Roman" w:eastAsia="Times New Roman" w:hAnsi="Times New Roman" w:cs="Times New Roman"/>
        </w:rPr>
        <w:t>Wentzel</w:t>
      </w:r>
      <w:proofErr w:type="spellEnd"/>
      <w:r>
        <w:rPr>
          <w:rFonts w:ascii="Times New Roman" w:eastAsia="Times New Roman" w:hAnsi="Times New Roman" w:cs="Times New Roman"/>
        </w:rPr>
        <w:t xml:space="preserve">, &amp; G. B. </w:t>
      </w:r>
      <w:proofErr w:type="spellStart"/>
      <w:r>
        <w:rPr>
          <w:rFonts w:ascii="Times New Roman" w:eastAsia="Times New Roman" w:hAnsi="Times New Roman" w:cs="Times New Roman"/>
        </w:rPr>
        <w:t>Ramani</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Handbook of social influences in school contexts: social-emotional, motivation and cognitive outcomes</w:t>
      </w:r>
      <w:r>
        <w:rPr>
          <w:rFonts w:ascii="Times New Roman" w:eastAsia="Times New Roman" w:hAnsi="Times New Roman" w:cs="Times New Roman"/>
        </w:rPr>
        <w:t xml:space="preserve"> (pp. 241-257). New York: Routledge.</w:t>
      </w:r>
    </w:p>
    <w:p w14:paraId="036296E3"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Race, P. (2010). </w:t>
      </w:r>
      <w:r>
        <w:rPr>
          <w:rFonts w:ascii="Times New Roman" w:eastAsia="Times New Roman" w:hAnsi="Times New Roman" w:cs="Times New Roman"/>
          <w:i/>
        </w:rPr>
        <w:t>Making learning happen: a guide for post-compulsory education</w:t>
      </w:r>
      <w:r>
        <w:rPr>
          <w:rFonts w:ascii="Times New Roman" w:eastAsia="Times New Roman" w:hAnsi="Times New Roman" w:cs="Times New Roman"/>
        </w:rPr>
        <w:t>. London: Sage Publication.</w:t>
      </w:r>
    </w:p>
    <w:p w14:paraId="784337BC"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Reeve, J., &amp; </w:t>
      </w:r>
      <w:proofErr w:type="spellStart"/>
      <w:r>
        <w:rPr>
          <w:rFonts w:ascii="Times New Roman" w:eastAsia="Times New Roman" w:hAnsi="Times New Roman" w:cs="Times New Roman"/>
        </w:rPr>
        <w:t>Cheon</w:t>
      </w:r>
      <w:proofErr w:type="spellEnd"/>
      <w:r>
        <w:rPr>
          <w:rFonts w:ascii="Times New Roman" w:eastAsia="Times New Roman" w:hAnsi="Times New Roman" w:cs="Times New Roman"/>
        </w:rPr>
        <w:t xml:space="preserve">, S. H. (2014). An intervention based program of research on teachers’ motivation styles. In S. </w:t>
      </w:r>
      <w:proofErr w:type="spellStart"/>
      <w:r>
        <w:rPr>
          <w:rFonts w:ascii="Times New Roman" w:eastAsia="Times New Roman" w:hAnsi="Times New Roman" w:cs="Times New Roman"/>
        </w:rPr>
        <w:t>Karabenick</w:t>
      </w:r>
      <w:proofErr w:type="spellEnd"/>
      <w:r>
        <w:rPr>
          <w:rFonts w:ascii="Times New Roman" w:eastAsia="Times New Roman" w:hAnsi="Times New Roman" w:cs="Times New Roman"/>
        </w:rPr>
        <w:t xml:space="preserve"> &amp; T. </w:t>
      </w:r>
      <w:proofErr w:type="spellStart"/>
      <w:r>
        <w:rPr>
          <w:rFonts w:ascii="Times New Roman" w:eastAsia="Times New Roman" w:hAnsi="Times New Roman" w:cs="Times New Roman"/>
        </w:rPr>
        <w:t>Urdan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Advances in motivation and achievement </w:t>
      </w:r>
      <w:r>
        <w:rPr>
          <w:rFonts w:ascii="Times New Roman" w:eastAsia="Times New Roman" w:hAnsi="Times New Roman" w:cs="Times New Roman"/>
        </w:rPr>
        <w:t>(pp. 293-339). Bingley, UK: Emerald Group Publishing Limited.</w:t>
      </w:r>
    </w:p>
    <w:p w14:paraId="45BE2D1E"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Salmoni</w:t>
      </w:r>
      <w:proofErr w:type="spellEnd"/>
      <w:r>
        <w:rPr>
          <w:rFonts w:ascii="Times New Roman" w:eastAsia="Times New Roman" w:hAnsi="Times New Roman" w:cs="Times New Roman"/>
        </w:rPr>
        <w:t xml:space="preserve">, R. A., Schmidt, R. A., &amp; Walter, C. B. (1984). Knowledge of results and motor learning: a review and critical reappraisal. </w:t>
      </w:r>
      <w:r>
        <w:rPr>
          <w:rFonts w:ascii="Times New Roman" w:eastAsia="Times New Roman" w:hAnsi="Times New Roman" w:cs="Times New Roman"/>
          <w:i/>
        </w:rPr>
        <w:t>Psychological Bulletin, 95</w:t>
      </w:r>
      <w:r>
        <w:rPr>
          <w:rFonts w:ascii="Times New Roman" w:eastAsia="Times New Roman" w:hAnsi="Times New Roman" w:cs="Times New Roman"/>
        </w:rPr>
        <w:t>, 355-386.</w:t>
      </w:r>
    </w:p>
    <w:p w14:paraId="2BD5C1A0"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Sambell, K. (2016). Assessment and feedback in higher education: considerable room for improvement? </w:t>
      </w:r>
      <w:r>
        <w:rPr>
          <w:rFonts w:ascii="Times New Roman" w:eastAsia="Times New Roman" w:hAnsi="Times New Roman" w:cs="Times New Roman"/>
          <w:i/>
        </w:rPr>
        <w:t>Student Engagement in Higher Education Journal</w:t>
      </w:r>
      <w:r>
        <w:rPr>
          <w:rFonts w:ascii="Times New Roman" w:eastAsia="Times New Roman" w:hAnsi="Times New Roman" w:cs="Times New Roman"/>
        </w:rPr>
        <w:t>, 1, 1-14.</w:t>
      </w:r>
    </w:p>
    <w:p w14:paraId="4271D5EA"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Scott, D., Hughes, G., Evans, C., Burke, P., Walter, C., &amp; Watson, D. (2013). </w:t>
      </w:r>
      <w:r>
        <w:rPr>
          <w:rFonts w:ascii="Times New Roman" w:eastAsia="Times New Roman" w:hAnsi="Times New Roman" w:cs="Times New Roman"/>
          <w:i/>
        </w:rPr>
        <w:t>Learning transitions in higher education</w:t>
      </w:r>
      <w:r>
        <w:rPr>
          <w:rFonts w:ascii="Times New Roman" w:eastAsia="Times New Roman" w:hAnsi="Times New Roman" w:cs="Times New Roman"/>
        </w:rPr>
        <w:t>. Hampshire: Palgrave Macmillan UK.</w:t>
      </w:r>
    </w:p>
    <w:p w14:paraId="24285417"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Shute, V. J. (2008). Focus on formative feedback. </w:t>
      </w:r>
      <w:r>
        <w:rPr>
          <w:rFonts w:ascii="Times New Roman" w:eastAsia="Times New Roman" w:hAnsi="Times New Roman" w:cs="Times New Roman"/>
          <w:i/>
        </w:rPr>
        <w:t>Review of Educational Research,</w:t>
      </w:r>
      <w:r>
        <w:rPr>
          <w:rFonts w:ascii="Times New Roman" w:eastAsia="Times New Roman" w:hAnsi="Times New Roman" w:cs="Times New Roman"/>
        </w:rPr>
        <w:t xml:space="preserve"> </w:t>
      </w:r>
      <w:r>
        <w:rPr>
          <w:rFonts w:ascii="Times New Roman" w:eastAsia="Times New Roman" w:hAnsi="Times New Roman" w:cs="Times New Roman"/>
          <w:i/>
        </w:rPr>
        <w:t>78,</w:t>
      </w:r>
      <w:r>
        <w:rPr>
          <w:rFonts w:ascii="Times New Roman" w:eastAsia="Times New Roman" w:hAnsi="Times New Roman" w:cs="Times New Roman"/>
        </w:rPr>
        <w:t xml:space="preserve"> 153-189.</w:t>
      </w:r>
    </w:p>
    <w:p w14:paraId="3A2EC747"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Sniehotta</w:t>
      </w:r>
      <w:proofErr w:type="spellEnd"/>
      <w:r>
        <w:rPr>
          <w:rFonts w:ascii="Times New Roman" w:eastAsia="Times New Roman" w:hAnsi="Times New Roman" w:cs="Times New Roman"/>
        </w:rPr>
        <w:t xml:space="preserve">, F. F., </w:t>
      </w:r>
      <w:proofErr w:type="spellStart"/>
      <w:r>
        <w:rPr>
          <w:rFonts w:ascii="Times New Roman" w:eastAsia="Times New Roman" w:hAnsi="Times New Roman" w:cs="Times New Roman"/>
        </w:rPr>
        <w:t>Scholz</w:t>
      </w:r>
      <w:proofErr w:type="spellEnd"/>
      <w:r>
        <w:rPr>
          <w:rFonts w:ascii="Times New Roman" w:eastAsia="Times New Roman" w:hAnsi="Times New Roman" w:cs="Times New Roman"/>
        </w:rPr>
        <w:t xml:space="preserve">, U., &amp; </w:t>
      </w:r>
      <w:proofErr w:type="spellStart"/>
      <w:r>
        <w:rPr>
          <w:rFonts w:ascii="Times New Roman" w:eastAsia="Times New Roman" w:hAnsi="Times New Roman" w:cs="Times New Roman"/>
        </w:rPr>
        <w:t>Schwarzer</w:t>
      </w:r>
      <w:proofErr w:type="spellEnd"/>
      <w:r>
        <w:rPr>
          <w:rFonts w:ascii="Times New Roman" w:eastAsia="Times New Roman" w:hAnsi="Times New Roman" w:cs="Times New Roman"/>
        </w:rPr>
        <w:t xml:space="preserve">, R. (2005). Bridging the intention-behaviour gap: planning, self-efficacy, and action planning in the adoption and maintenance of physical exercise. </w:t>
      </w:r>
      <w:r>
        <w:rPr>
          <w:rFonts w:ascii="Times New Roman" w:eastAsia="Times New Roman" w:hAnsi="Times New Roman" w:cs="Times New Roman"/>
          <w:i/>
        </w:rPr>
        <w:t>Psychology &amp; Health, 20,</w:t>
      </w:r>
      <w:r>
        <w:rPr>
          <w:rFonts w:ascii="Times New Roman" w:eastAsia="Times New Roman" w:hAnsi="Times New Roman" w:cs="Times New Roman"/>
        </w:rPr>
        <w:t xml:space="preserve"> 143-160.</w:t>
      </w:r>
    </w:p>
    <w:p w14:paraId="2F9FCF3A"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Taras</w:t>
      </w:r>
      <w:proofErr w:type="spellEnd"/>
      <w:r>
        <w:rPr>
          <w:rFonts w:ascii="Times New Roman" w:eastAsia="Times New Roman" w:hAnsi="Times New Roman" w:cs="Times New Roman"/>
        </w:rPr>
        <w:t xml:space="preserve">, M. (2001). The use of tutor feedback and student self-assessment in summative assessment tasks: towards transparency for student and tutors. </w:t>
      </w:r>
      <w:r>
        <w:rPr>
          <w:rFonts w:ascii="Times New Roman" w:eastAsia="Times New Roman" w:hAnsi="Times New Roman" w:cs="Times New Roman"/>
          <w:i/>
        </w:rPr>
        <w:t xml:space="preserve">Assessment and Evaluation in Higher Education, 26, </w:t>
      </w:r>
      <w:r>
        <w:rPr>
          <w:rFonts w:ascii="Times New Roman" w:eastAsia="Times New Roman" w:hAnsi="Times New Roman" w:cs="Times New Roman"/>
        </w:rPr>
        <w:t>606-614.</w:t>
      </w:r>
    </w:p>
    <w:p w14:paraId="20DDB525"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The Guardian. (2017). </w:t>
      </w:r>
      <w:r>
        <w:rPr>
          <w:rFonts w:ascii="Times New Roman" w:eastAsia="Times New Roman" w:hAnsi="Times New Roman" w:cs="Times New Roman"/>
          <w:i/>
        </w:rPr>
        <w:t>University league tables 2017</w:t>
      </w:r>
      <w:r>
        <w:rPr>
          <w:rFonts w:ascii="Times New Roman" w:eastAsia="Times New Roman" w:hAnsi="Times New Roman" w:cs="Times New Roman"/>
        </w:rPr>
        <w:t>. Retrieved from</w:t>
      </w:r>
    </w:p>
    <w:p w14:paraId="747B1472" w14:textId="77777777" w:rsidR="00E964B6" w:rsidRDefault="00745AB6" w:rsidP="00E964B6">
      <w:pPr>
        <w:pStyle w:val="Normal1"/>
        <w:spacing w:line="480" w:lineRule="auto"/>
        <w:ind w:left="540"/>
        <w:rPr>
          <w:rFonts w:ascii="Times New Roman" w:eastAsia="Times New Roman" w:hAnsi="Times New Roman" w:cs="Times New Roman"/>
        </w:rPr>
      </w:pPr>
      <w:hyperlink r:id="rId6">
        <w:r w:rsidR="00E964B6">
          <w:rPr>
            <w:rFonts w:ascii="Times New Roman" w:eastAsia="Times New Roman" w:hAnsi="Times New Roman" w:cs="Times New Roman"/>
            <w:color w:val="1155CC"/>
            <w:u w:val="single"/>
          </w:rPr>
          <w:t>https://www.theguardian.com/education/ng-interactive/2016/may/23/university-</w:t>
        </w:r>
      </w:hyperlink>
      <w:r w:rsidR="00E964B6">
        <w:rPr>
          <w:rFonts w:ascii="Times New Roman" w:eastAsia="Times New Roman" w:hAnsi="Times New Roman" w:cs="Times New Roman"/>
        </w:rPr>
        <w:t>league-tables-2017</w:t>
      </w:r>
    </w:p>
    <w:p w14:paraId="30CC489C"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Thurlings</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Vermeulen</w:t>
      </w:r>
      <w:proofErr w:type="spellEnd"/>
      <w:r>
        <w:rPr>
          <w:rFonts w:ascii="Times New Roman" w:eastAsia="Times New Roman" w:hAnsi="Times New Roman" w:cs="Times New Roman"/>
        </w:rPr>
        <w:t xml:space="preserve">, M., Theo, B., &amp; </w:t>
      </w:r>
      <w:proofErr w:type="spellStart"/>
      <w:r>
        <w:rPr>
          <w:rFonts w:ascii="Times New Roman" w:eastAsia="Times New Roman" w:hAnsi="Times New Roman" w:cs="Times New Roman"/>
        </w:rPr>
        <w:t>Stijnen</w:t>
      </w:r>
      <w:proofErr w:type="spellEnd"/>
      <w:r>
        <w:rPr>
          <w:rFonts w:ascii="Times New Roman" w:eastAsia="Times New Roman" w:hAnsi="Times New Roman" w:cs="Times New Roman"/>
        </w:rPr>
        <w:t xml:space="preserve">, S. (2013). Understanding feedback: a learning theory perspective. </w:t>
      </w:r>
      <w:r>
        <w:rPr>
          <w:rFonts w:ascii="Times New Roman" w:eastAsia="Times New Roman" w:hAnsi="Times New Roman" w:cs="Times New Roman"/>
          <w:i/>
        </w:rPr>
        <w:t>Educational Research Review, 9,</w:t>
      </w:r>
      <w:r>
        <w:rPr>
          <w:rFonts w:ascii="Times New Roman" w:eastAsia="Times New Roman" w:hAnsi="Times New Roman" w:cs="Times New Roman"/>
        </w:rPr>
        <w:t xml:space="preserve"> 1-15.</w:t>
      </w:r>
    </w:p>
    <w:p w14:paraId="280A516E"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UCAS. (2016). </w:t>
      </w:r>
      <w:r>
        <w:rPr>
          <w:rFonts w:ascii="Times New Roman" w:eastAsia="Times New Roman" w:hAnsi="Times New Roman" w:cs="Times New Roman"/>
          <w:i/>
        </w:rPr>
        <w:t>UCAS undergraduate End of Cycle report</w:t>
      </w:r>
      <w:r>
        <w:rPr>
          <w:rFonts w:ascii="Times New Roman" w:eastAsia="Times New Roman" w:hAnsi="Times New Roman" w:cs="Times New Roman"/>
        </w:rPr>
        <w:t>. Retrieved from https://www.ucas.com/file/86541/download?token=PQnaAI5f</w:t>
      </w:r>
    </w:p>
    <w:p w14:paraId="2EE2AAC0" w14:textId="77777777" w:rsidR="00E964B6" w:rsidRDefault="00E964B6" w:rsidP="00E964B6">
      <w:pPr>
        <w:pStyle w:val="Normal1"/>
        <w:spacing w:line="48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University of Strathclyde, Glasgow. (2014). </w:t>
      </w:r>
      <w:r>
        <w:rPr>
          <w:rFonts w:ascii="Times New Roman" w:eastAsia="Times New Roman" w:hAnsi="Times New Roman" w:cs="Times New Roman"/>
          <w:i/>
        </w:rPr>
        <w:t>Assessment and feedback for effective student learning</w:t>
      </w:r>
      <w:r>
        <w:rPr>
          <w:rFonts w:ascii="Times New Roman" w:eastAsia="Times New Roman" w:hAnsi="Times New Roman" w:cs="Times New Roman"/>
        </w:rPr>
        <w:t>. Retrieved from http://www.enhancementthemes.ac.uk/docs/workshop/university-of-strathclyde---a-guide-for-staff-on-implementing-the-university-s-assessment-and-feedback-policy.pdf?sfvrsn=8</w:t>
      </w:r>
    </w:p>
    <w:p w14:paraId="48BD4DA8"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Viciana</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Cervelló</w:t>
      </w:r>
      <w:proofErr w:type="spellEnd"/>
      <w:r>
        <w:rPr>
          <w:rFonts w:ascii="Times New Roman" w:eastAsia="Times New Roman" w:hAnsi="Times New Roman" w:cs="Times New Roman"/>
        </w:rPr>
        <w:t>, E. M., &amp; Ramirez-</w:t>
      </w:r>
      <w:proofErr w:type="spellStart"/>
      <w:r>
        <w:rPr>
          <w:rFonts w:ascii="Times New Roman" w:eastAsia="Times New Roman" w:hAnsi="Times New Roman" w:cs="Times New Roman"/>
        </w:rPr>
        <w:t>Lechuga</w:t>
      </w:r>
      <w:proofErr w:type="spellEnd"/>
      <w:r>
        <w:rPr>
          <w:rFonts w:ascii="Times New Roman" w:eastAsia="Times New Roman" w:hAnsi="Times New Roman" w:cs="Times New Roman"/>
        </w:rPr>
        <w:t xml:space="preserve">, J. (2007). Effect of manipulating positive and negative feedback on goal orientations, perceived motivational climate, satisfaction, task choice, perception of ability, and attitude towards physical education lessons. </w:t>
      </w:r>
      <w:r>
        <w:rPr>
          <w:rFonts w:ascii="Times New Roman" w:eastAsia="Times New Roman" w:hAnsi="Times New Roman" w:cs="Times New Roman"/>
          <w:i/>
        </w:rPr>
        <w:t>Perceptual and Motor Skills, 105,</w:t>
      </w:r>
      <w:r>
        <w:rPr>
          <w:rFonts w:ascii="Times New Roman" w:eastAsia="Times New Roman" w:hAnsi="Times New Roman" w:cs="Times New Roman"/>
        </w:rPr>
        <w:t xml:space="preserve"> 67-82.</w:t>
      </w:r>
    </w:p>
    <w:p w14:paraId="215911EE"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Voerman</w:t>
      </w:r>
      <w:proofErr w:type="spellEnd"/>
      <w:r>
        <w:rPr>
          <w:rFonts w:ascii="Times New Roman" w:eastAsia="Times New Roman" w:hAnsi="Times New Roman" w:cs="Times New Roman"/>
        </w:rPr>
        <w:t xml:space="preserve">, L., Meijer, P. C., Korthagen, F. A. J., &amp; Simons, R. J. (2012). Types and frequencies of feedback interventions in classroom interaction in secondary education. </w:t>
      </w:r>
      <w:r>
        <w:rPr>
          <w:rFonts w:ascii="Times New Roman" w:eastAsia="Times New Roman" w:hAnsi="Times New Roman" w:cs="Times New Roman"/>
          <w:i/>
        </w:rPr>
        <w:t>Teaching in Higher Education, 28</w:t>
      </w:r>
      <w:r>
        <w:rPr>
          <w:rFonts w:ascii="Times New Roman" w:eastAsia="Times New Roman" w:hAnsi="Times New Roman" w:cs="Times New Roman"/>
        </w:rPr>
        <w:t>, 1107-1115.</w:t>
      </w:r>
    </w:p>
    <w:p w14:paraId="68DCB05D" w14:textId="362F12EC" w:rsidR="00745AB6" w:rsidRPr="00745AB6" w:rsidRDefault="00745AB6" w:rsidP="00745AB6">
      <w:pPr>
        <w:pBdr>
          <w:top w:val="none" w:sz="0" w:space="0" w:color="auto"/>
          <w:left w:val="none" w:sz="0" w:space="0" w:color="auto"/>
          <w:bottom w:val="none" w:sz="0" w:space="0" w:color="auto"/>
          <w:right w:val="none" w:sz="0" w:space="0" w:color="auto"/>
          <w:between w:val="none" w:sz="0" w:space="0" w:color="auto"/>
        </w:pBdr>
        <w:spacing w:line="480" w:lineRule="auto"/>
        <w:ind w:left="1080" w:hanging="540"/>
        <w:rPr>
          <w:rFonts w:ascii="Times New Roman" w:eastAsia="Times New Roman" w:hAnsi="Times New Roman" w:cs="Times New Roman"/>
          <w:color w:val="auto"/>
          <w:lang w:val="en-GB" w:eastAsia="en-GB"/>
        </w:rPr>
      </w:pPr>
      <w:r w:rsidRPr="00745AB6">
        <w:rPr>
          <w:rFonts w:ascii="Times New Roman" w:eastAsia="Times New Roman" w:hAnsi="Times New Roman" w:cs="Times New Roman"/>
          <w:lang w:val="en-GB" w:eastAsia="en-GB"/>
        </w:rPr>
        <w:t xml:space="preserve">Williams, J. &amp; Kane, D. (2008). </w:t>
      </w:r>
      <w:r w:rsidRPr="00745AB6">
        <w:rPr>
          <w:rFonts w:ascii="Times New Roman" w:eastAsia="Times New Roman" w:hAnsi="Times New Roman" w:cs="Times New Roman"/>
          <w:i/>
          <w:lang w:val="en-GB" w:eastAsia="en-GB"/>
        </w:rPr>
        <w:t>Exploring the National Student Survey: Assessment and feedback issues.</w:t>
      </w:r>
      <w:r w:rsidRPr="00745AB6">
        <w:rPr>
          <w:rFonts w:ascii="Times New Roman" w:eastAsia="Times New Roman" w:hAnsi="Times New Roman" w:cs="Times New Roman"/>
          <w:lang w:val="en-GB" w:eastAsia="en-GB"/>
        </w:rPr>
        <w:t xml:space="preserve"> York: The Higher Education Academy.  </w:t>
      </w:r>
    </w:p>
    <w:p w14:paraId="7111A083" w14:textId="77777777" w:rsidR="00E964B6" w:rsidRPr="00745AB6" w:rsidRDefault="00E964B6" w:rsidP="00E964B6">
      <w:pPr>
        <w:pStyle w:val="Normal1"/>
        <w:spacing w:line="480" w:lineRule="auto"/>
        <w:ind w:left="1080" w:hanging="540"/>
        <w:rPr>
          <w:rFonts w:ascii="Times New Roman" w:eastAsia="Times New Roman" w:hAnsi="Times New Roman" w:cs="Times New Roman"/>
          <w:color w:val="000000" w:themeColor="text1"/>
        </w:rPr>
      </w:pPr>
      <w:r w:rsidRPr="00745AB6">
        <w:rPr>
          <w:rFonts w:ascii="Times New Roman" w:eastAsia="Times New Roman" w:hAnsi="Times New Roman" w:cs="Times New Roman"/>
          <w:color w:val="000000" w:themeColor="text1"/>
        </w:rPr>
        <w:t xml:space="preserve">Williams, J., &amp; Kane, D. (2009). Assessment and feedback: institutional experiences of student feedback, 1996 to 2007. </w:t>
      </w:r>
      <w:r w:rsidRPr="00745AB6">
        <w:rPr>
          <w:rFonts w:ascii="Times New Roman" w:eastAsia="Times New Roman" w:hAnsi="Times New Roman" w:cs="Times New Roman"/>
          <w:i/>
          <w:color w:val="000000" w:themeColor="text1"/>
        </w:rPr>
        <w:t>Higher Education Quarterly, 63</w:t>
      </w:r>
      <w:r w:rsidRPr="00745AB6">
        <w:rPr>
          <w:rFonts w:ascii="Times New Roman" w:eastAsia="Times New Roman" w:hAnsi="Times New Roman" w:cs="Times New Roman"/>
          <w:color w:val="000000" w:themeColor="text1"/>
        </w:rPr>
        <w:t>, 264-286.</w:t>
      </w:r>
    </w:p>
    <w:p w14:paraId="4C47C59D" w14:textId="77777777" w:rsidR="00E964B6" w:rsidRDefault="00E964B6" w:rsidP="00E964B6">
      <w:pPr>
        <w:pStyle w:val="Normal1"/>
        <w:spacing w:line="480" w:lineRule="auto"/>
        <w:ind w:left="1080" w:hanging="540"/>
        <w:rPr>
          <w:rFonts w:ascii="Times New Roman" w:eastAsia="Times New Roman" w:hAnsi="Times New Roman" w:cs="Times New Roman"/>
        </w:rPr>
      </w:pPr>
      <w:proofErr w:type="spellStart"/>
      <w:r>
        <w:rPr>
          <w:rFonts w:ascii="Times New Roman" w:eastAsia="Times New Roman" w:hAnsi="Times New Roman" w:cs="Times New Roman"/>
        </w:rPr>
        <w:t>Wulf</w:t>
      </w:r>
      <w:proofErr w:type="spellEnd"/>
      <w:r>
        <w:rPr>
          <w:rFonts w:ascii="Times New Roman" w:eastAsia="Times New Roman" w:hAnsi="Times New Roman" w:cs="Times New Roman"/>
        </w:rPr>
        <w:t xml:space="preserve">, G., </w:t>
      </w: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C. H., &amp; </w:t>
      </w:r>
      <w:proofErr w:type="spellStart"/>
      <w:r>
        <w:rPr>
          <w:rFonts w:ascii="Times New Roman" w:eastAsia="Times New Roman" w:hAnsi="Times New Roman" w:cs="Times New Roman"/>
        </w:rPr>
        <w:t>Matschiner</w:t>
      </w:r>
      <w:proofErr w:type="spellEnd"/>
      <w:r>
        <w:rPr>
          <w:rFonts w:ascii="Times New Roman" w:eastAsia="Times New Roman" w:hAnsi="Times New Roman" w:cs="Times New Roman"/>
        </w:rPr>
        <w:t xml:space="preserve">, S. (1998). Frequent feedback across stages of learning: feedback enhances complex motor skill learning. </w:t>
      </w:r>
      <w:r>
        <w:rPr>
          <w:rFonts w:ascii="Times New Roman" w:eastAsia="Times New Roman" w:hAnsi="Times New Roman" w:cs="Times New Roman"/>
          <w:i/>
        </w:rPr>
        <w:t>Journal of Motor Behaviour, 30,</w:t>
      </w:r>
      <w:r>
        <w:rPr>
          <w:rFonts w:ascii="Times New Roman" w:eastAsia="Times New Roman" w:hAnsi="Times New Roman" w:cs="Times New Roman"/>
        </w:rPr>
        <w:t xml:space="preserve"> 180-192.</w:t>
      </w:r>
    </w:p>
    <w:p w14:paraId="7874F3F8"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39C06C6D"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260C6AD7" w14:textId="77777777" w:rsidR="00E964B6" w:rsidRDefault="00E964B6" w:rsidP="00E964B6">
      <w:pPr>
        <w:pStyle w:val="Normal1"/>
        <w:spacing w:line="480" w:lineRule="auto"/>
        <w:rPr>
          <w:rFonts w:ascii="Times New Roman" w:eastAsia="Times New Roman" w:hAnsi="Times New Roman" w:cs="Times New Roman"/>
        </w:rPr>
      </w:pPr>
    </w:p>
    <w:p w14:paraId="456B7A65"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Footnote</w:t>
      </w:r>
    </w:p>
    <w:p w14:paraId="474348B0" w14:textId="77777777" w:rsidR="00E964B6" w:rsidRDefault="00E964B6" w:rsidP="00E964B6">
      <w:pPr>
        <w:pStyle w:val="Normal1"/>
        <w:spacing w:line="480" w:lineRule="auto"/>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Whilst the pedagogically informed feedback sheet has been used to assess a laboratory report style assignment in the present research it can be easily adapted, through the stems and section headers to fit numbers, assessment types (development of health promotion campaigns, grant applications and client reports) and delivery methods (e.g., written, </w:t>
      </w:r>
      <w:proofErr w:type="spellStart"/>
      <w:r>
        <w:rPr>
          <w:rFonts w:ascii="Times New Roman" w:eastAsia="Times New Roman" w:hAnsi="Times New Roman" w:cs="Times New Roman"/>
        </w:rPr>
        <w:t>vivas</w:t>
      </w:r>
      <w:proofErr w:type="spellEnd"/>
      <w:r>
        <w:rPr>
          <w:rFonts w:ascii="Times New Roman" w:eastAsia="Times New Roman" w:hAnsi="Times New Roman" w:cs="Times New Roman"/>
        </w:rPr>
        <w:t>, practical assessments and presentations).</w:t>
      </w:r>
    </w:p>
    <w:p w14:paraId="7B48532A"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0AB5A30"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8AF9483"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32E164D2"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BE5901A"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D5F7B0"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B8BBDEE"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B0226A2"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C90EBA9"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EAD6336"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4CC3E246"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11CC7CD9"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CDE51B8"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27F1E539"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5F38C69"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B5E3D4F"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1962DD23"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CA4EAD"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C38F6D8"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062BEEB" w14:textId="77777777" w:rsidR="00E964B6" w:rsidRDefault="00E964B6" w:rsidP="00E964B6">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Table 1: Summary of means and standard deviations from paired samples t-test.</w:t>
      </w:r>
    </w:p>
    <w:p w14:paraId="47432BE4"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381"/>
        <w:gridCol w:w="3096"/>
        <w:gridCol w:w="3548"/>
      </w:tblGrid>
      <w:tr w:rsidR="00E964B6" w14:paraId="70F5A759" w14:textId="77777777" w:rsidTr="009C0811">
        <w:trPr>
          <w:trHeight w:val="1060"/>
        </w:trPr>
        <w:tc>
          <w:tcPr>
            <w:tcW w:w="2380" w:type="dxa"/>
            <w:tcBorders>
              <w:top w:val="single" w:sz="7" w:space="0" w:color="000000"/>
              <w:left w:val="single" w:sz="7" w:space="0" w:color="BFBFBF"/>
              <w:bottom w:val="single" w:sz="7" w:space="0" w:color="000000"/>
              <w:right w:val="single" w:sz="7" w:space="0" w:color="BFBFBF"/>
            </w:tcBorders>
            <w:tcMar>
              <w:top w:w="100" w:type="dxa"/>
              <w:left w:w="100" w:type="dxa"/>
              <w:bottom w:w="100" w:type="dxa"/>
              <w:right w:w="100" w:type="dxa"/>
            </w:tcMar>
          </w:tcPr>
          <w:p w14:paraId="76F7A098"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Outcome</w:t>
            </w:r>
          </w:p>
        </w:tc>
        <w:tc>
          <w:tcPr>
            <w:tcW w:w="3096" w:type="dxa"/>
            <w:tcBorders>
              <w:top w:val="single" w:sz="7" w:space="0" w:color="000000"/>
              <w:left w:val="nil"/>
              <w:bottom w:val="single" w:sz="7" w:space="0" w:color="000000"/>
              <w:right w:val="single" w:sz="7" w:space="0" w:color="BFBFBF"/>
            </w:tcBorders>
            <w:tcMar>
              <w:top w:w="100" w:type="dxa"/>
              <w:left w:w="100" w:type="dxa"/>
              <w:bottom w:w="100" w:type="dxa"/>
              <w:right w:w="100" w:type="dxa"/>
            </w:tcMar>
          </w:tcPr>
          <w:p w14:paraId="14D8CE19"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Standard Feedback </w:t>
            </w:r>
            <w:proofErr w:type="spellStart"/>
            <w:r>
              <w:rPr>
                <w:rFonts w:ascii="Times New Roman" w:eastAsia="Times New Roman" w:hAnsi="Times New Roman" w:cs="Times New Roman"/>
              </w:rPr>
              <w:t>Proforma</w:t>
            </w:r>
            <w:proofErr w:type="spellEnd"/>
          </w:p>
          <w:p w14:paraId="5C6757B1"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M (SD)</w:t>
            </w:r>
          </w:p>
        </w:tc>
        <w:tc>
          <w:tcPr>
            <w:tcW w:w="3548" w:type="dxa"/>
            <w:tcBorders>
              <w:top w:val="single" w:sz="7" w:space="0" w:color="000000"/>
              <w:left w:val="nil"/>
              <w:bottom w:val="single" w:sz="7" w:space="0" w:color="000000"/>
              <w:right w:val="single" w:sz="7" w:space="0" w:color="BFBFBF"/>
            </w:tcBorders>
            <w:tcMar>
              <w:top w:w="100" w:type="dxa"/>
              <w:left w:w="100" w:type="dxa"/>
              <w:bottom w:w="100" w:type="dxa"/>
              <w:right w:w="100" w:type="dxa"/>
            </w:tcMar>
          </w:tcPr>
          <w:p w14:paraId="039C0D80"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Pedagogically Informed </w:t>
            </w:r>
            <w:proofErr w:type="spellStart"/>
            <w:r>
              <w:rPr>
                <w:rFonts w:ascii="Times New Roman" w:eastAsia="Times New Roman" w:hAnsi="Times New Roman" w:cs="Times New Roman"/>
              </w:rPr>
              <w:t>Proforma</w:t>
            </w:r>
            <w:proofErr w:type="spellEnd"/>
          </w:p>
          <w:p w14:paraId="14BEA611"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M (SD)</w:t>
            </w:r>
          </w:p>
        </w:tc>
      </w:tr>
      <w:tr w:rsidR="00E964B6" w14:paraId="24F21E80" w14:textId="77777777" w:rsidTr="009C0811">
        <w:trPr>
          <w:trHeight w:val="500"/>
        </w:trPr>
        <w:tc>
          <w:tcPr>
            <w:tcW w:w="2380" w:type="dxa"/>
            <w:tcBorders>
              <w:top w:val="nil"/>
              <w:left w:val="single" w:sz="7" w:space="0" w:color="BFBFBF"/>
              <w:bottom w:val="nil"/>
              <w:right w:val="single" w:sz="7" w:space="0" w:color="BFBFBF"/>
            </w:tcBorders>
            <w:tcMar>
              <w:top w:w="100" w:type="dxa"/>
              <w:left w:w="100" w:type="dxa"/>
              <w:bottom w:w="100" w:type="dxa"/>
              <w:right w:w="100" w:type="dxa"/>
            </w:tcMar>
          </w:tcPr>
          <w:p w14:paraId="1B2204FC"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Functionality</w:t>
            </w:r>
          </w:p>
        </w:tc>
        <w:tc>
          <w:tcPr>
            <w:tcW w:w="3096" w:type="dxa"/>
            <w:tcBorders>
              <w:top w:val="nil"/>
              <w:left w:val="nil"/>
              <w:bottom w:val="nil"/>
              <w:right w:val="single" w:sz="7" w:space="0" w:color="BFBFBF"/>
            </w:tcBorders>
            <w:tcMar>
              <w:top w:w="100" w:type="dxa"/>
              <w:left w:w="100" w:type="dxa"/>
              <w:bottom w:w="100" w:type="dxa"/>
              <w:right w:w="100" w:type="dxa"/>
            </w:tcMar>
          </w:tcPr>
          <w:p w14:paraId="0325F092"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17.98 (3.51)</w:t>
            </w:r>
          </w:p>
        </w:tc>
        <w:tc>
          <w:tcPr>
            <w:tcW w:w="3548" w:type="dxa"/>
            <w:tcBorders>
              <w:top w:val="nil"/>
              <w:left w:val="nil"/>
              <w:bottom w:val="nil"/>
              <w:right w:val="single" w:sz="7" w:space="0" w:color="BFBFBF"/>
            </w:tcBorders>
            <w:tcMar>
              <w:top w:w="100" w:type="dxa"/>
              <w:left w:w="100" w:type="dxa"/>
              <w:bottom w:w="100" w:type="dxa"/>
              <w:right w:w="100" w:type="dxa"/>
            </w:tcMar>
          </w:tcPr>
          <w:p w14:paraId="618ACD48"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23.34 (2.96)</w:t>
            </w:r>
          </w:p>
        </w:tc>
      </w:tr>
      <w:tr w:rsidR="00E964B6" w14:paraId="341D9583" w14:textId="77777777" w:rsidTr="009C0811">
        <w:trPr>
          <w:trHeight w:val="480"/>
        </w:trPr>
        <w:tc>
          <w:tcPr>
            <w:tcW w:w="2380" w:type="dxa"/>
            <w:tcBorders>
              <w:top w:val="nil"/>
              <w:left w:val="single" w:sz="7" w:space="0" w:color="BFBFBF"/>
              <w:bottom w:val="single" w:sz="7" w:space="0" w:color="BFBFBF"/>
              <w:right w:val="single" w:sz="7" w:space="0" w:color="BFBFBF"/>
            </w:tcBorders>
            <w:tcMar>
              <w:top w:w="100" w:type="dxa"/>
              <w:left w:w="100" w:type="dxa"/>
              <w:bottom w:w="100" w:type="dxa"/>
              <w:right w:w="100" w:type="dxa"/>
            </w:tcMar>
          </w:tcPr>
          <w:p w14:paraId="7788C8B9"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Likelihood of use</w:t>
            </w:r>
          </w:p>
        </w:tc>
        <w:tc>
          <w:tcPr>
            <w:tcW w:w="3096" w:type="dxa"/>
            <w:tcBorders>
              <w:top w:val="nil"/>
              <w:left w:val="nil"/>
              <w:bottom w:val="single" w:sz="7" w:space="0" w:color="BFBFBF"/>
              <w:right w:val="single" w:sz="7" w:space="0" w:color="BFBFBF"/>
            </w:tcBorders>
            <w:tcMar>
              <w:top w:w="100" w:type="dxa"/>
              <w:left w:w="100" w:type="dxa"/>
              <w:bottom w:w="100" w:type="dxa"/>
              <w:right w:w="100" w:type="dxa"/>
            </w:tcMar>
          </w:tcPr>
          <w:p w14:paraId="55895233"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5.71 (1.98)</w:t>
            </w:r>
          </w:p>
        </w:tc>
        <w:tc>
          <w:tcPr>
            <w:tcW w:w="3548" w:type="dxa"/>
            <w:tcBorders>
              <w:top w:val="nil"/>
              <w:left w:val="nil"/>
              <w:bottom w:val="single" w:sz="7" w:space="0" w:color="BFBFBF"/>
              <w:right w:val="single" w:sz="7" w:space="0" w:color="BFBFBF"/>
            </w:tcBorders>
            <w:tcMar>
              <w:top w:w="100" w:type="dxa"/>
              <w:left w:w="100" w:type="dxa"/>
              <w:bottom w:w="100" w:type="dxa"/>
              <w:right w:w="100" w:type="dxa"/>
            </w:tcMar>
          </w:tcPr>
          <w:p w14:paraId="10234513"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7.76 (1.33)</w:t>
            </w:r>
          </w:p>
        </w:tc>
      </w:tr>
      <w:tr w:rsidR="00E964B6" w14:paraId="537B7C25" w14:textId="77777777" w:rsidTr="009C0811">
        <w:trPr>
          <w:trHeight w:val="500"/>
        </w:trPr>
        <w:tc>
          <w:tcPr>
            <w:tcW w:w="2380" w:type="dxa"/>
            <w:tcBorders>
              <w:top w:val="nil"/>
              <w:left w:val="single" w:sz="7" w:space="0" w:color="BFBFBF"/>
              <w:bottom w:val="single" w:sz="7" w:space="0" w:color="BFBFBF"/>
              <w:right w:val="single" w:sz="7" w:space="0" w:color="BFBFBF"/>
            </w:tcBorders>
            <w:tcMar>
              <w:top w:w="100" w:type="dxa"/>
              <w:left w:w="100" w:type="dxa"/>
              <w:bottom w:w="100" w:type="dxa"/>
              <w:right w:w="100" w:type="dxa"/>
            </w:tcMar>
          </w:tcPr>
          <w:p w14:paraId="6DFD917D"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Ease of use</w:t>
            </w:r>
          </w:p>
        </w:tc>
        <w:tc>
          <w:tcPr>
            <w:tcW w:w="3096" w:type="dxa"/>
            <w:tcBorders>
              <w:top w:val="nil"/>
              <w:left w:val="nil"/>
              <w:bottom w:val="single" w:sz="7" w:space="0" w:color="BFBFBF"/>
              <w:right w:val="single" w:sz="7" w:space="0" w:color="BFBFBF"/>
            </w:tcBorders>
            <w:tcMar>
              <w:top w:w="100" w:type="dxa"/>
              <w:left w:w="100" w:type="dxa"/>
              <w:bottom w:w="100" w:type="dxa"/>
              <w:right w:w="100" w:type="dxa"/>
            </w:tcMar>
          </w:tcPr>
          <w:p w14:paraId="33C34C84"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4.91 (1.96)</w:t>
            </w:r>
          </w:p>
        </w:tc>
        <w:tc>
          <w:tcPr>
            <w:tcW w:w="3548" w:type="dxa"/>
            <w:tcBorders>
              <w:top w:val="nil"/>
              <w:left w:val="nil"/>
              <w:bottom w:val="single" w:sz="7" w:space="0" w:color="BFBFBF"/>
              <w:right w:val="single" w:sz="7" w:space="0" w:color="BFBFBF"/>
            </w:tcBorders>
            <w:tcMar>
              <w:top w:w="100" w:type="dxa"/>
              <w:left w:w="100" w:type="dxa"/>
              <w:bottom w:w="100" w:type="dxa"/>
              <w:right w:w="100" w:type="dxa"/>
            </w:tcMar>
          </w:tcPr>
          <w:p w14:paraId="665B3134"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7.67 (1.61)</w:t>
            </w:r>
          </w:p>
        </w:tc>
      </w:tr>
      <w:tr w:rsidR="00E964B6" w14:paraId="291355A8" w14:textId="77777777" w:rsidTr="009C0811">
        <w:trPr>
          <w:trHeight w:val="500"/>
        </w:trPr>
        <w:tc>
          <w:tcPr>
            <w:tcW w:w="2380" w:type="dxa"/>
            <w:tcBorders>
              <w:top w:val="nil"/>
              <w:left w:val="single" w:sz="7" w:space="0" w:color="BFBFBF"/>
              <w:bottom w:val="single" w:sz="7" w:space="0" w:color="000000"/>
              <w:right w:val="single" w:sz="7" w:space="0" w:color="BFBFBF"/>
            </w:tcBorders>
            <w:tcMar>
              <w:top w:w="100" w:type="dxa"/>
              <w:left w:w="100" w:type="dxa"/>
              <w:bottom w:w="100" w:type="dxa"/>
              <w:right w:w="100" w:type="dxa"/>
            </w:tcMar>
          </w:tcPr>
          <w:p w14:paraId="435672A1"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Confidence</w:t>
            </w:r>
          </w:p>
        </w:tc>
        <w:tc>
          <w:tcPr>
            <w:tcW w:w="3096" w:type="dxa"/>
            <w:tcBorders>
              <w:top w:val="nil"/>
              <w:left w:val="nil"/>
              <w:bottom w:val="single" w:sz="7" w:space="0" w:color="000000"/>
              <w:right w:val="single" w:sz="7" w:space="0" w:color="BFBFBF"/>
            </w:tcBorders>
            <w:tcMar>
              <w:top w:w="100" w:type="dxa"/>
              <w:left w:w="100" w:type="dxa"/>
              <w:bottom w:w="100" w:type="dxa"/>
              <w:right w:w="100" w:type="dxa"/>
            </w:tcMar>
          </w:tcPr>
          <w:p w14:paraId="66786680"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4.00 (2.79)</w:t>
            </w:r>
          </w:p>
        </w:tc>
        <w:tc>
          <w:tcPr>
            <w:tcW w:w="3548" w:type="dxa"/>
            <w:tcBorders>
              <w:top w:val="nil"/>
              <w:left w:val="nil"/>
              <w:bottom w:val="single" w:sz="7" w:space="0" w:color="000000"/>
              <w:right w:val="single" w:sz="7" w:space="0" w:color="BFBFBF"/>
            </w:tcBorders>
            <w:tcMar>
              <w:top w:w="100" w:type="dxa"/>
              <w:left w:w="100" w:type="dxa"/>
              <w:bottom w:w="100" w:type="dxa"/>
              <w:right w:w="100" w:type="dxa"/>
            </w:tcMar>
          </w:tcPr>
          <w:p w14:paraId="34011870" w14:textId="77777777" w:rsidR="00E964B6" w:rsidRDefault="00E964B6" w:rsidP="009C0811">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8.00 (2.66)</w:t>
            </w:r>
          </w:p>
        </w:tc>
      </w:tr>
    </w:tbl>
    <w:p w14:paraId="65C9E71E" w14:textId="77777777" w:rsidR="00E964B6" w:rsidRDefault="00E964B6" w:rsidP="00E964B6">
      <w:pPr>
        <w:pStyle w:val="Normal1"/>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DB468FB" w14:textId="77777777" w:rsidR="00973D0C" w:rsidRDefault="00973D0C"/>
    <w:sectPr w:rsidR="00973D0C" w:rsidSect="00973D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B6"/>
    <w:rsid w:val="00745AB6"/>
    <w:rsid w:val="008C1C8D"/>
    <w:rsid w:val="00973D0C"/>
    <w:rsid w:val="00E964B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6D8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64B6"/>
    <w:pPr>
      <w:pBdr>
        <w:top w:val="nil"/>
        <w:left w:val="nil"/>
        <w:bottom w:val="nil"/>
        <w:right w:val="nil"/>
        <w:between w:val="nil"/>
      </w:pBdr>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64B6"/>
    <w:pPr>
      <w:pBdr>
        <w:top w:val="nil"/>
        <w:left w:val="nil"/>
        <w:bottom w:val="nil"/>
        <w:right w:val="nil"/>
        <w:between w:val="nil"/>
      </w:pBdr>
    </w:pPr>
    <w:rPr>
      <w:rFonts w:ascii="Calibri" w:eastAsia="Calibri" w:hAnsi="Calibri" w:cs="Calibri"/>
      <w:color w:val="000000"/>
      <w:lang w:val="en-US"/>
    </w:rPr>
  </w:style>
  <w:style w:type="character" w:customStyle="1" w:styleId="apple-converted-space">
    <w:name w:val="apple-converted-space"/>
    <w:basedOn w:val="DefaultParagraphFont"/>
    <w:rsid w:val="0074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170616">
      <w:bodyDiv w:val="1"/>
      <w:marLeft w:val="0"/>
      <w:marRight w:val="0"/>
      <w:marTop w:val="0"/>
      <w:marBottom w:val="0"/>
      <w:divBdr>
        <w:top w:val="none" w:sz="0" w:space="0" w:color="auto"/>
        <w:left w:val="none" w:sz="0" w:space="0" w:color="auto"/>
        <w:bottom w:val="none" w:sz="0" w:space="0" w:color="auto"/>
        <w:right w:val="none" w:sz="0" w:space="0" w:color="auto"/>
      </w:divBdr>
    </w:div>
    <w:div w:id="1652904850">
      <w:bodyDiv w:val="1"/>
      <w:marLeft w:val="0"/>
      <w:marRight w:val="0"/>
      <w:marTop w:val="0"/>
      <w:marBottom w:val="0"/>
      <w:divBdr>
        <w:top w:val="none" w:sz="0" w:space="0" w:color="auto"/>
        <w:left w:val="none" w:sz="0" w:space="0" w:color="auto"/>
        <w:bottom w:val="none" w:sz="0" w:space="0" w:color="auto"/>
        <w:right w:val="none" w:sz="0" w:space="0" w:color="auto"/>
      </w:divBdr>
    </w:div>
    <w:div w:id="1672221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epi.ac.uk/wp-content/uploads/2016/06/Student-Academic-Experience-Survey-2016.pdf" TargetMode="External"/><Relationship Id="rId5" Type="http://schemas.openxmlformats.org/officeDocument/2006/relationships/hyperlink" Target="http://www.hepi.ac.uk/wp-content/uploads/2016/06/Student-Academic-Experience-Survey-2016.pdf" TargetMode="External"/><Relationship Id="rId6" Type="http://schemas.openxmlformats.org/officeDocument/2006/relationships/hyperlink" Target="https://www.theguardian.com/education/ng-interactive/2016/may/23/universit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5233</Words>
  <Characters>29830</Characters>
  <Application>Microsoft Macintosh Word</Application>
  <DocSecurity>0</DocSecurity>
  <Lines>248</Lines>
  <Paragraphs>69</Paragraphs>
  <ScaleCrop>false</ScaleCrop>
  <Company>Swansea University</Company>
  <LinksUpToDate>false</LinksUpToDate>
  <CharactersWithSpaces>34994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Hudson</dc:creator>
  <cp:keywords/>
  <dc:description/>
  <cp:lastModifiedBy>Laura Thomas</cp:lastModifiedBy>
  <cp:revision>2</cp:revision>
  <dcterms:created xsi:type="dcterms:W3CDTF">2017-09-13T15:20:00Z</dcterms:created>
  <dcterms:modified xsi:type="dcterms:W3CDTF">2017-09-13T15:20:00Z</dcterms:modified>
</cp:coreProperties>
</file>