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39" w:rsidRDefault="007B1E8C" w:rsidP="001D12ED">
      <w:pPr>
        <w:pStyle w:val="Heading1"/>
        <w:jc w:val="center"/>
      </w:pPr>
      <w:bookmarkStart w:id="0" w:name="_GoBack"/>
      <w:bookmarkEnd w:id="0"/>
      <w:r>
        <w:t>Criminal Law and the Society of Legal Scholars</w:t>
      </w:r>
    </w:p>
    <w:p w:rsidR="007B1E8C" w:rsidRDefault="007B1E8C" w:rsidP="001D12ED">
      <w:pPr>
        <w:pStyle w:val="Heading2"/>
        <w:jc w:val="center"/>
      </w:pPr>
      <w:r>
        <w:t>Hannah Quirk and Natalie Wortley</w:t>
      </w:r>
      <w:r w:rsidR="00F04CFC" w:rsidRPr="00F04CFC">
        <w:rPr>
          <w:rStyle w:val="FootnoteReference"/>
        </w:rPr>
        <w:footnoteReference w:customMarkFollows="1" w:id="1"/>
        <w:sym w:font="Symbol" w:char="F02A"/>
      </w:r>
    </w:p>
    <w:p w:rsidR="007B1E8C" w:rsidRDefault="007B1E8C" w:rsidP="007B1E8C"/>
    <w:p w:rsidR="00984F9E" w:rsidRDefault="008F7A3D" w:rsidP="007B1E8C">
      <w:r>
        <w:t>This special issue was born from the Society of Legal Scholars (SLS) Annual Conference 2016.</w:t>
      </w:r>
      <w:r w:rsidR="00F04CFC">
        <w:rPr>
          <w:rStyle w:val="FootnoteReference"/>
        </w:rPr>
        <w:footnoteReference w:id="2"/>
      </w:r>
      <w:r>
        <w:t xml:space="preserve"> As joint convenors of the</w:t>
      </w:r>
      <w:r w:rsidR="007B1E8C">
        <w:t xml:space="preserve"> Criminal Justice </w:t>
      </w:r>
      <w:r w:rsidR="00DF2C9D">
        <w:t xml:space="preserve">section, </w:t>
      </w:r>
      <w:r>
        <w:t xml:space="preserve">we initially planned </w:t>
      </w:r>
      <w:r w:rsidR="001D12ED">
        <w:t xml:space="preserve">this </w:t>
      </w:r>
      <w:r w:rsidR="007140B0">
        <w:t xml:space="preserve">collection </w:t>
      </w:r>
      <w:r w:rsidR="001D12ED">
        <w:t xml:space="preserve">would </w:t>
      </w:r>
      <w:proofErr w:type="gramStart"/>
      <w:r>
        <w:t>showcase</w:t>
      </w:r>
      <w:proofErr w:type="gramEnd"/>
      <w:r>
        <w:t xml:space="preserve"> some of the interesting work that was presented there</w:t>
      </w:r>
      <w:r w:rsidR="001D12ED">
        <w:t>. D</w:t>
      </w:r>
      <w:r>
        <w:t>evelopments in politics and policy making</w:t>
      </w:r>
      <w:r w:rsidR="001D12ED">
        <w:t>, however,</w:t>
      </w:r>
      <w:r>
        <w:t xml:space="preserve"> suggested that </w:t>
      </w:r>
      <w:proofErr w:type="gramStart"/>
      <w:r>
        <w:t>this was a</w:t>
      </w:r>
      <w:r w:rsidR="007140B0">
        <w:t>n opportune</w:t>
      </w:r>
      <w:r>
        <w:t xml:space="preserve"> moment for broader reflection about</w:t>
      </w:r>
      <w:r w:rsidR="007B1E8C">
        <w:t xml:space="preserve"> some of the issues that are </w:t>
      </w:r>
      <w:r w:rsidR="001D12ED">
        <w:t>of topical interest</w:t>
      </w:r>
      <w:proofErr w:type="gramEnd"/>
      <w:r w:rsidR="00F04CFC">
        <w:t xml:space="preserve"> and we are grateful to the editors of the </w:t>
      </w:r>
      <w:r w:rsidR="00F04CFC">
        <w:rPr>
          <w:i/>
        </w:rPr>
        <w:t>Journal of Criminal Law</w:t>
      </w:r>
      <w:r w:rsidR="00F04CFC">
        <w:t xml:space="preserve"> for giving us a forum to develop some of these ideas</w:t>
      </w:r>
      <w:r w:rsidR="007B1E8C">
        <w:t xml:space="preserve">. </w:t>
      </w:r>
    </w:p>
    <w:p w:rsidR="007B1E8C" w:rsidRDefault="007B1E8C" w:rsidP="007B1E8C">
      <w:r>
        <w:t>Between 1993 and 2010, crime and criminal justice policy was one of t</w:t>
      </w:r>
      <w:r w:rsidR="00F04CFC">
        <w:t>he most potent electoral issues; in 2015 and 2017, it barely featured.</w:t>
      </w:r>
      <w:r w:rsidR="00984F9E">
        <w:t xml:space="preserve"> </w:t>
      </w:r>
      <w:r w:rsidR="00F04CFC">
        <w:t>The first</w:t>
      </w:r>
      <w:r>
        <w:t xml:space="preserve"> period arguably began</w:t>
      </w:r>
      <w:r w:rsidR="001D12ED">
        <w:rPr>
          <w:rStyle w:val="FootnoteReference"/>
        </w:rPr>
        <w:footnoteReference w:id="3"/>
      </w:r>
      <w:r w:rsidR="001D12ED">
        <w:t xml:space="preserve"> </w:t>
      </w:r>
      <w:r>
        <w:t xml:space="preserve"> with the announcement of Michael Howard’s 27-point crackdown on crime to the Conservative Party Conference 1993, including his infamous claim that ‘prison works’. His Labour Shadow Home Secretary</w:t>
      </w:r>
      <w:r w:rsidR="00984F9E">
        <w:t>, Tony Blair,</w:t>
      </w:r>
      <w:r>
        <w:t xml:space="preserve"> </w:t>
      </w:r>
      <w:r w:rsidR="001D12ED">
        <w:t xml:space="preserve">with a similar </w:t>
      </w:r>
      <w:r w:rsidR="007140B0">
        <w:t xml:space="preserve">talent </w:t>
      </w:r>
      <w:r w:rsidR="001D12ED">
        <w:t xml:space="preserve">for a soundbite, </w:t>
      </w:r>
      <w:r>
        <w:t>promised to be ‘tough on crime</w:t>
      </w:r>
      <w:r w:rsidR="00A10666">
        <w:t xml:space="preserve"> and</w:t>
      </w:r>
      <w:r>
        <w:t xml:space="preserve"> tough on the causes of crime’</w:t>
      </w:r>
      <w:r w:rsidR="003F7E43">
        <w:rPr>
          <w:rStyle w:val="FootnoteReference"/>
        </w:rPr>
        <w:footnoteReference w:id="4"/>
      </w:r>
      <w:r w:rsidR="003F7E43">
        <w:t xml:space="preserve"> and the Labour Party duly abstained</w:t>
      </w:r>
      <w:r w:rsidR="00DF2C9D">
        <w:t xml:space="preserve"> from voting</w:t>
      </w:r>
      <w:r w:rsidR="003F7E43">
        <w:t xml:space="preserve"> on the </w:t>
      </w:r>
      <w:r w:rsidR="001D12ED">
        <w:t xml:space="preserve">momentous </w:t>
      </w:r>
      <w:r w:rsidR="003F7E43">
        <w:t>Criminal Justice</w:t>
      </w:r>
      <w:r w:rsidR="00984F9E">
        <w:t xml:space="preserve"> and Public Order Act 1994</w:t>
      </w:r>
      <w:r w:rsidR="00DF2C9D">
        <w:t xml:space="preserve"> (‘CJPOA’)</w:t>
      </w:r>
      <w:r w:rsidR="00F04CFC">
        <w:t>. This controversial Act</w:t>
      </w:r>
      <w:r w:rsidR="00984F9E">
        <w:t xml:space="preserve"> </w:t>
      </w:r>
      <w:r w:rsidR="007140B0">
        <w:t xml:space="preserve">attracted protests against </w:t>
      </w:r>
      <w:r w:rsidR="00984F9E">
        <w:t>provisions that</w:t>
      </w:r>
      <w:r w:rsidR="003F7E43">
        <w:t xml:space="preserve"> curtailed the right of silence</w:t>
      </w:r>
      <w:r w:rsidR="00984F9E">
        <w:t xml:space="preserve"> and</w:t>
      </w:r>
      <w:r w:rsidR="00F04CFC">
        <w:t xml:space="preserve"> </w:t>
      </w:r>
      <w:r w:rsidR="003F7E43">
        <w:t xml:space="preserve">criminalised </w:t>
      </w:r>
      <w:r w:rsidR="001D12ED">
        <w:t xml:space="preserve">both </w:t>
      </w:r>
      <w:r w:rsidR="003F7E43">
        <w:t xml:space="preserve">protesting against fox hunts, </w:t>
      </w:r>
      <w:r w:rsidR="00984F9E">
        <w:t>and</w:t>
      </w:r>
      <w:r w:rsidR="003F7E43">
        <w:t xml:space="preserve"> attending</w:t>
      </w:r>
      <w:r w:rsidR="00984F9E">
        <w:t xml:space="preserve"> unlicensed</w:t>
      </w:r>
      <w:r w:rsidR="003F7E43">
        <w:t xml:space="preserve"> raves (music </w:t>
      </w:r>
      <w:r w:rsidR="00DF2C9D">
        <w:t>‘</w:t>
      </w:r>
      <w:r w:rsidR="003F7E43">
        <w:t xml:space="preserve">characterised by </w:t>
      </w:r>
      <w:r w:rsidR="00DF2C9D">
        <w:t xml:space="preserve">the emission of </w:t>
      </w:r>
      <w:r w:rsidR="003F7E43">
        <w:t xml:space="preserve">a succession of </w:t>
      </w:r>
      <w:r w:rsidR="00DF2C9D">
        <w:t xml:space="preserve">repetitive </w:t>
      </w:r>
      <w:r w:rsidR="003F7E43">
        <w:t>beats’</w:t>
      </w:r>
      <w:r w:rsidR="00DF2C9D">
        <w:rPr>
          <w:rStyle w:val="FootnoteReference"/>
        </w:rPr>
        <w:footnoteReference w:id="5"/>
      </w:r>
      <w:r w:rsidR="003F7E43">
        <w:t xml:space="preserve">). </w:t>
      </w:r>
      <w:r w:rsidR="001D12ED">
        <w:t xml:space="preserve">Defying straightforward categorisation, </w:t>
      </w:r>
      <w:r w:rsidR="008A683B">
        <w:t xml:space="preserve">the Act also </w:t>
      </w:r>
      <w:r w:rsidR="003F7E43">
        <w:t>reduced the age of consent</w:t>
      </w:r>
      <w:r w:rsidR="001D12ED">
        <w:t xml:space="preserve"> for homosexuals</w:t>
      </w:r>
      <w:r w:rsidR="00E80761">
        <w:t>,</w:t>
      </w:r>
      <w:r w:rsidR="001D12ED">
        <w:t xml:space="preserve"> banned simulated child pornography and extended the definition of rape to include anal rape</w:t>
      </w:r>
      <w:r w:rsidR="003F7E43">
        <w:t xml:space="preserve">. </w:t>
      </w:r>
      <w:r w:rsidR="001D12ED">
        <w:t xml:space="preserve">The CJPOA illustrates many of the </w:t>
      </w:r>
      <w:r w:rsidR="00E80761">
        <w:t>complexities involved in reforming the</w:t>
      </w:r>
      <w:r w:rsidR="001D12ED">
        <w:t xml:space="preserve"> crimin</w:t>
      </w:r>
      <w:r w:rsidR="004E547B">
        <w:t xml:space="preserve">al law: the countervailing political forces; its vulnerability to hastily drafted measures that either never come into force or require amendment; the need to respond to new </w:t>
      </w:r>
      <w:r w:rsidR="00E80761">
        <w:t>harms;</w:t>
      </w:r>
      <w:r w:rsidR="004E547B">
        <w:t xml:space="preserve"> and </w:t>
      </w:r>
      <w:r w:rsidR="00ED4B32">
        <w:t>the need to remove offences</w:t>
      </w:r>
      <w:r w:rsidR="007140B0">
        <w:t xml:space="preserve"> that</w:t>
      </w:r>
      <w:r w:rsidR="00ED4B32">
        <w:t xml:space="preserve"> have</w:t>
      </w:r>
      <w:r w:rsidR="00E80761">
        <w:t xml:space="preserve"> become obsolete</w:t>
      </w:r>
      <w:r w:rsidR="004E547B">
        <w:t xml:space="preserve">. </w:t>
      </w:r>
      <w:r w:rsidR="008F7A3D">
        <w:t xml:space="preserve">Despite the </w:t>
      </w:r>
      <w:r w:rsidR="004E547B">
        <w:t xml:space="preserve">reality of </w:t>
      </w:r>
      <w:r w:rsidR="008F7A3D">
        <w:t xml:space="preserve">falling crime rates, </w:t>
      </w:r>
      <w:r w:rsidR="004E547B">
        <w:t>public perception of the problem – largely whipped up by politicians</w:t>
      </w:r>
      <w:r w:rsidR="008A683B">
        <w:t xml:space="preserve"> -</w:t>
      </w:r>
      <w:r w:rsidR="004E547B">
        <w:t xml:space="preserve"> meant that </w:t>
      </w:r>
      <w:r w:rsidR="008F7A3D">
        <w:t>l</w:t>
      </w:r>
      <w:r w:rsidR="003F7E43">
        <w:t xml:space="preserve">egislation followed </w:t>
      </w:r>
      <w:r w:rsidR="00E80761">
        <w:t xml:space="preserve">the CJPOA </w:t>
      </w:r>
      <w:r w:rsidR="003F7E43">
        <w:t>at a bewildering rate</w:t>
      </w:r>
      <w:r w:rsidR="004E547B">
        <w:t xml:space="preserve">. </w:t>
      </w:r>
      <w:r w:rsidR="00A10666">
        <w:t>Significant developments include: sexual offences being reformed and largely brought together in one Act;</w:t>
      </w:r>
      <w:r w:rsidR="00A10666">
        <w:rPr>
          <w:rStyle w:val="FootnoteReference"/>
        </w:rPr>
        <w:footnoteReference w:id="6"/>
      </w:r>
      <w:r w:rsidR="00A10666">
        <w:t xml:space="preserve">  the expansion of ‘hate crimes’</w:t>
      </w:r>
      <w:r w:rsidR="00A05443">
        <w:t>;</w:t>
      </w:r>
      <w:r w:rsidR="00A10666">
        <w:rPr>
          <w:rStyle w:val="FootnoteReference"/>
        </w:rPr>
        <w:footnoteReference w:id="7"/>
      </w:r>
      <w:r w:rsidR="00A10666">
        <w:t xml:space="preserve"> the criminalisation of new behaviours, </w:t>
      </w:r>
      <w:proofErr w:type="gramStart"/>
      <w:r w:rsidR="00A10666">
        <w:t>in</w:t>
      </w:r>
      <w:proofErr w:type="gramEnd"/>
      <w:r w:rsidR="00A10666">
        <w:t xml:space="preserve"> particular in relation to internet-enabled crime;</w:t>
      </w:r>
      <w:r w:rsidR="00A10666">
        <w:rPr>
          <w:rStyle w:val="FootnoteReference"/>
        </w:rPr>
        <w:footnoteReference w:id="8"/>
      </w:r>
      <w:r w:rsidR="00A10666">
        <w:t xml:space="preserve"> and the repeal of a smaller number of crimes.</w:t>
      </w:r>
      <w:r w:rsidR="00A10666">
        <w:rPr>
          <w:rStyle w:val="FootnoteReference"/>
        </w:rPr>
        <w:footnoteReference w:id="9"/>
      </w:r>
      <w:r w:rsidR="00A10666">
        <w:t xml:space="preserve"> </w:t>
      </w:r>
      <w:r w:rsidR="00E80761">
        <w:t>The increasing number of u</w:t>
      </w:r>
      <w:r w:rsidR="004E547B">
        <w:t>nwieldy</w:t>
      </w:r>
      <w:r w:rsidR="003F7E43">
        <w:t xml:space="preserve"> </w:t>
      </w:r>
      <w:r w:rsidR="00E80761">
        <w:t>statutes</w:t>
      </w:r>
      <w:r w:rsidR="003F7E43">
        <w:t xml:space="preserve"> </w:t>
      </w:r>
      <w:r w:rsidR="00ED3D69">
        <w:t>make</w:t>
      </w:r>
      <w:r w:rsidR="00ED4B32">
        <w:t>s</w:t>
      </w:r>
      <w:r w:rsidR="00ED3D69">
        <w:t xml:space="preserve"> </w:t>
      </w:r>
      <w:r w:rsidR="004E547B">
        <w:t>it a struggle for legal academics to keep up</w:t>
      </w:r>
      <w:r w:rsidR="003F7E43">
        <w:t xml:space="preserve"> – never mind the police, prosecutors, lawyers or of course, members of the public. </w:t>
      </w:r>
    </w:p>
    <w:p w:rsidR="00B47BD3" w:rsidRDefault="008F7A3D" w:rsidP="007B1E8C">
      <w:r>
        <w:lastRenderedPageBreak/>
        <w:t>T</w:t>
      </w:r>
      <w:r w:rsidR="00B47BD3">
        <w:t>his frenetic pace</w:t>
      </w:r>
      <w:r>
        <w:t xml:space="preserve"> notwithstanding</w:t>
      </w:r>
      <w:r w:rsidR="00B47BD3">
        <w:t xml:space="preserve">, </w:t>
      </w:r>
      <w:r w:rsidR="00ED3D69">
        <w:t>significant areas are still untouched. T</w:t>
      </w:r>
      <w:r w:rsidR="00B47BD3">
        <w:t>he Offences Against the Person Act 1865 remains largely Victorian in form</w:t>
      </w:r>
      <w:r w:rsidR="00A05443">
        <w:t>,</w:t>
      </w:r>
      <w:r w:rsidR="00B47BD3">
        <w:t xml:space="preserve"> the homicide offences are </w:t>
      </w:r>
      <w:r w:rsidR="004E547B">
        <w:t>mostly</w:t>
      </w:r>
      <w:r w:rsidR="00B47BD3">
        <w:t xml:space="preserve"> unreformed and</w:t>
      </w:r>
      <w:r w:rsidR="008A683B">
        <w:t>,</w:t>
      </w:r>
      <w:r w:rsidR="00B47BD3">
        <w:t xml:space="preserve"> </w:t>
      </w:r>
      <w:r w:rsidR="008A683B">
        <w:t xml:space="preserve">in the absence of Parliamentary action, </w:t>
      </w:r>
      <w:r w:rsidR="00B47BD3">
        <w:t xml:space="preserve">individuals are </w:t>
      </w:r>
      <w:r w:rsidR="008A683B">
        <w:t xml:space="preserve">reliant upon guidance from the Director of Public Prosecutions and continued attempts </w:t>
      </w:r>
      <w:r w:rsidR="00B47BD3">
        <w:t>seeking judicial approval for assisted dying.</w:t>
      </w:r>
      <w:r w:rsidR="008A683B">
        <w:rPr>
          <w:rStyle w:val="FootnoteReference"/>
        </w:rPr>
        <w:footnoteReference w:id="10"/>
      </w:r>
      <w:r w:rsidR="00984F9E">
        <w:t xml:space="preserve"> Despite </w:t>
      </w:r>
      <w:r w:rsidR="009A3563">
        <w:t xml:space="preserve">the decriminalisation of marijuana use in some states of the United States of America, Portugal and the Netherlands, drug laws in this jurisdiction have only extended their reach – most recently and with apparently unpromising consequences through what must now presumably be called </w:t>
      </w:r>
      <w:r w:rsidR="00ED4B32">
        <w:t>‘</w:t>
      </w:r>
      <w:r w:rsidR="009A3563">
        <w:t>illegal highs</w:t>
      </w:r>
      <w:r w:rsidR="00ED4B32">
        <w:t>’</w:t>
      </w:r>
      <w:r w:rsidR="009A3563">
        <w:t>.</w:t>
      </w:r>
      <w:r w:rsidR="00984F9E">
        <w:rPr>
          <w:rStyle w:val="FootnoteReference"/>
        </w:rPr>
        <w:footnoteReference w:id="11"/>
      </w:r>
    </w:p>
    <w:p w:rsidR="008E6090" w:rsidRDefault="008E6090" w:rsidP="008E6090">
      <w:r>
        <w:t xml:space="preserve">The </w:t>
      </w:r>
      <w:r w:rsidR="00ED3D69">
        <w:t xml:space="preserve">United Kingdom’s planned exit from the European Union will consume most of the energies of the Civil Service and much of Parliament’s attention </w:t>
      </w:r>
      <w:r>
        <w:t xml:space="preserve">for the </w:t>
      </w:r>
      <w:proofErr w:type="gramStart"/>
      <w:r>
        <w:t>foreseeable</w:t>
      </w:r>
      <w:proofErr w:type="gramEnd"/>
      <w:r>
        <w:t xml:space="preserve"> future. Criminal law is one of the areas that is least affected by European law. This lacuna thus </w:t>
      </w:r>
      <w:r w:rsidR="008A683B">
        <w:t xml:space="preserve">offers </w:t>
      </w:r>
      <w:r>
        <w:t xml:space="preserve">an opportune moment </w:t>
      </w:r>
      <w:r w:rsidR="00C834F9">
        <w:t xml:space="preserve">for academics </w:t>
      </w:r>
      <w:r>
        <w:t>to reflect on areas that need attention.</w:t>
      </w:r>
    </w:p>
    <w:p w:rsidR="00F17D8D" w:rsidRDefault="00984F9E">
      <w:proofErr w:type="gramStart"/>
      <w:r>
        <w:t>Programmes or ideas for reform are often first explored by the Law</w:t>
      </w:r>
      <w:r w:rsidR="001525F5">
        <w:t xml:space="preserve"> Commission</w:t>
      </w:r>
      <w:proofErr w:type="gramEnd"/>
      <w:r w:rsidR="00EB5D60">
        <w:t>,</w:t>
      </w:r>
      <w:r w:rsidR="001525F5">
        <w:t xml:space="preserve"> </w:t>
      </w:r>
      <w:r>
        <w:t>a</w:t>
      </w:r>
      <w:r w:rsidR="004E547B">
        <w:t>n independent</w:t>
      </w:r>
      <w:r>
        <w:t xml:space="preserve"> body</w:t>
      </w:r>
      <w:r w:rsidR="004E547B">
        <w:t xml:space="preserve"> established to keep the law of England and Wales under review</w:t>
      </w:r>
      <w:r w:rsidR="001525F5">
        <w:t>, to conduct research and consultations</w:t>
      </w:r>
      <w:r w:rsidR="008E6090">
        <w:t>,</w:t>
      </w:r>
      <w:r w:rsidR="004E547B">
        <w:t xml:space="preserve"> and to recommend any necessary reforms</w:t>
      </w:r>
      <w:r>
        <w:t xml:space="preserve">. </w:t>
      </w:r>
      <w:r w:rsidR="00EB5D60">
        <w:t xml:space="preserve">The Commission aims </w:t>
      </w:r>
      <w:r w:rsidR="001525F5">
        <w:t>to ensure that the law is ‘as fair, modern, simple and as cost-effective as possible’ and to codify the law</w:t>
      </w:r>
      <w:r w:rsidR="00EB5D60">
        <w:t>, reducing the number of separate statutes</w:t>
      </w:r>
      <w:r w:rsidR="001525F5">
        <w:t xml:space="preserve">. </w:t>
      </w:r>
      <w:r w:rsidR="008E6090">
        <w:t>The Commission works closely with academics;</w:t>
      </w:r>
      <w:r w:rsidR="004645EA">
        <w:t xml:space="preserve"> two of the four commissioners are academics.</w:t>
      </w:r>
      <w:r w:rsidR="008E6090">
        <w:t xml:space="preserve"> </w:t>
      </w:r>
      <w:r w:rsidR="00B47BD3">
        <w:t xml:space="preserve">At the SLS Conference last year, </w:t>
      </w:r>
      <w:proofErr w:type="gramStart"/>
      <w:r w:rsidR="00B47BD3">
        <w:t xml:space="preserve">a plenary address was given by Bean LJ and </w:t>
      </w:r>
      <w:r w:rsidR="008E6090">
        <w:t xml:space="preserve">Professor </w:t>
      </w:r>
      <w:r w:rsidR="00B47BD3">
        <w:t xml:space="preserve">David </w:t>
      </w:r>
      <w:proofErr w:type="spellStart"/>
      <w:r w:rsidR="00B47BD3">
        <w:t>Ormerod</w:t>
      </w:r>
      <w:proofErr w:type="spellEnd"/>
      <w:proofErr w:type="gramEnd"/>
      <w:r w:rsidR="00B47BD3">
        <w:t xml:space="preserve"> from the Law Commission</w:t>
      </w:r>
      <w:r w:rsidR="00615D7F">
        <w:t xml:space="preserve">, during which they </w:t>
      </w:r>
      <w:r w:rsidR="00C52FF4">
        <w:t>encouraged academics to engage more often, and more fully, with the Law Commission, both by suggesting potential projects</w:t>
      </w:r>
      <w:r w:rsidR="00C834F9">
        <w:t>, responding to consultations</w:t>
      </w:r>
      <w:r w:rsidR="00C52FF4">
        <w:t xml:space="preserve"> and throughout every project the Commission takes forward</w:t>
      </w:r>
      <w:r w:rsidR="00615D7F">
        <w:t>.</w:t>
      </w:r>
      <w:r w:rsidR="00615D7F">
        <w:rPr>
          <w:rStyle w:val="FootnoteReference"/>
        </w:rPr>
        <w:footnoteReference w:id="12"/>
      </w:r>
      <w:r w:rsidR="00615D7F">
        <w:t xml:space="preserve"> </w:t>
      </w:r>
      <w:r w:rsidR="00B47BD3">
        <w:t xml:space="preserve"> </w:t>
      </w:r>
    </w:p>
    <w:p w:rsidR="00B47BD3" w:rsidRDefault="00984F9E">
      <w:r>
        <w:t>In recent years, the Law Commission has adjusted</w:t>
      </w:r>
      <w:r w:rsidR="00B47BD3">
        <w:t xml:space="preserve"> its approach to focusing only on areas that </w:t>
      </w:r>
      <w:r w:rsidR="00FF1AE0">
        <w:t>it thinks are likely to find a receptive audience in Whitehall.</w:t>
      </w:r>
      <w:r w:rsidR="00615D7F">
        <w:rPr>
          <w:rStyle w:val="FootnoteReference"/>
        </w:rPr>
        <w:footnoteReference w:id="13"/>
      </w:r>
      <w:r w:rsidR="00FF1AE0">
        <w:t xml:space="preserve"> </w:t>
      </w:r>
      <w:r>
        <w:t xml:space="preserve">It explains this as a </w:t>
      </w:r>
      <w:r w:rsidR="00133530">
        <w:t xml:space="preserve">pragmatic </w:t>
      </w:r>
      <w:r>
        <w:t>response to its need to reduce expenditure</w:t>
      </w:r>
      <w:r w:rsidR="00133530">
        <w:t xml:space="preserve">. It was clearly frustrating that after its highly regarded enquiries into reforming the homicide offences, </w:t>
      </w:r>
      <w:r w:rsidR="00F17D8D">
        <w:t>only limited, piecemeal reform</w:t>
      </w:r>
      <w:r w:rsidR="00133530">
        <w:t xml:space="preserve"> was </w:t>
      </w:r>
      <w:r w:rsidR="00F17D8D">
        <w:t>under</w:t>
      </w:r>
      <w:r w:rsidR="00133530">
        <w:t>taken.</w:t>
      </w:r>
      <w:r w:rsidR="00133530">
        <w:rPr>
          <w:rStyle w:val="FootnoteReference"/>
        </w:rPr>
        <w:footnoteReference w:id="14"/>
      </w:r>
      <w:r>
        <w:t xml:space="preserve"> </w:t>
      </w:r>
      <w:r w:rsidR="00FF1AE0">
        <w:t xml:space="preserve">As </w:t>
      </w:r>
      <w:proofErr w:type="gramStart"/>
      <w:r w:rsidR="00FF1AE0">
        <w:t>academics</w:t>
      </w:r>
      <w:proofErr w:type="gramEnd"/>
      <w:r w:rsidR="00FF1AE0">
        <w:t xml:space="preserve"> we </w:t>
      </w:r>
      <w:r w:rsidR="00133530">
        <w:t xml:space="preserve">too face increasing pressures to produce scholarship that has practical effect. </w:t>
      </w:r>
      <w:r w:rsidR="00B47BD3">
        <w:t>At the time of writing</w:t>
      </w:r>
      <w:r w:rsidR="00133530">
        <w:t>,</w:t>
      </w:r>
      <w:r w:rsidR="00B47BD3">
        <w:t xml:space="preserve"> the details of the next Research </w:t>
      </w:r>
      <w:r w:rsidR="00B47BD3" w:rsidRPr="00E83B59">
        <w:t xml:space="preserve">Excellence Framework remain unclear but most assume that some measure of ‘impact’ will be included again.  </w:t>
      </w:r>
      <w:r w:rsidR="00133530" w:rsidRPr="00E83B59">
        <w:t xml:space="preserve">Research Councils often want to see potential </w:t>
      </w:r>
      <w:r w:rsidR="00E33931" w:rsidRPr="00E83B59">
        <w:t xml:space="preserve">for impact </w:t>
      </w:r>
      <w:r w:rsidR="00133530" w:rsidRPr="00E83B59">
        <w:t>in funding applications</w:t>
      </w:r>
      <w:r w:rsidR="001525F5" w:rsidRPr="00E83B59">
        <w:t xml:space="preserve"> and/or a dissemination strategy that involves</w:t>
      </w:r>
      <w:r w:rsidR="008E6090" w:rsidRPr="00E83B59">
        <w:t xml:space="preserve"> policymakers</w:t>
      </w:r>
      <w:r w:rsidR="00133530" w:rsidRPr="00E83B59">
        <w:t>. Nevertheless, i</w:t>
      </w:r>
      <w:r w:rsidR="00FF1AE0" w:rsidRPr="00E83B59">
        <w:t xml:space="preserve">t </w:t>
      </w:r>
      <w:r w:rsidR="00133530" w:rsidRPr="00E83B59">
        <w:t>is at the heart of our role</w:t>
      </w:r>
      <w:r w:rsidR="00FF1AE0" w:rsidRPr="00E83B59">
        <w:t xml:space="preserve"> that </w:t>
      </w:r>
      <w:r w:rsidR="009A3563" w:rsidRPr="00E83B59">
        <w:t>academics</w:t>
      </w:r>
      <w:r w:rsidR="00FF1AE0" w:rsidRPr="00E83B59">
        <w:t xml:space="preserve"> </w:t>
      </w:r>
      <w:r w:rsidR="00C834F9" w:rsidRPr="00E83B59">
        <w:t xml:space="preserve">retain </w:t>
      </w:r>
      <w:r w:rsidR="00FF1AE0" w:rsidRPr="00E83B59">
        <w:t xml:space="preserve">the freedom to rail against </w:t>
      </w:r>
      <w:r w:rsidR="00133530" w:rsidRPr="00E83B59">
        <w:t>legislative</w:t>
      </w:r>
      <w:r w:rsidR="00FF1AE0" w:rsidRPr="00E83B59">
        <w:t xml:space="preserve"> proposals, </w:t>
      </w:r>
      <w:r w:rsidR="00133530" w:rsidRPr="00E83B59">
        <w:t xml:space="preserve">parliamentary </w:t>
      </w:r>
      <w:r w:rsidR="00FF1AE0" w:rsidRPr="00E83B59">
        <w:t>inacti</w:t>
      </w:r>
      <w:r w:rsidR="00133530" w:rsidRPr="00E83B59">
        <w:t>on or common law developments. There is stil</w:t>
      </w:r>
      <w:r w:rsidR="009A3563" w:rsidRPr="00E83B59">
        <w:t>l a</w:t>
      </w:r>
      <w:r w:rsidR="00133530" w:rsidRPr="00E83B59">
        <w:t>n important</w:t>
      </w:r>
      <w:r w:rsidR="009A3563" w:rsidRPr="00E83B59">
        <w:t xml:space="preserve"> place for the esoteric </w:t>
      </w:r>
      <w:r w:rsidR="008E6090" w:rsidRPr="00E83B59">
        <w:t xml:space="preserve">- </w:t>
      </w:r>
      <w:r w:rsidR="009A3563" w:rsidRPr="00E83B59">
        <w:t>or even eccentric</w:t>
      </w:r>
      <w:r w:rsidR="00133530" w:rsidRPr="00E83B59">
        <w:t xml:space="preserve"> </w:t>
      </w:r>
      <w:r w:rsidR="008E6090" w:rsidRPr="00E83B59">
        <w:t>–</w:t>
      </w:r>
      <w:r w:rsidR="004240CC" w:rsidRPr="00E83B59">
        <w:t xml:space="preserve"> </w:t>
      </w:r>
      <w:r w:rsidR="00133530" w:rsidRPr="00E83B59">
        <w:t>analysis</w:t>
      </w:r>
      <w:r w:rsidR="008E6090" w:rsidRPr="00E83B59">
        <w:t xml:space="preserve"> of the</w:t>
      </w:r>
      <w:r w:rsidR="008E6090">
        <w:t xml:space="preserve"> law in the academy</w:t>
      </w:r>
      <w:r w:rsidR="00133530">
        <w:t>.</w:t>
      </w:r>
    </w:p>
    <w:p w:rsidR="00A97319" w:rsidRDefault="00ED699C">
      <w:r>
        <w:lastRenderedPageBreak/>
        <w:t xml:space="preserve">Immediately after our Annual Conference, the </w:t>
      </w:r>
      <w:r w:rsidR="004240CC">
        <w:t>‘</w:t>
      </w:r>
      <w:r>
        <w:t>Criminal Law Reform Now</w:t>
      </w:r>
      <w:r w:rsidR="004240CC">
        <w:t>’</w:t>
      </w:r>
      <w:r>
        <w:t xml:space="preserve"> </w:t>
      </w:r>
      <w:r w:rsidR="00C834F9">
        <w:t xml:space="preserve">(CLRN) </w:t>
      </w:r>
      <w:r>
        <w:t xml:space="preserve">Conference took place at the </w:t>
      </w:r>
      <w:r w:rsidR="00FB3E40">
        <w:t xml:space="preserve">newly launched </w:t>
      </w:r>
      <w:r w:rsidR="00FB3E40">
        <w:rPr>
          <w:szCs w:val="24"/>
        </w:rPr>
        <w:t xml:space="preserve">Crime Research Centre at the </w:t>
      </w:r>
      <w:r>
        <w:t xml:space="preserve">University of Sussex. </w:t>
      </w:r>
      <w:r w:rsidR="004645EA">
        <w:t>John Child</w:t>
      </w:r>
      <w:r w:rsidR="006E618E">
        <w:t xml:space="preserve"> and Jonathan Roger</w:t>
      </w:r>
      <w:r w:rsidR="004645EA">
        <w:t xml:space="preserve">’s article </w:t>
      </w:r>
      <w:r w:rsidR="006E618E">
        <w:t>‘</w:t>
      </w:r>
      <w:r w:rsidR="006E618E" w:rsidRPr="006E618E">
        <w:t xml:space="preserve">Criminal Law Reform Now: A </w:t>
      </w:r>
      <w:r w:rsidR="00B37983">
        <w:t>N</w:t>
      </w:r>
      <w:r w:rsidR="006E618E" w:rsidRPr="006E618E">
        <w:t xml:space="preserve">ew </w:t>
      </w:r>
      <w:r w:rsidR="00B37983">
        <w:t>R</w:t>
      </w:r>
      <w:r w:rsidR="006E618E" w:rsidRPr="006E618E">
        <w:t xml:space="preserve">eform </w:t>
      </w:r>
      <w:r w:rsidR="00B37983">
        <w:t>N</w:t>
      </w:r>
      <w:r w:rsidR="006E618E" w:rsidRPr="006E618E">
        <w:t>etwork</w:t>
      </w:r>
      <w:r w:rsidR="006E618E">
        <w:t>’,</w:t>
      </w:r>
      <w:r w:rsidR="004645EA">
        <w:t xml:space="preserve"> gives details of this venture</w:t>
      </w:r>
      <w:r w:rsidR="004240CC">
        <w:t>, which</w:t>
      </w:r>
      <w:r w:rsidR="004645EA">
        <w:t xml:space="preserve"> seeks to provide an important conduit between universities and law reformers</w:t>
      </w:r>
      <w:r w:rsidR="007D3C21">
        <w:t xml:space="preserve">. </w:t>
      </w:r>
      <w:r w:rsidR="004240CC">
        <w:t xml:space="preserve">They </w:t>
      </w:r>
      <w:r w:rsidR="007D3C21">
        <w:t xml:space="preserve">also explain </w:t>
      </w:r>
      <w:r w:rsidR="007D3C21">
        <w:rPr>
          <w:color w:val="000000"/>
          <w:szCs w:val="24"/>
        </w:rPr>
        <w:t>CLRN Network Projects</w:t>
      </w:r>
      <w:r w:rsidR="007D3C21">
        <w:t xml:space="preserve"> </w:t>
      </w:r>
      <w:r w:rsidR="00C834F9">
        <w:t xml:space="preserve">as </w:t>
      </w:r>
      <w:r w:rsidR="007D3C21">
        <w:t>an innovative means of drawing together e</w:t>
      </w:r>
      <w:r w:rsidR="008A683B">
        <w:t>xperts in a particular field to</w:t>
      </w:r>
      <w:r w:rsidR="007D3C21">
        <w:rPr>
          <w:color w:val="000000"/>
          <w:szCs w:val="24"/>
        </w:rPr>
        <w:t xml:space="preserve"> create </w:t>
      </w:r>
      <w:r w:rsidR="004240CC">
        <w:rPr>
          <w:color w:val="000000"/>
          <w:szCs w:val="24"/>
        </w:rPr>
        <w:t xml:space="preserve">their </w:t>
      </w:r>
      <w:r w:rsidR="007D3C21">
        <w:rPr>
          <w:color w:val="000000"/>
          <w:szCs w:val="24"/>
        </w:rPr>
        <w:t xml:space="preserve">own reform </w:t>
      </w:r>
      <w:r w:rsidR="004240CC">
        <w:rPr>
          <w:color w:val="000000"/>
          <w:szCs w:val="24"/>
        </w:rPr>
        <w:t>recommendations</w:t>
      </w:r>
      <w:r w:rsidR="004645EA">
        <w:t xml:space="preserve">. </w:t>
      </w:r>
      <w:r>
        <w:t>Th</w:t>
      </w:r>
      <w:r w:rsidR="004645EA">
        <w:t>e conference</w:t>
      </w:r>
      <w:r>
        <w:t xml:space="preserve"> involved presentations </w:t>
      </w:r>
      <w:r w:rsidR="004645EA">
        <w:t xml:space="preserve">of </w:t>
      </w:r>
      <w:r w:rsidR="004240CC">
        <w:t xml:space="preserve">proposals </w:t>
      </w:r>
      <w:r w:rsidR="004645EA">
        <w:t xml:space="preserve">for law reform </w:t>
      </w:r>
      <w:r>
        <w:t xml:space="preserve">in response to the Law Commission’s </w:t>
      </w:r>
      <w:r w:rsidR="004645EA">
        <w:t xml:space="preserve">public </w:t>
      </w:r>
      <w:r>
        <w:t xml:space="preserve">call for suggestions for its thirteenth round of reports. </w:t>
      </w:r>
      <w:r w:rsidR="00A97319">
        <w:t>The SLS has a long history of assisting with such consultations – both circulating details amongst interested members and responding as a Society.</w:t>
      </w:r>
      <w:r w:rsidR="008002CE">
        <w:rPr>
          <w:rStyle w:val="FootnoteReference"/>
        </w:rPr>
        <w:footnoteReference w:id="15"/>
      </w:r>
      <w:r w:rsidR="00A97319">
        <w:t xml:space="preserve"> It can be difficult for policy makers to know </w:t>
      </w:r>
      <w:proofErr w:type="gramStart"/>
      <w:r w:rsidR="00A97319">
        <w:t>who</w:t>
      </w:r>
      <w:proofErr w:type="gramEnd"/>
      <w:r w:rsidR="00A97319">
        <w:t xml:space="preserve"> to contact on a particular topic – and Whitehall can seem labyrinthine to academics </w:t>
      </w:r>
      <w:r w:rsidR="0007216F">
        <w:t xml:space="preserve">– </w:t>
      </w:r>
      <w:r w:rsidR="00A97319">
        <w:t xml:space="preserve">so we look forward to engaging with </w:t>
      </w:r>
      <w:r w:rsidR="004645EA">
        <w:t xml:space="preserve">both </w:t>
      </w:r>
      <w:r w:rsidR="00A97319">
        <w:t xml:space="preserve">the Law Commission and </w:t>
      </w:r>
      <w:r w:rsidR="0065522D">
        <w:t>the Criminal Law Reform Now Network</w:t>
      </w:r>
      <w:r w:rsidR="004645EA">
        <w:t xml:space="preserve"> to facilitate this important work</w:t>
      </w:r>
      <w:r w:rsidR="0065522D">
        <w:t>.</w:t>
      </w:r>
    </w:p>
    <w:p w:rsidR="00ED699C" w:rsidRDefault="0065522D">
      <w:r>
        <w:t xml:space="preserve">An example of this type of </w:t>
      </w:r>
      <w:r w:rsidR="00C834F9">
        <w:t xml:space="preserve">reforming </w:t>
      </w:r>
      <w:r>
        <w:t xml:space="preserve">work </w:t>
      </w:r>
      <w:r w:rsidR="004645EA">
        <w:t xml:space="preserve">is </w:t>
      </w:r>
      <w:r w:rsidR="00C834F9">
        <w:t>explored in</w:t>
      </w:r>
      <w:r w:rsidR="004645EA">
        <w:t xml:space="preserve"> </w:t>
      </w:r>
      <w:r w:rsidR="006D265C" w:rsidRPr="006D265C">
        <w:t xml:space="preserve">Catarina </w:t>
      </w:r>
      <w:proofErr w:type="spellStart"/>
      <w:r w:rsidR="006D265C" w:rsidRPr="006D265C">
        <w:t>Sjölin</w:t>
      </w:r>
      <w:proofErr w:type="spellEnd"/>
      <w:r w:rsidR="006D265C" w:rsidRPr="006D265C">
        <w:t xml:space="preserve"> and Helen Edwards</w:t>
      </w:r>
      <w:r w:rsidR="004645EA">
        <w:t>’ article ‘</w:t>
      </w:r>
      <w:r w:rsidR="004645EA" w:rsidRPr="004645EA">
        <w:t xml:space="preserve">When </w:t>
      </w:r>
      <w:r w:rsidR="00B37983">
        <w:t>M</w:t>
      </w:r>
      <w:r w:rsidR="004645EA" w:rsidRPr="004645EA">
        <w:t xml:space="preserve">isconduct in </w:t>
      </w:r>
      <w:r w:rsidR="00B37983">
        <w:t>P</w:t>
      </w:r>
      <w:r w:rsidR="004645EA" w:rsidRPr="004645EA">
        <w:t xml:space="preserve">ublic </w:t>
      </w:r>
      <w:r w:rsidR="00B37983">
        <w:t>O</w:t>
      </w:r>
      <w:r w:rsidR="004645EA" w:rsidRPr="004645EA">
        <w:t xml:space="preserve">ffice is </w:t>
      </w:r>
      <w:proofErr w:type="gramStart"/>
      <w:r w:rsidR="00B37983">
        <w:t>R</w:t>
      </w:r>
      <w:r w:rsidR="004645EA" w:rsidRPr="004645EA">
        <w:t>eally</w:t>
      </w:r>
      <w:proofErr w:type="gramEnd"/>
      <w:r w:rsidR="004645EA" w:rsidRPr="004645EA">
        <w:t xml:space="preserve"> a </w:t>
      </w:r>
      <w:r w:rsidR="00B37983">
        <w:t>S</w:t>
      </w:r>
      <w:r w:rsidR="004645EA" w:rsidRPr="004645EA">
        <w:t xml:space="preserve">exual </w:t>
      </w:r>
      <w:r w:rsidR="00B37983">
        <w:t>O</w:t>
      </w:r>
      <w:r w:rsidR="004645EA" w:rsidRPr="004645EA">
        <w:t>ffence</w:t>
      </w:r>
      <w:r w:rsidR="004645EA">
        <w:t>.’</w:t>
      </w:r>
      <w:r w:rsidR="004645EA" w:rsidRPr="004645EA">
        <w:t xml:space="preserve"> </w:t>
      </w:r>
      <w:r w:rsidR="008002CE">
        <w:t xml:space="preserve">They discuss their </w:t>
      </w:r>
      <w:r w:rsidR="004645EA">
        <w:t xml:space="preserve">work with the Law Commission </w:t>
      </w:r>
      <w:r w:rsidR="008002CE">
        <w:t xml:space="preserve">about their </w:t>
      </w:r>
      <w:r w:rsidR="004645EA">
        <w:t>propos</w:t>
      </w:r>
      <w:r w:rsidR="008002CE">
        <w:t>al to put</w:t>
      </w:r>
      <w:r w:rsidR="004645EA">
        <w:t xml:space="preserve"> this </w:t>
      </w:r>
      <w:r w:rsidR="008002CE">
        <w:t>common law offence on a statutory basis</w:t>
      </w:r>
      <w:r w:rsidR="00FC7086">
        <w:t xml:space="preserve">. </w:t>
      </w:r>
      <w:proofErr w:type="gramStart"/>
      <w:r w:rsidR="00FC7086">
        <w:t>This offence</w:t>
      </w:r>
      <w:r w:rsidR="008002CE">
        <w:t xml:space="preserve"> covers a multitude of criminal activities</w:t>
      </w:r>
      <w:r w:rsidR="00AA3E42">
        <w:t xml:space="preserve"> and has led to some anomalies</w:t>
      </w:r>
      <w:r w:rsidR="008002CE">
        <w:t>.</w:t>
      </w:r>
      <w:proofErr w:type="gramEnd"/>
      <w:r w:rsidR="008002CE">
        <w:t xml:space="preserve"> </w:t>
      </w:r>
      <w:r>
        <w:t>Using the example of sexual misconduct, they examine how the narr</w:t>
      </w:r>
      <w:r w:rsidR="007E1B84">
        <w:t xml:space="preserve">ow definition of </w:t>
      </w:r>
      <w:r w:rsidR="0007216F">
        <w:t>‘</w:t>
      </w:r>
      <w:r w:rsidR="007E1B84">
        <w:t>public servant</w:t>
      </w:r>
      <w:r w:rsidR="0007216F">
        <w:t>’</w:t>
      </w:r>
      <w:r w:rsidR="00AF3243">
        <w:t xml:space="preserve"> applied by the courts</w:t>
      </w:r>
      <w:r w:rsidR="00FC7086">
        <w:t xml:space="preserve"> </w:t>
      </w:r>
      <w:r>
        <w:t xml:space="preserve">can </w:t>
      </w:r>
      <w:r w:rsidR="00AF3243">
        <w:t xml:space="preserve">mean </w:t>
      </w:r>
      <w:r w:rsidR="0007216F">
        <w:t xml:space="preserve">that </w:t>
      </w:r>
      <w:r w:rsidR="00AA3E42">
        <w:t xml:space="preserve">the conduct of </w:t>
      </w:r>
      <w:r w:rsidR="00FC7086">
        <w:t xml:space="preserve">two individuals in similar positions </w:t>
      </w:r>
      <w:proofErr w:type="gramStart"/>
      <w:r w:rsidR="00FC7086">
        <w:t>will be treated</w:t>
      </w:r>
      <w:proofErr w:type="gramEnd"/>
      <w:r w:rsidR="00FC7086">
        <w:t xml:space="preserve"> differently depending on the status of their employer. </w:t>
      </w:r>
      <w:r w:rsidR="00AF3243">
        <w:t>The offence fills a gap where</w:t>
      </w:r>
      <w:r w:rsidR="00FC7086">
        <w:t>,</w:t>
      </w:r>
      <w:r w:rsidR="00AF3243">
        <w:t xml:space="preserve"> for example</w:t>
      </w:r>
      <w:r w:rsidR="00FC7086">
        <w:t>,</w:t>
      </w:r>
      <w:r w:rsidR="00AF3243">
        <w:t xml:space="preserve"> a public ser</w:t>
      </w:r>
      <w:r w:rsidR="007E1B84">
        <w:t xml:space="preserve">vant obtains sexual favours </w:t>
      </w:r>
      <w:proofErr w:type="gramStart"/>
      <w:r w:rsidR="007E1B84">
        <w:t xml:space="preserve">as </w:t>
      </w:r>
      <w:r w:rsidR="00AF3243">
        <w:t>a result</w:t>
      </w:r>
      <w:proofErr w:type="gramEnd"/>
      <w:r w:rsidR="00AF3243">
        <w:t xml:space="preserve"> of (usually) his status </w:t>
      </w:r>
      <w:r w:rsidR="00FC7086">
        <w:t>– behaviour that would not be captured by the Sexual Offences Act 2003. I</w:t>
      </w:r>
      <w:r w:rsidR="00AF3243">
        <w:t xml:space="preserve">t </w:t>
      </w:r>
      <w:proofErr w:type="gramStart"/>
      <w:r w:rsidR="00AF3243">
        <w:t>can</w:t>
      </w:r>
      <w:r w:rsidR="00FC7086">
        <w:t xml:space="preserve"> also</w:t>
      </w:r>
      <w:r w:rsidR="00AF3243">
        <w:t xml:space="preserve"> be used</w:t>
      </w:r>
      <w:proofErr w:type="gramEnd"/>
      <w:r w:rsidR="00AF3243">
        <w:t xml:space="preserve"> to avoid the difficulties of chargin</w:t>
      </w:r>
      <w:r w:rsidR="004645EA">
        <w:t>g a more serious sexual offence</w:t>
      </w:r>
      <w:r w:rsidR="00AF3243">
        <w:t xml:space="preserve">. </w:t>
      </w:r>
      <w:r w:rsidR="00FC7086">
        <w:t>Whilst effective, t</w:t>
      </w:r>
      <w:r w:rsidR="00AF3243">
        <w:t xml:space="preserve">his creates the </w:t>
      </w:r>
      <w:r w:rsidR="00FC7086">
        <w:t>‘</w:t>
      </w:r>
      <w:r w:rsidR="00AF3243">
        <w:t>Al Capone problem</w:t>
      </w:r>
      <w:r w:rsidR="00FC7086">
        <w:t>’</w:t>
      </w:r>
      <w:r w:rsidR="007E1B84">
        <w:rPr>
          <w:rStyle w:val="FootnoteReference"/>
        </w:rPr>
        <w:footnoteReference w:id="16"/>
      </w:r>
      <w:r w:rsidR="007E1B84">
        <w:t xml:space="preserve"> </w:t>
      </w:r>
      <w:r w:rsidR="00AF3243">
        <w:t>whereby</w:t>
      </w:r>
      <w:r w:rsidR="007E1B84">
        <w:t xml:space="preserve"> a punishment is inflicted</w:t>
      </w:r>
      <w:r w:rsidR="00FC7086">
        <w:t>,</w:t>
      </w:r>
      <w:r w:rsidR="007E1B84">
        <w:t xml:space="preserve"> but for a </w:t>
      </w:r>
      <w:proofErr w:type="gramStart"/>
      <w:r w:rsidR="00AF3243">
        <w:t>far</w:t>
      </w:r>
      <w:proofErr w:type="gramEnd"/>
      <w:r w:rsidR="00AF3243">
        <w:t xml:space="preserve"> less serious</w:t>
      </w:r>
      <w:r w:rsidR="0007216F">
        <w:t xml:space="preserve"> crime</w:t>
      </w:r>
      <w:r w:rsidR="00AF3243">
        <w:t xml:space="preserve"> than the behaviour </w:t>
      </w:r>
      <w:r w:rsidR="004645EA">
        <w:t>meri</w:t>
      </w:r>
      <w:r w:rsidR="00AF3243">
        <w:t>ts</w:t>
      </w:r>
      <w:r w:rsidR="007E1B84">
        <w:t xml:space="preserve">. In this </w:t>
      </w:r>
      <w:proofErr w:type="gramStart"/>
      <w:r w:rsidR="007E1B84">
        <w:t>case</w:t>
      </w:r>
      <w:proofErr w:type="gramEnd"/>
      <w:r w:rsidR="007E1B84">
        <w:t xml:space="preserve"> there is the</w:t>
      </w:r>
      <w:r w:rsidR="00AF3243">
        <w:t xml:space="preserve"> added problem that future criminal records will not show the true </w:t>
      </w:r>
      <w:r w:rsidR="007E1B84">
        <w:t xml:space="preserve">sexual </w:t>
      </w:r>
      <w:r w:rsidR="00AF3243">
        <w:t>nature of the offending.</w:t>
      </w:r>
      <w:r w:rsidR="00AA3E42">
        <w:t xml:space="preserve"> </w:t>
      </w:r>
      <w:r w:rsidR="00B37983">
        <w:t xml:space="preserve">The authors argue that such conduct </w:t>
      </w:r>
      <w:proofErr w:type="gramStart"/>
      <w:r w:rsidR="00B37983">
        <w:t>is properly labelled</w:t>
      </w:r>
      <w:proofErr w:type="gramEnd"/>
      <w:r w:rsidR="00B37983">
        <w:t xml:space="preserve"> as a sexual wrong. They propose the creation of a new sexual offence, which </w:t>
      </w:r>
      <w:proofErr w:type="gramStart"/>
      <w:r w:rsidR="00B37983">
        <w:t>could be charged</w:t>
      </w:r>
      <w:proofErr w:type="gramEnd"/>
      <w:r w:rsidR="00B37983">
        <w:t xml:space="preserve"> when a person abuses a position of power to gain a sexual advantage.</w:t>
      </w:r>
    </w:p>
    <w:p w:rsidR="00ED699C" w:rsidRPr="003973EB" w:rsidRDefault="00ED699C" w:rsidP="00ED699C">
      <w:r>
        <w:t>Stephanie Roberts’ article</w:t>
      </w:r>
      <w:r w:rsidR="00B37983">
        <w:t xml:space="preserve">, ‘Fresh Evidence and Factual Innocence in the Criminal Division of the Court of Appeal’ </w:t>
      </w:r>
      <w:r>
        <w:t xml:space="preserve">provides an important corrective in the debate about criminal </w:t>
      </w:r>
      <w:proofErr w:type="gramStart"/>
      <w:r>
        <w:t>law which</w:t>
      </w:r>
      <w:proofErr w:type="gramEnd"/>
      <w:r>
        <w:t xml:space="preserve"> is</w:t>
      </w:r>
      <w:r w:rsidR="007E1B84">
        <w:t>,</w:t>
      </w:r>
      <w:r>
        <w:t xml:space="preserve"> understandably</w:t>
      </w:r>
      <w:r w:rsidR="007E1B84">
        <w:t xml:space="preserve">, </w:t>
      </w:r>
      <w:r>
        <w:t xml:space="preserve">often focused on punishing wrongdoers. Her article examines the ongoing criticisms of the Court of Appeal (Criminal Division) that it </w:t>
      </w:r>
      <w:r w:rsidR="007E1B84">
        <w:t xml:space="preserve">is </w:t>
      </w:r>
      <w:r>
        <w:t xml:space="preserve">inadequate at identifying and correcting miscarriages of justice in relation to the factually (as distinct from the legally) innocent. </w:t>
      </w:r>
      <w:r w:rsidR="00B37983">
        <w:t xml:space="preserve">These criticism stem from the from the Court’s perceived difficulties in relation to appeals based on factual error. </w:t>
      </w:r>
      <w:r w:rsidRPr="00363505">
        <w:rPr>
          <w:rFonts w:cs="Arial"/>
        </w:rPr>
        <w:t xml:space="preserve">The main ground of appeal for errors of fact is fresh evidence and these appeals are particularly problematic because they require the Court to trespass on the </w:t>
      </w:r>
      <w:r w:rsidR="00F1496B">
        <w:rPr>
          <w:rFonts w:cs="Arial"/>
        </w:rPr>
        <w:t xml:space="preserve">fact-finding </w:t>
      </w:r>
      <w:r w:rsidRPr="00363505">
        <w:rPr>
          <w:rFonts w:cs="Arial"/>
        </w:rPr>
        <w:t xml:space="preserve">role of the jury in assessing new evidence </w:t>
      </w:r>
      <w:r w:rsidR="00B37983">
        <w:rPr>
          <w:rFonts w:cs="Arial"/>
        </w:rPr>
        <w:t xml:space="preserve">on appeal </w:t>
      </w:r>
      <w:r w:rsidRPr="00363505">
        <w:rPr>
          <w:rFonts w:cs="Arial"/>
        </w:rPr>
        <w:t xml:space="preserve">against </w:t>
      </w:r>
      <w:r w:rsidR="00B37983">
        <w:rPr>
          <w:rFonts w:cs="Arial"/>
        </w:rPr>
        <w:t>the evidence at trial in order to determine whether a conviction is unsafe</w:t>
      </w:r>
      <w:r>
        <w:rPr>
          <w:rFonts w:cs="Arial"/>
        </w:rPr>
        <w:t xml:space="preserve">. </w:t>
      </w:r>
      <w:r w:rsidR="00B37983">
        <w:rPr>
          <w:rFonts w:cs="Arial"/>
        </w:rPr>
        <w:t xml:space="preserve">Roberts </w:t>
      </w:r>
      <w:r w:rsidR="00F1496B">
        <w:rPr>
          <w:rFonts w:cs="Arial"/>
        </w:rPr>
        <w:t xml:space="preserve">uses </w:t>
      </w:r>
      <w:r w:rsidR="00F1496B">
        <w:rPr>
          <w:rFonts w:eastAsia="Arial Unicode MS" w:cs="Arial"/>
        </w:rPr>
        <w:t xml:space="preserve">a mixed methods approach </w:t>
      </w:r>
      <w:r w:rsidR="00B37983">
        <w:rPr>
          <w:rFonts w:eastAsia="Arial Unicode MS" w:cs="Arial"/>
        </w:rPr>
        <w:t xml:space="preserve">to analyse </w:t>
      </w:r>
      <w:r w:rsidR="00F1496B">
        <w:rPr>
          <w:rFonts w:eastAsia="Arial Unicode MS" w:cs="Arial"/>
        </w:rPr>
        <w:t xml:space="preserve">the Court’s </w:t>
      </w:r>
      <w:r w:rsidR="00B37983">
        <w:rPr>
          <w:rFonts w:eastAsia="Arial Unicode MS" w:cs="Arial"/>
        </w:rPr>
        <w:t>attitude to</w:t>
      </w:r>
      <w:r w:rsidR="00F1496B">
        <w:rPr>
          <w:rFonts w:eastAsia="Arial Unicode MS" w:cs="Arial"/>
        </w:rPr>
        <w:t xml:space="preserve"> fresh evidence appeals. She </w:t>
      </w:r>
      <w:r w:rsidR="00B37983">
        <w:rPr>
          <w:rFonts w:eastAsia="Arial Unicode MS" w:cs="Arial"/>
        </w:rPr>
        <w:t>concludes that the Court continues to take a restrictive approach to such cases and considers whether it is the law, or the interpretation of the law by</w:t>
      </w:r>
      <w:r w:rsidR="00F1496B">
        <w:rPr>
          <w:rFonts w:eastAsia="Arial Unicode MS" w:cs="Arial"/>
        </w:rPr>
        <w:t xml:space="preserve"> the judiciary</w:t>
      </w:r>
      <w:r w:rsidR="00B37983">
        <w:rPr>
          <w:rFonts w:eastAsia="Arial Unicode MS" w:cs="Arial"/>
        </w:rPr>
        <w:t>,</w:t>
      </w:r>
      <w:r w:rsidR="00F1496B">
        <w:rPr>
          <w:rFonts w:eastAsia="Arial Unicode MS" w:cs="Arial"/>
        </w:rPr>
        <w:t xml:space="preserve"> </w:t>
      </w:r>
      <w:r w:rsidR="00B37983">
        <w:rPr>
          <w:rFonts w:eastAsia="Arial Unicode MS" w:cs="Arial"/>
        </w:rPr>
        <w:t xml:space="preserve">that </w:t>
      </w:r>
      <w:r w:rsidR="00F1496B">
        <w:rPr>
          <w:rFonts w:eastAsia="Arial Unicode MS" w:cs="Arial"/>
        </w:rPr>
        <w:lastRenderedPageBreak/>
        <w:t xml:space="preserve">is to blame. </w:t>
      </w:r>
      <w:r w:rsidR="0007216F">
        <w:rPr>
          <w:rFonts w:eastAsia="Arial Unicode MS" w:cs="Arial"/>
        </w:rPr>
        <w:t xml:space="preserve">She </w:t>
      </w:r>
      <w:r w:rsidR="00F1496B">
        <w:rPr>
          <w:rFonts w:eastAsia="Arial Unicode MS" w:cs="Arial"/>
        </w:rPr>
        <w:t xml:space="preserve">also proposes reforms designed to make it easier for the Court to rectify </w:t>
      </w:r>
      <w:proofErr w:type="gramStart"/>
      <w:r w:rsidR="00F1496B">
        <w:rPr>
          <w:rFonts w:eastAsia="Arial Unicode MS" w:cs="Arial"/>
        </w:rPr>
        <w:t>miscarriages of justice</w:t>
      </w:r>
      <w:proofErr w:type="gramEnd"/>
      <w:r w:rsidR="00F1496B">
        <w:rPr>
          <w:rFonts w:eastAsia="Arial Unicode MS" w:cs="Arial"/>
        </w:rPr>
        <w:t>.</w:t>
      </w:r>
      <w:r>
        <w:rPr>
          <w:rFonts w:eastAsia="Arial Unicode MS" w:cs="Arial"/>
        </w:rPr>
        <w:t xml:space="preserve"> </w:t>
      </w:r>
    </w:p>
    <w:p w:rsidR="00ED699C" w:rsidRDefault="001F6F6D">
      <w:r>
        <w:t>Tony Ward</w:t>
      </w:r>
      <w:r w:rsidR="00AA3E42">
        <w:t>’s article</w:t>
      </w:r>
      <w:r w:rsidR="00B37983">
        <w:t xml:space="preserve">, ‘Improperly Obtained Evidence and the Epistemic Conception of the Trial’ reminds us that law reform debates can raise important normative questions. </w:t>
      </w:r>
      <w:r w:rsidR="00F93A6F">
        <w:t>He</w:t>
      </w:r>
      <w:r>
        <w:t xml:space="preserve"> writes about a topic that has been of critical importance in several high profile </w:t>
      </w:r>
      <w:proofErr w:type="gramStart"/>
      <w:r>
        <w:t>miscarriage of justice</w:t>
      </w:r>
      <w:proofErr w:type="gramEnd"/>
      <w:r>
        <w:t xml:space="preserve"> cases, namely the </w:t>
      </w:r>
      <w:r w:rsidR="00B37983">
        <w:t xml:space="preserve">admissibility </w:t>
      </w:r>
      <w:r>
        <w:t xml:space="preserve">of improperly obtained evidence. </w:t>
      </w:r>
      <w:r w:rsidR="00B37983">
        <w:t xml:space="preserve">Arguing that </w:t>
      </w:r>
      <w:r>
        <w:t>we need to consider the purpose of the criminal trial</w:t>
      </w:r>
      <w:r w:rsidR="00B37983">
        <w:t xml:space="preserve"> in order to understand the principles governing the exclusion of such evidence,</w:t>
      </w:r>
      <w:r>
        <w:t xml:space="preserve"> </w:t>
      </w:r>
      <w:r w:rsidR="00B37983">
        <w:t>h</w:t>
      </w:r>
      <w:r>
        <w:t xml:space="preserve">e </w:t>
      </w:r>
      <w:r w:rsidR="00B37983">
        <w:t>favours</w:t>
      </w:r>
      <w:r>
        <w:t xml:space="preserve"> an epistemic conception</w:t>
      </w:r>
      <w:r w:rsidR="00B37983">
        <w:t>;</w:t>
      </w:r>
      <w:r>
        <w:t xml:space="preserve"> the principal concern of the criminal trial </w:t>
      </w:r>
      <w:r w:rsidR="00B37983">
        <w:t xml:space="preserve">is </w:t>
      </w:r>
      <w:r>
        <w:t xml:space="preserve">the accuracy of the verdict. His ‘vindication principle’ ensures that the moral and political rights of both victims and defendants </w:t>
      </w:r>
      <w:proofErr w:type="gramStart"/>
      <w:r>
        <w:t>can be upheld</w:t>
      </w:r>
      <w:proofErr w:type="gramEnd"/>
      <w:r>
        <w:t xml:space="preserve"> when decisions on the exclusion of evidence are taken.</w:t>
      </w:r>
    </w:p>
    <w:p w:rsidR="001F6F6D" w:rsidRDefault="00F93A6F">
      <w:r>
        <w:t>These four, very different, papers speak to the liveliness of the academic debate in this area</w:t>
      </w:r>
      <w:r w:rsidR="00B37983">
        <w:t>; a</w:t>
      </w:r>
      <w:r>
        <w:t xml:space="preserve"> debate that we hope will continue through the SLS, the CLRN Network, Law Commission consultations and the work of this journal.</w:t>
      </w:r>
    </w:p>
    <w:p w:rsidR="001F6F6D" w:rsidRPr="007B1E8C" w:rsidRDefault="001F6F6D"/>
    <w:sectPr w:rsidR="001F6F6D" w:rsidRPr="007B1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CE" w:rsidRDefault="00F65ACE" w:rsidP="007B1E8C">
      <w:pPr>
        <w:spacing w:after="0" w:line="240" w:lineRule="auto"/>
      </w:pPr>
      <w:r>
        <w:separator/>
      </w:r>
    </w:p>
  </w:endnote>
  <w:endnote w:type="continuationSeparator" w:id="0">
    <w:p w:rsidR="00F65ACE" w:rsidRDefault="00F65ACE" w:rsidP="007B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CE" w:rsidRDefault="00F65ACE" w:rsidP="007B1E8C">
      <w:pPr>
        <w:spacing w:after="0" w:line="240" w:lineRule="auto"/>
      </w:pPr>
      <w:r>
        <w:separator/>
      </w:r>
    </w:p>
  </w:footnote>
  <w:footnote w:type="continuationSeparator" w:id="0">
    <w:p w:rsidR="00F65ACE" w:rsidRDefault="00F65ACE" w:rsidP="007B1E8C">
      <w:pPr>
        <w:spacing w:after="0" w:line="240" w:lineRule="auto"/>
      </w:pPr>
      <w:r>
        <w:continuationSeparator/>
      </w:r>
    </w:p>
  </w:footnote>
  <w:footnote w:id="1">
    <w:p w:rsidR="00F04CFC" w:rsidRDefault="00F04CFC" w:rsidP="00F04CFC">
      <w:pPr>
        <w:pStyle w:val="FootnoteText"/>
      </w:pPr>
      <w:r w:rsidRPr="00F04CFC">
        <w:rPr>
          <w:rStyle w:val="FootnoteReference"/>
        </w:rPr>
        <w:sym w:font="Symbol" w:char="F02A"/>
      </w:r>
      <w:r>
        <w:t xml:space="preserve"> School of Law, University of Manchester and School of Law, Northumbria University.</w:t>
      </w:r>
    </w:p>
  </w:footnote>
  <w:footnote w:id="2">
    <w:p w:rsidR="00F04CFC" w:rsidRDefault="00F04CFC">
      <w:pPr>
        <w:pStyle w:val="FootnoteText"/>
      </w:pPr>
      <w:r>
        <w:rPr>
          <w:rStyle w:val="FootnoteReference"/>
        </w:rPr>
        <w:footnoteRef/>
      </w:r>
      <w:r>
        <w:t xml:space="preserve"> University of Oxford </w:t>
      </w:r>
      <w:r w:rsidR="007140B0">
        <w:t>6-9</w:t>
      </w:r>
      <w:r>
        <w:t xml:space="preserve"> September</w:t>
      </w:r>
      <w:r w:rsidR="007140B0">
        <w:t xml:space="preserve"> 2016.</w:t>
      </w:r>
    </w:p>
  </w:footnote>
  <w:footnote w:id="3">
    <w:p w:rsidR="001D12ED" w:rsidRDefault="001D12ED" w:rsidP="001D12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4CFC">
        <w:t xml:space="preserve">S </w:t>
      </w:r>
      <w:proofErr w:type="spellStart"/>
      <w:r w:rsidRPr="00F04CFC">
        <w:t>Chakrabarti</w:t>
      </w:r>
      <w:proofErr w:type="spellEnd"/>
      <w:r w:rsidRPr="00F04CFC">
        <w:t xml:space="preserve">, ‘A Thinning Blue Line? Police Independence and the Rule of Law’ (2008) 2 </w:t>
      </w:r>
      <w:r w:rsidRPr="00F04CFC">
        <w:rPr>
          <w:i/>
        </w:rPr>
        <w:t xml:space="preserve">Policing </w:t>
      </w:r>
      <w:r w:rsidRPr="00F04CFC">
        <w:t>367, 369.</w:t>
      </w:r>
    </w:p>
  </w:footnote>
  <w:footnote w:id="4">
    <w:p w:rsidR="003F7E43" w:rsidRPr="00A10666" w:rsidRDefault="003F7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10666">
        <w:t xml:space="preserve">Nick Clarke, Interview with </w:t>
      </w:r>
      <w:r w:rsidR="00B71147">
        <w:t>Tony Blair</w:t>
      </w:r>
      <w:r w:rsidR="00A10666">
        <w:t xml:space="preserve">, </w:t>
      </w:r>
      <w:r w:rsidR="00B71147" w:rsidRPr="00B71147">
        <w:t>‘</w:t>
      </w:r>
      <w:r w:rsidR="00A10666" w:rsidRPr="00B71147">
        <w:t>The World this Weekend’</w:t>
      </w:r>
      <w:r w:rsidR="00A10666">
        <w:rPr>
          <w:i/>
        </w:rPr>
        <w:t xml:space="preserve"> </w:t>
      </w:r>
      <w:r w:rsidR="00B71147">
        <w:t xml:space="preserve">(BBC Radio 4, </w:t>
      </w:r>
      <w:r w:rsidR="00A10666">
        <w:t>10 January 1993</w:t>
      </w:r>
      <w:r w:rsidR="00B71147">
        <w:t>)</w:t>
      </w:r>
      <w:r w:rsidR="00A10666">
        <w:t>.</w:t>
      </w:r>
    </w:p>
  </w:footnote>
  <w:footnote w:id="5">
    <w:p w:rsidR="00DF2C9D" w:rsidRDefault="00DF2C9D">
      <w:pPr>
        <w:pStyle w:val="FootnoteText"/>
      </w:pPr>
      <w:r>
        <w:rPr>
          <w:rStyle w:val="FootnoteReference"/>
        </w:rPr>
        <w:footnoteRef/>
      </w:r>
      <w:r>
        <w:t xml:space="preserve"> Criminal Justice and Public Order Act 1994, </w:t>
      </w:r>
      <w:proofErr w:type="gramStart"/>
      <w:r>
        <w:t>s.63(</w:t>
      </w:r>
      <w:proofErr w:type="gramEnd"/>
      <w:r>
        <w:t>1)(b).</w:t>
      </w:r>
    </w:p>
  </w:footnote>
  <w:footnote w:id="6">
    <w:p w:rsidR="00A10666" w:rsidRDefault="00A10666" w:rsidP="00A10666">
      <w:pPr>
        <w:pStyle w:val="FootnoteText"/>
      </w:pPr>
      <w:r>
        <w:rPr>
          <w:rStyle w:val="FootnoteReference"/>
        </w:rPr>
        <w:footnoteRef/>
      </w:r>
      <w:r>
        <w:t xml:space="preserve"> Sexual Offences Act 2003</w:t>
      </w:r>
    </w:p>
  </w:footnote>
  <w:footnote w:id="7">
    <w:p w:rsidR="00A10666" w:rsidRDefault="00A10666" w:rsidP="00A10666">
      <w:pPr>
        <w:pStyle w:val="FootnoteText"/>
      </w:pPr>
      <w:r>
        <w:rPr>
          <w:rStyle w:val="FootnoteReference"/>
        </w:rPr>
        <w:footnoteRef/>
      </w:r>
      <w:r>
        <w:t xml:space="preserve"> Crime and Disorder Act 1998</w:t>
      </w:r>
      <w:r w:rsidR="00B71147">
        <w:t>, ss.28-33</w:t>
      </w:r>
      <w:r>
        <w:t>; Anti-Terrorism, Crime and Security Act 2001</w:t>
      </w:r>
      <w:r w:rsidR="00B71147">
        <w:t>, s.39</w:t>
      </w:r>
      <w:r>
        <w:t>; Criminal Justice Act 2003</w:t>
      </w:r>
      <w:r w:rsidR="00B71147">
        <w:t>, s.145-146, Legal Aid, Sentencing and Punishment of Offenders Act 2012, s.65.</w:t>
      </w:r>
    </w:p>
  </w:footnote>
  <w:footnote w:id="8">
    <w:p w:rsidR="00A10666" w:rsidRDefault="00A10666" w:rsidP="00A106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1147">
        <w:t xml:space="preserve">See, for example: Fraud Act 2006, </w:t>
      </w:r>
      <w:proofErr w:type="gramStart"/>
      <w:r w:rsidR="00B71147">
        <w:t>s.2(</w:t>
      </w:r>
      <w:proofErr w:type="gramEnd"/>
      <w:r w:rsidR="00B71147">
        <w:t xml:space="preserve">5); </w:t>
      </w:r>
      <w:r w:rsidR="00712D4F">
        <w:t xml:space="preserve">Communications Act 2003, s.127; </w:t>
      </w:r>
      <w:r w:rsidR="00B71147">
        <w:t>Criminal Justice and Courts Act</w:t>
      </w:r>
      <w:r w:rsidR="00712D4F">
        <w:t xml:space="preserve"> 2015</w:t>
      </w:r>
      <w:r w:rsidR="00B71147">
        <w:t>, s.33.</w:t>
      </w:r>
    </w:p>
  </w:footnote>
  <w:footnote w:id="9">
    <w:p w:rsidR="00A10666" w:rsidRDefault="00A10666" w:rsidP="00A106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1147">
        <w:t>See James Chalmers, ‘Frenzied Law Making</w:t>
      </w:r>
      <w:r>
        <w:t xml:space="preserve">: </w:t>
      </w:r>
      <w:proofErr w:type="spellStart"/>
      <w:r>
        <w:t>Overcriminalization</w:t>
      </w:r>
      <w:proofErr w:type="spellEnd"/>
      <w:r>
        <w:t xml:space="preserve"> by Numbers’ </w:t>
      </w:r>
      <w:r w:rsidR="00B71147">
        <w:t>(2014) 67</w:t>
      </w:r>
      <w:r>
        <w:t>(1)</w:t>
      </w:r>
      <w:r w:rsidR="00B71147">
        <w:t xml:space="preserve"> Current Legal Problems</w:t>
      </w:r>
      <w:r>
        <w:t xml:space="preserve"> 483-502.</w:t>
      </w:r>
    </w:p>
  </w:footnote>
  <w:footnote w:id="10">
    <w:p w:rsidR="008A683B" w:rsidRPr="00A05443" w:rsidRDefault="008A68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5443" w:rsidRPr="00ED3D69">
        <w:rPr>
          <w:i/>
        </w:rPr>
        <w:t>R (on the application of Pretty) v DPP</w:t>
      </w:r>
      <w:r w:rsidR="00A05443">
        <w:t xml:space="preserve"> [2001] UKHL 61; </w:t>
      </w:r>
      <w:r w:rsidR="00A05443" w:rsidRPr="00ED3D69">
        <w:rPr>
          <w:i/>
        </w:rPr>
        <w:t>R (on the application of Purdy) v DPP</w:t>
      </w:r>
      <w:r w:rsidR="00A05443">
        <w:t xml:space="preserve"> [2009] UKHL 45; </w:t>
      </w:r>
      <w:r w:rsidR="00A05443">
        <w:rPr>
          <w:i/>
        </w:rPr>
        <w:t xml:space="preserve">R (on the application of </w:t>
      </w:r>
      <w:proofErr w:type="spellStart"/>
      <w:r w:rsidR="00A05443">
        <w:rPr>
          <w:i/>
        </w:rPr>
        <w:t>Nicklinson</w:t>
      </w:r>
      <w:proofErr w:type="spellEnd"/>
      <w:r w:rsidR="00A05443">
        <w:rPr>
          <w:i/>
        </w:rPr>
        <w:t xml:space="preserve">) v Ministry of Justice </w:t>
      </w:r>
      <w:r w:rsidR="00A05443">
        <w:t xml:space="preserve">[2014] UKSC 38; </w:t>
      </w:r>
      <w:r w:rsidR="00A05443">
        <w:rPr>
          <w:i/>
        </w:rPr>
        <w:t xml:space="preserve">R (Conway) v Secretary of State for Justice </w:t>
      </w:r>
      <w:r w:rsidR="00A05443">
        <w:t>[2017] EWHC 640 (Admin)</w:t>
      </w:r>
    </w:p>
  </w:footnote>
  <w:footnote w:id="11">
    <w:p w:rsidR="00984F9E" w:rsidRDefault="00984F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B5D60">
        <w:t>Psychoactive Substances Act 2016</w:t>
      </w:r>
    </w:p>
  </w:footnote>
  <w:footnote w:id="12">
    <w:p w:rsidR="00615D7F" w:rsidRDefault="00615D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2FF4">
        <w:t>&lt;</w:t>
      </w:r>
      <w:hyperlink r:id="rId1" w:history="1">
        <w:r w:rsidR="00C52FF4" w:rsidRPr="009F3CC3">
          <w:rPr>
            <w:rStyle w:val="Hyperlink"/>
          </w:rPr>
          <w:t>https://www.youtube.com/watch?v=gqndBJDWT7Q</w:t>
        </w:r>
      </w:hyperlink>
      <w:r w:rsidR="00C52FF4">
        <w:t>&gt; accessed 28 June 2017.</w:t>
      </w:r>
    </w:p>
  </w:footnote>
  <w:footnote w:id="13">
    <w:p w:rsidR="00615D7F" w:rsidRDefault="00615D7F">
      <w:pPr>
        <w:pStyle w:val="FootnoteText"/>
      </w:pPr>
      <w:r>
        <w:rPr>
          <w:rStyle w:val="FootnoteReference"/>
        </w:rPr>
        <w:footnoteRef/>
      </w:r>
      <w:r>
        <w:t xml:space="preserve"> Law Commission Act 2009 and </w:t>
      </w:r>
      <w:r w:rsidRPr="00C834F9">
        <w:rPr>
          <w:i/>
        </w:rPr>
        <w:t>Protocol between the Lord Chancellor (on behalf of the Government) and the Law Commission</w:t>
      </w:r>
      <w:r>
        <w:t xml:space="preserve"> (Law Com No. 321, 2010) </w:t>
      </w:r>
    </w:p>
  </w:footnote>
  <w:footnote w:id="14">
    <w:p w:rsidR="00133530" w:rsidRPr="00E33931" w:rsidRDefault="00133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3931">
        <w:t xml:space="preserve">See </w:t>
      </w:r>
      <w:r w:rsidR="00E33931">
        <w:rPr>
          <w:i/>
        </w:rPr>
        <w:t xml:space="preserve">Murder, Manslaughter and Infanticide </w:t>
      </w:r>
      <w:r w:rsidR="00E33931">
        <w:t xml:space="preserve">(Law Com No. 304, 2006). </w:t>
      </w:r>
      <w:proofErr w:type="gramStart"/>
      <w:r w:rsidR="00E33931">
        <w:t>Reforms to the law of voluntary manslaughter were introduced in isolation by the Coroners and Justice Act 2009</w:t>
      </w:r>
      <w:proofErr w:type="gramEnd"/>
      <w:r w:rsidR="00E33931">
        <w:t>.</w:t>
      </w:r>
    </w:p>
  </w:footnote>
  <w:footnote w:id="15">
    <w:p w:rsidR="008002CE" w:rsidRDefault="008002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3722D">
        <w:t xml:space="preserve">Past consultation responses on behalf of the Society </w:t>
      </w:r>
      <w:proofErr w:type="gramStart"/>
      <w:r w:rsidR="0043722D">
        <w:t>can be found</w:t>
      </w:r>
      <w:proofErr w:type="gramEnd"/>
      <w:r w:rsidR="0043722D">
        <w:t xml:space="preserve"> on their website, &lt;</w:t>
      </w:r>
      <w:hyperlink r:id="rId2" w:history="1">
        <w:r w:rsidR="0043722D" w:rsidRPr="009F3CC3">
          <w:rPr>
            <w:rStyle w:val="Hyperlink"/>
          </w:rPr>
          <w:t>http://www.legalscholars.ac.uk/position-papers-consultation-responses/</w:t>
        </w:r>
      </w:hyperlink>
      <w:r w:rsidR="0043722D">
        <w:t>&gt; accessed 28 June 2017.</w:t>
      </w:r>
    </w:p>
  </w:footnote>
  <w:footnote w:id="16">
    <w:p w:rsidR="007E1B84" w:rsidRDefault="007E1B84">
      <w:pPr>
        <w:pStyle w:val="FootnoteText"/>
      </w:pPr>
      <w:r>
        <w:rPr>
          <w:rStyle w:val="FootnoteReference"/>
        </w:rPr>
        <w:footnoteRef/>
      </w:r>
      <w:r>
        <w:t xml:space="preserve">  The Chicago gangster </w:t>
      </w:r>
      <w:proofErr w:type="gramStart"/>
      <w:r>
        <w:t>was famously convicted</w:t>
      </w:r>
      <w:proofErr w:type="gramEnd"/>
      <w:r>
        <w:t xml:space="preserve"> for not paying tax when the FBI realised that a prosecution for his murderous activities would fail due to nobody being willing to testify against him.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8C"/>
    <w:rsid w:val="0007216F"/>
    <w:rsid w:val="000C2F38"/>
    <w:rsid w:val="000D674C"/>
    <w:rsid w:val="00133530"/>
    <w:rsid w:val="001525F5"/>
    <w:rsid w:val="001D12ED"/>
    <w:rsid w:val="001F6F6D"/>
    <w:rsid w:val="00207025"/>
    <w:rsid w:val="002513E8"/>
    <w:rsid w:val="003F7E43"/>
    <w:rsid w:val="004240CC"/>
    <w:rsid w:val="0043722D"/>
    <w:rsid w:val="004645EA"/>
    <w:rsid w:val="004C7420"/>
    <w:rsid w:val="004E547B"/>
    <w:rsid w:val="005A6829"/>
    <w:rsid w:val="005D0AF1"/>
    <w:rsid w:val="00615D7F"/>
    <w:rsid w:val="0065522D"/>
    <w:rsid w:val="006D265C"/>
    <w:rsid w:val="006E618E"/>
    <w:rsid w:val="00712D4F"/>
    <w:rsid w:val="007140B0"/>
    <w:rsid w:val="00741429"/>
    <w:rsid w:val="007B1E8C"/>
    <w:rsid w:val="007D3C21"/>
    <w:rsid w:val="007E1B84"/>
    <w:rsid w:val="008002CE"/>
    <w:rsid w:val="00846343"/>
    <w:rsid w:val="008A683B"/>
    <w:rsid w:val="008E6090"/>
    <w:rsid w:val="008F7A3D"/>
    <w:rsid w:val="00982F98"/>
    <w:rsid w:val="00984F9E"/>
    <w:rsid w:val="00991C38"/>
    <w:rsid w:val="009A3563"/>
    <w:rsid w:val="00A05443"/>
    <w:rsid w:val="00A10666"/>
    <w:rsid w:val="00A97319"/>
    <w:rsid w:val="00A979E9"/>
    <w:rsid w:val="00AA3E42"/>
    <w:rsid w:val="00AF3243"/>
    <w:rsid w:val="00B37983"/>
    <w:rsid w:val="00B47BD3"/>
    <w:rsid w:val="00B50D5A"/>
    <w:rsid w:val="00B71147"/>
    <w:rsid w:val="00B82683"/>
    <w:rsid w:val="00BC26E9"/>
    <w:rsid w:val="00BE2857"/>
    <w:rsid w:val="00C52FF4"/>
    <w:rsid w:val="00C834F9"/>
    <w:rsid w:val="00DF2C9D"/>
    <w:rsid w:val="00E22639"/>
    <w:rsid w:val="00E33931"/>
    <w:rsid w:val="00E80761"/>
    <w:rsid w:val="00E83B59"/>
    <w:rsid w:val="00EB5D60"/>
    <w:rsid w:val="00ED3D69"/>
    <w:rsid w:val="00ED4B32"/>
    <w:rsid w:val="00ED699C"/>
    <w:rsid w:val="00F04CFC"/>
    <w:rsid w:val="00F1496B"/>
    <w:rsid w:val="00F17D8D"/>
    <w:rsid w:val="00F27C8E"/>
    <w:rsid w:val="00F65ACE"/>
    <w:rsid w:val="00F93A6F"/>
    <w:rsid w:val="00FA171E"/>
    <w:rsid w:val="00FB3E40"/>
    <w:rsid w:val="00FC7086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FA3C7-E1E9-42C4-AB90-146A325C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E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E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D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alscholars.ac.uk/position-papers-consultation-responses/" TargetMode="External"/><Relationship Id="rId1" Type="http://schemas.openxmlformats.org/officeDocument/2006/relationships/hyperlink" Target="https://www.youtube.com/watch?v=gqndBJDWT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0BDC-5692-453E-80E4-139250C1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Quirk</dc:creator>
  <cp:lastModifiedBy>Ay Okpokam</cp:lastModifiedBy>
  <cp:revision>2</cp:revision>
  <dcterms:created xsi:type="dcterms:W3CDTF">2017-09-28T09:06:00Z</dcterms:created>
  <dcterms:modified xsi:type="dcterms:W3CDTF">2017-09-28T09:06:00Z</dcterms:modified>
</cp:coreProperties>
</file>