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8B8" w:rsidRPr="009C78B8" w:rsidRDefault="009C78B8" w:rsidP="009C78B8">
      <w:pPr>
        <w:spacing w:after="200" w:line="480" w:lineRule="auto"/>
        <w:jc w:val="center"/>
        <w:rPr>
          <w:rFonts w:ascii="Times New Roman" w:eastAsia="Times New Roman" w:hAnsi="Times New Roman" w:cs="Times New Roman"/>
          <w:b/>
          <w:sz w:val="24"/>
          <w:szCs w:val="24"/>
          <w:lang w:eastAsia="en-GB"/>
        </w:rPr>
      </w:pPr>
      <w:r w:rsidRPr="009C78B8">
        <w:rPr>
          <w:rFonts w:ascii="Times New Roman" w:eastAsia="Times New Roman" w:hAnsi="Times New Roman" w:cs="Times New Roman"/>
          <w:b/>
          <w:sz w:val="24"/>
          <w:szCs w:val="24"/>
          <w:lang w:eastAsia="en-GB"/>
        </w:rPr>
        <w:t>SAME-SEX MARRIAGE, CONSENSUS, CERTAINTY AND THE EUROPEAN COURT OF HUMAN RIGHTS</w:t>
      </w:r>
    </w:p>
    <w:p w:rsidR="009C78B8" w:rsidRPr="009C78B8" w:rsidRDefault="009C78B8" w:rsidP="009C78B8">
      <w:pPr>
        <w:spacing w:after="200" w:line="480" w:lineRule="auto"/>
        <w:jc w:val="center"/>
        <w:rPr>
          <w:rFonts w:ascii="Times New Roman" w:eastAsia="Times New Roman" w:hAnsi="Times New Roman" w:cs="Times New Roman"/>
          <w:b/>
          <w:sz w:val="24"/>
          <w:szCs w:val="24"/>
          <w:lang w:eastAsia="en-GB"/>
        </w:rPr>
      </w:pPr>
      <w:r w:rsidRPr="009C78B8">
        <w:rPr>
          <w:rFonts w:ascii="Times New Roman" w:eastAsia="Times New Roman" w:hAnsi="Times New Roman" w:cs="Times New Roman"/>
          <w:b/>
          <w:sz w:val="24"/>
          <w:szCs w:val="24"/>
          <w:lang w:eastAsia="en-GB"/>
        </w:rPr>
        <w:t>Frances Hamilton</w:t>
      </w:r>
      <w:r w:rsidRPr="009C78B8">
        <w:rPr>
          <w:rFonts w:ascii="Times New Roman" w:eastAsia="Times New Roman" w:hAnsi="Times New Roman" w:cs="Times New Roman"/>
          <w:b/>
          <w:sz w:val="24"/>
          <w:szCs w:val="24"/>
          <w:vertAlign w:val="superscript"/>
          <w:lang w:eastAsia="en-GB"/>
        </w:rPr>
        <w:footnoteReference w:id="1"/>
      </w:r>
    </w:p>
    <w:p w:rsidR="009C78B8" w:rsidRPr="009C78B8" w:rsidRDefault="009C78B8" w:rsidP="009C78B8">
      <w:pPr>
        <w:spacing w:line="480" w:lineRule="auto"/>
        <w:jc w:val="both"/>
        <w:rPr>
          <w:rFonts w:ascii="Times New Roman" w:eastAsia="Times New Roman" w:hAnsi="Times New Roman" w:cs="Times New Roman"/>
          <w:i/>
          <w:sz w:val="24"/>
          <w:szCs w:val="24"/>
          <w:lang w:eastAsia="en-GB"/>
        </w:rPr>
      </w:pPr>
      <w:r w:rsidRPr="009C78B8">
        <w:rPr>
          <w:rFonts w:ascii="Times New Roman" w:eastAsia="Times New Roman" w:hAnsi="Times New Roman" w:cs="Times New Roman"/>
          <w:b/>
          <w:sz w:val="24"/>
          <w:szCs w:val="24"/>
          <w:lang w:eastAsia="en-GB"/>
        </w:rPr>
        <w:t>Abstract:</w:t>
      </w:r>
      <w:r w:rsidRPr="009C78B8">
        <w:rPr>
          <w:rFonts w:ascii="Times New Roman" w:eastAsia="Times New Roman" w:hAnsi="Times New Roman" w:cs="Times New Roman"/>
          <w:i/>
          <w:sz w:val="24"/>
          <w:szCs w:val="24"/>
          <w:lang w:eastAsia="en-GB"/>
        </w:rPr>
        <w:t xml:space="preserve"> There remains no right to same-sex marriage before the European Court of Human Rights(‘European Court.’) Yet it seems likely that at some stage the European Court will recognise same-sex marriage. Recent dicta stresses the movement towards legal recognition across Member States. It is only a lack of consensus, leading to a wide Margin of Appreciation, which prevents the European Court recognising same-sex marriage. This piece proposes that if the European Court continues with this approach, they should at least outline in future judgments how many domestic legislatures need to legislate in favour of same-sex marriage, before they will determine that a consensus will exist.</w:t>
      </w:r>
      <w:r w:rsidRPr="009C78B8">
        <w:rPr>
          <w:rFonts w:ascii="Times New Roman" w:eastAsia="Times New Roman" w:hAnsi="Times New Roman" w:cs="Times New Roman"/>
          <w:sz w:val="24"/>
          <w:szCs w:val="24"/>
          <w:lang w:eastAsia="en-GB"/>
        </w:rPr>
        <w:t xml:space="preserve"> </w:t>
      </w:r>
      <w:r w:rsidRPr="009C78B8">
        <w:rPr>
          <w:rFonts w:ascii="Times New Roman" w:eastAsia="Times New Roman" w:hAnsi="Times New Roman" w:cs="Times New Roman"/>
          <w:i/>
          <w:sz w:val="24"/>
          <w:szCs w:val="24"/>
          <w:lang w:eastAsia="en-GB"/>
        </w:rPr>
        <w:t xml:space="preserve">This is due to the constitutional, manifold legal and symbolic implications of marriage.  It is essential for a same-sex couple to know when their marriage will be legally recognised. If done in a consistent manner, this would increase the legitimacy of the European Court and has the major advantages of transparency, certainty and predictability. </w:t>
      </w:r>
    </w:p>
    <w:p w:rsidR="009C78B8" w:rsidRPr="009C78B8" w:rsidRDefault="009C78B8" w:rsidP="009C78B8">
      <w:pPr>
        <w:numPr>
          <w:ilvl w:val="0"/>
          <w:numId w:val="1"/>
        </w:numPr>
        <w:spacing w:after="200" w:line="480" w:lineRule="auto"/>
        <w:contextualSpacing/>
        <w:jc w:val="center"/>
        <w:rPr>
          <w:rFonts w:ascii="Times New Roman" w:eastAsia="Times New Roman" w:hAnsi="Times New Roman" w:cs="Times New Roman"/>
          <w:b/>
          <w:sz w:val="24"/>
          <w:szCs w:val="24"/>
          <w:lang w:eastAsia="en-GB"/>
        </w:rPr>
      </w:pPr>
      <w:r w:rsidRPr="009C78B8">
        <w:rPr>
          <w:rFonts w:ascii="Times New Roman" w:eastAsia="Times New Roman" w:hAnsi="Times New Roman" w:cs="Times New Roman"/>
          <w:b/>
          <w:sz w:val="24"/>
          <w:szCs w:val="24"/>
          <w:lang w:eastAsia="en-GB"/>
        </w:rPr>
        <w:t>INTRODUCTION</w:t>
      </w:r>
    </w:p>
    <w:p w:rsidR="00531952" w:rsidRDefault="009C78B8" w:rsidP="009C78B8">
      <w:pPr>
        <w:spacing w:after="200" w:line="480" w:lineRule="auto"/>
        <w:jc w:val="both"/>
        <w:rPr>
          <w:rFonts w:ascii="Times New Roman" w:eastAsia="Times New Roman" w:hAnsi="Times New Roman" w:cs="Times New Roman"/>
          <w:sz w:val="24"/>
          <w:szCs w:val="24"/>
          <w:lang w:eastAsia="en-GB"/>
        </w:rPr>
      </w:pPr>
      <w:r w:rsidRPr="009C78B8">
        <w:rPr>
          <w:rFonts w:ascii="Times New Roman" w:eastAsiaTheme="minorHAnsi" w:hAnsi="Times New Roman" w:cs="Times New Roman"/>
          <w:sz w:val="24"/>
          <w:szCs w:val="24"/>
          <w:lang w:eastAsia="en-US"/>
        </w:rPr>
        <w:t>There</w:t>
      </w:r>
      <w:r w:rsidRPr="009C78B8">
        <w:rPr>
          <w:rFonts w:ascii="Times New Roman" w:eastAsia="Times New Roman" w:hAnsi="Times New Roman" w:cs="Times New Roman"/>
          <w:sz w:val="24"/>
          <w:szCs w:val="24"/>
          <w:lang w:eastAsia="en-GB"/>
        </w:rPr>
        <w:t xml:space="preserve"> continues to be no right to same sex-marriage before the European Court.</w:t>
      </w:r>
      <w:r w:rsidRPr="009C78B8">
        <w:rPr>
          <w:rFonts w:ascii="Times New Roman" w:eastAsia="Times New Roman" w:hAnsi="Times New Roman" w:cs="Times New Roman"/>
          <w:sz w:val="24"/>
          <w:szCs w:val="24"/>
          <w:vertAlign w:val="superscript"/>
          <w:lang w:eastAsia="en-GB"/>
        </w:rPr>
        <w:footnoteReference w:id="2"/>
      </w:r>
      <w:r w:rsidRPr="009C78B8">
        <w:rPr>
          <w:rFonts w:ascii="Times New Roman" w:eastAsia="Times New Roman" w:hAnsi="Times New Roman" w:cs="Times New Roman"/>
          <w:sz w:val="24"/>
          <w:szCs w:val="24"/>
          <w:lang w:eastAsia="en-GB"/>
        </w:rPr>
        <w:t xml:space="preserve">  Following </w:t>
      </w:r>
      <w:r w:rsidRPr="009C78B8">
        <w:rPr>
          <w:rFonts w:ascii="Times New Roman" w:eastAsia="Times New Roman" w:hAnsi="Times New Roman" w:cs="Times New Roman"/>
          <w:i/>
          <w:sz w:val="24"/>
          <w:szCs w:val="24"/>
          <w:lang w:eastAsia="en-GB"/>
        </w:rPr>
        <w:t>Oliari v Italy</w:t>
      </w:r>
      <w:r w:rsidRPr="009C78B8">
        <w:rPr>
          <w:rFonts w:ascii="Times New Roman" w:eastAsia="Times New Roman" w:hAnsi="Times New Roman" w:cs="Times New Roman"/>
          <w:sz w:val="24"/>
          <w:szCs w:val="24"/>
          <w:lang w:eastAsia="en-GB"/>
        </w:rPr>
        <w:t>, Member States are obliged to provide same-sex couples with some form of civil partne</w:t>
      </w:r>
      <w:r w:rsidR="00531952">
        <w:rPr>
          <w:rFonts w:ascii="Times New Roman" w:eastAsia="Times New Roman" w:hAnsi="Times New Roman" w:cs="Times New Roman"/>
          <w:sz w:val="24"/>
          <w:szCs w:val="24"/>
          <w:lang w:eastAsia="en-GB"/>
        </w:rPr>
        <w:t>rship or registered partnership.</w:t>
      </w:r>
      <w:r w:rsidRPr="009C78B8">
        <w:rPr>
          <w:rFonts w:ascii="Times New Roman" w:eastAsia="Times New Roman" w:hAnsi="Times New Roman" w:cs="Times New Roman"/>
          <w:sz w:val="24"/>
          <w:szCs w:val="24"/>
          <w:vertAlign w:val="superscript"/>
          <w:lang w:eastAsia="en-GB"/>
        </w:rPr>
        <w:footnoteReference w:id="3"/>
      </w:r>
      <w:r w:rsidR="00531952">
        <w:rPr>
          <w:rFonts w:ascii="Times New Roman" w:eastAsia="Times New Roman" w:hAnsi="Times New Roman" w:cs="Times New Roman"/>
          <w:sz w:val="24"/>
          <w:szCs w:val="24"/>
          <w:lang w:eastAsia="en-GB"/>
        </w:rPr>
        <w:t xml:space="preserve"> </w:t>
      </w:r>
      <w:r w:rsidRPr="009C78B8">
        <w:rPr>
          <w:rFonts w:ascii="Times New Roman" w:eastAsia="Times New Roman" w:hAnsi="Times New Roman" w:cs="Times New Roman"/>
          <w:sz w:val="24"/>
          <w:szCs w:val="24"/>
          <w:lang w:eastAsia="en-GB"/>
        </w:rPr>
        <w:t>This is a bre</w:t>
      </w:r>
      <w:r w:rsidR="00531952">
        <w:rPr>
          <w:rFonts w:ascii="Times New Roman" w:eastAsia="Times New Roman" w:hAnsi="Times New Roman" w:cs="Times New Roman"/>
          <w:sz w:val="24"/>
          <w:szCs w:val="24"/>
          <w:lang w:eastAsia="en-GB"/>
        </w:rPr>
        <w:t>akthrough for same-sex partners</w:t>
      </w:r>
      <w:r w:rsidRPr="009C78B8">
        <w:rPr>
          <w:rFonts w:ascii="Times New Roman" w:eastAsia="Times New Roman" w:hAnsi="Times New Roman" w:cs="Times New Roman"/>
          <w:sz w:val="24"/>
          <w:szCs w:val="24"/>
          <w:vertAlign w:val="superscript"/>
          <w:lang w:eastAsia="en-GB"/>
        </w:rPr>
        <w:footnoteReference w:id="4"/>
      </w:r>
      <w:r w:rsidR="00531952">
        <w:rPr>
          <w:rFonts w:ascii="Times New Roman" w:eastAsia="Times New Roman" w:hAnsi="Times New Roman" w:cs="Times New Roman"/>
          <w:sz w:val="24"/>
          <w:szCs w:val="24"/>
          <w:lang w:eastAsia="en-GB"/>
        </w:rPr>
        <w:t xml:space="preserve">  although </w:t>
      </w:r>
      <w:r w:rsidR="00191418">
        <w:rPr>
          <w:rFonts w:ascii="Times New Roman" w:eastAsia="Times New Roman" w:hAnsi="Times New Roman" w:cs="Times New Roman"/>
          <w:sz w:val="24"/>
          <w:szCs w:val="24"/>
          <w:lang w:eastAsia="en-GB"/>
        </w:rPr>
        <w:t xml:space="preserve">in its judgment the European Court concentrated upon the difference between the lack of legal </w:t>
      </w:r>
      <w:r w:rsidR="00191418">
        <w:rPr>
          <w:rFonts w:ascii="Times New Roman" w:eastAsia="Times New Roman" w:hAnsi="Times New Roman" w:cs="Times New Roman"/>
          <w:sz w:val="24"/>
          <w:szCs w:val="24"/>
          <w:lang w:eastAsia="en-GB"/>
        </w:rPr>
        <w:lastRenderedPageBreak/>
        <w:t>and protections in Italy and the ‘social reality of the applicants’ who were widely accepted.</w:t>
      </w:r>
      <w:r w:rsidR="00191418">
        <w:rPr>
          <w:rStyle w:val="FootnoteReference"/>
          <w:rFonts w:ascii="Times New Roman" w:eastAsia="Times New Roman" w:hAnsi="Times New Roman" w:cs="Times New Roman"/>
          <w:sz w:val="24"/>
          <w:szCs w:val="24"/>
          <w:lang w:eastAsia="en-GB"/>
        </w:rPr>
        <w:footnoteReference w:id="5"/>
      </w:r>
      <w:r w:rsidR="00191418">
        <w:rPr>
          <w:rFonts w:ascii="Times New Roman" w:eastAsia="Times New Roman" w:hAnsi="Times New Roman" w:cs="Times New Roman"/>
          <w:sz w:val="24"/>
          <w:szCs w:val="24"/>
          <w:lang w:eastAsia="en-GB"/>
        </w:rPr>
        <w:t xml:space="preserve"> Fenwick and Hayward argue that </w:t>
      </w:r>
      <w:r w:rsidR="00D954AE">
        <w:rPr>
          <w:rFonts w:ascii="Times New Roman" w:eastAsia="Times New Roman" w:hAnsi="Times New Roman" w:cs="Times New Roman"/>
          <w:sz w:val="24"/>
          <w:szCs w:val="24"/>
          <w:lang w:eastAsia="en-GB"/>
        </w:rPr>
        <w:t>the European Court by doing this ‘sought to relate its scope to circumstances arising locally, in Italy, and most likely to arise in Western European States.’</w:t>
      </w:r>
      <w:r w:rsidR="0054063E" w:rsidRPr="00D954AE">
        <w:rPr>
          <w:rStyle w:val="FootnoteReference"/>
          <w:rFonts w:ascii="Times New Roman" w:eastAsia="Times New Roman" w:hAnsi="Times New Roman" w:cs="Times New Roman"/>
          <w:sz w:val="24"/>
          <w:szCs w:val="24"/>
          <w:lang w:eastAsia="en-GB"/>
        </w:rPr>
        <w:footnoteReference w:id="6"/>
      </w:r>
      <w:r w:rsidR="0054063E" w:rsidRPr="00D954AE">
        <w:rPr>
          <w:rFonts w:ascii="Times New Roman" w:eastAsia="Times New Roman" w:hAnsi="Times New Roman" w:cs="Times New Roman"/>
          <w:sz w:val="24"/>
          <w:szCs w:val="24"/>
          <w:lang w:eastAsia="en-GB"/>
        </w:rPr>
        <w:t xml:space="preserve"> </w:t>
      </w:r>
      <w:r w:rsidR="0054063E">
        <w:rPr>
          <w:rFonts w:ascii="Times New Roman" w:eastAsia="Times New Roman" w:hAnsi="Times New Roman" w:cs="Times New Roman"/>
          <w:sz w:val="24"/>
          <w:szCs w:val="24"/>
          <w:lang w:eastAsia="en-GB"/>
        </w:rPr>
        <w:t xml:space="preserve">In addition, </w:t>
      </w:r>
      <w:r w:rsidR="005D3F51">
        <w:rPr>
          <w:rFonts w:ascii="Times New Roman" w:eastAsia="Times New Roman" w:hAnsi="Times New Roman" w:cs="Times New Roman"/>
          <w:sz w:val="24"/>
          <w:szCs w:val="24"/>
          <w:lang w:eastAsia="en-GB"/>
        </w:rPr>
        <w:t xml:space="preserve">although </w:t>
      </w:r>
      <w:r w:rsidR="00F91672">
        <w:rPr>
          <w:rFonts w:ascii="Times New Roman" w:eastAsia="Times New Roman" w:hAnsi="Times New Roman" w:cs="Times New Roman"/>
          <w:sz w:val="24"/>
          <w:szCs w:val="24"/>
          <w:lang w:eastAsia="en-GB"/>
        </w:rPr>
        <w:t>civil partnership is increasingly seen as having an intrinsic value in itself</w:t>
      </w:r>
      <w:r w:rsidR="00F91672">
        <w:rPr>
          <w:rStyle w:val="FootnoteReference"/>
          <w:rFonts w:ascii="Times New Roman" w:eastAsia="Times New Roman" w:hAnsi="Times New Roman" w:cs="Times New Roman"/>
          <w:sz w:val="24"/>
          <w:szCs w:val="24"/>
          <w:lang w:eastAsia="en-GB"/>
        </w:rPr>
        <w:footnoteReference w:id="7"/>
      </w:r>
      <w:r w:rsidR="00F91672">
        <w:rPr>
          <w:rFonts w:ascii="Times New Roman" w:eastAsia="Times New Roman" w:hAnsi="Times New Roman" w:cs="Times New Roman"/>
          <w:sz w:val="24"/>
          <w:szCs w:val="24"/>
          <w:lang w:eastAsia="en-GB"/>
        </w:rPr>
        <w:t xml:space="preserve"> this</w:t>
      </w:r>
      <w:r w:rsidRPr="009C78B8">
        <w:rPr>
          <w:rFonts w:ascii="Times New Roman" w:eastAsia="Times New Roman" w:hAnsi="Times New Roman" w:cs="Times New Roman"/>
          <w:sz w:val="24"/>
          <w:szCs w:val="24"/>
          <w:lang w:eastAsia="en-GB"/>
        </w:rPr>
        <w:t xml:space="preserve"> will </w:t>
      </w:r>
      <w:r w:rsidR="00F91672">
        <w:rPr>
          <w:rFonts w:ascii="Times New Roman" w:eastAsia="Times New Roman" w:hAnsi="Times New Roman" w:cs="Times New Roman"/>
          <w:sz w:val="24"/>
          <w:szCs w:val="24"/>
          <w:lang w:eastAsia="en-GB"/>
        </w:rPr>
        <w:t xml:space="preserve">also </w:t>
      </w:r>
      <w:r w:rsidRPr="009C78B8">
        <w:rPr>
          <w:rFonts w:ascii="Times New Roman" w:eastAsia="Times New Roman" w:hAnsi="Times New Roman" w:cs="Times New Roman"/>
          <w:sz w:val="24"/>
          <w:szCs w:val="24"/>
          <w:lang w:eastAsia="en-GB"/>
        </w:rPr>
        <w:t>not satisfy those proponents of same-sex marriage who view marriage as the gold standard.</w:t>
      </w:r>
      <w:r w:rsidRPr="009C78B8">
        <w:rPr>
          <w:rFonts w:ascii="Times New Roman" w:eastAsia="Times New Roman" w:hAnsi="Times New Roman" w:cs="Times New Roman"/>
          <w:sz w:val="24"/>
          <w:szCs w:val="24"/>
          <w:vertAlign w:val="superscript"/>
          <w:lang w:eastAsia="en-GB"/>
        </w:rPr>
        <w:footnoteReference w:id="8"/>
      </w:r>
      <w:r w:rsidRPr="009C78B8">
        <w:rPr>
          <w:rFonts w:ascii="Times New Roman" w:eastAsia="Times New Roman" w:hAnsi="Times New Roman" w:cs="Times New Roman"/>
          <w:sz w:val="24"/>
          <w:szCs w:val="24"/>
          <w:lang w:eastAsia="en-GB"/>
        </w:rPr>
        <w:t xml:space="preserve"> </w:t>
      </w:r>
    </w:p>
    <w:p w:rsidR="00177736" w:rsidRPr="009C78B8" w:rsidRDefault="009C78B8" w:rsidP="009C78B8">
      <w:pPr>
        <w:spacing w:after="200" w:line="480" w:lineRule="auto"/>
        <w:jc w:val="both"/>
        <w:rPr>
          <w:rFonts w:ascii="Times New Roman" w:eastAsia="Times New Roman" w:hAnsi="Times New Roman" w:cs="Times New Roman"/>
          <w:sz w:val="24"/>
          <w:szCs w:val="24"/>
          <w:lang w:eastAsia="en-GB"/>
        </w:rPr>
      </w:pPr>
      <w:r w:rsidRPr="009C78B8">
        <w:rPr>
          <w:rFonts w:ascii="Times New Roman" w:eastAsia="Times New Roman" w:hAnsi="Times New Roman" w:cs="Times New Roman"/>
          <w:sz w:val="24"/>
          <w:szCs w:val="24"/>
          <w:lang w:eastAsia="en-GB"/>
        </w:rPr>
        <w:t>However, recognition of same-sex marriage by the European Court</w:t>
      </w:r>
      <w:r w:rsidR="005D3F51">
        <w:rPr>
          <w:rFonts w:ascii="Times New Roman" w:eastAsia="Times New Roman" w:hAnsi="Times New Roman" w:cs="Times New Roman"/>
          <w:sz w:val="24"/>
          <w:szCs w:val="24"/>
          <w:lang w:eastAsia="en-GB"/>
        </w:rPr>
        <w:t xml:space="preserve"> at some stage</w:t>
      </w:r>
      <w:r w:rsidRPr="009C78B8">
        <w:rPr>
          <w:rFonts w:ascii="Times New Roman" w:eastAsia="Times New Roman" w:hAnsi="Times New Roman" w:cs="Times New Roman"/>
          <w:sz w:val="24"/>
          <w:szCs w:val="24"/>
          <w:lang w:eastAsia="en-GB"/>
        </w:rPr>
        <w:t xml:space="preserve"> now seems likely. Stress was placed by the European Court in </w:t>
      </w:r>
      <w:r w:rsidRPr="009C78B8">
        <w:rPr>
          <w:rFonts w:ascii="Times New Roman" w:eastAsia="Times New Roman" w:hAnsi="Times New Roman" w:cs="Times New Roman"/>
          <w:i/>
          <w:sz w:val="24"/>
          <w:szCs w:val="24"/>
          <w:lang w:eastAsia="en-GB"/>
        </w:rPr>
        <w:t>Oliari</w:t>
      </w:r>
      <w:r w:rsidR="00D954AE">
        <w:rPr>
          <w:rFonts w:ascii="Times New Roman" w:eastAsia="Times New Roman" w:hAnsi="Times New Roman" w:cs="Times New Roman"/>
          <w:i/>
          <w:sz w:val="24"/>
          <w:szCs w:val="24"/>
          <w:lang w:eastAsia="en-GB"/>
        </w:rPr>
        <w:t xml:space="preserve"> v Italy</w:t>
      </w:r>
      <w:r w:rsidRPr="009C78B8">
        <w:rPr>
          <w:rFonts w:ascii="Times New Roman" w:eastAsia="Times New Roman" w:hAnsi="Times New Roman" w:cs="Times New Roman"/>
          <w:sz w:val="24"/>
          <w:szCs w:val="24"/>
          <w:lang w:eastAsia="en-GB"/>
        </w:rPr>
        <w:t xml:space="preserve"> on the ‘movement towards legal recognition’ and the ‘continuing international trend of legal recognition of same-sex couples.’</w:t>
      </w:r>
      <w:r w:rsidRPr="009C78B8">
        <w:rPr>
          <w:rFonts w:ascii="Times New Roman" w:eastAsia="Times New Roman" w:hAnsi="Times New Roman" w:cs="Times New Roman"/>
          <w:sz w:val="24"/>
          <w:szCs w:val="24"/>
          <w:vertAlign w:val="superscript"/>
          <w:lang w:eastAsia="en-GB"/>
        </w:rPr>
        <w:footnoteReference w:id="9"/>
      </w:r>
      <w:r w:rsidRPr="009C78B8">
        <w:rPr>
          <w:rFonts w:ascii="Times New Roman" w:eastAsia="Times New Roman" w:hAnsi="Times New Roman" w:cs="Times New Roman"/>
          <w:sz w:val="24"/>
          <w:szCs w:val="24"/>
          <w:lang w:eastAsia="en-GB"/>
        </w:rPr>
        <w:t xml:space="preserve"> The European Court justifies the reason for not introducing same-sex marriage on the lack of </w:t>
      </w:r>
      <w:r w:rsidR="0054063E">
        <w:rPr>
          <w:rFonts w:ascii="Times New Roman" w:eastAsia="Times New Roman" w:hAnsi="Times New Roman" w:cs="Times New Roman"/>
          <w:sz w:val="24"/>
          <w:szCs w:val="24"/>
          <w:lang w:eastAsia="en-GB"/>
        </w:rPr>
        <w:t>consensus between Member States</w:t>
      </w:r>
      <w:r w:rsidRPr="009C78B8">
        <w:rPr>
          <w:rFonts w:ascii="Times New Roman" w:eastAsia="Times New Roman" w:hAnsi="Times New Roman" w:cs="Times New Roman"/>
          <w:sz w:val="24"/>
          <w:szCs w:val="24"/>
          <w:vertAlign w:val="superscript"/>
          <w:lang w:eastAsia="en-GB"/>
        </w:rPr>
        <w:footnoteReference w:id="10"/>
      </w:r>
      <w:r w:rsidRPr="009C78B8">
        <w:rPr>
          <w:rFonts w:ascii="Times New Roman" w:eastAsia="Times New Roman" w:hAnsi="Times New Roman" w:cs="Times New Roman"/>
          <w:sz w:val="24"/>
          <w:szCs w:val="24"/>
          <w:lang w:eastAsia="en-GB"/>
        </w:rPr>
        <w:t xml:space="preserve"> This lack of consensus leads to a wide Margin of Appreciation (‘MoA’) otherwise known as area of discretion,</w:t>
      </w:r>
      <w:r w:rsidRPr="009C78B8">
        <w:rPr>
          <w:rFonts w:ascii="Times New Roman" w:eastAsia="Times New Roman" w:hAnsi="Times New Roman" w:cs="Times New Roman"/>
          <w:sz w:val="24"/>
          <w:szCs w:val="24"/>
          <w:vertAlign w:val="superscript"/>
          <w:lang w:eastAsia="en-GB"/>
        </w:rPr>
        <w:footnoteReference w:id="11"/>
      </w:r>
      <w:r w:rsidRPr="009C78B8">
        <w:rPr>
          <w:rFonts w:ascii="Times New Roman" w:eastAsia="Times New Roman" w:hAnsi="Times New Roman" w:cs="Times New Roman"/>
          <w:sz w:val="24"/>
          <w:szCs w:val="24"/>
          <w:lang w:eastAsia="en-GB"/>
        </w:rPr>
        <w:t xml:space="preserve"> given to Member States. </w:t>
      </w:r>
      <w:r w:rsidRPr="00D954AE">
        <w:rPr>
          <w:rFonts w:ascii="Times New Roman" w:eastAsia="Times New Roman" w:hAnsi="Times New Roman" w:cs="Times New Roman"/>
          <w:sz w:val="24"/>
          <w:szCs w:val="24"/>
          <w:lang w:eastAsia="en-GB"/>
        </w:rPr>
        <w:t>Today 1</w:t>
      </w:r>
      <w:r w:rsidR="00F91672" w:rsidRPr="00D954AE">
        <w:rPr>
          <w:rFonts w:ascii="Times New Roman" w:eastAsia="Times New Roman" w:hAnsi="Times New Roman" w:cs="Times New Roman"/>
          <w:sz w:val="24"/>
          <w:szCs w:val="24"/>
          <w:lang w:eastAsia="en-GB"/>
        </w:rPr>
        <w:t>5</w:t>
      </w:r>
      <w:r w:rsidRPr="00D954AE">
        <w:rPr>
          <w:rFonts w:ascii="Times New Roman" w:eastAsia="Times New Roman" w:hAnsi="Times New Roman" w:cs="Times New Roman"/>
          <w:sz w:val="24"/>
          <w:szCs w:val="24"/>
          <w:lang w:eastAsia="en-GB"/>
        </w:rPr>
        <w:t xml:space="preserve"> Member States recognise same-sex marriage</w:t>
      </w:r>
      <w:r w:rsidR="00F91672" w:rsidRPr="00D954AE">
        <w:rPr>
          <w:rFonts w:ascii="Times New Roman" w:eastAsia="Times New Roman" w:hAnsi="Times New Roman" w:cs="Times New Roman"/>
          <w:sz w:val="24"/>
          <w:szCs w:val="24"/>
          <w:lang w:eastAsia="en-GB"/>
        </w:rPr>
        <w:t>.</w:t>
      </w:r>
      <w:r w:rsidRPr="00D954AE">
        <w:rPr>
          <w:rFonts w:ascii="Times New Roman" w:eastAsia="Times New Roman" w:hAnsi="Times New Roman" w:cs="Times New Roman"/>
          <w:sz w:val="24"/>
          <w:szCs w:val="24"/>
          <w:vertAlign w:val="superscript"/>
          <w:lang w:eastAsia="en-GB"/>
        </w:rPr>
        <w:footnoteReference w:id="12"/>
      </w:r>
      <w:r w:rsidRPr="009C78B8">
        <w:rPr>
          <w:rFonts w:ascii="Times New Roman" w:eastAsia="Times New Roman" w:hAnsi="Times New Roman" w:cs="Times New Roman"/>
          <w:sz w:val="24"/>
          <w:szCs w:val="24"/>
          <w:lang w:eastAsia="en-GB"/>
        </w:rPr>
        <w:t xml:space="preserve"> This accords with a ‘global </w:t>
      </w:r>
      <w:r w:rsidRPr="009C78B8">
        <w:rPr>
          <w:rFonts w:ascii="Times New Roman" w:eastAsia="Times New Roman" w:hAnsi="Times New Roman" w:cs="Times New Roman"/>
          <w:sz w:val="24"/>
          <w:szCs w:val="24"/>
          <w:lang w:eastAsia="en-GB"/>
        </w:rPr>
        <w:lastRenderedPageBreak/>
        <w:t>movement to legalise same-sex marriage.’</w:t>
      </w:r>
      <w:r w:rsidRPr="009C78B8">
        <w:rPr>
          <w:rFonts w:ascii="Times New Roman" w:eastAsia="Times New Roman" w:hAnsi="Times New Roman" w:cs="Times New Roman"/>
          <w:sz w:val="24"/>
          <w:szCs w:val="24"/>
          <w:vertAlign w:val="superscript"/>
          <w:lang w:eastAsia="en-GB"/>
        </w:rPr>
        <w:footnoteReference w:id="13"/>
      </w:r>
      <w:r w:rsidRPr="009C78B8">
        <w:rPr>
          <w:rFonts w:ascii="Times New Roman" w:eastAsia="Times New Roman" w:hAnsi="Times New Roman" w:cs="Times New Roman"/>
          <w:sz w:val="24"/>
          <w:szCs w:val="24"/>
          <w:lang w:eastAsia="en-GB"/>
        </w:rPr>
        <w:t xml:space="preserve"> Reform is by no means complete as certain Central and Eastern European states continue to ban same-sex marriage and constitutionally define marriage as between a man and a woman.</w:t>
      </w:r>
      <w:r w:rsidRPr="009C78B8">
        <w:rPr>
          <w:rFonts w:ascii="Times New Roman" w:eastAsia="Times New Roman" w:hAnsi="Times New Roman" w:cs="Times New Roman"/>
          <w:sz w:val="24"/>
          <w:szCs w:val="24"/>
          <w:vertAlign w:val="superscript"/>
          <w:lang w:eastAsia="en-GB"/>
        </w:rPr>
        <w:footnoteReference w:id="14"/>
      </w:r>
      <w:r w:rsidRPr="009C78B8">
        <w:rPr>
          <w:rFonts w:ascii="Times New Roman" w:eastAsia="Times New Roman" w:hAnsi="Times New Roman" w:cs="Times New Roman"/>
          <w:sz w:val="24"/>
          <w:szCs w:val="24"/>
          <w:lang w:eastAsia="en-GB"/>
        </w:rPr>
        <w:t xml:space="preserve"> Russia, a Council of Europe Member State seems to be a long way away from considering protections for same-sex couples.</w:t>
      </w:r>
      <w:r w:rsidRPr="009C78B8">
        <w:rPr>
          <w:rFonts w:ascii="Times New Roman" w:eastAsia="Times New Roman" w:hAnsi="Times New Roman" w:cs="Times New Roman"/>
          <w:sz w:val="24"/>
          <w:szCs w:val="24"/>
          <w:vertAlign w:val="superscript"/>
          <w:lang w:eastAsia="en-GB"/>
        </w:rPr>
        <w:footnoteReference w:id="15"/>
      </w:r>
      <w:r w:rsidR="00177736">
        <w:rPr>
          <w:rFonts w:ascii="Times New Roman" w:eastAsia="Times New Roman" w:hAnsi="Times New Roman" w:cs="Times New Roman"/>
          <w:sz w:val="24"/>
          <w:szCs w:val="24"/>
          <w:lang w:eastAsia="en-GB"/>
        </w:rPr>
        <w:t xml:space="preserve"> A claim is now being brought to the European Court from three same-sex couples in Russia who are claiming a right to same-sex marriage.</w:t>
      </w:r>
      <w:r w:rsidR="00177736" w:rsidRPr="00596CCE">
        <w:rPr>
          <w:rStyle w:val="FootnoteReference"/>
          <w:rFonts w:asciiTheme="majorHAnsi" w:eastAsia="Times New Roman" w:hAnsiTheme="majorHAnsi" w:cs="Times New Roman"/>
          <w:lang w:eastAsia="en-GB"/>
        </w:rPr>
        <w:footnoteReference w:id="16"/>
      </w:r>
      <w:r w:rsidR="00177736" w:rsidRPr="00596CCE">
        <w:rPr>
          <w:rFonts w:asciiTheme="majorHAnsi" w:eastAsia="Times New Roman" w:hAnsiTheme="majorHAnsi" w:cs="Times New Roman"/>
          <w:lang w:eastAsia="en-GB"/>
        </w:rPr>
        <w:t xml:space="preserve"> </w:t>
      </w:r>
      <w:r w:rsidR="00177736">
        <w:rPr>
          <w:rFonts w:ascii="Times New Roman" w:eastAsia="Times New Roman" w:hAnsi="Times New Roman" w:cs="Times New Roman"/>
          <w:sz w:val="24"/>
          <w:szCs w:val="24"/>
          <w:lang w:eastAsia="en-GB"/>
        </w:rPr>
        <w:t>As Russia has no form of legal protection for same-sex couples, the European Court are considering the matter as a ‘claim for some means of formalising their relationship in Russia, via a form of registered partnership.’</w:t>
      </w:r>
      <w:r w:rsidR="00177736" w:rsidRPr="00596CCE">
        <w:rPr>
          <w:rStyle w:val="FootnoteReference"/>
          <w:rFonts w:asciiTheme="majorHAnsi" w:eastAsia="Times New Roman" w:hAnsiTheme="majorHAnsi" w:cs="Times New Roman"/>
          <w:lang w:eastAsia="en-GB"/>
        </w:rPr>
        <w:footnoteReference w:id="17"/>
      </w:r>
      <w:r w:rsidR="00177736" w:rsidRPr="00596CCE">
        <w:rPr>
          <w:rFonts w:asciiTheme="majorHAnsi" w:eastAsia="Times New Roman" w:hAnsiTheme="majorHAnsi" w:cs="Times New Roman"/>
          <w:lang w:eastAsia="en-GB"/>
        </w:rPr>
        <w:t xml:space="preserve"> </w:t>
      </w:r>
      <w:r w:rsidR="00177736">
        <w:rPr>
          <w:rFonts w:ascii="Times New Roman" w:eastAsia="Times New Roman" w:hAnsi="Times New Roman" w:cs="Times New Roman"/>
          <w:sz w:val="24"/>
          <w:szCs w:val="24"/>
          <w:lang w:eastAsia="en-GB"/>
        </w:rPr>
        <w:t xml:space="preserve">It remains to be seen whether the European Court will confine to </w:t>
      </w:r>
      <w:r w:rsidR="00177736" w:rsidRPr="00177736">
        <w:rPr>
          <w:rFonts w:ascii="Times New Roman" w:eastAsia="Times New Roman" w:hAnsi="Times New Roman" w:cs="Times New Roman"/>
          <w:i/>
          <w:sz w:val="24"/>
          <w:szCs w:val="24"/>
          <w:lang w:eastAsia="en-GB"/>
        </w:rPr>
        <w:t>Oliari</w:t>
      </w:r>
      <w:r w:rsidR="0054063E">
        <w:rPr>
          <w:rFonts w:ascii="Times New Roman" w:eastAsia="Times New Roman" w:hAnsi="Times New Roman" w:cs="Times New Roman"/>
          <w:i/>
          <w:sz w:val="24"/>
          <w:szCs w:val="24"/>
          <w:lang w:eastAsia="en-GB"/>
        </w:rPr>
        <w:t xml:space="preserve"> v Italy</w:t>
      </w:r>
      <w:r w:rsidR="00177736" w:rsidRPr="00177736">
        <w:rPr>
          <w:rFonts w:ascii="Times New Roman" w:eastAsia="Times New Roman" w:hAnsi="Times New Roman" w:cs="Times New Roman"/>
          <w:i/>
          <w:sz w:val="24"/>
          <w:szCs w:val="24"/>
          <w:lang w:eastAsia="en-GB"/>
        </w:rPr>
        <w:t xml:space="preserve"> </w:t>
      </w:r>
      <w:r w:rsidR="00177736">
        <w:rPr>
          <w:rFonts w:ascii="Times New Roman" w:eastAsia="Times New Roman" w:hAnsi="Times New Roman" w:cs="Times New Roman"/>
          <w:sz w:val="24"/>
          <w:szCs w:val="24"/>
          <w:lang w:eastAsia="en-GB"/>
        </w:rPr>
        <w:t xml:space="preserve">to </w:t>
      </w:r>
      <w:r w:rsidR="0054063E">
        <w:rPr>
          <w:rFonts w:ascii="Times New Roman" w:eastAsia="Times New Roman" w:hAnsi="Times New Roman" w:cs="Times New Roman"/>
          <w:sz w:val="24"/>
          <w:szCs w:val="24"/>
          <w:lang w:eastAsia="en-GB"/>
        </w:rPr>
        <w:t>countries where same-sex couples are socially accepted, which is very different from the homophobia present in Russian society.</w:t>
      </w:r>
      <w:r w:rsidR="00177736">
        <w:rPr>
          <w:rFonts w:ascii="Times New Roman" w:eastAsia="Times New Roman" w:hAnsi="Times New Roman" w:cs="Times New Roman"/>
          <w:sz w:val="24"/>
          <w:szCs w:val="24"/>
          <w:lang w:eastAsia="en-GB"/>
        </w:rPr>
        <w:t xml:space="preserve"> What will be crucial in the European Court’s analysis here is the level of consensus deemed to exist between Member States on this issue.</w:t>
      </w:r>
    </w:p>
    <w:p w:rsidR="009C78B8" w:rsidRPr="009C78B8" w:rsidRDefault="009C78B8" w:rsidP="009C78B8">
      <w:pPr>
        <w:spacing w:after="200" w:line="480" w:lineRule="auto"/>
        <w:jc w:val="both"/>
        <w:rPr>
          <w:rFonts w:ascii="Times New Roman" w:eastAsia="Times New Roman" w:hAnsi="Times New Roman" w:cs="Times New Roman"/>
          <w:sz w:val="24"/>
          <w:szCs w:val="24"/>
          <w:lang w:eastAsia="en-GB"/>
        </w:rPr>
      </w:pPr>
      <w:r w:rsidRPr="009C78B8">
        <w:rPr>
          <w:rFonts w:ascii="Times New Roman" w:eastAsia="Times New Roman" w:hAnsi="Times New Roman" w:cs="Times New Roman"/>
          <w:sz w:val="24"/>
          <w:szCs w:val="24"/>
          <w:lang w:eastAsia="en-GB"/>
        </w:rPr>
        <w:t>It remains debateable as to whether the European Court is following the correct approach in considering lack of consensus, leading to a wide MoA, as determinative in relation to same-sex marriage. Commentators argue that placing such emphasis on consensus ignores the interests of the minority group.</w:t>
      </w:r>
      <w:r w:rsidRPr="009C78B8">
        <w:rPr>
          <w:rFonts w:ascii="Times New Roman" w:eastAsia="Times New Roman" w:hAnsi="Times New Roman" w:cs="Times New Roman"/>
          <w:sz w:val="24"/>
          <w:szCs w:val="24"/>
          <w:vertAlign w:val="superscript"/>
          <w:lang w:eastAsia="en-GB"/>
        </w:rPr>
        <w:footnoteReference w:id="18"/>
      </w:r>
      <w:r w:rsidRPr="009C78B8">
        <w:rPr>
          <w:rFonts w:ascii="Times New Roman" w:eastAsia="Times New Roman" w:hAnsi="Times New Roman" w:cs="Times New Roman"/>
          <w:sz w:val="24"/>
          <w:szCs w:val="24"/>
          <w:lang w:eastAsia="en-GB"/>
        </w:rPr>
        <w:t xml:space="preserve">  They also argue that in cases that fall within the MoA doctrine </w:t>
      </w:r>
      <w:r w:rsidRPr="009C78B8">
        <w:rPr>
          <w:rFonts w:ascii="Times New Roman" w:eastAsia="Times New Roman" w:hAnsi="Times New Roman" w:cs="Times New Roman"/>
          <w:sz w:val="24"/>
          <w:szCs w:val="24"/>
          <w:lang w:eastAsia="en-GB"/>
        </w:rPr>
        <w:lastRenderedPageBreak/>
        <w:t>due to there being no consensus, there is a lack of legal analysis</w:t>
      </w:r>
      <w:r w:rsidRPr="009C78B8">
        <w:rPr>
          <w:rFonts w:ascii="Times New Roman" w:eastAsia="Times New Roman" w:hAnsi="Times New Roman" w:cs="Times New Roman"/>
          <w:sz w:val="24"/>
          <w:szCs w:val="24"/>
          <w:vertAlign w:val="superscript"/>
          <w:lang w:eastAsia="en-GB"/>
        </w:rPr>
        <w:footnoteReference w:id="19"/>
      </w:r>
      <w:r w:rsidRPr="009C78B8">
        <w:rPr>
          <w:rFonts w:ascii="Times New Roman" w:eastAsia="Times New Roman" w:hAnsi="Times New Roman" w:cs="Times New Roman"/>
          <w:sz w:val="24"/>
          <w:szCs w:val="24"/>
          <w:lang w:eastAsia="en-GB"/>
        </w:rPr>
        <w:t xml:space="preserve"> and no high level of scrutiny.</w:t>
      </w:r>
      <w:r w:rsidRPr="009C78B8">
        <w:rPr>
          <w:rFonts w:ascii="Times New Roman" w:eastAsia="Times New Roman" w:hAnsi="Times New Roman" w:cs="Times New Roman"/>
          <w:sz w:val="24"/>
          <w:szCs w:val="24"/>
          <w:vertAlign w:val="superscript"/>
          <w:lang w:eastAsia="en-GB"/>
        </w:rPr>
        <w:footnoteReference w:id="20"/>
      </w:r>
      <w:r w:rsidRPr="009C78B8">
        <w:rPr>
          <w:rFonts w:ascii="Times New Roman" w:eastAsia="Times New Roman" w:hAnsi="Times New Roman" w:cs="Times New Roman"/>
          <w:sz w:val="24"/>
          <w:szCs w:val="24"/>
          <w:lang w:eastAsia="en-GB"/>
        </w:rPr>
        <w:t xml:space="preserve"> Instead the consensus standards results in a fact dependent approach, with ‘little, if any constraints on state power.’</w:t>
      </w:r>
      <w:r w:rsidRPr="009C78B8">
        <w:rPr>
          <w:rFonts w:ascii="Times New Roman" w:eastAsia="Times New Roman" w:hAnsi="Times New Roman" w:cs="Times New Roman"/>
          <w:sz w:val="24"/>
          <w:szCs w:val="24"/>
          <w:vertAlign w:val="superscript"/>
          <w:lang w:eastAsia="en-GB"/>
        </w:rPr>
        <w:footnoteReference w:id="21"/>
      </w:r>
      <w:r w:rsidRPr="009C78B8">
        <w:rPr>
          <w:rFonts w:ascii="Times New Roman" w:eastAsia="Times New Roman" w:hAnsi="Times New Roman" w:cs="Times New Roman"/>
          <w:sz w:val="24"/>
          <w:szCs w:val="24"/>
          <w:lang w:eastAsia="en-GB"/>
        </w:rPr>
        <w:t xml:space="preserve"> This author has written elsewhere that such an approach means that Member States could be relying on erroneous</w:t>
      </w:r>
      <w:r w:rsidR="002D049A" w:rsidRPr="009C78B8">
        <w:rPr>
          <w:rFonts w:ascii="Times New Roman" w:eastAsia="Times New Roman" w:hAnsi="Times New Roman" w:cs="Times New Roman"/>
          <w:sz w:val="24"/>
          <w:szCs w:val="24"/>
          <w:vertAlign w:val="superscript"/>
          <w:lang w:eastAsia="en-GB"/>
        </w:rPr>
        <w:footnoteReference w:id="22"/>
      </w:r>
      <w:r w:rsidRPr="009C78B8">
        <w:rPr>
          <w:rFonts w:ascii="Times New Roman" w:eastAsia="Times New Roman" w:hAnsi="Times New Roman" w:cs="Times New Roman"/>
          <w:sz w:val="24"/>
          <w:szCs w:val="24"/>
          <w:lang w:eastAsia="en-GB"/>
        </w:rPr>
        <w:t xml:space="preserve"> or discriminatory reasons in refusing to sanction same-sex marriage, which reasons are not investigated by the European Court.</w:t>
      </w:r>
      <w:r w:rsidR="002D049A">
        <w:rPr>
          <w:rStyle w:val="FootnoteReference"/>
          <w:rFonts w:ascii="Times New Roman" w:eastAsia="Times New Roman" w:hAnsi="Times New Roman" w:cs="Times New Roman"/>
          <w:sz w:val="24"/>
          <w:szCs w:val="24"/>
          <w:lang w:eastAsia="en-GB"/>
        </w:rPr>
        <w:footnoteReference w:id="23"/>
      </w:r>
      <w:r w:rsidR="0054063E" w:rsidRPr="0054063E">
        <w:rPr>
          <w:rFonts w:ascii="Times New Roman" w:eastAsia="Times New Roman" w:hAnsi="Times New Roman" w:cs="Times New Roman"/>
          <w:sz w:val="24"/>
          <w:szCs w:val="24"/>
          <w:vertAlign w:val="superscript"/>
          <w:lang w:eastAsia="en-GB"/>
        </w:rPr>
        <w:t xml:space="preserve"> </w:t>
      </w:r>
      <w:r w:rsidRPr="009C78B8">
        <w:rPr>
          <w:rFonts w:ascii="Times New Roman" w:eastAsia="Times New Roman" w:hAnsi="Times New Roman" w:cs="Times New Roman"/>
          <w:sz w:val="24"/>
          <w:szCs w:val="24"/>
          <w:lang w:eastAsia="en-GB"/>
        </w:rPr>
        <w:t>This article sets out a novel approach by suggesting that if the European Court continues to stress the need for consensus in future judgements regarding same-sex marriage, they should at least outline how many domestic legislatures need to legislate in favour of same-sex marriage, before they will determine that a consensus will exist. Certainty is needed. This is due to the constitutional, manifold legal and symbolic implications of marriage.  It is essential for a couple to know when their marriage will be legally recognised.</w:t>
      </w:r>
      <w:r w:rsidRPr="009C78B8">
        <w:rPr>
          <w:rFonts w:ascii="Times New Roman" w:eastAsia="Calibri" w:hAnsi="Times New Roman" w:cs="Times New Roman"/>
          <w:noProof/>
          <w:sz w:val="24"/>
          <w:szCs w:val="24"/>
          <w:vertAlign w:val="superscript"/>
          <w:lang w:val="en-US" w:eastAsia="en-US"/>
        </w:rPr>
        <w:footnoteReference w:id="24"/>
      </w:r>
      <w:r w:rsidRPr="009C78B8">
        <w:rPr>
          <w:rFonts w:ascii="Times New Roman" w:eastAsia="Times New Roman" w:hAnsi="Times New Roman" w:cs="Times New Roman"/>
          <w:sz w:val="24"/>
          <w:szCs w:val="24"/>
          <w:lang w:val="en-US" w:eastAsia="en-GB"/>
        </w:rPr>
        <w:t xml:space="preserve"> </w:t>
      </w:r>
      <w:r w:rsidRPr="009C78B8">
        <w:rPr>
          <w:rFonts w:ascii="Times New Roman" w:eastAsia="Times New Roman" w:hAnsi="Times New Roman" w:cs="Times New Roman"/>
          <w:sz w:val="24"/>
          <w:szCs w:val="24"/>
          <w:lang w:eastAsia="en-GB"/>
        </w:rPr>
        <w:t xml:space="preserve">This is also stressed by </w:t>
      </w:r>
      <w:r w:rsidRPr="009C78B8">
        <w:rPr>
          <w:rFonts w:ascii="Times New Roman" w:eastAsia="Times New Roman" w:hAnsi="Times New Roman" w:cs="Times New Roman"/>
          <w:sz w:val="24"/>
          <w:szCs w:val="24"/>
          <w:lang w:eastAsia="en-GB"/>
        </w:rPr>
        <w:lastRenderedPageBreak/>
        <w:t>international case law</w:t>
      </w:r>
      <w:r w:rsidRPr="009C78B8">
        <w:rPr>
          <w:rFonts w:ascii="Times New Roman" w:eastAsia="Times New Roman" w:hAnsi="Times New Roman" w:cs="Times New Roman"/>
          <w:sz w:val="24"/>
          <w:szCs w:val="24"/>
          <w:vertAlign w:val="superscript"/>
          <w:lang w:eastAsia="en-GB"/>
        </w:rPr>
        <w:footnoteReference w:id="25"/>
      </w:r>
      <w:r w:rsidRPr="009C78B8">
        <w:rPr>
          <w:rFonts w:ascii="Times New Roman" w:eastAsia="Times New Roman" w:hAnsi="Times New Roman" w:cs="Times New Roman"/>
          <w:sz w:val="24"/>
          <w:szCs w:val="24"/>
          <w:lang w:eastAsia="en-GB"/>
        </w:rPr>
        <w:t xml:space="preserve"> and international human rights covenants.</w:t>
      </w:r>
      <w:r w:rsidRPr="009C78B8">
        <w:rPr>
          <w:rFonts w:ascii="Times New Roman" w:eastAsia="Times New Roman" w:hAnsi="Times New Roman" w:cs="Times New Roman"/>
          <w:sz w:val="24"/>
          <w:szCs w:val="24"/>
          <w:vertAlign w:val="superscript"/>
          <w:lang w:eastAsia="en-GB"/>
        </w:rPr>
        <w:footnoteReference w:id="26"/>
      </w:r>
      <w:r w:rsidRPr="009C78B8">
        <w:rPr>
          <w:rFonts w:ascii="Times New Roman" w:eastAsia="Times New Roman" w:hAnsi="Times New Roman" w:cs="Times New Roman"/>
          <w:sz w:val="24"/>
          <w:szCs w:val="24"/>
          <w:lang w:eastAsia="en-GB"/>
        </w:rPr>
        <w:t xml:space="preserve"> Marriage bestows many legal rights</w:t>
      </w:r>
      <w:r w:rsidRPr="009C78B8">
        <w:rPr>
          <w:rFonts w:ascii="Times New Roman" w:eastAsia="Times New Roman" w:hAnsi="Times New Roman" w:cs="Times New Roman"/>
          <w:sz w:val="24"/>
          <w:szCs w:val="24"/>
          <w:vertAlign w:val="superscript"/>
          <w:lang w:eastAsia="en-GB"/>
        </w:rPr>
        <w:footnoteReference w:id="27"/>
      </w:r>
      <w:r w:rsidRPr="009C78B8">
        <w:rPr>
          <w:rFonts w:ascii="Times New Roman" w:eastAsia="Times New Roman" w:hAnsi="Times New Roman" w:cs="Times New Roman"/>
          <w:sz w:val="24"/>
          <w:szCs w:val="24"/>
          <w:lang w:eastAsia="en-GB"/>
        </w:rPr>
        <w:t xml:space="preserve"> and is often connected to citizenship.</w:t>
      </w:r>
      <w:r w:rsidRPr="009C78B8">
        <w:rPr>
          <w:rFonts w:ascii="Times New Roman" w:eastAsia="Times New Roman" w:hAnsi="Times New Roman" w:cs="Times New Roman"/>
          <w:sz w:val="24"/>
          <w:szCs w:val="24"/>
          <w:vertAlign w:val="superscript"/>
          <w:lang w:eastAsia="en-GB"/>
        </w:rPr>
        <w:footnoteReference w:id="28"/>
      </w:r>
      <w:r w:rsidRPr="009C78B8">
        <w:rPr>
          <w:rFonts w:ascii="Times New Roman" w:eastAsia="Times New Roman" w:hAnsi="Times New Roman" w:cs="Times New Roman"/>
          <w:sz w:val="24"/>
          <w:szCs w:val="24"/>
          <w:lang w:eastAsia="en-GB"/>
        </w:rPr>
        <w:t xml:space="preserve"> </w:t>
      </w:r>
    </w:p>
    <w:p w:rsidR="009C78B8" w:rsidRPr="009C78B8" w:rsidRDefault="009C78B8" w:rsidP="009C78B8">
      <w:pPr>
        <w:spacing w:after="200" w:line="480" w:lineRule="auto"/>
        <w:jc w:val="both"/>
        <w:rPr>
          <w:rFonts w:ascii="Times New Roman" w:eastAsia="Times New Roman" w:hAnsi="Times New Roman" w:cs="Times New Roman"/>
          <w:sz w:val="24"/>
          <w:szCs w:val="24"/>
          <w:lang w:eastAsia="en-GB"/>
        </w:rPr>
      </w:pPr>
      <w:r w:rsidRPr="009C78B8">
        <w:rPr>
          <w:rFonts w:ascii="Times New Roman" w:eastAsia="Times New Roman" w:hAnsi="Times New Roman" w:cs="Times New Roman"/>
          <w:sz w:val="24"/>
          <w:szCs w:val="24"/>
          <w:lang w:eastAsia="en-GB"/>
        </w:rPr>
        <w:t>The suggested approach will increase the legitimacy of the European Court as it would link any new decision on movement of consensus in relation to same-sex marriage back to a democratic mandate of the legislatures of Member States. This is needed at a time when certain political factions are discussing leaving the Council of Europe.</w:t>
      </w:r>
      <w:r w:rsidRPr="00596CCE">
        <w:rPr>
          <w:rFonts w:asciiTheme="majorHAnsi" w:eastAsia="Times New Roman" w:hAnsiTheme="majorHAnsi" w:cs="Times New Roman"/>
          <w:vertAlign w:val="superscript"/>
          <w:lang w:eastAsia="en-GB"/>
        </w:rPr>
        <w:footnoteReference w:id="29"/>
      </w:r>
      <w:r w:rsidRPr="00596CCE">
        <w:rPr>
          <w:rFonts w:asciiTheme="majorHAnsi" w:eastAsia="Times New Roman" w:hAnsiTheme="majorHAnsi" w:cs="Times New Roman"/>
          <w:lang w:eastAsia="en-GB"/>
        </w:rPr>
        <w:t xml:space="preserve"> </w:t>
      </w:r>
      <w:r w:rsidRPr="009C78B8">
        <w:rPr>
          <w:rFonts w:ascii="Times New Roman" w:eastAsia="Times New Roman" w:hAnsi="Times New Roman" w:cs="Times New Roman"/>
          <w:sz w:val="24"/>
          <w:szCs w:val="24"/>
          <w:lang w:eastAsia="en-GB"/>
        </w:rPr>
        <w:t xml:space="preserve">The proposed reform also has the major advantages of transparency, certainty and predictability. The next section sets out the conundrum facing the European Court in balancing the competing tensions of universalism and relativism in relation to same-sex marriage. Section 3 then details a critique of the existing interpretation of consensus. Section 4 then sets out case law from the area of sexualities demonstrating the lack of certainty over how consensus is determined. Section 5 then considers the proposed reform in more detail and considers the advantages this would bring. </w:t>
      </w:r>
    </w:p>
    <w:p w:rsidR="009C78B8" w:rsidRPr="009C78B8" w:rsidRDefault="009C78B8" w:rsidP="009C78B8">
      <w:pPr>
        <w:spacing w:after="200" w:line="480" w:lineRule="auto"/>
        <w:jc w:val="both"/>
        <w:rPr>
          <w:rFonts w:ascii="Times New Roman" w:eastAsia="Times New Roman" w:hAnsi="Times New Roman" w:cs="Times New Roman"/>
          <w:i/>
          <w:sz w:val="24"/>
          <w:szCs w:val="24"/>
          <w:lang w:eastAsia="en-GB"/>
        </w:rPr>
      </w:pPr>
    </w:p>
    <w:p w:rsidR="009C78B8" w:rsidRPr="009C78B8" w:rsidRDefault="009C78B8" w:rsidP="009C78B8">
      <w:pPr>
        <w:numPr>
          <w:ilvl w:val="0"/>
          <w:numId w:val="1"/>
        </w:numPr>
        <w:spacing w:after="0" w:line="480" w:lineRule="auto"/>
        <w:contextualSpacing/>
        <w:jc w:val="both"/>
        <w:rPr>
          <w:rFonts w:ascii="Times New Roman" w:eastAsia="Times New Roman" w:hAnsi="Times New Roman" w:cs="Times New Roman"/>
          <w:sz w:val="24"/>
          <w:szCs w:val="24"/>
          <w:lang w:eastAsia="en-GB"/>
        </w:rPr>
      </w:pPr>
      <w:r w:rsidRPr="009C78B8">
        <w:rPr>
          <w:rFonts w:ascii="Times New Roman" w:eastAsia="Times New Roman" w:hAnsi="Times New Roman" w:cs="Times New Roman"/>
          <w:b/>
          <w:sz w:val="24"/>
          <w:szCs w:val="24"/>
          <w:lang w:eastAsia="en-GB"/>
        </w:rPr>
        <w:t xml:space="preserve">THE COMPROMISE BETWEEN UNIVERSALISM AND RELATIVISM </w:t>
      </w:r>
    </w:p>
    <w:p w:rsidR="009C78B8" w:rsidRPr="009C78B8" w:rsidRDefault="009C78B8" w:rsidP="009C78B8">
      <w:pPr>
        <w:spacing w:after="0" w:line="480" w:lineRule="auto"/>
        <w:jc w:val="both"/>
        <w:rPr>
          <w:rFonts w:ascii="Times New Roman" w:eastAsia="Times New Roman" w:hAnsi="Times New Roman" w:cs="Times New Roman"/>
          <w:sz w:val="24"/>
          <w:szCs w:val="24"/>
          <w:lang w:eastAsia="en-GB"/>
        </w:rPr>
      </w:pPr>
    </w:p>
    <w:p w:rsidR="009C78B8" w:rsidRPr="009C78B8" w:rsidRDefault="009C78B8" w:rsidP="009C78B8">
      <w:pPr>
        <w:spacing w:after="200" w:line="480" w:lineRule="auto"/>
        <w:jc w:val="both"/>
        <w:rPr>
          <w:rFonts w:ascii="Times New Roman" w:eastAsia="Times New Roman" w:hAnsi="Times New Roman" w:cs="Times New Roman"/>
          <w:sz w:val="24"/>
          <w:szCs w:val="24"/>
          <w:lang w:eastAsia="en-GB"/>
        </w:rPr>
      </w:pPr>
      <w:r w:rsidRPr="009C78B8">
        <w:rPr>
          <w:rFonts w:ascii="Times New Roman" w:eastAsia="Times New Roman" w:hAnsi="Times New Roman" w:cs="Times New Roman"/>
          <w:sz w:val="24"/>
          <w:szCs w:val="24"/>
          <w:lang w:eastAsia="en-GB"/>
        </w:rPr>
        <w:lastRenderedPageBreak/>
        <w:t xml:space="preserve">One of the central challenges for the European Court is to uphold the universal standard of human rights, whilst respecting regional differences. </w:t>
      </w:r>
      <w:r w:rsidR="005D3F51">
        <w:rPr>
          <w:rFonts w:ascii="Times New Roman" w:eastAsia="Times New Roman" w:hAnsi="Times New Roman" w:cs="Times New Roman"/>
          <w:sz w:val="24"/>
          <w:szCs w:val="24"/>
          <w:lang w:eastAsia="en-GB"/>
        </w:rPr>
        <w:t>Fenwick and Hayward explain that in the context of rights to legal recognition of same-sex couples, there is much difficulty for the European Court in ‘adjudicating in an increasingly nationalistic context’</w:t>
      </w:r>
      <w:r w:rsidR="005D3F51">
        <w:rPr>
          <w:rStyle w:val="FootnoteReference"/>
          <w:rFonts w:ascii="Times New Roman" w:eastAsia="Times New Roman" w:hAnsi="Times New Roman" w:cs="Times New Roman"/>
          <w:sz w:val="24"/>
          <w:szCs w:val="24"/>
          <w:lang w:eastAsia="en-GB"/>
        </w:rPr>
        <w:footnoteReference w:id="30"/>
      </w:r>
      <w:r w:rsidR="005D3F51">
        <w:rPr>
          <w:rFonts w:ascii="Times New Roman" w:eastAsia="Times New Roman" w:hAnsi="Times New Roman" w:cs="Times New Roman"/>
          <w:sz w:val="24"/>
          <w:szCs w:val="24"/>
          <w:lang w:eastAsia="en-GB"/>
        </w:rPr>
        <w:t xml:space="preserve"> where Eastern European countries take a much more conservative approach in this regard.</w:t>
      </w:r>
      <w:r w:rsidR="005D3F51">
        <w:rPr>
          <w:rStyle w:val="FootnoteReference"/>
          <w:rFonts w:ascii="Times New Roman" w:eastAsia="Times New Roman" w:hAnsi="Times New Roman" w:cs="Times New Roman"/>
          <w:sz w:val="24"/>
          <w:szCs w:val="24"/>
          <w:lang w:eastAsia="en-GB"/>
        </w:rPr>
        <w:footnoteReference w:id="31"/>
      </w:r>
      <w:r w:rsidR="005D3F51">
        <w:rPr>
          <w:rFonts w:ascii="Times New Roman" w:eastAsia="Times New Roman" w:hAnsi="Times New Roman" w:cs="Times New Roman"/>
          <w:sz w:val="24"/>
          <w:szCs w:val="24"/>
          <w:lang w:eastAsia="en-GB"/>
        </w:rPr>
        <w:t xml:space="preserve"> Yet this approach by the European Court attracts much criticism. </w:t>
      </w:r>
      <w:r w:rsidRPr="009C78B8">
        <w:rPr>
          <w:rFonts w:ascii="Times New Roman" w:eastAsia="Times New Roman" w:hAnsi="Times New Roman" w:cs="Times New Roman"/>
          <w:sz w:val="24"/>
          <w:szCs w:val="24"/>
          <w:lang w:eastAsia="en-GB"/>
        </w:rPr>
        <w:t>Popplewell-Scevak argues that given the European Convention of Human Rights (‘European Convention’) Preamble’s promise to ‘protect and enforce human rights… it is perplexing to see the court refrain from legalising same-sex marriage….’</w:t>
      </w:r>
      <w:r w:rsidRPr="009C78B8">
        <w:rPr>
          <w:rFonts w:ascii="Times New Roman" w:eastAsia="Times New Roman" w:hAnsi="Times New Roman" w:cs="Times New Roman"/>
          <w:sz w:val="24"/>
          <w:szCs w:val="24"/>
          <w:vertAlign w:val="superscript"/>
          <w:lang w:eastAsia="en-GB"/>
        </w:rPr>
        <w:footnoteReference w:id="32"/>
      </w:r>
      <w:r w:rsidRPr="009C78B8">
        <w:rPr>
          <w:rFonts w:ascii="Times New Roman" w:eastAsia="Times New Roman" w:hAnsi="Times New Roman" w:cs="Times New Roman"/>
          <w:sz w:val="24"/>
          <w:szCs w:val="24"/>
          <w:lang w:eastAsia="en-GB"/>
        </w:rPr>
        <w:t xml:space="preserve"> Some commentators state that the European Court should have a leading, standard setting, aspirational role.</w:t>
      </w:r>
      <w:r w:rsidRPr="009C78B8">
        <w:rPr>
          <w:rFonts w:ascii="Times New Roman" w:eastAsia="Times New Roman" w:hAnsi="Times New Roman" w:cs="Times New Roman"/>
          <w:sz w:val="24"/>
          <w:szCs w:val="24"/>
          <w:vertAlign w:val="superscript"/>
          <w:lang w:eastAsia="en-GB"/>
        </w:rPr>
        <w:footnoteReference w:id="33"/>
      </w:r>
      <w:r w:rsidRPr="009C78B8">
        <w:rPr>
          <w:rFonts w:ascii="Times New Roman" w:eastAsia="Times New Roman" w:hAnsi="Times New Roman" w:cs="Times New Roman"/>
          <w:sz w:val="24"/>
          <w:szCs w:val="24"/>
          <w:lang w:eastAsia="en-GB"/>
        </w:rPr>
        <w:t xml:space="preserve"> Ben</w:t>
      </w:r>
      <w:r w:rsidR="009B31E7">
        <w:rPr>
          <w:rFonts w:ascii="Times New Roman" w:eastAsia="Times New Roman" w:hAnsi="Times New Roman" w:cs="Times New Roman"/>
          <w:sz w:val="24"/>
          <w:szCs w:val="24"/>
          <w:lang w:eastAsia="en-GB"/>
        </w:rPr>
        <w:t>veni</w:t>
      </w:r>
      <w:r w:rsidRPr="009C78B8">
        <w:rPr>
          <w:rFonts w:ascii="Times New Roman" w:eastAsia="Times New Roman" w:hAnsi="Times New Roman" w:cs="Times New Roman"/>
          <w:sz w:val="24"/>
          <w:szCs w:val="24"/>
          <w:lang w:eastAsia="en-GB"/>
        </w:rPr>
        <w:t>sti for example argues that the European Court has a ‘duty to set universal standards.’</w:t>
      </w:r>
      <w:r w:rsidRPr="009C78B8">
        <w:rPr>
          <w:rFonts w:ascii="Times New Roman" w:eastAsia="Times New Roman" w:hAnsi="Times New Roman" w:cs="Times New Roman"/>
          <w:sz w:val="24"/>
          <w:szCs w:val="24"/>
          <w:vertAlign w:val="superscript"/>
          <w:lang w:eastAsia="en-GB"/>
        </w:rPr>
        <w:footnoteReference w:id="34"/>
      </w:r>
      <w:r w:rsidRPr="009C78B8">
        <w:rPr>
          <w:rFonts w:ascii="Times New Roman" w:eastAsia="Times New Roman" w:hAnsi="Times New Roman" w:cs="Times New Roman"/>
          <w:sz w:val="24"/>
          <w:szCs w:val="24"/>
          <w:lang w:eastAsia="en-GB"/>
        </w:rPr>
        <w:t xml:space="preserve"> This would mean in relation to same-sex marriage that the European Court should no longer rely a lack of consensus leading to a wide MoA.  Indeed the European Court is well aware that the European Convention cannot be </w:t>
      </w:r>
      <w:r w:rsidRPr="009C78B8">
        <w:rPr>
          <w:rFonts w:ascii="Times New Roman" w:eastAsiaTheme="minorHAnsi" w:hAnsi="Times New Roman" w:cs="Times New Roman"/>
          <w:sz w:val="24"/>
          <w:szCs w:val="24"/>
          <w:lang w:eastAsia="en-US"/>
        </w:rPr>
        <w:t>‘frozen in time.’</w:t>
      </w:r>
      <w:r w:rsidRPr="009C78B8">
        <w:rPr>
          <w:rFonts w:ascii="Times New Roman" w:eastAsiaTheme="minorHAnsi" w:hAnsi="Times New Roman" w:cs="Times New Roman"/>
          <w:sz w:val="24"/>
          <w:szCs w:val="24"/>
          <w:vertAlign w:val="superscript"/>
          <w:lang w:eastAsia="en-US"/>
        </w:rPr>
        <w:footnoteReference w:id="35"/>
      </w:r>
      <w:r w:rsidRPr="009C78B8">
        <w:rPr>
          <w:rFonts w:ascii="Times New Roman" w:eastAsiaTheme="minorHAnsi" w:hAnsi="Times New Roman" w:cs="Times New Roman"/>
          <w:sz w:val="24"/>
          <w:szCs w:val="24"/>
          <w:lang w:eastAsia="en-US"/>
        </w:rPr>
        <w:t xml:space="preserve">  Concepts such as ‘living instrument’ allow the European Court to operate ‘evolutive’ and ‘dynamic’ interpretative techniques so that the European Convention can be interpreted in the light of present-day conditions rather than what the drafters thought back in </w:t>
      </w:r>
      <w:r w:rsidRPr="009C78B8">
        <w:rPr>
          <w:rFonts w:ascii="Times New Roman" w:eastAsiaTheme="minorHAnsi" w:hAnsi="Times New Roman" w:cs="Times New Roman"/>
          <w:sz w:val="24"/>
          <w:szCs w:val="24"/>
          <w:lang w:eastAsia="en-US"/>
        </w:rPr>
        <w:lastRenderedPageBreak/>
        <w:t>the 1950s.</w:t>
      </w:r>
      <w:r w:rsidRPr="009C78B8">
        <w:rPr>
          <w:rFonts w:ascii="Times New Roman" w:eastAsiaTheme="minorHAnsi" w:hAnsi="Times New Roman" w:cs="Times New Roman"/>
          <w:sz w:val="24"/>
          <w:szCs w:val="24"/>
          <w:vertAlign w:val="superscript"/>
          <w:lang w:eastAsia="en-US"/>
        </w:rPr>
        <w:footnoteReference w:id="36"/>
      </w:r>
      <w:r w:rsidRPr="009C78B8">
        <w:rPr>
          <w:rFonts w:ascii="Times New Roman" w:eastAsiaTheme="minorHAnsi" w:hAnsi="Times New Roman" w:cs="Times New Roman"/>
          <w:sz w:val="24"/>
          <w:szCs w:val="24"/>
          <w:lang w:eastAsia="en-US"/>
        </w:rPr>
        <w:t xml:space="preserve"> </w:t>
      </w:r>
      <w:r w:rsidRPr="009C78B8">
        <w:rPr>
          <w:rFonts w:ascii="Times New Roman" w:eastAsia="Times New Roman" w:hAnsi="Times New Roman" w:cs="Times New Roman"/>
          <w:sz w:val="24"/>
          <w:szCs w:val="24"/>
          <w:lang w:eastAsia="en-GB"/>
        </w:rPr>
        <w:t>Such techniques are used throughout the case law which will be examined in the relevant area of sexualities and family law.</w:t>
      </w:r>
      <w:r w:rsidRPr="009C78B8">
        <w:rPr>
          <w:rFonts w:ascii="Times New Roman" w:eastAsia="Times New Roman" w:hAnsi="Times New Roman" w:cs="Times New Roman"/>
          <w:sz w:val="24"/>
          <w:szCs w:val="24"/>
          <w:vertAlign w:val="superscript"/>
          <w:lang w:eastAsia="en-GB"/>
        </w:rPr>
        <w:footnoteReference w:id="37"/>
      </w:r>
      <w:r w:rsidRPr="009C78B8">
        <w:rPr>
          <w:rFonts w:ascii="Times New Roman" w:eastAsia="Times New Roman" w:hAnsi="Times New Roman" w:cs="Times New Roman"/>
          <w:sz w:val="24"/>
          <w:szCs w:val="24"/>
          <w:lang w:eastAsia="en-GB"/>
        </w:rPr>
        <w:t xml:space="preserve"> </w:t>
      </w:r>
    </w:p>
    <w:p w:rsidR="009C78B8" w:rsidRPr="009C78B8" w:rsidRDefault="009C78B8" w:rsidP="009C78B8">
      <w:pPr>
        <w:spacing w:after="200" w:line="480" w:lineRule="auto"/>
        <w:jc w:val="both"/>
        <w:rPr>
          <w:rFonts w:ascii="Times New Roman" w:eastAsia="Times New Roman" w:hAnsi="Times New Roman" w:cs="Times New Roman"/>
          <w:sz w:val="24"/>
          <w:szCs w:val="24"/>
          <w:lang w:eastAsia="en-GB"/>
        </w:rPr>
      </w:pPr>
      <w:r w:rsidRPr="009C78B8">
        <w:rPr>
          <w:rFonts w:ascii="Times New Roman" w:eastAsia="Times New Roman" w:hAnsi="Times New Roman" w:cs="Times New Roman"/>
          <w:sz w:val="24"/>
          <w:szCs w:val="24"/>
          <w:lang w:eastAsia="en-GB"/>
        </w:rPr>
        <w:t>However, in an area as sensitive as same-sex marriage, the European Court wishes to avoid any charge that it is engaging in ‘judicial politics.’</w:t>
      </w:r>
      <w:r w:rsidRPr="009C78B8">
        <w:rPr>
          <w:rFonts w:eastAsiaTheme="minorHAnsi"/>
          <w:vertAlign w:val="superscript"/>
          <w:lang w:eastAsia="en-GB"/>
        </w:rPr>
        <w:footnoteReference w:id="38"/>
      </w:r>
      <w:r w:rsidRPr="009C78B8">
        <w:rPr>
          <w:rFonts w:ascii="Times New Roman" w:eastAsia="Times New Roman" w:hAnsi="Times New Roman" w:cs="Times New Roman"/>
          <w:sz w:val="24"/>
          <w:szCs w:val="24"/>
          <w:lang w:eastAsia="en-GB"/>
        </w:rPr>
        <w:t xml:space="preserve">  Unlike the role of the Supreme Court in the US for instance, the European Court has to constantly adhere to the states’ MoA.’</w:t>
      </w:r>
      <w:r w:rsidRPr="009C78B8">
        <w:rPr>
          <w:rFonts w:ascii="Times New Roman" w:eastAsia="Times New Roman" w:hAnsi="Times New Roman" w:cs="Times New Roman"/>
          <w:sz w:val="24"/>
          <w:szCs w:val="24"/>
          <w:vertAlign w:val="superscript"/>
          <w:lang w:eastAsia="en-GB"/>
        </w:rPr>
        <w:footnoteReference w:id="39"/>
      </w:r>
      <w:r w:rsidRPr="009C78B8">
        <w:rPr>
          <w:rFonts w:ascii="Times New Roman" w:eastAsia="Times New Roman" w:hAnsi="Times New Roman" w:cs="Times New Roman"/>
          <w:sz w:val="24"/>
          <w:szCs w:val="24"/>
          <w:lang w:eastAsia="en-GB"/>
        </w:rPr>
        <w:t xml:space="preserve"> There needs to be a compromise between the competing interests at stake. The MoA alongside consensus (which latter is one of the key factors in determining the width of the MoA) are the ‘primary tools’</w:t>
      </w:r>
      <w:r w:rsidRPr="009C78B8">
        <w:rPr>
          <w:rFonts w:eastAsiaTheme="minorHAnsi"/>
          <w:vertAlign w:val="superscript"/>
          <w:lang w:eastAsia="en-GB"/>
        </w:rPr>
        <w:footnoteReference w:id="40"/>
      </w:r>
      <w:r w:rsidR="00596CCE">
        <w:rPr>
          <w:rFonts w:ascii="Times New Roman" w:eastAsia="Times New Roman" w:hAnsi="Times New Roman" w:cs="Times New Roman"/>
          <w:sz w:val="24"/>
          <w:szCs w:val="24"/>
          <w:lang w:eastAsia="en-GB"/>
        </w:rPr>
        <w:t xml:space="preserve"> </w:t>
      </w:r>
      <w:r w:rsidRPr="009C78B8">
        <w:rPr>
          <w:rFonts w:ascii="Times New Roman" w:eastAsia="Times New Roman" w:hAnsi="Times New Roman" w:cs="Times New Roman"/>
          <w:sz w:val="24"/>
          <w:szCs w:val="24"/>
          <w:lang w:eastAsia="en-GB"/>
        </w:rPr>
        <w:t>employed by the European Court in its case law on same-sex marriage in ensuring it does not overstep the ‘primary responsibility’</w:t>
      </w:r>
      <w:r w:rsidRPr="009C78B8">
        <w:rPr>
          <w:rFonts w:eastAsiaTheme="minorHAnsi"/>
          <w:vertAlign w:val="superscript"/>
          <w:lang w:eastAsia="en-GB"/>
        </w:rPr>
        <w:footnoteReference w:id="41"/>
      </w:r>
      <w:r w:rsidRPr="009C78B8">
        <w:rPr>
          <w:rFonts w:ascii="Times New Roman" w:eastAsia="Times New Roman" w:hAnsi="Times New Roman" w:cs="Times New Roman"/>
          <w:sz w:val="24"/>
          <w:szCs w:val="24"/>
          <w:lang w:eastAsia="en-GB"/>
        </w:rPr>
        <w:t xml:space="preserve"> given under the  European Convention to Member States to secure human rights.</w:t>
      </w:r>
      <w:r w:rsidRPr="009C78B8">
        <w:rPr>
          <w:rFonts w:eastAsiaTheme="minorHAnsi"/>
          <w:vertAlign w:val="superscript"/>
          <w:lang w:eastAsia="en-GB"/>
        </w:rPr>
        <w:footnoteReference w:id="42"/>
      </w:r>
      <w:r w:rsidRPr="009C78B8">
        <w:rPr>
          <w:rFonts w:ascii="Times New Roman" w:eastAsia="Times New Roman" w:hAnsi="Times New Roman" w:cs="Times New Roman"/>
          <w:sz w:val="24"/>
          <w:szCs w:val="24"/>
          <w:lang w:eastAsia="en-GB"/>
        </w:rPr>
        <w:t xml:space="preserve"> The doctrine of subsidiarity</w:t>
      </w:r>
      <w:r w:rsidRPr="009C78B8">
        <w:rPr>
          <w:rFonts w:eastAsiaTheme="minorHAnsi"/>
          <w:vertAlign w:val="superscript"/>
          <w:lang w:eastAsia="en-GB"/>
        </w:rPr>
        <w:footnoteReference w:id="43"/>
      </w:r>
      <w:r w:rsidRPr="009C78B8">
        <w:rPr>
          <w:rFonts w:ascii="Times New Roman" w:eastAsia="Times New Roman" w:hAnsi="Times New Roman" w:cs="Times New Roman"/>
          <w:sz w:val="24"/>
          <w:szCs w:val="24"/>
          <w:lang w:eastAsia="en-GB"/>
        </w:rPr>
        <w:t xml:space="preserve"> has been recently re-emphasised.</w:t>
      </w:r>
      <w:r w:rsidRPr="009C78B8">
        <w:rPr>
          <w:rFonts w:eastAsiaTheme="minorHAnsi"/>
          <w:vertAlign w:val="superscript"/>
          <w:lang w:eastAsia="en-GB"/>
        </w:rPr>
        <w:footnoteReference w:id="44"/>
      </w:r>
      <w:r w:rsidRPr="009C78B8">
        <w:rPr>
          <w:rFonts w:ascii="Times New Roman" w:eastAsia="Times New Roman" w:hAnsi="Times New Roman" w:cs="Times New Roman"/>
          <w:sz w:val="24"/>
          <w:szCs w:val="24"/>
          <w:lang w:eastAsia="en-GB"/>
        </w:rPr>
        <w:t xml:space="preserve"> The role of the European Court is in fact secondary. Its task is to ‘examine the domestic decision’ and ensure compatibility with the European Convention.</w:t>
      </w:r>
      <w:r w:rsidRPr="009C78B8">
        <w:rPr>
          <w:rFonts w:eastAsiaTheme="minorHAnsi"/>
          <w:vertAlign w:val="superscript"/>
          <w:lang w:eastAsia="en-GB"/>
        </w:rPr>
        <w:footnoteReference w:id="45"/>
      </w:r>
      <w:r w:rsidRPr="009C78B8">
        <w:rPr>
          <w:rFonts w:ascii="Times New Roman" w:eastAsia="Times New Roman" w:hAnsi="Times New Roman" w:cs="Times New Roman"/>
          <w:sz w:val="24"/>
          <w:szCs w:val="24"/>
          <w:lang w:eastAsia="en-GB"/>
        </w:rPr>
        <w:t xml:space="preserve"> This is all part of securing agreement and social cooperation in the face of moral pluralism,</w:t>
      </w:r>
      <w:r w:rsidRPr="0054063E">
        <w:rPr>
          <w:rFonts w:asciiTheme="majorHAnsi" w:eastAsia="Times New Roman" w:hAnsiTheme="majorHAnsi" w:cs="Times New Roman"/>
          <w:vertAlign w:val="superscript"/>
          <w:lang w:eastAsia="en-GB"/>
        </w:rPr>
        <w:footnoteReference w:id="46"/>
      </w:r>
      <w:r w:rsidRPr="0054063E">
        <w:rPr>
          <w:rFonts w:asciiTheme="majorHAnsi" w:eastAsia="Times New Roman" w:hAnsiTheme="majorHAnsi" w:cs="Times New Roman"/>
          <w:lang w:eastAsia="en-GB"/>
        </w:rPr>
        <w:t xml:space="preserve"> </w:t>
      </w:r>
      <w:r w:rsidRPr="009C78B8">
        <w:rPr>
          <w:rFonts w:ascii="Times New Roman" w:eastAsia="Times New Roman" w:hAnsi="Times New Roman" w:cs="Times New Roman"/>
          <w:sz w:val="24"/>
          <w:szCs w:val="24"/>
          <w:lang w:eastAsia="en-GB"/>
        </w:rPr>
        <w:lastRenderedPageBreak/>
        <w:t xml:space="preserve">which is particularly important in an area such as same-sex marriage. As set out above it remains debateable, as to whether the European Court is following the </w:t>
      </w:r>
      <w:r w:rsidR="0054063E">
        <w:rPr>
          <w:rFonts w:ascii="Times New Roman" w:eastAsia="Times New Roman" w:hAnsi="Times New Roman" w:cs="Times New Roman"/>
          <w:sz w:val="24"/>
          <w:szCs w:val="24"/>
          <w:lang w:eastAsia="en-GB"/>
        </w:rPr>
        <w:t>correct approach in this regard.</w:t>
      </w:r>
      <w:r w:rsidRPr="0054063E">
        <w:rPr>
          <w:rFonts w:asciiTheme="majorHAnsi" w:eastAsia="Times New Roman" w:hAnsiTheme="majorHAnsi" w:cs="Times New Roman"/>
          <w:vertAlign w:val="superscript"/>
          <w:lang w:eastAsia="en-GB"/>
        </w:rPr>
        <w:footnoteReference w:id="47"/>
      </w:r>
      <w:r w:rsidRPr="0054063E">
        <w:rPr>
          <w:rFonts w:asciiTheme="majorHAnsi" w:eastAsia="Times New Roman" w:hAnsiTheme="majorHAnsi" w:cs="Times New Roman"/>
          <w:lang w:eastAsia="en-GB"/>
        </w:rPr>
        <w:t xml:space="preserve"> </w:t>
      </w:r>
      <w:r w:rsidRPr="009C78B8">
        <w:rPr>
          <w:rFonts w:ascii="Times New Roman" w:eastAsia="Times New Roman" w:hAnsi="Times New Roman" w:cs="Times New Roman"/>
          <w:sz w:val="24"/>
          <w:szCs w:val="24"/>
          <w:lang w:eastAsia="en-GB"/>
        </w:rPr>
        <w:t>However, as the European Court currently determines that a lack of consensus is decisive in reaching a wide MoA,</w:t>
      </w:r>
      <w:r w:rsidRPr="009C78B8">
        <w:rPr>
          <w:rFonts w:ascii="Times New Roman" w:eastAsia="Times New Roman" w:hAnsi="Times New Roman" w:cs="Times New Roman"/>
          <w:sz w:val="24"/>
          <w:szCs w:val="24"/>
          <w:vertAlign w:val="superscript"/>
          <w:lang w:eastAsia="en-GB"/>
        </w:rPr>
        <w:footnoteReference w:id="48"/>
      </w:r>
      <w:r w:rsidRPr="009C78B8">
        <w:rPr>
          <w:rFonts w:ascii="Times New Roman" w:eastAsia="Times New Roman" w:hAnsi="Times New Roman" w:cs="Times New Roman"/>
          <w:sz w:val="24"/>
          <w:szCs w:val="24"/>
          <w:lang w:eastAsia="en-GB"/>
        </w:rPr>
        <w:t xml:space="preserve"> this piece argues that at least more clarity and guidance is needed as to when a consensus is deemed to have been reached.  As stated above, there are constitutional, manifold legal and symbolic implications of marriage.</w:t>
      </w:r>
      <w:r w:rsidRPr="009C78B8">
        <w:rPr>
          <w:rFonts w:ascii="Times New Roman" w:eastAsia="Times New Roman" w:hAnsi="Times New Roman" w:cs="Times New Roman"/>
          <w:sz w:val="24"/>
          <w:szCs w:val="24"/>
          <w:vertAlign w:val="superscript"/>
          <w:lang w:eastAsia="en-GB"/>
        </w:rPr>
        <w:footnoteReference w:id="49"/>
      </w:r>
      <w:r w:rsidRPr="009C78B8">
        <w:rPr>
          <w:rFonts w:ascii="Times New Roman" w:eastAsia="Times New Roman" w:hAnsi="Times New Roman" w:cs="Times New Roman"/>
          <w:sz w:val="24"/>
          <w:szCs w:val="24"/>
          <w:lang w:eastAsia="en-GB"/>
        </w:rPr>
        <w:t xml:space="preserve"> Couples are entitled to know when they will be able to enter into a same-sex marriage. </w:t>
      </w:r>
    </w:p>
    <w:p w:rsidR="009C78B8" w:rsidRPr="009C78B8" w:rsidRDefault="009C78B8" w:rsidP="009C78B8">
      <w:pPr>
        <w:numPr>
          <w:ilvl w:val="0"/>
          <w:numId w:val="1"/>
        </w:numPr>
        <w:spacing w:after="200" w:line="480" w:lineRule="auto"/>
        <w:contextualSpacing/>
        <w:jc w:val="center"/>
        <w:rPr>
          <w:rFonts w:ascii="Times New Roman" w:eastAsia="Times New Roman" w:hAnsi="Times New Roman" w:cs="Times New Roman"/>
          <w:b/>
          <w:sz w:val="24"/>
          <w:szCs w:val="24"/>
          <w:lang w:eastAsia="en-GB"/>
        </w:rPr>
      </w:pPr>
      <w:r w:rsidRPr="009C78B8">
        <w:rPr>
          <w:rFonts w:ascii="Times New Roman" w:eastAsia="Times New Roman" w:hAnsi="Times New Roman" w:cs="Times New Roman"/>
          <w:b/>
          <w:sz w:val="24"/>
          <w:szCs w:val="24"/>
          <w:lang w:eastAsia="en-GB"/>
        </w:rPr>
        <w:t>THE CONSENSUS STANDARD CRITIQUED</w:t>
      </w:r>
    </w:p>
    <w:p w:rsidR="009C78B8" w:rsidRPr="009C78B8" w:rsidRDefault="009C78B8" w:rsidP="009C78B8">
      <w:pPr>
        <w:spacing w:after="200" w:line="480" w:lineRule="auto"/>
        <w:ind w:left="720"/>
        <w:contextualSpacing/>
        <w:jc w:val="both"/>
        <w:rPr>
          <w:rFonts w:ascii="Times New Roman" w:eastAsia="Times New Roman" w:hAnsi="Times New Roman" w:cs="Times New Roman"/>
          <w:b/>
          <w:sz w:val="24"/>
          <w:szCs w:val="24"/>
          <w:lang w:eastAsia="en-GB"/>
        </w:rPr>
      </w:pPr>
    </w:p>
    <w:p w:rsidR="009C78B8" w:rsidRPr="009C78B8" w:rsidRDefault="009C78B8" w:rsidP="009C78B8">
      <w:pPr>
        <w:spacing w:after="200" w:line="480" w:lineRule="auto"/>
        <w:jc w:val="both"/>
        <w:rPr>
          <w:rFonts w:ascii="Times New Roman" w:eastAsia="Times New Roman" w:hAnsi="Times New Roman" w:cs="Times New Roman"/>
          <w:sz w:val="24"/>
          <w:szCs w:val="24"/>
          <w:lang w:eastAsia="en-GB"/>
        </w:rPr>
      </w:pPr>
      <w:r w:rsidRPr="009C78B8">
        <w:rPr>
          <w:rFonts w:ascii="Times New Roman" w:eastAsia="Times New Roman" w:hAnsi="Times New Roman" w:cs="Times New Roman"/>
          <w:sz w:val="24"/>
          <w:szCs w:val="24"/>
          <w:lang w:eastAsia="en-GB"/>
        </w:rPr>
        <w:t>Commentators argue that consensus in relation to many human rights, is often the most important factor in determining the width of the MoA given to a Member State.</w:t>
      </w:r>
      <w:r w:rsidRPr="009C78B8">
        <w:rPr>
          <w:rFonts w:ascii="Times New Roman" w:eastAsia="Times New Roman" w:hAnsi="Times New Roman" w:cs="Times New Roman"/>
          <w:sz w:val="24"/>
          <w:szCs w:val="24"/>
          <w:vertAlign w:val="superscript"/>
          <w:lang w:eastAsia="en-GB"/>
        </w:rPr>
        <w:footnoteReference w:id="50"/>
      </w:r>
      <w:r w:rsidRPr="009C78B8">
        <w:rPr>
          <w:rFonts w:ascii="Times New Roman" w:eastAsia="Times New Roman" w:hAnsi="Times New Roman" w:cs="Times New Roman"/>
          <w:sz w:val="24"/>
          <w:szCs w:val="24"/>
          <w:lang w:eastAsia="en-GB"/>
        </w:rPr>
        <w:t xml:space="preserve"> When considering same-sex marriage, it is clear that lack of consensus is the critical factor.</w:t>
      </w:r>
      <w:r w:rsidRPr="009C78B8">
        <w:rPr>
          <w:rFonts w:ascii="Times New Roman" w:eastAsia="Times New Roman" w:hAnsi="Times New Roman" w:cs="Times New Roman"/>
          <w:sz w:val="24"/>
          <w:szCs w:val="24"/>
          <w:vertAlign w:val="superscript"/>
          <w:lang w:eastAsia="en-GB"/>
        </w:rPr>
        <w:footnoteReference w:id="51"/>
      </w:r>
      <w:r w:rsidRPr="009C78B8">
        <w:rPr>
          <w:rFonts w:ascii="Times New Roman" w:eastAsia="Times New Roman" w:hAnsi="Times New Roman" w:cs="Times New Roman"/>
          <w:sz w:val="24"/>
          <w:szCs w:val="24"/>
          <w:lang w:eastAsia="en-GB"/>
        </w:rPr>
        <w:t xml:space="preserve"> The MoA varies greatly depending what rights are involved.</w:t>
      </w:r>
      <w:r w:rsidRPr="009C78B8">
        <w:rPr>
          <w:rFonts w:ascii="Times New Roman" w:eastAsiaTheme="minorHAnsi" w:hAnsi="Times New Roman" w:cs="Times New Roman"/>
          <w:sz w:val="24"/>
          <w:szCs w:val="24"/>
          <w:vertAlign w:val="superscript"/>
          <w:lang w:eastAsia="en-GB"/>
        </w:rPr>
        <w:t xml:space="preserve"> </w:t>
      </w:r>
      <w:r w:rsidRPr="009C78B8">
        <w:rPr>
          <w:rFonts w:ascii="Times New Roman" w:eastAsiaTheme="minorHAnsi" w:hAnsi="Times New Roman" w:cs="Times New Roman"/>
          <w:sz w:val="24"/>
          <w:szCs w:val="24"/>
          <w:vertAlign w:val="superscript"/>
          <w:lang w:eastAsia="en-GB"/>
        </w:rPr>
        <w:footnoteReference w:id="52"/>
      </w:r>
      <w:r w:rsidRPr="009C78B8">
        <w:rPr>
          <w:rFonts w:ascii="Times New Roman" w:eastAsia="Times New Roman" w:hAnsi="Times New Roman" w:cs="Times New Roman"/>
          <w:sz w:val="24"/>
          <w:szCs w:val="24"/>
          <w:lang w:eastAsia="en-GB"/>
        </w:rPr>
        <w:t xml:space="preserve"> It can and frequently does evolve over time.  Factors which are commonly cited in determining the width of the MoA include the importance of the right, the Member State interest involved and whether there is a consensus </w:t>
      </w:r>
      <w:r w:rsidRPr="009C78B8">
        <w:rPr>
          <w:rFonts w:ascii="Times New Roman" w:eastAsia="Times New Roman" w:hAnsi="Times New Roman" w:cs="Times New Roman"/>
          <w:sz w:val="24"/>
          <w:szCs w:val="24"/>
          <w:lang w:eastAsia="en-GB"/>
        </w:rPr>
        <w:lastRenderedPageBreak/>
        <w:t>on an issue.</w:t>
      </w:r>
      <w:r w:rsidRPr="009C78B8">
        <w:rPr>
          <w:rFonts w:ascii="Times New Roman" w:eastAsiaTheme="minorHAnsi" w:hAnsi="Times New Roman" w:cs="Times New Roman"/>
          <w:sz w:val="24"/>
          <w:szCs w:val="24"/>
          <w:vertAlign w:val="superscript"/>
          <w:lang w:eastAsia="en-GB"/>
        </w:rPr>
        <w:footnoteReference w:id="53"/>
      </w:r>
      <w:r w:rsidRPr="009C78B8">
        <w:rPr>
          <w:rFonts w:ascii="Times New Roman" w:eastAsia="Times New Roman" w:hAnsi="Times New Roman" w:cs="Times New Roman"/>
          <w:sz w:val="24"/>
          <w:szCs w:val="24"/>
          <w:lang w:eastAsia="en-GB"/>
        </w:rPr>
        <w:t xml:space="preserve"> Certain rights are given a narrow MoA.</w:t>
      </w:r>
      <w:r w:rsidRPr="009C78B8">
        <w:rPr>
          <w:rFonts w:ascii="Times New Roman" w:eastAsiaTheme="minorHAnsi" w:hAnsi="Times New Roman" w:cs="Times New Roman"/>
          <w:sz w:val="24"/>
          <w:szCs w:val="24"/>
          <w:vertAlign w:val="superscript"/>
          <w:lang w:eastAsia="en-GB"/>
        </w:rPr>
        <w:footnoteReference w:id="54"/>
      </w:r>
      <w:r w:rsidRPr="009C78B8">
        <w:rPr>
          <w:rFonts w:ascii="Times New Roman" w:eastAsia="Times New Roman" w:hAnsi="Times New Roman" w:cs="Times New Roman"/>
          <w:sz w:val="24"/>
          <w:szCs w:val="24"/>
          <w:lang w:eastAsia="en-GB"/>
        </w:rPr>
        <w:t xml:space="preserve">  Equally, certain vulnerable groups, including gay</w:t>
      </w:r>
      <w:r w:rsidR="00191418">
        <w:rPr>
          <w:rFonts w:ascii="Times New Roman" w:eastAsia="Times New Roman" w:hAnsi="Times New Roman" w:cs="Times New Roman"/>
          <w:sz w:val="24"/>
          <w:szCs w:val="24"/>
          <w:lang w:eastAsia="en-GB"/>
        </w:rPr>
        <w:t xml:space="preserve"> people</w:t>
      </w:r>
      <w:r w:rsidRPr="009C78B8">
        <w:rPr>
          <w:rFonts w:ascii="Times New Roman" w:eastAsia="Times New Roman" w:hAnsi="Times New Roman" w:cs="Times New Roman"/>
          <w:sz w:val="24"/>
          <w:szCs w:val="24"/>
          <w:lang w:eastAsia="en-GB"/>
        </w:rPr>
        <w:t xml:space="preserve"> are given extra protection.</w:t>
      </w:r>
      <w:r w:rsidRPr="009C78B8">
        <w:rPr>
          <w:rFonts w:ascii="Times New Roman" w:eastAsiaTheme="minorHAnsi" w:hAnsi="Times New Roman" w:cs="Times New Roman"/>
          <w:sz w:val="24"/>
          <w:szCs w:val="24"/>
          <w:vertAlign w:val="superscript"/>
          <w:lang w:eastAsia="en-GB"/>
        </w:rPr>
        <w:footnoteReference w:id="55"/>
      </w:r>
      <w:r w:rsidRPr="009C78B8">
        <w:rPr>
          <w:rFonts w:ascii="Times New Roman" w:eastAsia="Times New Roman" w:hAnsi="Times New Roman" w:cs="Times New Roman"/>
          <w:sz w:val="24"/>
          <w:szCs w:val="24"/>
          <w:lang w:eastAsia="en-GB"/>
        </w:rPr>
        <w:t xml:space="preserve">  Where discrimination concerns ga</w:t>
      </w:r>
      <w:r w:rsidR="00191418">
        <w:rPr>
          <w:rFonts w:ascii="Times New Roman" w:eastAsia="Times New Roman" w:hAnsi="Times New Roman" w:cs="Times New Roman"/>
          <w:sz w:val="24"/>
          <w:szCs w:val="24"/>
          <w:lang w:eastAsia="en-GB"/>
        </w:rPr>
        <w:t>y people</w:t>
      </w:r>
      <w:r w:rsidRPr="009C78B8">
        <w:rPr>
          <w:rFonts w:ascii="Times New Roman" w:eastAsia="Times New Roman" w:hAnsi="Times New Roman" w:cs="Times New Roman"/>
          <w:sz w:val="24"/>
          <w:szCs w:val="24"/>
          <w:lang w:eastAsia="en-GB"/>
        </w:rPr>
        <w:t xml:space="preserve"> for example, the Member State will need to have ‘very weighty reasons for the restriction in question.’</w:t>
      </w:r>
      <w:r w:rsidRPr="009C78B8">
        <w:rPr>
          <w:rFonts w:ascii="Times New Roman" w:eastAsiaTheme="minorHAnsi" w:hAnsi="Times New Roman" w:cs="Times New Roman"/>
          <w:sz w:val="24"/>
          <w:szCs w:val="24"/>
          <w:vertAlign w:val="superscript"/>
          <w:lang w:eastAsia="en-GB"/>
        </w:rPr>
        <w:footnoteReference w:id="56"/>
      </w:r>
      <w:r w:rsidRPr="009C78B8">
        <w:rPr>
          <w:rFonts w:ascii="Times New Roman" w:eastAsia="Times New Roman" w:hAnsi="Times New Roman" w:cs="Times New Roman"/>
          <w:sz w:val="24"/>
          <w:szCs w:val="24"/>
          <w:lang w:eastAsia="en-GB"/>
        </w:rPr>
        <w:t xml:space="preserve">  Logically, now that same-sex couples fall under the definition of family under article 8,</w:t>
      </w:r>
      <w:r w:rsidRPr="009C78B8">
        <w:rPr>
          <w:rFonts w:ascii="Times New Roman" w:eastAsia="Times New Roman" w:hAnsi="Times New Roman" w:cs="Times New Roman"/>
          <w:sz w:val="24"/>
          <w:szCs w:val="24"/>
          <w:vertAlign w:val="superscript"/>
          <w:lang w:eastAsia="en-GB"/>
        </w:rPr>
        <w:footnoteReference w:id="57"/>
      </w:r>
      <w:r w:rsidRPr="009C78B8">
        <w:rPr>
          <w:rFonts w:ascii="Times New Roman" w:eastAsia="Times New Roman" w:hAnsi="Times New Roman" w:cs="Times New Roman"/>
          <w:sz w:val="24"/>
          <w:szCs w:val="24"/>
          <w:lang w:eastAsia="en-GB"/>
        </w:rPr>
        <w:t xml:space="preserve"> the ‘very weighty reasons’ test should lead to a breach of Article 12 (right to marriage) being found in relation to same-sex couples bar from marriage.</w:t>
      </w:r>
      <w:r w:rsidRPr="009C78B8">
        <w:rPr>
          <w:rFonts w:ascii="Times New Roman" w:eastAsia="Times New Roman" w:hAnsi="Times New Roman" w:cs="Times New Roman"/>
          <w:sz w:val="24"/>
          <w:szCs w:val="24"/>
          <w:vertAlign w:val="superscript"/>
          <w:lang w:eastAsia="en-GB"/>
        </w:rPr>
        <w:t xml:space="preserve"> </w:t>
      </w:r>
      <w:r w:rsidRPr="009C78B8">
        <w:rPr>
          <w:rFonts w:ascii="Times New Roman" w:eastAsia="Times New Roman" w:hAnsi="Times New Roman" w:cs="Times New Roman"/>
          <w:sz w:val="24"/>
          <w:szCs w:val="24"/>
          <w:lang w:eastAsia="en-GB"/>
        </w:rPr>
        <w:t xml:space="preserve">Such was the view of the minority judges in </w:t>
      </w:r>
      <w:r w:rsidRPr="009C78B8">
        <w:rPr>
          <w:rFonts w:ascii="Times New Roman" w:eastAsia="Times New Roman" w:hAnsi="Times New Roman" w:cs="Times New Roman"/>
          <w:i/>
          <w:sz w:val="24"/>
          <w:szCs w:val="24"/>
          <w:lang w:eastAsia="en-GB"/>
        </w:rPr>
        <w:t>Schalk and Kopf v Austria</w:t>
      </w:r>
      <w:r w:rsidRPr="009C78B8">
        <w:rPr>
          <w:rFonts w:ascii="Times New Roman" w:eastAsia="Times New Roman" w:hAnsi="Times New Roman" w:cs="Times New Roman"/>
          <w:sz w:val="24"/>
          <w:szCs w:val="24"/>
          <w:lang w:eastAsia="en-GB"/>
        </w:rPr>
        <w:t>.</w:t>
      </w:r>
      <w:r w:rsidRPr="009C78B8">
        <w:rPr>
          <w:rFonts w:ascii="Times New Roman" w:eastAsia="Times New Roman" w:hAnsi="Times New Roman" w:cs="Times New Roman"/>
          <w:sz w:val="24"/>
          <w:szCs w:val="24"/>
          <w:vertAlign w:val="superscript"/>
          <w:lang w:eastAsia="en-GB"/>
        </w:rPr>
        <w:footnoteReference w:id="58"/>
      </w:r>
      <w:r w:rsidRPr="009C78B8">
        <w:rPr>
          <w:rFonts w:ascii="Times New Roman" w:eastAsia="Times New Roman" w:hAnsi="Times New Roman" w:cs="Times New Roman"/>
          <w:sz w:val="24"/>
          <w:szCs w:val="24"/>
          <w:lang w:eastAsia="en-GB"/>
        </w:rPr>
        <w:t xml:space="preserve"> It is only because the European Court determines there to be a wide MoA (due to a lack of consensus) in relation to marriage under Article 12, which prevents the European Court moving forward in this area.</w:t>
      </w:r>
      <w:r w:rsidRPr="009C78B8">
        <w:rPr>
          <w:rFonts w:ascii="Times New Roman" w:eastAsia="Times New Roman" w:hAnsi="Times New Roman" w:cs="Times New Roman"/>
          <w:sz w:val="24"/>
          <w:szCs w:val="24"/>
          <w:vertAlign w:val="superscript"/>
          <w:lang w:eastAsia="en-GB"/>
        </w:rPr>
        <w:footnoteReference w:id="59"/>
      </w:r>
      <w:r w:rsidRPr="009C78B8">
        <w:rPr>
          <w:rFonts w:ascii="Times New Roman" w:eastAsia="Times New Roman" w:hAnsi="Times New Roman" w:cs="Times New Roman"/>
          <w:sz w:val="24"/>
          <w:szCs w:val="24"/>
          <w:lang w:eastAsia="en-GB"/>
        </w:rPr>
        <w:t xml:space="preserve"> </w:t>
      </w:r>
    </w:p>
    <w:p w:rsidR="009C78B8" w:rsidRPr="009C78B8" w:rsidRDefault="009C78B8" w:rsidP="009C78B8">
      <w:pPr>
        <w:spacing w:after="200" w:line="480" w:lineRule="auto"/>
        <w:jc w:val="both"/>
        <w:rPr>
          <w:rFonts w:ascii="Times New Roman" w:eastAsia="Times New Roman" w:hAnsi="Times New Roman" w:cs="Times New Roman"/>
          <w:sz w:val="24"/>
          <w:szCs w:val="24"/>
          <w:lang w:eastAsia="en-GB"/>
        </w:rPr>
      </w:pPr>
      <w:r w:rsidRPr="009C78B8">
        <w:rPr>
          <w:rFonts w:ascii="Times New Roman" w:eastAsia="Times New Roman" w:hAnsi="Times New Roman" w:cs="Times New Roman"/>
          <w:sz w:val="24"/>
          <w:szCs w:val="24"/>
          <w:lang w:eastAsia="en-GB"/>
        </w:rPr>
        <w:t>Many of the criticisms surrounding MoA and its key factor of consensus centre around the fact that it is very difficult to understand how it works and that it is lacking in predictability.</w:t>
      </w:r>
      <w:r w:rsidRPr="009C78B8">
        <w:rPr>
          <w:rFonts w:ascii="Times New Roman" w:eastAsia="Times New Roman" w:hAnsi="Times New Roman" w:cs="Times New Roman"/>
          <w:sz w:val="24"/>
          <w:szCs w:val="24"/>
          <w:vertAlign w:val="superscript"/>
          <w:lang w:eastAsia="en-GB"/>
        </w:rPr>
        <w:footnoteReference w:id="60"/>
      </w:r>
      <w:r w:rsidRPr="009C78B8">
        <w:rPr>
          <w:rFonts w:ascii="Times New Roman" w:eastAsia="Times New Roman" w:hAnsi="Times New Roman" w:cs="Times New Roman"/>
          <w:sz w:val="24"/>
          <w:szCs w:val="24"/>
          <w:lang w:eastAsia="en-GB"/>
        </w:rPr>
        <w:t xml:space="preserve">  Some commentators even argue that it is not </w:t>
      </w:r>
      <w:r w:rsidRPr="009C78B8">
        <w:rPr>
          <w:rFonts w:ascii="Times New Roman" w:eastAsia="Calibri" w:hAnsi="Times New Roman" w:cs="Times New Roman"/>
          <w:sz w:val="24"/>
          <w:szCs w:val="24"/>
          <w:lang w:eastAsia="en-US"/>
        </w:rPr>
        <w:t>‘consistent with the rule of law.’’</w:t>
      </w:r>
      <w:r w:rsidRPr="009C78B8">
        <w:rPr>
          <w:rFonts w:ascii="Times New Roman" w:eastAsia="Calibri" w:hAnsi="Times New Roman" w:cs="Times New Roman"/>
          <w:sz w:val="24"/>
          <w:szCs w:val="24"/>
          <w:vertAlign w:val="superscript"/>
          <w:lang w:eastAsia="en-US"/>
        </w:rPr>
        <w:footnoteReference w:id="61"/>
      </w:r>
      <w:r w:rsidRPr="009C78B8">
        <w:rPr>
          <w:rFonts w:ascii="Times New Roman" w:eastAsia="Calibri" w:hAnsi="Times New Roman" w:cs="Times New Roman"/>
          <w:sz w:val="24"/>
          <w:szCs w:val="24"/>
          <w:lang w:eastAsia="en-US"/>
        </w:rPr>
        <w:t xml:space="preserve"> </w:t>
      </w:r>
      <w:r w:rsidRPr="009C78B8">
        <w:rPr>
          <w:rFonts w:ascii="Times New Roman" w:eastAsia="Times New Roman" w:hAnsi="Times New Roman" w:cs="Times New Roman"/>
          <w:sz w:val="24"/>
          <w:szCs w:val="24"/>
          <w:lang w:eastAsia="en-GB"/>
        </w:rPr>
        <w:t xml:space="preserve"> There is no certainty as to when the European Court will determine that sufficient consensus has been reached to recognise same-sex marriage.</w:t>
      </w:r>
      <w:r w:rsidRPr="009C78B8">
        <w:rPr>
          <w:rFonts w:ascii="Times New Roman" w:eastAsia="Calibri" w:hAnsi="Times New Roman" w:cs="Times New Roman"/>
          <w:sz w:val="24"/>
          <w:szCs w:val="24"/>
          <w:lang w:eastAsia="en-US"/>
        </w:rPr>
        <w:t xml:space="preserve"> </w:t>
      </w:r>
      <w:r w:rsidRPr="009C78B8">
        <w:rPr>
          <w:rFonts w:ascii="Times New Roman" w:eastAsia="Times New Roman" w:hAnsi="Times New Roman" w:cs="Times New Roman"/>
          <w:sz w:val="24"/>
          <w:szCs w:val="24"/>
          <w:lang w:eastAsia="en-GB"/>
        </w:rPr>
        <w:t xml:space="preserve">  Bribosia et al reject the consensus argument on the basis that it is ‘fraught with methodological imprecision.’</w:t>
      </w:r>
      <w:r w:rsidRPr="009C78B8">
        <w:rPr>
          <w:rFonts w:ascii="Times New Roman" w:eastAsia="Times New Roman" w:hAnsi="Times New Roman" w:cs="Times New Roman"/>
          <w:sz w:val="24"/>
          <w:szCs w:val="24"/>
          <w:vertAlign w:val="superscript"/>
          <w:lang w:eastAsia="en-GB"/>
        </w:rPr>
        <w:footnoteReference w:id="62"/>
      </w:r>
      <w:r w:rsidRPr="009C78B8">
        <w:rPr>
          <w:rFonts w:ascii="Times New Roman" w:eastAsia="Times New Roman" w:hAnsi="Times New Roman" w:cs="Times New Roman"/>
          <w:sz w:val="24"/>
          <w:szCs w:val="24"/>
          <w:lang w:eastAsia="en-GB"/>
        </w:rPr>
        <w:t xml:space="preserve"> Confusion reigns with regards to the </w:t>
      </w:r>
      <w:r w:rsidRPr="009C78B8">
        <w:rPr>
          <w:rFonts w:ascii="Times New Roman" w:eastAsia="Times New Roman" w:hAnsi="Times New Roman" w:cs="Times New Roman"/>
          <w:sz w:val="24"/>
          <w:szCs w:val="24"/>
          <w:lang w:eastAsia="en-GB"/>
        </w:rPr>
        <w:lastRenderedPageBreak/>
        <w:t>terminology used, and multiple terms are used including ‘common European standard’, ‘common European approach’, ‘emerging consensus’ or ‘trend.’</w:t>
      </w:r>
      <w:r w:rsidRPr="009C78B8">
        <w:rPr>
          <w:rFonts w:ascii="Times New Roman" w:eastAsia="Times New Roman" w:hAnsi="Times New Roman" w:cs="Times New Roman"/>
          <w:sz w:val="24"/>
          <w:szCs w:val="24"/>
          <w:vertAlign w:val="superscript"/>
          <w:lang w:eastAsia="en-GB"/>
        </w:rPr>
        <w:footnoteReference w:id="63"/>
      </w:r>
      <w:r w:rsidRPr="009C78B8">
        <w:rPr>
          <w:rFonts w:ascii="Times New Roman" w:eastAsia="Times New Roman" w:hAnsi="Times New Roman" w:cs="Times New Roman"/>
          <w:sz w:val="24"/>
          <w:szCs w:val="24"/>
          <w:lang w:eastAsia="en-GB"/>
        </w:rPr>
        <w:t xml:space="preserve"> The European Court also demonstrates no consistency in determining what sources are appropriate for establishing a consensus.</w:t>
      </w:r>
      <w:r w:rsidRPr="009C78B8">
        <w:rPr>
          <w:rFonts w:ascii="Times New Roman" w:eastAsia="Calibri" w:hAnsi="Times New Roman" w:cs="Times New Roman"/>
          <w:sz w:val="24"/>
          <w:szCs w:val="24"/>
          <w:vertAlign w:val="superscript"/>
          <w:lang w:eastAsia="en-US"/>
        </w:rPr>
        <w:footnoteReference w:id="64"/>
      </w:r>
      <w:r w:rsidRPr="009C78B8">
        <w:rPr>
          <w:rFonts w:ascii="Times New Roman" w:eastAsia="Calibri" w:hAnsi="Times New Roman" w:cs="Times New Roman"/>
          <w:sz w:val="24"/>
          <w:szCs w:val="24"/>
          <w:lang w:eastAsia="en-US"/>
        </w:rPr>
        <w:t xml:space="preserve"> </w:t>
      </w:r>
      <w:r w:rsidRPr="009C78B8">
        <w:rPr>
          <w:rFonts w:ascii="Times New Roman" w:eastAsia="Times New Roman" w:hAnsi="Times New Roman" w:cs="Times New Roman"/>
          <w:sz w:val="24"/>
          <w:szCs w:val="24"/>
          <w:lang w:eastAsia="en-GB"/>
        </w:rPr>
        <w:t>For example on occasion emphasis has been placed on scientific reports, and this emphasis is later disregarded in similar cases.</w:t>
      </w:r>
      <w:r w:rsidRPr="009C78B8">
        <w:rPr>
          <w:rFonts w:ascii="Times New Roman" w:eastAsia="Times New Roman" w:hAnsi="Times New Roman" w:cs="Times New Roman"/>
          <w:sz w:val="24"/>
          <w:szCs w:val="24"/>
          <w:vertAlign w:val="superscript"/>
          <w:lang w:eastAsia="en-GB"/>
        </w:rPr>
        <w:footnoteReference w:id="65"/>
      </w:r>
      <w:r w:rsidRPr="009C78B8">
        <w:rPr>
          <w:rFonts w:ascii="Times New Roman" w:eastAsia="Times New Roman" w:hAnsi="Times New Roman" w:cs="Times New Roman"/>
          <w:sz w:val="24"/>
          <w:szCs w:val="24"/>
          <w:lang w:eastAsia="en-GB"/>
        </w:rPr>
        <w:t xml:space="preserve"> There are also </w:t>
      </w:r>
      <w:r w:rsidRPr="009C78B8">
        <w:rPr>
          <w:rFonts w:ascii="Times New Roman" w:eastAsia="Calibri" w:hAnsi="Times New Roman" w:cs="Times New Roman"/>
          <w:sz w:val="24"/>
          <w:szCs w:val="24"/>
          <w:lang w:eastAsia="en-US"/>
        </w:rPr>
        <w:t>issues arising in relation to the thoroughness of the research on which the European Court makes its decision.</w:t>
      </w:r>
      <w:r w:rsidRPr="009C78B8">
        <w:rPr>
          <w:rFonts w:ascii="Times New Roman" w:eastAsia="Calibri" w:hAnsi="Times New Roman" w:cs="Times New Roman"/>
          <w:sz w:val="24"/>
          <w:szCs w:val="24"/>
          <w:vertAlign w:val="superscript"/>
          <w:lang w:eastAsia="en-US"/>
        </w:rPr>
        <w:footnoteReference w:id="66"/>
      </w:r>
      <w:r w:rsidRPr="009C78B8">
        <w:rPr>
          <w:rFonts w:ascii="Times New Roman" w:eastAsia="Times New Roman" w:hAnsi="Times New Roman" w:cs="Times New Roman"/>
          <w:sz w:val="24"/>
          <w:szCs w:val="24"/>
          <w:lang w:eastAsia="en-GB"/>
        </w:rPr>
        <w:t xml:space="preserve"> </w:t>
      </w:r>
    </w:p>
    <w:p w:rsidR="009C78B8" w:rsidRPr="009C78B8" w:rsidRDefault="009C78B8" w:rsidP="009C78B8">
      <w:pPr>
        <w:spacing w:after="200" w:line="480" w:lineRule="auto"/>
        <w:jc w:val="both"/>
        <w:rPr>
          <w:rFonts w:ascii="Times New Roman" w:eastAsia="Times New Roman" w:hAnsi="Times New Roman" w:cs="Times New Roman"/>
          <w:sz w:val="24"/>
          <w:szCs w:val="24"/>
          <w:lang w:eastAsia="en-GB"/>
        </w:rPr>
      </w:pPr>
      <w:r w:rsidRPr="009C78B8">
        <w:rPr>
          <w:rFonts w:ascii="Times New Roman" w:eastAsia="Times New Roman" w:hAnsi="Times New Roman" w:cs="Times New Roman"/>
          <w:sz w:val="24"/>
          <w:szCs w:val="24"/>
          <w:lang w:eastAsia="en-GB"/>
        </w:rPr>
        <w:t>However, the emphasis placed on consensus as the determinative factor for the width of the MoA ensures that the European Court is acting in concert with domestic authorities and within the dictates of subsidiarity.</w:t>
      </w:r>
      <w:r w:rsidRPr="009C78B8">
        <w:rPr>
          <w:rFonts w:ascii="Times New Roman" w:eastAsia="Times New Roman" w:hAnsi="Times New Roman" w:cs="Times New Roman"/>
          <w:sz w:val="24"/>
          <w:szCs w:val="24"/>
          <w:vertAlign w:val="superscript"/>
          <w:lang w:eastAsia="en-GB"/>
        </w:rPr>
        <w:footnoteReference w:id="67"/>
      </w:r>
      <w:r w:rsidRPr="009C78B8">
        <w:rPr>
          <w:rFonts w:ascii="Times New Roman" w:eastAsia="Times New Roman" w:hAnsi="Times New Roman" w:cs="Times New Roman"/>
          <w:sz w:val="24"/>
          <w:szCs w:val="24"/>
          <w:lang w:eastAsia="en-GB"/>
        </w:rPr>
        <w:t xml:space="preserve"> Debate continues about the appropriateness of stressing consensus in relation to same-sex marriage.</w:t>
      </w:r>
      <w:r w:rsidRPr="009C78B8">
        <w:rPr>
          <w:rFonts w:ascii="Times New Roman" w:eastAsia="Times New Roman" w:hAnsi="Times New Roman" w:cs="Times New Roman"/>
          <w:sz w:val="24"/>
          <w:szCs w:val="24"/>
          <w:vertAlign w:val="superscript"/>
          <w:lang w:eastAsia="en-GB"/>
        </w:rPr>
        <w:footnoteReference w:id="68"/>
      </w:r>
      <w:r w:rsidRPr="009C78B8">
        <w:rPr>
          <w:rFonts w:ascii="Times New Roman" w:eastAsia="Times New Roman" w:hAnsi="Times New Roman" w:cs="Times New Roman"/>
          <w:sz w:val="24"/>
          <w:szCs w:val="24"/>
          <w:lang w:eastAsia="en-GB"/>
        </w:rPr>
        <w:t xml:space="preserve"> This article suggests that if the European Court in future judgments continues to concentrate on the need for consensus, they should at least outline how many domestic legislatures need to legislate in favour of same-sex marriage, before they will determine that a consensus will exist.  This will increase the legitimacy of the European Court, as it will link the European Court’s decision back to the democratic mandate of the Member States’ legislatures. If applied in such a manner, the d</w:t>
      </w:r>
      <w:r>
        <w:rPr>
          <w:rFonts w:ascii="Times New Roman" w:eastAsia="Times New Roman" w:hAnsi="Times New Roman" w:cs="Times New Roman"/>
          <w:sz w:val="24"/>
          <w:szCs w:val="24"/>
          <w:lang w:eastAsia="en-GB"/>
        </w:rPr>
        <w:t>octrine of consensus could be an</w:t>
      </w:r>
      <w:r w:rsidRPr="009C78B8">
        <w:rPr>
          <w:rFonts w:ascii="Times New Roman" w:eastAsia="Times New Roman" w:hAnsi="Times New Roman" w:cs="Times New Roman"/>
          <w:sz w:val="24"/>
          <w:szCs w:val="24"/>
          <w:lang w:eastAsia="en-GB"/>
        </w:rPr>
        <w:t xml:space="preserve"> important legitimising tool. This could give the European Court’s judgments in this area extra weight, which is useful at a time when certain political factions are discussing leaving the </w:t>
      </w:r>
      <w:r w:rsidRPr="009C78B8">
        <w:rPr>
          <w:rFonts w:ascii="Times New Roman" w:eastAsia="Times New Roman" w:hAnsi="Times New Roman" w:cs="Times New Roman"/>
          <w:sz w:val="24"/>
          <w:szCs w:val="24"/>
          <w:lang w:eastAsia="en-GB"/>
        </w:rPr>
        <w:lastRenderedPageBreak/>
        <w:t>Council of Europe.</w:t>
      </w:r>
      <w:r w:rsidRPr="009C78B8">
        <w:rPr>
          <w:rFonts w:ascii="Times New Roman" w:eastAsia="Times New Roman" w:hAnsi="Times New Roman" w:cs="Times New Roman"/>
          <w:sz w:val="24"/>
          <w:szCs w:val="24"/>
          <w:vertAlign w:val="superscript"/>
          <w:lang w:eastAsia="en-GB"/>
        </w:rPr>
        <w:footnoteReference w:id="69"/>
      </w:r>
      <w:r w:rsidRPr="009C78B8">
        <w:rPr>
          <w:rFonts w:ascii="Times New Roman" w:eastAsia="Times New Roman" w:hAnsi="Times New Roman" w:cs="Times New Roman"/>
          <w:sz w:val="24"/>
          <w:szCs w:val="24"/>
          <w:lang w:eastAsia="en-GB"/>
        </w:rPr>
        <w:t xml:space="preserve"> The next section examines the lack of certainty resulting from how the European Court has applied the doctrine of consensus in its developing line of case law concerning sexualities. </w:t>
      </w:r>
    </w:p>
    <w:p w:rsidR="009C78B8" w:rsidRPr="009C78B8" w:rsidRDefault="009C78B8" w:rsidP="009C78B8">
      <w:pPr>
        <w:numPr>
          <w:ilvl w:val="0"/>
          <w:numId w:val="1"/>
        </w:numPr>
        <w:spacing w:after="200" w:line="480" w:lineRule="auto"/>
        <w:contextualSpacing/>
        <w:jc w:val="center"/>
        <w:rPr>
          <w:rFonts w:ascii="Times New Roman" w:eastAsia="Times New Roman" w:hAnsi="Times New Roman" w:cs="Times New Roman"/>
          <w:sz w:val="24"/>
          <w:szCs w:val="24"/>
          <w:lang w:eastAsia="en-GB"/>
        </w:rPr>
      </w:pPr>
      <w:r w:rsidRPr="009C78B8">
        <w:rPr>
          <w:rFonts w:ascii="Times New Roman" w:eastAsia="Times New Roman" w:hAnsi="Times New Roman" w:cs="Times New Roman"/>
          <w:b/>
          <w:sz w:val="24"/>
          <w:szCs w:val="24"/>
          <w:lang w:eastAsia="en-GB"/>
        </w:rPr>
        <w:t xml:space="preserve">CASE LAW DEMONSTRATING THE LACK OF CERTAINTY OVER HOW CONSENSUS IS DETERMINED </w:t>
      </w:r>
    </w:p>
    <w:p w:rsidR="009C78B8" w:rsidRPr="009C78B8" w:rsidRDefault="009C78B8" w:rsidP="009C78B8">
      <w:p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9C78B8">
        <w:rPr>
          <w:rFonts w:ascii="Times New Roman" w:eastAsiaTheme="minorHAnsi" w:hAnsi="Times New Roman" w:cs="Times New Roman"/>
          <w:sz w:val="24"/>
          <w:szCs w:val="24"/>
          <w:lang w:eastAsia="en-US"/>
        </w:rPr>
        <w:t>In the area of family law and sexualities, the European Court has employed a dynamic interpretative technique. The European Court has not been insistent on demonstrating consensus in order to move case law forwards.  Indeed it has been prepared to depart from previous precedents in the areas of decriminalisation of.same-sex sexual activity,</w:t>
      </w:r>
      <w:r w:rsidRPr="009C78B8">
        <w:rPr>
          <w:rFonts w:ascii="Times New Roman" w:eastAsiaTheme="minorHAnsi" w:hAnsi="Times New Roman" w:cs="Times New Roman"/>
          <w:sz w:val="24"/>
          <w:szCs w:val="24"/>
          <w:vertAlign w:val="superscript"/>
          <w:lang w:eastAsia="en-US"/>
        </w:rPr>
        <w:footnoteReference w:id="70"/>
      </w:r>
      <w:r w:rsidRPr="009C78B8">
        <w:rPr>
          <w:rFonts w:ascii="Times New Roman" w:eastAsiaTheme="minorHAnsi" w:hAnsi="Times New Roman" w:cs="Times New Roman"/>
          <w:sz w:val="24"/>
          <w:szCs w:val="24"/>
          <w:lang w:eastAsia="en-US"/>
        </w:rPr>
        <w:t xml:space="preserve"> equalisation of the age of consent for same-sex couples,</w:t>
      </w:r>
      <w:r w:rsidRPr="009C78B8">
        <w:rPr>
          <w:rFonts w:ascii="Times New Roman" w:eastAsiaTheme="minorHAnsi" w:hAnsi="Times New Roman" w:cs="Times New Roman"/>
          <w:sz w:val="24"/>
          <w:szCs w:val="24"/>
          <w:vertAlign w:val="superscript"/>
          <w:lang w:eastAsia="en-US"/>
        </w:rPr>
        <w:footnoteReference w:id="71"/>
      </w:r>
      <w:r w:rsidRPr="009C78B8">
        <w:rPr>
          <w:rFonts w:ascii="Times New Roman" w:eastAsiaTheme="minorHAnsi" w:hAnsi="Times New Roman" w:cs="Times New Roman"/>
          <w:sz w:val="24"/>
          <w:szCs w:val="24"/>
          <w:lang w:eastAsia="en-US"/>
        </w:rPr>
        <w:t xml:space="preserve"> same-sex couples</w:t>
      </w:r>
      <w:r w:rsidR="0066553C">
        <w:rPr>
          <w:rFonts w:ascii="Times New Roman" w:eastAsiaTheme="minorHAnsi" w:hAnsi="Times New Roman" w:cs="Times New Roman"/>
          <w:sz w:val="24"/>
          <w:szCs w:val="24"/>
          <w:lang w:eastAsia="en-US"/>
        </w:rPr>
        <w:t>’</w:t>
      </w:r>
      <w:r w:rsidRPr="009C78B8">
        <w:rPr>
          <w:rFonts w:ascii="Times New Roman" w:eastAsiaTheme="minorHAnsi" w:hAnsi="Times New Roman" w:cs="Times New Roman"/>
          <w:sz w:val="24"/>
          <w:szCs w:val="24"/>
          <w:lang w:eastAsia="en-US"/>
        </w:rPr>
        <w:t xml:space="preserve"> tenancy rights,</w:t>
      </w:r>
      <w:r w:rsidRPr="009C78B8">
        <w:rPr>
          <w:rFonts w:ascii="Times New Roman" w:eastAsiaTheme="minorHAnsi" w:hAnsi="Times New Roman" w:cs="Times New Roman"/>
          <w:sz w:val="24"/>
          <w:szCs w:val="24"/>
          <w:vertAlign w:val="superscript"/>
          <w:lang w:eastAsia="en-US"/>
        </w:rPr>
        <w:footnoteReference w:id="72"/>
      </w:r>
      <w:r w:rsidRPr="009C78B8">
        <w:rPr>
          <w:rFonts w:ascii="Times New Roman" w:eastAsiaTheme="minorHAnsi" w:hAnsi="Times New Roman" w:cs="Times New Roman"/>
          <w:sz w:val="24"/>
          <w:szCs w:val="24"/>
          <w:lang w:eastAsia="en-US"/>
        </w:rPr>
        <w:t xml:space="preserve"> employment of gay</w:t>
      </w:r>
      <w:r w:rsidR="0054063E">
        <w:rPr>
          <w:rFonts w:ascii="Times New Roman" w:eastAsiaTheme="minorHAnsi" w:hAnsi="Times New Roman" w:cs="Times New Roman"/>
          <w:sz w:val="24"/>
          <w:szCs w:val="24"/>
          <w:lang w:eastAsia="en-US"/>
        </w:rPr>
        <w:t xml:space="preserve"> people</w:t>
      </w:r>
      <w:r w:rsidRPr="009C78B8">
        <w:rPr>
          <w:rFonts w:ascii="Times New Roman" w:eastAsiaTheme="minorHAnsi" w:hAnsi="Times New Roman" w:cs="Times New Roman"/>
          <w:sz w:val="24"/>
          <w:szCs w:val="24"/>
          <w:lang w:eastAsia="en-US"/>
        </w:rPr>
        <w:t xml:space="preserve"> in the military,</w:t>
      </w:r>
      <w:r w:rsidRPr="009C78B8">
        <w:rPr>
          <w:rFonts w:ascii="Times New Roman" w:eastAsiaTheme="minorHAnsi" w:hAnsi="Times New Roman" w:cs="Times New Roman"/>
          <w:sz w:val="24"/>
          <w:szCs w:val="24"/>
          <w:vertAlign w:val="superscript"/>
          <w:lang w:eastAsia="en-US"/>
        </w:rPr>
        <w:footnoteReference w:id="73"/>
      </w:r>
      <w:r w:rsidRPr="009C78B8">
        <w:rPr>
          <w:rFonts w:ascii="Times New Roman" w:eastAsiaTheme="minorHAnsi" w:hAnsi="Times New Roman" w:cs="Times New Roman"/>
          <w:sz w:val="24"/>
          <w:szCs w:val="24"/>
          <w:lang w:eastAsia="en-US"/>
        </w:rPr>
        <w:t xml:space="preserve"> defi</w:t>
      </w:r>
      <w:r w:rsidR="0054063E">
        <w:rPr>
          <w:rFonts w:ascii="Times New Roman" w:eastAsiaTheme="minorHAnsi" w:hAnsi="Times New Roman" w:cs="Times New Roman"/>
          <w:sz w:val="24"/>
          <w:szCs w:val="24"/>
          <w:lang w:eastAsia="en-US"/>
        </w:rPr>
        <w:t>nition of family concerning gay people</w:t>
      </w:r>
      <w:r w:rsidRPr="009C78B8">
        <w:rPr>
          <w:rFonts w:ascii="Times New Roman" w:eastAsiaTheme="minorHAnsi" w:hAnsi="Times New Roman" w:cs="Times New Roman"/>
          <w:sz w:val="24"/>
          <w:szCs w:val="24"/>
          <w:lang w:eastAsia="en-US"/>
        </w:rPr>
        <w:t>,</w:t>
      </w:r>
      <w:r w:rsidRPr="009C78B8">
        <w:rPr>
          <w:rFonts w:ascii="Times New Roman" w:eastAsiaTheme="minorHAnsi" w:hAnsi="Times New Roman" w:cs="Times New Roman"/>
          <w:sz w:val="24"/>
          <w:szCs w:val="24"/>
          <w:vertAlign w:val="superscript"/>
          <w:lang w:eastAsia="en-US"/>
        </w:rPr>
        <w:footnoteReference w:id="74"/>
      </w:r>
      <w:r w:rsidR="0054063E">
        <w:rPr>
          <w:rFonts w:ascii="Times New Roman" w:eastAsiaTheme="minorHAnsi" w:hAnsi="Times New Roman" w:cs="Times New Roman"/>
          <w:sz w:val="24"/>
          <w:szCs w:val="24"/>
          <w:lang w:eastAsia="en-US"/>
        </w:rPr>
        <w:t xml:space="preserve"> gay persons’</w:t>
      </w:r>
      <w:r w:rsidRPr="009C78B8">
        <w:rPr>
          <w:rFonts w:ascii="Times New Roman" w:eastAsiaTheme="minorHAnsi" w:hAnsi="Times New Roman" w:cs="Times New Roman"/>
          <w:sz w:val="24"/>
          <w:szCs w:val="24"/>
          <w:lang w:eastAsia="en-US"/>
        </w:rPr>
        <w:t xml:space="preserve"> right to adopt</w:t>
      </w:r>
      <w:r w:rsidRPr="009C78B8">
        <w:rPr>
          <w:rFonts w:ascii="Times New Roman" w:eastAsiaTheme="minorHAnsi" w:hAnsi="Times New Roman" w:cs="Times New Roman"/>
          <w:sz w:val="24"/>
          <w:szCs w:val="24"/>
          <w:vertAlign w:val="superscript"/>
          <w:lang w:eastAsia="en-US"/>
        </w:rPr>
        <w:footnoteReference w:id="75"/>
      </w:r>
      <w:r w:rsidR="0054063E">
        <w:rPr>
          <w:rFonts w:ascii="Times New Roman" w:eastAsiaTheme="minorHAnsi" w:hAnsi="Times New Roman" w:cs="Times New Roman"/>
          <w:sz w:val="24"/>
          <w:szCs w:val="24"/>
          <w:lang w:eastAsia="en-US"/>
        </w:rPr>
        <w:t xml:space="preserve"> and most recently same-sex couples’</w:t>
      </w:r>
      <w:r w:rsidRPr="009C78B8">
        <w:rPr>
          <w:rFonts w:ascii="Times New Roman" w:eastAsiaTheme="minorHAnsi" w:hAnsi="Times New Roman" w:cs="Times New Roman"/>
          <w:sz w:val="24"/>
          <w:szCs w:val="24"/>
          <w:lang w:eastAsia="en-US"/>
        </w:rPr>
        <w:t xml:space="preserve"> right</w:t>
      </w:r>
      <w:r w:rsidR="0054063E">
        <w:rPr>
          <w:rFonts w:ascii="Times New Roman" w:eastAsiaTheme="minorHAnsi" w:hAnsi="Times New Roman" w:cs="Times New Roman"/>
          <w:sz w:val="24"/>
          <w:szCs w:val="24"/>
          <w:lang w:eastAsia="en-US"/>
        </w:rPr>
        <w:t>s</w:t>
      </w:r>
      <w:r w:rsidRPr="009C78B8">
        <w:rPr>
          <w:rFonts w:ascii="Times New Roman" w:eastAsiaTheme="minorHAnsi" w:hAnsi="Times New Roman" w:cs="Times New Roman"/>
          <w:sz w:val="24"/>
          <w:szCs w:val="24"/>
          <w:lang w:eastAsia="en-US"/>
        </w:rPr>
        <w:t xml:space="preserve"> to form civil partnerships</w:t>
      </w:r>
      <w:r w:rsidRPr="009C78B8">
        <w:rPr>
          <w:rFonts w:ascii="Times New Roman" w:eastAsiaTheme="minorHAnsi" w:hAnsi="Times New Roman" w:cs="Times New Roman"/>
          <w:sz w:val="24"/>
          <w:szCs w:val="24"/>
          <w:vertAlign w:val="superscript"/>
          <w:lang w:eastAsia="en-US"/>
        </w:rPr>
        <w:footnoteReference w:id="76"/>
      </w:r>
      <w:r w:rsidRPr="009C78B8">
        <w:rPr>
          <w:rFonts w:ascii="Times New Roman" w:eastAsiaTheme="minorHAnsi" w:hAnsi="Times New Roman" w:cs="Times New Roman"/>
          <w:sz w:val="24"/>
          <w:szCs w:val="24"/>
          <w:lang w:eastAsia="en-US"/>
        </w:rPr>
        <w:t xml:space="preserve"> all without demonstrating a consistent method as to how consensus is determined. All of this case law has meant a progressive approach to the development of gay rights and has to be applauded as such. </w:t>
      </w:r>
      <w:r w:rsidR="005D0AA4">
        <w:rPr>
          <w:rFonts w:ascii="Times New Roman" w:eastAsiaTheme="minorHAnsi" w:hAnsi="Times New Roman" w:cs="Times New Roman"/>
          <w:sz w:val="24"/>
          <w:szCs w:val="24"/>
          <w:lang w:eastAsia="en-US"/>
        </w:rPr>
        <w:t>Fenwick and Hayward also argue that a further move towards an increasing consensus in relation to legal recognition of same-sex couples rights can be done by removing ‘a</w:t>
      </w:r>
      <w:r w:rsidR="0066553C">
        <w:rPr>
          <w:rFonts w:ascii="Times New Roman" w:eastAsiaTheme="minorHAnsi" w:hAnsi="Times New Roman" w:cs="Times New Roman"/>
          <w:sz w:val="24"/>
          <w:szCs w:val="24"/>
          <w:lang w:eastAsia="en-US"/>
        </w:rPr>
        <w:t>s</w:t>
      </w:r>
      <w:r w:rsidR="005D0AA4">
        <w:rPr>
          <w:rFonts w:ascii="Times New Roman" w:eastAsiaTheme="minorHAnsi" w:hAnsi="Times New Roman" w:cs="Times New Roman"/>
          <w:sz w:val="24"/>
          <w:szCs w:val="24"/>
          <w:lang w:eastAsia="en-US"/>
        </w:rPr>
        <w:t xml:space="preserve">ymmetry </w:t>
      </w:r>
      <w:r w:rsidR="005D0AA4">
        <w:rPr>
          <w:rFonts w:ascii="Times New Roman" w:eastAsiaTheme="minorHAnsi" w:hAnsi="Times New Roman" w:cs="Times New Roman"/>
          <w:sz w:val="24"/>
          <w:szCs w:val="24"/>
          <w:lang w:eastAsia="en-US"/>
        </w:rPr>
        <w:lastRenderedPageBreak/>
        <w:t>of access’ to protected legal partnerships.</w:t>
      </w:r>
      <w:r w:rsidR="005D0AA4">
        <w:rPr>
          <w:rStyle w:val="FootnoteReference"/>
          <w:rFonts w:ascii="Times New Roman" w:eastAsiaTheme="minorHAnsi" w:hAnsi="Times New Roman" w:cs="Times New Roman"/>
          <w:sz w:val="24"/>
          <w:szCs w:val="24"/>
          <w:lang w:eastAsia="en-US"/>
        </w:rPr>
        <w:footnoteReference w:id="77"/>
      </w:r>
      <w:r w:rsidR="005D0AA4">
        <w:rPr>
          <w:rFonts w:ascii="Times New Roman" w:eastAsiaTheme="minorHAnsi" w:hAnsi="Times New Roman" w:cs="Times New Roman"/>
          <w:sz w:val="24"/>
          <w:szCs w:val="24"/>
          <w:lang w:eastAsia="en-US"/>
        </w:rPr>
        <w:t xml:space="preserve"> </w:t>
      </w:r>
      <w:r w:rsidR="0066553C">
        <w:rPr>
          <w:rFonts w:ascii="Times New Roman" w:eastAsiaTheme="minorHAnsi" w:hAnsi="Times New Roman" w:cs="Times New Roman"/>
          <w:sz w:val="24"/>
          <w:szCs w:val="24"/>
          <w:lang w:eastAsia="en-US"/>
        </w:rPr>
        <w:t>They explain asymmetry of access to arise when same-sex and opposite-sex couples are given different legal statuses. Erasing asymmetry of access i</w:t>
      </w:r>
      <w:r w:rsidR="005D0AA4">
        <w:rPr>
          <w:rFonts w:ascii="Times New Roman" w:eastAsiaTheme="minorHAnsi" w:hAnsi="Times New Roman" w:cs="Times New Roman"/>
          <w:sz w:val="24"/>
          <w:szCs w:val="24"/>
          <w:lang w:eastAsia="en-US"/>
        </w:rPr>
        <w:t xml:space="preserve">n the context of Western European countries this would mean removing inequalities where same-sex couples can only access registered </w:t>
      </w:r>
      <w:r w:rsidR="0066553C">
        <w:rPr>
          <w:rFonts w:ascii="Times New Roman" w:eastAsiaTheme="minorHAnsi" w:hAnsi="Times New Roman" w:cs="Times New Roman"/>
          <w:sz w:val="24"/>
          <w:szCs w:val="24"/>
          <w:lang w:eastAsia="en-US"/>
        </w:rPr>
        <w:t xml:space="preserve">partnerships </w:t>
      </w:r>
      <w:r w:rsidR="005D0AA4">
        <w:rPr>
          <w:rFonts w:ascii="Times New Roman" w:eastAsiaTheme="minorHAnsi" w:hAnsi="Times New Roman" w:cs="Times New Roman"/>
          <w:sz w:val="24"/>
          <w:szCs w:val="24"/>
          <w:lang w:eastAsia="en-US"/>
        </w:rPr>
        <w:t>and not marriage</w:t>
      </w:r>
      <w:r w:rsidR="0066553C">
        <w:rPr>
          <w:rFonts w:ascii="Times New Roman" w:eastAsiaTheme="minorHAnsi" w:hAnsi="Times New Roman" w:cs="Times New Roman"/>
          <w:sz w:val="24"/>
          <w:szCs w:val="24"/>
          <w:lang w:eastAsia="en-US"/>
        </w:rPr>
        <w:t>.</w:t>
      </w:r>
      <w:r w:rsidR="0066553C">
        <w:rPr>
          <w:rStyle w:val="FootnoteReference"/>
          <w:rFonts w:ascii="Times New Roman" w:eastAsiaTheme="minorHAnsi" w:hAnsi="Times New Roman" w:cs="Times New Roman"/>
          <w:sz w:val="24"/>
          <w:szCs w:val="24"/>
          <w:lang w:eastAsia="en-US"/>
        </w:rPr>
        <w:footnoteReference w:id="78"/>
      </w:r>
      <w:r w:rsidR="005D0AA4">
        <w:rPr>
          <w:rFonts w:ascii="Times New Roman" w:eastAsiaTheme="minorHAnsi" w:hAnsi="Times New Roman" w:cs="Times New Roman"/>
          <w:sz w:val="24"/>
          <w:szCs w:val="24"/>
          <w:lang w:eastAsia="en-US"/>
        </w:rPr>
        <w:t xml:space="preserve"> </w:t>
      </w:r>
      <w:r w:rsidR="00191418">
        <w:rPr>
          <w:rFonts w:ascii="Times New Roman" w:eastAsiaTheme="minorHAnsi" w:hAnsi="Times New Roman" w:cs="Times New Roman"/>
          <w:sz w:val="24"/>
          <w:szCs w:val="24"/>
          <w:lang w:eastAsia="en-US"/>
        </w:rPr>
        <w:t xml:space="preserve">Such a course of action </w:t>
      </w:r>
      <w:r w:rsidR="0066553C">
        <w:rPr>
          <w:rFonts w:ascii="Times New Roman" w:eastAsiaTheme="minorHAnsi" w:hAnsi="Times New Roman" w:cs="Times New Roman"/>
          <w:sz w:val="24"/>
          <w:szCs w:val="24"/>
          <w:lang w:eastAsia="en-US"/>
        </w:rPr>
        <w:t xml:space="preserve">together with an increasing number of Eastern European countries introducing for the first time some level of registered partnership, </w:t>
      </w:r>
      <w:r w:rsidR="005D0AA4">
        <w:rPr>
          <w:rFonts w:ascii="Times New Roman" w:eastAsiaTheme="minorHAnsi" w:hAnsi="Times New Roman" w:cs="Times New Roman"/>
          <w:sz w:val="24"/>
          <w:szCs w:val="24"/>
          <w:lang w:eastAsia="en-US"/>
        </w:rPr>
        <w:t>would undoubtedly increase the pressure on the European Court to recognise a</w:t>
      </w:r>
      <w:r w:rsidR="0066553C">
        <w:rPr>
          <w:rFonts w:ascii="Times New Roman" w:eastAsiaTheme="minorHAnsi" w:hAnsi="Times New Roman" w:cs="Times New Roman"/>
          <w:sz w:val="24"/>
          <w:szCs w:val="24"/>
          <w:lang w:eastAsia="en-US"/>
        </w:rPr>
        <w:t>n increasing level of consensus.</w:t>
      </w:r>
      <w:r w:rsidR="0066553C">
        <w:rPr>
          <w:rStyle w:val="FootnoteReference"/>
          <w:rFonts w:ascii="Times New Roman" w:eastAsiaTheme="minorHAnsi" w:hAnsi="Times New Roman" w:cs="Times New Roman"/>
          <w:sz w:val="24"/>
          <w:szCs w:val="24"/>
          <w:lang w:eastAsia="en-US"/>
        </w:rPr>
        <w:footnoteReference w:id="79"/>
      </w:r>
      <w:r w:rsidR="005D0AA4">
        <w:rPr>
          <w:rFonts w:ascii="Times New Roman" w:eastAsiaTheme="minorHAnsi" w:hAnsi="Times New Roman" w:cs="Times New Roman"/>
          <w:sz w:val="24"/>
          <w:szCs w:val="24"/>
          <w:lang w:eastAsia="en-US"/>
        </w:rPr>
        <w:t xml:space="preserve"> </w:t>
      </w:r>
      <w:r w:rsidR="0066553C">
        <w:rPr>
          <w:rFonts w:ascii="Times New Roman" w:eastAsiaTheme="minorHAnsi" w:hAnsi="Times New Roman" w:cs="Times New Roman"/>
          <w:sz w:val="24"/>
          <w:szCs w:val="24"/>
          <w:lang w:eastAsia="en-US"/>
        </w:rPr>
        <w:t>In turn this would make the</w:t>
      </w:r>
      <w:r w:rsidR="005D0AA4">
        <w:rPr>
          <w:rFonts w:ascii="Times New Roman" w:eastAsiaTheme="minorHAnsi" w:hAnsi="Times New Roman" w:cs="Times New Roman"/>
          <w:sz w:val="24"/>
          <w:szCs w:val="24"/>
          <w:lang w:eastAsia="en-US"/>
        </w:rPr>
        <w:t xml:space="preserve"> position of Eastern European</w:t>
      </w:r>
      <w:r w:rsidR="0066553C">
        <w:rPr>
          <w:rFonts w:ascii="Times New Roman" w:eastAsiaTheme="minorHAnsi" w:hAnsi="Times New Roman" w:cs="Times New Roman"/>
          <w:sz w:val="24"/>
          <w:szCs w:val="24"/>
          <w:lang w:eastAsia="en-US"/>
        </w:rPr>
        <w:t xml:space="preserve"> countries which afford same-sex couples no legal protections as</w:t>
      </w:r>
      <w:r w:rsidR="005D0AA4">
        <w:rPr>
          <w:rFonts w:ascii="Times New Roman" w:eastAsiaTheme="minorHAnsi" w:hAnsi="Times New Roman" w:cs="Times New Roman"/>
          <w:sz w:val="24"/>
          <w:szCs w:val="24"/>
          <w:lang w:eastAsia="en-US"/>
        </w:rPr>
        <w:t xml:space="preserve"> being seen </w:t>
      </w:r>
      <w:r w:rsidR="0066553C">
        <w:rPr>
          <w:rFonts w:ascii="Times New Roman" w:eastAsiaTheme="minorHAnsi" w:hAnsi="Times New Roman" w:cs="Times New Roman"/>
          <w:sz w:val="24"/>
          <w:szCs w:val="24"/>
          <w:lang w:eastAsia="en-US"/>
        </w:rPr>
        <w:t>to be</w:t>
      </w:r>
      <w:r w:rsidR="005D0AA4">
        <w:rPr>
          <w:rFonts w:ascii="Times New Roman" w:eastAsiaTheme="minorHAnsi" w:hAnsi="Times New Roman" w:cs="Times New Roman"/>
          <w:sz w:val="24"/>
          <w:szCs w:val="24"/>
          <w:lang w:eastAsia="en-US"/>
        </w:rPr>
        <w:t xml:space="preserve"> ‘increasingly anomalous</w:t>
      </w:r>
      <w:r w:rsidR="0066553C">
        <w:rPr>
          <w:rFonts w:ascii="Times New Roman" w:eastAsiaTheme="minorHAnsi" w:hAnsi="Times New Roman" w:cs="Times New Roman"/>
          <w:sz w:val="24"/>
          <w:szCs w:val="24"/>
          <w:lang w:eastAsia="en-US"/>
        </w:rPr>
        <w:t>.</w:t>
      </w:r>
      <w:r w:rsidR="005D0AA4">
        <w:rPr>
          <w:rFonts w:ascii="Times New Roman" w:eastAsiaTheme="minorHAnsi" w:hAnsi="Times New Roman" w:cs="Times New Roman"/>
          <w:sz w:val="24"/>
          <w:szCs w:val="24"/>
          <w:lang w:eastAsia="en-US"/>
        </w:rPr>
        <w:t>’</w:t>
      </w:r>
      <w:r w:rsidR="005D0AA4">
        <w:rPr>
          <w:rStyle w:val="FootnoteReference"/>
          <w:rFonts w:ascii="Times New Roman" w:eastAsiaTheme="minorHAnsi" w:hAnsi="Times New Roman" w:cs="Times New Roman"/>
          <w:sz w:val="24"/>
          <w:szCs w:val="24"/>
          <w:lang w:eastAsia="en-US"/>
        </w:rPr>
        <w:footnoteReference w:id="80"/>
      </w:r>
      <w:r w:rsidR="005D0AA4">
        <w:rPr>
          <w:rFonts w:ascii="Times New Roman" w:eastAsiaTheme="minorHAnsi" w:hAnsi="Times New Roman" w:cs="Times New Roman"/>
          <w:sz w:val="24"/>
          <w:szCs w:val="24"/>
          <w:lang w:eastAsia="en-US"/>
        </w:rPr>
        <w:t xml:space="preserve"> </w:t>
      </w:r>
      <w:r w:rsidR="0066553C">
        <w:rPr>
          <w:rFonts w:ascii="Times New Roman" w:eastAsiaTheme="minorHAnsi" w:hAnsi="Times New Roman" w:cs="Times New Roman"/>
          <w:sz w:val="24"/>
          <w:szCs w:val="24"/>
          <w:lang w:eastAsia="en-US"/>
        </w:rPr>
        <w:t xml:space="preserve">However, </w:t>
      </w:r>
      <w:r w:rsidR="005D0AA4">
        <w:rPr>
          <w:rFonts w:ascii="Times New Roman" w:eastAsiaTheme="minorHAnsi" w:hAnsi="Times New Roman" w:cs="Times New Roman"/>
          <w:sz w:val="24"/>
          <w:szCs w:val="24"/>
          <w:lang w:eastAsia="en-US"/>
        </w:rPr>
        <w:t>there would still rem</w:t>
      </w:r>
      <w:r w:rsidR="0066553C">
        <w:rPr>
          <w:rFonts w:ascii="Times New Roman" w:eastAsiaTheme="minorHAnsi" w:hAnsi="Times New Roman" w:cs="Times New Roman"/>
          <w:sz w:val="24"/>
          <w:szCs w:val="24"/>
          <w:lang w:eastAsia="en-US"/>
        </w:rPr>
        <w:t>ain doubt as to when the European Court would deem there to be a</w:t>
      </w:r>
      <w:r w:rsidR="005D0AA4">
        <w:rPr>
          <w:rFonts w:ascii="Times New Roman" w:eastAsiaTheme="minorHAnsi" w:hAnsi="Times New Roman" w:cs="Times New Roman"/>
          <w:sz w:val="24"/>
          <w:szCs w:val="24"/>
          <w:lang w:eastAsia="en-US"/>
        </w:rPr>
        <w:t xml:space="preserve"> sufficient </w:t>
      </w:r>
      <w:r w:rsidR="0066553C">
        <w:rPr>
          <w:rFonts w:ascii="Times New Roman" w:eastAsiaTheme="minorHAnsi" w:hAnsi="Times New Roman" w:cs="Times New Roman"/>
          <w:sz w:val="24"/>
          <w:szCs w:val="24"/>
          <w:lang w:eastAsia="en-US"/>
        </w:rPr>
        <w:t xml:space="preserve">level of </w:t>
      </w:r>
      <w:r w:rsidR="005D0AA4">
        <w:rPr>
          <w:rFonts w:ascii="Times New Roman" w:eastAsiaTheme="minorHAnsi" w:hAnsi="Times New Roman" w:cs="Times New Roman"/>
          <w:sz w:val="24"/>
          <w:szCs w:val="24"/>
          <w:lang w:eastAsia="en-US"/>
        </w:rPr>
        <w:t xml:space="preserve">consensus </w:t>
      </w:r>
      <w:r w:rsidR="0066553C">
        <w:rPr>
          <w:rFonts w:ascii="Times New Roman" w:eastAsiaTheme="minorHAnsi" w:hAnsi="Times New Roman" w:cs="Times New Roman"/>
          <w:sz w:val="24"/>
          <w:szCs w:val="24"/>
          <w:lang w:eastAsia="en-US"/>
        </w:rPr>
        <w:t>to recognise a right to same-sex marriage</w:t>
      </w:r>
      <w:r w:rsidR="005D0AA4">
        <w:rPr>
          <w:rFonts w:ascii="Times New Roman" w:eastAsiaTheme="minorHAnsi" w:hAnsi="Times New Roman" w:cs="Times New Roman"/>
          <w:sz w:val="24"/>
          <w:szCs w:val="24"/>
          <w:lang w:eastAsia="en-US"/>
        </w:rPr>
        <w:t>. There is an underlying problem in that the European Court has shown no</w:t>
      </w:r>
      <w:r w:rsidRPr="009C78B8">
        <w:rPr>
          <w:rFonts w:ascii="Times New Roman" w:eastAsiaTheme="minorHAnsi" w:hAnsi="Times New Roman" w:cs="Times New Roman"/>
          <w:sz w:val="24"/>
          <w:szCs w:val="24"/>
          <w:lang w:eastAsia="en-US"/>
        </w:rPr>
        <w:t xml:space="preserve"> consistent application as to determine when consensus exists. The European Court is insistent on consensus being the decisive factor here,</w:t>
      </w:r>
      <w:r w:rsidRPr="009C78B8">
        <w:rPr>
          <w:rFonts w:ascii="Times New Roman" w:eastAsiaTheme="minorHAnsi" w:hAnsi="Times New Roman" w:cs="Times New Roman"/>
          <w:sz w:val="24"/>
          <w:szCs w:val="24"/>
          <w:vertAlign w:val="superscript"/>
          <w:lang w:eastAsia="en-US"/>
        </w:rPr>
        <w:footnoteReference w:id="81"/>
      </w:r>
      <w:r w:rsidRPr="009C78B8">
        <w:rPr>
          <w:rFonts w:ascii="Times New Roman" w:eastAsiaTheme="minorHAnsi" w:hAnsi="Times New Roman" w:cs="Times New Roman"/>
          <w:sz w:val="24"/>
          <w:szCs w:val="24"/>
          <w:lang w:eastAsia="en-US"/>
        </w:rPr>
        <w:t xml:space="preserve"> but its case law leaves no clues as to when this will be determined to exist. Key cases are now examined in more detail. </w:t>
      </w:r>
    </w:p>
    <w:p w:rsidR="009C78B8" w:rsidRPr="009C78B8" w:rsidRDefault="009C78B8" w:rsidP="009C78B8">
      <w:pPr>
        <w:autoSpaceDE w:val="0"/>
        <w:autoSpaceDN w:val="0"/>
        <w:adjustRightInd w:val="0"/>
        <w:spacing w:after="0" w:line="480" w:lineRule="auto"/>
        <w:jc w:val="both"/>
        <w:rPr>
          <w:rFonts w:ascii="Times New Roman" w:eastAsiaTheme="minorHAnsi" w:hAnsi="Times New Roman" w:cs="Times New Roman"/>
          <w:sz w:val="24"/>
          <w:szCs w:val="24"/>
          <w:lang w:eastAsia="en-US"/>
        </w:rPr>
      </w:pPr>
    </w:p>
    <w:p w:rsidR="009C78B8" w:rsidRPr="009C78B8" w:rsidRDefault="009C78B8" w:rsidP="009C78B8">
      <w:p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9C78B8">
        <w:rPr>
          <w:rFonts w:ascii="Times New Roman" w:eastAsiaTheme="minorHAnsi" w:hAnsi="Times New Roman" w:cs="Times New Roman"/>
          <w:sz w:val="24"/>
          <w:szCs w:val="24"/>
          <w:lang w:eastAsia="en-US"/>
        </w:rPr>
        <w:t xml:space="preserve">The first in this important line of cases is </w:t>
      </w:r>
      <w:r w:rsidRPr="00D954AE">
        <w:rPr>
          <w:rFonts w:ascii="Times New Roman" w:eastAsiaTheme="minorHAnsi" w:hAnsi="Times New Roman" w:cs="Times New Roman"/>
          <w:i/>
          <w:sz w:val="24"/>
          <w:szCs w:val="24"/>
          <w:lang w:eastAsia="en-US"/>
        </w:rPr>
        <w:t>D</w:t>
      </w:r>
      <w:r w:rsidRPr="009C78B8">
        <w:rPr>
          <w:rFonts w:ascii="Times New Roman" w:eastAsiaTheme="minorHAnsi" w:hAnsi="Times New Roman" w:cs="Times New Roman"/>
          <w:i/>
          <w:sz w:val="24"/>
          <w:szCs w:val="24"/>
          <w:lang w:eastAsia="en-US"/>
        </w:rPr>
        <w:t>udgeon v UK,</w:t>
      </w:r>
      <w:r w:rsidRPr="009C78B8">
        <w:rPr>
          <w:rFonts w:ascii="Times New Roman" w:eastAsiaTheme="minorHAnsi" w:hAnsi="Times New Roman" w:cs="Times New Roman"/>
          <w:sz w:val="24"/>
          <w:szCs w:val="24"/>
          <w:lang w:eastAsia="en-US"/>
        </w:rPr>
        <w:t xml:space="preserve"> which concerned criminalisation of sodomy in Northern Ireland. This was subsequently found to contravene article 8 (right to respect for private life) and has been lauded as ‘open[ing] the door for LGBTQI rights to be include under the [European] Convention.’</w:t>
      </w:r>
      <w:r w:rsidRPr="009C78B8">
        <w:rPr>
          <w:rFonts w:ascii="Times New Roman" w:eastAsiaTheme="minorHAnsi" w:hAnsi="Times New Roman" w:cs="Times New Roman"/>
          <w:sz w:val="24"/>
          <w:szCs w:val="24"/>
          <w:vertAlign w:val="superscript"/>
          <w:lang w:eastAsia="en-US"/>
        </w:rPr>
        <w:footnoteReference w:id="82"/>
      </w:r>
      <w:r w:rsidRPr="009C78B8">
        <w:rPr>
          <w:rFonts w:ascii="Times New Roman" w:eastAsiaTheme="minorHAnsi" w:hAnsi="Times New Roman" w:cs="Times New Roman"/>
          <w:sz w:val="24"/>
          <w:szCs w:val="24"/>
          <w:lang w:eastAsia="en-US"/>
        </w:rPr>
        <w:t xml:space="preserve"> A flaw in the judgment for those seeking to understand when the European Court will advance the case for same-sex marriage, is that the </w:t>
      </w:r>
      <w:r w:rsidRPr="009C78B8">
        <w:rPr>
          <w:rFonts w:ascii="Times New Roman" w:eastAsiaTheme="minorHAnsi" w:hAnsi="Times New Roman" w:cs="Times New Roman"/>
          <w:sz w:val="24"/>
          <w:szCs w:val="24"/>
          <w:lang w:eastAsia="en-US"/>
        </w:rPr>
        <w:lastRenderedPageBreak/>
        <w:t>European Court never thoroughly explained its departure from previous case law. The reversal of precedent was done on the basis of a ‘better understanding, and in consequence an increased tolerance, of homosexual behaviour in the great majority of Member States.’</w:t>
      </w:r>
      <w:r w:rsidRPr="009C78B8">
        <w:rPr>
          <w:rFonts w:ascii="Times New Roman" w:eastAsiaTheme="minorHAnsi" w:hAnsi="Times New Roman" w:cs="Times New Roman"/>
          <w:sz w:val="24"/>
          <w:szCs w:val="24"/>
          <w:vertAlign w:val="superscript"/>
          <w:lang w:eastAsia="en-US"/>
        </w:rPr>
        <w:footnoteReference w:id="83"/>
      </w:r>
      <w:r w:rsidRPr="009C78B8">
        <w:rPr>
          <w:rFonts w:ascii="Times New Roman" w:eastAsiaTheme="minorHAnsi" w:hAnsi="Times New Roman" w:cs="Times New Roman"/>
          <w:sz w:val="24"/>
          <w:szCs w:val="24"/>
          <w:lang w:eastAsia="en-US"/>
        </w:rPr>
        <w:t xml:space="preserve"> Little guidance was given as to what was meant about a ‘better understanding.’</w:t>
      </w:r>
      <w:r w:rsidRPr="009C78B8">
        <w:rPr>
          <w:rFonts w:ascii="Times New Roman" w:eastAsiaTheme="minorHAnsi" w:hAnsi="Times New Roman" w:cs="Times New Roman"/>
          <w:sz w:val="24"/>
          <w:szCs w:val="24"/>
          <w:vertAlign w:val="superscript"/>
          <w:lang w:eastAsia="en-US"/>
        </w:rPr>
        <w:footnoteReference w:id="84"/>
      </w:r>
      <w:r w:rsidRPr="009C78B8">
        <w:rPr>
          <w:rFonts w:ascii="Times New Roman" w:eastAsiaTheme="minorHAnsi" w:hAnsi="Times New Roman" w:cs="Times New Roman"/>
          <w:sz w:val="24"/>
          <w:szCs w:val="24"/>
          <w:lang w:eastAsia="en-US"/>
        </w:rPr>
        <w:t xml:space="preserve"> The European Court did consider other domestic laws</w:t>
      </w:r>
      <w:r w:rsidRPr="009C78B8">
        <w:rPr>
          <w:rFonts w:ascii="Times New Roman" w:eastAsiaTheme="minorHAnsi" w:hAnsi="Times New Roman" w:cs="Times New Roman"/>
          <w:sz w:val="24"/>
          <w:szCs w:val="24"/>
          <w:vertAlign w:val="superscript"/>
          <w:lang w:eastAsia="en-US"/>
        </w:rPr>
        <w:footnoteReference w:id="85"/>
      </w:r>
      <w:r w:rsidRPr="009C78B8">
        <w:rPr>
          <w:rFonts w:ascii="Times New Roman" w:eastAsiaTheme="minorHAnsi" w:hAnsi="Times New Roman" w:cs="Times New Roman"/>
          <w:sz w:val="24"/>
          <w:szCs w:val="24"/>
          <w:lang w:eastAsia="en-US"/>
        </w:rPr>
        <w:t xml:space="preserve"> but never thoroughly documented how many other Member States’ legislatures were required to have introduced legislation. Letsas criticises this as instance of the European Court making a ‘moral’ decision, rather than determining ‘some commonly accepted standards.’</w:t>
      </w:r>
      <w:r w:rsidRPr="009C78B8">
        <w:rPr>
          <w:rFonts w:ascii="Times New Roman" w:eastAsiaTheme="minorHAnsi" w:hAnsi="Times New Roman" w:cs="Times New Roman"/>
          <w:sz w:val="24"/>
          <w:szCs w:val="24"/>
          <w:vertAlign w:val="superscript"/>
          <w:lang w:eastAsia="en-US"/>
        </w:rPr>
        <w:footnoteReference w:id="86"/>
      </w:r>
      <w:r w:rsidRPr="009C78B8">
        <w:rPr>
          <w:rFonts w:ascii="Times New Roman" w:eastAsiaTheme="minorHAnsi" w:hAnsi="Times New Roman" w:cs="Times New Roman"/>
          <w:sz w:val="24"/>
          <w:szCs w:val="24"/>
          <w:lang w:eastAsia="en-US"/>
        </w:rPr>
        <w:t xml:space="preserve"> Confusing terminology such as ‘better understanding’ does little to develop our understanding of when a sufficient consensus will be reached in relation to same-sex marriage. </w:t>
      </w:r>
    </w:p>
    <w:p w:rsidR="009C78B8" w:rsidRPr="009C78B8" w:rsidRDefault="009C78B8" w:rsidP="009C78B8">
      <w:pPr>
        <w:autoSpaceDE w:val="0"/>
        <w:autoSpaceDN w:val="0"/>
        <w:adjustRightInd w:val="0"/>
        <w:spacing w:after="0" w:line="480" w:lineRule="auto"/>
        <w:jc w:val="both"/>
        <w:rPr>
          <w:rFonts w:ascii="Times New Roman" w:eastAsiaTheme="minorHAnsi" w:hAnsi="Times New Roman" w:cs="Times New Roman"/>
          <w:sz w:val="24"/>
          <w:szCs w:val="24"/>
          <w:lang w:eastAsia="en-US"/>
        </w:rPr>
      </w:pPr>
    </w:p>
    <w:p w:rsidR="009C78B8" w:rsidRPr="009C78B8" w:rsidRDefault="009C78B8" w:rsidP="009C78B8">
      <w:pPr>
        <w:spacing w:after="200" w:line="480" w:lineRule="auto"/>
        <w:jc w:val="both"/>
        <w:rPr>
          <w:rFonts w:ascii="Times New Roman" w:eastAsiaTheme="minorHAnsi" w:hAnsi="Times New Roman" w:cs="Times New Roman"/>
          <w:sz w:val="24"/>
          <w:szCs w:val="24"/>
          <w:lang w:eastAsia="en-US"/>
        </w:rPr>
      </w:pPr>
      <w:r w:rsidRPr="009C78B8">
        <w:rPr>
          <w:rFonts w:ascii="Times New Roman" w:eastAsiaTheme="minorHAnsi" w:hAnsi="Times New Roman" w:cs="Times New Roman"/>
          <w:sz w:val="24"/>
          <w:szCs w:val="24"/>
          <w:lang w:eastAsia="en-US"/>
        </w:rPr>
        <w:t>Brauch also considers that case law demonstrates that the European Court utilises the concept of MoA, with its key factor of consensus, in a manner which results in the standard sometimes changing without warning.</w:t>
      </w:r>
      <w:r w:rsidRPr="009C78B8">
        <w:rPr>
          <w:rFonts w:ascii="Times New Roman" w:eastAsiaTheme="minorHAnsi" w:hAnsi="Times New Roman" w:cs="Times New Roman"/>
          <w:sz w:val="24"/>
          <w:szCs w:val="24"/>
          <w:vertAlign w:val="superscript"/>
          <w:lang w:eastAsia="en-US"/>
        </w:rPr>
        <w:footnoteReference w:id="87"/>
      </w:r>
      <w:r w:rsidRPr="009C78B8">
        <w:rPr>
          <w:rFonts w:ascii="Times New Roman" w:eastAsiaTheme="minorHAnsi" w:hAnsi="Times New Roman" w:cs="Times New Roman"/>
          <w:sz w:val="24"/>
          <w:szCs w:val="24"/>
          <w:lang w:eastAsia="en-US"/>
        </w:rPr>
        <w:t xml:space="preserve"> The </w:t>
      </w:r>
      <w:r w:rsidR="0066553C">
        <w:rPr>
          <w:rFonts w:ascii="Times New Roman" w:eastAsiaTheme="minorHAnsi" w:hAnsi="Times New Roman" w:cs="Times New Roman"/>
          <w:sz w:val="24"/>
          <w:szCs w:val="24"/>
          <w:lang w:eastAsia="en-US"/>
        </w:rPr>
        <w:t>case he discusses concerned gay peoples</w:t>
      </w:r>
      <w:r w:rsidRPr="009C78B8">
        <w:rPr>
          <w:rFonts w:ascii="Times New Roman" w:eastAsiaTheme="minorHAnsi" w:hAnsi="Times New Roman" w:cs="Times New Roman"/>
          <w:sz w:val="24"/>
          <w:szCs w:val="24"/>
          <w:lang w:eastAsia="en-US"/>
        </w:rPr>
        <w:t>’ employment in the military.</w:t>
      </w:r>
      <w:r w:rsidRPr="009C78B8">
        <w:rPr>
          <w:rFonts w:ascii="Times New Roman" w:eastAsiaTheme="minorHAnsi" w:hAnsi="Times New Roman" w:cs="Times New Roman"/>
          <w:sz w:val="24"/>
          <w:szCs w:val="24"/>
          <w:vertAlign w:val="superscript"/>
          <w:lang w:eastAsia="en-US"/>
        </w:rPr>
        <w:footnoteReference w:id="88"/>
      </w:r>
      <w:r w:rsidRPr="009C78B8">
        <w:rPr>
          <w:rFonts w:ascii="Times New Roman" w:eastAsiaTheme="minorHAnsi" w:hAnsi="Times New Roman" w:cs="Times New Roman"/>
          <w:sz w:val="24"/>
          <w:szCs w:val="24"/>
          <w:lang w:eastAsia="en-US"/>
        </w:rPr>
        <w:t xml:space="preserve"> Previously national security defences put forward by Member States were given a wide MoA.</w:t>
      </w:r>
      <w:r w:rsidRPr="009C78B8">
        <w:rPr>
          <w:rFonts w:ascii="Times New Roman" w:eastAsiaTheme="minorHAnsi" w:hAnsi="Times New Roman" w:cs="Times New Roman"/>
          <w:sz w:val="24"/>
          <w:szCs w:val="24"/>
          <w:vertAlign w:val="superscript"/>
          <w:lang w:eastAsia="en-US"/>
        </w:rPr>
        <w:footnoteReference w:id="89"/>
      </w:r>
      <w:r w:rsidRPr="009C78B8">
        <w:rPr>
          <w:rFonts w:ascii="Times New Roman" w:eastAsiaTheme="minorHAnsi" w:hAnsi="Times New Roman" w:cs="Times New Roman"/>
          <w:sz w:val="24"/>
          <w:szCs w:val="24"/>
          <w:lang w:eastAsia="en-US"/>
        </w:rPr>
        <w:t xml:space="preserve"> In </w:t>
      </w:r>
      <w:r w:rsidRPr="009C78B8">
        <w:rPr>
          <w:rFonts w:ascii="Times New Roman" w:eastAsiaTheme="minorHAnsi" w:hAnsi="Times New Roman" w:cs="Times New Roman"/>
          <w:i/>
          <w:sz w:val="24"/>
          <w:szCs w:val="24"/>
          <w:lang w:eastAsia="en-US"/>
        </w:rPr>
        <w:t>Smith and Grady v UK</w:t>
      </w:r>
      <w:r w:rsidRPr="009C78B8">
        <w:rPr>
          <w:rFonts w:ascii="Times New Roman" w:eastAsiaTheme="minorHAnsi" w:hAnsi="Times New Roman" w:cs="Times New Roman"/>
          <w:sz w:val="24"/>
          <w:szCs w:val="24"/>
          <w:lang w:eastAsia="en-US"/>
        </w:rPr>
        <w:t>, the European Court determined (despite the argument to the contrary by the UK government)</w:t>
      </w:r>
      <w:r w:rsidRPr="009C78B8">
        <w:rPr>
          <w:rFonts w:ascii="Times New Roman" w:eastAsiaTheme="minorHAnsi" w:hAnsi="Times New Roman" w:cs="Times New Roman"/>
          <w:sz w:val="24"/>
          <w:szCs w:val="24"/>
          <w:vertAlign w:val="superscript"/>
          <w:lang w:eastAsia="en-US"/>
        </w:rPr>
        <w:footnoteReference w:id="90"/>
      </w:r>
      <w:r w:rsidRPr="009C78B8">
        <w:rPr>
          <w:rFonts w:ascii="Times New Roman" w:eastAsiaTheme="minorHAnsi" w:hAnsi="Times New Roman" w:cs="Times New Roman"/>
          <w:sz w:val="24"/>
          <w:szCs w:val="24"/>
          <w:lang w:eastAsia="en-US"/>
        </w:rPr>
        <w:t xml:space="preserve"> that no defence could be upheld on the basis of </w:t>
      </w:r>
      <w:r w:rsidRPr="009C78B8">
        <w:rPr>
          <w:rFonts w:ascii="Times New Roman" w:eastAsiaTheme="minorHAnsi" w:hAnsi="Times New Roman" w:cs="Times New Roman"/>
          <w:sz w:val="24"/>
          <w:szCs w:val="24"/>
          <w:lang w:eastAsia="en-US"/>
        </w:rPr>
        <w:lastRenderedPageBreak/>
        <w:t>national security.  This was because ‘particularly serious reasons’ had to exist in relation to restrictions which concerned the ‘most intimate part of an individuals’ private life’.</w:t>
      </w:r>
      <w:r w:rsidRPr="009C78B8">
        <w:rPr>
          <w:rFonts w:ascii="Times New Roman" w:eastAsiaTheme="minorHAnsi" w:hAnsi="Times New Roman" w:cs="Times New Roman"/>
          <w:sz w:val="24"/>
          <w:szCs w:val="24"/>
          <w:vertAlign w:val="superscript"/>
          <w:lang w:eastAsia="en-US"/>
        </w:rPr>
        <w:footnoteReference w:id="91"/>
      </w:r>
      <w:r w:rsidRPr="009C78B8">
        <w:rPr>
          <w:rFonts w:ascii="Times New Roman" w:eastAsiaTheme="minorHAnsi" w:hAnsi="Times New Roman" w:cs="Times New Roman"/>
          <w:sz w:val="24"/>
          <w:szCs w:val="24"/>
          <w:lang w:eastAsia="en-US"/>
        </w:rPr>
        <w:t xml:space="preserve"> Ultimately, the UK were not successful in their defence which the European Court interpreted as ‘founded solely upon the negative attitudes of heterosexual personnel towards those of homosexual orientation.’</w:t>
      </w:r>
      <w:r w:rsidRPr="009C78B8">
        <w:rPr>
          <w:rFonts w:ascii="Times New Roman" w:eastAsiaTheme="minorHAnsi" w:hAnsi="Times New Roman" w:cs="Times New Roman"/>
          <w:sz w:val="24"/>
          <w:szCs w:val="24"/>
          <w:vertAlign w:val="superscript"/>
          <w:lang w:eastAsia="en-US"/>
        </w:rPr>
        <w:footnoteReference w:id="92"/>
      </w:r>
      <w:r w:rsidRPr="009C78B8">
        <w:rPr>
          <w:rFonts w:ascii="Times New Roman" w:eastAsiaTheme="minorHAnsi" w:hAnsi="Times New Roman" w:cs="Times New Roman"/>
          <w:sz w:val="24"/>
          <w:szCs w:val="24"/>
          <w:lang w:eastAsia="en-US"/>
        </w:rPr>
        <w:t xml:space="preserve"> Despite previously national security defences being given a wide MoA,</w:t>
      </w:r>
      <w:r w:rsidRPr="009C78B8">
        <w:rPr>
          <w:rFonts w:ascii="Times New Roman" w:eastAsiaTheme="minorHAnsi" w:hAnsi="Times New Roman" w:cs="Times New Roman"/>
          <w:sz w:val="24"/>
          <w:szCs w:val="24"/>
          <w:vertAlign w:val="superscript"/>
          <w:lang w:eastAsia="en-US"/>
        </w:rPr>
        <w:footnoteReference w:id="93"/>
      </w:r>
      <w:r w:rsidRPr="009C78B8">
        <w:rPr>
          <w:rFonts w:ascii="Times New Roman" w:eastAsiaTheme="minorHAnsi" w:hAnsi="Times New Roman" w:cs="Times New Roman"/>
          <w:sz w:val="24"/>
          <w:szCs w:val="24"/>
          <w:lang w:eastAsia="en-US"/>
        </w:rPr>
        <w:t xml:space="preserve">  suddenly no MoA was given to the UK. Again, although advancing </w:t>
      </w:r>
      <w:r w:rsidR="0066553C">
        <w:rPr>
          <w:rFonts w:ascii="Times New Roman" w:eastAsiaTheme="minorHAnsi" w:hAnsi="Times New Roman" w:cs="Times New Roman"/>
          <w:sz w:val="24"/>
          <w:szCs w:val="24"/>
          <w:lang w:eastAsia="en-US"/>
        </w:rPr>
        <w:t>LGBT</w:t>
      </w:r>
      <w:r w:rsidRPr="009C78B8">
        <w:rPr>
          <w:rFonts w:ascii="Times New Roman" w:eastAsiaTheme="minorHAnsi" w:hAnsi="Times New Roman" w:cs="Times New Roman"/>
          <w:sz w:val="24"/>
          <w:szCs w:val="24"/>
          <w:lang w:eastAsia="en-US"/>
        </w:rPr>
        <w:t xml:space="preserve"> rights, the sudden shift in position by the European Court was unpredictable. The UK had prepared their defence on the basis of a wide MoA and had no notice from the European Court that this no longer existed, arguably meaning that the UK did not prepare its case to best effect. </w:t>
      </w:r>
    </w:p>
    <w:p w:rsidR="009C78B8" w:rsidRPr="009C78B8" w:rsidRDefault="009C78B8" w:rsidP="009C78B8">
      <w:pPr>
        <w:spacing w:after="200" w:line="480" w:lineRule="auto"/>
        <w:jc w:val="both"/>
        <w:rPr>
          <w:rFonts w:ascii="Times New Roman" w:eastAsiaTheme="minorHAnsi" w:hAnsi="Times New Roman" w:cs="Times New Roman"/>
          <w:sz w:val="24"/>
          <w:szCs w:val="24"/>
          <w:lang w:eastAsia="en-US"/>
        </w:rPr>
      </w:pPr>
      <w:r w:rsidRPr="009C78B8">
        <w:rPr>
          <w:rFonts w:ascii="Times New Roman" w:eastAsiaTheme="minorHAnsi" w:hAnsi="Times New Roman" w:cs="Times New Roman"/>
          <w:sz w:val="24"/>
          <w:szCs w:val="24"/>
          <w:lang w:eastAsia="en-US"/>
        </w:rPr>
        <w:t xml:space="preserve">The case of </w:t>
      </w:r>
      <w:r w:rsidRPr="009C78B8">
        <w:rPr>
          <w:rFonts w:ascii="Times New Roman" w:eastAsiaTheme="minorHAnsi" w:hAnsi="Times New Roman" w:cs="Times New Roman"/>
          <w:i/>
          <w:sz w:val="24"/>
          <w:szCs w:val="24"/>
          <w:lang w:eastAsia="en-US"/>
        </w:rPr>
        <w:t>Karner v Austria</w:t>
      </w:r>
      <w:r w:rsidRPr="009C78B8">
        <w:rPr>
          <w:rFonts w:ascii="Times New Roman" w:eastAsiaTheme="minorHAnsi" w:hAnsi="Times New Roman" w:cs="Times New Roman"/>
          <w:sz w:val="24"/>
          <w:szCs w:val="24"/>
          <w:vertAlign w:val="superscript"/>
          <w:lang w:eastAsia="en-US"/>
        </w:rPr>
        <w:t>,</w:t>
      </w:r>
      <w:r w:rsidRPr="009C78B8">
        <w:rPr>
          <w:rFonts w:ascii="Times New Roman" w:eastAsiaTheme="minorHAnsi" w:hAnsi="Times New Roman" w:cs="Times New Roman"/>
          <w:sz w:val="24"/>
          <w:szCs w:val="24"/>
          <w:vertAlign w:val="superscript"/>
          <w:lang w:eastAsia="en-US"/>
        </w:rPr>
        <w:footnoteReference w:id="94"/>
      </w:r>
      <w:r w:rsidRPr="009C78B8">
        <w:rPr>
          <w:rFonts w:ascii="Times New Roman" w:eastAsiaTheme="minorHAnsi" w:hAnsi="Times New Roman" w:cs="Times New Roman"/>
          <w:sz w:val="24"/>
          <w:szCs w:val="24"/>
          <w:lang w:eastAsia="en-US"/>
        </w:rPr>
        <w:t xml:space="preserve"> considered the rights of a surviving same-sex partner to inherit a tenancy. The European Court again departed from previous precedent</w:t>
      </w:r>
      <w:r w:rsidRPr="009C78B8">
        <w:rPr>
          <w:rFonts w:ascii="Times New Roman" w:eastAsiaTheme="minorHAnsi" w:hAnsi="Times New Roman" w:cs="Times New Roman"/>
          <w:sz w:val="24"/>
          <w:szCs w:val="24"/>
          <w:vertAlign w:val="superscript"/>
          <w:lang w:eastAsia="en-US"/>
        </w:rPr>
        <w:footnoteReference w:id="95"/>
      </w:r>
      <w:r w:rsidRPr="009C78B8">
        <w:rPr>
          <w:rFonts w:ascii="Times New Roman" w:eastAsiaTheme="minorHAnsi" w:hAnsi="Times New Roman" w:cs="Times New Roman"/>
          <w:sz w:val="24"/>
          <w:szCs w:val="24"/>
          <w:lang w:eastAsia="en-US"/>
        </w:rPr>
        <w:t xml:space="preserve"> to find a breach of Article 14 (equality) in conjunction with Article 8 (privacy).</w:t>
      </w:r>
      <w:r w:rsidRPr="009C78B8">
        <w:rPr>
          <w:rFonts w:ascii="Times New Roman" w:eastAsiaTheme="minorHAnsi" w:hAnsi="Times New Roman" w:cs="Times New Roman"/>
          <w:sz w:val="24"/>
          <w:szCs w:val="24"/>
          <w:vertAlign w:val="superscript"/>
          <w:lang w:eastAsia="en-US"/>
        </w:rPr>
        <w:footnoteReference w:id="96"/>
      </w:r>
      <w:r w:rsidRPr="009C78B8">
        <w:rPr>
          <w:rFonts w:ascii="Times New Roman" w:eastAsiaTheme="minorHAnsi" w:hAnsi="Times New Roman" w:cs="Times New Roman"/>
          <w:sz w:val="24"/>
          <w:szCs w:val="24"/>
          <w:lang w:eastAsia="en-US"/>
        </w:rPr>
        <w:t xml:space="preserve"> The issue of consensus was avoided. Although third party interveners brought up international examples of equal treatment of unmarried same-sex and opposite-sex couples,</w:t>
      </w:r>
      <w:r w:rsidRPr="009C78B8">
        <w:rPr>
          <w:rFonts w:ascii="Times New Roman" w:eastAsiaTheme="minorHAnsi" w:hAnsi="Times New Roman" w:cs="Times New Roman"/>
          <w:sz w:val="24"/>
          <w:szCs w:val="24"/>
          <w:vertAlign w:val="superscript"/>
          <w:lang w:eastAsia="en-US"/>
        </w:rPr>
        <w:footnoteReference w:id="97"/>
      </w:r>
      <w:r w:rsidRPr="009C78B8">
        <w:rPr>
          <w:rFonts w:ascii="Times New Roman" w:eastAsiaTheme="minorHAnsi" w:hAnsi="Times New Roman" w:cs="Times New Roman"/>
          <w:sz w:val="24"/>
          <w:szCs w:val="24"/>
          <w:lang w:eastAsia="en-US"/>
        </w:rPr>
        <w:t xml:space="preserve"> these were not considered in the European Court’s judgment. Instead, the European Court introduced a new dicta that ‘weighty reasons’ were needed in justifying differences in treatment between opposite sex and same-sex </w:t>
      </w:r>
      <w:r w:rsidRPr="009C78B8">
        <w:rPr>
          <w:rFonts w:ascii="Times New Roman" w:eastAsiaTheme="minorHAnsi" w:hAnsi="Times New Roman" w:cs="Times New Roman"/>
          <w:sz w:val="24"/>
          <w:szCs w:val="24"/>
          <w:lang w:eastAsia="en-US"/>
        </w:rPr>
        <w:lastRenderedPageBreak/>
        <w:t>partners.</w:t>
      </w:r>
      <w:r w:rsidRPr="009C78B8">
        <w:rPr>
          <w:rFonts w:ascii="Times New Roman" w:eastAsiaTheme="minorHAnsi" w:hAnsi="Times New Roman" w:cs="Times New Roman"/>
          <w:sz w:val="24"/>
          <w:szCs w:val="24"/>
          <w:vertAlign w:val="superscript"/>
          <w:lang w:eastAsia="en-US"/>
        </w:rPr>
        <w:footnoteReference w:id="98"/>
      </w:r>
      <w:r w:rsidRPr="009C78B8">
        <w:rPr>
          <w:rFonts w:ascii="Times New Roman" w:eastAsiaTheme="minorHAnsi" w:hAnsi="Times New Roman" w:cs="Times New Roman"/>
          <w:sz w:val="24"/>
          <w:szCs w:val="24"/>
          <w:lang w:eastAsia="en-US"/>
        </w:rPr>
        <w:t xml:space="preserve"> Whilst the case was obviously an advance for </w:t>
      </w:r>
      <w:r w:rsidR="0066553C">
        <w:rPr>
          <w:rFonts w:ascii="Times New Roman" w:eastAsiaTheme="minorHAnsi" w:hAnsi="Times New Roman" w:cs="Times New Roman"/>
          <w:sz w:val="24"/>
          <w:szCs w:val="24"/>
          <w:lang w:eastAsia="en-US"/>
        </w:rPr>
        <w:t>GLBT</w:t>
      </w:r>
      <w:r w:rsidRPr="009C78B8">
        <w:rPr>
          <w:rFonts w:ascii="Times New Roman" w:eastAsiaTheme="minorHAnsi" w:hAnsi="Times New Roman" w:cs="Times New Roman"/>
          <w:sz w:val="24"/>
          <w:szCs w:val="24"/>
          <w:lang w:eastAsia="en-US"/>
        </w:rPr>
        <w:t xml:space="preserve"> rights by making any Member States’ discriminatory law against gay</w:t>
      </w:r>
      <w:r w:rsidR="0066553C">
        <w:rPr>
          <w:rFonts w:ascii="Times New Roman" w:eastAsiaTheme="minorHAnsi" w:hAnsi="Times New Roman" w:cs="Times New Roman"/>
          <w:sz w:val="24"/>
          <w:szCs w:val="24"/>
          <w:lang w:eastAsia="en-US"/>
        </w:rPr>
        <w:t xml:space="preserve"> people</w:t>
      </w:r>
      <w:r w:rsidRPr="009C78B8">
        <w:rPr>
          <w:rFonts w:ascii="Times New Roman" w:eastAsiaTheme="minorHAnsi" w:hAnsi="Times New Roman" w:cs="Times New Roman"/>
          <w:sz w:val="24"/>
          <w:szCs w:val="24"/>
          <w:lang w:eastAsia="en-US"/>
        </w:rPr>
        <w:t xml:space="preserve"> subject to a heightened test, it did not address the issue concerning consensus. It offers no clues to be able to predict when a consensus will be deemed to exist in relation to same-sex marriage. </w:t>
      </w:r>
    </w:p>
    <w:p w:rsidR="00B57F5B" w:rsidRDefault="009C78B8" w:rsidP="009C78B8">
      <w:pPr>
        <w:spacing w:after="200" w:line="480" w:lineRule="auto"/>
        <w:jc w:val="both"/>
        <w:rPr>
          <w:rFonts w:ascii="Times New Roman" w:eastAsia="Times New Roman" w:hAnsi="Times New Roman" w:cs="Times New Roman"/>
          <w:sz w:val="24"/>
          <w:szCs w:val="24"/>
          <w:lang w:eastAsia="en-GB"/>
        </w:rPr>
      </w:pPr>
      <w:r w:rsidRPr="009C78B8">
        <w:rPr>
          <w:rFonts w:ascii="Times New Roman" w:eastAsiaTheme="minorHAnsi" w:hAnsi="Times New Roman" w:cs="Times New Roman"/>
          <w:sz w:val="24"/>
          <w:szCs w:val="24"/>
          <w:lang w:eastAsia="en-US"/>
        </w:rPr>
        <w:t>Another change from previous case law occurred in the recognition of same-sex relationships under the ‘family’ aspect of Article 8. The European Court had a long entrenched approach</w:t>
      </w:r>
      <w:r w:rsidRPr="009C78B8">
        <w:rPr>
          <w:rFonts w:ascii="Times New Roman" w:eastAsiaTheme="minorHAnsi" w:hAnsi="Times New Roman" w:cs="Times New Roman"/>
          <w:sz w:val="24"/>
          <w:szCs w:val="24"/>
          <w:vertAlign w:val="superscript"/>
          <w:lang w:eastAsia="en-US"/>
        </w:rPr>
        <w:footnoteReference w:id="99"/>
      </w:r>
      <w:r w:rsidRPr="009C78B8">
        <w:rPr>
          <w:rFonts w:ascii="Times New Roman" w:eastAsiaTheme="minorHAnsi" w:hAnsi="Times New Roman" w:cs="Times New Roman"/>
          <w:sz w:val="24"/>
          <w:szCs w:val="24"/>
          <w:lang w:eastAsia="en-US"/>
        </w:rPr>
        <w:t xml:space="preserve"> to not recognising same-sex relationships under the family aspect of Article 8.</w:t>
      </w:r>
      <w:r w:rsidRPr="009C78B8">
        <w:rPr>
          <w:rFonts w:ascii="Times New Roman" w:eastAsiaTheme="minorHAnsi" w:hAnsi="Times New Roman" w:cs="Times New Roman"/>
          <w:sz w:val="24"/>
          <w:szCs w:val="24"/>
          <w:vertAlign w:val="superscript"/>
          <w:lang w:eastAsia="en-US"/>
        </w:rPr>
        <w:footnoteReference w:id="100"/>
      </w:r>
      <w:r w:rsidRPr="009C78B8">
        <w:rPr>
          <w:rFonts w:ascii="Times New Roman" w:eastAsiaTheme="minorHAnsi" w:hAnsi="Times New Roman" w:cs="Times New Roman"/>
          <w:sz w:val="24"/>
          <w:szCs w:val="24"/>
          <w:lang w:eastAsia="en-US"/>
        </w:rPr>
        <w:t xml:space="preserve"> Instead, such relationships were always considered under the private life aspect.</w:t>
      </w:r>
      <w:r w:rsidRPr="009C78B8">
        <w:rPr>
          <w:rFonts w:ascii="Times New Roman" w:eastAsiaTheme="minorHAnsi" w:hAnsi="Times New Roman" w:cs="Times New Roman"/>
          <w:sz w:val="24"/>
          <w:szCs w:val="24"/>
          <w:vertAlign w:val="superscript"/>
          <w:lang w:eastAsia="en-US"/>
        </w:rPr>
        <w:footnoteReference w:id="101"/>
      </w:r>
      <w:r w:rsidRPr="009C78B8">
        <w:rPr>
          <w:rFonts w:ascii="Times New Roman" w:eastAsiaTheme="minorHAnsi" w:hAnsi="Times New Roman" w:cs="Times New Roman"/>
          <w:sz w:val="24"/>
          <w:szCs w:val="24"/>
          <w:lang w:eastAsia="en-US"/>
        </w:rPr>
        <w:t xml:space="preserve">  </w:t>
      </w:r>
      <w:r w:rsidRPr="009C78B8">
        <w:rPr>
          <w:rFonts w:ascii="Times New Roman" w:eastAsia="Times New Roman" w:hAnsi="Times New Roman" w:cs="Times New Roman"/>
          <w:sz w:val="24"/>
          <w:szCs w:val="24"/>
          <w:lang w:eastAsia="en-GB"/>
        </w:rPr>
        <w:t xml:space="preserve">It was not until </w:t>
      </w:r>
      <w:r w:rsidRPr="009C78B8">
        <w:rPr>
          <w:rFonts w:ascii="Times New Roman" w:eastAsia="Times New Roman" w:hAnsi="Times New Roman" w:cs="Times New Roman"/>
          <w:i/>
          <w:sz w:val="24"/>
          <w:szCs w:val="24"/>
          <w:lang w:eastAsia="en-GB"/>
        </w:rPr>
        <w:t>Schalk and Kopf v Austria</w:t>
      </w:r>
      <w:r w:rsidR="0066553C">
        <w:rPr>
          <w:rFonts w:ascii="Times New Roman" w:eastAsia="Times New Roman" w:hAnsi="Times New Roman" w:cs="Times New Roman"/>
          <w:sz w:val="24"/>
          <w:szCs w:val="24"/>
          <w:lang w:eastAsia="en-GB"/>
        </w:rPr>
        <w:t xml:space="preserve"> (2010) that same-sex couples</w:t>
      </w:r>
      <w:r w:rsidRPr="009C78B8">
        <w:rPr>
          <w:rFonts w:ascii="Times New Roman" w:eastAsia="Times New Roman" w:hAnsi="Times New Roman" w:cs="Times New Roman"/>
          <w:sz w:val="24"/>
          <w:szCs w:val="24"/>
          <w:lang w:eastAsia="en-GB"/>
        </w:rPr>
        <w:t xml:space="preserve"> were recognised as having family rights.</w:t>
      </w:r>
      <w:r w:rsidRPr="009C78B8">
        <w:rPr>
          <w:rFonts w:ascii="Times New Roman" w:eastAsia="Times New Roman" w:hAnsi="Times New Roman" w:cs="Times New Roman"/>
          <w:sz w:val="24"/>
          <w:szCs w:val="24"/>
          <w:vertAlign w:val="superscript"/>
          <w:lang w:eastAsia="en-GB"/>
        </w:rPr>
        <w:footnoteReference w:id="102"/>
      </w:r>
      <w:r w:rsidRPr="009C78B8">
        <w:rPr>
          <w:rFonts w:ascii="Times New Roman" w:eastAsia="Times New Roman" w:hAnsi="Times New Roman" w:cs="Times New Roman"/>
          <w:sz w:val="24"/>
          <w:szCs w:val="24"/>
          <w:lang w:eastAsia="en-GB"/>
        </w:rPr>
        <w:t xml:space="preserve"> This has been described as ‘remarkable’</w:t>
      </w:r>
      <w:r w:rsidRPr="009C78B8">
        <w:rPr>
          <w:rFonts w:ascii="Times New Roman" w:eastAsia="Times New Roman" w:hAnsi="Times New Roman" w:cs="Times New Roman"/>
          <w:sz w:val="24"/>
          <w:szCs w:val="24"/>
          <w:vertAlign w:val="superscript"/>
          <w:lang w:eastAsia="en-GB"/>
        </w:rPr>
        <w:footnoteReference w:id="103"/>
      </w:r>
      <w:r w:rsidRPr="009C78B8">
        <w:rPr>
          <w:rFonts w:ascii="Times New Roman" w:eastAsia="Times New Roman" w:hAnsi="Times New Roman" w:cs="Times New Roman"/>
          <w:sz w:val="24"/>
          <w:szCs w:val="24"/>
          <w:lang w:eastAsia="en-GB"/>
        </w:rPr>
        <w:t xml:space="preserve"> progress. The European Court justified its extension of case law on the basis of the ‘rapid evolution of social attitudes towards same-sex couples.’</w:t>
      </w:r>
      <w:r w:rsidRPr="009C78B8">
        <w:rPr>
          <w:rFonts w:ascii="Times New Roman" w:eastAsia="Times New Roman" w:hAnsi="Times New Roman" w:cs="Times New Roman"/>
          <w:sz w:val="24"/>
          <w:szCs w:val="24"/>
          <w:vertAlign w:val="superscript"/>
          <w:lang w:eastAsia="en-GB"/>
        </w:rPr>
        <w:footnoteReference w:id="104"/>
      </w:r>
      <w:r w:rsidRPr="009C78B8">
        <w:rPr>
          <w:rFonts w:ascii="Times New Roman" w:eastAsia="Times New Roman" w:hAnsi="Times New Roman" w:cs="Times New Roman"/>
          <w:sz w:val="24"/>
          <w:szCs w:val="24"/>
          <w:lang w:eastAsia="en-GB"/>
        </w:rPr>
        <w:t xml:space="preserve"> Again, although this case illustrates the dynamic interpretative techniques of the European Court, there was no explanation as to how the European Court gauged the change in social attitudes. There was consideration of the legislative status of same-sex couples internationally, but the European Court stated this was insufficient to amount to a European consensus in relation to same-sex marriage.</w:t>
      </w:r>
      <w:r w:rsidRPr="009C78B8">
        <w:rPr>
          <w:rFonts w:ascii="Times New Roman" w:eastAsia="Times New Roman" w:hAnsi="Times New Roman" w:cs="Times New Roman"/>
          <w:sz w:val="24"/>
          <w:szCs w:val="24"/>
          <w:vertAlign w:val="superscript"/>
          <w:lang w:eastAsia="en-GB"/>
        </w:rPr>
        <w:footnoteReference w:id="105"/>
      </w:r>
      <w:r w:rsidRPr="009C78B8">
        <w:rPr>
          <w:rFonts w:ascii="Times New Roman" w:eastAsia="Times New Roman" w:hAnsi="Times New Roman" w:cs="Times New Roman"/>
          <w:sz w:val="24"/>
          <w:szCs w:val="24"/>
          <w:lang w:eastAsia="en-GB"/>
        </w:rPr>
        <w:t xml:space="preserve">  Yet despite the lack of consensus in relation to same-sex marriage, the European Court did transform previous case law to recognise same-sex couples </w:t>
      </w:r>
      <w:r w:rsidRPr="009C78B8">
        <w:rPr>
          <w:rFonts w:ascii="Times New Roman" w:eastAsia="Times New Roman" w:hAnsi="Times New Roman" w:cs="Times New Roman"/>
          <w:sz w:val="24"/>
          <w:szCs w:val="24"/>
          <w:lang w:eastAsia="en-GB"/>
        </w:rPr>
        <w:lastRenderedPageBreak/>
        <w:t>having a right to family life under Article 8.  This approach of the European Court is confusing. A ‘rapid evolution of social attitudes’ cannot be the same as consensus as no consensus was determined to exist in relation to the right to marry.</w:t>
      </w:r>
      <w:r w:rsidRPr="009C78B8">
        <w:rPr>
          <w:rFonts w:ascii="Times New Roman" w:eastAsia="Times New Roman" w:hAnsi="Times New Roman" w:cs="Times New Roman"/>
          <w:sz w:val="24"/>
          <w:szCs w:val="24"/>
          <w:vertAlign w:val="superscript"/>
          <w:lang w:eastAsia="en-GB"/>
        </w:rPr>
        <w:footnoteReference w:id="106"/>
      </w:r>
      <w:r w:rsidRPr="009C78B8">
        <w:rPr>
          <w:rFonts w:ascii="Times New Roman" w:eastAsia="Times New Roman" w:hAnsi="Times New Roman" w:cs="Times New Roman"/>
          <w:sz w:val="24"/>
          <w:szCs w:val="24"/>
          <w:lang w:eastAsia="en-GB"/>
        </w:rPr>
        <w:t xml:space="preserve"> It appears</w:t>
      </w:r>
      <w:r w:rsidR="00B57F5B">
        <w:rPr>
          <w:rFonts w:ascii="Times New Roman" w:eastAsia="Times New Roman" w:hAnsi="Times New Roman" w:cs="Times New Roman"/>
          <w:sz w:val="24"/>
          <w:szCs w:val="24"/>
          <w:lang w:eastAsia="en-GB"/>
        </w:rPr>
        <w:t xml:space="preserve"> from </w:t>
      </w:r>
      <w:r w:rsidR="00B57F5B" w:rsidRPr="00B57F5B">
        <w:rPr>
          <w:rFonts w:ascii="Times New Roman" w:eastAsia="Times New Roman" w:hAnsi="Times New Roman" w:cs="Times New Roman"/>
          <w:i/>
          <w:sz w:val="24"/>
          <w:szCs w:val="24"/>
          <w:lang w:eastAsia="en-GB"/>
        </w:rPr>
        <w:t>Schalk and Kopf v Austria</w:t>
      </w:r>
      <w:r w:rsidR="00B57F5B">
        <w:rPr>
          <w:rFonts w:ascii="Times New Roman" w:eastAsia="Times New Roman" w:hAnsi="Times New Roman" w:cs="Times New Roman"/>
          <w:sz w:val="24"/>
          <w:szCs w:val="24"/>
          <w:lang w:eastAsia="en-GB"/>
        </w:rPr>
        <w:t xml:space="preserve"> (2010)</w:t>
      </w:r>
      <w:r w:rsidRPr="009C78B8">
        <w:rPr>
          <w:rFonts w:ascii="Times New Roman" w:eastAsia="Times New Roman" w:hAnsi="Times New Roman" w:cs="Times New Roman"/>
          <w:sz w:val="24"/>
          <w:szCs w:val="24"/>
          <w:lang w:eastAsia="en-GB"/>
        </w:rPr>
        <w:t xml:space="preserve"> that consensus is not needed for article 8 (right to a private and family life), but is required for article 12 (right to marry.) Yet again however, there is no clue as to when consensus will be reached for the purpose of Article 12. </w:t>
      </w:r>
      <w:r w:rsidR="002842FE" w:rsidRPr="009C78B8">
        <w:rPr>
          <w:rFonts w:ascii="Times New Roman" w:eastAsia="Times New Roman" w:hAnsi="Times New Roman" w:cs="Times New Roman"/>
          <w:sz w:val="24"/>
          <w:szCs w:val="24"/>
          <w:lang w:eastAsia="en-GB"/>
        </w:rPr>
        <w:t xml:space="preserve">This piece sets out a suggestion that the European Court should clarify in future judgements when consensus will be deemed to have been reached. </w:t>
      </w:r>
    </w:p>
    <w:p w:rsidR="00B57F5B" w:rsidRDefault="00B57F5B" w:rsidP="009C78B8">
      <w:pPr>
        <w:spacing w:after="20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lack of clarity as to the weight given to consensus arguments in this area is further revealed by the most recent line of cases before the European Court </w:t>
      </w:r>
      <w:r w:rsidR="002842FE">
        <w:rPr>
          <w:rFonts w:ascii="Times New Roman" w:eastAsia="Times New Roman" w:hAnsi="Times New Roman" w:cs="Times New Roman"/>
          <w:sz w:val="24"/>
          <w:szCs w:val="24"/>
          <w:lang w:eastAsia="en-GB"/>
        </w:rPr>
        <w:t xml:space="preserve">concerning civil partnership. </w:t>
      </w:r>
      <w:r>
        <w:rPr>
          <w:rFonts w:ascii="Times New Roman" w:eastAsia="Times New Roman" w:hAnsi="Times New Roman" w:cs="Times New Roman"/>
          <w:sz w:val="24"/>
          <w:szCs w:val="24"/>
          <w:lang w:eastAsia="en-GB"/>
        </w:rPr>
        <w:t xml:space="preserve">In </w:t>
      </w:r>
      <w:r w:rsidRPr="00D954AE">
        <w:rPr>
          <w:rFonts w:ascii="Times New Roman" w:eastAsia="Times New Roman" w:hAnsi="Times New Roman" w:cs="Times New Roman"/>
          <w:i/>
          <w:sz w:val="24"/>
          <w:szCs w:val="24"/>
          <w:lang w:eastAsia="en-GB"/>
        </w:rPr>
        <w:t>Val</w:t>
      </w:r>
      <w:r w:rsidR="00D954AE" w:rsidRPr="00D954AE">
        <w:rPr>
          <w:rFonts w:ascii="Times New Roman" w:eastAsia="Times New Roman" w:hAnsi="Times New Roman" w:cs="Times New Roman"/>
          <w:i/>
          <w:sz w:val="24"/>
          <w:szCs w:val="24"/>
          <w:lang w:eastAsia="en-GB"/>
        </w:rPr>
        <w:t>l</w:t>
      </w:r>
      <w:r w:rsidRPr="00D954AE">
        <w:rPr>
          <w:rFonts w:ascii="Times New Roman" w:eastAsia="Times New Roman" w:hAnsi="Times New Roman" w:cs="Times New Roman"/>
          <w:i/>
          <w:sz w:val="24"/>
          <w:szCs w:val="24"/>
          <w:lang w:eastAsia="en-GB"/>
        </w:rPr>
        <w:t>ianatos v Greece</w:t>
      </w:r>
      <w:r>
        <w:rPr>
          <w:rFonts w:ascii="Times New Roman" w:eastAsia="Times New Roman" w:hAnsi="Times New Roman" w:cs="Times New Roman"/>
          <w:sz w:val="24"/>
          <w:szCs w:val="24"/>
          <w:lang w:eastAsia="en-GB"/>
        </w:rPr>
        <w:t xml:space="preserve"> consensus played an important role in determining that there was a breach </w:t>
      </w:r>
      <w:r w:rsidR="00017C91" w:rsidRPr="00017C91">
        <w:rPr>
          <w:rFonts w:ascii="Times New Roman" w:eastAsia="Times New Roman" w:hAnsi="Times New Roman" w:cs="Times New Roman"/>
          <w:sz w:val="24"/>
          <w:szCs w:val="24"/>
          <w:lang w:eastAsia="en-GB"/>
        </w:rPr>
        <w:t>of Article 14, taken in conjunction with Article 8</w:t>
      </w:r>
      <w:r w:rsidRPr="00017C91">
        <w:rPr>
          <w:rFonts w:ascii="Times New Roman" w:eastAsia="Times New Roman" w:hAnsi="Times New Roman" w:cs="Times New Roman"/>
          <w:sz w:val="24"/>
          <w:szCs w:val="24"/>
          <w:lang w:eastAsia="en-GB"/>
        </w:rPr>
        <w:t>.</w:t>
      </w:r>
      <w:r w:rsidR="00017C91">
        <w:rPr>
          <w:rStyle w:val="FootnoteReference"/>
          <w:rFonts w:ascii="Times New Roman" w:eastAsia="Times New Roman" w:hAnsi="Times New Roman" w:cs="Times New Roman"/>
          <w:sz w:val="24"/>
          <w:szCs w:val="24"/>
          <w:lang w:eastAsia="en-GB"/>
        </w:rPr>
        <w:footnoteReference w:id="107"/>
      </w:r>
      <w:r>
        <w:rPr>
          <w:rFonts w:ascii="Times New Roman" w:eastAsia="Times New Roman" w:hAnsi="Times New Roman" w:cs="Times New Roman"/>
          <w:sz w:val="24"/>
          <w:szCs w:val="24"/>
          <w:lang w:eastAsia="en-GB"/>
        </w:rPr>
        <w:t xml:space="preserve">  Where Greece had reserved civil partnership rights to opposite-sex couples only, an ‘evolving or ‘minority’ consensus’</w:t>
      </w:r>
      <w:r>
        <w:rPr>
          <w:rStyle w:val="FootnoteReference"/>
          <w:rFonts w:ascii="Times New Roman" w:eastAsia="Times New Roman" w:hAnsi="Times New Roman" w:cs="Times New Roman"/>
          <w:sz w:val="24"/>
          <w:szCs w:val="24"/>
          <w:lang w:eastAsia="en-GB"/>
        </w:rPr>
        <w:footnoteReference w:id="108"/>
      </w:r>
      <w:r w:rsidR="00703550">
        <w:rPr>
          <w:rFonts w:ascii="Times New Roman" w:eastAsia="Times New Roman" w:hAnsi="Times New Roman" w:cs="Times New Roman"/>
          <w:sz w:val="24"/>
          <w:szCs w:val="24"/>
          <w:lang w:eastAsia="en-GB"/>
        </w:rPr>
        <w:t xml:space="preserve"> was deemed important as only two states who had introduced such statuses had reserved them specifically to opposite-sex couples. Confusingly this ‘minority’ consensus was seen as more important than the fact that overall (at that stage) only a minority of contracting states had introduced same-sex registered partnerships.</w:t>
      </w:r>
      <w:r w:rsidR="002842FE">
        <w:rPr>
          <w:rFonts w:ascii="Times New Roman" w:eastAsia="Times New Roman" w:hAnsi="Times New Roman" w:cs="Times New Roman"/>
          <w:sz w:val="24"/>
          <w:szCs w:val="24"/>
          <w:lang w:eastAsia="en-GB"/>
        </w:rPr>
        <w:t xml:space="preserve"> This </w:t>
      </w:r>
      <w:r w:rsidR="0066553C">
        <w:rPr>
          <w:rFonts w:ascii="Times New Roman" w:eastAsia="Times New Roman" w:hAnsi="Times New Roman" w:cs="Times New Roman"/>
          <w:sz w:val="24"/>
          <w:szCs w:val="24"/>
          <w:lang w:eastAsia="en-GB"/>
        </w:rPr>
        <w:t>judgement shows that in some cases the</w:t>
      </w:r>
      <w:r w:rsidR="002842FE">
        <w:rPr>
          <w:rFonts w:ascii="Times New Roman" w:eastAsia="Times New Roman" w:hAnsi="Times New Roman" w:cs="Times New Roman"/>
          <w:sz w:val="24"/>
          <w:szCs w:val="24"/>
          <w:lang w:eastAsia="en-GB"/>
        </w:rPr>
        <w:t xml:space="preserve"> European Court look</w:t>
      </w:r>
      <w:r w:rsidR="0066553C">
        <w:rPr>
          <w:rFonts w:ascii="Times New Roman" w:eastAsia="Times New Roman" w:hAnsi="Times New Roman" w:cs="Times New Roman"/>
          <w:sz w:val="24"/>
          <w:szCs w:val="24"/>
          <w:lang w:eastAsia="en-GB"/>
        </w:rPr>
        <w:t>s</w:t>
      </w:r>
      <w:r w:rsidR="002842FE">
        <w:rPr>
          <w:rFonts w:ascii="Times New Roman" w:eastAsia="Times New Roman" w:hAnsi="Times New Roman" w:cs="Times New Roman"/>
          <w:sz w:val="24"/>
          <w:szCs w:val="24"/>
          <w:lang w:eastAsia="en-GB"/>
        </w:rPr>
        <w:t xml:space="preserve"> at consensus within a selected group</w:t>
      </w:r>
      <w:r w:rsidR="0066553C">
        <w:rPr>
          <w:rFonts w:ascii="Times New Roman" w:eastAsia="Times New Roman" w:hAnsi="Times New Roman" w:cs="Times New Roman"/>
          <w:sz w:val="24"/>
          <w:szCs w:val="24"/>
          <w:lang w:eastAsia="en-GB"/>
        </w:rPr>
        <w:t xml:space="preserve"> of Member States</w:t>
      </w:r>
      <w:r w:rsidR="002842FE">
        <w:rPr>
          <w:rFonts w:ascii="Times New Roman" w:eastAsia="Times New Roman" w:hAnsi="Times New Roman" w:cs="Times New Roman"/>
          <w:sz w:val="24"/>
          <w:szCs w:val="24"/>
          <w:lang w:eastAsia="en-GB"/>
        </w:rPr>
        <w:t xml:space="preserve">, rather than consensus across all </w:t>
      </w:r>
      <w:r w:rsidR="0066553C">
        <w:rPr>
          <w:rFonts w:ascii="Times New Roman" w:eastAsia="Times New Roman" w:hAnsi="Times New Roman" w:cs="Times New Roman"/>
          <w:sz w:val="24"/>
          <w:szCs w:val="24"/>
          <w:lang w:eastAsia="en-GB"/>
        </w:rPr>
        <w:t>Member States</w:t>
      </w:r>
      <w:r w:rsidR="002842FE">
        <w:rPr>
          <w:rFonts w:ascii="Times New Roman" w:eastAsia="Times New Roman" w:hAnsi="Times New Roman" w:cs="Times New Roman"/>
          <w:sz w:val="24"/>
          <w:szCs w:val="24"/>
          <w:lang w:eastAsia="en-GB"/>
        </w:rPr>
        <w:t xml:space="preserve">. </w:t>
      </w:r>
    </w:p>
    <w:p w:rsidR="002842FE" w:rsidRDefault="002842FE" w:rsidP="009C78B8">
      <w:pPr>
        <w:spacing w:after="20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w:t>
      </w:r>
      <w:r w:rsidRPr="002842FE">
        <w:rPr>
          <w:rFonts w:ascii="Times New Roman" w:eastAsia="Times New Roman" w:hAnsi="Times New Roman" w:cs="Times New Roman"/>
          <w:i/>
          <w:sz w:val="24"/>
          <w:szCs w:val="24"/>
          <w:lang w:eastAsia="en-GB"/>
        </w:rPr>
        <w:t>Oliari v Italy</w:t>
      </w:r>
      <w:r>
        <w:rPr>
          <w:rFonts w:ascii="Times New Roman" w:eastAsia="Times New Roman" w:hAnsi="Times New Roman" w:cs="Times New Roman"/>
          <w:sz w:val="24"/>
          <w:szCs w:val="24"/>
          <w:lang w:eastAsia="en-GB"/>
        </w:rPr>
        <w:t xml:space="preserve"> (2015) consensus played an important role.</w:t>
      </w:r>
      <w:r w:rsidR="00017C91">
        <w:rPr>
          <w:rStyle w:val="FootnoteReference"/>
          <w:rFonts w:ascii="Times New Roman" w:eastAsia="Times New Roman" w:hAnsi="Times New Roman" w:cs="Times New Roman"/>
          <w:sz w:val="24"/>
          <w:szCs w:val="24"/>
          <w:lang w:eastAsia="en-GB"/>
        </w:rPr>
        <w:footnoteReference w:id="109"/>
      </w:r>
      <w:r>
        <w:rPr>
          <w:rFonts w:ascii="Times New Roman" w:eastAsia="Times New Roman" w:hAnsi="Times New Roman" w:cs="Times New Roman"/>
          <w:sz w:val="24"/>
          <w:szCs w:val="24"/>
          <w:lang w:eastAsia="en-GB"/>
        </w:rPr>
        <w:t xml:space="preserve"> The European Court performed an extensive survey of comparative law and found that for the first time a ‘thin majority’ of </w:t>
      </w:r>
      <w:r>
        <w:rPr>
          <w:rFonts w:ascii="Times New Roman" w:eastAsia="Times New Roman" w:hAnsi="Times New Roman" w:cs="Times New Roman"/>
          <w:sz w:val="24"/>
          <w:szCs w:val="24"/>
          <w:lang w:eastAsia="en-GB"/>
        </w:rPr>
        <w:lastRenderedPageBreak/>
        <w:t>states recognised a right to some level of civil partnership.</w:t>
      </w:r>
      <w:r w:rsidR="00017C91">
        <w:rPr>
          <w:rStyle w:val="FootnoteReference"/>
          <w:rFonts w:ascii="Times New Roman" w:eastAsia="Times New Roman" w:hAnsi="Times New Roman" w:cs="Times New Roman"/>
          <w:sz w:val="24"/>
          <w:szCs w:val="24"/>
          <w:lang w:eastAsia="en-GB"/>
        </w:rPr>
        <w:footnoteReference w:id="110"/>
      </w:r>
      <w:r>
        <w:rPr>
          <w:rFonts w:ascii="Times New Roman" w:eastAsia="Times New Roman" w:hAnsi="Times New Roman" w:cs="Times New Roman"/>
          <w:sz w:val="24"/>
          <w:szCs w:val="24"/>
          <w:lang w:eastAsia="en-GB"/>
        </w:rPr>
        <w:t xml:space="preserve"> This was an important reason for the European Court’s decision that Article 8 had been breached. Yet in other cases the European Court has taken no regard of consensus. In the recent case of </w:t>
      </w:r>
      <w:r w:rsidRPr="00191418">
        <w:rPr>
          <w:rFonts w:ascii="Times New Roman" w:eastAsia="Times New Roman" w:hAnsi="Times New Roman" w:cs="Times New Roman"/>
          <w:i/>
          <w:sz w:val="24"/>
          <w:szCs w:val="24"/>
          <w:lang w:eastAsia="en-GB"/>
        </w:rPr>
        <w:t>Ratzenbock and Seydl v Austria</w:t>
      </w:r>
      <w:r>
        <w:rPr>
          <w:rFonts w:ascii="Times New Roman" w:eastAsia="Times New Roman" w:hAnsi="Times New Roman" w:cs="Times New Roman"/>
          <w:sz w:val="24"/>
          <w:szCs w:val="24"/>
          <w:lang w:eastAsia="en-GB"/>
        </w:rPr>
        <w:t>,</w:t>
      </w:r>
      <w:r w:rsidR="00191418">
        <w:rPr>
          <w:rStyle w:val="FootnoteReference"/>
          <w:rFonts w:ascii="Times New Roman" w:eastAsia="Times New Roman" w:hAnsi="Times New Roman" w:cs="Times New Roman"/>
          <w:sz w:val="24"/>
          <w:szCs w:val="24"/>
          <w:lang w:eastAsia="en-GB"/>
        </w:rPr>
        <w:footnoteReference w:id="111"/>
      </w:r>
      <w:r>
        <w:rPr>
          <w:rFonts w:ascii="Times New Roman" w:eastAsia="Times New Roman" w:hAnsi="Times New Roman" w:cs="Times New Roman"/>
          <w:sz w:val="24"/>
          <w:szCs w:val="24"/>
          <w:lang w:eastAsia="en-GB"/>
        </w:rPr>
        <w:t xml:space="preserve"> </w:t>
      </w:r>
      <w:r w:rsidR="00151100">
        <w:rPr>
          <w:rFonts w:ascii="Times New Roman" w:eastAsia="Times New Roman" w:hAnsi="Times New Roman" w:cs="Times New Roman"/>
          <w:sz w:val="24"/>
          <w:szCs w:val="24"/>
          <w:lang w:eastAsia="en-GB"/>
        </w:rPr>
        <w:t>which concerned an opposite sex couple wishing to enter into a civil partnership, on the grounds that this was a lighter form of recognition, the European Court did not consider consensus at all. Instead they majority of the European Court considered that different-sex couples were not in a comparable situation to that of same-sex couple. This was because the ‘institutions of marriage and …. registered partnership [were] essentially complementary in Austrian law.’</w:t>
      </w:r>
      <w:r w:rsidR="001B7988">
        <w:rPr>
          <w:rStyle w:val="FootnoteReference"/>
          <w:rFonts w:ascii="Times New Roman" w:eastAsia="Times New Roman" w:hAnsi="Times New Roman" w:cs="Times New Roman"/>
          <w:sz w:val="24"/>
          <w:szCs w:val="24"/>
          <w:lang w:eastAsia="en-GB"/>
        </w:rPr>
        <w:footnoteReference w:id="112"/>
      </w:r>
      <w:r w:rsidR="00151100">
        <w:rPr>
          <w:rFonts w:ascii="Times New Roman" w:eastAsia="Times New Roman" w:hAnsi="Times New Roman" w:cs="Times New Roman"/>
          <w:sz w:val="24"/>
          <w:szCs w:val="24"/>
          <w:lang w:eastAsia="en-GB"/>
        </w:rPr>
        <w:t xml:space="preserve"> As no comparator was found</w:t>
      </w:r>
      <w:r w:rsidR="001B7988">
        <w:rPr>
          <w:rFonts w:ascii="Times New Roman" w:eastAsia="Times New Roman" w:hAnsi="Times New Roman" w:cs="Times New Roman"/>
          <w:sz w:val="24"/>
          <w:szCs w:val="24"/>
          <w:lang w:eastAsia="en-GB"/>
        </w:rPr>
        <w:t xml:space="preserve"> the European Court did not go on to ‘..</w:t>
      </w:r>
      <w:r w:rsidR="00151100">
        <w:rPr>
          <w:rFonts w:ascii="Times New Roman" w:eastAsia="Times New Roman" w:hAnsi="Times New Roman" w:cs="Times New Roman"/>
          <w:sz w:val="24"/>
          <w:szCs w:val="24"/>
          <w:lang w:eastAsia="en-GB"/>
        </w:rPr>
        <w:t>asses</w:t>
      </w:r>
      <w:r w:rsidR="00515C13">
        <w:rPr>
          <w:rFonts w:ascii="Times New Roman" w:eastAsia="Times New Roman" w:hAnsi="Times New Roman" w:cs="Times New Roman"/>
          <w:sz w:val="24"/>
          <w:szCs w:val="24"/>
          <w:lang w:eastAsia="en-GB"/>
        </w:rPr>
        <w:t>s</w:t>
      </w:r>
      <w:r w:rsidR="00151100">
        <w:rPr>
          <w:rFonts w:ascii="Times New Roman" w:eastAsia="Times New Roman" w:hAnsi="Times New Roman" w:cs="Times New Roman"/>
          <w:sz w:val="24"/>
          <w:szCs w:val="24"/>
          <w:lang w:eastAsia="en-GB"/>
        </w:rPr>
        <w:t xml:space="preserve"> the difference of treatment or the justification for the difference.’</w:t>
      </w:r>
      <w:r w:rsidR="001B7988">
        <w:rPr>
          <w:rStyle w:val="FootnoteReference"/>
          <w:rFonts w:ascii="Times New Roman" w:eastAsia="Times New Roman" w:hAnsi="Times New Roman" w:cs="Times New Roman"/>
          <w:sz w:val="24"/>
          <w:szCs w:val="24"/>
          <w:lang w:eastAsia="en-GB"/>
        </w:rPr>
        <w:footnoteReference w:id="113"/>
      </w:r>
      <w:r w:rsidR="00151100">
        <w:rPr>
          <w:rFonts w:ascii="Times New Roman" w:eastAsia="Times New Roman" w:hAnsi="Times New Roman" w:cs="Times New Roman"/>
          <w:sz w:val="24"/>
          <w:szCs w:val="24"/>
          <w:lang w:eastAsia="en-GB"/>
        </w:rPr>
        <w:t xml:space="preserve"> This seems at odds with previous decisions made in </w:t>
      </w:r>
      <w:r w:rsidR="00151100" w:rsidRPr="00515C13">
        <w:rPr>
          <w:rFonts w:ascii="Times New Roman" w:eastAsia="Times New Roman" w:hAnsi="Times New Roman" w:cs="Times New Roman"/>
          <w:i/>
          <w:sz w:val="24"/>
          <w:szCs w:val="24"/>
          <w:lang w:eastAsia="en-GB"/>
        </w:rPr>
        <w:t>Schalk</w:t>
      </w:r>
      <w:r w:rsidR="00151100">
        <w:rPr>
          <w:rFonts w:ascii="Times New Roman" w:eastAsia="Times New Roman" w:hAnsi="Times New Roman" w:cs="Times New Roman"/>
          <w:sz w:val="24"/>
          <w:szCs w:val="24"/>
          <w:lang w:eastAsia="en-GB"/>
        </w:rPr>
        <w:t xml:space="preserve"> </w:t>
      </w:r>
      <w:r w:rsidR="00191418" w:rsidRPr="00191418">
        <w:rPr>
          <w:rFonts w:ascii="Times New Roman" w:eastAsia="Times New Roman" w:hAnsi="Times New Roman" w:cs="Times New Roman"/>
          <w:i/>
          <w:sz w:val="24"/>
          <w:szCs w:val="24"/>
          <w:lang w:eastAsia="en-GB"/>
        </w:rPr>
        <w:t>and Kopf v Austria</w:t>
      </w:r>
      <w:r w:rsidR="00191418">
        <w:rPr>
          <w:rFonts w:ascii="Times New Roman" w:eastAsia="Times New Roman" w:hAnsi="Times New Roman" w:cs="Times New Roman"/>
          <w:sz w:val="24"/>
          <w:szCs w:val="24"/>
          <w:lang w:eastAsia="en-GB"/>
        </w:rPr>
        <w:t xml:space="preserve"> </w:t>
      </w:r>
      <w:r w:rsidR="00151100">
        <w:rPr>
          <w:rFonts w:ascii="Times New Roman" w:eastAsia="Times New Roman" w:hAnsi="Times New Roman" w:cs="Times New Roman"/>
          <w:sz w:val="24"/>
          <w:szCs w:val="24"/>
          <w:lang w:eastAsia="en-GB"/>
        </w:rPr>
        <w:t xml:space="preserve">and </w:t>
      </w:r>
      <w:r w:rsidR="00151100" w:rsidRPr="00515C13">
        <w:rPr>
          <w:rFonts w:ascii="Times New Roman" w:eastAsia="Times New Roman" w:hAnsi="Times New Roman" w:cs="Times New Roman"/>
          <w:i/>
          <w:sz w:val="24"/>
          <w:szCs w:val="24"/>
          <w:lang w:eastAsia="en-GB"/>
        </w:rPr>
        <w:t>Vallianatos</w:t>
      </w:r>
      <w:r w:rsidR="00151100">
        <w:rPr>
          <w:rFonts w:ascii="Times New Roman" w:eastAsia="Times New Roman" w:hAnsi="Times New Roman" w:cs="Times New Roman"/>
          <w:sz w:val="24"/>
          <w:szCs w:val="24"/>
          <w:lang w:eastAsia="en-GB"/>
        </w:rPr>
        <w:t xml:space="preserve"> </w:t>
      </w:r>
      <w:r w:rsidR="00191418" w:rsidRPr="00191418">
        <w:rPr>
          <w:rFonts w:ascii="Times New Roman" w:eastAsia="Times New Roman" w:hAnsi="Times New Roman" w:cs="Times New Roman"/>
          <w:i/>
          <w:sz w:val="24"/>
          <w:szCs w:val="24"/>
          <w:lang w:eastAsia="en-GB"/>
        </w:rPr>
        <w:t>v Greece</w:t>
      </w:r>
      <w:r w:rsidR="00191418">
        <w:rPr>
          <w:rFonts w:ascii="Times New Roman" w:eastAsia="Times New Roman" w:hAnsi="Times New Roman" w:cs="Times New Roman"/>
          <w:sz w:val="24"/>
          <w:szCs w:val="24"/>
          <w:lang w:eastAsia="en-GB"/>
        </w:rPr>
        <w:t xml:space="preserve"> </w:t>
      </w:r>
      <w:r w:rsidR="00151100">
        <w:rPr>
          <w:rFonts w:ascii="Times New Roman" w:eastAsia="Times New Roman" w:hAnsi="Times New Roman" w:cs="Times New Roman"/>
          <w:sz w:val="24"/>
          <w:szCs w:val="24"/>
          <w:lang w:eastAsia="en-GB"/>
        </w:rPr>
        <w:t>where</w:t>
      </w:r>
      <w:r w:rsidR="001B7988">
        <w:rPr>
          <w:rFonts w:ascii="Times New Roman" w:eastAsia="Times New Roman" w:hAnsi="Times New Roman" w:cs="Times New Roman"/>
          <w:sz w:val="24"/>
          <w:szCs w:val="24"/>
          <w:lang w:eastAsia="en-GB"/>
        </w:rPr>
        <w:t xml:space="preserve"> a comparison was made between same and different sex couples and their access to legal statuses.</w:t>
      </w:r>
      <w:r w:rsidR="00191418">
        <w:rPr>
          <w:rStyle w:val="FootnoteReference"/>
          <w:rFonts w:ascii="Times New Roman" w:eastAsia="Times New Roman" w:hAnsi="Times New Roman" w:cs="Times New Roman"/>
          <w:sz w:val="24"/>
          <w:szCs w:val="24"/>
          <w:lang w:eastAsia="en-GB"/>
        </w:rPr>
        <w:footnoteReference w:id="114"/>
      </w:r>
      <w:r w:rsidR="001B7988">
        <w:rPr>
          <w:rFonts w:ascii="Times New Roman" w:eastAsia="Times New Roman" w:hAnsi="Times New Roman" w:cs="Times New Roman"/>
          <w:sz w:val="24"/>
          <w:szCs w:val="24"/>
          <w:lang w:eastAsia="en-GB"/>
        </w:rPr>
        <w:t xml:space="preserve"> </w:t>
      </w:r>
      <w:r w:rsidR="00151100">
        <w:rPr>
          <w:rFonts w:ascii="Times New Roman" w:eastAsia="Times New Roman" w:hAnsi="Times New Roman" w:cs="Times New Roman"/>
          <w:sz w:val="24"/>
          <w:szCs w:val="24"/>
          <w:lang w:eastAsia="en-GB"/>
        </w:rPr>
        <w:t xml:space="preserve">It also meant that the European Court never considered a consensus analysis at all, despite this being seen as decisive in </w:t>
      </w:r>
      <w:r w:rsidR="00151100" w:rsidRPr="00191418">
        <w:rPr>
          <w:rFonts w:ascii="Times New Roman" w:eastAsia="Times New Roman" w:hAnsi="Times New Roman" w:cs="Times New Roman"/>
          <w:i/>
          <w:sz w:val="24"/>
          <w:szCs w:val="24"/>
          <w:lang w:eastAsia="en-GB"/>
        </w:rPr>
        <w:t>Oliari</w:t>
      </w:r>
      <w:bookmarkStart w:id="0" w:name="_GoBack"/>
      <w:bookmarkEnd w:id="0"/>
      <w:r w:rsidR="00191418" w:rsidRPr="00191418">
        <w:rPr>
          <w:rFonts w:ascii="Times New Roman" w:eastAsia="Times New Roman" w:hAnsi="Times New Roman" w:cs="Times New Roman"/>
          <w:i/>
          <w:sz w:val="24"/>
          <w:szCs w:val="24"/>
          <w:lang w:eastAsia="en-GB"/>
        </w:rPr>
        <w:t xml:space="preserve"> v Italy</w:t>
      </w:r>
      <w:r w:rsidR="00151100">
        <w:rPr>
          <w:rFonts w:ascii="Times New Roman" w:eastAsia="Times New Roman" w:hAnsi="Times New Roman" w:cs="Times New Roman"/>
          <w:sz w:val="24"/>
          <w:szCs w:val="24"/>
          <w:lang w:eastAsia="en-GB"/>
        </w:rPr>
        <w:t>.</w:t>
      </w:r>
      <w:r w:rsidR="00191418">
        <w:rPr>
          <w:rStyle w:val="FootnoteReference"/>
          <w:rFonts w:ascii="Times New Roman" w:eastAsia="Times New Roman" w:hAnsi="Times New Roman" w:cs="Times New Roman"/>
          <w:sz w:val="24"/>
          <w:szCs w:val="24"/>
          <w:lang w:eastAsia="en-GB"/>
        </w:rPr>
        <w:footnoteReference w:id="115"/>
      </w:r>
      <w:r w:rsidR="00151100">
        <w:rPr>
          <w:rFonts w:ascii="Times New Roman" w:eastAsia="Times New Roman" w:hAnsi="Times New Roman" w:cs="Times New Roman"/>
          <w:sz w:val="24"/>
          <w:szCs w:val="24"/>
          <w:lang w:eastAsia="en-GB"/>
        </w:rPr>
        <w:t xml:space="preserve"> </w:t>
      </w:r>
      <w:r w:rsidR="00515C13">
        <w:rPr>
          <w:rFonts w:ascii="Times New Roman" w:eastAsia="Times New Roman" w:hAnsi="Times New Roman" w:cs="Times New Roman"/>
          <w:sz w:val="24"/>
          <w:szCs w:val="24"/>
          <w:lang w:eastAsia="en-GB"/>
        </w:rPr>
        <w:t xml:space="preserve">Interestingly </w:t>
      </w:r>
      <w:r w:rsidR="00017C91">
        <w:rPr>
          <w:rFonts w:ascii="Times New Roman" w:eastAsia="Times New Roman" w:hAnsi="Times New Roman" w:cs="Times New Roman"/>
          <w:sz w:val="24"/>
          <w:szCs w:val="24"/>
          <w:lang w:eastAsia="en-GB"/>
        </w:rPr>
        <w:t>Fenwick and Hayward</w:t>
      </w:r>
      <w:r w:rsidR="00515C13">
        <w:rPr>
          <w:rFonts w:ascii="Times New Roman" w:eastAsia="Times New Roman" w:hAnsi="Times New Roman" w:cs="Times New Roman"/>
          <w:sz w:val="24"/>
          <w:szCs w:val="24"/>
          <w:lang w:eastAsia="en-GB"/>
        </w:rPr>
        <w:t xml:space="preserve"> argue that a consensus could be found in this area but depending on how the question is framed.</w:t>
      </w:r>
      <w:r w:rsidR="001B7988">
        <w:rPr>
          <w:rStyle w:val="FootnoteReference"/>
          <w:rFonts w:ascii="Times New Roman" w:eastAsia="Times New Roman" w:hAnsi="Times New Roman" w:cs="Times New Roman"/>
          <w:sz w:val="24"/>
          <w:szCs w:val="24"/>
          <w:lang w:eastAsia="en-GB"/>
        </w:rPr>
        <w:footnoteReference w:id="116"/>
      </w:r>
      <w:r w:rsidR="00515C13">
        <w:rPr>
          <w:rFonts w:ascii="Times New Roman" w:eastAsia="Times New Roman" w:hAnsi="Times New Roman" w:cs="Times New Roman"/>
          <w:sz w:val="24"/>
          <w:szCs w:val="24"/>
          <w:lang w:eastAsia="en-GB"/>
        </w:rPr>
        <w:t xml:space="preserve"> If the </w:t>
      </w:r>
      <w:r w:rsidR="001B7988">
        <w:rPr>
          <w:rFonts w:ascii="Times New Roman" w:eastAsia="Times New Roman" w:hAnsi="Times New Roman" w:cs="Times New Roman"/>
          <w:sz w:val="24"/>
          <w:szCs w:val="24"/>
          <w:lang w:eastAsia="en-GB"/>
        </w:rPr>
        <w:t>European</w:t>
      </w:r>
      <w:r w:rsidR="00515C13">
        <w:rPr>
          <w:rFonts w:ascii="Times New Roman" w:eastAsia="Times New Roman" w:hAnsi="Times New Roman" w:cs="Times New Roman"/>
          <w:sz w:val="24"/>
          <w:szCs w:val="24"/>
          <w:lang w:eastAsia="en-GB"/>
        </w:rPr>
        <w:t xml:space="preserve"> Court had asked if following the introduction of same-sex partnerships, the majority of </w:t>
      </w:r>
      <w:r w:rsidR="00191418">
        <w:rPr>
          <w:rFonts w:ascii="Times New Roman" w:eastAsia="Times New Roman" w:hAnsi="Times New Roman" w:cs="Times New Roman"/>
          <w:sz w:val="24"/>
          <w:szCs w:val="24"/>
          <w:lang w:eastAsia="en-GB"/>
        </w:rPr>
        <w:t>Member S</w:t>
      </w:r>
      <w:r w:rsidR="00515C13">
        <w:rPr>
          <w:rFonts w:ascii="Times New Roman" w:eastAsia="Times New Roman" w:hAnsi="Times New Roman" w:cs="Times New Roman"/>
          <w:sz w:val="24"/>
          <w:szCs w:val="24"/>
          <w:lang w:eastAsia="en-GB"/>
        </w:rPr>
        <w:t xml:space="preserve">tates had confined them to same-sex partners the answer would have been in the affirmative. However, if the European  Court had asked instead whether </w:t>
      </w:r>
      <w:r w:rsidR="00515C13">
        <w:rPr>
          <w:rFonts w:ascii="Times New Roman" w:eastAsia="Times New Roman" w:hAnsi="Times New Roman" w:cs="Times New Roman"/>
          <w:sz w:val="24"/>
          <w:szCs w:val="24"/>
          <w:lang w:eastAsia="en-GB"/>
        </w:rPr>
        <w:lastRenderedPageBreak/>
        <w:t xml:space="preserve">the majority of states following introduction of same-sex partners had ‘maintained asymmetry of access’ the answer would have been in the negative, as most </w:t>
      </w:r>
      <w:r w:rsidR="00191418">
        <w:rPr>
          <w:rFonts w:ascii="Times New Roman" w:eastAsia="Times New Roman" w:hAnsi="Times New Roman" w:cs="Times New Roman"/>
          <w:sz w:val="24"/>
          <w:szCs w:val="24"/>
          <w:lang w:eastAsia="en-GB"/>
        </w:rPr>
        <w:t>Member States</w:t>
      </w:r>
      <w:r w:rsidR="00515C13">
        <w:rPr>
          <w:rFonts w:ascii="Times New Roman" w:eastAsia="Times New Roman" w:hAnsi="Times New Roman" w:cs="Times New Roman"/>
          <w:sz w:val="24"/>
          <w:szCs w:val="24"/>
          <w:lang w:eastAsia="en-GB"/>
        </w:rPr>
        <w:t xml:space="preserve"> following the introduction of registered partnerships, had gone on to introduce same-sex marriage.</w:t>
      </w:r>
      <w:r w:rsidR="00515C13">
        <w:rPr>
          <w:rStyle w:val="FootnoteReference"/>
          <w:rFonts w:ascii="Times New Roman" w:eastAsia="Times New Roman" w:hAnsi="Times New Roman" w:cs="Times New Roman"/>
          <w:sz w:val="24"/>
          <w:szCs w:val="24"/>
          <w:lang w:eastAsia="en-GB"/>
        </w:rPr>
        <w:footnoteReference w:id="117"/>
      </w:r>
      <w:r w:rsidR="00515C13">
        <w:rPr>
          <w:rFonts w:ascii="Times New Roman" w:eastAsia="Times New Roman" w:hAnsi="Times New Roman" w:cs="Times New Roman"/>
          <w:sz w:val="24"/>
          <w:szCs w:val="24"/>
          <w:lang w:eastAsia="en-GB"/>
        </w:rPr>
        <w:t xml:space="preserve"> Austria </w:t>
      </w:r>
      <w:r w:rsidR="001B7988">
        <w:rPr>
          <w:rFonts w:ascii="Times New Roman" w:eastAsia="Times New Roman" w:hAnsi="Times New Roman" w:cs="Times New Roman"/>
          <w:sz w:val="24"/>
          <w:szCs w:val="24"/>
          <w:lang w:eastAsia="en-GB"/>
        </w:rPr>
        <w:t xml:space="preserve">is </w:t>
      </w:r>
      <w:r w:rsidR="00515C13">
        <w:rPr>
          <w:rFonts w:ascii="Times New Roman" w:eastAsia="Times New Roman" w:hAnsi="Times New Roman" w:cs="Times New Roman"/>
          <w:sz w:val="24"/>
          <w:szCs w:val="24"/>
          <w:lang w:eastAsia="en-GB"/>
        </w:rPr>
        <w:t>one of the few countries to have maintained registered partnerships for same-sex couples and marriage for opposite sex couples. This further serves to highlight the confusing treatment of consensu</w:t>
      </w:r>
      <w:r w:rsidR="008955EA">
        <w:rPr>
          <w:rFonts w:ascii="Times New Roman" w:eastAsia="Times New Roman" w:hAnsi="Times New Roman" w:cs="Times New Roman"/>
          <w:sz w:val="24"/>
          <w:szCs w:val="24"/>
          <w:lang w:eastAsia="en-GB"/>
        </w:rPr>
        <w:t>s by the European Court.</w:t>
      </w:r>
    </w:p>
    <w:p w:rsidR="009C78B8" w:rsidRPr="009C78B8" w:rsidRDefault="009C78B8" w:rsidP="009C78B8">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9C78B8">
        <w:rPr>
          <w:rFonts w:ascii="Times New Roman" w:eastAsia="Times New Roman" w:hAnsi="Times New Roman" w:cs="Times New Roman"/>
          <w:sz w:val="24"/>
          <w:szCs w:val="24"/>
          <w:lang w:eastAsia="en-GB"/>
        </w:rPr>
        <w:t>In a similar manner to the transformation of the legal treatment of ga</w:t>
      </w:r>
      <w:r w:rsidR="001B7988">
        <w:rPr>
          <w:rFonts w:ascii="Times New Roman" w:eastAsia="Times New Roman" w:hAnsi="Times New Roman" w:cs="Times New Roman"/>
          <w:sz w:val="24"/>
          <w:szCs w:val="24"/>
          <w:lang w:eastAsia="en-GB"/>
        </w:rPr>
        <w:t>y people</w:t>
      </w:r>
      <w:r w:rsidRPr="009C78B8">
        <w:rPr>
          <w:rFonts w:ascii="Times New Roman" w:eastAsia="Times New Roman" w:hAnsi="Times New Roman" w:cs="Times New Roman"/>
          <w:sz w:val="24"/>
          <w:szCs w:val="24"/>
          <w:lang w:eastAsia="en-GB"/>
        </w:rPr>
        <w:t xml:space="preserve"> before the European Court, the treatment of trans gender persons by the European Court has also undergone a major change.</w:t>
      </w:r>
      <w:r w:rsidRPr="009C78B8">
        <w:rPr>
          <w:rFonts w:ascii="Times New Roman" w:eastAsia="Times New Roman" w:hAnsi="Times New Roman" w:cs="Times New Roman"/>
          <w:sz w:val="24"/>
          <w:szCs w:val="24"/>
          <w:vertAlign w:val="superscript"/>
          <w:lang w:eastAsia="en-GB"/>
        </w:rPr>
        <w:footnoteReference w:id="118"/>
      </w:r>
      <w:r w:rsidRPr="009C78B8">
        <w:rPr>
          <w:rFonts w:ascii="Times New Roman" w:eastAsia="Times New Roman" w:hAnsi="Times New Roman" w:cs="Times New Roman"/>
          <w:sz w:val="24"/>
          <w:szCs w:val="24"/>
          <w:lang w:eastAsia="en-GB"/>
        </w:rPr>
        <w:t xml:space="preserve"> Early case law resulted in a denial of trans persons’ rights and a wide MoA, due to a lack of consensus, was deemed necessary.</w:t>
      </w:r>
      <w:r w:rsidRPr="009C78B8">
        <w:rPr>
          <w:rFonts w:ascii="Times New Roman" w:eastAsia="Times New Roman" w:hAnsi="Times New Roman" w:cs="Times New Roman"/>
          <w:sz w:val="24"/>
          <w:szCs w:val="24"/>
          <w:vertAlign w:val="superscript"/>
          <w:lang w:eastAsia="en-GB"/>
        </w:rPr>
        <w:footnoteReference w:id="119"/>
      </w:r>
      <w:r w:rsidRPr="009C78B8">
        <w:rPr>
          <w:rFonts w:ascii="Times New Roman" w:eastAsia="Times New Roman" w:hAnsi="Times New Roman" w:cs="Times New Roman"/>
          <w:sz w:val="24"/>
          <w:szCs w:val="24"/>
          <w:lang w:eastAsia="en-GB"/>
        </w:rPr>
        <w:t xml:space="preserve"> Yet 16 years later </w:t>
      </w:r>
      <w:r w:rsidRPr="009C78B8">
        <w:rPr>
          <w:rFonts w:ascii="Times New Roman" w:eastAsia="Times New Roman" w:hAnsi="Times New Roman" w:cs="Times New Roman"/>
          <w:color w:val="000000"/>
          <w:sz w:val="24"/>
          <w:szCs w:val="24"/>
          <w:lang w:eastAsia="en-GB"/>
        </w:rPr>
        <w:t>trans persons’ rights were recognised, including the right to marry in their new sex.</w:t>
      </w:r>
      <w:r w:rsidRPr="009C78B8">
        <w:rPr>
          <w:rFonts w:ascii="Times New Roman" w:eastAsia="Times New Roman" w:hAnsi="Times New Roman" w:cs="Times New Roman"/>
          <w:color w:val="000000"/>
          <w:sz w:val="24"/>
          <w:szCs w:val="24"/>
          <w:vertAlign w:val="superscript"/>
          <w:lang w:eastAsia="en-GB"/>
        </w:rPr>
        <w:footnoteReference w:id="120"/>
      </w:r>
      <w:r w:rsidRPr="009C78B8">
        <w:rPr>
          <w:rFonts w:ascii="Times New Roman" w:eastAsia="Times New Roman" w:hAnsi="Times New Roman" w:cs="Times New Roman"/>
          <w:color w:val="000000"/>
          <w:sz w:val="24"/>
          <w:szCs w:val="24"/>
          <w:lang w:eastAsia="en-GB"/>
        </w:rPr>
        <w:t xml:space="preserve"> </w:t>
      </w:r>
      <w:r w:rsidRPr="009C78B8">
        <w:rPr>
          <w:rFonts w:ascii="Times New Roman" w:eastAsia="Calibri" w:hAnsi="Times New Roman" w:cs="Times New Roman"/>
          <w:sz w:val="24"/>
          <w:szCs w:val="24"/>
          <w:lang w:eastAsia="en-US"/>
        </w:rPr>
        <w:t xml:space="preserve">The European Court made a clear commitment to a ‘dynamic and evolutive approach’ in order to ‘render </w:t>
      </w:r>
      <w:r w:rsidRPr="009C78B8">
        <w:rPr>
          <w:rFonts w:ascii="Times New Roman" w:eastAsiaTheme="minorHAnsi" w:hAnsi="Times New Roman" w:cs="Times New Roman"/>
          <w:sz w:val="24"/>
          <w:szCs w:val="24"/>
          <w:lang w:eastAsia="en-US"/>
        </w:rPr>
        <w:t>[the European Convention’s] rights practical and effective, not theoretical and illusory.’</w:t>
      </w:r>
      <w:r w:rsidRPr="009C78B8">
        <w:rPr>
          <w:rFonts w:ascii="Times New Roman" w:eastAsiaTheme="minorHAnsi" w:hAnsi="Times New Roman" w:cs="Times New Roman"/>
          <w:sz w:val="24"/>
          <w:szCs w:val="24"/>
          <w:vertAlign w:val="superscript"/>
          <w:lang w:eastAsia="en-US"/>
        </w:rPr>
        <w:footnoteReference w:id="121"/>
      </w:r>
      <w:r w:rsidRPr="009C78B8">
        <w:rPr>
          <w:rFonts w:ascii="Times New Roman" w:eastAsiaTheme="minorHAnsi" w:hAnsi="Times New Roman" w:cs="Times New Roman"/>
          <w:sz w:val="24"/>
          <w:szCs w:val="24"/>
          <w:lang w:eastAsia="en-US"/>
        </w:rPr>
        <w:t xml:space="preserve"> </w:t>
      </w:r>
      <w:r w:rsidRPr="009C78B8">
        <w:rPr>
          <w:rFonts w:ascii="Times New Roman" w:eastAsia="Times New Roman" w:hAnsi="Times New Roman" w:cs="Times New Roman"/>
          <w:color w:val="000000"/>
          <w:sz w:val="24"/>
          <w:szCs w:val="24"/>
          <w:lang w:eastAsia="en-GB"/>
        </w:rPr>
        <w:t xml:space="preserve">However, when reviewing the case law before the European Court, no clear explanation was given as to how the European Court justified this change in approach. The first in the line of case law did not deem it appropriate to consider the domestic law in </w:t>
      </w:r>
      <w:r w:rsidRPr="009C78B8">
        <w:rPr>
          <w:rFonts w:ascii="Times New Roman" w:eastAsia="Times New Roman" w:hAnsi="Times New Roman" w:cs="Times New Roman"/>
          <w:sz w:val="24"/>
          <w:szCs w:val="24"/>
          <w:lang w:eastAsia="en-GB"/>
        </w:rPr>
        <w:t>Member States</w:t>
      </w:r>
      <w:r w:rsidRPr="009C78B8">
        <w:rPr>
          <w:rFonts w:ascii="Times New Roman" w:eastAsia="Times New Roman" w:hAnsi="Times New Roman" w:cs="Times New Roman"/>
          <w:sz w:val="24"/>
          <w:szCs w:val="24"/>
          <w:vertAlign w:val="superscript"/>
          <w:lang w:eastAsia="en-GB"/>
        </w:rPr>
        <w:footnoteReference w:id="122"/>
      </w:r>
      <w:r w:rsidRPr="009C78B8">
        <w:rPr>
          <w:rFonts w:ascii="Times New Roman" w:eastAsia="Times New Roman" w:hAnsi="Times New Roman" w:cs="Times New Roman"/>
          <w:sz w:val="24"/>
          <w:szCs w:val="24"/>
          <w:lang w:eastAsia="en-GB"/>
        </w:rPr>
        <w:t xml:space="preserve"> and merely stated that the matter be kept </w:t>
      </w:r>
      <w:r w:rsidRPr="009C78B8">
        <w:rPr>
          <w:rFonts w:ascii="Times New Roman" w:eastAsiaTheme="minorHAnsi" w:hAnsi="Times New Roman" w:cs="Times New Roman"/>
          <w:sz w:val="24"/>
          <w:szCs w:val="24"/>
          <w:lang w:eastAsia="en-US"/>
        </w:rPr>
        <w:t>‘under review’</w:t>
      </w:r>
      <w:r w:rsidRPr="009C78B8">
        <w:rPr>
          <w:rFonts w:ascii="Times New Roman" w:eastAsiaTheme="minorHAnsi" w:hAnsi="Times New Roman" w:cs="Times New Roman"/>
          <w:color w:val="000000"/>
          <w:sz w:val="24"/>
          <w:szCs w:val="24"/>
          <w:lang w:eastAsia="en-US"/>
        </w:rPr>
        <w:t>.</w:t>
      </w:r>
      <w:r w:rsidRPr="009C78B8">
        <w:rPr>
          <w:rFonts w:ascii="Times New Roman" w:eastAsiaTheme="minorHAnsi" w:hAnsi="Times New Roman" w:cs="Times New Roman"/>
          <w:color w:val="000000"/>
          <w:sz w:val="24"/>
          <w:szCs w:val="24"/>
          <w:vertAlign w:val="superscript"/>
          <w:lang w:eastAsia="en-US"/>
        </w:rPr>
        <w:footnoteReference w:id="123"/>
      </w:r>
      <w:r w:rsidRPr="009C78B8">
        <w:rPr>
          <w:rFonts w:ascii="Times New Roman" w:eastAsiaTheme="minorHAnsi" w:hAnsi="Times New Roman" w:cs="Times New Roman"/>
          <w:color w:val="000000"/>
          <w:sz w:val="24"/>
          <w:szCs w:val="24"/>
          <w:lang w:eastAsia="en-US"/>
        </w:rPr>
        <w:t xml:space="preserve"> </w:t>
      </w:r>
      <w:r w:rsidRPr="009C78B8">
        <w:rPr>
          <w:rFonts w:ascii="Times New Roman" w:eastAsia="Times New Roman" w:hAnsi="Times New Roman" w:cs="Times New Roman"/>
          <w:color w:val="000000"/>
          <w:sz w:val="24"/>
          <w:szCs w:val="24"/>
          <w:lang w:eastAsia="en-GB"/>
        </w:rPr>
        <w:t xml:space="preserve">Further case law did at least take note of international comparisons and established this as a valid methodology towards consensus </w:t>
      </w:r>
      <w:r w:rsidRPr="009C78B8">
        <w:rPr>
          <w:rFonts w:ascii="Times New Roman" w:eastAsia="Times New Roman" w:hAnsi="Times New Roman" w:cs="Times New Roman"/>
          <w:color w:val="000000"/>
          <w:sz w:val="24"/>
          <w:szCs w:val="24"/>
          <w:lang w:eastAsia="en-GB"/>
        </w:rPr>
        <w:lastRenderedPageBreak/>
        <w:t>building.</w:t>
      </w:r>
      <w:r w:rsidRPr="009C78B8">
        <w:rPr>
          <w:rFonts w:ascii="Times New Roman" w:eastAsia="Times New Roman" w:hAnsi="Times New Roman" w:cs="Times New Roman"/>
          <w:color w:val="000000"/>
          <w:sz w:val="24"/>
          <w:szCs w:val="24"/>
          <w:vertAlign w:val="superscript"/>
          <w:lang w:eastAsia="en-GB"/>
        </w:rPr>
        <w:footnoteReference w:id="124"/>
      </w:r>
      <w:r w:rsidRPr="009C78B8">
        <w:rPr>
          <w:rFonts w:ascii="Times New Roman" w:eastAsia="Times New Roman" w:hAnsi="Times New Roman" w:cs="Times New Roman"/>
          <w:color w:val="000000"/>
          <w:sz w:val="24"/>
          <w:szCs w:val="24"/>
          <w:lang w:eastAsia="en-GB"/>
        </w:rPr>
        <w:t xml:space="preserve"> Eventually, 16 years later, the European Court was swayed by an ‘emerging consensus’</w:t>
      </w:r>
      <w:r w:rsidRPr="009C78B8">
        <w:rPr>
          <w:rFonts w:ascii="Times New Roman" w:eastAsia="Calibri" w:hAnsi="Times New Roman" w:cs="Times New Roman"/>
          <w:color w:val="000000"/>
          <w:sz w:val="24"/>
          <w:szCs w:val="24"/>
          <w:vertAlign w:val="superscript"/>
          <w:lang w:eastAsia="en-US"/>
        </w:rPr>
        <w:footnoteReference w:id="125"/>
      </w:r>
      <w:r w:rsidRPr="009C78B8">
        <w:rPr>
          <w:rFonts w:ascii="Times New Roman" w:eastAsia="Times New Roman" w:hAnsi="Times New Roman" w:cs="Times New Roman"/>
          <w:color w:val="000000"/>
          <w:sz w:val="24"/>
          <w:szCs w:val="24"/>
          <w:lang w:eastAsia="en-GB"/>
        </w:rPr>
        <w:t xml:space="preserve"> and reference was also made to a ‘continuing international trend.’</w:t>
      </w:r>
      <w:r w:rsidRPr="009C78B8">
        <w:rPr>
          <w:rFonts w:ascii="Times New Roman" w:eastAsiaTheme="minorHAnsi" w:hAnsi="Times New Roman" w:cs="Times New Roman"/>
          <w:sz w:val="24"/>
          <w:szCs w:val="24"/>
          <w:vertAlign w:val="superscript"/>
          <w:lang w:eastAsia="en-US"/>
        </w:rPr>
        <w:footnoteReference w:id="126"/>
      </w:r>
      <w:r w:rsidRPr="009C78B8">
        <w:rPr>
          <w:rFonts w:ascii="Times New Roman" w:eastAsiaTheme="minorHAnsi" w:hAnsi="Times New Roman" w:cs="Times New Roman"/>
          <w:sz w:val="24"/>
          <w:szCs w:val="24"/>
          <w:lang w:eastAsia="en-US"/>
        </w:rPr>
        <w:t xml:space="preserve"> </w:t>
      </w:r>
      <w:r w:rsidRPr="009C78B8">
        <w:rPr>
          <w:rFonts w:ascii="Times New Roman" w:eastAsia="Times New Roman" w:hAnsi="Times New Roman" w:cs="Times New Roman"/>
          <w:color w:val="000000"/>
          <w:sz w:val="24"/>
          <w:szCs w:val="24"/>
          <w:lang w:eastAsia="en-GB"/>
        </w:rPr>
        <w:t xml:space="preserve">  The variety of terminology used leads to confusion.</w:t>
      </w:r>
      <w:r w:rsidRPr="009C78B8">
        <w:rPr>
          <w:rFonts w:ascii="Times New Roman" w:eastAsiaTheme="minorHAnsi" w:hAnsi="Times New Roman" w:cs="Times New Roman"/>
          <w:sz w:val="24"/>
          <w:szCs w:val="24"/>
          <w:vertAlign w:val="superscript"/>
          <w:lang w:eastAsia="en-US"/>
        </w:rPr>
        <w:footnoteReference w:id="127"/>
      </w:r>
      <w:r w:rsidRPr="009C78B8">
        <w:rPr>
          <w:rFonts w:ascii="Times New Roman" w:eastAsiaTheme="minorHAnsi" w:hAnsi="Times New Roman" w:cs="Times New Roman"/>
          <w:sz w:val="24"/>
          <w:szCs w:val="24"/>
          <w:lang w:eastAsia="en-US"/>
        </w:rPr>
        <w:t xml:space="preserve"> On the facts as well over the 16 year period examined there had been very little progress in the number of European countries recognising trans persons’ rights.</w:t>
      </w:r>
      <w:r w:rsidRPr="009C78B8">
        <w:rPr>
          <w:rFonts w:ascii="Times New Roman" w:eastAsiaTheme="minorHAnsi" w:hAnsi="Times New Roman" w:cs="Times New Roman"/>
          <w:sz w:val="24"/>
          <w:szCs w:val="24"/>
          <w:vertAlign w:val="superscript"/>
          <w:lang w:eastAsia="en-US"/>
        </w:rPr>
        <w:footnoteReference w:id="128"/>
      </w:r>
      <w:r w:rsidRPr="009C78B8">
        <w:rPr>
          <w:rFonts w:ascii="Times New Roman" w:eastAsiaTheme="minorHAnsi" w:hAnsi="Times New Roman" w:cs="Times New Roman"/>
          <w:sz w:val="24"/>
          <w:szCs w:val="24"/>
          <w:lang w:eastAsia="en-US"/>
        </w:rPr>
        <w:t xml:space="preserve"> To add to the confusion, the European Court also examined states outside of Europe, including Australia and New Zealand. Brauch concludes that there are no legal standards to be found in such decisions, arguing that the European Court was not ‘engaged in legal analysis, but in policy making.’</w:t>
      </w:r>
      <w:r w:rsidRPr="009C78B8">
        <w:rPr>
          <w:rFonts w:ascii="Times New Roman" w:eastAsiaTheme="minorHAnsi" w:hAnsi="Times New Roman" w:cs="Times New Roman"/>
          <w:sz w:val="24"/>
          <w:szCs w:val="24"/>
          <w:vertAlign w:val="superscript"/>
          <w:lang w:eastAsia="en-US"/>
        </w:rPr>
        <w:footnoteReference w:id="129"/>
      </w:r>
      <w:r w:rsidRPr="009C78B8">
        <w:rPr>
          <w:rFonts w:ascii="Times New Roman" w:eastAsiaTheme="minorHAnsi" w:hAnsi="Times New Roman" w:cs="Times New Roman"/>
          <w:sz w:val="24"/>
          <w:szCs w:val="24"/>
          <w:lang w:eastAsia="en-US"/>
        </w:rPr>
        <w:t xml:space="preserve">  </w:t>
      </w:r>
      <w:r w:rsidRPr="009C78B8">
        <w:rPr>
          <w:rFonts w:ascii="Times New Roman" w:eastAsia="Times New Roman" w:hAnsi="Times New Roman" w:cs="Times New Roman"/>
          <w:color w:val="000000"/>
          <w:sz w:val="24"/>
          <w:szCs w:val="24"/>
          <w:lang w:eastAsia="en-GB"/>
        </w:rPr>
        <w:t xml:space="preserve">It creates difficulties for those wishing to determine when a consensus will be determined to have been reached in relation to same-sex marriage. </w:t>
      </w:r>
      <w:r w:rsidRPr="009C78B8">
        <w:rPr>
          <w:rFonts w:ascii="Times New Roman" w:eastAsia="Times New Roman" w:hAnsi="Times New Roman" w:cs="Times New Roman"/>
          <w:sz w:val="24"/>
          <w:szCs w:val="24"/>
          <w:lang w:eastAsia="en-GB"/>
        </w:rPr>
        <w:t xml:space="preserve">This leads to a lack of clarity and predictability as to when the European Court will introduce same-sex marriage. </w:t>
      </w:r>
      <w:r w:rsidRPr="009C78B8">
        <w:rPr>
          <w:rFonts w:ascii="Times New Roman" w:eastAsia="Calibri" w:hAnsi="Times New Roman" w:cs="Times New Roman"/>
          <w:sz w:val="24"/>
          <w:szCs w:val="24"/>
          <w:lang w:eastAsia="en-US"/>
        </w:rPr>
        <w:t xml:space="preserve">The European Court frequently reverses previous cases. Reliance is made upon a consensus standard that is not thoroughly explained. </w:t>
      </w:r>
      <w:r w:rsidRPr="009C78B8">
        <w:rPr>
          <w:rFonts w:ascii="Times New Roman" w:eastAsia="Times New Roman" w:hAnsi="Times New Roman" w:cs="Times New Roman"/>
          <w:sz w:val="24"/>
          <w:szCs w:val="24"/>
          <w:lang w:eastAsia="en-GB"/>
        </w:rPr>
        <w:t xml:space="preserve">Change is needed here. If the European Court determines that a matter falls within the MoA due to a lack of consensus, as is the case for same-sex marriage, Member States should be able to predict when a sufficient consensus will be deemed to have been reached. </w:t>
      </w:r>
    </w:p>
    <w:p w:rsidR="009C78B8" w:rsidRPr="009C78B8" w:rsidRDefault="009C78B8" w:rsidP="009C78B8">
      <w:pPr>
        <w:autoSpaceDE w:val="0"/>
        <w:autoSpaceDN w:val="0"/>
        <w:adjustRightInd w:val="0"/>
        <w:spacing w:after="0" w:line="480" w:lineRule="auto"/>
        <w:jc w:val="both"/>
        <w:rPr>
          <w:rFonts w:ascii="Times New Roman" w:eastAsiaTheme="minorHAnsi" w:hAnsi="Times New Roman" w:cs="Times New Roman"/>
          <w:sz w:val="24"/>
          <w:szCs w:val="24"/>
          <w:lang w:eastAsia="en-US"/>
        </w:rPr>
      </w:pPr>
    </w:p>
    <w:p w:rsidR="009C78B8" w:rsidRPr="009C78B8" w:rsidRDefault="009C78B8" w:rsidP="009C78B8">
      <w:pPr>
        <w:numPr>
          <w:ilvl w:val="0"/>
          <w:numId w:val="1"/>
        </w:numPr>
        <w:spacing w:after="200" w:line="480" w:lineRule="auto"/>
        <w:contextualSpacing/>
        <w:jc w:val="center"/>
        <w:rPr>
          <w:rFonts w:ascii="Times New Roman" w:eastAsia="Times New Roman" w:hAnsi="Times New Roman" w:cs="Times New Roman"/>
          <w:sz w:val="24"/>
          <w:szCs w:val="24"/>
          <w:lang w:eastAsia="en-GB"/>
        </w:rPr>
      </w:pPr>
      <w:r w:rsidRPr="009C78B8">
        <w:rPr>
          <w:rFonts w:ascii="Times New Roman" w:eastAsia="Times New Roman" w:hAnsi="Times New Roman" w:cs="Times New Roman"/>
          <w:b/>
          <w:sz w:val="24"/>
          <w:szCs w:val="24"/>
          <w:lang w:eastAsia="en-GB"/>
        </w:rPr>
        <w:t>PROPOSED REFORM AND THE ADVANTAGES THIS WOULD BRING</w:t>
      </w:r>
    </w:p>
    <w:p w:rsidR="009C78B8" w:rsidRPr="009C78B8" w:rsidRDefault="009C78B8" w:rsidP="009C78B8">
      <w:pPr>
        <w:spacing w:after="200" w:line="480" w:lineRule="auto"/>
        <w:jc w:val="both"/>
        <w:rPr>
          <w:rFonts w:ascii="Times New Roman" w:eastAsia="Times New Roman" w:hAnsi="Times New Roman" w:cs="Times New Roman"/>
          <w:sz w:val="24"/>
          <w:szCs w:val="24"/>
          <w:lang w:eastAsia="en-GB"/>
        </w:rPr>
      </w:pPr>
      <w:r w:rsidRPr="009C78B8">
        <w:rPr>
          <w:rFonts w:ascii="Times New Roman" w:eastAsia="Times New Roman" w:hAnsi="Times New Roman" w:cs="Times New Roman"/>
          <w:sz w:val="24"/>
          <w:szCs w:val="24"/>
          <w:lang w:eastAsia="en-GB"/>
        </w:rPr>
        <w:t xml:space="preserve">This piece suggests that if the European Court continues to stress the need for consensus in future judgements regarding same-sex marriage, they should at least outline how many </w:t>
      </w:r>
      <w:r w:rsidRPr="009C78B8">
        <w:rPr>
          <w:rFonts w:ascii="Times New Roman" w:eastAsia="Times New Roman" w:hAnsi="Times New Roman" w:cs="Times New Roman"/>
          <w:sz w:val="24"/>
          <w:szCs w:val="24"/>
          <w:lang w:eastAsia="en-GB"/>
        </w:rPr>
        <w:lastRenderedPageBreak/>
        <w:t>domestic legislatures need to legislate in favour of same-sex marriage, before they will determine that a consensus will exist. This will increase the legitimacy of the European Court and also has major advantages of transparency, certainty and predictability. Legitimacy is a</w:t>
      </w:r>
      <w:r w:rsidRPr="009C78B8">
        <w:rPr>
          <w:rFonts w:ascii="Times New Roman" w:eastAsia="Times New Roman" w:hAnsi="Times New Roman" w:cs="Times New Roman"/>
          <w:i/>
          <w:sz w:val="24"/>
          <w:szCs w:val="24"/>
          <w:lang w:eastAsia="en-GB"/>
        </w:rPr>
        <w:t xml:space="preserve"> </w:t>
      </w:r>
      <w:r w:rsidRPr="009C78B8">
        <w:rPr>
          <w:rFonts w:ascii="Times New Roman" w:eastAsia="Times New Roman" w:hAnsi="Times New Roman" w:cs="Times New Roman"/>
          <w:sz w:val="24"/>
          <w:szCs w:val="24"/>
          <w:lang w:eastAsia="en-GB"/>
        </w:rPr>
        <w:t>particularly important at present with certain political factions threatening to leave the Council of Europe</w:t>
      </w:r>
      <w:r w:rsidRPr="009C78B8">
        <w:rPr>
          <w:rFonts w:ascii="Times New Roman" w:eastAsia="Times New Roman" w:hAnsi="Times New Roman" w:cs="Times New Roman"/>
          <w:i/>
          <w:sz w:val="24"/>
          <w:szCs w:val="24"/>
          <w:lang w:eastAsia="en-GB"/>
        </w:rPr>
        <w:t>.</w:t>
      </w:r>
      <w:r w:rsidRPr="009C78B8">
        <w:rPr>
          <w:rFonts w:ascii="Times New Roman" w:eastAsia="Times New Roman" w:hAnsi="Times New Roman" w:cs="Times New Roman"/>
          <w:sz w:val="24"/>
          <w:szCs w:val="24"/>
          <w:vertAlign w:val="superscript"/>
          <w:lang w:eastAsia="en-GB"/>
        </w:rPr>
        <w:footnoteReference w:id="130"/>
      </w:r>
      <w:r w:rsidRPr="009C78B8">
        <w:rPr>
          <w:rFonts w:ascii="Times New Roman" w:eastAsia="Times New Roman" w:hAnsi="Times New Roman" w:cs="Times New Roman"/>
          <w:i/>
          <w:sz w:val="24"/>
          <w:szCs w:val="24"/>
          <w:lang w:eastAsia="en-GB"/>
        </w:rPr>
        <w:t xml:space="preserve"> </w:t>
      </w:r>
      <w:r w:rsidRPr="009C78B8">
        <w:rPr>
          <w:rFonts w:ascii="Times New Roman" w:eastAsia="Times New Roman" w:hAnsi="Times New Roman" w:cs="Times New Roman"/>
          <w:sz w:val="24"/>
          <w:szCs w:val="24"/>
          <w:lang w:eastAsia="en-GB"/>
        </w:rPr>
        <w:t xml:space="preserve"> The ‘legitimacy of international law is usually attributed to the States’ [original] consent.</w:t>
      </w:r>
      <w:r w:rsidRPr="009C78B8">
        <w:rPr>
          <w:rFonts w:ascii="Times New Roman" w:eastAsia="Times New Roman" w:hAnsi="Times New Roman" w:cs="Times New Roman"/>
          <w:sz w:val="24"/>
          <w:szCs w:val="24"/>
          <w:vertAlign w:val="superscript"/>
          <w:lang w:eastAsia="en-GB"/>
        </w:rPr>
        <w:footnoteReference w:id="131"/>
      </w:r>
      <w:r w:rsidRPr="009C78B8">
        <w:rPr>
          <w:rFonts w:ascii="Times New Roman" w:eastAsia="Times New Roman" w:hAnsi="Times New Roman" w:cs="Times New Roman"/>
          <w:sz w:val="24"/>
          <w:szCs w:val="24"/>
          <w:lang w:eastAsia="en-GB"/>
        </w:rPr>
        <w:t xml:space="preserve">  This argument surely holds less weight 50 years after the originally signatures.</w:t>
      </w:r>
      <w:r w:rsidRPr="009C78B8">
        <w:rPr>
          <w:rFonts w:ascii="Times New Roman" w:eastAsia="Times New Roman" w:hAnsi="Times New Roman" w:cs="Times New Roman"/>
          <w:sz w:val="24"/>
          <w:szCs w:val="24"/>
          <w:vertAlign w:val="superscript"/>
          <w:lang w:eastAsia="en-GB"/>
        </w:rPr>
        <w:footnoteReference w:id="132"/>
      </w:r>
      <w:r w:rsidRPr="009C78B8">
        <w:rPr>
          <w:rFonts w:ascii="Times New Roman" w:eastAsia="Times New Roman" w:hAnsi="Times New Roman" w:cs="Times New Roman"/>
          <w:sz w:val="24"/>
          <w:szCs w:val="24"/>
          <w:lang w:eastAsia="en-GB"/>
        </w:rPr>
        <w:t xml:space="preserve"> A question mark can also be raised as to how true the original consent argument holds in the face of the fact of the extensive interpretative techniques used by the European Court. As demonstrated above, the case law concerning sexualities has evolved rapidly over the course of the last few years.</w:t>
      </w:r>
      <w:r w:rsidRPr="009C78B8">
        <w:rPr>
          <w:rFonts w:ascii="Times New Roman" w:eastAsia="Times New Roman" w:hAnsi="Times New Roman" w:cs="Times New Roman"/>
          <w:sz w:val="24"/>
          <w:szCs w:val="24"/>
          <w:vertAlign w:val="superscript"/>
          <w:lang w:eastAsia="en-GB"/>
        </w:rPr>
        <w:footnoteReference w:id="133"/>
      </w:r>
      <w:r w:rsidRPr="009C78B8">
        <w:rPr>
          <w:rFonts w:ascii="Times New Roman" w:eastAsia="Times New Roman" w:hAnsi="Times New Roman" w:cs="Times New Roman"/>
          <w:sz w:val="24"/>
          <w:szCs w:val="24"/>
          <w:lang w:eastAsia="en-GB"/>
        </w:rPr>
        <w:t xml:space="preserve"> A challenge is therefore faced in Central and European states (whose people largely have a more conservative approach to these matters)</w:t>
      </w:r>
      <w:r w:rsidRPr="009C78B8">
        <w:rPr>
          <w:rFonts w:ascii="Times New Roman" w:eastAsia="Times New Roman" w:hAnsi="Times New Roman" w:cs="Times New Roman"/>
          <w:sz w:val="24"/>
          <w:szCs w:val="24"/>
          <w:vertAlign w:val="superscript"/>
          <w:lang w:eastAsia="en-GB"/>
        </w:rPr>
        <w:footnoteReference w:id="134"/>
      </w:r>
      <w:r w:rsidRPr="009C78B8">
        <w:rPr>
          <w:rFonts w:ascii="Times New Roman" w:eastAsia="Times New Roman" w:hAnsi="Times New Roman" w:cs="Times New Roman"/>
          <w:sz w:val="24"/>
          <w:szCs w:val="24"/>
          <w:lang w:eastAsia="en-GB"/>
        </w:rPr>
        <w:t xml:space="preserve"> to ensure enforcement of any judgment in this area. </w:t>
      </w:r>
    </w:p>
    <w:p w:rsidR="009C78B8" w:rsidRPr="009C78B8" w:rsidRDefault="009C78B8" w:rsidP="009C78B8">
      <w:pPr>
        <w:spacing w:after="200" w:line="480" w:lineRule="auto"/>
        <w:jc w:val="both"/>
        <w:rPr>
          <w:rFonts w:ascii="Times New Roman" w:eastAsia="Times New Roman" w:hAnsi="Times New Roman" w:cs="Times New Roman"/>
          <w:sz w:val="24"/>
          <w:szCs w:val="24"/>
          <w:lang w:eastAsia="en-GB"/>
        </w:rPr>
      </w:pPr>
      <w:r w:rsidRPr="009C78B8">
        <w:rPr>
          <w:rFonts w:ascii="Times New Roman" w:eastAsia="Times New Roman" w:hAnsi="Times New Roman" w:cs="Times New Roman"/>
          <w:sz w:val="24"/>
          <w:szCs w:val="24"/>
          <w:lang w:eastAsia="en-GB"/>
        </w:rPr>
        <w:t>As Wintemute comments forcing minority views on the rest of the countries would ‘risk a political backlash, which could cause some governments [to] threaten to leave the convention system.’</w:t>
      </w:r>
      <w:r w:rsidRPr="009C78B8">
        <w:rPr>
          <w:rFonts w:ascii="Times New Roman" w:eastAsia="Times New Roman" w:hAnsi="Times New Roman" w:cs="Times New Roman"/>
          <w:sz w:val="24"/>
          <w:szCs w:val="24"/>
          <w:vertAlign w:val="superscript"/>
          <w:lang w:eastAsia="en-GB"/>
        </w:rPr>
        <w:footnoteReference w:id="135"/>
      </w:r>
      <w:r w:rsidR="00191418">
        <w:rPr>
          <w:rFonts w:ascii="Times New Roman" w:eastAsia="Times New Roman" w:hAnsi="Times New Roman" w:cs="Times New Roman"/>
          <w:sz w:val="24"/>
          <w:szCs w:val="24"/>
          <w:lang w:eastAsia="en-GB"/>
        </w:rPr>
        <w:t xml:space="preserve"> </w:t>
      </w:r>
      <w:r w:rsidRPr="009C78B8">
        <w:rPr>
          <w:rFonts w:ascii="Times New Roman" w:eastAsia="Times New Roman" w:hAnsi="Times New Roman" w:cs="Times New Roman"/>
          <w:sz w:val="24"/>
          <w:szCs w:val="24"/>
          <w:lang w:eastAsia="en-GB"/>
        </w:rPr>
        <w:t>The European Court also faces ‘a substantial structural handicap’</w:t>
      </w:r>
      <w:r w:rsidRPr="009C78B8">
        <w:rPr>
          <w:rFonts w:ascii="Times New Roman" w:eastAsia="Times New Roman" w:hAnsi="Times New Roman" w:cs="Times New Roman"/>
          <w:sz w:val="24"/>
          <w:szCs w:val="24"/>
          <w:vertAlign w:val="superscript"/>
          <w:lang w:eastAsia="en-GB"/>
        </w:rPr>
        <w:footnoteReference w:id="136"/>
      </w:r>
      <w:r w:rsidRPr="009C78B8">
        <w:rPr>
          <w:rFonts w:ascii="Times New Roman" w:eastAsia="Times New Roman" w:hAnsi="Times New Roman" w:cs="Times New Roman"/>
          <w:sz w:val="24"/>
          <w:szCs w:val="24"/>
          <w:lang w:eastAsia="en-GB"/>
        </w:rPr>
        <w:t xml:space="preserve"> in getting its decisions enforced, as this depends upon the actions of Member States.</w:t>
      </w:r>
      <w:r w:rsidRPr="009C78B8">
        <w:rPr>
          <w:rFonts w:ascii="Times New Roman" w:eastAsia="Times New Roman" w:hAnsi="Times New Roman" w:cs="Times New Roman"/>
          <w:sz w:val="24"/>
          <w:szCs w:val="24"/>
          <w:vertAlign w:val="superscript"/>
          <w:lang w:eastAsia="en-GB"/>
        </w:rPr>
        <w:footnoteReference w:id="137"/>
      </w:r>
      <w:r w:rsidRPr="009C78B8">
        <w:rPr>
          <w:rFonts w:ascii="Times New Roman" w:eastAsia="Times New Roman" w:hAnsi="Times New Roman" w:cs="Times New Roman"/>
          <w:sz w:val="24"/>
          <w:szCs w:val="24"/>
          <w:lang w:eastAsia="en-GB"/>
        </w:rPr>
        <w:t xml:space="preserve"> Were the European </w:t>
      </w:r>
      <w:r w:rsidRPr="009C78B8">
        <w:rPr>
          <w:rFonts w:ascii="Times New Roman" w:eastAsia="Times New Roman" w:hAnsi="Times New Roman" w:cs="Times New Roman"/>
          <w:sz w:val="24"/>
          <w:szCs w:val="24"/>
          <w:lang w:eastAsia="en-GB"/>
        </w:rPr>
        <w:lastRenderedPageBreak/>
        <w:t>Court to take a leading role, too far in advance of public opinion, this could lead to a lack of enforcement. Examples of Member States failing to enforce decisions of the European Court are easy to find.</w:t>
      </w:r>
      <w:r w:rsidRPr="009C78B8">
        <w:rPr>
          <w:rFonts w:ascii="Times New Roman" w:eastAsia="Times New Roman" w:hAnsi="Times New Roman" w:cs="Times New Roman"/>
          <w:sz w:val="24"/>
          <w:szCs w:val="24"/>
          <w:vertAlign w:val="superscript"/>
          <w:lang w:eastAsia="en-GB"/>
        </w:rPr>
        <w:footnoteReference w:id="138"/>
      </w:r>
      <w:r w:rsidRPr="009C78B8">
        <w:rPr>
          <w:rFonts w:ascii="Times New Roman" w:eastAsia="Times New Roman" w:hAnsi="Times New Roman" w:cs="Times New Roman"/>
          <w:sz w:val="24"/>
          <w:szCs w:val="24"/>
          <w:lang w:eastAsia="en-GB"/>
        </w:rPr>
        <w:t xml:space="preserve"> Consensus remains an important argument and is ‘a vital force in judicial policy that the European Court uses when it fears that going against consensus will render its rulings ineffectual.’</w:t>
      </w:r>
      <w:r w:rsidRPr="009C78B8">
        <w:rPr>
          <w:rFonts w:ascii="Times New Roman" w:eastAsia="Times New Roman" w:hAnsi="Times New Roman" w:cs="Times New Roman"/>
          <w:sz w:val="24"/>
          <w:szCs w:val="24"/>
          <w:vertAlign w:val="superscript"/>
          <w:lang w:eastAsia="en-GB"/>
        </w:rPr>
        <w:footnoteReference w:id="139"/>
      </w:r>
      <w:r w:rsidRPr="009C78B8">
        <w:rPr>
          <w:rFonts w:ascii="Times New Roman" w:eastAsia="Times New Roman" w:hAnsi="Times New Roman" w:cs="Times New Roman"/>
          <w:sz w:val="24"/>
          <w:szCs w:val="24"/>
          <w:lang w:eastAsia="en-GB"/>
        </w:rPr>
        <w:t xml:space="preserve"> Several judges in the European Court have also opined that they believe there is a link between consensus and enforcement and acceptance of </w:t>
      </w:r>
      <w:r w:rsidRPr="009C78B8">
        <w:rPr>
          <w:rFonts w:ascii="Times New Roman" w:eastAsia="Calibri" w:hAnsi="Times New Roman" w:cs="Times New Roman"/>
          <w:sz w:val="24"/>
          <w:szCs w:val="24"/>
          <w:lang w:eastAsia="en-US"/>
        </w:rPr>
        <w:t>judgements.</w:t>
      </w:r>
      <w:r w:rsidRPr="009C78B8">
        <w:rPr>
          <w:rFonts w:ascii="Times New Roman" w:eastAsia="Calibri" w:hAnsi="Times New Roman" w:cs="Times New Roman"/>
          <w:sz w:val="24"/>
          <w:szCs w:val="24"/>
          <w:vertAlign w:val="superscript"/>
          <w:lang w:eastAsia="en-US"/>
        </w:rPr>
        <w:footnoteReference w:id="140"/>
      </w:r>
      <w:r w:rsidRPr="009C78B8">
        <w:rPr>
          <w:rFonts w:ascii="Times New Roman" w:eastAsia="Calibri" w:hAnsi="Times New Roman" w:cs="Times New Roman"/>
          <w:sz w:val="24"/>
          <w:szCs w:val="24"/>
          <w:lang w:eastAsia="en-US"/>
        </w:rPr>
        <w:t xml:space="preserve"> </w:t>
      </w:r>
      <w:r w:rsidRPr="009C78B8">
        <w:rPr>
          <w:rFonts w:ascii="Times New Roman" w:eastAsia="Times New Roman" w:hAnsi="Times New Roman" w:cs="Times New Roman"/>
          <w:sz w:val="24"/>
          <w:szCs w:val="24"/>
          <w:lang w:eastAsia="en-GB"/>
        </w:rPr>
        <w:t xml:space="preserve">As an international court, the European Court is never going to have a democratic mandate. </w:t>
      </w:r>
      <w:r w:rsidRPr="009C78B8">
        <w:rPr>
          <w:rFonts w:ascii="Times New Roman" w:eastAsia="Calibri" w:hAnsi="Times New Roman" w:cs="Times New Roman"/>
          <w:sz w:val="24"/>
          <w:szCs w:val="24"/>
          <w:lang w:eastAsia="en-US"/>
        </w:rPr>
        <w:t xml:space="preserve">However, if consensus can be linked back to the democratic legislatures of Member States this will increase the legitimacy of the European Court’s role. The proposed reform also has the major advantages of increasing legitimacy, transparency, certainty and predictability. </w:t>
      </w:r>
      <w:r w:rsidRPr="009C78B8">
        <w:rPr>
          <w:rFonts w:ascii="Times New Roman" w:eastAsia="Times New Roman" w:hAnsi="Times New Roman" w:cs="Times New Roman"/>
          <w:sz w:val="24"/>
          <w:szCs w:val="24"/>
          <w:lang w:eastAsia="en-GB"/>
        </w:rPr>
        <w:t>The European Court would be operating within the rule of law and not trespassing into a political role.</w:t>
      </w:r>
    </w:p>
    <w:p w:rsidR="009C78B8" w:rsidRPr="009C78B8" w:rsidRDefault="009C78B8" w:rsidP="009C78B8">
      <w:pPr>
        <w:numPr>
          <w:ilvl w:val="0"/>
          <w:numId w:val="1"/>
        </w:numPr>
        <w:spacing w:after="200" w:line="480" w:lineRule="auto"/>
        <w:contextualSpacing/>
        <w:jc w:val="center"/>
        <w:rPr>
          <w:rFonts w:ascii="Times New Roman" w:eastAsiaTheme="minorHAnsi" w:hAnsi="Times New Roman" w:cs="Times New Roman"/>
          <w:b/>
          <w:sz w:val="24"/>
          <w:szCs w:val="24"/>
          <w:lang w:eastAsia="en-US"/>
        </w:rPr>
      </w:pPr>
      <w:r w:rsidRPr="009C78B8">
        <w:rPr>
          <w:rFonts w:ascii="Times New Roman" w:eastAsiaTheme="minorHAnsi" w:hAnsi="Times New Roman" w:cs="Times New Roman"/>
          <w:b/>
          <w:sz w:val="24"/>
          <w:szCs w:val="24"/>
          <w:lang w:eastAsia="en-US"/>
        </w:rPr>
        <w:t>CONCLUSION</w:t>
      </w:r>
    </w:p>
    <w:p w:rsidR="009C78B8" w:rsidRPr="009C78B8" w:rsidRDefault="009C78B8" w:rsidP="009C78B8">
      <w:pPr>
        <w:spacing w:after="200" w:line="480" w:lineRule="auto"/>
        <w:ind w:left="720"/>
        <w:contextualSpacing/>
        <w:rPr>
          <w:rFonts w:ascii="Times New Roman" w:eastAsiaTheme="minorHAnsi" w:hAnsi="Times New Roman" w:cs="Times New Roman"/>
          <w:b/>
          <w:sz w:val="24"/>
          <w:szCs w:val="24"/>
          <w:lang w:eastAsia="en-US"/>
        </w:rPr>
      </w:pPr>
    </w:p>
    <w:p w:rsidR="009C78B8" w:rsidRPr="009C78B8" w:rsidRDefault="009C78B8" w:rsidP="009C78B8">
      <w:pPr>
        <w:spacing w:line="480" w:lineRule="auto"/>
        <w:jc w:val="both"/>
        <w:rPr>
          <w:rFonts w:ascii="Times New Roman" w:eastAsiaTheme="minorHAnsi" w:hAnsi="Times New Roman" w:cs="Times New Roman"/>
          <w:sz w:val="24"/>
          <w:szCs w:val="24"/>
          <w:lang w:eastAsia="en-US"/>
        </w:rPr>
      </w:pPr>
      <w:r w:rsidRPr="009C78B8">
        <w:rPr>
          <w:rFonts w:ascii="Times New Roman" w:eastAsia="Times New Roman" w:hAnsi="Times New Roman" w:cs="Times New Roman"/>
          <w:sz w:val="24"/>
          <w:szCs w:val="24"/>
          <w:lang w:eastAsia="en-GB"/>
        </w:rPr>
        <w:t xml:space="preserve">In recent years there has been a transformation in the treatment of </w:t>
      </w:r>
      <w:r w:rsidR="001B7988">
        <w:rPr>
          <w:rFonts w:ascii="Times New Roman" w:eastAsia="Times New Roman" w:hAnsi="Times New Roman" w:cs="Times New Roman"/>
          <w:sz w:val="24"/>
          <w:szCs w:val="24"/>
          <w:lang w:eastAsia="en-GB"/>
        </w:rPr>
        <w:t xml:space="preserve">GLBT </w:t>
      </w:r>
      <w:r w:rsidRPr="009C78B8">
        <w:rPr>
          <w:rFonts w:ascii="Times New Roman" w:eastAsia="Times New Roman" w:hAnsi="Times New Roman" w:cs="Times New Roman"/>
          <w:sz w:val="24"/>
          <w:szCs w:val="24"/>
          <w:lang w:eastAsia="en-GB"/>
        </w:rPr>
        <w:t>rights. The European Court now requires Member States to offer some form of legal protection to same-sex couples Europe wide</w:t>
      </w:r>
      <w:r w:rsidR="008955EA">
        <w:rPr>
          <w:rFonts w:ascii="Times New Roman" w:eastAsia="Times New Roman" w:hAnsi="Times New Roman" w:cs="Times New Roman"/>
          <w:sz w:val="24"/>
          <w:szCs w:val="24"/>
          <w:lang w:eastAsia="en-GB"/>
        </w:rPr>
        <w:t xml:space="preserve"> (although this could be confined to countries where same-sex couples are accepted socially)</w:t>
      </w:r>
      <w:r w:rsidRPr="009C78B8">
        <w:rPr>
          <w:rFonts w:ascii="Times New Roman" w:eastAsia="Times New Roman" w:hAnsi="Times New Roman" w:cs="Times New Roman"/>
          <w:sz w:val="24"/>
          <w:szCs w:val="24"/>
          <w:lang w:eastAsia="en-GB"/>
        </w:rPr>
        <w:t>,</w:t>
      </w:r>
      <w:r w:rsidRPr="009C78B8">
        <w:rPr>
          <w:rFonts w:ascii="Times New Roman" w:eastAsia="Times New Roman" w:hAnsi="Times New Roman" w:cs="Times New Roman"/>
          <w:sz w:val="24"/>
          <w:szCs w:val="24"/>
          <w:vertAlign w:val="superscript"/>
          <w:lang w:eastAsia="en-GB"/>
        </w:rPr>
        <w:footnoteReference w:id="141"/>
      </w:r>
      <w:r w:rsidR="008955EA" w:rsidRPr="008955EA">
        <w:rPr>
          <w:rFonts w:ascii="Times New Roman" w:eastAsia="Times New Roman" w:hAnsi="Times New Roman" w:cs="Times New Roman"/>
          <w:sz w:val="24"/>
          <w:szCs w:val="24"/>
          <w:lang w:eastAsia="en-GB"/>
        </w:rPr>
        <w:t xml:space="preserve"> </w:t>
      </w:r>
      <w:r w:rsidRPr="009C78B8">
        <w:rPr>
          <w:rFonts w:ascii="Times New Roman" w:eastAsia="Times New Roman" w:hAnsi="Times New Roman" w:cs="Times New Roman"/>
          <w:sz w:val="24"/>
          <w:szCs w:val="24"/>
          <w:lang w:eastAsia="en-GB"/>
        </w:rPr>
        <w:t>but there continues to be no right to same-sex marriage.</w:t>
      </w:r>
      <w:r w:rsidRPr="009C78B8">
        <w:rPr>
          <w:rFonts w:ascii="Times New Roman" w:eastAsia="Times New Roman" w:hAnsi="Times New Roman" w:cs="Times New Roman"/>
          <w:sz w:val="24"/>
          <w:szCs w:val="24"/>
          <w:vertAlign w:val="superscript"/>
          <w:lang w:eastAsia="en-GB"/>
        </w:rPr>
        <w:footnoteReference w:id="142"/>
      </w:r>
      <w:r w:rsidRPr="009C78B8">
        <w:rPr>
          <w:rFonts w:ascii="Times New Roman" w:eastAsia="Times New Roman" w:hAnsi="Times New Roman" w:cs="Times New Roman"/>
          <w:sz w:val="24"/>
          <w:szCs w:val="24"/>
          <w:lang w:eastAsia="en-GB"/>
        </w:rPr>
        <w:t xml:space="preserve"> </w:t>
      </w:r>
      <w:r w:rsidRPr="009C78B8">
        <w:rPr>
          <w:rFonts w:ascii="Times New Roman" w:eastAsiaTheme="minorHAnsi" w:hAnsi="Times New Roman" w:cs="Times New Roman"/>
          <w:sz w:val="24"/>
          <w:szCs w:val="24"/>
          <w:lang w:eastAsia="en-US"/>
        </w:rPr>
        <w:t xml:space="preserve">This is because of the </w:t>
      </w:r>
      <w:r w:rsidRPr="009C78B8">
        <w:rPr>
          <w:rFonts w:ascii="Times New Roman" w:eastAsiaTheme="minorHAnsi" w:hAnsi="Times New Roman" w:cs="Times New Roman"/>
          <w:sz w:val="24"/>
          <w:szCs w:val="24"/>
          <w:lang w:eastAsia="en-US"/>
        </w:rPr>
        <w:lastRenderedPageBreak/>
        <w:t>lack of consensus among Member States on the issue.</w:t>
      </w:r>
      <w:r w:rsidRPr="009C78B8">
        <w:rPr>
          <w:rFonts w:ascii="Times New Roman" w:eastAsiaTheme="minorHAnsi" w:hAnsi="Times New Roman" w:cs="Times New Roman"/>
          <w:sz w:val="24"/>
          <w:szCs w:val="24"/>
          <w:vertAlign w:val="superscript"/>
          <w:lang w:eastAsia="en-US"/>
        </w:rPr>
        <w:footnoteReference w:id="143"/>
      </w:r>
      <w:r w:rsidRPr="009C78B8">
        <w:rPr>
          <w:rFonts w:ascii="Times New Roman" w:eastAsiaTheme="minorHAnsi" w:hAnsi="Times New Roman" w:cs="Times New Roman"/>
          <w:sz w:val="24"/>
          <w:szCs w:val="24"/>
          <w:lang w:eastAsia="en-US"/>
        </w:rPr>
        <w:t xml:space="preserve"> </w:t>
      </w:r>
      <w:r w:rsidRPr="009C78B8">
        <w:rPr>
          <w:rFonts w:ascii="Times New Roman" w:eastAsia="Times New Roman" w:hAnsi="Times New Roman" w:cs="Times New Roman"/>
          <w:sz w:val="24"/>
          <w:szCs w:val="24"/>
          <w:lang w:eastAsia="en-GB"/>
        </w:rPr>
        <w:t>There remains a divide between the largely liberal Western states and the more conservative states of Central and Eastern Europe.</w:t>
      </w:r>
      <w:r w:rsidRPr="009C78B8">
        <w:rPr>
          <w:rFonts w:ascii="Times New Roman" w:eastAsia="Times New Roman" w:hAnsi="Times New Roman" w:cs="Times New Roman"/>
          <w:sz w:val="24"/>
          <w:szCs w:val="24"/>
          <w:vertAlign w:val="superscript"/>
          <w:lang w:eastAsia="en-GB"/>
        </w:rPr>
        <w:footnoteReference w:id="144"/>
      </w:r>
      <w:r w:rsidRPr="009C78B8">
        <w:rPr>
          <w:rFonts w:ascii="Times New Roman" w:eastAsia="Times New Roman" w:hAnsi="Times New Roman" w:cs="Times New Roman"/>
          <w:sz w:val="24"/>
          <w:szCs w:val="24"/>
          <w:lang w:eastAsia="en-GB"/>
        </w:rPr>
        <w:t xml:space="preserve"> </w:t>
      </w:r>
      <w:r w:rsidRPr="009C78B8">
        <w:rPr>
          <w:rFonts w:ascii="Times New Roman" w:eastAsiaTheme="minorHAnsi" w:hAnsi="Times New Roman" w:cs="Times New Roman"/>
          <w:sz w:val="24"/>
          <w:szCs w:val="24"/>
          <w:lang w:eastAsia="en-US"/>
        </w:rPr>
        <w:t xml:space="preserve">It </w:t>
      </w:r>
      <w:r w:rsidR="00191418">
        <w:rPr>
          <w:rFonts w:ascii="Times New Roman" w:eastAsiaTheme="minorHAnsi" w:hAnsi="Times New Roman" w:cs="Times New Roman"/>
          <w:sz w:val="24"/>
          <w:szCs w:val="24"/>
          <w:lang w:eastAsia="en-US"/>
        </w:rPr>
        <w:t>seems likely</w:t>
      </w:r>
      <w:r w:rsidRPr="009C78B8">
        <w:rPr>
          <w:rFonts w:ascii="Times New Roman" w:eastAsiaTheme="minorHAnsi" w:hAnsi="Times New Roman" w:cs="Times New Roman"/>
          <w:sz w:val="24"/>
          <w:szCs w:val="24"/>
          <w:lang w:eastAsia="en-US"/>
        </w:rPr>
        <w:t>, however, that at some stage the European Court will determine that there is a right to same-sex marriage.</w:t>
      </w:r>
      <w:r w:rsidRPr="009C78B8">
        <w:rPr>
          <w:rFonts w:ascii="Times New Roman" w:eastAsiaTheme="minorHAnsi" w:hAnsi="Times New Roman" w:cs="Times New Roman"/>
          <w:sz w:val="24"/>
          <w:szCs w:val="24"/>
          <w:vertAlign w:val="superscript"/>
          <w:lang w:eastAsia="en-US"/>
        </w:rPr>
        <w:footnoteReference w:id="145"/>
      </w:r>
      <w:r w:rsidRPr="009C78B8">
        <w:rPr>
          <w:rFonts w:ascii="Times New Roman" w:eastAsiaTheme="minorHAnsi" w:hAnsi="Times New Roman" w:cs="Times New Roman"/>
          <w:sz w:val="24"/>
          <w:szCs w:val="24"/>
          <w:lang w:eastAsia="en-US"/>
        </w:rPr>
        <w:t xml:space="preserve"> The difficulty remains that currently proponents of same-sex marriage are left with little to guide them as to when the European Court will determine this moment has arrived. </w:t>
      </w:r>
      <w:r w:rsidRPr="009C78B8">
        <w:rPr>
          <w:rFonts w:ascii="Times New Roman" w:eastAsia="Times New Roman" w:hAnsi="Times New Roman" w:cs="Times New Roman"/>
          <w:sz w:val="24"/>
          <w:szCs w:val="24"/>
          <w:lang w:eastAsia="en-GB"/>
        </w:rPr>
        <w:t>Certainty is needed. This is due to the constitutional, manifold legal and symbolic implications of marriage.  It is essential for a couple to know if they can legally marry.</w:t>
      </w:r>
      <w:r w:rsidRPr="009C78B8">
        <w:rPr>
          <w:rFonts w:ascii="Times New Roman" w:eastAsia="Calibri" w:hAnsi="Times New Roman" w:cs="Times New Roman"/>
          <w:noProof/>
          <w:sz w:val="24"/>
          <w:szCs w:val="24"/>
          <w:vertAlign w:val="superscript"/>
          <w:lang w:val="en-US" w:eastAsia="en-US"/>
        </w:rPr>
        <w:footnoteReference w:id="146"/>
      </w:r>
      <w:r w:rsidRPr="009C78B8">
        <w:rPr>
          <w:rFonts w:ascii="Times New Roman" w:eastAsia="Times New Roman" w:hAnsi="Times New Roman" w:cs="Times New Roman"/>
          <w:sz w:val="24"/>
          <w:szCs w:val="24"/>
          <w:lang w:val="en-US" w:eastAsia="en-GB"/>
        </w:rPr>
        <w:t xml:space="preserve"> </w:t>
      </w:r>
    </w:p>
    <w:p w:rsidR="009C78B8" w:rsidRPr="009C78B8" w:rsidRDefault="009C78B8" w:rsidP="009C78B8">
      <w:pPr>
        <w:spacing w:line="480" w:lineRule="auto"/>
        <w:jc w:val="both"/>
        <w:rPr>
          <w:rFonts w:ascii="Times New Roman" w:eastAsiaTheme="minorHAnsi" w:hAnsi="Times New Roman" w:cs="Times New Roman"/>
          <w:sz w:val="24"/>
          <w:szCs w:val="24"/>
          <w:lang w:eastAsia="en-US"/>
        </w:rPr>
      </w:pPr>
      <w:r w:rsidRPr="009C78B8">
        <w:rPr>
          <w:rFonts w:ascii="Times New Roman" w:eastAsiaTheme="minorHAnsi" w:hAnsi="Times New Roman" w:cs="Times New Roman"/>
          <w:sz w:val="24"/>
          <w:szCs w:val="24"/>
          <w:lang w:eastAsia="en-US"/>
        </w:rPr>
        <w:t>The issue of same-sex marriage recognition across Europe illustrates the difficult balance, which the European Court has to make between upholding the universal standard of human rights, whilst respecting regional differences.  In relation to same-sex marriage, it remains debateable as to whether the European Court is following the correct approach in considering lack of consensus, leading to a wide MoA, as determinative in relation to same-sex marriage. Critics argue that this ignores minorities</w:t>
      </w:r>
      <w:r w:rsidRPr="009C78B8">
        <w:rPr>
          <w:rFonts w:ascii="Times New Roman" w:eastAsia="Times New Roman" w:hAnsi="Times New Roman" w:cs="Times New Roman"/>
          <w:sz w:val="24"/>
          <w:szCs w:val="24"/>
          <w:vertAlign w:val="superscript"/>
          <w:lang w:eastAsia="en-GB"/>
        </w:rPr>
        <w:footnoteReference w:id="147"/>
      </w:r>
      <w:r w:rsidRPr="009C78B8">
        <w:rPr>
          <w:rFonts w:ascii="Times New Roman" w:eastAsia="Times New Roman" w:hAnsi="Times New Roman" w:cs="Times New Roman"/>
          <w:sz w:val="24"/>
          <w:szCs w:val="24"/>
          <w:lang w:eastAsia="en-GB"/>
        </w:rPr>
        <w:t xml:space="preserve">  and results in a lack of legal analysis</w:t>
      </w:r>
      <w:r w:rsidRPr="009C78B8">
        <w:rPr>
          <w:rFonts w:ascii="Times New Roman" w:eastAsia="Times New Roman" w:hAnsi="Times New Roman" w:cs="Times New Roman"/>
          <w:sz w:val="24"/>
          <w:szCs w:val="24"/>
          <w:vertAlign w:val="superscript"/>
          <w:lang w:eastAsia="en-GB"/>
        </w:rPr>
        <w:footnoteReference w:id="148"/>
      </w:r>
      <w:r w:rsidRPr="009C78B8">
        <w:rPr>
          <w:rFonts w:ascii="Times New Roman" w:eastAsia="Times New Roman" w:hAnsi="Times New Roman" w:cs="Times New Roman"/>
          <w:sz w:val="24"/>
          <w:szCs w:val="24"/>
          <w:lang w:eastAsia="en-GB"/>
        </w:rPr>
        <w:t xml:space="preserve">  and no high level of scrutiny.</w:t>
      </w:r>
      <w:r w:rsidRPr="009C78B8">
        <w:rPr>
          <w:rFonts w:ascii="Times New Roman" w:eastAsia="Times New Roman" w:hAnsi="Times New Roman" w:cs="Times New Roman"/>
          <w:sz w:val="24"/>
          <w:szCs w:val="24"/>
          <w:vertAlign w:val="superscript"/>
          <w:lang w:eastAsia="en-GB"/>
        </w:rPr>
        <w:footnoteReference w:id="149"/>
      </w:r>
      <w:r w:rsidRPr="009C78B8">
        <w:rPr>
          <w:rFonts w:ascii="Times New Roman" w:eastAsia="Times New Roman" w:hAnsi="Times New Roman" w:cs="Times New Roman"/>
          <w:sz w:val="24"/>
          <w:szCs w:val="24"/>
          <w:lang w:eastAsia="en-GB"/>
        </w:rPr>
        <w:t xml:space="preserve"> However, in politically sensitive areas such as same-sex marriage, the European Court wishes to avoid any charge that it is engaging in  ‘judicial politics.’</w:t>
      </w:r>
      <w:r w:rsidRPr="009C78B8">
        <w:rPr>
          <w:rFonts w:ascii="Times New Roman" w:eastAsia="Times New Roman" w:hAnsi="Times New Roman" w:cs="Times New Roman"/>
          <w:sz w:val="24"/>
          <w:szCs w:val="24"/>
          <w:vertAlign w:val="superscript"/>
          <w:lang w:eastAsia="en-GB"/>
        </w:rPr>
        <w:footnoteReference w:id="150"/>
      </w:r>
      <w:r w:rsidRPr="009C78B8">
        <w:rPr>
          <w:rFonts w:ascii="Times New Roman" w:eastAsia="Times New Roman" w:hAnsi="Times New Roman" w:cs="Times New Roman"/>
          <w:sz w:val="24"/>
          <w:szCs w:val="24"/>
          <w:lang w:eastAsia="en-GB"/>
        </w:rPr>
        <w:t xml:space="preserve">  A wide MoA, due to the emphasis on lack of consensus ensures that the European Court does not </w:t>
      </w:r>
      <w:r w:rsidRPr="009C78B8">
        <w:rPr>
          <w:rFonts w:ascii="Times New Roman" w:eastAsia="Times New Roman" w:hAnsi="Times New Roman" w:cs="Times New Roman"/>
          <w:sz w:val="24"/>
          <w:szCs w:val="24"/>
          <w:lang w:eastAsia="en-GB"/>
        </w:rPr>
        <w:lastRenderedPageBreak/>
        <w:t>overstep the ‘primary responsibility’</w:t>
      </w:r>
      <w:r w:rsidRPr="009C78B8">
        <w:rPr>
          <w:rFonts w:ascii="Times New Roman" w:eastAsia="Times New Roman" w:hAnsi="Times New Roman" w:cs="Times New Roman"/>
          <w:sz w:val="24"/>
          <w:szCs w:val="24"/>
          <w:vertAlign w:val="superscript"/>
          <w:lang w:eastAsia="en-GB"/>
        </w:rPr>
        <w:footnoteReference w:id="151"/>
      </w:r>
      <w:r w:rsidRPr="009C78B8">
        <w:rPr>
          <w:rFonts w:ascii="Times New Roman" w:eastAsia="Times New Roman" w:hAnsi="Times New Roman" w:cs="Times New Roman"/>
          <w:sz w:val="24"/>
          <w:szCs w:val="24"/>
          <w:lang w:eastAsia="en-GB"/>
        </w:rPr>
        <w:t xml:space="preserve"> given under the European Convention to Member States to secure human rights.</w:t>
      </w:r>
      <w:r w:rsidRPr="009C78B8">
        <w:rPr>
          <w:rFonts w:ascii="Times New Roman" w:eastAsia="Times New Roman" w:hAnsi="Times New Roman" w:cs="Times New Roman"/>
          <w:sz w:val="24"/>
          <w:szCs w:val="24"/>
          <w:vertAlign w:val="superscript"/>
          <w:lang w:eastAsia="en-GB"/>
        </w:rPr>
        <w:footnoteReference w:id="152"/>
      </w:r>
      <w:r w:rsidRPr="009C78B8">
        <w:rPr>
          <w:rFonts w:ascii="Times New Roman" w:eastAsia="Times New Roman" w:hAnsi="Times New Roman" w:cs="Times New Roman"/>
          <w:sz w:val="24"/>
          <w:szCs w:val="24"/>
          <w:lang w:eastAsia="en-GB"/>
        </w:rPr>
        <w:t xml:space="preserve"> </w:t>
      </w:r>
      <w:r w:rsidRPr="009C78B8">
        <w:rPr>
          <w:rFonts w:ascii="Times New Roman" w:eastAsiaTheme="minorHAnsi" w:hAnsi="Times New Roman" w:cs="Times New Roman"/>
          <w:sz w:val="24"/>
          <w:szCs w:val="24"/>
          <w:lang w:eastAsia="en-US"/>
        </w:rPr>
        <w:t>Despite the emphasis on consensus it is far from clear how the European Court determines whether a consensus exists.</w:t>
      </w:r>
      <w:r w:rsidRPr="009C78B8">
        <w:rPr>
          <w:rFonts w:ascii="Times New Roman" w:eastAsiaTheme="minorHAnsi" w:hAnsi="Times New Roman" w:cs="Times New Roman"/>
          <w:sz w:val="24"/>
          <w:szCs w:val="24"/>
          <w:vertAlign w:val="superscript"/>
          <w:lang w:eastAsia="en-US"/>
        </w:rPr>
        <w:footnoteReference w:id="153"/>
      </w:r>
      <w:r w:rsidRPr="009C78B8">
        <w:rPr>
          <w:rFonts w:ascii="Times New Roman" w:eastAsiaTheme="minorHAnsi" w:hAnsi="Times New Roman" w:cs="Times New Roman"/>
          <w:sz w:val="24"/>
          <w:szCs w:val="24"/>
          <w:lang w:eastAsia="en-US"/>
        </w:rPr>
        <w:t xml:space="preserve">  There are also confusions in relation to the terminology used around consensus, where numerous version of the name are used.</w:t>
      </w:r>
      <w:r w:rsidRPr="009C78B8">
        <w:rPr>
          <w:rFonts w:ascii="Times New Roman" w:eastAsiaTheme="minorHAnsi" w:hAnsi="Times New Roman" w:cs="Times New Roman"/>
          <w:sz w:val="24"/>
          <w:szCs w:val="24"/>
          <w:vertAlign w:val="superscript"/>
          <w:lang w:eastAsia="en-US"/>
        </w:rPr>
        <w:footnoteReference w:id="154"/>
      </w:r>
      <w:r w:rsidRPr="009C78B8">
        <w:rPr>
          <w:rFonts w:ascii="Times New Roman" w:eastAsiaTheme="minorHAnsi" w:hAnsi="Times New Roman" w:cs="Times New Roman"/>
          <w:sz w:val="24"/>
          <w:szCs w:val="24"/>
          <w:lang w:eastAsia="en-US"/>
        </w:rPr>
        <w:t xml:space="preserve"> Again no consistency is demonstrated in determining what sources are appropriate for establishing a consensus.</w:t>
      </w:r>
      <w:r w:rsidRPr="009C78B8">
        <w:rPr>
          <w:rFonts w:ascii="Times New Roman" w:eastAsia="Calibri" w:hAnsi="Times New Roman" w:cs="Times New Roman"/>
          <w:sz w:val="24"/>
          <w:szCs w:val="24"/>
          <w:vertAlign w:val="superscript"/>
          <w:lang w:eastAsia="en-US"/>
        </w:rPr>
        <w:footnoteReference w:id="155"/>
      </w:r>
      <w:r w:rsidRPr="009C78B8">
        <w:rPr>
          <w:rFonts w:ascii="Times New Roman" w:eastAsia="Calibri" w:hAnsi="Times New Roman" w:cs="Times New Roman"/>
          <w:sz w:val="24"/>
          <w:szCs w:val="24"/>
          <w:lang w:eastAsia="en-US"/>
        </w:rPr>
        <w:t xml:space="preserve"> Analysis of </w:t>
      </w:r>
      <w:r w:rsidRPr="009C78B8">
        <w:rPr>
          <w:rFonts w:ascii="Times New Roman" w:eastAsiaTheme="minorHAnsi" w:hAnsi="Times New Roman" w:cs="Times New Roman"/>
          <w:sz w:val="24"/>
          <w:szCs w:val="24"/>
          <w:lang w:eastAsia="en-US"/>
        </w:rPr>
        <w:t xml:space="preserve">case law relating to sexualities and family law reveals very little to aid our understanding. </w:t>
      </w:r>
      <w:r w:rsidRPr="009C78B8">
        <w:rPr>
          <w:rFonts w:ascii="Times New Roman" w:eastAsia="Times New Roman" w:hAnsi="Times New Roman" w:cs="Times New Roman"/>
          <w:sz w:val="24"/>
          <w:szCs w:val="24"/>
          <w:lang w:eastAsia="en-GB"/>
        </w:rPr>
        <w:t>Despite advancing human rights protections for gay</w:t>
      </w:r>
      <w:r w:rsidR="001B7988">
        <w:rPr>
          <w:rFonts w:ascii="Times New Roman" w:eastAsia="Times New Roman" w:hAnsi="Times New Roman" w:cs="Times New Roman"/>
          <w:sz w:val="24"/>
          <w:szCs w:val="24"/>
          <w:lang w:eastAsia="en-GB"/>
        </w:rPr>
        <w:t xml:space="preserve"> people</w:t>
      </w:r>
      <w:r w:rsidRPr="009C78B8">
        <w:rPr>
          <w:rFonts w:ascii="Times New Roman" w:eastAsia="Times New Roman" w:hAnsi="Times New Roman" w:cs="Times New Roman"/>
          <w:sz w:val="24"/>
          <w:szCs w:val="24"/>
          <w:lang w:eastAsia="en-GB"/>
        </w:rPr>
        <w:t xml:space="preserve"> and same-sex couples, </w:t>
      </w:r>
      <w:r w:rsidRPr="009C78B8">
        <w:rPr>
          <w:rFonts w:ascii="Times New Roman" w:eastAsiaTheme="minorHAnsi" w:hAnsi="Times New Roman" w:cs="Times New Roman"/>
          <w:sz w:val="24"/>
          <w:szCs w:val="24"/>
          <w:lang w:eastAsia="en-US"/>
        </w:rPr>
        <w:t>case law demonstrates a very inconsistent and confusing approach to the use of consensus.</w:t>
      </w:r>
      <w:r w:rsidRPr="009C78B8">
        <w:rPr>
          <w:rFonts w:ascii="Times New Roman" w:eastAsiaTheme="minorHAnsi" w:hAnsi="Times New Roman" w:cs="Times New Roman"/>
          <w:sz w:val="24"/>
          <w:szCs w:val="24"/>
          <w:vertAlign w:val="superscript"/>
          <w:lang w:eastAsia="en-US"/>
        </w:rPr>
        <w:footnoteReference w:id="156"/>
      </w:r>
      <w:r w:rsidRPr="009C78B8">
        <w:rPr>
          <w:rFonts w:ascii="Times New Roman" w:eastAsiaTheme="minorHAnsi" w:hAnsi="Times New Roman" w:cs="Times New Roman"/>
          <w:sz w:val="24"/>
          <w:szCs w:val="24"/>
          <w:lang w:eastAsia="en-US"/>
        </w:rPr>
        <w:t xml:space="preserve"> Even worse, it results in the charge that the European Court is not acting in accordance with the rule of law.</w:t>
      </w:r>
      <w:r w:rsidRPr="009C78B8">
        <w:rPr>
          <w:rFonts w:ascii="Times New Roman" w:eastAsiaTheme="minorHAnsi" w:hAnsi="Times New Roman" w:cs="Times New Roman"/>
          <w:sz w:val="24"/>
          <w:szCs w:val="24"/>
          <w:vertAlign w:val="superscript"/>
          <w:lang w:eastAsia="en-US"/>
        </w:rPr>
        <w:footnoteReference w:id="157"/>
      </w:r>
      <w:r w:rsidRPr="009C78B8">
        <w:rPr>
          <w:rFonts w:ascii="Times New Roman" w:eastAsiaTheme="minorHAnsi" w:hAnsi="Times New Roman" w:cs="Times New Roman"/>
          <w:sz w:val="24"/>
          <w:szCs w:val="24"/>
          <w:lang w:eastAsia="en-US"/>
        </w:rPr>
        <w:t xml:space="preserve"> </w:t>
      </w:r>
    </w:p>
    <w:p w:rsidR="009C78B8" w:rsidRPr="009C78B8" w:rsidRDefault="009C78B8" w:rsidP="009C78B8">
      <w:pPr>
        <w:spacing w:after="200" w:line="480" w:lineRule="auto"/>
        <w:jc w:val="both"/>
        <w:rPr>
          <w:rFonts w:ascii="Times New Roman" w:eastAsia="Times New Roman" w:hAnsi="Times New Roman" w:cs="Times New Roman"/>
          <w:sz w:val="24"/>
          <w:szCs w:val="24"/>
          <w:lang w:eastAsia="en-GB"/>
        </w:rPr>
      </w:pPr>
      <w:r w:rsidRPr="009C78B8">
        <w:rPr>
          <w:rFonts w:ascii="Times New Roman" w:eastAsia="Times New Roman" w:hAnsi="Times New Roman" w:cs="Times New Roman"/>
          <w:sz w:val="24"/>
          <w:szCs w:val="24"/>
          <w:lang w:eastAsia="en-GB"/>
        </w:rPr>
        <w:t>This article sets out a novel approach by suggesting that if the European Court continues to stress the need for consensus in future judgements regarding same-sex marriage, they should at least outline how many domestic legislatures need to legislate in favour of same-sex marriage, before they will determine that a consensus will exist. This will increase the legitimacy of the European Court as it would link any new decision on movement of consensus in relation to same-sex marriage back to a democratic mandate of the legislatures of the Member States concerned. This is needed at a time when certain political factions are discussing leaving the Council of Europe.</w:t>
      </w:r>
      <w:r w:rsidRPr="009C78B8">
        <w:rPr>
          <w:rFonts w:ascii="Times New Roman" w:eastAsia="Times New Roman" w:hAnsi="Times New Roman" w:cs="Times New Roman"/>
          <w:sz w:val="24"/>
          <w:szCs w:val="24"/>
          <w:vertAlign w:val="superscript"/>
          <w:lang w:eastAsia="en-GB"/>
        </w:rPr>
        <w:footnoteReference w:id="158"/>
      </w:r>
      <w:r w:rsidRPr="009C78B8">
        <w:rPr>
          <w:rFonts w:ascii="Times New Roman" w:eastAsia="Times New Roman" w:hAnsi="Times New Roman" w:cs="Times New Roman"/>
          <w:sz w:val="24"/>
          <w:szCs w:val="24"/>
          <w:lang w:eastAsia="en-GB"/>
        </w:rPr>
        <w:t xml:space="preserve"> Case law concerning sexualities has evolved </w:t>
      </w:r>
      <w:r w:rsidRPr="009C78B8">
        <w:rPr>
          <w:rFonts w:ascii="Times New Roman" w:eastAsia="Times New Roman" w:hAnsi="Times New Roman" w:cs="Times New Roman"/>
          <w:sz w:val="24"/>
          <w:szCs w:val="24"/>
          <w:lang w:eastAsia="en-GB"/>
        </w:rPr>
        <w:lastRenderedPageBreak/>
        <w:t>rapidly over the last few years.</w:t>
      </w:r>
      <w:r w:rsidRPr="009C78B8">
        <w:rPr>
          <w:rFonts w:ascii="Times New Roman" w:eastAsia="Times New Roman" w:hAnsi="Times New Roman" w:cs="Times New Roman"/>
          <w:sz w:val="24"/>
          <w:szCs w:val="24"/>
          <w:vertAlign w:val="superscript"/>
          <w:lang w:eastAsia="en-GB"/>
        </w:rPr>
        <w:footnoteReference w:id="159"/>
      </w:r>
      <w:r w:rsidRPr="009C78B8">
        <w:rPr>
          <w:rFonts w:ascii="Times New Roman" w:eastAsia="Times New Roman" w:hAnsi="Times New Roman" w:cs="Times New Roman"/>
          <w:sz w:val="24"/>
          <w:szCs w:val="24"/>
          <w:lang w:eastAsia="en-GB"/>
        </w:rPr>
        <w:t xml:space="preserve"> A challenge is therefore faced in Central and European states (whose people largely have a more conservative approach to these matters)</w:t>
      </w:r>
      <w:r w:rsidRPr="009C78B8">
        <w:rPr>
          <w:rFonts w:ascii="Times New Roman" w:eastAsia="Times New Roman" w:hAnsi="Times New Roman" w:cs="Times New Roman"/>
          <w:sz w:val="24"/>
          <w:szCs w:val="24"/>
          <w:vertAlign w:val="superscript"/>
          <w:lang w:eastAsia="en-GB"/>
        </w:rPr>
        <w:footnoteReference w:id="160"/>
      </w:r>
      <w:r w:rsidRPr="009C78B8">
        <w:rPr>
          <w:rFonts w:ascii="Times New Roman" w:eastAsia="Times New Roman" w:hAnsi="Times New Roman" w:cs="Times New Roman"/>
          <w:sz w:val="24"/>
          <w:szCs w:val="24"/>
          <w:lang w:eastAsia="en-GB"/>
        </w:rPr>
        <w:t xml:space="preserve"> to ensure enforcement of any judgment in this area.  The European Court also faces ‘a substantial structural handicap’</w:t>
      </w:r>
      <w:r w:rsidRPr="009C78B8">
        <w:rPr>
          <w:rFonts w:ascii="Times New Roman" w:eastAsia="Times New Roman" w:hAnsi="Times New Roman" w:cs="Times New Roman"/>
          <w:sz w:val="24"/>
          <w:szCs w:val="24"/>
          <w:vertAlign w:val="superscript"/>
          <w:lang w:eastAsia="en-GB"/>
        </w:rPr>
        <w:footnoteReference w:id="161"/>
      </w:r>
      <w:r w:rsidRPr="009C78B8">
        <w:rPr>
          <w:rFonts w:ascii="Times New Roman" w:eastAsia="Times New Roman" w:hAnsi="Times New Roman" w:cs="Times New Roman"/>
          <w:sz w:val="24"/>
          <w:szCs w:val="24"/>
          <w:lang w:eastAsia="en-GB"/>
        </w:rPr>
        <w:t xml:space="preserve"> in getting its decisions enforced, as this depends upon the actions of Member States.</w:t>
      </w:r>
      <w:r w:rsidRPr="009C78B8">
        <w:rPr>
          <w:rFonts w:ascii="Times New Roman" w:eastAsia="Times New Roman" w:hAnsi="Times New Roman" w:cs="Times New Roman"/>
          <w:sz w:val="24"/>
          <w:szCs w:val="24"/>
          <w:vertAlign w:val="superscript"/>
          <w:lang w:eastAsia="en-GB"/>
        </w:rPr>
        <w:footnoteReference w:id="162"/>
      </w:r>
      <w:r w:rsidRPr="009C78B8">
        <w:rPr>
          <w:rFonts w:ascii="Times New Roman" w:eastAsia="Times New Roman" w:hAnsi="Times New Roman" w:cs="Times New Roman"/>
          <w:sz w:val="24"/>
          <w:szCs w:val="24"/>
          <w:lang w:eastAsia="en-GB"/>
        </w:rPr>
        <w:t xml:space="preserve"> Forcing minority views on countries who would otherwise be opposed could also result in a political backlash.</w:t>
      </w:r>
      <w:r w:rsidRPr="009C78B8">
        <w:rPr>
          <w:rFonts w:ascii="Times New Roman" w:eastAsia="Times New Roman" w:hAnsi="Times New Roman" w:cs="Times New Roman"/>
          <w:sz w:val="24"/>
          <w:szCs w:val="24"/>
          <w:vertAlign w:val="superscript"/>
          <w:lang w:eastAsia="en-GB"/>
        </w:rPr>
        <w:footnoteReference w:id="163"/>
      </w:r>
      <w:r w:rsidRPr="009C78B8">
        <w:rPr>
          <w:rFonts w:ascii="Times New Roman" w:eastAsia="Times New Roman" w:hAnsi="Times New Roman" w:cs="Times New Roman"/>
          <w:sz w:val="24"/>
          <w:szCs w:val="24"/>
          <w:lang w:eastAsia="en-GB"/>
        </w:rPr>
        <w:t xml:space="preserve"> Consensus therefore remains an important argument which many European judges opine is linked to enforcement and acceptance of judgements</w:t>
      </w:r>
      <w:r w:rsidRPr="009C78B8">
        <w:rPr>
          <w:rFonts w:ascii="Times New Roman" w:eastAsia="Calibri" w:hAnsi="Times New Roman" w:cs="Times New Roman"/>
          <w:sz w:val="24"/>
          <w:szCs w:val="24"/>
          <w:lang w:eastAsia="en-US"/>
        </w:rPr>
        <w:t>.</w:t>
      </w:r>
      <w:r w:rsidRPr="009C78B8">
        <w:rPr>
          <w:rFonts w:ascii="Times New Roman" w:eastAsia="Calibri" w:hAnsi="Times New Roman" w:cs="Times New Roman"/>
          <w:sz w:val="24"/>
          <w:szCs w:val="24"/>
          <w:vertAlign w:val="superscript"/>
          <w:lang w:eastAsia="en-US"/>
        </w:rPr>
        <w:footnoteReference w:id="164"/>
      </w:r>
      <w:r w:rsidRPr="009C78B8">
        <w:rPr>
          <w:rFonts w:ascii="Times New Roman" w:eastAsia="Calibri" w:hAnsi="Times New Roman" w:cs="Times New Roman"/>
          <w:sz w:val="24"/>
          <w:szCs w:val="24"/>
          <w:lang w:eastAsia="en-US"/>
        </w:rPr>
        <w:t xml:space="preserve"> </w:t>
      </w:r>
      <w:r w:rsidRPr="009C78B8">
        <w:rPr>
          <w:rFonts w:ascii="Times New Roman" w:eastAsia="Times New Roman" w:hAnsi="Times New Roman" w:cs="Times New Roman"/>
          <w:sz w:val="24"/>
          <w:szCs w:val="24"/>
          <w:lang w:eastAsia="en-GB"/>
        </w:rPr>
        <w:t xml:space="preserve">As an international court, the European Court is never going to have a democratic mandate. </w:t>
      </w:r>
      <w:r w:rsidRPr="009C78B8">
        <w:rPr>
          <w:rFonts w:ascii="Times New Roman" w:eastAsia="Calibri" w:hAnsi="Times New Roman" w:cs="Times New Roman"/>
          <w:sz w:val="24"/>
          <w:szCs w:val="24"/>
          <w:lang w:eastAsia="en-US"/>
        </w:rPr>
        <w:t>However, if consensus can be linked back to the democratic legislatures of the Member States concerned this can increase the legitimacy of the European Court’s role. Consensus could therefore, if applied in the suggested more consistent manner aid the legitimacy of judgements. The proposed reform would also improve transparency, certainty and predictability as proponents of same-sex marriage would be able to judge when the necessary consensus had arrived.</w:t>
      </w:r>
    </w:p>
    <w:p w:rsidR="009C78B8" w:rsidRPr="009C78B8" w:rsidRDefault="009C78B8" w:rsidP="009C78B8">
      <w:pPr>
        <w:spacing w:line="480" w:lineRule="auto"/>
        <w:jc w:val="both"/>
        <w:rPr>
          <w:rFonts w:ascii="Times New Roman" w:eastAsiaTheme="minorHAnsi" w:hAnsi="Times New Roman" w:cs="Times New Roman"/>
          <w:sz w:val="24"/>
          <w:szCs w:val="24"/>
          <w:lang w:eastAsia="en-US"/>
        </w:rPr>
      </w:pPr>
    </w:p>
    <w:p w:rsidR="009C78B8" w:rsidRPr="009C78B8" w:rsidRDefault="009C78B8" w:rsidP="009C78B8">
      <w:pPr>
        <w:spacing w:line="480" w:lineRule="auto"/>
        <w:jc w:val="both"/>
        <w:rPr>
          <w:rFonts w:ascii="Times New Roman" w:eastAsiaTheme="minorHAnsi" w:hAnsi="Times New Roman" w:cs="Times New Roman"/>
          <w:sz w:val="24"/>
          <w:szCs w:val="24"/>
          <w:lang w:eastAsia="en-US"/>
        </w:rPr>
      </w:pPr>
    </w:p>
    <w:p w:rsidR="009C78B8" w:rsidRPr="009C78B8" w:rsidRDefault="009C78B8" w:rsidP="009C78B8">
      <w:pPr>
        <w:spacing w:line="480" w:lineRule="auto"/>
        <w:jc w:val="both"/>
        <w:rPr>
          <w:rFonts w:ascii="Times New Roman" w:eastAsiaTheme="minorHAnsi" w:hAnsi="Times New Roman" w:cs="Times New Roman"/>
          <w:sz w:val="24"/>
          <w:szCs w:val="24"/>
          <w:lang w:eastAsia="en-US"/>
        </w:rPr>
      </w:pPr>
    </w:p>
    <w:p w:rsidR="009C78B8" w:rsidRPr="009C78B8" w:rsidRDefault="009C78B8" w:rsidP="009C78B8">
      <w:pPr>
        <w:spacing w:line="480" w:lineRule="auto"/>
        <w:jc w:val="both"/>
        <w:rPr>
          <w:rFonts w:ascii="Times New Roman" w:eastAsiaTheme="minorHAnsi" w:hAnsi="Times New Roman" w:cs="Times New Roman"/>
          <w:sz w:val="24"/>
          <w:szCs w:val="24"/>
          <w:lang w:eastAsia="en-US"/>
        </w:rPr>
      </w:pPr>
    </w:p>
    <w:p w:rsidR="009C78B8" w:rsidRPr="009C78B8" w:rsidRDefault="009C78B8" w:rsidP="009C78B8">
      <w:pPr>
        <w:spacing w:line="256" w:lineRule="auto"/>
        <w:rPr>
          <w:rFonts w:eastAsiaTheme="minorHAnsi"/>
          <w:lang w:eastAsia="en-US"/>
        </w:rPr>
      </w:pPr>
    </w:p>
    <w:p w:rsidR="00030A59" w:rsidRDefault="00030A59"/>
    <w:sectPr w:rsidR="00030A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C91" w:rsidRDefault="00017C91" w:rsidP="009C78B8">
      <w:pPr>
        <w:spacing w:after="0" w:line="240" w:lineRule="auto"/>
      </w:pPr>
      <w:r>
        <w:separator/>
      </w:r>
    </w:p>
  </w:endnote>
  <w:endnote w:type="continuationSeparator" w:id="0">
    <w:p w:rsidR="00017C91" w:rsidRDefault="00017C91" w:rsidP="009C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Meiryo"/>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Light">
    <w:altName w:val="SimSun"/>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C91" w:rsidRDefault="00017C91" w:rsidP="009C78B8">
      <w:pPr>
        <w:spacing w:after="0" w:line="240" w:lineRule="auto"/>
      </w:pPr>
      <w:r>
        <w:separator/>
      </w:r>
    </w:p>
  </w:footnote>
  <w:footnote w:type="continuationSeparator" w:id="0">
    <w:p w:rsidR="00017C91" w:rsidRDefault="00017C91" w:rsidP="009C78B8">
      <w:pPr>
        <w:spacing w:after="0" w:line="240" w:lineRule="auto"/>
      </w:pPr>
      <w:r>
        <w:continuationSeparator/>
      </w:r>
    </w:p>
  </w:footnote>
  <w:footnote w:id="1">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Frances Hamilton is a Senior Lecturer in Law at Northumbria University.</w:t>
      </w:r>
    </w:p>
    <w:p w:rsidR="00017C91" w:rsidRPr="00B476F1" w:rsidRDefault="00017C91" w:rsidP="009C78B8">
      <w:pPr>
        <w:pStyle w:val="FootnoteText"/>
        <w:jc w:val="both"/>
        <w:rPr>
          <w:rFonts w:ascii="Times New Roman" w:hAnsi="Times New Roman" w:cs="Times New Roman"/>
        </w:rPr>
      </w:pPr>
    </w:p>
  </w:footnote>
  <w:footnote w:id="2">
    <w:p w:rsidR="00017C91" w:rsidRPr="00B476F1" w:rsidRDefault="00017C91" w:rsidP="009C78B8">
      <w:pPr>
        <w:spacing w:line="240" w:lineRule="auto"/>
        <w:jc w:val="both"/>
        <w:rPr>
          <w:rFonts w:ascii="Times New Roman" w:eastAsia="Times New Roman" w:hAnsi="Times New Roman" w:cs="Times New Roman"/>
          <w:b/>
          <w:sz w:val="20"/>
          <w:szCs w:val="20"/>
          <w:lang w:eastAsia="en-GB"/>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w:t>
      </w:r>
      <w:r w:rsidRPr="00B476F1">
        <w:rPr>
          <w:rFonts w:ascii="Times New Roman" w:hAnsi="Times New Roman" w:cs="Times New Roman"/>
          <w:i/>
          <w:sz w:val="20"/>
          <w:szCs w:val="20"/>
        </w:rPr>
        <w:t>Schalk and Kopf v Austria</w:t>
      </w:r>
      <w:r w:rsidRPr="00B476F1">
        <w:rPr>
          <w:rFonts w:ascii="Times New Roman" w:hAnsi="Times New Roman" w:cs="Times New Roman"/>
          <w:sz w:val="20"/>
          <w:szCs w:val="20"/>
        </w:rPr>
        <w:t xml:space="preserve">, App No 30141/04 (ECtHR, 24 June 2010), </w:t>
      </w:r>
      <w:r w:rsidRPr="00B476F1">
        <w:rPr>
          <w:rFonts w:ascii="Times New Roman" w:hAnsi="Times New Roman" w:cs="Times New Roman"/>
          <w:bCs/>
          <w:i/>
          <w:sz w:val="20"/>
          <w:szCs w:val="20"/>
          <w:shd w:val="clear" w:color="auto" w:fill="FFFFFF"/>
        </w:rPr>
        <w:t>Hämäläinen</w:t>
      </w:r>
      <w:r w:rsidRPr="00B476F1">
        <w:rPr>
          <w:rFonts w:ascii="Times New Roman" w:hAnsi="Times New Roman" w:cs="Times New Roman"/>
          <w:i/>
          <w:sz w:val="20"/>
          <w:szCs w:val="20"/>
        </w:rPr>
        <w:t xml:space="preserve"> v Finland</w:t>
      </w:r>
      <w:r w:rsidRPr="00B476F1">
        <w:rPr>
          <w:rFonts w:ascii="Times New Roman" w:hAnsi="Times New Roman" w:cs="Times New Roman"/>
          <w:sz w:val="20"/>
          <w:szCs w:val="20"/>
        </w:rPr>
        <w:t xml:space="preserve"> App No 37359/09 (ECtHR, 16 July 2014) and </w:t>
      </w:r>
      <w:r w:rsidRPr="00B476F1">
        <w:rPr>
          <w:rFonts w:ascii="Times New Roman" w:hAnsi="Times New Roman" w:cs="Times New Roman"/>
          <w:i/>
          <w:sz w:val="20"/>
          <w:szCs w:val="20"/>
        </w:rPr>
        <w:t>Chapin and Charpentier v France</w:t>
      </w:r>
      <w:r w:rsidRPr="00B476F1">
        <w:rPr>
          <w:rFonts w:ascii="Times New Roman" w:hAnsi="Times New Roman" w:cs="Times New Roman"/>
          <w:sz w:val="20"/>
          <w:szCs w:val="20"/>
        </w:rPr>
        <w:t>, App No 40183/07 (ECtHR 9 June 2016).</w:t>
      </w:r>
    </w:p>
  </w:footnote>
  <w:footnote w:id="3">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Oliari v Italy</w:t>
      </w:r>
      <w:r w:rsidRPr="00B476F1">
        <w:rPr>
          <w:rFonts w:ascii="Times New Roman" w:hAnsi="Times New Roman" w:cs="Times New Roman"/>
        </w:rPr>
        <w:t xml:space="preserve"> (Apps. Nos. 18766/11 and 36030/11, ECtHR 31 July 2015).</w:t>
      </w:r>
    </w:p>
    <w:p w:rsidR="00017C91" w:rsidRPr="00B476F1" w:rsidRDefault="00017C91" w:rsidP="009C78B8">
      <w:pPr>
        <w:pStyle w:val="FootnoteText"/>
        <w:jc w:val="both"/>
        <w:rPr>
          <w:rFonts w:ascii="Times New Roman" w:hAnsi="Times New Roman" w:cs="Times New Roman"/>
        </w:rPr>
      </w:pPr>
    </w:p>
  </w:footnote>
  <w:footnote w:id="4">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eastAsia="Times New Roman" w:hAnsi="Times New Roman" w:cs="Times New Roman"/>
          <w:lang w:eastAsia="en-GB"/>
        </w:rPr>
        <w:t xml:space="preserve"> Zago, G. ‘A Victory for Italian Same-Sex Couples, a Victory for European Homosexuals? A Commentary on Oliari v Italy’ (2015) Articolo 29 Leiden University</w:t>
      </w:r>
      <w:r w:rsidRPr="00B476F1">
        <w:rPr>
          <w:rFonts w:ascii="Times New Roman" w:hAnsi="Times New Roman" w:cs="Times New Roman"/>
        </w:rPr>
        <w:t>.</w:t>
      </w:r>
    </w:p>
  </w:footnote>
  <w:footnote w:id="5">
    <w:p w:rsidR="00017C91" w:rsidRPr="00B476F1" w:rsidRDefault="00017C91">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Oliari v Italy</w:t>
      </w:r>
      <w:r w:rsidRPr="00B476F1">
        <w:rPr>
          <w:rFonts w:ascii="Times New Roman" w:hAnsi="Times New Roman" w:cs="Times New Roman"/>
        </w:rPr>
        <w:t xml:space="preserve"> (n3) para 73.</w:t>
      </w:r>
    </w:p>
    <w:p w:rsidR="00017C91" w:rsidRPr="00B476F1" w:rsidRDefault="00017C91">
      <w:pPr>
        <w:pStyle w:val="FootnoteText"/>
        <w:rPr>
          <w:rFonts w:ascii="Times New Roman" w:hAnsi="Times New Roman" w:cs="Times New Roman"/>
        </w:rPr>
      </w:pPr>
    </w:p>
  </w:footnote>
  <w:footnote w:id="6">
    <w:p w:rsidR="00017C91" w:rsidRPr="00B476F1" w:rsidRDefault="00017C91" w:rsidP="0054063E">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Fenwick, H. and Hayward A. ‘Rejecting Asymmetry of Access to Formal Relationship Statuses for Same and Different-Sex Couples at Strasbourg and Domestically’ [2017] 6 </w:t>
      </w:r>
      <w:r w:rsidRPr="00B476F1">
        <w:rPr>
          <w:rFonts w:ascii="Times New Roman" w:hAnsi="Times New Roman" w:cs="Times New Roman"/>
          <w:i/>
        </w:rPr>
        <w:t>EHRLR</w:t>
      </w:r>
      <w:r w:rsidRPr="00B476F1">
        <w:rPr>
          <w:rFonts w:ascii="Times New Roman" w:hAnsi="Times New Roman" w:cs="Times New Roman"/>
        </w:rPr>
        <w:t xml:space="preserve"> Forthcoming 12.</w:t>
      </w:r>
    </w:p>
    <w:p w:rsidR="00017C91" w:rsidRPr="00B476F1" w:rsidRDefault="00017C91" w:rsidP="0054063E">
      <w:pPr>
        <w:pStyle w:val="FootnoteText"/>
        <w:rPr>
          <w:rFonts w:ascii="Times New Roman" w:hAnsi="Times New Roman" w:cs="Times New Roman"/>
        </w:rPr>
      </w:pPr>
    </w:p>
  </w:footnote>
  <w:footnote w:id="7">
    <w:p w:rsidR="00017C91" w:rsidRPr="00B476F1" w:rsidRDefault="00017C91">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Vallianatos v Greece</w:t>
      </w:r>
      <w:r w:rsidRPr="00B476F1">
        <w:rPr>
          <w:rFonts w:ascii="Times New Roman" w:hAnsi="Times New Roman" w:cs="Times New Roman"/>
        </w:rPr>
        <w:t xml:space="preserve"> </w:t>
      </w:r>
      <w:r w:rsidR="002D049A" w:rsidRPr="00B476F1">
        <w:rPr>
          <w:rFonts w:ascii="Times New Roman" w:hAnsi="Times New Roman" w:cs="Times New Roman"/>
        </w:rPr>
        <w:t xml:space="preserve">(Apps. Nos. 29381/09 and 32684/09, ECtHR 7 November 2013 </w:t>
      </w:r>
      <w:r w:rsidRPr="00B476F1">
        <w:rPr>
          <w:rFonts w:ascii="Times New Roman" w:hAnsi="Times New Roman" w:cs="Times New Roman"/>
        </w:rPr>
        <w:t xml:space="preserve">and </w:t>
      </w:r>
      <w:r w:rsidRPr="00B476F1">
        <w:rPr>
          <w:rFonts w:ascii="Times New Roman" w:hAnsi="Times New Roman" w:cs="Times New Roman"/>
          <w:i/>
        </w:rPr>
        <w:t>Oliari v Italy</w:t>
      </w:r>
      <w:r w:rsidRPr="00B476F1">
        <w:rPr>
          <w:rFonts w:ascii="Times New Roman" w:hAnsi="Times New Roman" w:cs="Times New Roman"/>
        </w:rPr>
        <w:t xml:space="preserve"> (n3) and </w:t>
      </w:r>
      <w:r w:rsidRPr="00B476F1">
        <w:rPr>
          <w:rFonts w:ascii="Times New Roman" w:hAnsi="Times New Roman" w:cs="Times New Roman"/>
          <w:i/>
        </w:rPr>
        <w:t>Fenwick and Hayward</w:t>
      </w:r>
      <w:r w:rsidRPr="00B476F1">
        <w:rPr>
          <w:rFonts w:ascii="Times New Roman" w:hAnsi="Times New Roman" w:cs="Times New Roman"/>
        </w:rPr>
        <w:t xml:space="preserve"> (n6). </w:t>
      </w:r>
    </w:p>
    <w:p w:rsidR="00017C91" w:rsidRPr="00B476F1" w:rsidRDefault="00017C91">
      <w:pPr>
        <w:pStyle w:val="FootnoteText"/>
        <w:rPr>
          <w:rFonts w:ascii="Times New Roman" w:hAnsi="Times New Roman" w:cs="Times New Roman"/>
        </w:rPr>
      </w:pPr>
    </w:p>
  </w:footnote>
  <w:footnote w:id="8">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Sue Wilkinson in her Witness Statement contained in </w:t>
      </w:r>
      <w:r w:rsidRPr="00B476F1">
        <w:rPr>
          <w:rFonts w:ascii="Times New Roman" w:hAnsi="Times New Roman" w:cs="Times New Roman"/>
          <w:i/>
        </w:rPr>
        <w:t>Wilkinson v Kitzinger</w:t>
      </w:r>
      <w:r w:rsidRPr="00B476F1">
        <w:rPr>
          <w:rFonts w:ascii="Times New Roman" w:hAnsi="Times New Roman" w:cs="Times New Roman"/>
          <w:b/>
          <w:bCs/>
          <w:color w:val="000000"/>
        </w:rPr>
        <w:t xml:space="preserve"> </w:t>
      </w:r>
      <w:r w:rsidRPr="00B476F1">
        <w:rPr>
          <w:rFonts w:ascii="Times New Roman" w:hAnsi="Times New Roman" w:cs="Times New Roman"/>
          <w:bCs/>
          <w:color w:val="000000"/>
        </w:rPr>
        <w:t xml:space="preserve">[2006] EWHC 2022 (Fam) para 6. </w:t>
      </w:r>
    </w:p>
    <w:p w:rsidR="00017C91" w:rsidRPr="00B476F1" w:rsidRDefault="00017C91" w:rsidP="009C78B8">
      <w:pPr>
        <w:pStyle w:val="FootnoteText"/>
        <w:jc w:val="both"/>
        <w:rPr>
          <w:rFonts w:ascii="Times New Roman" w:hAnsi="Times New Roman" w:cs="Times New Roman"/>
        </w:rPr>
      </w:pPr>
    </w:p>
  </w:footnote>
  <w:footnote w:id="9">
    <w:p w:rsidR="00017C91" w:rsidRPr="00B476F1" w:rsidRDefault="00017C91" w:rsidP="009C78B8">
      <w:pPr>
        <w:spacing w:after="200" w:line="240" w:lineRule="auto"/>
        <w:jc w:val="both"/>
        <w:rPr>
          <w:rFonts w:ascii="Times New Roman" w:eastAsia="Times New Roman" w:hAnsi="Times New Roman" w:cs="Times New Roman"/>
          <w:sz w:val="20"/>
          <w:szCs w:val="20"/>
          <w:lang w:eastAsia="en-GB"/>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See </w:t>
      </w:r>
      <w:r w:rsidRPr="00B476F1">
        <w:rPr>
          <w:rFonts w:ascii="Times New Roman" w:hAnsi="Times New Roman" w:cs="Times New Roman"/>
          <w:i/>
          <w:sz w:val="20"/>
          <w:szCs w:val="20"/>
        </w:rPr>
        <w:t>Oliari v Italy</w:t>
      </w:r>
      <w:r w:rsidRPr="00B476F1">
        <w:rPr>
          <w:rFonts w:ascii="Times New Roman" w:hAnsi="Times New Roman" w:cs="Times New Roman"/>
          <w:sz w:val="20"/>
          <w:szCs w:val="20"/>
        </w:rPr>
        <w:t xml:space="preserve"> (n3). Sutherland, E. ‘A Step Closer to Same-Sex Marriage Throughout Europe’ (2011) </w:t>
      </w:r>
      <w:r w:rsidRPr="00B476F1">
        <w:rPr>
          <w:rFonts w:ascii="Times New Roman" w:eastAsia="Times New Roman" w:hAnsi="Times New Roman" w:cs="Times New Roman"/>
          <w:i/>
          <w:sz w:val="20"/>
          <w:szCs w:val="20"/>
          <w:lang w:eastAsia="en-GB"/>
        </w:rPr>
        <w:t xml:space="preserve">15 Edin L Rev </w:t>
      </w:r>
      <w:r w:rsidRPr="00B476F1">
        <w:rPr>
          <w:rFonts w:ascii="Times New Roman" w:eastAsia="Times New Roman" w:hAnsi="Times New Roman" w:cs="Times New Roman"/>
          <w:sz w:val="20"/>
          <w:szCs w:val="20"/>
          <w:lang w:eastAsia="en-GB"/>
        </w:rPr>
        <w:t>97, 98 states that “[e]ven on the Court’s reasoning, it is arguably only a matter of time (perhaps some time) until the right to marry becomes a reality for same-sex couples throughout Europe.”</w:t>
      </w:r>
    </w:p>
  </w:footnote>
  <w:footnote w:id="10">
    <w:p w:rsidR="00017C91" w:rsidRPr="00B476F1" w:rsidRDefault="00017C91" w:rsidP="009C78B8">
      <w:pPr>
        <w:pStyle w:val="EndnoteText"/>
        <w:jc w:val="both"/>
        <w:rPr>
          <w:rFonts w:ascii="Times New Roman" w:hAnsi="Times New Roman"/>
          <w:color w:val="000000"/>
          <w:kern w:val="24"/>
        </w:rPr>
      </w:pPr>
      <w:r w:rsidRPr="00B476F1">
        <w:rPr>
          <w:rStyle w:val="FootnoteReference"/>
          <w:rFonts w:ascii="Times New Roman" w:hAnsi="Times New Roman"/>
        </w:rPr>
        <w:footnoteRef/>
      </w:r>
      <w:r w:rsidRPr="00B476F1">
        <w:rPr>
          <w:rFonts w:ascii="Times New Roman" w:hAnsi="Times New Roman"/>
        </w:rPr>
        <w:t xml:space="preserve"> See </w:t>
      </w:r>
      <w:r w:rsidRPr="00B476F1">
        <w:rPr>
          <w:rFonts w:ascii="Times New Roman" w:hAnsi="Times New Roman"/>
          <w:i/>
        </w:rPr>
        <w:t>Schalk and Kopf v Austria</w:t>
      </w:r>
      <w:r w:rsidRPr="00B476F1">
        <w:rPr>
          <w:rFonts w:ascii="Times New Roman" w:hAnsi="Times New Roman"/>
        </w:rPr>
        <w:t xml:space="preserve"> (n2) para 57, </w:t>
      </w:r>
      <w:r w:rsidRPr="00B476F1">
        <w:rPr>
          <w:rFonts w:ascii="Times New Roman" w:eastAsiaTheme="minorEastAsia" w:hAnsi="Times New Roman"/>
          <w:bCs/>
          <w:i/>
          <w:shd w:val="clear" w:color="auto" w:fill="FFFFFF"/>
        </w:rPr>
        <w:t>Hämäläinen</w:t>
      </w:r>
      <w:r w:rsidRPr="00B476F1">
        <w:rPr>
          <w:rFonts w:ascii="Times New Roman" w:hAnsi="Times New Roman"/>
          <w:i/>
        </w:rPr>
        <w:t xml:space="preserve"> v Finland</w:t>
      </w:r>
      <w:r w:rsidRPr="00B476F1">
        <w:rPr>
          <w:rFonts w:ascii="Times New Roman" w:hAnsi="Times New Roman"/>
        </w:rPr>
        <w:t xml:space="preserve"> (n2) para 39 and </w:t>
      </w:r>
      <w:r w:rsidRPr="00B476F1">
        <w:rPr>
          <w:rFonts w:ascii="Times New Roman" w:hAnsi="Times New Roman"/>
          <w:i/>
        </w:rPr>
        <w:t>Chapin and Charpentier v France</w:t>
      </w:r>
      <w:r w:rsidRPr="00B476F1">
        <w:rPr>
          <w:rFonts w:ascii="Times New Roman" w:hAnsi="Times New Roman"/>
        </w:rPr>
        <w:t xml:space="preserve"> (n2).</w:t>
      </w:r>
    </w:p>
    <w:p w:rsidR="00017C91" w:rsidRPr="00B476F1" w:rsidRDefault="00017C91" w:rsidP="009C78B8">
      <w:pPr>
        <w:pStyle w:val="FootnoteText"/>
        <w:jc w:val="both"/>
        <w:rPr>
          <w:rFonts w:ascii="Times New Roman" w:hAnsi="Times New Roman" w:cs="Times New Roman"/>
        </w:rPr>
      </w:pPr>
    </w:p>
  </w:footnote>
  <w:footnote w:id="11">
    <w:p w:rsidR="00017C91" w:rsidRPr="00B476F1" w:rsidRDefault="00017C91" w:rsidP="009C78B8">
      <w:pPr>
        <w:spacing w:after="0" w:line="240" w:lineRule="auto"/>
        <w:jc w:val="both"/>
        <w:rPr>
          <w:rFonts w:ascii="Times New Roman" w:eastAsia="Times New Roman" w:hAnsi="Times New Roman" w:cs="Times New Roman"/>
          <w:sz w:val="20"/>
          <w:szCs w:val="20"/>
          <w:lang w:eastAsia="en-GB"/>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w:t>
      </w:r>
      <w:r w:rsidRPr="00B476F1">
        <w:rPr>
          <w:rFonts w:ascii="Times New Roman" w:eastAsia="Times New Roman" w:hAnsi="Times New Roman" w:cs="Times New Roman"/>
          <w:sz w:val="20"/>
          <w:szCs w:val="20"/>
          <w:lang w:eastAsia="en-GB"/>
        </w:rPr>
        <w:t xml:space="preserve">See </w:t>
      </w:r>
      <w:r w:rsidRPr="00B476F1">
        <w:rPr>
          <w:rFonts w:ascii="Times New Roman" w:hAnsi="Times New Roman" w:cs="Times New Roman"/>
          <w:sz w:val="20"/>
          <w:szCs w:val="20"/>
        </w:rPr>
        <w:t>Butler, P. (2008-2009) ‘</w:t>
      </w:r>
      <w:r w:rsidRPr="00B476F1">
        <w:rPr>
          <w:rFonts w:ascii="Times New Roman" w:eastAsia="Calibri" w:hAnsi="Times New Roman" w:cs="Times New Roman"/>
          <w:sz w:val="20"/>
          <w:szCs w:val="20"/>
        </w:rPr>
        <w:t xml:space="preserve">Margin of Appreciation - A Note Towards a Solution for the Pacific’ (2008-2009) 39 </w:t>
      </w:r>
      <w:r w:rsidRPr="00B476F1">
        <w:rPr>
          <w:rFonts w:ascii="Times New Roman" w:eastAsia="Calibri" w:hAnsi="Times New Roman" w:cs="Times New Roman"/>
          <w:i/>
          <w:sz w:val="20"/>
          <w:szCs w:val="20"/>
        </w:rPr>
        <w:t>Vic U Wellington L Rev</w:t>
      </w:r>
      <w:r w:rsidRPr="00B476F1">
        <w:rPr>
          <w:rFonts w:ascii="Times New Roman" w:eastAsia="Calibri" w:hAnsi="Times New Roman" w:cs="Times New Roman"/>
          <w:sz w:val="20"/>
          <w:szCs w:val="20"/>
        </w:rPr>
        <w:t xml:space="preserve"> 687 and </w:t>
      </w:r>
      <w:r w:rsidRPr="00B476F1">
        <w:rPr>
          <w:rFonts w:ascii="Times New Roman" w:eastAsia="Times New Roman" w:hAnsi="Times New Roman" w:cs="Times New Roman"/>
          <w:sz w:val="20"/>
          <w:szCs w:val="20"/>
          <w:lang w:eastAsia="en-GB"/>
        </w:rPr>
        <w:t>Yourow, H.C.</w:t>
      </w:r>
      <w:r w:rsidRPr="00B476F1">
        <w:rPr>
          <w:rFonts w:ascii="Times New Roman" w:eastAsia="Times New Roman" w:hAnsi="Times New Roman" w:cs="Times New Roman"/>
          <w:i/>
          <w:sz w:val="20"/>
          <w:szCs w:val="20"/>
          <w:lang w:eastAsia="en-GB"/>
        </w:rPr>
        <w:t xml:space="preserve"> </w:t>
      </w:r>
      <w:r w:rsidRPr="00B476F1">
        <w:rPr>
          <w:rFonts w:ascii="Times New Roman" w:eastAsia="Times New Roman" w:hAnsi="Times New Roman" w:cs="Times New Roman"/>
          <w:sz w:val="20"/>
          <w:szCs w:val="20"/>
          <w:lang w:eastAsia="en-GB"/>
        </w:rPr>
        <w:t xml:space="preserve">(1996) </w:t>
      </w:r>
      <w:r w:rsidRPr="00B476F1">
        <w:rPr>
          <w:rFonts w:ascii="Times New Roman" w:eastAsia="Times New Roman" w:hAnsi="Times New Roman" w:cs="Times New Roman"/>
          <w:i/>
          <w:sz w:val="20"/>
          <w:szCs w:val="20"/>
          <w:lang w:eastAsia="en-GB"/>
        </w:rPr>
        <w:t>Margin of Appreciation Doctrine in the Dynamics of European Human Rights Jurisprudence</w:t>
      </w:r>
      <w:r w:rsidRPr="00B476F1">
        <w:rPr>
          <w:rFonts w:ascii="Times New Roman" w:eastAsia="Times New Roman" w:hAnsi="Times New Roman" w:cs="Times New Roman"/>
          <w:sz w:val="20"/>
          <w:szCs w:val="20"/>
          <w:lang w:eastAsia="en-GB"/>
        </w:rPr>
        <w:t xml:space="preserve"> (Brill, Netherlands, 1996).</w:t>
      </w:r>
    </w:p>
    <w:p w:rsidR="00017C91" w:rsidRPr="00B476F1" w:rsidRDefault="00017C91" w:rsidP="009C78B8">
      <w:pPr>
        <w:spacing w:after="0" w:line="240" w:lineRule="auto"/>
        <w:jc w:val="both"/>
        <w:rPr>
          <w:rFonts w:ascii="Times New Roman" w:eastAsia="Times New Roman" w:hAnsi="Times New Roman" w:cs="Times New Roman"/>
          <w:b/>
          <w:sz w:val="20"/>
          <w:szCs w:val="20"/>
          <w:lang w:eastAsia="en-GB"/>
        </w:rPr>
      </w:pPr>
    </w:p>
  </w:footnote>
  <w:footnote w:id="12">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Belgium, Denmark, Finland, France, Germany, Iceland, Ireland, Luxembourg, Malta, the Netherlands, Norway, Portugal, Spain, Sweden and United Kingdom (apart from Northern Ireland).  </w:t>
      </w:r>
    </w:p>
    <w:p w:rsidR="00017C91" w:rsidRPr="00B476F1" w:rsidRDefault="00017C91" w:rsidP="009C78B8">
      <w:pPr>
        <w:pStyle w:val="FootnoteText"/>
        <w:jc w:val="both"/>
        <w:rPr>
          <w:rFonts w:ascii="Times New Roman" w:hAnsi="Times New Roman" w:cs="Times New Roman"/>
        </w:rPr>
      </w:pPr>
    </w:p>
  </w:footnote>
  <w:footnote w:id="13">
    <w:p w:rsidR="00017C91" w:rsidRPr="00B476F1" w:rsidRDefault="00017C91" w:rsidP="009C78B8">
      <w:pPr>
        <w:spacing w:after="200" w:line="240" w:lineRule="auto"/>
        <w:jc w:val="both"/>
        <w:rPr>
          <w:rFonts w:ascii="Times New Roman" w:hAnsi="Times New Roman" w:cs="Times New Roman"/>
          <w:sz w:val="20"/>
          <w:szCs w:val="20"/>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w:t>
      </w:r>
      <w:r w:rsidRPr="00B476F1">
        <w:rPr>
          <w:rFonts w:ascii="Times New Roman" w:eastAsia="Calibri" w:hAnsi="Times New Roman" w:cs="Times New Roman"/>
          <w:sz w:val="20"/>
          <w:szCs w:val="20"/>
        </w:rPr>
        <w:t xml:space="preserve">Poppelwell-Scevak C.A.R.L. (2016). The European Court of Human Rights and Same-Sex Marriage: The Consensus Approach. </w:t>
      </w:r>
      <w:r w:rsidRPr="00B476F1">
        <w:rPr>
          <w:rFonts w:ascii="Times New Roman" w:eastAsia="Calibri" w:hAnsi="Times New Roman" w:cs="Times New Roman"/>
          <w:i/>
          <w:sz w:val="20"/>
          <w:szCs w:val="20"/>
        </w:rPr>
        <w:t>Norwegian Open Research Archives</w:t>
      </w:r>
      <w:r w:rsidRPr="00B476F1">
        <w:rPr>
          <w:rFonts w:ascii="Times New Roman" w:eastAsia="Calibri" w:hAnsi="Times New Roman" w:cs="Times New Roman"/>
          <w:sz w:val="20"/>
          <w:szCs w:val="20"/>
        </w:rPr>
        <w:t xml:space="preserve"> (NORA).</w:t>
      </w:r>
    </w:p>
  </w:footnote>
  <w:footnote w:id="14">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lang w:val="en"/>
        </w:rPr>
        <w:t xml:space="preserve">Same-sex marriage is not recognised in several European countries and in addition, marriage is defined as a union solely between a man and a woman in the constitutions of Armenia, Bulgaria, Croatia, Latvia, Lithuania, Moldova, Montenegro, Poland, Serbia, Slovakia and Ukraine. </w:t>
      </w:r>
      <w:r w:rsidRPr="00B476F1">
        <w:rPr>
          <w:rFonts w:ascii="Times New Roman" w:hAnsi="Times New Roman" w:cs="Times New Roman"/>
        </w:rPr>
        <w:t xml:space="preserve">See </w:t>
      </w:r>
      <w:r w:rsidRPr="00B476F1">
        <w:rPr>
          <w:rFonts w:ascii="Times New Roman" w:eastAsia="Calibri" w:hAnsi="Times New Roman" w:cs="Times New Roman"/>
        </w:rPr>
        <w:t xml:space="preserve">Fenwick, H., ‘Same Sex Unions and the Strasbourg Court in a Divided Europe: Driving Forward Reform or Protecting the Court’s Authority Via Consensus Analysis’ (2016) 3 </w:t>
      </w:r>
      <w:r w:rsidRPr="00B476F1">
        <w:rPr>
          <w:rFonts w:ascii="Times New Roman" w:eastAsia="Calibri" w:hAnsi="Times New Roman" w:cs="Times New Roman"/>
          <w:i/>
        </w:rPr>
        <w:t>EHRLR</w:t>
      </w:r>
      <w:r w:rsidRPr="00B476F1">
        <w:rPr>
          <w:rFonts w:ascii="Times New Roman" w:eastAsia="Calibri" w:hAnsi="Times New Roman" w:cs="Times New Roman"/>
        </w:rPr>
        <w:t xml:space="preserve"> 248.  See also </w:t>
      </w:r>
      <w:r w:rsidRPr="00B476F1">
        <w:rPr>
          <w:rFonts w:ascii="Times New Roman" w:eastAsia="Calibri" w:hAnsi="Times New Roman" w:cs="Times New Roman"/>
          <w:i/>
        </w:rPr>
        <w:t>Fenwick and Hayward</w:t>
      </w:r>
      <w:r w:rsidR="002D049A" w:rsidRPr="00B476F1">
        <w:rPr>
          <w:rFonts w:ascii="Times New Roman" w:eastAsia="Calibri" w:hAnsi="Times New Roman" w:cs="Times New Roman"/>
        </w:rPr>
        <w:t xml:space="preserve"> (n6)</w:t>
      </w:r>
      <w:r w:rsidRPr="00B476F1">
        <w:rPr>
          <w:rFonts w:ascii="Times New Roman" w:eastAsia="Calibri" w:hAnsi="Times New Roman" w:cs="Times New Roman"/>
        </w:rPr>
        <w:t>.</w:t>
      </w:r>
    </w:p>
    <w:p w:rsidR="00017C91" w:rsidRPr="00B476F1" w:rsidRDefault="00017C91" w:rsidP="009C78B8">
      <w:pPr>
        <w:pStyle w:val="FootnoteText"/>
        <w:jc w:val="both"/>
        <w:rPr>
          <w:rFonts w:ascii="Times New Roman" w:hAnsi="Times New Roman" w:cs="Times New Roman"/>
        </w:rPr>
      </w:pPr>
    </w:p>
  </w:footnote>
  <w:footnote w:id="15">
    <w:p w:rsidR="00017C91" w:rsidRPr="00B476F1" w:rsidRDefault="00017C91" w:rsidP="009C78B8">
      <w:pPr>
        <w:pStyle w:val="FootnoteText"/>
        <w:jc w:val="both"/>
        <w:rPr>
          <w:rFonts w:ascii="Times New Roman" w:eastAsia="Calibri"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w:t>
      </w:r>
      <w:r w:rsidRPr="00B476F1">
        <w:rPr>
          <w:rFonts w:ascii="Times New Roman" w:eastAsia="Calibri" w:hAnsi="Times New Roman" w:cs="Times New Roman"/>
          <w:i/>
        </w:rPr>
        <w:t>Fenwick</w:t>
      </w:r>
      <w:r w:rsidR="009B31E7" w:rsidRPr="00B476F1">
        <w:rPr>
          <w:rFonts w:ascii="Times New Roman" w:eastAsia="Calibri" w:hAnsi="Times New Roman" w:cs="Times New Roman"/>
        </w:rPr>
        <w:t xml:space="preserve"> (n14</w:t>
      </w:r>
      <w:r w:rsidRPr="00B476F1">
        <w:rPr>
          <w:rFonts w:ascii="Times New Roman" w:eastAsia="Calibri" w:hAnsi="Times New Roman" w:cs="Times New Roman"/>
        </w:rPr>
        <w:t xml:space="preserve">) 270 who explains that gay propaganda laws are still in force in Russia. See also Fenwick and Hayward who refer to the ‘state-based and social acceptance of homophobia’ p22. See also Johnson, P. ‘Homosexual Propaganda’ in the Russian Federation: Are They in Violation of the European Convention on Human Rights?’ (2015) 3(2) </w:t>
      </w:r>
      <w:r w:rsidRPr="00B476F1">
        <w:rPr>
          <w:rFonts w:ascii="Times New Roman" w:eastAsia="Calibri" w:hAnsi="Times New Roman" w:cs="Times New Roman"/>
          <w:i/>
        </w:rPr>
        <w:t>Russ. LJ</w:t>
      </w:r>
      <w:r w:rsidRPr="00B476F1">
        <w:rPr>
          <w:rFonts w:ascii="Times New Roman" w:eastAsia="Calibri" w:hAnsi="Times New Roman" w:cs="Times New Roman"/>
        </w:rPr>
        <w:t xml:space="preserve"> 37</w:t>
      </w:r>
    </w:p>
    <w:p w:rsidR="00017C91" w:rsidRPr="00B476F1" w:rsidRDefault="00017C91" w:rsidP="009C78B8">
      <w:pPr>
        <w:pStyle w:val="FootnoteText"/>
        <w:jc w:val="both"/>
        <w:rPr>
          <w:rFonts w:ascii="Times New Roman" w:hAnsi="Times New Roman" w:cs="Times New Roman"/>
        </w:rPr>
      </w:pPr>
    </w:p>
  </w:footnote>
  <w:footnote w:id="16">
    <w:p w:rsidR="00017C91" w:rsidRPr="00B476F1" w:rsidRDefault="00017C91">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Fedetova and Shipitko v Russia</w:t>
      </w:r>
      <w:r w:rsidRPr="00B476F1">
        <w:rPr>
          <w:rFonts w:ascii="Times New Roman" w:hAnsi="Times New Roman" w:cs="Times New Roman"/>
        </w:rPr>
        <w:t xml:space="preserve"> communicated on 2 May 2016. </w:t>
      </w:r>
    </w:p>
    <w:p w:rsidR="00017C91" w:rsidRPr="00B476F1" w:rsidRDefault="00017C91">
      <w:pPr>
        <w:pStyle w:val="FootnoteText"/>
        <w:rPr>
          <w:rFonts w:ascii="Times New Roman" w:hAnsi="Times New Roman" w:cs="Times New Roman"/>
        </w:rPr>
      </w:pPr>
    </w:p>
  </w:footnote>
  <w:footnote w:id="17">
    <w:p w:rsidR="00017C91" w:rsidRPr="00B476F1" w:rsidRDefault="00017C91">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Fenwick and Hayward</w:t>
      </w:r>
      <w:r w:rsidRPr="00B476F1">
        <w:rPr>
          <w:rFonts w:ascii="Times New Roman" w:hAnsi="Times New Roman" w:cs="Times New Roman"/>
        </w:rPr>
        <w:t xml:space="preserve"> </w:t>
      </w:r>
      <w:r w:rsidR="002D049A" w:rsidRPr="00B476F1">
        <w:rPr>
          <w:rFonts w:ascii="Times New Roman" w:hAnsi="Times New Roman" w:cs="Times New Roman"/>
        </w:rPr>
        <w:t xml:space="preserve">(n6) </w:t>
      </w:r>
      <w:r w:rsidRPr="00B476F1">
        <w:rPr>
          <w:rFonts w:ascii="Times New Roman" w:hAnsi="Times New Roman" w:cs="Times New Roman"/>
        </w:rPr>
        <w:t>22.</w:t>
      </w:r>
    </w:p>
    <w:p w:rsidR="00017C91" w:rsidRPr="00B476F1" w:rsidRDefault="00017C91">
      <w:pPr>
        <w:pStyle w:val="FootnoteText"/>
        <w:rPr>
          <w:rFonts w:ascii="Times New Roman" w:hAnsi="Times New Roman" w:cs="Times New Roman"/>
        </w:rPr>
      </w:pPr>
    </w:p>
  </w:footnote>
  <w:footnote w:id="18">
    <w:p w:rsidR="00017C91" w:rsidRPr="00B476F1" w:rsidRDefault="00017C91" w:rsidP="009C78B8">
      <w:pPr>
        <w:spacing w:after="0" w:line="240" w:lineRule="auto"/>
        <w:jc w:val="both"/>
        <w:rPr>
          <w:rFonts w:ascii="Times New Roman" w:eastAsia="Times New Roman" w:hAnsi="Times New Roman" w:cs="Times New Roman"/>
          <w:sz w:val="20"/>
          <w:szCs w:val="20"/>
          <w:lang w:eastAsia="en-GB"/>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See </w:t>
      </w:r>
      <w:r w:rsidRPr="00B476F1">
        <w:rPr>
          <w:rFonts w:ascii="Times New Roman" w:hAnsi="Times New Roman" w:cs="Times New Roman"/>
          <w:i/>
          <w:sz w:val="20"/>
          <w:szCs w:val="20"/>
        </w:rPr>
        <w:t>Fenwick</w:t>
      </w:r>
      <w:r w:rsidR="009B31E7" w:rsidRPr="00B476F1">
        <w:rPr>
          <w:rFonts w:ascii="Times New Roman" w:hAnsi="Times New Roman" w:cs="Times New Roman"/>
          <w:sz w:val="20"/>
          <w:szCs w:val="20"/>
        </w:rPr>
        <w:t xml:space="preserve"> (n14</w:t>
      </w:r>
      <w:r w:rsidRPr="00B476F1">
        <w:rPr>
          <w:rFonts w:ascii="Times New Roman" w:hAnsi="Times New Roman" w:cs="Times New Roman"/>
          <w:sz w:val="20"/>
          <w:szCs w:val="20"/>
        </w:rPr>
        <w:t xml:space="preserve">) and </w:t>
      </w:r>
      <w:r w:rsidRPr="00B476F1">
        <w:rPr>
          <w:rFonts w:ascii="Times New Roman" w:hAnsi="Times New Roman" w:cs="Times New Roman"/>
          <w:i/>
          <w:sz w:val="20"/>
          <w:szCs w:val="20"/>
        </w:rPr>
        <w:t>Dzehtsiarou</w:t>
      </w:r>
      <w:r w:rsidRPr="00B476F1">
        <w:rPr>
          <w:rFonts w:ascii="Times New Roman" w:hAnsi="Times New Roman" w:cs="Times New Roman"/>
          <w:sz w:val="20"/>
          <w:szCs w:val="20"/>
        </w:rPr>
        <w:t xml:space="preserve">, K. ‘Does Consensus Matter? Legitimacy of European Consensus in the Case Law of the European Court of Human Rights’ (2011) 3 </w:t>
      </w:r>
      <w:r w:rsidRPr="00B476F1">
        <w:rPr>
          <w:rFonts w:ascii="Times New Roman" w:hAnsi="Times New Roman" w:cs="Times New Roman"/>
          <w:i/>
          <w:sz w:val="20"/>
          <w:szCs w:val="20"/>
        </w:rPr>
        <w:t xml:space="preserve">PL </w:t>
      </w:r>
      <w:r w:rsidRPr="00B476F1">
        <w:rPr>
          <w:rFonts w:ascii="Times New Roman" w:hAnsi="Times New Roman" w:cs="Times New Roman"/>
          <w:sz w:val="20"/>
          <w:szCs w:val="20"/>
        </w:rPr>
        <w:t xml:space="preserve">534, </w:t>
      </w:r>
      <w:r w:rsidRPr="00B476F1">
        <w:rPr>
          <w:rFonts w:ascii="Times New Roman" w:eastAsia="Times New Roman" w:hAnsi="Times New Roman" w:cs="Times New Roman"/>
          <w:sz w:val="20"/>
          <w:szCs w:val="20"/>
          <w:lang w:eastAsia="en-GB"/>
        </w:rPr>
        <w:t>Hodson, L., ‘A Marriage by Any Other Name? Shalk and Kopf v Austria (2011)</w:t>
      </w:r>
      <w:r w:rsidRPr="00B476F1">
        <w:rPr>
          <w:rFonts w:ascii="Times New Roman" w:eastAsia="Times New Roman" w:hAnsi="Times New Roman" w:cs="Times New Roman"/>
          <w:i/>
          <w:sz w:val="20"/>
          <w:szCs w:val="20"/>
          <w:lang w:eastAsia="en-GB"/>
        </w:rPr>
        <w:t xml:space="preserve"> 11(1) HRLR</w:t>
      </w:r>
      <w:r w:rsidR="002D049A" w:rsidRPr="00B476F1">
        <w:rPr>
          <w:rFonts w:ascii="Times New Roman" w:eastAsia="Times New Roman" w:hAnsi="Times New Roman" w:cs="Times New Roman"/>
          <w:sz w:val="20"/>
          <w:szCs w:val="20"/>
          <w:lang w:eastAsia="en-GB"/>
        </w:rPr>
        <w:t xml:space="preserve"> 170; Sweeney, J.A. ‘</w:t>
      </w:r>
      <w:r w:rsidRPr="00B476F1">
        <w:rPr>
          <w:rFonts w:ascii="Times New Roman" w:eastAsia="Times New Roman" w:hAnsi="Times New Roman" w:cs="Times New Roman"/>
          <w:sz w:val="20"/>
          <w:szCs w:val="20"/>
          <w:lang w:eastAsia="en-GB"/>
        </w:rPr>
        <w:t xml:space="preserve">Margin of Appreciation: Cultural Relativity and the European Court of Human Rights in the Post-Cold War Era (2005) 54 </w:t>
      </w:r>
      <w:r w:rsidRPr="00B476F1">
        <w:rPr>
          <w:rFonts w:ascii="Times New Roman" w:eastAsia="Times New Roman" w:hAnsi="Times New Roman" w:cs="Times New Roman"/>
          <w:i/>
          <w:sz w:val="20"/>
          <w:szCs w:val="20"/>
          <w:lang w:eastAsia="en-GB"/>
        </w:rPr>
        <w:t xml:space="preserve">ICLQ </w:t>
      </w:r>
      <w:r w:rsidRPr="00B476F1">
        <w:rPr>
          <w:rFonts w:ascii="Times New Roman" w:eastAsia="Times New Roman" w:hAnsi="Times New Roman" w:cs="Times New Roman"/>
          <w:sz w:val="20"/>
          <w:szCs w:val="20"/>
          <w:lang w:eastAsia="en-GB"/>
        </w:rPr>
        <w:t xml:space="preserve">459; </w:t>
      </w:r>
      <w:r w:rsidRPr="00B476F1">
        <w:rPr>
          <w:rFonts w:ascii="Times New Roman" w:hAnsi="Times New Roman" w:cs="Times New Roman"/>
          <w:sz w:val="20"/>
          <w:szCs w:val="20"/>
        </w:rPr>
        <w:t xml:space="preserve">Lord Lester, ‘The European Convention in the New Architecture of Europe’ (1996) 1 </w:t>
      </w:r>
      <w:r w:rsidRPr="00B476F1">
        <w:rPr>
          <w:rFonts w:ascii="Times New Roman" w:hAnsi="Times New Roman" w:cs="Times New Roman"/>
          <w:i/>
          <w:sz w:val="20"/>
          <w:szCs w:val="20"/>
        </w:rPr>
        <w:t>PL</w:t>
      </w:r>
      <w:r w:rsidRPr="00B476F1">
        <w:rPr>
          <w:rFonts w:ascii="Times New Roman" w:hAnsi="Times New Roman" w:cs="Times New Roman"/>
          <w:sz w:val="20"/>
          <w:szCs w:val="20"/>
        </w:rPr>
        <w:t xml:space="preserve"> 6 </w:t>
      </w:r>
      <w:r w:rsidRPr="00B476F1">
        <w:rPr>
          <w:rFonts w:ascii="Times New Roman" w:eastAsia="Times New Roman" w:hAnsi="Times New Roman" w:cs="Times New Roman"/>
          <w:sz w:val="20"/>
          <w:szCs w:val="20"/>
          <w:lang w:eastAsia="en-GB"/>
        </w:rPr>
        <w:t xml:space="preserve">and </w:t>
      </w:r>
      <w:r w:rsidRPr="00B476F1">
        <w:rPr>
          <w:rFonts w:ascii="Times New Roman" w:hAnsi="Times New Roman" w:cs="Times New Roman"/>
          <w:sz w:val="20"/>
          <w:szCs w:val="20"/>
        </w:rPr>
        <w:t>Benvenisti, E.,’</w:t>
      </w:r>
      <w:r w:rsidRPr="00B476F1">
        <w:rPr>
          <w:rFonts w:ascii="Times New Roman" w:eastAsia="Times New Roman" w:hAnsi="Times New Roman" w:cs="Times New Roman"/>
          <w:sz w:val="20"/>
          <w:szCs w:val="20"/>
          <w:lang w:eastAsia="en-GB"/>
        </w:rPr>
        <w:t xml:space="preserve">Margin of Appreciation, Consensus and Universal Standards (1998-1999) 31 </w:t>
      </w:r>
      <w:r w:rsidRPr="00B476F1">
        <w:rPr>
          <w:rFonts w:ascii="Times New Roman" w:eastAsia="Times New Roman" w:hAnsi="Times New Roman" w:cs="Times New Roman"/>
          <w:i/>
          <w:sz w:val="20"/>
          <w:szCs w:val="20"/>
          <w:lang w:eastAsia="en-GB"/>
        </w:rPr>
        <w:t>NYUJ of Inter L and Politics</w:t>
      </w:r>
      <w:r w:rsidRPr="00B476F1">
        <w:rPr>
          <w:rFonts w:ascii="Times New Roman" w:eastAsia="Times New Roman" w:hAnsi="Times New Roman" w:cs="Times New Roman"/>
          <w:sz w:val="20"/>
          <w:szCs w:val="20"/>
          <w:lang w:eastAsia="en-GB"/>
        </w:rPr>
        <w:t xml:space="preserve"> </w:t>
      </w:r>
      <w:r w:rsidRPr="00B476F1">
        <w:rPr>
          <w:rFonts w:ascii="Times New Roman" w:hAnsi="Times New Roman" w:cs="Times New Roman"/>
          <w:sz w:val="20"/>
          <w:szCs w:val="20"/>
        </w:rPr>
        <w:t>843.</w:t>
      </w:r>
    </w:p>
    <w:p w:rsidR="00017C91" w:rsidRPr="00B476F1" w:rsidRDefault="00017C91" w:rsidP="009C78B8">
      <w:pPr>
        <w:pStyle w:val="FootnoteText"/>
        <w:jc w:val="both"/>
        <w:rPr>
          <w:rFonts w:ascii="Times New Roman" w:hAnsi="Times New Roman" w:cs="Times New Roman"/>
        </w:rPr>
      </w:pPr>
    </w:p>
  </w:footnote>
  <w:footnote w:id="19">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Lewis, T. ‘</w:t>
      </w:r>
      <w:r w:rsidRPr="00B476F1">
        <w:rPr>
          <w:rFonts w:ascii="Times New Roman" w:eastAsia="Times New Roman" w:hAnsi="Times New Roman" w:cs="Times New Roman"/>
          <w:lang w:eastAsia="en-GB"/>
        </w:rPr>
        <w:t xml:space="preserve">What Not to Wear: Religious Rights, the European Court and the Margin of Appreciation’ (2007) 56 </w:t>
      </w:r>
      <w:r w:rsidRPr="00B476F1">
        <w:rPr>
          <w:rFonts w:ascii="Times New Roman" w:eastAsia="Times New Roman" w:hAnsi="Times New Roman" w:cs="Times New Roman"/>
          <w:i/>
          <w:lang w:eastAsia="en-GB"/>
        </w:rPr>
        <w:t>ICLQ</w:t>
      </w:r>
      <w:r w:rsidRPr="00B476F1">
        <w:rPr>
          <w:rFonts w:ascii="Times New Roman" w:eastAsia="Times New Roman" w:hAnsi="Times New Roman" w:cs="Times New Roman"/>
          <w:lang w:eastAsia="en-GB"/>
        </w:rPr>
        <w:t xml:space="preserve"> 395.</w:t>
      </w:r>
      <w:r w:rsidRPr="00B476F1">
        <w:rPr>
          <w:rFonts w:ascii="Times New Roman" w:hAnsi="Times New Roman" w:cs="Times New Roman"/>
        </w:rPr>
        <w:t>414 comments that the MoA should not be used as an ‘intellectually lazy option of running for cover.’</w:t>
      </w:r>
    </w:p>
    <w:p w:rsidR="00017C91" w:rsidRPr="00B476F1" w:rsidRDefault="00017C91" w:rsidP="009C78B8">
      <w:pPr>
        <w:pStyle w:val="FootnoteText"/>
        <w:jc w:val="both"/>
        <w:rPr>
          <w:rFonts w:ascii="Times New Roman" w:hAnsi="Times New Roman" w:cs="Times New Roman"/>
        </w:rPr>
      </w:pPr>
    </w:p>
  </w:footnote>
  <w:footnote w:id="20">
    <w:p w:rsidR="00017C91" w:rsidRPr="00B476F1" w:rsidRDefault="00017C91" w:rsidP="009C78B8">
      <w:pPr>
        <w:spacing w:after="0" w:line="240" w:lineRule="auto"/>
        <w:jc w:val="both"/>
        <w:rPr>
          <w:rFonts w:ascii="Times New Roman" w:eastAsia="Times New Roman" w:hAnsi="Times New Roman" w:cs="Times New Roman"/>
          <w:sz w:val="20"/>
          <w:szCs w:val="20"/>
          <w:lang w:eastAsia="en-GB"/>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See for discussion </w:t>
      </w:r>
      <w:r w:rsidRPr="00B476F1">
        <w:rPr>
          <w:rFonts w:ascii="Times New Roman" w:eastAsia="Times New Roman" w:hAnsi="Times New Roman" w:cs="Times New Roman"/>
          <w:sz w:val="20"/>
          <w:szCs w:val="20"/>
          <w:lang w:eastAsia="en-GB"/>
        </w:rPr>
        <w:t xml:space="preserve">Hutchinson, M. ‘The Margin of Appreciation Doctrine in the European Court of Human Rights’(1999) 48 </w:t>
      </w:r>
      <w:r w:rsidRPr="00B476F1">
        <w:rPr>
          <w:rFonts w:ascii="Times New Roman" w:eastAsia="Times New Roman" w:hAnsi="Times New Roman" w:cs="Times New Roman"/>
          <w:i/>
          <w:sz w:val="20"/>
          <w:szCs w:val="20"/>
          <w:lang w:eastAsia="en-GB"/>
        </w:rPr>
        <w:t>ICLQ</w:t>
      </w:r>
      <w:r w:rsidRPr="00B476F1">
        <w:rPr>
          <w:rFonts w:ascii="Times New Roman" w:eastAsia="Times New Roman" w:hAnsi="Times New Roman" w:cs="Times New Roman"/>
          <w:sz w:val="20"/>
          <w:szCs w:val="20"/>
          <w:lang w:eastAsia="en-GB"/>
        </w:rPr>
        <w:t xml:space="preserve"> 638 </w:t>
      </w:r>
      <w:r w:rsidRPr="00B476F1">
        <w:rPr>
          <w:rFonts w:ascii="Times New Roman" w:hAnsi="Times New Roman" w:cs="Times New Roman"/>
          <w:sz w:val="20"/>
          <w:szCs w:val="20"/>
        </w:rPr>
        <w:t xml:space="preserve">and Brauch J. The Margin of Appreciation and the Jurisprudence of the European Court of Human Rights: Threat to the Rule of Law (2004-2005) 11 </w:t>
      </w:r>
      <w:r w:rsidRPr="00B476F1">
        <w:rPr>
          <w:rFonts w:ascii="Times New Roman" w:hAnsi="Times New Roman" w:cs="Times New Roman"/>
          <w:i/>
          <w:sz w:val="20"/>
          <w:szCs w:val="20"/>
        </w:rPr>
        <w:t>Columbia J or Eur L</w:t>
      </w:r>
      <w:r w:rsidRPr="00B476F1">
        <w:rPr>
          <w:rFonts w:ascii="Times New Roman" w:hAnsi="Times New Roman" w:cs="Times New Roman"/>
          <w:sz w:val="20"/>
          <w:szCs w:val="20"/>
        </w:rPr>
        <w:t>113.</w:t>
      </w:r>
    </w:p>
    <w:p w:rsidR="00017C91" w:rsidRPr="00B476F1" w:rsidRDefault="00017C91" w:rsidP="009C78B8">
      <w:pPr>
        <w:pStyle w:val="FootnoteText"/>
        <w:jc w:val="both"/>
        <w:rPr>
          <w:rFonts w:ascii="Times New Roman" w:hAnsi="Times New Roman" w:cs="Times New Roman"/>
        </w:rPr>
      </w:pPr>
    </w:p>
  </w:footnote>
  <w:footnote w:id="21">
    <w:p w:rsidR="00017C91" w:rsidRPr="00B476F1" w:rsidRDefault="00017C91" w:rsidP="009C78B8">
      <w:pPr>
        <w:pStyle w:val="FootnoteText"/>
        <w:jc w:val="both"/>
        <w:rPr>
          <w:rFonts w:ascii="Times New Roman" w:eastAsia="Times New Roman" w:hAnsi="Times New Roman" w:cs="Times New Roman"/>
          <w:lang w:eastAsia="en-GB"/>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eastAsia="Times New Roman" w:hAnsi="Times New Roman" w:cs="Times New Roman"/>
          <w:lang w:eastAsia="en-GB"/>
        </w:rPr>
        <w:t xml:space="preserve">Shany, Y., ‘Toward a General Margin of Appreciation Doctrine in International Law’ (2005) 16(5) </w:t>
      </w:r>
      <w:r w:rsidRPr="00B476F1">
        <w:rPr>
          <w:rFonts w:ascii="Times New Roman" w:eastAsia="Times New Roman" w:hAnsi="Times New Roman" w:cs="Times New Roman"/>
          <w:i/>
          <w:lang w:eastAsia="en-GB"/>
        </w:rPr>
        <w:t xml:space="preserve">Eur J of Inter L </w:t>
      </w:r>
      <w:r w:rsidRPr="00B476F1">
        <w:rPr>
          <w:rFonts w:ascii="Times New Roman" w:eastAsia="Times New Roman" w:hAnsi="Times New Roman" w:cs="Times New Roman"/>
          <w:lang w:eastAsia="en-GB"/>
        </w:rPr>
        <w:t xml:space="preserve">907, 912 </w:t>
      </w:r>
    </w:p>
    <w:p w:rsidR="00017C91" w:rsidRPr="00B476F1" w:rsidRDefault="00017C91" w:rsidP="009C78B8">
      <w:pPr>
        <w:pStyle w:val="FootnoteText"/>
        <w:jc w:val="both"/>
        <w:rPr>
          <w:rFonts w:ascii="Times New Roman" w:hAnsi="Times New Roman" w:cs="Times New Roman"/>
        </w:rPr>
      </w:pPr>
    </w:p>
  </w:footnote>
  <w:footnote w:id="22">
    <w:p w:rsidR="002D049A" w:rsidRPr="00B476F1" w:rsidRDefault="002D049A" w:rsidP="002D049A">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For example Member States could be relying on discredited arguments such as the slippery slope argument (that same-sex marriage would lead to polygamy for example) as well as the definitional argument (that ‘traditions change and dictionaries are not the law’ and the procreation argument (that marriage is for procreative purposes only).</w:t>
      </w:r>
    </w:p>
    <w:p w:rsidR="002D049A" w:rsidRPr="00B476F1" w:rsidRDefault="002D049A" w:rsidP="002D049A">
      <w:pPr>
        <w:pStyle w:val="FootnoteText"/>
        <w:jc w:val="both"/>
        <w:rPr>
          <w:rFonts w:ascii="Times New Roman" w:hAnsi="Times New Roman" w:cs="Times New Roman"/>
        </w:rPr>
      </w:pPr>
    </w:p>
  </w:footnote>
  <w:footnote w:id="23">
    <w:p w:rsidR="002D049A" w:rsidRPr="00B476F1" w:rsidRDefault="002D049A">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Hamilton, F. ‘</w:t>
      </w:r>
      <w:r w:rsidRPr="00B476F1">
        <w:rPr>
          <w:rFonts w:ascii="Times New Roman" w:hAnsi="Times New Roman" w:cs="Times New Roman"/>
          <w:color w:val="32322F"/>
          <w:shd w:val="clear" w:color="auto" w:fill="FFFFFF"/>
        </w:rPr>
        <w:t>Why the Margin of Appreciation is not the Answer to the G</w:t>
      </w:r>
      <w:r w:rsidRPr="00B476F1">
        <w:rPr>
          <w:rFonts w:ascii="Times New Roman" w:hAnsi="Times New Roman" w:cs="Times New Roman"/>
          <w:color w:val="32322F"/>
          <w:shd w:val="clear" w:color="auto" w:fill="FFFFFF"/>
        </w:rPr>
        <w:t>ay</w:t>
      </w:r>
      <w:r w:rsidRPr="00B476F1">
        <w:rPr>
          <w:rFonts w:ascii="Times New Roman" w:hAnsi="Times New Roman" w:cs="Times New Roman"/>
          <w:color w:val="32322F"/>
          <w:shd w:val="clear" w:color="auto" w:fill="FFFFFF"/>
        </w:rPr>
        <w:t xml:space="preserve"> Marriage Debate’ </w:t>
      </w:r>
      <w:r w:rsidRPr="00B476F1">
        <w:rPr>
          <w:rFonts w:ascii="Times New Roman" w:hAnsi="Times New Roman" w:cs="Times New Roman"/>
          <w:color w:val="32322F"/>
          <w:shd w:val="clear" w:color="auto" w:fill="FFFFFF"/>
        </w:rPr>
        <w:t> </w:t>
      </w:r>
      <w:r w:rsidRPr="00B476F1">
        <w:rPr>
          <w:rFonts w:ascii="Times New Roman" w:hAnsi="Times New Roman" w:cs="Times New Roman"/>
          <w:color w:val="32322F"/>
          <w:shd w:val="clear" w:color="auto" w:fill="FFFFFF"/>
        </w:rPr>
        <w:t xml:space="preserve">(2013) 1 EHRLR </w:t>
      </w:r>
      <w:r w:rsidRPr="00B476F1">
        <w:rPr>
          <w:rFonts w:ascii="Times New Roman" w:hAnsi="Times New Roman" w:cs="Times New Roman"/>
          <w:color w:val="32322F"/>
          <w:shd w:val="clear" w:color="auto" w:fill="FFFFFF"/>
        </w:rPr>
        <w:t>47</w:t>
      </w:r>
      <w:r w:rsidRPr="00B476F1">
        <w:rPr>
          <w:rFonts w:ascii="Times New Roman" w:hAnsi="Times New Roman" w:cs="Times New Roman"/>
          <w:color w:val="32322F"/>
          <w:shd w:val="clear" w:color="auto" w:fill="FFFFFF"/>
        </w:rPr>
        <w:t>.</w:t>
      </w:r>
    </w:p>
    <w:p w:rsidR="002D049A" w:rsidRPr="00B476F1" w:rsidRDefault="002D049A">
      <w:pPr>
        <w:pStyle w:val="FootnoteText"/>
        <w:rPr>
          <w:rFonts w:ascii="Times New Roman" w:hAnsi="Times New Roman" w:cs="Times New Roman"/>
        </w:rPr>
      </w:pPr>
    </w:p>
  </w:footnote>
  <w:footnote w:id="24">
    <w:p w:rsidR="00017C91" w:rsidRPr="00B476F1" w:rsidRDefault="00017C91" w:rsidP="009C78B8">
      <w:pPr>
        <w:spacing w:after="0" w:line="240" w:lineRule="auto"/>
        <w:jc w:val="both"/>
        <w:rPr>
          <w:rFonts w:ascii="Times New Roman" w:eastAsia="Times New Roman" w:hAnsi="Times New Roman" w:cs="Times New Roman"/>
          <w:sz w:val="20"/>
          <w:szCs w:val="20"/>
          <w:lang w:eastAsia="en-GB"/>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In </w:t>
      </w:r>
      <w:r w:rsidRPr="00B476F1">
        <w:rPr>
          <w:rFonts w:ascii="Times New Roman" w:hAnsi="Times New Roman" w:cs="Times New Roman"/>
          <w:i/>
          <w:sz w:val="20"/>
          <w:szCs w:val="20"/>
        </w:rPr>
        <w:t>Estin v Estin</w:t>
      </w:r>
      <w:r w:rsidRPr="00B476F1">
        <w:rPr>
          <w:rFonts w:ascii="Times New Roman" w:hAnsi="Times New Roman" w:cs="Times New Roman"/>
          <w:sz w:val="20"/>
          <w:szCs w:val="20"/>
        </w:rPr>
        <w:t xml:space="preserve">, 334 US 541, 553 (1948) </w:t>
      </w:r>
      <w:r w:rsidRPr="00B476F1">
        <w:rPr>
          <w:rFonts w:ascii="Times New Roman" w:eastAsia="Times New Roman" w:hAnsi="Times New Roman" w:cs="Times New Roman"/>
          <w:sz w:val="20"/>
          <w:szCs w:val="20"/>
          <w:lang w:eastAsia="en-GB"/>
        </w:rPr>
        <w:t xml:space="preserve">Robert Jackson J commented that “one thing that people are entitled to know from the law is whether they are formally married”. </w:t>
      </w:r>
      <w:r w:rsidRPr="00B476F1">
        <w:rPr>
          <w:rFonts w:ascii="Times New Roman" w:eastAsia="Times New Roman" w:hAnsi="Times New Roman" w:cs="Times New Roman"/>
          <w:iCs/>
          <w:sz w:val="20"/>
          <w:szCs w:val="20"/>
          <w:lang w:eastAsia="en-GB"/>
        </w:rPr>
        <w:t>See also</w:t>
      </w:r>
      <w:r w:rsidRPr="00B476F1">
        <w:rPr>
          <w:rFonts w:ascii="Times New Roman" w:eastAsia="Times New Roman" w:hAnsi="Times New Roman" w:cs="Times New Roman"/>
          <w:sz w:val="20"/>
          <w:szCs w:val="20"/>
          <w:lang w:eastAsia="en-GB"/>
        </w:rPr>
        <w:t xml:space="preserve"> </w:t>
      </w:r>
      <w:r w:rsidR="009B31E7" w:rsidRPr="00B476F1">
        <w:rPr>
          <w:rFonts w:ascii="Times New Roman" w:hAnsi="Times New Roman" w:cs="Times New Roman"/>
          <w:sz w:val="20"/>
          <w:szCs w:val="20"/>
        </w:rPr>
        <w:t>Stark, B.</w:t>
      </w:r>
      <w:r w:rsidRPr="00B476F1">
        <w:rPr>
          <w:rFonts w:ascii="Times New Roman" w:hAnsi="Times New Roman" w:cs="Times New Roman"/>
          <w:sz w:val="20"/>
          <w:szCs w:val="20"/>
        </w:rPr>
        <w:t xml:space="preserve">‘When Globalization Hits Home: International Family Law Comes of Age’ (2006) 36 </w:t>
      </w:r>
      <w:r w:rsidRPr="00B476F1">
        <w:rPr>
          <w:rFonts w:ascii="Times New Roman" w:hAnsi="Times New Roman" w:cs="Times New Roman"/>
          <w:i/>
          <w:sz w:val="20"/>
          <w:szCs w:val="20"/>
        </w:rPr>
        <w:t>Vanderbilt J of Trans L</w:t>
      </w:r>
      <w:r w:rsidRPr="00B476F1">
        <w:rPr>
          <w:rFonts w:ascii="Times New Roman" w:hAnsi="Times New Roman" w:cs="Times New Roman"/>
          <w:sz w:val="20"/>
          <w:szCs w:val="20"/>
        </w:rPr>
        <w:t xml:space="preserve">. 1551 and McClain, L. ‘Deliberative Democracy, Overlapping Consensus and Same-Sex Marriage, (1997-1998) </w:t>
      </w:r>
      <w:r w:rsidRPr="00B476F1">
        <w:rPr>
          <w:rFonts w:ascii="Times New Roman" w:eastAsia="Times New Roman" w:hAnsi="Times New Roman" w:cs="Times New Roman"/>
          <w:i/>
          <w:sz w:val="20"/>
          <w:szCs w:val="20"/>
          <w:lang w:eastAsia="en-GB"/>
        </w:rPr>
        <w:t>Fordham L R</w:t>
      </w:r>
      <w:r w:rsidRPr="00B476F1">
        <w:rPr>
          <w:rFonts w:ascii="Times New Roman" w:eastAsia="Times New Roman" w:hAnsi="Times New Roman" w:cs="Times New Roman"/>
          <w:sz w:val="20"/>
          <w:szCs w:val="20"/>
          <w:lang w:eastAsia="en-GB"/>
        </w:rPr>
        <w:t xml:space="preserve"> 1241.</w:t>
      </w:r>
    </w:p>
    <w:p w:rsidR="00017C91" w:rsidRPr="00B476F1" w:rsidRDefault="00017C91" w:rsidP="009C78B8">
      <w:pPr>
        <w:spacing w:after="0" w:line="240" w:lineRule="auto"/>
        <w:jc w:val="both"/>
        <w:rPr>
          <w:rFonts w:ascii="Times New Roman" w:eastAsia="Times New Roman" w:hAnsi="Times New Roman" w:cs="Times New Roman"/>
          <w:sz w:val="20"/>
          <w:szCs w:val="20"/>
          <w:lang w:eastAsia="en-GB"/>
        </w:rPr>
      </w:pPr>
    </w:p>
  </w:footnote>
  <w:footnote w:id="25">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Cs/>
        </w:rPr>
        <w:t>See</w:t>
      </w:r>
      <w:r w:rsidRPr="00B476F1">
        <w:rPr>
          <w:rFonts w:ascii="Times New Roman" w:hAnsi="Times New Roman" w:cs="Times New Roman"/>
        </w:rPr>
        <w:t xml:space="preserve"> eg </w:t>
      </w:r>
      <w:r w:rsidRPr="00B476F1">
        <w:rPr>
          <w:rFonts w:ascii="Times New Roman" w:hAnsi="Times New Roman" w:cs="Times New Roman"/>
          <w:i/>
        </w:rPr>
        <w:t>Goodridge v Department of Public Health</w:t>
      </w:r>
      <w:r w:rsidRPr="00B476F1">
        <w:rPr>
          <w:rFonts w:ascii="Times New Roman" w:hAnsi="Times New Roman" w:cs="Times New Roman"/>
        </w:rPr>
        <w:t xml:space="preserve">, 798 NE 2d 941 (Mass 2003); </w:t>
      </w:r>
      <w:r w:rsidRPr="00B476F1">
        <w:rPr>
          <w:rFonts w:ascii="Times New Roman" w:hAnsi="Times New Roman" w:cs="Times New Roman"/>
          <w:i/>
        </w:rPr>
        <w:t>Loving v Virginia</w:t>
      </w:r>
      <w:r w:rsidRPr="00B476F1">
        <w:rPr>
          <w:rFonts w:ascii="Times New Roman" w:hAnsi="Times New Roman" w:cs="Times New Roman"/>
        </w:rPr>
        <w:t xml:space="preserve">, 388 US 1 (1967) and </w:t>
      </w:r>
      <w:r w:rsidRPr="00B476F1">
        <w:rPr>
          <w:rFonts w:ascii="Times New Roman" w:hAnsi="Times New Roman" w:cs="Times New Roman"/>
          <w:i/>
        </w:rPr>
        <w:t xml:space="preserve">Obergefell v Hodges </w:t>
      </w:r>
      <w:r w:rsidRPr="00B476F1">
        <w:rPr>
          <w:rFonts w:ascii="Times New Roman" w:hAnsi="Times New Roman" w:cs="Times New Roman"/>
        </w:rPr>
        <w:t>576 US (2015).</w:t>
      </w:r>
    </w:p>
    <w:p w:rsidR="00017C91" w:rsidRPr="00B476F1" w:rsidRDefault="00017C91" w:rsidP="009C78B8">
      <w:pPr>
        <w:pStyle w:val="FootnoteText"/>
        <w:jc w:val="both"/>
        <w:rPr>
          <w:rFonts w:ascii="Times New Roman" w:hAnsi="Times New Roman" w:cs="Times New Roman"/>
        </w:rPr>
      </w:pPr>
    </w:p>
  </w:footnote>
  <w:footnote w:id="26">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Eg Article 12 Right to Marry European Convention on Human Rights. </w:t>
      </w:r>
    </w:p>
    <w:p w:rsidR="00017C91" w:rsidRPr="00B476F1" w:rsidRDefault="00017C91" w:rsidP="009C78B8">
      <w:pPr>
        <w:pStyle w:val="FootnoteText"/>
        <w:jc w:val="both"/>
        <w:rPr>
          <w:rFonts w:ascii="Times New Roman" w:hAnsi="Times New Roman" w:cs="Times New Roman"/>
        </w:rPr>
      </w:pPr>
    </w:p>
  </w:footnote>
  <w:footnote w:id="27">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Eg on intestacy, inheritance and tax purposes</w:t>
      </w:r>
    </w:p>
    <w:p w:rsidR="00017C91" w:rsidRPr="00B476F1" w:rsidRDefault="00017C91" w:rsidP="009C78B8">
      <w:pPr>
        <w:pStyle w:val="FootnoteText"/>
        <w:jc w:val="both"/>
        <w:rPr>
          <w:rFonts w:ascii="Times New Roman" w:hAnsi="Times New Roman" w:cs="Times New Roman"/>
        </w:rPr>
      </w:pPr>
    </w:p>
  </w:footnote>
  <w:footnote w:id="28">
    <w:p w:rsidR="00017C91" w:rsidRPr="00B476F1" w:rsidRDefault="00017C91" w:rsidP="009C78B8">
      <w:pPr>
        <w:spacing w:after="0" w:line="240" w:lineRule="auto"/>
        <w:jc w:val="both"/>
        <w:rPr>
          <w:rFonts w:ascii="Times New Roman" w:hAnsi="Times New Roman" w:cs="Times New Roman"/>
          <w:sz w:val="20"/>
          <w:szCs w:val="20"/>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See Bamforth, N., ‘Sexuality and Citizenship in Contemporary Constitutional Argument’ (2012) 10(2) </w:t>
      </w:r>
      <w:r w:rsidRPr="00B476F1">
        <w:rPr>
          <w:rFonts w:ascii="Times New Roman" w:hAnsi="Times New Roman" w:cs="Times New Roman"/>
          <w:i/>
          <w:sz w:val="20"/>
          <w:szCs w:val="20"/>
        </w:rPr>
        <w:t>Inter J Const L</w:t>
      </w:r>
      <w:r w:rsidRPr="00B476F1">
        <w:rPr>
          <w:rFonts w:ascii="Times New Roman" w:hAnsi="Times New Roman" w:cs="Times New Roman"/>
          <w:sz w:val="20"/>
          <w:szCs w:val="20"/>
        </w:rPr>
        <w:t xml:space="preserve"> 477; Frimston, R., ‘Marriage and Non-Marital Registered Partnerships: Gold, Silver and Bronze in Private International Law” (2006) </w:t>
      </w:r>
      <w:r w:rsidRPr="00B476F1">
        <w:rPr>
          <w:rFonts w:ascii="Times New Roman" w:hAnsi="Times New Roman" w:cs="Times New Roman"/>
          <w:i/>
          <w:sz w:val="20"/>
          <w:szCs w:val="20"/>
        </w:rPr>
        <w:t xml:space="preserve">Private Client Business </w:t>
      </w:r>
      <w:r w:rsidRPr="00B476F1">
        <w:rPr>
          <w:rFonts w:ascii="Times New Roman" w:hAnsi="Times New Roman" w:cs="Times New Roman"/>
          <w:sz w:val="20"/>
          <w:szCs w:val="20"/>
        </w:rPr>
        <w:t xml:space="preserve">352 and Aloni, E., ‘Incrementalism, Civil Unions and the Possibility of Predicting Same-Sex Marriage’ (2010–2011) 18 </w:t>
      </w:r>
      <w:r w:rsidRPr="00B476F1">
        <w:rPr>
          <w:rFonts w:ascii="Times New Roman" w:hAnsi="Times New Roman" w:cs="Times New Roman"/>
          <w:i/>
          <w:sz w:val="20"/>
          <w:szCs w:val="20"/>
        </w:rPr>
        <w:t>Duke J of Gender L and Pol’y</w:t>
      </w:r>
      <w:r w:rsidRPr="00B476F1">
        <w:rPr>
          <w:rFonts w:ascii="Times New Roman" w:hAnsi="Times New Roman" w:cs="Times New Roman"/>
          <w:sz w:val="20"/>
          <w:szCs w:val="20"/>
        </w:rPr>
        <w:t xml:space="preserve"> 105.</w:t>
      </w:r>
    </w:p>
    <w:p w:rsidR="00017C91" w:rsidRPr="00B476F1" w:rsidRDefault="00017C91" w:rsidP="009C78B8">
      <w:pPr>
        <w:pStyle w:val="FootnoteText"/>
        <w:jc w:val="both"/>
        <w:rPr>
          <w:rFonts w:ascii="Times New Roman" w:hAnsi="Times New Roman" w:cs="Times New Roman"/>
        </w:rPr>
      </w:pPr>
    </w:p>
  </w:footnote>
  <w:footnote w:id="29">
    <w:p w:rsidR="00017C91" w:rsidRPr="00B476F1" w:rsidRDefault="00017C91" w:rsidP="009C78B8">
      <w:pPr>
        <w:spacing w:after="0" w:line="240" w:lineRule="auto"/>
        <w:jc w:val="both"/>
        <w:rPr>
          <w:rFonts w:ascii="Times New Roman" w:hAnsi="Times New Roman" w:cs="Times New Roman"/>
          <w:sz w:val="20"/>
          <w:szCs w:val="20"/>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Bribosia, E., Rorive, I. and Van den Eynde, L. ‘Same-Sex Marriage: Building an Argument Before the European Court of Human Rights in Light of the US Experience’ 2014 32(1) </w:t>
      </w:r>
      <w:r w:rsidRPr="00B476F1">
        <w:rPr>
          <w:rFonts w:ascii="Times New Roman" w:hAnsi="Times New Roman" w:cs="Times New Roman"/>
          <w:i/>
          <w:sz w:val="20"/>
          <w:szCs w:val="20"/>
        </w:rPr>
        <w:t>Berkeley J of Inter L</w:t>
      </w:r>
      <w:r w:rsidRPr="00B476F1">
        <w:rPr>
          <w:rFonts w:ascii="Times New Roman" w:hAnsi="Times New Roman" w:cs="Times New Roman"/>
          <w:sz w:val="20"/>
          <w:szCs w:val="20"/>
        </w:rPr>
        <w:t xml:space="preserve"> 1 referring to </w:t>
      </w:r>
      <w:r w:rsidRPr="00B476F1">
        <w:rPr>
          <w:rFonts w:ascii="Times New Roman" w:eastAsia="Calibri" w:hAnsi="Times New Roman" w:cs="Times New Roman"/>
          <w:sz w:val="20"/>
          <w:szCs w:val="20"/>
        </w:rPr>
        <w:t xml:space="preserve">Wintemute, R. (2010). Consensus is the right approach for the European Court of Human Rights, Guardian, August 12, 2010. </w:t>
      </w:r>
      <w:r w:rsidRPr="00B476F1">
        <w:rPr>
          <w:rFonts w:ascii="Times New Roman" w:hAnsi="Times New Roman" w:cs="Times New Roman"/>
          <w:sz w:val="20"/>
          <w:szCs w:val="20"/>
        </w:rPr>
        <w:t>https://www.theguardian.com/law/2010/aug/12/european-court-human-rights-consensus</w:t>
      </w:r>
      <w:r w:rsidRPr="00B476F1">
        <w:rPr>
          <w:rFonts w:ascii="Times New Roman" w:eastAsia="Calibri" w:hAnsi="Times New Roman" w:cs="Times New Roman"/>
          <w:sz w:val="20"/>
          <w:szCs w:val="20"/>
          <w:lang w:eastAsia="en-GB"/>
        </w:rPr>
        <w:t xml:space="preserve"> (Last checked 13 July 2017).</w:t>
      </w:r>
    </w:p>
    <w:p w:rsidR="00017C91" w:rsidRPr="00B476F1" w:rsidRDefault="00017C91" w:rsidP="009C78B8">
      <w:pPr>
        <w:pStyle w:val="FootnoteText"/>
        <w:jc w:val="both"/>
        <w:rPr>
          <w:rFonts w:ascii="Times New Roman" w:hAnsi="Times New Roman" w:cs="Times New Roman"/>
        </w:rPr>
      </w:pPr>
    </w:p>
  </w:footnote>
  <w:footnote w:id="30">
    <w:p w:rsidR="00017C91" w:rsidRPr="00B476F1" w:rsidRDefault="00017C91">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Fenwick and Hayward</w:t>
      </w:r>
      <w:r w:rsidRPr="00B476F1">
        <w:rPr>
          <w:rFonts w:ascii="Times New Roman" w:hAnsi="Times New Roman" w:cs="Times New Roman"/>
        </w:rPr>
        <w:t xml:space="preserve"> </w:t>
      </w:r>
      <w:r w:rsidR="002D049A" w:rsidRPr="00B476F1">
        <w:rPr>
          <w:rFonts w:ascii="Times New Roman" w:hAnsi="Times New Roman" w:cs="Times New Roman"/>
        </w:rPr>
        <w:t xml:space="preserve">(n6) </w:t>
      </w:r>
      <w:r w:rsidRPr="00B476F1">
        <w:rPr>
          <w:rFonts w:ascii="Times New Roman" w:hAnsi="Times New Roman" w:cs="Times New Roman"/>
        </w:rPr>
        <w:t>2</w:t>
      </w:r>
      <w:r w:rsidR="002D049A" w:rsidRPr="00B476F1">
        <w:rPr>
          <w:rFonts w:ascii="Times New Roman" w:hAnsi="Times New Roman" w:cs="Times New Roman"/>
        </w:rPr>
        <w:t>.</w:t>
      </w:r>
    </w:p>
    <w:p w:rsidR="00017C91" w:rsidRPr="00B476F1" w:rsidRDefault="00017C91">
      <w:pPr>
        <w:pStyle w:val="FootnoteText"/>
        <w:rPr>
          <w:rFonts w:ascii="Times New Roman" w:hAnsi="Times New Roman" w:cs="Times New Roman"/>
        </w:rPr>
      </w:pPr>
    </w:p>
  </w:footnote>
  <w:footnote w:id="31">
    <w:p w:rsidR="00017C91" w:rsidRPr="00B476F1" w:rsidRDefault="00017C91">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w:t>
      </w:r>
      <w:r w:rsidRPr="00B476F1">
        <w:rPr>
          <w:rFonts w:ascii="Times New Roman" w:hAnsi="Times New Roman" w:cs="Times New Roman"/>
          <w:i/>
        </w:rPr>
        <w:t>Fenwick and Hayward</w:t>
      </w:r>
      <w:r w:rsidR="002D049A" w:rsidRPr="00B476F1">
        <w:rPr>
          <w:rFonts w:ascii="Times New Roman" w:hAnsi="Times New Roman" w:cs="Times New Roman"/>
        </w:rPr>
        <w:t xml:space="preserve"> (n6) </w:t>
      </w:r>
      <w:r w:rsidRPr="00B476F1">
        <w:rPr>
          <w:rFonts w:ascii="Times New Roman" w:hAnsi="Times New Roman" w:cs="Times New Roman"/>
        </w:rPr>
        <w:t>5  and n</w:t>
      </w:r>
      <w:r w:rsidR="002D049A" w:rsidRPr="00B476F1">
        <w:rPr>
          <w:rFonts w:ascii="Times New Roman" w:hAnsi="Times New Roman" w:cs="Times New Roman"/>
        </w:rPr>
        <w:t>14.</w:t>
      </w:r>
    </w:p>
  </w:footnote>
  <w:footnote w:id="32">
    <w:p w:rsidR="002D049A" w:rsidRPr="00B476F1" w:rsidRDefault="002D049A" w:rsidP="009C78B8">
      <w:pPr>
        <w:pStyle w:val="FootnoteText"/>
        <w:jc w:val="both"/>
        <w:rPr>
          <w:rFonts w:ascii="Times New Roman" w:hAnsi="Times New Roman" w:cs="Times New Roman"/>
        </w:rPr>
      </w:pPr>
    </w:p>
    <w:p w:rsidR="00017C91" w:rsidRPr="00B476F1" w:rsidRDefault="00017C91" w:rsidP="009C78B8">
      <w:pPr>
        <w:pStyle w:val="FootnoteText"/>
        <w:jc w:val="both"/>
        <w:rPr>
          <w:rFonts w:ascii="Times New Roman" w:eastAsia="Calibri"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eastAsia="Calibri" w:hAnsi="Times New Roman" w:cs="Times New Roman"/>
          <w:i/>
        </w:rPr>
        <w:t>Poppelwell-Scevak</w:t>
      </w:r>
      <w:r w:rsidR="002D049A" w:rsidRPr="00B476F1">
        <w:rPr>
          <w:rFonts w:ascii="Times New Roman" w:eastAsia="Calibri" w:hAnsi="Times New Roman" w:cs="Times New Roman"/>
        </w:rPr>
        <w:t xml:space="preserve"> (n13</w:t>
      </w:r>
      <w:r w:rsidRPr="00B476F1">
        <w:rPr>
          <w:rFonts w:ascii="Times New Roman" w:eastAsia="Calibri" w:hAnsi="Times New Roman" w:cs="Times New Roman"/>
        </w:rPr>
        <w:t xml:space="preserve">) 1. </w:t>
      </w:r>
    </w:p>
    <w:p w:rsidR="00017C91" w:rsidRPr="00B476F1" w:rsidRDefault="00017C91" w:rsidP="009C78B8">
      <w:pPr>
        <w:pStyle w:val="FootnoteText"/>
        <w:jc w:val="both"/>
        <w:rPr>
          <w:rFonts w:ascii="Times New Roman" w:hAnsi="Times New Roman" w:cs="Times New Roman"/>
        </w:rPr>
      </w:pPr>
    </w:p>
  </w:footnote>
  <w:footnote w:id="33">
    <w:p w:rsidR="00017C91" w:rsidRPr="00B476F1" w:rsidRDefault="00017C91" w:rsidP="009C78B8">
      <w:pPr>
        <w:spacing w:line="240" w:lineRule="auto"/>
        <w:jc w:val="both"/>
        <w:rPr>
          <w:rFonts w:ascii="Times New Roman" w:eastAsia="Times New Roman" w:hAnsi="Times New Roman" w:cs="Times New Roman"/>
          <w:sz w:val="20"/>
          <w:szCs w:val="20"/>
          <w:lang w:eastAsia="en-GB"/>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See </w:t>
      </w:r>
      <w:r w:rsidRPr="00B476F1">
        <w:rPr>
          <w:rFonts w:ascii="Times New Roman" w:hAnsi="Times New Roman" w:cs="Times New Roman"/>
          <w:i/>
          <w:sz w:val="20"/>
          <w:szCs w:val="20"/>
        </w:rPr>
        <w:t>Dzehtsiarou,</w:t>
      </w:r>
      <w:r w:rsidR="002D049A" w:rsidRPr="00B476F1">
        <w:rPr>
          <w:rFonts w:ascii="Times New Roman" w:hAnsi="Times New Roman" w:cs="Times New Roman"/>
          <w:sz w:val="20"/>
          <w:szCs w:val="20"/>
        </w:rPr>
        <w:t xml:space="preserve"> (n18</w:t>
      </w:r>
      <w:r w:rsidRPr="00B476F1">
        <w:rPr>
          <w:rFonts w:ascii="Times New Roman" w:hAnsi="Times New Roman" w:cs="Times New Roman"/>
          <w:sz w:val="20"/>
          <w:szCs w:val="20"/>
        </w:rPr>
        <w:t xml:space="preserve">) 540. </w:t>
      </w:r>
      <w:r w:rsidRPr="00B476F1">
        <w:rPr>
          <w:rFonts w:ascii="Times New Roman" w:eastAsia="Times New Roman" w:hAnsi="Times New Roman" w:cs="Times New Roman"/>
          <w:sz w:val="20"/>
          <w:szCs w:val="20"/>
          <w:lang w:eastAsia="en-GB"/>
        </w:rPr>
        <w:t xml:space="preserve">Dzehtsiarou 540 also refers to Ronald Macdonald, ‘The Margin of Appreciation’ in Ronald Macdonald, Franz Matscher and Herbert Petzold (eds), </w:t>
      </w:r>
      <w:r w:rsidRPr="00B476F1">
        <w:rPr>
          <w:rFonts w:ascii="Times New Roman" w:eastAsia="Times New Roman" w:hAnsi="Times New Roman" w:cs="Times New Roman"/>
          <w:i/>
          <w:sz w:val="20"/>
          <w:szCs w:val="20"/>
          <w:lang w:eastAsia="en-GB"/>
        </w:rPr>
        <w:t>The European System for the Protection of Human Rights</w:t>
      </w:r>
      <w:r w:rsidRPr="00B476F1">
        <w:rPr>
          <w:rFonts w:ascii="Times New Roman" w:eastAsia="Times New Roman" w:hAnsi="Times New Roman" w:cs="Times New Roman"/>
          <w:sz w:val="20"/>
          <w:szCs w:val="20"/>
          <w:lang w:eastAsia="en-GB"/>
        </w:rPr>
        <w:t xml:space="preserve"> (Martin Nijhoff Publishers, 1993) 24 who argues that consensus would mean the European Court would ‘forfeit its aspirational role’.  </w:t>
      </w:r>
      <w:r w:rsidRPr="00B476F1">
        <w:rPr>
          <w:rFonts w:ascii="Times New Roman" w:hAnsi="Times New Roman" w:cs="Times New Roman"/>
          <w:sz w:val="20"/>
          <w:szCs w:val="20"/>
        </w:rPr>
        <w:t>Shuibne N., ‘</w:t>
      </w:r>
      <w:r w:rsidRPr="00B476F1">
        <w:rPr>
          <w:rFonts w:ascii="Times New Roman" w:eastAsia="Times New Roman" w:hAnsi="Times New Roman" w:cs="Times New Roman"/>
          <w:sz w:val="20"/>
          <w:szCs w:val="20"/>
          <w:lang w:eastAsia="en-GB"/>
        </w:rPr>
        <w:t xml:space="preserve">Margins of appreciation; National values, fundamental rights and EC free movement law’ (2009) 34(2) </w:t>
      </w:r>
      <w:r w:rsidRPr="00B476F1">
        <w:rPr>
          <w:rFonts w:ascii="Times New Roman" w:eastAsia="Times New Roman" w:hAnsi="Times New Roman" w:cs="Times New Roman"/>
          <w:i/>
          <w:sz w:val="20"/>
          <w:szCs w:val="20"/>
          <w:lang w:eastAsia="en-GB"/>
        </w:rPr>
        <w:t>Eur L. Rev</w:t>
      </w:r>
      <w:r w:rsidRPr="00B476F1">
        <w:rPr>
          <w:rFonts w:ascii="Times New Roman" w:eastAsia="Times New Roman" w:hAnsi="Times New Roman" w:cs="Times New Roman"/>
          <w:sz w:val="20"/>
          <w:szCs w:val="20"/>
          <w:lang w:eastAsia="en-GB"/>
        </w:rPr>
        <w:t xml:space="preserve"> 230, 256 also argues that when interpreting the role of the EU Charter in an EU context there is a ‘discrete supranational’ purpose in advancing fundamental rights. </w:t>
      </w:r>
    </w:p>
  </w:footnote>
  <w:footnote w:id="34">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Benvenisti</w:t>
      </w:r>
      <w:r w:rsidR="009B31E7" w:rsidRPr="00B476F1">
        <w:rPr>
          <w:rFonts w:ascii="Times New Roman" w:hAnsi="Times New Roman" w:cs="Times New Roman"/>
        </w:rPr>
        <w:t xml:space="preserve"> (n18</w:t>
      </w:r>
      <w:r w:rsidRPr="00B476F1">
        <w:rPr>
          <w:rFonts w:ascii="Times New Roman" w:hAnsi="Times New Roman" w:cs="Times New Roman"/>
        </w:rPr>
        <w:t xml:space="preserve">) 843. </w:t>
      </w:r>
    </w:p>
    <w:p w:rsidR="00017C91" w:rsidRPr="00B476F1" w:rsidRDefault="00017C91" w:rsidP="009C78B8">
      <w:pPr>
        <w:pStyle w:val="FootnoteText"/>
        <w:jc w:val="both"/>
        <w:rPr>
          <w:rFonts w:ascii="Times New Roman" w:hAnsi="Times New Roman" w:cs="Times New Roman"/>
        </w:rPr>
      </w:pPr>
    </w:p>
  </w:footnote>
  <w:footnote w:id="35">
    <w:p w:rsidR="00017C91" w:rsidRPr="00B476F1" w:rsidRDefault="00017C91" w:rsidP="009C78B8">
      <w:pPr>
        <w:spacing w:line="240" w:lineRule="auto"/>
        <w:jc w:val="both"/>
        <w:rPr>
          <w:rFonts w:ascii="Times New Roman" w:eastAsia="Calibri" w:hAnsi="Times New Roman" w:cs="Times New Roman"/>
          <w:sz w:val="20"/>
          <w:szCs w:val="20"/>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Tobin, B., ‘</w:t>
      </w:r>
      <w:r w:rsidRPr="00B476F1">
        <w:rPr>
          <w:rFonts w:ascii="Times New Roman" w:eastAsia="Calibri" w:hAnsi="Times New Roman" w:cs="Times New Roman"/>
          <w:sz w:val="20"/>
          <w:szCs w:val="20"/>
        </w:rPr>
        <w:t xml:space="preserve">Gay Marriage – A Bridge Too Far?’ (2007) 15 </w:t>
      </w:r>
      <w:r w:rsidRPr="00B476F1">
        <w:rPr>
          <w:rFonts w:ascii="Times New Roman" w:eastAsia="Calibri" w:hAnsi="Times New Roman" w:cs="Times New Roman"/>
          <w:i/>
          <w:sz w:val="20"/>
          <w:szCs w:val="20"/>
        </w:rPr>
        <w:t>Ire. Stud. L Rev</w:t>
      </w:r>
      <w:r w:rsidRPr="00B476F1">
        <w:rPr>
          <w:rFonts w:ascii="Times New Roman" w:eastAsia="Calibri" w:hAnsi="Times New Roman" w:cs="Times New Roman"/>
          <w:sz w:val="20"/>
          <w:szCs w:val="20"/>
        </w:rPr>
        <w:t xml:space="preserve"> 175 referring to the Irish Supreme Court decision in </w:t>
      </w:r>
      <w:r w:rsidRPr="00B476F1">
        <w:rPr>
          <w:rFonts w:ascii="Times New Roman" w:hAnsi="Times New Roman" w:cs="Times New Roman"/>
          <w:i/>
          <w:sz w:val="20"/>
          <w:szCs w:val="20"/>
        </w:rPr>
        <w:t>Zappone and Gilligan v Revenue Commissioners</w:t>
      </w:r>
      <w:r w:rsidRPr="00B476F1">
        <w:rPr>
          <w:rFonts w:ascii="Times New Roman" w:hAnsi="Times New Roman" w:cs="Times New Roman"/>
          <w:sz w:val="20"/>
          <w:szCs w:val="20"/>
        </w:rPr>
        <w:t xml:space="preserve"> [2008] 2 IR 417</w:t>
      </w:r>
    </w:p>
  </w:footnote>
  <w:footnote w:id="36">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Letsas, G., ‘Strasbourg’s Interpretative Ethic: Lessons for the International Lawyer’ (2010) 21(3) </w:t>
      </w:r>
      <w:r w:rsidRPr="00B476F1">
        <w:rPr>
          <w:rFonts w:ascii="Times New Roman" w:eastAsia="Times New Roman" w:hAnsi="Times New Roman" w:cs="Times New Roman"/>
          <w:i/>
          <w:lang w:eastAsia="en-GB"/>
        </w:rPr>
        <w:t>EJIL</w:t>
      </w:r>
      <w:r w:rsidRPr="00B476F1">
        <w:rPr>
          <w:rFonts w:ascii="Times New Roman" w:eastAsia="Times New Roman" w:hAnsi="Times New Roman" w:cs="Times New Roman"/>
          <w:lang w:eastAsia="en-GB"/>
        </w:rPr>
        <w:t xml:space="preserve"> 509 </w:t>
      </w:r>
      <w:r w:rsidRPr="00B476F1">
        <w:rPr>
          <w:rFonts w:ascii="Times New Roman" w:hAnsi="Times New Roman" w:cs="Times New Roman"/>
        </w:rPr>
        <w:t xml:space="preserve">for further explanation. </w:t>
      </w:r>
    </w:p>
    <w:p w:rsidR="00017C91" w:rsidRPr="00B476F1" w:rsidRDefault="00017C91" w:rsidP="009C78B8">
      <w:pPr>
        <w:pStyle w:val="FootnoteText"/>
        <w:jc w:val="both"/>
        <w:rPr>
          <w:rFonts w:ascii="Times New Roman" w:hAnsi="Times New Roman" w:cs="Times New Roman"/>
        </w:rPr>
      </w:pPr>
    </w:p>
  </w:footnote>
  <w:footnote w:id="37">
    <w:p w:rsidR="00017C91" w:rsidRPr="00B476F1" w:rsidRDefault="00017C91" w:rsidP="009C78B8">
      <w:pPr>
        <w:pStyle w:val="FootnoteText"/>
        <w:jc w:val="both"/>
        <w:rPr>
          <w:rFonts w:ascii="Times New Roman" w:hAnsi="Times New Roman" w:cs="Times New Roman"/>
          <w:i/>
        </w:rPr>
      </w:pPr>
      <w:r w:rsidRPr="00B476F1">
        <w:rPr>
          <w:rStyle w:val="FootnoteReference"/>
          <w:rFonts w:ascii="Times New Roman" w:hAnsi="Times New Roman" w:cs="Times New Roman"/>
        </w:rPr>
        <w:footnoteRef/>
      </w:r>
      <w:r w:rsidRPr="00B476F1">
        <w:rPr>
          <w:rFonts w:ascii="Times New Roman" w:hAnsi="Times New Roman" w:cs="Times New Roman"/>
        </w:rPr>
        <w:t xml:space="preserve"> For example trans gender persons have transformed their position, to allow full recognition of rights in their new sex. See </w:t>
      </w:r>
      <w:r w:rsidRPr="00B476F1">
        <w:rPr>
          <w:rFonts w:ascii="Times New Roman" w:eastAsia="Calibri" w:hAnsi="Times New Roman" w:cs="Times New Roman"/>
          <w:i/>
        </w:rPr>
        <w:t>Christine Goodwin v United Kingdom</w:t>
      </w:r>
      <w:r w:rsidRPr="00B476F1">
        <w:rPr>
          <w:rFonts w:ascii="Times New Roman" w:eastAsia="Calibri" w:hAnsi="Times New Roman" w:cs="Times New Roman"/>
        </w:rPr>
        <w:t>, App No 28957/95 (ECtHR 11 July 2002)</w:t>
      </w:r>
      <w:r w:rsidRPr="00B476F1">
        <w:rPr>
          <w:rFonts w:ascii="Times New Roman" w:hAnsi="Times New Roman" w:cs="Times New Roman"/>
        </w:rPr>
        <w:t xml:space="preserve">. See section 4. </w:t>
      </w:r>
    </w:p>
    <w:p w:rsidR="00017C91" w:rsidRPr="00B476F1" w:rsidRDefault="00017C91" w:rsidP="009C78B8">
      <w:pPr>
        <w:pStyle w:val="FootnoteText"/>
        <w:jc w:val="both"/>
        <w:rPr>
          <w:rFonts w:ascii="Times New Roman" w:hAnsi="Times New Roman" w:cs="Times New Roman"/>
        </w:rPr>
      </w:pPr>
    </w:p>
  </w:footnote>
  <w:footnote w:id="38">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Benvenisti</w:t>
      </w:r>
      <w:r w:rsidR="009B31E7" w:rsidRPr="00B476F1">
        <w:rPr>
          <w:rFonts w:ascii="Times New Roman" w:hAnsi="Times New Roman" w:cs="Times New Roman"/>
        </w:rPr>
        <w:t xml:space="preserve"> (n18</w:t>
      </w:r>
      <w:r w:rsidRPr="00B476F1">
        <w:rPr>
          <w:rFonts w:ascii="Times New Roman" w:hAnsi="Times New Roman" w:cs="Times New Roman"/>
        </w:rPr>
        <w:t xml:space="preserve">) 846. </w:t>
      </w:r>
    </w:p>
    <w:p w:rsidR="00017C91" w:rsidRPr="00B476F1" w:rsidRDefault="00017C91" w:rsidP="009C78B8">
      <w:pPr>
        <w:pStyle w:val="FootnoteText"/>
        <w:jc w:val="both"/>
        <w:rPr>
          <w:rFonts w:ascii="Times New Roman" w:hAnsi="Times New Roman" w:cs="Times New Roman"/>
        </w:rPr>
      </w:pPr>
    </w:p>
  </w:footnote>
  <w:footnote w:id="39">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Teutonico, D. ‘Pajic v Croatia’ (2016-2017) 25 </w:t>
      </w:r>
      <w:r w:rsidRPr="00B476F1">
        <w:rPr>
          <w:rFonts w:ascii="Times New Roman" w:hAnsi="Times New Roman" w:cs="Times New Roman"/>
          <w:i/>
        </w:rPr>
        <w:t>Tulane J of Inter and Comp L</w:t>
      </w:r>
      <w:r w:rsidRPr="00B476F1">
        <w:rPr>
          <w:rFonts w:ascii="Times New Roman" w:hAnsi="Times New Roman" w:cs="Times New Roman"/>
        </w:rPr>
        <w:t xml:space="preserve"> 461.</w:t>
      </w:r>
    </w:p>
    <w:p w:rsidR="00017C91" w:rsidRPr="00B476F1" w:rsidRDefault="00017C91" w:rsidP="009C78B8">
      <w:pPr>
        <w:pStyle w:val="FootnoteText"/>
        <w:jc w:val="both"/>
        <w:rPr>
          <w:rFonts w:ascii="Times New Roman" w:hAnsi="Times New Roman" w:cs="Times New Roman"/>
        </w:rPr>
      </w:pPr>
    </w:p>
  </w:footnote>
  <w:footnote w:id="40">
    <w:p w:rsidR="00017C91" w:rsidRPr="00B476F1" w:rsidRDefault="00017C91" w:rsidP="009C78B8">
      <w:pPr>
        <w:spacing w:after="0" w:line="240" w:lineRule="auto"/>
        <w:jc w:val="both"/>
        <w:rPr>
          <w:rFonts w:ascii="Times New Roman" w:eastAsia="Times New Roman" w:hAnsi="Times New Roman" w:cs="Times New Roman"/>
          <w:sz w:val="20"/>
          <w:szCs w:val="20"/>
          <w:lang w:eastAsia="en-GB"/>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w:t>
      </w:r>
      <w:r w:rsidRPr="00B476F1">
        <w:rPr>
          <w:rFonts w:ascii="Times New Roman" w:eastAsia="Times New Roman" w:hAnsi="Times New Roman" w:cs="Times New Roman"/>
          <w:sz w:val="20"/>
          <w:szCs w:val="20"/>
          <w:lang w:eastAsia="en-GB"/>
        </w:rPr>
        <w:t>Donoho, D.L.</w:t>
      </w:r>
      <w:r w:rsidRPr="00B476F1">
        <w:rPr>
          <w:rFonts w:ascii="Times New Roman" w:eastAsia="Times New Roman" w:hAnsi="Times New Roman" w:cs="Times New Roman"/>
          <w:b/>
          <w:sz w:val="20"/>
          <w:szCs w:val="20"/>
          <w:lang w:eastAsia="en-GB"/>
        </w:rPr>
        <w:t xml:space="preserve"> </w:t>
      </w:r>
      <w:r w:rsidRPr="00B476F1">
        <w:rPr>
          <w:rFonts w:ascii="Times New Roman" w:eastAsia="Times New Roman" w:hAnsi="Times New Roman" w:cs="Times New Roman"/>
          <w:sz w:val="20"/>
          <w:szCs w:val="20"/>
          <w:lang w:eastAsia="en-GB"/>
        </w:rPr>
        <w:t xml:space="preserve">‘Autonomy, self-governance, and the margin of appreciation: Developing a jurisprudence of diversity within universal human right (2001) 15 </w:t>
      </w:r>
      <w:r w:rsidRPr="00B476F1">
        <w:rPr>
          <w:rFonts w:ascii="Times New Roman" w:eastAsia="Times New Roman" w:hAnsi="Times New Roman" w:cs="Times New Roman"/>
          <w:i/>
          <w:sz w:val="20"/>
          <w:szCs w:val="20"/>
          <w:lang w:eastAsia="en-GB"/>
        </w:rPr>
        <w:t xml:space="preserve">Em Inter L Rev </w:t>
      </w:r>
      <w:r w:rsidRPr="00B476F1">
        <w:rPr>
          <w:rFonts w:ascii="Times New Roman" w:eastAsia="Times New Roman" w:hAnsi="Times New Roman" w:cs="Times New Roman"/>
          <w:sz w:val="20"/>
          <w:szCs w:val="20"/>
          <w:lang w:eastAsia="en-GB"/>
        </w:rPr>
        <w:t>391, 451.</w:t>
      </w:r>
    </w:p>
    <w:p w:rsidR="00017C91" w:rsidRPr="00B476F1" w:rsidRDefault="00017C91" w:rsidP="009C78B8">
      <w:pPr>
        <w:pStyle w:val="FootnoteText"/>
        <w:jc w:val="both"/>
        <w:rPr>
          <w:rFonts w:ascii="Times New Roman" w:hAnsi="Times New Roman" w:cs="Times New Roman"/>
        </w:rPr>
      </w:pPr>
    </w:p>
  </w:footnote>
  <w:footnote w:id="41">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McGoldrick,D. (2016) 65(1) ‘A Defence of the Margin of Appreciation and an Argument for its Application by the Human Rights Committee’ (2016) 65(1) </w:t>
      </w:r>
      <w:r w:rsidRPr="00B476F1">
        <w:rPr>
          <w:rFonts w:ascii="Times New Roman" w:hAnsi="Times New Roman" w:cs="Times New Roman"/>
          <w:i/>
        </w:rPr>
        <w:t>ICLQ</w:t>
      </w:r>
      <w:r w:rsidRPr="00B476F1">
        <w:rPr>
          <w:rFonts w:ascii="Times New Roman" w:hAnsi="Times New Roman" w:cs="Times New Roman"/>
        </w:rPr>
        <w:t xml:space="preserve"> 21, 32.</w:t>
      </w:r>
    </w:p>
    <w:p w:rsidR="00017C91" w:rsidRPr="00B476F1" w:rsidRDefault="00017C91" w:rsidP="009C78B8">
      <w:pPr>
        <w:pStyle w:val="FootnoteText"/>
        <w:jc w:val="both"/>
        <w:rPr>
          <w:rFonts w:ascii="Times New Roman" w:hAnsi="Times New Roman" w:cs="Times New Roman"/>
        </w:rPr>
      </w:pPr>
    </w:p>
  </w:footnote>
  <w:footnote w:id="42">
    <w:p w:rsidR="00017C91" w:rsidRPr="00B476F1" w:rsidRDefault="00017C91" w:rsidP="009C78B8">
      <w:pPr>
        <w:spacing w:after="0" w:line="240" w:lineRule="auto"/>
        <w:jc w:val="both"/>
        <w:rPr>
          <w:rFonts w:ascii="Times New Roman" w:hAnsi="Times New Roman" w:cs="Times New Roman"/>
          <w:sz w:val="20"/>
          <w:szCs w:val="20"/>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w:t>
      </w:r>
      <w:r w:rsidRPr="00B476F1">
        <w:rPr>
          <w:rFonts w:ascii="Times New Roman" w:eastAsia="Times New Roman" w:hAnsi="Times New Roman" w:cs="Times New Roman"/>
          <w:i/>
          <w:sz w:val="20"/>
          <w:szCs w:val="20"/>
          <w:lang w:eastAsia="en-GB"/>
        </w:rPr>
        <w:t>Hutchinson</w:t>
      </w:r>
      <w:r w:rsidRPr="00B476F1">
        <w:rPr>
          <w:rFonts w:ascii="Times New Roman" w:eastAsia="Times New Roman" w:hAnsi="Times New Roman" w:cs="Times New Roman"/>
          <w:sz w:val="20"/>
          <w:szCs w:val="20"/>
          <w:lang w:eastAsia="en-GB"/>
        </w:rPr>
        <w:t xml:space="preserve"> (n</w:t>
      </w:r>
      <w:r w:rsidR="009B31E7" w:rsidRPr="00B476F1">
        <w:rPr>
          <w:rFonts w:ascii="Times New Roman" w:eastAsia="Times New Roman" w:hAnsi="Times New Roman" w:cs="Times New Roman"/>
          <w:sz w:val="20"/>
          <w:szCs w:val="20"/>
          <w:lang w:eastAsia="en-GB"/>
        </w:rPr>
        <w:t>20</w:t>
      </w:r>
      <w:r w:rsidRPr="00B476F1">
        <w:rPr>
          <w:rFonts w:ascii="Times New Roman" w:eastAsia="Times New Roman" w:hAnsi="Times New Roman" w:cs="Times New Roman"/>
          <w:sz w:val="20"/>
          <w:szCs w:val="20"/>
          <w:lang w:eastAsia="en-GB"/>
        </w:rPr>
        <w:t>).</w:t>
      </w:r>
    </w:p>
    <w:p w:rsidR="00017C91" w:rsidRPr="00B476F1" w:rsidRDefault="00017C91" w:rsidP="009C78B8">
      <w:pPr>
        <w:pStyle w:val="FootnoteText"/>
        <w:jc w:val="both"/>
        <w:rPr>
          <w:rFonts w:ascii="Times New Roman" w:hAnsi="Times New Roman" w:cs="Times New Roman"/>
        </w:rPr>
      </w:pPr>
    </w:p>
  </w:footnote>
  <w:footnote w:id="43">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Art 1 European Convention. </w:t>
      </w:r>
      <w:r w:rsidRPr="00B476F1">
        <w:rPr>
          <w:rFonts w:ascii="Times New Roman" w:eastAsia="Calibri" w:hAnsi="Times New Roman" w:cs="Times New Roman"/>
          <w:i/>
        </w:rPr>
        <w:t>Fenwick</w:t>
      </w:r>
      <w:r w:rsidR="009B31E7" w:rsidRPr="00B476F1">
        <w:rPr>
          <w:rFonts w:ascii="Times New Roman" w:eastAsia="Calibri" w:hAnsi="Times New Roman" w:cs="Times New Roman"/>
        </w:rPr>
        <w:t xml:space="preserve"> (n14</w:t>
      </w:r>
      <w:r w:rsidRPr="00B476F1">
        <w:rPr>
          <w:rFonts w:ascii="Times New Roman" w:eastAsia="Calibri" w:hAnsi="Times New Roman" w:cs="Times New Roman"/>
        </w:rPr>
        <w:t>) 250 also emphasises the importance of ‘subsidiarity related devices.’</w:t>
      </w:r>
    </w:p>
    <w:p w:rsidR="00017C91" w:rsidRPr="00B476F1" w:rsidRDefault="00017C91" w:rsidP="009C78B8">
      <w:pPr>
        <w:pStyle w:val="FootnoteText"/>
        <w:jc w:val="both"/>
        <w:rPr>
          <w:rFonts w:ascii="Times New Roman" w:hAnsi="Times New Roman" w:cs="Times New Roman"/>
        </w:rPr>
      </w:pPr>
    </w:p>
  </w:footnote>
  <w:footnote w:id="44">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Council of Europe, ‘Brighton Declaration High Level Conference on the Future of the ECHR’, available </w:t>
      </w:r>
      <w:hyperlink r:id="rId1" w:history="1">
        <w:r w:rsidRPr="00B476F1">
          <w:rPr>
            <w:rStyle w:val="Hyperlink"/>
            <w:rFonts w:ascii="Times New Roman" w:hAnsi="Times New Roman" w:cs="Times New Roman"/>
          </w:rPr>
          <w:t>http://www.echr.coe.int/Documents/2012_Brighton_FinalDeclaration_ENG.pdf</w:t>
        </w:r>
      </w:hyperlink>
      <w:r w:rsidRPr="00B476F1">
        <w:rPr>
          <w:rFonts w:ascii="Times New Roman" w:hAnsi="Times New Roman" w:cs="Times New Roman"/>
        </w:rPr>
        <w:t xml:space="preserve"> (2012)  B 12 </w:t>
      </w:r>
    </w:p>
    <w:p w:rsidR="00017C91" w:rsidRPr="00B476F1" w:rsidRDefault="00017C91" w:rsidP="009C78B8">
      <w:pPr>
        <w:pStyle w:val="FootnoteText"/>
        <w:jc w:val="both"/>
        <w:rPr>
          <w:rFonts w:ascii="Times New Roman" w:hAnsi="Times New Roman" w:cs="Times New Roman"/>
        </w:rPr>
      </w:pPr>
    </w:p>
  </w:footnote>
  <w:footnote w:id="45">
    <w:p w:rsidR="00017C91" w:rsidRPr="00B476F1" w:rsidRDefault="00017C91" w:rsidP="009C78B8">
      <w:pPr>
        <w:pStyle w:val="FootnoteText"/>
        <w:jc w:val="both"/>
        <w:rPr>
          <w:rFonts w:ascii="Times New Roman" w:hAnsi="Times New Roman" w:cs="Times New Roman"/>
          <w:i/>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Hutchinson (</w:t>
      </w:r>
      <w:r w:rsidRPr="00B476F1">
        <w:rPr>
          <w:rFonts w:ascii="Times New Roman" w:hAnsi="Times New Roman" w:cs="Times New Roman"/>
        </w:rPr>
        <w:t>n</w:t>
      </w:r>
      <w:r w:rsidR="009B31E7" w:rsidRPr="00B476F1">
        <w:rPr>
          <w:rFonts w:ascii="Times New Roman" w:hAnsi="Times New Roman" w:cs="Times New Roman"/>
        </w:rPr>
        <w:t>20</w:t>
      </w:r>
      <w:r w:rsidRPr="00B476F1">
        <w:rPr>
          <w:rFonts w:ascii="Times New Roman" w:hAnsi="Times New Roman" w:cs="Times New Roman"/>
          <w:i/>
        </w:rPr>
        <w:t>) 640.</w:t>
      </w:r>
    </w:p>
    <w:p w:rsidR="00017C91" w:rsidRPr="00B476F1" w:rsidRDefault="00017C91" w:rsidP="009C78B8">
      <w:pPr>
        <w:pStyle w:val="FootnoteText"/>
        <w:jc w:val="both"/>
        <w:rPr>
          <w:rFonts w:ascii="Times New Roman" w:hAnsi="Times New Roman" w:cs="Times New Roman"/>
        </w:rPr>
      </w:pPr>
    </w:p>
  </w:footnote>
  <w:footnote w:id="46">
    <w:p w:rsidR="00017C91" w:rsidRPr="00B476F1" w:rsidRDefault="00017C91" w:rsidP="009C78B8">
      <w:pPr>
        <w:spacing w:after="0" w:line="240" w:lineRule="auto"/>
        <w:jc w:val="both"/>
        <w:rPr>
          <w:rFonts w:ascii="Times New Roman" w:hAnsi="Times New Roman" w:cs="Times New Roman"/>
          <w:sz w:val="20"/>
          <w:szCs w:val="20"/>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w:t>
      </w:r>
      <w:r w:rsidRPr="00B476F1">
        <w:rPr>
          <w:rFonts w:ascii="Times New Roman" w:hAnsi="Times New Roman" w:cs="Times New Roman"/>
          <w:i/>
          <w:sz w:val="20"/>
          <w:szCs w:val="20"/>
        </w:rPr>
        <w:t>McClain</w:t>
      </w:r>
      <w:r w:rsidRPr="00B476F1">
        <w:rPr>
          <w:rFonts w:ascii="Times New Roman" w:hAnsi="Times New Roman" w:cs="Times New Roman"/>
          <w:sz w:val="20"/>
          <w:szCs w:val="20"/>
        </w:rPr>
        <w:t xml:space="preserve"> (n</w:t>
      </w:r>
      <w:r w:rsidR="009B31E7" w:rsidRPr="00B476F1">
        <w:rPr>
          <w:rFonts w:ascii="Times New Roman" w:hAnsi="Times New Roman" w:cs="Times New Roman"/>
          <w:sz w:val="20"/>
          <w:szCs w:val="20"/>
        </w:rPr>
        <w:t>24</w:t>
      </w:r>
      <w:r w:rsidRPr="00B476F1">
        <w:rPr>
          <w:rFonts w:ascii="Times New Roman" w:hAnsi="Times New Roman" w:cs="Times New Roman"/>
          <w:sz w:val="20"/>
          <w:szCs w:val="20"/>
        </w:rPr>
        <w:t>).</w:t>
      </w:r>
    </w:p>
    <w:p w:rsidR="00017C91" w:rsidRPr="00B476F1" w:rsidRDefault="00017C91" w:rsidP="009C78B8">
      <w:pPr>
        <w:spacing w:after="0" w:line="240" w:lineRule="auto"/>
        <w:jc w:val="both"/>
        <w:rPr>
          <w:rFonts w:ascii="Times New Roman" w:eastAsia="Times New Roman" w:hAnsi="Times New Roman" w:cs="Times New Roman"/>
          <w:sz w:val="20"/>
          <w:szCs w:val="20"/>
          <w:lang w:eastAsia="en-GB"/>
        </w:rPr>
      </w:pPr>
      <w:r w:rsidRPr="00B476F1">
        <w:rPr>
          <w:rFonts w:ascii="Times New Roman" w:hAnsi="Times New Roman" w:cs="Times New Roman"/>
          <w:sz w:val="20"/>
          <w:szCs w:val="20"/>
        </w:rPr>
        <w:t xml:space="preserve"> </w:t>
      </w:r>
    </w:p>
  </w:footnote>
  <w:footnote w:id="47">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Introduction.</w:t>
      </w:r>
    </w:p>
    <w:p w:rsidR="00017C91" w:rsidRPr="00B476F1" w:rsidRDefault="00017C91" w:rsidP="009C78B8">
      <w:pPr>
        <w:pStyle w:val="FootnoteText"/>
        <w:jc w:val="both"/>
        <w:rPr>
          <w:rFonts w:ascii="Times New Roman" w:hAnsi="Times New Roman" w:cs="Times New Roman"/>
        </w:rPr>
      </w:pPr>
    </w:p>
  </w:footnote>
  <w:footnote w:id="48">
    <w:p w:rsidR="00017C91" w:rsidRPr="00B476F1" w:rsidRDefault="00017C91" w:rsidP="009C78B8">
      <w:pPr>
        <w:pStyle w:val="EndnoteText"/>
        <w:jc w:val="both"/>
        <w:rPr>
          <w:rFonts w:ascii="Times New Roman" w:hAnsi="Times New Roman"/>
          <w:i/>
        </w:rPr>
      </w:pPr>
      <w:r w:rsidRPr="00B476F1">
        <w:rPr>
          <w:rStyle w:val="FootnoteReference"/>
          <w:rFonts w:ascii="Times New Roman" w:hAnsi="Times New Roman"/>
        </w:rPr>
        <w:footnoteRef/>
      </w:r>
      <w:r w:rsidRPr="00B476F1">
        <w:rPr>
          <w:rFonts w:ascii="Times New Roman" w:hAnsi="Times New Roman"/>
        </w:rPr>
        <w:t xml:space="preserve"> </w:t>
      </w:r>
      <w:r w:rsidRPr="00B476F1">
        <w:rPr>
          <w:rFonts w:ascii="Times New Roman" w:hAnsi="Times New Roman"/>
          <w:i/>
        </w:rPr>
        <w:t>Schalk and Kopf v Austria</w:t>
      </w:r>
      <w:r w:rsidRPr="00B476F1">
        <w:rPr>
          <w:rFonts w:ascii="Times New Roman" w:hAnsi="Times New Roman"/>
        </w:rPr>
        <w:t xml:space="preserve"> (n2) para 57, </w:t>
      </w:r>
      <w:r w:rsidRPr="00B476F1">
        <w:rPr>
          <w:rFonts w:ascii="Times New Roman" w:eastAsiaTheme="minorEastAsia" w:hAnsi="Times New Roman"/>
          <w:bCs/>
          <w:i/>
          <w:shd w:val="clear" w:color="auto" w:fill="FFFFFF"/>
        </w:rPr>
        <w:t>Hämäläinen</w:t>
      </w:r>
      <w:r w:rsidRPr="00B476F1">
        <w:rPr>
          <w:rFonts w:ascii="Times New Roman" w:hAnsi="Times New Roman"/>
          <w:i/>
        </w:rPr>
        <w:t xml:space="preserve"> v Finland</w:t>
      </w:r>
      <w:r w:rsidRPr="00B476F1">
        <w:rPr>
          <w:rFonts w:ascii="Times New Roman" w:hAnsi="Times New Roman"/>
        </w:rPr>
        <w:t xml:space="preserve"> (n2) para 39 and </w:t>
      </w:r>
      <w:r w:rsidRPr="00B476F1">
        <w:rPr>
          <w:rFonts w:ascii="Times New Roman" w:hAnsi="Times New Roman"/>
          <w:i/>
        </w:rPr>
        <w:t xml:space="preserve">Chapin and Charpentier v France </w:t>
      </w:r>
      <w:r w:rsidRPr="00B476F1">
        <w:rPr>
          <w:rFonts w:ascii="Times New Roman" w:hAnsi="Times New Roman"/>
        </w:rPr>
        <w:t>(n2).</w:t>
      </w:r>
      <w:r w:rsidRPr="00B476F1">
        <w:rPr>
          <w:rFonts w:ascii="Times New Roman" w:hAnsi="Times New Roman"/>
          <w:i/>
        </w:rPr>
        <w:t xml:space="preserve"> </w:t>
      </w:r>
    </w:p>
    <w:p w:rsidR="00017C91" w:rsidRPr="00B476F1" w:rsidRDefault="00017C91" w:rsidP="009C78B8">
      <w:pPr>
        <w:pStyle w:val="EndnoteText"/>
        <w:jc w:val="both"/>
        <w:rPr>
          <w:rFonts w:ascii="Times New Roman" w:hAnsi="Times New Roman"/>
          <w:color w:val="000000"/>
          <w:kern w:val="24"/>
        </w:rPr>
      </w:pPr>
    </w:p>
  </w:footnote>
  <w:footnote w:id="49">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Section 1 Introduction. </w:t>
      </w:r>
    </w:p>
    <w:p w:rsidR="00017C91" w:rsidRPr="00B476F1" w:rsidRDefault="00017C91" w:rsidP="009C78B8">
      <w:pPr>
        <w:pStyle w:val="FootnoteText"/>
        <w:jc w:val="both"/>
        <w:rPr>
          <w:rFonts w:ascii="Times New Roman" w:hAnsi="Times New Roman" w:cs="Times New Roman"/>
        </w:rPr>
      </w:pPr>
    </w:p>
  </w:footnote>
  <w:footnote w:id="50">
    <w:p w:rsidR="00017C91" w:rsidRPr="00B476F1" w:rsidRDefault="00017C91" w:rsidP="009C78B8">
      <w:pPr>
        <w:spacing w:after="0" w:line="240" w:lineRule="auto"/>
        <w:jc w:val="both"/>
        <w:rPr>
          <w:rFonts w:ascii="Times New Roman" w:eastAsia="Times New Roman" w:hAnsi="Times New Roman" w:cs="Times New Roman"/>
          <w:sz w:val="20"/>
          <w:szCs w:val="20"/>
          <w:lang w:eastAsia="en-GB"/>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For example </w:t>
      </w:r>
      <w:r w:rsidRPr="00B476F1">
        <w:rPr>
          <w:rFonts w:ascii="Times New Roman" w:hAnsi="Times New Roman" w:cs="Times New Roman"/>
          <w:i/>
          <w:sz w:val="20"/>
          <w:szCs w:val="20"/>
        </w:rPr>
        <w:t xml:space="preserve">Lewis </w:t>
      </w:r>
      <w:r w:rsidR="009B31E7" w:rsidRPr="00B476F1">
        <w:rPr>
          <w:rFonts w:ascii="Times New Roman" w:hAnsi="Times New Roman" w:cs="Times New Roman"/>
          <w:sz w:val="20"/>
          <w:szCs w:val="20"/>
        </w:rPr>
        <w:t>(n19</w:t>
      </w:r>
      <w:r w:rsidRPr="00B476F1">
        <w:rPr>
          <w:rFonts w:ascii="Times New Roman" w:hAnsi="Times New Roman" w:cs="Times New Roman"/>
          <w:sz w:val="20"/>
          <w:szCs w:val="20"/>
        </w:rPr>
        <w:t xml:space="preserve">), </w:t>
      </w:r>
      <w:r w:rsidRPr="00B476F1">
        <w:rPr>
          <w:rFonts w:ascii="Times New Roman" w:eastAsia="Times New Roman" w:hAnsi="Times New Roman" w:cs="Times New Roman"/>
          <w:sz w:val="20"/>
          <w:szCs w:val="20"/>
          <w:lang w:eastAsia="en-GB"/>
        </w:rPr>
        <w:t xml:space="preserve">Wada, E. ‘The Margin of Appreciation and the Right to Assisted Suicide’ (2005) 27 </w:t>
      </w:r>
      <w:r w:rsidRPr="00B476F1">
        <w:rPr>
          <w:rFonts w:ascii="Times New Roman" w:eastAsia="Times New Roman" w:hAnsi="Times New Roman" w:cs="Times New Roman"/>
          <w:i/>
          <w:sz w:val="20"/>
          <w:szCs w:val="20"/>
          <w:lang w:eastAsia="en-GB"/>
        </w:rPr>
        <w:t>Loy. of L.A. Inter. and Comp. L. Rev</w:t>
      </w:r>
      <w:r w:rsidRPr="00B476F1">
        <w:rPr>
          <w:rFonts w:ascii="Times New Roman" w:eastAsia="Times New Roman" w:hAnsi="Times New Roman" w:cs="Times New Roman"/>
          <w:sz w:val="20"/>
          <w:szCs w:val="20"/>
          <w:lang w:eastAsia="en-GB"/>
        </w:rPr>
        <w:t xml:space="preserve">. 275, </w:t>
      </w:r>
      <w:r w:rsidRPr="00B476F1">
        <w:rPr>
          <w:rFonts w:ascii="Times New Roman" w:hAnsi="Times New Roman" w:cs="Times New Roman"/>
          <w:i/>
          <w:sz w:val="20"/>
          <w:szCs w:val="20"/>
        </w:rPr>
        <w:t>Butler</w:t>
      </w:r>
      <w:r w:rsidR="0055188B" w:rsidRPr="00B476F1">
        <w:rPr>
          <w:rFonts w:ascii="Times New Roman" w:hAnsi="Times New Roman" w:cs="Times New Roman"/>
          <w:sz w:val="20"/>
          <w:szCs w:val="20"/>
        </w:rPr>
        <w:t xml:space="preserve"> (n11</w:t>
      </w:r>
      <w:r w:rsidRPr="00B476F1">
        <w:rPr>
          <w:rFonts w:ascii="Times New Roman" w:hAnsi="Times New Roman" w:cs="Times New Roman"/>
          <w:sz w:val="20"/>
          <w:szCs w:val="20"/>
        </w:rPr>
        <w:t xml:space="preserve">), </w:t>
      </w:r>
      <w:r w:rsidRPr="00B476F1">
        <w:rPr>
          <w:rFonts w:ascii="Times New Roman" w:eastAsia="Times New Roman" w:hAnsi="Times New Roman" w:cs="Times New Roman"/>
          <w:sz w:val="20"/>
          <w:szCs w:val="20"/>
          <w:lang w:eastAsia="en-GB"/>
        </w:rPr>
        <w:t xml:space="preserve">Nigro, R., ‘The Margin of Appreciation Doctrine and the Case-Law of the European Court of Human Rights on the Islamic Veil’ (2010) 11 </w:t>
      </w:r>
      <w:r w:rsidRPr="00B476F1">
        <w:rPr>
          <w:rFonts w:ascii="Times New Roman" w:eastAsia="Times New Roman" w:hAnsi="Times New Roman" w:cs="Times New Roman"/>
          <w:i/>
          <w:sz w:val="20"/>
          <w:szCs w:val="20"/>
          <w:lang w:eastAsia="en-GB"/>
        </w:rPr>
        <w:t>HRLR</w:t>
      </w:r>
      <w:r w:rsidRPr="00B476F1">
        <w:rPr>
          <w:rFonts w:ascii="Times New Roman" w:eastAsia="Times New Roman" w:hAnsi="Times New Roman" w:cs="Times New Roman"/>
          <w:sz w:val="20"/>
          <w:szCs w:val="20"/>
          <w:lang w:eastAsia="en-GB"/>
        </w:rPr>
        <w:t xml:space="preserve"> 531;  </w:t>
      </w:r>
      <w:r w:rsidRPr="00B476F1">
        <w:rPr>
          <w:rFonts w:ascii="Times New Roman" w:eastAsia="Times New Roman" w:hAnsi="Times New Roman" w:cs="Times New Roman"/>
          <w:i/>
          <w:sz w:val="20"/>
          <w:szCs w:val="20"/>
          <w:lang w:eastAsia="en-GB"/>
        </w:rPr>
        <w:t>Hutchinson</w:t>
      </w:r>
      <w:r w:rsidRPr="00B476F1">
        <w:rPr>
          <w:rFonts w:ascii="Times New Roman" w:eastAsia="Times New Roman" w:hAnsi="Times New Roman" w:cs="Times New Roman"/>
          <w:sz w:val="20"/>
          <w:szCs w:val="20"/>
          <w:lang w:eastAsia="en-GB"/>
        </w:rPr>
        <w:t xml:space="preserve"> (n</w:t>
      </w:r>
      <w:r w:rsidR="009B31E7" w:rsidRPr="00B476F1">
        <w:rPr>
          <w:rFonts w:ascii="Times New Roman" w:eastAsia="Times New Roman" w:hAnsi="Times New Roman" w:cs="Times New Roman"/>
          <w:sz w:val="20"/>
          <w:szCs w:val="20"/>
          <w:lang w:eastAsia="en-GB"/>
        </w:rPr>
        <w:t>20</w:t>
      </w:r>
      <w:r w:rsidRPr="00B476F1">
        <w:rPr>
          <w:rFonts w:ascii="Times New Roman" w:eastAsia="Times New Roman" w:hAnsi="Times New Roman" w:cs="Times New Roman"/>
          <w:sz w:val="20"/>
          <w:szCs w:val="20"/>
          <w:lang w:eastAsia="en-GB"/>
        </w:rPr>
        <w:t xml:space="preserve">); </w:t>
      </w:r>
      <w:r w:rsidRPr="00B476F1">
        <w:rPr>
          <w:rFonts w:ascii="Times New Roman" w:eastAsia="Times New Roman" w:hAnsi="Times New Roman" w:cs="Times New Roman"/>
          <w:i/>
          <w:sz w:val="20"/>
          <w:szCs w:val="20"/>
          <w:lang w:eastAsia="en-GB"/>
        </w:rPr>
        <w:t>Brauch</w:t>
      </w:r>
      <w:r w:rsidRPr="00B476F1">
        <w:rPr>
          <w:rFonts w:ascii="Times New Roman" w:eastAsia="Times New Roman" w:hAnsi="Times New Roman" w:cs="Times New Roman"/>
          <w:sz w:val="20"/>
          <w:szCs w:val="20"/>
          <w:lang w:eastAsia="en-GB"/>
        </w:rPr>
        <w:t xml:space="preserve"> (n</w:t>
      </w:r>
      <w:r w:rsidR="0055188B" w:rsidRPr="00B476F1">
        <w:rPr>
          <w:rFonts w:ascii="Times New Roman" w:eastAsia="Times New Roman" w:hAnsi="Times New Roman" w:cs="Times New Roman"/>
          <w:sz w:val="20"/>
          <w:szCs w:val="20"/>
          <w:lang w:eastAsia="en-GB"/>
        </w:rPr>
        <w:t>20</w:t>
      </w:r>
      <w:r w:rsidRPr="00B476F1">
        <w:rPr>
          <w:rFonts w:ascii="Times New Roman" w:eastAsia="Times New Roman" w:hAnsi="Times New Roman" w:cs="Times New Roman"/>
          <w:sz w:val="20"/>
          <w:szCs w:val="20"/>
          <w:lang w:eastAsia="en-GB"/>
        </w:rPr>
        <w:t xml:space="preserve">) and </w:t>
      </w:r>
      <w:r w:rsidRPr="00B476F1">
        <w:rPr>
          <w:rFonts w:ascii="Times New Roman" w:eastAsia="Times New Roman" w:hAnsi="Times New Roman" w:cs="Times New Roman"/>
          <w:i/>
          <w:sz w:val="20"/>
          <w:szCs w:val="20"/>
          <w:lang w:eastAsia="en-GB"/>
        </w:rPr>
        <w:t>McClain</w:t>
      </w:r>
      <w:r w:rsidRPr="00B476F1">
        <w:rPr>
          <w:rFonts w:ascii="Times New Roman" w:eastAsia="Times New Roman" w:hAnsi="Times New Roman" w:cs="Times New Roman"/>
          <w:sz w:val="20"/>
          <w:szCs w:val="20"/>
          <w:lang w:eastAsia="en-GB"/>
        </w:rPr>
        <w:t xml:space="preserve"> (n</w:t>
      </w:r>
      <w:r w:rsidR="009B31E7" w:rsidRPr="00B476F1">
        <w:rPr>
          <w:rFonts w:ascii="Times New Roman" w:eastAsia="Times New Roman" w:hAnsi="Times New Roman" w:cs="Times New Roman"/>
          <w:sz w:val="20"/>
          <w:szCs w:val="20"/>
          <w:lang w:eastAsia="en-GB"/>
        </w:rPr>
        <w:t>24</w:t>
      </w:r>
      <w:r w:rsidRPr="00B476F1">
        <w:rPr>
          <w:rFonts w:ascii="Times New Roman" w:eastAsia="Times New Roman" w:hAnsi="Times New Roman" w:cs="Times New Roman"/>
          <w:sz w:val="20"/>
          <w:szCs w:val="20"/>
          <w:lang w:eastAsia="en-GB"/>
        </w:rPr>
        <w:t xml:space="preserve">). </w:t>
      </w:r>
    </w:p>
    <w:p w:rsidR="00017C91" w:rsidRPr="00B476F1" w:rsidRDefault="00017C91" w:rsidP="009C78B8">
      <w:pPr>
        <w:pStyle w:val="FootnoteText"/>
        <w:jc w:val="both"/>
        <w:rPr>
          <w:rFonts w:ascii="Times New Roman" w:hAnsi="Times New Roman" w:cs="Times New Roman"/>
        </w:rPr>
      </w:pPr>
    </w:p>
  </w:footnote>
  <w:footnote w:id="51">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Schalk and Kopf v Austria</w:t>
      </w:r>
      <w:r w:rsidRPr="00B476F1">
        <w:rPr>
          <w:rFonts w:ascii="Times New Roman" w:hAnsi="Times New Roman" w:cs="Times New Roman"/>
        </w:rPr>
        <w:t xml:space="preserve"> (n</w:t>
      </w:r>
      <w:r w:rsidR="0055188B" w:rsidRPr="00B476F1">
        <w:rPr>
          <w:rFonts w:ascii="Times New Roman" w:hAnsi="Times New Roman" w:cs="Times New Roman"/>
        </w:rPr>
        <w:t>2</w:t>
      </w:r>
      <w:r w:rsidRPr="00B476F1">
        <w:rPr>
          <w:rFonts w:ascii="Times New Roman" w:hAnsi="Times New Roman" w:cs="Times New Roman"/>
        </w:rPr>
        <w:t xml:space="preserve">) para 57, </w:t>
      </w:r>
      <w:r w:rsidRPr="00B476F1">
        <w:rPr>
          <w:rFonts w:ascii="Times New Roman" w:eastAsiaTheme="minorEastAsia" w:hAnsi="Times New Roman" w:cs="Times New Roman"/>
          <w:bCs/>
          <w:i/>
          <w:shd w:val="clear" w:color="auto" w:fill="FFFFFF"/>
        </w:rPr>
        <w:t>Hämäläinen</w:t>
      </w:r>
      <w:r w:rsidRPr="00B476F1">
        <w:rPr>
          <w:rFonts w:ascii="Times New Roman" w:eastAsia="Times New Roman" w:hAnsi="Times New Roman" w:cs="Times New Roman"/>
          <w:i/>
        </w:rPr>
        <w:t xml:space="preserve"> v Finland</w:t>
      </w:r>
      <w:r w:rsidRPr="00B476F1">
        <w:rPr>
          <w:rFonts w:ascii="Times New Roman" w:eastAsia="Times New Roman" w:hAnsi="Times New Roman" w:cs="Times New Roman"/>
        </w:rPr>
        <w:t xml:space="preserve"> (</w:t>
      </w:r>
      <w:r w:rsidRPr="00B476F1">
        <w:rPr>
          <w:rFonts w:ascii="Times New Roman" w:hAnsi="Times New Roman" w:cs="Times New Roman"/>
        </w:rPr>
        <w:t>n2</w:t>
      </w:r>
      <w:r w:rsidRPr="00B476F1">
        <w:rPr>
          <w:rFonts w:ascii="Times New Roman" w:eastAsia="Times New Roman" w:hAnsi="Times New Roman" w:cs="Times New Roman"/>
        </w:rPr>
        <w:t xml:space="preserve">) </w:t>
      </w:r>
      <w:r w:rsidRPr="00B476F1">
        <w:rPr>
          <w:rFonts w:ascii="Times New Roman" w:hAnsi="Times New Roman" w:cs="Times New Roman"/>
        </w:rPr>
        <w:t xml:space="preserve">para 39 and </w:t>
      </w:r>
      <w:r w:rsidRPr="00B476F1">
        <w:rPr>
          <w:rFonts w:ascii="Times New Roman" w:hAnsi="Times New Roman" w:cs="Times New Roman"/>
          <w:i/>
        </w:rPr>
        <w:t xml:space="preserve">Chapin and Charpentier v France </w:t>
      </w:r>
      <w:r w:rsidRPr="00B476F1">
        <w:rPr>
          <w:rFonts w:ascii="Times New Roman" w:hAnsi="Times New Roman" w:cs="Times New Roman"/>
        </w:rPr>
        <w:t xml:space="preserve">(n2). </w:t>
      </w:r>
    </w:p>
    <w:p w:rsidR="00017C91" w:rsidRPr="00B476F1" w:rsidRDefault="00017C91" w:rsidP="009C78B8">
      <w:pPr>
        <w:pStyle w:val="FootnoteText"/>
        <w:jc w:val="both"/>
        <w:rPr>
          <w:rFonts w:ascii="Times New Roman" w:hAnsi="Times New Roman" w:cs="Times New Roman"/>
        </w:rPr>
      </w:pPr>
    </w:p>
  </w:footnote>
  <w:footnote w:id="52">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Fenwick</w:t>
      </w:r>
      <w:r w:rsidR="009B31E7" w:rsidRPr="00B476F1">
        <w:rPr>
          <w:rFonts w:ascii="Times New Roman" w:hAnsi="Times New Roman" w:cs="Times New Roman"/>
        </w:rPr>
        <w:t xml:space="preserve"> (n14</w:t>
      </w:r>
      <w:r w:rsidRPr="00B476F1">
        <w:rPr>
          <w:rFonts w:ascii="Times New Roman" w:hAnsi="Times New Roman" w:cs="Times New Roman"/>
        </w:rPr>
        <w:t xml:space="preserve">) 251 states that in practice ‘uncertainty arises in respect of every aspect of it.’ See also </w:t>
      </w:r>
      <w:r w:rsidRPr="00B476F1">
        <w:rPr>
          <w:rFonts w:ascii="Times New Roman" w:eastAsia="Calibri" w:hAnsi="Times New Roman" w:cs="Times New Roman"/>
          <w:i/>
        </w:rPr>
        <w:t>Poppelwell-Scevak</w:t>
      </w:r>
      <w:r w:rsidR="009B31E7" w:rsidRPr="00B476F1">
        <w:rPr>
          <w:rFonts w:ascii="Times New Roman" w:eastAsia="Calibri" w:hAnsi="Times New Roman" w:cs="Times New Roman"/>
        </w:rPr>
        <w:t xml:space="preserve"> (n13</w:t>
      </w:r>
      <w:r w:rsidRPr="00B476F1">
        <w:rPr>
          <w:rFonts w:ascii="Times New Roman" w:eastAsia="Calibri" w:hAnsi="Times New Roman" w:cs="Times New Roman"/>
        </w:rPr>
        <w:t xml:space="preserve">). </w:t>
      </w:r>
    </w:p>
    <w:p w:rsidR="00017C91" w:rsidRPr="00B476F1" w:rsidRDefault="00017C91" w:rsidP="009C78B8">
      <w:pPr>
        <w:pStyle w:val="FootnoteText"/>
        <w:jc w:val="both"/>
        <w:rPr>
          <w:rFonts w:ascii="Times New Roman" w:hAnsi="Times New Roman" w:cs="Times New Roman"/>
        </w:rPr>
      </w:pPr>
    </w:p>
  </w:footnote>
  <w:footnote w:id="53">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w:t>
      </w:r>
      <w:r w:rsidRPr="00B476F1">
        <w:rPr>
          <w:rFonts w:ascii="Times New Roman" w:hAnsi="Times New Roman" w:cs="Times New Roman"/>
          <w:i/>
        </w:rPr>
        <w:t>Donoho</w:t>
      </w:r>
      <w:r w:rsidR="0055188B" w:rsidRPr="00B476F1">
        <w:rPr>
          <w:rFonts w:ascii="Times New Roman" w:hAnsi="Times New Roman" w:cs="Times New Roman"/>
        </w:rPr>
        <w:t xml:space="preserve"> (n40</w:t>
      </w:r>
      <w:r w:rsidRPr="00B476F1">
        <w:rPr>
          <w:rFonts w:ascii="Times New Roman" w:hAnsi="Times New Roman" w:cs="Times New Roman"/>
        </w:rPr>
        <w:t>) for further explanation.</w:t>
      </w:r>
    </w:p>
    <w:p w:rsidR="00017C91" w:rsidRPr="00B476F1" w:rsidRDefault="00017C91" w:rsidP="009C78B8">
      <w:pPr>
        <w:pStyle w:val="FootnoteText"/>
        <w:jc w:val="both"/>
        <w:rPr>
          <w:rFonts w:ascii="Times New Roman" w:hAnsi="Times New Roman" w:cs="Times New Roman"/>
        </w:rPr>
      </w:pPr>
    </w:p>
  </w:footnote>
  <w:footnote w:id="54">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For example privacy and personal autonomy. </w:t>
      </w:r>
      <w:r w:rsidRPr="00B476F1">
        <w:rPr>
          <w:rFonts w:ascii="Times New Roman" w:hAnsi="Times New Roman" w:cs="Times New Roman"/>
          <w:i/>
        </w:rPr>
        <w:t>Dudgeon v United Kingdom</w:t>
      </w:r>
      <w:r w:rsidRPr="00B476F1">
        <w:rPr>
          <w:rFonts w:ascii="Times New Roman" w:hAnsi="Times New Roman" w:cs="Times New Roman"/>
        </w:rPr>
        <w:t xml:space="preserve">, App No 7525/76 (ECtHR 22 October 1981). </w:t>
      </w:r>
    </w:p>
    <w:p w:rsidR="00017C91" w:rsidRPr="00B476F1" w:rsidRDefault="00017C91" w:rsidP="009C78B8">
      <w:pPr>
        <w:pStyle w:val="FootnoteText"/>
        <w:jc w:val="both"/>
        <w:rPr>
          <w:rFonts w:ascii="Times New Roman" w:hAnsi="Times New Roman" w:cs="Times New Roman"/>
        </w:rPr>
      </w:pPr>
    </w:p>
  </w:footnote>
  <w:footnote w:id="55">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Ibid.</w:t>
      </w:r>
      <w:r w:rsidRPr="00B476F1">
        <w:rPr>
          <w:rFonts w:ascii="Times New Roman" w:hAnsi="Times New Roman" w:cs="Times New Roman"/>
        </w:rPr>
        <w:t xml:space="preserve">. See </w:t>
      </w:r>
      <w:r w:rsidRPr="00B476F1">
        <w:rPr>
          <w:rFonts w:ascii="Times New Roman" w:hAnsi="Times New Roman" w:cs="Times New Roman"/>
          <w:i/>
        </w:rPr>
        <w:t>McGoldrick</w:t>
      </w:r>
      <w:r w:rsidRPr="00B476F1">
        <w:rPr>
          <w:rFonts w:ascii="Times New Roman" w:hAnsi="Times New Roman" w:cs="Times New Roman"/>
        </w:rPr>
        <w:t xml:space="preserve"> (n</w:t>
      </w:r>
      <w:r w:rsidR="0055188B" w:rsidRPr="00B476F1">
        <w:rPr>
          <w:rFonts w:ascii="Times New Roman" w:hAnsi="Times New Roman" w:cs="Times New Roman"/>
        </w:rPr>
        <w:t>41</w:t>
      </w:r>
      <w:r w:rsidRPr="00B476F1">
        <w:rPr>
          <w:rFonts w:ascii="Times New Roman" w:hAnsi="Times New Roman" w:cs="Times New Roman"/>
        </w:rPr>
        <w:t xml:space="preserve">) 25. </w:t>
      </w:r>
    </w:p>
    <w:p w:rsidR="00017C91" w:rsidRPr="00B476F1" w:rsidRDefault="00017C91" w:rsidP="009C78B8">
      <w:pPr>
        <w:pStyle w:val="FootnoteText"/>
        <w:jc w:val="both"/>
        <w:rPr>
          <w:rFonts w:ascii="Times New Roman" w:hAnsi="Times New Roman" w:cs="Times New Roman"/>
        </w:rPr>
      </w:pPr>
      <w:r w:rsidRPr="00B476F1">
        <w:rPr>
          <w:rFonts w:ascii="Times New Roman" w:hAnsi="Times New Roman" w:cs="Times New Roman"/>
        </w:rPr>
        <w:t>.</w:t>
      </w:r>
    </w:p>
  </w:footnote>
  <w:footnote w:id="56">
    <w:p w:rsidR="00017C91" w:rsidRPr="00B476F1" w:rsidRDefault="00017C91" w:rsidP="009C78B8">
      <w:pPr>
        <w:pStyle w:val="FootnoteText"/>
        <w:jc w:val="both"/>
        <w:rPr>
          <w:rFonts w:ascii="Times New Roman" w:hAnsi="Times New Roman" w:cs="Times New Roman"/>
          <w:i/>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color w:val="000000"/>
          <w:kern w:val="24"/>
        </w:rPr>
        <w:t>Karner v Austria</w:t>
      </w:r>
      <w:r w:rsidRPr="00B476F1">
        <w:rPr>
          <w:rFonts w:ascii="Times New Roman" w:hAnsi="Times New Roman" w:cs="Times New Roman"/>
        </w:rPr>
        <w:t xml:space="preserve"> App No 40016/98 (ECtHR 24 July 2003). </w:t>
      </w:r>
    </w:p>
    <w:p w:rsidR="00017C91" w:rsidRPr="00B476F1" w:rsidRDefault="00017C91" w:rsidP="009C78B8">
      <w:pPr>
        <w:pStyle w:val="FootnoteText"/>
        <w:jc w:val="both"/>
        <w:rPr>
          <w:rFonts w:ascii="Times New Roman" w:hAnsi="Times New Roman" w:cs="Times New Roman"/>
        </w:rPr>
      </w:pPr>
      <w:r w:rsidRPr="00B476F1">
        <w:rPr>
          <w:rFonts w:ascii="Times New Roman" w:hAnsi="Times New Roman" w:cs="Times New Roman"/>
        </w:rPr>
        <w:tab/>
      </w:r>
    </w:p>
  </w:footnote>
  <w:footnote w:id="57">
    <w:p w:rsidR="00017C91" w:rsidRPr="00B476F1" w:rsidRDefault="00017C91" w:rsidP="009C78B8">
      <w:pPr>
        <w:pStyle w:val="FootnoteText"/>
        <w:jc w:val="both"/>
        <w:rPr>
          <w:rFonts w:ascii="Times New Roman" w:hAnsi="Times New Roman" w:cs="Times New Roman"/>
          <w:i/>
          <w:lang w:val="de-DE"/>
        </w:rPr>
      </w:pPr>
      <w:r w:rsidRPr="00B476F1">
        <w:rPr>
          <w:rStyle w:val="FootnoteReference"/>
          <w:rFonts w:ascii="Times New Roman" w:hAnsi="Times New Roman" w:cs="Times New Roman"/>
        </w:rPr>
        <w:footnoteRef/>
      </w:r>
      <w:r w:rsidRPr="00B476F1">
        <w:rPr>
          <w:rFonts w:ascii="Times New Roman" w:hAnsi="Times New Roman" w:cs="Times New Roman"/>
          <w:lang w:val="de-DE"/>
        </w:rPr>
        <w:t xml:space="preserve"> </w:t>
      </w:r>
      <w:r w:rsidRPr="00B476F1">
        <w:rPr>
          <w:rFonts w:ascii="Times New Roman" w:hAnsi="Times New Roman" w:cs="Times New Roman"/>
          <w:i/>
          <w:lang w:val="de-DE"/>
        </w:rPr>
        <w:t>Schalk and Kopf v Austria (n2)</w:t>
      </w:r>
    </w:p>
    <w:p w:rsidR="00017C91" w:rsidRPr="00B476F1" w:rsidRDefault="00017C91" w:rsidP="009C78B8">
      <w:pPr>
        <w:pStyle w:val="FootnoteText"/>
        <w:jc w:val="both"/>
        <w:rPr>
          <w:rFonts w:ascii="Times New Roman" w:hAnsi="Times New Roman" w:cs="Times New Roman"/>
        </w:rPr>
      </w:pPr>
      <w:r w:rsidRPr="00B476F1">
        <w:rPr>
          <w:rFonts w:ascii="Times New Roman" w:hAnsi="Times New Roman" w:cs="Times New Roman"/>
          <w:i/>
        </w:rPr>
        <w:t>.</w:t>
      </w:r>
      <w:r w:rsidRPr="00B476F1">
        <w:rPr>
          <w:rFonts w:ascii="Times New Roman" w:hAnsi="Times New Roman" w:cs="Times New Roman"/>
        </w:rPr>
        <w:t xml:space="preserve"> </w:t>
      </w:r>
    </w:p>
  </w:footnote>
  <w:footnote w:id="58">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 xml:space="preserve">Ibid. </w:t>
      </w:r>
      <w:r w:rsidRPr="00B476F1">
        <w:rPr>
          <w:rFonts w:ascii="Times New Roman" w:hAnsi="Times New Roman" w:cs="Times New Roman"/>
        </w:rPr>
        <w:t xml:space="preserve"> Dissenting Opinion of Judges Rozakis, Spielmann and Jebens para 8</w:t>
      </w:r>
    </w:p>
    <w:p w:rsidR="00017C91" w:rsidRPr="00B476F1" w:rsidRDefault="00017C91" w:rsidP="009C78B8">
      <w:pPr>
        <w:pStyle w:val="FootnoteText"/>
        <w:jc w:val="both"/>
        <w:rPr>
          <w:rFonts w:ascii="Times New Roman" w:hAnsi="Times New Roman" w:cs="Times New Roman"/>
        </w:rPr>
      </w:pPr>
    </w:p>
  </w:footnote>
  <w:footnote w:id="59">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for example </w:t>
      </w:r>
      <w:r w:rsidRPr="00B476F1">
        <w:rPr>
          <w:rFonts w:ascii="Times New Roman" w:hAnsi="Times New Roman" w:cs="Times New Roman"/>
          <w:i/>
        </w:rPr>
        <w:t>Schalk and Kopf v Austria</w:t>
      </w:r>
      <w:r w:rsidRPr="00B476F1">
        <w:rPr>
          <w:rFonts w:ascii="Times New Roman" w:hAnsi="Times New Roman" w:cs="Times New Roman"/>
        </w:rPr>
        <w:t xml:space="preserve"> (n2).</w:t>
      </w:r>
    </w:p>
    <w:p w:rsidR="00017C91" w:rsidRPr="00B476F1" w:rsidRDefault="00017C91" w:rsidP="009C78B8">
      <w:pPr>
        <w:pStyle w:val="FootnoteText"/>
        <w:jc w:val="both"/>
        <w:rPr>
          <w:rFonts w:ascii="Times New Roman" w:hAnsi="Times New Roman" w:cs="Times New Roman"/>
        </w:rPr>
      </w:pPr>
    </w:p>
  </w:footnote>
  <w:footnote w:id="60">
    <w:p w:rsidR="00017C91" w:rsidRPr="00B476F1" w:rsidRDefault="00017C91" w:rsidP="009C78B8">
      <w:pPr>
        <w:spacing w:after="0" w:line="240" w:lineRule="auto"/>
        <w:jc w:val="both"/>
        <w:rPr>
          <w:rFonts w:ascii="Times New Roman" w:eastAsia="Times New Roman" w:hAnsi="Times New Roman" w:cs="Times New Roman"/>
          <w:sz w:val="20"/>
          <w:szCs w:val="20"/>
          <w:lang w:eastAsia="en-GB"/>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w:t>
      </w:r>
      <w:r w:rsidRPr="00B476F1">
        <w:rPr>
          <w:rFonts w:ascii="Times New Roman" w:eastAsia="Times New Roman" w:hAnsi="Times New Roman" w:cs="Times New Roman"/>
          <w:i/>
          <w:sz w:val="20"/>
          <w:szCs w:val="20"/>
          <w:lang w:eastAsia="en-GB"/>
        </w:rPr>
        <w:t>Wada</w:t>
      </w:r>
      <w:r w:rsidRPr="00B476F1">
        <w:rPr>
          <w:rFonts w:ascii="Times New Roman" w:eastAsia="Times New Roman" w:hAnsi="Times New Roman" w:cs="Times New Roman"/>
          <w:sz w:val="20"/>
          <w:szCs w:val="20"/>
          <w:lang w:eastAsia="en-GB"/>
        </w:rPr>
        <w:t xml:space="preserve"> (n</w:t>
      </w:r>
      <w:r w:rsidR="0055188B" w:rsidRPr="00B476F1">
        <w:rPr>
          <w:rFonts w:ascii="Times New Roman" w:eastAsia="Times New Roman" w:hAnsi="Times New Roman" w:cs="Times New Roman"/>
          <w:sz w:val="20"/>
          <w:szCs w:val="20"/>
          <w:lang w:eastAsia="en-GB"/>
        </w:rPr>
        <w:t>50</w:t>
      </w:r>
      <w:r w:rsidRPr="00B476F1">
        <w:rPr>
          <w:rFonts w:ascii="Times New Roman" w:eastAsia="Times New Roman" w:hAnsi="Times New Roman" w:cs="Times New Roman"/>
          <w:sz w:val="20"/>
          <w:szCs w:val="20"/>
          <w:lang w:eastAsia="en-GB"/>
        </w:rPr>
        <w:t xml:space="preserve">) 280, </w:t>
      </w:r>
      <w:r w:rsidRPr="00B476F1">
        <w:rPr>
          <w:rFonts w:ascii="Times New Roman" w:eastAsia="Times New Roman" w:hAnsi="Times New Roman" w:cs="Times New Roman"/>
          <w:i/>
          <w:sz w:val="20"/>
          <w:szCs w:val="20"/>
          <w:lang w:eastAsia="en-GB"/>
        </w:rPr>
        <w:t xml:space="preserve">Butler </w:t>
      </w:r>
      <w:r w:rsidR="0055188B" w:rsidRPr="00B476F1">
        <w:rPr>
          <w:rFonts w:ascii="Times New Roman" w:eastAsia="Times New Roman" w:hAnsi="Times New Roman" w:cs="Times New Roman"/>
          <w:sz w:val="20"/>
          <w:szCs w:val="20"/>
          <w:lang w:eastAsia="en-GB"/>
        </w:rPr>
        <w:t>(n11</w:t>
      </w:r>
      <w:r w:rsidRPr="00B476F1">
        <w:rPr>
          <w:rFonts w:ascii="Times New Roman" w:eastAsia="Times New Roman" w:hAnsi="Times New Roman" w:cs="Times New Roman"/>
          <w:sz w:val="20"/>
          <w:szCs w:val="20"/>
          <w:lang w:eastAsia="en-GB"/>
        </w:rPr>
        <w:t xml:space="preserve">) 702, </w:t>
      </w:r>
      <w:r w:rsidRPr="00B476F1">
        <w:rPr>
          <w:rFonts w:ascii="Times New Roman" w:eastAsia="Times New Roman" w:hAnsi="Times New Roman" w:cs="Times New Roman"/>
          <w:i/>
          <w:sz w:val="20"/>
          <w:szCs w:val="20"/>
          <w:lang w:eastAsia="en-GB"/>
        </w:rPr>
        <w:t>Hutchinson</w:t>
      </w:r>
      <w:r w:rsidRPr="00B476F1">
        <w:rPr>
          <w:rFonts w:ascii="Times New Roman" w:eastAsia="Times New Roman" w:hAnsi="Times New Roman" w:cs="Times New Roman"/>
          <w:sz w:val="20"/>
          <w:szCs w:val="20"/>
          <w:lang w:eastAsia="en-GB"/>
        </w:rPr>
        <w:t xml:space="preserve"> (n</w:t>
      </w:r>
      <w:r w:rsidR="009B31E7" w:rsidRPr="00B476F1">
        <w:rPr>
          <w:rFonts w:ascii="Times New Roman" w:eastAsia="Times New Roman" w:hAnsi="Times New Roman" w:cs="Times New Roman"/>
          <w:sz w:val="20"/>
          <w:szCs w:val="20"/>
          <w:lang w:eastAsia="en-GB"/>
        </w:rPr>
        <w:t>20</w:t>
      </w:r>
      <w:r w:rsidRPr="00B476F1">
        <w:rPr>
          <w:rFonts w:ascii="Times New Roman" w:eastAsia="Times New Roman" w:hAnsi="Times New Roman" w:cs="Times New Roman"/>
          <w:sz w:val="20"/>
          <w:szCs w:val="20"/>
          <w:lang w:eastAsia="en-GB"/>
        </w:rPr>
        <w:t xml:space="preserve">) 641, </w:t>
      </w:r>
      <w:r w:rsidRPr="00B476F1">
        <w:rPr>
          <w:rFonts w:ascii="Times New Roman" w:eastAsia="Times New Roman" w:hAnsi="Times New Roman" w:cs="Times New Roman"/>
          <w:i/>
          <w:sz w:val="20"/>
          <w:szCs w:val="20"/>
          <w:lang w:eastAsia="en-GB"/>
        </w:rPr>
        <w:t>Brauch</w:t>
      </w:r>
      <w:r w:rsidRPr="00B476F1">
        <w:rPr>
          <w:rFonts w:ascii="Times New Roman" w:eastAsia="Times New Roman" w:hAnsi="Times New Roman" w:cs="Times New Roman"/>
          <w:sz w:val="20"/>
          <w:szCs w:val="20"/>
          <w:lang w:eastAsia="en-GB"/>
        </w:rPr>
        <w:t xml:space="preserve"> (n</w:t>
      </w:r>
      <w:r w:rsidR="0055188B" w:rsidRPr="00B476F1">
        <w:rPr>
          <w:rFonts w:ascii="Times New Roman" w:eastAsia="Times New Roman" w:hAnsi="Times New Roman" w:cs="Times New Roman"/>
          <w:sz w:val="20"/>
          <w:szCs w:val="20"/>
          <w:lang w:eastAsia="en-GB"/>
        </w:rPr>
        <w:t>20</w:t>
      </w:r>
      <w:r w:rsidRPr="00B476F1">
        <w:rPr>
          <w:rFonts w:ascii="Times New Roman" w:eastAsia="Times New Roman" w:hAnsi="Times New Roman" w:cs="Times New Roman"/>
          <w:sz w:val="20"/>
          <w:szCs w:val="20"/>
          <w:lang w:eastAsia="en-GB"/>
        </w:rPr>
        <w:t xml:space="preserve">) 121, </w:t>
      </w:r>
      <w:r w:rsidRPr="00B476F1">
        <w:rPr>
          <w:rFonts w:ascii="Times New Roman" w:eastAsia="Times New Roman" w:hAnsi="Times New Roman" w:cs="Times New Roman"/>
          <w:i/>
          <w:sz w:val="20"/>
          <w:szCs w:val="20"/>
          <w:lang w:eastAsia="en-GB"/>
        </w:rPr>
        <w:t>Shany</w:t>
      </w:r>
      <w:r w:rsidRPr="00B476F1">
        <w:rPr>
          <w:rFonts w:ascii="Times New Roman" w:eastAsia="Times New Roman" w:hAnsi="Times New Roman" w:cs="Times New Roman"/>
          <w:sz w:val="20"/>
          <w:szCs w:val="20"/>
          <w:lang w:eastAsia="en-GB"/>
        </w:rPr>
        <w:t xml:space="preserve"> (n</w:t>
      </w:r>
      <w:r w:rsidR="0055188B" w:rsidRPr="00B476F1">
        <w:rPr>
          <w:rFonts w:ascii="Times New Roman" w:eastAsia="Times New Roman" w:hAnsi="Times New Roman" w:cs="Times New Roman"/>
          <w:sz w:val="20"/>
          <w:szCs w:val="20"/>
          <w:lang w:eastAsia="en-GB"/>
        </w:rPr>
        <w:t>21</w:t>
      </w:r>
      <w:r w:rsidRPr="00B476F1">
        <w:rPr>
          <w:rFonts w:ascii="Times New Roman" w:eastAsia="Times New Roman" w:hAnsi="Times New Roman" w:cs="Times New Roman"/>
          <w:sz w:val="20"/>
          <w:szCs w:val="20"/>
          <w:lang w:eastAsia="en-GB"/>
        </w:rPr>
        <w:t xml:space="preserve">) 932, </w:t>
      </w:r>
      <w:r w:rsidRPr="00B476F1">
        <w:rPr>
          <w:rFonts w:ascii="Times New Roman" w:eastAsia="Times New Roman" w:hAnsi="Times New Roman" w:cs="Times New Roman"/>
          <w:i/>
          <w:sz w:val="20"/>
          <w:szCs w:val="20"/>
          <w:lang w:eastAsia="en-GB"/>
        </w:rPr>
        <w:t>Benvenisti</w:t>
      </w:r>
      <w:r w:rsidR="009B31E7" w:rsidRPr="00B476F1">
        <w:rPr>
          <w:rFonts w:ascii="Times New Roman" w:eastAsia="Times New Roman" w:hAnsi="Times New Roman" w:cs="Times New Roman"/>
          <w:sz w:val="20"/>
          <w:szCs w:val="20"/>
          <w:lang w:eastAsia="en-GB"/>
        </w:rPr>
        <w:t xml:space="preserve"> (n18</w:t>
      </w:r>
      <w:r w:rsidRPr="00B476F1">
        <w:rPr>
          <w:rFonts w:ascii="Times New Roman" w:eastAsia="Times New Roman" w:hAnsi="Times New Roman" w:cs="Times New Roman"/>
          <w:sz w:val="20"/>
          <w:szCs w:val="20"/>
          <w:lang w:eastAsia="en-GB"/>
        </w:rPr>
        <w:t xml:space="preserve">) 844, </w:t>
      </w:r>
      <w:r w:rsidRPr="00B476F1">
        <w:rPr>
          <w:rFonts w:ascii="Times New Roman" w:eastAsia="Times New Roman" w:hAnsi="Times New Roman" w:cs="Times New Roman"/>
          <w:i/>
          <w:sz w:val="20"/>
          <w:szCs w:val="20"/>
          <w:lang w:eastAsia="en-GB"/>
        </w:rPr>
        <w:t>McGoldrick</w:t>
      </w:r>
      <w:r w:rsidRPr="00B476F1">
        <w:rPr>
          <w:rFonts w:ascii="Times New Roman" w:eastAsia="Times New Roman" w:hAnsi="Times New Roman" w:cs="Times New Roman"/>
          <w:sz w:val="20"/>
          <w:szCs w:val="20"/>
          <w:lang w:eastAsia="en-GB"/>
        </w:rPr>
        <w:t xml:space="preserve"> (n</w:t>
      </w:r>
      <w:r w:rsidR="0055188B" w:rsidRPr="00B476F1">
        <w:rPr>
          <w:rFonts w:ascii="Times New Roman" w:eastAsia="Times New Roman" w:hAnsi="Times New Roman" w:cs="Times New Roman"/>
          <w:sz w:val="20"/>
          <w:szCs w:val="20"/>
          <w:lang w:eastAsia="en-GB"/>
        </w:rPr>
        <w:t>41</w:t>
      </w:r>
      <w:r w:rsidRPr="00B476F1">
        <w:rPr>
          <w:rFonts w:ascii="Times New Roman" w:eastAsia="Times New Roman" w:hAnsi="Times New Roman" w:cs="Times New Roman"/>
          <w:sz w:val="20"/>
          <w:szCs w:val="20"/>
          <w:lang w:eastAsia="en-GB"/>
        </w:rPr>
        <w:t xml:space="preserve">) and </w:t>
      </w:r>
      <w:r w:rsidRPr="00B476F1">
        <w:rPr>
          <w:rFonts w:ascii="Times New Roman" w:hAnsi="Times New Roman" w:cs="Times New Roman"/>
          <w:i/>
          <w:sz w:val="20"/>
          <w:szCs w:val="20"/>
        </w:rPr>
        <w:t>Lester</w:t>
      </w:r>
      <w:r w:rsidR="0055188B" w:rsidRPr="00B476F1">
        <w:rPr>
          <w:rFonts w:ascii="Times New Roman" w:hAnsi="Times New Roman" w:cs="Times New Roman"/>
          <w:sz w:val="20"/>
          <w:szCs w:val="20"/>
        </w:rPr>
        <w:t xml:space="preserve"> (n18</w:t>
      </w:r>
      <w:r w:rsidRPr="00B476F1">
        <w:rPr>
          <w:rFonts w:ascii="Times New Roman" w:hAnsi="Times New Roman" w:cs="Times New Roman"/>
          <w:sz w:val="20"/>
          <w:szCs w:val="20"/>
        </w:rPr>
        <w:t xml:space="preserve">).  </w:t>
      </w:r>
    </w:p>
    <w:p w:rsidR="00017C91" w:rsidRPr="00B476F1" w:rsidRDefault="00017C91" w:rsidP="009C78B8">
      <w:pPr>
        <w:pStyle w:val="FootnoteText"/>
        <w:jc w:val="both"/>
        <w:rPr>
          <w:rFonts w:ascii="Times New Roman" w:hAnsi="Times New Roman" w:cs="Times New Roman"/>
        </w:rPr>
      </w:pPr>
    </w:p>
  </w:footnote>
  <w:footnote w:id="61">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Brauch</w:t>
      </w:r>
      <w:r w:rsidRPr="00B476F1">
        <w:rPr>
          <w:rFonts w:ascii="Times New Roman" w:hAnsi="Times New Roman" w:cs="Times New Roman"/>
        </w:rPr>
        <w:t xml:space="preserve"> (n</w:t>
      </w:r>
      <w:r w:rsidR="0055188B" w:rsidRPr="00B476F1">
        <w:rPr>
          <w:rFonts w:ascii="Times New Roman" w:hAnsi="Times New Roman" w:cs="Times New Roman"/>
        </w:rPr>
        <w:t>20</w:t>
      </w:r>
      <w:r w:rsidRPr="00B476F1">
        <w:rPr>
          <w:rFonts w:ascii="Times New Roman" w:hAnsi="Times New Roman" w:cs="Times New Roman"/>
        </w:rPr>
        <w:t>) 138.</w:t>
      </w:r>
    </w:p>
    <w:p w:rsidR="00017C91" w:rsidRPr="00B476F1" w:rsidRDefault="00017C91" w:rsidP="009C78B8">
      <w:pPr>
        <w:pStyle w:val="FootnoteText"/>
        <w:jc w:val="both"/>
        <w:rPr>
          <w:rFonts w:ascii="Times New Roman" w:hAnsi="Times New Roman" w:cs="Times New Roman"/>
        </w:rPr>
      </w:pPr>
    </w:p>
  </w:footnote>
  <w:footnote w:id="62">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 xml:space="preserve">Bribosia et al </w:t>
      </w:r>
      <w:r w:rsidR="0055188B" w:rsidRPr="00B476F1">
        <w:rPr>
          <w:rFonts w:ascii="Times New Roman" w:hAnsi="Times New Roman" w:cs="Times New Roman"/>
        </w:rPr>
        <w:t>(n29) 18.</w:t>
      </w:r>
      <w:r w:rsidRPr="00B476F1">
        <w:rPr>
          <w:rFonts w:ascii="Times New Roman" w:hAnsi="Times New Roman" w:cs="Times New Roman"/>
        </w:rPr>
        <w:t xml:space="preserve"> </w:t>
      </w:r>
    </w:p>
    <w:p w:rsidR="00017C91" w:rsidRPr="00B476F1" w:rsidRDefault="00017C91" w:rsidP="009C78B8">
      <w:pPr>
        <w:pStyle w:val="FootnoteText"/>
        <w:jc w:val="both"/>
        <w:rPr>
          <w:rFonts w:ascii="Times New Roman" w:hAnsi="Times New Roman" w:cs="Times New Roman"/>
        </w:rPr>
      </w:pPr>
    </w:p>
  </w:footnote>
  <w:footnote w:id="63">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 xml:space="preserve">Popplewell-Scezak </w:t>
      </w:r>
      <w:r w:rsidR="002D049A" w:rsidRPr="00B476F1">
        <w:rPr>
          <w:rFonts w:ascii="Times New Roman" w:hAnsi="Times New Roman" w:cs="Times New Roman"/>
        </w:rPr>
        <w:t>(n13</w:t>
      </w:r>
      <w:r w:rsidRPr="00B476F1">
        <w:rPr>
          <w:rFonts w:ascii="Times New Roman" w:hAnsi="Times New Roman" w:cs="Times New Roman"/>
        </w:rPr>
        <w:t xml:space="preserve">) 39. </w:t>
      </w:r>
    </w:p>
    <w:p w:rsidR="00017C91" w:rsidRPr="00B476F1" w:rsidRDefault="00017C91" w:rsidP="009C78B8">
      <w:pPr>
        <w:pStyle w:val="FootnoteText"/>
        <w:jc w:val="both"/>
        <w:rPr>
          <w:rFonts w:ascii="Times New Roman" w:hAnsi="Times New Roman" w:cs="Times New Roman"/>
        </w:rPr>
      </w:pPr>
    </w:p>
  </w:footnote>
  <w:footnote w:id="64">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Dzhetsiarou</w:t>
      </w:r>
      <w:r w:rsidRPr="00B476F1">
        <w:rPr>
          <w:rFonts w:ascii="Times New Roman" w:hAnsi="Times New Roman" w:cs="Times New Roman"/>
        </w:rPr>
        <w:t xml:space="preserve"> (n29) 544.</w:t>
      </w:r>
    </w:p>
    <w:p w:rsidR="00017C91" w:rsidRPr="00B476F1" w:rsidRDefault="00017C91" w:rsidP="009C78B8">
      <w:pPr>
        <w:pStyle w:val="FootnoteText"/>
        <w:jc w:val="both"/>
        <w:rPr>
          <w:rFonts w:ascii="Times New Roman" w:hAnsi="Times New Roman" w:cs="Times New Roman"/>
        </w:rPr>
      </w:pPr>
    </w:p>
  </w:footnote>
  <w:footnote w:id="65">
    <w:p w:rsidR="00017C91" w:rsidRPr="00B476F1" w:rsidRDefault="00017C91" w:rsidP="009C78B8">
      <w:pPr>
        <w:pStyle w:val="FootnoteText"/>
        <w:jc w:val="both"/>
        <w:rPr>
          <w:rFonts w:ascii="Times New Roman" w:eastAsia="Calibri"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Look at adoption cases</w:t>
      </w:r>
      <w:r w:rsidRPr="00B476F1">
        <w:rPr>
          <w:rFonts w:ascii="Times New Roman" w:hAnsi="Times New Roman" w:cs="Times New Roman"/>
          <w:i/>
        </w:rPr>
        <w:t xml:space="preserve"> Frette v France</w:t>
      </w:r>
      <w:r w:rsidRPr="00B476F1">
        <w:rPr>
          <w:rFonts w:ascii="Times New Roman" w:hAnsi="Times New Roman" w:cs="Times New Roman"/>
        </w:rPr>
        <w:t xml:space="preserve"> App No 36515/97 (ECtHR 26 Februrary 2002) which placed emphasis on the division in the scientific community about the effect which individual gay adoption would have on the child.  This approach was subsequently regarded as discriminatory.</w:t>
      </w:r>
      <w:r w:rsidRPr="00B476F1">
        <w:rPr>
          <w:rFonts w:ascii="Times New Roman" w:hAnsi="Times New Roman" w:cs="Times New Roman"/>
          <w:i/>
        </w:rPr>
        <w:t xml:space="preserve"> X and Others v. Austria</w:t>
      </w:r>
      <w:r w:rsidRPr="00B476F1">
        <w:rPr>
          <w:rFonts w:ascii="Times New Roman" w:hAnsi="Times New Roman" w:cs="Times New Roman"/>
        </w:rPr>
        <w:t xml:space="preserve"> App No 19010/07 (ECtHR 19 February 2013) </w:t>
      </w:r>
    </w:p>
    <w:p w:rsidR="00017C91" w:rsidRPr="00B476F1" w:rsidRDefault="00017C91" w:rsidP="009C78B8">
      <w:pPr>
        <w:pStyle w:val="FootnoteText"/>
        <w:jc w:val="both"/>
        <w:rPr>
          <w:rFonts w:ascii="Times New Roman" w:hAnsi="Times New Roman" w:cs="Times New Roman"/>
        </w:rPr>
      </w:pPr>
    </w:p>
  </w:footnote>
  <w:footnote w:id="66">
    <w:p w:rsidR="00017C91" w:rsidRPr="00B476F1" w:rsidRDefault="00017C91" w:rsidP="009C78B8">
      <w:pPr>
        <w:pStyle w:val="FootnoteText"/>
        <w:jc w:val="both"/>
        <w:rPr>
          <w:rFonts w:ascii="Times New Roman" w:eastAsia="Calibri"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Dzehtsiarou</w:t>
      </w:r>
      <w:r w:rsidR="002D049A" w:rsidRPr="00B476F1">
        <w:rPr>
          <w:rFonts w:ascii="Times New Roman" w:hAnsi="Times New Roman" w:cs="Times New Roman"/>
        </w:rPr>
        <w:t xml:space="preserve"> (n18</w:t>
      </w:r>
      <w:r w:rsidRPr="00B476F1">
        <w:rPr>
          <w:rFonts w:ascii="Times New Roman" w:hAnsi="Times New Roman" w:cs="Times New Roman"/>
        </w:rPr>
        <w:t>)</w:t>
      </w:r>
      <w:r w:rsidR="002D049A" w:rsidRPr="00B476F1">
        <w:rPr>
          <w:rFonts w:ascii="Times New Roman" w:hAnsi="Times New Roman" w:cs="Times New Roman"/>
        </w:rPr>
        <w:t xml:space="preserve"> </w:t>
      </w:r>
      <w:r w:rsidRPr="00B476F1">
        <w:rPr>
          <w:rFonts w:ascii="Times New Roman" w:hAnsi="Times New Roman" w:cs="Times New Roman"/>
        </w:rPr>
        <w:t xml:space="preserve">539. </w:t>
      </w:r>
      <w:r w:rsidRPr="00B476F1">
        <w:rPr>
          <w:rFonts w:ascii="Times New Roman" w:eastAsia="Calibri" w:hAnsi="Times New Roman" w:cs="Times New Roman"/>
        </w:rPr>
        <w:t xml:space="preserve"> </w:t>
      </w:r>
    </w:p>
    <w:p w:rsidR="00017C91" w:rsidRPr="00B476F1" w:rsidRDefault="00017C91" w:rsidP="009C78B8">
      <w:pPr>
        <w:pStyle w:val="FootnoteText"/>
        <w:jc w:val="both"/>
        <w:rPr>
          <w:rFonts w:ascii="Times New Roman" w:hAnsi="Times New Roman" w:cs="Times New Roman"/>
        </w:rPr>
      </w:pPr>
    </w:p>
  </w:footnote>
  <w:footnote w:id="67">
    <w:p w:rsidR="00017C91" w:rsidRPr="00B476F1" w:rsidRDefault="00017C91" w:rsidP="009C78B8">
      <w:pPr>
        <w:autoSpaceDE w:val="0"/>
        <w:autoSpaceDN w:val="0"/>
        <w:adjustRightInd w:val="0"/>
        <w:spacing w:after="0" w:line="240" w:lineRule="auto"/>
        <w:jc w:val="both"/>
        <w:rPr>
          <w:rFonts w:ascii="Times New Roman" w:hAnsi="Times New Roman" w:cs="Times New Roman"/>
          <w:color w:val="000000"/>
          <w:sz w:val="20"/>
          <w:szCs w:val="20"/>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w:t>
      </w:r>
      <w:r w:rsidRPr="00B476F1">
        <w:rPr>
          <w:rFonts w:ascii="Times New Roman" w:hAnsi="Times New Roman" w:cs="Times New Roman"/>
          <w:i/>
          <w:sz w:val="20"/>
          <w:szCs w:val="20"/>
        </w:rPr>
        <w:t>McGoldrick</w:t>
      </w:r>
      <w:r w:rsidRPr="00B476F1">
        <w:rPr>
          <w:rFonts w:ascii="Times New Roman" w:hAnsi="Times New Roman" w:cs="Times New Roman"/>
          <w:sz w:val="20"/>
          <w:szCs w:val="20"/>
        </w:rPr>
        <w:t xml:space="preserve"> (n</w:t>
      </w:r>
      <w:r w:rsidR="0055188B" w:rsidRPr="00B476F1">
        <w:rPr>
          <w:rFonts w:ascii="Times New Roman" w:hAnsi="Times New Roman" w:cs="Times New Roman"/>
          <w:sz w:val="20"/>
          <w:szCs w:val="20"/>
        </w:rPr>
        <w:t>41</w:t>
      </w:r>
      <w:r w:rsidRPr="00B476F1">
        <w:rPr>
          <w:rFonts w:ascii="Times New Roman" w:hAnsi="Times New Roman" w:cs="Times New Roman"/>
          <w:sz w:val="20"/>
          <w:szCs w:val="20"/>
        </w:rPr>
        <w:t>) 28  referring to Nicolas Bratza, Evidence to UK Joint Committee on Human Rights, 13 March 2012, HC 873-iii Q140, former President of the European Court, who saw this as</w:t>
      </w:r>
      <w:r w:rsidRPr="00B476F1">
        <w:rPr>
          <w:rFonts w:ascii="Times New Roman" w:hAnsi="Times New Roman" w:cs="Times New Roman"/>
          <w:color w:val="000000"/>
          <w:sz w:val="20"/>
          <w:szCs w:val="20"/>
        </w:rPr>
        <w:t xml:space="preserve"> a safeguard ‘to prevent any rapid and arbitrary development of the Convention’. See also </w:t>
      </w:r>
      <w:r w:rsidRPr="00B476F1">
        <w:rPr>
          <w:rFonts w:ascii="Times New Roman" w:hAnsi="Times New Roman" w:cs="Times New Roman"/>
          <w:i/>
          <w:sz w:val="20"/>
          <w:szCs w:val="20"/>
        </w:rPr>
        <w:t>Dzehtsiarou</w:t>
      </w:r>
      <w:r w:rsidR="002D049A" w:rsidRPr="00B476F1">
        <w:rPr>
          <w:rFonts w:ascii="Times New Roman" w:hAnsi="Times New Roman" w:cs="Times New Roman"/>
          <w:sz w:val="20"/>
          <w:szCs w:val="20"/>
        </w:rPr>
        <w:t xml:space="preserve"> (n18</w:t>
      </w:r>
      <w:r w:rsidRPr="00B476F1">
        <w:rPr>
          <w:rFonts w:ascii="Times New Roman" w:hAnsi="Times New Roman" w:cs="Times New Roman"/>
          <w:sz w:val="20"/>
          <w:szCs w:val="20"/>
        </w:rPr>
        <w:t xml:space="preserve">).  </w:t>
      </w:r>
    </w:p>
    <w:p w:rsidR="00017C91" w:rsidRPr="00B476F1" w:rsidRDefault="00017C91" w:rsidP="009C78B8">
      <w:pPr>
        <w:autoSpaceDE w:val="0"/>
        <w:autoSpaceDN w:val="0"/>
        <w:adjustRightInd w:val="0"/>
        <w:spacing w:after="0" w:line="240" w:lineRule="auto"/>
        <w:jc w:val="both"/>
        <w:rPr>
          <w:rFonts w:ascii="Times New Roman" w:hAnsi="Times New Roman" w:cs="Times New Roman"/>
          <w:sz w:val="20"/>
          <w:szCs w:val="20"/>
        </w:rPr>
      </w:pPr>
    </w:p>
  </w:footnote>
  <w:footnote w:id="68">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Introduction. </w:t>
      </w:r>
    </w:p>
    <w:p w:rsidR="00017C91" w:rsidRPr="00B476F1" w:rsidRDefault="00017C91" w:rsidP="009C78B8">
      <w:pPr>
        <w:pStyle w:val="FootnoteText"/>
        <w:jc w:val="both"/>
        <w:rPr>
          <w:rFonts w:ascii="Times New Roman" w:hAnsi="Times New Roman" w:cs="Times New Roman"/>
        </w:rPr>
      </w:pPr>
    </w:p>
  </w:footnote>
  <w:footnote w:id="69">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0055188B" w:rsidRPr="00B476F1">
        <w:rPr>
          <w:rFonts w:ascii="Times New Roman" w:hAnsi="Times New Roman" w:cs="Times New Roman"/>
        </w:rPr>
        <w:t xml:space="preserve"> See n29</w:t>
      </w:r>
      <w:r w:rsidRPr="00B476F1">
        <w:rPr>
          <w:rFonts w:ascii="Times New Roman" w:hAnsi="Times New Roman" w:cs="Times New Roman"/>
        </w:rPr>
        <w:t>.</w:t>
      </w:r>
    </w:p>
    <w:p w:rsidR="00017C91" w:rsidRPr="00B476F1" w:rsidRDefault="00017C91" w:rsidP="009C78B8">
      <w:pPr>
        <w:pStyle w:val="FootnoteText"/>
        <w:jc w:val="both"/>
        <w:rPr>
          <w:rFonts w:ascii="Times New Roman" w:hAnsi="Times New Roman" w:cs="Times New Roman"/>
        </w:rPr>
      </w:pPr>
    </w:p>
  </w:footnote>
  <w:footnote w:id="70">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Dudgeon v UK</w:t>
      </w:r>
      <w:r w:rsidR="0055188B" w:rsidRPr="00B476F1">
        <w:rPr>
          <w:rFonts w:ascii="Times New Roman" w:hAnsi="Times New Roman" w:cs="Times New Roman"/>
        </w:rPr>
        <w:t xml:space="preserve"> (n54</w:t>
      </w:r>
      <w:r w:rsidRPr="00B476F1">
        <w:rPr>
          <w:rFonts w:ascii="Times New Roman" w:hAnsi="Times New Roman" w:cs="Times New Roman"/>
        </w:rPr>
        <w:t xml:space="preserve">). </w:t>
      </w:r>
    </w:p>
    <w:p w:rsidR="00017C91" w:rsidRPr="00B476F1" w:rsidRDefault="00017C91" w:rsidP="009C78B8">
      <w:pPr>
        <w:pStyle w:val="FootnoteText"/>
        <w:jc w:val="both"/>
        <w:rPr>
          <w:rFonts w:ascii="Times New Roman" w:hAnsi="Times New Roman" w:cs="Times New Roman"/>
        </w:rPr>
      </w:pPr>
    </w:p>
  </w:footnote>
  <w:footnote w:id="71">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Sutherland v UK</w:t>
      </w:r>
      <w:r w:rsidRPr="00B476F1">
        <w:rPr>
          <w:rFonts w:ascii="Times New Roman" w:hAnsi="Times New Roman" w:cs="Times New Roman"/>
        </w:rPr>
        <w:t xml:space="preserve"> App No 25186/94 (ECtHR 1 July 1997). </w:t>
      </w:r>
    </w:p>
    <w:p w:rsidR="00017C91" w:rsidRPr="00B476F1" w:rsidRDefault="00017C91" w:rsidP="009C78B8">
      <w:pPr>
        <w:pStyle w:val="FootnoteText"/>
        <w:jc w:val="both"/>
        <w:rPr>
          <w:rFonts w:ascii="Times New Roman" w:hAnsi="Times New Roman" w:cs="Times New Roman"/>
        </w:rPr>
      </w:pPr>
    </w:p>
  </w:footnote>
  <w:footnote w:id="72">
    <w:p w:rsidR="00017C91" w:rsidRPr="00B476F1" w:rsidRDefault="00017C91" w:rsidP="009C78B8">
      <w:pPr>
        <w:pStyle w:val="FootnoteText"/>
        <w:jc w:val="both"/>
        <w:rPr>
          <w:rFonts w:ascii="Times New Roman" w:hAnsi="Times New Roman" w:cs="Times New Roman"/>
          <w:i/>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Simpson v UK</w:t>
      </w:r>
      <w:r w:rsidRPr="00B476F1">
        <w:rPr>
          <w:rFonts w:ascii="Times New Roman" w:hAnsi="Times New Roman" w:cs="Times New Roman"/>
        </w:rPr>
        <w:t xml:space="preserve"> App No 11716/85 (ECtHR 14 May 1986) and </w:t>
      </w:r>
      <w:r w:rsidRPr="00B476F1">
        <w:rPr>
          <w:rFonts w:ascii="Times New Roman" w:hAnsi="Times New Roman" w:cs="Times New Roman"/>
          <w:i/>
          <w:color w:val="000000"/>
          <w:kern w:val="24"/>
        </w:rPr>
        <w:t>Karner v Austria</w:t>
      </w:r>
      <w:r w:rsidR="0055188B" w:rsidRPr="00B476F1">
        <w:rPr>
          <w:rFonts w:ascii="Times New Roman" w:hAnsi="Times New Roman" w:cs="Times New Roman"/>
        </w:rPr>
        <w:t xml:space="preserve"> (n56</w:t>
      </w:r>
      <w:r w:rsidRPr="00B476F1">
        <w:rPr>
          <w:rFonts w:ascii="Times New Roman" w:hAnsi="Times New Roman" w:cs="Times New Roman"/>
        </w:rPr>
        <w:t xml:space="preserve">). </w:t>
      </w:r>
    </w:p>
    <w:p w:rsidR="00017C91" w:rsidRPr="00B476F1" w:rsidRDefault="00017C91" w:rsidP="009C78B8">
      <w:pPr>
        <w:pStyle w:val="FootnoteText"/>
        <w:jc w:val="both"/>
        <w:rPr>
          <w:rFonts w:ascii="Times New Roman" w:hAnsi="Times New Roman" w:cs="Times New Roman"/>
        </w:rPr>
      </w:pPr>
    </w:p>
  </w:footnote>
  <w:footnote w:id="73">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eastAsia="Calibri" w:hAnsi="Times New Roman" w:cs="Times New Roman"/>
          <w:i/>
        </w:rPr>
        <w:t xml:space="preserve">Smith and Grady v UK </w:t>
      </w:r>
      <w:r w:rsidRPr="00B476F1">
        <w:rPr>
          <w:rFonts w:ascii="Times New Roman" w:hAnsi="Times New Roman" w:cs="Times New Roman"/>
        </w:rPr>
        <w:t xml:space="preserve">App Nos 33985/96 and 33986/96 (ECtHR 27 September 1999) and </w:t>
      </w:r>
      <w:r w:rsidRPr="00B476F1">
        <w:rPr>
          <w:rFonts w:ascii="Times New Roman" w:hAnsi="Times New Roman" w:cs="Times New Roman"/>
          <w:i/>
        </w:rPr>
        <w:t xml:space="preserve">Lustig-Prean and Beckett v UK </w:t>
      </w:r>
      <w:r w:rsidRPr="00B476F1">
        <w:rPr>
          <w:rFonts w:ascii="Times New Roman" w:hAnsi="Times New Roman" w:cs="Times New Roman"/>
        </w:rPr>
        <w:t>App Nos 31417/96 and 32377/96 (ECtHR 27 September 1999)</w:t>
      </w:r>
      <w:r w:rsidRPr="00B476F1">
        <w:rPr>
          <w:rFonts w:ascii="Times New Roman" w:hAnsi="Times New Roman" w:cs="Times New Roman"/>
          <w:color w:val="000000"/>
          <w:kern w:val="24"/>
        </w:rPr>
        <w:t>.</w:t>
      </w:r>
    </w:p>
    <w:p w:rsidR="00017C91" w:rsidRPr="00B476F1" w:rsidRDefault="00017C91" w:rsidP="009C78B8">
      <w:pPr>
        <w:pStyle w:val="FootnoteText"/>
        <w:jc w:val="both"/>
        <w:rPr>
          <w:rFonts w:ascii="Times New Roman" w:hAnsi="Times New Roman" w:cs="Times New Roman"/>
        </w:rPr>
      </w:pPr>
    </w:p>
  </w:footnote>
  <w:footnote w:id="74">
    <w:p w:rsidR="00017C91" w:rsidRPr="00B476F1" w:rsidRDefault="00017C91" w:rsidP="009C78B8">
      <w:pPr>
        <w:pStyle w:val="FootnoteText"/>
        <w:jc w:val="both"/>
        <w:rPr>
          <w:rFonts w:ascii="Times New Roman" w:eastAsia="Times New Roman" w:hAnsi="Times New Roman" w:cs="Times New Roman"/>
          <w:lang w:eastAsia="en-GB"/>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 xml:space="preserve">X and Y v UK </w:t>
      </w:r>
      <w:r w:rsidRPr="00B476F1">
        <w:rPr>
          <w:rFonts w:ascii="Times New Roman" w:hAnsi="Times New Roman" w:cs="Times New Roman"/>
        </w:rPr>
        <w:t>App No 21830/93 (ECtHR 22 April 1997)</w:t>
      </w:r>
      <w:r w:rsidRPr="00B476F1">
        <w:rPr>
          <w:rFonts w:ascii="Times New Roman" w:hAnsi="Times New Roman" w:cs="Times New Roman"/>
          <w:i/>
        </w:rPr>
        <w:t xml:space="preserve">, </w:t>
      </w:r>
      <w:r w:rsidRPr="00B476F1">
        <w:rPr>
          <w:rFonts w:ascii="Times New Roman" w:eastAsia="Times New Roman" w:hAnsi="Times New Roman" w:cs="Times New Roman"/>
          <w:i/>
          <w:lang w:eastAsia="en-GB"/>
        </w:rPr>
        <w:t>Kerkhoven and Hinke v Netherlands</w:t>
      </w:r>
      <w:r w:rsidRPr="00B476F1">
        <w:rPr>
          <w:rFonts w:ascii="Times New Roman" w:eastAsia="Times New Roman" w:hAnsi="Times New Roman" w:cs="Times New Roman"/>
          <w:lang w:eastAsia="en-GB"/>
        </w:rPr>
        <w:t xml:space="preserve"> </w:t>
      </w:r>
      <w:r w:rsidRPr="00B476F1">
        <w:rPr>
          <w:rFonts w:ascii="Times New Roman" w:hAnsi="Times New Roman" w:cs="Times New Roman"/>
        </w:rPr>
        <w:t>App No 15666/89, Judgment (ECtHR 19 May 1992</w:t>
      </w:r>
      <w:r w:rsidRPr="00B476F1">
        <w:rPr>
          <w:rFonts w:ascii="Times New Roman" w:eastAsia="Times New Roman" w:hAnsi="Times New Roman" w:cs="Times New Roman"/>
          <w:lang w:eastAsia="en-GB"/>
        </w:rPr>
        <w:t xml:space="preserve">), </w:t>
      </w:r>
      <w:r w:rsidRPr="00B476F1">
        <w:rPr>
          <w:rFonts w:ascii="Times New Roman" w:eastAsia="Times New Roman" w:hAnsi="Times New Roman" w:cs="Times New Roman"/>
          <w:i/>
          <w:lang w:eastAsia="en-GB"/>
        </w:rPr>
        <w:t>JRM v The Netherlands</w:t>
      </w:r>
      <w:r w:rsidRPr="00B476F1">
        <w:rPr>
          <w:rFonts w:ascii="Times New Roman" w:eastAsia="Times New Roman" w:hAnsi="Times New Roman" w:cs="Times New Roman"/>
          <w:lang w:eastAsia="en-GB"/>
        </w:rPr>
        <w:t xml:space="preserve"> App No 16944/90 (ECtHR 8 February 2003) and </w:t>
      </w:r>
      <w:r w:rsidRPr="00B476F1">
        <w:rPr>
          <w:rFonts w:ascii="Times New Roman" w:hAnsi="Times New Roman" w:cs="Times New Roman"/>
          <w:i/>
        </w:rPr>
        <w:t>Schalk and Kopf v Austria (</w:t>
      </w:r>
      <w:r w:rsidRPr="00B476F1">
        <w:rPr>
          <w:rFonts w:ascii="Times New Roman" w:hAnsi="Times New Roman" w:cs="Times New Roman"/>
        </w:rPr>
        <w:t>n2).</w:t>
      </w:r>
      <w:r w:rsidRPr="00B476F1">
        <w:rPr>
          <w:rFonts w:ascii="Times New Roman" w:hAnsi="Times New Roman" w:cs="Times New Roman"/>
          <w:i/>
        </w:rPr>
        <w:t xml:space="preserve"> </w:t>
      </w:r>
    </w:p>
    <w:p w:rsidR="00017C91" w:rsidRPr="00B476F1" w:rsidRDefault="00017C91" w:rsidP="009C78B8">
      <w:pPr>
        <w:pStyle w:val="FootnoteText"/>
        <w:jc w:val="both"/>
        <w:rPr>
          <w:rFonts w:ascii="Times New Roman" w:hAnsi="Times New Roman" w:cs="Times New Roman"/>
        </w:rPr>
      </w:pPr>
    </w:p>
  </w:footnote>
  <w:footnote w:id="75">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Frette v France</w:t>
      </w:r>
      <w:r w:rsidRPr="00B476F1">
        <w:rPr>
          <w:rFonts w:ascii="Times New Roman" w:hAnsi="Times New Roman" w:cs="Times New Roman"/>
        </w:rPr>
        <w:t xml:space="preserve"> (n57) and </w:t>
      </w:r>
      <w:r w:rsidRPr="00B476F1">
        <w:rPr>
          <w:rFonts w:ascii="Times New Roman" w:hAnsi="Times New Roman" w:cs="Times New Roman"/>
          <w:i/>
        </w:rPr>
        <w:t>EB v France</w:t>
      </w:r>
      <w:r w:rsidRPr="00B476F1">
        <w:rPr>
          <w:rFonts w:ascii="Times New Roman" w:hAnsi="Times New Roman" w:cs="Times New Roman"/>
        </w:rPr>
        <w:t xml:space="preserve"> App No 43546/02 (ECtHR 22 January 2008).</w:t>
      </w:r>
    </w:p>
    <w:p w:rsidR="00017C91" w:rsidRPr="00B476F1" w:rsidRDefault="00017C91" w:rsidP="009C78B8">
      <w:pPr>
        <w:pStyle w:val="FootnoteText"/>
        <w:jc w:val="both"/>
        <w:rPr>
          <w:rFonts w:ascii="Times New Roman" w:hAnsi="Times New Roman" w:cs="Times New Roman"/>
        </w:rPr>
      </w:pPr>
    </w:p>
  </w:footnote>
  <w:footnote w:id="76">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 xml:space="preserve">Oliari v Italy </w:t>
      </w:r>
      <w:r w:rsidRPr="00B476F1">
        <w:rPr>
          <w:rFonts w:ascii="Times New Roman" w:hAnsi="Times New Roman" w:cs="Times New Roman"/>
        </w:rPr>
        <w:t>(n8).</w:t>
      </w:r>
    </w:p>
    <w:p w:rsidR="00017C91" w:rsidRPr="00B476F1" w:rsidRDefault="00017C91" w:rsidP="009C78B8">
      <w:pPr>
        <w:pStyle w:val="FootnoteText"/>
        <w:jc w:val="both"/>
        <w:rPr>
          <w:rFonts w:ascii="Times New Roman" w:hAnsi="Times New Roman" w:cs="Times New Roman"/>
        </w:rPr>
      </w:pPr>
    </w:p>
  </w:footnote>
  <w:footnote w:id="77">
    <w:p w:rsidR="00017C91" w:rsidRPr="00B476F1" w:rsidRDefault="00017C91">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They define asymmetry of access to mean</w:t>
      </w:r>
    </w:p>
    <w:p w:rsidR="009B31E7" w:rsidRPr="00B476F1" w:rsidRDefault="009B31E7">
      <w:pPr>
        <w:pStyle w:val="FootnoteText"/>
        <w:rPr>
          <w:rFonts w:ascii="Times New Roman" w:hAnsi="Times New Roman" w:cs="Times New Roman"/>
        </w:rPr>
      </w:pPr>
    </w:p>
  </w:footnote>
  <w:footnote w:id="78">
    <w:p w:rsidR="00017C91" w:rsidRPr="00B476F1" w:rsidRDefault="00017C91" w:rsidP="0066553C">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Fenwick and Hayward</w:t>
      </w:r>
      <w:r w:rsidRPr="00B476F1">
        <w:rPr>
          <w:rFonts w:ascii="Times New Roman" w:hAnsi="Times New Roman" w:cs="Times New Roman"/>
        </w:rPr>
        <w:t xml:space="preserve"> </w:t>
      </w:r>
      <w:r w:rsidR="009B31E7" w:rsidRPr="00B476F1">
        <w:rPr>
          <w:rFonts w:ascii="Times New Roman" w:hAnsi="Times New Roman" w:cs="Times New Roman"/>
        </w:rPr>
        <w:t xml:space="preserve">(n6) </w:t>
      </w:r>
      <w:r w:rsidRPr="00B476F1">
        <w:rPr>
          <w:rFonts w:ascii="Times New Roman" w:hAnsi="Times New Roman" w:cs="Times New Roman"/>
        </w:rPr>
        <w:t>30 -31</w:t>
      </w:r>
      <w:r w:rsidR="009B31E7" w:rsidRPr="00B476F1">
        <w:rPr>
          <w:rFonts w:ascii="Times New Roman" w:hAnsi="Times New Roman" w:cs="Times New Roman"/>
        </w:rPr>
        <w:t>.</w:t>
      </w:r>
      <w:r w:rsidRPr="00B476F1">
        <w:rPr>
          <w:rFonts w:ascii="Times New Roman" w:hAnsi="Times New Roman" w:cs="Times New Roman"/>
        </w:rPr>
        <w:tab/>
      </w:r>
    </w:p>
  </w:footnote>
  <w:footnote w:id="79">
    <w:p w:rsidR="00017C91" w:rsidRPr="00B476F1" w:rsidRDefault="00017C91">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p>
  </w:footnote>
  <w:footnote w:id="80">
    <w:p w:rsidR="00017C91" w:rsidRPr="00B476F1" w:rsidRDefault="00017C91">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Fenwick and Hayward</w:t>
      </w:r>
      <w:r w:rsidR="009B31E7" w:rsidRPr="00B476F1">
        <w:rPr>
          <w:rFonts w:ascii="Times New Roman" w:hAnsi="Times New Roman" w:cs="Times New Roman"/>
        </w:rPr>
        <w:t xml:space="preserve"> (n6). </w:t>
      </w:r>
    </w:p>
    <w:p w:rsidR="009B31E7" w:rsidRPr="00B476F1" w:rsidRDefault="009B31E7">
      <w:pPr>
        <w:pStyle w:val="FootnoteText"/>
        <w:rPr>
          <w:rFonts w:ascii="Times New Roman" w:hAnsi="Times New Roman" w:cs="Times New Roman"/>
        </w:rPr>
      </w:pPr>
    </w:p>
  </w:footnote>
  <w:footnote w:id="81">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Schalk and Kopf v Austria</w:t>
      </w:r>
      <w:r w:rsidRPr="00B476F1">
        <w:rPr>
          <w:rFonts w:ascii="Times New Roman" w:hAnsi="Times New Roman" w:cs="Times New Roman"/>
        </w:rPr>
        <w:t xml:space="preserve"> (n2), </w:t>
      </w:r>
      <w:r w:rsidRPr="00B476F1">
        <w:rPr>
          <w:rFonts w:ascii="Times New Roman" w:hAnsi="Times New Roman" w:cs="Times New Roman"/>
          <w:i/>
        </w:rPr>
        <w:t>Oliari v Italy</w:t>
      </w:r>
      <w:r w:rsidRPr="00B476F1">
        <w:rPr>
          <w:rFonts w:ascii="Times New Roman" w:hAnsi="Times New Roman" w:cs="Times New Roman"/>
        </w:rPr>
        <w:t xml:space="preserve"> (n3) and </w:t>
      </w:r>
      <w:r w:rsidRPr="00B476F1">
        <w:rPr>
          <w:rFonts w:ascii="Times New Roman" w:hAnsi="Times New Roman" w:cs="Times New Roman"/>
          <w:i/>
        </w:rPr>
        <w:t>Chapin v Charpentier</w:t>
      </w:r>
      <w:r w:rsidRPr="00B476F1">
        <w:rPr>
          <w:rFonts w:ascii="Times New Roman" w:hAnsi="Times New Roman" w:cs="Times New Roman"/>
        </w:rPr>
        <w:t xml:space="preserve"> (n2). </w:t>
      </w:r>
    </w:p>
    <w:p w:rsidR="00017C91" w:rsidRPr="00B476F1" w:rsidRDefault="00017C91" w:rsidP="009C78B8">
      <w:pPr>
        <w:pStyle w:val="FootnoteText"/>
        <w:jc w:val="both"/>
        <w:rPr>
          <w:rFonts w:ascii="Times New Roman" w:hAnsi="Times New Roman" w:cs="Times New Roman"/>
        </w:rPr>
      </w:pPr>
    </w:p>
  </w:footnote>
  <w:footnote w:id="82">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Popplewell-Scezak</w:t>
      </w:r>
      <w:r w:rsidR="002D049A" w:rsidRPr="00B476F1">
        <w:rPr>
          <w:rFonts w:ascii="Times New Roman" w:hAnsi="Times New Roman" w:cs="Times New Roman"/>
        </w:rPr>
        <w:t xml:space="preserve"> (n13</w:t>
      </w:r>
      <w:r w:rsidRPr="00B476F1">
        <w:rPr>
          <w:rFonts w:ascii="Times New Roman" w:hAnsi="Times New Roman" w:cs="Times New Roman"/>
        </w:rPr>
        <w:t>) 9.</w:t>
      </w:r>
    </w:p>
    <w:p w:rsidR="00017C91" w:rsidRPr="00B476F1" w:rsidRDefault="00017C91" w:rsidP="009C78B8">
      <w:pPr>
        <w:pStyle w:val="FootnoteText"/>
        <w:jc w:val="both"/>
        <w:rPr>
          <w:rFonts w:ascii="Times New Roman" w:hAnsi="Times New Roman" w:cs="Times New Roman"/>
        </w:rPr>
      </w:pPr>
    </w:p>
  </w:footnote>
  <w:footnote w:id="83">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Dudgeon v UK</w:t>
      </w:r>
      <w:r w:rsidRPr="00B476F1">
        <w:rPr>
          <w:rFonts w:ascii="Times New Roman" w:hAnsi="Times New Roman" w:cs="Times New Roman"/>
        </w:rPr>
        <w:t xml:space="preserve"> (n</w:t>
      </w:r>
      <w:r w:rsidR="0055188B" w:rsidRPr="00B476F1">
        <w:rPr>
          <w:rFonts w:ascii="Times New Roman" w:hAnsi="Times New Roman" w:cs="Times New Roman"/>
        </w:rPr>
        <w:t>54</w:t>
      </w:r>
      <w:r w:rsidRPr="00B476F1">
        <w:rPr>
          <w:rFonts w:ascii="Times New Roman" w:hAnsi="Times New Roman" w:cs="Times New Roman"/>
        </w:rPr>
        <w:t>) para 60.</w:t>
      </w:r>
    </w:p>
    <w:p w:rsidR="00017C91" w:rsidRPr="00B476F1" w:rsidRDefault="00017C91" w:rsidP="009C78B8">
      <w:pPr>
        <w:pStyle w:val="FootnoteText"/>
        <w:jc w:val="both"/>
        <w:rPr>
          <w:rFonts w:ascii="Times New Roman" w:hAnsi="Times New Roman" w:cs="Times New Roman"/>
        </w:rPr>
      </w:pPr>
    </w:p>
  </w:footnote>
  <w:footnote w:id="84">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Ibid.</w:t>
      </w:r>
    </w:p>
    <w:p w:rsidR="00017C91" w:rsidRPr="00B476F1" w:rsidRDefault="00017C91" w:rsidP="009C78B8">
      <w:pPr>
        <w:pStyle w:val="FootnoteText"/>
        <w:jc w:val="both"/>
        <w:rPr>
          <w:rFonts w:ascii="Times New Roman" w:hAnsi="Times New Roman" w:cs="Times New Roman"/>
        </w:rPr>
      </w:pPr>
    </w:p>
  </w:footnote>
  <w:footnote w:id="85">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 xml:space="preserve">Ibid. </w:t>
      </w:r>
    </w:p>
    <w:p w:rsidR="00017C91" w:rsidRPr="00B476F1" w:rsidRDefault="00017C91" w:rsidP="009C78B8">
      <w:pPr>
        <w:pStyle w:val="FootnoteText"/>
        <w:jc w:val="both"/>
        <w:rPr>
          <w:rFonts w:ascii="Times New Roman" w:hAnsi="Times New Roman" w:cs="Times New Roman"/>
        </w:rPr>
      </w:pPr>
    </w:p>
  </w:footnote>
  <w:footnote w:id="86">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Letsas</w:t>
      </w:r>
      <w:r w:rsidR="0055188B" w:rsidRPr="00B476F1">
        <w:rPr>
          <w:rFonts w:ascii="Times New Roman" w:hAnsi="Times New Roman" w:cs="Times New Roman"/>
        </w:rPr>
        <w:t xml:space="preserve"> (n36</w:t>
      </w:r>
      <w:r w:rsidRPr="00B476F1">
        <w:rPr>
          <w:rFonts w:ascii="Times New Roman" w:hAnsi="Times New Roman" w:cs="Times New Roman"/>
        </w:rPr>
        <w:t xml:space="preserve">) 531. </w:t>
      </w:r>
    </w:p>
    <w:p w:rsidR="00017C91" w:rsidRPr="00B476F1" w:rsidRDefault="00017C91" w:rsidP="009C78B8">
      <w:pPr>
        <w:pStyle w:val="FootnoteText"/>
        <w:jc w:val="both"/>
        <w:rPr>
          <w:rFonts w:ascii="Times New Roman" w:hAnsi="Times New Roman" w:cs="Times New Roman"/>
        </w:rPr>
      </w:pPr>
    </w:p>
  </w:footnote>
  <w:footnote w:id="87">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Brauch</w:t>
      </w:r>
      <w:r w:rsidRPr="00B476F1">
        <w:rPr>
          <w:rFonts w:ascii="Times New Roman" w:hAnsi="Times New Roman" w:cs="Times New Roman"/>
        </w:rPr>
        <w:t xml:space="preserve"> (n</w:t>
      </w:r>
      <w:r w:rsidR="0055188B" w:rsidRPr="00B476F1">
        <w:rPr>
          <w:rFonts w:ascii="Times New Roman" w:hAnsi="Times New Roman" w:cs="Times New Roman"/>
        </w:rPr>
        <w:t>20</w:t>
      </w:r>
      <w:r w:rsidRPr="00B476F1">
        <w:rPr>
          <w:rFonts w:ascii="Times New Roman" w:hAnsi="Times New Roman" w:cs="Times New Roman"/>
        </w:rPr>
        <w:t>) 137.</w:t>
      </w:r>
    </w:p>
    <w:p w:rsidR="00017C91" w:rsidRPr="00B476F1" w:rsidRDefault="00017C91" w:rsidP="009C78B8">
      <w:pPr>
        <w:pStyle w:val="FootnoteText"/>
        <w:jc w:val="both"/>
        <w:rPr>
          <w:rFonts w:ascii="Times New Roman" w:hAnsi="Times New Roman" w:cs="Times New Roman"/>
        </w:rPr>
      </w:pPr>
    </w:p>
  </w:footnote>
  <w:footnote w:id="88">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Smith and Grady v UK</w:t>
      </w:r>
      <w:r w:rsidRPr="00B476F1">
        <w:rPr>
          <w:rFonts w:ascii="Times New Roman" w:hAnsi="Times New Roman" w:cs="Times New Roman"/>
        </w:rPr>
        <w:t xml:space="preserve"> (n</w:t>
      </w:r>
      <w:r w:rsidR="0055188B" w:rsidRPr="00B476F1">
        <w:rPr>
          <w:rFonts w:ascii="Times New Roman" w:hAnsi="Times New Roman" w:cs="Times New Roman"/>
        </w:rPr>
        <w:t>73</w:t>
      </w:r>
      <w:r w:rsidRPr="00B476F1">
        <w:rPr>
          <w:rFonts w:ascii="Times New Roman" w:hAnsi="Times New Roman" w:cs="Times New Roman"/>
        </w:rPr>
        <w:t xml:space="preserve">). </w:t>
      </w:r>
    </w:p>
    <w:p w:rsidR="00017C91" w:rsidRPr="00B476F1" w:rsidRDefault="00017C91" w:rsidP="009C78B8">
      <w:pPr>
        <w:pStyle w:val="FootnoteText"/>
        <w:jc w:val="both"/>
        <w:rPr>
          <w:rFonts w:ascii="Times New Roman" w:hAnsi="Times New Roman" w:cs="Times New Roman"/>
        </w:rPr>
      </w:pPr>
    </w:p>
  </w:footnote>
  <w:footnote w:id="89">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 xml:space="preserve">Ibid. </w:t>
      </w:r>
      <w:r w:rsidRPr="00B476F1">
        <w:rPr>
          <w:rFonts w:ascii="Times New Roman" w:hAnsi="Times New Roman" w:cs="Times New Roman"/>
        </w:rPr>
        <w:t xml:space="preserve"> para 3 referring to </w:t>
      </w:r>
      <w:r w:rsidRPr="00B476F1">
        <w:rPr>
          <w:rFonts w:ascii="Times New Roman" w:hAnsi="Times New Roman" w:cs="Times New Roman"/>
          <w:i/>
        </w:rPr>
        <w:t>Leander v Sweden</w:t>
      </w:r>
      <w:r w:rsidRPr="00B476F1">
        <w:rPr>
          <w:rFonts w:ascii="Times New Roman" w:hAnsi="Times New Roman" w:cs="Times New Roman"/>
        </w:rPr>
        <w:t xml:space="preserve"> App No 9248/81(ECtHR 26 March 1987) para 59 and </w:t>
      </w:r>
      <w:r w:rsidRPr="00B476F1">
        <w:rPr>
          <w:rFonts w:ascii="Times New Roman" w:hAnsi="Times New Roman" w:cs="Times New Roman"/>
          <w:i/>
        </w:rPr>
        <w:t>Engel v Netherlands</w:t>
      </w:r>
      <w:r w:rsidRPr="00B476F1">
        <w:rPr>
          <w:rFonts w:ascii="Times New Roman" w:hAnsi="Times New Roman" w:cs="Times New Roman"/>
        </w:rPr>
        <w:t xml:space="preserve"> A/22 (ECtHR 8 June 1976) para 57.</w:t>
      </w:r>
    </w:p>
    <w:p w:rsidR="00017C91" w:rsidRPr="00B476F1" w:rsidRDefault="00017C91" w:rsidP="009C78B8">
      <w:pPr>
        <w:pStyle w:val="FootnoteText"/>
        <w:jc w:val="both"/>
        <w:rPr>
          <w:rFonts w:ascii="Times New Roman" w:hAnsi="Times New Roman" w:cs="Times New Roman"/>
        </w:rPr>
      </w:pPr>
    </w:p>
  </w:footnote>
  <w:footnote w:id="90">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w:t>
      </w:r>
      <w:r w:rsidRPr="00B476F1">
        <w:rPr>
          <w:rFonts w:ascii="Times New Roman" w:hAnsi="Times New Roman" w:cs="Times New Roman"/>
          <w:i/>
        </w:rPr>
        <w:t>Smith and Grady v UK</w:t>
      </w:r>
      <w:r w:rsidR="0055188B" w:rsidRPr="00B476F1">
        <w:rPr>
          <w:rFonts w:ascii="Times New Roman" w:hAnsi="Times New Roman" w:cs="Times New Roman"/>
        </w:rPr>
        <w:t xml:space="preserve"> (n73</w:t>
      </w:r>
      <w:r w:rsidRPr="00B476F1">
        <w:rPr>
          <w:rFonts w:ascii="Times New Roman" w:hAnsi="Times New Roman" w:cs="Times New Roman"/>
        </w:rPr>
        <w:t>) para 61 where the UK Homosexuality Policy Assessment Team indicated a ‘military risk from a policy change…’ See also para 66 where the Parliamentary Select Committee Report dated 24 April 1991 stated that ‘the presence of people known to be homosexual can cause tension in a group of people required to live and work sometimes under great stress and physically at very close quarters, and thus damage its cohesion and fighting effectiveness…’</w:t>
      </w:r>
    </w:p>
    <w:p w:rsidR="00017C91" w:rsidRPr="00B476F1" w:rsidRDefault="00017C91" w:rsidP="009C78B8">
      <w:pPr>
        <w:pStyle w:val="FootnoteText"/>
        <w:jc w:val="both"/>
        <w:rPr>
          <w:rFonts w:ascii="Times New Roman" w:hAnsi="Times New Roman" w:cs="Times New Roman"/>
        </w:rPr>
      </w:pPr>
    </w:p>
  </w:footnote>
  <w:footnote w:id="91">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Smith and Grady v UK</w:t>
      </w:r>
      <w:r w:rsidR="0055188B" w:rsidRPr="00B476F1">
        <w:rPr>
          <w:rFonts w:ascii="Times New Roman" w:hAnsi="Times New Roman" w:cs="Times New Roman"/>
        </w:rPr>
        <w:t xml:space="preserve"> (n73</w:t>
      </w:r>
      <w:r w:rsidRPr="00B476F1">
        <w:rPr>
          <w:rFonts w:ascii="Times New Roman" w:hAnsi="Times New Roman" w:cs="Times New Roman"/>
        </w:rPr>
        <w:t>) para 89.</w:t>
      </w:r>
    </w:p>
    <w:p w:rsidR="00017C91" w:rsidRPr="00B476F1" w:rsidRDefault="00017C91" w:rsidP="009C78B8">
      <w:pPr>
        <w:pStyle w:val="FootnoteText"/>
        <w:jc w:val="both"/>
        <w:rPr>
          <w:rFonts w:ascii="Times New Roman" w:hAnsi="Times New Roman" w:cs="Times New Roman"/>
        </w:rPr>
      </w:pPr>
    </w:p>
  </w:footnote>
  <w:footnote w:id="92">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 xml:space="preserve">Ibid. </w:t>
      </w:r>
      <w:r w:rsidRPr="00B476F1">
        <w:rPr>
          <w:rFonts w:ascii="Times New Roman" w:hAnsi="Times New Roman" w:cs="Times New Roman"/>
        </w:rPr>
        <w:t xml:space="preserve"> para 96.</w:t>
      </w:r>
    </w:p>
    <w:p w:rsidR="00017C91" w:rsidRPr="00B476F1" w:rsidRDefault="00017C91" w:rsidP="009C78B8">
      <w:pPr>
        <w:pStyle w:val="FootnoteText"/>
        <w:jc w:val="both"/>
        <w:rPr>
          <w:rFonts w:ascii="Times New Roman" w:hAnsi="Times New Roman" w:cs="Times New Roman"/>
        </w:rPr>
      </w:pPr>
    </w:p>
  </w:footnote>
  <w:footnote w:id="93">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 xml:space="preserve">Ibid. </w:t>
      </w:r>
      <w:r w:rsidRPr="00B476F1">
        <w:rPr>
          <w:rFonts w:ascii="Times New Roman" w:hAnsi="Times New Roman" w:cs="Times New Roman"/>
        </w:rPr>
        <w:t xml:space="preserve"> para 3 referring to </w:t>
      </w:r>
      <w:r w:rsidRPr="00B476F1">
        <w:rPr>
          <w:rFonts w:ascii="Times New Roman" w:hAnsi="Times New Roman" w:cs="Times New Roman"/>
          <w:i/>
        </w:rPr>
        <w:t>Leander v Sweden</w:t>
      </w:r>
      <w:r w:rsidRPr="00B476F1">
        <w:rPr>
          <w:rFonts w:ascii="Times New Roman" w:hAnsi="Times New Roman" w:cs="Times New Roman"/>
        </w:rPr>
        <w:t xml:space="preserve"> App No 9248/81(ECtHR 26 March 1987) para 59 and </w:t>
      </w:r>
      <w:r w:rsidRPr="00B476F1">
        <w:rPr>
          <w:rFonts w:ascii="Times New Roman" w:hAnsi="Times New Roman" w:cs="Times New Roman"/>
          <w:i/>
        </w:rPr>
        <w:t>Engel v Netherlands</w:t>
      </w:r>
      <w:r w:rsidRPr="00B476F1">
        <w:rPr>
          <w:rFonts w:ascii="Times New Roman" w:hAnsi="Times New Roman" w:cs="Times New Roman"/>
        </w:rPr>
        <w:t xml:space="preserve"> A/22 (ECtHR 8 June 1976) para 57.</w:t>
      </w:r>
    </w:p>
    <w:p w:rsidR="00017C91" w:rsidRPr="00B476F1" w:rsidRDefault="00017C91" w:rsidP="009C78B8">
      <w:pPr>
        <w:pStyle w:val="FootnoteText"/>
        <w:jc w:val="both"/>
        <w:rPr>
          <w:rFonts w:ascii="Times New Roman" w:hAnsi="Times New Roman" w:cs="Times New Roman"/>
        </w:rPr>
      </w:pPr>
    </w:p>
  </w:footnote>
  <w:footnote w:id="94">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Karner v Austria</w:t>
      </w:r>
      <w:r w:rsidR="0055188B" w:rsidRPr="00B476F1">
        <w:rPr>
          <w:rFonts w:ascii="Times New Roman" w:hAnsi="Times New Roman" w:cs="Times New Roman"/>
        </w:rPr>
        <w:t xml:space="preserve"> (n56</w:t>
      </w:r>
      <w:r w:rsidRPr="00B476F1">
        <w:rPr>
          <w:rFonts w:ascii="Times New Roman" w:hAnsi="Times New Roman" w:cs="Times New Roman"/>
        </w:rPr>
        <w:t xml:space="preserve">). </w:t>
      </w:r>
    </w:p>
    <w:p w:rsidR="00017C91" w:rsidRPr="00B476F1" w:rsidRDefault="00017C91" w:rsidP="009C78B8">
      <w:pPr>
        <w:pStyle w:val="FootnoteText"/>
        <w:jc w:val="both"/>
        <w:rPr>
          <w:rFonts w:ascii="Times New Roman" w:hAnsi="Times New Roman" w:cs="Times New Roman"/>
        </w:rPr>
      </w:pPr>
    </w:p>
  </w:footnote>
  <w:footnote w:id="95">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 xml:space="preserve">Simpson v UK </w:t>
      </w:r>
      <w:r w:rsidR="00F9631F" w:rsidRPr="00B476F1">
        <w:rPr>
          <w:rFonts w:ascii="Times New Roman" w:hAnsi="Times New Roman" w:cs="Times New Roman"/>
        </w:rPr>
        <w:t>(n72</w:t>
      </w:r>
      <w:r w:rsidRPr="00B476F1">
        <w:rPr>
          <w:rFonts w:ascii="Times New Roman" w:hAnsi="Times New Roman" w:cs="Times New Roman"/>
        </w:rPr>
        <w:t xml:space="preserve">). </w:t>
      </w:r>
    </w:p>
    <w:p w:rsidR="00017C91" w:rsidRPr="00B476F1" w:rsidRDefault="00017C91" w:rsidP="009C78B8">
      <w:pPr>
        <w:pStyle w:val="FootnoteText"/>
        <w:jc w:val="both"/>
        <w:rPr>
          <w:rFonts w:ascii="Times New Roman" w:hAnsi="Times New Roman" w:cs="Times New Roman"/>
        </w:rPr>
      </w:pPr>
    </w:p>
  </w:footnote>
  <w:footnote w:id="96">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Karner v Austria</w:t>
      </w:r>
      <w:r w:rsidR="0055188B" w:rsidRPr="00B476F1">
        <w:rPr>
          <w:rFonts w:ascii="Times New Roman" w:hAnsi="Times New Roman" w:cs="Times New Roman"/>
        </w:rPr>
        <w:t xml:space="preserve"> (n56</w:t>
      </w:r>
      <w:r w:rsidRPr="00B476F1">
        <w:rPr>
          <w:rFonts w:ascii="Times New Roman" w:hAnsi="Times New Roman" w:cs="Times New Roman"/>
        </w:rPr>
        <w:t xml:space="preserve">). </w:t>
      </w:r>
    </w:p>
    <w:p w:rsidR="00017C91" w:rsidRPr="00B476F1" w:rsidRDefault="00017C91" w:rsidP="009C78B8">
      <w:pPr>
        <w:pStyle w:val="FootnoteText"/>
        <w:jc w:val="both"/>
        <w:rPr>
          <w:rFonts w:ascii="Times New Roman" w:hAnsi="Times New Roman" w:cs="Times New Roman"/>
        </w:rPr>
      </w:pPr>
    </w:p>
  </w:footnote>
  <w:footnote w:id="97">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 xml:space="preserve">Ibid. </w:t>
      </w:r>
      <w:r w:rsidRPr="00B476F1">
        <w:rPr>
          <w:rFonts w:ascii="Times New Roman" w:hAnsi="Times New Roman" w:cs="Times New Roman"/>
        </w:rPr>
        <w:t xml:space="preserve"> para 36. The third party interveners were ILGA Europe, Liberty and Stonewall. </w:t>
      </w:r>
    </w:p>
    <w:p w:rsidR="00017C91" w:rsidRPr="00B476F1" w:rsidRDefault="00017C91" w:rsidP="009C78B8">
      <w:pPr>
        <w:pStyle w:val="FootnoteText"/>
        <w:jc w:val="both"/>
        <w:rPr>
          <w:rFonts w:ascii="Times New Roman" w:hAnsi="Times New Roman" w:cs="Times New Roman"/>
        </w:rPr>
      </w:pPr>
    </w:p>
  </w:footnote>
  <w:footnote w:id="98">
    <w:p w:rsidR="00017C91" w:rsidRPr="00B476F1" w:rsidRDefault="00017C91" w:rsidP="009C78B8">
      <w:pPr>
        <w:pStyle w:val="FootnoteText"/>
        <w:jc w:val="both"/>
        <w:rPr>
          <w:rFonts w:ascii="Times New Roman" w:hAnsi="Times New Roman" w:cs="Times New Roman"/>
          <w:i/>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 xml:space="preserve">Ibid. </w:t>
      </w:r>
      <w:r w:rsidRPr="00B476F1">
        <w:rPr>
          <w:rFonts w:ascii="Times New Roman" w:hAnsi="Times New Roman" w:cs="Times New Roman"/>
        </w:rPr>
        <w:t xml:space="preserve"> para 37.</w:t>
      </w:r>
    </w:p>
    <w:p w:rsidR="00017C91" w:rsidRPr="00B476F1" w:rsidRDefault="00017C91" w:rsidP="009C78B8">
      <w:pPr>
        <w:pStyle w:val="FootnoteText"/>
        <w:jc w:val="both"/>
        <w:rPr>
          <w:rFonts w:ascii="Times New Roman" w:hAnsi="Times New Roman" w:cs="Times New Roman"/>
          <w:i/>
        </w:rPr>
      </w:pPr>
    </w:p>
  </w:footnote>
  <w:footnote w:id="99">
    <w:p w:rsidR="00017C91" w:rsidRPr="00B476F1" w:rsidRDefault="00017C91" w:rsidP="009C78B8">
      <w:pPr>
        <w:spacing w:after="0" w:line="240" w:lineRule="auto"/>
        <w:jc w:val="both"/>
        <w:rPr>
          <w:rFonts w:ascii="Times New Roman" w:eastAsia="Times New Roman" w:hAnsi="Times New Roman" w:cs="Times New Roman"/>
          <w:sz w:val="20"/>
          <w:szCs w:val="20"/>
          <w:lang w:eastAsia="en-GB"/>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Caballero, S.,‘Unmarried Cohabiting Couples Before the European Court of Human Rights: Parity with Marriage? (2004-2005) 11 </w:t>
      </w:r>
      <w:r w:rsidRPr="00B476F1">
        <w:rPr>
          <w:rFonts w:ascii="Times New Roman" w:hAnsi="Times New Roman" w:cs="Times New Roman"/>
          <w:i/>
          <w:sz w:val="20"/>
          <w:szCs w:val="20"/>
        </w:rPr>
        <w:t>Col. J. of Eur. L</w:t>
      </w:r>
      <w:r w:rsidRPr="00B476F1">
        <w:rPr>
          <w:rFonts w:ascii="Times New Roman" w:hAnsi="Times New Roman" w:cs="Times New Roman"/>
          <w:sz w:val="20"/>
          <w:szCs w:val="20"/>
        </w:rPr>
        <w:t xml:space="preserve"> 151, 166.</w:t>
      </w:r>
    </w:p>
    <w:p w:rsidR="00017C91" w:rsidRPr="00B476F1" w:rsidRDefault="00017C91" w:rsidP="009C78B8">
      <w:pPr>
        <w:pStyle w:val="FootnoteText"/>
        <w:jc w:val="both"/>
        <w:rPr>
          <w:rFonts w:ascii="Times New Roman" w:hAnsi="Times New Roman" w:cs="Times New Roman"/>
        </w:rPr>
      </w:pPr>
    </w:p>
  </w:footnote>
  <w:footnote w:id="100">
    <w:p w:rsidR="00017C91" w:rsidRPr="00B476F1" w:rsidRDefault="00017C91" w:rsidP="009C78B8">
      <w:pPr>
        <w:pStyle w:val="FootnoteText"/>
        <w:jc w:val="both"/>
        <w:rPr>
          <w:rFonts w:ascii="Times New Roman" w:eastAsia="Times New Roman" w:hAnsi="Times New Roman" w:cs="Times New Roman"/>
          <w:lang w:eastAsia="en-GB"/>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eastAsia="Times New Roman" w:hAnsi="Times New Roman" w:cs="Times New Roman"/>
          <w:lang w:eastAsia="en-GB"/>
        </w:rPr>
        <w:t>For example see</w:t>
      </w:r>
      <w:r w:rsidRPr="00B476F1">
        <w:rPr>
          <w:rFonts w:ascii="Times New Roman" w:eastAsia="Times New Roman" w:hAnsi="Times New Roman" w:cs="Times New Roman"/>
          <w:i/>
          <w:lang w:eastAsia="en-GB"/>
        </w:rPr>
        <w:t xml:space="preserve"> X and Y v UK </w:t>
      </w:r>
      <w:r w:rsidR="00F9631F" w:rsidRPr="00B476F1">
        <w:rPr>
          <w:rFonts w:ascii="Times New Roman" w:eastAsia="Times New Roman" w:hAnsi="Times New Roman" w:cs="Times New Roman"/>
          <w:lang w:eastAsia="en-GB"/>
        </w:rPr>
        <w:t>(n74</w:t>
      </w:r>
      <w:r w:rsidRPr="00B476F1">
        <w:rPr>
          <w:rFonts w:ascii="Times New Roman" w:eastAsia="Times New Roman" w:hAnsi="Times New Roman" w:cs="Times New Roman"/>
          <w:lang w:eastAsia="en-GB"/>
        </w:rPr>
        <w:t>),</w:t>
      </w:r>
      <w:r w:rsidRPr="00B476F1">
        <w:rPr>
          <w:rFonts w:ascii="Times New Roman" w:eastAsia="Times New Roman" w:hAnsi="Times New Roman" w:cs="Times New Roman"/>
          <w:b/>
          <w:i/>
          <w:lang w:eastAsia="en-GB"/>
        </w:rPr>
        <w:t xml:space="preserve"> </w:t>
      </w:r>
      <w:r w:rsidRPr="00B476F1">
        <w:rPr>
          <w:rFonts w:ascii="Times New Roman" w:eastAsia="Times New Roman" w:hAnsi="Times New Roman" w:cs="Times New Roman"/>
          <w:lang w:eastAsia="en-GB"/>
        </w:rPr>
        <w:t xml:space="preserve"> </w:t>
      </w:r>
      <w:r w:rsidRPr="00B476F1">
        <w:rPr>
          <w:rFonts w:ascii="Times New Roman" w:eastAsia="Times New Roman" w:hAnsi="Times New Roman" w:cs="Times New Roman"/>
          <w:i/>
          <w:lang w:eastAsia="en-GB"/>
        </w:rPr>
        <w:t>Simpson v UK</w:t>
      </w:r>
      <w:r w:rsidR="00F9631F" w:rsidRPr="00B476F1">
        <w:rPr>
          <w:rFonts w:ascii="Times New Roman" w:eastAsia="Times New Roman" w:hAnsi="Times New Roman" w:cs="Times New Roman"/>
          <w:lang w:eastAsia="en-GB"/>
        </w:rPr>
        <w:t xml:space="preserve"> (n72</w:t>
      </w:r>
      <w:r w:rsidRPr="00B476F1">
        <w:rPr>
          <w:rFonts w:ascii="Times New Roman" w:eastAsia="Times New Roman" w:hAnsi="Times New Roman" w:cs="Times New Roman"/>
          <w:lang w:eastAsia="en-GB"/>
        </w:rPr>
        <w:t xml:space="preserve">) and </w:t>
      </w:r>
      <w:r w:rsidRPr="00B476F1">
        <w:rPr>
          <w:rFonts w:ascii="Times New Roman" w:eastAsia="Times New Roman" w:hAnsi="Times New Roman" w:cs="Times New Roman"/>
          <w:i/>
          <w:lang w:eastAsia="en-GB"/>
        </w:rPr>
        <w:t xml:space="preserve">Kerkhoven and Hinke v The Netherlands </w:t>
      </w:r>
      <w:r w:rsidR="00F9631F" w:rsidRPr="00B476F1">
        <w:rPr>
          <w:rFonts w:ascii="Times New Roman" w:eastAsia="Times New Roman" w:hAnsi="Times New Roman" w:cs="Times New Roman"/>
          <w:lang w:eastAsia="en-GB"/>
        </w:rPr>
        <w:t>(n74</w:t>
      </w:r>
      <w:r w:rsidRPr="00B476F1">
        <w:rPr>
          <w:rFonts w:ascii="Times New Roman" w:eastAsia="Times New Roman" w:hAnsi="Times New Roman" w:cs="Times New Roman"/>
          <w:lang w:eastAsia="en-GB"/>
        </w:rPr>
        <w:t>).</w:t>
      </w:r>
    </w:p>
    <w:p w:rsidR="00017C91" w:rsidRPr="00B476F1" w:rsidRDefault="00017C91" w:rsidP="009C78B8">
      <w:pPr>
        <w:pStyle w:val="FootnoteText"/>
        <w:jc w:val="both"/>
        <w:rPr>
          <w:rFonts w:ascii="Times New Roman" w:eastAsia="Times New Roman" w:hAnsi="Times New Roman" w:cs="Times New Roman"/>
          <w:lang w:eastAsia="en-GB"/>
        </w:rPr>
      </w:pPr>
    </w:p>
  </w:footnote>
  <w:footnote w:id="101">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Caballero</w:t>
      </w:r>
      <w:r w:rsidR="00F9631F" w:rsidRPr="00B476F1">
        <w:rPr>
          <w:rFonts w:ascii="Times New Roman" w:hAnsi="Times New Roman" w:cs="Times New Roman"/>
        </w:rPr>
        <w:t xml:space="preserve"> (n99</w:t>
      </w:r>
      <w:r w:rsidRPr="00B476F1">
        <w:rPr>
          <w:rFonts w:ascii="Times New Roman" w:hAnsi="Times New Roman" w:cs="Times New Roman"/>
        </w:rPr>
        <w:t xml:space="preserve">) 152. </w:t>
      </w:r>
    </w:p>
    <w:p w:rsidR="00017C91" w:rsidRPr="00B476F1" w:rsidRDefault="00017C91" w:rsidP="009C78B8">
      <w:pPr>
        <w:pStyle w:val="FootnoteText"/>
        <w:jc w:val="both"/>
        <w:rPr>
          <w:rFonts w:ascii="Times New Roman" w:hAnsi="Times New Roman" w:cs="Times New Roman"/>
        </w:rPr>
      </w:pPr>
    </w:p>
  </w:footnote>
  <w:footnote w:id="102">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Schalk and Kopf v Austria</w:t>
      </w:r>
      <w:r w:rsidRPr="00B476F1">
        <w:rPr>
          <w:rFonts w:ascii="Times New Roman" w:hAnsi="Times New Roman" w:cs="Times New Roman"/>
        </w:rPr>
        <w:t xml:space="preserve"> (n2) para 94.</w:t>
      </w:r>
    </w:p>
    <w:p w:rsidR="00017C91" w:rsidRPr="00B476F1" w:rsidRDefault="00017C91" w:rsidP="009C78B8">
      <w:pPr>
        <w:pStyle w:val="FootnoteText"/>
        <w:jc w:val="both"/>
        <w:rPr>
          <w:rFonts w:ascii="Times New Roman" w:hAnsi="Times New Roman" w:cs="Times New Roman"/>
        </w:rPr>
      </w:pPr>
    </w:p>
  </w:footnote>
  <w:footnote w:id="103">
    <w:p w:rsidR="00017C91" w:rsidRPr="00B476F1" w:rsidRDefault="00017C91" w:rsidP="009C78B8">
      <w:pPr>
        <w:spacing w:after="200" w:line="240" w:lineRule="auto"/>
        <w:jc w:val="both"/>
        <w:rPr>
          <w:rFonts w:ascii="Times New Roman" w:eastAsia="Calibri" w:hAnsi="Times New Roman" w:cs="Times New Roman"/>
          <w:sz w:val="20"/>
          <w:szCs w:val="20"/>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w:t>
      </w:r>
      <w:r w:rsidRPr="00B476F1">
        <w:rPr>
          <w:rFonts w:ascii="Times New Roman" w:hAnsi="Times New Roman" w:cs="Times New Roman"/>
          <w:i/>
          <w:sz w:val="20"/>
          <w:szCs w:val="20"/>
        </w:rPr>
        <w:t>Hodson</w:t>
      </w:r>
      <w:r w:rsidR="00F9631F" w:rsidRPr="00B476F1">
        <w:rPr>
          <w:rFonts w:ascii="Times New Roman" w:hAnsi="Times New Roman" w:cs="Times New Roman"/>
          <w:sz w:val="20"/>
          <w:szCs w:val="20"/>
        </w:rPr>
        <w:t xml:space="preserve"> (n18</w:t>
      </w:r>
      <w:r w:rsidRPr="00B476F1">
        <w:rPr>
          <w:rFonts w:ascii="Times New Roman" w:hAnsi="Times New Roman" w:cs="Times New Roman"/>
          <w:sz w:val="20"/>
          <w:szCs w:val="20"/>
        </w:rPr>
        <w:t xml:space="preserve">) </w:t>
      </w:r>
      <w:r w:rsidRPr="00B476F1">
        <w:rPr>
          <w:rFonts w:ascii="Times New Roman" w:eastAsia="Times New Roman" w:hAnsi="Times New Roman" w:cs="Times New Roman"/>
          <w:sz w:val="20"/>
          <w:szCs w:val="20"/>
          <w:lang w:eastAsia="en-GB"/>
        </w:rPr>
        <w:t xml:space="preserve">175. </w:t>
      </w:r>
      <w:r w:rsidRPr="00B476F1">
        <w:rPr>
          <w:rFonts w:ascii="Times New Roman" w:eastAsia="Calibri" w:hAnsi="Times New Roman" w:cs="Times New Roman"/>
          <w:sz w:val="20"/>
          <w:szCs w:val="20"/>
        </w:rPr>
        <w:t xml:space="preserve">See also </w:t>
      </w:r>
      <w:r w:rsidRPr="00B476F1">
        <w:rPr>
          <w:rFonts w:ascii="Times New Roman" w:eastAsia="Calibri" w:hAnsi="Times New Roman" w:cs="Times New Roman"/>
          <w:i/>
          <w:sz w:val="20"/>
          <w:szCs w:val="20"/>
        </w:rPr>
        <w:t>Bribosia et al</w:t>
      </w:r>
      <w:r w:rsidR="0055188B" w:rsidRPr="00B476F1">
        <w:rPr>
          <w:rFonts w:ascii="Times New Roman" w:eastAsia="Calibri" w:hAnsi="Times New Roman" w:cs="Times New Roman"/>
          <w:sz w:val="20"/>
          <w:szCs w:val="20"/>
        </w:rPr>
        <w:t xml:space="preserve"> (n29</w:t>
      </w:r>
      <w:r w:rsidRPr="00B476F1">
        <w:rPr>
          <w:rFonts w:ascii="Times New Roman" w:eastAsia="Calibri" w:hAnsi="Times New Roman" w:cs="Times New Roman"/>
          <w:sz w:val="20"/>
          <w:szCs w:val="20"/>
        </w:rPr>
        <w:t xml:space="preserve">). </w:t>
      </w:r>
    </w:p>
  </w:footnote>
  <w:footnote w:id="104">
    <w:p w:rsidR="00017C91" w:rsidRPr="00B476F1" w:rsidRDefault="00017C91" w:rsidP="009C78B8">
      <w:pPr>
        <w:pStyle w:val="FootnoteText"/>
        <w:jc w:val="both"/>
        <w:rPr>
          <w:rFonts w:ascii="Times New Roman" w:hAnsi="Times New Roman" w:cs="Times New Roman"/>
          <w:lang w:val="de-DE"/>
        </w:rPr>
      </w:pPr>
      <w:r w:rsidRPr="00B476F1">
        <w:rPr>
          <w:rStyle w:val="FootnoteReference"/>
          <w:rFonts w:ascii="Times New Roman" w:hAnsi="Times New Roman" w:cs="Times New Roman"/>
        </w:rPr>
        <w:footnoteRef/>
      </w:r>
      <w:r w:rsidRPr="00B476F1">
        <w:rPr>
          <w:rFonts w:ascii="Times New Roman" w:hAnsi="Times New Roman" w:cs="Times New Roman"/>
          <w:lang w:val="de-DE"/>
        </w:rPr>
        <w:t xml:space="preserve"> </w:t>
      </w:r>
      <w:r w:rsidRPr="00B476F1">
        <w:rPr>
          <w:rFonts w:ascii="Times New Roman" w:hAnsi="Times New Roman" w:cs="Times New Roman"/>
          <w:i/>
          <w:lang w:val="de-DE"/>
        </w:rPr>
        <w:t>Schalk and Kopf v Austria</w:t>
      </w:r>
      <w:r w:rsidRPr="00B476F1">
        <w:rPr>
          <w:rFonts w:ascii="Times New Roman" w:hAnsi="Times New Roman" w:cs="Times New Roman"/>
          <w:lang w:val="de-DE"/>
        </w:rPr>
        <w:t xml:space="preserve"> (n2) para  93.</w:t>
      </w:r>
    </w:p>
    <w:p w:rsidR="00017C91" w:rsidRPr="00B476F1" w:rsidRDefault="00017C91" w:rsidP="009C78B8">
      <w:pPr>
        <w:pStyle w:val="FootnoteText"/>
        <w:jc w:val="both"/>
        <w:rPr>
          <w:rFonts w:ascii="Times New Roman" w:hAnsi="Times New Roman" w:cs="Times New Roman"/>
          <w:lang w:val="de-DE"/>
        </w:rPr>
      </w:pPr>
    </w:p>
  </w:footnote>
  <w:footnote w:id="105">
    <w:p w:rsidR="00017C91" w:rsidRPr="00B476F1" w:rsidRDefault="00017C91" w:rsidP="009C78B8">
      <w:pPr>
        <w:pStyle w:val="FootnoteText"/>
        <w:jc w:val="both"/>
        <w:rPr>
          <w:rFonts w:ascii="Times New Roman" w:hAnsi="Times New Roman" w:cs="Times New Roman"/>
          <w:lang w:val="de-DE"/>
        </w:rPr>
      </w:pPr>
      <w:r w:rsidRPr="00B476F1">
        <w:rPr>
          <w:rStyle w:val="FootnoteReference"/>
          <w:rFonts w:ascii="Times New Roman" w:hAnsi="Times New Roman" w:cs="Times New Roman"/>
        </w:rPr>
        <w:footnoteRef/>
      </w:r>
      <w:r w:rsidRPr="00B476F1">
        <w:rPr>
          <w:rFonts w:ascii="Times New Roman" w:hAnsi="Times New Roman" w:cs="Times New Roman"/>
          <w:lang w:val="de-DE"/>
        </w:rPr>
        <w:t xml:space="preserve"> </w:t>
      </w:r>
      <w:r w:rsidRPr="00B476F1">
        <w:rPr>
          <w:rFonts w:ascii="Times New Roman" w:hAnsi="Times New Roman" w:cs="Times New Roman"/>
          <w:i/>
          <w:lang w:val="de-DE"/>
        </w:rPr>
        <w:t xml:space="preserve">Schalk </w:t>
      </w:r>
      <w:r w:rsidRPr="00B476F1">
        <w:rPr>
          <w:rFonts w:ascii="Times New Roman" w:hAnsi="Times New Roman" w:cs="Times New Roman"/>
          <w:i/>
          <w:lang w:val="de-DE"/>
        </w:rPr>
        <w:t>and Kopf v Austria</w:t>
      </w:r>
      <w:r w:rsidRPr="00B476F1">
        <w:rPr>
          <w:rFonts w:ascii="Times New Roman" w:hAnsi="Times New Roman" w:cs="Times New Roman"/>
          <w:lang w:val="de-DE"/>
        </w:rPr>
        <w:t xml:space="preserve"> (n2) </w:t>
      </w:r>
    </w:p>
    <w:p w:rsidR="00017C91" w:rsidRPr="00B476F1" w:rsidRDefault="00017C91" w:rsidP="009C78B8">
      <w:pPr>
        <w:pStyle w:val="FootnoteText"/>
        <w:jc w:val="both"/>
        <w:rPr>
          <w:rFonts w:ascii="Times New Roman" w:hAnsi="Times New Roman" w:cs="Times New Roman"/>
          <w:lang w:val="de-DE"/>
        </w:rPr>
      </w:pPr>
    </w:p>
  </w:footnote>
  <w:footnote w:id="106">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 xml:space="preserve">Ibid. </w:t>
      </w:r>
    </w:p>
    <w:p w:rsidR="00017C91" w:rsidRPr="00B476F1" w:rsidRDefault="00017C91" w:rsidP="009C78B8">
      <w:pPr>
        <w:pStyle w:val="FootnoteText"/>
        <w:jc w:val="both"/>
        <w:rPr>
          <w:rFonts w:ascii="Times New Roman" w:hAnsi="Times New Roman" w:cs="Times New Roman"/>
        </w:rPr>
      </w:pPr>
    </w:p>
  </w:footnote>
  <w:footnote w:id="107">
    <w:p w:rsidR="00017C91" w:rsidRPr="00B476F1" w:rsidRDefault="00017C91">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00F9631F" w:rsidRPr="00B476F1">
        <w:rPr>
          <w:rFonts w:ascii="Times New Roman" w:hAnsi="Times New Roman" w:cs="Times New Roman"/>
          <w:i/>
        </w:rPr>
        <w:t>Vallianatos v Greece</w:t>
      </w:r>
      <w:r w:rsidR="00F9631F" w:rsidRPr="00B476F1">
        <w:rPr>
          <w:rFonts w:ascii="Times New Roman" w:hAnsi="Times New Roman" w:cs="Times New Roman"/>
        </w:rPr>
        <w:t xml:space="preserve"> (n7). </w:t>
      </w:r>
    </w:p>
    <w:p w:rsidR="00F9631F" w:rsidRPr="00B476F1" w:rsidRDefault="00F9631F">
      <w:pPr>
        <w:pStyle w:val="FootnoteText"/>
        <w:rPr>
          <w:rFonts w:ascii="Times New Roman" w:hAnsi="Times New Roman" w:cs="Times New Roman"/>
        </w:rPr>
      </w:pPr>
    </w:p>
  </w:footnote>
  <w:footnote w:id="108">
    <w:p w:rsidR="00017C91" w:rsidRPr="00B476F1" w:rsidRDefault="00017C91">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Fenwick and Hayward</w:t>
      </w:r>
      <w:r w:rsidR="009B31E7" w:rsidRPr="00B476F1">
        <w:rPr>
          <w:rFonts w:ascii="Times New Roman" w:hAnsi="Times New Roman" w:cs="Times New Roman"/>
        </w:rPr>
        <w:t xml:space="preserve"> (n6) </w:t>
      </w:r>
      <w:r w:rsidRPr="00B476F1">
        <w:rPr>
          <w:rFonts w:ascii="Times New Roman" w:hAnsi="Times New Roman" w:cs="Times New Roman"/>
        </w:rPr>
        <w:t xml:space="preserve">11  referring to paras 91 and 92 </w:t>
      </w:r>
      <w:r w:rsidR="00F9631F" w:rsidRPr="00B476F1">
        <w:rPr>
          <w:rFonts w:ascii="Times New Roman" w:hAnsi="Times New Roman" w:cs="Times New Roman"/>
        </w:rPr>
        <w:t>.</w:t>
      </w:r>
    </w:p>
    <w:p w:rsidR="00F9631F" w:rsidRPr="00B476F1" w:rsidRDefault="00F9631F">
      <w:pPr>
        <w:pStyle w:val="FootnoteText"/>
        <w:rPr>
          <w:rFonts w:ascii="Times New Roman" w:hAnsi="Times New Roman" w:cs="Times New Roman"/>
        </w:rPr>
      </w:pPr>
    </w:p>
  </w:footnote>
  <w:footnote w:id="109">
    <w:p w:rsidR="00017C91" w:rsidRPr="00B476F1" w:rsidRDefault="00017C91">
      <w:pPr>
        <w:pStyle w:val="FootnoteText"/>
        <w:rPr>
          <w:rFonts w:ascii="Times New Roman" w:hAnsi="Times New Roman" w:cs="Times New Roman"/>
          <w:lang w:val="es-ES"/>
        </w:rPr>
      </w:pPr>
      <w:r w:rsidRPr="00B476F1">
        <w:rPr>
          <w:rStyle w:val="FootnoteReference"/>
          <w:rFonts w:ascii="Times New Roman" w:hAnsi="Times New Roman" w:cs="Times New Roman"/>
        </w:rPr>
        <w:footnoteRef/>
      </w:r>
      <w:r w:rsidRPr="00B476F1">
        <w:rPr>
          <w:rFonts w:ascii="Times New Roman" w:hAnsi="Times New Roman" w:cs="Times New Roman"/>
          <w:lang w:val="es-ES"/>
        </w:rPr>
        <w:t xml:space="preserve"> </w:t>
      </w:r>
      <w:r w:rsidR="00F9631F" w:rsidRPr="00B476F1">
        <w:rPr>
          <w:rFonts w:ascii="Times New Roman" w:hAnsi="Times New Roman" w:cs="Times New Roman"/>
          <w:i/>
          <w:lang w:val="es-ES"/>
        </w:rPr>
        <w:t>Oliari v Italy</w:t>
      </w:r>
      <w:r w:rsidR="00F9631F" w:rsidRPr="00B476F1">
        <w:rPr>
          <w:rFonts w:ascii="Times New Roman" w:hAnsi="Times New Roman" w:cs="Times New Roman"/>
          <w:lang w:val="es-ES"/>
        </w:rPr>
        <w:t xml:space="preserve"> (n3). </w:t>
      </w:r>
    </w:p>
  </w:footnote>
  <w:footnote w:id="110">
    <w:p w:rsidR="00F9631F" w:rsidRPr="00B476F1" w:rsidRDefault="00017C91">
      <w:pPr>
        <w:pStyle w:val="FootnoteText"/>
        <w:rPr>
          <w:rFonts w:ascii="Times New Roman" w:hAnsi="Times New Roman" w:cs="Times New Roman"/>
          <w:lang w:val="es-ES"/>
        </w:rPr>
      </w:pPr>
      <w:r w:rsidRPr="00B476F1">
        <w:rPr>
          <w:rStyle w:val="FootnoteReference"/>
          <w:rFonts w:ascii="Times New Roman" w:hAnsi="Times New Roman" w:cs="Times New Roman"/>
        </w:rPr>
        <w:footnoteRef/>
      </w:r>
      <w:r w:rsidRPr="00B476F1">
        <w:rPr>
          <w:rFonts w:ascii="Times New Roman" w:hAnsi="Times New Roman" w:cs="Times New Roman"/>
          <w:lang w:val="es-ES"/>
        </w:rPr>
        <w:t xml:space="preserve"> </w:t>
      </w:r>
      <w:r w:rsidR="00F9631F" w:rsidRPr="00B476F1">
        <w:rPr>
          <w:rFonts w:ascii="Times New Roman" w:hAnsi="Times New Roman" w:cs="Times New Roman"/>
          <w:i/>
          <w:lang w:val="es-ES"/>
        </w:rPr>
        <w:t>Ibid.</w:t>
      </w:r>
      <w:r w:rsidR="00F9631F" w:rsidRPr="00B476F1">
        <w:rPr>
          <w:rFonts w:ascii="Times New Roman" w:hAnsi="Times New Roman" w:cs="Times New Roman"/>
          <w:lang w:val="es-ES"/>
        </w:rPr>
        <w:t xml:space="preserve"> </w:t>
      </w:r>
    </w:p>
    <w:p w:rsidR="00017C91" w:rsidRPr="00B476F1" w:rsidRDefault="00017C91">
      <w:pPr>
        <w:pStyle w:val="FootnoteText"/>
        <w:rPr>
          <w:rFonts w:ascii="Times New Roman" w:hAnsi="Times New Roman" w:cs="Times New Roman"/>
          <w:lang w:val="es-ES"/>
        </w:rPr>
      </w:pPr>
      <w:r w:rsidRPr="00B476F1">
        <w:rPr>
          <w:rFonts w:ascii="Times New Roman" w:hAnsi="Times New Roman" w:cs="Times New Roman"/>
          <w:lang w:val="es-ES"/>
        </w:rPr>
        <w:t xml:space="preserve"> </w:t>
      </w:r>
    </w:p>
  </w:footnote>
  <w:footnote w:id="111">
    <w:p w:rsidR="00017C91" w:rsidRPr="00B476F1" w:rsidRDefault="00017C91" w:rsidP="00F9631F">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00F9631F" w:rsidRPr="00B476F1">
        <w:rPr>
          <w:rFonts w:ascii="Times New Roman" w:hAnsi="Times New Roman" w:cs="Times New Roman"/>
          <w:i/>
        </w:rPr>
        <w:t>Ratzenbock and Seydl v Austria</w:t>
      </w:r>
      <w:r w:rsidR="00F9631F" w:rsidRPr="00B476F1">
        <w:rPr>
          <w:rFonts w:ascii="Times New Roman" w:hAnsi="Times New Roman" w:cs="Times New Roman"/>
        </w:rPr>
        <w:t xml:space="preserve"> (Apps. No</w:t>
      </w:r>
      <w:r w:rsidR="00F9631F" w:rsidRPr="00B476F1">
        <w:rPr>
          <w:rFonts w:ascii="Times New Roman" w:hAnsi="Times New Roman" w:cs="Times New Roman"/>
        </w:rPr>
        <w:t xml:space="preserve">. </w:t>
      </w:r>
      <w:r w:rsidR="00F9631F" w:rsidRPr="00B476F1">
        <w:rPr>
          <w:rFonts w:ascii="Times New Roman" w:hAnsi="Times New Roman" w:cs="Times New Roman"/>
        </w:rPr>
        <w:t>28475</w:t>
      </w:r>
      <w:r w:rsidR="00F9631F" w:rsidRPr="00B476F1">
        <w:rPr>
          <w:rFonts w:ascii="Times New Roman" w:hAnsi="Times New Roman" w:cs="Times New Roman"/>
        </w:rPr>
        <w:t>/</w:t>
      </w:r>
      <w:r w:rsidR="00F9631F" w:rsidRPr="00B476F1">
        <w:rPr>
          <w:rFonts w:ascii="Times New Roman" w:hAnsi="Times New Roman" w:cs="Times New Roman"/>
        </w:rPr>
        <w:t>12</w:t>
      </w:r>
      <w:r w:rsidR="00F9631F" w:rsidRPr="00B476F1">
        <w:rPr>
          <w:rFonts w:ascii="Times New Roman" w:hAnsi="Times New Roman" w:cs="Times New Roman"/>
        </w:rPr>
        <w:t xml:space="preserve">, ECtHR </w:t>
      </w:r>
      <w:r w:rsidR="00F9631F" w:rsidRPr="00B476F1">
        <w:rPr>
          <w:rFonts w:ascii="Times New Roman" w:hAnsi="Times New Roman" w:cs="Times New Roman"/>
        </w:rPr>
        <w:t>26 October 2017)</w:t>
      </w:r>
    </w:p>
    <w:p w:rsidR="00F9631F" w:rsidRPr="00B476F1" w:rsidRDefault="00F9631F" w:rsidP="00F9631F">
      <w:pPr>
        <w:pStyle w:val="FootnoteText"/>
        <w:rPr>
          <w:rFonts w:ascii="Times New Roman" w:hAnsi="Times New Roman" w:cs="Times New Roman"/>
        </w:rPr>
      </w:pPr>
    </w:p>
  </w:footnote>
  <w:footnote w:id="112">
    <w:p w:rsidR="00017C91" w:rsidRPr="00B476F1" w:rsidRDefault="00017C91">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00F9631F" w:rsidRPr="00B476F1">
        <w:rPr>
          <w:rFonts w:ascii="Times New Roman" w:hAnsi="Times New Roman" w:cs="Times New Roman"/>
          <w:i/>
        </w:rPr>
        <w:t>Ibid.</w:t>
      </w:r>
      <w:r w:rsidR="00F9631F" w:rsidRPr="00B476F1">
        <w:rPr>
          <w:rFonts w:ascii="Times New Roman" w:hAnsi="Times New Roman" w:cs="Times New Roman"/>
        </w:rPr>
        <w:t xml:space="preserve"> para 40.</w:t>
      </w:r>
    </w:p>
    <w:p w:rsidR="00F9631F" w:rsidRPr="00B476F1" w:rsidRDefault="00F9631F">
      <w:pPr>
        <w:pStyle w:val="FootnoteText"/>
        <w:rPr>
          <w:rFonts w:ascii="Times New Roman" w:hAnsi="Times New Roman" w:cs="Times New Roman"/>
        </w:rPr>
      </w:pPr>
    </w:p>
  </w:footnote>
  <w:footnote w:id="113">
    <w:p w:rsidR="00017C91" w:rsidRPr="00B476F1" w:rsidRDefault="00017C91">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Fenwick </w:t>
      </w:r>
      <w:r w:rsidR="00F9631F" w:rsidRPr="00B476F1">
        <w:rPr>
          <w:rFonts w:ascii="Times New Roman" w:hAnsi="Times New Roman" w:cs="Times New Roman"/>
        </w:rPr>
        <w:t xml:space="preserve">H </w:t>
      </w:r>
      <w:r w:rsidRPr="00B476F1">
        <w:rPr>
          <w:rFonts w:ascii="Times New Roman" w:hAnsi="Times New Roman" w:cs="Times New Roman"/>
        </w:rPr>
        <w:t xml:space="preserve">and Hayward </w:t>
      </w:r>
      <w:r w:rsidR="00F9631F" w:rsidRPr="00B476F1">
        <w:rPr>
          <w:rFonts w:ascii="Times New Roman" w:hAnsi="Times New Roman" w:cs="Times New Roman"/>
        </w:rPr>
        <w:t xml:space="preserve">A. ‘Equal Civil Partnerships: Implications of Strasbourg’s Latest Ruling for Steinfeld and Keidan’ </w:t>
      </w:r>
      <w:r w:rsidRPr="00B476F1">
        <w:rPr>
          <w:rFonts w:ascii="Times New Roman" w:hAnsi="Times New Roman" w:cs="Times New Roman"/>
          <w:i/>
        </w:rPr>
        <w:t>UK Human Rights Blog</w:t>
      </w:r>
      <w:r w:rsidR="00F9631F" w:rsidRPr="00B476F1">
        <w:rPr>
          <w:rFonts w:ascii="Times New Roman" w:hAnsi="Times New Roman" w:cs="Times New Roman"/>
        </w:rPr>
        <w:t xml:space="preserve"> Post 21 November 2017, https://ukhumanrightsblog.com/2017/11/21/equal-civil-partnerships-implications-of-strasbourgs-latest-ruling-for-steinfeld-and-keidan-helen-fenwick-andy-hayward/</w:t>
      </w:r>
    </w:p>
    <w:p w:rsidR="00F9631F" w:rsidRPr="00B476F1" w:rsidRDefault="00F9631F">
      <w:pPr>
        <w:pStyle w:val="FootnoteText"/>
        <w:rPr>
          <w:rFonts w:ascii="Times New Roman" w:hAnsi="Times New Roman" w:cs="Times New Roman"/>
        </w:rPr>
      </w:pPr>
    </w:p>
  </w:footnote>
  <w:footnote w:id="114">
    <w:p w:rsidR="00017C91" w:rsidRPr="00B476F1" w:rsidRDefault="00017C91">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00F9631F" w:rsidRPr="00B476F1">
        <w:rPr>
          <w:rFonts w:ascii="Times New Roman" w:hAnsi="Times New Roman" w:cs="Times New Roman"/>
          <w:i/>
        </w:rPr>
        <w:t>Schalk and Kopf v Austria</w:t>
      </w:r>
      <w:r w:rsidR="00F9631F" w:rsidRPr="00B476F1">
        <w:rPr>
          <w:rFonts w:ascii="Times New Roman" w:hAnsi="Times New Roman" w:cs="Times New Roman"/>
        </w:rPr>
        <w:t xml:space="preserve"> (n2) and </w:t>
      </w:r>
      <w:r w:rsidR="00F9631F" w:rsidRPr="00B476F1">
        <w:rPr>
          <w:rFonts w:ascii="Times New Roman" w:hAnsi="Times New Roman" w:cs="Times New Roman"/>
          <w:i/>
        </w:rPr>
        <w:t>Vallianatos v Greece</w:t>
      </w:r>
      <w:r w:rsidR="00F9631F" w:rsidRPr="00B476F1">
        <w:rPr>
          <w:rFonts w:ascii="Times New Roman" w:hAnsi="Times New Roman" w:cs="Times New Roman"/>
        </w:rPr>
        <w:t xml:space="preserve"> (n7). </w:t>
      </w:r>
    </w:p>
    <w:p w:rsidR="00F9631F" w:rsidRPr="00B476F1" w:rsidRDefault="00F9631F">
      <w:pPr>
        <w:pStyle w:val="FootnoteText"/>
        <w:rPr>
          <w:rFonts w:ascii="Times New Roman" w:hAnsi="Times New Roman" w:cs="Times New Roman"/>
        </w:rPr>
      </w:pPr>
    </w:p>
  </w:footnote>
  <w:footnote w:id="115">
    <w:p w:rsidR="00017C91" w:rsidRPr="00B476F1" w:rsidRDefault="00017C91">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00F9631F" w:rsidRPr="00B476F1">
        <w:rPr>
          <w:rFonts w:ascii="Times New Roman" w:hAnsi="Times New Roman" w:cs="Times New Roman"/>
        </w:rPr>
        <w:t xml:space="preserve">Oliari v Italy (n3) </w:t>
      </w:r>
    </w:p>
    <w:p w:rsidR="00F9631F" w:rsidRPr="00B476F1" w:rsidRDefault="00F9631F">
      <w:pPr>
        <w:pStyle w:val="FootnoteText"/>
        <w:rPr>
          <w:rFonts w:ascii="Times New Roman" w:hAnsi="Times New Roman" w:cs="Times New Roman"/>
        </w:rPr>
      </w:pPr>
    </w:p>
  </w:footnote>
  <w:footnote w:id="116">
    <w:p w:rsidR="00017C91" w:rsidRPr="00B476F1" w:rsidRDefault="00017C91">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Fenwick and Hayward UK Human Rights Blog</w:t>
      </w:r>
      <w:r w:rsidR="00F9631F" w:rsidRPr="00B476F1">
        <w:rPr>
          <w:rFonts w:ascii="Times New Roman" w:hAnsi="Times New Roman" w:cs="Times New Roman"/>
          <w:i/>
        </w:rPr>
        <w:t xml:space="preserve"> </w:t>
      </w:r>
      <w:r w:rsidR="00F9631F" w:rsidRPr="00B476F1">
        <w:rPr>
          <w:rFonts w:ascii="Times New Roman" w:hAnsi="Times New Roman" w:cs="Times New Roman"/>
        </w:rPr>
        <w:t xml:space="preserve">(n113). </w:t>
      </w:r>
    </w:p>
  </w:footnote>
  <w:footnote w:id="117">
    <w:p w:rsidR="00017C91" w:rsidRPr="00B476F1" w:rsidRDefault="00017C91">
      <w:pPr>
        <w:pStyle w:val="FootnoteText"/>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 xml:space="preserve">Fenwick and Hayward UK </w:t>
      </w:r>
      <w:r w:rsidR="00F9631F" w:rsidRPr="00B476F1">
        <w:rPr>
          <w:rFonts w:ascii="Times New Roman" w:hAnsi="Times New Roman" w:cs="Times New Roman"/>
          <w:i/>
        </w:rPr>
        <w:t xml:space="preserve">Human Rights </w:t>
      </w:r>
      <w:r w:rsidRPr="00B476F1">
        <w:rPr>
          <w:rFonts w:ascii="Times New Roman" w:hAnsi="Times New Roman" w:cs="Times New Roman"/>
          <w:i/>
        </w:rPr>
        <w:t>Blog</w:t>
      </w:r>
      <w:r w:rsidR="00F9631F" w:rsidRPr="00B476F1">
        <w:rPr>
          <w:rFonts w:ascii="Times New Roman" w:hAnsi="Times New Roman" w:cs="Times New Roman"/>
        </w:rPr>
        <w:t xml:space="preserve"> (n113). </w:t>
      </w:r>
    </w:p>
    <w:p w:rsidR="00F9631F" w:rsidRPr="00B476F1" w:rsidRDefault="00F9631F">
      <w:pPr>
        <w:pStyle w:val="FootnoteText"/>
        <w:rPr>
          <w:rFonts w:ascii="Times New Roman" w:hAnsi="Times New Roman" w:cs="Times New Roman"/>
        </w:rPr>
      </w:pPr>
    </w:p>
  </w:footnote>
  <w:footnote w:id="118">
    <w:p w:rsidR="00017C91" w:rsidRPr="00B476F1" w:rsidRDefault="00017C91" w:rsidP="009C78B8">
      <w:pPr>
        <w:spacing w:line="240" w:lineRule="auto"/>
        <w:jc w:val="both"/>
        <w:rPr>
          <w:rFonts w:ascii="Times New Roman" w:eastAsia="Calibri" w:hAnsi="Times New Roman" w:cs="Times New Roman"/>
          <w:sz w:val="20"/>
          <w:szCs w:val="20"/>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See for comment Grigolo M. ‘</w:t>
      </w:r>
      <w:r w:rsidRPr="00B476F1">
        <w:rPr>
          <w:rFonts w:ascii="Times New Roman" w:eastAsia="Calibri" w:hAnsi="Times New Roman" w:cs="Times New Roman"/>
          <w:sz w:val="20"/>
          <w:szCs w:val="20"/>
        </w:rPr>
        <w:t xml:space="preserve">Sexualities and the ECHR: Introducing the Universal Sexual Legal Subject’ (2003) 14(5) </w:t>
      </w:r>
      <w:r w:rsidRPr="00B476F1">
        <w:rPr>
          <w:rFonts w:ascii="Times New Roman" w:eastAsia="Calibri" w:hAnsi="Times New Roman" w:cs="Times New Roman"/>
          <w:i/>
          <w:sz w:val="20"/>
          <w:szCs w:val="20"/>
        </w:rPr>
        <w:t>Eur J of Inter L</w:t>
      </w:r>
      <w:r w:rsidRPr="00B476F1">
        <w:rPr>
          <w:rFonts w:ascii="Times New Roman" w:eastAsia="Calibri" w:hAnsi="Times New Roman" w:cs="Times New Roman"/>
          <w:sz w:val="20"/>
          <w:szCs w:val="20"/>
        </w:rPr>
        <w:t xml:space="preserve"> 1023, 1025. </w:t>
      </w:r>
    </w:p>
  </w:footnote>
  <w:footnote w:id="119">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Rees v UK</w:t>
      </w:r>
      <w:r w:rsidRPr="00B476F1">
        <w:rPr>
          <w:rFonts w:ascii="Times New Roman" w:hAnsi="Times New Roman" w:cs="Times New Roman"/>
        </w:rPr>
        <w:t xml:space="preserve"> App No 9532/81 (ECtHR 17 October 1986). See also </w:t>
      </w:r>
      <w:r w:rsidRPr="00B476F1">
        <w:rPr>
          <w:rFonts w:ascii="Times New Roman" w:hAnsi="Times New Roman" w:cs="Times New Roman"/>
          <w:i/>
        </w:rPr>
        <w:t>Popplewell-Scezak</w:t>
      </w:r>
      <w:r w:rsidR="002D049A" w:rsidRPr="00B476F1">
        <w:rPr>
          <w:rFonts w:ascii="Times New Roman" w:hAnsi="Times New Roman" w:cs="Times New Roman"/>
        </w:rPr>
        <w:t xml:space="preserve"> (n13</w:t>
      </w:r>
      <w:r w:rsidRPr="00B476F1">
        <w:rPr>
          <w:rFonts w:ascii="Times New Roman" w:hAnsi="Times New Roman" w:cs="Times New Roman"/>
        </w:rPr>
        <w:t xml:space="preserve">) for comment. </w:t>
      </w:r>
    </w:p>
    <w:p w:rsidR="00017C91" w:rsidRPr="00B476F1" w:rsidRDefault="00017C91" w:rsidP="009C78B8">
      <w:pPr>
        <w:pStyle w:val="FootnoteText"/>
        <w:jc w:val="both"/>
        <w:rPr>
          <w:rFonts w:ascii="Times New Roman" w:hAnsi="Times New Roman" w:cs="Times New Roman"/>
        </w:rPr>
      </w:pPr>
    </w:p>
  </w:footnote>
  <w:footnote w:id="120">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Christine Goodwin v UK</w:t>
      </w:r>
      <w:r w:rsidR="00B476F1" w:rsidRPr="00B476F1">
        <w:rPr>
          <w:rFonts w:ascii="Times New Roman" w:hAnsi="Times New Roman" w:cs="Times New Roman"/>
        </w:rPr>
        <w:t xml:space="preserve"> (n37</w:t>
      </w:r>
      <w:r w:rsidRPr="00B476F1">
        <w:rPr>
          <w:rFonts w:ascii="Times New Roman" w:hAnsi="Times New Roman" w:cs="Times New Roman"/>
        </w:rPr>
        <w:t xml:space="preserve">). </w:t>
      </w:r>
    </w:p>
    <w:p w:rsidR="00017C91" w:rsidRPr="00B476F1" w:rsidRDefault="00017C91" w:rsidP="009C78B8">
      <w:pPr>
        <w:pStyle w:val="FootnoteText"/>
        <w:jc w:val="both"/>
        <w:rPr>
          <w:rFonts w:ascii="Times New Roman" w:hAnsi="Times New Roman" w:cs="Times New Roman"/>
        </w:rPr>
      </w:pPr>
    </w:p>
  </w:footnote>
  <w:footnote w:id="121">
    <w:p w:rsidR="00017C91" w:rsidRPr="00B476F1" w:rsidRDefault="00017C91" w:rsidP="009C78B8">
      <w:pPr>
        <w:pStyle w:val="FootnoteText"/>
        <w:jc w:val="both"/>
        <w:rPr>
          <w:rFonts w:ascii="Times New Roman" w:hAnsi="Times New Roman" w:cs="Times New Roman"/>
          <w:lang w:val="es-ES"/>
        </w:rPr>
      </w:pPr>
      <w:r w:rsidRPr="00B476F1">
        <w:rPr>
          <w:rStyle w:val="FootnoteReference"/>
          <w:rFonts w:ascii="Times New Roman" w:hAnsi="Times New Roman" w:cs="Times New Roman"/>
        </w:rPr>
        <w:footnoteRef/>
      </w:r>
      <w:r w:rsidRPr="00B476F1">
        <w:rPr>
          <w:rFonts w:ascii="Times New Roman" w:hAnsi="Times New Roman" w:cs="Times New Roman"/>
          <w:lang w:val="es-ES"/>
        </w:rPr>
        <w:t xml:space="preserve"> </w:t>
      </w:r>
      <w:r w:rsidRPr="00B476F1">
        <w:rPr>
          <w:rFonts w:ascii="Times New Roman" w:hAnsi="Times New Roman" w:cs="Times New Roman"/>
          <w:i/>
          <w:lang w:val="es-ES"/>
        </w:rPr>
        <w:t xml:space="preserve">Ibid. </w:t>
      </w:r>
      <w:r w:rsidRPr="00B476F1">
        <w:rPr>
          <w:rFonts w:ascii="Times New Roman" w:hAnsi="Times New Roman" w:cs="Times New Roman"/>
          <w:lang w:val="es-ES"/>
        </w:rPr>
        <w:t>para 74.</w:t>
      </w:r>
    </w:p>
    <w:p w:rsidR="00017C91" w:rsidRPr="00B476F1" w:rsidRDefault="00017C91" w:rsidP="009C78B8">
      <w:pPr>
        <w:pStyle w:val="FootnoteText"/>
        <w:jc w:val="both"/>
        <w:rPr>
          <w:rFonts w:ascii="Times New Roman" w:hAnsi="Times New Roman" w:cs="Times New Roman"/>
          <w:lang w:val="es-ES"/>
        </w:rPr>
      </w:pPr>
    </w:p>
  </w:footnote>
  <w:footnote w:id="122">
    <w:p w:rsidR="00017C91" w:rsidRPr="00B476F1" w:rsidRDefault="00017C91" w:rsidP="009C78B8">
      <w:pPr>
        <w:pStyle w:val="FootnoteText"/>
        <w:jc w:val="both"/>
        <w:rPr>
          <w:rFonts w:ascii="Times New Roman" w:hAnsi="Times New Roman" w:cs="Times New Roman"/>
          <w:lang w:val="es-ES_tradnl"/>
        </w:rPr>
      </w:pPr>
      <w:r w:rsidRPr="00B476F1">
        <w:rPr>
          <w:rStyle w:val="FootnoteReference"/>
          <w:rFonts w:ascii="Times New Roman" w:hAnsi="Times New Roman" w:cs="Times New Roman"/>
        </w:rPr>
        <w:footnoteRef/>
      </w:r>
      <w:r w:rsidRPr="00B476F1">
        <w:rPr>
          <w:rFonts w:ascii="Times New Roman" w:hAnsi="Times New Roman" w:cs="Times New Roman"/>
          <w:lang w:val="es-ES_tradnl"/>
        </w:rPr>
        <w:t xml:space="preserve"> </w:t>
      </w:r>
      <w:r w:rsidRPr="00B476F1">
        <w:rPr>
          <w:rFonts w:ascii="Times New Roman" w:hAnsi="Times New Roman" w:cs="Times New Roman"/>
          <w:i/>
          <w:lang w:val="es-ES_tradnl"/>
        </w:rPr>
        <w:t>Rees v UK</w:t>
      </w:r>
      <w:r w:rsidRPr="00B476F1">
        <w:rPr>
          <w:rFonts w:ascii="Times New Roman" w:hAnsi="Times New Roman" w:cs="Times New Roman"/>
          <w:lang w:val="es-ES_tradnl"/>
        </w:rPr>
        <w:t xml:space="preserve"> (n</w:t>
      </w:r>
      <w:r w:rsidR="00B476F1" w:rsidRPr="00B476F1">
        <w:rPr>
          <w:rFonts w:ascii="Times New Roman" w:hAnsi="Times New Roman" w:cs="Times New Roman"/>
          <w:lang w:val="es-ES_tradnl"/>
        </w:rPr>
        <w:t>119</w:t>
      </w:r>
      <w:r w:rsidRPr="00B476F1">
        <w:rPr>
          <w:rFonts w:ascii="Times New Roman" w:hAnsi="Times New Roman" w:cs="Times New Roman"/>
          <w:lang w:val="es-ES_tradnl"/>
        </w:rPr>
        <w:t xml:space="preserve">) para 42. </w:t>
      </w:r>
    </w:p>
    <w:p w:rsidR="00017C91" w:rsidRPr="00B476F1" w:rsidRDefault="00017C91" w:rsidP="009C78B8">
      <w:pPr>
        <w:pStyle w:val="FootnoteText"/>
        <w:jc w:val="both"/>
        <w:rPr>
          <w:rFonts w:ascii="Times New Roman" w:hAnsi="Times New Roman" w:cs="Times New Roman"/>
          <w:lang w:val="es-ES_tradnl"/>
        </w:rPr>
      </w:pPr>
    </w:p>
  </w:footnote>
  <w:footnote w:id="123">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00B476F1" w:rsidRPr="00B476F1">
        <w:rPr>
          <w:rFonts w:ascii="Times New Roman" w:hAnsi="Times New Roman" w:cs="Times New Roman"/>
          <w:i/>
        </w:rPr>
        <w:t xml:space="preserve">Ibid. </w:t>
      </w:r>
      <w:r w:rsidRPr="00B476F1">
        <w:rPr>
          <w:rFonts w:ascii="Times New Roman" w:hAnsi="Times New Roman" w:cs="Times New Roman"/>
        </w:rPr>
        <w:t xml:space="preserve"> para 47. </w:t>
      </w:r>
    </w:p>
    <w:p w:rsidR="00017C91" w:rsidRPr="00B476F1" w:rsidRDefault="00017C91" w:rsidP="009C78B8">
      <w:pPr>
        <w:pStyle w:val="FootnoteText"/>
        <w:jc w:val="both"/>
        <w:rPr>
          <w:rFonts w:ascii="Times New Roman" w:hAnsi="Times New Roman" w:cs="Times New Roman"/>
        </w:rPr>
      </w:pPr>
    </w:p>
  </w:footnote>
  <w:footnote w:id="124">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Cossey v UK</w:t>
      </w:r>
      <w:r w:rsidRPr="00B476F1">
        <w:rPr>
          <w:rFonts w:ascii="Times New Roman" w:hAnsi="Times New Roman" w:cs="Times New Roman"/>
        </w:rPr>
        <w:t xml:space="preserve"> App No 10843/84 (27 September 1990).</w:t>
      </w:r>
    </w:p>
    <w:p w:rsidR="00017C91" w:rsidRPr="00B476F1" w:rsidRDefault="00017C91" w:rsidP="009C78B8">
      <w:pPr>
        <w:pStyle w:val="FootnoteText"/>
        <w:jc w:val="both"/>
        <w:rPr>
          <w:rFonts w:ascii="Times New Roman" w:hAnsi="Times New Roman" w:cs="Times New Roman"/>
        </w:rPr>
      </w:pPr>
    </w:p>
  </w:footnote>
  <w:footnote w:id="125">
    <w:p w:rsidR="00017C91" w:rsidRPr="00B476F1" w:rsidRDefault="00017C91" w:rsidP="009C78B8">
      <w:pPr>
        <w:spacing w:line="240" w:lineRule="auto"/>
        <w:jc w:val="both"/>
        <w:rPr>
          <w:rFonts w:ascii="Times New Roman" w:eastAsia="Calibri" w:hAnsi="Times New Roman" w:cs="Times New Roman"/>
          <w:sz w:val="20"/>
          <w:szCs w:val="20"/>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w:t>
      </w:r>
      <w:r w:rsidRPr="00B476F1">
        <w:rPr>
          <w:rFonts w:ascii="Times New Roman" w:hAnsi="Times New Roman" w:cs="Times New Roman"/>
          <w:i/>
          <w:sz w:val="20"/>
          <w:szCs w:val="20"/>
        </w:rPr>
        <w:t>Christine Goodwin v UK</w:t>
      </w:r>
      <w:r w:rsidRPr="00B476F1">
        <w:rPr>
          <w:rFonts w:ascii="Times New Roman" w:hAnsi="Times New Roman" w:cs="Times New Roman"/>
          <w:sz w:val="20"/>
          <w:szCs w:val="20"/>
        </w:rPr>
        <w:t xml:space="preserve"> (n</w:t>
      </w:r>
      <w:r w:rsidR="00B476F1" w:rsidRPr="00B476F1">
        <w:rPr>
          <w:rFonts w:ascii="Times New Roman" w:hAnsi="Times New Roman" w:cs="Times New Roman"/>
          <w:sz w:val="20"/>
          <w:szCs w:val="20"/>
        </w:rPr>
        <w:t>37</w:t>
      </w:r>
      <w:r w:rsidRPr="00B476F1">
        <w:rPr>
          <w:rFonts w:ascii="Times New Roman" w:hAnsi="Times New Roman" w:cs="Times New Roman"/>
          <w:sz w:val="20"/>
          <w:szCs w:val="20"/>
        </w:rPr>
        <w:t xml:space="preserve">) para 84. See also </w:t>
      </w:r>
      <w:r w:rsidRPr="00B476F1">
        <w:rPr>
          <w:rFonts w:ascii="Times New Roman" w:eastAsia="Calibri" w:hAnsi="Times New Roman" w:cs="Times New Roman"/>
          <w:i/>
          <w:sz w:val="20"/>
          <w:szCs w:val="20"/>
        </w:rPr>
        <w:t>Tobin</w:t>
      </w:r>
      <w:r w:rsidRPr="00B476F1">
        <w:rPr>
          <w:rFonts w:ascii="Times New Roman" w:eastAsia="Calibri" w:hAnsi="Times New Roman" w:cs="Times New Roman"/>
          <w:sz w:val="20"/>
          <w:szCs w:val="20"/>
        </w:rPr>
        <w:t xml:space="preserve"> (n30). </w:t>
      </w:r>
    </w:p>
  </w:footnote>
  <w:footnote w:id="126">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Christine Goodwin v UK</w:t>
      </w:r>
      <w:r w:rsidR="00B476F1" w:rsidRPr="00B476F1">
        <w:rPr>
          <w:rFonts w:ascii="Times New Roman" w:hAnsi="Times New Roman" w:cs="Times New Roman"/>
        </w:rPr>
        <w:t xml:space="preserve"> (n37</w:t>
      </w:r>
      <w:r w:rsidRPr="00B476F1">
        <w:rPr>
          <w:rFonts w:ascii="Times New Roman" w:hAnsi="Times New Roman" w:cs="Times New Roman"/>
        </w:rPr>
        <w:t xml:space="preserve">) para 84. </w:t>
      </w:r>
    </w:p>
    <w:p w:rsidR="00017C91" w:rsidRPr="00B476F1" w:rsidRDefault="00017C91" w:rsidP="009C78B8">
      <w:pPr>
        <w:pStyle w:val="FootnoteText"/>
        <w:jc w:val="both"/>
        <w:rPr>
          <w:rFonts w:ascii="Times New Roman" w:hAnsi="Times New Roman" w:cs="Times New Roman"/>
        </w:rPr>
      </w:pPr>
    </w:p>
  </w:footnote>
  <w:footnote w:id="127">
    <w:p w:rsidR="00017C91" w:rsidRPr="00B476F1" w:rsidRDefault="00017C91" w:rsidP="009C78B8">
      <w:pPr>
        <w:spacing w:after="0" w:line="240" w:lineRule="auto"/>
        <w:jc w:val="both"/>
        <w:rPr>
          <w:rFonts w:ascii="Times New Roman" w:hAnsi="Times New Roman" w:cs="Times New Roman"/>
          <w:i/>
          <w:sz w:val="20"/>
          <w:szCs w:val="20"/>
          <w:lang w:val="de-DE"/>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lang w:val="de-DE"/>
        </w:rPr>
        <w:t xml:space="preserve"> </w:t>
      </w:r>
      <w:r w:rsidRPr="00B476F1">
        <w:rPr>
          <w:rFonts w:ascii="Times New Roman" w:hAnsi="Times New Roman" w:cs="Times New Roman"/>
          <w:i/>
          <w:sz w:val="20"/>
          <w:szCs w:val="20"/>
          <w:lang w:val="de-DE"/>
        </w:rPr>
        <w:t>Dzehtsiarou</w:t>
      </w:r>
      <w:r w:rsidR="002D049A" w:rsidRPr="00B476F1">
        <w:rPr>
          <w:rFonts w:ascii="Times New Roman" w:hAnsi="Times New Roman" w:cs="Times New Roman"/>
          <w:sz w:val="20"/>
          <w:szCs w:val="20"/>
          <w:lang w:val="de-DE"/>
        </w:rPr>
        <w:t xml:space="preserve"> (n18</w:t>
      </w:r>
      <w:r w:rsidRPr="00B476F1">
        <w:rPr>
          <w:rFonts w:ascii="Times New Roman" w:hAnsi="Times New Roman" w:cs="Times New Roman"/>
          <w:sz w:val="20"/>
          <w:szCs w:val="20"/>
          <w:lang w:val="de-DE"/>
        </w:rPr>
        <w:t xml:space="preserve">) 541. See also </w:t>
      </w:r>
      <w:r w:rsidRPr="00B476F1">
        <w:rPr>
          <w:rFonts w:ascii="Times New Roman" w:hAnsi="Times New Roman" w:cs="Times New Roman"/>
          <w:i/>
          <w:sz w:val="20"/>
          <w:szCs w:val="20"/>
          <w:lang w:val="de-DE"/>
        </w:rPr>
        <w:t>Brauch</w:t>
      </w:r>
      <w:r w:rsidRPr="00B476F1">
        <w:rPr>
          <w:rFonts w:ascii="Times New Roman" w:hAnsi="Times New Roman" w:cs="Times New Roman"/>
          <w:sz w:val="20"/>
          <w:szCs w:val="20"/>
          <w:lang w:val="de-DE"/>
        </w:rPr>
        <w:t xml:space="preserve"> (n</w:t>
      </w:r>
      <w:r w:rsidR="0055188B" w:rsidRPr="00B476F1">
        <w:rPr>
          <w:rFonts w:ascii="Times New Roman" w:hAnsi="Times New Roman" w:cs="Times New Roman"/>
          <w:sz w:val="20"/>
          <w:szCs w:val="20"/>
          <w:lang w:val="de-DE"/>
        </w:rPr>
        <w:t>20</w:t>
      </w:r>
      <w:r w:rsidRPr="00B476F1">
        <w:rPr>
          <w:rFonts w:ascii="Times New Roman" w:hAnsi="Times New Roman" w:cs="Times New Roman"/>
          <w:sz w:val="20"/>
          <w:szCs w:val="20"/>
          <w:lang w:val="de-DE"/>
        </w:rPr>
        <w:t>).</w:t>
      </w:r>
    </w:p>
    <w:p w:rsidR="00017C91" w:rsidRPr="00B476F1" w:rsidRDefault="00017C91" w:rsidP="009C78B8">
      <w:pPr>
        <w:spacing w:after="0" w:line="240" w:lineRule="auto"/>
        <w:jc w:val="both"/>
        <w:rPr>
          <w:rFonts w:ascii="Times New Roman" w:hAnsi="Times New Roman" w:cs="Times New Roman"/>
          <w:sz w:val="20"/>
          <w:szCs w:val="20"/>
          <w:lang w:val="de-DE"/>
        </w:rPr>
      </w:pPr>
    </w:p>
  </w:footnote>
  <w:footnote w:id="128">
    <w:p w:rsidR="00017C91" w:rsidRPr="00B476F1" w:rsidRDefault="00017C91" w:rsidP="009C78B8">
      <w:pPr>
        <w:pStyle w:val="FootnoteText"/>
        <w:jc w:val="both"/>
        <w:rPr>
          <w:rFonts w:ascii="Times New Roman" w:hAnsi="Times New Roman" w:cs="Times New Roman"/>
          <w:lang w:val="de-DE"/>
        </w:rPr>
      </w:pPr>
      <w:r w:rsidRPr="00B476F1">
        <w:rPr>
          <w:rStyle w:val="FootnoteReference"/>
          <w:rFonts w:ascii="Times New Roman" w:hAnsi="Times New Roman" w:cs="Times New Roman"/>
        </w:rPr>
        <w:footnoteRef/>
      </w:r>
      <w:r w:rsidRPr="00B476F1">
        <w:rPr>
          <w:rFonts w:ascii="Times New Roman" w:hAnsi="Times New Roman" w:cs="Times New Roman"/>
          <w:lang w:val="de-DE"/>
        </w:rPr>
        <w:t xml:space="preserve"> </w:t>
      </w:r>
      <w:r w:rsidRPr="00B476F1">
        <w:rPr>
          <w:rFonts w:ascii="Times New Roman" w:hAnsi="Times New Roman" w:cs="Times New Roman"/>
          <w:i/>
          <w:lang w:val="de-DE"/>
        </w:rPr>
        <w:t>McGoldrick</w:t>
      </w:r>
      <w:r w:rsidRPr="00B476F1">
        <w:rPr>
          <w:rFonts w:ascii="Times New Roman" w:hAnsi="Times New Roman" w:cs="Times New Roman"/>
          <w:lang w:val="de-DE"/>
        </w:rPr>
        <w:t xml:space="preserve"> (n</w:t>
      </w:r>
      <w:r w:rsidR="0055188B" w:rsidRPr="00B476F1">
        <w:rPr>
          <w:rFonts w:ascii="Times New Roman" w:hAnsi="Times New Roman" w:cs="Times New Roman"/>
          <w:lang w:val="de-DE"/>
        </w:rPr>
        <w:t>41</w:t>
      </w:r>
      <w:r w:rsidRPr="00B476F1">
        <w:rPr>
          <w:rFonts w:ascii="Times New Roman" w:hAnsi="Times New Roman" w:cs="Times New Roman"/>
          <w:lang w:val="de-DE"/>
        </w:rPr>
        <w:t xml:space="preserve">). </w:t>
      </w:r>
    </w:p>
    <w:p w:rsidR="00017C91" w:rsidRPr="00B476F1" w:rsidRDefault="00017C91" w:rsidP="009C78B8">
      <w:pPr>
        <w:pStyle w:val="FootnoteText"/>
        <w:jc w:val="both"/>
        <w:rPr>
          <w:rFonts w:ascii="Times New Roman" w:hAnsi="Times New Roman" w:cs="Times New Roman"/>
          <w:lang w:val="de-DE"/>
        </w:rPr>
      </w:pPr>
    </w:p>
  </w:footnote>
  <w:footnote w:id="129">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lang w:val="de-DE"/>
        </w:rPr>
        <w:t xml:space="preserve"> </w:t>
      </w:r>
      <w:r w:rsidRPr="00B476F1">
        <w:rPr>
          <w:rFonts w:ascii="Times New Roman" w:hAnsi="Times New Roman" w:cs="Times New Roman"/>
          <w:i/>
          <w:lang w:val="de-DE"/>
        </w:rPr>
        <w:t>Brauch</w:t>
      </w:r>
      <w:r w:rsidRPr="00B476F1">
        <w:rPr>
          <w:rFonts w:ascii="Times New Roman" w:hAnsi="Times New Roman" w:cs="Times New Roman"/>
          <w:lang w:val="de-DE"/>
        </w:rPr>
        <w:t xml:space="preserve"> (n</w:t>
      </w:r>
      <w:r w:rsidR="0055188B" w:rsidRPr="00B476F1">
        <w:rPr>
          <w:rFonts w:ascii="Times New Roman" w:hAnsi="Times New Roman" w:cs="Times New Roman"/>
          <w:lang w:val="de-DE"/>
        </w:rPr>
        <w:t>20</w:t>
      </w:r>
      <w:r w:rsidRPr="00B476F1">
        <w:rPr>
          <w:rFonts w:ascii="Times New Roman" w:hAnsi="Times New Roman" w:cs="Times New Roman"/>
          <w:lang w:val="de-DE"/>
        </w:rPr>
        <w:t xml:space="preserve">)147. </w:t>
      </w:r>
      <w:r w:rsidRPr="00B476F1">
        <w:rPr>
          <w:rFonts w:ascii="Times New Roman" w:hAnsi="Times New Roman" w:cs="Times New Roman"/>
        </w:rPr>
        <w:t xml:space="preserve">See also </w:t>
      </w:r>
      <w:r w:rsidRPr="00B476F1">
        <w:rPr>
          <w:rFonts w:ascii="Times New Roman" w:hAnsi="Times New Roman" w:cs="Times New Roman"/>
          <w:i/>
        </w:rPr>
        <w:t>Popplewell-Scezak</w:t>
      </w:r>
      <w:r w:rsidR="002D049A" w:rsidRPr="00B476F1">
        <w:rPr>
          <w:rFonts w:ascii="Times New Roman" w:hAnsi="Times New Roman" w:cs="Times New Roman"/>
        </w:rPr>
        <w:t xml:space="preserve"> (n13</w:t>
      </w:r>
      <w:r w:rsidRPr="00B476F1">
        <w:rPr>
          <w:rFonts w:ascii="Times New Roman" w:hAnsi="Times New Roman" w:cs="Times New Roman"/>
        </w:rPr>
        <w:t xml:space="preserve">). </w:t>
      </w:r>
    </w:p>
    <w:p w:rsidR="00017C91" w:rsidRPr="00B476F1" w:rsidRDefault="00017C91" w:rsidP="009C78B8">
      <w:pPr>
        <w:pStyle w:val="FootnoteText"/>
        <w:jc w:val="both"/>
        <w:rPr>
          <w:rFonts w:ascii="Times New Roman" w:hAnsi="Times New Roman" w:cs="Times New Roman"/>
        </w:rPr>
      </w:pPr>
    </w:p>
  </w:footnote>
  <w:footnote w:id="130">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0055188B" w:rsidRPr="00B476F1">
        <w:rPr>
          <w:rFonts w:ascii="Times New Roman" w:hAnsi="Times New Roman" w:cs="Times New Roman"/>
        </w:rPr>
        <w:t xml:space="preserve"> See n29</w:t>
      </w:r>
      <w:r w:rsidRPr="00B476F1">
        <w:rPr>
          <w:rFonts w:ascii="Times New Roman" w:hAnsi="Times New Roman" w:cs="Times New Roman"/>
        </w:rPr>
        <w:t xml:space="preserve"> </w:t>
      </w:r>
    </w:p>
    <w:p w:rsidR="00017C91" w:rsidRPr="00B476F1" w:rsidRDefault="00017C91" w:rsidP="009C78B8">
      <w:pPr>
        <w:pStyle w:val="FootnoteText"/>
        <w:jc w:val="both"/>
        <w:rPr>
          <w:rFonts w:ascii="Times New Roman" w:hAnsi="Times New Roman" w:cs="Times New Roman"/>
        </w:rPr>
      </w:pPr>
    </w:p>
  </w:footnote>
  <w:footnote w:id="131">
    <w:p w:rsidR="00017C91" w:rsidRPr="00B476F1" w:rsidRDefault="00017C91" w:rsidP="009C78B8">
      <w:pPr>
        <w:pStyle w:val="FootnoteText"/>
        <w:jc w:val="both"/>
        <w:rPr>
          <w:rFonts w:ascii="Times New Roman" w:eastAsia="Calibri"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Dzehtsiarou</w:t>
      </w:r>
      <w:r w:rsidR="002D049A" w:rsidRPr="00B476F1">
        <w:rPr>
          <w:rFonts w:ascii="Times New Roman" w:hAnsi="Times New Roman" w:cs="Times New Roman"/>
        </w:rPr>
        <w:t xml:space="preserve"> (n18</w:t>
      </w:r>
      <w:r w:rsidRPr="00B476F1">
        <w:rPr>
          <w:rFonts w:ascii="Times New Roman" w:hAnsi="Times New Roman" w:cs="Times New Roman"/>
        </w:rPr>
        <w:t xml:space="preserve">) 536 referring to </w:t>
      </w:r>
      <w:r w:rsidRPr="00B476F1">
        <w:rPr>
          <w:rFonts w:ascii="Times New Roman" w:hAnsi="Times New Roman" w:cs="Times New Roman"/>
          <w:i/>
        </w:rPr>
        <w:t>Macdonald</w:t>
      </w:r>
      <w:r w:rsidRPr="00B476F1">
        <w:rPr>
          <w:rFonts w:ascii="Times New Roman" w:hAnsi="Times New Roman" w:cs="Times New Roman"/>
        </w:rPr>
        <w:t xml:space="preserve">  (n29) 123, a former judge of the European Court, who states </w:t>
      </w:r>
      <w:r w:rsidRPr="00B476F1">
        <w:rPr>
          <w:rFonts w:ascii="Times New Roman" w:eastAsia="Calibri" w:hAnsi="Times New Roman" w:cs="Times New Roman"/>
        </w:rPr>
        <w:t>the whole system of European human rights protection ‘rests on the fragile foundations of the consent of the Contracting Parties.’</w:t>
      </w:r>
    </w:p>
    <w:p w:rsidR="00017C91" w:rsidRPr="00B476F1" w:rsidRDefault="00017C91" w:rsidP="009C78B8">
      <w:pPr>
        <w:pStyle w:val="FootnoteText"/>
        <w:jc w:val="both"/>
        <w:rPr>
          <w:rFonts w:ascii="Times New Roman" w:hAnsi="Times New Roman" w:cs="Times New Roman"/>
        </w:rPr>
      </w:pPr>
    </w:p>
  </w:footnote>
  <w:footnote w:id="132">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00B476F1" w:rsidRPr="00B476F1">
        <w:rPr>
          <w:rFonts w:ascii="Times New Roman" w:hAnsi="Times New Roman" w:cs="Times New Roman"/>
        </w:rPr>
        <w:t xml:space="preserve"> Dzhetsiarou (n18</w:t>
      </w:r>
      <w:r w:rsidRPr="00B476F1">
        <w:rPr>
          <w:rFonts w:ascii="Times New Roman" w:hAnsi="Times New Roman" w:cs="Times New Roman"/>
        </w:rPr>
        <w:t xml:space="preserve">) 536 referring to Letsas, G. ‘The Truth in Autonomous Concepts: How to Interpret the ECHR’ (2004) 15 </w:t>
      </w:r>
      <w:r w:rsidRPr="00B476F1">
        <w:rPr>
          <w:rStyle w:val="Emphasis"/>
          <w:rFonts w:ascii="Times New Roman" w:hAnsi="Times New Roman" w:cs="Times New Roman"/>
        </w:rPr>
        <w:t>Eur J of Inter L</w:t>
      </w:r>
      <w:r w:rsidRPr="00B476F1">
        <w:rPr>
          <w:rFonts w:ascii="Times New Roman" w:hAnsi="Times New Roman" w:cs="Times New Roman"/>
        </w:rPr>
        <w:t xml:space="preserve"> 279, 304</w:t>
      </w:r>
    </w:p>
    <w:p w:rsidR="00017C91" w:rsidRPr="00B476F1" w:rsidRDefault="00017C91" w:rsidP="009C78B8">
      <w:pPr>
        <w:pStyle w:val="FootnoteText"/>
        <w:jc w:val="both"/>
        <w:rPr>
          <w:rFonts w:ascii="Times New Roman" w:hAnsi="Times New Roman" w:cs="Times New Roman"/>
        </w:rPr>
      </w:pPr>
    </w:p>
  </w:footnote>
  <w:footnote w:id="133">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section 4. </w:t>
      </w:r>
    </w:p>
    <w:p w:rsidR="00017C91" w:rsidRPr="00B476F1" w:rsidRDefault="00017C91" w:rsidP="009C78B8">
      <w:pPr>
        <w:pStyle w:val="FootnoteText"/>
        <w:jc w:val="both"/>
        <w:rPr>
          <w:rFonts w:ascii="Times New Roman" w:hAnsi="Times New Roman" w:cs="Times New Roman"/>
        </w:rPr>
      </w:pPr>
    </w:p>
  </w:footnote>
  <w:footnote w:id="134">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w:t>
      </w:r>
      <w:r w:rsidRPr="00B476F1">
        <w:rPr>
          <w:rFonts w:ascii="Times New Roman" w:hAnsi="Times New Roman" w:cs="Times New Roman"/>
          <w:i/>
        </w:rPr>
        <w:t>Fenwick</w:t>
      </w:r>
      <w:r w:rsidR="009B31E7" w:rsidRPr="00B476F1">
        <w:rPr>
          <w:rFonts w:ascii="Times New Roman" w:hAnsi="Times New Roman" w:cs="Times New Roman"/>
        </w:rPr>
        <w:t xml:space="preserve"> (n14</w:t>
      </w:r>
      <w:r w:rsidRPr="00B476F1">
        <w:rPr>
          <w:rFonts w:ascii="Times New Roman" w:hAnsi="Times New Roman" w:cs="Times New Roman"/>
        </w:rPr>
        <w:t xml:space="preserve">). </w:t>
      </w:r>
    </w:p>
    <w:p w:rsidR="00017C91" w:rsidRPr="00B476F1" w:rsidRDefault="00017C91" w:rsidP="009C78B8">
      <w:pPr>
        <w:pStyle w:val="FootnoteText"/>
        <w:jc w:val="both"/>
        <w:rPr>
          <w:rFonts w:ascii="Times New Roman" w:hAnsi="Times New Roman" w:cs="Times New Roman"/>
        </w:rPr>
      </w:pPr>
    </w:p>
  </w:footnote>
  <w:footnote w:id="135">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w:t>
      </w:r>
      <w:r w:rsidRPr="00B476F1">
        <w:rPr>
          <w:rFonts w:ascii="Times New Roman" w:hAnsi="Times New Roman" w:cs="Times New Roman"/>
          <w:i/>
        </w:rPr>
        <w:t>Wintemute</w:t>
      </w:r>
      <w:r w:rsidR="00B476F1" w:rsidRPr="00B476F1">
        <w:rPr>
          <w:rFonts w:ascii="Times New Roman" w:hAnsi="Times New Roman" w:cs="Times New Roman"/>
        </w:rPr>
        <w:t xml:space="preserve"> (n29</w:t>
      </w:r>
      <w:r w:rsidRPr="00B476F1">
        <w:rPr>
          <w:rFonts w:ascii="Times New Roman" w:hAnsi="Times New Roman" w:cs="Times New Roman"/>
        </w:rPr>
        <w:t xml:space="preserve">). </w:t>
      </w:r>
    </w:p>
    <w:p w:rsidR="00017C91" w:rsidRPr="00B476F1" w:rsidRDefault="00017C91" w:rsidP="009C78B8">
      <w:pPr>
        <w:pStyle w:val="FootnoteText"/>
        <w:jc w:val="both"/>
        <w:rPr>
          <w:rFonts w:ascii="Times New Roman" w:hAnsi="Times New Roman" w:cs="Times New Roman"/>
        </w:rPr>
      </w:pPr>
    </w:p>
  </w:footnote>
  <w:footnote w:id="136">
    <w:p w:rsidR="00017C91" w:rsidRPr="00B476F1" w:rsidRDefault="00017C91" w:rsidP="009C78B8">
      <w:pPr>
        <w:spacing w:line="240" w:lineRule="auto"/>
        <w:jc w:val="both"/>
        <w:rPr>
          <w:rFonts w:ascii="Times New Roman" w:eastAsia="Times New Roman" w:hAnsi="Times New Roman" w:cs="Times New Roman"/>
          <w:sz w:val="20"/>
          <w:szCs w:val="20"/>
          <w:lang w:eastAsia="en-GB"/>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w:t>
      </w:r>
      <w:r w:rsidRPr="00B476F1">
        <w:rPr>
          <w:rFonts w:ascii="Times New Roman" w:hAnsi="Times New Roman" w:cs="Times New Roman"/>
          <w:i/>
          <w:sz w:val="20"/>
          <w:szCs w:val="20"/>
        </w:rPr>
        <w:t>Dzehtsiarou</w:t>
      </w:r>
      <w:r w:rsidR="002D049A" w:rsidRPr="00B476F1">
        <w:rPr>
          <w:rFonts w:ascii="Times New Roman" w:hAnsi="Times New Roman" w:cs="Times New Roman"/>
          <w:sz w:val="20"/>
          <w:szCs w:val="20"/>
        </w:rPr>
        <w:t xml:space="preserve"> (n18</w:t>
      </w:r>
      <w:r w:rsidRPr="00B476F1">
        <w:rPr>
          <w:rFonts w:ascii="Times New Roman" w:hAnsi="Times New Roman" w:cs="Times New Roman"/>
          <w:sz w:val="20"/>
          <w:szCs w:val="20"/>
        </w:rPr>
        <w:t>) 534.</w:t>
      </w:r>
    </w:p>
  </w:footnote>
  <w:footnote w:id="137">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Fenwick</w:t>
      </w:r>
      <w:r w:rsidR="009B31E7" w:rsidRPr="00B476F1">
        <w:rPr>
          <w:rFonts w:ascii="Times New Roman" w:hAnsi="Times New Roman" w:cs="Times New Roman"/>
        </w:rPr>
        <w:t xml:space="preserve"> (n14</w:t>
      </w:r>
      <w:r w:rsidRPr="00B476F1">
        <w:rPr>
          <w:rFonts w:ascii="Times New Roman" w:hAnsi="Times New Roman" w:cs="Times New Roman"/>
        </w:rPr>
        <w:t xml:space="preserve">) 248 who explains that the European Court cannot ‘rely on coercion’.  This is in contrast to domestic legislatures who have their decisions enforced immediately. See also </w:t>
      </w:r>
      <w:r w:rsidRPr="00B476F1">
        <w:rPr>
          <w:rFonts w:ascii="Times New Roman" w:hAnsi="Times New Roman" w:cs="Times New Roman"/>
          <w:i/>
        </w:rPr>
        <w:t>Donoho</w:t>
      </w:r>
      <w:r w:rsidR="0055188B" w:rsidRPr="00B476F1">
        <w:rPr>
          <w:rFonts w:ascii="Times New Roman" w:hAnsi="Times New Roman" w:cs="Times New Roman"/>
        </w:rPr>
        <w:t xml:space="preserve"> (n40</w:t>
      </w:r>
      <w:r w:rsidRPr="00B476F1">
        <w:rPr>
          <w:rFonts w:ascii="Times New Roman" w:hAnsi="Times New Roman" w:cs="Times New Roman"/>
        </w:rPr>
        <w:t xml:space="preserve">) 422 </w:t>
      </w:r>
    </w:p>
    <w:p w:rsidR="00017C91" w:rsidRPr="00B476F1" w:rsidRDefault="00017C91" w:rsidP="009C78B8">
      <w:pPr>
        <w:pStyle w:val="FootnoteText"/>
        <w:jc w:val="both"/>
        <w:rPr>
          <w:rFonts w:ascii="Times New Roman" w:hAnsi="Times New Roman" w:cs="Times New Roman"/>
        </w:rPr>
      </w:pPr>
    </w:p>
  </w:footnote>
  <w:footnote w:id="138">
    <w:p w:rsidR="00017C91" w:rsidRPr="00B476F1" w:rsidRDefault="00017C91" w:rsidP="009C78B8">
      <w:pPr>
        <w:spacing w:line="240" w:lineRule="auto"/>
        <w:jc w:val="both"/>
        <w:rPr>
          <w:rFonts w:ascii="Times New Roman" w:hAnsi="Times New Roman" w:cs="Times New Roman"/>
          <w:sz w:val="20"/>
          <w:szCs w:val="20"/>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For example </w:t>
      </w:r>
      <w:r w:rsidRPr="00B476F1">
        <w:rPr>
          <w:rFonts w:ascii="Times New Roman" w:hAnsi="Times New Roman" w:cs="Times New Roman"/>
          <w:i/>
          <w:sz w:val="20"/>
          <w:szCs w:val="20"/>
        </w:rPr>
        <w:t>Hirst v United Kingdom (No 2)</w:t>
      </w:r>
      <w:r w:rsidRPr="00B476F1">
        <w:rPr>
          <w:rFonts w:ascii="Times New Roman" w:hAnsi="Times New Roman" w:cs="Times New Roman"/>
          <w:sz w:val="20"/>
          <w:szCs w:val="20"/>
        </w:rPr>
        <w:t xml:space="preserve"> App No 74025/01 (ECtHR 6 October 2005) removing the blanket ban on prisoners’ voting rights has met with delayed enforcement in the UK. Donald A. and Leach, P. </w:t>
      </w:r>
      <w:r w:rsidRPr="00B476F1">
        <w:rPr>
          <w:rFonts w:ascii="Times New Roman" w:hAnsi="Times New Roman" w:cs="Times New Roman"/>
          <w:i/>
          <w:sz w:val="20"/>
          <w:szCs w:val="20"/>
        </w:rPr>
        <w:t>Parliaments and the European Court of Human Rights</w:t>
      </w:r>
      <w:r w:rsidRPr="00B476F1">
        <w:rPr>
          <w:rFonts w:ascii="Times New Roman" w:hAnsi="Times New Roman" w:cs="Times New Roman"/>
          <w:sz w:val="20"/>
          <w:szCs w:val="20"/>
        </w:rPr>
        <w:t xml:space="preserve"> (Oxford University Press, 2016) 245 who comment on this as an important example for those who assert the primary of Parliament. </w:t>
      </w:r>
    </w:p>
  </w:footnote>
  <w:footnote w:id="139">
    <w:p w:rsidR="00017C91" w:rsidRPr="00B476F1" w:rsidRDefault="00017C91" w:rsidP="009C78B8">
      <w:pPr>
        <w:spacing w:after="200" w:line="240" w:lineRule="auto"/>
        <w:jc w:val="both"/>
        <w:rPr>
          <w:rFonts w:ascii="Times New Roman" w:eastAsia="Times New Roman" w:hAnsi="Times New Roman" w:cs="Times New Roman"/>
          <w:sz w:val="20"/>
          <w:szCs w:val="20"/>
          <w:lang w:eastAsia="en-GB"/>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w:t>
      </w:r>
      <w:r w:rsidRPr="00B476F1">
        <w:rPr>
          <w:rFonts w:ascii="Times New Roman" w:eastAsia="Times New Roman" w:hAnsi="Times New Roman" w:cs="Times New Roman"/>
          <w:i/>
          <w:sz w:val="20"/>
          <w:szCs w:val="20"/>
          <w:lang w:eastAsia="en-GB"/>
        </w:rPr>
        <w:t>Bribosia</w:t>
      </w:r>
      <w:r w:rsidR="0055188B" w:rsidRPr="00B476F1">
        <w:rPr>
          <w:rFonts w:ascii="Times New Roman" w:eastAsia="Times New Roman" w:hAnsi="Times New Roman" w:cs="Times New Roman"/>
          <w:sz w:val="20"/>
          <w:szCs w:val="20"/>
          <w:lang w:eastAsia="en-GB"/>
        </w:rPr>
        <w:t xml:space="preserve"> (n29</w:t>
      </w:r>
      <w:r w:rsidRPr="00B476F1">
        <w:rPr>
          <w:rFonts w:ascii="Times New Roman" w:eastAsia="Times New Roman" w:hAnsi="Times New Roman" w:cs="Times New Roman"/>
          <w:sz w:val="20"/>
          <w:szCs w:val="20"/>
          <w:lang w:eastAsia="en-GB"/>
        </w:rPr>
        <w:t xml:space="preserve">) 19. </w:t>
      </w:r>
    </w:p>
  </w:footnote>
  <w:footnote w:id="140">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009B31E7" w:rsidRPr="00B476F1">
        <w:rPr>
          <w:rFonts w:ascii="Times New Roman" w:hAnsi="Times New Roman" w:cs="Times New Roman"/>
        </w:rPr>
        <w:t xml:space="preserve"> Dzhetsiarou (n18</w:t>
      </w:r>
      <w:r w:rsidRPr="00B476F1">
        <w:rPr>
          <w:rFonts w:ascii="Times New Roman" w:hAnsi="Times New Roman" w:cs="Times New Roman"/>
        </w:rPr>
        <w:t xml:space="preserve">) 544-545 referring to Dzehtsiarou,K. </w:t>
      </w:r>
      <w:r w:rsidRPr="00B476F1">
        <w:rPr>
          <w:rStyle w:val="Emphasis"/>
          <w:rFonts w:ascii="Times New Roman" w:hAnsi="Times New Roman" w:cs="Times New Roman"/>
        </w:rPr>
        <w:t>Interview with Judge of the ECtHR Corneliu Birsan</w:t>
      </w:r>
      <w:r w:rsidRPr="00B476F1">
        <w:rPr>
          <w:rFonts w:ascii="Times New Roman" w:hAnsi="Times New Roman" w:cs="Times New Roman"/>
        </w:rPr>
        <w:t xml:space="preserve"> (European Court of Human Rights, Strasbourg, 2010) and Dzehtsiarou, K. </w:t>
      </w:r>
      <w:r w:rsidRPr="00B476F1">
        <w:rPr>
          <w:rStyle w:val="Emphasis"/>
          <w:rFonts w:ascii="Times New Roman" w:hAnsi="Times New Roman" w:cs="Times New Roman"/>
        </w:rPr>
        <w:t>Interview with Judge of the ECtHR Renate Jaeger</w:t>
      </w:r>
      <w:r w:rsidRPr="00B476F1">
        <w:rPr>
          <w:rFonts w:ascii="Times New Roman" w:hAnsi="Times New Roman" w:cs="Times New Roman"/>
        </w:rPr>
        <w:t xml:space="preserve"> (European Court of Human Rights, Strasbourg, 2010).</w:t>
      </w:r>
    </w:p>
    <w:p w:rsidR="00017C91" w:rsidRPr="00B476F1" w:rsidRDefault="00017C91" w:rsidP="009C78B8">
      <w:pPr>
        <w:pStyle w:val="FootnoteText"/>
        <w:jc w:val="both"/>
        <w:rPr>
          <w:rFonts w:ascii="Times New Roman" w:hAnsi="Times New Roman" w:cs="Times New Roman"/>
        </w:rPr>
      </w:pPr>
    </w:p>
  </w:footnote>
  <w:footnote w:id="141">
    <w:p w:rsidR="00017C91" w:rsidRPr="00B476F1" w:rsidRDefault="00017C91" w:rsidP="009C78B8">
      <w:pPr>
        <w:pStyle w:val="FootnoteText"/>
        <w:jc w:val="both"/>
        <w:rPr>
          <w:rFonts w:ascii="Times New Roman" w:hAnsi="Times New Roman" w:cs="Times New Roman"/>
          <w:lang w:val="de-DE"/>
        </w:rPr>
      </w:pPr>
      <w:r w:rsidRPr="00B476F1">
        <w:rPr>
          <w:rStyle w:val="FootnoteReference"/>
          <w:rFonts w:ascii="Times New Roman" w:hAnsi="Times New Roman" w:cs="Times New Roman"/>
        </w:rPr>
        <w:footnoteRef/>
      </w:r>
      <w:r w:rsidRPr="00B476F1">
        <w:rPr>
          <w:rFonts w:ascii="Times New Roman" w:hAnsi="Times New Roman" w:cs="Times New Roman"/>
          <w:lang w:val="de-DE"/>
        </w:rPr>
        <w:t xml:space="preserve"> </w:t>
      </w:r>
      <w:r w:rsidRPr="00B476F1">
        <w:rPr>
          <w:rFonts w:ascii="Times New Roman" w:hAnsi="Times New Roman" w:cs="Times New Roman"/>
          <w:i/>
          <w:lang w:val="de-DE"/>
        </w:rPr>
        <w:t>Oliari v Italy</w:t>
      </w:r>
      <w:r w:rsidRPr="00B476F1">
        <w:rPr>
          <w:rFonts w:ascii="Times New Roman" w:hAnsi="Times New Roman" w:cs="Times New Roman"/>
          <w:lang w:val="de-DE"/>
        </w:rPr>
        <w:t xml:space="preserve"> (n3). </w:t>
      </w:r>
    </w:p>
    <w:p w:rsidR="00017C91" w:rsidRPr="00B476F1" w:rsidRDefault="00017C91" w:rsidP="009C78B8">
      <w:pPr>
        <w:pStyle w:val="FootnoteText"/>
        <w:jc w:val="both"/>
        <w:rPr>
          <w:rFonts w:ascii="Times New Roman" w:hAnsi="Times New Roman" w:cs="Times New Roman"/>
          <w:lang w:val="de-DE"/>
        </w:rPr>
      </w:pPr>
    </w:p>
  </w:footnote>
  <w:footnote w:id="142">
    <w:p w:rsidR="00017C91" w:rsidRPr="00B476F1" w:rsidRDefault="00017C91" w:rsidP="009C78B8">
      <w:pPr>
        <w:pStyle w:val="FootnoteText"/>
        <w:jc w:val="both"/>
        <w:rPr>
          <w:rFonts w:ascii="Times New Roman" w:hAnsi="Times New Roman" w:cs="Times New Roman"/>
          <w:i/>
          <w:lang w:val="de-DE"/>
        </w:rPr>
      </w:pPr>
      <w:r w:rsidRPr="00B476F1">
        <w:rPr>
          <w:rStyle w:val="FootnoteReference"/>
          <w:rFonts w:ascii="Times New Roman" w:hAnsi="Times New Roman" w:cs="Times New Roman"/>
        </w:rPr>
        <w:footnoteRef/>
      </w:r>
      <w:r w:rsidRPr="00B476F1">
        <w:rPr>
          <w:rFonts w:ascii="Times New Roman" w:hAnsi="Times New Roman" w:cs="Times New Roman"/>
          <w:lang w:val="de-DE"/>
        </w:rPr>
        <w:t xml:space="preserve"> </w:t>
      </w:r>
      <w:r w:rsidRPr="00B476F1">
        <w:rPr>
          <w:rFonts w:ascii="Times New Roman" w:hAnsi="Times New Roman" w:cs="Times New Roman"/>
          <w:i/>
          <w:lang w:val="de-DE"/>
        </w:rPr>
        <w:t xml:space="preserve">Schalk and Kopf v Austria </w:t>
      </w:r>
      <w:r w:rsidRPr="00B476F1">
        <w:rPr>
          <w:rFonts w:ascii="Times New Roman" w:hAnsi="Times New Roman" w:cs="Times New Roman"/>
          <w:lang w:val="de-DE"/>
        </w:rPr>
        <w:t xml:space="preserve">(n2). </w:t>
      </w:r>
    </w:p>
    <w:p w:rsidR="00017C91" w:rsidRPr="00B476F1" w:rsidRDefault="00017C91" w:rsidP="009C78B8">
      <w:pPr>
        <w:pStyle w:val="FootnoteText"/>
        <w:jc w:val="both"/>
        <w:rPr>
          <w:rFonts w:ascii="Times New Roman" w:hAnsi="Times New Roman" w:cs="Times New Roman"/>
          <w:i/>
          <w:lang w:val="de-DE"/>
        </w:rPr>
      </w:pPr>
    </w:p>
  </w:footnote>
  <w:footnote w:id="143">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 xml:space="preserve">Ibid. </w:t>
      </w:r>
      <w:r w:rsidRPr="00B476F1">
        <w:rPr>
          <w:rFonts w:ascii="Times New Roman" w:hAnsi="Times New Roman" w:cs="Times New Roman"/>
        </w:rPr>
        <w:t xml:space="preserve"> para 57.</w:t>
      </w:r>
    </w:p>
    <w:p w:rsidR="00017C91" w:rsidRPr="00B476F1" w:rsidRDefault="00017C91" w:rsidP="009C78B8">
      <w:pPr>
        <w:pStyle w:val="FootnoteText"/>
        <w:jc w:val="both"/>
        <w:rPr>
          <w:rFonts w:ascii="Times New Roman" w:hAnsi="Times New Roman" w:cs="Times New Roman"/>
        </w:rPr>
      </w:pPr>
    </w:p>
  </w:footnote>
  <w:footnote w:id="144">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w:t>
      </w:r>
      <w:r w:rsidRPr="00B476F1">
        <w:rPr>
          <w:rFonts w:ascii="Times New Roman" w:hAnsi="Times New Roman" w:cs="Times New Roman"/>
          <w:i/>
        </w:rPr>
        <w:t>Fenwick</w:t>
      </w:r>
      <w:r w:rsidR="009B31E7" w:rsidRPr="00B476F1">
        <w:rPr>
          <w:rFonts w:ascii="Times New Roman" w:hAnsi="Times New Roman" w:cs="Times New Roman"/>
        </w:rPr>
        <w:t xml:space="preserve"> (n14</w:t>
      </w:r>
      <w:r w:rsidRPr="00B476F1">
        <w:rPr>
          <w:rFonts w:ascii="Times New Roman" w:hAnsi="Times New Roman" w:cs="Times New Roman"/>
        </w:rPr>
        <w:t>) for discussion.</w:t>
      </w:r>
    </w:p>
    <w:p w:rsidR="00017C91" w:rsidRPr="00B476F1" w:rsidRDefault="00017C91" w:rsidP="009C78B8">
      <w:pPr>
        <w:pStyle w:val="FootnoteText"/>
        <w:jc w:val="both"/>
        <w:rPr>
          <w:rFonts w:ascii="Times New Roman" w:hAnsi="Times New Roman" w:cs="Times New Roman"/>
        </w:rPr>
      </w:pPr>
    </w:p>
  </w:footnote>
  <w:footnote w:id="145">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Schalk and Kopf v Austria</w:t>
      </w:r>
      <w:r w:rsidRPr="00B476F1">
        <w:rPr>
          <w:rFonts w:ascii="Times New Roman" w:hAnsi="Times New Roman" w:cs="Times New Roman"/>
        </w:rPr>
        <w:t xml:space="preserve"> (n2) para 105 and </w:t>
      </w:r>
      <w:r w:rsidRPr="00B476F1">
        <w:rPr>
          <w:rFonts w:ascii="Times New Roman" w:hAnsi="Times New Roman" w:cs="Times New Roman"/>
          <w:i/>
        </w:rPr>
        <w:t xml:space="preserve">Oliari v Italy </w:t>
      </w:r>
      <w:r w:rsidRPr="00B476F1">
        <w:rPr>
          <w:rFonts w:ascii="Times New Roman" w:hAnsi="Times New Roman" w:cs="Times New Roman"/>
        </w:rPr>
        <w:t>(n3) at para 178</w:t>
      </w:r>
    </w:p>
    <w:p w:rsidR="00017C91" w:rsidRPr="00B476F1" w:rsidRDefault="00017C91" w:rsidP="009C78B8">
      <w:pPr>
        <w:pStyle w:val="FootnoteText"/>
        <w:jc w:val="both"/>
        <w:rPr>
          <w:rFonts w:ascii="Times New Roman" w:hAnsi="Times New Roman" w:cs="Times New Roman"/>
        </w:rPr>
      </w:pPr>
    </w:p>
  </w:footnote>
  <w:footnote w:id="146">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009B31E7" w:rsidRPr="00B476F1">
        <w:rPr>
          <w:rFonts w:ascii="Times New Roman" w:hAnsi="Times New Roman" w:cs="Times New Roman"/>
        </w:rPr>
        <w:t xml:space="preserve"> See Section 1. </w:t>
      </w:r>
    </w:p>
    <w:p w:rsidR="009B31E7" w:rsidRPr="00B476F1" w:rsidRDefault="009B31E7" w:rsidP="009C78B8">
      <w:pPr>
        <w:pStyle w:val="FootnoteText"/>
        <w:jc w:val="both"/>
        <w:rPr>
          <w:rFonts w:ascii="Times New Roman" w:hAnsi="Times New Roman" w:cs="Times New Roman"/>
        </w:rPr>
      </w:pPr>
    </w:p>
  </w:footnote>
  <w:footnote w:id="147">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w:t>
      </w:r>
      <w:r w:rsidRPr="00B476F1">
        <w:rPr>
          <w:rFonts w:ascii="Times New Roman" w:hAnsi="Times New Roman" w:cs="Times New Roman"/>
          <w:i/>
        </w:rPr>
        <w:t>Fenwick</w:t>
      </w:r>
      <w:r w:rsidR="009B31E7" w:rsidRPr="00B476F1">
        <w:rPr>
          <w:rFonts w:ascii="Times New Roman" w:hAnsi="Times New Roman" w:cs="Times New Roman"/>
        </w:rPr>
        <w:t xml:space="preserve"> (n14</w:t>
      </w:r>
      <w:r w:rsidRPr="00B476F1">
        <w:rPr>
          <w:rFonts w:ascii="Times New Roman" w:hAnsi="Times New Roman" w:cs="Times New Roman"/>
        </w:rPr>
        <w:t xml:space="preserve">), 270 </w:t>
      </w:r>
      <w:r w:rsidRPr="00B476F1">
        <w:rPr>
          <w:rFonts w:ascii="Times New Roman" w:hAnsi="Times New Roman" w:cs="Times New Roman"/>
          <w:i/>
        </w:rPr>
        <w:t>Dzehtsiarou</w:t>
      </w:r>
      <w:r w:rsidR="009B31E7" w:rsidRPr="00B476F1">
        <w:rPr>
          <w:rFonts w:ascii="Times New Roman" w:hAnsi="Times New Roman" w:cs="Times New Roman"/>
        </w:rPr>
        <w:t xml:space="preserve"> (n18</w:t>
      </w:r>
      <w:r w:rsidRPr="00B476F1">
        <w:rPr>
          <w:rFonts w:ascii="Times New Roman" w:hAnsi="Times New Roman" w:cs="Times New Roman"/>
        </w:rPr>
        <w:t xml:space="preserve">), </w:t>
      </w:r>
      <w:r w:rsidRPr="00B476F1">
        <w:rPr>
          <w:rFonts w:ascii="Times New Roman" w:eastAsia="Times New Roman" w:hAnsi="Times New Roman" w:cs="Times New Roman"/>
          <w:i/>
          <w:lang w:eastAsia="en-GB"/>
        </w:rPr>
        <w:t>Hodson</w:t>
      </w:r>
      <w:r w:rsidR="00F9631F" w:rsidRPr="00B476F1">
        <w:rPr>
          <w:rFonts w:ascii="Times New Roman" w:eastAsia="Times New Roman" w:hAnsi="Times New Roman" w:cs="Times New Roman"/>
          <w:lang w:eastAsia="en-GB"/>
        </w:rPr>
        <w:t xml:space="preserve"> (n18</w:t>
      </w:r>
      <w:r w:rsidRPr="00B476F1">
        <w:rPr>
          <w:rFonts w:ascii="Times New Roman" w:eastAsia="Times New Roman" w:hAnsi="Times New Roman" w:cs="Times New Roman"/>
          <w:lang w:eastAsia="en-GB"/>
        </w:rPr>
        <w:t xml:space="preserve">), </w:t>
      </w:r>
      <w:r w:rsidRPr="00B476F1">
        <w:rPr>
          <w:rFonts w:ascii="Times New Roman" w:eastAsia="Times New Roman" w:hAnsi="Times New Roman" w:cs="Times New Roman"/>
          <w:i/>
          <w:lang w:eastAsia="en-GB"/>
        </w:rPr>
        <w:t>Sweeney</w:t>
      </w:r>
      <w:r w:rsidRPr="00B476F1">
        <w:rPr>
          <w:rFonts w:ascii="Times New Roman" w:eastAsia="Times New Roman" w:hAnsi="Times New Roman" w:cs="Times New Roman"/>
          <w:lang w:eastAsia="en-GB"/>
        </w:rPr>
        <w:t xml:space="preserve"> (n17), </w:t>
      </w:r>
      <w:r w:rsidRPr="00B476F1">
        <w:rPr>
          <w:rFonts w:ascii="Times New Roman" w:eastAsia="Times New Roman" w:hAnsi="Times New Roman" w:cs="Times New Roman"/>
          <w:i/>
          <w:lang w:eastAsia="en-GB"/>
        </w:rPr>
        <w:t>Lester</w:t>
      </w:r>
      <w:r w:rsidR="0055188B" w:rsidRPr="00B476F1">
        <w:rPr>
          <w:rFonts w:ascii="Times New Roman" w:eastAsia="Times New Roman" w:hAnsi="Times New Roman" w:cs="Times New Roman"/>
          <w:lang w:eastAsia="en-GB"/>
        </w:rPr>
        <w:t xml:space="preserve"> (n18</w:t>
      </w:r>
      <w:r w:rsidRPr="00B476F1">
        <w:rPr>
          <w:rFonts w:ascii="Times New Roman" w:eastAsia="Times New Roman" w:hAnsi="Times New Roman" w:cs="Times New Roman"/>
          <w:lang w:eastAsia="en-GB"/>
        </w:rPr>
        <w:t xml:space="preserve">) and </w:t>
      </w:r>
      <w:r w:rsidRPr="00B476F1">
        <w:rPr>
          <w:rFonts w:ascii="Times New Roman" w:eastAsia="Times New Roman" w:hAnsi="Times New Roman" w:cs="Times New Roman"/>
          <w:i/>
          <w:lang w:eastAsia="en-GB"/>
        </w:rPr>
        <w:t>Benvenisti</w:t>
      </w:r>
      <w:r w:rsidR="009B31E7" w:rsidRPr="00B476F1">
        <w:rPr>
          <w:rFonts w:ascii="Times New Roman" w:eastAsia="Times New Roman" w:hAnsi="Times New Roman" w:cs="Times New Roman"/>
          <w:lang w:eastAsia="en-GB"/>
        </w:rPr>
        <w:t xml:space="preserve"> (n18</w:t>
      </w:r>
      <w:r w:rsidRPr="00B476F1">
        <w:rPr>
          <w:rFonts w:ascii="Times New Roman" w:eastAsia="Times New Roman" w:hAnsi="Times New Roman" w:cs="Times New Roman"/>
          <w:lang w:eastAsia="en-GB"/>
        </w:rPr>
        <w:t>).</w:t>
      </w:r>
      <w:r w:rsidRPr="00B476F1">
        <w:rPr>
          <w:rFonts w:ascii="Times New Roman" w:eastAsia="Times New Roman" w:hAnsi="Times New Roman" w:cs="Times New Roman"/>
          <w:b/>
          <w:lang w:eastAsia="en-GB"/>
        </w:rPr>
        <w:t xml:space="preserve">  </w:t>
      </w:r>
    </w:p>
    <w:p w:rsidR="00017C91" w:rsidRPr="00B476F1" w:rsidRDefault="00017C91" w:rsidP="009C78B8">
      <w:pPr>
        <w:pStyle w:val="FootnoteText"/>
        <w:jc w:val="both"/>
        <w:rPr>
          <w:rFonts w:ascii="Times New Roman" w:hAnsi="Times New Roman" w:cs="Times New Roman"/>
        </w:rPr>
      </w:pPr>
    </w:p>
  </w:footnote>
  <w:footnote w:id="148">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w:t>
      </w:r>
      <w:r w:rsidRPr="00B476F1">
        <w:rPr>
          <w:rFonts w:ascii="Times New Roman" w:hAnsi="Times New Roman" w:cs="Times New Roman"/>
          <w:i/>
        </w:rPr>
        <w:t>Lewis</w:t>
      </w:r>
      <w:r w:rsidR="009B31E7" w:rsidRPr="00B476F1">
        <w:rPr>
          <w:rFonts w:ascii="Times New Roman" w:hAnsi="Times New Roman" w:cs="Times New Roman"/>
        </w:rPr>
        <w:t xml:space="preserve"> (n19</w:t>
      </w:r>
      <w:r w:rsidRPr="00B476F1">
        <w:rPr>
          <w:rFonts w:ascii="Times New Roman" w:hAnsi="Times New Roman" w:cs="Times New Roman"/>
        </w:rPr>
        <w:t>) 414.</w:t>
      </w:r>
    </w:p>
    <w:p w:rsidR="00017C91" w:rsidRPr="00B476F1" w:rsidRDefault="00017C91" w:rsidP="009C78B8">
      <w:pPr>
        <w:pStyle w:val="FootnoteText"/>
        <w:jc w:val="both"/>
        <w:rPr>
          <w:rFonts w:ascii="Times New Roman" w:hAnsi="Times New Roman" w:cs="Times New Roman"/>
        </w:rPr>
      </w:pPr>
    </w:p>
  </w:footnote>
  <w:footnote w:id="149">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for discussion </w:t>
      </w:r>
      <w:r w:rsidRPr="00B476F1">
        <w:rPr>
          <w:rFonts w:ascii="Times New Roman" w:hAnsi="Times New Roman" w:cs="Times New Roman"/>
          <w:i/>
        </w:rPr>
        <w:t>Hutchinson</w:t>
      </w:r>
      <w:r w:rsidRPr="00B476F1">
        <w:rPr>
          <w:rFonts w:ascii="Times New Roman" w:hAnsi="Times New Roman" w:cs="Times New Roman"/>
        </w:rPr>
        <w:t xml:space="preserve"> (n</w:t>
      </w:r>
      <w:r w:rsidR="009B31E7" w:rsidRPr="00B476F1">
        <w:rPr>
          <w:rFonts w:ascii="Times New Roman" w:hAnsi="Times New Roman" w:cs="Times New Roman"/>
        </w:rPr>
        <w:t>20</w:t>
      </w:r>
      <w:r w:rsidRPr="00B476F1">
        <w:rPr>
          <w:rFonts w:ascii="Times New Roman" w:hAnsi="Times New Roman" w:cs="Times New Roman"/>
        </w:rPr>
        <w:t xml:space="preserve">) and </w:t>
      </w:r>
      <w:r w:rsidRPr="00B476F1">
        <w:rPr>
          <w:rFonts w:ascii="Times New Roman" w:hAnsi="Times New Roman" w:cs="Times New Roman"/>
          <w:i/>
        </w:rPr>
        <w:t>Brauch</w:t>
      </w:r>
      <w:r w:rsidRPr="00B476F1">
        <w:rPr>
          <w:rFonts w:ascii="Times New Roman" w:hAnsi="Times New Roman" w:cs="Times New Roman"/>
        </w:rPr>
        <w:t xml:space="preserve"> (n</w:t>
      </w:r>
      <w:r w:rsidR="0055188B" w:rsidRPr="00B476F1">
        <w:rPr>
          <w:rFonts w:ascii="Times New Roman" w:hAnsi="Times New Roman" w:cs="Times New Roman"/>
        </w:rPr>
        <w:t>20</w:t>
      </w:r>
      <w:r w:rsidRPr="00B476F1">
        <w:rPr>
          <w:rFonts w:ascii="Times New Roman" w:hAnsi="Times New Roman" w:cs="Times New Roman"/>
        </w:rPr>
        <w:t>) 137.</w:t>
      </w:r>
    </w:p>
    <w:p w:rsidR="00017C91" w:rsidRPr="00B476F1" w:rsidRDefault="00017C91" w:rsidP="009C78B8">
      <w:pPr>
        <w:pStyle w:val="FootnoteText"/>
        <w:jc w:val="both"/>
        <w:rPr>
          <w:rFonts w:ascii="Times New Roman" w:hAnsi="Times New Roman" w:cs="Times New Roman"/>
        </w:rPr>
      </w:pPr>
    </w:p>
  </w:footnote>
  <w:footnote w:id="150">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Benvenisti</w:t>
      </w:r>
      <w:r w:rsidR="009B31E7" w:rsidRPr="00B476F1">
        <w:rPr>
          <w:rFonts w:ascii="Times New Roman" w:hAnsi="Times New Roman" w:cs="Times New Roman"/>
        </w:rPr>
        <w:t xml:space="preserve"> (n18</w:t>
      </w:r>
      <w:r w:rsidRPr="00B476F1">
        <w:rPr>
          <w:rFonts w:ascii="Times New Roman" w:hAnsi="Times New Roman" w:cs="Times New Roman"/>
        </w:rPr>
        <w:t xml:space="preserve">) 846. </w:t>
      </w:r>
    </w:p>
    <w:p w:rsidR="00017C91" w:rsidRPr="00B476F1" w:rsidRDefault="00017C91" w:rsidP="009C78B8">
      <w:pPr>
        <w:pStyle w:val="FootnoteText"/>
        <w:jc w:val="both"/>
        <w:rPr>
          <w:rFonts w:ascii="Times New Roman" w:hAnsi="Times New Roman" w:cs="Times New Roman"/>
        </w:rPr>
      </w:pPr>
    </w:p>
  </w:footnote>
  <w:footnote w:id="151">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McGoldrick (n</w:t>
      </w:r>
      <w:r w:rsidR="0055188B" w:rsidRPr="00B476F1">
        <w:rPr>
          <w:rFonts w:ascii="Times New Roman" w:hAnsi="Times New Roman" w:cs="Times New Roman"/>
        </w:rPr>
        <w:t>41</w:t>
      </w:r>
      <w:r w:rsidRPr="00B476F1">
        <w:rPr>
          <w:rFonts w:ascii="Times New Roman" w:hAnsi="Times New Roman" w:cs="Times New Roman"/>
        </w:rPr>
        <w:t>) 32.</w:t>
      </w:r>
    </w:p>
    <w:p w:rsidR="00017C91" w:rsidRPr="00B476F1" w:rsidRDefault="00017C91" w:rsidP="009C78B8">
      <w:pPr>
        <w:pStyle w:val="FootnoteText"/>
        <w:jc w:val="both"/>
        <w:rPr>
          <w:rFonts w:ascii="Times New Roman" w:hAnsi="Times New Roman" w:cs="Times New Roman"/>
        </w:rPr>
      </w:pPr>
    </w:p>
  </w:footnote>
  <w:footnote w:id="152">
    <w:p w:rsidR="00017C91" w:rsidRPr="00B476F1" w:rsidRDefault="00017C91" w:rsidP="009C78B8">
      <w:pPr>
        <w:spacing w:after="0" w:line="240" w:lineRule="auto"/>
        <w:jc w:val="both"/>
        <w:rPr>
          <w:rFonts w:ascii="Times New Roman" w:hAnsi="Times New Roman" w:cs="Times New Roman"/>
          <w:sz w:val="20"/>
          <w:szCs w:val="20"/>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w:t>
      </w:r>
      <w:r w:rsidRPr="00B476F1">
        <w:rPr>
          <w:rFonts w:ascii="Times New Roman" w:eastAsia="Times New Roman" w:hAnsi="Times New Roman" w:cs="Times New Roman"/>
          <w:i/>
          <w:sz w:val="20"/>
          <w:szCs w:val="20"/>
          <w:lang w:eastAsia="en-GB"/>
        </w:rPr>
        <w:t>Hutchinson</w:t>
      </w:r>
      <w:r w:rsidRPr="00B476F1">
        <w:rPr>
          <w:rFonts w:ascii="Times New Roman" w:eastAsia="Times New Roman" w:hAnsi="Times New Roman" w:cs="Times New Roman"/>
          <w:sz w:val="20"/>
          <w:szCs w:val="20"/>
          <w:lang w:eastAsia="en-GB"/>
        </w:rPr>
        <w:t xml:space="preserve"> (n</w:t>
      </w:r>
      <w:r w:rsidR="009B31E7" w:rsidRPr="00B476F1">
        <w:rPr>
          <w:rFonts w:ascii="Times New Roman" w:eastAsia="Times New Roman" w:hAnsi="Times New Roman" w:cs="Times New Roman"/>
          <w:sz w:val="20"/>
          <w:szCs w:val="20"/>
          <w:lang w:eastAsia="en-GB"/>
        </w:rPr>
        <w:t>20</w:t>
      </w:r>
      <w:r w:rsidRPr="00B476F1">
        <w:rPr>
          <w:rFonts w:ascii="Times New Roman" w:eastAsia="Times New Roman" w:hAnsi="Times New Roman" w:cs="Times New Roman"/>
          <w:sz w:val="20"/>
          <w:szCs w:val="20"/>
          <w:lang w:eastAsia="en-GB"/>
        </w:rPr>
        <w:t xml:space="preserve">). </w:t>
      </w:r>
    </w:p>
    <w:p w:rsidR="00017C91" w:rsidRPr="00B476F1" w:rsidRDefault="00017C91" w:rsidP="009C78B8">
      <w:pPr>
        <w:pStyle w:val="FootnoteText"/>
        <w:jc w:val="both"/>
        <w:rPr>
          <w:rFonts w:ascii="Times New Roman" w:hAnsi="Times New Roman" w:cs="Times New Roman"/>
        </w:rPr>
      </w:pPr>
    </w:p>
  </w:footnote>
  <w:footnote w:id="153">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Bribosia</w:t>
      </w:r>
      <w:r w:rsidR="0055188B" w:rsidRPr="00B476F1">
        <w:rPr>
          <w:rFonts w:ascii="Times New Roman" w:hAnsi="Times New Roman" w:cs="Times New Roman"/>
        </w:rPr>
        <w:t xml:space="preserve"> (n29</w:t>
      </w:r>
      <w:r w:rsidRPr="00B476F1">
        <w:rPr>
          <w:rFonts w:ascii="Times New Roman" w:hAnsi="Times New Roman" w:cs="Times New Roman"/>
        </w:rPr>
        <w:t xml:space="preserve">). </w:t>
      </w:r>
    </w:p>
    <w:p w:rsidR="00017C91" w:rsidRPr="00B476F1" w:rsidRDefault="00017C91" w:rsidP="009C78B8">
      <w:pPr>
        <w:pStyle w:val="FootnoteText"/>
        <w:jc w:val="both"/>
        <w:rPr>
          <w:rFonts w:ascii="Times New Roman" w:hAnsi="Times New Roman" w:cs="Times New Roman"/>
        </w:rPr>
      </w:pPr>
    </w:p>
  </w:footnote>
  <w:footnote w:id="154">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Popplewell-Scezak</w:t>
      </w:r>
      <w:r w:rsidR="002D049A" w:rsidRPr="00B476F1">
        <w:rPr>
          <w:rFonts w:ascii="Times New Roman" w:hAnsi="Times New Roman" w:cs="Times New Roman"/>
        </w:rPr>
        <w:t xml:space="preserve"> (n13</w:t>
      </w:r>
      <w:r w:rsidRPr="00B476F1">
        <w:rPr>
          <w:rFonts w:ascii="Times New Roman" w:hAnsi="Times New Roman" w:cs="Times New Roman"/>
        </w:rPr>
        <w:t>).</w:t>
      </w:r>
    </w:p>
    <w:p w:rsidR="00017C91" w:rsidRPr="00B476F1" w:rsidRDefault="00017C91" w:rsidP="009C78B8">
      <w:pPr>
        <w:pStyle w:val="FootnoteText"/>
        <w:jc w:val="both"/>
        <w:rPr>
          <w:rFonts w:ascii="Times New Roman" w:hAnsi="Times New Roman" w:cs="Times New Roman"/>
        </w:rPr>
      </w:pPr>
    </w:p>
  </w:footnote>
  <w:footnote w:id="155">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Dzhetsiarou</w:t>
      </w:r>
      <w:r w:rsidRPr="00B476F1">
        <w:rPr>
          <w:rFonts w:ascii="Times New Roman" w:hAnsi="Times New Roman" w:cs="Times New Roman"/>
        </w:rPr>
        <w:t xml:space="preserve"> (n13) 544.</w:t>
      </w:r>
    </w:p>
    <w:p w:rsidR="00017C91" w:rsidRPr="00B476F1" w:rsidRDefault="00017C91" w:rsidP="009C78B8">
      <w:pPr>
        <w:pStyle w:val="FootnoteText"/>
        <w:jc w:val="both"/>
        <w:rPr>
          <w:rFonts w:ascii="Times New Roman" w:hAnsi="Times New Roman" w:cs="Times New Roman"/>
        </w:rPr>
      </w:pPr>
    </w:p>
  </w:footnote>
  <w:footnote w:id="156">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section 3. </w:t>
      </w:r>
    </w:p>
    <w:p w:rsidR="00017C91" w:rsidRPr="00B476F1" w:rsidRDefault="00017C91" w:rsidP="009C78B8">
      <w:pPr>
        <w:pStyle w:val="FootnoteText"/>
        <w:jc w:val="both"/>
        <w:rPr>
          <w:rFonts w:ascii="Times New Roman" w:hAnsi="Times New Roman" w:cs="Times New Roman"/>
        </w:rPr>
      </w:pPr>
    </w:p>
  </w:footnote>
  <w:footnote w:id="157">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for example </w:t>
      </w:r>
      <w:r w:rsidRPr="00B476F1">
        <w:rPr>
          <w:rFonts w:ascii="Times New Roman" w:hAnsi="Times New Roman" w:cs="Times New Roman"/>
          <w:i/>
        </w:rPr>
        <w:t>Brauch</w:t>
      </w:r>
      <w:r w:rsidRPr="00B476F1">
        <w:rPr>
          <w:rFonts w:ascii="Times New Roman" w:hAnsi="Times New Roman" w:cs="Times New Roman"/>
        </w:rPr>
        <w:t xml:space="preserve"> (n</w:t>
      </w:r>
      <w:r w:rsidR="0055188B" w:rsidRPr="00B476F1">
        <w:rPr>
          <w:rFonts w:ascii="Times New Roman" w:hAnsi="Times New Roman" w:cs="Times New Roman"/>
        </w:rPr>
        <w:t>20</w:t>
      </w:r>
      <w:r w:rsidRPr="00B476F1">
        <w:rPr>
          <w:rFonts w:ascii="Times New Roman" w:hAnsi="Times New Roman" w:cs="Times New Roman"/>
        </w:rPr>
        <w:t xml:space="preserve">). </w:t>
      </w:r>
    </w:p>
    <w:p w:rsidR="00017C91" w:rsidRPr="00B476F1" w:rsidRDefault="00017C91" w:rsidP="009C78B8">
      <w:pPr>
        <w:pStyle w:val="FootnoteText"/>
        <w:jc w:val="both"/>
        <w:rPr>
          <w:rFonts w:ascii="Times New Roman" w:hAnsi="Times New Roman" w:cs="Times New Roman"/>
        </w:rPr>
      </w:pPr>
    </w:p>
  </w:footnote>
  <w:footnote w:id="158">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n23. </w:t>
      </w:r>
    </w:p>
    <w:p w:rsidR="00017C91" w:rsidRPr="00B476F1" w:rsidRDefault="00017C91" w:rsidP="009C78B8">
      <w:pPr>
        <w:pStyle w:val="FootnoteText"/>
        <w:jc w:val="both"/>
        <w:rPr>
          <w:rFonts w:ascii="Times New Roman" w:hAnsi="Times New Roman" w:cs="Times New Roman"/>
        </w:rPr>
      </w:pPr>
      <w:r w:rsidRPr="00B476F1">
        <w:rPr>
          <w:rFonts w:ascii="Times New Roman" w:hAnsi="Times New Roman" w:cs="Times New Roman"/>
        </w:rPr>
        <w:t xml:space="preserve"> </w:t>
      </w:r>
    </w:p>
  </w:footnote>
  <w:footnote w:id="159">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section 4. </w:t>
      </w:r>
    </w:p>
    <w:p w:rsidR="00017C91" w:rsidRPr="00B476F1" w:rsidRDefault="00017C91" w:rsidP="009C78B8">
      <w:pPr>
        <w:pStyle w:val="FootnoteText"/>
        <w:jc w:val="both"/>
        <w:rPr>
          <w:rFonts w:ascii="Times New Roman" w:hAnsi="Times New Roman" w:cs="Times New Roman"/>
        </w:rPr>
      </w:pPr>
    </w:p>
  </w:footnote>
  <w:footnote w:id="160">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w:t>
      </w:r>
      <w:r w:rsidRPr="00B476F1">
        <w:rPr>
          <w:rFonts w:ascii="Times New Roman" w:hAnsi="Times New Roman" w:cs="Times New Roman"/>
          <w:i/>
        </w:rPr>
        <w:t>Fenwick</w:t>
      </w:r>
      <w:r w:rsidR="009B31E7" w:rsidRPr="00B476F1">
        <w:rPr>
          <w:rFonts w:ascii="Times New Roman" w:hAnsi="Times New Roman" w:cs="Times New Roman"/>
        </w:rPr>
        <w:t xml:space="preserve"> (n14</w:t>
      </w:r>
      <w:r w:rsidRPr="00B476F1">
        <w:rPr>
          <w:rFonts w:ascii="Times New Roman" w:hAnsi="Times New Roman" w:cs="Times New Roman"/>
        </w:rPr>
        <w:t xml:space="preserve">). </w:t>
      </w:r>
    </w:p>
    <w:p w:rsidR="00017C91" w:rsidRPr="00B476F1" w:rsidRDefault="00017C91" w:rsidP="009C78B8">
      <w:pPr>
        <w:pStyle w:val="FootnoteText"/>
        <w:jc w:val="both"/>
        <w:rPr>
          <w:rFonts w:ascii="Times New Roman" w:hAnsi="Times New Roman" w:cs="Times New Roman"/>
        </w:rPr>
      </w:pPr>
    </w:p>
  </w:footnote>
  <w:footnote w:id="161">
    <w:p w:rsidR="00017C91" w:rsidRPr="00B476F1" w:rsidRDefault="00017C91" w:rsidP="009C78B8">
      <w:pPr>
        <w:spacing w:line="240" w:lineRule="auto"/>
        <w:jc w:val="both"/>
        <w:rPr>
          <w:rFonts w:ascii="Times New Roman" w:eastAsia="Times New Roman" w:hAnsi="Times New Roman" w:cs="Times New Roman"/>
          <w:sz w:val="20"/>
          <w:szCs w:val="20"/>
          <w:lang w:eastAsia="en-GB"/>
        </w:rPr>
      </w:pPr>
      <w:r w:rsidRPr="00B476F1">
        <w:rPr>
          <w:rStyle w:val="FootnoteReference"/>
          <w:rFonts w:ascii="Times New Roman" w:hAnsi="Times New Roman" w:cs="Times New Roman"/>
          <w:sz w:val="20"/>
          <w:szCs w:val="20"/>
        </w:rPr>
        <w:footnoteRef/>
      </w:r>
      <w:r w:rsidRPr="00B476F1">
        <w:rPr>
          <w:rFonts w:ascii="Times New Roman" w:hAnsi="Times New Roman" w:cs="Times New Roman"/>
          <w:sz w:val="20"/>
          <w:szCs w:val="20"/>
        </w:rPr>
        <w:t xml:space="preserve"> </w:t>
      </w:r>
      <w:r w:rsidRPr="00B476F1">
        <w:rPr>
          <w:rFonts w:ascii="Times New Roman" w:hAnsi="Times New Roman" w:cs="Times New Roman"/>
          <w:i/>
          <w:sz w:val="20"/>
          <w:szCs w:val="20"/>
        </w:rPr>
        <w:t>Dzehtsiarou</w:t>
      </w:r>
      <w:r w:rsidR="009B31E7" w:rsidRPr="00B476F1">
        <w:rPr>
          <w:rFonts w:ascii="Times New Roman" w:hAnsi="Times New Roman" w:cs="Times New Roman"/>
          <w:sz w:val="20"/>
          <w:szCs w:val="20"/>
        </w:rPr>
        <w:t xml:space="preserve"> (n18</w:t>
      </w:r>
      <w:r w:rsidRPr="00B476F1">
        <w:rPr>
          <w:rFonts w:ascii="Times New Roman" w:hAnsi="Times New Roman" w:cs="Times New Roman"/>
          <w:sz w:val="20"/>
          <w:szCs w:val="20"/>
        </w:rPr>
        <w:t>) 534.</w:t>
      </w:r>
    </w:p>
  </w:footnote>
  <w:footnote w:id="162">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w:t>
      </w:r>
      <w:r w:rsidRPr="00B476F1">
        <w:rPr>
          <w:rFonts w:ascii="Times New Roman" w:hAnsi="Times New Roman" w:cs="Times New Roman"/>
          <w:i/>
        </w:rPr>
        <w:t>Fenwick</w:t>
      </w:r>
      <w:r w:rsidR="009B31E7" w:rsidRPr="00B476F1">
        <w:rPr>
          <w:rFonts w:ascii="Times New Roman" w:hAnsi="Times New Roman" w:cs="Times New Roman"/>
        </w:rPr>
        <w:t xml:space="preserve"> (n14</w:t>
      </w:r>
      <w:r w:rsidRPr="00B476F1">
        <w:rPr>
          <w:rFonts w:ascii="Times New Roman" w:hAnsi="Times New Roman" w:cs="Times New Roman"/>
        </w:rPr>
        <w:t xml:space="preserve">) 248 and </w:t>
      </w:r>
      <w:r w:rsidRPr="00B476F1">
        <w:rPr>
          <w:rFonts w:ascii="Times New Roman" w:hAnsi="Times New Roman" w:cs="Times New Roman"/>
          <w:i/>
        </w:rPr>
        <w:t>Donoho</w:t>
      </w:r>
      <w:r w:rsidRPr="00B476F1">
        <w:rPr>
          <w:rFonts w:ascii="Times New Roman" w:hAnsi="Times New Roman" w:cs="Times New Roman"/>
        </w:rPr>
        <w:t xml:space="preserve"> (n</w:t>
      </w:r>
      <w:r w:rsidR="0055188B" w:rsidRPr="00B476F1">
        <w:rPr>
          <w:rFonts w:ascii="Times New Roman" w:hAnsi="Times New Roman" w:cs="Times New Roman"/>
        </w:rPr>
        <w:t>40</w:t>
      </w:r>
      <w:r w:rsidRPr="00B476F1">
        <w:rPr>
          <w:rFonts w:ascii="Times New Roman" w:hAnsi="Times New Roman" w:cs="Times New Roman"/>
        </w:rPr>
        <w:t xml:space="preserve">) 422 </w:t>
      </w:r>
    </w:p>
    <w:p w:rsidR="00017C91" w:rsidRPr="00B476F1" w:rsidRDefault="00017C91" w:rsidP="009C78B8">
      <w:pPr>
        <w:pStyle w:val="FootnoteText"/>
        <w:jc w:val="both"/>
        <w:rPr>
          <w:rFonts w:ascii="Times New Roman" w:hAnsi="Times New Roman" w:cs="Times New Roman"/>
        </w:rPr>
      </w:pPr>
    </w:p>
  </w:footnote>
  <w:footnote w:id="163">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w:t>
      </w:r>
      <w:r w:rsidRPr="00B476F1">
        <w:rPr>
          <w:rFonts w:ascii="Times New Roman" w:hAnsi="Times New Roman" w:cs="Times New Roman"/>
          <w:i/>
        </w:rPr>
        <w:t>Wintemute</w:t>
      </w:r>
      <w:r w:rsidR="00B476F1" w:rsidRPr="00B476F1">
        <w:rPr>
          <w:rFonts w:ascii="Times New Roman" w:hAnsi="Times New Roman" w:cs="Times New Roman"/>
        </w:rPr>
        <w:t xml:space="preserve"> (n29</w:t>
      </w:r>
      <w:r w:rsidRPr="00B476F1">
        <w:rPr>
          <w:rFonts w:ascii="Times New Roman" w:hAnsi="Times New Roman" w:cs="Times New Roman"/>
        </w:rPr>
        <w:t xml:space="preserve">). See also Zylan, Y. ‘States of Passion: Law, Identity and Social Construction of Desire (Oxford University Press, 2011) 214, and Verchick, R. ‘Same-Sex and the City’ (2005) 37 </w:t>
      </w:r>
      <w:r w:rsidRPr="00B476F1">
        <w:rPr>
          <w:rFonts w:ascii="Times New Roman" w:hAnsi="Times New Roman" w:cs="Times New Roman"/>
          <w:i/>
        </w:rPr>
        <w:t>Urban L Rev</w:t>
      </w:r>
      <w:r w:rsidRPr="00B476F1">
        <w:rPr>
          <w:rFonts w:ascii="Times New Roman" w:hAnsi="Times New Roman" w:cs="Times New Roman"/>
        </w:rPr>
        <w:t xml:space="preserve"> 191, 191 who discuss backlash following the </w:t>
      </w:r>
      <w:r w:rsidRPr="00B476F1">
        <w:rPr>
          <w:rFonts w:ascii="Times New Roman" w:eastAsia="Calibri" w:hAnsi="Times New Roman" w:cs="Times New Roman"/>
        </w:rPr>
        <w:t>Massachusetts Supreme Court decision in</w:t>
      </w:r>
      <w:r w:rsidRPr="00B476F1">
        <w:rPr>
          <w:rStyle w:val="FootnoteReference"/>
          <w:rFonts w:ascii="Times New Roman" w:hAnsi="Times New Roman" w:cs="Times New Roman"/>
        </w:rPr>
        <w:t xml:space="preserve"> </w:t>
      </w:r>
      <w:r w:rsidRPr="00B476F1">
        <w:rPr>
          <w:rFonts w:ascii="Times New Roman" w:hAnsi="Times New Roman" w:cs="Times New Roman"/>
        </w:rPr>
        <w:t xml:space="preserve"> </w:t>
      </w:r>
      <w:r w:rsidRPr="00B476F1">
        <w:rPr>
          <w:rFonts w:ascii="Times New Roman" w:hAnsi="Times New Roman" w:cs="Times New Roman"/>
          <w:i/>
        </w:rPr>
        <w:t>Goodridge v Department of Public Health</w:t>
      </w:r>
      <w:r w:rsidRPr="00B476F1">
        <w:rPr>
          <w:rFonts w:ascii="Times New Roman" w:hAnsi="Times New Roman" w:cs="Times New Roman"/>
        </w:rPr>
        <w:t xml:space="preserve">, (2003) 798 N.E. 2d 941 Mass </w:t>
      </w:r>
      <w:r w:rsidRPr="00B476F1">
        <w:rPr>
          <w:rFonts w:ascii="Times New Roman" w:eastAsia="Calibri" w:hAnsi="Times New Roman" w:cs="Times New Roman"/>
        </w:rPr>
        <w:t>to introduce same-sex marriage in that state in 2003 was widely linked to a backlash in public opinion across the US</w:t>
      </w:r>
    </w:p>
    <w:p w:rsidR="00017C91" w:rsidRPr="00B476F1" w:rsidRDefault="00017C91" w:rsidP="009C78B8">
      <w:pPr>
        <w:pStyle w:val="FootnoteText"/>
        <w:jc w:val="both"/>
        <w:rPr>
          <w:rFonts w:ascii="Times New Roman" w:hAnsi="Times New Roman" w:cs="Times New Roman"/>
        </w:rPr>
      </w:pPr>
    </w:p>
  </w:footnote>
  <w:footnote w:id="164">
    <w:p w:rsidR="00017C91" w:rsidRPr="00B476F1" w:rsidRDefault="00017C91" w:rsidP="009C78B8">
      <w:pPr>
        <w:pStyle w:val="FootnoteText"/>
        <w:jc w:val="both"/>
        <w:rPr>
          <w:rFonts w:ascii="Times New Roman" w:hAnsi="Times New Roman" w:cs="Times New Roman"/>
        </w:rPr>
      </w:pPr>
      <w:r w:rsidRPr="00B476F1">
        <w:rPr>
          <w:rStyle w:val="FootnoteReference"/>
          <w:rFonts w:ascii="Times New Roman" w:hAnsi="Times New Roman" w:cs="Times New Roman"/>
        </w:rPr>
        <w:footnoteRef/>
      </w:r>
      <w:r w:rsidRPr="00B476F1">
        <w:rPr>
          <w:rFonts w:ascii="Times New Roman" w:hAnsi="Times New Roman" w:cs="Times New Roman"/>
        </w:rPr>
        <w:t xml:space="preserve"> See n</w:t>
      </w:r>
      <w:r w:rsidR="00B476F1" w:rsidRPr="00B476F1">
        <w:rPr>
          <w:rFonts w:ascii="Times New Roman" w:hAnsi="Times New Roman" w:cs="Times New Roman"/>
        </w:rPr>
        <w:t>140</w:t>
      </w:r>
      <w:r w:rsidRPr="00B476F1">
        <w:rPr>
          <w:rFonts w:ascii="Times New Roman" w:hAnsi="Times New Roman" w:cs="Times New Roman"/>
        </w:rPr>
        <w:t>.</w:t>
      </w:r>
    </w:p>
    <w:p w:rsidR="00017C91" w:rsidRPr="00B476F1" w:rsidRDefault="00017C91" w:rsidP="009C78B8">
      <w:pPr>
        <w:pStyle w:val="FootnoteText"/>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54C7A"/>
    <w:multiLevelType w:val="multilevel"/>
    <w:tmpl w:val="661CCA20"/>
    <w:lvl w:ilvl="0">
      <w:start w:val="1"/>
      <w:numFmt w:val="decimal"/>
      <w:lvlText w:val="%1."/>
      <w:lvlJc w:val="left"/>
      <w:pPr>
        <w:ind w:left="720" w:hanging="360"/>
      </w:pPr>
    </w:lvl>
    <w:lvl w:ilvl="1">
      <w:start w:val="1"/>
      <w:numFmt w:val="decimal"/>
      <w:isLgl/>
      <w:lvlText w:val="%1.%2"/>
      <w:lvlJc w:val="left"/>
      <w:pPr>
        <w:ind w:left="2061"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B8"/>
    <w:rsid w:val="00017C91"/>
    <w:rsid w:val="00030A59"/>
    <w:rsid w:val="00151100"/>
    <w:rsid w:val="00177736"/>
    <w:rsid w:val="00191418"/>
    <w:rsid w:val="001B7988"/>
    <w:rsid w:val="001F7D85"/>
    <w:rsid w:val="002842FE"/>
    <w:rsid w:val="002D049A"/>
    <w:rsid w:val="00515C13"/>
    <w:rsid w:val="00531952"/>
    <w:rsid w:val="0054063E"/>
    <w:rsid w:val="0055188B"/>
    <w:rsid w:val="00596CCE"/>
    <w:rsid w:val="005D0AA4"/>
    <w:rsid w:val="005D3F51"/>
    <w:rsid w:val="005D5D20"/>
    <w:rsid w:val="0066553C"/>
    <w:rsid w:val="00703550"/>
    <w:rsid w:val="007E291A"/>
    <w:rsid w:val="008955EA"/>
    <w:rsid w:val="00921A90"/>
    <w:rsid w:val="009B31E7"/>
    <w:rsid w:val="009C78B8"/>
    <w:rsid w:val="00AC6118"/>
    <w:rsid w:val="00B476F1"/>
    <w:rsid w:val="00B57F5B"/>
    <w:rsid w:val="00C6104F"/>
    <w:rsid w:val="00D954AE"/>
    <w:rsid w:val="00F91672"/>
    <w:rsid w:val="00F963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6377"/>
  <w15:chartTrackingRefBased/>
  <w15:docId w15:val="{3A5822FA-852F-4996-BB5F-FAF9D5E5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78B8"/>
    <w:rPr>
      <w:color w:val="0000FF"/>
      <w:u w:val="single"/>
    </w:rPr>
  </w:style>
  <w:style w:type="paragraph" w:styleId="FootnoteText">
    <w:name w:val="footnote text"/>
    <w:basedOn w:val="Normal"/>
    <w:link w:val="FootnoteTextChar"/>
    <w:uiPriority w:val="99"/>
    <w:semiHidden/>
    <w:unhideWhenUsed/>
    <w:rsid w:val="009C78B8"/>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C78B8"/>
    <w:rPr>
      <w:rFonts w:eastAsiaTheme="minorHAnsi"/>
      <w:sz w:val="20"/>
      <w:szCs w:val="20"/>
      <w:lang w:eastAsia="en-US"/>
    </w:rPr>
  </w:style>
  <w:style w:type="paragraph" w:styleId="EndnoteText">
    <w:name w:val="endnote text"/>
    <w:basedOn w:val="Normal"/>
    <w:link w:val="EndnoteTextChar"/>
    <w:uiPriority w:val="99"/>
    <w:semiHidden/>
    <w:unhideWhenUsed/>
    <w:rsid w:val="009C78B8"/>
    <w:pPr>
      <w:spacing w:after="0" w:line="240" w:lineRule="auto"/>
    </w:pPr>
    <w:rPr>
      <w:rFonts w:ascii="Calibri" w:eastAsia="Times New Roman" w:hAnsi="Calibri" w:cs="Times New Roman"/>
      <w:sz w:val="20"/>
      <w:szCs w:val="20"/>
      <w:lang w:eastAsia="en-US"/>
    </w:rPr>
  </w:style>
  <w:style w:type="character" w:customStyle="1" w:styleId="EndnoteTextChar">
    <w:name w:val="Endnote Text Char"/>
    <w:basedOn w:val="DefaultParagraphFont"/>
    <w:link w:val="EndnoteText"/>
    <w:uiPriority w:val="99"/>
    <w:semiHidden/>
    <w:rsid w:val="009C78B8"/>
    <w:rPr>
      <w:rFonts w:ascii="Calibri" w:eastAsia="Times New Roman" w:hAnsi="Calibri" w:cs="Times New Roman"/>
      <w:sz w:val="20"/>
      <w:szCs w:val="20"/>
      <w:lang w:eastAsia="en-US"/>
    </w:rPr>
  </w:style>
  <w:style w:type="character" w:styleId="FootnoteReference">
    <w:name w:val="footnote reference"/>
    <w:basedOn w:val="DefaultParagraphFont"/>
    <w:uiPriority w:val="99"/>
    <w:semiHidden/>
    <w:unhideWhenUsed/>
    <w:rsid w:val="009C78B8"/>
    <w:rPr>
      <w:vertAlign w:val="superscript"/>
    </w:rPr>
  </w:style>
  <w:style w:type="character" w:styleId="Emphasis">
    <w:name w:val="Emphasis"/>
    <w:basedOn w:val="DefaultParagraphFont"/>
    <w:uiPriority w:val="20"/>
    <w:qFormat/>
    <w:rsid w:val="009C78B8"/>
    <w:rPr>
      <w:i/>
      <w:iCs/>
    </w:rPr>
  </w:style>
  <w:style w:type="character" w:customStyle="1" w:styleId="searchword">
    <w:name w:val="searchword"/>
    <w:basedOn w:val="DefaultParagraphFont"/>
    <w:rsid w:val="002D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hr.coe.int/Documents/2012_Brighton_FinalDeclaration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1CA79-1097-46E1-B3ED-3449C4B1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25</Pages>
  <Words>5077</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33955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Hamilton</dc:creator>
  <cp:keywords/>
  <dc:description/>
  <cp:lastModifiedBy>Frances Hamilton</cp:lastModifiedBy>
  <cp:revision>8</cp:revision>
  <dcterms:created xsi:type="dcterms:W3CDTF">2017-11-28T14:03:00Z</dcterms:created>
  <dcterms:modified xsi:type="dcterms:W3CDTF">2017-11-30T12:24:00Z</dcterms:modified>
</cp:coreProperties>
</file>