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6AD" w:rsidRDefault="00E753C9" w:rsidP="00E753C9">
      <w:pPr>
        <w:pStyle w:val="BATitle"/>
        <w:jc w:val="both"/>
      </w:pPr>
      <w:bookmarkStart w:id="0" w:name="_GoBack"/>
      <w:r w:rsidRPr="00DB41E6">
        <w:t xml:space="preserve">Unveiling the </w:t>
      </w:r>
      <w:r w:rsidR="00CA651E">
        <w:t xml:space="preserve">biocatalytic </w:t>
      </w:r>
      <w:r w:rsidRPr="00DB41E6">
        <w:t>aromatiz</w:t>
      </w:r>
      <w:r w:rsidR="00CA651E">
        <w:t>ing</w:t>
      </w:r>
      <w:r w:rsidRPr="00DB41E6">
        <w:t xml:space="preserve"> activity of monoamin</w:t>
      </w:r>
      <w:r w:rsidR="00C36A41">
        <w:t>e</w:t>
      </w:r>
      <w:r w:rsidRPr="00DB41E6">
        <w:t xml:space="preserve"> oxidase</w:t>
      </w:r>
      <w:r w:rsidR="00CA651E">
        <w:t>s</w:t>
      </w:r>
      <w:r w:rsidR="00C110EB">
        <w:t xml:space="preserve"> MAO-N and 6-HDNO</w:t>
      </w:r>
      <w:bookmarkEnd w:id="0"/>
      <w:r w:rsidRPr="00DB41E6">
        <w:t>: development of chemoenzymatic cascades</w:t>
      </w:r>
      <w:r>
        <w:t xml:space="preserve"> for the synthesis of pyrroles.</w:t>
      </w:r>
    </w:p>
    <w:p w:rsidR="00E753C9" w:rsidRPr="00E753C9" w:rsidRDefault="00E753C9" w:rsidP="00E753C9">
      <w:pPr>
        <w:pStyle w:val="BBAuthorName"/>
        <w:jc w:val="left"/>
        <w:rPr>
          <w:vertAlign w:val="superscript"/>
          <w:lang w:val="it-IT"/>
        </w:rPr>
      </w:pPr>
      <w:r w:rsidRPr="00E753C9">
        <w:rPr>
          <w:lang w:val="it-IT"/>
        </w:rPr>
        <w:t>Nicol</w:t>
      </w:r>
      <w:r w:rsidRPr="00E753C9">
        <w:rPr>
          <w:lang w:val="en-GB"/>
        </w:rPr>
        <w:t>ό</w:t>
      </w:r>
      <w:r w:rsidRPr="00E753C9">
        <w:rPr>
          <w:lang w:val="it-IT"/>
        </w:rPr>
        <w:t xml:space="preserve"> Scalacci,</w:t>
      </w:r>
      <w:r w:rsidRPr="00E753C9">
        <w:rPr>
          <w:rFonts w:cs="Times"/>
          <w:vertAlign w:val="superscript"/>
          <w:lang w:val="it-IT"/>
        </w:rPr>
        <w:t>‡</w:t>
      </w:r>
      <w:r w:rsidRPr="00E753C9">
        <w:rPr>
          <w:vertAlign w:val="superscript"/>
          <w:lang w:val="it-IT"/>
        </w:rPr>
        <w:t>,</w:t>
      </w:r>
      <w:r w:rsidRPr="00E753C9">
        <w:rPr>
          <w:rFonts w:cs="Times"/>
          <w:vertAlign w:val="superscript"/>
          <w:lang w:val="it-IT"/>
        </w:rPr>
        <w:t>†</w:t>
      </w:r>
      <w:r w:rsidRPr="00E753C9">
        <w:rPr>
          <w:lang w:val="it-IT"/>
        </w:rPr>
        <w:t xml:space="preserve"> Gary W. Black,</w:t>
      </w:r>
      <w:r w:rsidRPr="00E753C9">
        <w:rPr>
          <w:rFonts w:cs="Times"/>
          <w:vertAlign w:val="superscript"/>
          <w:lang w:val="it-IT"/>
        </w:rPr>
        <w:t>†</w:t>
      </w:r>
      <w:r w:rsidRPr="00E753C9">
        <w:rPr>
          <w:lang w:val="it-IT"/>
        </w:rPr>
        <w:t xml:space="preserve"> Giulio Mattedi,</w:t>
      </w:r>
      <w:r w:rsidRPr="00E753C9">
        <w:rPr>
          <w:rFonts w:cs="Times"/>
          <w:vertAlign w:val="superscript"/>
          <w:lang w:val="it-IT"/>
        </w:rPr>
        <w:t>‡</w:t>
      </w:r>
      <w:r w:rsidRPr="00E753C9">
        <w:rPr>
          <w:lang w:val="it-IT"/>
        </w:rPr>
        <w:t xml:space="preserve"> Nicola L. Brown,</w:t>
      </w:r>
      <w:r w:rsidRPr="00E753C9">
        <w:rPr>
          <w:rFonts w:cs="Times"/>
          <w:vertAlign w:val="superscript"/>
          <w:lang w:val="it-IT"/>
        </w:rPr>
        <w:t>†</w:t>
      </w:r>
      <w:r w:rsidRPr="00E753C9">
        <w:rPr>
          <w:lang w:val="it-IT"/>
        </w:rPr>
        <w:t xml:space="preserve"> Nicholas J. Turner,</w:t>
      </w:r>
      <w:r>
        <w:rPr>
          <w:rFonts w:cs="Times"/>
          <w:vertAlign w:val="superscript"/>
          <w:lang w:val="it-IT"/>
        </w:rPr>
        <w:t>±</w:t>
      </w:r>
      <w:r w:rsidRPr="00E753C9">
        <w:rPr>
          <w:lang w:val="it-IT"/>
        </w:rPr>
        <w:t xml:space="preserve"> Daniele Castagnolo</w:t>
      </w:r>
      <w:r w:rsidRPr="00E753C9">
        <w:rPr>
          <w:lang w:val="en-GB"/>
        </w:rPr>
        <w:t>*</w:t>
      </w:r>
      <w:r>
        <w:rPr>
          <w:vertAlign w:val="superscript"/>
          <w:lang w:val="en-GB"/>
        </w:rPr>
        <w:t>,</w:t>
      </w:r>
      <w:r w:rsidRPr="00E753C9">
        <w:rPr>
          <w:rFonts w:cs="Times"/>
          <w:vertAlign w:val="superscript"/>
          <w:lang w:val="it-IT"/>
        </w:rPr>
        <w:t>‡</w:t>
      </w:r>
    </w:p>
    <w:p w:rsidR="009246AD" w:rsidRDefault="00E753C9" w:rsidP="00C76841">
      <w:pPr>
        <w:pStyle w:val="BCAuthorAddress"/>
        <w:jc w:val="both"/>
      </w:pPr>
      <w:r w:rsidRPr="00E753C9">
        <w:rPr>
          <w:rFonts w:cs="Times"/>
          <w:vertAlign w:val="superscript"/>
          <w:lang w:val="it-IT"/>
        </w:rPr>
        <w:t>‡</w:t>
      </w:r>
      <w:r>
        <w:t>Institute of Pharmaceutical Science, King’s College London</w:t>
      </w:r>
      <w:r w:rsidR="00C76841">
        <w:t xml:space="preserve">, 150 Stamford Street, SE1 9NH, </w:t>
      </w:r>
      <w:r>
        <w:t xml:space="preserve">London, United Kingdom. </w:t>
      </w:r>
      <w:r w:rsidR="00C76841" w:rsidRPr="00E753C9">
        <w:rPr>
          <w:rFonts w:cs="Times"/>
          <w:vertAlign w:val="superscript"/>
          <w:lang w:val="it-IT"/>
        </w:rPr>
        <w:t>†</w:t>
      </w:r>
      <w:r>
        <w:t>Department of Applied Sciences, Northumbria University, Ellison Place, NE1 8ST, Newcastle upon Tyne, United Kingdom</w:t>
      </w:r>
      <w:r w:rsidR="00C76841">
        <w:t xml:space="preserve">. </w:t>
      </w:r>
      <w:r w:rsidR="00C76841">
        <w:rPr>
          <w:rFonts w:cs="Times"/>
          <w:vertAlign w:val="superscript"/>
          <w:lang w:val="it-IT"/>
        </w:rPr>
        <w:t>±</w:t>
      </w:r>
      <w:r>
        <w:t>School of Chemistry, Manchester Institute of Biotechnology, University of Manchester, 131 Princess Street, M1 7DN, Manchester, United Kingdom</w:t>
      </w:r>
      <w:r w:rsidR="00C76841">
        <w:t>.</w:t>
      </w:r>
    </w:p>
    <w:p w:rsidR="00F01870" w:rsidRDefault="00F01870" w:rsidP="00F01870">
      <w:pPr>
        <w:pStyle w:val="TAMainText"/>
      </w:pPr>
    </w:p>
    <w:p w:rsidR="00F01870" w:rsidRDefault="00F01870" w:rsidP="00F01870">
      <w:pPr>
        <w:pStyle w:val="TAMainText"/>
      </w:pPr>
    </w:p>
    <w:p w:rsidR="00F01870" w:rsidRDefault="00F01870" w:rsidP="00F01870">
      <w:pPr>
        <w:pStyle w:val="TAMainText"/>
      </w:pPr>
    </w:p>
    <w:p w:rsidR="00F01870" w:rsidRDefault="00F01870" w:rsidP="009630FD">
      <w:pPr>
        <w:pStyle w:val="TAMainText"/>
        <w:ind w:firstLine="0"/>
      </w:pPr>
    </w:p>
    <w:p w:rsidR="009630FD" w:rsidRPr="00F01870" w:rsidRDefault="009630FD" w:rsidP="009630FD">
      <w:pPr>
        <w:pStyle w:val="TAMainText"/>
        <w:ind w:firstLine="0"/>
      </w:pPr>
    </w:p>
    <w:p w:rsidR="00683131" w:rsidRPr="003412E0" w:rsidRDefault="00C76841" w:rsidP="00683131">
      <w:pPr>
        <w:pStyle w:val="BDAbstract"/>
      </w:pPr>
      <w:r w:rsidRPr="003412E0">
        <w:lastRenderedPageBreak/>
        <w:t xml:space="preserve">ABSTRACT: </w:t>
      </w:r>
      <w:r w:rsidR="00902B11" w:rsidRPr="003412E0">
        <w:t>A chemo</w:t>
      </w:r>
      <w:r w:rsidRPr="003412E0">
        <w:t>enzymatic cascade process for the sustainable production of pyrroles has been developed. Pyrroles were synthesised exploiting the previously unexplored aromatiz</w:t>
      </w:r>
      <w:r w:rsidR="00CA651E" w:rsidRPr="003412E0">
        <w:t>ing</w:t>
      </w:r>
      <w:r w:rsidRPr="003412E0">
        <w:t xml:space="preserve"> activity of monoamin</w:t>
      </w:r>
      <w:r w:rsidR="00C36A41">
        <w:t>e</w:t>
      </w:r>
      <w:r w:rsidRPr="003412E0">
        <w:t xml:space="preserve"> oxidase enzymes (MAO-N and 6-HDNO). MAO-N/6-HDNO whole cell biocatalysts are able to convert 3-pyrrolines into pyrroles under mild conditions and high yields. Moreover, MAO-N can work in combination with ruthenium Grubbs' catalyst leading to the synthesis of pyrroles from diallyl-amines/anilines in a one-pot cascade metathesis-aromatization sequence.</w:t>
      </w:r>
    </w:p>
    <w:p w:rsidR="00AB34C5" w:rsidRPr="003412E0" w:rsidRDefault="009630FD" w:rsidP="009630FD">
      <w:pPr>
        <w:pStyle w:val="FACorrespondingAuthorFootnote"/>
        <w:spacing w:after="0"/>
        <w:jc w:val="left"/>
      </w:pPr>
      <w:r w:rsidRPr="003412E0">
        <w:t>KEYWORDS: MAO-N, biocatalysis, chemoenzymatic cascade, metathesis, pyrrole</w:t>
      </w:r>
    </w:p>
    <w:p w:rsidR="009630FD" w:rsidRPr="003412E0" w:rsidRDefault="009630FD" w:rsidP="009630FD">
      <w:pPr>
        <w:pStyle w:val="TAMainText"/>
      </w:pPr>
    </w:p>
    <w:p w:rsidR="00F01870" w:rsidRPr="003412E0" w:rsidRDefault="00CA651E" w:rsidP="00F01870">
      <w:pPr>
        <w:pStyle w:val="TAMainText"/>
        <w:spacing w:after="240"/>
        <w:ind w:firstLine="0"/>
        <w:rPr>
          <w:lang w:val="en-GB"/>
        </w:rPr>
      </w:pPr>
      <w:r w:rsidRPr="003412E0">
        <w:rPr>
          <w:lang w:val="en-GB"/>
        </w:rPr>
        <w:t>INTRODUCTION</w:t>
      </w:r>
    </w:p>
    <w:p w:rsidR="00F8137E" w:rsidRPr="003412E0" w:rsidRDefault="00F8137E" w:rsidP="00F01870">
      <w:pPr>
        <w:pStyle w:val="TAMainText"/>
        <w:spacing w:after="240"/>
        <w:ind w:firstLine="284"/>
        <w:rPr>
          <w:lang w:val="en-GB"/>
        </w:rPr>
      </w:pPr>
      <w:r w:rsidRPr="003412E0">
        <w:rPr>
          <w:lang w:val="en-GB"/>
        </w:rPr>
        <w:t>The occurrence of aromatic nitrogen heterocycles in many natural and synthetic biologically active compounds represents an incentive toward the development of new</w:t>
      </w:r>
      <w:r w:rsidR="00902B11" w:rsidRPr="003412E0">
        <w:rPr>
          <w:lang w:val="en-GB"/>
        </w:rPr>
        <w:t xml:space="preserve"> synthetic methodologies toward</w:t>
      </w:r>
      <w:r w:rsidRPr="003412E0">
        <w:rPr>
          <w:lang w:val="en-GB"/>
        </w:rPr>
        <w:t xml:space="preserve"> these important chemicals.</w:t>
      </w:r>
      <w:r w:rsidRPr="003412E0">
        <w:rPr>
          <w:vertAlign w:val="superscript"/>
          <w:lang w:val="en-GB"/>
        </w:rPr>
        <w:t>1</w:t>
      </w:r>
      <w:r w:rsidRPr="003412E0">
        <w:rPr>
          <w:lang w:val="en-GB"/>
        </w:rPr>
        <w:t xml:space="preserve"> It is estimated that more of 50% of the bestselling drugs contain a nitrogen heterocyclic nucleus, thus fueling a demand for broadly applicable synthetic methods that deliver aromatic heterocycles in high yield. We recently discovered a new class of pyrroles endowed with potent activity against drug-resistant tuberculosis and thus we became interested in finding new sustainable approaches for the production of this class of compounds.</w:t>
      </w:r>
      <w:r w:rsidRPr="003412E0">
        <w:rPr>
          <w:vertAlign w:val="superscript"/>
          <w:lang w:val="en-GB"/>
        </w:rPr>
        <w:t>2</w:t>
      </w:r>
      <w:r w:rsidRPr="003412E0">
        <w:rPr>
          <w:lang w:val="en-GB"/>
        </w:rPr>
        <w:t xml:space="preserve"> Typical approaches for the synthesis of pyrroles include the Paal−Knorr and Clauson−Kass reactions,</w:t>
      </w:r>
      <w:r w:rsidR="00EC7F93" w:rsidRPr="003412E0">
        <w:rPr>
          <w:vertAlign w:val="superscript"/>
          <w:lang w:val="en-GB"/>
        </w:rPr>
        <w:t>3</w:t>
      </w:r>
      <w:r w:rsidRPr="003412E0">
        <w:rPr>
          <w:lang w:val="en-GB"/>
        </w:rPr>
        <w:t xml:space="preserve"> the aza-Wittig reaction</w:t>
      </w:r>
      <w:r w:rsidR="00EC7F93" w:rsidRPr="003412E0">
        <w:rPr>
          <w:vertAlign w:val="superscript"/>
          <w:lang w:val="en-GB"/>
        </w:rPr>
        <w:t>4</w:t>
      </w:r>
      <w:r w:rsidRPr="003412E0">
        <w:rPr>
          <w:lang w:val="en-GB"/>
        </w:rPr>
        <w:t xml:space="preserve"> or other multicomponent approaches.</w:t>
      </w:r>
      <w:r w:rsidR="00EC7F93" w:rsidRPr="003412E0">
        <w:rPr>
          <w:vertAlign w:val="superscript"/>
          <w:lang w:val="en-GB"/>
        </w:rPr>
        <w:t xml:space="preserve">5 </w:t>
      </w:r>
      <w:r w:rsidR="00090354" w:rsidRPr="003412E0">
        <w:rPr>
          <w:lang w:val="en-GB"/>
        </w:rPr>
        <w:t>A</w:t>
      </w:r>
      <w:r w:rsidR="00994371" w:rsidRPr="003412E0">
        <w:rPr>
          <w:lang w:val="en-GB"/>
        </w:rPr>
        <w:t>pproaches to pyrroles under relatively mild conditions via iron or palladium catalysed Paal-Knorr reactions on water have been also described.</w:t>
      </w:r>
      <w:r w:rsidR="00EC7F93" w:rsidRPr="003412E0">
        <w:rPr>
          <w:vertAlign w:val="superscript"/>
          <w:lang w:val="en-GB"/>
        </w:rPr>
        <w:t>6</w:t>
      </w:r>
      <w:r w:rsidR="00994371" w:rsidRPr="003412E0">
        <w:rPr>
          <w:lang w:val="en-GB"/>
        </w:rPr>
        <w:t xml:space="preserve"> However, the  structural features </w:t>
      </w:r>
      <w:r w:rsidR="00214168" w:rsidRPr="003412E0">
        <w:rPr>
          <w:lang w:val="en-GB"/>
        </w:rPr>
        <w:t xml:space="preserve">of the reagents </w:t>
      </w:r>
      <w:r w:rsidR="00994371" w:rsidRPr="003412E0">
        <w:rPr>
          <w:lang w:val="en-GB"/>
        </w:rPr>
        <w:t xml:space="preserve">required in the latter </w:t>
      </w:r>
      <w:r w:rsidR="00214168" w:rsidRPr="003412E0">
        <w:rPr>
          <w:lang w:val="en-GB"/>
        </w:rPr>
        <w:t xml:space="preserve">methods </w:t>
      </w:r>
      <w:r w:rsidR="006B21F0" w:rsidRPr="003412E0">
        <w:rPr>
          <w:lang w:val="en-GB"/>
        </w:rPr>
        <w:t xml:space="preserve">or the side products formed </w:t>
      </w:r>
      <w:r w:rsidR="00994371" w:rsidRPr="003412E0">
        <w:rPr>
          <w:lang w:val="en-GB"/>
        </w:rPr>
        <w:t xml:space="preserve">may represent </w:t>
      </w:r>
      <w:r w:rsidR="00994371" w:rsidRPr="003412E0">
        <w:rPr>
          <w:lang w:val="en-GB"/>
        </w:rPr>
        <w:lastRenderedPageBreak/>
        <w:t xml:space="preserve">a limitation in </w:t>
      </w:r>
      <w:r w:rsidR="006B21F0" w:rsidRPr="003412E0">
        <w:rPr>
          <w:lang w:val="en-GB"/>
        </w:rPr>
        <w:t xml:space="preserve">the </w:t>
      </w:r>
      <w:r w:rsidR="00994371" w:rsidRPr="003412E0">
        <w:rPr>
          <w:lang w:val="en-GB"/>
        </w:rPr>
        <w:t xml:space="preserve">scope </w:t>
      </w:r>
      <w:r w:rsidR="00214168" w:rsidRPr="003412E0">
        <w:rPr>
          <w:lang w:val="en-GB"/>
        </w:rPr>
        <w:t>of these reactions</w:t>
      </w:r>
      <w:r w:rsidR="00994371" w:rsidRPr="003412E0">
        <w:rPr>
          <w:lang w:val="en-GB"/>
        </w:rPr>
        <w:t>.</w:t>
      </w:r>
      <w:r w:rsidR="00EC7F93" w:rsidRPr="003412E0">
        <w:rPr>
          <w:lang w:val="en-GB"/>
        </w:rPr>
        <w:t xml:space="preserve"> </w:t>
      </w:r>
      <w:r w:rsidR="00214168" w:rsidRPr="003412E0">
        <w:rPr>
          <w:lang w:val="en-GB"/>
        </w:rPr>
        <w:t>R</w:t>
      </w:r>
      <w:r w:rsidRPr="003412E0">
        <w:rPr>
          <w:lang w:val="en-GB"/>
        </w:rPr>
        <w:t>ecently, olefin ring-closing metathesis (RCM) emerged as a powerful and effective reaction for the two steps synthesis of many functionalized pyrroles from acyclic precursors. Donohoe</w:t>
      </w:r>
      <w:r w:rsidRPr="003412E0">
        <w:rPr>
          <w:vertAlign w:val="superscript"/>
          <w:lang w:val="en-GB"/>
        </w:rPr>
        <w:t>7</w:t>
      </w:r>
      <w:r w:rsidRPr="003412E0">
        <w:rPr>
          <w:lang w:val="en-GB"/>
        </w:rPr>
        <w:t xml:space="preserve"> and Rutjies</w:t>
      </w:r>
      <w:r w:rsidRPr="003412E0">
        <w:rPr>
          <w:vertAlign w:val="superscript"/>
          <w:lang w:val="en-GB"/>
        </w:rPr>
        <w:t>8</w:t>
      </w:r>
      <w:r w:rsidRPr="003412E0">
        <w:rPr>
          <w:lang w:val="en-GB"/>
        </w:rPr>
        <w:t xml:space="preserve"> first developed a two steps sequence to pyrroles from diallylamines </w:t>
      </w:r>
      <w:r w:rsidRPr="003412E0">
        <w:rPr>
          <w:b/>
          <w:lang w:val="en-GB"/>
        </w:rPr>
        <w:t>1</w:t>
      </w:r>
      <w:r w:rsidRPr="003412E0">
        <w:rPr>
          <w:lang w:val="en-GB"/>
        </w:rPr>
        <w:t xml:space="preserve"> via ring-closing metathesis (RCM) followed by aromatization mediated by RuCl</w:t>
      </w:r>
      <w:r w:rsidRPr="003412E0">
        <w:rPr>
          <w:vertAlign w:val="subscript"/>
          <w:lang w:val="en-GB"/>
        </w:rPr>
        <w:t>3</w:t>
      </w:r>
      <w:r w:rsidRPr="003412E0">
        <w:rPr>
          <w:lang w:val="en-GB"/>
        </w:rPr>
        <w:t>, Pd/C, FeCl</w:t>
      </w:r>
      <w:r w:rsidRPr="003412E0">
        <w:rPr>
          <w:vertAlign w:val="subscript"/>
          <w:lang w:val="en-GB"/>
        </w:rPr>
        <w:t>3</w:t>
      </w:r>
      <w:r w:rsidR="00C110EB" w:rsidRPr="003412E0">
        <w:rPr>
          <w:lang w:val="en-GB"/>
        </w:rPr>
        <w:t xml:space="preserve"> or </w:t>
      </w:r>
      <w:r w:rsidRPr="003412E0">
        <w:rPr>
          <w:i/>
          <w:vertAlign w:val="superscript"/>
          <w:lang w:val="en-GB"/>
        </w:rPr>
        <w:t>t</w:t>
      </w:r>
      <w:r w:rsidRPr="003412E0">
        <w:rPr>
          <w:lang w:val="en-GB"/>
        </w:rPr>
        <w:t xml:space="preserve">BuOOH (Figure 1). This latter step is supposed to occur through the oxidation of the amine </w:t>
      </w:r>
      <w:r w:rsidRPr="003412E0">
        <w:rPr>
          <w:b/>
          <w:lang w:val="en-GB"/>
        </w:rPr>
        <w:t>2</w:t>
      </w:r>
      <w:r w:rsidRPr="003412E0">
        <w:rPr>
          <w:lang w:val="en-GB"/>
        </w:rPr>
        <w:t xml:space="preserve"> into the corresponding iminium intermediate </w:t>
      </w:r>
      <w:r w:rsidRPr="003412E0">
        <w:rPr>
          <w:b/>
          <w:lang w:val="en-GB"/>
        </w:rPr>
        <w:t>3</w:t>
      </w:r>
      <w:r w:rsidRPr="003412E0">
        <w:rPr>
          <w:lang w:val="en-GB"/>
        </w:rPr>
        <w:t xml:space="preserve"> leading in turn to pyrrole </w:t>
      </w:r>
      <w:r w:rsidRPr="003412E0">
        <w:rPr>
          <w:b/>
          <w:lang w:val="en-GB"/>
        </w:rPr>
        <w:t>4</w:t>
      </w:r>
      <w:r w:rsidRPr="003412E0">
        <w:rPr>
          <w:lang w:val="en-GB"/>
        </w:rPr>
        <w:t xml:space="preserve"> by tautomerization. The direct oxidation of amines into imines or iminium ions still represents a challenge in organic synthesis and only few approaches have been described so far. These methods rely on the use of metal catalysts such Fe, Pd, Ru in the presence of oxygen or TEMPO and often require harsh reaction conditions.</w:t>
      </w:r>
      <w:r w:rsidRPr="003412E0">
        <w:rPr>
          <w:vertAlign w:val="superscript"/>
          <w:lang w:val="en-GB"/>
        </w:rPr>
        <w:t>9</w:t>
      </w:r>
      <w:r w:rsidR="0004192D" w:rsidRPr="003412E0">
        <w:rPr>
          <w:vertAlign w:val="superscript"/>
          <w:lang w:val="en-GB"/>
        </w:rPr>
        <w:t xml:space="preserve"> </w:t>
      </w:r>
      <w:r w:rsidRPr="003412E0">
        <w:rPr>
          <w:lang w:val="en-GB"/>
        </w:rPr>
        <w:t>However, in Nature, the conversion of an amine group into the corresponding imine is a common biochemical transformation that is cata</w:t>
      </w:r>
      <w:r w:rsidR="0004192D" w:rsidRPr="003412E0">
        <w:rPr>
          <w:lang w:val="en-GB"/>
        </w:rPr>
        <w:t>lysed by monoamin</w:t>
      </w:r>
      <w:r w:rsidR="00C36A41">
        <w:rPr>
          <w:lang w:val="en-GB"/>
        </w:rPr>
        <w:t>e</w:t>
      </w:r>
      <w:r w:rsidR="0004192D" w:rsidRPr="003412E0">
        <w:rPr>
          <w:lang w:val="en-GB"/>
        </w:rPr>
        <w:t xml:space="preserve"> oxidase (MAO</w:t>
      </w:r>
      <w:r w:rsidRPr="003412E0">
        <w:rPr>
          <w:lang w:val="en-GB"/>
        </w:rPr>
        <w:t>) enzymes.</w:t>
      </w:r>
      <w:r w:rsidRPr="003412E0">
        <w:rPr>
          <w:vertAlign w:val="superscript"/>
          <w:lang w:val="en-GB"/>
        </w:rPr>
        <w:t>10</w:t>
      </w:r>
      <w:r w:rsidR="0004192D" w:rsidRPr="003412E0">
        <w:rPr>
          <w:lang w:val="en-GB"/>
        </w:rPr>
        <w:t xml:space="preserve"> MAO enzymes</w:t>
      </w:r>
      <w:r w:rsidRPr="003412E0">
        <w:rPr>
          <w:lang w:val="en-GB"/>
        </w:rPr>
        <w:t xml:space="preserve"> catalyse the oxygen-dependent oxidation of amines into imines </w:t>
      </w:r>
      <w:r w:rsidR="001A192C" w:rsidRPr="003412E0">
        <w:rPr>
          <w:lang w:val="en-GB"/>
        </w:rPr>
        <w:t>which are</w:t>
      </w:r>
      <w:r w:rsidRPr="003412E0">
        <w:rPr>
          <w:lang w:val="en-GB"/>
        </w:rPr>
        <w:t xml:space="preserve"> in turn </w:t>
      </w:r>
      <w:r w:rsidR="001A192C" w:rsidRPr="003412E0">
        <w:rPr>
          <w:lang w:val="en-GB"/>
        </w:rPr>
        <w:t>hydrolysed in</w:t>
      </w:r>
      <w:r w:rsidRPr="003412E0">
        <w:rPr>
          <w:lang w:val="en-GB"/>
        </w:rPr>
        <w:t>to aldehydes</w:t>
      </w:r>
      <w:r w:rsidR="001A192C" w:rsidRPr="003412E0">
        <w:rPr>
          <w:lang w:val="en-GB"/>
        </w:rPr>
        <w:t xml:space="preserve"> under aqueous conditions</w:t>
      </w:r>
      <w:r w:rsidRPr="003412E0">
        <w:rPr>
          <w:lang w:val="en-GB"/>
        </w:rPr>
        <w:t xml:space="preserve">. Due to their unique properties, </w:t>
      </w:r>
      <w:r w:rsidR="0004192D" w:rsidRPr="003412E0">
        <w:rPr>
          <w:lang w:val="en-GB"/>
        </w:rPr>
        <w:t>the monoamin</w:t>
      </w:r>
      <w:r w:rsidR="00C36A41">
        <w:rPr>
          <w:lang w:val="en-GB"/>
        </w:rPr>
        <w:t>e</w:t>
      </w:r>
      <w:r w:rsidR="0004192D" w:rsidRPr="003412E0">
        <w:rPr>
          <w:lang w:val="en-GB"/>
        </w:rPr>
        <w:t xml:space="preserve"> oxidase variants from </w:t>
      </w:r>
      <w:r w:rsidR="0004192D" w:rsidRPr="003412E0">
        <w:rPr>
          <w:i/>
          <w:lang w:val="en-GB"/>
        </w:rPr>
        <w:t>Aspergillus niger</w:t>
      </w:r>
      <w:r w:rsidR="0004192D" w:rsidRPr="003412E0">
        <w:rPr>
          <w:lang w:val="en-GB"/>
        </w:rPr>
        <w:t xml:space="preserve"> (MAO-N) </w:t>
      </w:r>
      <w:r w:rsidRPr="003412E0">
        <w:rPr>
          <w:lang w:val="en-GB"/>
        </w:rPr>
        <w:t>have found a broad application also as biocatalysts for stereocontrolled syntheses</w:t>
      </w:r>
      <w:r w:rsidR="0004192D" w:rsidRPr="003412E0">
        <w:rPr>
          <w:vertAlign w:val="superscript"/>
          <w:lang w:val="en-GB"/>
        </w:rPr>
        <w:t>11</w:t>
      </w:r>
      <w:r w:rsidRPr="003412E0">
        <w:rPr>
          <w:lang w:val="en-GB"/>
        </w:rPr>
        <w:t xml:space="preserve"> and have been extensively used in a variety of synthetic transformations. In particular, </w:t>
      </w:r>
      <w:r w:rsidR="0004192D" w:rsidRPr="003412E0">
        <w:rPr>
          <w:lang w:val="en-GB"/>
        </w:rPr>
        <w:t xml:space="preserve">MAO-N </w:t>
      </w:r>
      <w:r w:rsidRPr="003412E0">
        <w:rPr>
          <w:lang w:val="en-GB"/>
        </w:rPr>
        <w:t>have been widely studied as biocatalysts for the production of ena</w:t>
      </w:r>
      <w:r w:rsidR="001E7AB8" w:rsidRPr="003412E0">
        <w:rPr>
          <w:lang w:val="en-GB"/>
        </w:rPr>
        <w:t>n</w:t>
      </w:r>
      <w:r w:rsidRPr="003412E0">
        <w:rPr>
          <w:lang w:val="en-GB"/>
        </w:rPr>
        <w:t>tiomerically pure amines through the selective oxidation and deracemization of a range of chiral aliphatic substrates.</w:t>
      </w:r>
      <w:r w:rsidRPr="003412E0">
        <w:rPr>
          <w:vertAlign w:val="superscript"/>
          <w:lang w:val="en-GB"/>
        </w:rPr>
        <w:t>11</w:t>
      </w:r>
      <w:r w:rsidRPr="003412E0">
        <w:rPr>
          <w:lang w:val="en-GB"/>
        </w:rPr>
        <w:t xml:space="preserve"> Herein, we describe a </w:t>
      </w:r>
      <w:r w:rsidR="00C110EB" w:rsidRPr="003412E0">
        <w:rPr>
          <w:lang w:val="en-GB"/>
        </w:rPr>
        <w:t xml:space="preserve">new </w:t>
      </w:r>
      <w:r w:rsidRPr="003412E0">
        <w:rPr>
          <w:lang w:val="en-GB"/>
        </w:rPr>
        <w:t xml:space="preserve">sustainable approach for the synthesis of pyrroles unveiling for the first time the ability and versatility of MAO-N enzymes in catalysing the oxidation-aromatization of 3-pyrrolines </w:t>
      </w:r>
      <w:r w:rsidRPr="003412E0">
        <w:rPr>
          <w:b/>
          <w:lang w:val="en-GB"/>
        </w:rPr>
        <w:t>2</w:t>
      </w:r>
      <w:r w:rsidRPr="003412E0">
        <w:rPr>
          <w:lang w:val="en-GB"/>
        </w:rPr>
        <w:t xml:space="preserve"> into pyrroles </w:t>
      </w:r>
      <w:r w:rsidRPr="003412E0">
        <w:rPr>
          <w:b/>
          <w:lang w:val="en-GB"/>
        </w:rPr>
        <w:t>4</w:t>
      </w:r>
      <w:r w:rsidR="00902B11" w:rsidRPr="003412E0">
        <w:rPr>
          <w:lang w:val="en-GB"/>
        </w:rPr>
        <w:t>. In addition, a one-pot chemo</w:t>
      </w:r>
      <w:r w:rsidRPr="003412E0">
        <w:rPr>
          <w:lang w:val="en-GB"/>
        </w:rPr>
        <w:t xml:space="preserve">enzymatic cascade reaction for the synthesis of pyrroles through the </w:t>
      </w:r>
      <w:r w:rsidRPr="003412E0">
        <w:rPr>
          <w:i/>
          <w:lang w:val="en-GB"/>
        </w:rPr>
        <w:t>in-situ</w:t>
      </w:r>
      <w:r w:rsidRPr="003412E0">
        <w:rPr>
          <w:lang w:val="en-GB"/>
        </w:rPr>
        <w:t xml:space="preserve"> combination of RCM reactions with the MAO-N aromatizing biocatalysts is described. </w:t>
      </w:r>
    </w:p>
    <w:p w:rsidR="00F8137E" w:rsidRPr="003412E0" w:rsidRDefault="00F8137E" w:rsidP="00F8137E">
      <w:pPr>
        <w:pStyle w:val="TAMainText"/>
        <w:spacing w:after="240"/>
        <w:ind w:firstLine="0"/>
        <w:rPr>
          <w:b/>
          <w:lang w:val="en-GB"/>
        </w:rPr>
      </w:pPr>
      <w:r w:rsidRPr="003412E0">
        <w:rPr>
          <w:b/>
          <w:lang w:val="en-GB"/>
        </w:rPr>
        <w:t>R</w:t>
      </w:r>
      <w:r w:rsidR="00E0299B" w:rsidRPr="003412E0">
        <w:rPr>
          <w:b/>
          <w:lang w:val="en-GB"/>
        </w:rPr>
        <w:t>ESULTS AND DISCUSSION</w:t>
      </w:r>
    </w:p>
    <w:p w:rsidR="00F8137E" w:rsidRPr="003412E0" w:rsidRDefault="00F8137E" w:rsidP="00F8137E">
      <w:pPr>
        <w:pStyle w:val="TAMainText"/>
        <w:spacing w:after="240"/>
        <w:rPr>
          <w:lang w:val="en-GB"/>
        </w:rPr>
      </w:pPr>
      <w:r w:rsidRPr="003412E0">
        <w:rPr>
          <w:lang w:val="en-GB"/>
        </w:rPr>
        <w:t xml:space="preserve">The MAO-N aromatization of 3-pyrrolines substrates </w:t>
      </w:r>
      <w:r w:rsidRPr="003412E0">
        <w:rPr>
          <w:b/>
          <w:lang w:val="en-GB"/>
        </w:rPr>
        <w:t>7</w:t>
      </w:r>
      <w:r w:rsidRPr="003412E0">
        <w:rPr>
          <w:lang w:val="en-GB"/>
        </w:rPr>
        <w:t xml:space="preserve"> and </w:t>
      </w:r>
      <w:r w:rsidRPr="003412E0">
        <w:rPr>
          <w:b/>
          <w:lang w:val="en-GB"/>
        </w:rPr>
        <w:t>10</w:t>
      </w:r>
      <w:r w:rsidRPr="003412E0">
        <w:rPr>
          <w:lang w:val="en-GB"/>
        </w:rPr>
        <w:t>, synthesised via RCM as reported in Scheme 1,</w:t>
      </w:r>
      <w:r w:rsidRPr="003412E0">
        <w:rPr>
          <w:vertAlign w:val="superscript"/>
          <w:lang w:val="en-GB"/>
        </w:rPr>
        <w:t xml:space="preserve">12 </w:t>
      </w:r>
      <w:r w:rsidR="001E7AB8" w:rsidRPr="003412E0">
        <w:rPr>
          <w:lang w:val="en-GB"/>
        </w:rPr>
        <w:t>was first investigated. F</w:t>
      </w:r>
      <w:r w:rsidRPr="003412E0">
        <w:rPr>
          <w:lang w:val="en-GB"/>
        </w:rPr>
        <w:t>reeze-dried whole cell</w:t>
      </w:r>
      <w:r w:rsidR="001E7AB8" w:rsidRPr="003412E0">
        <w:rPr>
          <w:lang w:val="en-GB"/>
        </w:rPr>
        <w:t>s</w:t>
      </w:r>
      <w:r w:rsidRPr="003412E0">
        <w:rPr>
          <w:lang w:val="en-GB"/>
        </w:rPr>
        <w:t xml:space="preserve"> </w:t>
      </w:r>
      <w:r w:rsidR="001E7AB8" w:rsidRPr="003412E0">
        <w:rPr>
          <w:lang w:val="en-GB"/>
        </w:rPr>
        <w:t xml:space="preserve">containing MAO-N </w:t>
      </w:r>
      <w:r w:rsidRPr="003412E0">
        <w:rPr>
          <w:lang w:val="en-GB"/>
        </w:rPr>
        <w:t xml:space="preserve">variants D5, D9 and D11 were selected on the basis on their known </w:t>
      </w:r>
      <w:r w:rsidR="00902B11" w:rsidRPr="003412E0">
        <w:rPr>
          <w:lang w:val="en-GB"/>
        </w:rPr>
        <w:t>activity and selectivity toward</w:t>
      </w:r>
      <w:r w:rsidRPr="003412E0">
        <w:rPr>
          <w:lang w:val="en-GB"/>
        </w:rPr>
        <w:t xml:space="preserve"> structurally related pyrrolidines.</w:t>
      </w:r>
      <w:r w:rsidRPr="003412E0">
        <w:rPr>
          <w:vertAlign w:val="superscript"/>
          <w:lang w:val="en-GB"/>
        </w:rPr>
        <w:t>11</w:t>
      </w:r>
      <w:r w:rsidRPr="003412E0">
        <w:rPr>
          <w:lang w:val="en-GB"/>
        </w:rPr>
        <w:t xml:space="preserve"> In addition, the oxidizing/aromatizing properties of the recently developed nicotine oxidase biocatalyst 6-HDNO E350L/E352D</w:t>
      </w:r>
      <w:r w:rsidRPr="003412E0">
        <w:rPr>
          <w:vertAlign w:val="superscript"/>
          <w:lang w:val="en-GB"/>
        </w:rPr>
        <w:t>13</w:t>
      </w:r>
      <w:r w:rsidRPr="003412E0">
        <w:rPr>
          <w:lang w:val="en-GB"/>
        </w:rPr>
        <w:t xml:space="preserve"> were also explored.</w:t>
      </w:r>
      <w:r w:rsidR="001E7AB8" w:rsidRPr="003412E0">
        <w:rPr>
          <w:lang w:val="en-GB"/>
        </w:rPr>
        <w:t xml:space="preserve"> </w:t>
      </w:r>
      <w:r w:rsidRPr="003412E0">
        <w:rPr>
          <w:lang w:val="en-GB"/>
        </w:rPr>
        <w:t xml:space="preserve">All the enzymatic biotransformations were initially carried out at 37 </w:t>
      </w:r>
      <w:r w:rsidRPr="003412E0">
        <w:rPr>
          <w:vertAlign w:val="superscript"/>
          <w:lang w:val="en-GB"/>
        </w:rPr>
        <w:t>o</w:t>
      </w:r>
      <w:r w:rsidRPr="003412E0">
        <w:rPr>
          <w:lang w:val="en-GB"/>
        </w:rPr>
        <w:t>C in a buffer solution (pH = 7.8) using DMF as co-solvent where appropriate, according to standard protocols.</w:t>
      </w:r>
      <w:r w:rsidRPr="003412E0">
        <w:rPr>
          <w:vertAlign w:val="superscript"/>
          <w:lang w:val="en-GB"/>
        </w:rPr>
        <w:t>11a</w:t>
      </w:r>
      <w:r w:rsidRPr="003412E0">
        <w:rPr>
          <w:lang w:val="en-GB"/>
        </w:rPr>
        <w:t xml:space="preserve"> The data are summarised in Table 1 and Table 2. The aryl-pyrrolines </w:t>
      </w:r>
      <w:r w:rsidRPr="003412E0">
        <w:rPr>
          <w:b/>
          <w:lang w:val="en-GB"/>
        </w:rPr>
        <w:t xml:space="preserve">7 </w:t>
      </w:r>
      <w:r w:rsidRPr="003412E0">
        <w:rPr>
          <w:lang w:val="en-GB"/>
        </w:rPr>
        <w:t xml:space="preserve">were converted into pyrroles </w:t>
      </w:r>
      <w:r w:rsidRPr="003412E0">
        <w:rPr>
          <w:b/>
          <w:lang w:val="en-GB"/>
        </w:rPr>
        <w:t>11</w:t>
      </w:r>
      <w:r w:rsidRPr="003412E0">
        <w:rPr>
          <w:lang w:val="en-GB"/>
        </w:rPr>
        <w:t xml:space="preserve"> with moderate to excellent yields depending on the substituent on the aryl group. The phenyl-pyrroline </w:t>
      </w:r>
      <w:r w:rsidRPr="003412E0">
        <w:rPr>
          <w:b/>
          <w:lang w:val="en-GB"/>
        </w:rPr>
        <w:t>7a</w:t>
      </w:r>
      <w:r w:rsidRPr="003412E0">
        <w:rPr>
          <w:lang w:val="en-GB"/>
        </w:rPr>
        <w:t xml:space="preserve"> was converted into pyrrole </w:t>
      </w:r>
      <w:r w:rsidRPr="003412E0">
        <w:rPr>
          <w:b/>
          <w:lang w:val="en-GB"/>
        </w:rPr>
        <w:t>11a</w:t>
      </w:r>
      <w:r w:rsidRPr="003412E0">
        <w:rPr>
          <w:lang w:val="en-GB"/>
        </w:rPr>
        <w:t xml:space="preserve"> by MAO-D5 and 6-HDNO in good amount (61%), whilst the variant D9 led to </w:t>
      </w:r>
      <w:r w:rsidRPr="003412E0">
        <w:rPr>
          <w:b/>
          <w:lang w:val="en-GB"/>
        </w:rPr>
        <w:t>11a</w:t>
      </w:r>
      <w:r w:rsidRPr="003412E0">
        <w:rPr>
          <w:lang w:val="en-GB"/>
        </w:rPr>
        <w:t xml:space="preserve"> in only 32% conversion. Full conversion (&gt;99%) of pyrrolines </w:t>
      </w:r>
      <w:r w:rsidRPr="003412E0">
        <w:rPr>
          <w:b/>
          <w:lang w:val="en-GB"/>
        </w:rPr>
        <w:t>7d</w:t>
      </w:r>
      <w:r w:rsidRPr="003412E0">
        <w:rPr>
          <w:lang w:val="en-GB"/>
        </w:rPr>
        <w:t xml:space="preserve"> and the 2-methyl-substituted </w:t>
      </w:r>
      <w:r w:rsidRPr="003412E0">
        <w:rPr>
          <w:b/>
          <w:lang w:val="en-GB"/>
        </w:rPr>
        <w:t>7i</w:t>
      </w:r>
      <w:r w:rsidRPr="003412E0">
        <w:rPr>
          <w:lang w:val="en-GB"/>
        </w:rPr>
        <w:t xml:space="preserve"> was observed with MAO-D5, whilst D9 and 6-HDNO proved to be less active. On the other hand, no conversion of the pyrrolines </w:t>
      </w:r>
      <w:r w:rsidRPr="003412E0">
        <w:rPr>
          <w:b/>
          <w:lang w:val="en-GB"/>
        </w:rPr>
        <w:t>7j-k</w:t>
      </w:r>
      <w:r w:rsidRPr="003412E0">
        <w:rPr>
          <w:lang w:val="en-GB"/>
        </w:rPr>
        <w:t xml:space="preserve"> into pyrroles bearing a phenyl substituent at C2 and C3 respectively was observed. Steric factors prevented </w:t>
      </w:r>
      <w:r w:rsidRPr="003412E0">
        <w:rPr>
          <w:b/>
          <w:lang w:val="en-GB"/>
        </w:rPr>
        <w:t>7j-k</w:t>
      </w:r>
      <w:r w:rsidRPr="003412E0">
        <w:rPr>
          <w:lang w:val="en-GB"/>
        </w:rPr>
        <w:t xml:space="preserve"> to enter into the catalytic site of MAO-D5 as shown by docking simulation in Figure 2.</w:t>
      </w:r>
      <w:r w:rsidRPr="003412E0">
        <w:rPr>
          <w:vertAlign w:val="superscript"/>
          <w:lang w:val="en-GB"/>
        </w:rPr>
        <w:t>14</w:t>
      </w:r>
      <w:r w:rsidRPr="003412E0">
        <w:rPr>
          <w:lang w:val="en-GB"/>
        </w:rPr>
        <w:t xml:space="preserve">Docking simulations were carried out in order to show the interaction of pyrrolines </w:t>
      </w:r>
      <w:r w:rsidRPr="003412E0">
        <w:rPr>
          <w:b/>
          <w:lang w:val="en-GB"/>
        </w:rPr>
        <w:t>7a</w:t>
      </w:r>
      <w:r w:rsidRPr="003412E0">
        <w:rPr>
          <w:lang w:val="en-GB"/>
        </w:rPr>
        <w:t xml:space="preserve"> and </w:t>
      </w:r>
      <w:r w:rsidRPr="003412E0">
        <w:rPr>
          <w:b/>
          <w:lang w:val="en-GB"/>
        </w:rPr>
        <w:t>7k</w:t>
      </w:r>
      <w:r w:rsidRPr="003412E0">
        <w:rPr>
          <w:lang w:val="en-GB"/>
        </w:rPr>
        <w:t xml:space="preserve"> within the catalytic site of MAO-D5 and explain the experimental data. Whilst </w:t>
      </w:r>
      <w:r w:rsidRPr="003412E0">
        <w:rPr>
          <w:b/>
          <w:lang w:val="en-GB"/>
        </w:rPr>
        <w:t>7a</w:t>
      </w:r>
      <w:r w:rsidRPr="003412E0">
        <w:rPr>
          <w:lang w:val="en-GB"/>
        </w:rPr>
        <w:t xml:space="preserve"> fits within the catalytic site of MAO-D5, the phenyl substituent (in yellow) of the bulkier </w:t>
      </w:r>
      <w:r w:rsidRPr="003412E0">
        <w:rPr>
          <w:b/>
          <w:lang w:val="en-GB"/>
        </w:rPr>
        <w:t>7k</w:t>
      </w:r>
      <w:r w:rsidRPr="003412E0">
        <w:rPr>
          <w:lang w:val="en-GB"/>
        </w:rPr>
        <w:t xml:space="preserve"> lays in a region of the catalytic site where an amino</w:t>
      </w:r>
      <w:r w:rsidR="00EF489E" w:rsidRPr="003412E0">
        <w:rPr>
          <w:lang w:val="en-GB"/>
        </w:rPr>
        <w:t xml:space="preserve"> acid</w:t>
      </w:r>
      <w:r w:rsidRPr="003412E0">
        <w:rPr>
          <w:lang w:val="en-GB"/>
        </w:rPr>
        <w:t xml:space="preserve"> residue is located, thus preventing </w:t>
      </w:r>
      <w:r w:rsidRPr="003412E0">
        <w:rPr>
          <w:b/>
          <w:lang w:val="en-GB"/>
        </w:rPr>
        <w:t xml:space="preserve">7k </w:t>
      </w:r>
      <w:r w:rsidRPr="003412E0">
        <w:rPr>
          <w:lang w:val="en-GB"/>
        </w:rPr>
        <w:t xml:space="preserve">from entering the enzyme's active site and being aromatized. Again, no conversion was observed when </w:t>
      </w:r>
      <w:r w:rsidRPr="003412E0">
        <w:rPr>
          <w:b/>
          <w:lang w:val="en-GB"/>
        </w:rPr>
        <w:t>7j-k</w:t>
      </w:r>
      <w:r w:rsidRPr="003412E0">
        <w:rPr>
          <w:lang w:val="en-GB"/>
        </w:rPr>
        <w:t xml:space="preserve"> were treated with the variant MAO-D11.The substrates </w:t>
      </w:r>
      <w:r w:rsidRPr="003412E0">
        <w:rPr>
          <w:b/>
          <w:lang w:val="en-GB"/>
        </w:rPr>
        <w:t>7g</w:t>
      </w:r>
      <w:r w:rsidRPr="003412E0">
        <w:rPr>
          <w:lang w:val="en-GB"/>
        </w:rPr>
        <w:t xml:space="preserve"> and </w:t>
      </w:r>
      <w:r w:rsidRPr="003412E0">
        <w:rPr>
          <w:b/>
          <w:lang w:val="en-GB"/>
        </w:rPr>
        <w:t>7h</w:t>
      </w:r>
      <w:r w:rsidRPr="003412E0">
        <w:rPr>
          <w:lang w:val="en-GB"/>
        </w:rPr>
        <w:t xml:space="preserve"> bearing an electron withdrawing substituent on the aromatic ring (-NO</w:t>
      </w:r>
      <w:r w:rsidRPr="003412E0">
        <w:rPr>
          <w:vertAlign w:val="subscript"/>
          <w:lang w:val="en-GB"/>
        </w:rPr>
        <w:t>2</w:t>
      </w:r>
      <w:r w:rsidRPr="003412E0">
        <w:rPr>
          <w:lang w:val="en-GB"/>
        </w:rPr>
        <w:t xml:space="preserve"> and -CN respectively) were not converted into corresponding pyrroles.</w:t>
      </w:r>
      <w:r w:rsidR="001E7AB8" w:rsidRPr="003412E0">
        <w:rPr>
          <w:lang w:val="en-GB"/>
        </w:rPr>
        <w:t xml:space="preserve"> </w:t>
      </w:r>
      <w:r w:rsidRPr="003412E0">
        <w:rPr>
          <w:lang w:val="en-GB"/>
        </w:rPr>
        <w:t>Despite the exact mechanism of action of MAO has not fully elucidated,</w:t>
      </w:r>
      <w:r w:rsidRPr="003412E0">
        <w:rPr>
          <w:vertAlign w:val="superscript"/>
          <w:lang w:val="en-GB"/>
        </w:rPr>
        <w:t xml:space="preserve">15 </w:t>
      </w:r>
      <w:r w:rsidRPr="003412E0">
        <w:rPr>
          <w:lang w:val="en-GB"/>
        </w:rPr>
        <w:t>one of the proposed model suggests that the oxidation of amines proceed</w:t>
      </w:r>
      <w:r w:rsidR="001E7AB8" w:rsidRPr="003412E0">
        <w:rPr>
          <w:lang w:val="en-GB"/>
        </w:rPr>
        <w:t>s</w:t>
      </w:r>
      <w:r w:rsidRPr="003412E0">
        <w:rPr>
          <w:lang w:val="en-GB"/>
        </w:rPr>
        <w:t xml:space="preserve"> through a nucleophilic mechanism where the amine attacks the FAD by nucleophilic addition and it is in turn oxidised to imine leading to the formation of the reduced FADH2.</w:t>
      </w:r>
      <w:r w:rsidRPr="003412E0">
        <w:rPr>
          <w:vertAlign w:val="superscript"/>
          <w:lang w:val="en-GB"/>
        </w:rPr>
        <w:t>16</w:t>
      </w:r>
      <w:r w:rsidR="006508DE" w:rsidRPr="003412E0">
        <w:rPr>
          <w:vertAlign w:val="superscript"/>
          <w:lang w:val="en-GB"/>
        </w:rPr>
        <w:t xml:space="preserve"> </w:t>
      </w:r>
      <w:r w:rsidRPr="003412E0">
        <w:rPr>
          <w:lang w:val="en-GB"/>
        </w:rPr>
        <w:t xml:space="preserve">Thus, it is likely that the electron withdrawing substituents on the phenyl ring of </w:t>
      </w:r>
      <w:r w:rsidRPr="003412E0">
        <w:rPr>
          <w:b/>
          <w:lang w:val="en-GB"/>
        </w:rPr>
        <w:t>7g-h</w:t>
      </w:r>
      <w:r w:rsidRPr="003412E0">
        <w:rPr>
          <w:lang w:val="en-GB"/>
        </w:rPr>
        <w:t xml:space="preserve"> reduce the electronic density and consequently the nucleophilicity of the pyrroline nitrogen, thus preventing the attack of </w:t>
      </w:r>
      <w:r w:rsidRPr="003412E0">
        <w:rPr>
          <w:b/>
          <w:lang w:val="en-GB"/>
        </w:rPr>
        <w:t>7g-h</w:t>
      </w:r>
      <w:r w:rsidRPr="003412E0">
        <w:rPr>
          <w:lang w:val="en-GB"/>
        </w:rPr>
        <w:t xml:space="preserve"> to FAD and their following oxidation into pyrroles.</w:t>
      </w:r>
      <w:r w:rsidRPr="003412E0">
        <w:rPr>
          <w:vertAlign w:val="superscript"/>
          <w:lang w:val="en-GB"/>
        </w:rPr>
        <w:t xml:space="preserve">17 </w:t>
      </w:r>
      <w:r w:rsidRPr="003412E0">
        <w:rPr>
          <w:lang w:val="en-GB"/>
        </w:rPr>
        <w:t xml:space="preserve">As further confirmation of this assumption, the more nucleophilic alkyl pyrrolines </w:t>
      </w:r>
      <w:r w:rsidRPr="003412E0">
        <w:rPr>
          <w:b/>
          <w:lang w:val="en-GB"/>
        </w:rPr>
        <w:t>10a-f</w:t>
      </w:r>
      <w:r w:rsidRPr="003412E0">
        <w:rPr>
          <w:lang w:val="en-GB"/>
        </w:rPr>
        <w:t xml:space="preserve"> were fully converted (&gt;99%) by MAO-D5. Table 2. Lower conversion (51-61%) values were observed when the same biotransformations were carried out with MAO-D9. The nicotine oxidase 6-HDNO was able to fully oxidise the benzyl-pyrroline </w:t>
      </w:r>
      <w:r w:rsidRPr="003412E0">
        <w:rPr>
          <w:b/>
          <w:lang w:val="en-GB"/>
        </w:rPr>
        <w:t>10a</w:t>
      </w:r>
      <w:r w:rsidRPr="003412E0">
        <w:rPr>
          <w:lang w:val="en-GB"/>
        </w:rPr>
        <w:t xml:space="preserve"> (95%) while lower conversion (65%) was observed for the bulkier cyclohexyl derivative </w:t>
      </w:r>
      <w:r w:rsidRPr="003412E0">
        <w:rPr>
          <w:b/>
          <w:lang w:val="en-GB"/>
        </w:rPr>
        <w:t>10f</w:t>
      </w:r>
      <w:r w:rsidRPr="003412E0">
        <w:rPr>
          <w:lang w:val="en-GB"/>
        </w:rPr>
        <w:t xml:space="preserve">. Pyrroline </w:t>
      </w:r>
      <w:r w:rsidRPr="003412E0">
        <w:rPr>
          <w:b/>
          <w:lang w:val="en-GB"/>
        </w:rPr>
        <w:t>10g</w:t>
      </w:r>
      <w:r w:rsidRPr="003412E0">
        <w:rPr>
          <w:lang w:val="en-GB"/>
        </w:rPr>
        <w:t xml:space="preserve"> bearing a bulky substituent on the nitrogen was oxidised in low yields as well as the benzyl pyrrolines </w:t>
      </w:r>
      <w:r w:rsidRPr="003412E0">
        <w:rPr>
          <w:b/>
          <w:lang w:val="en-GB"/>
        </w:rPr>
        <w:t xml:space="preserve">10h-i </w:t>
      </w:r>
      <w:r w:rsidRPr="003412E0">
        <w:rPr>
          <w:lang w:val="en-GB"/>
        </w:rPr>
        <w:t>bearing two methyl substituents on the heterocyclic nucleus (48-51%</w:t>
      </w:r>
      <w:r w:rsidR="00EF489E" w:rsidRPr="003412E0">
        <w:rPr>
          <w:lang w:val="en-GB"/>
        </w:rPr>
        <w:t xml:space="preserve"> of </w:t>
      </w:r>
      <w:r w:rsidR="00EF489E" w:rsidRPr="003412E0">
        <w:rPr>
          <w:b/>
          <w:lang w:val="en-GB"/>
        </w:rPr>
        <w:t>12h-12i</w:t>
      </w:r>
      <w:r w:rsidRPr="003412E0">
        <w:rPr>
          <w:lang w:val="en-GB"/>
        </w:rPr>
        <w:t xml:space="preserve">). Finally, the aromatization of </w:t>
      </w:r>
      <w:r w:rsidRPr="003412E0">
        <w:rPr>
          <w:b/>
          <w:lang w:val="en-GB"/>
        </w:rPr>
        <w:t>10j-k</w:t>
      </w:r>
      <w:r w:rsidRPr="003412E0">
        <w:rPr>
          <w:lang w:val="en-GB"/>
        </w:rPr>
        <w:t xml:space="preserve"> bearing a phenyl substituent on the pyrroline nucleus was investigated. Interestingly, the secondary pyrroline </w:t>
      </w:r>
      <w:r w:rsidRPr="003412E0">
        <w:rPr>
          <w:b/>
          <w:lang w:val="en-GB"/>
        </w:rPr>
        <w:t>9c</w:t>
      </w:r>
      <w:r w:rsidRPr="003412E0">
        <w:rPr>
          <w:lang w:val="en-GB"/>
        </w:rPr>
        <w:t xml:space="preserve"> was poorly converted into the pyrrole </w:t>
      </w:r>
      <w:r w:rsidRPr="003412E0">
        <w:rPr>
          <w:b/>
          <w:lang w:val="en-GB"/>
        </w:rPr>
        <w:t>12l</w:t>
      </w:r>
      <w:r w:rsidRPr="003412E0">
        <w:rPr>
          <w:lang w:val="en-GB"/>
        </w:rPr>
        <w:t xml:space="preserve"> by all the set of amino oxidase catalysts, whilst excellent conversion values were observed for the tertiary pyrroline </w:t>
      </w:r>
      <w:r w:rsidRPr="003412E0">
        <w:rPr>
          <w:b/>
          <w:lang w:val="en-GB"/>
        </w:rPr>
        <w:t>10j</w:t>
      </w:r>
      <w:r w:rsidRPr="003412E0">
        <w:rPr>
          <w:lang w:val="en-GB"/>
        </w:rPr>
        <w:t xml:space="preserve">. Lower conversion for </w:t>
      </w:r>
      <w:r w:rsidRPr="003412E0">
        <w:rPr>
          <w:b/>
          <w:lang w:val="en-GB"/>
        </w:rPr>
        <w:t>10k</w:t>
      </w:r>
      <w:r w:rsidRPr="003412E0">
        <w:rPr>
          <w:lang w:val="en-GB"/>
        </w:rPr>
        <w:t xml:space="preserve"> was observed due to steric factors.</w:t>
      </w:r>
    </w:p>
    <w:p w:rsidR="00E0299B" w:rsidRPr="003412E0" w:rsidRDefault="006E0D2C" w:rsidP="00E0299B">
      <w:pPr>
        <w:pStyle w:val="TAMainText"/>
        <w:spacing w:after="240"/>
        <w:rPr>
          <w:lang w:val="en-GB"/>
        </w:rPr>
      </w:pPr>
      <w:r w:rsidRPr="003412E0">
        <w:rPr>
          <w:rFonts w:ascii="Times New Roman" w:hAnsi="Times New Roman"/>
        </w:rPr>
        <w:t>One of the most intriguing challenge for chemists and biologists is represented by the possibility to combine chemo- and enzymatic catalysis in a concurrent fashion, due to the compatibility issues of the catalysts and the different reaction conditions in which these generally operate.</w:t>
      </w:r>
      <w:r w:rsidR="009C3B57" w:rsidRPr="003412E0">
        <w:rPr>
          <w:rFonts w:ascii="Times New Roman" w:hAnsi="Times New Roman"/>
          <w:vertAlign w:val="superscript"/>
        </w:rPr>
        <w:t>18</w:t>
      </w:r>
      <w:r w:rsidRPr="003412E0">
        <w:rPr>
          <w:rFonts w:ascii="Times New Roman" w:hAnsi="Times New Roman"/>
        </w:rPr>
        <w:t xml:space="preserve"> </w:t>
      </w:r>
      <w:r w:rsidR="00EC7F93" w:rsidRPr="003412E0">
        <w:rPr>
          <w:rFonts w:ascii="Times New Roman" w:hAnsi="Times New Roman"/>
        </w:rPr>
        <w:t>T</w:t>
      </w:r>
      <w:r w:rsidRPr="003412E0">
        <w:rPr>
          <w:rFonts w:ascii="Times New Roman" w:hAnsi="Times New Roman"/>
        </w:rPr>
        <w:t xml:space="preserve">he combination of chemo- and bio-catalysis offers opportunities to outperform sequential transformations and the development of one-pot multistep-cascade reactions containing both transition-metal catalysts and enzymes is highly appealing in terms of both selectivity and synthetic efficiency. Moreover, cascade reactions offer additional benefits other than the immediate succession of the individual transformations, such as the almost instantaneous consumption of toxic or unstable intermediates without the requirement of intermediate isolation or functional group protection strategies, leading to safer processes and to the reduction of undesired side products. </w:t>
      </w:r>
      <w:r w:rsidRPr="003412E0">
        <w:rPr>
          <w:lang w:val="en-GB"/>
        </w:rPr>
        <w:t>Thus, the</w:t>
      </w:r>
      <w:r w:rsidR="00F8137E" w:rsidRPr="003412E0">
        <w:rPr>
          <w:lang w:val="en-GB"/>
        </w:rPr>
        <w:t xml:space="preserve"> combination of RCM reactions with MAO biocatalysts in the same reaction medium was investigated with the aim to develop a chemoenzymatic cascade synthesis of pyrr</w:t>
      </w:r>
      <w:r w:rsidR="006508DE" w:rsidRPr="003412E0">
        <w:rPr>
          <w:lang w:val="en-GB"/>
        </w:rPr>
        <w:t>oles from allyl-amines/anilines as shown in</w:t>
      </w:r>
      <w:r w:rsidR="00F8137E" w:rsidRPr="003412E0">
        <w:rPr>
          <w:lang w:val="en-GB"/>
        </w:rPr>
        <w:t xml:space="preserve"> Table 3. The diallylaniline </w:t>
      </w:r>
      <w:r w:rsidR="00F8137E" w:rsidRPr="003412E0">
        <w:rPr>
          <w:b/>
          <w:lang w:val="en-GB"/>
        </w:rPr>
        <w:t>6a</w:t>
      </w:r>
      <w:r w:rsidR="00F8137E" w:rsidRPr="003412E0">
        <w:rPr>
          <w:lang w:val="en-GB"/>
        </w:rPr>
        <w:t xml:space="preserve"> was first dissolved in a 1:60 DMF/Buffer pH=7.8 solution and treated simultaneously with 5mol% Grubbs' catalyst </w:t>
      </w:r>
      <w:r w:rsidR="00F8137E" w:rsidRPr="003412E0">
        <w:rPr>
          <w:b/>
          <w:lang w:val="en-GB"/>
        </w:rPr>
        <w:t>GII</w:t>
      </w:r>
      <w:r w:rsidR="00F8137E" w:rsidRPr="003412E0">
        <w:rPr>
          <w:lang w:val="en-GB"/>
        </w:rPr>
        <w:t xml:space="preserve"> and MAO-D5 at 37 </w:t>
      </w:r>
      <w:r w:rsidR="00F8137E" w:rsidRPr="003412E0">
        <w:rPr>
          <w:vertAlign w:val="superscript"/>
          <w:lang w:val="en-GB"/>
        </w:rPr>
        <w:t>o</w:t>
      </w:r>
      <w:r w:rsidR="00F8137E" w:rsidRPr="003412E0">
        <w:rPr>
          <w:lang w:val="en-GB"/>
        </w:rPr>
        <w:t xml:space="preserve">C. Aniline </w:t>
      </w:r>
      <w:r w:rsidR="00F8137E" w:rsidRPr="003412E0">
        <w:rPr>
          <w:b/>
          <w:lang w:val="en-GB"/>
        </w:rPr>
        <w:t>6a</w:t>
      </w:r>
      <w:r w:rsidR="00F8137E" w:rsidRPr="003412E0">
        <w:rPr>
          <w:lang w:val="en-GB"/>
        </w:rPr>
        <w:t xml:space="preserve"> was recovered from the reaction mixture after 24h and only 10% of 3-pyrroline </w:t>
      </w:r>
      <w:r w:rsidR="00F8137E" w:rsidRPr="003412E0">
        <w:rPr>
          <w:b/>
          <w:lang w:val="en-GB"/>
        </w:rPr>
        <w:t>7a</w:t>
      </w:r>
      <w:r w:rsidR="00F8137E" w:rsidRPr="003412E0">
        <w:rPr>
          <w:lang w:val="en-GB"/>
        </w:rPr>
        <w:t xml:space="preserve"> was obtained, whilst no traces of the pyrrole </w:t>
      </w:r>
      <w:r w:rsidR="00F8137E" w:rsidRPr="003412E0">
        <w:rPr>
          <w:b/>
          <w:lang w:val="en-GB"/>
        </w:rPr>
        <w:t>11a</w:t>
      </w:r>
      <w:r w:rsidR="00F8137E" w:rsidRPr="003412E0">
        <w:rPr>
          <w:lang w:val="en-GB"/>
        </w:rPr>
        <w:t xml:space="preserve"> were detected (</w:t>
      </w:r>
      <w:r w:rsidR="00F8137E" w:rsidRPr="003412E0">
        <w:rPr>
          <w:i/>
          <w:lang w:val="en-GB"/>
        </w:rPr>
        <w:t>entry 1</w:t>
      </w:r>
      <w:r w:rsidR="00F8137E" w:rsidRPr="003412E0">
        <w:rPr>
          <w:lang w:val="en-GB"/>
        </w:rPr>
        <w:t xml:space="preserve">). On the opposite, 90% of </w:t>
      </w:r>
      <w:r w:rsidR="00F8137E" w:rsidRPr="003412E0">
        <w:rPr>
          <w:b/>
          <w:lang w:val="en-GB"/>
        </w:rPr>
        <w:t>7a</w:t>
      </w:r>
      <w:r w:rsidR="00F8137E" w:rsidRPr="003412E0">
        <w:rPr>
          <w:lang w:val="en-GB"/>
        </w:rPr>
        <w:t xml:space="preserve"> was obtained when the same biotransformation was performed in 1:60 acetone/buffer mixture. Again no traces of </w:t>
      </w:r>
      <w:r w:rsidR="00F8137E" w:rsidRPr="003412E0">
        <w:rPr>
          <w:b/>
          <w:lang w:val="en-GB"/>
        </w:rPr>
        <w:t>11a</w:t>
      </w:r>
      <w:r w:rsidR="00F8137E" w:rsidRPr="003412E0">
        <w:rPr>
          <w:lang w:val="en-GB"/>
        </w:rPr>
        <w:t xml:space="preserve"> were observed (</w:t>
      </w:r>
      <w:r w:rsidR="00F8137E" w:rsidRPr="003412E0">
        <w:rPr>
          <w:i/>
          <w:lang w:val="en-GB"/>
        </w:rPr>
        <w:t>entry 2</w:t>
      </w:r>
      <w:r w:rsidR="00F8137E" w:rsidRPr="003412E0">
        <w:rPr>
          <w:lang w:val="en-GB"/>
        </w:rPr>
        <w:t xml:space="preserve">). It is known that acetone is a more suitable solvent for RCM reaction than DMF, thus accounting for the higher amount of </w:t>
      </w:r>
      <w:r w:rsidR="00F8137E" w:rsidRPr="003412E0">
        <w:rPr>
          <w:b/>
          <w:lang w:val="en-GB"/>
        </w:rPr>
        <w:t>7a</w:t>
      </w:r>
      <w:r w:rsidR="00F8137E" w:rsidRPr="003412E0">
        <w:rPr>
          <w:lang w:val="en-GB"/>
        </w:rPr>
        <w:t xml:space="preserve"> detected in the second case.</w:t>
      </w:r>
      <w:r w:rsidR="00F8137E" w:rsidRPr="003412E0">
        <w:rPr>
          <w:vertAlign w:val="superscript"/>
          <w:lang w:val="en-GB"/>
        </w:rPr>
        <w:t>1</w:t>
      </w:r>
      <w:r w:rsidR="009B435D" w:rsidRPr="003412E0">
        <w:rPr>
          <w:vertAlign w:val="superscript"/>
          <w:lang w:val="en-GB"/>
        </w:rPr>
        <w:t xml:space="preserve">9 </w:t>
      </w:r>
      <w:r w:rsidR="00F8137E" w:rsidRPr="003412E0">
        <w:t>Increasing the co-solvent/buffer ratio to 1:4 and using different water-miscible co-solvents (THF and DMSO) (</w:t>
      </w:r>
      <w:r w:rsidR="00F8137E" w:rsidRPr="003412E0">
        <w:rPr>
          <w:i/>
        </w:rPr>
        <w:t>entries 4-7</w:t>
      </w:r>
      <w:r w:rsidR="00F8137E" w:rsidRPr="003412E0">
        <w:t xml:space="preserve">) did not affect the outcome of the biotransformation. In all cases, variable amounts of the RCM product </w:t>
      </w:r>
      <w:r w:rsidR="00F8137E" w:rsidRPr="003412E0">
        <w:rPr>
          <w:b/>
        </w:rPr>
        <w:t>7a</w:t>
      </w:r>
      <w:r w:rsidR="00F8137E" w:rsidRPr="003412E0">
        <w:t xml:space="preserve"> were detected but no traces of the desired pyrrole </w:t>
      </w:r>
      <w:r w:rsidR="00F8137E" w:rsidRPr="003412E0">
        <w:rPr>
          <w:b/>
        </w:rPr>
        <w:t>11a</w:t>
      </w:r>
      <w:r w:rsidR="00F8137E" w:rsidRPr="003412E0">
        <w:t xml:space="preserve"> were obtained.</w:t>
      </w:r>
      <w:r w:rsidR="001E7AB8" w:rsidRPr="003412E0">
        <w:t xml:space="preserve"> </w:t>
      </w:r>
      <w:r w:rsidR="00F8137E" w:rsidRPr="003412E0">
        <w:t xml:space="preserve">Previous works </w:t>
      </w:r>
      <w:r w:rsidR="00E0299B" w:rsidRPr="003412E0">
        <w:t>demonstrated</w:t>
      </w:r>
      <w:r w:rsidR="00F8137E" w:rsidRPr="003412E0">
        <w:t xml:space="preserve"> that MAO biocatalysts </w:t>
      </w:r>
      <w:r w:rsidR="00902B11" w:rsidRPr="003412E0">
        <w:t>suffer the co-presence of chemo</w:t>
      </w:r>
      <w:r w:rsidR="00F8137E" w:rsidRPr="003412E0">
        <w:t>catalysts in the same reaction medium.</w:t>
      </w:r>
      <w:r w:rsidR="00F8137E" w:rsidRPr="003412E0">
        <w:rPr>
          <w:vertAlign w:val="superscript"/>
        </w:rPr>
        <w:t>11c</w:t>
      </w:r>
      <w:r w:rsidR="00F8137E" w:rsidRPr="003412E0">
        <w:t xml:space="preserve"> Recently, </w:t>
      </w:r>
      <w:r w:rsidR="00E0299B" w:rsidRPr="003412E0">
        <w:t>Hartwig and Zhao</w:t>
      </w:r>
      <w:r w:rsidR="001E7AB8" w:rsidRPr="003412E0">
        <w:t xml:space="preserve"> </w:t>
      </w:r>
      <w:r w:rsidR="00E0299B" w:rsidRPr="003412E0">
        <w:t xml:space="preserve">showed </w:t>
      </w:r>
      <w:r w:rsidR="00F8137E" w:rsidRPr="003412E0">
        <w:t>that iso-octane can work as excellent co-solvent in chemoenzymatic biotransformations, due to its ability to form a biphasic system with low mass transfer together with the buffer solution.</w:t>
      </w:r>
      <w:r w:rsidR="009B435D" w:rsidRPr="003412E0">
        <w:rPr>
          <w:vertAlign w:val="superscript"/>
        </w:rPr>
        <w:t>20,18a</w:t>
      </w:r>
      <w:r w:rsidR="00F8137E" w:rsidRPr="003412E0">
        <w:t xml:space="preserve"> When the chemoenzymatic reaction was carried out in an iso</w:t>
      </w:r>
      <w:r w:rsidR="00EF489E" w:rsidRPr="003412E0">
        <w:t>-</w:t>
      </w:r>
      <w:r w:rsidR="00F8137E" w:rsidRPr="003412E0">
        <w:t xml:space="preserve">octane/buffer 1:4 mixture (entry 8), the pyrrole </w:t>
      </w:r>
      <w:r w:rsidR="00F8137E" w:rsidRPr="003412E0">
        <w:rPr>
          <w:b/>
        </w:rPr>
        <w:t>11a</w:t>
      </w:r>
      <w:r w:rsidR="00F8137E" w:rsidRPr="003412E0">
        <w:t xml:space="preserve"> was obtained as main product in high yield together with negligible amount of </w:t>
      </w:r>
      <w:r w:rsidR="00F8137E" w:rsidRPr="003412E0">
        <w:rPr>
          <w:b/>
        </w:rPr>
        <w:t>7a</w:t>
      </w:r>
      <w:r w:rsidR="00F8137E" w:rsidRPr="003412E0">
        <w:t>.  The use of the non-water miscible co-solvent iso</w:t>
      </w:r>
      <w:r w:rsidR="00EF489E" w:rsidRPr="003412E0">
        <w:t>-</w:t>
      </w:r>
      <w:r w:rsidR="00F8137E" w:rsidRPr="003412E0">
        <w:t xml:space="preserve">octane proved to be crucial to prevent the interaction between the Ru-catalyst and the MAO-D5 and avoid the deactivation of the enzyme </w:t>
      </w:r>
      <w:r w:rsidR="001E7AB8" w:rsidRPr="003412E0">
        <w:t xml:space="preserve">probably </w:t>
      </w:r>
      <w:r w:rsidR="00F8137E" w:rsidRPr="003412E0">
        <w:t>due to the Ru binding. In fact, in an immiscible iso</w:t>
      </w:r>
      <w:r w:rsidR="00EF489E" w:rsidRPr="003412E0">
        <w:t>-</w:t>
      </w:r>
      <w:r w:rsidR="00F8137E" w:rsidRPr="003412E0">
        <w:t>octane-buffer mixture, t</w:t>
      </w:r>
      <w:r w:rsidR="001E7AB8" w:rsidRPr="003412E0">
        <w:t>he homogeneous Ru-catalyst is pa</w:t>
      </w:r>
      <w:r w:rsidR="00F8137E" w:rsidRPr="003412E0">
        <w:t xml:space="preserve">rtioned in the organic phase, while the biocatalyst is suspended in water. The diene </w:t>
      </w:r>
      <w:r w:rsidR="00F8137E" w:rsidRPr="003412E0">
        <w:rPr>
          <w:b/>
        </w:rPr>
        <w:t>6a</w:t>
      </w:r>
      <w:r w:rsidR="00F8137E" w:rsidRPr="003412E0">
        <w:t xml:space="preserve"> is converted by </w:t>
      </w:r>
      <w:r w:rsidR="00F8137E" w:rsidRPr="003412E0">
        <w:rPr>
          <w:b/>
        </w:rPr>
        <w:t>GII</w:t>
      </w:r>
      <w:r w:rsidR="00F8137E" w:rsidRPr="003412E0">
        <w:t xml:space="preserve"> into the 3-pyrroline </w:t>
      </w:r>
      <w:r w:rsidR="00F8137E" w:rsidRPr="003412E0">
        <w:rPr>
          <w:b/>
        </w:rPr>
        <w:t>7a</w:t>
      </w:r>
      <w:r w:rsidR="00F8137E" w:rsidRPr="003412E0">
        <w:t xml:space="preserve"> i</w:t>
      </w:r>
      <w:r w:rsidR="00E0299B" w:rsidRPr="003412E0">
        <w:t>n the iso</w:t>
      </w:r>
      <w:r w:rsidR="00EF489E" w:rsidRPr="003412E0">
        <w:t>-</w:t>
      </w:r>
      <w:r w:rsidR="00E0299B" w:rsidRPr="003412E0">
        <w:t>octane phase, and then</w:t>
      </w:r>
      <w:r w:rsidR="00F8137E" w:rsidRPr="003412E0">
        <w:rPr>
          <w:b/>
        </w:rPr>
        <w:t>7a</w:t>
      </w:r>
      <w:r w:rsidR="00E0299B" w:rsidRPr="003412E0">
        <w:t xml:space="preserve"> is oxidiz</w:t>
      </w:r>
      <w:r w:rsidR="00F8137E" w:rsidRPr="003412E0">
        <w:t xml:space="preserve">ed by MAO-D5 leading to the desired pyrrole </w:t>
      </w:r>
      <w:r w:rsidR="00F8137E" w:rsidRPr="003412E0">
        <w:rPr>
          <w:b/>
        </w:rPr>
        <w:t>11a</w:t>
      </w:r>
      <w:r w:rsidR="00F8137E" w:rsidRPr="003412E0">
        <w:t>. The biphasic reaction medium acts mimicking the compartmentalization of cellular processes allowing thus the cascade reactions to take place in an efficient manner.  The scope of the chemoenzymatic</w:t>
      </w:r>
      <w:r w:rsidR="006508DE" w:rsidRPr="003412E0">
        <w:t xml:space="preserve"> cascade was then investigated as shown in </w:t>
      </w:r>
      <w:r w:rsidR="00F8137E" w:rsidRPr="003412E0">
        <w:t xml:space="preserve">Table 4. Pyrrole </w:t>
      </w:r>
      <w:r w:rsidR="00F8137E" w:rsidRPr="003412E0">
        <w:rPr>
          <w:b/>
        </w:rPr>
        <w:t>11a</w:t>
      </w:r>
      <w:r w:rsidR="00F8137E" w:rsidRPr="003412E0">
        <w:t xml:space="preserve"> was obtained in 88% conversion and 78% isolated yield (method A). With the aim to improve the yield of the reaction, a two step</w:t>
      </w:r>
      <w:r w:rsidR="00E0299B" w:rsidRPr="003412E0">
        <w:t>s</w:t>
      </w:r>
      <w:r w:rsidR="00F8137E" w:rsidRPr="003412E0">
        <w:t xml:space="preserve"> method was also set up. Allylaniline </w:t>
      </w:r>
      <w:r w:rsidR="00F8137E" w:rsidRPr="003412E0">
        <w:rPr>
          <w:b/>
        </w:rPr>
        <w:t>6a</w:t>
      </w:r>
      <w:r w:rsidR="00F8137E" w:rsidRPr="003412E0">
        <w:t xml:space="preserve"> was mixed with </w:t>
      </w:r>
      <w:r w:rsidR="00F8137E" w:rsidRPr="003412E0">
        <w:rPr>
          <w:b/>
        </w:rPr>
        <w:t>GII</w:t>
      </w:r>
      <w:r w:rsidR="00F8137E" w:rsidRPr="003412E0">
        <w:t xml:space="preserve"> and MAO-D5 and stirred at 37 </w:t>
      </w:r>
      <w:r w:rsidR="00F8137E" w:rsidRPr="003412E0">
        <w:rPr>
          <w:vertAlign w:val="superscript"/>
        </w:rPr>
        <w:t>o</w:t>
      </w:r>
      <w:r w:rsidR="00F8137E" w:rsidRPr="003412E0">
        <w:t xml:space="preserve">C for 6 h, after which time an additional amount of MAO-D5 was added (method B). Higher conversion (95%) was observed with the one-pot two steps protocol, but </w:t>
      </w:r>
      <w:r w:rsidR="00F8137E" w:rsidRPr="003412E0">
        <w:rPr>
          <w:b/>
        </w:rPr>
        <w:t>11a</w:t>
      </w:r>
      <w:r w:rsidR="00F8137E" w:rsidRPr="003412E0">
        <w:t xml:space="preserve"> was isolated in lower yield (65%) (</w:t>
      </w:r>
      <w:r w:rsidR="00F8137E" w:rsidRPr="003412E0">
        <w:rPr>
          <w:i/>
        </w:rPr>
        <w:t>entry 2</w:t>
      </w:r>
      <w:r w:rsidR="00F8137E" w:rsidRPr="003412E0">
        <w:t xml:space="preserve">). It is noteworthy that the treatment of </w:t>
      </w:r>
      <w:r w:rsidR="00F8137E" w:rsidRPr="003412E0">
        <w:rPr>
          <w:b/>
        </w:rPr>
        <w:t>7a</w:t>
      </w:r>
      <w:r w:rsidR="00F8137E" w:rsidRPr="003412E0">
        <w:t xml:space="preserve"> with MAO-D5 led to </w:t>
      </w:r>
      <w:r w:rsidR="00F8137E" w:rsidRPr="003412E0">
        <w:rPr>
          <w:b/>
        </w:rPr>
        <w:t>11a</w:t>
      </w:r>
      <w:r w:rsidR="00F8137E" w:rsidRPr="003412E0">
        <w:t xml:space="preserve"> with 61% conversion, whilst the chemoenzymatic cascade led to </w:t>
      </w:r>
      <w:r w:rsidR="00F8137E" w:rsidRPr="003412E0">
        <w:rPr>
          <w:b/>
        </w:rPr>
        <w:t>11a</w:t>
      </w:r>
      <w:r w:rsidR="00F8137E" w:rsidRPr="003412E0">
        <w:t xml:space="preserve"> from </w:t>
      </w:r>
      <w:r w:rsidR="00F8137E" w:rsidRPr="003412E0">
        <w:rPr>
          <w:b/>
        </w:rPr>
        <w:t>6a</w:t>
      </w:r>
      <w:r w:rsidR="00F8137E" w:rsidRPr="003412E0">
        <w:t xml:space="preserve"> in 95% conversion.</w:t>
      </w:r>
      <w:r w:rsidR="00F8137E" w:rsidRPr="003412E0">
        <w:rPr>
          <w:lang w:val="en-GB"/>
        </w:rPr>
        <w:t xml:space="preserve">It is plausible that in the chemoenzymatic cascade the aniline </w:t>
      </w:r>
      <w:r w:rsidR="00F8137E" w:rsidRPr="003412E0">
        <w:rPr>
          <w:b/>
          <w:lang w:val="en-GB"/>
        </w:rPr>
        <w:t>6a</w:t>
      </w:r>
      <w:r w:rsidR="00F8137E" w:rsidRPr="003412E0">
        <w:rPr>
          <w:lang w:val="en-GB"/>
        </w:rPr>
        <w:t xml:space="preserve"> is converted into the pyrroline </w:t>
      </w:r>
      <w:r w:rsidR="00F8137E" w:rsidRPr="003412E0">
        <w:rPr>
          <w:b/>
          <w:lang w:val="en-GB"/>
        </w:rPr>
        <w:t>7a</w:t>
      </w:r>
      <w:r w:rsidR="00F8137E" w:rsidRPr="003412E0">
        <w:rPr>
          <w:lang w:val="en-GB"/>
        </w:rPr>
        <w:t xml:space="preserve"> slowly. As soon as </w:t>
      </w:r>
      <w:r w:rsidR="00F8137E" w:rsidRPr="003412E0">
        <w:rPr>
          <w:b/>
          <w:lang w:val="en-GB"/>
        </w:rPr>
        <w:t>7a</w:t>
      </w:r>
      <w:r w:rsidR="00F8137E" w:rsidRPr="003412E0">
        <w:rPr>
          <w:lang w:val="en-GB"/>
        </w:rPr>
        <w:t xml:space="preserve"> if formed, it is immediately oxidised by MAO-D5 affording </w:t>
      </w:r>
      <w:r w:rsidR="00F8137E" w:rsidRPr="003412E0">
        <w:rPr>
          <w:b/>
          <w:lang w:val="en-GB"/>
        </w:rPr>
        <w:t>11a</w:t>
      </w:r>
      <w:r w:rsidR="00F8137E" w:rsidRPr="003412E0">
        <w:rPr>
          <w:lang w:val="en-GB"/>
        </w:rPr>
        <w:t xml:space="preserve">. In this way only a low amount of </w:t>
      </w:r>
      <w:r w:rsidR="00F8137E" w:rsidRPr="003412E0">
        <w:rPr>
          <w:b/>
          <w:lang w:val="en-GB"/>
        </w:rPr>
        <w:t>7a</w:t>
      </w:r>
      <w:r w:rsidR="00F8137E" w:rsidRPr="003412E0">
        <w:rPr>
          <w:lang w:val="en-GB"/>
        </w:rPr>
        <w:t xml:space="preserve"> is oxidised by MAO-D5 time by time allowing a more rapid enzyme turnover. Similarly, pyrroles </w:t>
      </w:r>
      <w:r w:rsidR="00F8137E" w:rsidRPr="003412E0">
        <w:rPr>
          <w:b/>
          <w:lang w:val="en-GB"/>
        </w:rPr>
        <w:t>11b</w:t>
      </w:r>
      <w:r w:rsidR="00F8137E" w:rsidRPr="003412E0">
        <w:rPr>
          <w:lang w:val="en-GB"/>
        </w:rPr>
        <w:t xml:space="preserve"> and </w:t>
      </w:r>
      <w:r w:rsidR="00F8137E" w:rsidRPr="003412E0">
        <w:rPr>
          <w:b/>
          <w:lang w:val="en-GB"/>
        </w:rPr>
        <w:t>11l</w:t>
      </w:r>
      <w:r w:rsidR="00F8137E" w:rsidRPr="003412E0">
        <w:rPr>
          <w:lang w:val="en-GB"/>
        </w:rPr>
        <w:t xml:space="preserve"> (</w:t>
      </w:r>
      <w:r w:rsidR="00F8137E" w:rsidRPr="003412E0">
        <w:rPr>
          <w:i/>
          <w:lang w:val="en-GB"/>
        </w:rPr>
        <w:t>entries 5-6, 11-12</w:t>
      </w:r>
      <w:r w:rsidR="00F8137E" w:rsidRPr="003412E0">
        <w:rPr>
          <w:lang w:val="en-GB"/>
        </w:rPr>
        <w:t>) were isolated in high yields when the one-pot one-step method A was used whilst higher conversion values were observed with the two steps one-pot protocol B. As general trend, excellent conversion and high yields were observed for pyrroles bearing chloro- (</w:t>
      </w:r>
      <w:r w:rsidR="00F8137E" w:rsidRPr="003412E0">
        <w:rPr>
          <w:b/>
          <w:lang w:val="en-GB"/>
        </w:rPr>
        <w:t>11l</w:t>
      </w:r>
      <w:r w:rsidR="00F8137E" w:rsidRPr="003412E0">
        <w:rPr>
          <w:lang w:val="en-GB"/>
        </w:rPr>
        <w:t>), methyl-(</w:t>
      </w:r>
      <w:r w:rsidR="00F8137E" w:rsidRPr="003412E0">
        <w:rPr>
          <w:b/>
          <w:lang w:val="en-GB"/>
        </w:rPr>
        <w:t>11m</w:t>
      </w:r>
      <w:r w:rsidR="00F8137E" w:rsidRPr="003412E0">
        <w:rPr>
          <w:lang w:val="en-GB"/>
        </w:rPr>
        <w:t>) and alkoxy-substituents (</w:t>
      </w:r>
      <w:r w:rsidR="00F8137E" w:rsidRPr="003412E0">
        <w:rPr>
          <w:b/>
          <w:lang w:val="en-GB"/>
        </w:rPr>
        <w:t>11n</w:t>
      </w:r>
      <w:r w:rsidR="00F8137E" w:rsidRPr="003412E0">
        <w:rPr>
          <w:lang w:val="en-GB"/>
        </w:rPr>
        <w:t>,</w:t>
      </w:r>
      <w:r w:rsidR="00F8137E" w:rsidRPr="003412E0">
        <w:rPr>
          <w:b/>
          <w:lang w:val="en-GB"/>
        </w:rPr>
        <w:t xml:space="preserve"> 11o</w:t>
      </w:r>
      <w:r w:rsidR="00F8137E" w:rsidRPr="003412E0">
        <w:rPr>
          <w:lang w:val="en-GB"/>
        </w:rPr>
        <w:t>) (</w:t>
      </w:r>
      <w:r w:rsidR="00F8137E" w:rsidRPr="003412E0">
        <w:rPr>
          <w:i/>
          <w:lang w:val="en-GB"/>
        </w:rPr>
        <w:t>entries 11-17</w:t>
      </w:r>
      <w:r w:rsidR="00F8137E" w:rsidRPr="003412E0">
        <w:rPr>
          <w:lang w:val="en-GB"/>
        </w:rPr>
        <w:t xml:space="preserve">).  Medium to good conversion (50-75%) was observed for pyrroles </w:t>
      </w:r>
      <w:r w:rsidR="00F8137E" w:rsidRPr="003412E0">
        <w:rPr>
          <w:b/>
          <w:lang w:val="en-GB"/>
        </w:rPr>
        <w:t xml:space="preserve">11d-e </w:t>
      </w:r>
      <w:r w:rsidR="00F8137E" w:rsidRPr="003412E0">
        <w:rPr>
          <w:lang w:val="en-GB"/>
        </w:rPr>
        <w:t>(</w:t>
      </w:r>
      <w:r w:rsidR="00F8137E" w:rsidRPr="003412E0">
        <w:rPr>
          <w:i/>
          <w:lang w:val="en-GB"/>
        </w:rPr>
        <w:t>entries 6-8</w:t>
      </w:r>
      <w:r w:rsidR="00F8137E" w:rsidRPr="003412E0">
        <w:rPr>
          <w:lang w:val="en-GB"/>
        </w:rPr>
        <w:t>) probably due to the lower reactivity of electron-rich diallylani</w:t>
      </w:r>
      <w:r w:rsidR="00D514DF" w:rsidRPr="003412E0">
        <w:rPr>
          <w:lang w:val="en-GB"/>
        </w:rPr>
        <w:t>lines toward the RCM reaction. In fact, s</w:t>
      </w:r>
      <w:r w:rsidR="00F8137E" w:rsidRPr="003412E0">
        <w:rPr>
          <w:lang w:val="en-GB"/>
        </w:rPr>
        <w:t xml:space="preserve">everal factors must be taken into account in the chemoenzymatic cascade, such as the reactivity of anilines in the metathesis reaction, where electron donating substituents on the phenyl ring disfavour the ring closure, as well as the biocatalytic oxidation, where electron withdrawing substituents prevent the pyrroline oxidation. </w:t>
      </w:r>
    </w:p>
    <w:p w:rsidR="00F8137E" w:rsidRPr="003412E0" w:rsidRDefault="00F8137E" w:rsidP="00E0299B">
      <w:pPr>
        <w:pStyle w:val="TAMainText"/>
        <w:spacing w:after="240"/>
        <w:rPr>
          <w:lang w:val="en-GB"/>
        </w:rPr>
      </w:pPr>
      <w:r w:rsidRPr="003412E0">
        <w:rPr>
          <w:lang w:val="en-GB"/>
        </w:rPr>
        <w:t xml:space="preserve">The chemoenzymatic cascade of alkyl-diallylamines was finally investigated. Not surprisingly, the benzylpyrrole </w:t>
      </w:r>
      <w:r w:rsidRPr="003412E0">
        <w:rPr>
          <w:b/>
          <w:lang w:val="en-GB"/>
        </w:rPr>
        <w:t>12a</w:t>
      </w:r>
      <w:r w:rsidRPr="003412E0">
        <w:rPr>
          <w:lang w:val="en-GB"/>
        </w:rPr>
        <w:t xml:space="preserve"> was obtained in low yield (</w:t>
      </w:r>
      <w:r w:rsidRPr="003412E0">
        <w:rPr>
          <w:i/>
          <w:lang w:val="en-GB"/>
        </w:rPr>
        <w:t>entry 18</w:t>
      </w:r>
      <w:r w:rsidRPr="003412E0">
        <w:rPr>
          <w:lang w:val="en-GB"/>
        </w:rPr>
        <w:t>) due to the poor reactivity of alkyl-diallylamines toward RCM reactions.</w:t>
      </w:r>
      <w:r w:rsidRPr="003412E0">
        <w:rPr>
          <w:vertAlign w:val="superscript"/>
          <w:lang w:val="en-GB"/>
        </w:rPr>
        <w:t>2</w:t>
      </w:r>
      <w:r w:rsidR="009B435D" w:rsidRPr="003412E0">
        <w:rPr>
          <w:vertAlign w:val="superscript"/>
          <w:lang w:val="en-GB"/>
        </w:rPr>
        <w:t>1</w:t>
      </w:r>
      <w:r w:rsidRPr="003412E0">
        <w:rPr>
          <w:lang w:val="en-GB"/>
        </w:rPr>
        <w:t xml:space="preserve"> It is well documented that tertiary amines inactivate </w:t>
      </w:r>
      <w:r w:rsidRPr="003412E0">
        <w:rPr>
          <w:b/>
          <w:lang w:val="en-GB"/>
        </w:rPr>
        <w:t>GII</w:t>
      </w:r>
      <w:r w:rsidRPr="003412E0">
        <w:rPr>
          <w:lang w:val="en-GB"/>
        </w:rPr>
        <w:t xml:space="preserve"> forming stable complexes and thus preventing the RCM cyclization. On the other hand, the inactivation of </w:t>
      </w:r>
      <w:r w:rsidRPr="003412E0">
        <w:rPr>
          <w:b/>
          <w:lang w:val="en-GB"/>
        </w:rPr>
        <w:t>GII</w:t>
      </w:r>
      <w:r w:rsidRPr="003412E0">
        <w:rPr>
          <w:lang w:val="en-GB"/>
        </w:rPr>
        <w:t xml:space="preserve"> by amines can be overcome if branched diallylamines are used as substrates. In fact, branched pyrroles </w:t>
      </w:r>
      <w:r w:rsidRPr="003412E0">
        <w:rPr>
          <w:b/>
          <w:lang w:val="en-GB"/>
        </w:rPr>
        <w:t>12e</w:t>
      </w:r>
      <w:r w:rsidRPr="003412E0">
        <w:rPr>
          <w:lang w:val="en-GB"/>
        </w:rPr>
        <w:t xml:space="preserve"> and </w:t>
      </w:r>
      <w:r w:rsidRPr="003412E0">
        <w:rPr>
          <w:b/>
          <w:lang w:val="en-GB"/>
        </w:rPr>
        <w:t>12g</w:t>
      </w:r>
      <w:r w:rsidRPr="003412E0">
        <w:rPr>
          <w:lang w:val="en-GB"/>
        </w:rPr>
        <w:t xml:space="preserve"> were obtained from the corresponding allylamines in good yields (</w:t>
      </w:r>
      <w:r w:rsidRPr="003412E0">
        <w:rPr>
          <w:i/>
          <w:lang w:val="en-GB"/>
        </w:rPr>
        <w:t>entries 19-20</w:t>
      </w:r>
      <w:r w:rsidRPr="003412E0">
        <w:rPr>
          <w:lang w:val="en-GB"/>
        </w:rPr>
        <w:t xml:space="preserve">). </w:t>
      </w:r>
    </w:p>
    <w:p w:rsidR="00F8137E" w:rsidRPr="003412E0" w:rsidRDefault="00F8137E" w:rsidP="00F8137E">
      <w:pPr>
        <w:pStyle w:val="TAMainText"/>
        <w:spacing w:after="240"/>
        <w:rPr>
          <w:lang w:val="en-GB"/>
        </w:rPr>
      </w:pPr>
      <w:r w:rsidRPr="003412E0">
        <w:rPr>
          <w:lang w:val="en-GB"/>
        </w:rPr>
        <w:t xml:space="preserve">The attempt to obtain the pyrrole </w:t>
      </w:r>
      <w:r w:rsidRPr="003412E0">
        <w:rPr>
          <w:b/>
          <w:lang w:val="en-GB"/>
        </w:rPr>
        <w:t>12l</w:t>
      </w:r>
      <w:r w:rsidRPr="003412E0">
        <w:rPr>
          <w:lang w:val="en-GB"/>
        </w:rPr>
        <w:t xml:space="preserve"> via the chemoenzymatic cascade from the corresponding secondary amine was also unsuccessful (</w:t>
      </w:r>
      <w:r w:rsidRPr="003412E0">
        <w:rPr>
          <w:i/>
          <w:lang w:val="en-GB"/>
        </w:rPr>
        <w:t>entry 21</w:t>
      </w:r>
      <w:r w:rsidRPr="003412E0">
        <w:rPr>
          <w:lang w:val="en-GB"/>
        </w:rPr>
        <w:t xml:space="preserve">). An alternative route was thus developed (Scheme 2) leading to </w:t>
      </w:r>
      <w:r w:rsidRPr="003412E0">
        <w:rPr>
          <w:b/>
          <w:lang w:val="en-GB"/>
        </w:rPr>
        <w:t>12l</w:t>
      </w:r>
      <w:r w:rsidRPr="003412E0">
        <w:rPr>
          <w:lang w:val="en-GB"/>
        </w:rPr>
        <w:t xml:space="preserve"> in one-pot from the chloroethyl-carbamate </w:t>
      </w:r>
      <w:r w:rsidRPr="003412E0">
        <w:rPr>
          <w:b/>
          <w:lang w:val="en-GB"/>
        </w:rPr>
        <w:t>8</w:t>
      </w:r>
      <w:r w:rsidRPr="003412E0">
        <w:rPr>
          <w:lang w:val="en-GB"/>
        </w:rPr>
        <w:t xml:space="preserve">. The carbamate protecting group allows the RCM reaction of </w:t>
      </w:r>
      <w:r w:rsidRPr="003412E0">
        <w:rPr>
          <w:b/>
          <w:lang w:val="en-GB"/>
        </w:rPr>
        <w:t>8</w:t>
      </w:r>
      <w:r w:rsidRPr="003412E0">
        <w:rPr>
          <w:lang w:val="en-GB"/>
        </w:rPr>
        <w:t xml:space="preserve"> to take place almost instantaneously (around 20 min) leading to the intermediate </w:t>
      </w:r>
      <w:r w:rsidRPr="003412E0">
        <w:rPr>
          <w:b/>
          <w:lang w:val="en-GB"/>
        </w:rPr>
        <w:t>13</w:t>
      </w:r>
      <w:r w:rsidR="00E0299B" w:rsidRPr="003412E0">
        <w:rPr>
          <w:lang w:val="en-GB"/>
        </w:rPr>
        <w:t>. The chloroethyl-</w:t>
      </w:r>
      <w:r w:rsidRPr="003412E0">
        <w:rPr>
          <w:lang w:val="en-GB"/>
        </w:rPr>
        <w:t xml:space="preserve">carbamate protecting group is labile under the reaction conditions and it is slowly cleaved leading to pyrroline </w:t>
      </w:r>
      <w:r w:rsidRPr="003412E0">
        <w:rPr>
          <w:b/>
          <w:lang w:val="en-GB"/>
        </w:rPr>
        <w:t>9c</w:t>
      </w:r>
      <w:r w:rsidRPr="003412E0">
        <w:rPr>
          <w:lang w:val="en-GB"/>
        </w:rPr>
        <w:t xml:space="preserve">. The latter is in turn oxidised by MAO-D5 affording the desired pyrrole </w:t>
      </w:r>
      <w:r w:rsidRPr="003412E0">
        <w:rPr>
          <w:b/>
          <w:lang w:val="en-GB"/>
        </w:rPr>
        <w:t>12l</w:t>
      </w:r>
      <w:r w:rsidRPr="003412E0">
        <w:rPr>
          <w:lang w:val="en-GB"/>
        </w:rPr>
        <w:t xml:space="preserve"> in 42% overall yield. Finally, the present methodology has been applied to the synthesis of a series of pyrrole analogues of the antitubercular agents recently described by us.</w:t>
      </w:r>
      <w:r w:rsidRPr="003412E0">
        <w:rPr>
          <w:vertAlign w:val="superscript"/>
          <w:lang w:val="en-GB"/>
        </w:rPr>
        <w:t>2</w:t>
      </w:r>
      <w:r w:rsidRPr="003412E0">
        <w:rPr>
          <w:lang w:val="en-GB"/>
        </w:rPr>
        <w:t xml:space="preserve"> As an example, the pyrroline </w:t>
      </w:r>
      <w:r w:rsidRPr="003412E0">
        <w:rPr>
          <w:b/>
          <w:lang w:val="en-GB"/>
        </w:rPr>
        <w:t>7b</w:t>
      </w:r>
      <w:r w:rsidRPr="003412E0">
        <w:rPr>
          <w:lang w:val="en-GB"/>
        </w:rPr>
        <w:t xml:space="preserve"> was converted in a single step into the pyrrole </w:t>
      </w:r>
      <w:r w:rsidRPr="003412E0">
        <w:rPr>
          <w:b/>
          <w:lang w:val="en-GB"/>
        </w:rPr>
        <w:t>14</w:t>
      </w:r>
      <w:r w:rsidRPr="003412E0">
        <w:rPr>
          <w:lang w:val="en-GB"/>
        </w:rPr>
        <w:t xml:space="preserve"> by treatment with MAO-D5 followed by in situ Mannich reaction with phenylpiperazine and formaldehyde. (Scheme 3). In addition, the pyrrole </w:t>
      </w:r>
      <w:r w:rsidRPr="003412E0">
        <w:rPr>
          <w:b/>
          <w:lang w:val="en-GB"/>
        </w:rPr>
        <w:t>12m</w:t>
      </w:r>
      <w:r w:rsidRPr="003412E0">
        <w:rPr>
          <w:lang w:val="en-GB"/>
        </w:rPr>
        <w:t>,</w:t>
      </w:r>
      <w:r w:rsidRPr="003412E0">
        <w:rPr>
          <w:vertAlign w:val="superscript"/>
          <w:lang w:val="en-GB"/>
        </w:rPr>
        <w:t>2</w:t>
      </w:r>
      <w:r w:rsidR="009B435D" w:rsidRPr="003412E0">
        <w:rPr>
          <w:vertAlign w:val="superscript"/>
          <w:lang w:val="en-GB"/>
        </w:rPr>
        <w:t>2</w:t>
      </w:r>
      <w:r w:rsidRPr="003412E0">
        <w:rPr>
          <w:lang w:val="en-GB"/>
        </w:rPr>
        <w:t xml:space="preserve"> precursor of the natural alkaloid myrmicarin217, was synthesised from the diene </w:t>
      </w:r>
      <w:r w:rsidRPr="003412E0">
        <w:rPr>
          <w:b/>
          <w:lang w:val="en-GB"/>
        </w:rPr>
        <w:t>6t</w:t>
      </w:r>
      <w:r w:rsidRPr="003412E0">
        <w:rPr>
          <w:lang w:val="en-GB"/>
        </w:rPr>
        <w:t xml:space="preserve"> via the chemoenzymatic method A</w:t>
      </w:r>
      <w:r w:rsidR="001118EA" w:rsidRPr="003412E0">
        <w:rPr>
          <w:lang w:val="en-GB"/>
        </w:rPr>
        <w:t xml:space="preserve"> in 20% isolated yield</w:t>
      </w:r>
      <w:r w:rsidRPr="003412E0">
        <w:rPr>
          <w:lang w:val="en-GB"/>
        </w:rPr>
        <w:t>.</w:t>
      </w:r>
      <w:r w:rsidRPr="003412E0">
        <w:rPr>
          <w:vertAlign w:val="superscript"/>
          <w:lang w:val="en-GB"/>
        </w:rPr>
        <w:t>2</w:t>
      </w:r>
      <w:r w:rsidR="009B435D" w:rsidRPr="003412E0">
        <w:rPr>
          <w:vertAlign w:val="superscript"/>
          <w:lang w:val="en-GB"/>
        </w:rPr>
        <w:t>3</w:t>
      </w:r>
      <w:r w:rsidRPr="003412E0">
        <w:rPr>
          <w:lang w:val="en-GB"/>
        </w:rPr>
        <w:t xml:space="preserve"> (Scheme 3). </w:t>
      </w:r>
    </w:p>
    <w:p w:rsidR="00F8137E" w:rsidRPr="003412E0" w:rsidRDefault="00F8137E" w:rsidP="00F8137E">
      <w:pPr>
        <w:pStyle w:val="TAMainText"/>
        <w:spacing w:after="240"/>
        <w:ind w:firstLine="0"/>
        <w:rPr>
          <w:b/>
          <w:lang w:val="en-GB"/>
        </w:rPr>
      </w:pPr>
      <w:r w:rsidRPr="003412E0">
        <w:rPr>
          <w:b/>
          <w:lang w:val="en-GB"/>
        </w:rPr>
        <w:t>C</w:t>
      </w:r>
      <w:r w:rsidR="00E0299B" w:rsidRPr="003412E0">
        <w:rPr>
          <w:b/>
          <w:lang w:val="en-GB"/>
        </w:rPr>
        <w:t>ONCLUSIONS</w:t>
      </w:r>
    </w:p>
    <w:p w:rsidR="00F8137E" w:rsidRPr="00F8137E" w:rsidRDefault="00F8137E" w:rsidP="00F8137E">
      <w:pPr>
        <w:pStyle w:val="TAMainText"/>
        <w:spacing w:after="240"/>
        <w:ind w:firstLine="0"/>
        <w:rPr>
          <w:lang w:val="en-GB"/>
        </w:rPr>
      </w:pPr>
      <w:r w:rsidRPr="003412E0">
        <w:rPr>
          <w:lang w:val="en-GB"/>
        </w:rPr>
        <w:t xml:space="preserve">In conclusion, the aromatizing properties of MAO-N biocatalysts have been disclosed for the first time. MAO-N, and in particular the variant D5, catalyse the aromatization of a wide range of </w:t>
      </w:r>
      <w:r w:rsidRPr="003412E0">
        <w:rPr>
          <w:i/>
          <w:lang w:val="en-GB"/>
        </w:rPr>
        <w:t>N</w:t>
      </w:r>
      <w:r w:rsidRPr="003412E0">
        <w:rPr>
          <w:lang w:val="en-GB"/>
        </w:rPr>
        <w:t xml:space="preserve">-aryl- and </w:t>
      </w:r>
      <w:r w:rsidRPr="003412E0">
        <w:rPr>
          <w:i/>
          <w:lang w:val="en-GB"/>
        </w:rPr>
        <w:t>N</w:t>
      </w:r>
      <w:r w:rsidRPr="003412E0">
        <w:rPr>
          <w:lang w:val="en-GB"/>
        </w:rPr>
        <w:t>-alkyl-3-pyrrolines into the corresponding pyrroles. The ability of MAO-N biocatalysts to work in a concurrent way together with Grubbs’ catalyst has been also investigated leading to the development of a chemoenzymatic cascade reaction for the one pot synthesis of pyrroles from dilallyl</w:t>
      </w:r>
      <w:r w:rsidR="00214168" w:rsidRPr="003412E0">
        <w:rPr>
          <w:lang w:val="en-GB"/>
        </w:rPr>
        <w:t>-</w:t>
      </w:r>
      <w:r w:rsidRPr="003412E0">
        <w:rPr>
          <w:lang w:val="en-GB"/>
        </w:rPr>
        <w:t>anilines and diallyl</w:t>
      </w:r>
      <w:r w:rsidR="00214168" w:rsidRPr="003412E0">
        <w:rPr>
          <w:lang w:val="en-GB"/>
        </w:rPr>
        <w:t>-</w:t>
      </w:r>
      <w:r w:rsidRPr="003412E0">
        <w:rPr>
          <w:lang w:val="en-GB"/>
        </w:rPr>
        <w:t xml:space="preserve">amines. This work represents the first example of a chemoenzymatic cascade combining in the same reaction medium MAO-N with a metal-catalyst, other than boron reducing agents. </w:t>
      </w:r>
      <w:r w:rsidR="00214168" w:rsidRPr="003412E0">
        <w:rPr>
          <w:lang w:val="en-GB"/>
        </w:rPr>
        <w:t xml:space="preserve">The new methodology represents a robust and sustainable alternative to standard catalytic methods for the synthesis of pyrroles, which generally require the use of </w:t>
      </w:r>
      <w:r w:rsidR="002B4405" w:rsidRPr="003412E0">
        <w:rPr>
          <w:lang w:val="en-GB"/>
        </w:rPr>
        <w:t>group specific or poorly available</w:t>
      </w:r>
      <w:r w:rsidR="006B21F0" w:rsidRPr="003412E0">
        <w:rPr>
          <w:lang w:val="en-GB"/>
        </w:rPr>
        <w:t xml:space="preserve"> reagents, </w:t>
      </w:r>
      <w:r w:rsidR="002B4405" w:rsidRPr="003412E0">
        <w:rPr>
          <w:lang w:val="en-GB"/>
        </w:rPr>
        <w:t>higher temperatures to</w:t>
      </w:r>
      <w:r w:rsidR="006B21F0" w:rsidRPr="003412E0">
        <w:rPr>
          <w:lang w:val="en-GB"/>
        </w:rPr>
        <w:t xml:space="preserve"> promote the aromatization step and lead to the formation of several side products. </w:t>
      </w:r>
      <w:r w:rsidR="002B4405" w:rsidRPr="003412E0">
        <w:rPr>
          <w:lang w:val="en-GB"/>
        </w:rPr>
        <w:t>Finally, t</w:t>
      </w:r>
      <w:r w:rsidRPr="003412E0">
        <w:rPr>
          <w:lang w:val="en-GB"/>
        </w:rPr>
        <w:t>he chemoenzymatic methodology is currently used in our laboratory for the synthesis of novel antitubercular pyrrole derivatives.</w:t>
      </w:r>
    </w:p>
    <w:p w:rsidR="00AB34C5" w:rsidRPr="00F8137E" w:rsidRDefault="00AB34C5" w:rsidP="00F8137E">
      <w:pPr>
        <w:pStyle w:val="TAMainText"/>
        <w:spacing w:after="240"/>
        <w:rPr>
          <w:lang w:val="en-GB"/>
        </w:rPr>
      </w:pPr>
    </w:p>
    <w:p w:rsidR="00F8137E" w:rsidRDefault="00F8137E" w:rsidP="00F8137E">
      <w:pPr>
        <w:pStyle w:val="TAMainText"/>
        <w:spacing w:after="240"/>
        <w:ind w:firstLine="0"/>
        <w:rPr>
          <w:lang w:val="en-GB"/>
        </w:rPr>
      </w:pPr>
    </w:p>
    <w:p w:rsidR="00D32AA0" w:rsidRDefault="00D32AA0" w:rsidP="00AB34C5">
      <w:pPr>
        <w:pStyle w:val="VAFigureCaption"/>
        <w:spacing w:after="240"/>
        <w:jc w:val="left"/>
        <w:rPr>
          <w:lang w:val="en-GB"/>
        </w:rPr>
      </w:pPr>
    </w:p>
    <w:p w:rsidR="00FF2C0D" w:rsidRDefault="00FF2C0D" w:rsidP="00FF2C0D">
      <w:pPr>
        <w:rPr>
          <w:lang w:val="en-GB"/>
        </w:rPr>
      </w:pPr>
    </w:p>
    <w:p w:rsidR="00FF2C0D" w:rsidRPr="00FF2C0D" w:rsidRDefault="00FF2C0D" w:rsidP="00FF2C0D">
      <w:pPr>
        <w:rPr>
          <w:lang w:val="en-GB"/>
        </w:rPr>
      </w:pPr>
    </w:p>
    <w:p w:rsidR="00AB34C5" w:rsidRDefault="00AB34C5" w:rsidP="00AB34C5">
      <w:pPr>
        <w:pStyle w:val="VAFigureCaption"/>
        <w:spacing w:after="240"/>
        <w:jc w:val="left"/>
      </w:pPr>
      <w:r>
        <w:t xml:space="preserve">FIGURES </w:t>
      </w:r>
    </w:p>
    <w:p w:rsidR="00D32AA0" w:rsidRDefault="00B65D0F" w:rsidP="00D32AA0">
      <w:pPr>
        <w:pStyle w:val="08ArticleText"/>
        <w:spacing w:line="240" w:lineRule="auto"/>
        <w:jc w:val="center"/>
        <w:rPr>
          <w:rFonts w:asciiTheme="minorHAnsi" w:hAnsiTheme="minorHAnsi"/>
          <w:lang w:val="de-DE"/>
        </w:rPr>
      </w:pPr>
      <w:r w:rsidRPr="00783EE4">
        <w:rPr>
          <w:rFonts w:asciiTheme="minorHAnsi" w:hAnsiTheme="minorHAnsi"/>
          <w:lang w:val="de-DE"/>
        </w:rPr>
        <w:object w:dxaOrig="9902" w:dyaOrig="4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80.75pt" o:ole="">
            <v:imagedata r:id="rId8" o:title=""/>
          </v:shape>
          <o:OLEObject Type="Embed" ProgID="ChemDraw.Document.6.0" ShapeID="_x0000_i1025" DrawAspect="Content" ObjectID="_1581246301" r:id="rId9"/>
        </w:object>
      </w:r>
    </w:p>
    <w:p w:rsidR="00F63DD5" w:rsidRDefault="00F63DD5" w:rsidP="00D32AA0">
      <w:pPr>
        <w:pStyle w:val="08ArticleText"/>
        <w:spacing w:line="240" w:lineRule="auto"/>
        <w:jc w:val="center"/>
        <w:rPr>
          <w:rFonts w:asciiTheme="minorHAnsi" w:hAnsiTheme="minorHAnsi"/>
          <w:lang w:val="de-DE"/>
        </w:rPr>
      </w:pPr>
    </w:p>
    <w:p w:rsidR="00D32AA0" w:rsidRDefault="00D32AA0" w:rsidP="00050A3D">
      <w:pPr>
        <w:pStyle w:val="08ArticleText"/>
        <w:spacing w:line="480" w:lineRule="auto"/>
        <w:rPr>
          <w:sz w:val="24"/>
          <w:szCs w:val="24"/>
          <w:lang w:val="de-DE"/>
        </w:rPr>
      </w:pPr>
      <w:r w:rsidRPr="00D32AA0">
        <w:rPr>
          <w:b/>
          <w:sz w:val="24"/>
          <w:szCs w:val="24"/>
          <w:lang w:val="de-DE"/>
        </w:rPr>
        <w:t>Figure 1.</w:t>
      </w:r>
      <w:r w:rsidRPr="00D32AA0">
        <w:rPr>
          <w:sz w:val="24"/>
          <w:szCs w:val="24"/>
          <w:lang w:val="de-DE"/>
        </w:rPr>
        <w:t xml:space="preserve"> Classical RCM approaches for the synthesis of pyrroles and MAO-N aromatization of 3-pyrrolines.</w:t>
      </w:r>
    </w:p>
    <w:p w:rsidR="00050A3D" w:rsidRDefault="00050A3D" w:rsidP="00050A3D">
      <w:pPr>
        <w:pStyle w:val="08ArticleText"/>
        <w:spacing w:line="480" w:lineRule="auto"/>
        <w:rPr>
          <w:sz w:val="24"/>
          <w:szCs w:val="24"/>
          <w:lang w:val="de-DE"/>
        </w:rPr>
      </w:pPr>
    </w:p>
    <w:p w:rsidR="00050A3D" w:rsidRDefault="00050A3D" w:rsidP="00050A3D">
      <w:pPr>
        <w:pStyle w:val="08ArticleText"/>
        <w:spacing w:line="480" w:lineRule="auto"/>
        <w:rPr>
          <w:sz w:val="24"/>
          <w:szCs w:val="24"/>
          <w:lang w:val="de-DE"/>
        </w:rPr>
      </w:pPr>
    </w:p>
    <w:p w:rsidR="00050A3D" w:rsidRDefault="00050A3D" w:rsidP="00050A3D">
      <w:pPr>
        <w:pStyle w:val="08ArticleText"/>
        <w:spacing w:line="480" w:lineRule="auto"/>
        <w:rPr>
          <w:sz w:val="24"/>
          <w:szCs w:val="24"/>
          <w:lang w:val="de-DE"/>
        </w:rPr>
      </w:pPr>
    </w:p>
    <w:p w:rsidR="00D32AA0" w:rsidRPr="00D32AA0" w:rsidRDefault="00D32AA0" w:rsidP="00D32AA0">
      <w:pPr>
        <w:pStyle w:val="08ArticleText"/>
        <w:spacing w:line="240" w:lineRule="auto"/>
        <w:rPr>
          <w:sz w:val="24"/>
          <w:szCs w:val="24"/>
        </w:rPr>
      </w:pPr>
    </w:p>
    <w:p w:rsidR="00D32AA0" w:rsidRDefault="00B65D0F" w:rsidP="00D32AA0">
      <w:pPr>
        <w:pStyle w:val="RSCB03MathematicsGreeketc"/>
        <w:jc w:val="center"/>
      </w:pPr>
      <w:r w:rsidRPr="00FE4732">
        <w:object w:dxaOrig="5183" w:dyaOrig="7663">
          <v:shape id="_x0000_i1026" type="#_x0000_t75" style="width:240pt;height:354pt" o:ole="">
            <v:imagedata r:id="rId10" o:title=""/>
          </v:shape>
          <o:OLEObject Type="Embed" ProgID="ChemDraw.Document.6.0" ShapeID="_x0000_i1026" DrawAspect="Content" ObjectID="_1581246302" r:id="rId11"/>
        </w:object>
      </w:r>
    </w:p>
    <w:p w:rsidR="00F63DD5" w:rsidRDefault="00F63DD5" w:rsidP="00D32AA0">
      <w:pPr>
        <w:pStyle w:val="RSCB03MathematicsGreeketc"/>
        <w:jc w:val="center"/>
      </w:pPr>
    </w:p>
    <w:p w:rsidR="00D32AA0" w:rsidRDefault="00D32AA0" w:rsidP="00050A3D">
      <w:pPr>
        <w:pStyle w:val="RSCB03MathematicsGreeketc"/>
        <w:spacing w:line="480" w:lineRule="auto"/>
        <w:jc w:val="both"/>
        <w:rPr>
          <w:rFonts w:cs="Times New Roman"/>
          <w:sz w:val="24"/>
          <w:szCs w:val="24"/>
          <w:lang w:val="de-DE"/>
        </w:rPr>
      </w:pPr>
      <w:r w:rsidRPr="00D32AA0">
        <w:rPr>
          <w:rFonts w:cs="Times New Roman"/>
          <w:b/>
          <w:sz w:val="24"/>
          <w:szCs w:val="24"/>
        </w:rPr>
        <w:t>Figure 2.</w:t>
      </w:r>
      <w:r w:rsidRPr="00D32AA0">
        <w:rPr>
          <w:rFonts w:cs="Times New Roman"/>
          <w:sz w:val="24"/>
          <w:szCs w:val="24"/>
          <w:lang w:val="de-DE"/>
        </w:rPr>
        <w:t>Docking of pyrroline </w:t>
      </w:r>
      <w:r w:rsidRPr="00D32AA0">
        <w:rPr>
          <w:rFonts w:cs="Times New Roman"/>
          <w:b/>
          <w:bCs/>
          <w:sz w:val="24"/>
          <w:szCs w:val="24"/>
          <w:lang w:val="de-DE"/>
        </w:rPr>
        <w:t>7a</w:t>
      </w:r>
      <w:r w:rsidRPr="00D32AA0">
        <w:rPr>
          <w:rFonts w:cs="Times New Roman"/>
          <w:sz w:val="24"/>
          <w:szCs w:val="24"/>
          <w:lang w:val="de-DE"/>
        </w:rPr>
        <w:t xml:space="preserve"> into the MAO-D5 catalytic site and superposition of </w:t>
      </w:r>
      <w:r w:rsidRPr="00D32AA0">
        <w:rPr>
          <w:rFonts w:cs="Times New Roman"/>
          <w:b/>
          <w:bCs/>
          <w:sz w:val="24"/>
          <w:szCs w:val="24"/>
          <w:lang w:val="de-DE"/>
        </w:rPr>
        <w:t>7k</w:t>
      </w:r>
      <w:r w:rsidRPr="00D32AA0">
        <w:rPr>
          <w:rFonts w:cs="Times New Roman"/>
          <w:sz w:val="24"/>
          <w:szCs w:val="24"/>
          <w:lang w:val="de-DE"/>
        </w:rPr>
        <w:t xml:space="preserve"> on the predicted conformation of </w:t>
      </w:r>
      <w:r w:rsidRPr="00D32AA0">
        <w:rPr>
          <w:rFonts w:cs="Times New Roman"/>
          <w:b/>
          <w:bCs/>
          <w:sz w:val="24"/>
          <w:szCs w:val="24"/>
          <w:lang w:val="de-DE"/>
        </w:rPr>
        <w:t>7a</w:t>
      </w:r>
      <w:r w:rsidRPr="00D32AA0">
        <w:rPr>
          <w:rFonts w:cs="Times New Roman"/>
          <w:sz w:val="24"/>
          <w:szCs w:val="24"/>
          <w:lang w:val="de-DE"/>
        </w:rPr>
        <w:t>. The additional phenyl ring at C3 (in yellow) lay outside the catalytic site.</w:t>
      </w:r>
    </w:p>
    <w:p w:rsidR="00050A3D" w:rsidRDefault="00050A3D" w:rsidP="00050A3D">
      <w:pPr>
        <w:pStyle w:val="RSCB03MathematicsGreeketc"/>
        <w:spacing w:line="480" w:lineRule="auto"/>
        <w:jc w:val="both"/>
        <w:rPr>
          <w:rFonts w:cs="Times New Roman"/>
          <w:sz w:val="24"/>
          <w:szCs w:val="24"/>
          <w:lang w:val="de-DE"/>
        </w:rPr>
      </w:pPr>
    </w:p>
    <w:p w:rsidR="00050A3D" w:rsidRDefault="00050A3D" w:rsidP="00050A3D">
      <w:pPr>
        <w:pStyle w:val="RSCB03MathematicsGreeketc"/>
        <w:spacing w:line="480" w:lineRule="auto"/>
        <w:jc w:val="both"/>
        <w:rPr>
          <w:rFonts w:cs="Times New Roman"/>
          <w:sz w:val="24"/>
          <w:szCs w:val="24"/>
          <w:lang w:val="de-DE"/>
        </w:rPr>
      </w:pPr>
    </w:p>
    <w:p w:rsidR="00050A3D" w:rsidRDefault="00050A3D" w:rsidP="00050A3D">
      <w:pPr>
        <w:pStyle w:val="RSCB03MathematicsGreeketc"/>
        <w:spacing w:line="480" w:lineRule="auto"/>
        <w:jc w:val="both"/>
        <w:rPr>
          <w:rFonts w:cs="Times New Roman"/>
          <w:sz w:val="24"/>
          <w:szCs w:val="24"/>
          <w:lang w:val="de-DE"/>
        </w:rPr>
      </w:pPr>
    </w:p>
    <w:p w:rsidR="00050A3D" w:rsidRDefault="00050A3D" w:rsidP="00050A3D">
      <w:pPr>
        <w:pStyle w:val="RSCB03MathematicsGreeketc"/>
        <w:spacing w:line="480" w:lineRule="auto"/>
        <w:jc w:val="both"/>
        <w:rPr>
          <w:rFonts w:cs="Times New Roman"/>
          <w:sz w:val="24"/>
          <w:szCs w:val="24"/>
          <w:lang w:val="de-DE"/>
        </w:rPr>
      </w:pPr>
    </w:p>
    <w:p w:rsidR="00F63DD5" w:rsidRDefault="00F63DD5" w:rsidP="00C10EE0">
      <w:pPr>
        <w:pStyle w:val="VCSchemeTitle"/>
        <w:spacing w:after="240"/>
        <w:jc w:val="left"/>
        <w:rPr>
          <w:rFonts w:ascii="Times New Roman" w:eastAsiaTheme="minorHAnsi" w:hAnsi="Times New Roman"/>
          <w:szCs w:val="24"/>
          <w:lang w:val="de-DE"/>
        </w:rPr>
      </w:pPr>
    </w:p>
    <w:p w:rsidR="00AB34C5" w:rsidRDefault="00C10EE0" w:rsidP="00C10EE0">
      <w:pPr>
        <w:pStyle w:val="VCSchemeTitle"/>
        <w:spacing w:after="240"/>
        <w:jc w:val="left"/>
      </w:pPr>
      <w:r>
        <w:t xml:space="preserve">SCHEMES </w:t>
      </w:r>
    </w:p>
    <w:p w:rsidR="00050A3D" w:rsidRDefault="00050A3D" w:rsidP="00050A3D">
      <w:pPr>
        <w:pStyle w:val="08ArticleText"/>
        <w:spacing w:line="240" w:lineRule="auto"/>
        <w:jc w:val="center"/>
        <w:rPr>
          <w:rFonts w:asciiTheme="minorHAnsi" w:hAnsiTheme="minorHAnsi"/>
        </w:rPr>
      </w:pPr>
      <w:r w:rsidRPr="00FE4732">
        <w:rPr>
          <w:rFonts w:asciiTheme="minorHAnsi" w:hAnsiTheme="minorHAnsi"/>
        </w:rPr>
        <w:object w:dxaOrig="6275" w:dyaOrig="6326">
          <v:shape id="_x0000_i1027" type="#_x0000_t75" style="width:254.25pt;height:254.25pt;mso-position-vertical:absolute" o:ole="">
            <v:imagedata r:id="rId12" o:title=""/>
          </v:shape>
          <o:OLEObject Type="Embed" ProgID="ChemDraw.Document.6.0" ShapeID="_x0000_i1027" DrawAspect="Content" ObjectID="_1581246303" r:id="rId13"/>
        </w:object>
      </w:r>
    </w:p>
    <w:p w:rsidR="00F63DD5" w:rsidRPr="00FE4732" w:rsidRDefault="00F63DD5" w:rsidP="00050A3D">
      <w:pPr>
        <w:pStyle w:val="08ArticleText"/>
        <w:spacing w:line="240" w:lineRule="auto"/>
        <w:jc w:val="center"/>
        <w:rPr>
          <w:rFonts w:asciiTheme="minorHAnsi" w:hAnsiTheme="minorHAnsi"/>
        </w:rPr>
      </w:pPr>
    </w:p>
    <w:p w:rsidR="00050A3D" w:rsidRPr="00050A3D" w:rsidRDefault="00050A3D" w:rsidP="00050A3D">
      <w:pPr>
        <w:pStyle w:val="08ArticleText"/>
        <w:spacing w:line="240" w:lineRule="auto"/>
        <w:jc w:val="center"/>
        <w:rPr>
          <w:sz w:val="24"/>
          <w:szCs w:val="24"/>
        </w:rPr>
      </w:pPr>
      <w:r w:rsidRPr="00050A3D">
        <w:rPr>
          <w:b/>
          <w:sz w:val="24"/>
          <w:szCs w:val="24"/>
        </w:rPr>
        <w:t>Scheme 1.</w:t>
      </w:r>
      <w:r w:rsidRPr="00050A3D">
        <w:rPr>
          <w:sz w:val="24"/>
          <w:szCs w:val="24"/>
        </w:rPr>
        <w:t xml:space="preserve"> Synthesis of 3-pyrroline substrates </w:t>
      </w:r>
      <w:r w:rsidRPr="00050A3D">
        <w:rPr>
          <w:b/>
          <w:sz w:val="24"/>
          <w:szCs w:val="24"/>
        </w:rPr>
        <w:t>7</w:t>
      </w:r>
      <w:r w:rsidRPr="00050A3D">
        <w:rPr>
          <w:sz w:val="24"/>
          <w:szCs w:val="24"/>
        </w:rPr>
        <w:t xml:space="preserve"> and </w:t>
      </w:r>
      <w:r w:rsidRPr="00050A3D">
        <w:rPr>
          <w:b/>
          <w:sz w:val="24"/>
          <w:szCs w:val="24"/>
        </w:rPr>
        <w:t>10</w:t>
      </w:r>
      <w:r w:rsidRPr="00050A3D">
        <w:rPr>
          <w:sz w:val="24"/>
          <w:szCs w:val="24"/>
        </w:rPr>
        <w:t xml:space="preserve">. </w:t>
      </w:r>
    </w:p>
    <w:p w:rsidR="00050A3D" w:rsidRDefault="00050A3D" w:rsidP="00050A3D"/>
    <w:p w:rsidR="00050A3D" w:rsidRDefault="00050A3D" w:rsidP="00050A3D"/>
    <w:p w:rsidR="00050A3D" w:rsidRDefault="00050A3D" w:rsidP="00050A3D"/>
    <w:p w:rsidR="00050A3D" w:rsidRDefault="00050A3D" w:rsidP="00050A3D">
      <w:pPr>
        <w:spacing w:before="360"/>
        <w:jc w:val="center"/>
      </w:pPr>
      <w:r>
        <w:object w:dxaOrig="5879" w:dyaOrig="4668">
          <v:shape id="_x0000_i1028" type="#_x0000_t75" style="width:229.5pt;height:184.5pt;mso-position-horizontal:absolute" o:ole="" fillcolor="#4f81bd">
            <v:imagedata r:id="rId14" o:title=""/>
          </v:shape>
          <o:OLEObject Type="Embed" ProgID="ChemDraw.Document.6.0" ShapeID="_x0000_i1028" DrawAspect="Content" ObjectID="_1581246304" r:id="rId15"/>
        </w:object>
      </w:r>
    </w:p>
    <w:p w:rsidR="00F63DD5" w:rsidRDefault="00F63DD5" w:rsidP="00050A3D">
      <w:pPr>
        <w:spacing w:before="360"/>
        <w:jc w:val="center"/>
      </w:pPr>
    </w:p>
    <w:p w:rsidR="00050A3D" w:rsidRDefault="00050A3D" w:rsidP="00050A3D">
      <w:pPr>
        <w:pStyle w:val="SchemeCaption"/>
        <w:jc w:val="center"/>
        <w:rPr>
          <w:rFonts w:ascii="Times New Roman" w:hAnsi="Times New Roman"/>
          <w:b/>
          <w:sz w:val="24"/>
          <w:szCs w:val="24"/>
          <w:lang w:val="de-DE"/>
        </w:rPr>
      </w:pPr>
      <w:r w:rsidRPr="00050A3D">
        <w:rPr>
          <w:rFonts w:ascii="Times New Roman" w:hAnsi="Times New Roman"/>
          <w:b/>
          <w:sz w:val="24"/>
          <w:szCs w:val="24"/>
        </w:rPr>
        <w:t>Scheme 2.</w:t>
      </w:r>
      <w:r w:rsidRPr="00050A3D">
        <w:rPr>
          <w:rFonts w:ascii="Times New Roman" w:hAnsi="Times New Roman"/>
          <w:sz w:val="24"/>
          <w:szCs w:val="24"/>
          <w:lang w:val="de-DE"/>
        </w:rPr>
        <w:t xml:space="preserve">Chemoenzymatic synthesis of pyrrole </w:t>
      </w:r>
      <w:r w:rsidRPr="00050A3D">
        <w:rPr>
          <w:rFonts w:ascii="Times New Roman" w:hAnsi="Times New Roman"/>
          <w:b/>
          <w:sz w:val="24"/>
          <w:szCs w:val="24"/>
          <w:lang w:val="de-DE"/>
        </w:rPr>
        <w:t>12l</w:t>
      </w:r>
    </w:p>
    <w:p w:rsidR="00050A3D" w:rsidRDefault="009B435D" w:rsidP="00050A3D">
      <w:pPr>
        <w:pStyle w:val="RSCB03MathematicsGreeketc"/>
        <w:jc w:val="center"/>
      </w:pPr>
      <w:r>
        <w:object w:dxaOrig="8663" w:dyaOrig="5085">
          <v:shape id="_x0000_i1029" type="#_x0000_t75" style="width:348pt;height:204.75pt" o:ole="" fillcolor="#4f81bd">
            <v:imagedata r:id="rId16" o:title=""/>
          </v:shape>
          <o:OLEObject Type="Embed" ProgID="ChemDraw.Document.6.0" ShapeID="_x0000_i1029" DrawAspect="Content" ObjectID="_1581246305" r:id="rId17"/>
        </w:object>
      </w:r>
    </w:p>
    <w:p w:rsidR="00F63DD5" w:rsidRDefault="00F63DD5" w:rsidP="00050A3D">
      <w:pPr>
        <w:pStyle w:val="RSCB03MathematicsGreeketc"/>
        <w:jc w:val="center"/>
      </w:pPr>
    </w:p>
    <w:p w:rsidR="00050A3D" w:rsidRPr="00050A3D" w:rsidRDefault="00050A3D" w:rsidP="00050A3D">
      <w:pPr>
        <w:pStyle w:val="SchemeCaption"/>
        <w:spacing w:line="480" w:lineRule="auto"/>
        <w:rPr>
          <w:rFonts w:ascii="Times New Roman" w:hAnsi="Times New Roman"/>
          <w:sz w:val="24"/>
          <w:szCs w:val="24"/>
          <w:lang w:val="de-DE"/>
        </w:rPr>
      </w:pPr>
      <w:r w:rsidRPr="00050A3D">
        <w:rPr>
          <w:rFonts w:ascii="Times New Roman" w:hAnsi="Times New Roman"/>
          <w:b/>
          <w:sz w:val="24"/>
          <w:szCs w:val="24"/>
        </w:rPr>
        <w:t>Scheme 3.</w:t>
      </w:r>
      <w:r w:rsidRPr="00050A3D">
        <w:rPr>
          <w:rFonts w:ascii="Times New Roman" w:hAnsi="Times New Roman"/>
          <w:sz w:val="24"/>
          <w:szCs w:val="24"/>
        </w:rPr>
        <w:t xml:space="preserve"> a) </w:t>
      </w:r>
      <w:r w:rsidRPr="00050A3D">
        <w:rPr>
          <w:rFonts w:ascii="Times New Roman" w:hAnsi="Times New Roman"/>
          <w:sz w:val="24"/>
          <w:szCs w:val="24"/>
          <w:lang w:val="de-DE"/>
        </w:rPr>
        <w:t xml:space="preserve">MAO-Mannich synthesis of pyrrole </w:t>
      </w:r>
      <w:r w:rsidRPr="00050A3D">
        <w:rPr>
          <w:rFonts w:ascii="Times New Roman" w:hAnsi="Times New Roman"/>
          <w:b/>
          <w:sz w:val="24"/>
          <w:szCs w:val="24"/>
          <w:lang w:val="de-DE"/>
        </w:rPr>
        <w:t>14</w:t>
      </w:r>
      <w:r w:rsidRPr="00050A3D">
        <w:rPr>
          <w:rFonts w:ascii="Times New Roman" w:hAnsi="Times New Roman"/>
          <w:sz w:val="24"/>
          <w:szCs w:val="24"/>
          <w:lang w:val="de-DE"/>
        </w:rPr>
        <w:t xml:space="preserve">. b) Synthesis of </w:t>
      </w:r>
      <w:r w:rsidRPr="00050A3D">
        <w:rPr>
          <w:rFonts w:ascii="Times New Roman" w:hAnsi="Times New Roman"/>
          <w:b/>
          <w:sz w:val="24"/>
          <w:szCs w:val="24"/>
          <w:lang w:val="de-DE"/>
        </w:rPr>
        <w:t>12m</w:t>
      </w:r>
      <w:r w:rsidRPr="00050A3D">
        <w:rPr>
          <w:rFonts w:ascii="Times New Roman" w:hAnsi="Times New Roman"/>
          <w:sz w:val="24"/>
          <w:szCs w:val="24"/>
          <w:lang w:val="de-DE"/>
        </w:rPr>
        <w:t>, precursor of myrmicarin217</w:t>
      </w:r>
    </w:p>
    <w:p w:rsidR="00050A3D" w:rsidRPr="00050A3D" w:rsidRDefault="00050A3D" w:rsidP="00050A3D">
      <w:pPr>
        <w:pStyle w:val="SchemeCaption"/>
        <w:jc w:val="center"/>
        <w:rPr>
          <w:rFonts w:ascii="Times New Roman" w:hAnsi="Times New Roman"/>
          <w:b/>
          <w:sz w:val="24"/>
          <w:szCs w:val="24"/>
          <w:lang w:val="de-DE"/>
        </w:rPr>
      </w:pPr>
    </w:p>
    <w:p w:rsidR="00050A3D" w:rsidRDefault="00050A3D" w:rsidP="00050A3D"/>
    <w:p w:rsidR="00FF2C0D" w:rsidRDefault="00FF2C0D" w:rsidP="00050A3D"/>
    <w:p w:rsidR="00FF2C0D" w:rsidRDefault="00FF2C0D" w:rsidP="00050A3D"/>
    <w:p w:rsidR="00FF2C0D" w:rsidRDefault="00FF2C0D" w:rsidP="00050A3D"/>
    <w:p w:rsidR="00FF2C0D" w:rsidRDefault="00FF2C0D" w:rsidP="00050A3D"/>
    <w:p w:rsidR="00FF2C0D" w:rsidRDefault="00FF2C0D" w:rsidP="00050A3D"/>
    <w:p w:rsidR="00FF2C0D" w:rsidRDefault="00FF2C0D" w:rsidP="00050A3D"/>
    <w:p w:rsidR="00FF2C0D" w:rsidRDefault="00FF2C0D" w:rsidP="00050A3D"/>
    <w:p w:rsidR="00FF2C0D" w:rsidRDefault="00FF2C0D" w:rsidP="00050A3D"/>
    <w:p w:rsidR="00FF2C0D" w:rsidRDefault="00FF2C0D" w:rsidP="00050A3D"/>
    <w:p w:rsidR="00FF2C0D" w:rsidRDefault="00FF2C0D" w:rsidP="00050A3D"/>
    <w:p w:rsidR="00FF2C0D" w:rsidRPr="00050A3D" w:rsidRDefault="00FF2C0D" w:rsidP="00050A3D"/>
    <w:p w:rsidR="00F63DD5" w:rsidRPr="00F63DD5" w:rsidRDefault="00F63DD5" w:rsidP="00F63DD5"/>
    <w:p w:rsidR="00AB34C5" w:rsidRDefault="00AB34C5" w:rsidP="00F63DD5">
      <w:pPr>
        <w:pStyle w:val="VDTableTitle"/>
        <w:spacing w:after="240"/>
        <w:jc w:val="left"/>
      </w:pPr>
      <w:r>
        <w:t xml:space="preserve">TABLES. </w:t>
      </w:r>
    </w:p>
    <w:p w:rsidR="00F63DD5" w:rsidRPr="00F63DD5" w:rsidRDefault="00F63DD5" w:rsidP="00F63DD5">
      <w:pPr>
        <w:rPr>
          <w:szCs w:val="24"/>
        </w:rPr>
      </w:pPr>
      <w:r w:rsidRPr="00F63DD5">
        <w:rPr>
          <w:rFonts w:ascii="Times New Roman" w:hAnsi="Times New Roman"/>
          <w:b/>
          <w:szCs w:val="24"/>
        </w:rPr>
        <w:t xml:space="preserve">Table 1. </w:t>
      </w:r>
      <w:r w:rsidRPr="00F63DD5">
        <w:rPr>
          <w:rFonts w:ascii="Times New Roman" w:hAnsi="Times New Roman"/>
          <w:szCs w:val="24"/>
        </w:rPr>
        <w:t xml:space="preserve"> MAO-N and 6-HDNO aromatization of pyrrolines </w:t>
      </w:r>
      <w:r w:rsidRPr="00F63DD5">
        <w:rPr>
          <w:rFonts w:ascii="Times New Roman" w:hAnsi="Times New Roman"/>
          <w:b/>
          <w:szCs w:val="24"/>
        </w:rPr>
        <w:t>7a-k</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993"/>
        <w:gridCol w:w="1559"/>
        <w:gridCol w:w="567"/>
        <w:gridCol w:w="567"/>
        <w:gridCol w:w="567"/>
        <w:gridCol w:w="1134"/>
        <w:gridCol w:w="992"/>
        <w:gridCol w:w="1276"/>
      </w:tblGrid>
      <w:tr w:rsidR="00F63DD5" w:rsidTr="00CA651E">
        <w:trPr>
          <w:trHeight w:val="1117"/>
          <w:jc w:val="center"/>
        </w:trPr>
        <w:tc>
          <w:tcPr>
            <w:tcW w:w="7655" w:type="dxa"/>
            <w:gridSpan w:val="8"/>
            <w:tcBorders>
              <w:bottom w:val="single" w:sz="4" w:space="0" w:color="auto"/>
            </w:tcBorders>
            <w:vAlign w:val="center"/>
          </w:tcPr>
          <w:p w:rsidR="00F63DD5" w:rsidRPr="00F63DD5" w:rsidRDefault="00F63DD5" w:rsidP="00F63DD5">
            <w:pPr>
              <w:pStyle w:val="Heading1"/>
              <w:jc w:val="center"/>
              <w:outlineLvl w:val="0"/>
            </w:pPr>
            <w:r w:rsidRPr="00F63DD5">
              <w:rPr>
                <w:lang w:val="en-US"/>
              </w:rPr>
              <w:object w:dxaOrig="4699" w:dyaOrig="1725">
                <v:shape id="_x0000_i1030" type="#_x0000_t75" style="width:196.5pt;height:72.75pt" o:ole="">
                  <v:imagedata r:id="rId18" o:title=""/>
                </v:shape>
                <o:OLEObject Type="Embed" ProgID="ChemDraw.Document.6.0" ShapeID="_x0000_i1030" DrawAspect="Content" ObjectID="_1581246306" r:id="rId19"/>
              </w:object>
            </w:r>
          </w:p>
        </w:tc>
      </w:tr>
      <w:tr w:rsidR="00F63DD5" w:rsidTr="00CA651E">
        <w:trPr>
          <w:trHeight w:val="354"/>
          <w:jc w:val="center"/>
        </w:trPr>
        <w:tc>
          <w:tcPr>
            <w:tcW w:w="993" w:type="dxa"/>
            <w:tcBorders>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bCs/>
              </w:rPr>
            </w:pPr>
            <w:r w:rsidRPr="00F63DD5">
              <w:rPr>
                <w:rFonts w:ascii="Times New Roman" w:hAnsi="Times New Roman" w:cs="Times New Roman"/>
                <w:b/>
                <w:bCs/>
              </w:rPr>
              <w:t>3-Pyr.</w:t>
            </w:r>
          </w:p>
        </w:tc>
        <w:tc>
          <w:tcPr>
            <w:tcW w:w="1559" w:type="dxa"/>
            <w:tcBorders>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b/>
                <w:bCs/>
              </w:rPr>
              <w:t>Ar</w:t>
            </w:r>
          </w:p>
        </w:tc>
        <w:tc>
          <w:tcPr>
            <w:tcW w:w="567" w:type="dxa"/>
            <w:tcBorders>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b/>
                <w:bCs/>
              </w:rPr>
              <w:t>R</w:t>
            </w:r>
            <w:r w:rsidRPr="00F63DD5">
              <w:rPr>
                <w:rFonts w:ascii="Times New Roman" w:hAnsi="Times New Roman" w:cs="Times New Roman"/>
                <w:b/>
                <w:bCs/>
                <w:vertAlign w:val="subscript"/>
              </w:rPr>
              <w:t>1</w:t>
            </w:r>
          </w:p>
        </w:tc>
        <w:tc>
          <w:tcPr>
            <w:tcW w:w="567" w:type="dxa"/>
            <w:tcBorders>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b/>
                <w:bCs/>
              </w:rPr>
              <w:t>R</w:t>
            </w:r>
            <w:r w:rsidRPr="00F63DD5">
              <w:rPr>
                <w:rFonts w:ascii="Times New Roman" w:hAnsi="Times New Roman" w:cs="Times New Roman"/>
                <w:b/>
                <w:bCs/>
                <w:vertAlign w:val="subscript"/>
              </w:rPr>
              <w:t>2</w:t>
            </w:r>
          </w:p>
        </w:tc>
        <w:tc>
          <w:tcPr>
            <w:tcW w:w="567" w:type="dxa"/>
            <w:tcBorders>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b/>
                <w:bCs/>
              </w:rPr>
              <w:t>R</w:t>
            </w:r>
            <w:r w:rsidRPr="00F63DD5">
              <w:rPr>
                <w:rFonts w:ascii="Times New Roman" w:hAnsi="Times New Roman" w:cs="Times New Roman"/>
                <w:b/>
                <w:bCs/>
                <w:vertAlign w:val="subscript"/>
              </w:rPr>
              <w:t>3</w:t>
            </w:r>
          </w:p>
        </w:tc>
        <w:tc>
          <w:tcPr>
            <w:tcW w:w="1134" w:type="dxa"/>
            <w:tcBorders>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b/>
                <w:bCs/>
              </w:rPr>
              <w:t>Biocat.</w:t>
            </w:r>
            <w:r w:rsidRPr="00F63DD5">
              <w:rPr>
                <w:rFonts w:ascii="Times New Roman" w:hAnsi="Times New Roman" w:cs="Times New Roman"/>
                <w:b/>
                <w:bCs/>
                <w:vertAlign w:val="superscript"/>
              </w:rPr>
              <w:t>a</w:t>
            </w:r>
          </w:p>
        </w:tc>
        <w:tc>
          <w:tcPr>
            <w:tcW w:w="992" w:type="dxa"/>
            <w:tcBorders>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Pyrrole</w:t>
            </w:r>
          </w:p>
        </w:tc>
        <w:tc>
          <w:tcPr>
            <w:tcW w:w="1276" w:type="dxa"/>
            <w:tcBorders>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b/>
                <w:bCs/>
              </w:rPr>
              <w:t>Conv (%)</w:t>
            </w:r>
            <w:r w:rsidRPr="00F63DD5">
              <w:rPr>
                <w:rFonts w:ascii="Times New Roman" w:hAnsi="Times New Roman" w:cs="Times New Roman"/>
                <w:b/>
                <w:bCs/>
                <w:vertAlign w:val="superscript"/>
              </w:rPr>
              <w:t>b</w:t>
            </w:r>
          </w:p>
        </w:tc>
      </w:tr>
      <w:tr w:rsidR="00F63DD5" w:rsidTr="00CA651E">
        <w:trPr>
          <w:jc w:val="center"/>
        </w:trPr>
        <w:tc>
          <w:tcPr>
            <w:tcW w:w="993" w:type="dxa"/>
            <w:tcBorders>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559" w:type="dxa"/>
            <w:tcBorders>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61</w:t>
            </w:r>
          </w:p>
        </w:tc>
      </w:tr>
      <w:tr w:rsidR="00F63DD5" w:rsidTr="00CA651E">
        <w:trPr>
          <w:jc w:val="center"/>
        </w:trPr>
        <w:tc>
          <w:tcPr>
            <w:tcW w:w="993" w:type="dxa"/>
            <w:tcBorders>
              <w:top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7a</w:t>
            </w:r>
          </w:p>
        </w:tc>
        <w:tc>
          <w:tcPr>
            <w:tcW w:w="1559"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Ph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1134"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MAO-D9</w:t>
            </w:r>
          </w:p>
        </w:tc>
        <w:tc>
          <w:tcPr>
            <w:tcW w:w="992"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11a</w:t>
            </w:r>
          </w:p>
        </w:tc>
        <w:tc>
          <w:tcPr>
            <w:tcW w:w="1276" w:type="dxa"/>
            <w:tcBorders>
              <w:top w:val="nil"/>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32</w:t>
            </w:r>
          </w:p>
        </w:tc>
      </w:tr>
      <w:tr w:rsidR="00F63DD5" w:rsidTr="00CA651E">
        <w:trPr>
          <w:trHeight w:val="70"/>
          <w:jc w:val="center"/>
        </w:trPr>
        <w:tc>
          <w:tcPr>
            <w:tcW w:w="993" w:type="dxa"/>
            <w:tcBorders>
              <w:top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6-HDNO</w:t>
            </w:r>
          </w:p>
        </w:tc>
        <w:tc>
          <w:tcPr>
            <w:tcW w:w="992"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nil"/>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60</w:t>
            </w:r>
          </w:p>
        </w:tc>
      </w:tr>
      <w:tr w:rsidR="00F63DD5" w:rsidTr="00CA651E">
        <w:trPr>
          <w:jc w:val="center"/>
        </w:trPr>
        <w:tc>
          <w:tcPr>
            <w:tcW w:w="993" w:type="dxa"/>
            <w:tcBorders>
              <w:top w:val="single" w:sz="4" w:space="0" w:color="auto"/>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7b</w:t>
            </w:r>
          </w:p>
        </w:tc>
        <w:tc>
          <w:tcPr>
            <w:tcW w:w="1559"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4-F-Ph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1134"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11b</w:t>
            </w:r>
          </w:p>
        </w:tc>
        <w:tc>
          <w:tcPr>
            <w:tcW w:w="1276" w:type="dxa"/>
            <w:tcBorders>
              <w:top w:val="single" w:sz="4" w:space="0" w:color="auto"/>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60</w:t>
            </w:r>
          </w:p>
        </w:tc>
      </w:tr>
      <w:tr w:rsidR="00F63DD5" w:rsidTr="00CA651E">
        <w:trPr>
          <w:jc w:val="center"/>
        </w:trPr>
        <w:tc>
          <w:tcPr>
            <w:tcW w:w="993" w:type="dxa"/>
            <w:tcBorders>
              <w:top w:val="single" w:sz="4" w:space="0" w:color="auto"/>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7c</w:t>
            </w:r>
          </w:p>
        </w:tc>
        <w:tc>
          <w:tcPr>
            <w:tcW w:w="1559"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4-Br-Ph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1134"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11c</w:t>
            </w:r>
          </w:p>
        </w:tc>
        <w:tc>
          <w:tcPr>
            <w:tcW w:w="1276" w:type="dxa"/>
            <w:tcBorders>
              <w:top w:val="single" w:sz="4" w:space="0" w:color="auto"/>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40</w:t>
            </w:r>
          </w:p>
        </w:tc>
      </w:tr>
      <w:tr w:rsidR="00F63DD5" w:rsidTr="00CA651E">
        <w:trPr>
          <w:jc w:val="center"/>
        </w:trPr>
        <w:tc>
          <w:tcPr>
            <w:tcW w:w="993" w:type="dxa"/>
            <w:tcBorders>
              <w:top w:val="single" w:sz="4" w:space="0" w:color="auto"/>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single" w:sz="4" w:space="0" w:color="auto"/>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&gt;99</w:t>
            </w:r>
          </w:p>
        </w:tc>
      </w:tr>
      <w:tr w:rsidR="00F63DD5" w:rsidTr="00CA651E">
        <w:trPr>
          <w:jc w:val="center"/>
        </w:trPr>
        <w:tc>
          <w:tcPr>
            <w:tcW w:w="993" w:type="dxa"/>
            <w:tcBorders>
              <w:top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7d</w:t>
            </w:r>
          </w:p>
        </w:tc>
        <w:tc>
          <w:tcPr>
            <w:tcW w:w="1559"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4-iPr-Ph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1134"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MAO-D9</w:t>
            </w:r>
          </w:p>
        </w:tc>
        <w:tc>
          <w:tcPr>
            <w:tcW w:w="992"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11d</w:t>
            </w:r>
          </w:p>
        </w:tc>
        <w:tc>
          <w:tcPr>
            <w:tcW w:w="1276" w:type="dxa"/>
            <w:tcBorders>
              <w:top w:val="nil"/>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50</w:t>
            </w:r>
          </w:p>
        </w:tc>
      </w:tr>
      <w:tr w:rsidR="00F63DD5" w:rsidTr="00CA651E">
        <w:trPr>
          <w:jc w:val="center"/>
        </w:trPr>
        <w:tc>
          <w:tcPr>
            <w:tcW w:w="993" w:type="dxa"/>
            <w:tcBorders>
              <w:top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6-HDNO</w:t>
            </w:r>
          </w:p>
        </w:tc>
        <w:tc>
          <w:tcPr>
            <w:tcW w:w="992"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nil"/>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27</w:t>
            </w:r>
          </w:p>
        </w:tc>
      </w:tr>
      <w:tr w:rsidR="00F63DD5" w:rsidTr="00CA651E">
        <w:trPr>
          <w:jc w:val="center"/>
        </w:trPr>
        <w:tc>
          <w:tcPr>
            <w:tcW w:w="993" w:type="dxa"/>
            <w:tcBorders>
              <w:top w:val="single" w:sz="4" w:space="0" w:color="auto"/>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single" w:sz="4" w:space="0" w:color="auto"/>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82</w:t>
            </w:r>
          </w:p>
        </w:tc>
      </w:tr>
      <w:tr w:rsidR="00F63DD5" w:rsidTr="00CA651E">
        <w:trPr>
          <w:jc w:val="center"/>
        </w:trPr>
        <w:tc>
          <w:tcPr>
            <w:tcW w:w="993" w:type="dxa"/>
            <w:tcBorders>
              <w:top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7e</w:t>
            </w:r>
          </w:p>
        </w:tc>
        <w:tc>
          <w:tcPr>
            <w:tcW w:w="1559"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4-MeO-Ph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1134"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MAO-D9</w:t>
            </w:r>
          </w:p>
        </w:tc>
        <w:tc>
          <w:tcPr>
            <w:tcW w:w="992"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11e</w:t>
            </w:r>
          </w:p>
        </w:tc>
        <w:tc>
          <w:tcPr>
            <w:tcW w:w="1276" w:type="dxa"/>
            <w:tcBorders>
              <w:top w:val="nil"/>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54</w:t>
            </w:r>
          </w:p>
        </w:tc>
      </w:tr>
      <w:tr w:rsidR="00F63DD5" w:rsidTr="00CA651E">
        <w:trPr>
          <w:jc w:val="center"/>
        </w:trPr>
        <w:tc>
          <w:tcPr>
            <w:tcW w:w="993" w:type="dxa"/>
            <w:tcBorders>
              <w:top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6-HDNO</w:t>
            </w:r>
          </w:p>
        </w:tc>
        <w:tc>
          <w:tcPr>
            <w:tcW w:w="992"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nil"/>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21</w:t>
            </w:r>
          </w:p>
        </w:tc>
      </w:tr>
      <w:tr w:rsidR="00F63DD5" w:rsidTr="00CA651E">
        <w:trPr>
          <w:jc w:val="center"/>
        </w:trPr>
        <w:tc>
          <w:tcPr>
            <w:tcW w:w="993" w:type="dxa"/>
            <w:tcBorders>
              <w:top w:val="single" w:sz="4" w:space="0" w:color="auto"/>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single" w:sz="4" w:space="0" w:color="auto"/>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45</w:t>
            </w:r>
          </w:p>
        </w:tc>
      </w:tr>
      <w:tr w:rsidR="00F63DD5" w:rsidTr="00CA651E">
        <w:trPr>
          <w:jc w:val="center"/>
        </w:trPr>
        <w:tc>
          <w:tcPr>
            <w:tcW w:w="993" w:type="dxa"/>
            <w:tcBorders>
              <w:top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7f</w:t>
            </w:r>
          </w:p>
        </w:tc>
        <w:tc>
          <w:tcPr>
            <w:tcW w:w="1559"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2,5-Me-Ph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1134"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MAO-D9</w:t>
            </w:r>
          </w:p>
        </w:tc>
        <w:tc>
          <w:tcPr>
            <w:tcW w:w="992"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11f</w:t>
            </w:r>
          </w:p>
        </w:tc>
        <w:tc>
          <w:tcPr>
            <w:tcW w:w="1276" w:type="dxa"/>
            <w:tcBorders>
              <w:top w:val="nil"/>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34</w:t>
            </w:r>
          </w:p>
        </w:tc>
      </w:tr>
      <w:tr w:rsidR="00F63DD5" w:rsidTr="00CA651E">
        <w:trPr>
          <w:jc w:val="center"/>
        </w:trPr>
        <w:tc>
          <w:tcPr>
            <w:tcW w:w="993" w:type="dxa"/>
            <w:tcBorders>
              <w:top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6-HDNO</w:t>
            </w:r>
          </w:p>
        </w:tc>
        <w:tc>
          <w:tcPr>
            <w:tcW w:w="992"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nil"/>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30</w:t>
            </w:r>
          </w:p>
        </w:tc>
      </w:tr>
      <w:tr w:rsidR="00F63DD5" w:rsidTr="00CA651E">
        <w:trPr>
          <w:jc w:val="center"/>
        </w:trPr>
        <w:tc>
          <w:tcPr>
            <w:tcW w:w="993" w:type="dxa"/>
            <w:tcBorders>
              <w:top w:val="single" w:sz="4" w:space="0" w:color="auto"/>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7g</w:t>
            </w:r>
          </w:p>
        </w:tc>
        <w:tc>
          <w:tcPr>
            <w:tcW w:w="1559"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4-NO</w:t>
            </w:r>
            <w:r w:rsidRPr="00F63DD5">
              <w:rPr>
                <w:rFonts w:ascii="Times New Roman" w:hAnsi="Times New Roman" w:cs="Times New Roman"/>
                <w:vertAlign w:val="subscript"/>
              </w:rPr>
              <w:t>2</w:t>
            </w:r>
            <w:r w:rsidRPr="00F63DD5">
              <w:rPr>
                <w:rFonts w:ascii="Times New Roman" w:hAnsi="Times New Roman" w:cs="Times New Roman"/>
              </w:rPr>
              <w:t>-Ph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1134"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11g</w:t>
            </w:r>
          </w:p>
        </w:tc>
        <w:tc>
          <w:tcPr>
            <w:tcW w:w="1276" w:type="dxa"/>
            <w:tcBorders>
              <w:top w:val="single" w:sz="4" w:space="0" w:color="auto"/>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2</w:t>
            </w:r>
          </w:p>
        </w:tc>
      </w:tr>
      <w:tr w:rsidR="00F63DD5" w:rsidTr="00CA651E">
        <w:trPr>
          <w:jc w:val="center"/>
        </w:trPr>
        <w:tc>
          <w:tcPr>
            <w:tcW w:w="993" w:type="dxa"/>
            <w:tcBorders>
              <w:top w:val="single" w:sz="4" w:space="0" w:color="auto"/>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7h</w:t>
            </w:r>
          </w:p>
        </w:tc>
        <w:tc>
          <w:tcPr>
            <w:tcW w:w="1559"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4-CN-Ph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1134"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11h</w:t>
            </w:r>
          </w:p>
        </w:tc>
        <w:tc>
          <w:tcPr>
            <w:tcW w:w="1276" w:type="dxa"/>
            <w:tcBorders>
              <w:top w:val="single" w:sz="4" w:space="0" w:color="auto"/>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2</w:t>
            </w:r>
          </w:p>
        </w:tc>
      </w:tr>
      <w:tr w:rsidR="00F63DD5" w:rsidTr="00CA651E">
        <w:trPr>
          <w:jc w:val="center"/>
        </w:trPr>
        <w:tc>
          <w:tcPr>
            <w:tcW w:w="993" w:type="dxa"/>
            <w:tcBorders>
              <w:top w:val="single" w:sz="4" w:space="0" w:color="auto"/>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single" w:sz="4" w:space="0" w:color="auto"/>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&gt;99</w:t>
            </w:r>
          </w:p>
        </w:tc>
      </w:tr>
      <w:tr w:rsidR="00F63DD5" w:rsidTr="00CA651E">
        <w:trPr>
          <w:jc w:val="center"/>
        </w:trPr>
        <w:tc>
          <w:tcPr>
            <w:tcW w:w="993" w:type="dxa"/>
            <w:tcBorders>
              <w:top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7i</w:t>
            </w:r>
          </w:p>
        </w:tc>
        <w:tc>
          <w:tcPr>
            <w:tcW w:w="1559"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Ph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Me</w:t>
            </w:r>
          </w:p>
        </w:tc>
        <w:tc>
          <w:tcPr>
            <w:tcW w:w="1134"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MAO-D9</w:t>
            </w:r>
          </w:p>
        </w:tc>
        <w:tc>
          <w:tcPr>
            <w:tcW w:w="992"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11i</w:t>
            </w:r>
          </w:p>
        </w:tc>
        <w:tc>
          <w:tcPr>
            <w:tcW w:w="1276" w:type="dxa"/>
            <w:tcBorders>
              <w:top w:val="nil"/>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51</w:t>
            </w:r>
          </w:p>
        </w:tc>
      </w:tr>
      <w:tr w:rsidR="00F63DD5" w:rsidTr="00CA651E">
        <w:trPr>
          <w:jc w:val="center"/>
        </w:trPr>
        <w:tc>
          <w:tcPr>
            <w:tcW w:w="993" w:type="dxa"/>
            <w:tcBorders>
              <w:top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6-HDNO</w:t>
            </w:r>
          </w:p>
        </w:tc>
        <w:tc>
          <w:tcPr>
            <w:tcW w:w="992"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nil"/>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55</w:t>
            </w:r>
          </w:p>
        </w:tc>
      </w:tr>
      <w:tr w:rsidR="00F63DD5" w:rsidTr="00CA651E">
        <w:trPr>
          <w:jc w:val="center"/>
        </w:trPr>
        <w:tc>
          <w:tcPr>
            <w:tcW w:w="993" w:type="dxa"/>
            <w:tcBorders>
              <w:top w:val="single" w:sz="4" w:space="0" w:color="auto"/>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single" w:sz="4" w:space="0" w:color="auto"/>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0</w:t>
            </w:r>
          </w:p>
        </w:tc>
      </w:tr>
      <w:tr w:rsidR="00F63DD5" w:rsidTr="00CA651E">
        <w:trPr>
          <w:jc w:val="center"/>
        </w:trPr>
        <w:tc>
          <w:tcPr>
            <w:tcW w:w="993" w:type="dxa"/>
            <w:tcBorders>
              <w:top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7j</w:t>
            </w:r>
          </w:p>
        </w:tc>
        <w:tc>
          <w:tcPr>
            <w:tcW w:w="1559"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Ph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Ph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1134"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MAO-D9</w:t>
            </w:r>
          </w:p>
        </w:tc>
        <w:tc>
          <w:tcPr>
            <w:tcW w:w="992" w:type="dxa"/>
            <w:tcBorders>
              <w:top w:val="nil"/>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11j</w:t>
            </w:r>
            <w:r w:rsidR="006F37BA" w:rsidRPr="006F37BA">
              <w:rPr>
                <w:rFonts w:ascii="Times New Roman" w:hAnsi="Times New Roman" w:cs="Times New Roman"/>
                <w:i/>
                <w:vertAlign w:val="superscript"/>
              </w:rPr>
              <w:t>c</w:t>
            </w:r>
          </w:p>
        </w:tc>
        <w:tc>
          <w:tcPr>
            <w:tcW w:w="1276" w:type="dxa"/>
            <w:tcBorders>
              <w:top w:val="nil"/>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0</w:t>
            </w:r>
          </w:p>
        </w:tc>
      </w:tr>
      <w:tr w:rsidR="00F63DD5" w:rsidTr="00CA651E">
        <w:trPr>
          <w:jc w:val="center"/>
        </w:trPr>
        <w:tc>
          <w:tcPr>
            <w:tcW w:w="993" w:type="dxa"/>
            <w:tcBorders>
              <w:top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6-HDNO</w:t>
            </w:r>
          </w:p>
        </w:tc>
        <w:tc>
          <w:tcPr>
            <w:tcW w:w="992"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nil"/>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0</w:t>
            </w:r>
          </w:p>
        </w:tc>
      </w:tr>
      <w:tr w:rsidR="00F63DD5" w:rsidTr="00CA651E">
        <w:trPr>
          <w:jc w:val="center"/>
        </w:trPr>
        <w:tc>
          <w:tcPr>
            <w:tcW w:w="993" w:type="dxa"/>
            <w:tcBorders>
              <w:top w:val="single" w:sz="4" w:space="0" w:color="auto"/>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7k</w:t>
            </w:r>
          </w:p>
        </w:tc>
        <w:tc>
          <w:tcPr>
            <w:tcW w:w="1559"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Ph</w:t>
            </w: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H</w:t>
            </w:r>
          </w:p>
        </w:tc>
        <w:tc>
          <w:tcPr>
            <w:tcW w:w="567"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Ph</w:t>
            </w:r>
          </w:p>
        </w:tc>
        <w:tc>
          <w:tcPr>
            <w:tcW w:w="1134"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MAO-D5</w:t>
            </w:r>
          </w:p>
        </w:tc>
        <w:tc>
          <w:tcPr>
            <w:tcW w:w="992" w:type="dxa"/>
            <w:tcBorders>
              <w:top w:val="single" w:sz="4" w:space="0" w:color="auto"/>
              <w:left w:val="nil"/>
              <w:bottom w:val="nil"/>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r w:rsidRPr="00F63DD5">
              <w:rPr>
                <w:rFonts w:ascii="Times New Roman" w:hAnsi="Times New Roman" w:cs="Times New Roman"/>
                <w:b/>
              </w:rPr>
              <w:t>11k</w:t>
            </w:r>
            <w:r w:rsidR="006F37BA" w:rsidRPr="006F37BA">
              <w:rPr>
                <w:rFonts w:ascii="Times New Roman" w:hAnsi="Times New Roman" w:cs="Times New Roman"/>
                <w:i/>
                <w:vertAlign w:val="superscript"/>
              </w:rPr>
              <w:t>c</w:t>
            </w:r>
          </w:p>
        </w:tc>
        <w:tc>
          <w:tcPr>
            <w:tcW w:w="1276" w:type="dxa"/>
            <w:tcBorders>
              <w:top w:val="single" w:sz="4" w:space="0" w:color="auto"/>
              <w:left w:val="nil"/>
              <w:bottom w:val="nil"/>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0</w:t>
            </w:r>
          </w:p>
        </w:tc>
      </w:tr>
      <w:tr w:rsidR="00F63DD5" w:rsidTr="00CA651E">
        <w:trPr>
          <w:trHeight w:val="70"/>
          <w:jc w:val="center"/>
        </w:trPr>
        <w:tc>
          <w:tcPr>
            <w:tcW w:w="993" w:type="dxa"/>
            <w:tcBorders>
              <w:top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559"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567"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rPr>
            </w:pPr>
          </w:p>
        </w:tc>
        <w:tc>
          <w:tcPr>
            <w:tcW w:w="1134" w:type="dxa"/>
            <w:tcBorders>
              <w:top w:val="nil"/>
              <w:left w:val="nil"/>
              <w:bottom w:val="single" w:sz="4" w:space="0" w:color="auto"/>
              <w:right w:val="nil"/>
            </w:tcBorders>
            <w:vAlign w:val="center"/>
          </w:tcPr>
          <w:p w:rsidR="00F63DD5" w:rsidRPr="00F63DD5" w:rsidRDefault="006F37BA" w:rsidP="00F254FE">
            <w:pPr>
              <w:spacing w:line="276" w:lineRule="auto"/>
              <w:contextualSpacing/>
              <w:jc w:val="center"/>
              <w:rPr>
                <w:rFonts w:ascii="Times New Roman" w:hAnsi="Times New Roman" w:cs="Times New Roman"/>
              </w:rPr>
            </w:pPr>
            <w:r>
              <w:rPr>
                <w:rFonts w:ascii="Times New Roman" w:hAnsi="Times New Roman" w:cs="Times New Roman"/>
              </w:rPr>
              <w:t>MAO-D9</w:t>
            </w:r>
          </w:p>
        </w:tc>
        <w:tc>
          <w:tcPr>
            <w:tcW w:w="992" w:type="dxa"/>
            <w:tcBorders>
              <w:top w:val="nil"/>
              <w:left w:val="nil"/>
              <w:bottom w:val="single" w:sz="4" w:space="0" w:color="auto"/>
              <w:right w:val="nil"/>
            </w:tcBorders>
            <w:vAlign w:val="center"/>
          </w:tcPr>
          <w:p w:rsidR="00F63DD5" w:rsidRPr="00F63DD5" w:rsidRDefault="00F63DD5" w:rsidP="00F254FE">
            <w:pPr>
              <w:spacing w:line="276" w:lineRule="auto"/>
              <w:contextualSpacing/>
              <w:jc w:val="center"/>
              <w:rPr>
                <w:rFonts w:ascii="Times New Roman" w:hAnsi="Times New Roman" w:cs="Times New Roman"/>
                <w:b/>
              </w:rPr>
            </w:pPr>
          </w:p>
        </w:tc>
        <w:tc>
          <w:tcPr>
            <w:tcW w:w="1276" w:type="dxa"/>
            <w:tcBorders>
              <w:top w:val="nil"/>
              <w:left w:val="nil"/>
              <w:bottom w:val="single" w:sz="4" w:space="0" w:color="auto"/>
            </w:tcBorders>
            <w:vAlign w:val="center"/>
          </w:tcPr>
          <w:p w:rsidR="00F63DD5" w:rsidRPr="00F63DD5" w:rsidRDefault="00F63DD5" w:rsidP="00F254FE">
            <w:pPr>
              <w:spacing w:line="276" w:lineRule="auto"/>
              <w:contextualSpacing/>
              <w:jc w:val="center"/>
              <w:rPr>
                <w:rFonts w:ascii="Times New Roman" w:hAnsi="Times New Roman" w:cs="Times New Roman"/>
              </w:rPr>
            </w:pPr>
            <w:r w:rsidRPr="00F63DD5">
              <w:rPr>
                <w:rFonts w:ascii="Times New Roman" w:hAnsi="Times New Roman" w:cs="Times New Roman"/>
              </w:rPr>
              <w:t>0</w:t>
            </w:r>
          </w:p>
        </w:tc>
      </w:tr>
      <w:tr w:rsidR="00F63DD5" w:rsidTr="006F37BA">
        <w:trPr>
          <w:jc w:val="center"/>
        </w:trPr>
        <w:tc>
          <w:tcPr>
            <w:tcW w:w="7655" w:type="dxa"/>
            <w:gridSpan w:val="8"/>
            <w:tcBorders>
              <w:bottom w:val="nil"/>
            </w:tcBorders>
            <w:vAlign w:val="center"/>
          </w:tcPr>
          <w:p w:rsidR="00F63DD5" w:rsidRPr="00F63DD5" w:rsidRDefault="00F63DD5" w:rsidP="00F63DD5">
            <w:pPr>
              <w:spacing w:line="240" w:lineRule="exact"/>
              <w:contextualSpacing/>
              <w:rPr>
                <w:rFonts w:ascii="Times New Roman" w:hAnsi="Times New Roman" w:cs="Times New Roman"/>
              </w:rPr>
            </w:pPr>
            <w:r w:rsidRPr="00F63DD5">
              <w:rPr>
                <w:rFonts w:ascii="Times New Roman" w:hAnsi="Times New Roman" w:cs="Times New Roman"/>
                <w:vertAlign w:val="superscript"/>
              </w:rPr>
              <w:t>a</w:t>
            </w:r>
            <w:r w:rsidRPr="00F63DD5">
              <w:rPr>
                <w:rFonts w:ascii="Times New Roman" w:hAnsi="Times New Roman" w:cs="Times New Roman"/>
              </w:rPr>
              <w:t xml:space="preserve">Freeze-dried </w:t>
            </w:r>
            <w:r w:rsidRPr="00F63DD5">
              <w:rPr>
                <w:rFonts w:ascii="Times New Roman" w:hAnsi="Times New Roman" w:cs="Times New Roman"/>
                <w:i/>
              </w:rPr>
              <w:t>E.coli</w:t>
            </w:r>
            <w:r w:rsidRPr="00F63DD5">
              <w:rPr>
                <w:rFonts w:ascii="Times New Roman" w:hAnsi="Times New Roman" w:cs="Times New Roman"/>
              </w:rPr>
              <w:t xml:space="preserve"> whole cells were used. </w:t>
            </w:r>
            <w:r w:rsidRPr="00F63DD5">
              <w:rPr>
                <w:rFonts w:ascii="Times New Roman" w:hAnsi="Times New Roman" w:cs="Times New Roman"/>
                <w:vertAlign w:val="superscript"/>
              </w:rPr>
              <w:t>b</w:t>
            </w:r>
            <w:r w:rsidRPr="00F63DD5">
              <w:rPr>
                <w:rFonts w:ascii="Times New Roman" w:hAnsi="Times New Roman" w:cs="Times New Roman"/>
              </w:rPr>
              <w:t xml:space="preserve">Conversion values were measured by GC-MS spectroscopy and/or </w:t>
            </w:r>
            <w:r w:rsidRPr="00F63DD5">
              <w:rPr>
                <w:rFonts w:ascii="Times New Roman" w:hAnsi="Times New Roman" w:cs="Times New Roman"/>
                <w:vertAlign w:val="superscript"/>
              </w:rPr>
              <w:t>1</w:t>
            </w:r>
            <w:r w:rsidRPr="00F63DD5">
              <w:rPr>
                <w:rFonts w:ascii="Times New Roman" w:hAnsi="Times New Roman" w:cs="Times New Roman"/>
              </w:rPr>
              <w:t xml:space="preserve">H-NMR. </w:t>
            </w:r>
            <w:r w:rsidRPr="00F63DD5">
              <w:rPr>
                <w:rFonts w:ascii="Times New Roman" w:hAnsi="Times New Roman" w:cs="Times New Roman"/>
                <w:vertAlign w:val="superscript"/>
              </w:rPr>
              <w:t>c</w:t>
            </w:r>
            <w:r w:rsidRPr="00F63DD5">
              <w:rPr>
                <w:rFonts w:ascii="Times New Roman" w:hAnsi="Times New Roman" w:cs="Times New Roman"/>
              </w:rPr>
              <w:t xml:space="preserve">Pyrrolines </w:t>
            </w:r>
            <w:r w:rsidRPr="00F63DD5">
              <w:rPr>
                <w:rFonts w:ascii="Times New Roman" w:hAnsi="Times New Roman" w:cs="Times New Roman"/>
                <w:b/>
              </w:rPr>
              <w:t>7j-k</w:t>
            </w:r>
            <w:r w:rsidRPr="00F63DD5">
              <w:rPr>
                <w:rFonts w:ascii="Times New Roman" w:hAnsi="Times New Roman" w:cs="Times New Roman"/>
              </w:rPr>
              <w:t xml:space="preserve"> were also treated with MAO-D11 variant, but no conversion was observed.</w:t>
            </w:r>
          </w:p>
        </w:tc>
      </w:tr>
    </w:tbl>
    <w:p w:rsidR="00F63DD5" w:rsidRDefault="00F63DD5" w:rsidP="00F63DD5"/>
    <w:p w:rsidR="00F63DD5" w:rsidRDefault="00F63DD5" w:rsidP="00F63DD5"/>
    <w:p w:rsidR="00F63DD5" w:rsidRDefault="00F63DD5" w:rsidP="00F63DD5"/>
    <w:p w:rsidR="00F63DD5" w:rsidRDefault="00F63DD5" w:rsidP="00F63DD5"/>
    <w:p w:rsidR="00F63DD5" w:rsidRPr="00F63DD5" w:rsidRDefault="00F63DD5" w:rsidP="00F63DD5">
      <w:pPr>
        <w:rPr>
          <w:rFonts w:ascii="Times New Roman" w:hAnsi="Times New Roman"/>
        </w:rPr>
      </w:pPr>
      <w:r w:rsidRPr="00F63DD5">
        <w:rPr>
          <w:rFonts w:ascii="Times New Roman" w:hAnsi="Times New Roman"/>
          <w:b/>
        </w:rPr>
        <w:t xml:space="preserve">Table 2. </w:t>
      </w:r>
      <w:r w:rsidRPr="00F63DD5">
        <w:rPr>
          <w:rFonts w:ascii="Times New Roman" w:hAnsi="Times New Roman"/>
        </w:rPr>
        <w:t xml:space="preserve"> MAO-N and 6-HDNO catalysed aromatization of pyrrolines </w:t>
      </w:r>
      <w:r w:rsidRPr="00F63DD5">
        <w:rPr>
          <w:rFonts w:ascii="Times New Roman" w:hAnsi="Times New Roman"/>
          <w:b/>
        </w:rPr>
        <w:t xml:space="preserve">10a-h </w:t>
      </w:r>
      <w:r w:rsidRPr="00F63DD5">
        <w:rPr>
          <w:rFonts w:ascii="Times New Roman" w:hAnsi="Times New Roman"/>
        </w:rPr>
        <w:t>and</w:t>
      </w:r>
      <w:r w:rsidRPr="00F63DD5">
        <w:rPr>
          <w:rFonts w:ascii="Times New Roman" w:hAnsi="Times New Roman"/>
          <w:b/>
        </w:rPr>
        <w:t xml:space="preserve"> 9</w:t>
      </w:r>
    </w:p>
    <w:tbl>
      <w:tblPr>
        <w:tblStyle w:val="TableGrid"/>
        <w:tblW w:w="0" w:type="auto"/>
        <w:tblInd w:w="851" w:type="dxa"/>
        <w:tblLayout w:type="fixed"/>
        <w:tblLook w:val="04A0" w:firstRow="1" w:lastRow="0" w:firstColumn="1" w:lastColumn="0" w:noHBand="0" w:noVBand="1"/>
      </w:tblPr>
      <w:tblGrid>
        <w:gridCol w:w="992"/>
        <w:gridCol w:w="1418"/>
        <w:gridCol w:w="567"/>
        <w:gridCol w:w="567"/>
        <w:gridCol w:w="567"/>
        <w:gridCol w:w="1275"/>
        <w:gridCol w:w="993"/>
        <w:gridCol w:w="850"/>
      </w:tblGrid>
      <w:tr w:rsidR="00F63DD5" w:rsidTr="00CA651E">
        <w:trPr>
          <w:trHeight w:val="1111"/>
        </w:trPr>
        <w:tc>
          <w:tcPr>
            <w:tcW w:w="7229" w:type="dxa"/>
            <w:gridSpan w:val="8"/>
            <w:tcBorders>
              <w:left w:val="nil"/>
              <w:bottom w:val="single" w:sz="4" w:space="0" w:color="auto"/>
              <w:right w:val="nil"/>
            </w:tcBorders>
            <w:vAlign w:val="center"/>
          </w:tcPr>
          <w:p w:rsidR="00F63DD5" w:rsidRDefault="00F63DD5" w:rsidP="00F63DD5">
            <w:pPr>
              <w:pStyle w:val="RSCB03MathematicsGreeketc"/>
              <w:jc w:val="center"/>
            </w:pPr>
            <w:r w:rsidRPr="00C13123">
              <w:object w:dxaOrig="4699" w:dyaOrig="1725">
                <v:shape id="_x0000_i1031" type="#_x0000_t75" style="width:196.5pt;height:72.75pt" o:ole="">
                  <v:imagedata r:id="rId20" o:title=""/>
                </v:shape>
                <o:OLEObject Type="Embed" ProgID="ChemDraw.Document.6.0" ShapeID="_x0000_i1031" DrawAspect="Content" ObjectID="_1581246307" r:id="rId21"/>
              </w:object>
            </w:r>
          </w:p>
        </w:tc>
      </w:tr>
      <w:tr w:rsidR="00F63DD5" w:rsidTr="00CA651E">
        <w:tc>
          <w:tcPr>
            <w:tcW w:w="992" w:type="dxa"/>
            <w:tcBorders>
              <w:left w:val="nil"/>
              <w:bottom w:val="single" w:sz="4" w:space="0" w:color="auto"/>
              <w:right w:val="nil"/>
            </w:tcBorders>
            <w:vAlign w:val="center"/>
          </w:tcPr>
          <w:p w:rsidR="00F63DD5" w:rsidRPr="00F63DD5" w:rsidRDefault="00F63DD5" w:rsidP="00F254FE">
            <w:pPr>
              <w:spacing w:line="276" w:lineRule="auto"/>
              <w:jc w:val="center"/>
              <w:rPr>
                <w:rFonts w:ascii="Times New Roman" w:hAnsi="Times New Roman" w:cs="Times New Roman"/>
                <w:b/>
                <w:bCs/>
              </w:rPr>
            </w:pPr>
            <w:r w:rsidRPr="00F63DD5">
              <w:rPr>
                <w:rFonts w:ascii="Times New Roman" w:hAnsi="Times New Roman" w:cs="Times New Roman"/>
                <w:b/>
                <w:bCs/>
              </w:rPr>
              <w:t>3-Pyr.</w:t>
            </w:r>
          </w:p>
        </w:tc>
        <w:tc>
          <w:tcPr>
            <w:tcW w:w="1418" w:type="dxa"/>
            <w:tcBorders>
              <w:left w:val="nil"/>
              <w:bottom w:val="single" w:sz="4" w:space="0" w:color="auto"/>
              <w:right w:val="nil"/>
            </w:tcBorders>
            <w:vAlign w:val="center"/>
          </w:tcPr>
          <w:p w:rsidR="00F63DD5" w:rsidRPr="00F63DD5" w:rsidRDefault="00F63DD5" w:rsidP="00F254FE">
            <w:pPr>
              <w:spacing w:after="160" w:line="276" w:lineRule="auto"/>
              <w:jc w:val="center"/>
              <w:rPr>
                <w:rFonts w:ascii="Times New Roman" w:hAnsi="Times New Roman" w:cs="Times New Roman"/>
              </w:rPr>
            </w:pPr>
            <w:r w:rsidRPr="00F63DD5">
              <w:rPr>
                <w:rFonts w:ascii="Times New Roman" w:hAnsi="Times New Roman" w:cs="Times New Roman"/>
                <w:b/>
                <w:bCs/>
              </w:rPr>
              <w:t>Alk</w:t>
            </w:r>
          </w:p>
        </w:tc>
        <w:tc>
          <w:tcPr>
            <w:tcW w:w="567" w:type="dxa"/>
            <w:tcBorders>
              <w:left w:val="nil"/>
              <w:bottom w:val="single" w:sz="4" w:space="0" w:color="auto"/>
              <w:right w:val="nil"/>
            </w:tcBorders>
            <w:vAlign w:val="center"/>
          </w:tcPr>
          <w:p w:rsidR="00F63DD5" w:rsidRPr="00F63DD5" w:rsidRDefault="00F63DD5" w:rsidP="00F254FE">
            <w:pPr>
              <w:spacing w:after="160" w:line="276" w:lineRule="auto"/>
              <w:jc w:val="center"/>
              <w:rPr>
                <w:rFonts w:ascii="Times New Roman" w:hAnsi="Times New Roman" w:cs="Times New Roman"/>
              </w:rPr>
            </w:pPr>
            <w:r w:rsidRPr="00F63DD5">
              <w:rPr>
                <w:rFonts w:ascii="Times New Roman" w:hAnsi="Times New Roman" w:cs="Times New Roman"/>
                <w:b/>
                <w:bCs/>
              </w:rPr>
              <w:t>R</w:t>
            </w:r>
            <w:r w:rsidRPr="00F63DD5">
              <w:rPr>
                <w:rFonts w:ascii="Times New Roman" w:hAnsi="Times New Roman" w:cs="Times New Roman"/>
                <w:b/>
                <w:bCs/>
                <w:vertAlign w:val="subscript"/>
              </w:rPr>
              <w:t>1</w:t>
            </w:r>
          </w:p>
        </w:tc>
        <w:tc>
          <w:tcPr>
            <w:tcW w:w="567" w:type="dxa"/>
            <w:tcBorders>
              <w:left w:val="nil"/>
              <w:bottom w:val="single" w:sz="4" w:space="0" w:color="auto"/>
              <w:right w:val="nil"/>
            </w:tcBorders>
            <w:vAlign w:val="center"/>
          </w:tcPr>
          <w:p w:rsidR="00F63DD5" w:rsidRPr="00F63DD5" w:rsidRDefault="00F63DD5" w:rsidP="00F254FE">
            <w:pPr>
              <w:spacing w:after="160" w:line="276" w:lineRule="auto"/>
              <w:jc w:val="center"/>
              <w:rPr>
                <w:rFonts w:ascii="Times New Roman" w:hAnsi="Times New Roman" w:cs="Times New Roman"/>
              </w:rPr>
            </w:pPr>
            <w:r w:rsidRPr="00F63DD5">
              <w:rPr>
                <w:rFonts w:ascii="Times New Roman" w:hAnsi="Times New Roman" w:cs="Times New Roman"/>
                <w:b/>
                <w:bCs/>
              </w:rPr>
              <w:t>R</w:t>
            </w:r>
            <w:r w:rsidRPr="00F63DD5">
              <w:rPr>
                <w:rFonts w:ascii="Times New Roman" w:hAnsi="Times New Roman" w:cs="Times New Roman"/>
                <w:b/>
                <w:bCs/>
                <w:vertAlign w:val="subscript"/>
              </w:rPr>
              <w:t>2</w:t>
            </w:r>
          </w:p>
        </w:tc>
        <w:tc>
          <w:tcPr>
            <w:tcW w:w="567" w:type="dxa"/>
            <w:tcBorders>
              <w:left w:val="nil"/>
              <w:bottom w:val="single" w:sz="4" w:space="0" w:color="auto"/>
              <w:right w:val="nil"/>
            </w:tcBorders>
            <w:vAlign w:val="center"/>
          </w:tcPr>
          <w:p w:rsidR="00F63DD5" w:rsidRPr="00F63DD5" w:rsidRDefault="00F63DD5" w:rsidP="00F254FE">
            <w:pPr>
              <w:spacing w:after="160" w:line="276" w:lineRule="auto"/>
              <w:jc w:val="center"/>
              <w:rPr>
                <w:rFonts w:ascii="Times New Roman" w:hAnsi="Times New Roman" w:cs="Times New Roman"/>
              </w:rPr>
            </w:pPr>
            <w:r w:rsidRPr="00F63DD5">
              <w:rPr>
                <w:rFonts w:ascii="Times New Roman" w:hAnsi="Times New Roman" w:cs="Times New Roman"/>
                <w:b/>
                <w:bCs/>
              </w:rPr>
              <w:t>R</w:t>
            </w:r>
            <w:r w:rsidRPr="00F63DD5">
              <w:rPr>
                <w:rFonts w:ascii="Times New Roman" w:hAnsi="Times New Roman" w:cs="Times New Roman"/>
                <w:b/>
                <w:bCs/>
                <w:vertAlign w:val="subscript"/>
              </w:rPr>
              <w:t>3</w:t>
            </w:r>
          </w:p>
        </w:tc>
        <w:tc>
          <w:tcPr>
            <w:tcW w:w="1275" w:type="dxa"/>
            <w:tcBorders>
              <w:left w:val="nil"/>
              <w:bottom w:val="single" w:sz="4" w:space="0" w:color="auto"/>
              <w:right w:val="nil"/>
            </w:tcBorders>
            <w:vAlign w:val="center"/>
          </w:tcPr>
          <w:p w:rsidR="00F63DD5" w:rsidRPr="00F63DD5" w:rsidRDefault="00F63DD5" w:rsidP="00F254FE">
            <w:pPr>
              <w:spacing w:after="160" w:line="276" w:lineRule="auto"/>
              <w:jc w:val="center"/>
              <w:rPr>
                <w:rFonts w:ascii="Times New Roman" w:hAnsi="Times New Roman" w:cs="Times New Roman"/>
              </w:rPr>
            </w:pPr>
            <w:r w:rsidRPr="00F63DD5">
              <w:rPr>
                <w:rFonts w:ascii="Times New Roman" w:hAnsi="Times New Roman" w:cs="Times New Roman"/>
                <w:b/>
                <w:bCs/>
              </w:rPr>
              <w:t>Biocat.</w:t>
            </w:r>
            <w:r w:rsidRPr="00F63DD5">
              <w:rPr>
                <w:rFonts w:ascii="Times New Roman" w:hAnsi="Times New Roman" w:cs="Times New Roman"/>
                <w:b/>
                <w:bCs/>
                <w:vertAlign w:val="superscript"/>
              </w:rPr>
              <w:t>a</w:t>
            </w:r>
          </w:p>
        </w:tc>
        <w:tc>
          <w:tcPr>
            <w:tcW w:w="993" w:type="dxa"/>
            <w:tcBorders>
              <w:left w:val="nil"/>
              <w:bottom w:val="single" w:sz="4" w:space="0" w:color="auto"/>
              <w:right w:val="nil"/>
            </w:tcBorders>
            <w:vAlign w:val="center"/>
          </w:tcPr>
          <w:p w:rsidR="00F63DD5" w:rsidRPr="00F63DD5" w:rsidRDefault="00F63DD5" w:rsidP="00F254FE">
            <w:pPr>
              <w:spacing w:after="160" w:line="276" w:lineRule="auto"/>
              <w:jc w:val="center"/>
              <w:rPr>
                <w:rFonts w:ascii="Times New Roman" w:hAnsi="Times New Roman" w:cs="Times New Roman"/>
                <w:b/>
              </w:rPr>
            </w:pPr>
            <w:r w:rsidRPr="00F63DD5">
              <w:rPr>
                <w:rFonts w:ascii="Times New Roman" w:hAnsi="Times New Roman" w:cs="Times New Roman"/>
                <w:b/>
              </w:rPr>
              <w:t>Pyrrole</w:t>
            </w:r>
          </w:p>
        </w:tc>
        <w:tc>
          <w:tcPr>
            <w:tcW w:w="850" w:type="dxa"/>
            <w:tcBorders>
              <w:left w:val="nil"/>
              <w:bottom w:val="single" w:sz="4" w:space="0" w:color="auto"/>
              <w:right w:val="nil"/>
            </w:tcBorders>
            <w:vAlign w:val="center"/>
          </w:tcPr>
          <w:p w:rsidR="00F63DD5" w:rsidRPr="00F63DD5" w:rsidRDefault="00F63DD5" w:rsidP="00F254FE">
            <w:pPr>
              <w:spacing w:after="160" w:line="276" w:lineRule="auto"/>
              <w:jc w:val="center"/>
              <w:rPr>
                <w:rFonts w:ascii="Times New Roman" w:hAnsi="Times New Roman" w:cs="Times New Roman"/>
              </w:rPr>
            </w:pPr>
            <w:r w:rsidRPr="00F63DD5">
              <w:rPr>
                <w:rFonts w:ascii="Times New Roman" w:hAnsi="Times New Roman" w:cs="Times New Roman"/>
                <w:b/>
                <w:bCs/>
              </w:rPr>
              <w:t>Conv (%)</w:t>
            </w:r>
            <w:r w:rsidRPr="00F63DD5">
              <w:rPr>
                <w:rFonts w:ascii="Times New Roman" w:hAnsi="Times New Roman" w:cs="Times New Roman"/>
                <w:b/>
                <w:bCs/>
                <w:vertAlign w:val="superscript"/>
              </w:rPr>
              <w:t>b</w:t>
            </w:r>
          </w:p>
        </w:tc>
      </w:tr>
      <w:tr w:rsidR="00F63DD5" w:rsidTr="00CA651E">
        <w:tc>
          <w:tcPr>
            <w:tcW w:w="992"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1418"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1275"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850"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&gt;99</w:t>
            </w:r>
          </w:p>
        </w:tc>
      </w:tr>
      <w:tr w:rsidR="00F63DD5" w:rsidTr="00CA651E">
        <w:tc>
          <w:tcPr>
            <w:tcW w:w="992"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10a</w:t>
            </w:r>
          </w:p>
        </w:tc>
        <w:tc>
          <w:tcPr>
            <w:tcW w:w="1418"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Bn</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1275"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MAO-D9</w:t>
            </w:r>
          </w:p>
        </w:tc>
        <w:tc>
          <w:tcPr>
            <w:tcW w:w="993"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12a</w:t>
            </w:r>
          </w:p>
        </w:tc>
        <w:tc>
          <w:tcPr>
            <w:tcW w:w="850"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61</w:t>
            </w:r>
          </w:p>
        </w:tc>
      </w:tr>
      <w:tr w:rsidR="00F63DD5" w:rsidTr="00CA651E">
        <w:tc>
          <w:tcPr>
            <w:tcW w:w="992"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1418"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1275"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6-HDNO</w:t>
            </w:r>
          </w:p>
        </w:tc>
        <w:tc>
          <w:tcPr>
            <w:tcW w:w="993"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850"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95</w:t>
            </w:r>
          </w:p>
        </w:tc>
      </w:tr>
      <w:tr w:rsidR="00F63DD5" w:rsidTr="00CA651E">
        <w:trPr>
          <w:trHeight w:val="452"/>
        </w:trPr>
        <w:tc>
          <w:tcPr>
            <w:tcW w:w="992"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10b</w:t>
            </w:r>
          </w:p>
        </w:tc>
        <w:tc>
          <w:tcPr>
            <w:tcW w:w="1418"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4-Cl-Bn</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1275"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12b</w:t>
            </w:r>
          </w:p>
        </w:tc>
        <w:tc>
          <w:tcPr>
            <w:tcW w:w="850"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88</w:t>
            </w:r>
          </w:p>
        </w:tc>
      </w:tr>
      <w:tr w:rsidR="00F63DD5" w:rsidTr="00CA651E">
        <w:tc>
          <w:tcPr>
            <w:tcW w:w="992"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10c</w:t>
            </w:r>
          </w:p>
        </w:tc>
        <w:tc>
          <w:tcPr>
            <w:tcW w:w="1418" w:type="dxa"/>
            <w:tcBorders>
              <w:left w:val="nil"/>
              <w:right w:val="nil"/>
            </w:tcBorders>
            <w:vAlign w:val="center"/>
          </w:tcPr>
          <w:p w:rsidR="00F63DD5" w:rsidRPr="00F63DD5" w:rsidRDefault="00F63DD5" w:rsidP="00F254FE">
            <w:pPr>
              <w:spacing w:line="276" w:lineRule="auto"/>
              <w:jc w:val="center"/>
            </w:pPr>
            <w:r w:rsidRPr="00F63DD5">
              <w:rPr>
                <w:rFonts w:eastAsia="Times New Roman" w:cs="Times New Roman"/>
                <w:sz w:val="24"/>
                <w:szCs w:val="20"/>
                <w:lang w:val="en-US"/>
              </w:rPr>
              <w:object w:dxaOrig="1113" w:dyaOrig="809">
                <v:shape id="_x0000_i1032" type="#_x0000_t75" style="width:30.75pt;height:23.25pt" o:ole="" o:allowoverlap="f">
                  <v:imagedata r:id="rId22" o:title=""/>
                </v:shape>
                <o:OLEObject Type="Embed" ProgID="ChemDraw.Document.6.0" ShapeID="_x0000_i1032" DrawAspect="Content" ObjectID="_1581246308" r:id="rId23"/>
              </w:objec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1275"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12c</w:t>
            </w:r>
          </w:p>
        </w:tc>
        <w:tc>
          <w:tcPr>
            <w:tcW w:w="850"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&gt;99</w:t>
            </w:r>
          </w:p>
        </w:tc>
      </w:tr>
      <w:tr w:rsidR="00F63DD5" w:rsidTr="00CA651E">
        <w:trPr>
          <w:trHeight w:val="395"/>
        </w:trPr>
        <w:tc>
          <w:tcPr>
            <w:tcW w:w="992"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10d</w:t>
            </w:r>
          </w:p>
        </w:tc>
        <w:tc>
          <w:tcPr>
            <w:tcW w:w="1418"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Isovaleryl</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1275"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12d</w:t>
            </w:r>
          </w:p>
        </w:tc>
        <w:tc>
          <w:tcPr>
            <w:tcW w:w="850"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&gt;99</w:t>
            </w:r>
          </w:p>
        </w:tc>
      </w:tr>
      <w:tr w:rsidR="00F63DD5" w:rsidTr="00CA651E">
        <w:tc>
          <w:tcPr>
            <w:tcW w:w="992"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10e</w:t>
            </w:r>
          </w:p>
        </w:tc>
        <w:tc>
          <w:tcPr>
            <w:tcW w:w="1418" w:type="dxa"/>
            <w:tcBorders>
              <w:left w:val="nil"/>
              <w:bottom w:val="single" w:sz="4" w:space="0" w:color="auto"/>
              <w:right w:val="nil"/>
            </w:tcBorders>
            <w:vAlign w:val="center"/>
          </w:tcPr>
          <w:p w:rsidR="00F63DD5" w:rsidRPr="00F63DD5" w:rsidRDefault="00F63DD5" w:rsidP="00F254FE">
            <w:pPr>
              <w:spacing w:line="276" w:lineRule="auto"/>
              <w:jc w:val="center"/>
            </w:pPr>
            <w:r w:rsidRPr="00F63DD5">
              <w:rPr>
                <w:rFonts w:eastAsia="Times New Roman" w:cs="Times New Roman"/>
                <w:sz w:val="24"/>
                <w:szCs w:val="20"/>
                <w:lang w:val="en-US"/>
              </w:rPr>
              <w:object w:dxaOrig="847" w:dyaOrig="611">
                <v:shape id="_x0000_i1033" type="#_x0000_t75" style="width:27pt;height:21.75pt" o:ole="" o:allowoverlap="f">
                  <v:imagedata r:id="rId24" o:title=""/>
                </v:shape>
                <o:OLEObject Type="Embed" ProgID="ChemDraw.Document.6.0" ShapeID="_x0000_i1033" DrawAspect="Content" ObjectID="_1581246309" r:id="rId25"/>
              </w:object>
            </w:r>
          </w:p>
        </w:tc>
        <w:tc>
          <w:tcPr>
            <w:tcW w:w="567"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1275"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12e</w:t>
            </w:r>
          </w:p>
        </w:tc>
        <w:tc>
          <w:tcPr>
            <w:tcW w:w="850"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&gt;99</w:t>
            </w:r>
          </w:p>
        </w:tc>
      </w:tr>
      <w:tr w:rsidR="00F63DD5" w:rsidTr="00CA651E">
        <w:tc>
          <w:tcPr>
            <w:tcW w:w="992"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1418"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1275"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850"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&gt;99</w:t>
            </w:r>
          </w:p>
        </w:tc>
      </w:tr>
      <w:tr w:rsidR="00F63DD5" w:rsidTr="00CA651E">
        <w:tc>
          <w:tcPr>
            <w:tcW w:w="992"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10f</w:t>
            </w:r>
          </w:p>
        </w:tc>
        <w:tc>
          <w:tcPr>
            <w:tcW w:w="1418" w:type="dxa"/>
            <w:tcBorders>
              <w:top w:val="nil"/>
              <w:left w:val="nil"/>
              <w:bottom w:val="nil"/>
              <w:right w:val="nil"/>
            </w:tcBorders>
            <w:vAlign w:val="center"/>
          </w:tcPr>
          <w:p w:rsidR="00F63DD5" w:rsidRPr="00F63DD5" w:rsidRDefault="00F63DD5" w:rsidP="00F254FE">
            <w:pPr>
              <w:spacing w:line="276" w:lineRule="auto"/>
              <w:jc w:val="center"/>
            </w:pPr>
            <w:r w:rsidRPr="00F63DD5">
              <w:rPr>
                <w:rFonts w:eastAsia="Times New Roman" w:cs="Times New Roman"/>
                <w:sz w:val="24"/>
                <w:szCs w:val="20"/>
                <w:lang w:val="en-US"/>
              </w:rPr>
              <w:object w:dxaOrig="1007" w:dyaOrig="659">
                <v:shape id="_x0000_i1034" type="#_x0000_t75" style="width:30pt;height:21.75pt" o:ole="" o:allowoverlap="f">
                  <v:imagedata r:id="rId26" o:title=""/>
                </v:shape>
                <o:OLEObject Type="Embed" ProgID="ChemDraw.Document.6.0" ShapeID="_x0000_i1034" DrawAspect="Content" ObjectID="_1581246310" r:id="rId27"/>
              </w:objec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1275"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MAO-D9</w:t>
            </w:r>
          </w:p>
        </w:tc>
        <w:tc>
          <w:tcPr>
            <w:tcW w:w="993"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12f</w:t>
            </w:r>
          </w:p>
        </w:tc>
        <w:tc>
          <w:tcPr>
            <w:tcW w:w="850"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51</w:t>
            </w:r>
          </w:p>
        </w:tc>
      </w:tr>
      <w:tr w:rsidR="00F63DD5" w:rsidTr="00CA651E">
        <w:trPr>
          <w:trHeight w:val="158"/>
        </w:trPr>
        <w:tc>
          <w:tcPr>
            <w:tcW w:w="992"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1418"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1275"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6-HDNO</w:t>
            </w:r>
          </w:p>
        </w:tc>
        <w:tc>
          <w:tcPr>
            <w:tcW w:w="993"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850"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65</w:t>
            </w:r>
          </w:p>
        </w:tc>
      </w:tr>
      <w:tr w:rsidR="00F63DD5" w:rsidTr="00CA651E">
        <w:tc>
          <w:tcPr>
            <w:tcW w:w="992"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10g</w:t>
            </w:r>
          </w:p>
        </w:tc>
        <w:tc>
          <w:tcPr>
            <w:tcW w:w="1418" w:type="dxa"/>
            <w:tcBorders>
              <w:left w:val="nil"/>
              <w:right w:val="nil"/>
            </w:tcBorders>
            <w:vAlign w:val="center"/>
          </w:tcPr>
          <w:p w:rsidR="00F63DD5" w:rsidRPr="00F63DD5" w:rsidRDefault="00F63DD5" w:rsidP="00F254FE">
            <w:pPr>
              <w:spacing w:line="276" w:lineRule="auto"/>
              <w:jc w:val="center"/>
            </w:pPr>
            <w:r w:rsidRPr="00F63DD5">
              <w:rPr>
                <w:rFonts w:eastAsia="Times New Roman" w:cs="Times New Roman"/>
                <w:sz w:val="24"/>
                <w:szCs w:val="20"/>
                <w:lang w:val="en-US"/>
              </w:rPr>
              <w:object w:dxaOrig="1730" w:dyaOrig="623">
                <v:shape id="_x0000_i1035" type="#_x0000_t75" style="width:59.25pt;height:20.25pt" o:ole="">
                  <v:imagedata r:id="rId28" o:title=""/>
                </v:shape>
                <o:OLEObject Type="Embed" ProgID="ChemDraw.Document.6.0" ShapeID="_x0000_i1035" DrawAspect="Content" ObjectID="_1581246311" r:id="rId29"/>
              </w:objec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1275"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12g</w:t>
            </w:r>
          </w:p>
        </w:tc>
        <w:tc>
          <w:tcPr>
            <w:tcW w:w="850"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56</w:t>
            </w:r>
          </w:p>
        </w:tc>
      </w:tr>
      <w:tr w:rsidR="00F63DD5" w:rsidTr="00CA651E">
        <w:tc>
          <w:tcPr>
            <w:tcW w:w="992"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10h</w:t>
            </w:r>
          </w:p>
        </w:tc>
        <w:tc>
          <w:tcPr>
            <w:tcW w:w="1418" w:type="dxa"/>
            <w:tcBorders>
              <w:left w:val="nil"/>
              <w:right w:val="nil"/>
            </w:tcBorders>
            <w:vAlign w:val="center"/>
          </w:tcPr>
          <w:p w:rsidR="00F63DD5" w:rsidRPr="00F63DD5" w:rsidRDefault="00F63DD5" w:rsidP="00F254FE">
            <w:pPr>
              <w:spacing w:line="276" w:lineRule="auto"/>
              <w:jc w:val="center"/>
            </w:pPr>
            <w:r w:rsidRPr="00F63DD5">
              <w:rPr>
                <w:rFonts w:eastAsia="Times New Roman" w:cs="Times New Roman"/>
                <w:sz w:val="24"/>
                <w:szCs w:val="20"/>
                <w:lang w:val="en-US"/>
              </w:rPr>
              <w:object w:dxaOrig="1113" w:dyaOrig="809">
                <v:shape id="_x0000_i1036" type="#_x0000_t75" style="width:29.25pt;height:21.75pt" o:ole="" o:allowoverlap="f">
                  <v:imagedata r:id="rId22" o:title=""/>
                </v:shape>
                <o:OLEObject Type="Embed" ProgID="ChemDraw.Document.6.0" ShapeID="_x0000_i1036" DrawAspect="Content" ObjectID="_1581246312" r:id="rId30"/>
              </w:objec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Me</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Me</w:t>
            </w:r>
          </w:p>
        </w:tc>
        <w:tc>
          <w:tcPr>
            <w:tcW w:w="567"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1275"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12h</w:t>
            </w:r>
          </w:p>
        </w:tc>
        <w:tc>
          <w:tcPr>
            <w:tcW w:w="850" w:type="dxa"/>
            <w:tcBorders>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48</w:t>
            </w:r>
          </w:p>
        </w:tc>
      </w:tr>
      <w:tr w:rsidR="00F63DD5" w:rsidTr="00CA651E">
        <w:trPr>
          <w:trHeight w:val="446"/>
        </w:trPr>
        <w:tc>
          <w:tcPr>
            <w:tcW w:w="992"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10i</w:t>
            </w:r>
          </w:p>
        </w:tc>
        <w:tc>
          <w:tcPr>
            <w:tcW w:w="1418"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4-Cl-Bn</w:t>
            </w:r>
          </w:p>
        </w:tc>
        <w:tc>
          <w:tcPr>
            <w:tcW w:w="567"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Me</w:t>
            </w:r>
          </w:p>
        </w:tc>
        <w:tc>
          <w:tcPr>
            <w:tcW w:w="567"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Me</w:t>
            </w:r>
          </w:p>
        </w:tc>
        <w:tc>
          <w:tcPr>
            <w:tcW w:w="567"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1275"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12i</w:t>
            </w:r>
          </w:p>
        </w:tc>
        <w:tc>
          <w:tcPr>
            <w:tcW w:w="850"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51</w:t>
            </w:r>
          </w:p>
        </w:tc>
      </w:tr>
      <w:tr w:rsidR="00F63DD5" w:rsidTr="00CA651E">
        <w:tc>
          <w:tcPr>
            <w:tcW w:w="992"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1418"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1275"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850"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92</w:t>
            </w:r>
          </w:p>
        </w:tc>
      </w:tr>
      <w:tr w:rsidR="00F63DD5" w:rsidTr="00CA651E">
        <w:tc>
          <w:tcPr>
            <w:tcW w:w="992"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10j</w:t>
            </w:r>
          </w:p>
        </w:tc>
        <w:tc>
          <w:tcPr>
            <w:tcW w:w="1418"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Me</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Ph</w:t>
            </w:r>
          </w:p>
        </w:tc>
        <w:tc>
          <w:tcPr>
            <w:tcW w:w="1275"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MAO-D9</w:t>
            </w:r>
          </w:p>
        </w:tc>
        <w:tc>
          <w:tcPr>
            <w:tcW w:w="993"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12j</w:t>
            </w:r>
          </w:p>
        </w:tc>
        <w:tc>
          <w:tcPr>
            <w:tcW w:w="850"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78</w:t>
            </w:r>
          </w:p>
        </w:tc>
      </w:tr>
      <w:tr w:rsidR="00F63DD5" w:rsidTr="00CA651E">
        <w:tc>
          <w:tcPr>
            <w:tcW w:w="992"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1418"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1275"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6-HDNO</w:t>
            </w:r>
          </w:p>
        </w:tc>
        <w:tc>
          <w:tcPr>
            <w:tcW w:w="993"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850"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87</w:t>
            </w:r>
          </w:p>
        </w:tc>
      </w:tr>
      <w:tr w:rsidR="00F63DD5" w:rsidTr="00CA651E">
        <w:trPr>
          <w:trHeight w:val="393"/>
        </w:trPr>
        <w:tc>
          <w:tcPr>
            <w:tcW w:w="992"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10k</w:t>
            </w:r>
          </w:p>
        </w:tc>
        <w:tc>
          <w:tcPr>
            <w:tcW w:w="1418"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iPr</w:t>
            </w:r>
          </w:p>
        </w:tc>
        <w:tc>
          <w:tcPr>
            <w:tcW w:w="567"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Ph</w:t>
            </w:r>
          </w:p>
        </w:tc>
        <w:tc>
          <w:tcPr>
            <w:tcW w:w="1275"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12k</w:t>
            </w:r>
          </w:p>
        </w:tc>
        <w:tc>
          <w:tcPr>
            <w:tcW w:w="850" w:type="dxa"/>
            <w:tcBorders>
              <w:left w:val="nil"/>
              <w:bottom w:val="single" w:sz="4" w:space="0" w:color="auto"/>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31</w:t>
            </w:r>
          </w:p>
        </w:tc>
      </w:tr>
      <w:tr w:rsidR="00F63DD5" w:rsidTr="00CA651E">
        <w:tc>
          <w:tcPr>
            <w:tcW w:w="992"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1418"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1275"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MAO-D5</w:t>
            </w:r>
          </w:p>
        </w:tc>
        <w:tc>
          <w:tcPr>
            <w:tcW w:w="993"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850" w:type="dxa"/>
            <w:tcBorders>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33</w:t>
            </w:r>
          </w:p>
        </w:tc>
      </w:tr>
      <w:tr w:rsidR="00F63DD5" w:rsidTr="00CA651E">
        <w:tc>
          <w:tcPr>
            <w:tcW w:w="992"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9c</w:t>
            </w:r>
          </w:p>
        </w:tc>
        <w:tc>
          <w:tcPr>
            <w:tcW w:w="1418"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H</w:t>
            </w:r>
          </w:p>
        </w:tc>
        <w:tc>
          <w:tcPr>
            <w:tcW w:w="567"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Ph</w:t>
            </w:r>
          </w:p>
        </w:tc>
        <w:tc>
          <w:tcPr>
            <w:tcW w:w="1275"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MAO-D9</w:t>
            </w:r>
          </w:p>
        </w:tc>
        <w:tc>
          <w:tcPr>
            <w:tcW w:w="993"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r w:rsidRPr="00F63DD5">
              <w:rPr>
                <w:rFonts w:cs="Times New Roman"/>
                <w:b/>
                <w:sz w:val="22"/>
                <w:szCs w:val="22"/>
              </w:rPr>
              <w:t>12l</w:t>
            </w:r>
          </w:p>
        </w:tc>
        <w:tc>
          <w:tcPr>
            <w:tcW w:w="850" w:type="dxa"/>
            <w:tcBorders>
              <w:top w:val="nil"/>
              <w:left w:val="nil"/>
              <w:bottom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57</w:t>
            </w:r>
          </w:p>
        </w:tc>
      </w:tr>
      <w:tr w:rsidR="00F63DD5" w:rsidTr="00CA651E">
        <w:tc>
          <w:tcPr>
            <w:tcW w:w="992"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1418"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567"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p>
        </w:tc>
        <w:tc>
          <w:tcPr>
            <w:tcW w:w="1275"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6-HDNO</w:t>
            </w:r>
          </w:p>
        </w:tc>
        <w:tc>
          <w:tcPr>
            <w:tcW w:w="993"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b/>
                <w:sz w:val="22"/>
                <w:szCs w:val="22"/>
              </w:rPr>
            </w:pPr>
          </w:p>
        </w:tc>
        <w:tc>
          <w:tcPr>
            <w:tcW w:w="850" w:type="dxa"/>
            <w:tcBorders>
              <w:top w:val="nil"/>
              <w:left w:val="nil"/>
              <w:right w:val="nil"/>
            </w:tcBorders>
            <w:vAlign w:val="center"/>
          </w:tcPr>
          <w:p w:rsidR="00F63DD5" w:rsidRPr="00F63DD5" w:rsidRDefault="00F63DD5" w:rsidP="00F254FE">
            <w:pPr>
              <w:pStyle w:val="08ArticleText"/>
              <w:spacing w:line="276" w:lineRule="auto"/>
              <w:jc w:val="center"/>
              <w:rPr>
                <w:rFonts w:cs="Times New Roman"/>
                <w:sz w:val="22"/>
                <w:szCs w:val="22"/>
              </w:rPr>
            </w:pPr>
            <w:r w:rsidRPr="00F63DD5">
              <w:rPr>
                <w:rFonts w:cs="Times New Roman"/>
                <w:sz w:val="22"/>
                <w:szCs w:val="22"/>
              </w:rPr>
              <w:t>10</w:t>
            </w:r>
          </w:p>
        </w:tc>
      </w:tr>
      <w:tr w:rsidR="00F63DD5" w:rsidTr="00F63DD5">
        <w:tc>
          <w:tcPr>
            <w:tcW w:w="7229" w:type="dxa"/>
            <w:gridSpan w:val="8"/>
            <w:tcBorders>
              <w:left w:val="nil"/>
              <w:bottom w:val="nil"/>
              <w:right w:val="nil"/>
            </w:tcBorders>
            <w:vAlign w:val="center"/>
          </w:tcPr>
          <w:p w:rsidR="00F63DD5" w:rsidRPr="00F63DD5" w:rsidRDefault="00F63DD5" w:rsidP="00631A1E">
            <w:pPr>
              <w:pStyle w:val="08ArticleText"/>
              <w:rPr>
                <w:rFonts w:cs="Times New Roman"/>
                <w:sz w:val="22"/>
                <w:szCs w:val="22"/>
              </w:rPr>
            </w:pPr>
            <w:r w:rsidRPr="00F63DD5">
              <w:rPr>
                <w:rFonts w:eastAsiaTheme="minorHAnsi" w:cs="Times New Roman"/>
                <w:sz w:val="22"/>
                <w:szCs w:val="22"/>
                <w:vertAlign w:val="superscript"/>
              </w:rPr>
              <w:t>a</w:t>
            </w:r>
            <w:r w:rsidRPr="00F63DD5">
              <w:rPr>
                <w:rFonts w:eastAsiaTheme="minorHAnsi" w:cs="Times New Roman"/>
                <w:sz w:val="22"/>
                <w:szCs w:val="22"/>
              </w:rPr>
              <w:t xml:space="preserve">Freeze-dried </w:t>
            </w:r>
            <w:r w:rsidRPr="00F63DD5">
              <w:rPr>
                <w:rFonts w:eastAsiaTheme="minorHAnsi" w:cs="Times New Roman"/>
                <w:i/>
                <w:sz w:val="22"/>
                <w:szCs w:val="22"/>
              </w:rPr>
              <w:t>E.coli</w:t>
            </w:r>
            <w:r w:rsidRPr="00F63DD5">
              <w:rPr>
                <w:rFonts w:eastAsiaTheme="minorHAnsi" w:cs="Times New Roman"/>
                <w:sz w:val="22"/>
                <w:szCs w:val="22"/>
              </w:rPr>
              <w:t xml:space="preserve"> whole cells were used. </w:t>
            </w:r>
            <w:r w:rsidRPr="00F63DD5">
              <w:rPr>
                <w:rFonts w:eastAsiaTheme="minorHAnsi" w:cs="Times New Roman"/>
                <w:sz w:val="22"/>
                <w:szCs w:val="22"/>
                <w:vertAlign w:val="superscript"/>
              </w:rPr>
              <w:t>b</w:t>
            </w:r>
            <w:r w:rsidRPr="00F63DD5">
              <w:rPr>
                <w:rFonts w:eastAsiaTheme="minorHAnsi" w:cs="Times New Roman"/>
                <w:sz w:val="22"/>
                <w:szCs w:val="22"/>
              </w:rPr>
              <w:t xml:space="preserve">Conversion values were measured by GC-MS spectroscopy and/or </w:t>
            </w:r>
            <w:r w:rsidRPr="00F63DD5">
              <w:rPr>
                <w:rFonts w:eastAsiaTheme="minorHAnsi" w:cs="Times New Roman"/>
                <w:sz w:val="22"/>
                <w:szCs w:val="22"/>
                <w:vertAlign w:val="superscript"/>
              </w:rPr>
              <w:t>1</w:t>
            </w:r>
            <w:r w:rsidRPr="00F63DD5">
              <w:rPr>
                <w:rFonts w:eastAsiaTheme="minorHAnsi" w:cs="Times New Roman"/>
                <w:sz w:val="22"/>
                <w:szCs w:val="22"/>
              </w:rPr>
              <w:t>H-NMR.</w:t>
            </w:r>
          </w:p>
        </w:tc>
      </w:tr>
    </w:tbl>
    <w:p w:rsidR="00631A1E" w:rsidRDefault="00631A1E" w:rsidP="000B5610">
      <w:pPr>
        <w:pStyle w:val="TESupportingInformation"/>
        <w:spacing w:after="240"/>
        <w:ind w:firstLine="0"/>
        <w:jc w:val="left"/>
      </w:pPr>
    </w:p>
    <w:p w:rsidR="00F254FE" w:rsidRPr="00F254FE" w:rsidRDefault="00F254FE" w:rsidP="00F254FE"/>
    <w:p w:rsidR="00631A1E" w:rsidRPr="00631A1E" w:rsidRDefault="00631A1E" w:rsidP="00631A1E">
      <w:r w:rsidRPr="00631A1E">
        <w:rPr>
          <w:b/>
          <w:szCs w:val="18"/>
        </w:rPr>
        <w:t>Table 3.</w:t>
      </w:r>
      <w:r w:rsidR="00902B11">
        <w:rPr>
          <w:szCs w:val="18"/>
        </w:rPr>
        <w:t xml:space="preserve"> Optimization of the chemo</w:t>
      </w:r>
      <w:r w:rsidRPr="0001360A">
        <w:rPr>
          <w:szCs w:val="18"/>
        </w:rPr>
        <w:t>enzymatic cascade</w:t>
      </w:r>
    </w:p>
    <w:tbl>
      <w:tblPr>
        <w:tblStyle w:val="TableGrid"/>
        <w:tblW w:w="0" w:type="auto"/>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51"/>
        <w:gridCol w:w="1451"/>
        <w:gridCol w:w="1817"/>
        <w:gridCol w:w="1695"/>
      </w:tblGrid>
      <w:tr w:rsidR="00631A1E" w:rsidTr="00CA651E">
        <w:tc>
          <w:tcPr>
            <w:tcW w:w="5814" w:type="dxa"/>
            <w:gridSpan w:val="4"/>
            <w:tcBorders>
              <w:bottom w:val="single" w:sz="4" w:space="0" w:color="auto"/>
            </w:tcBorders>
          </w:tcPr>
          <w:p w:rsidR="00631A1E" w:rsidRDefault="00631A1E" w:rsidP="00F254FE">
            <w:pPr>
              <w:pStyle w:val="RSCB03MathematicsGreeketc"/>
              <w:spacing w:line="276" w:lineRule="auto"/>
              <w:jc w:val="center"/>
              <w:rPr>
                <w:b/>
              </w:rPr>
            </w:pPr>
            <w:r w:rsidRPr="00091B92">
              <w:object w:dxaOrig="5289" w:dyaOrig="1927">
                <v:shape id="_x0000_i1037" type="#_x0000_t75" style="width:202.5pt;height:75pt" o:ole="" fillcolor="#4f81bd">
                  <v:imagedata r:id="rId31" o:title=""/>
                </v:shape>
                <o:OLEObject Type="Embed" ProgID="ChemDraw.Document.6.0" ShapeID="_x0000_i1037" DrawAspect="Content" ObjectID="_1581246313" r:id="rId32"/>
              </w:object>
            </w:r>
          </w:p>
        </w:tc>
      </w:tr>
      <w:tr w:rsidR="00631A1E" w:rsidRPr="0001360A" w:rsidTr="00CA651E">
        <w:tc>
          <w:tcPr>
            <w:tcW w:w="851" w:type="dxa"/>
            <w:tcBorders>
              <w:top w:val="single" w:sz="4" w:space="0" w:color="auto"/>
              <w:bottom w:val="single" w:sz="4" w:space="0" w:color="auto"/>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b/>
                <w:bCs/>
                <w:sz w:val="22"/>
                <w:szCs w:val="22"/>
              </w:rPr>
              <w:t>Entry</w:t>
            </w:r>
          </w:p>
        </w:tc>
        <w:tc>
          <w:tcPr>
            <w:tcW w:w="1451" w:type="dxa"/>
            <w:tcBorders>
              <w:top w:val="single" w:sz="4" w:space="0" w:color="auto"/>
              <w:left w:val="nil"/>
              <w:bottom w:val="single" w:sz="4" w:space="0" w:color="auto"/>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b/>
                <w:bCs/>
                <w:sz w:val="22"/>
                <w:szCs w:val="22"/>
              </w:rPr>
              <w:t>Co-Solvent</w:t>
            </w:r>
          </w:p>
        </w:tc>
        <w:tc>
          <w:tcPr>
            <w:tcW w:w="1817" w:type="dxa"/>
            <w:tcBorders>
              <w:top w:val="single" w:sz="4" w:space="0" w:color="auto"/>
              <w:left w:val="nil"/>
              <w:bottom w:val="single" w:sz="4" w:space="0" w:color="auto"/>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b/>
                <w:bCs/>
                <w:sz w:val="22"/>
                <w:szCs w:val="22"/>
              </w:rPr>
            </w:pPr>
            <w:r w:rsidRPr="00631A1E">
              <w:rPr>
                <w:rFonts w:ascii="Times New Roman" w:hAnsi="Times New Roman" w:cs="Times New Roman"/>
                <w:b/>
                <w:bCs/>
                <w:sz w:val="22"/>
                <w:szCs w:val="22"/>
              </w:rPr>
              <w:t>Buffer/Cosolvent</w:t>
            </w:r>
          </w:p>
        </w:tc>
        <w:tc>
          <w:tcPr>
            <w:tcW w:w="1695" w:type="dxa"/>
            <w:tcBorders>
              <w:top w:val="single" w:sz="4" w:space="0" w:color="auto"/>
              <w:left w:val="nil"/>
              <w:bottom w:val="single" w:sz="4" w:space="0" w:color="auto"/>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b/>
                <w:bCs/>
                <w:sz w:val="22"/>
                <w:szCs w:val="22"/>
              </w:rPr>
              <w:t>Ratio 6a/7a/11a (%)</w:t>
            </w:r>
            <w:r w:rsidRPr="00631A1E">
              <w:rPr>
                <w:rFonts w:ascii="Times New Roman" w:hAnsi="Times New Roman" w:cs="Times New Roman"/>
                <w:b/>
                <w:bCs/>
                <w:sz w:val="22"/>
                <w:szCs w:val="22"/>
                <w:vertAlign w:val="superscript"/>
              </w:rPr>
              <w:t>a</w:t>
            </w:r>
          </w:p>
        </w:tc>
      </w:tr>
      <w:tr w:rsidR="00631A1E" w:rsidRPr="0001360A" w:rsidTr="00CA651E">
        <w:trPr>
          <w:trHeight w:val="364"/>
        </w:trPr>
        <w:tc>
          <w:tcPr>
            <w:tcW w:w="851" w:type="dxa"/>
            <w:tcBorders>
              <w:top w:val="single" w:sz="4" w:space="0" w:color="auto"/>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i/>
                <w:sz w:val="22"/>
                <w:szCs w:val="22"/>
              </w:rPr>
            </w:pPr>
            <w:r w:rsidRPr="00631A1E">
              <w:rPr>
                <w:rFonts w:ascii="Times New Roman" w:hAnsi="Times New Roman" w:cs="Times New Roman"/>
                <w:i/>
                <w:sz w:val="22"/>
                <w:szCs w:val="22"/>
              </w:rPr>
              <w:t>1</w:t>
            </w:r>
          </w:p>
        </w:tc>
        <w:tc>
          <w:tcPr>
            <w:tcW w:w="1451" w:type="dxa"/>
            <w:tcBorders>
              <w:top w:val="single" w:sz="4" w:space="0" w:color="auto"/>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DMF</w:t>
            </w:r>
          </w:p>
        </w:tc>
        <w:tc>
          <w:tcPr>
            <w:tcW w:w="1817" w:type="dxa"/>
            <w:tcBorders>
              <w:top w:val="single" w:sz="4" w:space="0" w:color="auto"/>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60:1</w:t>
            </w:r>
          </w:p>
        </w:tc>
        <w:tc>
          <w:tcPr>
            <w:tcW w:w="1695" w:type="dxa"/>
            <w:tcBorders>
              <w:top w:val="single" w:sz="4" w:space="0" w:color="auto"/>
              <w:left w:val="nil"/>
              <w:bottom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90/10/0</w:t>
            </w:r>
          </w:p>
        </w:tc>
      </w:tr>
      <w:tr w:rsidR="00631A1E" w:rsidRPr="0001360A" w:rsidTr="00CA651E">
        <w:tc>
          <w:tcPr>
            <w:tcW w:w="851" w:type="dxa"/>
            <w:tcBorders>
              <w:top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i/>
                <w:sz w:val="22"/>
                <w:szCs w:val="22"/>
              </w:rPr>
            </w:pPr>
            <w:r w:rsidRPr="00631A1E">
              <w:rPr>
                <w:rFonts w:ascii="Times New Roman" w:hAnsi="Times New Roman" w:cs="Times New Roman"/>
                <w:i/>
                <w:sz w:val="22"/>
                <w:szCs w:val="22"/>
              </w:rPr>
              <w:t>2</w:t>
            </w:r>
          </w:p>
        </w:tc>
        <w:tc>
          <w:tcPr>
            <w:tcW w:w="1451"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Acetone</w:t>
            </w:r>
          </w:p>
        </w:tc>
        <w:tc>
          <w:tcPr>
            <w:tcW w:w="1817"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60:1</w:t>
            </w:r>
          </w:p>
        </w:tc>
        <w:tc>
          <w:tcPr>
            <w:tcW w:w="1695" w:type="dxa"/>
            <w:tcBorders>
              <w:top w:val="nil"/>
              <w:left w:val="nil"/>
              <w:bottom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10/90/0</w:t>
            </w:r>
          </w:p>
        </w:tc>
      </w:tr>
      <w:tr w:rsidR="00631A1E" w:rsidRPr="0001360A" w:rsidTr="00CA651E">
        <w:tc>
          <w:tcPr>
            <w:tcW w:w="851" w:type="dxa"/>
            <w:tcBorders>
              <w:top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i/>
                <w:sz w:val="22"/>
                <w:szCs w:val="22"/>
              </w:rPr>
            </w:pPr>
            <w:r w:rsidRPr="00631A1E">
              <w:rPr>
                <w:rFonts w:ascii="Times New Roman" w:hAnsi="Times New Roman" w:cs="Times New Roman"/>
                <w:i/>
                <w:sz w:val="22"/>
                <w:szCs w:val="22"/>
              </w:rPr>
              <w:t>3</w:t>
            </w:r>
          </w:p>
        </w:tc>
        <w:tc>
          <w:tcPr>
            <w:tcW w:w="1451"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w:t>
            </w:r>
          </w:p>
        </w:tc>
        <w:tc>
          <w:tcPr>
            <w:tcW w:w="1817"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100:0</w:t>
            </w:r>
          </w:p>
        </w:tc>
        <w:tc>
          <w:tcPr>
            <w:tcW w:w="1695" w:type="dxa"/>
            <w:tcBorders>
              <w:top w:val="nil"/>
              <w:left w:val="nil"/>
              <w:bottom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5/95/0</w:t>
            </w:r>
          </w:p>
        </w:tc>
      </w:tr>
      <w:tr w:rsidR="00631A1E" w:rsidRPr="0001360A" w:rsidTr="00CA651E">
        <w:tc>
          <w:tcPr>
            <w:tcW w:w="851" w:type="dxa"/>
            <w:tcBorders>
              <w:top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i/>
                <w:sz w:val="22"/>
                <w:szCs w:val="22"/>
              </w:rPr>
            </w:pPr>
            <w:r w:rsidRPr="00631A1E">
              <w:rPr>
                <w:rFonts w:ascii="Times New Roman" w:hAnsi="Times New Roman" w:cs="Times New Roman"/>
                <w:i/>
                <w:sz w:val="22"/>
                <w:szCs w:val="22"/>
              </w:rPr>
              <w:t>4</w:t>
            </w:r>
          </w:p>
        </w:tc>
        <w:tc>
          <w:tcPr>
            <w:tcW w:w="1451"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DMSO</w:t>
            </w:r>
          </w:p>
        </w:tc>
        <w:tc>
          <w:tcPr>
            <w:tcW w:w="1817"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4:1</w:t>
            </w:r>
          </w:p>
        </w:tc>
        <w:tc>
          <w:tcPr>
            <w:tcW w:w="1695" w:type="dxa"/>
            <w:tcBorders>
              <w:top w:val="nil"/>
              <w:left w:val="nil"/>
              <w:bottom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73/27/0</w:t>
            </w:r>
          </w:p>
        </w:tc>
      </w:tr>
      <w:tr w:rsidR="00631A1E" w:rsidRPr="0001360A" w:rsidTr="00CA651E">
        <w:tc>
          <w:tcPr>
            <w:tcW w:w="851" w:type="dxa"/>
            <w:tcBorders>
              <w:top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i/>
                <w:sz w:val="22"/>
                <w:szCs w:val="22"/>
              </w:rPr>
            </w:pPr>
            <w:r w:rsidRPr="00631A1E">
              <w:rPr>
                <w:rFonts w:ascii="Times New Roman" w:hAnsi="Times New Roman" w:cs="Times New Roman"/>
                <w:i/>
                <w:sz w:val="22"/>
                <w:szCs w:val="22"/>
              </w:rPr>
              <w:t>5</w:t>
            </w:r>
          </w:p>
        </w:tc>
        <w:tc>
          <w:tcPr>
            <w:tcW w:w="1451"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DCM</w:t>
            </w:r>
          </w:p>
        </w:tc>
        <w:tc>
          <w:tcPr>
            <w:tcW w:w="1817"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4:1</w:t>
            </w:r>
          </w:p>
        </w:tc>
        <w:tc>
          <w:tcPr>
            <w:tcW w:w="1695" w:type="dxa"/>
            <w:tcBorders>
              <w:top w:val="nil"/>
              <w:left w:val="nil"/>
              <w:bottom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75/25/0</w:t>
            </w:r>
          </w:p>
        </w:tc>
      </w:tr>
      <w:tr w:rsidR="00631A1E" w:rsidRPr="0001360A" w:rsidTr="00CA651E">
        <w:tc>
          <w:tcPr>
            <w:tcW w:w="851" w:type="dxa"/>
            <w:tcBorders>
              <w:top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i/>
                <w:sz w:val="22"/>
                <w:szCs w:val="22"/>
              </w:rPr>
            </w:pPr>
            <w:r w:rsidRPr="00631A1E">
              <w:rPr>
                <w:rFonts w:ascii="Times New Roman" w:hAnsi="Times New Roman" w:cs="Times New Roman"/>
                <w:i/>
                <w:sz w:val="22"/>
                <w:szCs w:val="22"/>
              </w:rPr>
              <w:t>6</w:t>
            </w:r>
          </w:p>
        </w:tc>
        <w:tc>
          <w:tcPr>
            <w:tcW w:w="1451"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DMF</w:t>
            </w:r>
          </w:p>
        </w:tc>
        <w:tc>
          <w:tcPr>
            <w:tcW w:w="1817"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4:1</w:t>
            </w:r>
          </w:p>
        </w:tc>
        <w:tc>
          <w:tcPr>
            <w:tcW w:w="1695" w:type="dxa"/>
            <w:tcBorders>
              <w:top w:val="nil"/>
              <w:left w:val="nil"/>
              <w:bottom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77/23/0</w:t>
            </w:r>
          </w:p>
        </w:tc>
      </w:tr>
      <w:tr w:rsidR="00631A1E" w:rsidRPr="0001360A" w:rsidTr="00CA651E">
        <w:tc>
          <w:tcPr>
            <w:tcW w:w="851" w:type="dxa"/>
            <w:tcBorders>
              <w:top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i/>
                <w:sz w:val="22"/>
                <w:szCs w:val="22"/>
              </w:rPr>
            </w:pPr>
            <w:r w:rsidRPr="00631A1E">
              <w:rPr>
                <w:rFonts w:ascii="Times New Roman" w:hAnsi="Times New Roman" w:cs="Times New Roman"/>
                <w:i/>
                <w:sz w:val="22"/>
                <w:szCs w:val="22"/>
              </w:rPr>
              <w:t>7</w:t>
            </w:r>
          </w:p>
        </w:tc>
        <w:tc>
          <w:tcPr>
            <w:tcW w:w="1451"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THF</w:t>
            </w:r>
          </w:p>
        </w:tc>
        <w:tc>
          <w:tcPr>
            <w:tcW w:w="1817" w:type="dxa"/>
            <w:tcBorders>
              <w:top w:val="nil"/>
              <w:left w:val="nil"/>
              <w:bottom w:val="nil"/>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4:1</w:t>
            </w:r>
          </w:p>
        </w:tc>
        <w:tc>
          <w:tcPr>
            <w:tcW w:w="1695" w:type="dxa"/>
            <w:tcBorders>
              <w:top w:val="nil"/>
              <w:left w:val="nil"/>
              <w:bottom w:val="nil"/>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92/8/0</w:t>
            </w:r>
          </w:p>
        </w:tc>
      </w:tr>
      <w:tr w:rsidR="00631A1E" w:rsidRPr="0001360A" w:rsidTr="00CA651E">
        <w:trPr>
          <w:trHeight w:val="271"/>
        </w:trPr>
        <w:tc>
          <w:tcPr>
            <w:tcW w:w="851" w:type="dxa"/>
            <w:tcBorders>
              <w:top w:val="nil"/>
              <w:bottom w:val="single" w:sz="4" w:space="0" w:color="auto"/>
              <w:right w:val="nil"/>
            </w:tcBorders>
            <w:vAlign w:val="center"/>
          </w:tcPr>
          <w:p w:rsidR="00631A1E" w:rsidRPr="00631A1E" w:rsidRDefault="00631A1E" w:rsidP="00F254FE">
            <w:pPr>
              <w:pStyle w:val="Acknowledgements"/>
              <w:spacing w:line="276" w:lineRule="auto"/>
              <w:jc w:val="center"/>
              <w:rPr>
                <w:rFonts w:ascii="Times New Roman" w:hAnsi="Times New Roman" w:cs="Times New Roman"/>
                <w:i/>
                <w:sz w:val="22"/>
                <w:szCs w:val="22"/>
              </w:rPr>
            </w:pPr>
            <w:r w:rsidRPr="00631A1E">
              <w:rPr>
                <w:rFonts w:ascii="Times New Roman" w:hAnsi="Times New Roman" w:cs="Times New Roman"/>
                <w:i/>
                <w:sz w:val="22"/>
                <w:szCs w:val="22"/>
              </w:rPr>
              <w:t>8</w:t>
            </w:r>
          </w:p>
        </w:tc>
        <w:tc>
          <w:tcPr>
            <w:tcW w:w="1451" w:type="dxa"/>
            <w:tcBorders>
              <w:top w:val="nil"/>
              <w:left w:val="nil"/>
              <w:bottom w:val="single" w:sz="4" w:space="0" w:color="auto"/>
              <w:right w:val="nil"/>
            </w:tcBorders>
            <w:vAlign w:val="center"/>
          </w:tcPr>
          <w:p w:rsidR="00631A1E" w:rsidRPr="003412E0" w:rsidRDefault="00631A1E" w:rsidP="00F254FE">
            <w:pPr>
              <w:pStyle w:val="Acknowledgements"/>
              <w:spacing w:line="276" w:lineRule="auto"/>
              <w:jc w:val="center"/>
              <w:rPr>
                <w:rFonts w:ascii="Times New Roman" w:hAnsi="Times New Roman" w:cs="Times New Roman"/>
                <w:sz w:val="22"/>
                <w:szCs w:val="22"/>
              </w:rPr>
            </w:pPr>
            <w:r w:rsidRPr="003412E0">
              <w:rPr>
                <w:rFonts w:ascii="Times New Roman" w:hAnsi="Times New Roman" w:cs="Times New Roman"/>
                <w:sz w:val="22"/>
                <w:szCs w:val="22"/>
              </w:rPr>
              <w:t>Iso</w:t>
            </w:r>
            <w:r w:rsidR="00EF489E" w:rsidRPr="003412E0">
              <w:rPr>
                <w:rFonts w:ascii="Times New Roman" w:hAnsi="Times New Roman" w:cs="Times New Roman"/>
                <w:sz w:val="22"/>
                <w:szCs w:val="22"/>
              </w:rPr>
              <w:t>-</w:t>
            </w:r>
            <w:r w:rsidRPr="003412E0">
              <w:rPr>
                <w:rFonts w:ascii="Times New Roman" w:hAnsi="Times New Roman" w:cs="Times New Roman"/>
                <w:sz w:val="22"/>
                <w:szCs w:val="22"/>
              </w:rPr>
              <w:t>octane</w:t>
            </w:r>
          </w:p>
        </w:tc>
        <w:tc>
          <w:tcPr>
            <w:tcW w:w="1817" w:type="dxa"/>
            <w:tcBorders>
              <w:top w:val="nil"/>
              <w:left w:val="nil"/>
              <w:bottom w:val="single" w:sz="4" w:space="0" w:color="auto"/>
              <w:right w:val="nil"/>
            </w:tcBorders>
            <w:vAlign w:val="center"/>
          </w:tcPr>
          <w:p w:rsidR="00631A1E" w:rsidRPr="003412E0" w:rsidRDefault="00631A1E" w:rsidP="00F254FE">
            <w:pPr>
              <w:pStyle w:val="Acknowledgements"/>
              <w:spacing w:line="276" w:lineRule="auto"/>
              <w:jc w:val="center"/>
              <w:rPr>
                <w:rFonts w:ascii="Times New Roman" w:hAnsi="Times New Roman" w:cs="Times New Roman"/>
                <w:sz w:val="22"/>
                <w:szCs w:val="22"/>
              </w:rPr>
            </w:pPr>
            <w:r w:rsidRPr="003412E0">
              <w:rPr>
                <w:rFonts w:ascii="Times New Roman" w:hAnsi="Times New Roman" w:cs="Times New Roman"/>
                <w:sz w:val="22"/>
                <w:szCs w:val="22"/>
              </w:rPr>
              <w:t>4:1</w:t>
            </w:r>
          </w:p>
        </w:tc>
        <w:tc>
          <w:tcPr>
            <w:tcW w:w="1695" w:type="dxa"/>
            <w:tcBorders>
              <w:top w:val="nil"/>
              <w:left w:val="nil"/>
              <w:bottom w:val="single" w:sz="4" w:space="0" w:color="auto"/>
            </w:tcBorders>
            <w:vAlign w:val="center"/>
          </w:tcPr>
          <w:p w:rsidR="00631A1E" w:rsidRPr="00631A1E" w:rsidRDefault="00631A1E" w:rsidP="00F254FE">
            <w:pPr>
              <w:pStyle w:val="Acknowledgements"/>
              <w:spacing w:line="276" w:lineRule="auto"/>
              <w:jc w:val="center"/>
              <w:rPr>
                <w:rFonts w:ascii="Times New Roman" w:hAnsi="Times New Roman" w:cs="Times New Roman"/>
                <w:sz w:val="22"/>
                <w:szCs w:val="22"/>
              </w:rPr>
            </w:pPr>
            <w:r w:rsidRPr="00631A1E">
              <w:rPr>
                <w:rFonts w:ascii="Times New Roman" w:hAnsi="Times New Roman" w:cs="Times New Roman"/>
                <w:sz w:val="22"/>
                <w:szCs w:val="22"/>
              </w:rPr>
              <w:t>0/12/88</w:t>
            </w:r>
          </w:p>
        </w:tc>
      </w:tr>
      <w:tr w:rsidR="00631A1E" w:rsidRPr="00091B92" w:rsidTr="00631A1E">
        <w:trPr>
          <w:trHeight w:val="490"/>
        </w:trPr>
        <w:tc>
          <w:tcPr>
            <w:tcW w:w="5814" w:type="dxa"/>
            <w:gridSpan w:val="4"/>
            <w:tcBorders>
              <w:top w:val="single" w:sz="4" w:space="0" w:color="auto"/>
            </w:tcBorders>
            <w:vAlign w:val="center"/>
          </w:tcPr>
          <w:p w:rsidR="00631A1E" w:rsidRPr="00631A1E" w:rsidRDefault="00631A1E" w:rsidP="00631A1E">
            <w:pPr>
              <w:pStyle w:val="Acknowledgements"/>
              <w:rPr>
                <w:rFonts w:ascii="Times New Roman" w:hAnsi="Times New Roman" w:cs="Times New Roman"/>
                <w:sz w:val="22"/>
                <w:szCs w:val="22"/>
              </w:rPr>
            </w:pPr>
            <w:r w:rsidRPr="00631A1E">
              <w:rPr>
                <w:rFonts w:ascii="Times New Roman" w:hAnsi="Times New Roman" w:cs="Times New Roman"/>
                <w:sz w:val="22"/>
                <w:szCs w:val="22"/>
                <w:vertAlign w:val="superscript"/>
              </w:rPr>
              <w:t>a</w:t>
            </w:r>
            <w:r w:rsidRPr="00631A1E">
              <w:rPr>
                <w:rFonts w:ascii="Times New Roman" w:hAnsi="Times New Roman" w:cs="Times New Roman"/>
                <w:sz w:val="22"/>
                <w:szCs w:val="22"/>
              </w:rPr>
              <w:t xml:space="preserve">Conversion values were measured both by GC-MS spectroscopy and/or </w:t>
            </w:r>
            <w:r w:rsidRPr="00631A1E">
              <w:rPr>
                <w:rFonts w:ascii="Times New Roman" w:hAnsi="Times New Roman" w:cs="Times New Roman"/>
                <w:sz w:val="22"/>
                <w:szCs w:val="22"/>
                <w:vertAlign w:val="superscript"/>
              </w:rPr>
              <w:t>1</w:t>
            </w:r>
            <w:r w:rsidRPr="00631A1E">
              <w:rPr>
                <w:rFonts w:ascii="Times New Roman" w:hAnsi="Times New Roman" w:cs="Times New Roman"/>
                <w:sz w:val="22"/>
                <w:szCs w:val="22"/>
              </w:rPr>
              <w:t>H-NMR.</w:t>
            </w:r>
          </w:p>
        </w:tc>
      </w:tr>
    </w:tbl>
    <w:p w:rsidR="00631A1E" w:rsidRDefault="00631A1E" w:rsidP="000B5610">
      <w:pPr>
        <w:pStyle w:val="TESupportingInformation"/>
        <w:spacing w:after="240"/>
        <w:ind w:firstLine="0"/>
        <w:jc w:val="left"/>
      </w:pPr>
    </w:p>
    <w:p w:rsidR="00631A1E" w:rsidRDefault="00631A1E" w:rsidP="000B5610">
      <w:pPr>
        <w:pStyle w:val="TESupportingInformation"/>
        <w:spacing w:after="240"/>
        <w:ind w:firstLine="0"/>
        <w:jc w:val="left"/>
      </w:pPr>
    </w:p>
    <w:p w:rsidR="00631A1E" w:rsidRDefault="00631A1E" w:rsidP="000B5610">
      <w:pPr>
        <w:pStyle w:val="TESupportingInformation"/>
        <w:spacing w:after="240"/>
        <w:ind w:firstLine="0"/>
        <w:jc w:val="left"/>
      </w:pPr>
    </w:p>
    <w:p w:rsidR="00631A1E" w:rsidRDefault="00631A1E" w:rsidP="000B5610">
      <w:pPr>
        <w:pStyle w:val="TESupportingInformation"/>
        <w:spacing w:after="240"/>
        <w:ind w:firstLine="0"/>
        <w:jc w:val="left"/>
      </w:pPr>
    </w:p>
    <w:p w:rsidR="00631A1E" w:rsidRDefault="00631A1E" w:rsidP="000B5610">
      <w:pPr>
        <w:pStyle w:val="TESupportingInformation"/>
        <w:spacing w:after="240"/>
        <w:ind w:firstLine="0"/>
        <w:jc w:val="left"/>
      </w:pPr>
    </w:p>
    <w:p w:rsidR="00F254FE" w:rsidRDefault="00F254FE" w:rsidP="00F254FE"/>
    <w:p w:rsidR="00F254FE" w:rsidRPr="00F254FE" w:rsidRDefault="00F254FE" w:rsidP="00F254FE"/>
    <w:p w:rsidR="00F254FE" w:rsidRPr="00F254FE" w:rsidRDefault="00F254FE" w:rsidP="00F254FE">
      <w:r w:rsidRPr="00F254FE">
        <w:rPr>
          <w:b/>
        </w:rPr>
        <w:t>Table 4.</w:t>
      </w:r>
      <w:r w:rsidRPr="00F254FE">
        <w:t xml:space="preserve">  Chemoenzymatic cascade of diallyl anilines - substrate scope</w:t>
      </w:r>
    </w:p>
    <w:tbl>
      <w:tblPr>
        <w:tblpPr w:leftFromText="180" w:rightFromText="180" w:vertAnchor="text" w:horzAnchor="margin" w:tblpY="48"/>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34"/>
        <w:gridCol w:w="2410"/>
        <w:gridCol w:w="992"/>
        <w:gridCol w:w="1701"/>
        <w:gridCol w:w="1672"/>
        <w:gridCol w:w="1418"/>
      </w:tblGrid>
      <w:tr w:rsidR="00F254FE" w:rsidRPr="00C71D31" w:rsidTr="00F254FE">
        <w:trPr>
          <w:trHeight w:val="1655"/>
        </w:trPr>
        <w:tc>
          <w:tcPr>
            <w:tcW w:w="10173" w:type="dxa"/>
            <w:gridSpan w:val="7"/>
            <w:tcBorders>
              <w:left w:val="nil"/>
              <w:bottom w:val="single" w:sz="4" w:space="0" w:color="auto"/>
              <w:right w:val="nil"/>
            </w:tcBorders>
          </w:tcPr>
          <w:p w:rsidR="00F254FE" w:rsidRPr="00C71D31" w:rsidRDefault="00F254FE" w:rsidP="00DF6466">
            <w:pPr>
              <w:pStyle w:val="RSCB03MathematicsGreeketc"/>
              <w:jc w:val="center"/>
              <w:rPr>
                <w:b/>
              </w:rPr>
            </w:pPr>
            <w:r w:rsidRPr="00C71D31">
              <w:object w:dxaOrig="9559" w:dyaOrig="2783">
                <v:shape id="_x0000_i1038" type="#_x0000_t75" style="width:395.25pt;height:116.25pt" o:ole="">
                  <v:imagedata r:id="rId33" o:title=""/>
                </v:shape>
                <o:OLEObject Type="Embed" ProgID="ChemDraw.Document.6.0" ShapeID="_x0000_i1038" DrawAspect="Content" ObjectID="_1581246314" r:id="rId34"/>
              </w:object>
            </w:r>
          </w:p>
        </w:tc>
      </w:tr>
      <w:tr w:rsidR="00F254FE" w:rsidRPr="00C71D31" w:rsidTr="00F254FE">
        <w:tc>
          <w:tcPr>
            <w:tcW w:w="846" w:type="dxa"/>
            <w:tcBorders>
              <w:left w:val="nil"/>
              <w:bottom w:val="single" w:sz="4" w:space="0" w:color="auto"/>
              <w:right w:val="nil"/>
            </w:tcBorders>
            <w:vAlign w:val="center"/>
          </w:tcPr>
          <w:p w:rsidR="00F254FE" w:rsidRPr="00F254FE" w:rsidRDefault="00F254FE" w:rsidP="00DF6466">
            <w:pPr>
              <w:pStyle w:val="P1"/>
              <w:jc w:val="center"/>
              <w:rPr>
                <w:rFonts w:ascii="Times New Roman" w:hAnsi="Times New Roman"/>
                <w:b/>
                <w:sz w:val="22"/>
                <w:szCs w:val="22"/>
              </w:rPr>
            </w:pPr>
            <w:r w:rsidRPr="00F254FE">
              <w:rPr>
                <w:rFonts w:ascii="Times New Roman" w:hAnsi="Times New Roman"/>
                <w:b/>
                <w:sz w:val="22"/>
                <w:szCs w:val="22"/>
              </w:rPr>
              <w:t>Entry</w:t>
            </w:r>
          </w:p>
        </w:tc>
        <w:tc>
          <w:tcPr>
            <w:tcW w:w="1134" w:type="dxa"/>
            <w:tcBorders>
              <w:left w:val="nil"/>
              <w:bottom w:val="single" w:sz="4" w:space="0" w:color="auto"/>
              <w:right w:val="nil"/>
            </w:tcBorders>
            <w:vAlign w:val="center"/>
          </w:tcPr>
          <w:p w:rsidR="00F254FE" w:rsidRPr="00F254FE" w:rsidRDefault="00F254FE" w:rsidP="00DF6466">
            <w:pPr>
              <w:pStyle w:val="P1"/>
              <w:jc w:val="center"/>
              <w:rPr>
                <w:rFonts w:ascii="Times New Roman" w:hAnsi="Times New Roman"/>
                <w:b/>
                <w:sz w:val="22"/>
                <w:szCs w:val="22"/>
              </w:rPr>
            </w:pPr>
            <w:r w:rsidRPr="00F254FE">
              <w:rPr>
                <w:rFonts w:ascii="Times New Roman" w:hAnsi="Times New Roman"/>
                <w:b/>
                <w:sz w:val="22"/>
                <w:szCs w:val="22"/>
              </w:rPr>
              <w:t>Pyrrole</w:t>
            </w:r>
          </w:p>
        </w:tc>
        <w:tc>
          <w:tcPr>
            <w:tcW w:w="2410" w:type="dxa"/>
            <w:tcBorders>
              <w:left w:val="nil"/>
              <w:bottom w:val="single" w:sz="4" w:space="0" w:color="auto"/>
              <w:right w:val="nil"/>
            </w:tcBorders>
            <w:vAlign w:val="center"/>
          </w:tcPr>
          <w:p w:rsidR="00F254FE" w:rsidRPr="00F254FE" w:rsidRDefault="00F254FE" w:rsidP="00DF6466">
            <w:pPr>
              <w:pStyle w:val="P1"/>
              <w:jc w:val="center"/>
              <w:rPr>
                <w:rFonts w:ascii="Times New Roman" w:hAnsi="Times New Roman"/>
                <w:b/>
                <w:sz w:val="22"/>
                <w:szCs w:val="22"/>
              </w:rPr>
            </w:pPr>
            <w:r w:rsidRPr="00F254FE">
              <w:rPr>
                <w:rFonts w:ascii="Times New Roman" w:hAnsi="Times New Roman"/>
                <w:b/>
                <w:sz w:val="22"/>
                <w:szCs w:val="22"/>
              </w:rPr>
              <w:t>R</w:t>
            </w:r>
          </w:p>
        </w:tc>
        <w:tc>
          <w:tcPr>
            <w:tcW w:w="992" w:type="dxa"/>
            <w:tcBorders>
              <w:left w:val="nil"/>
              <w:bottom w:val="single" w:sz="4" w:space="0" w:color="auto"/>
              <w:right w:val="nil"/>
            </w:tcBorders>
            <w:vAlign w:val="center"/>
          </w:tcPr>
          <w:p w:rsidR="00F254FE" w:rsidRPr="00F254FE" w:rsidRDefault="00F254FE" w:rsidP="00DF6466">
            <w:pPr>
              <w:pStyle w:val="P1"/>
              <w:jc w:val="center"/>
              <w:rPr>
                <w:rFonts w:ascii="Times New Roman" w:hAnsi="Times New Roman"/>
                <w:b/>
                <w:sz w:val="22"/>
                <w:szCs w:val="22"/>
              </w:rPr>
            </w:pPr>
            <w:r w:rsidRPr="00F254FE">
              <w:rPr>
                <w:rFonts w:ascii="Times New Roman" w:hAnsi="Times New Roman"/>
                <w:b/>
                <w:sz w:val="22"/>
                <w:szCs w:val="22"/>
              </w:rPr>
              <w:t>R</w:t>
            </w:r>
            <w:r w:rsidRPr="00F254FE">
              <w:rPr>
                <w:rFonts w:ascii="Times New Roman" w:hAnsi="Times New Roman"/>
                <w:b/>
                <w:sz w:val="22"/>
                <w:szCs w:val="22"/>
                <w:vertAlign w:val="subscript"/>
              </w:rPr>
              <w:t>1</w:t>
            </w:r>
          </w:p>
        </w:tc>
        <w:tc>
          <w:tcPr>
            <w:tcW w:w="1701" w:type="dxa"/>
            <w:tcBorders>
              <w:left w:val="nil"/>
              <w:bottom w:val="single" w:sz="4" w:space="0" w:color="auto"/>
              <w:right w:val="nil"/>
            </w:tcBorders>
            <w:vAlign w:val="center"/>
          </w:tcPr>
          <w:p w:rsidR="00F254FE" w:rsidRPr="00F254FE" w:rsidRDefault="00F254FE" w:rsidP="00DF6466">
            <w:pPr>
              <w:pStyle w:val="P1"/>
              <w:jc w:val="center"/>
              <w:rPr>
                <w:rFonts w:ascii="Times New Roman" w:hAnsi="Times New Roman"/>
                <w:b/>
                <w:sz w:val="22"/>
                <w:szCs w:val="22"/>
              </w:rPr>
            </w:pPr>
            <w:r w:rsidRPr="00F254FE">
              <w:rPr>
                <w:rFonts w:ascii="Times New Roman" w:hAnsi="Times New Roman"/>
                <w:b/>
                <w:sz w:val="22"/>
                <w:szCs w:val="22"/>
              </w:rPr>
              <w:t>Conv. (%)</w:t>
            </w:r>
            <w:r w:rsidRPr="00F254FE">
              <w:rPr>
                <w:rFonts w:ascii="Times New Roman" w:hAnsi="Times New Roman"/>
                <w:b/>
                <w:sz w:val="22"/>
                <w:szCs w:val="22"/>
                <w:vertAlign w:val="superscript"/>
              </w:rPr>
              <w:t>a</w:t>
            </w:r>
          </w:p>
        </w:tc>
        <w:tc>
          <w:tcPr>
            <w:tcW w:w="1672" w:type="dxa"/>
            <w:tcBorders>
              <w:left w:val="nil"/>
              <w:bottom w:val="single" w:sz="4" w:space="0" w:color="auto"/>
              <w:right w:val="nil"/>
            </w:tcBorders>
            <w:vAlign w:val="center"/>
          </w:tcPr>
          <w:p w:rsidR="00F254FE" w:rsidRPr="00F254FE" w:rsidRDefault="00F254FE" w:rsidP="00DF6466">
            <w:pPr>
              <w:pStyle w:val="P1"/>
              <w:jc w:val="center"/>
              <w:rPr>
                <w:rFonts w:ascii="Times New Roman" w:hAnsi="Times New Roman"/>
                <w:b/>
                <w:sz w:val="22"/>
                <w:szCs w:val="22"/>
              </w:rPr>
            </w:pPr>
            <w:r w:rsidRPr="00F254FE">
              <w:rPr>
                <w:rFonts w:ascii="Times New Roman" w:hAnsi="Times New Roman"/>
                <w:b/>
                <w:sz w:val="22"/>
                <w:szCs w:val="22"/>
              </w:rPr>
              <w:t>Yield (%)</w:t>
            </w:r>
            <w:r w:rsidRPr="00F254FE">
              <w:rPr>
                <w:rFonts w:ascii="Times New Roman" w:hAnsi="Times New Roman"/>
                <w:b/>
                <w:sz w:val="22"/>
                <w:szCs w:val="22"/>
                <w:vertAlign w:val="superscript"/>
              </w:rPr>
              <w:t>b</w:t>
            </w:r>
          </w:p>
        </w:tc>
        <w:tc>
          <w:tcPr>
            <w:tcW w:w="1418" w:type="dxa"/>
            <w:tcBorders>
              <w:left w:val="nil"/>
              <w:bottom w:val="single" w:sz="4" w:space="0" w:color="auto"/>
              <w:right w:val="nil"/>
            </w:tcBorders>
            <w:vAlign w:val="center"/>
          </w:tcPr>
          <w:p w:rsidR="00F254FE" w:rsidRPr="00F254FE" w:rsidRDefault="00F254FE" w:rsidP="00DF6466">
            <w:pPr>
              <w:pStyle w:val="P1"/>
              <w:jc w:val="center"/>
              <w:rPr>
                <w:rFonts w:ascii="Times New Roman" w:hAnsi="Times New Roman"/>
                <w:b/>
                <w:sz w:val="22"/>
                <w:szCs w:val="22"/>
              </w:rPr>
            </w:pPr>
            <w:r w:rsidRPr="00F254FE">
              <w:rPr>
                <w:rFonts w:ascii="Times New Roman" w:hAnsi="Times New Roman"/>
                <w:b/>
                <w:sz w:val="22"/>
                <w:szCs w:val="22"/>
              </w:rPr>
              <w:t>Method</w:t>
            </w:r>
          </w:p>
        </w:tc>
      </w:tr>
      <w:tr w:rsidR="00F254FE" w:rsidRPr="00C71D31" w:rsidTr="00F254FE">
        <w:tc>
          <w:tcPr>
            <w:tcW w:w="846" w:type="dxa"/>
            <w:tcBorders>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w:t>
            </w:r>
          </w:p>
        </w:tc>
        <w:tc>
          <w:tcPr>
            <w:tcW w:w="1134" w:type="dxa"/>
            <w:tcBorders>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11a</w:t>
            </w:r>
          </w:p>
        </w:tc>
        <w:tc>
          <w:tcPr>
            <w:tcW w:w="2410" w:type="dxa"/>
            <w:tcBorders>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Ph</w:t>
            </w:r>
          </w:p>
        </w:tc>
        <w:tc>
          <w:tcPr>
            <w:tcW w:w="992" w:type="dxa"/>
            <w:tcBorders>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88</w:t>
            </w:r>
          </w:p>
        </w:tc>
        <w:tc>
          <w:tcPr>
            <w:tcW w:w="1672" w:type="dxa"/>
            <w:tcBorders>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78</w:t>
            </w:r>
          </w:p>
        </w:tc>
        <w:tc>
          <w:tcPr>
            <w:tcW w:w="1418" w:type="dxa"/>
            <w:tcBorders>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A</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2</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11a</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95</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65</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3</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11b</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4-F-Ph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86</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63</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A</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4</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11b</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4-F-Ph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99</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59</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5</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11c</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4-Br-Ph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15</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10</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6</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11d</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4-iPr-Ph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35</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22</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A</w:t>
            </w:r>
          </w:p>
        </w:tc>
      </w:tr>
      <w:tr w:rsidR="00F254FE" w:rsidRPr="00C71D31" w:rsidTr="00F254FE">
        <w:tc>
          <w:tcPr>
            <w:tcW w:w="846" w:type="dxa"/>
            <w:tcBorders>
              <w:top w:val="nil"/>
              <w:left w:val="nil"/>
              <w:bottom w:val="nil"/>
              <w:right w:val="nil"/>
            </w:tcBorders>
            <w:shd w:val="clear" w:color="auto" w:fill="auto"/>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7</w:t>
            </w:r>
          </w:p>
        </w:tc>
        <w:tc>
          <w:tcPr>
            <w:tcW w:w="1134" w:type="dxa"/>
            <w:tcBorders>
              <w:top w:val="nil"/>
              <w:left w:val="nil"/>
              <w:bottom w:val="nil"/>
              <w:right w:val="nil"/>
            </w:tcBorders>
            <w:shd w:val="clear" w:color="auto" w:fill="auto"/>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11d</w:t>
            </w:r>
          </w:p>
        </w:tc>
        <w:tc>
          <w:tcPr>
            <w:tcW w:w="2410" w:type="dxa"/>
            <w:tcBorders>
              <w:top w:val="nil"/>
              <w:left w:val="nil"/>
              <w:bottom w:val="nil"/>
              <w:right w:val="nil"/>
            </w:tcBorders>
            <w:shd w:val="clear" w:color="auto" w:fill="auto"/>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4-iPr-Ph</w:t>
            </w:r>
          </w:p>
        </w:tc>
        <w:tc>
          <w:tcPr>
            <w:tcW w:w="992" w:type="dxa"/>
            <w:tcBorders>
              <w:top w:val="nil"/>
              <w:left w:val="nil"/>
              <w:bottom w:val="nil"/>
              <w:right w:val="nil"/>
            </w:tcBorders>
            <w:shd w:val="clear" w:color="auto" w:fill="auto"/>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75</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70</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8</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11e</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4-MeO-Ph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50</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42</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9</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11f</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2,5-Me-Ph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25</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20</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A</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10</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11i</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Me</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87</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45</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11</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11l</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4-Cl-Ph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73</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65</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A</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12</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11l</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4-Cl-Ph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90</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56</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13</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11m</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4-Me-Ph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6508DE" w:rsidP="00F254FE">
            <w:pPr>
              <w:pStyle w:val="P1"/>
              <w:spacing w:line="276" w:lineRule="auto"/>
              <w:jc w:val="center"/>
              <w:rPr>
                <w:rFonts w:ascii="Times New Roman" w:hAnsi="Times New Roman"/>
                <w:sz w:val="22"/>
                <w:szCs w:val="22"/>
              </w:rPr>
            </w:pPr>
            <w:r>
              <w:rPr>
                <w:rFonts w:ascii="Times New Roman" w:hAnsi="Times New Roman"/>
                <w:sz w:val="22"/>
                <w:szCs w:val="22"/>
              </w:rPr>
              <w:t>99</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50</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A</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14</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11m</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4-Me-Ph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90</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45</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15</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11n</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2-MeO-Ph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94</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84</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A</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16</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11n</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2-MeO-Ph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81</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72</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17</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11o</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3,4-(OCH</w:t>
            </w:r>
            <w:r w:rsidRPr="00F254FE">
              <w:rPr>
                <w:rFonts w:ascii="Times New Roman" w:hAnsi="Times New Roman"/>
                <w:sz w:val="22"/>
                <w:szCs w:val="22"/>
                <w:vertAlign w:val="subscript"/>
              </w:rPr>
              <w:t>2</w:t>
            </w:r>
            <w:r w:rsidRPr="00F254FE">
              <w:rPr>
                <w:rFonts w:ascii="Times New Roman" w:hAnsi="Times New Roman"/>
                <w:sz w:val="22"/>
                <w:szCs w:val="22"/>
              </w:rPr>
              <w:t>O)-Ph</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84</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57</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18</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12a</w:t>
            </w:r>
          </w:p>
        </w:tc>
        <w:tc>
          <w:tcPr>
            <w:tcW w:w="2410"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Bn</w: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9</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5</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A &amp; B</w:t>
            </w:r>
          </w:p>
        </w:tc>
      </w:tr>
      <w:tr w:rsidR="00F254FE" w:rsidRPr="00C71D31" w:rsidTr="00F254FE">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19</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12e</w:t>
            </w:r>
          </w:p>
        </w:tc>
        <w:tc>
          <w:tcPr>
            <w:tcW w:w="2410" w:type="dxa"/>
            <w:tcBorders>
              <w:top w:val="nil"/>
              <w:left w:val="nil"/>
              <w:bottom w:val="nil"/>
              <w:right w:val="nil"/>
            </w:tcBorders>
            <w:vAlign w:val="center"/>
          </w:tcPr>
          <w:p w:rsidR="00F254FE" w:rsidRPr="00F254FE" w:rsidRDefault="00F254FE" w:rsidP="00F254FE">
            <w:pPr>
              <w:pStyle w:val="RSCB03MathematicsGreeketc"/>
              <w:spacing w:line="276" w:lineRule="auto"/>
              <w:jc w:val="center"/>
              <w:rPr>
                <w:rFonts w:cs="Times New Roman"/>
                <w:sz w:val="22"/>
              </w:rPr>
            </w:pPr>
            <w:r w:rsidRPr="00F254FE">
              <w:rPr>
                <w:rFonts w:cs="Times New Roman"/>
                <w:sz w:val="22"/>
              </w:rPr>
              <w:object w:dxaOrig="847" w:dyaOrig="611">
                <v:shape id="_x0000_i1039" type="#_x0000_t75" style="width:27pt;height:21.75pt" o:ole="" o:allowoverlap="f">
                  <v:imagedata r:id="rId24" o:title=""/>
                </v:shape>
                <o:OLEObject Type="Embed" ProgID="ChemDraw.Document.6.0" ShapeID="_x0000_i1039" DrawAspect="Content" ObjectID="_1581246315" r:id="rId35"/>
              </w:objec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63</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41</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rPr>
          <w:trHeight w:val="824"/>
        </w:trPr>
        <w:tc>
          <w:tcPr>
            <w:tcW w:w="846"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20</w:t>
            </w:r>
          </w:p>
        </w:tc>
        <w:tc>
          <w:tcPr>
            <w:tcW w:w="1134"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12g</w:t>
            </w:r>
          </w:p>
        </w:tc>
        <w:tc>
          <w:tcPr>
            <w:tcW w:w="2410" w:type="dxa"/>
            <w:tcBorders>
              <w:top w:val="nil"/>
              <w:left w:val="nil"/>
              <w:bottom w:val="nil"/>
              <w:right w:val="nil"/>
            </w:tcBorders>
            <w:vAlign w:val="center"/>
          </w:tcPr>
          <w:p w:rsidR="00F254FE" w:rsidRPr="00F254FE" w:rsidRDefault="00F254FE" w:rsidP="00F254FE">
            <w:pPr>
              <w:pStyle w:val="RSCB03MathematicsGreeketc"/>
              <w:spacing w:line="276" w:lineRule="auto"/>
              <w:jc w:val="center"/>
              <w:rPr>
                <w:rFonts w:cs="Times New Roman"/>
                <w:sz w:val="22"/>
              </w:rPr>
            </w:pPr>
            <w:r w:rsidRPr="00F254FE">
              <w:rPr>
                <w:rFonts w:cs="Times New Roman"/>
                <w:sz w:val="22"/>
              </w:rPr>
              <w:object w:dxaOrig="1730" w:dyaOrig="623">
                <v:shape id="_x0000_i1040" type="#_x0000_t75" style="width:45.75pt;height:18pt" o:ole="">
                  <v:imagedata r:id="rId28" o:title=""/>
                </v:shape>
                <o:OLEObject Type="Embed" ProgID="ChemDraw.Document.6.0" ShapeID="_x0000_i1040" DrawAspect="Content" ObjectID="_1581246316" r:id="rId36"/>
              </w:object>
            </w:r>
          </w:p>
        </w:tc>
        <w:tc>
          <w:tcPr>
            <w:tcW w:w="99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1701"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37</w:t>
            </w:r>
          </w:p>
        </w:tc>
        <w:tc>
          <w:tcPr>
            <w:tcW w:w="1672"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21</w:t>
            </w:r>
          </w:p>
        </w:tc>
        <w:tc>
          <w:tcPr>
            <w:tcW w:w="1418" w:type="dxa"/>
            <w:tcBorders>
              <w:top w:val="nil"/>
              <w:left w:val="nil"/>
              <w:bottom w:val="nil"/>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846" w:type="dxa"/>
            <w:tcBorders>
              <w:top w:val="nil"/>
              <w:left w:val="nil"/>
              <w:bottom w:val="single" w:sz="4" w:space="0" w:color="auto"/>
              <w:right w:val="nil"/>
            </w:tcBorders>
            <w:vAlign w:val="center"/>
          </w:tcPr>
          <w:p w:rsidR="00F254FE" w:rsidRPr="00F254FE" w:rsidRDefault="00F254FE" w:rsidP="00F254FE">
            <w:pPr>
              <w:pStyle w:val="P1"/>
              <w:spacing w:line="276" w:lineRule="auto"/>
              <w:jc w:val="center"/>
              <w:rPr>
                <w:rFonts w:ascii="Times New Roman" w:hAnsi="Times New Roman"/>
                <w:i/>
                <w:sz w:val="22"/>
                <w:szCs w:val="22"/>
              </w:rPr>
            </w:pPr>
            <w:r w:rsidRPr="00F254FE">
              <w:rPr>
                <w:rFonts w:ascii="Times New Roman" w:hAnsi="Times New Roman"/>
                <w:i/>
                <w:sz w:val="22"/>
                <w:szCs w:val="22"/>
              </w:rPr>
              <w:t>21</w:t>
            </w:r>
          </w:p>
        </w:tc>
        <w:tc>
          <w:tcPr>
            <w:tcW w:w="1134" w:type="dxa"/>
            <w:tcBorders>
              <w:top w:val="nil"/>
              <w:left w:val="nil"/>
              <w:bottom w:val="single" w:sz="4" w:space="0" w:color="auto"/>
              <w:right w:val="nil"/>
            </w:tcBorders>
            <w:vAlign w:val="center"/>
          </w:tcPr>
          <w:p w:rsidR="00F254FE" w:rsidRPr="00F254FE" w:rsidRDefault="00F254FE" w:rsidP="00F254FE">
            <w:pPr>
              <w:pStyle w:val="P1"/>
              <w:spacing w:line="276" w:lineRule="auto"/>
              <w:jc w:val="center"/>
              <w:rPr>
                <w:rFonts w:ascii="Times New Roman" w:hAnsi="Times New Roman"/>
                <w:b/>
                <w:sz w:val="22"/>
                <w:szCs w:val="22"/>
              </w:rPr>
            </w:pPr>
            <w:r w:rsidRPr="00F254FE">
              <w:rPr>
                <w:rFonts w:ascii="Times New Roman" w:hAnsi="Times New Roman"/>
                <w:b/>
                <w:sz w:val="22"/>
                <w:szCs w:val="22"/>
              </w:rPr>
              <w:t>12l</w:t>
            </w:r>
          </w:p>
        </w:tc>
        <w:tc>
          <w:tcPr>
            <w:tcW w:w="2410" w:type="dxa"/>
            <w:tcBorders>
              <w:top w:val="nil"/>
              <w:left w:val="nil"/>
              <w:bottom w:val="single" w:sz="4" w:space="0" w:color="auto"/>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H</w:t>
            </w:r>
          </w:p>
        </w:tc>
        <w:tc>
          <w:tcPr>
            <w:tcW w:w="992" w:type="dxa"/>
            <w:tcBorders>
              <w:top w:val="nil"/>
              <w:left w:val="nil"/>
              <w:bottom w:val="single" w:sz="4" w:space="0" w:color="auto"/>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Ph</w:t>
            </w:r>
          </w:p>
        </w:tc>
        <w:tc>
          <w:tcPr>
            <w:tcW w:w="1701" w:type="dxa"/>
            <w:tcBorders>
              <w:top w:val="nil"/>
              <w:left w:val="nil"/>
              <w:bottom w:val="single" w:sz="4" w:space="0" w:color="auto"/>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0</w:t>
            </w:r>
          </w:p>
        </w:tc>
        <w:tc>
          <w:tcPr>
            <w:tcW w:w="1672" w:type="dxa"/>
            <w:tcBorders>
              <w:top w:val="nil"/>
              <w:left w:val="nil"/>
              <w:bottom w:val="single" w:sz="4" w:space="0" w:color="auto"/>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0</w:t>
            </w:r>
          </w:p>
        </w:tc>
        <w:tc>
          <w:tcPr>
            <w:tcW w:w="1418" w:type="dxa"/>
            <w:tcBorders>
              <w:top w:val="nil"/>
              <w:left w:val="nil"/>
              <w:bottom w:val="single" w:sz="4" w:space="0" w:color="auto"/>
              <w:right w:val="nil"/>
            </w:tcBorders>
            <w:vAlign w:val="center"/>
          </w:tcPr>
          <w:p w:rsidR="00F254FE" w:rsidRPr="00F254FE" w:rsidRDefault="00F254FE" w:rsidP="00F254FE">
            <w:pPr>
              <w:pStyle w:val="P1"/>
              <w:spacing w:line="276" w:lineRule="auto"/>
              <w:jc w:val="center"/>
              <w:rPr>
                <w:rFonts w:ascii="Times New Roman" w:hAnsi="Times New Roman"/>
                <w:sz w:val="22"/>
                <w:szCs w:val="22"/>
              </w:rPr>
            </w:pPr>
            <w:r w:rsidRPr="00F254FE">
              <w:rPr>
                <w:rFonts w:ascii="Times New Roman" w:hAnsi="Times New Roman"/>
                <w:sz w:val="22"/>
                <w:szCs w:val="22"/>
              </w:rPr>
              <w:t>B</w:t>
            </w:r>
          </w:p>
        </w:tc>
      </w:tr>
      <w:tr w:rsidR="00F254FE" w:rsidRPr="00C71D31" w:rsidTr="00F254FE">
        <w:tc>
          <w:tcPr>
            <w:tcW w:w="10173" w:type="dxa"/>
            <w:gridSpan w:val="7"/>
            <w:tcBorders>
              <w:top w:val="single" w:sz="4" w:space="0" w:color="auto"/>
              <w:left w:val="nil"/>
              <w:bottom w:val="nil"/>
              <w:right w:val="nil"/>
            </w:tcBorders>
            <w:vAlign w:val="center"/>
          </w:tcPr>
          <w:p w:rsidR="00F254FE" w:rsidRPr="00F254FE" w:rsidRDefault="00F254FE" w:rsidP="00DF6466">
            <w:pPr>
              <w:rPr>
                <w:rFonts w:ascii="Times New Roman" w:hAnsi="Times New Roman"/>
                <w:sz w:val="22"/>
                <w:szCs w:val="22"/>
                <w:lang w:eastAsia="en-GB"/>
              </w:rPr>
            </w:pPr>
            <w:r w:rsidRPr="00F254FE">
              <w:rPr>
                <w:rFonts w:ascii="Times New Roman" w:hAnsi="Times New Roman"/>
                <w:sz w:val="22"/>
                <w:szCs w:val="22"/>
                <w:vertAlign w:val="superscript"/>
                <w:lang w:eastAsia="en-GB"/>
              </w:rPr>
              <w:t>a</w:t>
            </w:r>
            <w:r w:rsidRPr="00F254FE">
              <w:rPr>
                <w:rFonts w:ascii="Times New Roman" w:hAnsi="Times New Roman"/>
                <w:sz w:val="22"/>
                <w:szCs w:val="22"/>
                <w:lang w:eastAsia="en-GB"/>
              </w:rPr>
              <w:t xml:space="preserve">Conversion values were measured both by GC-MS spectroscopy as well as </w:t>
            </w:r>
            <w:r w:rsidRPr="00F254FE">
              <w:rPr>
                <w:rFonts w:ascii="Times New Roman" w:hAnsi="Times New Roman"/>
                <w:sz w:val="22"/>
                <w:szCs w:val="22"/>
                <w:vertAlign w:val="superscript"/>
                <w:lang w:eastAsia="en-GB"/>
              </w:rPr>
              <w:t>1</w:t>
            </w:r>
            <w:r w:rsidRPr="00F254FE">
              <w:rPr>
                <w:rFonts w:ascii="Times New Roman" w:hAnsi="Times New Roman"/>
                <w:sz w:val="22"/>
                <w:szCs w:val="22"/>
                <w:lang w:eastAsia="en-GB"/>
              </w:rPr>
              <w:t xml:space="preserve">H-NMR. </w:t>
            </w:r>
            <w:r w:rsidRPr="00F254FE">
              <w:rPr>
                <w:rFonts w:ascii="Times New Roman" w:hAnsi="Times New Roman"/>
                <w:sz w:val="22"/>
                <w:szCs w:val="22"/>
                <w:vertAlign w:val="superscript"/>
                <w:lang w:eastAsia="en-GB"/>
              </w:rPr>
              <w:t>b</w:t>
            </w:r>
            <w:r w:rsidRPr="00F254FE">
              <w:rPr>
                <w:rFonts w:ascii="Times New Roman" w:hAnsi="Times New Roman"/>
                <w:sz w:val="22"/>
                <w:szCs w:val="22"/>
                <w:lang w:eastAsia="en-GB"/>
              </w:rPr>
              <w:t>Isolated yields</w:t>
            </w:r>
          </w:p>
          <w:p w:rsidR="00F254FE" w:rsidRPr="00F254FE" w:rsidRDefault="00F254FE" w:rsidP="00DF6466">
            <w:pPr>
              <w:rPr>
                <w:rFonts w:ascii="Times New Roman" w:hAnsi="Times New Roman"/>
                <w:sz w:val="22"/>
                <w:szCs w:val="22"/>
                <w:lang w:eastAsia="en-GB"/>
              </w:rPr>
            </w:pPr>
          </w:p>
        </w:tc>
      </w:tr>
    </w:tbl>
    <w:p w:rsidR="00631A1E" w:rsidRDefault="00631A1E" w:rsidP="000B5610">
      <w:pPr>
        <w:pStyle w:val="TESupportingInformation"/>
        <w:spacing w:after="240"/>
        <w:ind w:firstLine="0"/>
        <w:jc w:val="left"/>
      </w:pPr>
    </w:p>
    <w:p w:rsidR="00631A1E" w:rsidRDefault="00631A1E" w:rsidP="000B5610">
      <w:pPr>
        <w:pStyle w:val="TESupportingInformation"/>
        <w:spacing w:after="240"/>
        <w:ind w:firstLine="0"/>
        <w:jc w:val="left"/>
      </w:pPr>
    </w:p>
    <w:p w:rsidR="004833F7" w:rsidRPr="004833F7" w:rsidRDefault="004833F7" w:rsidP="004833F7">
      <w:pPr>
        <w:rPr>
          <w:lang w:val="en-GB"/>
        </w:rPr>
      </w:pPr>
    </w:p>
    <w:p w:rsidR="00DD6DBB" w:rsidRDefault="00DD6DBB" w:rsidP="00DD6DBB">
      <w:pPr>
        <w:pStyle w:val="FACorrespondingAuthorFootnote"/>
        <w:spacing w:after="0"/>
        <w:jc w:val="left"/>
      </w:pPr>
      <w:r>
        <w:t>AUTHOR INFORMATION</w:t>
      </w:r>
    </w:p>
    <w:p w:rsidR="00DD6DBB" w:rsidRPr="00DD6DBB" w:rsidRDefault="00DD6DBB" w:rsidP="004E7185">
      <w:pPr>
        <w:pStyle w:val="FAAuthorInfoSubtitle"/>
      </w:pPr>
      <w:r w:rsidRPr="00DD6DBB">
        <w:t>Corresponding Author</w:t>
      </w:r>
    </w:p>
    <w:p w:rsidR="009246AD" w:rsidRDefault="00C10EE0" w:rsidP="004833F7">
      <w:pPr>
        <w:pStyle w:val="FACorrespondingAuthorFootnote"/>
        <w:spacing w:after="240"/>
      </w:pPr>
      <w:r w:rsidRPr="003E5207">
        <w:t>*</w:t>
      </w:r>
      <w:r w:rsidR="004833F7">
        <w:t>Daniele Castagnolo, Institute of Pharmaceutical Science, King’s College London, 150 Stamford Street, SE1 9NH, London, United Kingdom. E-mail: daniele.castagnolo@kcl.ac.uk</w:t>
      </w:r>
    </w:p>
    <w:p w:rsidR="00C10EE0" w:rsidRPr="00DD6DBB" w:rsidRDefault="00C10EE0" w:rsidP="00DD6DBB">
      <w:pPr>
        <w:pStyle w:val="FAAuthorInfoSubtitle"/>
      </w:pPr>
      <w:r w:rsidRPr="00DD6DBB">
        <w:t>Author Contributions</w:t>
      </w:r>
    </w:p>
    <w:p w:rsidR="00C10EE0" w:rsidRPr="00DD6DBB"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p>
    <w:p w:rsidR="00B65D0F" w:rsidRDefault="00B65D0F" w:rsidP="00B65D0F">
      <w:pPr>
        <w:pStyle w:val="TESupportingInformation"/>
        <w:spacing w:after="240"/>
        <w:ind w:firstLine="0"/>
        <w:jc w:val="left"/>
      </w:pPr>
      <w:r>
        <w:t>ASSOCIATED CONTENT</w:t>
      </w:r>
    </w:p>
    <w:p w:rsidR="00B65D0F" w:rsidRDefault="00B65D0F" w:rsidP="00B65D0F">
      <w:pPr>
        <w:pStyle w:val="TESupportingInformation"/>
        <w:spacing w:after="240"/>
        <w:ind w:firstLine="0"/>
        <w:rPr>
          <w:lang w:val="en-GB"/>
        </w:rPr>
      </w:pPr>
      <w:r w:rsidRPr="00157E12">
        <w:rPr>
          <w:b/>
        </w:rPr>
        <w:t>Supporting Information</w:t>
      </w:r>
      <w:r>
        <w:t xml:space="preserve">. </w:t>
      </w:r>
      <w:r w:rsidRPr="004833F7">
        <w:rPr>
          <w:lang w:val="en-GB"/>
        </w:rPr>
        <w:t xml:space="preserve">Experimental procedures and full characterization for new compounds and intermediates are reported in the Supporting Information. Additional unsuccessful experiments are described. Copies of </w:t>
      </w:r>
      <w:r w:rsidRPr="004833F7">
        <w:rPr>
          <w:vertAlign w:val="superscript"/>
          <w:lang w:val="en-GB"/>
        </w:rPr>
        <w:t>1</w:t>
      </w:r>
      <w:r w:rsidRPr="004833F7">
        <w:rPr>
          <w:lang w:val="en-GB"/>
        </w:rPr>
        <w:t xml:space="preserve">H-NMR and </w:t>
      </w:r>
      <w:r w:rsidRPr="004833F7">
        <w:rPr>
          <w:vertAlign w:val="superscript"/>
          <w:lang w:val="en-GB"/>
        </w:rPr>
        <w:t>13</w:t>
      </w:r>
      <w:r w:rsidRPr="004833F7">
        <w:rPr>
          <w:lang w:val="en-GB"/>
        </w:rPr>
        <w:t>C-NMR spectra for new compounds are reported.</w:t>
      </w:r>
    </w:p>
    <w:p w:rsidR="00F01870" w:rsidRDefault="00F01870" w:rsidP="000B5610">
      <w:pPr>
        <w:pStyle w:val="TDAcknowledgments"/>
        <w:spacing w:before="0" w:after="0"/>
        <w:ind w:firstLine="0"/>
        <w:jc w:val="left"/>
      </w:pPr>
    </w:p>
    <w:p w:rsidR="00DD6DBB" w:rsidRDefault="00DD6DBB" w:rsidP="000B5610">
      <w:pPr>
        <w:pStyle w:val="TDAcknowledgments"/>
        <w:spacing w:before="0" w:after="0"/>
        <w:ind w:firstLine="0"/>
        <w:jc w:val="left"/>
      </w:pPr>
      <w:r>
        <w:t>ACKNOWLEDGMENT</w:t>
      </w:r>
    </w:p>
    <w:p w:rsidR="00F01870" w:rsidRPr="00F01870" w:rsidRDefault="00F01870" w:rsidP="00F01870">
      <w:pPr>
        <w:pStyle w:val="TDAcknowledgments"/>
        <w:spacing w:after="240"/>
        <w:ind w:firstLine="0"/>
        <w:jc w:val="left"/>
      </w:pPr>
      <w:r w:rsidRPr="00F01870">
        <w:t xml:space="preserve">We gratefully acknowledge the EPSRC UK National Mass Spectrometry Facility for providing the mass spectrometry data. DC thanks the Royal Society of Chemistry (Research Fund 2015) and EPSRC-KCL-Strategic Fund for financial support. </w:t>
      </w:r>
      <w:r w:rsidRPr="00F01870">
        <w:rPr>
          <w:lang w:val="de-DE"/>
        </w:rPr>
        <w:t>GM thanks University of Padova for Erasmus leaving.</w:t>
      </w:r>
    </w:p>
    <w:p w:rsidR="009246AD" w:rsidRDefault="009246AD" w:rsidP="000B5610">
      <w:pPr>
        <w:pStyle w:val="TDAcknowledgments"/>
        <w:spacing w:before="0" w:after="240"/>
        <w:ind w:firstLine="0"/>
        <w:jc w:val="left"/>
      </w:pPr>
    </w:p>
    <w:p w:rsidR="00DD6DBB" w:rsidRDefault="00DD6DBB" w:rsidP="000B5610">
      <w:pPr>
        <w:pStyle w:val="TFReferencesSection"/>
        <w:spacing w:after="0"/>
        <w:ind w:firstLine="0"/>
      </w:pPr>
      <w:r>
        <w:t>REFERENCES</w:t>
      </w:r>
    </w:p>
    <w:p w:rsidR="00F01870" w:rsidRDefault="00F01870" w:rsidP="00B807D3">
      <w:pPr>
        <w:pStyle w:val="TFReferencesSection"/>
        <w:numPr>
          <w:ilvl w:val="0"/>
          <w:numId w:val="11"/>
        </w:numPr>
        <w:spacing w:after="240"/>
        <w:ind w:left="426" w:hanging="426"/>
      </w:pPr>
      <w:r>
        <w:t xml:space="preserve">Bergman, </w:t>
      </w:r>
      <w:r w:rsidR="00B807D3">
        <w:t xml:space="preserve">J.; </w:t>
      </w:r>
      <w:r>
        <w:t xml:space="preserve">Janosik, </w:t>
      </w:r>
      <w:r w:rsidR="00B807D3">
        <w:t>T.</w:t>
      </w:r>
      <w:r>
        <w:t xml:space="preserve"> </w:t>
      </w:r>
      <w:r w:rsidR="00EC37FC">
        <w:t xml:space="preserve">In </w:t>
      </w:r>
      <w:r w:rsidR="00EC37FC" w:rsidRPr="006E360A">
        <w:rPr>
          <w:i/>
        </w:rPr>
        <w:t>Modern Heterocyclic Chemistry</w:t>
      </w:r>
      <w:r w:rsidR="00EC37FC">
        <w:t>;</w:t>
      </w:r>
      <w:r>
        <w:t xml:space="preserve"> </w:t>
      </w:r>
      <w:r w:rsidR="009630FD" w:rsidRPr="009630FD">
        <w:t>J. J. Alvarez- Builla, J. Vaquero,. J., Barluenga, Eds.</w:t>
      </w:r>
      <w:r w:rsidR="00EC37FC">
        <w:t>;</w:t>
      </w:r>
      <w:r>
        <w:t xml:space="preserve"> Wiley</w:t>
      </w:r>
      <w:r w:rsidR="00EC37FC">
        <w:t xml:space="preserve">-VCH, Weinheim, </w:t>
      </w:r>
      <w:r w:rsidR="00EC37FC" w:rsidRPr="00EC37FC">
        <w:t>2011</w:t>
      </w:r>
      <w:r w:rsidR="00EC37FC">
        <w:t>; Vol. 1.</w:t>
      </w:r>
    </w:p>
    <w:p w:rsidR="00F01870" w:rsidRDefault="00EC7F93" w:rsidP="00B807D3">
      <w:pPr>
        <w:pStyle w:val="TFReferencesSection"/>
        <w:numPr>
          <w:ilvl w:val="0"/>
          <w:numId w:val="11"/>
        </w:numPr>
        <w:spacing w:after="240"/>
        <w:ind w:left="426" w:hanging="426"/>
      </w:pPr>
      <w:r>
        <w:t xml:space="preserve">a) </w:t>
      </w:r>
      <w:r w:rsidR="00F01870">
        <w:t xml:space="preserve">Bhakta, </w:t>
      </w:r>
      <w:r w:rsidR="00B807D3">
        <w:t xml:space="preserve">S.; </w:t>
      </w:r>
      <w:r w:rsidR="00F01870">
        <w:t xml:space="preserve">Scalacci, </w:t>
      </w:r>
      <w:r w:rsidR="00B807D3">
        <w:t xml:space="preserve">N.; </w:t>
      </w:r>
      <w:r w:rsidR="00F01870">
        <w:t xml:space="preserve">Maitra, </w:t>
      </w:r>
      <w:r w:rsidR="00B807D3">
        <w:t xml:space="preserve">A.; </w:t>
      </w:r>
      <w:r w:rsidR="00F01870">
        <w:t xml:space="preserve">Brown, </w:t>
      </w:r>
      <w:r w:rsidR="00B807D3">
        <w:t xml:space="preserve">A.K.; </w:t>
      </w:r>
      <w:r w:rsidR="00F01870">
        <w:t xml:space="preserve">Dasugari, </w:t>
      </w:r>
      <w:r w:rsidR="00B807D3">
        <w:t xml:space="preserve">S.; </w:t>
      </w:r>
      <w:r w:rsidR="00F01870">
        <w:t xml:space="preserve">Evangelopoulos, </w:t>
      </w:r>
      <w:r w:rsidR="00B807D3">
        <w:t xml:space="preserve">D.; </w:t>
      </w:r>
      <w:r w:rsidR="00F01870">
        <w:t xml:space="preserve">McHugh, </w:t>
      </w:r>
      <w:r w:rsidR="00B807D3">
        <w:t xml:space="preserve">T.; </w:t>
      </w:r>
      <w:r w:rsidR="00F01870">
        <w:t xml:space="preserve">Mortazavi, </w:t>
      </w:r>
      <w:r w:rsidR="00B807D3">
        <w:t xml:space="preserve">P. N.; </w:t>
      </w:r>
      <w:r w:rsidR="00F01870">
        <w:t xml:space="preserve">Twist, </w:t>
      </w:r>
      <w:r w:rsidR="00B807D3">
        <w:t xml:space="preserve">A.; </w:t>
      </w:r>
      <w:r w:rsidR="00F01870">
        <w:t xml:space="preserve">Petricci, </w:t>
      </w:r>
      <w:r w:rsidR="00B807D3">
        <w:t xml:space="preserve">E.; </w:t>
      </w:r>
      <w:r w:rsidR="00F01870">
        <w:t xml:space="preserve">Manetti, </w:t>
      </w:r>
      <w:r w:rsidR="00B807D3">
        <w:t xml:space="preserve">F.; </w:t>
      </w:r>
      <w:r w:rsidR="00F01870">
        <w:t xml:space="preserve">Castagnolo, </w:t>
      </w:r>
      <w:r w:rsidR="00B807D3">
        <w:t xml:space="preserve">D. </w:t>
      </w:r>
      <w:r w:rsidR="00F01870" w:rsidRPr="00B807D3">
        <w:rPr>
          <w:i/>
        </w:rPr>
        <w:t>J. Med. Chem.</w:t>
      </w:r>
      <w:r w:rsidR="00F01870" w:rsidRPr="00B807D3">
        <w:rPr>
          <w:b/>
        </w:rPr>
        <w:t>2016</w:t>
      </w:r>
      <w:r w:rsidR="00F01870">
        <w:t xml:space="preserve">, </w:t>
      </w:r>
      <w:r w:rsidR="00F01870" w:rsidRPr="00B807D3">
        <w:rPr>
          <w:i/>
        </w:rPr>
        <w:t>59</w:t>
      </w:r>
      <w:r w:rsidR="00F01870">
        <w:t>, 2780–2793.</w:t>
      </w:r>
      <w:r>
        <w:t xml:space="preserve"> b) Chachignon, H.; Scalacci, N.; Petricci, E.; Castagnolo, D. </w:t>
      </w:r>
      <w:r w:rsidRPr="00EC7F93">
        <w:rPr>
          <w:i/>
        </w:rPr>
        <w:t>J. Org. Chem.</w:t>
      </w:r>
      <w:r>
        <w:t xml:space="preserve"> </w:t>
      </w:r>
      <w:r w:rsidRPr="00EC7F93">
        <w:rPr>
          <w:b/>
        </w:rPr>
        <w:t>2015</w:t>
      </w:r>
      <w:r>
        <w:t xml:space="preserve">, </w:t>
      </w:r>
      <w:r w:rsidRPr="00EC7F93">
        <w:rPr>
          <w:i/>
        </w:rPr>
        <w:t>80</w:t>
      </w:r>
      <w:r w:rsidRPr="00EC7F93">
        <w:t>, 5287-5295.</w:t>
      </w:r>
    </w:p>
    <w:p w:rsidR="00F01870" w:rsidRDefault="00EC7F93" w:rsidP="00EC7F93">
      <w:pPr>
        <w:pStyle w:val="TFReferencesSection"/>
        <w:numPr>
          <w:ilvl w:val="0"/>
          <w:numId w:val="11"/>
        </w:numPr>
        <w:spacing w:after="240"/>
        <w:ind w:left="426" w:hanging="426"/>
      </w:pPr>
      <w:r>
        <w:t xml:space="preserve">a) </w:t>
      </w:r>
      <w:r w:rsidR="00F01870">
        <w:t xml:space="preserve">Cooney, </w:t>
      </w:r>
      <w:r w:rsidR="00B807D3">
        <w:t xml:space="preserve">J. V.; </w:t>
      </w:r>
      <w:r w:rsidR="00F01870">
        <w:t xml:space="preserve">McEwen, </w:t>
      </w:r>
      <w:r w:rsidR="00B807D3">
        <w:t xml:space="preserve">W. E. </w:t>
      </w:r>
      <w:r w:rsidR="00F01870" w:rsidRPr="00B807D3">
        <w:rPr>
          <w:i/>
        </w:rPr>
        <w:t>J. Org. Chem.</w:t>
      </w:r>
      <w:r w:rsidR="00F01870" w:rsidRPr="00B807D3">
        <w:rPr>
          <w:b/>
        </w:rPr>
        <w:t>1981</w:t>
      </w:r>
      <w:r w:rsidR="00F01870">
        <w:t xml:space="preserve">, </w:t>
      </w:r>
      <w:r w:rsidR="00F01870" w:rsidRPr="00B807D3">
        <w:rPr>
          <w:i/>
        </w:rPr>
        <w:t>46</w:t>
      </w:r>
      <w:r w:rsidR="00F01870">
        <w:t xml:space="preserve">, 2570–2573. </w:t>
      </w:r>
      <w:r>
        <w:t xml:space="preserve">b) </w:t>
      </w:r>
      <w:r w:rsidR="00F01870">
        <w:t xml:space="preserve">Clauson-Kaas, </w:t>
      </w:r>
      <w:r w:rsidR="00B807D3">
        <w:t xml:space="preserve">N.; </w:t>
      </w:r>
      <w:r w:rsidR="00F01870">
        <w:t xml:space="preserve">Tyle, </w:t>
      </w:r>
      <w:r w:rsidR="00B807D3">
        <w:t xml:space="preserve">Z. </w:t>
      </w:r>
      <w:r w:rsidR="00B807D3" w:rsidRPr="00EC7F93">
        <w:rPr>
          <w:i/>
        </w:rPr>
        <w:t xml:space="preserve">Acta </w:t>
      </w:r>
      <w:r w:rsidR="00573E44" w:rsidRPr="00EC7F93">
        <w:rPr>
          <w:i/>
        </w:rPr>
        <w:t>Chem.</w:t>
      </w:r>
      <w:r w:rsidR="00F01870" w:rsidRPr="00EC7F93">
        <w:rPr>
          <w:i/>
        </w:rPr>
        <w:t xml:space="preserve"> Scand.</w:t>
      </w:r>
      <w:r w:rsidR="00F01870" w:rsidRPr="00EC7F93">
        <w:rPr>
          <w:b/>
        </w:rPr>
        <w:t>1952</w:t>
      </w:r>
      <w:r w:rsidR="00F01870">
        <w:t xml:space="preserve">, </w:t>
      </w:r>
      <w:r w:rsidR="00F01870" w:rsidRPr="00EC7F93">
        <w:rPr>
          <w:i/>
        </w:rPr>
        <w:t>6</w:t>
      </w:r>
      <w:r w:rsidR="00F01870">
        <w:t>, 667.</w:t>
      </w:r>
    </w:p>
    <w:p w:rsidR="00F01870" w:rsidRDefault="00F01870" w:rsidP="00B807D3">
      <w:pPr>
        <w:pStyle w:val="TFReferencesSection"/>
        <w:numPr>
          <w:ilvl w:val="0"/>
          <w:numId w:val="11"/>
        </w:numPr>
        <w:spacing w:after="240"/>
        <w:ind w:left="426" w:hanging="426"/>
      </w:pPr>
      <w:r>
        <w:t xml:space="preserve">Katritzky, </w:t>
      </w:r>
      <w:r w:rsidR="00B807D3">
        <w:t xml:space="preserve">A.; </w:t>
      </w:r>
      <w:r>
        <w:t xml:space="preserve">Jiang, </w:t>
      </w:r>
      <w:r w:rsidR="00B807D3">
        <w:t xml:space="preserve">J.; </w:t>
      </w:r>
      <w:r>
        <w:t xml:space="preserve">Steel, </w:t>
      </w:r>
      <w:r w:rsidR="00B807D3">
        <w:t xml:space="preserve">P. J. </w:t>
      </w:r>
      <w:r w:rsidR="00B807D3">
        <w:rPr>
          <w:i/>
        </w:rPr>
        <w:t>J. Org. Chem.</w:t>
      </w:r>
      <w:r w:rsidRPr="00B807D3">
        <w:rPr>
          <w:b/>
        </w:rPr>
        <w:t>1994</w:t>
      </w:r>
      <w:r>
        <w:t xml:space="preserve">, </w:t>
      </w:r>
      <w:r w:rsidRPr="00B807D3">
        <w:rPr>
          <w:i/>
        </w:rPr>
        <w:t>59</w:t>
      </w:r>
      <w:r>
        <w:t xml:space="preserve">, 4551–4555. </w:t>
      </w:r>
    </w:p>
    <w:p w:rsidR="00F01870" w:rsidRDefault="00F01870" w:rsidP="00B807D3">
      <w:pPr>
        <w:pStyle w:val="TFReferencesSection"/>
        <w:numPr>
          <w:ilvl w:val="0"/>
          <w:numId w:val="11"/>
        </w:numPr>
        <w:spacing w:after="240"/>
        <w:ind w:left="426" w:hanging="426"/>
      </w:pPr>
      <w:r>
        <w:t xml:space="preserve">Arcadi, </w:t>
      </w:r>
      <w:r w:rsidR="00B807D3">
        <w:t>A.; Rossi, E.</w:t>
      </w:r>
      <w:r w:rsidR="00EC7F93">
        <w:t xml:space="preserve"> </w:t>
      </w:r>
      <w:r w:rsidRPr="00B807D3">
        <w:rPr>
          <w:i/>
        </w:rPr>
        <w:t>Tetrahedron</w:t>
      </w:r>
      <w:r>
        <w:t xml:space="preserve">, </w:t>
      </w:r>
      <w:r w:rsidRPr="00B807D3">
        <w:rPr>
          <w:b/>
        </w:rPr>
        <w:t>1998</w:t>
      </w:r>
      <w:r>
        <w:t xml:space="preserve">, </w:t>
      </w:r>
      <w:r w:rsidRPr="00B807D3">
        <w:rPr>
          <w:i/>
        </w:rPr>
        <w:t>54</w:t>
      </w:r>
      <w:r>
        <w:t xml:space="preserve">,15253–15272. </w:t>
      </w:r>
    </w:p>
    <w:p w:rsidR="00EC7F93" w:rsidRDefault="00EC7F93" w:rsidP="00B807D3">
      <w:pPr>
        <w:pStyle w:val="TFReferencesSection"/>
        <w:numPr>
          <w:ilvl w:val="0"/>
          <w:numId w:val="11"/>
        </w:numPr>
        <w:spacing w:after="240"/>
        <w:ind w:left="426" w:hanging="426"/>
      </w:pPr>
      <w:r>
        <w:t xml:space="preserve">a) Azizi, N.; Khajeh-Amiri, A.; Ghafuri, H.; Bolourtchian, M.; Saidi, M. R. </w:t>
      </w:r>
      <w:r>
        <w:rPr>
          <w:i/>
          <w:iCs/>
        </w:rPr>
        <w:t>Synlett</w:t>
      </w:r>
      <w:r>
        <w:t xml:space="preserve">, </w:t>
      </w:r>
      <w:r>
        <w:rPr>
          <w:b/>
          <w:bCs/>
        </w:rPr>
        <w:t>2009</w:t>
      </w:r>
      <w:r>
        <w:t xml:space="preserve">, 2245-2248. b) Rao, H. S. P.; Jothilingam, S.; Scheeren, H. W. </w:t>
      </w:r>
      <w:r>
        <w:rPr>
          <w:i/>
          <w:iCs/>
        </w:rPr>
        <w:t>Tetrahedron</w:t>
      </w:r>
      <w:r>
        <w:t xml:space="preserve">, </w:t>
      </w:r>
      <w:r>
        <w:rPr>
          <w:b/>
          <w:bCs/>
        </w:rPr>
        <w:t>2004</w:t>
      </w:r>
      <w:r>
        <w:t xml:space="preserve">, </w:t>
      </w:r>
      <w:r>
        <w:rPr>
          <w:i/>
          <w:iCs/>
        </w:rPr>
        <w:t>60</w:t>
      </w:r>
      <w:r>
        <w:t>, 1625-1630.</w:t>
      </w:r>
    </w:p>
    <w:p w:rsidR="00F01870" w:rsidRDefault="00F01870" w:rsidP="00B807D3">
      <w:pPr>
        <w:pStyle w:val="TFReferencesSection"/>
        <w:numPr>
          <w:ilvl w:val="0"/>
          <w:numId w:val="11"/>
        </w:numPr>
        <w:spacing w:after="240"/>
        <w:ind w:left="426" w:hanging="426"/>
      </w:pPr>
      <w:r>
        <w:t>a) Donohoe, T. J.; Orr,</w:t>
      </w:r>
      <w:r w:rsidR="00B807D3">
        <w:t xml:space="preserve"> A. J.; Gosby, K.; Bingham, M. </w:t>
      </w:r>
      <w:r w:rsidRPr="00B807D3">
        <w:rPr>
          <w:i/>
        </w:rPr>
        <w:t>Eur. J. Org. Chem.</w:t>
      </w:r>
      <w:r w:rsidRPr="00B807D3">
        <w:rPr>
          <w:b/>
        </w:rPr>
        <w:t>2005</w:t>
      </w:r>
      <w:r>
        <w:t>, 1969–1971. b) Donohoe, T. J.; Kershaw, N. M.; Orr, A. J.; Wheelhouse, K. M. P.; Fishlock, L. P.; Lacy, A. R.</w:t>
      </w:r>
      <w:r w:rsidR="00B807D3">
        <w:t>; Bingham, M.; Procopiou, P. A.</w:t>
      </w:r>
      <w:r w:rsidRPr="00B807D3">
        <w:rPr>
          <w:i/>
        </w:rPr>
        <w:t>Tetrahedron</w:t>
      </w:r>
      <w:r>
        <w:t xml:space="preserve">, </w:t>
      </w:r>
      <w:r w:rsidRPr="00B807D3">
        <w:rPr>
          <w:b/>
        </w:rPr>
        <w:t>2008</w:t>
      </w:r>
      <w:r>
        <w:t xml:space="preserve">, </w:t>
      </w:r>
      <w:r w:rsidRPr="00B807D3">
        <w:rPr>
          <w:i/>
        </w:rPr>
        <w:t>64</w:t>
      </w:r>
      <w:r>
        <w:t>, 809</w:t>
      </w:r>
      <w:r w:rsidR="00F90CEE">
        <w:t>-820</w:t>
      </w:r>
      <w:r>
        <w:t>.</w:t>
      </w:r>
    </w:p>
    <w:p w:rsidR="00F01870" w:rsidRDefault="00F01870" w:rsidP="00B807D3">
      <w:pPr>
        <w:pStyle w:val="TFReferencesSection"/>
        <w:numPr>
          <w:ilvl w:val="0"/>
          <w:numId w:val="11"/>
        </w:numPr>
        <w:spacing w:after="240"/>
        <w:ind w:left="426" w:hanging="426"/>
      </w:pPr>
      <w:r>
        <w:t xml:space="preserve">De Matteis, V.; Dufay, O.; Waalboer, D. C. J.; van Delft, F. L.; Tiebes, J.; Rutjes, F. P. J. T., </w:t>
      </w:r>
      <w:r w:rsidRPr="00DF6466">
        <w:rPr>
          <w:i/>
        </w:rPr>
        <w:t>Eur. J. Org. Chem.</w:t>
      </w:r>
      <w:r w:rsidRPr="00DF6466">
        <w:rPr>
          <w:b/>
        </w:rPr>
        <w:t>2007</w:t>
      </w:r>
      <w:r>
        <w:t>, 2667–2675.</w:t>
      </w:r>
    </w:p>
    <w:p w:rsidR="00F01870" w:rsidRDefault="00F01870" w:rsidP="00B807D3">
      <w:pPr>
        <w:pStyle w:val="TFReferencesSection"/>
        <w:numPr>
          <w:ilvl w:val="0"/>
          <w:numId w:val="11"/>
        </w:numPr>
        <w:spacing w:after="240"/>
        <w:ind w:left="426" w:hanging="426"/>
      </w:pPr>
      <w:r>
        <w:t xml:space="preserve">a) Nicolaou, </w:t>
      </w:r>
      <w:r w:rsidR="00DF6466">
        <w:t xml:space="preserve">K. C.; </w:t>
      </w:r>
      <w:r>
        <w:t xml:space="preserve">Mathison, </w:t>
      </w:r>
      <w:r w:rsidR="00DF6466">
        <w:t xml:space="preserve">C. J. N.; </w:t>
      </w:r>
      <w:r>
        <w:t xml:space="preserve">Montagnon, </w:t>
      </w:r>
      <w:r w:rsidR="00DF6466">
        <w:t xml:space="preserve">T. </w:t>
      </w:r>
      <w:r w:rsidRPr="00DF6466">
        <w:rPr>
          <w:i/>
        </w:rPr>
        <w:t>Angew. Chem. Int. Ed.</w:t>
      </w:r>
      <w:r w:rsidRPr="00DF6466">
        <w:rPr>
          <w:b/>
        </w:rPr>
        <w:t>2003</w:t>
      </w:r>
      <w:r>
        <w:t xml:space="preserve">, </w:t>
      </w:r>
      <w:r w:rsidRPr="00DF6466">
        <w:rPr>
          <w:i/>
        </w:rPr>
        <w:t>42</w:t>
      </w:r>
      <w:r>
        <w:t>, 4077</w:t>
      </w:r>
      <w:r w:rsidR="00F90CEE">
        <w:t>-4082</w:t>
      </w:r>
      <w:r>
        <w:t xml:space="preserve">. b) Zhang, </w:t>
      </w:r>
      <w:r w:rsidR="00DF6466">
        <w:t xml:space="preserve">E.; </w:t>
      </w:r>
      <w:r>
        <w:t xml:space="preserve">Tian, </w:t>
      </w:r>
      <w:r w:rsidR="00DF6466">
        <w:t xml:space="preserve">H.; </w:t>
      </w:r>
      <w:r>
        <w:t xml:space="preserve">Xu, </w:t>
      </w:r>
      <w:r w:rsidR="00DF6466">
        <w:t xml:space="preserve">S.; Yu,X.; </w:t>
      </w:r>
      <w:r>
        <w:t xml:space="preserve">Xu, </w:t>
      </w:r>
      <w:r w:rsidR="00DF6466">
        <w:t xml:space="preserve">Q. </w:t>
      </w:r>
      <w:r w:rsidRPr="00DF6466">
        <w:rPr>
          <w:i/>
        </w:rPr>
        <w:t>Org. Lett.</w:t>
      </w:r>
      <w:r w:rsidRPr="00DF6466">
        <w:rPr>
          <w:b/>
        </w:rPr>
        <w:t>2013</w:t>
      </w:r>
      <w:r>
        <w:t xml:space="preserve">, </w:t>
      </w:r>
      <w:r w:rsidRPr="00DF6466">
        <w:rPr>
          <w:i/>
        </w:rPr>
        <w:t>15</w:t>
      </w:r>
      <w:r>
        <w:t>, 2704</w:t>
      </w:r>
      <w:r w:rsidR="00F90CEE">
        <w:t>-2707</w:t>
      </w:r>
      <w:r>
        <w:t xml:space="preserve">. c) Patil, </w:t>
      </w:r>
      <w:r w:rsidR="00DF6466">
        <w:t xml:space="preserve">R. D.; </w:t>
      </w:r>
      <w:r>
        <w:t xml:space="preserve">Adimurthy, </w:t>
      </w:r>
      <w:r w:rsidR="00DF6466">
        <w:t xml:space="preserve">S. </w:t>
      </w:r>
      <w:r w:rsidRPr="00DF6466">
        <w:rPr>
          <w:i/>
        </w:rPr>
        <w:t>Adv. Synth. Catal.</w:t>
      </w:r>
      <w:r w:rsidRPr="00DF6466">
        <w:rPr>
          <w:b/>
        </w:rPr>
        <w:t>2011</w:t>
      </w:r>
      <w:r>
        <w:t xml:space="preserve">, </w:t>
      </w:r>
      <w:r w:rsidRPr="00DF6466">
        <w:rPr>
          <w:i/>
        </w:rPr>
        <w:t>353</w:t>
      </w:r>
      <w:r>
        <w:t>, 1695</w:t>
      </w:r>
      <w:r w:rsidR="00F90CEE">
        <w:t>-1700</w:t>
      </w:r>
      <w:r>
        <w:t>.</w:t>
      </w:r>
    </w:p>
    <w:p w:rsidR="00F01870" w:rsidRDefault="00F01870" w:rsidP="00B807D3">
      <w:pPr>
        <w:pStyle w:val="TFReferencesSection"/>
        <w:numPr>
          <w:ilvl w:val="0"/>
          <w:numId w:val="11"/>
        </w:numPr>
        <w:spacing w:after="240"/>
        <w:ind w:left="426" w:hanging="426"/>
      </w:pPr>
      <w:r>
        <w:t xml:space="preserve">Fagan, </w:t>
      </w:r>
      <w:r w:rsidR="00DF6466">
        <w:t xml:space="preserve">R. L.; </w:t>
      </w:r>
      <w:r>
        <w:t>Palfey</w:t>
      </w:r>
      <w:r w:rsidR="00DF6466">
        <w:t>,</w:t>
      </w:r>
      <w:r w:rsidR="009630FD">
        <w:t xml:space="preserve"> </w:t>
      </w:r>
      <w:r w:rsidR="00DF6466">
        <w:t xml:space="preserve">B. A. </w:t>
      </w:r>
      <w:r>
        <w:t>Comprehensive Natural Pr</w:t>
      </w:r>
      <w:r w:rsidR="009630FD">
        <w:t xml:space="preserve">oducts II Chemistry and Biology </w:t>
      </w:r>
      <w:r w:rsidRPr="00DF6466">
        <w:rPr>
          <w:b/>
        </w:rPr>
        <w:t>2010</w:t>
      </w:r>
      <w:r>
        <w:t xml:space="preserve">, </w:t>
      </w:r>
      <w:r w:rsidRPr="00DF6466">
        <w:rPr>
          <w:i/>
        </w:rPr>
        <w:t>7</w:t>
      </w:r>
      <w:r>
        <w:t>, 37–113.</w:t>
      </w:r>
    </w:p>
    <w:p w:rsidR="00F01870" w:rsidRDefault="00F01870" w:rsidP="00B807D3">
      <w:pPr>
        <w:pStyle w:val="TFReferencesSection"/>
        <w:numPr>
          <w:ilvl w:val="0"/>
          <w:numId w:val="11"/>
        </w:numPr>
        <w:spacing w:after="240"/>
        <w:ind w:left="426" w:hanging="426"/>
      </w:pPr>
      <w:r>
        <w:t xml:space="preserve">a) Ghislieri, </w:t>
      </w:r>
      <w:r w:rsidR="00DF6466">
        <w:t xml:space="preserve">D.; </w:t>
      </w:r>
      <w:r>
        <w:t xml:space="preserve">Green, </w:t>
      </w:r>
      <w:r w:rsidR="00DF6466">
        <w:t xml:space="preserve">A. P.; </w:t>
      </w:r>
      <w:r>
        <w:t xml:space="preserve">Pontini, </w:t>
      </w:r>
      <w:r w:rsidR="00DF6466">
        <w:t xml:space="preserve">M.; </w:t>
      </w:r>
      <w:r>
        <w:t xml:space="preserve">Willies, </w:t>
      </w:r>
      <w:r w:rsidR="00DF6466">
        <w:t xml:space="preserve">S. C.; </w:t>
      </w:r>
      <w:r>
        <w:t xml:space="preserve">Rowles, </w:t>
      </w:r>
      <w:r w:rsidR="00DF6466">
        <w:t xml:space="preserve">I.; </w:t>
      </w:r>
      <w:r>
        <w:t xml:space="preserve">Frank, </w:t>
      </w:r>
      <w:r w:rsidR="00DF6466">
        <w:t xml:space="preserve">A.; </w:t>
      </w:r>
      <w:r>
        <w:t xml:space="preserve">Grogan, </w:t>
      </w:r>
      <w:r w:rsidR="00DF6466">
        <w:t xml:space="preserve">G.; </w:t>
      </w:r>
      <w:r>
        <w:t xml:space="preserve">Turner, </w:t>
      </w:r>
      <w:r w:rsidR="00DF6466">
        <w:t xml:space="preserve">N. J. </w:t>
      </w:r>
      <w:r w:rsidRPr="00DF6466">
        <w:rPr>
          <w:i/>
        </w:rPr>
        <w:t>J. Am. Chem. Soc.</w:t>
      </w:r>
      <w:r w:rsidRPr="00DF6466">
        <w:rPr>
          <w:b/>
        </w:rPr>
        <w:t>2013</w:t>
      </w:r>
      <w:r>
        <w:t xml:space="preserve">, </w:t>
      </w:r>
      <w:r w:rsidRPr="00DF6466">
        <w:rPr>
          <w:i/>
        </w:rPr>
        <w:t>135</w:t>
      </w:r>
      <w:r>
        <w:t>, 10863</w:t>
      </w:r>
      <w:r w:rsidR="00F90CEE">
        <w:t>-10869</w:t>
      </w:r>
      <w:r>
        <w:t xml:space="preserve">. b) Ghislieri, </w:t>
      </w:r>
      <w:r w:rsidR="00DF6466">
        <w:t xml:space="preserve">D.; </w:t>
      </w:r>
      <w:r>
        <w:t xml:space="preserve">Houghton, </w:t>
      </w:r>
      <w:r w:rsidR="00DF6466">
        <w:t xml:space="preserve">D.; </w:t>
      </w:r>
      <w:r>
        <w:t xml:space="preserve">Green, </w:t>
      </w:r>
      <w:r w:rsidR="00DF6466">
        <w:t xml:space="preserve">A. P.; </w:t>
      </w:r>
      <w:r>
        <w:t xml:space="preserve">Willies, </w:t>
      </w:r>
      <w:r w:rsidR="00DF6466">
        <w:t xml:space="preserve">S. C.; </w:t>
      </w:r>
      <w:r>
        <w:t xml:space="preserve">Turner, </w:t>
      </w:r>
      <w:r w:rsidR="00DF6466">
        <w:t xml:space="preserve">N. J. </w:t>
      </w:r>
      <w:r w:rsidRPr="00DF6466">
        <w:rPr>
          <w:i/>
        </w:rPr>
        <w:t>ACS Catal.</w:t>
      </w:r>
      <w:r w:rsidRPr="00DF6466">
        <w:rPr>
          <w:b/>
        </w:rPr>
        <w:t>2013</w:t>
      </w:r>
      <w:r>
        <w:t xml:space="preserve">, </w:t>
      </w:r>
      <w:r w:rsidRPr="00DF6466">
        <w:rPr>
          <w:i/>
        </w:rPr>
        <w:t>3</w:t>
      </w:r>
      <w:r>
        <w:t xml:space="preserve">, 2869–2872. c) Khöler, </w:t>
      </w:r>
      <w:r w:rsidR="00DF6466">
        <w:t xml:space="preserve">V.; </w:t>
      </w:r>
      <w:r>
        <w:t xml:space="preserve">Wilson, </w:t>
      </w:r>
      <w:r w:rsidR="00DF6466">
        <w:t xml:space="preserve">Y. M.; </w:t>
      </w:r>
      <w:r>
        <w:t xml:space="preserve">Durrenberger, </w:t>
      </w:r>
      <w:r w:rsidR="00DF6466">
        <w:t xml:space="preserve">M.; </w:t>
      </w:r>
      <w:r>
        <w:t xml:space="preserve">Ghislieri, </w:t>
      </w:r>
      <w:r w:rsidR="00DF6466">
        <w:t xml:space="preserve">D.; </w:t>
      </w:r>
      <w:r>
        <w:t xml:space="preserve">Churakova, </w:t>
      </w:r>
      <w:r w:rsidR="00DF6466">
        <w:t xml:space="preserve">E.; </w:t>
      </w:r>
      <w:r>
        <w:t xml:space="preserve">Quinto, </w:t>
      </w:r>
      <w:r w:rsidR="00DF6466">
        <w:t xml:space="preserve">T.; </w:t>
      </w:r>
      <w:r>
        <w:t xml:space="preserve">Knorr, </w:t>
      </w:r>
      <w:r w:rsidR="00DF6466">
        <w:t xml:space="preserve">L.; </w:t>
      </w:r>
      <w:r>
        <w:t xml:space="preserve">Haussinger, </w:t>
      </w:r>
      <w:r w:rsidR="00DF6466">
        <w:t xml:space="preserve">D.; </w:t>
      </w:r>
      <w:r>
        <w:t xml:space="preserve">Hollman, </w:t>
      </w:r>
      <w:r w:rsidR="00DF6466">
        <w:t xml:space="preserve">F.; </w:t>
      </w:r>
      <w:r>
        <w:t xml:space="preserve">Turner, </w:t>
      </w:r>
      <w:r w:rsidR="00DF6466">
        <w:t xml:space="preserve">N. J.; </w:t>
      </w:r>
      <w:r>
        <w:t xml:space="preserve">Ward, </w:t>
      </w:r>
      <w:r w:rsidR="00DF6466">
        <w:t xml:space="preserve">T. R. </w:t>
      </w:r>
      <w:r w:rsidRPr="00DF6466">
        <w:rPr>
          <w:i/>
        </w:rPr>
        <w:t>Nature Chem.</w:t>
      </w:r>
      <w:r w:rsidRPr="00DF6466">
        <w:rPr>
          <w:b/>
        </w:rPr>
        <w:t>201</w:t>
      </w:r>
      <w:r w:rsidR="00F90CEE">
        <w:rPr>
          <w:b/>
        </w:rPr>
        <w:t>3</w:t>
      </w:r>
      <w:r>
        <w:t xml:space="preserve">, </w:t>
      </w:r>
      <w:r w:rsidR="00F90CEE">
        <w:t>5, 93-99.</w:t>
      </w:r>
    </w:p>
    <w:p w:rsidR="00F01870" w:rsidRDefault="00F01870" w:rsidP="00B807D3">
      <w:pPr>
        <w:pStyle w:val="TFReferencesSection"/>
        <w:numPr>
          <w:ilvl w:val="0"/>
          <w:numId w:val="11"/>
        </w:numPr>
        <w:spacing w:after="240"/>
        <w:ind w:left="426" w:hanging="426"/>
      </w:pPr>
      <w:r>
        <w:t>For a detailed description of the synthesis of 3-pyrroline precursors see Supp. Info.</w:t>
      </w:r>
    </w:p>
    <w:p w:rsidR="00F01870" w:rsidRDefault="00F01870" w:rsidP="00B807D3">
      <w:pPr>
        <w:pStyle w:val="TFReferencesSection"/>
        <w:numPr>
          <w:ilvl w:val="0"/>
          <w:numId w:val="11"/>
        </w:numPr>
        <w:spacing w:after="240"/>
        <w:ind w:left="426" w:hanging="426"/>
      </w:pPr>
      <w:r>
        <w:t xml:space="preserve">Heath, </w:t>
      </w:r>
      <w:r w:rsidR="00DF6466">
        <w:t xml:space="preserve">R. S.; </w:t>
      </w:r>
      <w:r>
        <w:t xml:space="preserve">Pontini, </w:t>
      </w:r>
      <w:r w:rsidR="00DF6466">
        <w:t xml:space="preserve">M.; </w:t>
      </w:r>
      <w:r>
        <w:t xml:space="preserve">Bechi, </w:t>
      </w:r>
      <w:r w:rsidR="00DF6466">
        <w:t xml:space="preserve">B.; </w:t>
      </w:r>
      <w:r>
        <w:t xml:space="preserve">Turner, </w:t>
      </w:r>
      <w:r w:rsidR="00DF6466">
        <w:t xml:space="preserve">N. J. </w:t>
      </w:r>
      <w:r w:rsidRPr="00DF6466">
        <w:rPr>
          <w:i/>
        </w:rPr>
        <w:t>ChemCatChem</w:t>
      </w:r>
      <w:r>
        <w:t xml:space="preserve">, </w:t>
      </w:r>
      <w:r w:rsidRPr="00DF6466">
        <w:rPr>
          <w:b/>
        </w:rPr>
        <w:t>2013</w:t>
      </w:r>
      <w:r>
        <w:t xml:space="preserve">, </w:t>
      </w:r>
      <w:r w:rsidRPr="00DF6466">
        <w:rPr>
          <w:i/>
        </w:rPr>
        <w:t>6</w:t>
      </w:r>
      <w:r>
        <w:t>, 996</w:t>
      </w:r>
      <w:r w:rsidR="00BB7DA6">
        <w:t>-1002</w:t>
      </w:r>
      <w:r>
        <w:t>.</w:t>
      </w:r>
    </w:p>
    <w:p w:rsidR="00F01870" w:rsidRDefault="00F01870" w:rsidP="00B807D3">
      <w:pPr>
        <w:pStyle w:val="TFReferencesSection"/>
        <w:numPr>
          <w:ilvl w:val="0"/>
          <w:numId w:val="11"/>
        </w:numPr>
        <w:spacing w:after="240"/>
        <w:ind w:left="426" w:hanging="426"/>
      </w:pPr>
      <w:r>
        <w:t xml:space="preserve">For further details on docking simulations and on the docking of pyrroline </w:t>
      </w:r>
      <w:r w:rsidRPr="00DF6466">
        <w:rPr>
          <w:b/>
        </w:rPr>
        <w:t>10k</w:t>
      </w:r>
      <w:r>
        <w:t xml:space="preserve"> see the Supp. Info. </w:t>
      </w:r>
    </w:p>
    <w:p w:rsidR="00F01870" w:rsidRDefault="00F01870" w:rsidP="00B807D3">
      <w:pPr>
        <w:pStyle w:val="TFReferencesSection"/>
        <w:numPr>
          <w:ilvl w:val="0"/>
          <w:numId w:val="11"/>
        </w:numPr>
        <w:spacing w:after="240"/>
        <w:ind w:left="426" w:hanging="426"/>
      </w:pPr>
      <w:r>
        <w:t xml:space="preserve">Gaweska, </w:t>
      </w:r>
      <w:r w:rsidR="00DF6466">
        <w:t xml:space="preserve">H.; </w:t>
      </w:r>
      <w:r>
        <w:t xml:space="preserve">Fitzpatrick, </w:t>
      </w:r>
      <w:r w:rsidR="00DF6466">
        <w:t xml:space="preserve">P. F. </w:t>
      </w:r>
      <w:r w:rsidRPr="00DF6466">
        <w:rPr>
          <w:i/>
        </w:rPr>
        <w:t>Biomol. Concepts.</w:t>
      </w:r>
      <w:r w:rsidR="009C3B57">
        <w:rPr>
          <w:i/>
        </w:rPr>
        <w:t xml:space="preserve"> </w:t>
      </w:r>
      <w:r w:rsidRPr="00DF6466">
        <w:rPr>
          <w:b/>
        </w:rPr>
        <w:t>2011</w:t>
      </w:r>
      <w:r>
        <w:t xml:space="preserve">, </w:t>
      </w:r>
      <w:r w:rsidRPr="00DF6466">
        <w:rPr>
          <w:i/>
        </w:rPr>
        <w:t>2</w:t>
      </w:r>
      <w:r>
        <w:t>, 365–377.</w:t>
      </w:r>
    </w:p>
    <w:p w:rsidR="00F01870" w:rsidRDefault="00F01870" w:rsidP="00B807D3">
      <w:pPr>
        <w:pStyle w:val="TFReferencesSection"/>
        <w:numPr>
          <w:ilvl w:val="0"/>
          <w:numId w:val="11"/>
        </w:numPr>
        <w:spacing w:after="240"/>
        <w:ind w:left="426" w:hanging="426"/>
      </w:pPr>
      <w:r>
        <w:t xml:space="preserve">a) Kim, </w:t>
      </w:r>
      <w:r w:rsidR="00DF6466">
        <w:t xml:space="preserve">J.-M.; </w:t>
      </w:r>
      <w:r>
        <w:t xml:space="preserve">Bogdan, </w:t>
      </w:r>
      <w:r w:rsidR="00DF6466">
        <w:t xml:space="preserve">M. A.; </w:t>
      </w:r>
      <w:r>
        <w:t xml:space="preserve">Mariano, </w:t>
      </w:r>
      <w:r w:rsidR="00DF6466">
        <w:t xml:space="preserve">P. S. </w:t>
      </w:r>
      <w:r w:rsidRPr="00DF6466">
        <w:rPr>
          <w:i/>
        </w:rPr>
        <w:t>J. Am. Chem. Soc.</w:t>
      </w:r>
      <w:r w:rsidRPr="00DF6466">
        <w:rPr>
          <w:b/>
        </w:rPr>
        <w:t>1993</w:t>
      </w:r>
      <w:r>
        <w:t xml:space="preserve">, </w:t>
      </w:r>
      <w:r w:rsidRPr="00DF6466">
        <w:rPr>
          <w:i/>
        </w:rPr>
        <w:t>115</w:t>
      </w:r>
      <w:r>
        <w:t xml:space="preserve">, 10591–10595. b) Miller, </w:t>
      </w:r>
      <w:r w:rsidR="00DF6466">
        <w:t xml:space="preserve">J. R.; </w:t>
      </w:r>
      <w:r>
        <w:t xml:space="preserve">Edmondson, </w:t>
      </w:r>
      <w:r w:rsidR="007A43DC">
        <w:t xml:space="preserve">D. E. </w:t>
      </w:r>
      <w:r w:rsidRPr="007A43DC">
        <w:rPr>
          <w:i/>
        </w:rPr>
        <w:t>Biochemistry</w:t>
      </w:r>
      <w:r>
        <w:t xml:space="preserve">, </w:t>
      </w:r>
      <w:r w:rsidRPr="007A43DC">
        <w:rPr>
          <w:b/>
        </w:rPr>
        <w:t>1999</w:t>
      </w:r>
      <w:r>
        <w:t xml:space="preserve">, </w:t>
      </w:r>
      <w:r w:rsidRPr="007A43DC">
        <w:rPr>
          <w:i/>
        </w:rPr>
        <w:t>38</w:t>
      </w:r>
      <w:r>
        <w:t>, 13670–13683.</w:t>
      </w:r>
    </w:p>
    <w:p w:rsidR="00F01870" w:rsidRDefault="00F01870" w:rsidP="00B807D3">
      <w:pPr>
        <w:pStyle w:val="TFReferencesSection"/>
        <w:numPr>
          <w:ilvl w:val="0"/>
          <w:numId w:val="11"/>
        </w:numPr>
        <w:spacing w:after="240"/>
        <w:ind w:left="426" w:hanging="426"/>
      </w:pPr>
      <w:r>
        <w:t>For further details on the mechanism of action of MAO see Supp. Info.</w:t>
      </w:r>
    </w:p>
    <w:p w:rsidR="009C3B57" w:rsidRPr="009C3B57" w:rsidRDefault="009C3B57" w:rsidP="009C3B57">
      <w:pPr>
        <w:pStyle w:val="TFReferencesSection"/>
        <w:numPr>
          <w:ilvl w:val="0"/>
          <w:numId w:val="11"/>
        </w:numPr>
        <w:spacing w:after="240"/>
        <w:ind w:left="426" w:hanging="426"/>
        <w:rPr>
          <w:lang w:val="it-IT"/>
        </w:rPr>
      </w:pPr>
      <w:r>
        <w:t xml:space="preserve">a) Denard, C. A.; Hartwig, J. F.; Zhao, H. </w:t>
      </w:r>
      <w:r w:rsidRPr="007A43DC">
        <w:rPr>
          <w:i/>
        </w:rPr>
        <w:t>ACS Catal</w:t>
      </w:r>
      <w:r>
        <w:rPr>
          <w:i/>
        </w:rPr>
        <w:t xml:space="preserve">. </w:t>
      </w:r>
      <w:r w:rsidRPr="007A43DC">
        <w:rPr>
          <w:b/>
        </w:rPr>
        <w:t>2013</w:t>
      </w:r>
      <w:r>
        <w:t xml:space="preserve">, </w:t>
      </w:r>
      <w:r w:rsidRPr="007A43DC">
        <w:rPr>
          <w:i/>
        </w:rPr>
        <w:t>3</w:t>
      </w:r>
      <w:r>
        <w:t xml:space="preserve">, 2856-2864. b) Wang, Y.; Zhao, H. </w:t>
      </w:r>
      <w:r w:rsidRPr="009C3B57">
        <w:rPr>
          <w:i/>
        </w:rPr>
        <w:t>Catalysts</w:t>
      </w:r>
      <w:r>
        <w:t xml:space="preserve"> </w:t>
      </w:r>
      <w:r w:rsidRPr="009C3B57">
        <w:rPr>
          <w:b/>
        </w:rPr>
        <w:t>2016</w:t>
      </w:r>
      <w:r>
        <w:t xml:space="preserve">, </w:t>
      </w:r>
      <w:r w:rsidRPr="009C3B57">
        <w:rPr>
          <w:i/>
        </w:rPr>
        <w:t>6</w:t>
      </w:r>
      <w:r>
        <w:t>, 194. c) Palo-Nieto</w:t>
      </w:r>
      <w:r w:rsidRPr="009C3B57">
        <w:t>,</w:t>
      </w:r>
      <w:r>
        <w:t xml:space="preserve"> C.;</w:t>
      </w:r>
      <w:r w:rsidRPr="009C3B57">
        <w:t xml:space="preserve"> Afewe</w:t>
      </w:r>
      <w:r>
        <w:t>rki</w:t>
      </w:r>
      <w:r w:rsidRPr="009C3B57">
        <w:t xml:space="preserve">, </w:t>
      </w:r>
      <w:r>
        <w:t>S.; Anderson</w:t>
      </w:r>
      <w:r w:rsidRPr="009C3B57">
        <w:t>,</w:t>
      </w:r>
      <w:r>
        <w:t xml:space="preserve"> M.;</w:t>
      </w:r>
      <w:r w:rsidRPr="009C3B57">
        <w:t xml:space="preserve"> </w:t>
      </w:r>
      <w:r>
        <w:t>Tai</w:t>
      </w:r>
      <w:r w:rsidRPr="009C3B57">
        <w:t>,</w:t>
      </w:r>
      <w:r>
        <w:t xml:space="preserve"> C.-W.; Berglund</w:t>
      </w:r>
      <w:r w:rsidRPr="009C3B57">
        <w:t>,</w:t>
      </w:r>
      <w:r>
        <w:t xml:space="preserve"> P.;</w:t>
      </w:r>
      <w:r w:rsidRPr="009C3B57">
        <w:t xml:space="preserve"> </w:t>
      </w:r>
      <w:r>
        <w:t>Córdova, A.</w:t>
      </w:r>
      <w:r w:rsidRPr="009C3B57">
        <w:t xml:space="preserve"> </w:t>
      </w:r>
      <w:r w:rsidRPr="009C3B57">
        <w:rPr>
          <w:i/>
        </w:rPr>
        <w:t>ACS Catal</w:t>
      </w:r>
      <w:r>
        <w:rPr>
          <w:i/>
        </w:rPr>
        <w:t xml:space="preserve">. </w:t>
      </w:r>
      <w:r w:rsidRPr="009C3B57">
        <w:t xml:space="preserve"> </w:t>
      </w:r>
      <w:r w:rsidRPr="009C3B57">
        <w:rPr>
          <w:b/>
        </w:rPr>
        <w:t>2016</w:t>
      </w:r>
      <w:r w:rsidRPr="009C3B57">
        <w:t xml:space="preserve">, </w:t>
      </w:r>
      <w:r w:rsidRPr="009C3B57">
        <w:rPr>
          <w:i/>
        </w:rPr>
        <w:t>6</w:t>
      </w:r>
      <w:r>
        <w:t xml:space="preserve">, </w:t>
      </w:r>
      <w:r w:rsidRPr="009C3B57">
        <w:t>3932–3940</w:t>
      </w:r>
      <w:r>
        <w:t xml:space="preserve">. d) Díaz-Rodríguez, A.; Borzęcka, W.; Lavanderaand, I.; Gotor, V. </w:t>
      </w:r>
      <w:r w:rsidRPr="009C3B57">
        <w:rPr>
          <w:i/>
        </w:rPr>
        <w:t>ACS Catal.</w:t>
      </w:r>
      <w:r>
        <w:t xml:space="preserve"> </w:t>
      </w:r>
      <w:r w:rsidRPr="009C3B57">
        <w:rPr>
          <w:b/>
        </w:rPr>
        <w:t>2014</w:t>
      </w:r>
      <w:r>
        <w:t xml:space="preserve">, </w:t>
      </w:r>
      <w:r w:rsidRPr="009C3B57">
        <w:rPr>
          <w:i/>
        </w:rPr>
        <w:t>4</w:t>
      </w:r>
      <w:r>
        <w:t xml:space="preserve">, 386–393. e) García-Junceda, E.; Lavandera, I.; Rother, D.; Schrittwieser, J. H. </w:t>
      </w:r>
      <w:r w:rsidRPr="009C3B57">
        <w:t>J</w:t>
      </w:r>
      <w:r>
        <w:t>.</w:t>
      </w:r>
      <w:r w:rsidRPr="009C3B57">
        <w:t xml:space="preserve"> M</w:t>
      </w:r>
      <w:r>
        <w:t>ol.</w:t>
      </w:r>
      <w:r w:rsidRPr="009C3B57">
        <w:t xml:space="preserve"> C</w:t>
      </w:r>
      <w:r>
        <w:t>atal.</w:t>
      </w:r>
      <w:r w:rsidRPr="009C3B57">
        <w:t xml:space="preserve"> B-E</w:t>
      </w:r>
      <w:r>
        <w:t xml:space="preserve">nzym. </w:t>
      </w:r>
      <w:r w:rsidRPr="009C3B57">
        <w:rPr>
          <w:b/>
        </w:rPr>
        <w:t>2015</w:t>
      </w:r>
      <w:r>
        <w:t xml:space="preserve">, </w:t>
      </w:r>
      <w:r w:rsidRPr="009C3B57">
        <w:rPr>
          <w:i/>
        </w:rPr>
        <w:t>114</w:t>
      </w:r>
      <w:r>
        <w:t xml:space="preserve">, 1–6. f) </w:t>
      </w:r>
      <w:r w:rsidRPr="009C3B57">
        <w:rPr>
          <w:lang w:val="it-IT"/>
        </w:rPr>
        <w:t xml:space="preserve">Marcos, R.; Martin-Matute, B. </w:t>
      </w:r>
      <w:r w:rsidRPr="009C3B57">
        <w:rPr>
          <w:i/>
          <w:lang w:val="it-IT"/>
        </w:rPr>
        <w:t xml:space="preserve">Isr. J. Chem. </w:t>
      </w:r>
      <w:r w:rsidRPr="009C3B57">
        <w:rPr>
          <w:b/>
          <w:lang w:val="it-IT"/>
        </w:rPr>
        <w:t>2012</w:t>
      </w:r>
      <w:r w:rsidRPr="009C3B57">
        <w:rPr>
          <w:lang w:val="it-IT"/>
        </w:rPr>
        <w:t xml:space="preserve">, </w:t>
      </w:r>
      <w:r w:rsidRPr="009C3B57">
        <w:rPr>
          <w:i/>
          <w:lang w:val="it-IT"/>
        </w:rPr>
        <w:t>52</w:t>
      </w:r>
      <w:r w:rsidRPr="009C3B57">
        <w:rPr>
          <w:lang w:val="it-IT"/>
        </w:rPr>
        <w:t>, 639 – 652</w:t>
      </w:r>
      <w:r>
        <w:rPr>
          <w:lang w:val="it-IT"/>
        </w:rPr>
        <w:t>.</w:t>
      </w:r>
      <w:r>
        <w:t xml:space="preserve"> </w:t>
      </w:r>
    </w:p>
    <w:p w:rsidR="00F01870" w:rsidRDefault="00F01870" w:rsidP="00B807D3">
      <w:pPr>
        <w:pStyle w:val="TFReferencesSection"/>
        <w:numPr>
          <w:ilvl w:val="0"/>
          <w:numId w:val="11"/>
        </w:numPr>
        <w:spacing w:after="240"/>
        <w:ind w:left="426" w:hanging="426"/>
      </w:pPr>
      <w:r>
        <w:t xml:space="preserve">a) Tomasek, </w:t>
      </w:r>
      <w:r w:rsidR="007A43DC">
        <w:t xml:space="preserve">J.; </w:t>
      </w:r>
      <w:r>
        <w:t xml:space="preserve">Schatz, </w:t>
      </w:r>
      <w:r w:rsidR="007A43DC">
        <w:t xml:space="preserve">J. </w:t>
      </w:r>
      <w:r w:rsidRPr="007A43DC">
        <w:rPr>
          <w:i/>
        </w:rPr>
        <w:t>Green Chem.</w:t>
      </w:r>
      <w:r w:rsidRPr="007A43DC">
        <w:rPr>
          <w:b/>
        </w:rPr>
        <w:t>2013</w:t>
      </w:r>
      <w:r>
        <w:t xml:space="preserve">, </w:t>
      </w:r>
      <w:r w:rsidRPr="007A43DC">
        <w:rPr>
          <w:i/>
        </w:rPr>
        <w:t>15</w:t>
      </w:r>
      <w:r>
        <w:t>, 2317</w:t>
      </w:r>
      <w:r w:rsidR="00BB7DA6">
        <w:t>-2338</w:t>
      </w:r>
      <w:r>
        <w:t xml:space="preserve">. b) Binder, </w:t>
      </w:r>
      <w:r w:rsidR="007A43DC">
        <w:t xml:space="preserve">J. B.; </w:t>
      </w:r>
      <w:r>
        <w:t xml:space="preserve">Blank, </w:t>
      </w:r>
      <w:r w:rsidR="007A43DC">
        <w:t xml:space="preserve">J. J.; </w:t>
      </w:r>
      <w:r>
        <w:t xml:space="preserve">Raines, </w:t>
      </w:r>
      <w:r w:rsidR="007A43DC">
        <w:t xml:space="preserve">R. T. </w:t>
      </w:r>
      <w:r w:rsidRPr="007A43DC">
        <w:rPr>
          <w:i/>
        </w:rPr>
        <w:t>Org. Lett.</w:t>
      </w:r>
      <w:r w:rsidRPr="007A43DC">
        <w:rPr>
          <w:b/>
        </w:rPr>
        <w:t>2007</w:t>
      </w:r>
      <w:r>
        <w:t xml:space="preserve">, </w:t>
      </w:r>
      <w:r w:rsidRPr="007A43DC">
        <w:rPr>
          <w:i/>
        </w:rPr>
        <w:t>9</w:t>
      </w:r>
      <w:r>
        <w:t>, 4885–4888</w:t>
      </w:r>
    </w:p>
    <w:p w:rsidR="00F01870" w:rsidRDefault="00F01870" w:rsidP="00B807D3">
      <w:pPr>
        <w:pStyle w:val="TFReferencesSection"/>
        <w:numPr>
          <w:ilvl w:val="0"/>
          <w:numId w:val="11"/>
        </w:numPr>
        <w:spacing w:after="240"/>
        <w:ind w:left="426" w:hanging="426"/>
      </w:pPr>
      <w:r>
        <w:t xml:space="preserve">a) Denard, </w:t>
      </w:r>
      <w:r w:rsidR="007A43DC">
        <w:t xml:space="preserve">C. A.; </w:t>
      </w:r>
      <w:r>
        <w:t xml:space="preserve">Bartlett, </w:t>
      </w:r>
      <w:r w:rsidR="007A43DC">
        <w:t xml:space="preserve">M. J.; </w:t>
      </w:r>
      <w:r>
        <w:t xml:space="preserve">Wang, </w:t>
      </w:r>
      <w:r w:rsidR="007A43DC">
        <w:t xml:space="preserve">Y.; </w:t>
      </w:r>
      <w:r>
        <w:t xml:space="preserve">Lu, </w:t>
      </w:r>
      <w:r w:rsidR="007A43DC">
        <w:t xml:space="preserve">L.; </w:t>
      </w:r>
      <w:r>
        <w:t xml:space="preserve">Hartwig, </w:t>
      </w:r>
      <w:r w:rsidR="007A43DC">
        <w:t xml:space="preserve">J. F.; </w:t>
      </w:r>
      <w:r>
        <w:t xml:space="preserve">Zhao, </w:t>
      </w:r>
      <w:r w:rsidR="007A43DC">
        <w:t xml:space="preserve">H. </w:t>
      </w:r>
      <w:r w:rsidRPr="007A43DC">
        <w:rPr>
          <w:i/>
        </w:rPr>
        <w:t>ACS Catal.</w:t>
      </w:r>
      <w:r w:rsidRPr="007A43DC">
        <w:rPr>
          <w:b/>
        </w:rPr>
        <w:t>2015</w:t>
      </w:r>
      <w:r>
        <w:t xml:space="preserve">, </w:t>
      </w:r>
      <w:r w:rsidRPr="007A43DC">
        <w:rPr>
          <w:i/>
        </w:rPr>
        <w:t>5</w:t>
      </w:r>
      <w:r>
        <w:t xml:space="preserve">, 3817–3822. b) Denard, </w:t>
      </w:r>
      <w:r w:rsidR="007A43DC">
        <w:t xml:space="preserve">C. A.; </w:t>
      </w:r>
      <w:r>
        <w:t xml:space="preserve">Huang, </w:t>
      </w:r>
      <w:r w:rsidR="007A43DC">
        <w:t xml:space="preserve">H.; </w:t>
      </w:r>
      <w:r>
        <w:t xml:space="preserve">Bartlett, </w:t>
      </w:r>
      <w:r w:rsidR="007A43DC">
        <w:t xml:space="preserve">M. J.; </w:t>
      </w:r>
      <w:r>
        <w:t xml:space="preserve">Lu, </w:t>
      </w:r>
      <w:r w:rsidR="007A43DC">
        <w:t xml:space="preserve">L.; </w:t>
      </w:r>
      <w:r>
        <w:t xml:space="preserve">Tan, </w:t>
      </w:r>
      <w:r w:rsidR="007A43DC">
        <w:t xml:space="preserve">Y.; </w:t>
      </w:r>
      <w:r>
        <w:t xml:space="preserve">Zhao, </w:t>
      </w:r>
      <w:r w:rsidR="007A43DC">
        <w:t xml:space="preserve">H.; </w:t>
      </w:r>
      <w:r>
        <w:t xml:space="preserve">Hartwig, </w:t>
      </w:r>
      <w:r w:rsidR="007A43DC">
        <w:t xml:space="preserve">J. F. </w:t>
      </w:r>
      <w:r w:rsidRPr="007A43DC">
        <w:rPr>
          <w:i/>
        </w:rPr>
        <w:t>Angew. Chem. Int. Ed.</w:t>
      </w:r>
      <w:r w:rsidRPr="007A43DC">
        <w:rPr>
          <w:b/>
        </w:rPr>
        <w:t>2014</w:t>
      </w:r>
      <w:r>
        <w:t xml:space="preserve">, </w:t>
      </w:r>
      <w:r w:rsidRPr="007A43DC">
        <w:rPr>
          <w:i/>
        </w:rPr>
        <w:t>53</w:t>
      </w:r>
      <w:r>
        <w:t xml:space="preserve">, 465–469. </w:t>
      </w:r>
    </w:p>
    <w:p w:rsidR="00F01870" w:rsidRDefault="00F01870" w:rsidP="00B807D3">
      <w:pPr>
        <w:pStyle w:val="TFReferencesSection"/>
        <w:numPr>
          <w:ilvl w:val="0"/>
          <w:numId w:val="11"/>
        </w:numPr>
        <w:spacing w:after="240"/>
        <w:ind w:left="426" w:hanging="426"/>
      </w:pPr>
      <w:r>
        <w:t xml:space="preserve">Fu, </w:t>
      </w:r>
      <w:r w:rsidR="007A43DC">
        <w:t xml:space="preserve">G. C.; </w:t>
      </w:r>
      <w:r>
        <w:t xml:space="preserve">Grubbs, </w:t>
      </w:r>
      <w:r w:rsidR="007A43DC">
        <w:t xml:space="preserve">R. H. </w:t>
      </w:r>
      <w:r w:rsidRPr="007A43DC">
        <w:rPr>
          <w:i/>
        </w:rPr>
        <w:t>J. Am. Chem. Soc.</w:t>
      </w:r>
      <w:r w:rsidRPr="007A43DC">
        <w:rPr>
          <w:b/>
        </w:rPr>
        <w:t>1992</w:t>
      </w:r>
      <w:r>
        <w:t xml:space="preserve">, </w:t>
      </w:r>
      <w:r w:rsidRPr="007A43DC">
        <w:rPr>
          <w:i/>
        </w:rPr>
        <w:t>114</w:t>
      </w:r>
      <w:r>
        <w:t>, 7324–7325.</w:t>
      </w:r>
    </w:p>
    <w:p w:rsidR="00F01870" w:rsidRDefault="00F01870" w:rsidP="00B807D3">
      <w:pPr>
        <w:pStyle w:val="TFReferencesSection"/>
        <w:numPr>
          <w:ilvl w:val="0"/>
          <w:numId w:val="11"/>
        </w:numPr>
        <w:spacing w:after="240"/>
        <w:ind w:left="426" w:hanging="426"/>
      </w:pPr>
      <w:r>
        <w:t xml:space="preserve">Jefford, </w:t>
      </w:r>
      <w:r w:rsidR="007A43DC">
        <w:t xml:space="preserve">C. W.; </w:t>
      </w:r>
      <w:r>
        <w:t xml:space="preserve">Sienkiewicz, </w:t>
      </w:r>
      <w:r w:rsidR="007A43DC">
        <w:t xml:space="preserve">K.; </w:t>
      </w:r>
      <w:r>
        <w:t xml:space="preserve">Thornton, </w:t>
      </w:r>
      <w:r w:rsidR="007A43DC">
        <w:t xml:space="preserve">S. R. </w:t>
      </w:r>
      <w:r w:rsidRPr="007A43DC">
        <w:rPr>
          <w:i/>
        </w:rPr>
        <w:t>Helv. Chim. Acta</w:t>
      </w:r>
      <w:r w:rsidR="00FF2C0D">
        <w:rPr>
          <w:i/>
        </w:rPr>
        <w:t xml:space="preserve"> </w:t>
      </w:r>
      <w:r w:rsidRPr="007A43DC">
        <w:rPr>
          <w:b/>
        </w:rPr>
        <w:t>1995</w:t>
      </w:r>
      <w:r>
        <w:t xml:space="preserve">, </w:t>
      </w:r>
      <w:r w:rsidRPr="007A43DC">
        <w:rPr>
          <w:i/>
        </w:rPr>
        <w:t>78</w:t>
      </w:r>
      <w:r>
        <w:t>, 1511–1524</w:t>
      </w:r>
    </w:p>
    <w:p w:rsidR="00F01870" w:rsidRDefault="009B435D" w:rsidP="00B807D3">
      <w:pPr>
        <w:pStyle w:val="TFReferencesSection"/>
        <w:numPr>
          <w:ilvl w:val="0"/>
          <w:numId w:val="11"/>
        </w:numPr>
        <w:spacing w:after="240"/>
        <w:ind w:left="426" w:hanging="426"/>
      </w:pPr>
      <w:r>
        <w:t>Ondrus</w:t>
      </w:r>
      <w:r w:rsidR="00F01870">
        <w:t xml:space="preserve">, </w:t>
      </w:r>
      <w:r w:rsidR="007A43DC">
        <w:t xml:space="preserve">A. E.; </w:t>
      </w:r>
      <w:r w:rsidR="00F01870">
        <w:t xml:space="preserve">Movassaghi, </w:t>
      </w:r>
      <w:r w:rsidR="007A43DC">
        <w:t xml:space="preserve">M. </w:t>
      </w:r>
      <w:r w:rsidR="00F01870" w:rsidRPr="007A43DC">
        <w:rPr>
          <w:i/>
        </w:rPr>
        <w:t>Chem. Commun.</w:t>
      </w:r>
      <w:r>
        <w:rPr>
          <w:i/>
        </w:rPr>
        <w:t xml:space="preserve"> </w:t>
      </w:r>
      <w:r w:rsidR="00F01870" w:rsidRPr="007A43DC">
        <w:rPr>
          <w:b/>
        </w:rPr>
        <w:t>2009</w:t>
      </w:r>
      <w:r w:rsidR="00F01870">
        <w:t>, 4151-4165.</w:t>
      </w:r>
    </w:p>
    <w:p w:rsidR="009246AD" w:rsidRDefault="009246AD" w:rsidP="00FF2D4B">
      <w:pPr>
        <w:pStyle w:val="TFReferencesSection"/>
        <w:spacing w:after="240" w:line="360" w:lineRule="auto"/>
        <w:ind w:left="450" w:firstLine="720"/>
        <w:jc w:val="left"/>
      </w:pPr>
    </w:p>
    <w:p w:rsidR="00C66D35" w:rsidRDefault="00C66D35" w:rsidP="000B5610">
      <w:pPr>
        <w:pStyle w:val="SNSynopsisTOC"/>
        <w:spacing w:after="240"/>
        <w:jc w:val="left"/>
      </w:pPr>
    </w:p>
    <w:p w:rsidR="00C66D35" w:rsidRDefault="00C66D35" w:rsidP="000B5610">
      <w:pPr>
        <w:pStyle w:val="SNSynopsisTOC"/>
        <w:spacing w:after="240"/>
        <w:jc w:val="left"/>
      </w:pPr>
    </w:p>
    <w:p w:rsidR="00C66D35" w:rsidRDefault="00C66D35" w:rsidP="000B5610">
      <w:pPr>
        <w:pStyle w:val="SNSynopsisTOC"/>
        <w:spacing w:after="240"/>
        <w:jc w:val="left"/>
      </w:pPr>
    </w:p>
    <w:p w:rsidR="00C66D35" w:rsidRDefault="00C66D35" w:rsidP="000B5610">
      <w:pPr>
        <w:pStyle w:val="SNSynopsisTOC"/>
        <w:spacing w:after="240"/>
        <w:jc w:val="left"/>
      </w:pPr>
    </w:p>
    <w:p w:rsidR="00C66D35" w:rsidRDefault="00C66D35" w:rsidP="000B5610">
      <w:pPr>
        <w:pStyle w:val="SNSynopsisTOC"/>
        <w:spacing w:after="240"/>
        <w:jc w:val="left"/>
      </w:pPr>
    </w:p>
    <w:p w:rsidR="00C66D35" w:rsidRDefault="00C66D35" w:rsidP="000B5610">
      <w:pPr>
        <w:pStyle w:val="SNSynopsisTOC"/>
        <w:spacing w:after="240"/>
        <w:jc w:val="left"/>
      </w:pPr>
    </w:p>
    <w:p w:rsidR="009246AD" w:rsidRDefault="009246AD" w:rsidP="000B5610">
      <w:pPr>
        <w:pStyle w:val="SNSynopsisTOC"/>
        <w:spacing w:after="240"/>
        <w:jc w:val="left"/>
      </w:pPr>
      <w:r>
        <w:t xml:space="preserve">SYNOPSIS </w:t>
      </w:r>
    </w:p>
    <w:p w:rsidR="00F01870" w:rsidRDefault="00D60449" w:rsidP="000B5610">
      <w:pPr>
        <w:pStyle w:val="SNSynopsisTOC"/>
        <w:spacing w:after="240"/>
        <w:jc w:val="left"/>
      </w:pPr>
      <w:r>
        <w:object w:dxaOrig="6479" w:dyaOrig="4312">
          <v:shape id="_x0000_i1041" type="#_x0000_t75" style="width:200.25pt;height:133.5pt" o:ole="">
            <v:imagedata r:id="rId37" o:title=""/>
          </v:shape>
          <o:OLEObject Type="Embed" ProgID="ChemDraw.Document.6.0" ShapeID="_x0000_i1041" DrawAspect="Content" ObjectID="_1581246317" r:id="rId38"/>
        </w:object>
      </w:r>
    </w:p>
    <w:sectPr w:rsidR="00F01870" w:rsidSect="000B5610">
      <w:footerReference w:type="even" r:id="rId39"/>
      <w:footerReference w:type="default" r:id="rId40"/>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A3C" w:rsidRDefault="00E64A3C">
      <w:r>
        <w:separator/>
      </w:r>
    </w:p>
  </w:endnote>
  <w:endnote w:type="continuationSeparator" w:id="0">
    <w:p w:rsidR="00E64A3C" w:rsidRDefault="00E64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D0F" w:rsidRDefault="001E2FF1">
    <w:pPr>
      <w:pStyle w:val="Footer"/>
      <w:framePr w:wrap="around" w:vAnchor="text" w:hAnchor="margin" w:xAlign="right" w:y="1"/>
      <w:rPr>
        <w:rStyle w:val="PageNumber"/>
      </w:rPr>
    </w:pPr>
    <w:r>
      <w:rPr>
        <w:rStyle w:val="PageNumber"/>
      </w:rPr>
      <w:fldChar w:fldCharType="begin"/>
    </w:r>
    <w:r w:rsidR="00B65D0F">
      <w:rPr>
        <w:rStyle w:val="PageNumber"/>
      </w:rPr>
      <w:instrText xml:space="preserve">PAGE  </w:instrText>
    </w:r>
    <w:r>
      <w:rPr>
        <w:rStyle w:val="PageNumber"/>
      </w:rPr>
      <w:fldChar w:fldCharType="separate"/>
    </w:r>
    <w:r w:rsidR="00B65D0F">
      <w:rPr>
        <w:rStyle w:val="PageNumber"/>
        <w:noProof/>
      </w:rPr>
      <w:t>1</w:t>
    </w:r>
    <w:r>
      <w:rPr>
        <w:rStyle w:val="PageNumber"/>
      </w:rPr>
      <w:fldChar w:fldCharType="end"/>
    </w:r>
  </w:p>
  <w:p w:rsidR="00B65D0F" w:rsidRDefault="00B65D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D0F" w:rsidRDefault="001E2FF1">
    <w:pPr>
      <w:pStyle w:val="Footer"/>
      <w:framePr w:wrap="around" w:vAnchor="text" w:hAnchor="margin" w:xAlign="right" w:y="1"/>
      <w:rPr>
        <w:rStyle w:val="PageNumber"/>
      </w:rPr>
    </w:pPr>
    <w:r>
      <w:rPr>
        <w:rStyle w:val="PageNumber"/>
      </w:rPr>
      <w:fldChar w:fldCharType="begin"/>
    </w:r>
    <w:r w:rsidR="00B65D0F">
      <w:rPr>
        <w:rStyle w:val="PageNumber"/>
      </w:rPr>
      <w:instrText xml:space="preserve">PAGE  </w:instrText>
    </w:r>
    <w:r>
      <w:rPr>
        <w:rStyle w:val="PageNumber"/>
      </w:rPr>
      <w:fldChar w:fldCharType="separate"/>
    </w:r>
    <w:r w:rsidR="00591365">
      <w:rPr>
        <w:rStyle w:val="PageNumber"/>
        <w:noProof/>
      </w:rPr>
      <w:t>1</w:t>
    </w:r>
    <w:r>
      <w:rPr>
        <w:rStyle w:val="PageNumber"/>
      </w:rPr>
      <w:fldChar w:fldCharType="end"/>
    </w:r>
  </w:p>
  <w:p w:rsidR="00B65D0F" w:rsidRDefault="00B65D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A3C" w:rsidRDefault="00E64A3C">
      <w:r>
        <w:separator/>
      </w:r>
    </w:p>
  </w:footnote>
  <w:footnote w:type="continuationSeparator" w:id="0">
    <w:p w:rsidR="00E64A3C" w:rsidRDefault="00E64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3016DD2"/>
    <w:multiLevelType w:val="hybridMultilevel"/>
    <w:tmpl w:val="EF82D0D2"/>
    <w:lvl w:ilvl="0" w:tplc="B7CCB400">
      <w:start w:val="1"/>
      <w:numFmt w:val="decimal"/>
      <w:lvlText w:val="%1"/>
      <w:lvlJc w:val="left"/>
      <w:pPr>
        <w:ind w:left="727" w:hanging="540"/>
      </w:pPr>
      <w:rPr>
        <w:rFonts w:hint="default"/>
      </w:rPr>
    </w:lvl>
    <w:lvl w:ilvl="1" w:tplc="08090019" w:tentative="1">
      <w:start w:val="1"/>
      <w:numFmt w:val="lowerLetter"/>
      <w:lvlText w:val="%2."/>
      <w:lvlJc w:val="left"/>
      <w:pPr>
        <w:ind w:left="1267" w:hanging="360"/>
      </w:pPr>
    </w:lvl>
    <w:lvl w:ilvl="2" w:tplc="0809001B" w:tentative="1">
      <w:start w:val="1"/>
      <w:numFmt w:val="lowerRoman"/>
      <w:lvlText w:val="%3."/>
      <w:lvlJc w:val="right"/>
      <w:pPr>
        <w:ind w:left="1987" w:hanging="180"/>
      </w:pPr>
    </w:lvl>
    <w:lvl w:ilvl="3" w:tplc="0809000F" w:tentative="1">
      <w:start w:val="1"/>
      <w:numFmt w:val="decimal"/>
      <w:lvlText w:val="%4."/>
      <w:lvlJc w:val="left"/>
      <w:pPr>
        <w:ind w:left="2707" w:hanging="360"/>
      </w:pPr>
    </w:lvl>
    <w:lvl w:ilvl="4" w:tplc="08090019" w:tentative="1">
      <w:start w:val="1"/>
      <w:numFmt w:val="lowerLetter"/>
      <w:lvlText w:val="%5."/>
      <w:lvlJc w:val="left"/>
      <w:pPr>
        <w:ind w:left="3427" w:hanging="360"/>
      </w:pPr>
    </w:lvl>
    <w:lvl w:ilvl="5" w:tplc="0809001B" w:tentative="1">
      <w:start w:val="1"/>
      <w:numFmt w:val="lowerRoman"/>
      <w:lvlText w:val="%6."/>
      <w:lvlJc w:val="right"/>
      <w:pPr>
        <w:ind w:left="4147" w:hanging="180"/>
      </w:pPr>
    </w:lvl>
    <w:lvl w:ilvl="6" w:tplc="0809000F" w:tentative="1">
      <w:start w:val="1"/>
      <w:numFmt w:val="decimal"/>
      <w:lvlText w:val="%7."/>
      <w:lvlJc w:val="left"/>
      <w:pPr>
        <w:ind w:left="4867" w:hanging="360"/>
      </w:pPr>
    </w:lvl>
    <w:lvl w:ilvl="7" w:tplc="08090019" w:tentative="1">
      <w:start w:val="1"/>
      <w:numFmt w:val="lowerLetter"/>
      <w:lvlText w:val="%8."/>
      <w:lvlJc w:val="left"/>
      <w:pPr>
        <w:ind w:left="5587" w:hanging="360"/>
      </w:pPr>
    </w:lvl>
    <w:lvl w:ilvl="8" w:tplc="0809001B" w:tentative="1">
      <w:start w:val="1"/>
      <w:numFmt w:val="lowerRoman"/>
      <w:lvlText w:val="%9."/>
      <w:lvlJc w:val="right"/>
      <w:pPr>
        <w:ind w:left="6307" w:hanging="180"/>
      </w:p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50A91B04"/>
    <w:multiLevelType w:val="hybridMultilevel"/>
    <w:tmpl w:val="5B3C6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8"/>
  </w:num>
  <w:num w:numId="5">
    <w:abstractNumId w:val="6"/>
  </w:num>
  <w:num w:numId="6">
    <w:abstractNumId w:val="4"/>
  </w:num>
  <w:num w:numId="7">
    <w:abstractNumId w:val="3"/>
  </w:num>
  <w:num w:numId="8">
    <w:abstractNumId w:val="1"/>
  </w:num>
  <w:num w:numId="9">
    <w:abstractNumId w:val="0"/>
  </w:num>
  <w:num w:numId="10">
    <w:abstractNumId w:val="2"/>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753C9"/>
    <w:rsid w:val="000002F2"/>
    <w:rsid w:val="00032B7F"/>
    <w:rsid w:val="0004192D"/>
    <w:rsid w:val="00050A3D"/>
    <w:rsid w:val="0005660F"/>
    <w:rsid w:val="000702AD"/>
    <w:rsid w:val="00090354"/>
    <w:rsid w:val="000B2EEB"/>
    <w:rsid w:val="000B5610"/>
    <w:rsid w:val="000C05CC"/>
    <w:rsid w:val="001118EA"/>
    <w:rsid w:val="00195ACA"/>
    <w:rsid w:val="001A192C"/>
    <w:rsid w:val="001A7A90"/>
    <w:rsid w:val="001C4C31"/>
    <w:rsid w:val="001E2FF1"/>
    <w:rsid w:val="001E7AB8"/>
    <w:rsid w:val="00212B1D"/>
    <w:rsid w:val="00214168"/>
    <w:rsid w:val="00260741"/>
    <w:rsid w:val="00271A02"/>
    <w:rsid w:val="00297C96"/>
    <w:rsid w:val="002A7493"/>
    <w:rsid w:val="002B4405"/>
    <w:rsid w:val="002C3431"/>
    <w:rsid w:val="002D26BF"/>
    <w:rsid w:val="0031373B"/>
    <w:rsid w:val="00324128"/>
    <w:rsid w:val="003412E0"/>
    <w:rsid w:val="00361E35"/>
    <w:rsid w:val="003664E9"/>
    <w:rsid w:val="003679A1"/>
    <w:rsid w:val="00384454"/>
    <w:rsid w:val="003A42F0"/>
    <w:rsid w:val="003B4AF3"/>
    <w:rsid w:val="003E1F76"/>
    <w:rsid w:val="00475FD2"/>
    <w:rsid w:val="004833F7"/>
    <w:rsid w:val="004E283C"/>
    <w:rsid w:val="004E7185"/>
    <w:rsid w:val="005137AB"/>
    <w:rsid w:val="005553EF"/>
    <w:rsid w:val="00567E81"/>
    <w:rsid w:val="00573E44"/>
    <w:rsid w:val="00591365"/>
    <w:rsid w:val="00591A57"/>
    <w:rsid w:val="005C623A"/>
    <w:rsid w:val="005D0C10"/>
    <w:rsid w:val="00631A1E"/>
    <w:rsid w:val="006455A5"/>
    <w:rsid w:val="006508DE"/>
    <w:rsid w:val="00683131"/>
    <w:rsid w:val="006A3E34"/>
    <w:rsid w:val="006B21F0"/>
    <w:rsid w:val="006B2581"/>
    <w:rsid w:val="006E0D2C"/>
    <w:rsid w:val="006E360A"/>
    <w:rsid w:val="006F0758"/>
    <w:rsid w:val="006F37BA"/>
    <w:rsid w:val="006F6560"/>
    <w:rsid w:val="007000D9"/>
    <w:rsid w:val="00747701"/>
    <w:rsid w:val="007629D3"/>
    <w:rsid w:val="00794616"/>
    <w:rsid w:val="007A11AD"/>
    <w:rsid w:val="007A43DC"/>
    <w:rsid w:val="007B428D"/>
    <w:rsid w:val="008047DE"/>
    <w:rsid w:val="008236A4"/>
    <w:rsid w:val="008633FA"/>
    <w:rsid w:val="008655C0"/>
    <w:rsid w:val="008D30F9"/>
    <w:rsid w:val="008D53B2"/>
    <w:rsid w:val="00902B11"/>
    <w:rsid w:val="00912169"/>
    <w:rsid w:val="0092037A"/>
    <w:rsid w:val="009246AD"/>
    <w:rsid w:val="009630FD"/>
    <w:rsid w:val="00994371"/>
    <w:rsid w:val="009B435D"/>
    <w:rsid w:val="009C3B57"/>
    <w:rsid w:val="009F2E7E"/>
    <w:rsid w:val="00A02D62"/>
    <w:rsid w:val="00A20EB5"/>
    <w:rsid w:val="00A764EF"/>
    <w:rsid w:val="00AA1187"/>
    <w:rsid w:val="00AB34C5"/>
    <w:rsid w:val="00AF4F6D"/>
    <w:rsid w:val="00AF528B"/>
    <w:rsid w:val="00AF7F6A"/>
    <w:rsid w:val="00B05A88"/>
    <w:rsid w:val="00B44641"/>
    <w:rsid w:val="00B65D0F"/>
    <w:rsid w:val="00B7618D"/>
    <w:rsid w:val="00B807D3"/>
    <w:rsid w:val="00BB7DA6"/>
    <w:rsid w:val="00BD2C44"/>
    <w:rsid w:val="00C10EE0"/>
    <w:rsid w:val="00C110EB"/>
    <w:rsid w:val="00C12556"/>
    <w:rsid w:val="00C36A41"/>
    <w:rsid w:val="00C6170A"/>
    <w:rsid w:val="00C66D35"/>
    <w:rsid w:val="00C76841"/>
    <w:rsid w:val="00CA651E"/>
    <w:rsid w:val="00CD3328"/>
    <w:rsid w:val="00D318E5"/>
    <w:rsid w:val="00D32AA0"/>
    <w:rsid w:val="00D32E24"/>
    <w:rsid w:val="00D514DF"/>
    <w:rsid w:val="00D60449"/>
    <w:rsid w:val="00D9630B"/>
    <w:rsid w:val="00DD6DBB"/>
    <w:rsid w:val="00DF6466"/>
    <w:rsid w:val="00E0299B"/>
    <w:rsid w:val="00E074F2"/>
    <w:rsid w:val="00E64A3C"/>
    <w:rsid w:val="00E753C9"/>
    <w:rsid w:val="00E91482"/>
    <w:rsid w:val="00E96302"/>
    <w:rsid w:val="00EC37FC"/>
    <w:rsid w:val="00EC7F93"/>
    <w:rsid w:val="00EF489E"/>
    <w:rsid w:val="00F01870"/>
    <w:rsid w:val="00F134F5"/>
    <w:rsid w:val="00F254FE"/>
    <w:rsid w:val="00F47B85"/>
    <w:rsid w:val="00F54BDD"/>
    <w:rsid w:val="00F5645C"/>
    <w:rsid w:val="00F63DD5"/>
    <w:rsid w:val="00F8137E"/>
    <w:rsid w:val="00F90CEE"/>
    <w:rsid w:val="00FE6219"/>
    <w:rsid w:val="00FF2C0D"/>
    <w:rsid w:val="00FF2D4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6F4260E5-5805-48ED-B407-8BDCFD119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758"/>
    <w:pPr>
      <w:spacing w:after="200"/>
      <w:jc w:val="both"/>
    </w:pPr>
    <w:rPr>
      <w:rFonts w:ascii="Times" w:hAnsi="Times"/>
      <w:sz w:val="24"/>
    </w:rPr>
  </w:style>
  <w:style w:type="paragraph" w:styleId="Heading1">
    <w:name w:val="heading 1"/>
    <w:basedOn w:val="Normal"/>
    <w:next w:val="Normal"/>
    <w:link w:val="Heading1Char"/>
    <w:qFormat/>
    <w:rsid w:val="00F63D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F0758"/>
    <w:rPr>
      <w:color w:val="800080"/>
      <w:u w:val="single"/>
    </w:rPr>
  </w:style>
  <w:style w:type="paragraph" w:styleId="BodyText">
    <w:name w:val="Body Text"/>
    <w:basedOn w:val="Normal"/>
    <w:rsid w:val="006F0758"/>
    <w:pPr>
      <w:jc w:val="center"/>
    </w:pPr>
    <w:rPr>
      <w:b/>
      <w:sz w:val="40"/>
    </w:rPr>
  </w:style>
  <w:style w:type="paragraph" w:styleId="FootnoteText">
    <w:name w:val="footnote text"/>
    <w:basedOn w:val="Normal"/>
    <w:next w:val="TFReferencesSection"/>
    <w:semiHidden/>
    <w:rsid w:val="006F0758"/>
  </w:style>
  <w:style w:type="paragraph" w:customStyle="1" w:styleId="TFReferencesSection">
    <w:name w:val="TF_References_Section"/>
    <w:basedOn w:val="Normal"/>
    <w:rsid w:val="006F0758"/>
    <w:pPr>
      <w:spacing w:line="480" w:lineRule="auto"/>
      <w:ind w:firstLine="187"/>
    </w:pPr>
  </w:style>
  <w:style w:type="paragraph" w:customStyle="1" w:styleId="TAMainText">
    <w:name w:val="TA_Main_Text"/>
    <w:basedOn w:val="Normal"/>
    <w:rsid w:val="006F0758"/>
    <w:pPr>
      <w:spacing w:after="0" w:line="480" w:lineRule="auto"/>
      <w:ind w:firstLine="202"/>
    </w:pPr>
  </w:style>
  <w:style w:type="paragraph" w:customStyle="1" w:styleId="BATitle">
    <w:name w:val="BA_Title"/>
    <w:basedOn w:val="Normal"/>
    <w:next w:val="BBAuthorName"/>
    <w:rsid w:val="006F0758"/>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6F0758"/>
    <w:pPr>
      <w:spacing w:after="240" w:line="480" w:lineRule="auto"/>
      <w:jc w:val="center"/>
    </w:pPr>
    <w:rPr>
      <w:i/>
    </w:rPr>
  </w:style>
  <w:style w:type="paragraph" w:customStyle="1" w:styleId="BCAuthorAddress">
    <w:name w:val="BC_Author_Address"/>
    <w:basedOn w:val="Normal"/>
    <w:next w:val="BIEmailAddress"/>
    <w:rsid w:val="006F0758"/>
    <w:pPr>
      <w:spacing w:after="240" w:line="480" w:lineRule="auto"/>
      <w:jc w:val="center"/>
    </w:pPr>
  </w:style>
  <w:style w:type="paragraph" w:customStyle="1" w:styleId="BIEmailAddress">
    <w:name w:val="BI_Email_Address"/>
    <w:basedOn w:val="Normal"/>
    <w:next w:val="AIReceivedDate"/>
    <w:rsid w:val="006F0758"/>
    <w:pPr>
      <w:spacing w:line="480" w:lineRule="auto"/>
    </w:pPr>
  </w:style>
  <w:style w:type="paragraph" w:customStyle="1" w:styleId="AIReceivedDate">
    <w:name w:val="AI_Received_Date"/>
    <w:basedOn w:val="Normal"/>
    <w:next w:val="BDAbstract"/>
    <w:rsid w:val="006F0758"/>
    <w:pPr>
      <w:spacing w:after="240" w:line="480" w:lineRule="auto"/>
    </w:pPr>
    <w:rPr>
      <w:b/>
    </w:rPr>
  </w:style>
  <w:style w:type="paragraph" w:customStyle="1" w:styleId="BDAbstract">
    <w:name w:val="BD_Abstract"/>
    <w:basedOn w:val="Normal"/>
    <w:next w:val="TAMainText"/>
    <w:rsid w:val="006F0758"/>
    <w:pPr>
      <w:spacing w:before="360" w:after="360" w:line="480" w:lineRule="auto"/>
    </w:pPr>
  </w:style>
  <w:style w:type="paragraph" w:customStyle="1" w:styleId="TDAcknowledgments">
    <w:name w:val="TD_Acknowledgments"/>
    <w:basedOn w:val="Normal"/>
    <w:next w:val="Normal"/>
    <w:rsid w:val="006F0758"/>
    <w:pPr>
      <w:spacing w:before="200" w:line="480" w:lineRule="auto"/>
      <w:ind w:firstLine="202"/>
    </w:pPr>
  </w:style>
  <w:style w:type="paragraph" w:customStyle="1" w:styleId="TESupportingInformation">
    <w:name w:val="TE_Supporting_Information"/>
    <w:basedOn w:val="Normal"/>
    <w:next w:val="Normal"/>
    <w:rsid w:val="006F0758"/>
    <w:pPr>
      <w:spacing w:line="480" w:lineRule="auto"/>
      <w:ind w:firstLine="187"/>
    </w:pPr>
  </w:style>
  <w:style w:type="paragraph" w:customStyle="1" w:styleId="VCSchemeTitle">
    <w:name w:val="VC_Scheme_Title"/>
    <w:basedOn w:val="Normal"/>
    <w:next w:val="Normal"/>
    <w:rsid w:val="006F0758"/>
    <w:pPr>
      <w:spacing w:line="480" w:lineRule="auto"/>
    </w:pPr>
  </w:style>
  <w:style w:type="paragraph" w:customStyle="1" w:styleId="VDTableTitle">
    <w:name w:val="VD_Table_Title"/>
    <w:basedOn w:val="Normal"/>
    <w:next w:val="Normal"/>
    <w:rsid w:val="006F0758"/>
    <w:pPr>
      <w:spacing w:line="480" w:lineRule="auto"/>
    </w:pPr>
  </w:style>
  <w:style w:type="paragraph" w:customStyle="1" w:styleId="VAFigureCaption">
    <w:name w:val="VA_Figure_Caption"/>
    <w:basedOn w:val="Normal"/>
    <w:next w:val="Normal"/>
    <w:rsid w:val="006F0758"/>
    <w:pPr>
      <w:spacing w:line="480" w:lineRule="auto"/>
    </w:pPr>
  </w:style>
  <w:style w:type="paragraph" w:customStyle="1" w:styleId="VBChartTitle">
    <w:name w:val="VB_Chart_Title"/>
    <w:basedOn w:val="Normal"/>
    <w:next w:val="Normal"/>
    <w:rsid w:val="006F0758"/>
    <w:pPr>
      <w:spacing w:line="480" w:lineRule="auto"/>
    </w:pPr>
  </w:style>
  <w:style w:type="paragraph" w:customStyle="1" w:styleId="FETableFootnote">
    <w:name w:val="FE_Table_Footnote"/>
    <w:basedOn w:val="Normal"/>
    <w:next w:val="Normal"/>
    <w:rsid w:val="006F0758"/>
    <w:pPr>
      <w:ind w:firstLine="187"/>
    </w:pPr>
  </w:style>
  <w:style w:type="paragraph" w:customStyle="1" w:styleId="FCChartFootnote">
    <w:name w:val="FC_Chart_Footnote"/>
    <w:basedOn w:val="Normal"/>
    <w:next w:val="Normal"/>
    <w:rsid w:val="006F0758"/>
    <w:pPr>
      <w:ind w:firstLine="187"/>
    </w:pPr>
  </w:style>
  <w:style w:type="paragraph" w:customStyle="1" w:styleId="FDSchemeFootnote">
    <w:name w:val="FD_Scheme_Footnote"/>
    <w:basedOn w:val="Normal"/>
    <w:next w:val="Normal"/>
    <w:rsid w:val="006F0758"/>
    <w:pPr>
      <w:ind w:firstLine="187"/>
    </w:pPr>
  </w:style>
  <w:style w:type="paragraph" w:customStyle="1" w:styleId="TCTableBody">
    <w:name w:val="TC_Table_Body"/>
    <w:basedOn w:val="Normal"/>
    <w:rsid w:val="006F0758"/>
  </w:style>
  <w:style w:type="paragraph" w:customStyle="1" w:styleId="AFTitleRunningHead">
    <w:name w:val="AF_Title_Running_Head"/>
    <w:basedOn w:val="Normal"/>
    <w:next w:val="TAMainText"/>
    <w:rsid w:val="006F0758"/>
    <w:pPr>
      <w:spacing w:line="480" w:lineRule="auto"/>
    </w:pPr>
  </w:style>
  <w:style w:type="paragraph" w:customStyle="1" w:styleId="BEAuthorBiography">
    <w:name w:val="BE_Author_Biography"/>
    <w:basedOn w:val="Normal"/>
    <w:rsid w:val="006F0758"/>
    <w:pPr>
      <w:spacing w:line="480" w:lineRule="auto"/>
    </w:pPr>
  </w:style>
  <w:style w:type="paragraph" w:customStyle="1" w:styleId="FACorrespondingAuthorFootnote">
    <w:name w:val="FA_Corresponding_Author_Footnote"/>
    <w:basedOn w:val="Normal"/>
    <w:next w:val="TAMainText"/>
    <w:rsid w:val="006F0758"/>
    <w:pPr>
      <w:spacing w:line="480" w:lineRule="auto"/>
    </w:pPr>
  </w:style>
  <w:style w:type="paragraph" w:customStyle="1" w:styleId="SNSynopsisTOC">
    <w:name w:val="SN_Synopsis_TOC"/>
    <w:basedOn w:val="Normal"/>
    <w:rsid w:val="006F0758"/>
    <w:pPr>
      <w:spacing w:line="480" w:lineRule="auto"/>
    </w:pPr>
  </w:style>
  <w:style w:type="character" w:styleId="Hyperlink">
    <w:name w:val="Hyperlink"/>
    <w:rsid w:val="006F0758"/>
    <w:rPr>
      <w:color w:val="0000FF"/>
      <w:u w:val="single"/>
    </w:rPr>
  </w:style>
  <w:style w:type="paragraph" w:styleId="Footer">
    <w:name w:val="footer"/>
    <w:basedOn w:val="Normal"/>
    <w:rsid w:val="006F0758"/>
    <w:pPr>
      <w:tabs>
        <w:tab w:val="center" w:pos="4320"/>
        <w:tab w:val="right" w:pos="8640"/>
      </w:tabs>
    </w:pPr>
  </w:style>
  <w:style w:type="paragraph" w:customStyle="1" w:styleId="BGKeywords">
    <w:name w:val="BG_Keywords"/>
    <w:basedOn w:val="Normal"/>
    <w:rsid w:val="006F0758"/>
    <w:pPr>
      <w:spacing w:line="480" w:lineRule="auto"/>
    </w:pPr>
  </w:style>
  <w:style w:type="paragraph" w:customStyle="1" w:styleId="BHBriefs">
    <w:name w:val="BH_Briefs"/>
    <w:basedOn w:val="Normal"/>
    <w:rsid w:val="006F0758"/>
    <w:pPr>
      <w:spacing w:line="480" w:lineRule="auto"/>
    </w:pPr>
  </w:style>
  <w:style w:type="character" w:styleId="PageNumber">
    <w:name w:val="page number"/>
    <w:basedOn w:val="DefaultParagraphFont"/>
    <w:rsid w:val="006F0758"/>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08ArticleText">
    <w:name w:val="08 Article Text"/>
    <w:basedOn w:val="Normal"/>
    <w:link w:val="08ArticleTextChar"/>
    <w:rsid w:val="00D32AA0"/>
    <w:pPr>
      <w:tabs>
        <w:tab w:val="left" w:pos="284"/>
      </w:tabs>
      <w:spacing w:after="0" w:line="240" w:lineRule="exact"/>
    </w:pPr>
    <w:rPr>
      <w:rFonts w:ascii="Times New Roman" w:eastAsia="Calibri" w:hAnsi="Times New Roman"/>
      <w:w w:val="108"/>
      <w:sz w:val="18"/>
      <w:szCs w:val="18"/>
      <w:lang w:val="en-GB"/>
    </w:rPr>
  </w:style>
  <w:style w:type="character" w:customStyle="1" w:styleId="08ArticleTextChar">
    <w:name w:val="08 Article Text Char"/>
    <w:link w:val="08ArticleText"/>
    <w:rsid w:val="00D32AA0"/>
    <w:rPr>
      <w:rFonts w:ascii="Times New Roman" w:eastAsia="Calibri" w:hAnsi="Times New Roman"/>
      <w:w w:val="108"/>
      <w:sz w:val="18"/>
      <w:szCs w:val="18"/>
      <w:lang w:val="en-GB"/>
    </w:rPr>
  </w:style>
  <w:style w:type="paragraph" w:customStyle="1" w:styleId="RSCB03MathematicsGreeketc">
    <w:name w:val="RSC B03 Mathematics/Greek etc"/>
    <w:basedOn w:val="Normal"/>
    <w:link w:val="RSCB03MathematicsGreeketcChar"/>
    <w:qFormat/>
    <w:rsid w:val="00D32AA0"/>
    <w:pPr>
      <w:tabs>
        <w:tab w:val="center" w:pos="2268"/>
        <w:tab w:val="right" w:pos="4536"/>
      </w:tabs>
      <w:spacing w:before="160" w:after="160"/>
      <w:jc w:val="left"/>
    </w:pPr>
    <w:rPr>
      <w:rFonts w:ascii="Times New Roman" w:eastAsiaTheme="minorHAnsi" w:hAnsi="Times New Roman" w:cstheme="minorBidi"/>
      <w:sz w:val="18"/>
      <w:szCs w:val="22"/>
      <w:lang w:val="en-GB"/>
    </w:rPr>
  </w:style>
  <w:style w:type="character" w:customStyle="1" w:styleId="RSCB03MathematicsGreeketcChar">
    <w:name w:val="RSC B03 Mathematics/Greek etc Char"/>
    <w:basedOn w:val="DefaultParagraphFont"/>
    <w:link w:val="RSCB03MathematicsGreeketc"/>
    <w:rsid w:val="00D32AA0"/>
    <w:rPr>
      <w:rFonts w:ascii="Times New Roman" w:eastAsiaTheme="minorHAnsi" w:hAnsi="Times New Roman" w:cstheme="minorBidi"/>
      <w:sz w:val="18"/>
      <w:szCs w:val="22"/>
      <w:lang w:val="en-GB"/>
    </w:rPr>
  </w:style>
  <w:style w:type="paragraph" w:customStyle="1" w:styleId="SchemeCaption">
    <w:name w:val="SchemeCaption"/>
    <w:basedOn w:val="Normal"/>
    <w:rsid w:val="00050A3D"/>
    <w:pPr>
      <w:spacing w:before="230" w:after="460" w:line="180" w:lineRule="exact"/>
    </w:pPr>
    <w:rPr>
      <w:rFonts w:ascii="Arial" w:eastAsia="MS Mincho" w:hAnsi="Arial"/>
      <w:sz w:val="14"/>
      <w:szCs w:val="14"/>
      <w:lang w:val="en-GB" w:eastAsia="ja-JP"/>
    </w:rPr>
  </w:style>
  <w:style w:type="table" w:styleId="TableGrid">
    <w:name w:val="Table Grid"/>
    <w:basedOn w:val="TableNormal"/>
    <w:uiPriority w:val="59"/>
    <w:rsid w:val="00F63DD5"/>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qFormat/>
    <w:rsid w:val="00F63DD5"/>
    <w:pPr>
      <w:spacing w:after="0" w:line="225" w:lineRule="exact"/>
    </w:pPr>
    <w:rPr>
      <w:rFonts w:ascii="Arial" w:eastAsia="MS Mincho" w:hAnsi="Arial"/>
      <w:sz w:val="17"/>
      <w:szCs w:val="24"/>
      <w:lang w:eastAsia="ja-JP"/>
    </w:rPr>
  </w:style>
  <w:style w:type="character" w:customStyle="1" w:styleId="Heading1Char">
    <w:name w:val="Heading 1 Char"/>
    <w:basedOn w:val="DefaultParagraphFont"/>
    <w:link w:val="Heading1"/>
    <w:rsid w:val="00F63DD5"/>
    <w:rPr>
      <w:rFonts w:asciiTheme="majorHAnsi" w:eastAsiaTheme="majorEastAsia" w:hAnsiTheme="majorHAnsi" w:cstheme="majorBidi"/>
      <w:color w:val="365F91" w:themeColor="accent1" w:themeShade="BF"/>
      <w:sz w:val="32"/>
      <w:szCs w:val="32"/>
    </w:rPr>
  </w:style>
  <w:style w:type="paragraph" w:customStyle="1" w:styleId="RSCB06BHeadingSub-Section">
    <w:name w:val="RSC B06 B Heading (Sub-Section)"/>
    <w:link w:val="RSCB06BHeadingSub-SectionChar"/>
    <w:qFormat/>
    <w:rsid w:val="00631A1E"/>
    <w:pPr>
      <w:spacing w:after="80" w:line="240" w:lineRule="exact"/>
    </w:pPr>
    <w:rPr>
      <w:rFonts w:asciiTheme="minorHAnsi" w:eastAsiaTheme="minorHAnsi" w:hAnsiTheme="minorHAnsi" w:cstheme="minorBidi"/>
      <w:b/>
      <w:sz w:val="18"/>
      <w:szCs w:val="22"/>
      <w:lang w:val="en-GB"/>
    </w:rPr>
  </w:style>
  <w:style w:type="character" w:customStyle="1" w:styleId="RSCB06BHeadingSub-SectionChar">
    <w:name w:val="RSC B06 B Heading (Sub-Section) Char"/>
    <w:basedOn w:val="DefaultParagraphFont"/>
    <w:link w:val="RSCB06BHeadingSub-Section"/>
    <w:rsid w:val="00631A1E"/>
    <w:rPr>
      <w:rFonts w:asciiTheme="minorHAnsi" w:eastAsiaTheme="minorHAnsi" w:hAnsiTheme="minorHAnsi" w:cstheme="minorBidi"/>
      <w:b/>
      <w:sz w:val="18"/>
      <w:szCs w:val="22"/>
      <w:lang w:val="en-GB"/>
    </w:rPr>
  </w:style>
  <w:style w:type="paragraph" w:customStyle="1" w:styleId="Acknowledgements">
    <w:name w:val="Acknowledgements"/>
    <w:basedOn w:val="Normal"/>
    <w:qFormat/>
    <w:rsid w:val="00631A1E"/>
    <w:pPr>
      <w:spacing w:after="240" w:line="230" w:lineRule="atLeast"/>
    </w:pPr>
    <w:rPr>
      <w:rFonts w:ascii="Arial" w:eastAsia="MS Mincho" w:hAnsi="Arial"/>
      <w:sz w:val="17"/>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emf"/><Relationship Id="rId38"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4.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oleObject" Target="embeddings/oleObject16.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6C98C049-3177-4004-BCA0-FA452081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36</Pages>
  <Words>3714</Words>
  <Characters>21172</Characters>
  <Application>Microsoft Office Word</Application>
  <DocSecurity>4</DocSecurity>
  <Lines>176</Lines>
  <Paragraphs>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24837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User</dc:creator>
  <cp:lastModifiedBy>Paul Burns</cp:lastModifiedBy>
  <cp:revision>2</cp:revision>
  <cp:lastPrinted>2008-06-11T21:33:00Z</cp:lastPrinted>
  <dcterms:created xsi:type="dcterms:W3CDTF">2018-02-27T14:18:00Z</dcterms:created>
  <dcterms:modified xsi:type="dcterms:W3CDTF">2018-02-27T14:18:00Z</dcterms:modified>
</cp:coreProperties>
</file>